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spacing w:val="42"/>
          <w:sz w:val="84"/>
        </w:rPr>
      </w:pPr>
    </w:p>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jc w:val="center"/>
        <w:rPr>
          <w:rFonts w:ascii="华文中宋" w:hAnsi="华文中宋" w:eastAsia="华文中宋"/>
          <w:sz w:val="32"/>
          <w:szCs w:val="32"/>
        </w:rPr>
      </w:pPr>
    </w:p>
    <w:p>
      <w:pPr>
        <w:spacing w:line="360" w:lineRule="auto"/>
        <w:rPr>
          <w:rFonts w:ascii="华文中宋" w:hAnsi="华文中宋" w:eastAsia="华文中宋"/>
        </w:rPr>
      </w:pPr>
    </w:p>
    <w:p>
      <w:pPr>
        <w:spacing w:line="360" w:lineRule="auto"/>
        <w:ind w:left="2123" w:leftChars="336" w:hanging="1417" w:hangingChars="443"/>
        <w:rPr>
          <w:rFonts w:ascii="华文中宋" w:hAnsi="华文中宋" w:eastAsia="华文中宋"/>
          <w:sz w:val="32"/>
          <w:szCs w:val="32"/>
        </w:rPr>
      </w:pPr>
      <w:r>
        <w:rPr>
          <w:rFonts w:hint="eastAsia" w:ascii="华文中宋" w:hAnsi="华文中宋" w:eastAsia="华文中宋"/>
          <w:sz w:val="32"/>
          <w:szCs w:val="32"/>
        </w:rPr>
        <w:t>项目名称：成都市龙泉驿区教育局2021年新（改扩）建幼儿园第二批家具采购项目</w:t>
      </w:r>
    </w:p>
    <w:p>
      <w:pPr>
        <w:spacing w:line="360" w:lineRule="auto"/>
        <w:ind w:left="2409" w:leftChars="338" w:hanging="1699" w:hangingChars="531"/>
        <w:rPr>
          <w:rFonts w:ascii="华文中宋" w:hAnsi="华文中宋" w:eastAsia="华文中宋"/>
          <w:sz w:val="32"/>
          <w:szCs w:val="32"/>
        </w:rPr>
      </w:pPr>
      <w:r>
        <w:rPr>
          <w:rFonts w:hint="eastAsia" w:ascii="华文中宋" w:hAnsi="华文中宋" w:eastAsia="华文中宋"/>
          <w:sz w:val="32"/>
          <w:szCs w:val="32"/>
        </w:rPr>
        <w:t>项目编号：龙泉驿政采（2021）A003</w:t>
      </w:r>
      <w:r>
        <w:rPr>
          <w:rFonts w:hint="eastAsia" w:ascii="华文中宋" w:hAnsi="华文中宋" w:eastAsia="华文中宋"/>
          <w:sz w:val="32"/>
          <w:szCs w:val="32"/>
          <w:lang w:val="en-US" w:eastAsia="zh-CN"/>
        </w:rPr>
        <w:t>4</w:t>
      </w:r>
      <w:r>
        <w:rPr>
          <w:rFonts w:hint="eastAsia" w:ascii="华文中宋" w:hAnsi="华文中宋" w:eastAsia="华文中宋"/>
          <w:sz w:val="32"/>
          <w:szCs w:val="32"/>
        </w:rPr>
        <w:t>号</w:t>
      </w:r>
    </w:p>
    <w:p>
      <w:pPr>
        <w:spacing w:line="360" w:lineRule="auto"/>
        <w:ind w:firstLine="1280" w:firstLineChars="400"/>
        <w:rPr>
          <w:rFonts w:ascii="华文中宋" w:hAnsi="华文中宋" w:eastAsia="华文中宋"/>
          <w:sz w:val="32"/>
          <w:szCs w:val="32"/>
        </w:rPr>
      </w:pPr>
    </w:p>
    <w:p>
      <w:pPr>
        <w:spacing w:line="360" w:lineRule="auto"/>
        <w:ind w:firstLine="1256" w:firstLineChars="349"/>
        <w:rPr>
          <w:rFonts w:ascii="华文中宋" w:hAnsi="华文中宋" w:eastAsia="华文中宋"/>
          <w:spacing w:val="20"/>
          <w:sz w:val="32"/>
          <w:szCs w:val="32"/>
        </w:rPr>
      </w:pPr>
    </w:p>
    <w:p>
      <w:pPr>
        <w:spacing w:line="360" w:lineRule="auto"/>
        <w:jc w:val="center"/>
        <w:rPr>
          <w:rFonts w:ascii="华文中宋" w:hAnsi="华文中宋" w:eastAsia="华文中宋"/>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pacing w:val="-20"/>
          <w:sz w:val="32"/>
          <w:szCs w:val="32"/>
        </w:rPr>
        <w:t>成都市龙泉驿区教育局</w:t>
      </w:r>
      <w:r>
        <w:rPr>
          <w:rFonts w:hint="eastAsia" w:ascii="华文中宋" w:hAnsi="华文中宋" w:eastAsia="华文中宋"/>
          <w:sz w:val="32"/>
          <w:szCs w:val="32"/>
        </w:rPr>
        <w:t>、</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成都市龙泉驿区公共资源交易服务中心共同编制</w:t>
      </w:r>
    </w:p>
    <w:p>
      <w:pPr>
        <w:pStyle w:val="2"/>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二〇二一年八月</w:t>
      </w:r>
    </w:p>
    <w:p>
      <w:pPr>
        <w:spacing w:line="360" w:lineRule="auto"/>
        <w:jc w:val="center"/>
        <w:rPr>
          <w:rFonts w:ascii="华文中宋" w:hAnsi="华文中宋" w:eastAsia="华文中宋"/>
          <w:sz w:val="32"/>
          <w:szCs w:val="32"/>
        </w:rPr>
      </w:pPr>
    </w:p>
    <w:p>
      <w:pPr>
        <w:pStyle w:val="2"/>
      </w:pPr>
    </w:p>
    <w:p>
      <w:pPr>
        <w:spacing w:line="360" w:lineRule="auto"/>
        <w:jc w:val="center"/>
        <w:rPr>
          <w:rFonts w:ascii="宋体" w:hAnsi="宋体"/>
          <w:b/>
          <w:sz w:val="36"/>
        </w:rPr>
      </w:pPr>
      <w:bookmarkStart w:id="0" w:name="_Toc101234248"/>
      <w:bookmarkStart w:id="1" w:name="_Toc148505181"/>
      <w:bookmarkStart w:id="2" w:name="_Toc101328520"/>
      <w:bookmarkStart w:id="3" w:name="_Toc101247312"/>
      <w:r>
        <w:rPr>
          <w:rFonts w:hint="eastAsia" w:ascii="宋体" w:hAnsi="宋体"/>
          <w:b/>
          <w:sz w:val="32"/>
          <w:szCs w:val="32"/>
        </w:rPr>
        <w:t>目 录</w:t>
      </w:r>
    </w:p>
    <w:p>
      <w:pPr>
        <w:pStyle w:val="31"/>
        <w:rPr>
          <w:rFonts w:asciiTheme="minorHAnsi" w:hAnsiTheme="minorHAnsi" w:eastAsiaTheme="minorEastAsia" w:cstheme="minorBidi"/>
          <w:bCs w:val="0"/>
          <w:caps w:val="0"/>
          <w:sz w:val="21"/>
          <w:szCs w:val="22"/>
        </w:rPr>
      </w:pPr>
      <w:r>
        <w:rPr>
          <w:rFonts w:hint="eastAsia"/>
        </w:rPr>
        <w:fldChar w:fldCharType="begin"/>
      </w:r>
      <w:r>
        <w:rPr>
          <w:rFonts w:hint="eastAsia" w:ascii="宋体" w:hAnsi="宋体"/>
          <w:smallCaps/>
        </w:rPr>
        <w:instrText xml:space="preserve"> TOC \o "1-2" \h \z \u </w:instrText>
      </w:r>
      <w:r>
        <w:rPr>
          <w:rFonts w:hint="eastAsia"/>
        </w:rPr>
        <w:fldChar w:fldCharType="separate"/>
      </w:r>
      <w:r>
        <w:fldChar w:fldCharType="begin"/>
      </w:r>
      <w:r>
        <w:instrText xml:space="preserve"> HYPERLINK \l "_Toc74752318" </w:instrText>
      </w:r>
      <w:r>
        <w:fldChar w:fldCharType="separate"/>
      </w:r>
      <w:r>
        <w:rPr>
          <w:rStyle w:val="43"/>
          <w:rFonts w:ascii="Times New Roman" w:hAnsi="Times New Roman"/>
          <w:b/>
          <w:spacing w:val="-20"/>
          <w:kern w:val="44"/>
        </w:rPr>
        <w:t>第1章</w:t>
      </w:r>
      <w:r>
        <w:rPr>
          <w:rFonts w:asciiTheme="minorHAnsi" w:hAnsiTheme="minorHAnsi" w:eastAsiaTheme="minorEastAsia" w:cstheme="minorBidi"/>
          <w:bCs w:val="0"/>
          <w:caps w:val="0"/>
          <w:sz w:val="21"/>
          <w:szCs w:val="22"/>
        </w:rPr>
        <w:tab/>
      </w:r>
      <w:r>
        <w:rPr>
          <w:rStyle w:val="43"/>
          <w:rFonts w:ascii="宋体" w:hAnsi="宋体"/>
          <w:b/>
          <w:spacing w:val="-20"/>
          <w:kern w:val="44"/>
        </w:rPr>
        <w:t>投标邀请</w:t>
      </w:r>
      <w:r>
        <w:tab/>
      </w:r>
      <w:r>
        <w:fldChar w:fldCharType="begin"/>
      </w:r>
      <w:r>
        <w:instrText xml:space="preserve"> PAGEREF _Toc74752318 \h </w:instrText>
      </w:r>
      <w:r>
        <w:fldChar w:fldCharType="separate"/>
      </w:r>
      <w:r>
        <w:t>3</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"_Toc74752319" </w:instrText>
      </w:r>
      <w:r>
        <w:fldChar w:fldCharType="separate"/>
      </w:r>
      <w:r>
        <w:rPr>
          <w:rStyle w:val="43"/>
          <w:rFonts w:ascii="Times New Roman" w:hAnsi="Times New Roman"/>
          <w:b/>
          <w:spacing w:val="-20"/>
          <w:kern w:val="44"/>
        </w:rPr>
        <w:t>第2章</w:t>
      </w:r>
      <w:r>
        <w:rPr>
          <w:rFonts w:asciiTheme="minorHAnsi" w:hAnsiTheme="minorHAnsi" w:eastAsiaTheme="minorEastAsia" w:cstheme="minorBidi"/>
          <w:bCs w:val="0"/>
          <w:caps w:val="0"/>
          <w:sz w:val="21"/>
          <w:szCs w:val="22"/>
        </w:rPr>
        <w:tab/>
      </w:r>
      <w:r>
        <w:rPr>
          <w:rStyle w:val="43"/>
          <w:rFonts w:ascii="宋体" w:hAnsi="宋体"/>
          <w:b/>
          <w:spacing w:val="-20"/>
          <w:kern w:val="44"/>
        </w:rPr>
        <w:t>投标人须知</w:t>
      </w:r>
      <w:r>
        <w:tab/>
      </w:r>
      <w:r>
        <w:fldChar w:fldCharType="begin"/>
      </w:r>
      <w:r>
        <w:instrText xml:space="preserve"> PAGEREF _Toc74752319 \h </w:instrText>
      </w:r>
      <w:r>
        <w:fldChar w:fldCharType="separate"/>
      </w:r>
      <w:r>
        <w:t>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"_Toc74752320" </w:instrText>
      </w:r>
      <w:r>
        <w:fldChar w:fldCharType="separate"/>
      </w:r>
      <w:r>
        <w:rPr>
          <w:rStyle w:val="43"/>
          <w:rFonts w:ascii="Times New Roman" w:hAnsi="Times New Roman"/>
          <w:b/>
          <w:bCs/>
        </w:rPr>
        <w:t>2.1</w:t>
      </w:r>
      <w:r>
        <w:rPr>
          <w:rStyle w:val="43"/>
          <w:rFonts w:ascii="宋体" w:hAnsi="宋体"/>
          <w:b/>
          <w:bCs/>
        </w:rPr>
        <w:t xml:space="preserve"> 投标人须知前附表</w:t>
      </w:r>
      <w:r>
        <w:tab/>
      </w:r>
      <w:r>
        <w:fldChar w:fldCharType="begin"/>
      </w:r>
      <w:r>
        <w:instrText xml:space="preserve"> PAGEREF _Toc74752320 \h </w:instrText>
      </w:r>
      <w:r>
        <w:fldChar w:fldCharType="separate"/>
      </w:r>
      <w:r>
        <w:t>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"_Toc74752321" </w:instrText>
      </w:r>
      <w:r>
        <w:fldChar w:fldCharType="separate"/>
      </w:r>
      <w:r>
        <w:rPr>
          <w:rStyle w:val="43"/>
          <w:rFonts w:ascii="Times New Roman" w:hAnsi="Times New Roman"/>
          <w:b/>
          <w:bCs/>
        </w:rPr>
        <w:t>2.2</w:t>
      </w:r>
      <w:r>
        <w:rPr>
          <w:rStyle w:val="43"/>
          <w:rFonts w:ascii="宋体" w:hAnsi="宋体"/>
          <w:b/>
          <w:bCs/>
        </w:rPr>
        <w:t xml:space="preserve"> 总则</w:t>
      </w:r>
      <w:r>
        <w:tab/>
      </w:r>
      <w:r>
        <w:fldChar w:fldCharType="begin"/>
      </w:r>
      <w:r>
        <w:instrText xml:space="preserve"> PAGEREF _Toc74752321 \h </w:instrText>
      </w:r>
      <w:r>
        <w:fldChar w:fldCharType="separate"/>
      </w:r>
      <w:r>
        <w:t>10</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"_Toc74752322" </w:instrText>
      </w:r>
      <w:r>
        <w:fldChar w:fldCharType="separate"/>
      </w:r>
      <w:r>
        <w:rPr>
          <w:rStyle w:val="43"/>
          <w:rFonts w:ascii="Times New Roman" w:hAnsi="Times New Roman"/>
          <w:b/>
          <w:bCs/>
        </w:rPr>
        <w:t>2.3</w:t>
      </w:r>
      <w:r>
        <w:rPr>
          <w:rStyle w:val="43"/>
          <w:rFonts w:ascii="宋体" w:hAnsi="宋体"/>
          <w:b/>
          <w:bCs/>
        </w:rPr>
        <w:t xml:space="preserve"> 招标文件</w:t>
      </w:r>
      <w:r>
        <w:tab/>
      </w:r>
      <w:r>
        <w:fldChar w:fldCharType="begin"/>
      </w:r>
      <w:r>
        <w:instrText xml:space="preserve"> PAGEREF _Toc74752322 \h </w:instrText>
      </w:r>
      <w:r>
        <w:fldChar w:fldCharType="separate"/>
      </w:r>
      <w:r>
        <w:t>12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"_Toc74752323" </w:instrText>
      </w:r>
      <w:r>
        <w:fldChar w:fldCharType="separate"/>
      </w:r>
      <w:r>
        <w:rPr>
          <w:rStyle w:val="43"/>
          <w:rFonts w:ascii="Times New Roman" w:hAnsi="Times New Roman"/>
          <w:b/>
          <w:bCs/>
        </w:rPr>
        <w:t>2.4</w:t>
      </w:r>
      <w:r>
        <w:rPr>
          <w:rStyle w:val="43"/>
          <w:rFonts w:ascii="宋体" w:hAnsi="宋体"/>
          <w:b/>
          <w:bCs/>
        </w:rPr>
        <w:t xml:space="preserve"> 投标文件</w:t>
      </w:r>
      <w:r>
        <w:tab/>
      </w:r>
      <w:r>
        <w:fldChar w:fldCharType="begin"/>
      </w:r>
      <w:r>
        <w:instrText xml:space="preserve"> PAGEREF _Toc74752323 \h </w:instrText>
      </w:r>
      <w:r>
        <w:fldChar w:fldCharType="separate"/>
      </w:r>
      <w:r>
        <w:t>12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"_Toc74752324" </w:instrText>
      </w:r>
      <w:r>
        <w:fldChar w:fldCharType="separate"/>
      </w:r>
      <w:r>
        <w:rPr>
          <w:rStyle w:val="43"/>
          <w:rFonts w:ascii="Times New Roman" w:hAnsi="Times New Roman"/>
          <w:b/>
          <w:bCs/>
        </w:rPr>
        <w:t>2.5</w:t>
      </w:r>
      <w:r>
        <w:rPr>
          <w:rStyle w:val="43"/>
          <w:rFonts w:ascii="宋体" w:hAnsi="宋体"/>
          <w:b/>
          <w:bCs/>
        </w:rPr>
        <w:t xml:space="preserve"> 开标、资格审查、评标和中标</w:t>
      </w:r>
      <w:r>
        <w:tab/>
      </w:r>
      <w:r>
        <w:fldChar w:fldCharType="begin"/>
      </w:r>
      <w:r>
        <w:instrText xml:space="preserve"> PAGEREF _Toc74752324 \h </w:instrText>
      </w:r>
      <w:r>
        <w:fldChar w:fldCharType="separate"/>
      </w:r>
      <w:r>
        <w:t>19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"_Toc74752325" </w:instrText>
      </w:r>
      <w:r>
        <w:fldChar w:fldCharType="separate"/>
      </w:r>
      <w:r>
        <w:rPr>
          <w:rStyle w:val="43"/>
          <w:rFonts w:ascii="Times New Roman" w:hAnsi="Times New Roman"/>
          <w:b/>
          <w:bCs/>
        </w:rPr>
        <w:t>2.6</w:t>
      </w:r>
      <w:r>
        <w:rPr>
          <w:rStyle w:val="43"/>
          <w:rFonts w:ascii="宋体" w:hAnsi="宋体"/>
          <w:b/>
          <w:bCs/>
        </w:rPr>
        <w:t xml:space="preserve"> 签订及履行合同和验收</w:t>
      </w:r>
      <w:r>
        <w:tab/>
      </w:r>
      <w:r>
        <w:fldChar w:fldCharType="begin"/>
      </w:r>
      <w:r>
        <w:instrText xml:space="preserve"> PAGEREF _Toc74752325 \h </w:instrText>
      </w:r>
      <w:r>
        <w:fldChar w:fldCharType="separate"/>
      </w:r>
      <w:r>
        <w:t>21</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"_Toc74752326" </w:instrText>
      </w:r>
      <w:r>
        <w:fldChar w:fldCharType="separate"/>
      </w:r>
      <w:r>
        <w:rPr>
          <w:rStyle w:val="43"/>
          <w:rFonts w:ascii="Times New Roman" w:hAnsi="Times New Roman"/>
          <w:b/>
          <w:bCs/>
        </w:rPr>
        <w:t>2.7</w:t>
      </w:r>
      <w:r>
        <w:rPr>
          <w:rStyle w:val="43"/>
          <w:rFonts w:ascii="宋体" w:hAnsi="宋体"/>
          <w:b/>
          <w:bCs/>
        </w:rPr>
        <w:t xml:space="preserve"> 投标纪律要求</w:t>
      </w:r>
      <w:r>
        <w:tab/>
      </w:r>
      <w:r>
        <w:fldChar w:fldCharType="begin"/>
      </w:r>
      <w:r>
        <w:instrText xml:space="preserve"> PAGEREF _Toc74752326 \h </w:instrText>
      </w:r>
      <w:r>
        <w:fldChar w:fldCharType="separate"/>
      </w:r>
      <w:r>
        <w:t>23</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"_Toc74752327" </w:instrText>
      </w:r>
      <w:r>
        <w:fldChar w:fldCharType="separate"/>
      </w:r>
      <w:r>
        <w:rPr>
          <w:rStyle w:val="43"/>
          <w:rFonts w:ascii="Times New Roman" w:hAnsi="Times New Roman"/>
          <w:b/>
          <w:bCs/>
        </w:rPr>
        <w:t>2.8</w:t>
      </w:r>
      <w:r>
        <w:rPr>
          <w:rStyle w:val="43"/>
          <w:rFonts w:ascii="宋体" w:hAnsi="宋体"/>
          <w:b/>
          <w:bCs/>
        </w:rPr>
        <w:t xml:space="preserve"> 询问、质疑和投诉</w:t>
      </w:r>
      <w:r>
        <w:tab/>
      </w:r>
      <w:r>
        <w:fldChar w:fldCharType="begin"/>
      </w:r>
      <w:r>
        <w:instrText xml:space="preserve"> PAGEREF _Toc74752327 \h </w:instrText>
      </w:r>
      <w:r>
        <w:fldChar w:fldCharType="separate"/>
      </w:r>
      <w:r>
        <w:t>26</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"_Toc74752328" </w:instrText>
      </w:r>
      <w:r>
        <w:fldChar w:fldCharType="separate"/>
      </w:r>
      <w:r>
        <w:rPr>
          <w:rStyle w:val="43"/>
          <w:rFonts w:ascii="Times New Roman" w:hAnsi="Times New Roman"/>
          <w:b/>
          <w:bCs/>
        </w:rPr>
        <w:t>2.9</w:t>
      </w:r>
      <w:r>
        <w:rPr>
          <w:rStyle w:val="43"/>
          <w:rFonts w:ascii="宋体" w:hAnsi="宋体"/>
          <w:b/>
          <w:bCs/>
        </w:rPr>
        <w:t xml:space="preserve"> 中小企业政府采购信用融资</w:t>
      </w:r>
      <w:r>
        <w:tab/>
      </w:r>
      <w:r>
        <w:fldChar w:fldCharType="begin"/>
      </w:r>
      <w:r>
        <w:instrText xml:space="preserve"> PAGEREF _Toc74752328 \h </w:instrText>
      </w:r>
      <w:r>
        <w:fldChar w:fldCharType="separate"/>
      </w:r>
      <w:r>
        <w:t>27</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"_Toc74752329" </w:instrText>
      </w:r>
      <w:r>
        <w:fldChar w:fldCharType="separate"/>
      </w:r>
      <w:r>
        <w:rPr>
          <w:rStyle w:val="43"/>
          <w:rFonts w:ascii="Times New Roman" w:hAnsi="Times New Roman"/>
          <w:b/>
          <w:spacing w:val="-20"/>
          <w:kern w:val="44"/>
        </w:rPr>
        <w:t>第3章</w:t>
      </w:r>
      <w:r>
        <w:rPr>
          <w:rFonts w:asciiTheme="minorHAnsi" w:hAnsiTheme="minorHAnsi" w:eastAsiaTheme="minorEastAsia" w:cstheme="minorBidi"/>
          <w:bCs w:val="0"/>
          <w:caps w:val="0"/>
          <w:sz w:val="21"/>
          <w:szCs w:val="22"/>
        </w:rPr>
        <w:tab/>
      </w:r>
      <w:r>
        <w:rPr>
          <w:rStyle w:val="43"/>
          <w:rFonts w:ascii="宋体" w:hAnsi="宋体"/>
          <w:b/>
          <w:spacing w:val="-20"/>
          <w:kern w:val="44"/>
        </w:rPr>
        <w:t>投标文件格式</w:t>
      </w:r>
      <w:r>
        <w:tab/>
      </w:r>
      <w:r>
        <w:fldChar w:fldCharType="begin"/>
      </w:r>
      <w:r>
        <w:instrText xml:space="preserve"> PAGEREF _Toc74752329 \h </w:instrText>
      </w:r>
      <w:r>
        <w:fldChar w:fldCharType="separate"/>
      </w:r>
      <w:r>
        <w:t>28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"_Toc74752330" </w:instrText>
      </w:r>
      <w:r>
        <w:fldChar w:fldCharType="separate"/>
      </w:r>
      <w:r>
        <w:rPr>
          <w:rStyle w:val="43"/>
          <w:rFonts w:ascii="Times New Roman" w:hAnsi="Times New Roman"/>
          <w:b/>
          <w:bCs/>
        </w:rPr>
        <w:t>3.1</w:t>
      </w:r>
      <w:r>
        <w:rPr>
          <w:rStyle w:val="43"/>
          <w:rFonts w:ascii="宋体" w:hAnsi="宋体"/>
          <w:b/>
          <w:bCs/>
        </w:rPr>
        <w:t xml:space="preserve"> 投标文件封面格式</w:t>
      </w:r>
      <w:r>
        <w:tab/>
      </w:r>
      <w:r>
        <w:fldChar w:fldCharType="begin"/>
      </w:r>
      <w:r>
        <w:instrText xml:space="preserve"> PAGEREF _Toc74752330 \h </w:instrText>
      </w:r>
      <w:r>
        <w:fldChar w:fldCharType="separate"/>
      </w:r>
      <w:r>
        <w:t>28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"_Toc74752331" </w:instrText>
      </w:r>
      <w:r>
        <w:fldChar w:fldCharType="separate"/>
      </w:r>
      <w:r>
        <w:rPr>
          <w:rStyle w:val="43"/>
          <w:rFonts w:ascii="Times New Roman" w:hAnsi="Times New Roman"/>
          <w:b/>
          <w:bCs/>
        </w:rPr>
        <w:t>3.2</w:t>
      </w:r>
      <w:r>
        <w:rPr>
          <w:rStyle w:val="43"/>
          <w:rFonts w:ascii="宋体" w:hAnsi="宋体"/>
          <w:b/>
          <w:bCs/>
        </w:rPr>
        <w:t xml:space="preserve"> 资格响应文件</w:t>
      </w:r>
      <w:r>
        <w:tab/>
      </w:r>
      <w:r>
        <w:fldChar w:fldCharType="begin"/>
      </w:r>
      <w:r>
        <w:instrText xml:space="preserve"> PAGEREF _Toc74752331 \h </w:instrText>
      </w:r>
      <w:r>
        <w:fldChar w:fldCharType="separate"/>
      </w:r>
      <w:r>
        <w:t>29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"_Toc74752332" </w:instrText>
      </w:r>
      <w:r>
        <w:fldChar w:fldCharType="separate"/>
      </w:r>
      <w:r>
        <w:rPr>
          <w:rStyle w:val="43"/>
          <w:rFonts w:ascii="Times New Roman" w:hAnsi="Times New Roman"/>
          <w:b/>
          <w:bCs/>
        </w:rPr>
        <w:t>3.3</w:t>
      </w:r>
      <w:r>
        <w:rPr>
          <w:rStyle w:val="43"/>
          <w:rFonts w:ascii="宋体" w:hAnsi="宋体"/>
          <w:b/>
          <w:bCs/>
        </w:rPr>
        <w:t xml:space="preserve"> 商务技术响应文件</w:t>
      </w:r>
      <w:r>
        <w:tab/>
      </w:r>
      <w:r>
        <w:fldChar w:fldCharType="begin"/>
      </w:r>
      <w:r>
        <w:instrText xml:space="preserve"> PAGEREF _Toc74752332 \h </w:instrText>
      </w:r>
      <w:r>
        <w:fldChar w:fldCharType="separate"/>
      </w:r>
      <w:r>
        <w:t>33</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"_Toc74752333" </w:instrText>
      </w:r>
      <w:r>
        <w:fldChar w:fldCharType="separate"/>
      </w:r>
      <w:r>
        <w:rPr>
          <w:rStyle w:val="43"/>
          <w:rFonts w:ascii="Times New Roman" w:hAnsi="Times New Roman"/>
          <w:b/>
          <w:bCs/>
        </w:rPr>
        <w:t>3.4</w:t>
      </w:r>
      <w:r>
        <w:rPr>
          <w:rStyle w:val="43"/>
          <w:rFonts w:ascii="宋体" w:hAnsi="宋体"/>
          <w:b/>
          <w:bCs/>
        </w:rPr>
        <w:t xml:space="preserve"> 报价要求响应文件</w:t>
      </w:r>
      <w:r>
        <w:tab/>
      </w:r>
      <w:r>
        <w:fldChar w:fldCharType="begin"/>
      </w:r>
      <w:r>
        <w:instrText xml:space="preserve"> PAGEREF _Toc74752333 \h </w:instrText>
      </w:r>
      <w:r>
        <w:fldChar w:fldCharType="separate"/>
      </w:r>
      <w:r>
        <w:t>40</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"_Toc74752334" </w:instrText>
      </w:r>
      <w:r>
        <w:fldChar w:fldCharType="separate"/>
      </w:r>
      <w:r>
        <w:rPr>
          <w:rStyle w:val="43"/>
          <w:rFonts w:ascii="Times New Roman" w:hAnsi="Times New Roman"/>
          <w:b/>
          <w:spacing w:val="-20"/>
          <w:kern w:val="44"/>
        </w:rPr>
        <w:t>第4章</w:t>
      </w:r>
      <w:r>
        <w:rPr>
          <w:rFonts w:asciiTheme="minorHAnsi" w:hAnsiTheme="minorHAnsi" w:eastAsiaTheme="minorEastAsia" w:cstheme="minorBidi"/>
          <w:bCs w:val="0"/>
          <w:caps w:val="0"/>
          <w:sz w:val="21"/>
          <w:szCs w:val="22"/>
        </w:rPr>
        <w:tab/>
      </w:r>
      <w:r>
        <w:rPr>
          <w:rStyle w:val="43"/>
          <w:rFonts w:ascii="宋体" w:hAnsi="宋体"/>
          <w:b/>
          <w:spacing w:val="-20"/>
          <w:kern w:val="44"/>
        </w:rPr>
        <w:t>招标项目技术、服务、商务及其他要求</w:t>
      </w:r>
      <w:r>
        <w:tab/>
      </w:r>
      <w:r>
        <w:fldChar w:fldCharType="begin"/>
      </w:r>
      <w:r>
        <w:instrText xml:space="preserve"> PAGEREF _Toc74752334 \h </w:instrText>
      </w:r>
      <w:r>
        <w:fldChar w:fldCharType="separate"/>
      </w:r>
      <w:r>
        <w:t>47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"_Toc74752335" </w:instrText>
      </w:r>
      <w:r>
        <w:fldChar w:fldCharType="separate"/>
      </w:r>
      <w:r>
        <w:rPr>
          <w:rStyle w:val="43"/>
          <w:rFonts w:ascii="Times New Roman" w:hAnsi="Times New Roman"/>
          <w:b/>
          <w:bCs/>
        </w:rPr>
        <w:t>4.1</w:t>
      </w:r>
      <w:r>
        <w:rPr>
          <w:rStyle w:val="43"/>
          <w:rFonts w:ascii="宋体" w:hAnsi="宋体"/>
          <w:b/>
          <w:bCs/>
        </w:rPr>
        <w:t xml:space="preserve"> 项目概况</w:t>
      </w:r>
      <w:r>
        <w:tab/>
      </w:r>
      <w:r>
        <w:fldChar w:fldCharType="begin"/>
      </w:r>
      <w:r>
        <w:instrText xml:space="preserve"> PAGEREF _Toc74752335 \h </w:instrText>
      </w:r>
      <w:r>
        <w:fldChar w:fldCharType="separate"/>
      </w:r>
      <w:r>
        <w:t>47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"_Toc74752336" </w:instrText>
      </w:r>
      <w:r>
        <w:fldChar w:fldCharType="separate"/>
      </w:r>
      <w:r>
        <w:rPr>
          <w:rStyle w:val="43"/>
          <w:rFonts w:ascii="Times New Roman" w:hAnsi="Times New Roman"/>
          <w:b/>
          <w:bCs/>
        </w:rPr>
        <w:t>4.2</w:t>
      </w:r>
      <w:r>
        <w:rPr>
          <w:rStyle w:val="43"/>
          <w:rFonts w:ascii="宋体" w:hAnsi="宋体"/>
          <w:b/>
          <w:bCs/>
        </w:rPr>
        <w:t xml:space="preserve"> 采购内容</w:t>
      </w:r>
      <w:r>
        <w:tab/>
      </w:r>
      <w:r>
        <w:fldChar w:fldCharType="begin"/>
      </w:r>
      <w:r>
        <w:instrText xml:space="preserve"> PAGEREF _Toc74752336 \h </w:instrText>
      </w:r>
      <w:r>
        <w:fldChar w:fldCharType="separate"/>
      </w:r>
      <w:r>
        <w:t>47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"_Toc74752337" </w:instrText>
      </w:r>
      <w:r>
        <w:fldChar w:fldCharType="separate"/>
      </w:r>
      <w:r>
        <w:rPr>
          <w:rStyle w:val="43"/>
          <w:rFonts w:ascii="Times New Roman" w:hAnsi="Times New Roman"/>
          <w:b/>
          <w:bCs/>
        </w:rPr>
        <w:t>4.3</w:t>
      </w:r>
      <w:r>
        <w:rPr>
          <w:rStyle w:val="43"/>
          <w:rFonts w:ascii="宋体" w:hAnsi="宋体"/>
          <w:b/>
          <w:bCs/>
        </w:rPr>
        <w:t xml:space="preserve"> 技术参数及要求</w:t>
      </w:r>
      <w:r>
        <w:tab/>
      </w:r>
      <w:r>
        <w:fldChar w:fldCharType="begin"/>
      </w:r>
      <w:r>
        <w:instrText xml:space="preserve"> PAGEREF _Toc74752337 \h </w:instrText>
      </w:r>
      <w:r>
        <w:fldChar w:fldCharType="separate"/>
      </w:r>
      <w:r>
        <w:t>48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"_Toc74752338" </w:instrText>
      </w:r>
      <w:r>
        <w:fldChar w:fldCharType="separate"/>
      </w:r>
      <w:r>
        <w:rPr>
          <w:rStyle w:val="43"/>
          <w:rFonts w:ascii="Times New Roman" w:hAnsi="Times New Roman"/>
          <w:b/>
          <w:bCs/>
        </w:rPr>
        <w:t>4.4</w:t>
      </w:r>
      <w:r>
        <w:rPr>
          <w:rStyle w:val="43"/>
          <w:rFonts w:ascii="宋体" w:hAnsi="宋体"/>
          <w:b/>
          <w:bCs/>
        </w:rPr>
        <w:t xml:space="preserve"> 商务要求</w:t>
      </w:r>
      <w:r>
        <w:tab/>
      </w:r>
      <w:r>
        <w:fldChar w:fldCharType="begin"/>
      </w:r>
      <w:r>
        <w:instrText xml:space="preserve"> PAGEREF _Toc74752338 \h </w:instrText>
      </w:r>
      <w:r>
        <w:fldChar w:fldCharType="separate"/>
      </w:r>
      <w:r>
        <w:t>71</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"_Toc74752339" </w:instrText>
      </w:r>
      <w:r>
        <w:fldChar w:fldCharType="separate"/>
      </w:r>
      <w:r>
        <w:rPr>
          <w:rStyle w:val="43"/>
          <w:rFonts w:ascii="Times New Roman" w:hAnsi="Times New Roman"/>
          <w:b/>
          <w:spacing w:val="-20"/>
          <w:kern w:val="44"/>
        </w:rPr>
        <w:t>第5章</w:t>
      </w:r>
      <w:r>
        <w:rPr>
          <w:rFonts w:asciiTheme="minorHAnsi" w:hAnsiTheme="minorHAnsi" w:eastAsiaTheme="minorEastAsia" w:cstheme="minorBidi"/>
          <w:bCs w:val="0"/>
          <w:caps w:val="0"/>
          <w:sz w:val="21"/>
          <w:szCs w:val="22"/>
        </w:rPr>
        <w:tab/>
      </w:r>
      <w:r>
        <w:rPr>
          <w:rStyle w:val="43"/>
          <w:rFonts w:ascii="宋体" w:hAnsi="宋体"/>
          <w:b/>
          <w:spacing w:val="-20"/>
          <w:kern w:val="44"/>
        </w:rPr>
        <w:t>资格性审查</w:t>
      </w:r>
      <w:r>
        <w:tab/>
      </w:r>
      <w:r>
        <w:fldChar w:fldCharType="begin"/>
      </w:r>
      <w:r>
        <w:instrText xml:space="preserve"> PAGEREF _Toc74752339 \h </w:instrText>
      </w:r>
      <w:r>
        <w:fldChar w:fldCharType="separate"/>
      </w:r>
      <w:r>
        <w:t>73</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"_Toc74752340" </w:instrText>
      </w:r>
      <w:r>
        <w:fldChar w:fldCharType="separate"/>
      </w:r>
      <w:r>
        <w:rPr>
          <w:rStyle w:val="43"/>
          <w:rFonts w:ascii="Times New Roman" w:hAnsi="Times New Roman"/>
          <w:b/>
          <w:spacing w:val="-20"/>
          <w:kern w:val="44"/>
        </w:rPr>
        <w:t>第6章</w:t>
      </w:r>
      <w:r>
        <w:rPr>
          <w:rFonts w:asciiTheme="minorHAnsi" w:hAnsiTheme="minorHAnsi" w:eastAsiaTheme="minorEastAsia" w:cstheme="minorBidi"/>
          <w:bCs w:val="0"/>
          <w:caps w:val="0"/>
          <w:sz w:val="21"/>
          <w:szCs w:val="22"/>
        </w:rPr>
        <w:tab/>
      </w:r>
      <w:r>
        <w:rPr>
          <w:rStyle w:val="43"/>
          <w:rFonts w:ascii="宋体" w:hAnsi="宋体"/>
          <w:b/>
          <w:spacing w:val="-20"/>
          <w:kern w:val="44"/>
        </w:rPr>
        <w:t>评标办法</w:t>
      </w:r>
      <w:r>
        <w:tab/>
      </w:r>
      <w:r>
        <w:fldChar w:fldCharType="begin"/>
      </w:r>
      <w:r>
        <w:instrText xml:space="preserve"> PAGEREF _Toc74752340 \h </w:instrText>
      </w:r>
      <w:r>
        <w:fldChar w:fldCharType="separate"/>
      </w:r>
      <w:r>
        <w:t>77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"_Toc74752341" </w:instrText>
      </w:r>
      <w:r>
        <w:fldChar w:fldCharType="separate"/>
      </w:r>
      <w:r>
        <w:rPr>
          <w:rStyle w:val="43"/>
          <w:rFonts w:ascii="Times New Roman" w:hAnsi="Times New Roman"/>
          <w:b/>
          <w:bCs/>
        </w:rPr>
        <w:t>6.1</w:t>
      </w:r>
      <w:r>
        <w:rPr>
          <w:rStyle w:val="43"/>
          <w:rFonts w:ascii="宋体" w:hAnsi="宋体"/>
          <w:b/>
          <w:bCs/>
        </w:rPr>
        <w:t xml:space="preserve"> 总则</w:t>
      </w:r>
      <w:r>
        <w:tab/>
      </w:r>
      <w:r>
        <w:fldChar w:fldCharType="begin"/>
      </w:r>
      <w:r>
        <w:instrText xml:space="preserve"> PAGEREF _Toc74752341 \h </w:instrText>
      </w:r>
      <w:r>
        <w:fldChar w:fldCharType="separate"/>
      </w:r>
      <w:r>
        <w:t>77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"_Toc74752342" </w:instrText>
      </w:r>
      <w:r>
        <w:fldChar w:fldCharType="separate"/>
      </w:r>
      <w:r>
        <w:rPr>
          <w:rStyle w:val="43"/>
          <w:rFonts w:ascii="Times New Roman" w:hAnsi="Times New Roman"/>
          <w:b/>
          <w:bCs/>
        </w:rPr>
        <w:t>6.2</w:t>
      </w:r>
      <w:r>
        <w:rPr>
          <w:rStyle w:val="43"/>
          <w:rFonts w:ascii="宋体" w:hAnsi="宋体"/>
          <w:b/>
          <w:bCs/>
        </w:rPr>
        <w:t xml:space="preserve"> 评标方法</w:t>
      </w:r>
      <w:r>
        <w:tab/>
      </w:r>
      <w:r>
        <w:fldChar w:fldCharType="begin"/>
      </w:r>
      <w:r>
        <w:instrText xml:space="preserve"> PAGEREF _Toc74752342 \h </w:instrText>
      </w:r>
      <w:r>
        <w:fldChar w:fldCharType="separate"/>
      </w:r>
      <w:r>
        <w:t>78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"_Toc74752343" </w:instrText>
      </w:r>
      <w:r>
        <w:fldChar w:fldCharType="separate"/>
      </w:r>
      <w:r>
        <w:rPr>
          <w:rStyle w:val="43"/>
          <w:rFonts w:ascii="Times New Roman" w:hAnsi="Times New Roman"/>
          <w:b/>
          <w:bCs/>
        </w:rPr>
        <w:t>6.3</w:t>
      </w:r>
      <w:r>
        <w:rPr>
          <w:rStyle w:val="43"/>
          <w:rFonts w:ascii="宋体" w:hAnsi="宋体"/>
          <w:b/>
          <w:bCs/>
        </w:rPr>
        <w:t xml:space="preserve"> 评标程序</w:t>
      </w:r>
      <w:r>
        <w:tab/>
      </w:r>
      <w:r>
        <w:fldChar w:fldCharType="begin"/>
      </w:r>
      <w:r>
        <w:instrText xml:space="preserve"> PAGEREF _Toc74752343 \h </w:instrText>
      </w:r>
      <w:r>
        <w:fldChar w:fldCharType="separate"/>
      </w:r>
      <w:r>
        <w:t>78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"_Toc74752344" </w:instrText>
      </w:r>
      <w:r>
        <w:fldChar w:fldCharType="separate"/>
      </w:r>
      <w:r>
        <w:rPr>
          <w:rStyle w:val="43"/>
          <w:rFonts w:ascii="Times New Roman" w:hAnsi="Times New Roman"/>
          <w:b/>
          <w:bCs/>
        </w:rPr>
        <w:t>6.4</w:t>
      </w:r>
      <w:r>
        <w:rPr>
          <w:rStyle w:val="43"/>
          <w:rFonts w:ascii="宋体" w:hAnsi="宋体"/>
          <w:b/>
          <w:bCs/>
        </w:rPr>
        <w:t xml:space="preserve"> 评标争议处理规则</w:t>
      </w:r>
      <w:r>
        <w:tab/>
      </w:r>
      <w:r>
        <w:fldChar w:fldCharType="begin"/>
      </w:r>
      <w:r>
        <w:instrText xml:space="preserve"> PAGEREF _Toc74752344 \h </w:instrText>
      </w:r>
      <w:r>
        <w:fldChar w:fldCharType="separate"/>
      </w:r>
      <w:r>
        <w:t>84</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"_Toc74752345" </w:instrText>
      </w:r>
      <w:r>
        <w:fldChar w:fldCharType="separate"/>
      </w:r>
      <w:r>
        <w:rPr>
          <w:rStyle w:val="43"/>
          <w:rFonts w:ascii="Times New Roman" w:hAnsi="Times New Roman"/>
          <w:b/>
          <w:bCs/>
        </w:rPr>
        <w:t>6.5</w:t>
      </w:r>
      <w:r>
        <w:rPr>
          <w:rStyle w:val="43"/>
          <w:rFonts w:ascii="宋体" w:hAnsi="宋体"/>
          <w:b/>
          <w:bCs/>
        </w:rPr>
        <w:t xml:space="preserve"> 评标细则及标准</w:t>
      </w:r>
      <w:r>
        <w:tab/>
      </w:r>
      <w:r>
        <w:fldChar w:fldCharType="begin"/>
      </w:r>
      <w:r>
        <w:instrText xml:space="preserve"> PAGEREF _Toc74752345 \h </w:instrText>
      </w:r>
      <w:r>
        <w:fldChar w:fldCharType="separate"/>
      </w:r>
      <w:r>
        <w:t>85</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"_Toc74752346" </w:instrText>
      </w:r>
      <w:r>
        <w:fldChar w:fldCharType="separate"/>
      </w:r>
      <w:r>
        <w:rPr>
          <w:rStyle w:val="43"/>
          <w:rFonts w:ascii="Times New Roman" w:hAnsi="Times New Roman"/>
          <w:b/>
          <w:bCs/>
        </w:rPr>
        <w:t>6.6</w:t>
      </w:r>
      <w:r>
        <w:rPr>
          <w:rStyle w:val="43"/>
          <w:rFonts w:ascii="宋体" w:hAnsi="宋体"/>
          <w:b/>
          <w:bCs/>
        </w:rPr>
        <w:t xml:space="preserve"> 废标</w:t>
      </w:r>
      <w:r>
        <w:tab/>
      </w:r>
      <w:r>
        <w:fldChar w:fldCharType="begin"/>
      </w:r>
      <w:r>
        <w:instrText xml:space="preserve"> PAGEREF _Toc74752346 \h </w:instrText>
      </w:r>
      <w:r>
        <w:fldChar w:fldCharType="separate"/>
      </w:r>
      <w:r>
        <w:t>89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"_Toc74752347" </w:instrText>
      </w:r>
      <w:r>
        <w:fldChar w:fldCharType="separate"/>
      </w:r>
      <w:r>
        <w:rPr>
          <w:rStyle w:val="43"/>
          <w:rFonts w:ascii="Times New Roman" w:hAnsi="Times New Roman"/>
          <w:b/>
          <w:bCs/>
        </w:rPr>
        <w:t>6.7</w:t>
      </w:r>
      <w:r>
        <w:rPr>
          <w:rStyle w:val="43"/>
          <w:rFonts w:ascii="宋体" w:hAnsi="宋体"/>
          <w:b/>
          <w:bCs/>
        </w:rPr>
        <w:t xml:space="preserve"> 定标</w:t>
      </w:r>
      <w:r>
        <w:tab/>
      </w:r>
      <w:r>
        <w:fldChar w:fldCharType="begin"/>
      </w:r>
      <w:r>
        <w:instrText xml:space="preserve"> PAGEREF _Toc74752347 \h </w:instrText>
      </w:r>
      <w:r>
        <w:fldChar w:fldCharType="separate"/>
      </w:r>
      <w:r>
        <w:t>89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"_Toc74752348" </w:instrText>
      </w:r>
      <w:r>
        <w:fldChar w:fldCharType="separate"/>
      </w:r>
      <w:r>
        <w:rPr>
          <w:rStyle w:val="43"/>
          <w:rFonts w:ascii="Times New Roman" w:hAnsi="Times New Roman"/>
          <w:b/>
          <w:bCs/>
        </w:rPr>
        <w:t>6.8</w:t>
      </w:r>
      <w:r>
        <w:rPr>
          <w:rStyle w:val="43"/>
          <w:rFonts w:ascii="宋体" w:hAnsi="宋体"/>
          <w:b/>
          <w:bCs/>
        </w:rPr>
        <w:t xml:space="preserve"> 评标专家在政府采购活动中承担以下义务</w:t>
      </w:r>
      <w:r>
        <w:tab/>
      </w:r>
      <w:r>
        <w:fldChar w:fldCharType="begin"/>
      </w:r>
      <w:r>
        <w:instrText xml:space="preserve"> PAGEREF _Toc74752348 \h </w:instrText>
      </w:r>
      <w:r>
        <w:fldChar w:fldCharType="separate"/>
      </w:r>
      <w:r>
        <w:t>90</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"_Toc74752349" </w:instrText>
      </w:r>
      <w:r>
        <w:fldChar w:fldCharType="separate"/>
      </w:r>
      <w:r>
        <w:rPr>
          <w:rStyle w:val="43"/>
          <w:rFonts w:ascii="Times New Roman" w:hAnsi="Times New Roman"/>
          <w:b/>
          <w:bCs/>
        </w:rPr>
        <w:t>6.9</w:t>
      </w:r>
      <w:r>
        <w:rPr>
          <w:rStyle w:val="43"/>
          <w:rFonts w:ascii="宋体" w:hAnsi="宋体"/>
          <w:b/>
          <w:bCs/>
        </w:rPr>
        <w:t xml:space="preserve"> 评标委员会及其成员不得有下列行为</w:t>
      </w:r>
      <w:r>
        <w:tab/>
      </w:r>
      <w:r>
        <w:fldChar w:fldCharType="begin"/>
      </w:r>
      <w:r>
        <w:instrText xml:space="preserve"> PAGEREF _Toc74752349 \h </w:instrText>
      </w:r>
      <w:r>
        <w:fldChar w:fldCharType="separate"/>
      </w:r>
      <w:r>
        <w:t>91</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"_Toc74752350" </w:instrText>
      </w:r>
      <w:r>
        <w:fldChar w:fldCharType="separate"/>
      </w:r>
      <w:r>
        <w:rPr>
          <w:rStyle w:val="43"/>
          <w:rFonts w:ascii="Times New Roman" w:hAnsi="Times New Roman"/>
          <w:b/>
          <w:bCs/>
        </w:rPr>
        <w:t>6.10</w:t>
      </w:r>
      <w:r>
        <w:rPr>
          <w:rStyle w:val="43"/>
          <w:rFonts w:ascii="宋体" w:hAnsi="宋体"/>
          <w:b/>
          <w:bCs/>
        </w:rPr>
        <w:t xml:space="preserve"> 评审专家在政府采购活动中应当遵守以下工作纪律</w:t>
      </w:r>
      <w:r>
        <w:tab/>
      </w:r>
      <w:r>
        <w:fldChar w:fldCharType="begin"/>
      </w:r>
      <w:r>
        <w:instrText xml:space="preserve"> PAGEREF _Toc74752350 \h </w:instrText>
      </w:r>
      <w:r>
        <w:fldChar w:fldCharType="separate"/>
      </w:r>
      <w:r>
        <w:t>92</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"_Toc74752351" </w:instrText>
      </w:r>
      <w:r>
        <w:fldChar w:fldCharType="separate"/>
      </w:r>
      <w:r>
        <w:rPr>
          <w:rStyle w:val="43"/>
          <w:rFonts w:ascii="Times New Roman" w:hAnsi="Times New Roman"/>
          <w:b/>
          <w:spacing w:val="-20"/>
          <w:kern w:val="44"/>
        </w:rPr>
        <w:t>第7章</w:t>
      </w:r>
      <w:r>
        <w:rPr>
          <w:rFonts w:asciiTheme="minorHAnsi" w:hAnsiTheme="minorHAnsi" w:eastAsiaTheme="minorEastAsia" w:cstheme="minorBidi"/>
          <w:bCs w:val="0"/>
          <w:caps w:val="0"/>
          <w:sz w:val="21"/>
          <w:szCs w:val="22"/>
        </w:rPr>
        <w:tab/>
      </w:r>
      <w:r>
        <w:rPr>
          <w:rStyle w:val="43"/>
          <w:rFonts w:ascii="宋体" w:hAnsi="宋体"/>
          <w:b/>
          <w:spacing w:val="-20"/>
          <w:kern w:val="44"/>
        </w:rPr>
        <w:t>拟签订合同文本</w:t>
      </w:r>
      <w:r>
        <w:tab/>
      </w:r>
      <w:r>
        <w:fldChar w:fldCharType="begin"/>
      </w:r>
      <w:r>
        <w:instrText xml:space="preserve"> PAGEREF _Toc74752351 \h </w:instrText>
      </w:r>
      <w:r>
        <w:fldChar w:fldCharType="separate"/>
      </w:r>
      <w:r>
        <w:t>94</w:t>
      </w:r>
      <w:r>
        <w:fldChar w:fldCharType="end"/>
      </w:r>
      <w:r>
        <w:fldChar w:fldCharType="end"/>
      </w:r>
    </w:p>
    <w:p>
      <w:pPr>
        <w:tabs>
          <w:tab w:val="left" w:pos="620"/>
          <w:tab w:val="right" w:leader="dot" w:pos="8364"/>
        </w:tabs>
        <w:spacing w:line="360" w:lineRule="exact"/>
      </w:pPr>
      <w:r>
        <w:rPr>
          <w:rFonts w:hint="eastAsia"/>
        </w:rPr>
        <w:fldChar w:fldCharType="end"/>
      </w: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4" w:name="_Toc204575871"/>
      <w:bookmarkStart w:id="5" w:name="_Toc181591102"/>
      <w:bookmarkStart w:id="6" w:name="_Toc74752318"/>
      <w:bookmarkStart w:id="7" w:name="_Toc181610856"/>
      <w:r>
        <w:rPr>
          <w:rFonts w:hint="eastAsia" w:ascii="宋体" w:hAnsi="宋体"/>
          <w:b/>
          <w:bCs/>
          <w:spacing w:val="-20"/>
          <w:kern w:val="44"/>
          <w:sz w:val="32"/>
          <w:szCs w:val="32"/>
        </w:rPr>
        <w:t>投标邀请</w:t>
      </w:r>
      <w:bookmarkEnd w:id="4"/>
      <w:bookmarkEnd w:id="5"/>
      <w:bookmarkEnd w:id="6"/>
      <w:bookmarkEnd w:id="7"/>
    </w:p>
    <w:p>
      <w:pPr>
        <w:spacing w:line="360" w:lineRule="auto"/>
        <w:ind w:firstLine="565" w:firstLineChars="202"/>
        <w:rPr>
          <w:rFonts w:ascii="宋体" w:hAnsi="宋体"/>
          <w:sz w:val="28"/>
          <w:szCs w:val="28"/>
        </w:rPr>
      </w:pPr>
      <w:r>
        <w:rPr>
          <w:rFonts w:hint="eastAsia" w:ascii="宋体" w:hAnsi="宋体"/>
          <w:sz w:val="28"/>
          <w:szCs w:val="28"/>
        </w:rPr>
        <w:t>成都市龙泉驿区公共资源交易服务中心(以下简称“区公资交易中心”)受</w:t>
      </w:r>
      <w:r>
        <w:rPr>
          <w:rFonts w:hint="eastAsia" w:ascii="宋体" w:hAnsi="宋体"/>
          <w:b/>
          <w:sz w:val="28"/>
          <w:szCs w:val="28"/>
          <w:u w:val="single"/>
        </w:rPr>
        <w:t>成都市龙泉驿区教育局</w:t>
      </w:r>
      <w:r>
        <w:rPr>
          <w:rFonts w:hint="eastAsia" w:ascii="宋体" w:hAnsi="宋体"/>
          <w:sz w:val="28"/>
          <w:szCs w:val="28"/>
        </w:rPr>
        <w:t>委托，拟对</w:t>
      </w:r>
      <w:r>
        <w:rPr>
          <w:rFonts w:hint="eastAsia" w:ascii="宋体" w:hAnsi="宋体"/>
          <w:b/>
          <w:sz w:val="28"/>
          <w:szCs w:val="28"/>
          <w:u w:val="single"/>
        </w:rPr>
        <w:t>成都市龙泉驿区教育局2021年新（改扩）建幼儿园第二批家具采购项目</w:t>
      </w:r>
      <w:r>
        <w:rPr>
          <w:rFonts w:hint="eastAsia" w:ascii="宋体" w:hAnsi="宋体"/>
          <w:sz w:val="28"/>
          <w:szCs w:val="28"/>
        </w:rPr>
        <w:t>进行国内公开招标，兹邀请符合本次招标要求的供应商参加投标。</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项目编号：龙泉驿政采（2021）A003</w:t>
      </w:r>
      <w:r>
        <w:rPr>
          <w:rFonts w:hint="eastAsia" w:ascii="宋体" w:hAnsi="宋体"/>
          <w:b/>
          <w:sz w:val="28"/>
          <w:szCs w:val="28"/>
          <w:lang w:val="en-US" w:eastAsia="zh-CN"/>
        </w:rPr>
        <w:t>4</w:t>
      </w:r>
      <w:r>
        <w:rPr>
          <w:rFonts w:hint="eastAsia" w:ascii="宋体" w:hAnsi="宋体"/>
          <w:b/>
          <w:sz w:val="28"/>
          <w:szCs w:val="28"/>
        </w:rPr>
        <w:t>号</w:t>
      </w:r>
    </w:p>
    <w:p>
      <w:pPr>
        <w:spacing w:line="360" w:lineRule="auto"/>
        <w:ind w:left="567" w:firstLine="281" w:firstLineChars="100"/>
        <w:rPr>
          <w:rFonts w:ascii="宋体" w:hAnsi="宋体"/>
          <w:b/>
          <w:sz w:val="28"/>
          <w:szCs w:val="28"/>
        </w:rPr>
      </w:pPr>
      <w:r>
        <w:rPr>
          <w:rFonts w:hint="eastAsia" w:ascii="宋体" w:hAnsi="宋体"/>
          <w:b/>
          <w:sz w:val="28"/>
          <w:szCs w:val="28"/>
        </w:rPr>
        <w:t>（采购项目编号：510112202100179）</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项目名称：</w:t>
      </w:r>
      <w:r>
        <w:rPr>
          <w:rFonts w:hint="eastAsia" w:ascii="宋体" w:hAnsi="宋体"/>
          <w:b/>
          <w:bCs/>
          <w:sz w:val="28"/>
          <w:szCs w:val="28"/>
        </w:rPr>
        <w:t>成都市龙泉驿区教育局2021年新（改扩）建幼儿园第二批家具采购项目采购项目</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财政性资金，政府采购实施计划备案表号：(2021)0822号；预算品目：A069901办公家具；预算金额：460万元</w:t>
      </w:r>
      <w:r>
        <w:rPr>
          <w:rFonts w:hint="eastAsia" w:ascii="宋体" w:hAnsi="宋体"/>
          <w:sz w:val="28"/>
        </w:rPr>
        <w:t>；最高限价：</w:t>
      </w:r>
      <w:r>
        <w:rPr>
          <w:rFonts w:hint="eastAsia" w:ascii="宋体" w:hAnsi="宋体"/>
          <w:sz w:val="28"/>
          <w:szCs w:val="28"/>
        </w:rPr>
        <w:t>460</w:t>
      </w:r>
      <w:r>
        <w:rPr>
          <w:rFonts w:hint="eastAsia" w:ascii="宋体" w:hAnsi="宋体"/>
          <w:sz w:val="28"/>
        </w:rPr>
        <w:t>万</w:t>
      </w:r>
      <w:r>
        <w:rPr>
          <w:rFonts w:hint="eastAsia" w:ascii="宋体" w:hAnsi="宋体"/>
          <w:sz w:val="28"/>
          <w:szCs w:val="28"/>
        </w:rPr>
        <w:t>元。行业类别为：制造业。</w:t>
      </w:r>
    </w:p>
    <w:p>
      <w:pPr>
        <w:numPr>
          <w:ilvl w:val="0"/>
          <w:numId w:val="6"/>
        </w:numPr>
        <w:spacing w:line="360" w:lineRule="auto"/>
        <w:ind w:left="0" w:firstLine="562" w:firstLineChars="200"/>
        <w:rPr>
          <w:rFonts w:ascii="宋体" w:hAnsi="宋体"/>
          <w:sz w:val="28"/>
          <w:szCs w:val="28"/>
        </w:rPr>
      </w:pPr>
      <w:r>
        <w:rPr>
          <w:rFonts w:hint="eastAsia" w:ascii="宋体" w:hAnsi="宋体"/>
          <w:b/>
          <w:sz w:val="28"/>
          <w:szCs w:val="28"/>
        </w:rPr>
        <w:t>招标项目简介</w:t>
      </w:r>
    </w:p>
    <w:p>
      <w:pPr>
        <w:spacing w:line="360" w:lineRule="auto"/>
        <w:ind w:firstLine="560" w:firstLineChars="200"/>
        <w:rPr>
          <w:rFonts w:ascii="宋体" w:hAnsi="宋体"/>
          <w:sz w:val="28"/>
          <w:szCs w:val="28"/>
        </w:rPr>
      </w:pPr>
      <w:r>
        <w:rPr>
          <w:rFonts w:hint="eastAsia" w:ascii="宋体" w:hAnsi="宋体"/>
          <w:sz w:val="28"/>
          <w:szCs w:val="28"/>
        </w:rPr>
        <w:t>本项目拟采购龙泉驿区教育局2021年新（改扩）建幼儿园第二批家具采购项目，详细的技术、服务、商务及其他要求见招标文件第4章。</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符合《政府采购法》第二十二条第一款规定的条件；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numPr>
          <w:ilvl w:val="1"/>
          <w:numId w:val="7"/>
        </w:numPr>
        <w:tabs>
          <w:tab w:val="left" w:pos="1260"/>
        </w:tabs>
        <w:spacing w:line="360" w:lineRule="auto"/>
        <w:ind w:left="0" w:firstLine="630"/>
        <w:rPr>
          <w:rFonts w:ascii="宋体" w:hAnsi="宋体"/>
          <w:sz w:val="28"/>
          <w:szCs w:val="28"/>
        </w:rPr>
      </w:pPr>
      <w:r>
        <w:rPr>
          <w:rFonts w:ascii="宋体" w:hAnsi="宋体"/>
          <w:sz w:val="28"/>
          <w:szCs w:val="28"/>
        </w:rPr>
        <w:t>未处于被行政部门禁止参与政府采购活动的期限内</w:t>
      </w:r>
      <w:r>
        <w:rPr>
          <w:rFonts w:hint="eastAsia" w:ascii="宋体" w:hAnsi="宋体"/>
          <w:sz w:val="28"/>
          <w:szCs w:val="28"/>
        </w:rPr>
        <w:t>；</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不属于其他国家相关法律法规规定的禁止参加投标的供应商；</w:t>
      </w:r>
    </w:p>
    <w:p>
      <w:pPr>
        <w:numPr>
          <w:ilvl w:val="1"/>
          <w:numId w:val="7"/>
        </w:numPr>
        <w:tabs>
          <w:tab w:val="left" w:pos="1260"/>
        </w:tabs>
        <w:spacing w:line="360" w:lineRule="auto"/>
        <w:ind w:left="0" w:firstLine="630"/>
        <w:rPr>
          <w:rFonts w:ascii="宋体" w:hAnsi="宋体"/>
          <w:sz w:val="28"/>
          <w:szCs w:val="28"/>
          <w:u w:val="single"/>
        </w:rPr>
      </w:pPr>
      <w:r>
        <w:rPr>
          <w:rFonts w:hint="eastAsia" w:ascii="宋体" w:hAnsi="宋体"/>
          <w:sz w:val="28"/>
          <w:szCs w:val="28"/>
          <w:u w:val="single"/>
        </w:rPr>
        <w:t>本项目专门面向中小企业采购。</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本项目</w:t>
      </w:r>
      <w:r>
        <w:rPr>
          <w:rFonts w:hint="eastAsia" w:ascii="宋体" w:hAnsi="宋体"/>
          <w:b/>
          <w:sz w:val="28"/>
          <w:szCs w:val="28"/>
        </w:rPr>
        <w:t>不接受</w:t>
      </w:r>
      <w:r>
        <w:rPr>
          <w:rFonts w:hint="eastAsia" w:ascii="宋体" w:hAnsi="宋体"/>
          <w:sz w:val="28"/>
          <w:szCs w:val="28"/>
        </w:rPr>
        <w:t>联合体投标。</w:t>
      </w:r>
    </w:p>
    <w:p>
      <w:pPr>
        <w:numPr>
          <w:ilvl w:val="0"/>
          <w:numId w:val="6"/>
        </w:numPr>
        <w:spacing w:line="360" w:lineRule="auto"/>
        <w:ind w:left="0" w:firstLine="567"/>
        <w:rPr>
          <w:rFonts w:ascii="宋体" w:hAnsi="宋体"/>
          <w:i/>
          <w:sz w:val="28"/>
        </w:rPr>
      </w:pPr>
      <w:r>
        <w:rPr>
          <w:rFonts w:hint="eastAsia" w:ascii="宋体" w:hAnsi="宋体"/>
          <w:b/>
          <w:sz w:val="28"/>
          <w:szCs w:val="28"/>
        </w:rPr>
        <w:t>招标文件获取时间</w:t>
      </w:r>
    </w:p>
    <w:p>
      <w:pPr>
        <w:numPr>
          <w:ilvl w:val="0"/>
          <w:numId w:val="8"/>
        </w:numPr>
        <w:spacing w:line="360" w:lineRule="auto"/>
        <w:ind w:left="0" w:firstLine="567"/>
        <w:rPr>
          <w:rFonts w:ascii="宋体" w:hAnsi="宋体"/>
          <w:sz w:val="28"/>
        </w:rPr>
      </w:pPr>
      <w:r>
        <w:rPr>
          <w:rFonts w:hint="eastAsia" w:ascii="宋体" w:hAnsi="宋体"/>
          <w:sz w:val="28"/>
          <w:szCs w:val="28"/>
        </w:rPr>
        <w:t>招标文件获取时间：2021年</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6</w:t>
      </w:r>
      <w:r>
        <w:rPr>
          <w:rFonts w:hint="eastAsia" w:ascii="宋体" w:hAnsi="宋体"/>
          <w:sz w:val="28"/>
          <w:szCs w:val="28"/>
        </w:rPr>
        <w:t>日至</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12</w:t>
      </w:r>
      <w:r>
        <w:rPr>
          <w:rFonts w:hint="eastAsia" w:ascii="宋体" w:hAnsi="宋体"/>
          <w:sz w:val="28"/>
          <w:szCs w:val="28"/>
        </w:rPr>
        <w:t>日。</w:t>
      </w:r>
    </w:p>
    <w:p>
      <w:pPr>
        <w:numPr>
          <w:ilvl w:val="0"/>
          <w:numId w:val="8"/>
        </w:numPr>
        <w:spacing w:line="360" w:lineRule="auto"/>
        <w:ind w:left="0" w:firstLine="567"/>
        <w:rPr>
          <w:rFonts w:ascii="宋体" w:hAnsi="宋体"/>
          <w:sz w:val="28"/>
          <w:szCs w:val="28"/>
        </w:rPr>
      </w:pPr>
      <w:r>
        <w:rPr>
          <w:rFonts w:hint="eastAsia" w:ascii="宋体" w:hAnsi="宋体"/>
          <w:sz w:val="28"/>
          <w:szCs w:val="28"/>
        </w:rPr>
        <w:t>公告期限：2021年</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6</w:t>
      </w:r>
      <w:r>
        <w:rPr>
          <w:rFonts w:hint="eastAsia" w:ascii="宋体" w:hAnsi="宋体"/>
          <w:sz w:val="28"/>
          <w:szCs w:val="28"/>
        </w:rPr>
        <w:t>日至</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12</w:t>
      </w:r>
      <w:r>
        <w:rPr>
          <w:rFonts w:hint="eastAsia" w:ascii="宋体" w:hAnsi="宋体"/>
          <w:sz w:val="28"/>
          <w:szCs w:val="28"/>
        </w:rPr>
        <w:t>日。</w:t>
      </w:r>
    </w:p>
    <w:p>
      <w:pPr>
        <w:numPr>
          <w:ilvl w:val="0"/>
          <w:numId w:val="8"/>
        </w:numPr>
        <w:spacing w:line="360" w:lineRule="auto"/>
        <w:ind w:left="0" w:firstLine="567"/>
        <w:rPr>
          <w:rFonts w:ascii="宋体" w:hAnsi="宋体"/>
          <w:sz w:val="28"/>
          <w:szCs w:val="28"/>
        </w:rPr>
      </w:pPr>
      <w:r>
        <w:rPr>
          <w:rFonts w:hint="eastAsia" w:ascii="宋体" w:hAnsi="宋体"/>
          <w:sz w:val="28"/>
          <w:szCs w:val="28"/>
        </w:rPr>
        <w:t>供应商如对招标文件有质疑的，应于公告期限届满之日起七个工作日内以书面形式提出。</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招标文件获取方式</w:t>
      </w:r>
    </w:p>
    <w:p>
      <w:pPr>
        <w:spacing w:line="360" w:lineRule="auto"/>
        <w:ind w:firstLine="560" w:firstLineChars="200"/>
        <w:rPr>
          <w:rFonts w:ascii="宋体" w:hAnsi="宋体"/>
          <w:sz w:val="28"/>
          <w:szCs w:val="28"/>
        </w:rPr>
      </w:pPr>
      <w:r>
        <w:rPr>
          <w:rFonts w:hint="eastAsia" w:ascii="宋体" w:hAnsi="宋体"/>
          <w:sz w:val="28"/>
          <w:szCs w:val="28"/>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0" w:firstLineChars="200"/>
        <w:rPr>
          <w:rFonts w:ascii="宋体" w:hAnsi="宋体"/>
          <w:sz w:val="28"/>
          <w:szCs w:val="28"/>
        </w:rPr>
      </w:pPr>
      <w:r>
        <w:rPr>
          <w:rFonts w:hint="eastAsia" w:ascii="宋体" w:hAnsi="宋体"/>
          <w:sz w:val="28"/>
          <w:szCs w:val="28"/>
        </w:rPr>
        <w:t>提示：</w:t>
      </w:r>
    </w:p>
    <w:p>
      <w:pPr>
        <w:spacing w:line="360" w:lineRule="auto"/>
        <w:ind w:firstLine="560" w:firstLineChars="200"/>
        <w:rPr>
          <w:rFonts w:ascii="宋体" w:hAnsi="宋体"/>
          <w:sz w:val="28"/>
          <w:szCs w:val="28"/>
        </w:rPr>
      </w:pPr>
      <w:r>
        <w:rPr>
          <w:rFonts w:hint="eastAsia" w:ascii="宋体" w:hAnsi="宋体"/>
          <w:sz w:val="28"/>
          <w:szCs w:val="28"/>
        </w:rPr>
        <w:t>（1）本项目采购文件免费获取。</w:t>
      </w:r>
    </w:p>
    <w:p>
      <w:pPr>
        <w:spacing w:line="360" w:lineRule="auto"/>
        <w:ind w:firstLine="560" w:firstLineChars="200"/>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0" w:firstLineChars="200"/>
        <w:rPr>
          <w:rFonts w:ascii="宋体" w:hAnsi="宋体"/>
          <w:sz w:val="28"/>
          <w:szCs w:val="28"/>
        </w:rPr>
      </w:pPr>
      <w:r>
        <w:rPr>
          <w:rFonts w:hint="eastAsia" w:ascii="宋体" w:hAnsi="宋体"/>
          <w:sz w:val="28"/>
          <w:szCs w:val="28"/>
        </w:rPr>
        <w:t>（3）首次登录成都市公共资源交易服务中心门户网站的新用户应先点击“注册新用户”，注册成功后再登录。</w:t>
      </w:r>
    </w:p>
    <w:p>
      <w:pPr>
        <w:spacing w:line="360" w:lineRule="auto"/>
        <w:ind w:firstLine="560" w:firstLineChars="200"/>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招标文件获取地点</w:t>
      </w:r>
    </w:p>
    <w:p>
      <w:pPr>
        <w:spacing w:line="360" w:lineRule="auto"/>
        <w:ind w:firstLine="560" w:firstLineChars="200"/>
        <w:rPr>
          <w:rFonts w:ascii="宋体" w:hAnsi="宋体"/>
          <w:sz w:val="28"/>
          <w:szCs w:val="28"/>
        </w:rPr>
      </w:pPr>
      <w:bookmarkStart w:id="8" w:name="_Toc186274101"/>
      <w:bookmarkStart w:id="9" w:name="_Toc174185149"/>
      <w:bookmarkStart w:id="10" w:name="_Toc180051012"/>
      <w:bookmarkStart w:id="11" w:name="_Toc184013605"/>
      <w:bookmarkStart w:id="12" w:name="_Toc184023104"/>
      <w:r>
        <w:rPr>
          <w:rFonts w:hint="eastAsia" w:ascii="宋体" w:hAnsi="宋体"/>
          <w:sz w:val="28"/>
          <w:szCs w:val="28"/>
        </w:rPr>
        <w:t>登录成都市公共资源交易服务中心门户网站（https://www.cdggzy.com/）—用户中心—政府采购云平台获取</w:t>
      </w:r>
      <w:r>
        <w:rPr>
          <w:rFonts w:hint="eastAsia" w:ascii="宋体" w:hAnsi="宋体"/>
          <w:sz w:val="28"/>
        </w:rPr>
        <w:t>。</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投标文件递交截止时间及开标时间</w:t>
      </w:r>
      <w:bookmarkEnd w:id="8"/>
      <w:bookmarkEnd w:id="9"/>
      <w:bookmarkEnd w:id="10"/>
      <w:bookmarkEnd w:id="11"/>
      <w:bookmarkEnd w:id="12"/>
      <w:r>
        <w:rPr>
          <w:rFonts w:hint="eastAsia" w:ascii="宋体" w:hAnsi="宋体"/>
          <w:b/>
          <w:sz w:val="28"/>
          <w:szCs w:val="28"/>
        </w:rPr>
        <w:t>(北京时间)、地点、方式</w:t>
      </w:r>
    </w:p>
    <w:p>
      <w:pPr>
        <w:spacing w:line="560" w:lineRule="exact"/>
        <w:ind w:firstLine="565" w:firstLineChars="202"/>
        <w:rPr>
          <w:rFonts w:ascii="宋体" w:hAnsi="宋体"/>
          <w:b/>
          <w:sz w:val="28"/>
          <w:szCs w:val="28"/>
        </w:rPr>
      </w:pPr>
      <w:r>
        <w:rPr>
          <w:rFonts w:hint="eastAsia" w:ascii="宋体" w:hAnsi="宋体"/>
          <w:sz w:val="28"/>
          <w:szCs w:val="28"/>
        </w:rPr>
        <w:t>（一）投标文件递交截止时间及开标时间：</w:t>
      </w:r>
      <w:r>
        <w:rPr>
          <w:rFonts w:hint="eastAsia" w:ascii="宋体" w:hAnsi="宋体"/>
          <w:b/>
          <w:sz w:val="28"/>
          <w:szCs w:val="28"/>
        </w:rPr>
        <w:t>202</w:t>
      </w:r>
      <w:r>
        <w:rPr>
          <w:rFonts w:ascii="宋体" w:hAnsi="宋体"/>
          <w:b/>
          <w:sz w:val="28"/>
          <w:szCs w:val="28"/>
        </w:rPr>
        <w:t>1</w:t>
      </w:r>
      <w:r>
        <w:rPr>
          <w:rFonts w:hint="eastAsia" w:ascii="宋体" w:hAnsi="宋体"/>
          <w:b/>
          <w:sz w:val="28"/>
          <w:szCs w:val="28"/>
        </w:rPr>
        <w:t>年8月</w:t>
      </w:r>
      <w:r>
        <w:rPr>
          <w:rFonts w:hint="eastAsia" w:ascii="宋体" w:hAnsi="宋体"/>
          <w:b/>
          <w:sz w:val="28"/>
          <w:szCs w:val="28"/>
          <w:lang w:val="en-US" w:eastAsia="zh-CN"/>
        </w:rPr>
        <w:t>26</w:t>
      </w:r>
      <w:r>
        <w:rPr>
          <w:rFonts w:hint="eastAsia" w:ascii="宋体" w:hAnsi="宋体"/>
          <w:b/>
          <w:sz w:val="28"/>
          <w:szCs w:val="28"/>
        </w:rPr>
        <w:t>日上午09:30。</w:t>
      </w:r>
    </w:p>
    <w:p>
      <w:pPr>
        <w:spacing w:line="560" w:lineRule="exact"/>
        <w:ind w:firstLine="565" w:firstLineChars="202"/>
        <w:rPr>
          <w:rFonts w:ascii="宋体" w:hAnsi="宋体"/>
          <w:sz w:val="28"/>
          <w:szCs w:val="28"/>
        </w:rPr>
      </w:pPr>
      <w:r>
        <w:rPr>
          <w:rFonts w:hint="eastAsia" w:ascii="宋体" w:hAnsi="宋体"/>
          <w:sz w:val="28"/>
          <w:szCs w:val="28"/>
        </w:rPr>
        <w:t>（二）投标文件递交方式、地点：投标截止时间前，投标人应将加密的投标文件递交至“政府采购云平台”对应项目（包件）。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开标地点</w:t>
      </w:r>
    </w:p>
    <w:p>
      <w:pPr>
        <w:spacing w:line="360" w:lineRule="auto"/>
        <w:ind w:firstLine="422" w:firstLineChars="150"/>
        <w:jc w:val="left"/>
        <w:rPr>
          <w:rFonts w:ascii="宋体" w:hAnsi="宋体"/>
          <w:b/>
          <w:sz w:val="28"/>
          <w:szCs w:val="28"/>
        </w:rPr>
      </w:pPr>
      <w:r>
        <w:rPr>
          <w:rFonts w:hint="eastAsia" w:ascii="宋体" w:hAnsi="宋体"/>
          <w:b/>
          <w:sz w:val="28"/>
          <w:szCs w:val="28"/>
        </w:rPr>
        <w:t>本项目为不见面开标项目。</w:t>
      </w:r>
    </w:p>
    <w:p>
      <w:pPr>
        <w:spacing w:line="360" w:lineRule="auto"/>
        <w:ind w:firstLine="420" w:firstLineChars="150"/>
        <w:jc w:val="left"/>
        <w:rPr>
          <w:rFonts w:ascii="宋体" w:hAnsi="宋体"/>
          <w:sz w:val="28"/>
          <w:szCs w:val="28"/>
        </w:rPr>
      </w:pPr>
      <w:r>
        <w:rPr>
          <w:rFonts w:hint="eastAsia" w:ascii="宋体" w:hAnsi="宋体"/>
          <w:sz w:val="28"/>
          <w:szCs w:val="28"/>
        </w:rPr>
        <w:t>开标地点为：成都市公共资源交易服务中心“政府采购云平台”。登录成都市公共资源交易服务中心门户网站（https://www.cdggzy.com）—用户中心—政府采购云平台。</w:t>
      </w:r>
    </w:p>
    <w:p>
      <w:pPr>
        <w:spacing w:line="360" w:lineRule="auto"/>
        <w:ind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政采中小企业政府采购信用担保融资</w:t>
      </w:r>
    </w:p>
    <w:p>
      <w:pPr>
        <w:spacing w:line="560" w:lineRule="exact"/>
        <w:ind w:firstLine="565" w:firstLineChars="202"/>
        <w:rPr>
          <w:rFonts w:ascii="宋体" w:hAnsi="宋体"/>
          <w:sz w:val="28"/>
          <w:szCs w:val="28"/>
        </w:rPr>
      </w:pPr>
      <w:r>
        <w:rPr>
          <w:rFonts w:hint="eastAsia" w:ascii="宋体" w:hAnsi="宋体"/>
          <w:sz w:val="28"/>
          <w:szCs w:val="28"/>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本投标邀请在“四川政府采购网”和“成都市公共资源交易服务中心”网站上以公告形式发布</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联系方式</w:t>
      </w:r>
    </w:p>
    <w:p>
      <w:pPr>
        <w:spacing w:line="360" w:lineRule="auto"/>
        <w:ind w:firstLine="568" w:firstLineChars="202"/>
        <w:rPr>
          <w:rFonts w:ascii="宋体" w:hAnsi="宋体"/>
          <w:b/>
          <w:sz w:val="28"/>
          <w:szCs w:val="28"/>
        </w:rPr>
      </w:pPr>
      <w:r>
        <w:rPr>
          <w:rFonts w:hint="eastAsia" w:ascii="宋体" w:hAnsi="宋体"/>
          <w:b/>
          <w:sz w:val="28"/>
          <w:szCs w:val="28"/>
        </w:rPr>
        <w:t xml:space="preserve">采购人： </w:t>
      </w:r>
      <w:r>
        <w:rPr>
          <w:rFonts w:hint="eastAsia" w:ascii="华文中宋" w:hAnsi="华文中宋" w:eastAsia="华文中宋"/>
          <w:sz w:val="28"/>
          <w:szCs w:val="28"/>
        </w:rPr>
        <w:t>成都市龙泉驿区教育局</w:t>
      </w:r>
    </w:p>
    <w:p>
      <w:pPr>
        <w:pStyle w:val="146"/>
        <w:ind w:firstLine="560"/>
        <w:rPr>
          <w:rFonts w:ascii="宋体" w:hAnsi="宋体"/>
          <w:kern w:val="0"/>
          <w:sz w:val="28"/>
          <w:szCs w:val="22"/>
        </w:rPr>
      </w:pPr>
      <w:r>
        <w:rPr>
          <w:rFonts w:hint="eastAsia" w:ascii="宋体" w:hAnsi="宋体"/>
          <w:sz w:val="28"/>
          <w:szCs w:val="28"/>
        </w:rPr>
        <w:t>地  址： 龙泉东街92号</w:t>
      </w:r>
    </w:p>
    <w:p>
      <w:pPr>
        <w:spacing w:line="360" w:lineRule="auto"/>
        <w:ind w:firstLine="565" w:firstLineChars="202"/>
        <w:rPr>
          <w:rFonts w:ascii="宋体" w:hAnsi="宋体"/>
          <w:sz w:val="28"/>
          <w:szCs w:val="28"/>
        </w:rPr>
      </w:pPr>
      <w:r>
        <w:rPr>
          <w:rFonts w:hint="eastAsia" w:ascii="宋体" w:hAnsi="宋体"/>
          <w:sz w:val="28"/>
          <w:szCs w:val="28"/>
        </w:rPr>
        <w:t xml:space="preserve">邮  编： </w:t>
      </w:r>
      <w:r>
        <w:rPr>
          <w:rFonts w:ascii="宋体" w:hAnsi="宋体"/>
          <w:sz w:val="28"/>
          <w:szCs w:val="28"/>
        </w:rPr>
        <w:t>610</w:t>
      </w:r>
      <w:r>
        <w:rPr>
          <w:rFonts w:hint="eastAsia" w:ascii="宋体" w:hAnsi="宋体"/>
          <w:sz w:val="28"/>
          <w:szCs w:val="28"/>
        </w:rPr>
        <w:t>100</w:t>
      </w:r>
    </w:p>
    <w:p>
      <w:pPr>
        <w:spacing w:line="360" w:lineRule="auto"/>
        <w:ind w:firstLine="565" w:firstLineChars="202"/>
        <w:rPr>
          <w:rFonts w:ascii="宋体" w:hAnsi="宋体"/>
          <w:sz w:val="28"/>
          <w:szCs w:val="28"/>
        </w:rPr>
      </w:pPr>
      <w:r>
        <w:rPr>
          <w:rFonts w:hint="eastAsia" w:ascii="宋体" w:hAnsi="宋体"/>
          <w:sz w:val="28"/>
          <w:szCs w:val="28"/>
        </w:rPr>
        <w:t xml:space="preserve">联系人：卢兴其 </w:t>
      </w:r>
    </w:p>
    <w:p>
      <w:pPr>
        <w:spacing w:line="360" w:lineRule="auto"/>
        <w:ind w:firstLine="565" w:firstLineChars="202"/>
        <w:rPr>
          <w:rFonts w:ascii="宋体" w:hAnsi="宋体"/>
          <w:sz w:val="28"/>
          <w:szCs w:val="28"/>
        </w:rPr>
      </w:pPr>
      <w:r>
        <w:rPr>
          <w:rFonts w:hint="eastAsia" w:ascii="宋体" w:hAnsi="宋体"/>
          <w:sz w:val="28"/>
          <w:szCs w:val="28"/>
        </w:rPr>
        <w:t>联系电话：</w:t>
      </w:r>
      <w:r>
        <w:rPr>
          <w:rFonts w:ascii="宋体" w:hAnsi="宋体"/>
          <w:sz w:val="28"/>
          <w:szCs w:val="28"/>
        </w:rPr>
        <w:t>028-8</w:t>
      </w:r>
      <w:r>
        <w:rPr>
          <w:rFonts w:hint="eastAsia" w:ascii="宋体" w:hAnsi="宋体"/>
          <w:sz w:val="28"/>
          <w:szCs w:val="28"/>
        </w:rPr>
        <w:t>4853172</w:t>
      </w:r>
    </w:p>
    <w:p>
      <w:pPr>
        <w:spacing w:line="600" w:lineRule="exact"/>
        <w:ind w:firstLine="708" w:firstLineChars="252"/>
        <w:rPr>
          <w:rFonts w:ascii="宋体" w:hAnsi="宋体"/>
          <w:b/>
          <w:sz w:val="28"/>
          <w:szCs w:val="28"/>
        </w:rPr>
      </w:pPr>
      <w:r>
        <w:rPr>
          <w:rFonts w:hint="eastAsia" w:ascii="宋体" w:hAnsi="宋体"/>
          <w:b/>
          <w:sz w:val="28"/>
          <w:szCs w:val="28"/>
        </w:rPr>
        <w:t>成都市龙泉驿区公共资源交易服务中心</w:t>
      </w:r>
    </w:p>
    <w:p>
      <w:pPr>
        <w:spacing w:line="600" w:lineRule="exact"/>
        <w:ind w:firstLine="705" w:firstLineChars="252"/>
        <w:rPr>
          <w:rFonts w:ascii="宋体" w:hAnsi="宋体"/>
          <w:sz w:val="28"/>
          <w:szCs w:val="28"/>
        </w:rPr>
      </w:pPr>
      <w:r>
        <w:rPr>
          <w:rFonts w:hint="eastAsia" w:ascii="宋体" w:hAnsi="宋体"/>
          <w:sz w:val="28"/>
          <w:szCs w:val="28"/>
        </w:rPr>
        <w:t>地  址：成都市龙泉驿区北泉路777号</w:t>
      </w:r>
    </w:p>
    <w:p>
      <w:pPr>
        <w:spacing w:line="600" w:lineRule="exact"/>
        <w:ind w:firstLine="705" w:firstLineChars="252"/>
        <w:rPr>
          <w:rFonts w:ascii="宋体" w:hAnsi="宋体"/>
          <w:sz w:val="28"/>
          <w:szCs w:val="28"/>
        </w:rPr>
      </w:pPr>
      <w:r>
        <w:rPr>
          <w:rFonts w:hint="eastAsia" w:ascii="宋体" w:hAnsi="宋体"/>
          <w:sz w:val="28"/>
          <w:szCs w:val="28"/>
        </w:rPr>
        <w:t>邮  编：610100</w:t>
      </w:r>
    </w:p>
    <w:p>
      <w:pPr>
        <w:spacing w:line="600" w:lineRule="exact"/>
        <w:ind w:firstLine="705" w:firstLineChars="252"/>
        <w:rPr>
          <w:rFonts w:ascii="宋体" w:hAnsi="宋体"/>
          <w:sz w:val="28"/>
          <w:szCs w:val="28"/>
        </w:rPr>
      </w:pPr>
      <w:r>
        <w:rPr>
          <w:rFonts w:hint="eastAsia" w:ascii="宋体" w:hAnsi="宋体"/>
          <w:sz w:val="28"/>
          <w:szCs w:val="28"/>
        </w:rPr>
        <w:t>联系人：王健</w:t>
      </w:r>
    </w:p>
    <w:p>
      <w:pPr>
        <w:spacing w:line="600" w:lineRule="exact"/>
        <w:ind w:firstLine="705" w:firstLineChars="252"/>
        <w:rPr>
          <w:rFonts w:ascii="宋体" w:hAnsi="宋体"/>
          <w:sz w:val="28"/>
          <w:szCs w:val="28"/>
        </w:rPr>
      </w:pPr>
      <w:r>
        <w:rPr>
          <w:rFonts w:hint="eastAsia" w:ascii="宋体" w:hAnsi="宋体"/>
          <w:sz w:val="28"/>
          <w:szCs w:val="28"/>
        </w:rPr>
        <w:t>联系电话：028-61430623</w:t>
      </w:r>
    </w:p>
    <w:p>
      <w:pPr>
        <w:spacing w:line="600" w:lineRule="exact"/>
        <w:ind w:firstLine="708" w:firstLineChars="252"/>
        <w:rPr>
          <w:rFonts w:ascii="宋体" w:hAnsi="宋体"/>
          <w:b/>
          <w:sz w:val="28"/>
          <w:szCs w:val="28"/>
        </w:rPr>
      </w:pPr>
      <w:r>
        <w:rPr>
          <w:rFonts w:hint="eastAsia" w:ascii="宋体" w:hAnsi="宋体"/>
          <w:b/>
          <w:sz w:val="28"/>
          <w:szCs w:val="28"/>
        </w:rPr>
        <w:t>政府采购监督机构：成都市龙泉驿区财政局</w:t>
      </w:r>
    </w:p>
    <w:p>
      <w:pPr>
        <w:spacing w:line="600" w:lineRule="exact"/>
        <w:ind w:firstLine="705" w:firstLineChars="252"/>
        <w:rPr>
          <w:rFonts w:ascii="宋体" w:hAnsi="宋体"/>
          <w:sz w:val="28"/>
          <w:szCs w:val="28"/>
        </w:rPr>
      </w:pPr>
      <w:r>
        <w:rPr>
          <w:rFonts w:hint="eastAsia" w:ascii="宋体" w:hAnsi="宋体"/>
          <w:sz w:val="28"/>
          <w:szCs w:val="28"/>
        </w:rPr>
        <w:t>地 址：成都市龙泉驿区中街聚星楼6-7楼</w:t>
      </w:r>
    </w:p>
    <w:p>
      <w:pPr>
        <w:spacing w:line="600" w:lineRule="exact"/>
        <w:ind w:firstLine="705" w:firstLineChars="252"/>
        <w:rPr>
          <w:rFonts w:ascii="宋体" w:hAnsi="宋体"/>
          <w:sz w:val="28"/>
          <w:szCs w:val="28"/>
        </w:rPr>
      </w:pPr>
      <w:r>
        <w:rPr>
          <w:rFonts w:hint="eastAsia" w:ascii="宋体" w:hAnsi="宋体"/>
          <w:sz w:val="28"/>
          <w:szCs w:val="28"/>
        </w:rPr>
        <w:t>联系电话：028-84636986</w:t>
      </w: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13" w:name="_Toc74752319"/>
      <w:r>
        <w:rPr>
          <w:rFonts w:hint="eastAsia" w:ascii="宋体" w:hAnsi="宋体"/>
          <w:b/>
          <w:bCs/>
          <w:spacing w:val="-20"/>
          <w:kern w:val="44"/>
          <w:sz w:val="32"/>
          <w:szCs w:val="32"/>
        </w:rPr>
        <w:t>投标人须知</w:t>
      </w:r>
      <w:bookmarkEnd w:id="13"/>
    </w:p>
    <w:p>
      <w:pPr>
        <w:keepNext/>
        <w:keepLines/>
        <w:numPr>
          <w:ilvl w:val="1"/>
          <w:numId w:val="5"/>
        </w:numPr>
        <w:spacing w:before="260" w:after="260" w:line="360" w:lineRule="auto"/>
        <w:jc w:val="left"/>
        <w:outlineLvl w:val="1"/>
        <w:rPr>
          <w:rFonts w:ascii="宋体" w:hAnsi="宋体"/>
          <w:b/>
          <w:bCs/>
          <w:sz w:val="28"/>
          <w:szCs w:val="28"/>
        </w:rPr>
      </w:pPr>
      <w:bookmarkStart w:id="14" w:name="_Toc189727030"/>
      <w:bookmarkStart w:id="15" w:name="_Toc213397010"/>
      <w:bookmarkStart w:id="16" w:name="_Toc316462344"/>
      <w:bookmarkStart w:id="17" w:name="_Toc74752320"/>
      <w:bookmarkStart w:id="18" w:name="_Toc213396760"/>
      <w:bookmarkStart w:id="19" w:name="_Toc213496268"/>
      <w:bookmarkStart w:id="20" w:name="_Toc213396946"/>
      <w:bookmarkStart w:id="21" w:name="_Toc217446032"/>
      <w:r>
        <w:rPr>
          <w:rFonts w:hint="eastAsia" w:ascii="宋体" w:hAnsi="宋体"/>
          <w:b/>
          <w:bCs/>
          <w:sz w:val="28"/>
          <w:szCs w:val="28"/>
        </w:rPr>
        <w:t>投标人须知前附表</w:t>
      </w:r>
      <w:bookmarkEnd w:id="14"/>
      <w:bookmarkEnd w:id="15"/>
      <w:bookmarkEnd w:id="16"/>
      <w:bookmarkEnd w:id="17"/>
      <w:bookmarkEnd w:id="18"/>
      <w:bookmarkEnd w:id="19"/>
      <w:bookmarkEnd w:id="20"/>
      <w:bookmarkEnd w:id="21"/>
    </w:p>
    <w:tbl>
      <w:tblPr>
        <w:tblStyle w:val="46"/>
        <w:tblW w:w="951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91"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eastAsia="仿宋_GB2312" w:cs="宋体"/>
                <w:b/>
                <w:lang w:val="zh-CN"/>
              </w:rPr>
            </w:pPr>
            <w:r>
              <w:rPr>
                <w:rFonts w:hint="eastAsia" w:ascii="宋体" w:hAnsi="宋体"/>
                <w:b/>
              </w:rPr>
              <w:t>人民币460万元</w:t>
            </w:r>
            <w:r>
              <w:rPr>
                <w:rFonts w:hint="eastAsia"/>
                <w:b/>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52"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b/>
                <w:lang w:val="zh-CN"/>
              </w:rPr>
            </w:pPr>
            <w:r>
              <w:rPr>
                <w:rFonts w:hint="eastAsia" w:ascii="宋体" w:hAnsi="宋体" w:cs="宋体"/>
                <w:b/>
                <w:lang w:val="zh-CN"/>
              </w:rPr>
              <w:t>最高限价：</w:t>
            </w:r>
            <w:r>
              <w:rPr>
                <w:rFonts w:hint="eastAsia" w:ascii="宋体" w:hAnsi="宋体" w:cs="宋体"/>
                <w:b/>
              </w:rPr>
              <w:t>460</w:t>
            </w:r>
            <w:r>
              <w:rPr>
                <w:rFonts w:hint="eastAsia" w:ascii="宋体" w:hAnsi="宋体" w:cs="宋体"/>
                <w:b/>
                <w:lang w:val="zh-CN"/>
              </w:rPr>
              <w:t>万元，</w:t>
            </w:r>
            <w:r>
              <w:rPr>
                <w:rFonts w:hint="eastAsia"/>
                <w:b/>
                <w:lang w:val="zh-CN"/>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监狱企业价格扣除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残疾人福利性单位价格扣除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详见投标人须知2.4.12</w:t>
            </w:r>
          </w:p>
          <w:p>
            <w:pPr>
              <w:tabs>
                <w:tab w:val="left" w:pos="7665"/>
              </w:tabs>
              <w:snapToGrid w:val="0"/>
              <w:jc w:val="left"/>
              <w:rPr>
                <w:b/>
              </w:rPr>
            </w:pPr>
            <w:r>
              <w:rPr>
                <w:rFonts w:hint="eastAsia" w:ascii="宋体" w:hAnsi="宋体"/>
                <w:b/>
              </w:rPr>
              <w:t>注：投标人使用</w:t>
            </w:r>
            <w:r>
              <w:rPr>
                <w:rFonts w:ascii="宋体" w:hAnsi="宋体"/>
                <w:b/>
              </w:rPr>
              <w:t>CA证书在</w:t>
            </w:r>
            <w:r>
              <w:rPr>
                <w:rFonts w:hint="eastAsia" w:ascii="宋体" w:hAnsi="宋体"/>
                <w:b/>
              </w:rPr>
              <w:t>投标截止时间前，将投标文件上传至政府</w:t>
            </w:r>
            <w:r>
              <w:rPr>
                <w:rFonts w:ascii="宋体" w:hAnsi="宋体"/>
                <w:b/>
              </w:rPr>
              <w:t>采购</w:t>
            </w:r>
            <w:r>
              <w:rPr>
                <w:rFonts w:hint="eastAsia" w:ascii="宋体" w:hAnsi="宋体"/>
                <w:b/>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b/>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详见投标人须知2.5.1。</w:t>
            </w:r>
          </w:p>
          <w:p>
            <w:pPr>
              <w:snapToGrid w:val="0"/>
              <w:spacing w:line="360" w:lineRule="auto"/>
              <w:rPr>
                <w:rFonts w:ascii="宋体" w:hAnsi="宋体"/>
                <w:b/>
              </w:rPr>
            </w:pPr>
            <w:r>
              <w:rPr>
                <w:rFonts w:hint="eastAsia" w:ascii="宋体" w:hAnsi="宋体"/>
                <w:b/>
              </w:rPr>
              <w:t>投标文件解密：开启解密后，投标人应在系统提示的解密开始时间后</w:t>
            </w:r>
            <w:r>
              <w:rPr>
                <w:rFonts w:ascii="宋体" w:hAnsi="宋体"/>
                <w:b/>
              </w:rPr>
              <w:t>60</w:t>
            </w:r>
            <w:r>
              <w:rPr>
                <w:rFonts w:hint="eastAsia" w:ascii="宋体" w:hAnsi="宋体"/>
                <w:b/>
              </w:rPr>
              <w:t>分钟内 ，使用对投标文件进行加密的CA证书在线完成对投标人递交至政府采购云平台的投标文件的解密。</w:t>
            </w:r>
          </w:p>
          <w:p>
            <w:pPr>
              <w:snapToGrid w:val="0"/>
              <w:spacing w:line="360" w:lineRule="auto"/>
              <w:rPr>
                <w:rFonts w:ascii="宋体" w:hAnsi="宋体"/>
                <w:b/>
              </w:rPr>
            </w:pPr>
            <w:r>
              <w:rPr>
                <w:rFonts w:hint="eastAsia" w:ascii="宋体" w:hAnsi="宋体"/>
                <w:b/>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rPr>
            </w:pPr>
            <w:r>
              <w:rPr>
                <w:rFonts w:hint="eastAsia" w:ascii="宋体" w:hAnsi="宋体"/>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对招标文件中供应商参加本次政府采购活动应当具备的条件,招标项目技术、服务、商务及其他要求,评标细则及标准,以及</w:t>
            </w:r>
            <w:r>
              <w:rPr>
                <w:rFonts w:ascii="宋体" w:hAnsi="宋体"/>
              </w:rPr>
              <w:t>关于资格审查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对招标文件中的其他内容、采购过程及中标结果（除</w:t>
            </w:r>
            <w:r>
              <w:rPr>
                <w:rFonts w:ascii="宋体" w:hAnsi="宋体"/>
              </w:rPr>
              <w:t>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向区公资交易中心提出，并由区公资交易中心按相关规定作出答复（详见投标人须知2.8）。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183" w:right="210" w:rightChars="100" w:hanging="182" w:hangingChars="87"/>
              <w:rPr>
                <w:rFonts w:ascii="宋体" w:hAnsi="宋体"/>
              </w:rPr>
            </w:pPr>
            <w:r>
              <w:rPr>
                <w:rFonts w:hint="eastAsia" w:ascii="宋体" w:hAnsi="宋体"/>
              </w:rPr>
              <w:t>投诉受理单位</w:t>
            </w:r>
          </w:p>
          <w:p>
            <w:pPr>
              <w:tabs>
                <w:tab w:val="left" w:pos="7665"/>
              </w:tabs>
              <w:snapToGrid w:val="0"/>
              <w:spacing w:line="360" w:lineRule="auto"/>
              <w:rPr>
                <w:rFonts w:ascii="宋体" w:hAnsi="宋体"/>
              </w:rPr>
            </w:pPr>
            <w:r>
              <w:rPr>
                <w:rFonts w:hint="eastAsia" w:ascii="宋体" w:hAnsi="宋体"/>
              </w:rPr>
              <w:t>政府采购监督管理部门：成都市龙泉驿区财政局</w:t>
            </w:r>
          </w:p>
          <w:p>
            <w:pPr>
              <w:tabs>
                <w:tab w:val="left" w:pos="7665"/>
              </w:tabs>
              <w:snapToGrid w:val="0"/>
              <w:spacing w:line="360" w:lineRule="auto"/>
              <w:rPr>
                <w:rFonts w:ascii="宋体" w:hAnsi="宋体"/>
              </w:rPr>
            </w:pPr>
            <w:r>
              <w:rPr>
                <w:rFonts w:hint="eastAsia" w:ascii="宋体" w:hAnsi="宋体"/>
              </w:rPr>
              <w:t>地 址：成都市龙泉驿区中街聚星楼6-7楼</w:t>
            </w:r>
          </w:p>
          <w:p>
            <w:pPr>
              <w:tabs>
                <w:tab w:val="left" w:pos="7665"/>
              </w:tabs>
              <w:snapToGrid w:val="0"/>
              <w:spacing w:line="360" w:lineRule="auto"/>
              <w:rPr>
                <w:rFonts w:ascii="宋体" w:hAnsi="宋体"/>
              </w:rPr>
            </w:pPr>
            <w:r>
              <w:rPr>
                <w:rFonts w:hint="eastAsia" w:ascii="宋体" w:hAnsi="宋体"/>
              </w:rPr>
              <w:t>联系人：李先生</w:t>
            </w:r>
          </w:p>
          <w:p>
            <w:pPr>
              <w:tabs>
                <w:tab w:val="left" w:pos="7665"/>
              </w:tabs>
              <w:snapToGrid w:val="0"/>
              <w:spacing w:line="360" w:lineRule="auto"/>
              <w:rPr>
                <w:rFonts w:ascii="宋体" w:hAnsi="宋体"/>
              </w:rPr>
            </w:pPr>
            <w:r>
              <w:rPr>
                <w:rFonts w:hint="eastAsia" w:ascii="宋体" w:hAnsi="宋体"/>
              </w:rPr>
              <w:t>联系电话：028-84636986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投标人</w:t>
            </w:r>
            <w:r>
              <w:rPr>
                <w:rFonts w:hint="eastAsia" w:ascii="宋体" w:hAnsi="宋体" w:cs="宋体"/>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rFonts w:ascii="宋体" w:hAnsi="宋体"/>
              </w:rPr>
            </w:pPr>
            <w:r>
              <w:rPr>
                <w:rFonts w:hint="eastAsia" w:ascii="宋体"/>
              </w:rPr>
              <w:t>政府采购合同签订之日起2个工作日内，采购人将在四川政府采购网公告政府采购合同；疫情防控期间，采购人原则上在5个工作日内与供应商签订政府采购合同及向本采购项目同级财政部门，即成都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533"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b/>
              </w:rPr>
            </w:pPr>
            <w:r>
              <w:rPr>
                <w:rFonts w:hint="eastAsia" w:ascii="宋体" w:hAnsi="宋体"/>
              </w:rPr>
              <w:t>中小企业政府采购信用融资（“蓉采贷”）</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w:t>
            </w:r>
            <w:r>
              <w:rPr>
                <w:rFonts w:hint="eastAsia" w:ascii="宋体" w:hAnsi="宋体"/>
                <w:sz w:val="24"/>
              </w:rPr>
              <w:t>工作的通知》</w:t>
            </w:r>
            <w:r>
              <w:rPr>
                <w:rFonts w:hint="eastAsia" w:ascii="宋体" w:hAnsi="宋体"/>
              </w:rPr>
              <w:t>（成财采〔2020〕20号）</w:t>
            </w:r>
            <w:r>
              <w:rPr>
                <w:rFonts w:hint="eastAsia" w:ascii="宋体" w:hAnsi="宋体"/>
                <w:sz w:val="24"/>
              </w:rPr>
              <w:t>见附件</w:t>
            </w: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8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bl>
    <w:p>
      <w:pPr>
        <w:keepNext/>
        <w:keepLines/>
        <w:numPr>
          <w:ilvl w:val="1"/>
          <w:numId w:val="5"/>
        </w:numPr>
        <w:spacing w:before="260" w:after="260" w:line="360" w:lineRule="auto"/>
        <w:jc w:val="left"/>
        <w:outlineLvl w:val="1"/>
        <w:rPr>
          <w:rFonts w:ascii="宋体" w:hAnsi="宋体"/>
          <w:b/>
          <w:bCs/>
          <w:sz w:val="28"/>
          <w:szCs w:val="28"/>
        </w:rPr>
      </w:pPr>
      <w:bookmarkStart w:id="22" w:name="_Toc74752321"/>
      <w:r>
        <w:rPr>
          <w:rFonts w:hint="eastAsia" w:ascii="宋体" w:hAnsi="宋体"/>
          <w:b/>
          <w:bCs/>
          <w:sz w:val="28"/>
          <w:szCs w:val="28"/>
        </w:rPr>
        <w:t>总则</w:t>
      </w:r>
      <w:bookmarkEnd w:id="22"/>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适用范围</w:t>
      </w:r>
    </w:p>
    <w:p>
      <w:pPr>
        <w:numPr>
          <w:ilvl w:val="0"/>
          <w:numId w:val="1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本招标文件仅适用于本次公开招标采购项目。</w:t>
      </w:r>
    </w:p>
    <w:p>
      <w:pPr>
        <w:numPr>
          <w:ilvl w:val="0"/>
          <w:numId w:val="1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的最终解释权由采购人或区公资交易中心享有。对招标文件中供应商参加本次政府采购活动应当具备的条件，招标项目技术、服务、商务及其他要求，评标细则及标准由采购人负责解释。除上述招标文件内容，其他内容由区公资交易中心负责解释。</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有关定义</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“采购人”和“甲方”系指依法进行政府采购的成都市级机关、事业单位、团体组织。本次招标的采购人是</w:t>
      </w:r>
      <w:r>
        <w:rPr>
          <w:rFonts w:hint="eastAsia" w:ascii="宋体" w:hAnsi="宋体"/>
          <w:b/>
          <w:bCs/>
          <w:sz w:val="28"/>
          <w:szCs w:val="28"/>
          <w:u w:val="single"/>
        </w:rPr>
        <w:t>成都市龙泉驿区教育局</w:t>
      </w:r>
      <w:r>
        <w:rPr>
          <w:rFonts w:hint="eastAsia" w:ascii="宋体" w:hAnsi="宋体"/>
          <w:sz w:val="28"/>
          <w:szCs w:val="28"/>
        </w:rPr>
        <w:t>。</w:t>
      </w:r>
    </w:p>
    <w:p>
      <w:pPr>
        <w:numPr>
          <w:ilvl w:val="0"/>
          <w:numId w:val="11"/>
        </w:numPr>
        <w:tabs>
          <w:tab w:val="left" w:pos="1134"/>
        </w:tabs>
        <w:spacing w:line="360" w:lineRule="auto"/>
        <w:ind w:left="0" w:firstLine="567"/>
        <w:rPr>
          <w:rFonts w:ascii="宋体" w:hAnsi="宋体"/>
          <w:sz w:val="28"/>
          <w:szCs w:val="28"/>
        </w:rPr>
      </w:pPr>
      <w:r>
        <w:rPr>
          <w:rFonts w:hint="eastAsia" w:ascii="宋体" w:hAnsi="宋体"/>
          <w:sz w:val="28"/>
          <w:szCs w:val="28"/>
        </w:rPr>
        <w:t>“投标人”系指在政采云系统里已成功获取采购文件的供应商，拟参加投标和向采购人提供货物及服务的供应商。</w:t>
      </w:r>
    </w:p>
    <w:p>
      <w:pPr>
        <w:numPr>
          <w:ilvl w:val="0"/>
          <w:numId w:val="11"/>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11"/>
        </w:numPr>
        <w:tabs>
          <w:tab w:val="left" w:pos="1134"/>
        </w:tabs>
        <w:spacing w:line="360" w:lineRule="auto"/>
        <w:ind w:left="0" w:firstLine="568"/>
        <w:rPr>
          <w:rFonts w:ascii="宋体" w:hAnsi="宋体"/>
          <w:sz w:val="28"/>
          <w:szCs w:val="28"/>
        </w:rPr>
      </w:pPr>
      <w:r>
        <w:rPr>
          <w:rFonts w:ascii="宋体" w:hAnsi="宋体"/>
          <w:sz w:val="28"/>
          <w:szCs w:val="28"/>
        </w:rPr>
        <w:t>重大违法记录是指供应商因违法经营受到刑事处罚或者责令停产停业、吊销许可证或者执照、较大数额罚款等行政处罚</w:t>
      </w:r>
      <w:r>
        <w:rPr>
          <w:rFonts w:hint="eastAsia" w:ascii="宋体" w:hAnsi="宋体"/>
          <w:sz w:val="28"/>
          <w:szCs w:val="28"/>
        </w:rPr>
        <w:t>。</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不见面开标是指，区公资交易中心依托政府采购云平台组织开标活动，供应商在线参与开标的一种组织形式。</w:t>
      </w:r>
    </w:p>
    <w:p>
      <w:pPr>
        <w:keepNext/>
        <w:keepLines/>
        <w:numPr>
          <w:ilvl w:val="2"/>
          <w:numId w:val="5"/>
        </w:numPr>
        <w:spacing w:line="360" w:lineRule="auto"/>
        <w:ind w:left="3119" w:hanging="3119"/>
        <w:outlineLvl w:val="2"/>
        <w:rPr>
          <w:rFonts w:ascii="宋体" w:hAnsi="宋体"/>
          <w:b/>
          <w:bCs/>
          <w:sz w:val="28"/>
          <w:szCs w:val="28"/>
        </w:rPr>
      </w:pPr>
      <w:bookmarkStart w:id="23" w:name="_Toc217446036"/>
      <w:bookmarkStart w:id="24" w:name="_Toc217390843"/>
      <w:bookmarkStart w:id="25" w:name="_Toc183682344"/>
      <w:bookmarkStart w:id="26" w:name="_Toc183582207"/>
      <w:r>
        <w:rPr>
          <w:rFonts w:hint="eastAsia" w:ascii="宋体" w:hAnsi="宋体"/>
          <w:b/>
          <w:bCs/>
          <w:sz w:val="28"/>
          <w:szCs w:val="28"/>
        </w:rPr>
        <w:t>合格的投标人</w:t>
      </w:r>
      <w:bookmarkEnd w:id="23"/>
      <w:bookmarkEnd w:id="24"/>
      <w:bookmarkEnd w:id="25"/>
      <w:bookmarkEnd w:id="26"/>
    </w:p>
    <w:p>
      <w:pPr>
        <w:tabs>
          <w:tab w:val="left" w:pos="7665"/>
        </w:tabs>
        <w:spacing w:line="360" w:lineRule="auto"/>
        <w:ind w:firstLine="565" w:firstLineChars="202"/>
        <w:rPr>
          <w:rFonts w:ascii="宋体" w:hAnsi="宋体"/>
          <w:sz w:val="28"/>
          <w:szCs w:val="28"/>
        </w:rPr>
      </w:pPr>
      <w:r>
        <w:rPr>
          <w:rFonts w:hint="eastAsia" w:ascii="宋体" w:hAnsi="宋体"/>
          <w:sz w:val="28"/>
          <w:szCs w:val="28"/>
        </w:rPr>
        <w:t>合格的投标人应具备以下条件：</w:t>
      </w:r>
    </w:p>
    <w:p>
      <w:pPr>
        <w:numPr>
          <w:ilvl w:val="0"/>
          <w:numId w:val="12"/>
        </w:numPr>
        <w:tabs>
          <w:tab w:val="left" w:pos="1134"/>
        </w:tabs>
        <w:spacing w:line="360" w:lineRule="auto"/>
        <w:rPr>
          <w:rFonts w:ascii="宋体" w:hAnsi="宋体"/>
          <w:sz w:val="28"/>
          <w:szCs w:val="28"/>
        </w:rPr>
      </w:pPr>
      <w:r>
        <w:rPr>
          <w:rFonts w:hint="eastAsia" w:ascii="宋体" w:hAnsi="宋体"/>
          <w:sz w:val="28"/>
          <w:szCs w:val="28"/>
        </w:rPr>
        <w:t>本招标文件“投标邀请”第五条规定的条件；</w:t>
      </w:r>
    </w:p>
    <w:p>
      <w:pPr>
        <w:numPr>
          <w:ilvl w:val="0"/>
          <w:numId w:val="12"/>
        </w:numPr>
        <w:tabs>
          <w:tab w:val="left" w:pos="1134"/>
        </w:tabs>
        <w:spacing w:line="360" w:lineRule="auto"/>
        <w:ind w:left="0" w:firstLine="568"/>
        <w:rPr>
          <w:rFonts w:ascii="宋体" w:hAnsi="宋体"/>
          <w:sz w:val="28"/>
          <w:szCs w:val="28"/>
        </w:rPr>
      </w:pPr>
      <w:r>
        <w:rPr>
          <w:rFonts w:hint="eastAsia" w:ascii="宋体" w:hAnsi="宋体"/>
          <w:sz w:val="28"/>
          <w:szCs w:val="28"/>
        </w:rPr>
        <w:t>按照招标文件“投标邀请”中第六、七、八条规定获取了招标文件。</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投标费用</w:t>
      </w:r>
    </w:p>
    <w:p>
      <w:pPr>
        <w:spacing w:line="360" w:lineRule="auto"/>
        <w:ind w:firstLine="660" w:firstLineChars="236"/>
        <w:rPr>
          <w:rFonts w:ascii="宋体" w:hAnsi="宋体"/>
          <w:sz w:val="28"/>
          <w:szCs w:val="28"/>
        </w:rPr>
      </w:pPr>
      <w:r>
        <w:rPr>
          <w:rFonts w:hint="eastAsia" w:ascii="宋体" w:hAnsi="宋体"/>
          <w:sz w:val="28"/>
          <w:szCs w:val="28"/>
        </w:rPr>
        <w:t>投标人应自行承担参加投标的全部费用。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充分、公平竞争保障措施</w:t>
      </w:r>
    </w:p>
    <w:p>
      <w:pPr>
        <w:numPr>
          <w:ilvl w:val="0"/>
          <w:numId w:val="13"/>
        </w:numPr>
        <w:tabs>
          <w:tab w:val="left" w:pos="1134"/>
        </w:tabs>
        <w:adjustRightInd w:val="0"/>
        <w:spacing w:line="360" w:lineRule="auto"/>
        <w:ind w:left="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numPr>
          <w:ilvl w:val="0"/>
          <w:numId w:val="13"/>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sz w:val="28"/>
          <w:szCs w:val="28"/>
        </w:rPr>
        <w:t>（说明：无供应商为本项目提供整体设计、规范编制或者项目管理、监理、检测等服务。）</w:t>
      </w:r>
    </w:p>
    <w:p>
      <w:pPr>
        <w:numPr>
          <w:ilvl w:val="0"/>
          <w:numId w:val="13"/>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本项</w:t>
      </w:r>
      <w:r>
        <w:rPr>
          <w:rFonts w:hint="eastAsia" w:asciiTheme="minorEastAsia" w:hAnsiTheme="minorEastAsia"/>
          <w:sz w:val="28"/>
          <w:szCs w:val="28"/>
          <w:lang w:val="zh-CN"/>
        </w:rPr>
        <w:t>目</w:t>
      </w:r>
      <w:r>
        <w:rPr>
          <w:rFonts w:hint="eastAsia" w:asciiTheme="minorEastAsia" w:hAnsiTheme="minorEastAsia"/>
          <w:b/>
          <w:sz w:val="28"/>
          <w:szCs w:val="28"/>
        </w:rPr>
        <w:t>核心产品为：详见第四章</w:t>
      </w:r>
      <w:r>
        <w:rPr>
          <w:rFonts w:hint="eastAsia" w:ascii="宋体" w:hAnsi="宋体"/>
          <w:sz w:val="28"/>
          <w:szCs w:val="28"/>
          <w:lang w:val="zh-CN"/>
        </w:rPr>
        <w:t>。</w:t>
      </w:r>
      <w:r>
        <w:rPr>
          <w:rFonts w:hint="eastAsia" w:hAnsi="宋体"/>
          <w:sz w:val="28"/>
          <w:szCs w:val="28"/>
        </w:rPr>
        <w:t>提供核心产品品牌相</w:t>
      </w:r>
      <w:r>
        <w:rPr>
          <w:rFonts w:hint="eastAsia" w:hAnsi="宋体"/>
          <w:sz w:val="28"/>
          <w:szCs w:val="28"/>
          <w:lang w:val="zh-CN"/>
        </w:rPr>
        <w:t>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1"/>
          <w:numId w:val="5"/>
        </w:numPr>
        <w:spacing w:line="360" w:lineRule="auto"/>
        <w:jc w:val="left"/>
        <w:outlineLvl w:val="1"/>
        <w:rPr>
          <w:rFonts w:ascii="宋体" w:hAnsi="宋体"/>
          <w:b/>
          <w:bCs/>
          <w:sz w:val="28"/>
          <w:szCs w:val="28"/>
        </w:rPr>
      </w:pPr>
      <w:bookmarkStart w:id="27" w:name="_Toc183682347"/>
      <w:bookmarkStart w:id="28" w:name="_Toc217446039"/>
      <w:bookmarkStart w:id="29" w:name="_Toc74752322"/>
      <w:bookmarkStart w:id="30" w:name="_Toc183582210"/>
      <w:r>
        <w:rPr>
          <w:rFonts w:hint="eastAsia" w:ascii="宋体" w:hAnsi="宋体"/>
          <w:b/>
          <w:bCs/>
          <w:sz w:val="28"/>
          <w:szCs w:val="28"/>
        </w:rPr>
        <w:t>招标文件</w:t>
      </w:r>
      <w:bookmarkEnd w:id="27"/>
      <w:bookmarkEnd w:id="28"/>
      <w:bookmarkEnd w:id="29"/>
      <w:bookmarkEnd w:id="3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招标文件的构成</w:t>
      </w:r>
    </w:p>
    <w:p>
      <w:pPr>
        <w:numPr>
          <w:ilvl w:val="0"/>
          <w:numId w:val="14"/>
        </w:numPr>
        <w:tabs>
          <w:tab w:val="left" w:pos="1134"/>
        </w:tabs>
        <w:spacing w:line="360" w:lineRule="auto"/>
        <w:ind w:left="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投标邀请；</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投标人须知；</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投标文件格式；</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招标项目技术、服务、商务及其他要求；</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资格性审查；</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评标办法；</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拟签订合同文本。</w:t>
      </w:r>
    </w:p>
    <w:p>
      <w:pPr>
        <w:numPr>
          <w:ilvl w:val="0"/>
          <w:numId w:val="14"/>
        </w:numPr>
        <w:tabs>
          <w:tab w:val="left" w:pos="1134"/>
        </w:tabs>
        <w:spacing w:line="360" w:lineRule="auto"/>
        <w:ind w:left="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keepNext/>
        <w:keepLines/>
        <w:numPr>
          <w:ilvl w:val="1"/>
          <w:numId w:val="5"/>
        </w:numPr>
        <w:spacing w:line="360" w:lineRule="auto"/>
        <w:jc w:val="left"/>
        <w:outlineLvl w:val="1"/>
        <w:rPr>
          <w:rFonts w:ascii="宋体" w:hAnsi="宋体"/>
          <w:b/>
          <w:bCs/>
          <w:sz w:val="28"/>
          <w:szCs w:val="28"/>
        </w:rPr>
      </w:pPr>
      <w:bookmarkStart w:id="31" w:name="_Toc77400780"/>
      <w:bookmarkStart w:id="32" w:name="_Toc217446042"/>
      <w:bookmarkStart w:id="33" w:name="_Toc74752323"/>
      <w:bookmarkStart w:id="34" w:name="_Toc183582214"/>
      <w:bookmarkStart w:id="35" w:name="_Toc89075876"/>
      <w:bookmarkStart w:id="36" w:name="_Toc183682351"/>
      <w:r>
        <w:rPr>
          <w:rFonts w:hint="eastAsia" w:ascii="宋体" w:hAnsi="宋体"/>
          <w:b/>
          <w:bCs/>
          <w:sz w:val="28"/>
          <w:szCs w:val="28"/>
        </w:rPr>
        <w:t>投标文件</w:t>
      </w:r>
      <w:bookmarkEnd w:id="31"/>
      <w:bookmarkEnd w:id="32"/>
      <w:bookmarkEnd w:id="33"/>
      <w:bookmarkEnd w:id="34"/>
      <w:bookmarkEnd w:id="35"/>
      <w:bookmarkEnd w:id="36"/>
    </w:p>
    <w:p>
      <w:pPr>
        <w:keepNext/>
        <w:keepLines/>
        <w:numPr>
          <w:ilvl w:val="2"/>
          <w:numId w:val="5"/>
        </w:numPr>
        <w:spacing w:line="360" w:lineRule="auto"/>
        <w:ind w:left="0" w:firstLine="0"/>
        <w:outlineLvl w:val="2"/>
        <w:rPr>
          <w:rFonts w:ascii="宋体" w:hAnsi="宋体"/>
          <w:b/>
          <w:bCs/>
          <w:sz w:val="28"/>
          <w:szCs w:val="28"/>
        </w:rPr>
      </w:pPr>
      <w:bookmarkStart w:id="37" w:name="_Toc183582215"/>
      <w:bookmarkStart w:id="38" w:name="_Toc183682352"/>
      <w:bookmarkStart w:id="39" w:name="_Toc217446043"/>
      <w:r>
        <w:rPr>
          <w:rFonts w:hint="eastAsia" w:ascii="宋体" w:hAnsi="宋体"/>
          <w:b/>
          <w:bCs/>
          <w:sz w:val="28"/>
          <w:szCs w:val="28"/>
        </w:rPr>
        <w:t>投标文件的语言</w:t>
      </w:r>
      <w:bookmarkEnd w:id="37"/>
      <w:bookmarkEnd w:id="38"/>
      <w:bookmarkEnd w:id="39"/>
    </w:p>
    <w:p>
      <w:pPr>
        <w:numPr>
          <w:ilvl w:val="0"/>
          <w:numId w:val="16"/>
        </w:numPr>
        <w:tabs>
          <w:tab w:val="left" w:pos="1134"/>
        </w:tabs>
        <w:spacing w:line="360" w:lineRule="auto"/>
        <w:ind w:left="0" w:firstLine="560"/>
        <w:rPr>
          <w:rFonts w:ascii="宋体" w:hAnsi="宋体"/>
          <w:sz w:val="28"/>
          <w:szCs w:val="28"/>
        </w:rPr>
      </w:pPr>
      <w:r>
        <w:rPr>
          <w:rFonts w:hint="eastAsia" w:ascii="宋体" w:hAnsi="宋体"/>
          <w:sz w:val="28"/>
          <w:szCs w:val="28"/>
        </w:rPr>
        <w:t>投标人提交的投标文件以及投标人与采购人或</w:t>
      </w:r>
      <w:r>
        <w:rPr>
          <w:rFonts w:hint="eastAsia" w:cs="Arial"/>
          <w:sz w:val="28"/>
          <w:szCs w:val="28"/>
        </w:rPr>
        <w:t>区公资交易中心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6"/>
        </w:numPr>
        <w:tabs>
          <w:tab w:val="left" w:pos="1134"/>
        </w:tabs>
        <w:spacing w:line="360" w:lineRule="auto"/>
        <w:ind w:left="0" w:firstLine="560"/>
        <w:rPr>
          <w:rFonts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5"/>
        </w:numPr>
        <w:spacing w:line="360" w:lineRule="auto"/>
        <w:ind w:left="0" w:firstLine="0"/>
        <w:outlineLvl w:val="2"/>
        <w:rPr>
          <w:rFonts w:ascii="宋体" w:hAnsi="宋体"/>
          <w:b/>
          <w:bCs/>
          <w:sz w:val="28"/>
          <w:szCs w:val="28"/>
        </w:rPr>
      </w:pPr>
      <w:bookmarkStart w:id="40" w:name="_Toc217446044"/>
      <w:bookmarkStart w:id="41" w:name="_Toc183582216"/>
      <w:bookmarkStart w:id="42" w:name="_Toc183682353"/>
      <w:r>
        <w:rPr>
          <w:rFonts w:hint="eastAsia" w:ascii="宋体" w:hAnsi="宋体"/>
          <w:b/>
          <w:bCs/>
          <w:sz w:val="28"/>
          <w:szCs w:val="28"/>
        </w:rPr>
        <w:t>计量单位</w:t>
      </w:r>
      <w:bookmarkEnd w:id="40"/>
      <w:bookmarkEnd w:id="41"/>
      <w:bookmarkEnd w:id="42"/>
    </w:p>
    <w:p>
      <w:pPr>
        <w:tabs>
          <w:tab w:val="left" w:pos="7665"/>
        </w:tabs>
        <w:spacing w:line="360" w:lineRule="auto"/>
        <w:ind w:left="13"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keepNext/>
        <w:keepLines/>
        <w:numPr>
          <w:ilvl w:val="2"/>
          <w:numId w:val="5"/>
        </w:numPr>
        <w:spacing w:line="360" w:lineRule="auto"/>
        <w:ind w:left="0" w:firstLine="0"/>
        <w:outlineLvl w:val="2"/>
        <w:rPr>
          <w:rFonts w:ascii="宋体" w:hAnsi="宋体"/>
          <w:b/>
          <w:bCs/>
          <w:sz w:val="28"/>
          <w:szCs w:val="28"/>
        </w:rPr>
      </w:pPr>
      <w:bookmarkStart w:id="43" w:name="_Toc217446045"/>
      <w:r>
        <w:rPr>
          <w:rFonts w:hint="eastAsia" w:ascii="宋体" w:hAnsi="宋体"/>
          <w:b/>
          <w:bCs/>
          <w:sz w:val="28"/>
          <w:szCs w:val="28"/>
        </w:rPr>
        <w:t>投标货币</w:t>
      </w:r>
      <w:bookmarkEnd w:id="43"/>
    </w:p>
    <w:p>
      <w:pPr>
        <w:tabs>
          <w:tab w:val="left" w:pos="7665"/>
        </w:tabs>
        <w:spacing w:line="360" w:lineRule="auto"/>
        <w:ind w:left="13" w:firstLine="554"/>
        <w:rPr>
          <w:rFonts w:ascii="宋体" w:hAnsi="宋体"/>
          <w:sz w:val="28"/>
          <w:szCs w:val="28"/>
        </w:rPr>
      </w:pPr>
      <w:r>
        <w:rPr>
          <w:rFonts w:hint="eastAsia" w:ascii="宋体" w:hAnsi="宋体"/>
          <w:sz w:val="28"/>
          <w:szCs w:val="28"/>
        </w:rPr>
        <w:t>本次招标项目的投标均以人民币报价。</w:t>
      </w:r>
    </w:p>
    <w:p>
      <w:pPr>
        <w:keepNext/>
        <w:keepLines/>
        <w:numPr>
          <w:ilvl w:val="2"/>
          <w:numId w:val="5"/>
        </w:numPr>
        <w:spacing w:line="360" w:lineRule="auto"/>
        <w:ind w:left="0" w:firstLine="0"/>
        <w:outlineLvl w:val="2"/>
        <w:rPr>
          <w:rFonts w:ascii="宋体" w:hAnsi="宋体"/>
          <w:b/>
          <w:bCs/>
          <w:sz w:val="28"/>
          <w:szCs w:val="28"/>
        </w:rPr>
      </w:pPr>
      <w:bookmarkStart w:id="44" w:name="_Toc217446046"/>
      <w:r>
        <w:rPr>
          <w:rFonts w:hint="eastAsia" w:ascii="宋体" w:hAnsi="宋体"/>
          <w:b/>
          <w:bCs/>
          <w:sz w:val="28"/>
          <w:szCs w:val="28"/>
        </w:rPr>
        <w:t>联合体投标</w:t>
      </w:r>
      <w:bookmarkEnd w:id="44"/>
    </w:p>
    <w:p>
      <w:pPr>
        <w:tabs>
          <w:tab w:val="left" w:pos="1134"/>
        </w:tabs>
        <w:spacing w:line="360" w:lineRule="auto"/>
        <w:ind w:left="546"/>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联合体投标。</w:t>
      </w:r>
    </w:p>
    <w:p>
      <w:pPr>
        <w:keepNext/>
        <w:keepLines/>
        <w:numPr>
          <w:ilvl w:val="2"/>
          <w:numId w:val="5"/>
        </w:numPr>
        <w:spacing w:line="360" w:lineRule="auto"/>
        <w:ind w:left="0" w:firstLine="0"/>
        <w:outlineLvl w:val="2"/>
        <w:rPr>
          <w:rFonts w:ascii="宋体" w:hAnsi="宋体"/>
          <w:b/>
          <w:bCs/>
          <w:sz w:val="28"/>
          <w:szCs w:val="28"/>
        </w:rPr>
      </w:pPr>
      <w:bookmarkStart w:id="45" w:name="_Toc217446047"/>
      <w:r>
        <w:rPr>
          <w:rFonts w:hint="eastAsia" w:ascii="宋体" w:hAnsi="宋体"/>
          <w:b/>
          <w:bCs/>
          <w:sz w:val="28"/>
          <w:szCs w:val="28"/>
        </w:rPr>
        <w:t>知识产权</w:t>
      </w:r>
      <w:bookmarkEnd w:id="45"/>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采购人享有本项目实施过程中产生的知识成果及知识产权。</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keepNext/>
        <w:keepLines/>
        <w:numPr>
          <w:ilvl w:val="2"/>
          <w:numId w:val="5"/>
        </w:numPr>
        <w:spacing w:line="360" w:lineRule="auto"/>
        <w:ind w:left="0" w:firstLine="0"/>
        <w:outlineLvl w:val="2"/>
        <w:rPr>
          <w:rFonts w:ascii="宋体" w:hAnsi="宋体"/>
          <w:b/>
          <w:bCs/>
          <w:sz w:val="28"/>
          <w:szCs w:val="28"/>
        </w:rPr>
      </w:pPr>
      <w:bookmarkStart w:id="46" w:name="_Toc183682354"/>
      <w:bookmarkStart w:id="47" w:name="_Toc217446048"/>
      <w:bookmarkStart w:id="48" w:name="_Toc183582217"/>
      <w:r>
        <w:rPr>
          <w:rFonts w:hint="eastAsia" w:ascii="宋体" w:hAnsi="宋体"/>
          <w:b/>
          <w:bCs/>
          <w:sz w:val="28"/>
          <w:szCs w:val="28"/>
        </w:rPr>
        <w:t>投标文件的组成</w:t>
      </w:r>
      <w:bookmarkEnd w:id="46"/>
      <w:bookmarkEnd w:id="47"/>
      <w:bookmarkEnd w:id="48"/>
    </w:p>
    <w:p>
      <w:pPr>
        <w:spacing w:line="360" w:lineRule="auto"/>
        <w:ind w:firstLine="548"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Style w:val="6"/>
        <w:numPr>
          <w:ilvl w:val="3"/>
          <w:numId w:val="5"/>
        </w:numPr>
        <w:rPr>
          <w:rFonts w:ascii="宋体" w:hAnsi="宋体"/>
        </w:rPr>
      </w:pPr>
      <w:r>
        <w:rPr>
          <w:rFonts w:hint="eastAsia" w:ascii="宋体" w:hAnsi="宋体"/>
        </w:rPr>
        <w:t>资格响应文件：</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关于投标人资格申明的函；</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声明；</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投标人应提交的相关资格证明材料：</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营业执照复印件（正本或副本）或法人证书复印件（正本或副本）；</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2019或2020会计年度资产负债表复印件（说明：投标人成立时间至递交投标文件截止时间止不足一年的，提供成立后任意时段的资产负债表复印件）；</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投标人缴纳2020或2021年任意时段的税收的银行电子回单或者行政部门出具的纳税证明或完税证明复印件；</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采购人对投标人履行合同所必须的设备和专业技术能力无特殊要求，投标人具有有效的营业执照或法人证书，可不提供其他证明材料；</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投标人缴纳2020或2021年任意时段的社保的银行电子回单或行政部门出具的社保缴纳证明材料复印件；</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采购人对法律、行政法规规定的其他条件无特殊要求，投标人具有有效的营业执照或法人证书，可不提供其他证明材料。</w:t>
      </w:r>
    </w:p>
    <w:p>
      <w:pPr>
        <w:pStyle w:val="6"/>
        <w:numPr>
          <w:ilvl w:val="3"/>
          <w:numId w:val="5"/>
        </w:numPr>
        <w:rPr>
          <w:rFonts w:ascii="宋体" w:hAnsi="宋体"/>
        </w:rPr>
      </w:pPr>
      <w:r>
        <w:rPr>
          <w:rFonts w:hint="eastAsia" w:ascii="宋体" w:hAnsi="宋体"/>
        </w:rPr>
        <w:t>商务技术</w:t>
      </w:r>
      <w:r>
        <w:rPr>
          <w:rFonts w:ascii="宋体" w:hAnsi="宋体"/>
        </w:rPr>
        <w:t>响应</w:t>
      </w:r>
      <w:r>
        <w:rPr>
          <w:rFonts w:hint="eastAsia" w:ascii="宋体" w:hAnsi="宋体"/>
        </w:rPr>
        <w:t>文件</w:t>
      </w:r>
    </w:p>
    <w:p>
      <w:pPr>
        <w:numPr>
          <w:ilvl w:val="0"/>
          <w:numId w:val="20"/>
        </w:numPr>
        <w:tabs>
          <w:tab w:val="left" w:pos="1134"/>
        </w:tabs>
        <w:spacing w:line="360" w:lineRule="auto"/>
        <w:ind w:hanging="279"/>
        <w:jc w:val="left"/>
        <w:rPr>
          <w:rFonts w:ascii="宋体" w:hAnsi="宋体"/>
          <w:b/>
          <w:sz w:val="28"/>
          <w:szCs w:val="28"/>
        </w:rPr>
      </w:pPr>
      <w:r>
        <w:rPr>
          <w:rFonts w:hint="eastAsia" w:ascii="宋体" w:hAnsi="宋体"/>
          <w:b/>
          <w:sz w:val="28"/>
          <w:szCs w:val="28"/>
        </w:rPr>
        <w:t>投标函；</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法定代表人身份证明书；</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投标人基本情况表；</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投标产品技术性能、技术参数和配置的详细描述；</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售后服务及承诺；</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项目实施方案；</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承诺函。</w:t>
      </w:r>
    </w:p>
    <w:p>
      <w:pPr>
        <w:keepNext/>
        <w:keepLines/>
        <w:numPr>
          <w:ilvl w:val="2"/>
          <w:numId w:val="5"/>
        </w:numPr>
        <w:spacing w:line="360" w:lineRule="auto"/>
        <w:ind w:left="0" w:firstLine="0"/>
        <w:outlineLvl w:val="2"/>
        <w:rPr>
          <w:rFonts w:ascii="宋体" w:hAnsi="宋体"/>
          <w:b/>
          <w:bCs/>
          <w:sz w:val="28"/>
          <w:szCs w:val="28"/>
        </w:rPr>
      </w:pPr>
      <w:bookmarkStart w:id="49" w:name="_Toc183682348"/>
      <w:bookmarkStart w:id="50" w:name="_Toc183582211"/>
      <w:bookmarkStart w:id="51" w:name="_Toc217446040"/>
      <w:r>
        <w:rPr>
          <w:rFonts w:hint="eastAsia" w:ascii="宋体" w:hAnsi="宋体"/>
          <w:b/>
          <w:bCs/>
          <w:sz w:val="28"/>
          <w:szCs w:val="28"/>
        </w:rPr>
        <w:t>招标文件的澄清</w:t>
      </w:r>
      <w:bookmarkEnd w:id="49"/>
      <w:bookmarkEnd w:id="50"/>
      <w:r>
        <w:rPr>
          <w:rFonts w:hint="eastAsia" w:ascii="宋体" w:hAnsi="宋体"/>
          <w:b/>
          <w:bCs/>
          <w:sz w:val="28"/>
          <w:szCs w:val="28"/>
        </w:rPr>
        <w:t>和修改</w:t>
      </w:r>
      <w:bookmarkEnd w:id="51"/>
    </w:p>
    <w:p>
      <w:pPr>
        <w:numPr>
          <w:ilvl w:val="0"/>
          <w:numId w:val="21"/>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rPr>
        <w:t>区公资交易中心</w:t>
      </w:r>
      <w:r>
        <w:rPr>
          <w:rFonts w:hint="eastAsia" w:ascii="宋体" w:hAnsi="宋体"/>
          <w:sz w:val="28"/>
          <w:szCs w:val="28"/>
        </w:rPr>
        <w:t>可以对已发出的招标文件进行必要的澄清或者修改。</w:t>
      </w:r>
    </w:p>
    <w:p>
      <w:pPr>
        <w:numPr>
          <w:ilvl w:val="0"/>
          <w:numId w:val="21"/>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区公资交易中心将在“四川政府采购网”和“成都市公共资源交易服务中心”网站上发布澄清公告，同时通过政府采购云平台将澄清或者修改的内容告知所有在系统中成功获取招标文件的潜在投标人（投标人通过账号或CA证书登录政府采购云平台查看）</w:t>
      </w:r>
    </w:p>
    <w:p>
      <w:pPr>
        <w:numPr>
          <w:ilvl w:val="0"/>
          <w:numId w:val="21"/>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可能影响投标文件编制的，区公资交易中心应当在投标截止时间至少15日前，通过云平台通知所有获取招标文件的潜在投标人；不足15日的，采购人或区公资交易中心应当顺延提交投标文件的截止时间。</w:t>
      </w:r>
    </w:p>
    <w:p>
      <w:pPr>
        <w:pStyle w:val="6"/>
        <w:numPr>
          <w:ilvl w:val="3"/>
          <w:numId w:val="5"/>
        </w:numPr>
        <w:rPr>
          <w:rFonts w:ascii="宋体" w:hAnsi="宋体"/>
        </w:rPr>
      </w:pPr>
      <w:r>
        <w:rPr>
          <w:rFonts w:hint="eastAsia" w:ascii="宋体" w:hAnsi="宋体"/>
        </w:rPr>
        <w:t>报价</w:t>
      </w:r>
      <w:r>
        <w:rPr>
          <w:rFonts w:ascii="宋体" w:hAnsi="宋体"/>
        </w:rPr>
        <w:t>要求响应文件</w:t>
      </w:r>
    </w:p>
    <w:p>
      <w:pPr>
        <w:pStyle w:val="77"/>
        <w:numPr>
          <w:ilvl w:val="0"/>
          <w:numId w:val="22"/>
        </w:numPr>
        <w:tabs>
          <w:tab w:val="left" w:pos="1134"/>
        </w:tabs>
        <w:spacing w:line="360" w:lineRule="auto"/>
        <w:ind w:firstLineChars="0"/>
        <w:rPr>
          <w:rFonts w:ascii="宋体" w:hAnsi="宋体"/>
          <w:b/>
          <w:sz w:val="28"/>
          <w:szCs w:val="28"/>
        </w:rPr>
      </w:pPr>
      <w:r>
        <w:rPr>
          <w:rFonts w:hint="eastAsia" w:ascii="宋体" w:hAnsi="宋体"/>
          <w:b/>
          <w:sz w:val="28"/>
          <w:szCs w:val="28"/>
        </w:rPr>
        <w:t>开标一览表（投标报价以投标人在政府采购云平台开标一览表</w:t>
      </w:r>
    </w:p>
    <w:p>
      <w:pPr>
        <w:tabs>
          <w:tab w:val="left" w:pos="1134"/>
        </w:tabs>
        <w:spacing w:line="360" w:lineRule="auto"/>
        <w:rPr>
          <w:rFonts w:ascii="宋体" w:hAnsi="宋体"/>
          <w:b/>
          <w:sz w:val="28"/>
          <w:szCs w:val="28"/>
        </w:rPr>
      </w:pPr>
      <w:r>
        <w:rPr>
          <w:rFonts w:hint="eastAsia" w:ascii="宋体" w:hAnsi="宋体"/>
          <w:b/>
          <w:sz w:val="28"/>
          <w:szCs w:val="28"/>
        </w:rPr>
        <w:t>中填写的报价为准。）；</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分项报价明细表(</w:t>
      </w:r>
      <w:r>
        <w:rPr>
          <w:rFonts w:ascii="宋体" w:hAnsi="宋体"/>
          <w:b/>
          <w:sz w:val="28"/>
          <w:szCs w:val="28"/>
        </w:rPr>
        <w:t>1.</w:t>
      </w:r>
      <w:r>
        <w:rPr>
          <w:rFonts w:hint="eastAsia" w:ascii="宋体" w:hAnsi="宋体"/>
          <w:b/>
          <w:sz w:val="28"/>
          <w:szCs w:val="28"/>
        </w:rPr>
        <w:t>分项报价明细表中要求填写品牌、规格型号、制造商、进口或国产的，投标人必须载明其投标产品的品牌、规格型号、制造商、进口或国产；2.报价</w:t>
      </w:r>
      <w:r>
        <w:rPr>
          <w:rFonts w:ascii="宋体" w:hAnsi="宋体"/>
          <w:b/>
          <w:sz w:val="28"/>
          <w:szCs w:val="28"/>
        </w:rPr>
        <w:t>明细以投标人在政府采购云平台</w:t>
      </w:r>
      <w:r>
        <w:rPr>
          <w:rFonts w:hint="eastAsia" w:ascii="宋体" w:hAnsi="宋体"/>
          <w:b/>
          <w:sz w:val="28"/>
          <w:szCs w:val="28"/>
        </w:rPr>
        <w:t>报价</w:t>
      </w:r>
      <w:r>
        <w:rPr>
          <w:rFonts w:ascii="宋体" w:hAnsi="宋体"/>
          <w:b/>
          <w:sz w:val="28"/>
          <w:szCs w:val="28"/>
        </w:rPr>
        <w:t>明细表中填写的</w:t>
      </w:r>
      <w:r>
        <w:rPr>
          <w:rFonts w:hint="eastAsia" w:ascii="宋体" w:hAnsi="宋体"/>
          <w:b/>
          <w:sz w:val="28"/>
          <w:szCs w:val="28"/>
        </w:rPr>
        <w:t>为准</w:t>
      </w:r>
      <w:r>
        <w:rPr>
          <w:rFonts w:ascii="宋体" w:hAnsi="宋体"/>
          <w:b/>
          <w:sz w:val="28"/>
          <w:szCs w:val="28"/>
        </w:rPr>
        <w:t>。</w:t>
      </w:r>
      <w:r>
        <w:rPr>
          <w:rFonts w:hint="eastAsia" w:ascii="宋体" w:hAnsi="宋体"/>
          <w:b/>
          <w:sz w:val="28"/>
          <w:szCs w:val="28"/>
        </w:rPr>
        <w:t>)；</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rPr>
        <w:t>监狱企业、残疾人福利性单位制造的货物清单及价格</w:t>
      </w:r>
      <w:r>
        <w:rPr>
          <w:rFonts w:ascii="宋体" w:hAnsi="宋体" w:eastAsia="宋体" w:cs="宋体"/>
          <w:sz w:val="24"/>
          <w:szCs w:val="24"/>
        </w:rPr>
        <w:t>（本项目专门面向中小企业，投标产品应为中小或监狱企业、残疾人福利性单位制造）</w:t>
      </w:r>
      <w:r>
        <w:rPr>
          <w:rFonts w:hint="eastAsia" w:ascii="宋体" w:hAnsi="宋体"/>
          <w:b/>
          <w:sz w:val="28"/>
          <w:szCs w:val="28"/>
        </w:rPr>
        <w:t>；</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中小企业声明函（）；</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残疾人福利性单位声明函（）；</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投标产品</w:t>
      </w:r>
      <w:r>
        <w:rPr>
          <w:rFonts w:ascii="宋体" w:hAnsi="宋体"/>
          <w:b/>
          <w:sz w:val="28"/>
          <w:szCs w:val="28"/>
        </w:rPr>
        <w:t>制造商属于监狱企业的证明文件复印件</w:t>
      </w:r>
      <w:r>
        <w:rPr>
          <w:rFonts w:hint="eastAsia" w:ascii="宋体" w:hAnsi="宋体"/>
          <w:b/>
          <w:sz w:val="28"/>
          <w:szCs w:val="28"/>
        </w:rPr>
        <w:t>（）。</w:t>
      </w:r>
    </w:p>
    <w:p>
      <w:pPr>
        <w:keepNext/>
        <w:keepLines/>
        <w:numPr>
          <w:ilvl w:val="2"/>
          <w:numId w:val="5"/>
        </w:numPr>
        <w:spacing w:line="360" w:lineRule="auto"/>
        <w:ind w:left="0" w:firstLine="0"/>
        <w:outlineLvl w:val="2"/>
        <w:rPr>
          <w:rFonts w:ascii="宋体" w:hAnsi="宋体"/>
          <w:b/>
          <w:bCs/>
          <w:sz w:val="28"/>
          <w:szCs w:val="28"/>
        </w:rPr>
      </w:pPr>
      <w:bookmarkStart w:id="52" w:name="_Toc316291395"/>
      <w:bookmarkEnd w:id="52"/>
      <w:bookmarkStart w:id="53" w:name="_Toc316292020"/>
      <w:bookmarkEnd w:id="53"/>
      <w:bookmarkStart w:id="54" w:name="_Toc316291396"/>
      <w:bookmarkEnd w:id="54"/>
      <w:bookmarkStart w:id="55" w:name="_Toc316292019"/>
      <w:bookmarkEnd w:id="55"/>
      <w:bookmarkStart w:id="56" w:name="_Toc183682355"/>
      <w:bookmarkStart w:id="57" w:name="_Toc217446049"/>
      <w:bookmarkStart w:id="58" w:name="_Toc183582218"/>
      <w:r>
        <w:rPr>
          <w:rFonts w:hint="eastAsia" w:ascii="宋体" w:hAnsi="宋体"/>
          <w:b/>
          <w:bCs/>
          <w:sz w:val="28"/>
          <w:szCs w:val="28"/>
        </w:rPr>
        <w:t>投标文件格式</w:t>
      </w:r>
      <w:bookmarkEnd w:id="56"/>
      <w:bookmarkEnd w:id="57"/>
      <w:bookmarkEnd w:id="58"/>
      <w:r>
        <w:rPr>
          <w:rFonts w:hint="eastAsia" w:ascii="宋体" w:hAnsi="宋体"/>
          <w:b/>
          <w:bCs/>
          <w:sz w:val="28"/>
          <w:szCs w:val="28"/>
        </w:rPr>
        <w:tab/>
      </w:r>
    </w:p>
    <w:p>
      <w:pPr>
        <w:numPr>
          <w:ilvl w:val="0"/>
          <w:numId w:val="23"/>
        </w:numPr>
        <w:tabs>
          <w:tab w:val="left" w:pos="1134"/>
        </w:tabs>
        <w:spacing w:line="360" w:lineRule="auto"/>
        <w:ind w:left="0" w:firstLine="567"/>
        <w:rPr>
          <w:rFonts w:ascii="宋体" w:hAnsi="宋体"/>
          <w:sz w:val="28"/>
          <w:szCs w:val="28"/>
        </w:rPr>
      </w:pPr>
      <w:r>
        <w:rPr>
          <w:rFonts w:hint="eastAsia" w:ascii="宋体" w:hAnsi="宋体"/>
          <w:sz w:val="28"/>
          <w:szCs w:val="28"/>
        </w:rPr>
        <w:t>投标人应按照招标文件第3章中提供的“投标文件格式”填写相关内容。</w:t>
      </w:r>
    </w:p>
    <w:p>
      <w:pPr>
        <w:numPr>
          <w:ilvl w:val="0"/>
          <w:numId w:val="23"/>
        </w:numPr>
        <w:tabs>
          <w:tab w:val="left" w:pos="1134"/>
        </w:tabs>
        <w:spacing w:line="360" w:lineRule="auto"/>
        <w:ind w:left="0" w:firstLine="567"/>
        <w:rPr>
          <w:rFonts w:ascii="宋体" w:hAnsi="宋体"/>
          <w:sz w:val="28"/>
          <w:szCs w:val="28"/>
        </w:rPr>
      </w:pPr>
      <w:r>
        <w:rPr>
          <w:rFonts w:hint="eastAsia" w:ascii="宋体" w:hAnsi="宋体"/>
          <w:sz w:val="28"/>
          <w:szCs w:val="28"/>
        </w:rPr>
        <w:t>对于没有格式要求的投标文件由投标人自行编写。</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投标报价</w:t>
      </w:r>
    </w:p>
    <w:p>
      <w:pPr>
        <w:numPr>
          <w:ilvl w:val="0"/>
          <w:numId w:val="24"/>
        </w:numPr>
        <w:tabs>
          <w:tab w:val="left" w:pos="1134"/>
        </w:tabs>
        <w:spacing w:line="360" w:lineRule="auto"/>
        <w:ind w:left="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numPr>
          <w:ilvl w:val="0"/>
          <w:numId w:val="24"/>
        </w:numPr>
        <w:tabs>
          <w:tab w:val="left" w:pos="1134"/>
        </w:tabs>
        <w:spacing w:line="360" w:lineRule="auto"/>
        <w:ind w:left="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5" w:firstLineChars="202"/>
        <w:rPr>
          <w:rFonts w:ascii="宋体" w:hAnsi="宋体"/>
          <w:sz w:val="28"/>
          <w:szCs w:val="28"/>
        </w:rPr>
      </w:pPr>
      <w:bookmarkStart w:id="59" w:name="_Toc183682360"/>
      <w:bookmarkStart w:id="60" w:name="_Toc217446050"/>
      <w:bookmarkStart w:id="61" w:name="_Toc183582223"/>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tabs>
          <w:tab w:val="left" w:pos="1134"/>
        </w:tabs>
        <w:spacing w:line="360" w:lineRule="auto"/>
        <w:ind w:firstLine="565"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投标保证金</w:t>
      </w:r>
      <w:bookmarkEnd w:id="59"/>
      <w:bookmarkEnd w:id="60"/>
      <w:bookmarkEnd w:id="61"/>
    </w:p>
    <w:p>
      <w:pPr>
        <w:spacing w:line="360" w:lineRule="auto"/>
        <w:ind w:firstLine="560" w:firstLineChars="200"/>
        <w:rPr>
          <w:rFonts w:ascii="宋体" w:hAnsi="宋体"/>
          <w:sz w:val="28"/>
          <w:szCs w:val="28"/>
        </w:rPr>
      </w:pPr>
      <w:r>
        <w:rPr>
          <w:rFonts w:hint="eastAsia" w:cs="Arial"/>
          <w:sz w:val="28"/>
          <w:szCs w:val="28"/>
        </w:rPr>
        <w:t>本项目不收取投标保证金。</w:t>
      </w:r>
    </w:p>
    <w:p>
      <w:pPr>
        <w:keepNext/>
        <w:keepLines/>
        <w:numPr>
          <w:ilvl w:val="2"/>
          <w:numId w:val="5"/>
        </w:numPr>
        <w:tabs>
          <w:tab w:val="left" w:pos="851"/>
        </w:tabs>
        <w:spacing w:line="360" w:lineRule="auto"/>
        <w:ind w:left="0" w:firstLine="0"/>
        <w:outlineLvl w:val="2"/>
        <w:rPr>
          <w:rFonts w:ascii="宋体" w:hAnsi="宋体"/>
          <w:b/>
          <w:bCs/>
          <w:sz w:val="28"/>
          <w:szCs w:val="28"/>
        </w:rPr>
      </w:pPr>
      <w:bookmarkStart w:id="62" w:name="_Toc316291400"/>
      <w:bookmarkEnd w:id="62"/>
      <w:bookmarkStart w:id="63" w:name="_Toc316292024"/>
      <w:bookmarkEnd w:id="63"/>
      <w:bookmarkStart w:id="64" w:name="_Toc183682361"/>
      <w:bookmarkStart w:id="65" w:name="_Toc217446051"/>
      <w:bookmarkStart w:id="66" w:name="_Toc183582224"/>
      <w:r>
        <w:rPr>
          <w:rFonts w:hint="eastAsia" w:ascii="宋体" w:hAnsi="宋体"/>
          <w:b/>
          <w:bCs/>
          <w:sz w:val="28"/>
          <w:szCs w:val="28"/>
        </w:rPr>
        <w:t>投标有效期</w:t>
      </w:r>
      <w:bookmarkEnd w:id="64"/>
      <w:bookmarkEnd w:id="65"/>
      <w:bookmarkEnd w:id="66"/>
    </w:p>
    <w:p>
      <w:pPr>
        <w:numPr>
          <w:ilvl w:val="0"/>
          <w:numId w:val="25"/>
        </w:numPr>
        <w:tabs>
          <w:tab w:val="left" w:pos="1134"/>
        </w:tabs>
        <w:spacing w:line="360" w:lineRule="auto"/>
        <w:ind w:left="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5"/>
        </w:numPr>
        <w:tabs>
          <w:tab w:val="left" w:pos="1134"/>
        </w:tabs>
        <w:spacing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numPr>
          <w:ilvl w:val="2"/>
          <w:numId w:val="5"/>
        </w:numPr>
        <w:tabs>
          <w:tab w:val="left" w:pos="851"/>
        </w:tabs>
        <w:spacing w:after="200"/>
        <w:ind w:left="0" w:firstLine="0"/>
        <w:rPr>
          <w:color w:val="auto"/>
        </w:rPr>
      </w:pPr>
      <w:bookmarkStart w:id="67" w:name="_Toc183582227"/>
      <w:bookmarkStart w:id="68" w:name="_Toc183682364"/>
      <w:bookmarkStart w:id="69" w:name="_Toc217446054"/>
      <w:r>
        <w:rPr>
          <w:rFonts w:hint="eastAsia"/>
          <w:color w:val="auto"/>
        </w:rPr>
        <w:t>投标文件的制作和签章、加密</w:t>
      </w:r>
    </w:p>
    <w:p>
      <w:pPr>
        <w:spacing w:line="360" w:lineRule="auto"/>
        <w:ind w:firstLine="562" w:firstLineChars="200"/>
        <w:rPr>
          <w:rFonts w:ascii="宋体" w:hAnsi="宋体"/>
          <w:sz w:val="28"/>
          <w:szCs w:val="28"/>
        </w:rPr>
      </w:pPr>
      <w:r>
        <w:rPr>
          <w:rFonts w:hint="eastAsia" w:ascii="宋体" w:hAnsi="宋体"/>
          <w:b/>
          <w:sz w:val="28"/>
          <w:szCs w:val="28"/>
        </w:rPr>
        <w:t>一、投标文件应根据招标文件的要求进行制作。</w:t>
      </w:r>
      <w:r>
        <w:rPr>
          <w:rFonts w:hint="eastAsia" w:ascii="宋体" w:hAnsi="宋体"/>
          <w:sz w:val="28"/>
          <w:szCs w:val="28"/>
        </w:rPr>
        <w:t>（说明：1、招标文件中要求提供复印件证明材料的，包含提供原件的影印件或复印件。2、要求提供复印件的证明材料须清晰可辨。）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sz w:val="28"/>
          <w:szCs w:val="28"/>
        </w:rPr>
        <w:t>投标人应按招标文件要求，通过“政采云投标客户端”制作、加密并提交投标文件。</w:t>
      </w:r>
    </w:p>
    <w:p>
      <w:pPr>
        <w:spacing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line="360" w:lineRule="auto"/>
        <w:ind w:firstLine="562" w:firstLineChars="200"/>
        <w:rPr>
          <w:rFonts w:ascii="宋体" w:hAnsi="宋体"/>
          <w:b/>
          <w:sz w:val="28"/>
          <w:szCs w:val="28"/>
        </w:rPr>
      </w:pPr>
      <w:r>
        <w:rPr>
          <w:rFonts w:hint="eastAsia" w:ascii="宋体" w:hAnsi="宋体"/>
          <w:b/>
          <w:sz w:val="28"/>
          <w:szCs w:val="28"/>
        </w:rPr>
        <w:t>3、投标人应使用本企业CA数字证书对投标文件进行加密。</w:t>
      </w:r>
    </w:p>
    <w:p>
      <w:pPr>
        <w:spacing w:line="360" w:lineRule="auto"/>
        <w:ind w:firstLine="562" w:firstLineChars="200"/>
        <w:rPr>
          <w:rFonts w:ascii="宋体" w:hAnsi="宋体"/>
          <w:b/>
          <w:sz w:val="28"/>
          <w:szCs w:val="28"/>
        </w:rPr>
      </w:pPr>
      <w:r>
        <w:rPr>
          <w:rFonts w:hint="eastAsia" w:ascii="宋体" w:hAnsi="宋体"/>
          <w:b/>
          <w:sz w:val="28"/>
          <w:szCs w:val="28"/>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numPr>
          <w:ilvl w:val="2"/>
          <w:numId w:val="5"/>
        </w:numPr>
        <w:spacing w:after="200"/>
        <w:ind w:left="0" w:firstLine="0"/>
        <w:rPr>
          <w:color w:val="auto"/>
        </w:rPr>
      </w:pPr>
      <w:r>
        <w:rPr>
          <w:rFonts w:hint="eastAsia"/>
          <w:color w:val="auto"/>
        </w:rPr>
        <w:t>投标文件的</w:t>
      </w:r>
      <w:bookmarkEnd w:id="67"/>
      <w:bookmarkEnd w:id="68"/>
      <w:r>
        <w:rPr>
          <w:rFonts w:hint="eastAsia"/>
          <w:color w:val="auto"/>
        </w:rPr>
        <w:t>递交</w:t>
      </w:r>
      <w:bookmarkEnd w:id="69"/>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一、投标人应当在投标文件递交截止时间前，将生成的已加密的投标文件成功递交至“政府采购云平台”。</w:t>
      </w:r>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区公资交易中心在“四川政府采购网”和“成都市公共资源交易服务中心”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5"/>
        <w:numPr>
          <w:ilvl w:val="2"/>
          <w:numId w:val="5"/>
        </w:numPr>
        <w:spacing w:after="200"/>
        <w:ind w:left="0" w:firstLine="0"/>
        <w:rPr>
          <w:color w:val="auto"/>
        </w:rPr>
      </w:pPr>
      <w:r>
        <w:rPr>
          <w:rFonts w:hint="eastAsia"/>
          <w:color w:val="auto"/>
        </w:rPr>
        <w:t>投标文件的补充、修改</w:t>
      </w:r>
    </w:p>
    <w:p>
      <w:pPr>
        <w:numPr>
          <w:ilvl w:val="0"/>
          <w:numId w:val="26"/>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6"/>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5"/>
        <w:numPr>
          <w:ilvl w:val="2"/>
          <w:numId w:val="5"/>
        </w:numPr>
        <w:spacing w:after="200"/>
        <w:ind w:left="0" w:firstLine="0"/>
        <w:rPr>
          <w:color w:val="auto"/>
        </w:rPr>
      </w:pPr>
      <w:bookmarkStart w:id="70" w:name="_Toc316475587"/>
      <w:bookmarkEnd w:id="70"/>
      <w:bookmarkStart w:id="71" w:name="_Toc316475586"/>
      <w:bookmarkEnd w:id="71"/>
      <w:bookmarkStart w:id="72" w:name="_Toc183582228"/>
      <w:bookmarkStart w:id="73" w:name="_Toc217446055"/>
      <w:bookmarkStart w:id="74" w:name="_Toc183682365"/>
      <w:r>
        <w:rPr>
          <w:rFonts w:hint="eastAsia"/>
          <w:color w:val="auto"/>
        </w:rPr>
        <w:t>投标文件的</w:t>
      </w:r>
      <w:bookmarkEnd w:id="72"/>
      <w:bookmarkEnd w:id="73"/>
      <w:bookmarkEnd w:id="74"/>
      <w:r>
        <w:rPr>
          <w:rFonts w:hint="eastAsia"/>
          <w:color w:val="auto"/>
        </w:rPr>
        <w:t>撤回</w:t>
      </w:r>
    </w:p>
    <w:p>
      <w:pPr>
        <w:spacing w:before="120" w:after="200" w:line="360" w:lineRule="auto"/>
        <w:ind w:firstLine="560" w:firstLineChars="200"/>
        <w:rPr>
          <w:rFonts w:ascii="宋体" w:hAnsi="宋体"/>
          <w:bCs/>
          <w:sz w:val="28"/>
          <w:szCs w:val="28"/>
        </w:rPr>
      </w:pPr>
      <w:r>
        <w:rPr>
          <w:rFonts w:hint="eastAsia" w:ascii="宋体" w:hAnsi="宋体"/>
          <w:bCs/>
          <w:sz w:val="28"/>
          <w:szCs w:val="28"/>
        </w:rPr>
        <w:t>在投标截止时间之前，投标人可对已递交的投标文件进行撤回。在投标截止时间之后，投标人不得撤回投标文件。</w:t>
      </w:r>
    </w:p>
    <w:p>
      <w:pPr>
        <w:pStyle w:val="5"/>
        <w:numPr>
          <w:ilvl w:val="2"/>
          <w:numId w:val="5"/>
        </w:numPr>
        <w:spacing w:after="200" w:line="240" w:lineRule="auto"/>
        <w:rPr>
          <w:color w:val="auto"/>
        </w:rPr>
      </w:pPr>
      <w:r>
        <w:rPr>
          <w:rFonts w:hint="eastAsia"/>
          <w:color w:val="auto"/>
        </w:rPr>
        <w:t>投标文件的解密</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登录政府采购云平台，点击“项目采购—开标评标”模块，找到对应项目，进入“开标大厅”，等待区公资交易中心开启解密后，进行线上解密。</w:t>
      </w:r>
      <w:r>
        <w:rPr>
          <w:rFonts w:hint="eastAsia" w:ascii="宋体" w:hAnsi="宋体"/>
          <w:bCs/>
          <w:sz w:val="28"/>
          <w:szCs w:val="28"/>
        </w:rPr>
        <w:t>除因</w:t>
      </w:r>
      <w:r>
        <w:rPr>
          <w:rFonts w:hint="eastAsia" w:ascii="宋体" w:hAnsi="宋体"/>
          <w:sz w:val="28"/>
          <w:szCs w:val="28"/>
        </w:rPr>
        <w:t>区公资交易中心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keepNext/>
        <w:keepLines/>
        <w:numPr>
          <w:ilvl w:val="1"/>
          <w:numId w:val="5"/>
        </w:numPr>
        <w:spacing w:line="360" w:lineRule="auto"/>
        <w:jc w:val="left"/>
        <w:outlineLvl w:val="1"/>
        <w:rPr>
          <w:rFonts w:ascii="宋体" w:hAnsi="宋体"/>
          <w:b/>
          <w:bCs/>
          <w:sz w:val="28"/>
          <w:szCs w:val="28"/>
        </w:rPr>
      </w:pPr>
      <w:bookmarkStart w:id="75" w:name="_Toc89075878"/>
      <w:bookmarkStart w:id="76" w:name="_Toc183582231"/>
      <w:bookmarkStart w:id="77" w:name="_Toc77400782"/>
      <w:bookmarkStart w:id="78" w:name="_Toc183682368"/>
      <w:bookmarkStart w:id="79" w:name="_Toc74752324"/>
      <w:bookmarkStart w:id="80" w:name="_Toc217446056"/>
      <w:r>
        <w:rPr>
          <w:rFonts w:hint="eastAsia" w:ascii="宋体" w:hAnsi="宋体"/>
          <w:b/>
          <w:bCs/>
          <w:sz w:val="28"/>
          <w:szCs w:val="28"/>
        </w:rPr>
        <w:t>开标、资格审查、评标和中标</w:t>
      </w:r>
      <w:bookmarkEnd w:id="75"/>
      <w:bookmarkEnd w:id="76"/>
      <w:bookmarkEnd w:id="77"/>
      <w:bookmarkEnd w:id="78"/>
      <w:bookmarkEnd w:id="79"/>
      <w:bookmarkEnd w:id="8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开标及开标程序</w:t>
      </w:r>
    </w:p>
    <w:p>
      <w:pPr>
        <w:pStyle w:val="77"/>
        <w:numPr>
          <w:ilvl w:val="0"/>
          <w:numId w:val="27"/>
        </w:numPr>
        <w:tabs>
          <w:tab w:val="left" w:pos="1134"/>
        </w:tabs>
        <w:spacing w:before="120" w:after="200" w:line="360" w:lineRule="auto"/>
        <w:ind w:left="0" w:right="210" w:firstLine="567" w:firstLineChars="0"/>
        <w:rPr>
          <w:rFonts w:ascii="宋体" w:hAnsi="宋体" w:eastAsia="宋体" w:cs="宋体"/>
          <w:sz w:val="28"/>
          <w:szCs w:val="28"/>
        </w:rPr>
      </w:pPr>
      <w:r>
        <w:rPr>
          <w:rFonts w:hint="eastAsia" w:ascii="宋体" w:hAnsi="宋体" w:eastAsia="宋体" w:cs="宋体"/>
          <w:sz w:val="28"/>
          <w:szCs w:val="28"/>
        </w:rPr>
        <w:t>本项目为不见面开标项目。递交投标文件的投标人不足3家的，不予开标。</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等待区公资交易中心开启解密后，投标人进行线上解密。开启解密后，投标人应在60分钟内，使用加密该投标文件的CA数字证书在线完成投标文件的解密。除因区公资交易中心断电、断网、系统故障或其他不可抗力等因素，导致系统无法使用外，投标人在规定的解密时间内，未成功解密的投标文件将视为无效投标文件。</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区公资交易中心相关工作人员有需要回避的情形的，及时向工作人员提出询问或者回避申请。采购人、区公资交易中心对投标人提出的询问或者回避申请应当及时处理。</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因区公资交易中心断电、断网、系统故障或其他不可抗力等因素导致不见面开标系统无法正常运行的，开标活动中止或延迟，待系统恢复正常后继续进行开标活动。</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资格审查</w:t>
      </w:r>
    </w:p>
    <w:p>
      <w:pPr>
        <w:spacing w:line="360" w:lineRule="auto"/>
        <w:ind w:firstLine="495"/>
        <w:rPr>
          <w:rFonts w:ascii="宋体" w:hAnsi="宋体"/>
          <w:sz w:val="28"/>
          <w:szCs w:val="28"/>
        </w:rPr>
      </w:pPr>
      <w:r>
        <w:rPr>
          <w:rFonts w:hint="eastAsia" w:ascii="宋体" w:hAnsi="宋体"/>
          <w:sz w:val="28"/>
          <w:szCs w:val="28"/>
        </w:rPr>
        <w:t>详见招标文件第5章。</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评标</w:t>
      </w:r>
    </w:p>
    <w:p>
      <w:pPr>
        <w:spacing w:line="360" w:lineRule="auto"/>
        <w:ind w:firstLine="495"/>
        <w:rPr>
          <w:rFonts w:ascii="宋体" w:hAnsi="宋体"/>
          <w:sz w:val="28"/>
          <w:szCs w:val="28"/>
        </w:rPr>
      </w:pPr>
      <w:r>
        <w:rPr>
          <w:rFonts w:hint="eastAsia" w:ascii="宋体" w:hAnsi="宋体"/>
          <w:sz w:val="28"/>
          <w:szCs w:val="28"/>
        </w:rPr>
        <w:t>详见招标文件第6章。</w:t>
      </w:r>
    </w:p>
    <w:p>
      <w:pPr>
        <w:keepNext/>
        <w:keepLines/>
        <w:numPr>
          <w:ilvl w:val="2"/>
          <w:numId w:val="5"/>
        </w:numPr>
        <w:spacing w:line="360" w:lineRule="auto"/>
        <w:ind w:left="0" w:firstLine="0"/>
        <w:outlineLvl w:val="2"/>
        <w:rPr>
          <w:rFonts w:ascii="宋体" w:hAnsi="宋体"/>
          <w:b/>
          <w:bCs/>
          <w:sz w:val="28"/>
          <w:szCs w:val="28"/>
        </w:rPr>
      </w:pPr>
      <w:bookmarkStart w:id="81" w:name="_Toc183582238"/>
      <w:bookmarkStart w:id="82" w:name="_Toc183682375"/>
      <w:bookmarkStart w:id="83" w:name="_Toc217446063"/>
      <w:r>
        <w:rPr>
          <w:rFonts w:hint="eastAsia" w:ascii="宋体" w:hAnsi="宋体"/>
          <w:b/>
          <w:bCs/>
          <w:sz w:val="28"/>
          <w:szCs w:val="28"/>
        </w:rPr>
        <w:t>中标通知</w:t>
      </w:r>
      <w:bookmarkEnd w:id="81"/>
      <w:bookmarkEnd w:id="82"/>
      <w:r>
        <w:rPr>
          <w:rFonts w:hint="eastAsia" w:ascii="宋体" w:hAnsi="宋体"/>
          <w:b/>
          <w:bCs/>
          <w:sz w:val="28"/>
          <w:szCs w:val="28"/>
        </w:rPr>
        <w:t>书</w:t>
      </w:r>
      <w:bookmarkEnd w:id="83"/>
    </w:p>
    <w:p>
      <w:pPr>
        <w:spacing w:line="360" w:lineRule="auto"/>
        <w:ind w:right="210" w:firstLine="560" w:firstLineChars="200"/>
        <w:rPr>
          <w:rFonts w:ascii="宋体" w:hAnsi="宋体"/>
          <w:sz w:val="28"/>
          <w:szCs w:val="28"/>
        </w:rPr>
      </w:pPr>
      <w:bookmarkStart w:id="84" w:name="_Toc217446064"/>
      <w:bookmarkStart w:id="85" w:name="_Toc183582240"/>
      <w:bookmarkStart w:id="86" w:name="_Toc183682377"/>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360" w:lineRule="auto"/>
        <w:ind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spacing w:line="360" w:lineRule="auto"/>
        <w:ind w:firstLine="560" w:firstLineChars="200"/>
        <w:rPr>
          <w:rFonts w:ascii="宋体" w:hAnsi="宋体"/>
          <w:sz w:val="28"/>
          <w:szCs w:val="28"/>
        </w:rPr>
      </w:pPr>
      <w:r>
        <w:rPr>
          <w:rFonts w:hint="eastAsia" w:ascii="宋体" w:hAnsi="宋体"/>
          <w:sz w:val="28"/>
          <w:szCs w:val="28"/>
        </w:rPr>
        <w:t>三、中标公告在四川政府采购网上公告后，中标供应商自行登录政府采购云平台下载中标通知书。</w:t>
      </w:r>
    </w:p>
    <w:p>
      <w:pPr>
        <w:keepNext/>
        <w:keepLines/>
        <w:numPr>
          <w:ilvl w:val="1"/>
          <w:numId w:val="5"/>
        </w:numPr>
        <w:spacing w:before="240" w:line="360" w:lineRule="auto"/>
        <w:jc w:val="left"/>
        <w:outlineLvl w:val="1"/>
        <w:rPr>
          <w:rFonts w:ascii="宋体" w:hAnsi="宋体"/>
          <w:b/>
          <w:bCs/>
          <w:sz w:val="28"/>
          <w:szCs w:val="28"/>
        </w:rPr>
      </w:pPr>
      <w:bookmarkStart w:id="87" w:name="_Toc74752325"/>
      <w:r>
        <w:rPr>
          <w:rFonts w:hint="eastAsia" w:ascii="宋体" w:hAnsi="宋体"/>
          <w:b/>
          <w:bCs/>
          <w:sz w:val="28"/>
          <w:szCs w:val="28"/>
        </w:rPr>
        <w:t>签订及履行合同和验收</w:t>
      </w:r>
      <w:bookmarkEnd w:id="84"/>
      <w:bookmarkEnd w:id="87"/>
    </w:p>
    <w:p>
      <w:pPr>
        <w:keepNext/>
        <w:keepLines/>
        <w:numPr>
          <w:ilvl w:val="2"/>
          <w:numId w:val="5"/>
        </w:numPr>
        <w:spacing w:line="360" w:lineRule="auto"/>
        <w:ind w:left="0" w:firstLine="0"/>
        <w:outlineLvl w:val="2"/>
        <w:rPr>
          <w:rFonts w:ascii="宋体" w:hAnsi="宋体"/>
          <w:b/>
          <w:bCs/>
          <w:sz w:val="28"/>
          <w:szCs w:val="28"/>
        </w:rPr>
      </w:pPr>
      <w:bookmarkStart w:id="88" w:name="_Toc217446065"/>
      <w:r>
        <w:rPr>
          <w:rFonts w:hint="eastAsia" w:ascii="宋体" w:hAnsi="宋体"/>
          <w:b/>
          <w:bCs/>
          <w:sz w:val="28"/>
          <w:szCs w:val="28"/>
        </w:rPr>
        <w:t>签订合同</w:t>
      </w:r>
      <w:bookmarkEnd w:id="88"/>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keepNext/>
        <w:keepLines/>
        <w:numPr>
          <w:ilvl w:val="2"/>
          <w:numId w:val="5"/>
        </w:numPr>
        <w:spacing w:line="360" w:lineRule="auto"/>
        <w:ind w:left="3119" w:hanging="3119"/>
        <w:outlineLvl w:val="2"/>
        <w:rPr>
          <w:rFonts w:ascii="宋体" w:hAnsi="宋体"/>
          <w:b/>
          <w:bCs/>
          <w:sz w:val="28"/>
          <w:szCs w:val="28"/>
        </w:rPr>
      </w:pPr>
      <w:bookmarkStart w:id="89" w:name="_Toc315871033"/>
      <w:bookmarkEnd w:id="89"/>
      <w:bookmarkStart w:id="90" w:name="_Toc217446066"/>
      <w:r>
        <w:rPr>
          <w:rFonts w:hint="eastAsia" w:ascii="宋体" w:hAnsi="宋体"/>
          <w:b/>
          <w:bCs/>
          <w:sz w:val="28"/>
          <w:szCs w:val="28"/>
        </w:rPr>
        <w:t>合同分包</w:t>
      </w:r>
      <w:bookmarkEnd w:id="90"/>
      <w:r>
        <w:rPr>
          <w:rFonts w:hint="eastAsia" w:ascii="宋体" w:hAnsi="宋体"/>
          <w:b/>
          <w:bCs/>
          <w:sz w:val="28"/>
          <w:szCs w:val="28"/>
        </w:rPr>
        <w:t>和转包</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合同分包</w:t>
      </w:r>
    </w:p>
    <w:p>
      <w:pPr>
        <w:pStyle w:val="117"/>
        <w:spacing w:line="360" w:lineRule="auto"/>
        <w:ind w:firstLine="560" w:firstLineChars="200"/>
        <w:rPr>
          <w:rFonts w:cs="Times New Roman"/>
          <w:sz w:val="28"/>
          <w:szCs w:val="28"/>
          <w:lang w:val="zh-CN"/>
        </w:rPr>
      </w:pPr>
      <w:r>
        <w:rPr>
          <w:rFonts w:hint="eastAsia" w:cs="Times New Roman"/>
          <w:sz w:val="28"/>
          <w:szCs w:val="28"/>
          <w:lang w:val="zh-CN"/>
        </w:rPr>
        <w:t>本</w:t>
      </w:r>
      <w:r>
        <w:rPr>
          <w:rFonts w:cs="Times New Roman"/>
          <w:sz w:val="28"/>
          <w:szCs w:val="28"/>
          <w:lang w:val="zh-CN"/>
        </w:rPr>
        <w:t>项目不允许分包</w:t>
      </w:r>
      <w:r>
        <w:rPr>
          <w:rFonts w:hint="eastAsia" w:cs="Times New Roman"/>
          <w:sz w:val="28"/>
          <w:szCs w:val="28"/>
          <w:lang w:val="zh-CN"/>
        </w:rPr>
        <w:t>。</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合同转包</w:t>
      </w:r>
    </w:p>
    <w:p>
      <w:pPr>
        <w:spacing w:line="360" w:lineRule="auto"/>
        <w:ind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spacing w:line="360" w:lineRule="auto"/>
        <w:ind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keepNext/>
        <w:keepLines/>
        <w:numPr>
          <w:ilvl w:val="2"/>
          <w:numId w:val="5"/>
        </w:numPr>
        <w:spacing w:before="240" w:line="360" w:lineRule="auto"/>
        <w:ind w:left="0" w:firstLine="0"/>
        <w:outlineLvl w:val="2"/>
        <w:rPr>
          <w:rFonts w:ascii="宋体" w:hAnsi="宋体"/>
          <w:b/>
          <w:bCs/>
          <w:sz w:val="28"/>
          <w:szCs w:val="28"/>
        </w:rPr>
      </w:pPr>
      <w:bookmarkStart w:id="91" w:name="_Toc217446067"/>
      <w:r>
        <w:rPr>
          <w:rFonts w:hint="eastAsia" w:ascii="宋体" w:hAnsi="宋体"/>
          <w:b/>
          <w:bCs/>
          <w:sz w:val="28"/>
          <w:szCs w:val="28"/>
        </w:rPr>
        <w:t>采购人增加合同标的的权</w:t>
      </w:r>
      <w:bookmarkEnd w:id="91"/>
      <w:r>
        <w:rPr>
          <w:rFonts w:hint="eastAsia" w:ascii="宋体" w:hAnsi="宋体"/>
          <w:b/>
          <w:bCs/>
          <w:sz w:val="28"/>
          <w:szCs w:val="28"/>
        </w:rPr>
        <w:t>利</w:t>
      </w:r>
    </w:p>
    <w:p>
      <w:pPr>
        <w:spacing w:after="180" w:line="360" w:lineRule="auto"/>
        <w:ind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5"/>
        </w:numPr>
        <w:spacing w:line="360" w:lineRule="auto"/>
        <w:ind w:left="0" w:firstLine="0"/>
        <w:outlineLvl w:val="2"/>
        <w:rPr>
          <w:rFonts w:ascii="宋体" w:hAnsi="宋体"/>
          <w:b/>
          <w:bCs/>
          <w:sz w:val="28"/>
          <w:szCs w:val="28"/>
        </w:rPr>
      </w:pPr>
      <w:bookmarkStart w:id="92" w:name="_Toc217446068"/>
      <w:r>
        <w:rPr>
          <w:rFonts w:hint="eastAsia" w:ascii="宋体" w:hAnsi="宋体"/>
          <w:b/>
          <w:bCs/>
          <w:sz w:val="28"/>
          <w:szCs w:val="28"/>
        </w:rPr>
        <w:t>履约保证金</w:t>
      </w:r>
      <w:bookmarkEnd w:id="92"/>
    </w:p>
    <w:p>
      <w:pPr>
        <w:spacing w:after="180" w:line="360" w:lineRule="auto"/>
        <w:ind w:firstLine="562" w:firstLineChars="200"/>
        <w:rPr>
          <w:rFonts w:ascii="宋体" w:hAnsi="宋体"/>
          <w:b/>
          <w:sz w:val="28"/>
          <w:szCs w:val="28"/>
        </w:rPr>
      </w:pPr>
      <w:bookmarkStart w:id="93" w:name="_Toc217446069"/>
      <w:r>
        <w:rPr>
          <w:rFonts w:hint="eastAsia" w:ascii="宋体" w:hAnsi="宋体"/>
          <w:b/>
          <w:sz w:val="28"/>
          <w:szCs w:val="28"/>
        </w:rPr>
        <w:t>本项目</w:t>
      </w:r>
      <w:r>
        <w:rPr>
          <w:rFonts w:ascii="宋体" w:hAnsi="宋体"/>
          <w:b/>
          <w:sz w:val="28"/>
          <w:szCs w:val="28"/>
        </w:rPr>
        <w:t>不收取履约保证金</w:t>
      </w:r>
      <w:r>
        <w:rPr>
          <w:rFonts w:hint="eastAsia" w:ascii="宋体" w:hAnsi="宋体"/>
          <w:b/>
          <w:sz w:val="28"/>
          <w:szCs w:val="28"/>
        </w:rPr>
        <w:t>。</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合同公告</w:t>
      </w:r>
    </w:p>
    <w:p>
      <w:pPr>
        <w:spacing w:after="180" w:line="360" w:lineRule="auto"/>
        <w:ind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合同备案</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疫情防控期间，采购人原则上在5个工作日内与供应商签订政府采购合同及按成都市财政局的要求完成合同备案工作。</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履行合同</w:t>
      </w:r>
      <w:bookmarkEnd w:id="93"/>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一、合同一经签订，双方应严格履行合同规定的义务。</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keepNext/>
        <w:keepLines/>
        <w:numPr>
          <w:ilvl w:val="2"/>
          <w:numId w:val="5"/>
        </w:numPr>
        <w:spacing w:line="360" w:lineRule="auto"/>
        <w:ind w:left="0" w:firstLine="0"/>
        <w:outlineLvl w:val="2"/>
        <w:rPr>
          <w:rFonts w:ascii="宋体" w:hAnsi="宋体"/>
          <w:b/>
          <w:bCs/>
          <w:sz w:val="28"/>
          <w:szCs w:val="28"/>
        </w:rPr>
      </w:pPr>
      <w:bookmarkStart w:id="94" w:name="_Toc217446070"/>
      <w:r>
        <w:rPr>
          <w:rFonts w:hint="eastAsia" w:ascii="宋体" w:hAnsi="宋体"/>
          <w:b/>
          <w:bCs/>
          <w:sz w:val="28"/>
          <w:szCs w:val="28"/>
        </w:rPr>
        <w:t>验收</w:t>
      </w:r>
      <w:bookmarkEnd w:id="94"/>
      <w:r>
        <w:rPr>
          <w:rFonts w:hint="eastAsia" w:ascii="宋体" w:hAnsi="宋体"/>
          <w:b/>
          <w:bCs/>
          <w:sz w:val="28"/>
          <w:szCs w:val="28"/>
        </w:rPr>
        <w:t>或考核</w:t>
      </w:r>
    </w:p>
    <w:bookmarkEnd w:id="85"/>
    <w:bookmarkEnd w:id="86"/>
    <w:p>
      <w:pPr>
        <w:spacing w:line="360" w:lineRule="auto"/>
        <w:ind w:firstLine="560" w:firstLineChars="200"/>
        <w:rPr>
          <w:rFonts w:ascii="宋体" w:hAnsi="宋体"/>
          <w:sz w:val="28"/>
          <w:szCs w:val="28"/>
        </w:rPr>
      </w:pPr>
      <w:bookmarkStart w:id="95" w:name="_Toc217446074"/>
      <w:bookmarkStart w:id="96" w:name="_Toc183582243"/>
      <w:bookmarkStart w:id="97" w:name="_Toc183682380"/>
      <w:r>
        <w:rPr>
          <w:rFonts w:hint="eastAsia" w:ascii="宋体" w:hAnsi="宋体"/>
          <w:sz w:val="28"/>
          <w:szCs w:val="28"/>
        </w:rPr>
        <w:t>采购人严格按照国家相关法律法规的要求组织验收或考核。</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资金支付</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采购人按财政部门的相关规定及采购合同的约定进行支付。</w:t>
      </w:r>
    </w:p>
    <w:p>
      <w:pPr>
        <w:keepNext/>
        <w:keepLines/>
        <w:numPr>
          <w:ilvl w:val="1"/>
          <w:numId w:val="5"/>
        </w:numPr>
        <w:spacing w:line="360" w:lineRule="auto"/>
        <w:jc w:val="left"/>
        <w:outlineLvl w:val="1"/>
        <w:rPr>
          <w:rFonts w:ascii="宋体" w:hAnsi="宋体"/>
          <w:b/>
          <w:bCs/>
          <w:sz w:val="28"/>
          <w:szCs w:val="28"/>
        </w:rPr>
      </w:pPr>
      <w:bookmarkStart w:id="98" w:name="_Toc74752326"/>
      <w:r>
        <w:rPr>
          <w:rFonts w:hint="eastAsia" w:ascii="宋体" w:hAnsi="宋体"/>
          <w:b/>
          <w:bCs/>
          <w:sz w:val="28"/>
          <w:szCs w:val="28"/>
        </w:rPr>
        <w:t>投标纪律要求</w:t>
      </w:r>
      <w:bookmarkEnd w:id="95"/>
      <w:bookmarkEnd w:id="98"/>
    </w:p>
    <w:p>
      <w:pPr>
        <w:keepNext/>
        <w:keepLines/>
        <w:numPr>
          <w:ilvl w:val="2"/>
          <w:numId w:val="5"/>
        </w:numPr>
        <w:spacing w:line="360" w:lineRule="auto"/>
        <w:ind w:left="0" w:firstLine="0"/>
        <w:outlineLvl w:val="2"/>
        <w:rPr>
          <w:rFonts w:ascii="宋体" w:hAnsi="宋体"/>
          <w:b/>
          <w:bCs/>
          <w:sz w:val="28"/>
          <w:szCs w:val="28"/>
        </w:rPr>
      </w:pPr>
      <w:bookmarkStart w:id="99" w:name="_Toc217446075"/>
      <w:r>
        <w:rPr>
          <w:rFonts w:hint="eastAsia" w:ascii="宋体" w:hAnsi="宋体"/>
          <w:b/>
          <w:bCs/>
          <w:sz w:val="28"/>
          <w:szCs w:val="28"/>
        </w:rPr>
        <w:t>投标人不得具有的情形</w:t>
      </w:r>
      <w:bookmarkEnd w:id="99"/>
    </w:p>
    <w:p>
      <w:pPr>
        <w:spacing w:after="180" w:line="360" w:lineRule="auto"/>
        <w:ind w:firstLine="567"/>
        <w:rPr>
          <w:rFonts w:ascii="宋体" w:hAnsi="宋体"/>
          <w:sz w:val="28"/>
          <w:szCs w:val="28"/>
        </w:rPr>
      </w:pPr>
      <w:r>
        <w:rPr>
          <w:rFonts w:hint="eastAsia" w:ascii="宋体" w:hAnsi="宋体"/>
          <w:sz w:val="28"/>
          <w:szCs w:val="28"/>
        </w:rPr>
        <w:t>投标人参加投标不得有下列情形：</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有下列情形之一的，视为投标人串通投标：</w:t>
      </w:r>
    </w:p>
    <w:p>
      <w:pPr>
        <w:tabs>
          <w:tab w:val="left" w:pos="1134"/>
        </w:tabs>
        <w:spacing w:line="360" w:lineRule="auto"/>
        <w:ind w:left="42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line="360" w:lineRule="auto"/>
        <w:ind w:left="420"/>
        <w:rPr>
          <w:rFonts w:ascii="宋体" w:hAnsi="宋体"/>
          <w:sz w:val="28"/>
          <w:szCs w:val="28"/>
        </w:rPr>
      </w:pPr>
      <w:r>
        <w:rPr>
          <w:rFonts w:hint="eastAsia" w:ascii="宋体" w:hAnsi="宋体"/>
          <w:sz w:val="28"/>
          <w:szCs w:val="28"/>
        </w:rPr>
        <w:t>（二）不同投标人委托同一单位或者个人办理投标事宜；</w:t>
      </w:r>
    </w:p>
    <w:p>
      <w:pPr>
        <w:tabs>
          <w:tab w:val="left" w:pos="1134"/>
        </w:tabs>
        <w:spacing w:line="360" w:lineRule="auto"/>
        <w:ind w:left="420"/>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（五）不同投标人的投标文件相互混装；</w:t>
      </w:r>
    </w:p>
    <w:p>
      <w:pPr>
        <w:tabs>
          <w:tab w:val="left" w:pos="1134"/>
        </w:tabs>
        <w:spacing w:line="360" w:lineRule="auto"/>
        <w:ind w:left="42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提供虚假材料谋取中标；</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采取不正当手段诋毁、排挤其他投标人；</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与采购人或</w:t>
      </w:r>
      <w:r>
        <w:rPr>
          <w:rFonts w:hint="eastAsia" w:cs="Arial"/>
          <w:sz w:val="28"/>
          <w:szCs w:val="28"/>
        </w:rPr>
        <w:t>区公资交易中心</w:t>
      </w:r>
      <w:r>
        <w:rPr>
          <w:rFonts w:hint="eastAsia" w:ascii="宋体" w:hAnsi="宋体"/>
          <w:sz w:val="28"/>
          <w:szCs w:val="28"/>
        </w:rPr>
        <w:t>、其他投标人恶意串通；</w:t>
      </w:r>
    </w:p>
    <w:p>
      <w:pPr>
        <w:numPr>
          <w:ilvl w:val="1"/>
          <w:numId w:val="28"/>
        </w:numPr>
        <w:tabs>
          <w:tab w:val="left" w:pos="1134"/>
        </w:tabs>
        <w:spacing w:line="360" w:lineRule="auto"/>
        <w:ind w:left="0" w:firstLine="567"/>
        <w:rPr>
          <w:rFonts w:ascii="宋体" w:hAnsi="宋体"/>
          <w:sz w:val="28"/>
          <w:szCs w:val="28"/>
        </w:rPr>
      </w:pPr>
      <w:r>
        <w:rPr>
          <w:rFonts w:hint="eastAsia" w:ascii="宋体" w:hAnsi="宋体"/>
          <w:sz w:val="28"/>
          <w:szCs w:val="28"/>
        </w:rPr>
        <w:t>向采购人或</w:t>
      </w:r>
      <w:r>
        <w:rPr>
          <w:rFonts w:hint="eastAsia" w:cs="Arial"/>
          <w:sz w:val="28"/>
          <w:szCs w:val="28"/>
        </w:rPr>
        <w:t>区公资交易中心</w:t>
      </w:r>
      <w:r>
        <w:rPr>
          <w:rFonts w:hint="eastAsia" w:ascii="宋体" w:hAnsi="宋体"/>
          <w:sz w:val="28"/>
          <w:szCs w:val="28"/>
        </w:rPr>
        <w:t>、评标委员会成员行贿或者提供其他不正当利益；</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在招标过程中与采购人或</w:t>
      </w:r>
      <w:r>
        <w:rPr>
          <w:rFonts w:hint="eastAsia" w:cs="Arial"/>
          <w:sz w:val="28"/>
          <w:szCs w:val="28"/>
        </w:rPr>
        <w:t>区公资交易中心</w:t>
      </w:r>
      <w:r>
        <w:rPr>
          <w:rFonts w:hint="eastAsia" w:ascii="宋体" w:hAnsi="宋体"/>
          <w:sz w:val="28"/>
          <w:szCs w:val="28"/>
        </w:rPr>
        <w:t>进行协商谈判；</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中标后无正当理由拒不与采购人签订政府采购合同；</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未按照采购文件确定的事项签订政府采购合同；</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将政府采购合同转包或者违规分包；</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提供假冒伪劣产品；</w:t>
      </w:r>
    </w:p>
    <w:p>
      <w:pPr>
        <w:numPr>
          <w:ilvl w:val="1"/>
          <w:numId w:val="28"/>
        </w:numPr>
        <w:tabs>
          <w:tab w:val="left" w:pos="1134"/>
          <w:tab w:val="left" w:pos="1418"/>
        </w:tabs>
        <w:spacing w:line="360" w:lineRule="auto"/>
        <w:ind w:left="420" w:firstLine="147"/>
        <w:rPr>
          <w:rFonts w:ascii="宋体" w:hAnsi="宋体"/>
          <w:sz w:val="28"/>
          <w:szCs w:val="28"/>
        </w:rPr>
      </w:pPr>
      <w:r>
        <w:rPr>
          <w:rFonts w:hint="eastAsia" w:ascii="宋体" w:hAnsi="宋体"/>
          <w:sz w:val="28"/>
          <w:szCs w:val="28"/>
        </w:rPr>
        <w:t>擅自变更、中止或者终止政府采购合同；</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tabs>
          <w:tab w:val="left" w:pos="1134"/>
        </w:tabs>
        <w:spacing w:line="360" w:lineRule="auto"/>
        <w:ind w:left="567"/>
        <w:rPr>
          <w:rFonts w:ascii="宋体" w:hAnsi="宋体"/>
          <w:sz w:val="28"/>
          <w:szCs w:val="28"/>
        </w:rPr>
      </w:pPr>
      <w:r>
        <w:rPr>
          <w:rFonts w:hint="eastAsia" w:ascii="宋体" w:hAnsi="宋体"/>
          <w:sz w:val="28"/>
          <w:szCs w:val="28"/>
        </w:rPr>
        <w:t>十五、拒绝有关部门的监督检查或者向监督检查部门提供虚假情况；</w:t>
      </w:r>
    </w:p>
    <w:p>
      <w:pPr>
        <w:spacing w:after="180" w:line="360" w:lineRule="auto"/>
        <w:ind w:firstLine="565" w:firstLineChars="202"/>
        <w:rPr>
          <w:rFonts w:ascii="宋体" w:hAnsi="宋体"/>
          <w:sz w:val="28"/>
          <w:szCs w:val="28"/>
        </w:rPr>
      </w:pPr>
      <w:r>
        <w:rPr>
          <w:rFonts w:hint="eastAsia" w:ascii="宋体" w:hAnsi="宋体"/>
          <w:sz w:val="28"/>
          <w:szCs w:val="28"/>
        </w:rPr>
        <w:t>十六、法律法规规定的其他情形。</w:t>
      </w:r>
    </w:p>
    <w:p>
      <w:pPr>
        <w:spacing w:after="180" w:line="360" w:lineRule="auto"/>
        <w:ind w:firstLine="568" w:firstLineChars="202"/>
        <w:rPr>
          <w:rFonts w:ascii="宋体" w:hAnsi="宋体"/>
          <w:b/>
          <w:sz w:val="28"/>
          <w:szCs w:val="28"/>
        </w:rPr>
      </w:pPr>
      <w:r>
        <w:rPr>
          <w:rFonts w:hint="eastAsia" w:ascii="宋体" w:hAnsi="宋体"/>
          <w:b/>
          <w:sz w:val="28"/>
          <w:szCs w:val="28"/>
        </w:rPr>
        <w:t>投标人有上述情形的，按照规定追究法律责任，具备一至十四条情形之一的，同时将认定投标人投标无效或不确定其为中标人，或者取消中标资格或认定中标无效。</w:t>
      </w:r>
    </w:p>
    <w:p>
      <w:pPr>
        <w:keepNext/>
        <w:keepLines/>
        <w:numPr>
          <w:ilvl w:val="2"/>
          <w:numId w:val="5"/>
        </w:numPr>
        <w:spacing w:line="360" w:lineRule="auto"/>
        <w:ind w:left="0" w:firstLine="0"/>
        <w:outlineLvl w:val="2"/>
        <w:rPr>
          <w:rFonts w:ascii="宋体" w:hAnsi="宋体"/>
          <w:b/>
          <w:bCs/>
          <w:sz w:val="28"/>
          <w:szCs w:val="28"/>
        </w:rPr>
      </w:pPr>
      <w:bookmarkStart w:id="100" w:name="_Toc314574786"/>
      <w:r>
        <w:rPr>
          <w:rFonts w:hint="eastAsia" w:ascii="宋体" w:hAnsi="宋体"/>
          <w:b/>
          <w:bCs/>
          <w:sz w:val="28"/>
          <w:szCs w:val="28"/>
        </w:rPr>
        <w:t>保密</w:t>
      </w:r>
      <w:bookmarkEnd w:id="100"/>
    </w:p>
    <w:p>
      <w:pPr>
        <w:numPr>
          <w:ilvl w:val="0"/>
          <w:numId w:val="29"/>
        </w:numPr>
        <w:tabs>
          <w:tab w:val="left" w:pos="0"/>
          <w:tab w:val="left" w:pos="1134"/>
        </w:tabs>
        <w:spacing w:line="360" w:lineRule="auto"/>
        <w:ind w:left="0" w:firstLine="567"/>
        <w:rPr>
          <w:sz w:val="28"/>
          <w:szCs w:val="28"/>
        </w:rPr>
      </w:pPr>
      <w:r>
        <w:rPr>
          <w:rFonts w:hint="eastAsia" w:ascii="宋体" w:hAnsi="宋体"/>
          <w:sz w:val="28"/>
          <w:szCs w:val="28"/>
        </w:rPr>
        <w:t>不</w:t>
      </w:r>
      <w:r>
        <w:rPr>
          <w:rFonts w:hint="eastAsia"/>
          <w:sz w:val="28"/>
          <w:szCs w:val="28"/>
        </w:rPr>
        <w:t>得透露有关在政采云系统里已成功获取采购文件的供应商的潜在投标人的任何情况。</w:t>
      </w:r>
    </w:p>
    <w:p>
      <w:pPr>
        <w:numPr>
          <w:ilvl w:val="0"/>
          <w:numId w:val="29"/>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有关投标文件的审查、澄清、评估和比较以及合同授予意向等情况都不得对外透露。</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回避</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在政府采购活动中，采购人员</w:t>
      </w:r>
      <w:r>
        <w:rPr>
          <w:rFonts w:hint="eastAsia" w:cs="Helvetica"/>
          <w:sz w:val="28"/>
          <w:szCs w:val="28"/>
        </w:rPr>
        <w:t>（如</w:t>
      </w:r>
      <w:r>
        <w:rPr>
          <w:rFonts w:hint="eastAsia"/>
          <w:sz w:val="28"/>
          <w:szCs w:val="28"/>
        </w:rPr>
        <w:t>采购人内部负责采购项目的具体经办工作人员或直接分管采购项目的负责人、</w:t>
      </w:r>
      <w:r>
        <w:rPr>
          <w:rFonts w:hint="eastAsia" w:cs="Arial"/>
          <w:sz w:val="28"/>
          <w:szCs w:val="28"/>
        </w:rPr>
        <w:t>区公资交易中心</w:t>
      </w:r>
      <w:r>
        <w:rPr>
          <w:rFonts w:hint="eastAsia"/>
          <w:sz w:val="28"/>
          <w:szCs w:val="28"/>
        </w:rPr>
        <w:t>负责采购项目的具体经办工作人员或直接分管采购活动的负责人等</w:t>
      </w:r>
      <w:r>
        <w:rPr>
          <w:rFonts w:hint="eastAsia" w:cs="Helvetica"/>
          <w:sz w:val="28"/>
          <w:szCs w:val="28"/>
        </w:rPr>
        <w:t>）</w:t>
      </w:r>
      <w:r>
        <w:rPr>
          <w:rFonts w:hint="eastAsia" w:ascii="宋体" w:hAnsi="宋体" w:cs="Helvetica"/>
          <w:sz w:val="28"/>
          <w:szCs w:val="28"/>
        </w:rPr>
        <w:t>及相关人员与</w:t>
      </w:r>
      <w:r>
        <w:rPr>
          <w:rFonts w:hint="eastAsia" w:ascii="宋体" w:hAnsi="宋体"/>
          <w:sz w:val="28"/>
          <w:szCs w:val="28"/>
        </w:rPr>
        <w:t>供应商</w:t>
      </w:r>
      <w:r>
        <w:rPr>
          <w:rFonts w:hint="eastAsia" w:ascii="宋体" w:hAnsi="宋体" w:cs="Helvetica"/>
          <w:sz w:val="28"/>
          <w:szCs w:val="28"/>
        </w:rPr>
        <w:t>有下列利害关系之一的，应当回避：</w:t>
      </w:r>
    </w:p>
    <w:p>
      <w:pPr>
        <w:shd w:val="clear" w:color="auto" w:fill="FFFFFF"/>
        <w:spacing w:line="360" w:lineRule="auto"/>
        <w:ind w:left="708" w:hanging="708" w:hangingChars="253"/>
        <w:rPr>
          <w:rFonts w:ascii="宋体" w:hAnsi="宋体" w:cs="Helvetica"/>
          <w:sz w:val="28"/>
          <w:szCs w:val="28"/>
        </w:rPr>
      </w:pPr>
      <w:r>
        <w:rPr>
          <w:rFonts w:hint="eastAsia" w:ascii="宋体" w:hAnsi="宋体" w:cs="Helvetica"/>
          <w:sz w:val="28"/>
          <w:szCs w:val="28"/>
        </w:rPr>
        <w:t>　　（一）参加采购活动前3年内与</w:t>
      </w:r>
      <w:r>
        <w:rPr>
          <w:rFonts w:hint="eastAsia" w:ascii="宋体" w:hAnsi="宋体"/>
          <w:sz w:val="28"/>
          <w:szCs w:val="28"/>
        </w:rPr>
        <w:t>供应商</w:t>
      </w:r>
      <w:r>
        <w:rPr>
          <w:rFonts w:hint="eastAsia" w:ascii="宋体" w:hAnsi="宋体" w:cs="Helvetica"/>
          <w:sz w:val="28"/>
          <w:szCs w:val="28"/>
        </w:rPr>
        <w:t>存在劳动关系；</w:t>
      </w:r>
    </w:p>
    <w:p>
      <w:pPr>
        <w:shd w:val="clear" w:color="auto" w:fill="FFFFFF"/>
        <w:spacing w:line="360" w:lineRule="auto"/>
        <w:rPr>
          <w:rFonts w:ascii="宋体" w:hAnsi="宋体" w:cs="Helvetica"/>
          <w:sz w:val="28"/>
          <w:szCs w:val="28"/>
        </w:rPr>
      </w:pPr>
      <w:r>
        <w:rPr>
          <w:rFonts w:hint="eastAsia" w:ascii="宋体" w:hAnsi="宋体" w:cs="Helvetica"/>
          <w:sz w:val="28"/>
          <w:szCs w:val="28"/>
        </w:rPr>
        <w:t>　　（二）参加采购活动前3年内担任</w:t>
      </w:r>
      <w:r>
        <w:rPr>
          <w:rFonts w:hint="eastAsia" w:ascii="宋体" w:hAnsi="宋体"/>
          <w:sz w:val="28"/>
          <w:szCs w:val="28"/>
        </w:rPr>
        <w:t>供应商</w:t>
      </w:r>
      <w:r>
        <w:rPr>
          <w:rFonts w:hint="eastAsia" w:ascii="宋体" w:hAnsi="宋体" w:cs="Helvetica"/>
          <w:sz w:val="28"/>
          <w:szCs w:val="28"/>
        </w:rPr>
        <w:t>的董事、监事；</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（三）参加采购活动前3年内是</w:t>
      </w:r>
      <w:r>
        <w:rPr>
          <w:rFonts w:hint="eastAsia" w:ascii="宋体" w:hAnsi="宋体"/>
          <w:sz w:val="28"/>
          <w:szCs w:val="28"/>
        </w:rPr>
        <w:t>供应商</w:t>
      </w:r>
      <w:r>
        <w:rPr>
          <w:rFonts w:hint="eastAsia" w:ascii="宋体" w:hAnsi="宋体" w:cs="Helvetica"/>
          <w:sz w:val="28"/>
          <w:szCs w:val="28"/>
        </w:rPr>
        <w:t>的控股股东或者实际控制人；</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（四）与</w:t>
      </w:r>
      <w:r>
        <w:rPr>
          <w:rFonts w:hint="eastAsia" w:ascii="宋体" w:hAnsi="宋体"/>
          <w:sz w:val="28"/>
          <w:szCs w:val="28"/>
        </w:rPr>
        <w:t>供应商</w:t>
      </w:r>
      <w:r>
        <w:rPr>
          <w:rFonts w:hint="eastAsia" w:ascii="宋体" w:hAnsi="宋体" w:cs="Helvetica"/>
          <w:sz w:val="28"/>
          <w:szCs w:val="28"/>
        </w:rPr>
        <w:t>的法定代表人或者负责人有夫妻、直系血亲、三代以内旁系血亲或者近姻亲关系；</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（五）与</w:t>
      </w:r>
      <w:r>
        <w:rPr>
          <w:rFonts w:hint="eastAsia" w:ascii="宋体" w:hAnsi="宋体"/>
          <w:sz w:val="28"/>
          <w:szCs w:val="28"/>
        </w:rPr>
        <w:t>供应商</w:t>
      </w:r>
      <w:r>
        <w:rPr>
          <w:rFonts w:hint="eastAsia" w:ascii="宋体" w:hAnsi="宋体" w:cs="Helvetica"/>
          <w:sz w:val="28"/>
          <w:szCs w:val="28"/>
        </w:rPr>
        <w:t>有其他可能影响政府采购活动公平、公正进行的关系。</w:t>
      </w:r>
    </w:p>
    <w:p>
      <w:pPr>
        <w:shd w:val="clear" w:color="auto" w:fill="FFFFFF"/>
        <w:spacing w:line="360" w:lineRule="auto"/>
        <w:ind w:firstLine="570"/>
        <w:rPr>
          <w:rFonts w:ascii="宋体" w:hAnsi="宋体" w:cs="Helvetica"/>
          <w:sz w:val="28"/>
          <w:szCs w:val="28"/>
        </w:rPr>
      </w:pPr>
      <w:r>
        <w:rPr>
          <w:rFonts w:hint="eastAsia" w:ascii="宋体" w:hAnsi="宋体"/>
          <w:sz w:val="28"/>
          <w:szCs w:val="28"/>
        </w:rPr>
        <w:t>供应商</w:t>
      </w:r>
      <w:r>
        <w:rPr>
          <w:rFonts w:hint="eastAsia" w:ascii="宋体" w:hAnsi="宋体" w:cs="Helvetica"/>
          <w:sz w:val="28"/>
          <w:szCs w:val="28"/>
        </w:rPr>
        <w:t>认为采购人员及相关人员与其他</w:t>
      </w:r>
      <w:r>
        <w:rPr>
          <w:rFonts w:hint="eastAsia" w:ascii="宋体" w:hAnsi="宋体"/>
          <w:sz w:val="28"/>
          <w:szCs w:val="28"/>
        </w:rPr>
        <w:t>供应商</w:t>
      </w:r>
      <w:r>
        <w:rPr>
          <w:rFonts w:hint="eastAsia" w:ascii="宋体" w:hAnsi="宋体" w:cs="Helvetica"/>
          <w:sz w:val="28"/>
          <w:szCs w:val="28"/>
        </w:rPr>
        <w:t>有利害关系的，可以向采购人或者</w:t>
      </w:r>
      <w:r>
        <w:rPr>
          <w:rFonts w:hint="eastAsia" w:ascii="宋体" w:hAnsi="宋体" w:cs="Arial"/>
          <w:sz w:val="28"/>
          <w:szCs w:val="28"/>
        </w:rPr>
        <w:t>采购代理机构</w:t>
      </w:r>
      <w:r>
        <w:rPr>
          <w:rFonts w:hint="eastAsia" w:ascii="宋体" w:hAnsi="宋体" w:cs="Helvetica"/>
          <w:sz w:val="28"/>
          <w:szCs w:val="28"/>
        </w:rPr>
        <w:t>书面提出回避申请，并说明理由。采购人或者</w:t>
      </w:r>
      <w:r>
        <w:rPr>
          <w:rFonts w:hint="eastAsia" w:ascii="宋体" w:hAnsi="宋体" w:cs="Arial"/>
          <w:sz w:val="28"/>
          <w:szCs w:val="28"/>
        </w:rPr>
        <w:t>采购代理机构</w:t>
      </w:r>
      <w:r>
        <w:rPr>
          <w:rFonts w:hint="eastAsia" w:ascii="宋体" w:hAnsi="宋体" w:cs="Helvetica"/>
          <w:sz w:val="28"/>
          <w:szCs w:val="28"/>
        </w:rPr>
        <w:t>应当及时询问被申请回避人员，有利害关系的被申请回避人员应当回避。</w:t>
      </w:r>
    </w:p>
    <w:p>
      <w:pPr>
        <w:keepNext/>
        <w:keepLines/>
        <w:numPr>
          <w:ilvl w:val="1"/>
          <w:numId w:val="5"/>
        </w:numPr>
        <w:spacing w:line="360" w:lineRule="auto"/>
        <w:jc w:val="left"/>
        <w:outlineLvl w:val="1"/>
        <w:rPr>
          <w:rFonts w:ascii="宋体" w:hAnsi="宋体"/>
          <w:b/>
          <w:bCs/>
          <w:sz w:val="28"/>
          <w:szCs w:val="28"/>
        </w:rPr>
      </w:pPr>
      <w:bookmarkStart w:id="101" w:name="_Toc217446078"/>
      <w:bookmarkStart w:id="102" w:name="_Toc74752327"/>
      <w:r>
        <w:rPr>
          <w:rFonts w:hint="eastAsia" w:ascii="宋体" w:hAnsi="宋体"/>
          <w:b/>
          <w:bCs/>
          <w:sz w:val="28"/>
          <w:szCs w:val="28"/>
        </w:rPr>
        <w:t>询问、质疑和投诉</w:t>
      </w:r>
      <w:bookmarkEnd w:id="101"/>
      <w:bookmarkEnd w:id="102"/>
      <w:bookmarkStart w:id="103" w:name="_Toc217446079"/>
    </w:p>
    <w:bookmarkEnd w:id="96"/>
    <w:bookmarkEnd w:id="97"/>
    <w:bookmarkEnd w:id="103"/>
    <w:p>
      <w:pPr>
        <w:numPr>
          <w:ilvl w:val="0"/>
          <w:numId w:val="30"/>
        </w:numPr>
        <w:spacing w:line="360" w:lineRule="auto"/>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numPr>
          <w:ilvl w:val="0"/>
          <w:numId w:val="30"/>
        </w:numPr>
        <w:spacing w:line="360" w:lineRule="auto"/>
        <w:ind w:left="0" w:firstLine="567"/>
        <w:jc w:val="left"/>
        <w:rPr>
          <w:sz w:val="28"/>
          <w:szCs w:val="28"/>
        </w:rPr>
      </w:pPr>
      <w:r>
        <w:rPr>
          <w:rFonts w:hint="eastAsia"/>
          <w:sz w:val="28"/>
          <w:szCs w:val="28"/>
        </w:rPr>
        <w:t>供应商</w:t>
      </w:r>
      <w:r>
        <w:rPr>
          <w:rFonts w:hint="eastAsia" w:ascii="宋体" w:hAnsi="宋体"/>
          <w:sz w:val="28"/>
          <w:szCs w:val="28"/>
        </w:rPr>
        <w:t>询问、质疑的对象</w:t>
      </w:r>
    </w:p>
    <w:p>
      <w:pPr>
        <w:numPr>
          <w:ilvl w:val="1"/>
          <w:numId w:val="31"/>
        </w:numPr>
        <w:tabs>
          <w:tab w:val="left" w:pos="0"/>
          <w:tab w:val="left" w:pos="1276"/>
        </w:tabs>
        <w:spacing w:after="120" w:line="360" w:lineRule="auto"/>
        <w:ind w:left="0" w:firstLine="567"/>
        <w:rPr>
          <w:rFonts w:ascii="宋体" w:hAnsi="宋体"/>
          <w:sz w:val="28"/>
          <w:szCs w:val="28"/>
        </w:rPr>
      </w:pPr>
      <w:r>
        <w:rPr>
          <w:rFonts w:hint="eastAsia"/>
          <w:sz w:val="28"/>
          <w:szCs w:val="28"/>
        </w:rPr>
        <w:t>供应商</w:t>
      </w:r>
      <w:r>
        <w:rPr>
          <w:rFonts w:hint="eastAsia" w:ascii="宋体" w:hAnsi="宋体"/>
          <w:sz w:val="28"/>
          <w:szCs w:val="28"/>
        </w:rPr>
        <w:t>对招标文件中</w:t>
      </w:r>
      <w:r>
        <w:rPr>
          <w:rFonts w:hint="eastAsia"/>
          <w:sz w:val="28"/>
          <w:szCs w:val="28"/>
        </w:rPr>
        <w:t>供应商</w:t>
      </w:r>
      <w:r>
        <w:rPr>
          <w:rFonts w:hint="eastAsia" w:ascii="宋体" w:hAnsi="宋体"/>
          <w:sz w:val="28"/>
          <w:szCs w:val="28"/>
        </w:rPr>
        <w:t>参加本次政府采购活动应当具备的条件，招标项目技术、服务、商务及其他要求，评标细则及标准，和中标结果中关于资格审查提出询问或质疑的，应通过</w:t>
      </w:r>
      <w:r>
        <w:rPr>
          <w:rFonts w:ascii="宋体" w:hAnsi="宋体"/>
          <w:sz w:val="28"/>
          <w:szCs w:val="28"/>
        </w:rPr>
        <w:t>云平台</w:t>
      </w:r>
      <w:r>
        <w:rPr>
          <w:rFonts w:hint="eastAsia" w:ascii="宋体" w:hAnsi="宋体"/>
          <w:sz w:val="28"/>
          <w:szCs w:val="28"/>
        </w:rPr>
        <w:t>向采购人提出；</w:t>
      </w:r>
    </w:p>
    <w:p>
      <w:pPr>
        <w:numPr>
          <w:ilvl w:val="1"/>
          <w:numId w:val="31"/>
        </w:numPr>
        <w:tabs>
          <w:tab w:val="left" w:pos="1276"/>
        </w:tabs>
        <w:spacing w:after="120" w:line="360" w:lineRule="auto"/>
        <w:ind w:left="0" w:firstLine="567"/>
        <w:rPr>
          <w:rFonts w:ascii="宋体" w:hAnsi="宋体"/>
          <w:sz w:val="28"/>
          <w:szCs w:val="28"/>
        </w:rPr>
      </w:pPr>
      <w:r>
        <w:rPr>
          <w:rFonts w:hint="eastAsia"/>
          <w:sz w:val="28"/>
          <w:szCs w:val="28"/>
        </w:rPr>
        <w:t>供应商对除上述招标文件中的其他内容，采购过程及中标结果中除资格审查</w:t>
      </w:r>
      <w:r>
        <w:rPr>
          <w:rFonts w:hint="eastAsia" w:ascii="宋体" w:hAnsi="宋体"/>
          <w:sz w:val="28"/>
          <w:szCs w:val="28"/>
        </w:rPr>
        <w:t>提出询问或质疑的，应通过</w:t>
      </w:r>
      <w:r>
        <w:rPr>
          <w:rFonts w:ascii="宋体" w:hAnsi="宋体"/>
          <w:sz w:val="28"/>
          <w:szCs w:val="28"/>
        </w:rPr>
        <w:t>云平台</w:t>
      </w:r>
      <w:r>
        <w:rPr>
          <w:rFonts w:hint="eastAsia" w:ascii="宋体" w:hAnsi="宋体"/>
          <w:sz w:val="28"/>
          <w:szCs w:val="28"/>
        </w:rPr>
        <w:t>向</w:t>
      </w:r>
      <w:r>
        <w:rPr>
          <w:rFonts w:hint="eastAsia" w:ascii="宋体" w:hAnsi="宋体" w:cs="Arial"/>
          <w:sz w:val="28"/>
          <w:szCs w:val="28"/>
        </w:rPr>
        <w:t>区公资交易中心</w:t>
      </w:r>
      <w:r>
        <w:rPr>
          <w:rFonts w:hint="eastAsia" w:ascii="宋体" w:hAnsi="宋体"/>
          <w:sz w:val="28"/>
          <w:szCs w:val="28"/>
        </w:rPr>
        <w:t>提出。</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供应商提出质疑时应当准备的资料</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（一）质疑书正本1份；</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（二）法定代表人授权委托书1份（委托代理人办理质疑事宜的需提供）；</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（三）营业执照或法人证书复印件1份（加盖公章）；</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（四）法定代表人身份证复印件1份；</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（五）委托代理人身份证复印件1份（委托代理人办理质疑事宜的需提供）；</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（六）针对质疑事项必要的证明材料。</w:t>
      </w:r>
    </w:p>
    <w:p>
      <w:pPr>
        <w:numPr>
          <w:ilvl w:val="0"/>
          <w:numId w:val="30"/>
        </w:numPr>
        <w:tabs>
          <w:tab w:val="left" w:pos="1134"/>
        </w:tabs>
        <w:spacing w:line="360" w:lineRule="auto"/>
        <w:ind w:left="0" w:firstLine="567"/>
        <w:rPr>
          <w:rFonts w:ascii="宋体" w:hAnsi="宋体"/>
          <w:sz w:val="28"/>
          <w:szCs w:val="28"/>
        </w:rPr>
      </w:pPr>
      <w:r>
        <w:rPr>
          <w:rFonts w:hint="eastAsia" w:ascii="宋体" w:hAnsi="宋体"/>
          <w:sz w:val="28"/>
          <w:szCs w:val="28"/>
        </w:rPr>
        <w:t>供应商对区公资交易中心的质疑答复不满意，或者区公资交易中心未在规定期限内作出答复的，供应商可以在答复期满后15个工作日内向同级财政部门提起投诉。</w:t>
      </w:r>
    </w:p>
    <w:p>
      <w:pPr>
        <w:keepNext/>
        <w:keepLines/>
        <w:numPr>
          <w:ilvl w:val="1"/>
          <w:numId w:val="5"/>
        </w:numPr>
        <w:spacing w:before="260" w:line="360" w:lineRule="auto"/>
        <w:jc w:val="left"/>
        <w:outlineLvl w:val="1"/>
        <w:rPr>
          <w:rFonts w:ascii="宋体" w:hAnsi="宋体"/>
          <w:b/>
          <w:bCs/>
          <w:sz w:val="28"/>
          <w:szCs w:val="28"/>
        </w:rPr>
      </w:pPr>
      <w:bookmarkStart w:id="104" w:name="_Toc74752328"/>
      <w:r>
        <w:rPr>
          <w:rFonts w:hint="eastAsia" w:ascii="宋体" w:hAnsi="宋体"/>
          <w:b/>
          <w:bCs/>
          <w:sz w:val="28"/>
          <w:szCs w:val="28"/>
        </w:rPr>
        <w:t>中小企业政府采购信用融资</w:t>
      </w:r>
      <w:bookmarkEnd w:id="104"/>
    </w:p>
    <w:p>
      <w:pPr>
        <w:numPr>
          <w:ilvl w:val="0"/>
          <w:numId w:val="32"/>
        </w:numPr>
        <w:tabs>
          <w:tab w:val="left" w:pos="1134"/>
        </w:tabs>
        <w:spacing w:line="360" w:lineRule="auto"/>
        <w:ind w:left="0" w:firstLine="567"/>
        <w:rPr>
          <w:rFonts w:ascii="宋体" w:hAnsi="宋体"/>
          <w:sz w:val="28"/>
          <w:szCs w:val="28"/>
        </w:rPr>
      </w:pPr>
      <w:r>
        <w:rPr>
          <w:rFonts w:hint="eastAsia" w:ascii="宋体" w:hAnsi="宋体"/>
          <w:sz w:val="28"/>
          <w:szCs w:val="28"/>
        </w:rPr>
        <w:t>参与本次招标活动中标的中小企业投标人无需提供财产抵押或第三方担保，凭借政府采购合同可向融资机构申请融资。</w:t>
      </w:r>
    </w:p>
    <w:p>
      <w:pPr>
        <w:numPr>
          <w:ilvl w:val="0"/>
          <w:numId w:val="32"/>
        </w:numPr>
        <w:tabs>
          <w:tab w:val="left" w:pos="1134"/>
        </w:tabs>
        <w:spacing w:line="360" w:lineRule="auto"/>
        <w:ind w:left="0" w:firstLine="567"/>
        <w:rPr>
          <w:rFonts w:ascii="宋体" w:hAnsi="宋体"/>
          <w:sz w:val="28"/>
          <w:szCs w:val="28"/>
        </w:rPr>
      </w:pPr>
      <w:r>
        <w:rPr>
          <w:rFonts w:hint="eastAsia" w:ascii="宋体" w:hAnsi="宋体"/>
          <w:sz w:val="28"/>
          <w:szCs w:val="28"/>
        </w:rPr>
        <w:t>《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见附件。</w:t>
      </w: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05" w:name="_Toc316292049"/>
      <w:bookmarkEnd w:id="105"/>
      <w:bookmarkStart w:id="106" w:name="_Toc316292050"/>
      <w:bookmarkEnd w:id="106"/>
      <w:bookmarkStart w:id="107" w:name="_Toc315871046"/>
      <w:bookmarkEnd w:id="107"/>
      <w:bookmarkStart w:id="108" w:name="_Toc315871049"/>
      <w:bookmarkEnd w:id="108"/>
      <w:bookmarkStart w:id="109" w:name="_Toc316292051"/>
      <w:bookmarkEnd w:id="109"/>
      <w:bookmarkStart w:id="110" w:name="_Toc315871048"/>
      <w:bookmarkEnd w:id="110"/>
      <w:bookmarkStart w:id="111" w:name="_Toc316292048"/>
      <w:bookmarkEnd w:id="111"/>
      <w:bookmarkStart w:id="112" w:name="_Toc316292052"/>
      <w:bookmarkEnd w:id="112"/>
      <w:bookmarkStart w:id="113" w:name="_Toc315871047"/>
      <w:bookmarkEnd w:id="113"/>
      <w:bookmarkStart w:id="114" w:name="_Toc315871045"/>
      <w:bookmarkEnd w:id="114"/>
      <w:bookmarkStart w:id="115" w:name="_Toc315871050"/>
      <w:bookmarkEnd w:id="115"/>
      <w:bookmarkStart w:id="116" w:name="_Toc74752329"/>
      <w:r>
        <w:rPr>
          <w:rFonts w:hint="eastAsia" w:ascii="宋体" w:hAnsi="宋体"/>
          <w:b/>
          <w:bCs/>
          <w:spacing w:val="-20"/>
          <w:kern w:val="44"/>
          <w:sz w:val="32"/>
          <w:szCs w:val="32"/>
        </w:rPr>
        <w:t>投标文件格式</w:t>
      </w:r>
      <w:bookmarkEnd w:id="116"/>
    </w:p>
    <w:p>
      <w:pPr>
        <w:keepNext/>
        <w:keepLines/>
        <w:numPr>
          <w:ilvl w:val="1"/>
          <w:numId w:val="5"/>
        </w:numPr>
        <w:spacing w:before="260" w:after="260" w:line="360" w:lineRule="auto"/>
        <w:jc w:val="left"/>
        <w:outlineLvl w:val="1"/>
        <w:rPr>
          <w:rFonts w:ascii="宋体" w:hAnsi="宋体"/>
          <w:b/>
          <w:bCs/>
          <w:sz w:val="28"/>
          <w:szCs w:val="28"/>
        </w:rPr>
      </w:pPr>
      <w:bookmarkStart w:id="117" w:name="_Toc74752330"/>
      <w:r>
        <w:rPr>
          <w:rFonts w:hint="eastAsia" w:ascii="宋体" w:hAnsi="宋体"/>
          <w:b/>
          <w:bCs/>
          <w:sz w:val="28"/>
          <w:szCs w:val="28"/>
        </w:rPr>
        <w:t>投标文件封面格式</w:t>
      </w:r>
      <w:bookmarkEnd w:id="117"/>
    </w:p>
    <w:p>
      <w:pPr>
        <w:spacing w:line="360" w:lineRule="auto"/>
        <w:rPr>
          <w:rFonts w:ascii="宋体" w:hAnsi="宋体"/>
          <w:bCs/>
          <w:szCs w:val="21"/>
        </w:rPr>
      </w:pPr>
    </w:p>
    <w:p>
      <w:pPr>
        <w:spacing w:line="360" w:lineRule="auto"/>
        <w:rPr>
          <w:rFonts w:ascii="宋体" w:hAnsi="宋体"/>
          <w:bCs/>
          <w:szCs w:val="21"/>
        </w:rPr>
      </w:pPr>
    </w:p>
    <w:p>
      <w:pPr>
        <w:spacing w:line="360" w:lineRule="auto"/>
        <w:jc w:val="right"/>
        <w:rPr>
          <w:rFonts w:ascii="宋体" w:hAnsi="宋体"/>
        </w:rPr>
      </w:pPr>
    </w:p>
    <w:p>
      <w:pPr>
        <w:spacing w:line="360" w:lineRule="auto"/>
        <w:jc w:val="center"/>
        <w:rPr>
          <w:rFonts w:ascii="宋体" w:hAnsi="宋体"/>
          <w:spacing w:val="78"/>
          <w:sz w:val="96"/>
          <w:szCs w:val="120"/>
        </w:rPr>
      </w:pPr>
      <w:r>
        <w:rPr>
          <w:rFonts w:hint="eastAsia" w:ascii="宋体" w:hAnsi="宋体"/>
          <w:spacing w:val="78"/>
          <w:sz w:val="96"/>
          <w:szCs w:val="120"/>
        </w:rPr>
        <w:t>投标文件</w:t>
      </w: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ascii="宋体" w:hAnsi="宋体"/>
          <w:b/>
          <w:bCs/>
          <w:sz w:val="32"/>
          <w:szCs w:val="32"/>
        </w:rPr>
      </w:pPr>
      <w:r>
        <w:rPr>
          <w:rFonts w:hint="eastAsia" w:ascii="宋体" w:hAnsi="宋体"/>
          <w:b/>
          <w:bCs/>
          <w:sz w:val="32"/>
          <w:szCs w:val="32"/>
        </w:rPr>
        <w:t>项目名称：成都市龙泉驿区教育局2021年新（改扩）建幼儿园第二批家具采购项目采购项目</w:t>
      </w:r>
    </w:p>
    <w:p>
      <w:pPr>
        <w:spacing w:line="360" w:lineRule="auto"/>
        <w:rPr>
          <w:rFonts w:hint="eastAsia" w:ascii="宋体" w:hAnsi="宋体" w:eastAsia="宋体"/>
          <w:b/>
          <w:sz w:val="32"/>
          <w:szCs w:val="32"/>
          <w:u w:val="single"/>
          <w:lang w:eastAsia="zh-CN"/>
        </w:rPr>
      </w:pPr>
      <w:r>
        <w:rPr>
          <w:rFonts w:hint="eastAsia" w:ascii="宋体" w:hAnsi="宋体"/>
          <w:b/>
          <w:bCs/>
          <w:sz w:val="32"/>
          <w:szCs w:val="32"/>
        </w:rPr>
        <w:t>项目编号：</w:t>
      </w:r>
      <w:r>
        <w:rPr>
          <w:rFonts w:hint="eastAsia" w:ascii="宋体" w:hAnsi="宋体"/>
          <w:b/>
          <w:bCs/>
          <w:sz w:val="32"/>
          <w:szCs w:val="32"/>
          <w:lang w:eastAsia="zh-CN"/>
        </w:rPr>
        <w:t>龙泉驿政采（2021）A0034号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投标人名称：XXXX</w:t>
      </w:r>
    </w:p>
    <w:p>
      <w:pPr>
        <w:spacing w:line="360" w:lineRule="auto"/>
        <w:ind w:firstLine="569" w:firstLineChars="177"/>
        <w:rPr>
          <w:rFonts w:ascii="宋体" w:hAnsi="宋体"/>
          <w:b/>
          <w:bCs/>
          <w:sz w:val="32"/>
          <w:szCs w:val="32"/>
        </w:rPr>
      </w:pPr>
      <w:r>
        <w:rPr>
          <w:rFonts w:hint="eastAsia" w:ascii="宋体" w:hAnsi="宋体"/>
          <w:b/>
          <w:bCs/>
          <w:sz w:val="32"/>
          <w:szCs w:val="32"/>
        </w:rPr>
        <w:t>日       期：202X年XX月XX日</w:t>
      </w:r>
    </w:p>
    <w:p>
      <w:pPr>
        <w:spacing w:line="360" w:lineRule="auto"/>
        <w:ind w:firstLine="569" w:firstLineChars="177"/>
        <w:rPr>
          <w:rFonts w:ascii="宋体" w:hAnsi="宋体"/>
          <w:b/>
          <w:bCs/>
          <w:sz w:val="32"/>
          <w:szCs w:val="32"/>
        </w:rPr>
      </w:pPr>
    </w:p>
    <w:p>
      <w:pPr>
        <w:pStyle w:val="2"/>
      </w:pPr>
    </w:p>
    <w:p>
      <w:pPr>
        <w:pStyle w:val="2"/>
      </w:pPr>
    </w:p>
    <w:p>
      <w:pPr>
        <w:keepNext/>
        <w:keepLines/>
        <w:numPr>
          <w:ilvl w:val="1"/>
          <w:numId w:val="5"/>
        </w:numPr>
        <w:spacing w:before="260" w:after="260" w:line="360" w:lineRule="auto"/>
        <w:jc w:val="left"/>
        <w:outlineLvl w:val="1"/>
        <w:rPr>
          <w:rFonts w:ascii="宋体" w:hAnsi="宋体"/>
          <w:b/>
          <w:bCs/>
          <w:sz w:val="28"/>
          <w:szCs w:val="28"/>
        </w:rPr>
      </w:pPr>
      <w:bookmarkStart w:id="118" w:name="_Toc74752331"/>
      <w:r>
        <w:rPr>
          <w:rFonts w:hint="eastAsia" w:ascii="宋体" w:hAnsi="宋体"/>
          <w:b/>
          <w:bCs/>
          <w:sz w:val="28"/>
          <w:szCs w:val="28"/>
        </w:rPr>
        <w:t>资格响应文件</w:t>
      </w:r>
      <w:bookmarkEnd w:id="118"/>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关于投标人资格申明的函</w:t>
      </w:r>
    </w:p>
    <w:p>
      <w:pPr>
        <w:spacing w:line="360" w:lineRule="auto"/>
        <w:rPr>
          <w:rFonts w:ascii="宋体" w:hAnsi="宋体"/>
          <w:sz w:val="28"/>
          <w:szCs w:val="28"/>
        </w:rPr>
      </w:pPr>
      <w:bookmarkStart w:id="119" w:name="_Toc238581782"/>
      <w:bookmarkStart w:id="120" w:name="_Toc119296788"/>
      <w:bookmarkStart w:id="121" w:name="_Toc52184753"/>
      <w:bookmarkStart w:id="122" w:name="_Toc146903609"/>
      <w:bookmarkStart w:id="123" w:name="_Toc119203988"/>
      <w:bookmarkStart w:id="124" w:name="_Toc119295087"/>
      <w:r>
        <w:rPr>
          <w:rFonts w:hint="eastAsia" w:ascii="宋体" w:hAnsi="宋体"/>
          <w:sz w:val="28"/>
          <w:szCs w:val="28"/>
        </w:rPr>
        <w:t>致：</w:t>
      </w:r>
      <w:bookmarkEnd w:id="119"/>
      <w:r>
        <w:rPr>
          <w:rFonts w:hint="eastAsia" w:ascii="宋体" w:hAnsi="宋体"/>
          <w:sz w:val="28"/>
          <w:szCs w:val="28"/>
        </w:rPr>
        <w:t>成都市龙泉驿区公共资源交易服务中心</w:t>
      </w:r>
    </w:p>
    <w:p>
      <w:pPr>
        <w:spacing w:line="360" w:lineRule="auto"/>
        <w:ind w:firstLine="565" w:firstLineChars="202"/>
        <w:rPr>
          <w:rFonts w:ascii="宋体" w:hAnsi="宋体"/>
          <w:sz w:val="28"/>
          <w:szCs w:val="28"/>
        </w:rPr>
      </w:pPr>
      <w:bookmarkStart w:id="125" w:name="_Toc238581783"/>
      <w:r>
        <w:rPr>
          <w:rFonts w:hint="eastAsia" w:ascii="宋体" w:hAnsi="宋体"/>
          <w:sz w:val="28"/>
          <w:szCs w:val="28"/>
        </w:rPr>
        <w:t>关于我方对</w:t>
      </w:r>
      <w:r>
        <w:rPr>
          <w:rFonts w:hint="eastAsia" w:ascii="宋体" w:hAnsi="宋体"/>
          <w:b/>
          <w:sz w:val="28"/>
          <w:szCs w:val="28"/>
          <w:u w:val="single"/>
        </w:rPr>
        <w:t>成都市龙泉驿区教育局2021年新（改扩）建幼儿园第二批家具采购项目采购项目（项目编号：</w:t>
      </w:r>
      <w:r>
        <w:rPr>
          <w:rFonts w:hint="eastAsia" w:ascii="宋体" w:hAnsi="宋体"/>
          <w:b/>
          <w:sz w:val="28"/>
          <w:szCs w:val="28"/>
          <w:u w:val="single"/>
          <w:lang w:eastAsia="zh-CN"/>
        </w:rPr>
        <w:t>龙泉驿政采（2021）A0034号</w:t>
      </w:r>
      <w:r>
        <w:rPr>
          <w:rFonts w:hint="eastAsia" w:ascii="宋体" w:hAnsi="宋体"/>
          <w:b/>
          <w:sz w:val="28"/>
          <w:szCs w:val="28"/>
          <w:u w:val="single"/>
        </w:rPr>
        <w:t>）</w:t>
      </w:r>
      <w:r>
        <w:rPr>
          <w:rFonts w:hint="eastAsia" w:ascii="宋体" w:hAnsi="宋体"/>
          <w:sz w:val="28"/>
          <w:szCs w:val="28"/>
        </w:rPr>
        <w:t>的公开招标，提交的下列文件和说明是准确的和真实的。</w:t>
      </w:r>
      <w:bookmarkEnd w:id="125"/>
    </w:p>
    <w:p>
      <w:pPr>
        <w:widowControl/>
        <w:numPr>
          <w:ilvl w:val="2"/>
          <w:numId w:val="33"/>
        </w:numPr>
        <w:spacing w:line="360" w:lineRule="auto"/>
        <w:ind w:left="0" w:firstLine="560" w:firstLineChars="200"/>
        <w:rPr>
          <w:rFonts w:ascii="宋体" w:hAnsi="宋体"/>
          <w:sz w:val="28"/>
          <w:szCs w:val="28"/>
        </w:rPr>
      </w:pPr>
      <w:bookmarkStart w:id="126" w:name="_Toc238581784"/>
      <w:r>
        <w:rPr>
          <w:rFonts w:hint="eastAsia" w:ascii="宋体" w:hAnsi="宋体"/>
          <w:sz w:val="28"/>
          <w:szCs w:val="28"/>
        </w:rPr>
        <w:t>投标人名称及概况：</w:t>
      </w:r>
      <w:bookmarkEnd w:id="120"/>
      <w:bookmarkEnd w:id="121"/>
      <w:bookmarkEnd w:id="122"/>
      <w:bookmarkEnd w:id="123"/>
      <w:bookmarkEnd w:id="124"/>
      <w:bookmarkEnd w:id="126"/>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投标人名称：XXXX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地址：XXXX           邮编：XXXX</w:t>
      </w:r>
    </w:p>
    <w:p>
      <w:pPr>
        <w:spacing w:line="360" w:lineRule="auto"/>
        <w:ind w:firstLine="700" w:firstLineChars="250"/>
        <w:rPr>
          <w:rFonts w:ascii="宋体" w:hAnsi="宋体"/>
          <w:sz w:val="28"/>
          <w:szCs w:val="28"/>
          <w:u w:val="single"/>
        </w:rPr>
      </w:pPr>
      <w:r>
        <w:rPr>
          <w:rFonts w:hint="eastAsia" w:ascii="宋体" w:hAnsi="宋体"/>
          <w:sz w:val="28"/>
          <w:szCs w:val="28"/>
        </w:rPr>
        <w:t>传真/电话：XXXX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成立日期或注册日期：XXXX</w:t>
      </w:r>
    </w:p>
    <w:p>
      <w:pPr>
        <w:widowControl/>
        <w:numPr>
          <w:ilvl w:val="0"/>
          <w:numId w:val="34"/>
        </w:numPr>
        <w:spacing w:line="360" w:lineRule="auto"/>
        <w:ind w:left="0" w:firstLine="560" w:firstLineChars="200"/>
        <w:jc w:val="left"/>
        <w:rPr>
          <w:rFonts w:ascii="宋体" w:hAnsi="宋体"/>
          <w:sz w:val="28"/>
          <w:szCs w:val="28"/>
          <w:u w:val="single"/>
        </w:rPr>
      </w:pPr>
      <w:r>
        <w:rPr>
          <w:rFonts w:hint="eastAsia" w:ascii="宋体" w:hAnsi="宋体"/>
          <w:sz w:val="28"/>
          <w:szCs w:val="28"/>
        </w:rPr>
        <w:t>法定代表人姓名：XXXX</w:t>
      </w:r>
    </w:p>
    <w:p>
      <w:pPr>
        <w:widowControl/>
        <w:numPr>
          <w:ilvl w:val="2"/>
          <w:numId w:val="33"/>
        </w:numPr>
        <w:tabs>
          <w:tab w:val="left" w:pos="1276"/>
        </w:tabs>
        <w:spacing w:line="360" w:lineRule="auto"/>
        <w:ind w:left="0" w:firstLine="567"/>
        <w:rPr>
          <w:rFonts w:ascii="宋体" w:hAnsi="宋体"/>
          <w:sz w:val="28"/>
          <w:szCs w:val="28"/>
        </w:rPr>
      </w:pPr>
      <w:r>
        <w:rPr>
          <w:rFonts w:hint="eastAsia" w:ascii="宋体" w:hAnsi="宋体"/>
          <w:sz w:val="28"/>
          <w:szCs w:val="28"/>
        </w:rPr>
        <w:t>开户银行名称：XXXX</w:t>
      </w:r>
    </w:p>
    <w:p>
      <w:pPr>
        <w:spacing w:line="360" w:lineRule="auto"/>
        <w:ind w:firstLine="1260" w:firstLineChars="450"/>
        <w:rPr>
          <w:rFonts w:ascii="宋体" w:hAnsi="宋体"/>
          <w:sz w:val="28"/>
          <w:szCs w:val="28"/>
          <w:u w:val="single"/>
        </w:rPr>
      </w:pPr>
      <w:r>
        <w:rPr>
          <w:rFonts w:hint="eastAsia" w:ascii="宋体" w:hAnsi="宋体"/>
          <w:sz w:val="28"/>
          <w:szCs w:val="28"/>
        </w:rPr>
        <w:t>地址：XXXX</w:t>
      </w:r>
    </w:p>
    <w:p>
      <w:pPr>
        <w:spacing w:line="360" w:lineRule="auto"/>
        <w:ind w:firstLine="1260" w:firstLineChars="450"/>
        <w:rPr>
          <w:rFonts w:ascii="宋体" w:hAnsi="宋体"/>
          <w:sz w:val="28"/>
          <w:szCs w:val="28"/>
        </w:rPr>
      </w:pPr>
      <w:r>
        <w:rPr>
          <w:rFonts w:hint="eastAsia" w:ascii="宋体" w:hAnsi="宋体"/>
          <w:sz w:val="28"/>
          <w:szCs w:val="28"/>
        </w:rPr>
        <w:t>账号：XXXX</w:t>
      </w: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spacing w:line="360" w:lineRule="auto"/>
        <w:ind w:left="283" w:leftChars="135" w:firstLine="280" w:firstLineChars="10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2"/>
        <w:rPr>
          <w:rFonts w:ascii="宋体" w:hAnsi="宋体"/>
          <w:bCs/>
          <w:sz w:val="28"/>
        </w:rPr>
      </w:pPr>
    </w:p>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致：成都市龙泉驿区公共资源交易服务中心</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我单位作为</w:t>
      </w:r>
      <w:r>
        <w:rPr>
          <w:rFonts w:hint="eastAsia" w:ascii="宋体" w:hAnsi="宋体"/>
          <w:b/>
          <w:sz w:val="28"/>
          <w:szCs w:val="28"/>
          <w:u w:val="single"/>
        </w:rPr>
        <w:t>成都市龙泉驿区教育局2021年新（改扩）建幼儿园第二批家具采购项目采购项目（项目编号：</w:t>
      </w:r>
      <w:r>
        <w:rPr>
          <w:rFonts w:hint="eastAsia" w:ascii="宋体" w:hAnsi="宋体"/>
          <w:b/>
          <w:sz w:val="28"/>
          <w:szCs w:val="28"/>
          <w:u w:val="single"/>
          <w:lang w:eastAsia="zh-CN"/>
        </w:rPr>
        <w:t>龙泉驿政采（2021）A0034号</w:t>
      </w:r>
      <w:r>
        <w:rPr>
          <w:rFonts w:hint="eastAsia" w:ascii="宋体" w:hAnsi="宋体"/>
          <w:b/>
          <w:sz w:val="28"/>
          <w:szCs w:val="28"/>
          <w:u w:val="single"/>
        </w:rPr>
        <w:t>）</w:t>
      </w:r>
      <w:r>
        <w:rPr>
          <w:rFonts w:hint="eastAsia" w:ascii="宋体" w:hAnsi="宋体"/>
          <w:sz w:val="28"/>
          <w:szCs w:val="28"/>
        </w:rPr>
        <w:t>的投标人，在此郑重声明：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一、我单位参加政府采购活动前三年内，在经营活动中</w:t>
      </w:r>
      <w:r>
        <w:rPr>
          <w:rFonts w:hint="eastAsia" w:ascii="宋体" w:hAnsi="宋体"/>
          <w:b/>
          <w:sz w:val="28"/>
          <w:szCs w:val="28"/>
          <w:u w:val="single"/>
        </w:rPr>
        <w:t>（说明：填写“没有”或“有”）</w:t>
      </w:r>
      <w:r>
        <w:rPr>
          <w:rFonts w:hint="eastAsia" w:ascii="宋体" w:hAnsi="宋体"/>
          <w:sz w:val="28"/>
          <w:szCs w:val="28"/>
        </w:rPr>
        <w:t>重大违法记录。</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二、我单位</w:t>
      </w:r>
      <w:r>
        <w:rPr>
          <w:rFonts w:hint="eastAsia" w:ascii="宋体" w:hAnsi="宋体"/>
          <w:b/>
          <w:sz w:val="28"/>
          <w:szCs w:val="28"/>
          <w:u w:val="single"/>
        </w:rPr>
        <w:t>（说明：填写“具有”或“不具有”）</w:t>
      </w:r>
      <w:r>
        <w:rPr>
          <w:rFonts w:hint="eastAsia" w:ascii="宋体" w:hAnsi="宋体"/>
          <w:sz w:val="28"/>
          <w:szCs w:val="28"/>
        </w:rPr>
        <w:t>良好的商业信誉。</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三、与我单位负责人为同一人或者存在直接控股、管理关系的相关供应商：</w:t>
      </w:r>
      <w:r>
        <w:rPr>
          <w:rFonts w:hint="eastAsia" w:ascii="宋体" w:hAnsi="宋体"/>
          <w:b/>
          <w:sz w:val="28"/>
          <w:szCs w:val="28"/>
          <w:u w:val="single"/>
        </w:rPr>
        <w:t>（说明：填写“无”或“（一）供应商名称１；（二）供应商名称２；（三）……”）</w:t>
      </w:r>
      <w:r>
        <w:rPr>
          <w:rFonts w:hint="eastAsia" w:ascii="宋体" w:hAnsi="宋体"/>
          <w:sz w:val="28"/>
          <w:szCs w:val="28"/>
        </w:rPr>
        <w:t>。</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rPr>
        <w:t>失信被执行人、重大税收违法案件当事人名单。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rPr>
        <w:t>政府采购严重违法失信行为记录名单。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特此声明。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tabs>
          <w:tab w:val="left" w:pos="1260"/>
        </w:tabs>
        <w:spacing w:line="560" w:lineRule="exact"/>
        <w:ind w:firstLine="560" w:firstLineChars="200"/>
        <w:rPr>
          <w:rFonts w:ascii="宋体" w:hAnsi="宋体"/>
          <w:sz w:val="28"/>
          <w:szCs w:val="28"/>
          <w:u w:val="single"/>
        </w:rPr>
      </w:pPr>
      <w:r>
        <w:rPr>
          <w:rFonts w:hint="eastAsia" w:ascii="宋体" w:hAnsi="宋体"/>
          <w:sz w:val="28"/>
          <w:szCs w:val="28"/>
        </w:rPr>
        <w:t>日    期：202</w:t>
      </w:r>
      <w:r>
        <w:rPr>
          <w:rFonts w:hint="eastAsia" w:ascii="宋体" w:hAnsi="宋体"/>
          <w:sz w:val="28"/>
          <w:szCs w:val="28"/>
          <w:u w:val="single"/>
        </w:rPr>
        <w:t>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说明：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1.对声明中第一条的说明：如投标人在参加政府采购活动前三年内，在经营活动中有重大违法记录的，应填写“有”，投标人将被认定投标无效或被取消中标资格；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2.对声明中第三条的说明：单位负责人为同一人或者存在直接控股、管理关系的不同供应商，不得参加同一合同项下的政府采购活动；</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5.对声明中第六条的说明：如投标人处于被行政部门禁止参加政府采购活动期限内的，该声明填“处于”，投标人将被认定投标无效或被取消中标资格。</w:t>
      </w: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pStyle w:val="2"/>
        <w:rPr>
          <w:rFonts w:ascii="宋体" w:hAnsi="宋体"/>
          <w:szCs w:val="28"/>
        </w:rPr>
      </w:pPr>
    </w:p>
    <w:p>
      <w:pPr>
        <w:rPr>
          <w:rFonts w:ascii="宋体" w:hAnsi="宋体"/>
          <w:szCs w:val="28"/>
        </w:rPr>
      </w:pPr>
    </w:p>
    <w:p>
      <w:pPr>
        <w:pStyle w:val="2"/>
      </w:pPr>
    </w:p>
    <w:p>
      <w:pPr>
        <w:tabs>
          <w:tab w:val="left" w:pos="1260"/>
        </w:tabs>
        <w:spacing w:line="560" w:lineRule="exact"/>
        <w:ind w:firstLine="420" w:firstLineChars="200"/>
        <w:rPr>
          <w:rFonts w:ascii="宋体" w:hAnsi="宋体"/>
          <w:szCs w:val="28"/>
        </w:rPr>
      </w:pPr>
    </w:p>
    <w:p>
      <w:pPr>
        <w:tabs>
          <w:tab w:val="left" w:pos="1260"/>
        </w:tabs>
        <w:spacing w:line="560" w:lineRule="exact"/>
        <w:rPr>
          <w:rFonts w:ascii="宋体" w:hAnsi="宋体"/>
          <w:szCs w:val="28"/>
        </w:rPr>
      </w:pPr>
    </w:p>
    <w:p>
      <w:pPr>
        <w:tabs>
          <w:tab w:val="left" w:pos="1260"/>
        </w:tabs>
        <w:spacing w:line="560" w:lineRule="exact"/>
        <w:ind w:firstLine="420" w:firstLineChars="200"/>
        <w:rPr>
          <w:rFonts w:ascii="宋体" w:hAnsi="宋体"/>
          <w:szCs w:val="28"/>
        </w:rPr>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投标人应提交的相关资格证明材料</w:t>
      </w:r>
    </w:p>
    <w:p>
      <w:pPr>
        <w:ind w:firstLine="560" w:firstLineChars="200"/>
        <w:rPr>
          <w:sz w:val="28"/>
          <w:szCs w:val="28"/>
        </w:rPr>
      </w:pPr>
    </w:p>
    <w:p>
      <w:pPr>
        <w:spacing w:line="360" w:lineRule="auto"/>
        <w:ind w:firstLine="560" w:firstLineChars="200"/>
        <w:rPr>
          <w:sz w:val="28"/>
          <w:szCs w:val="28"/>
        </w:rPr>
      </w:pPr>
      <w:r>
        <w:rPr>
          <w:rFonts w:hint="eastAsia"/>
          <w:sz w:val="28"/>
          <w:szCs w:val="28"/>
        </w:rPr>
        <w:t>投标人按招标文件要求，应提供以下相关资格证明材料：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营业执照复印件（正本或副本）或法人证书复印件（正本或副本）；</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ascii="宋体" w:hAnsi="宋体"/>
          <w:sz w:val="28"/>
          <w:szCs w:val="28"/>
        </w:rPr>
        <w:t>20</w:t>
      </w:r>
      <w:r>
        <w:rPr>
          <w:rFonts w:hint="eastAsia" w:ascii="宋体" w:hAnsi="宋体"/>
          <w:sz w:val="28"/>
          <w:szCs w:val="28"/>
        </w:rPr>
        <w:t>19或</w:t>
      </w:r>
      <w:r>
        <w:rPr>
          <w:rFonts w:ascii="宋体" w:hAnsi="宋体"/>
          <w:sz w:val="28"/>
          <w:szCs w:val="28"/>
        </w:rPr>
        <w:t>20</w:t>
      </w:r>
      <w:r>
        <w:rPr>
          <w:rFonts w:hint="eastAsia" w:ascii="宋体" w:hAnsi="宋体"/>
          <w:sz w:val="28"/>
          <w:szCs w:val="28"/>
        </w:rPr>
        <w:t>20会计年度资产负债表复印件（说明：投标人成立时间至递交投标文件截止时间止不足一年的，提供成立后任意时段的资产负债表复印件）；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21年任意时段的税收的银行电子回单或者行政部门出具的纳税证明或完税证明复印件；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采购人对投标人履行合同所必须的设备和专业技术能力无其他特殊要求，投标人具有有效的营业执照或法人证书即可，可不提供其他证明材料；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21年任意时段的社保的银行电子回单或行政部门出具的社保缴纳证明材料复印件；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采购人对法律、行政法规规定的其他条件无其他特殊要求，投标人具有有效的营业执照或法人证书即可，可不提供其他证明材料。</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keepNext/>
        <w:keepLines/>
        <w:numPr>
          <w:ilvl w:val="1"/>
          <w:numId w:val="5"/>
        </w:numPr>
        <w:spacing w:line="520" w:lineRule="exact"/>
        <w:jc w:val="left"/>
        <w:outlineLvl w:val="1"/>
        <w:rPr>
          <w:rFonts w:ascii="宋体" w:hAnsi="宋体"/>
          <w:b/>
          <w:bCs/>
          <w:sz w:val="28"/>
          <w:szCs w:val="28"/>
        </w:rPr>
      </w:pPr>
      <w:bookmarkStart w:id="127" w:name="_Toc74752332"/>
      <w:r>
        <w:rPr>
          <w:rFonts w:hint="eastAsia" w:ascii="宋体" w:hAnsi="宋体"/>
          <w:b/>
          <w:bCs/>
          <w:sz w:val="28"/>
          <w:szCs w:val="28"/>
        </w:rPr>
        <w:t>商务技术</w:t>
      </w:r>
      <w:r>
        <w:rPr>
          <w:rFonts w:ascii="宋体" w:hAnsi="宋体"/>
          <w:b/>
          <w:bCs/>
          <w:sz w:val="28"/>
          <w:szCs w:val="28"/>
        </w:rPr>
        <w:t>响应文件</w:t>
      </w:r>
      <w:bookmarkEnd w:id="127"/>
    </w:p>
    <w:p>
      <w:pPr>
        <w:keepNext/>
        <w:keepLines/>
        <w:numPr>
          <w:ilvl w:val="2"/>
          <w:numId w:val="5"/>
        </w:numPr>
        <w:spacing w:line="520" w:lineRule="exact"/>
        <w:ind w:left="569" w:hanging="569"/>
        <w:outlineLvl w:val="2"/>
        <w:rPr>
          <w:rFonts w:ascii="宋体" w:hAnsi="宋体"/>
          <w:b/>
          <w:bCs/>
          <w:sz w:val="28"/>
          <w:szCs w:val="28"/>
        </w:rPr>
      </w:pPr>
      <w:r>
        <w:rPr>
          <w:rFonts w:hint="eastAsia" w:ascii="宋体" w:hAnsi="宋体"/>
          <w:b/>
          <w:bCs/>
          <w:sz w:val="28"/>
          <w:szCs w:val="28"/>
        </w:rPr>
        <w:t>投标函</w:t>
      </w:r>
    </w:p>
    <w:p>
      <w:pPr>
        <w:spacing w:line="520" w:lineRule="exact"/>
        <w:rPr>
          <w:rFonts w:ascii="宋体" w:hAnsi="宋体"/>
          <w:bCs/>
          <w:sz w:val="28"/>
          <w:szCs w:val="28"/>
        </w:rPr>
      </w:pPr>
      <w:r>
        <w:rPr>
          <w:rFonts w:hint="eastAsia" w:ascii="宋体" w:hAnsi="宋体"/>
          <w:bCs/>
          <w:sz w:val="28"/>
          <w:szCs w:val="28"/>
        </w:rPr>
        <w:t>成都市龙泉驿区公共资源交易服务中心：</w:t>
      </w:r>
    </w:p>
    <w:p>
      <w:pPr>
        <w:spacing w:line="520" w:lineRule="exact"/>
        <w:ind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rPr>
        <w:t>成都市龙泉驿区教育局2021年新（改扩）建幼儿园第二批家具采购项目采购项目</w:t>
      </w:r>
      <w:r>
        <w:rPr>
          <w:rFonts w:hint="eastAsia" w:ascii="宋体" w:hAnsi="宋体"/>
          <w:b/>
          <w:bCs/>
          <w:sz w:val="28"/>
          <w:szCs w:val="28"/>
          <w:u w:val="single"/>
        </w:rPr>
        <w:t>”（项目编号：</w:t>
      </w:r>
      <w:r>
        <w:rPr>
          <w:rFonts w:hint="eastAsia" w:ascii="宋体" w:hAnsi="宋体"/>
          <w:b/>
          <w:bCs/>
          <w:sz w:val="28"/>
          <w:szCs w:val="28"/>
          <w:u w:val="single"/>
          <w:lang w:eastAsia="zh-CN"/>
        </w:rPr>
        <w:t>龙泉驿政采（2021）A0034号</w:t>
      </w:r>
      <w:r>
        <w:rPr>
          <w:rFonts w:hint="eastAsia" w:ascii="宋体" w:hAnsi="宋体"/>
          <w:b/>
          <w:bCs/>
          <w:sz w:val="28"/>
          <w:szCs w:val="28"/>
          <w:u w:val="single"/>
        </w:rPr>
        <w:t>）</w:t>
      </w:r>
      <w:r>
        <w:rPr>
          <w:rFonts w:hint="eastAsia" w:ascii="宋体" w:hAnsi="宋体"/>
          <w:bCs/>
          <w:sz w:val="28"/>
          <w:szCs w:val="28"/>
        </w:rPr>
        <w:t>招标文件，决定参加贵单位组织的本项目投标。我方授权</w:t>
      </w:r>
      <w:r>
        <w:rPr>
          <w:rFonts w:hint="eastAsia" w:ascii="宋体" w:hAnsi="宋体"/>
          <w:bCs/>
          <w:sz w:val="28"/>
          <w:szCs w:val="28"/>
          <w:u w:val="single"/>
        </w:rPr>
        <w:t>XXXX（姓名、职务）</w:t>
      </w:r>
      <w:r>
        <w:rPr>
          <w:rFonts w:hint="eastAsia" w:ascii="宋体" w:hAnsi="宋体"/>
          <w:bCs/>
          <w:sz w:val="28"/>
          <w:szCs w:val="28"/>
        </w:rPr>
        <w:t xml:space="preserve">代表我方 </w:t>
      </w:r>
      <w:r>
        <w:rPr>
          <w:rFonts w:hint="eastAsia" w:ascii="宋体" w:hAnsi="宋体"/>
          <w:bCs/>
          <w:sz w:val="28"/>
          <w:szCs w:val="28"/>
          <w:u w:val="single"/>
        </w:rPr>
        <w:t>XXXX（投标人名称）</w:t>
      </w:r>
      <w:r>
        <w:rPr>
          <w:rFonts w:hint="eastAsia" w:ascii="宋体" w:hAnsi="宋体"/>
          <w:bCs/>
          <w:sz w:val="28"/>
          <w:szCs w:val="28"/>
        </w:rPr>
        <w:t>全权处理本项目投标的有关事宜。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520" w:lineRule="exact"/>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spacing w:line="520" w:lineRule="exact"/>
        <w:ind w:left="283" w:leftChars="135" w:firstLine="700" w:firstLineChars="25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128" w:name="_Toc240367172"/>
      <w:bookmarkStart w:id="129" w:name="_Toc231030275"/>
      <w:bookmarkStart w:id="130" w:name="_Toc314574804"/>
      <w:bookmarkStart w:id="131" w:name="_Toc265494342"/>
      <w:bookmarkStart w:id="132" w:name="_Toc239849853"/>
      <w:bookmarkStart w:id="133" w:name="_Toc229802674"/>
      <w:bookmarkStart w:id="134" w:name="_Toc237145395"/>
      <w:bookmarkStart w:id="135" w:name="_Toc239846734"/>
      <w:bookmarkStart w:id="136" w:name="_Toc240865266"/>
    </w:p>
    <w:p>
      <w:pPr>
        <w:pStyle w:val="2"/>
        <w:rPr>
          <w:rFonts w:ascii="宋体" w:hAnsi="宋体"/>
          <w:bCs/>
          <w:sz w:val="28"/>
        </w:rPr>
      </w:pPr>
    </w:p>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bookmarkStart w:id="137" w:name="_Toc263768866"/>
      <w:r>
        <w:rPr>
          <w:rFonts w:hint="eastAsia" w:ascii="宋体" w:hAnsi="宋体"/>
          <w:sz w:val="28"/>
          <w:lang w:val="zh-CN"/>
        </w:rPr>
        <w:t>特此证明。</w:t>
      </w:r>
      <w:bookmarkEnd w:id="137"/>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spacing w:after="180" w:line="360" w:lineRule="auto"/>
        <w:ind w:firstLine="568" w:firstLineChars="202"/>
        <w:rPr>
          <w:rFonts w:ascii="宋体" w:hAnsi="宋体"/>
          <w:b/>
          <w:sz w:val="28"/>
          <w:szCs w:val="28"/>
        </w:rPr>
      </w:pPr>
    </w:p>
    <w:bookmarkEnd w:id="128"/>
    <w:bookmarkEnd w:id="129"/>
    <w:bookmarkEnd w:id="130"/>
    <w:bookmarkEnd w:id="131"/>
    <w:bookmarkEnd w:id="132"/>
    <w:bookmarkEnd w:id="133"/>
    <w:bookmarkEnd w:id="134"/>
    <w:bookmarkEnd w:id="135"/>
    <w:bookmarkEnd w:id="136"/>
    <w:p>
      <w:pPr>
        <w:keepNext/>
        <w:keepLines/>
        <w:numPr>
          <w:ilvl w:val="2"/>
          <w:numId w:val="5"/>
        </w:numPr>
        <w:spacing w:line="360" w:lineRule="auto"/>
        <w:ind w:left="3119" w:hanging="3119"/>
        <w:outlineLvl w:val="2"/>
        <w:rPr>
          <w:rFonts w:ascii="宋体" w:hAnsi="宋体"/>
          <w:b/>
          <w:bCs/>
          <w:sz w:val="28"/>
          <w:szCs w:val="28"/>
        </w:rPr>
      </w:pPr>
      <w:bookmarkStart w:id="138" w:name="_Toc315871054"/>
      <w:bookmarkEnd w:id="138"/>
      <w:bookmarkStart w:id="139" w:name="_Toc302997926"/>
      <w:bookmarkStart w:id="140" w:name="_Toc220299393"/>
      <w:bookmarkStart w:id="141" w:name="_Toc263753605"/>
      <w:bookmarkStart w:id="142" w:name="_Toc263768870"/>
      <w:bookmarkStart w:id="143" w:name="_Toc217446083"/>
      <w:r>
        <w:rPr>
          <w:rFonts w:hint="eastAsia" w:ascii="宋体" w:hAnsi="宋体"/>
          <w:b/>
          <w:bCs/>
          <w:sz w:val="28"/>
          <w:szCs w:val="28"/>
        </w:rPr>
        <w:t>投标人基本情况表</w:t>
      </w:r>
      <w:bookmarkEnd w:id="139"/>
    </w:p>
    <w:tbl>
      <w:tblPr>
        <w:tblStyle w:val="46"/>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20" w:leftChars="20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700" w:firstLineChars="250"/>
        <w:rPr>
          <w:rFonts w:ascii="宋体" w:hAnsi="宋体"/>
          <w:bCs/>
          <w:sz w:val="28"/>
          <w:u w:val="single"/>
        </w:rPr>
      </w:pPr>
    </w:p>
    <w:p>
      <w:pPr>
        <w:pStyle w:val="2"/>
        <w:rPr>
          <w:rFonts w:ascii="宋体" w:hAnsi="宋体"/>
          <w:bCs/>
          <w:sz w:val="28"/>
          <w:u w:val="single"/>
        </w:rPr>
      </w:pPr>
    </w:p>
    <w:p/>
    <w:bookmarkEnd w:id="140"/>
    <w:bookmarkEnd w:id="141"/>
    <w:bookmarkEnd w:id="142"/>
    <w:p>
      <w:pPr>
        <w:keepNext/>
        <w:keepLines/>
        <w:numPr>
          <w:ilvl w:val="2"/>
          <w:numId w:val="5"/>
        </w:numPr>
        <w:spacing w:line="360" w:lineRule="auto"/>
        <w:ind w:left="142" w:hanging="142"/>
        <w:outlineLvl w:val="2"/>
        <w:rPr>
          <w:rFonts w:ascii="宋体" w:hAnsi="宋体"/>
          <w:b/>
          <w:bCs/>
          <w:sz w:val="28"/>
          <w:szCs w:val="28"/>
        </w:rPr>
      </w:pPr>
      <w:bookmarkStart w:id="144" w:name="_Toc302997928"/>
      <w:bookmarkStart w:id="145" w:name="_Toc263753619"/>
      <w:bookmarkStart w:id="146" w:name="_Toc263768877"/>
      <w:r>
        <w:rPr>
          <w:rFonts w:hint="eastAsia" w:ascii="宋体" w:hAnsi="宋体"/>
          <w:b/>
          <w:bCs/>
          <w:sz w:val="28"/>
          <w:szCs w:val="28"/>
        </w:rPr>
        <w:t>投标产品技术性能、技术参数和配置的详细描述</w:t>
      </w:r>
    </w:p>
    <w:p>
      <w:pPr>
        <w:snapToGrid w:val="0"/>
        <w:spacing w:line="360" w:lineRule="auto"/>
        <w:ind w:right="-624" w:rightChars="-297"/>
        <w:rPr>
          <w:rFonts w:ascii="宋体" w:hAnsi="宋体"/>
          <w:b/>
          <w:sz w:val="28"/>
        </w:rPr>
      </w:pPr>
      <w:r>
        <w:rPr>
          <w:rFonts w:hint="eastAsia" w:ascii="宋体" w:hAnsi="宋体"/>
          <w:b/>
          <w:sz w:val="28"/>
        </w:rPr>
        <w:t>项目名称：</w:t>
      </w:r>
      <w:r>
        <w:rPr>
          <w:rFonts w:hint="eastAsia" w:ascii="宋体" w:hAnsi="宋体"/>
          <w:b/>
          <w:sz w:val="28"/>
          <w:u w:val="single"/>
        </w:rPr>
        <w:t>成都市龙泉驿区教育局2021年新（改扩）建幼儿园第二批家具采购项目采购项目</w:t>
      </w:r>
    </w:p>
    <w:p>
      <w:pPr>
        <w:snapToGrid w:val="0"/>
        <w:spacing w:line="360" w:lineRule="auto"/>
        <w:ind w:right="-624" w:rightChars="-297"/>
        <w:rPr>
          <w:rFonts w:ascii="宋体" w:hAnsi="宋体"/>
        </w:rPr>
      </w:pPr>
      <w:r>
        <w:rPr>
          <w:rFonts w:hint="eastAsia" w:ascii="宋体" w:hAnsi="宋体"/>
          <w:b/>
          <w:sz w:val="28"/>
        </w:rPr>
        <w:t>项目编号：</w:t>
      </w:r>
      <w:r>
        <w:rPr>
          <w:rFonts w:hint="eastAsia" w:ascii="宋体" w:hAnsi="宋体"/>
          <w:b/>
          <w:sz w:val="28"/>
          <w:szCs w:val="28"/>
          <w:u w:val="single"/>
        </w:rPr>
        <w:t>龙泉驿政采（2021）A003</w:t>
      </w:r>
      <w:r>
        <w:rPr>
          <w:rFonts w:hint="eastAsia" w:ascii="宋体" w:hAnsi="宋体"/>
          <w:b/>
          <w:sz w:val="28"/>
          <w:szCs w:val="28"/>
          <w:u w:val="single"/>
          <w:lang w:val="en-US" w:eastAsia="zh-CN"/>
        </w:rPr>
        <w:t>4</w:t>
      </w:r>
      <w:r>
        <w:rPr>
          <w:rFonts w:hint="eastAsia" w:ascii="宋体" w:hAnsi="宋体"/>
          <w:b/>
          <w:sz w:val="28"/>
          <w:szCs w:val="28"/>
          <w:u w:val="single"/>
        </w:rPr>
        <w:t>号</w:t>
      </w:r>
    </w:p>
    <w:p>
      <w:pPr>
        <w:spacing w:line="360" w:lineRule="auto"/>
        <w:rPr>
          <w:rFonts w:ascii="宋体" w:hAnsi="宋体"/>
          <w:b/>
          <w:sz w:val="28"/>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2"/>
      </w:pPr>
    </w:p>
    <w:p>
      <w:pPr>
        <w:adjustRightInd w:val="0"/>
        <w:spacing w:line="400" w:lineRule="exact"/>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售后服务及承诺</w:t>
      </w:r>
      <w:bookmarkEnd w:id="144"/>
      <w:bookmarkEnd w:id="145"/>
      <w:bookmarkEnd w:id="146"/>
    </w:p>
    <w:p>
      <w:pPr>
        <w:snapToGrid w:val="0"/>
        <w:spacing w:line="360" w:lineRule="auto"/>
        <w:ind w:right="-624" w:rightChars="-297"/>
        <w:rPr>
          <w:rFonts w:ascii="宋体" w:hAnsi="宋体"/>
          <w:b/>
          <w:sz w:val="28"/>
          <w:szCs w:val="28"/>
        </w:rPr>
      </w:pPr>
      <w:r>
        <w:rPr>
          <w:rFonts w:hint="eastAsia" w:ascii="宋体" w:hAnsi="宋体"/>
          <w:b/>
          <w:sz w:val="28"/>
        </w:rPr>
        <w:t>项目名称：</w:t>
      </w:r>
      <w:r>
        <w:rPr>
          <w:rFonts w:hint="eastAsia" w:ascii="宋体" w:hAnsi="宋体"/>
          <w:b/>
          <w:sz w:val="28"/>
          <w:szCs w:val="28"/>
          <w:u w:val="single"/>
        </w:rPr>
        <w:t>成都市龙泉驿区教育局2021年新（改扩）建幼儿园第二批家具采购项目采购项目</w:t>
      </w:r>
    </w:p>
    <w:p>
      <w:pPr>
        <w:snapToGrid w:val="0"/>
        <w:spacing w:line="360" w:lineRule="auto"/>
        <w:ind w:right="-624" w:rightChars="-297"/>
        <w:rPr>
          <w:rFonts w:ascii="宋体" w:hAnsi="宋体"/>
          <w:b/>
          <w:sz w:val="28"/>
        </w:rPr>
      </w:pPr>
      <w:r>
        <w:rPr>
          <w:rFonts w:hint="eastAsia" w:ascii="宋体" w:hAnsi="宋体"/>
          <w:b/>
          <w:sz w:val="28"/>
        </w:rPr>
        <w:t>项目编号：</w:t>
      </w:r>
      <w:r>
        <w:rPr>
          <w:rFonts w:hint="eastAsia" w:ascii="宋体" w:hAnsi="宋体"/>
          <w:b/>
          <w:sz w:val="28"/>
          <w:u w:val="single"/>
        </w:rPr>
        <w:t>龙泉驿政采（2021）A003</w:t>
      </w:r>
      <w:r>
        <w:rPr>
          <w:rFonts w:hint="eastAsia" w:ascii="宋体" w:hAnsi="宋体"/>
          <w:b/>
          <w:sz w:val="28"/>
          <w:u w:val="single"/>
          <w:lang w:val="en-US" w:eastAsia="zh-CN"/>
        </w:rPr>
        <w:t>4</w:t>
      </w:r>
      <w:r>
        <w:rPr>
          <w:rFonts w:hint="eastAsia" w:ascii="宋体" w:hAnsi="宋体"/>
          <w:b/>
          <w:sz w:val="28"/>
          <w:u w:val="single"/>
        </w:rPr>
        <w:t>号</w:t>
      </w:r>
    </w:p>
    <w:p>
      <w:pPr>
        <w:tabs>
          <w:tab w:val="left" w:pos="720"/>
        </w:tabs>
        <w:spacing w:line="360" w:lineRule="auto"/>
        <w:ind w:firstLine="560" w:firstLineChars="200"/>
        <w:rPr>
          <w:rFonts w:ascii="宋体" w:hAnsi="宋体"/>
          <w:sz w:val="28"/>
        </w:rPr>
      </w:pPr>
      <w:r>
        <w:rPr>
          <w:rFonts w:hint="eastAsia" w:ascii="宋体" w:hAnsi="宋体"/>
          <w:sz w:val="28"/>
        </w:rPr>
        <w:t>一、验收标准</w:t>
      </w:r>
    </w:p>
    <w:p>
      <w:pPr>
        <w:spacing w:line="360" w:lineRule="auto"/>
        <w:ind w:firstLine="565" w:firstLineChars="202"/>
        <w:rPr>
          <w:rFonts w:ascii="宋体" w:hAnsi="宋体"/>
          <w:sz w:val="28"/>
        </w:rPr>
      </w:pPr>
      <w:r>
        <w:rPr>
          <w:rFonts w:hint="eastAsia" w:ascii="宋体" w:hAnsi="宋体"/>
          <w:sz w:val="28"/>
        </w:rPr>
        <w:t xml:space="preserve">    （投标人应提出详细的验收程序和所执行的验收标准）</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r>
        <w:rPr>
          <w:rFonts w:hint="eastAsia" w:ascii="宋体" w:hAnsi="宋体"/>
          <w:sz w:val="28"/>
        </w:rPr>
        <w:t>二、交货进度计划及保障措施</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p>
    <w:p>
      <w:pPr>
        <w:tabs>
          <w:tab w:val="left" w:pos="720"/>
        </w:tabs>
        <w:spacing w:line="360" w:lineRule="auto"/>
        <w:ind w:firstLine="560" w:firstLineChars="200"/>
        <w:rPr>
          <w:rFonts w:ascii="宋体" w:hAnsi="宋体"/>
          <w:sz w:val="28"/>
        </w:rPr>
      </w:pPr>
      <w:r>
        <w:rPr>
          <w:rFonts w:hint="eastAsia" w:ascii="宋体" w:hAnsi="宋体"/>
          <w:sz w:val="28"/>
        </w:rPr>
        <w:t>三、售后服务承诺</w:t>
      </w:r>
    </w:p>
    <w:p>
      <w:pPr>
        <w:ind w:firstLine="565" w:firstLineChars="202"/>
        <w:rPr>
          <w:rFonts w:ascii="宋体" w:hAnsi="宋体"/>
          <w:sz w:val="28"/>
        </w:rPr>
      </w:pPr>
      <w:r>
        <w:rPr>
          <w:rFonts w:hint="eastAsia" w:ascii="宋体" w:hAnsi="宋体"/>
          <w:sz w:val="28"/>
        </w:rPr>
        <w:t>（售后服务承诺应包括但不限于以下内容）</w:t>
      </w:r>
    </w:p>
    <w:p>
      <w:pPr>
        <w:spacing w:line="400" w:lineRule="exact"/>
        <w:ind w:firstLine="560" w:firstLineChars="200"/>
        <w:rPr>
          <w:rFonts w:ascii="宋体" w:hAnsi="宋体"/>
          <w:sz w:val="28"/>
        </w:rPr>
      </w:pPr>
      <w:r>
        <w:rPr>
          <w:rFonts w:hint="eastAsia" w:ascii="宋体" w:hAnsi="宋体"/>
          <w:sz w:val="28"/>
        </w:rPr>
        <w:t>（一）产品制造厂家或投标人设立的售后服务机构网点清单、服务电话和维修人员名单；</w:t>
      </w:r>
    </w:p>
    <w:p>
      <w:pPr>
        <w:spacing w:line="400" w:lineRule="exact"/>
        <w:ind w:firstLine="560" w:firstLineChars="200"/>
        <w:rPr>
          <w:rFonts w:ascii="宋体" w:hAnsi="宋体"/>
          <w:sz w:val="28"/>
        </w:rPr>
      </w:pPr>
      <w:r>
        <w:rPr>
          <w:rFonts w:hint="eastAsia" w:ascii="宋体" w:hAnsi="宋体"/>
          <w:sz w:val="28"/>
        </w:rPr>
        <w:t>（二）说明投标产品的保修时间、保修期内的保修内容与范围、维修响应时间等；</w:t>
      </w:r>
    </w:p>
    <w:p>
      <w:pPr>
        <w:ind w:firstLine="565" w:firstLineChars="202"/>
        <w:rPr>
          <w:rFonts w:ascii="宋体" w:hAnsi="宋体"/>
          <w:sz w:val="28"/>
        </w:rPr>
      </w:pPr>
      <w:r>
        <w:rPr>
          <w:rFonts w:hint="eastAsia" w:ascii="宋体" w:hAnsi="宋体"/>
          <w:sz w:val="28"/>
        </w:rPr>
        <w:t>（三）……</w:t>
      </w:r>
    </w:p>
    <w:p>
      <w:pPr>
        <w:ind w:firstLine="565" w:firstLineChars="202"/>
        <w:rPr>
          <w:rFonts w:ascii="宋体" w:hAnsi="宋体"/>
          <w:sz w:val="28"/>
        </w:rPr>
      </w:pPr>
      <w:r>
        <w:rPr>
          <w:rFonts w:hint="eastAsia" w:ascii="宋体" w:hAnsi="宋体"/>
          <w:sz w:val="28"/>
        </w:rPr>
        <w:t>四、技术支持的能力及方案</w:t>
      </w:r>
    </w:p>
    <w:p>
      <w:pPr>
        <w:ind w:firstLine="565" w:firstLineChars="202"/>
        <w:rPr>
          <w:rFonts w:ascii="宋体" w:hAnsi="宋体"/>
          <w:sz w:val="28"/>
        </w:rPr>
      </w:pPr>
    </w:p>
    <w:p>
      <w:pPr>
        <w:ind w:firstLine="565" w:firstLineChars="202"/>
        <w:rPr>
          <w:rFonts w:ascii="宋体" w:hAnsi="宋体"/>
          <w:sz w:val="28"/>
        </w:rPr>
      </w:pPr>
    </w:p>
    <w:p>
      <w:pPr>
        <w:tabs>
          <w:tab w:val="left" w:pos="720"/>
        </w:tabs>
        <w:ind w:firstLine="560" w:firstLineChars="200"/>
        <w:rPr>
          <w:rFonts w:ascii="宋体" w:hAnsi="宋体"/>
          <w:sz w:val="28"/>
        </w:rPr>
      </w:pPr>
      <w:r>
        <w:rPr>
          <w:rFonts w:hint="eastAsia" w:ascii="宋体" w:hAnsi="宋体"/>
          <w:sz w:val="28"/>
        </w:rPr>
        <w:t>五、其他说明的内容</w:t>
      </w:r>
      <w:bookmarkEnd w:id="143"/>
      <w:bookmarkStart w:id="147" w:name="_Toc316475719"/>
    </w:p>
    <w:p>
      <w:pPr>
        <w:ind w:firstLine="565" w:firstLineChars="202"/>
        <w:rPr>
          <w:rFonts w:ascii="宋体" w:hAnsi="宋体"/>
          <w:sz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pStyle w:val="2"/>
      </w:pPr>
    </w:p>
    <w:p>
      <w:pPr>
        <w:ind w:firstLine="565" w:firstLineChars="202"/>
        <w:rPr>
          <w:rFonts w:ascii="宋体" w:hAnsi="宋体"/>
          <w:bCs/>
          <w:sz w:val="28"/>
          <w:szCs w:val="28"/>
        </w:rPr>
      </w:pPr>
    </w:p>
    <w:p>
      <w:pPr>
        <w:rPr>
          <w:rFonts w:ascii="宋体" w:hAnsi="宋体"/>
          <w:bCs/>
          <w:sz w:val="28"/>
          <w:szCs w:val="28"/>
        </w:rPr>
      </w:pPr>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项目实施方案</w:t>
      </w:r>
    </w:p>
    <w:p>
      <w:pPr>
        <w:snapToGrid w:val="0"/>
        <w:spacing w:line="360" w:lineRule="auto"/>
        <w:ind w:right="-624" w:rightChars="-297"/>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成都市龙泉驿区教育局2021年新（改扩）建幼儿园第二批家具采购项目采购项目</w:t>
      </w:r>
    </w:p>
    <w:p>
      <w:pPr>
        <w:snapToGrid w:val="0"/>
        <w:spacing w:line="360" w:lineRule="auto"/>
        <w:rPr>
          <w:rFonts w:ascii="宋体" w:hAnsi="宋体"/>
          <w:b/>
          <w:sz w:val="28"/>
          <w:szCs w:val="28"/>
        </w:rPr>
      </w:pPr>
      <w:r>
        <w:rPr>
          <w:rFonts w:hint="eastAsia" w:ascii="宋体" w:hAnsi="宋体"/>
          <w:b/>
          <w:sz w:val="28"/>
          <w:szCs w:val="28"/>
        </w:rPr>
        <w:t>项目编号：</w:t>
      </w:r>
      <w:r>
        <w:rPr>
          <w:rFonts w:hint="eastAsia" w:ascii="宋体" w:hAnsi="宋体"/>
          <w:b/>
          <w:sz w:val="28"/>
          <w:u w:val="single"/>
        </w:rPr>
        <w:t>龙泉驿政采（2021）A003</w:t>
      </w:r>
      <w:r>
        <w:rPr>
          <w:rFonts w:hint="eastAsia" w:ascii="宋体" w:hAnsi="宋体"/>
          <w:b/>
          <w:sz w:val="28"/>
          <w:u w:val="single"/>
          <w:lang w:val="en-US" w:eastAsia="zh-CN"/>
        </w:rPr>
        <w:t>4</w:t>
      </w:r>
      <w:r>
        <w:rPr>
          <w:rFonts w:hint="eastAsia" w:ascii="宋体" w:hAnsi="宋体"/>
          <w:b/>
          <w:sz w:val="28"/>
          <w:u w:val="single"/>
        </w:rPr>
        <w:t>号</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pStyle w:val="2"/>
      </w:pPr>
    </w:p>
    <w:p>
      <w:pPr>
        <w:adjustRightInd w:val="0"/>
        <w:spacing w:line="400" w:lineRule="exact"/>
        <w:ind w:firstLine="420" w:firstLineChars="150"/>
        <w:rPr>
          <w:rFonts w:ascii="宋体" w:hAnsi="宋体"/>
          <w:bCs/>
          <w:sz w:val="28"/>
          <w:u w:val="single"/>
        </w:rPr>
      </w:pPr>
    </w:p>
    <w:p>
      <w:pPr>
        <w:rPr>
          <w:rFonts w:ascii="宋体" w:hAnsi="宋体"/>
          <w:bCs/>
          <w:sz w:val="28"/>
          <w:szCs w:val="28"/>
        </w:rPr>
      </w:pPr>
    </w:p>
    <w:p>
      <w:pPr>
        <w:keepNext/>
        <w:keepLines/>
        <w:numPr>
          <w:ilvl w:val="2"/>
          <w:numId w:val="5"/>
        </w:numPr>
        <w:spacing w:line="560" w:lineRule="exact"/>
        <w:outlineLvl w:val="2"/>
        <w:rPr>
          <w:rFonts w:ascii="宋体" w:hAnsi="宋体"/>
          <w:b/>
          <w:sz w:val="28"/>
          <w:szCs w:val="28"/>
        </w:rPr>
      </w:pPr>
      <w:r>
        <w:rPr>
          <w:rFonts w:hint="eastAsia" w:ascii="宋体" w:hAnsi="宋体"/>
          <w:b/>
          <w:sz w:val="28"/>
          <w:szCs w:val="28"/>
        </w:rPr>
        <w:t>承诺函</w:t>
      </w:r>
    </w:p>
    <w:p>
      <w:pPr>
        <w:snapToGrid w:val="0"/>
        <w:spacing w:line="560" w:lineRule="exact"/>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成都市龙泉驿区教育局2021年新（改扩）建幼儿园第二批家具采购项目采购项目</w:t>
      </w:r>
    </w:p>
    <w:p>
      <w:pPr>
        <w:snapToGrid w:val="0"/>
        <w:spacing w:line="560" w:lineRule="exact"/>
        <w:rPr>
          <w:rFonts w:ascii="宋体" w:hAnsi="宋体"/>
          <w:b/>
          <w:sz w:val="28"/>
          <w:szCs w:val="28"/>
        </w:rPr>
      </w:pPr>
      <w:r>
        <w:rPr>
          <w:rFonts w:hint="eastAsia" w:ascii="宋体" w:hAnsi="宋体"/>
          <w:b/>
          <w:sz w:val="28"/>
          <w:szCs w:val="28"/>
        </w:rPr>
        <w:t>项目编号：</w:t>
      </w:r>
      <w:r>
        <w:rPr>
          <w:rFonts w:hint="eastAsia" w:ascii="宋体" w:hAnsi="宋体"/>
          <w:b/>
          <w:sz w:val="28"/>
          <w:szCs w:val="28"/>
          <w:u w:val="single"/>
        </w:rPr>
        <w:t>龙泉驿政采（2021）A003</w:t>
      </w:r>
      <w:r>
        <w:rPr>
          <w:rFonts w:hint="eastAsia" w:ascii="宋体" w:hAnsi="宋体"/>
          <w:b/>
          <w:sz w:val="28"/>
          <w:szCs w:val="28"/>
          <w:u w:val="single"/>
          <w:lang w:val="en-US" w:eastAsia="zh-CN"/>
        </w:rPr>
        <w:t>4</w:t>
      </w:r>
      <w:r>
        <w:rPr>
          <w:rFonts w:hint="eastAsia" w:ascii="宋体" w:hAnsi="宋体"/>
          <w:b/>
          <w:sz w:val="28"/>
          <w:szCs w:val="28"/>
          <w:u w:val="single"/>
        </w:rPr>
        <w:t>号</w:t>
      </w:r>
    </w:p>
    <w:p>
      <w:pPr>
        <w:snapToGrid w:val="0"/>
        <w:spacing w:line="560" w:lineRule="exact"/>
        <w:ind w:firstLine="560" w:firstLineChars="200"/>
        <w:rPr>
          <w:rFonts w:ascii="宋体" w:hAnsi="宋体"/>
          <w:sz w:val="28"/>
        </w:rPr>
      </w:pPr>
      <w:r>
        <w:rPr>
          <w:rFonts w:hint="eastAsia" w:ascii="宋体" w:hAnsi="宋体"/>
          <w:sz w:val="28"/>
        </w:rPr>
        <w:t>我公司作为参加本项目的投标人，在此郑重承诺：</w:t>
      </w:r>
    </w:p>
    <w:p>
      <w:pPr>
        <w:pStyle w:val="149"/>
        <w:numPr>
          <w:ilvl w:val="0"/>
          <w:numId w:val="37"/>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rPr>
        <w:t>为本项目提供的所有产品、辅材中</w:t>
      </w:r>
      <w:r>
        <w:rPr>
          <w:rFonts w:ascii="宋体" w:hAnsi="宋体" w:cs="宋体"/>
          <w:kern w:val="0"/>
          <w:sz w:val="28"/>
          <w:szCs w:val="28"/>
        </w:rPr>
        <w:t>属于《国家强制性产品认证目录》范围内产品的，均通过国家强制性产品认证并取得认证证书。</w:t>
      </w:r>
    </w:p>
    <w:p>
      <w:pPr>
        <w:pStyle w:val="149"/>
        <w:numPr>
          <w:ilvl w:val="0"/>
          <w:numId w:val="37"/>
        </w:numPr>
        <w:tabs>
          <w:tab w:val="left" w:pos="1134"/>
        </w:tabs>
        <w:snapToGrid w:val="0"/>
        <w:spacing w:before="60" w:after="200" w:line="560" w:lineRule="exact"/>
        <w:ind w:left="0" w:right="210" w:firstLine="567" w:firstLineChars="0"/>
        <w:rPr>
          <w:rFonts w:ascii="宋体" w:hAnsi="宋体" w:cs="宋体"/>
          <w:kern w:val="0"/>
          <w:sz w:val="28"/>
          <w:szCs w:val="28"/>
        </w:rPr>
      </w:pPr>
      <w:r>
        <w:rPr>
          <w:rFonts w:hint="eastAsia" w:ascii="宋体" w:hAnsi="宋体"/>
          <w:sz w:val="28"/>
          <w:szCs w:val="28"/>
        </w:rPr>
        <w:t>为本项目提供的所有产品、辅材符合现行的强制性国家相关标准、行业标准。</w:t>
      </w:r>
    </w:p>
    <w:p>
      <w:pPr>
        <w:pStyle w:val="149"/>
        <w:numPr>
          <w:ilvl w:val="0"/>
          <w:numId w:val="37"/>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rPr>
        <w:t>我方为本项目提供的所有产品中属于节能产品政府采购品目清单中的政府强制采购产品的，均应具有国家确定的认证机构出具的有效期内的节能产品认证证书。</w:t>
      </w:r>
    </w:p>
    <w:p>
      <w:pPr>
        <w:snapToGrid w:val="0"/>
        <w:spacing w:line="560" w:lineRule="exact"/>
        <w:ind w:firstLine="560" w:firstLineChars="200"/>
      </w:pPr>
      <w:r>
        <w:rPr>
          <w:rFonts w:hint="eastAsia" w:ascii="宋体" w:hAnsi="宋体"/>
          <w:sz w:val="28"/>
          <w:szCs w:val="28"/>
        </w:rPr>
        <w:t>特此承诺。</w:t>
      </w:r>
    </w:p>
    <w:p>
      <w:pPr>
        <w:snapToGrid w:val="0"/>
        <w:spacing w:line="560" w:lineRule="exact"/>
        <w:ind w:firstLine="560" w:firstLineChars="200"/>
        <w:rPr>
          <w:rFonts w:ascii="宋体" w:hAnsi="宋体"/>
          <w:sz w:val="28"/>
          <w:szCs w:val="28"/>
        </w:rPr>
      </w:pPr>
    </w:p>
    <w:p>
      <w:pPr>
        <w:snapToGrid w:val="0"/>
        <w:spacing w:line="560" w:lineRule="exact"/>
        <w:ind w:firstLine="560" w:firstLineChars="200"/>
        <w:rPr>
          <w:rFonts w:ascii="宋体" w:hAnsi="宋体"/>
          <w:sz w:val="28"/>
          <w:szCs w:val="28"/>
        </w:rPr>
      </w:pPr>
    </w:p>
    <w:p>
      <w:pPr>
        <w:spacing w:after="120" w:line="560" w:lineRule="exact"/>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56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rPr>
          <w:rFonts w:ascii="宋体" w:hAnsi="宋体"/>
          <w:bCs/>
          <w:sz w:val="28"/>
        </w:rPr>
      </w:pPr>
    </w:p>
    <w:p>
      <w:pPr>
        <w:keepNext/>
        <w:keepLines/>
        <w:numPr>
          <w:ilvl w:val="1"/>
          <w:numId w:val="5"/>
        </w:numPr>
        <w:spacing w:line="360" w:lineRule="auto"/>
        <w:jc w:val="left"/>
        <w:outlineLvl w:val="1"/>
        <w:rPr>
          <w:rFonts w:ascii="宋体" w:hAnsi="宋体"/>
          <w:b/>
          <w:bCs/>
          <w:sz w:val="28"/>
          <w:szCs w:val="28"/>
        </w:rPr>
      </w:pPr>
      <w:bookmarkStart w:id="148" w:name="_Toc74752333"/>
      <w:r>
        <w:rPr>
          <w:rFonts w:hint="eastAsia" w:ascii="宋体" w:hAnsi="宋体"/>
          <w:b/>
          <w:bCs/>
          <w:sz w:val="28"/>
          <w:szCs w:val="28"/>
        </w:rPr>
        <w:t>报价</w:t>
      </w:r>
      <w:r>
        <w:rPr>
          <w:rFonts w:ascii="宋体" w:hAnsi="宋体"/>
          <w:b/>
          <w:bCs/>
          <w:sz w:val="28"/>
          <w:szCs w:val="28"/>
        </w:rPr>
        <w:t>要求响应文件</w:t>
      </w:r>
      <w:bookmarkEnd w:id="148"/>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开标</w:t>
      </w:r>
      <w:r>
        <w:rPr>
          <w:rFonts w:ascii="宋体" w:hAnsi="宋体"/>
          <w:b/>
          <w:bCs/>
          <w:sz w:val="28"/>
          <w:szCs w:val="28"/>
        </w:rPr>
        <w:t>一览表</w:t>
      </w:r>
    </w:p>
    <w:p>
      <w:pPr>
        <w:tabs>
          <w:tab w:val="left" w:pos="1134"/>
        </w:tabs>
        <w:spacing w:line="560" w:lineRule="exact"/>
        <w:rPr>
          <w:rFonts w:ascii="宋体" w:hAnsi="宋体"/>
          <w:b/>
          <w:bCs/>
          <w:sz w:val="28"/>
          <w:szCs w:val="28"/>
        </w:rPr>
      </w:pPr>
      <w:r>
        <w:rPr>
          <w:rFonts w:hint="eastAsia" w:ascii="宋体" w:hAnsi="宋体"/>
          <w:b/>
          <w:bCs/>
          <w:sz w:val="28"/>
          <w:szCs w:val="28"/>
        </w:rPr>
        <w:t>标项1：成都市龙泉驿区教育局2021年新（改扩）建幼儿园第二批家具采购项目采购项目</w:t>
      </w:r>
    </w:p>
    <w:tbl>
      <w:tblPr>
        <w:tblStyle w:val="47"/>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jc w:val="center"/>
              <w:rPr>
                <w:rFonts w:ascii="宋体" w:hAnsi="宋体"/>
                <w:kern w:val="0"/>
                <w:sz w:val="28"/>
                <w:szCs w:val="28"/>
              </w:rPr>
            </w:pPr>
            <w:r>
              <w:rPr>
                <w:rFonts w:hint="eastAsia" w:ascii="宋体" w:hAnsi="宋体"/>
                <w:kern w:val="0"/>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rPr>
                <w:rFonts w:ascii="宋体" w:hAnsi="宋体"/>
                <w:kern w:val="0"/>
                <w:sz w:val="28"/>
                <w:szCs w:val="28"/>
              </w:rPr>
            </w:pPr>
          </w:p>
        </w:tc>
      </w:tr>
    </w:tbl>
    <w:p>
      <w:pPr>
        <w:tabs>
          <w:tab w:val="left" w:pos="1134"/>
        </w:tabs>
        <w:spacing w:line="560" w:lineRule="exact"/>
        <w:ind w:firstLine="425" w:firstLineChars="152"/>
        <w:rPr>
          <w:rFonts w:ascii="宋体" w:hAnsi="宋体"/>
          <w:sz w:val="28"/>
          <w:szCs w:val="28"/>
        </w:rPr>
      </w:pPr>
    </w:p>
    <w:p>
      <w:pPr>
        <w:tabs>
          <w:tab w:val="left" w:pos="1134"/>
        </w:tabs>
        <w:spacing w:line="560" w:lineRule="exact"/>
        <w:ind w:firstLine="427" w:firstLineChars="152"/>
        <w:rPr>
          <w:rFonts w:ascii="宋体" w:hAnsi="宋体"/>
          <w:b/>
          <w:bCs/>
          <w:sz w:val="28"/>
        </w:rPr>
      </w:pPr>
      <w:r>
        <w:rPr>
          <w:rFonts w:ascii="宋体" w:hAnsi="宋体"/>
          <w:b/>
          <w:sz w:val="28"/>
          <w:szCs w:val="28"/>
        </w:rPr>
        <w:t>投标报价</w:t>
      </w:r>
      <w:r>
        <w:rPr>
          <w:rFonts w:hint="eastAsia" w:ascii="宋体" w:hAnsi="宋体"/>
          <w:b/>
          <w:sz w:val="28"/>
          <w:szCs w:val="28"/>
        </w:rPr>
        <w:t>以投标人</w:t>
      </w:r>
      <w:r>
        <w:rPr>
          <w:rFonts w:ascii="宋体" w:hAnsi="宋体"/>
          <w:b/>
          <w:sz w:val="28"/>
          <w:szCs w:val="28"/>
        </w:rPr>
        <w:t>在</w:t>
      </w:r>
      <w:r>
        <w:rPr>
          <w:rFonts w:hint="eastAsia" w:ascii="宋体" w:hAnsi="宋体"/>
          <w:b/>
          <w:sz w:val="28"/>
          <w:szCs w:val="28"/>
        </w:rPr>
        <w:t>政府采购</w:t>
      </w:r>
      <w:r>
        <w:rPr>
          <w:rFonts w:ascii="宋体" w:hAnsi="宋体"/>
          <w:b/>
          <w:sz w:val="28"/>
          <w:szCs w:val="28"/>
        </w:rPr>
        <w:t>云平台</w:t>
      </w:r>
      <w:r>
        <w:rPr>
          <w:rFonts w:hint="eastAsia" w:ascii="宋体" w:hAnsi="宋体"/>
          <w:b/>
          <w:sz w:val="28"/>
          <w:szCs w:val="28"/>
        </w:rPr>
        <w:t>开标</w:t>
      </w:r>
      <w:r>
        <w:rPr>
          <w:rFonts w:ascii="宋体" w:hAnsi="宋体"/>
          <w:b/>
          <w:sz w:val="28"/>
          <w:szCs w:val="28"/>
        </w:rPr>
        <w:t>一览表中填写的报价为准</w:t>
      </w:r>
      <w:r>
        <w:rPr>
          <w:rFonts w:hint="eastAsia" w:ascii="宋体" w:hAnsi="宋体"/>
          <w:b/>
          <w:sz w:val="28"/>
          <w:szCs w:val="28"/>
        </w:rPr>
        <w:t>。</w:t>
      </w: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分项报价明细表</w:t>
      </w:r>
    </w:p>
    <w:p>
      <w:pPr>
        <w:tabs>
          <w:tab w:val="left" w:pos="630"/>
          <w:tab w:val="left" w:pos="720"/>
          <w:tab w:val="left" w:pos="7560"/>
        </w:tabs>
        <w:spacing w:after="200" w:line="360" w:lineRule="auto"/>
        <w:ind w:firstLine="565" w:firstLineChars="201"/>
        <w:rPr>
          <w:rFonts w:ascii="宋体" w:hAnsi="宋体"/>
          <w:b/>
          <w:sz w:val="28"/>
        </w:rPr>
      </w:pPr>
      <w:r>
        <w:rPr>
          <w:rFonts w:hint="eastAsia" w:ascii="宋体" w:hAnsi="宋体"/>
          <w:b/>
          <w:sz w:val="28"/>
        </w:rPr>
        <w:t>分项报价明细表（说明：投标人应根据其投标报价的构成提供详细的分项价格明细表。）</w:t>
      </w:r>
    </w:p>
    <w:tbl>
      <w:tblPr>
        <w:tblStyle w:val="46"/>
        <w:tblpPr w:leftFromText="180" w:rightFromText="180" w:vertAnchor="text" w:horzAnchor="margin" w:tblpY="1"/>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30"/>
        <w:gridCol w:w="816"/>
        <w:gridCol w:w="672"/>
        <w:gridCol w:w="992"/>
        <w:gridCol w:w="920"/>
        <w:gridCol w:w="850"/>
        <w:gridCol w:w="708"/>
        <w:gridCol w:w="78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序号</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货物名称（标的</w:t>
            </w:r>
            <w:r>
              <w:rPr>
                <w:rFonts w:ascii="宋体" w:hAnsi="宋体"/>
                <w:b/>
                <w:szCs w:val="28"/>
              </w:rPr>
              <w:t>名称</w:t>
            </w:r>
            <w:r>
              <w:rPr>
                <w:rFonts w:hint="eastAsia" w:ascii="宋体" w:hAnsi="宋体"/>
                <w:b/>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品牌</w:t>
            </w:r>
          </w:p>
        </w:tc>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制造商</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进口或国产</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数量</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单位</w:t>
            </w: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单价</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总价（元）</w:t>
            </w:r>
            <w:r>
              <w:rPr>
                <w:rFonts w:hint="eastAsia" w:ascii="宋体" w:hAnsi="宋体"/>
                <w:b/>
                <w:bCs/>
                <w:sz w:val="24"/>
                <w:szCs w:val="28"/>
              </w:rPr>
              <w:t>（单价×数量）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1</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r>
              <w:rPr>
                <w:rFonts w:hint="eastAsia" w:ascii="宋体" w:hAnsi="宋体" w:eastAsia="宋体" w:cs="Times New Roman"/>
                <w:szCs w:val="28"/>
              </w:rPr>
              <w:t>（请供应商根据参数填写）</w:t>
            </w: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2</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3</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4</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5</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6</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7</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8</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9</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bl>
    <w:p>
      <w:pPr>
        <w:spacing w:line="360" w:lineRule="auto"/>
        <w:ind w:firstLine="419" w:firstLineChars="149"/>
        <w:rPr>
          <w:rFonts w:ascii="宋体" w:hAnsi="宋体"/>
          <w:b/>
          <w:sz w:val="28"/>
          <w:szCs w:val="28"/>
        </w:rPr>
      </w:pPr>
      <w:r>
        <w:rPr>
          <w:rFonts w:hint="eastAsia" w:ascii="宋体" w:hAnsi="宋体"/>
          <w:b/>
          <w:sz w:val="28"/>
          <w:szCs w:val="28"/>
        </w:rPr>
        <w:t>说明：</w:t>
      </w:r>
    </w:p>
    <w:p>
      <w:pPr>
        <w:spacing w:line="360" w:lineRule="auto"/>
        <w:ind w:firstLine="359" w:firstLineChars="149"/>
        <w:rPr>
          <w:rFonts w:ascii="宋体" w:hAnsi="宋体"/>
          <w:b/>
          <w:sz w:val="24"/>
          <w:szCs w:val="24"/>
        </w:rPr>
      </w:pPr>
      <w:r>
        <w:rPr>
          <w:rFonts w:hint="eastAsia" w:ascii="宋体" w:hAnsi="宋体"/>
          <w:b/>
          <w:sz w:val="24"/>
          <w:szCs w:val="24"/>
        </w:rPr>
        <w:t>1、进口产品是指通过中国海关报关验放进入中国境内且产自关境外的产品。</w:t>
      </w:r>
    </w:p>
    <w:p>
      <w:pPr>
        <w:spacing w:line="360" w:lineRule="auto"/>
        <w:ind w:firstLine="361" w:firstLineChars="150"/>
        <w:rPr>
          <w:rFonts w:ascii="宋体" w:hAnsi="宋体"/>
          <w:b/>
          <w:sz w:val="24"/>
          <w:szCs w:val="24"/>
        </w:rPr>
      </w:pPr>
      <w:r>
        <w:rPr>
          <w:rFonts w:ascii="宋体" w:hAnsi="宋体"/>
          <w:b/>
          <w:sz w:val="24"/>
          <w:szCs w:val="24"/>
        </w:rPr>
        <w:t>2</w:t>
      </w:r>
      <w:r>
        <w:rPr>
          <w:rFonts w:hint="eastAsia" w:ascii="宋体" w:hAnsi="宋体"/>
          <w:b/>
          <w:sz w:val="24"/>
          <w:szCs w:val="24"/>
        </w:rPr>
        <w:t>、分项报价明细表格式中要求填写品牌、规格型号、制造商、进口或国产的，投标人必须载明其投标产品的品牌、规格型号、制造商、进口或国产。</w:t>
      </w:r>
    </w:p>
    <w:p>
      <w:pPr>
        <w:spacing w:line="360" w:lineRule="auto"/>
        <w:ind w:firstLine="361" w:firstLineChars="150"/>
        <w:rPr>
          <w:rFonts w:ascii="宋体" w:hAnsi="宋体"/>
          <w:b/>
          <w:sz w:val="24"/>
          <w:szCs w:val="24"/>
        </w:rPr>
      </w:pPr>
      <w:r>
        <w:rPr>
          <w:rFonts w:hint="eastAsia" w:ascii="宋体" w:hAnsi="宋体"/>
          <w:b/>
          <w:sz w:val="24"/>
          <w:szCs w:val="24"/>
        </w:rPr>
        <w:t>3.报价</w:t>
      </w:r>
      <w:r>
        <w:rPr>
          <w:rFonts w:ascii="宋体" w:hAnsi="宋体"/>
          <w:b/>
          <w:sz w:val="24"/>
          <w:szCs w:val="24"/>
        </w:rPr>
        <w:t>明细以投标人在政府采购云平台</w:t>
      </w:r>
      <w:r>
        <w:rPr>
          <w:rFonts w:hint="eastAsia" w:ascii="宋体" w:hAnsi="宋体"/>
          <w:b/>
          <w:sz w:val="24"/>
          <w:szCs w:val="24"/>
        </w:rPr>
        <w:t>报价</w:t>
      </w:r>
      <w:r>
        <w:rPr>
          <w:rFonts w:ascii="宋体" w:hAnsi="宋体"/>
          <w:b/>
          <w:sz w:val="24"/>
          <w:szCs w:val="24"/>
        </w:rPr>
        <w:t>明细表中填写的</w:t>
      </w:r>
      <w:r>
        <w:rPr>
          <w:rFonts w:hint="eastAsia" w:ascii="宋体" w:hAnsi="宋体"/>
          <w:b/>
          <w:sz w:val="24"/>
          <w:szCs w:val="24"/>
        </w:rPr>
        <w:t>为准</w:t>
      </w:r>
      <w:r>
        <w:rPr>
          <w:rFonts w:ascii="宋体" w:hAnsi="宋体"/>
          <w:b/>
          <w:sz w:val="24"/>
          <w:szCs w:val="24"/>
        </w:rPr>
        <w:t>。</w:t>
      </w:r>
    </w:p>
    <w:p>
      <w:pPr>
        <w:keepNext/>
        <w:keepLines/>
        <w:numPr>
          <w:ilvl w:val="2"/>
          <w:numId w:val="5"/>
        </w:numPr>
        <w:spacing w:line="360" w:lineRule="auto"/>
        <w:ind w:left="1134" w:hanging="1134"/>
        <w:outlineLvl w:val="2"/>
        <w:rPr>
          <w:rFonts w:ascii="宋体" w:hAnsi="宋体"/>
          <w:b/>
          <w:bCs/>
          <w:sz w:val="28"/>
          <w:szCs w:val="28"/>
        </w:rPr>
      </w:pPr>
      <w:r>
        <w:rPr>
          <w:rFonts w:hint="eastAsia" w:ascii="宋体" w:hAnsi="宋体"/>
          <w:b/>
          <w:sz w:val="28"/>
        </w:rPr>
        <w:t>监狱企业、残疾人福利性单位制造的货物清单及价格</w:t>
      </w:r>
    </w:p>
    <w:p>
      <w:pPr>
        <w:numPr>
          <w:ilvl w:val="0"/>
          <w:numId w:val="38"/>
        </w:numPr>
        <w:tabs>
          <w:tab w:val="left" w:pos="1134"/>
          <w:tab w:val="clear" w:pos="720"/>
        </w:tabs>
        <w:spacing w:after="200" w:line="360" w:lineRule="auto"/>
        <w:ind w:left="0" w:firstLine="565" w:firstLineChars="201"/>
        <w:rPr>
          <w:rFonts w:ascii="宋体" w:hAnsi="宋体"/>
          <w:b/>
          <w:sz w:val="28"/>
        </w:rPr>
      </w:pPr>
      <w:r>
        <w:rPr>
          <w:rFonts w:hint="eastAsia" w:ascii="宋体" w:hAnsi="宋体"/>
          <w:b/>
          <w:sz w:val="28"/>
          <w:szCs w:val="28"/>
        </w:rPr>
        <w:t>投标人</w:t>
      </w:r>
      <w:r>
        <w:rPr>
          <w:rFonts w:hint="eastAsia" w:ascii="宋体" w:hAnsi="宋体"/>
          <w:b/>
          <w:sz w:val="28"/>
        </w:rPr>
        <w:t>投标产品中为监狱企业制造的货物清单及价格（说明：</w:t>
      </w:r>
      <w:r>
        <w:rPr>
          <w:rFonts w:ascii="宋体" w:hAnsi="宋体"/>
          <w:b/>
          <w:sz w:val="28"/>
        </w:rPr>
        <w:t>1、提供由省级以上监狱管理局、戒毒管理局（含新疆生产建设兵团）出具的</w:t>
      </w:r>
      <w:r>
        <w:rPr>
          <w:rFonts w:hint="eastAsia" w:ascii="宋体" w:hAnsi="宋体"/>
          <w:b/>
          <w:sz w:val="28"/>
        </w:rPr>
        <w:t>制造</w:t>
      </w:r>
      <w:r>
        <w:rPr>
          <w:rFonts w:ascii="宋体" w:hAnsi="宋体"/>
          <w:b/>
          <w:sz w:val="28"/>
        </w:rPr>
        <w:t>商属于监狱企业的证明文件复印件；2、如未提供</w:t>
      </w:r>
      <w:r>
        <w:rPr>
          <w:rFonts w:hint="eastAsia" w:ascii="宋体" w:hAnsi="宋体"/>
          <w:b/>
          <w:sz w:val="28"/>
        </w:rPr>
        <w:t>货物</w:t>
      </w:r>
      <w:r>
        <w:rPr>
          <w:rFonts w:ascii="宋体" w:hAnsi="宋体"/>
          <w:b/>
          <w:sz w:val="28"/>
        </w:rPr>
        <w:t>清单及价格以及相关证明材料复印件，则不能享受对监狱企业</w:t>
      </w:r>
      <w:r>
        <w:rPr>
          <w:rFonts w:hint="eastAsia" w:ascii="宋体" w:hAnsi="宋体"/>
          <w:b/>
          <w:sz w:val="28"/>
        </w:rPr>
        <w:t>制造的货物</w:t>
      </w:r>
      <w:r>
        <w:rPr>
          <w:rFonts w:ascii="宋体" w:hAnsi="宋体"/>
          <w:b/>
          <w:sz w:val="28"/>
        </w:rPr>
        <w:t>的价格扣除，但不影响投标文件的有效性。）</w:t>
      </w:r>
    </w:p>
    <w:tbl>
      <w:tblPr>
        <w:tblStyle w:val="46"/>
        <w:tblW w:w="92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694"/>
        <w:gridCol w:w="1253"/>
        <w:gridCol w:w="1417"/>
        <w:gridCol w:w="851"/>
        <w:gridCol w:w="980"/>
        <w:gridCol w:w="12"/>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spacing w:beforeLines="50" w:line="360" w:lineRule="auto"/>
              <w:jc w:val="center"/>
              <w:rPr>
                <w:rFonts w:ascii="宋体" w:hAnsi="宋体"/>
                <w:b/>
              </w:rPr>
            </w:pPr>
            <w:r>
              <w:rPr>
                <w:rFonts w:hint="eastAsia" w:ascii="宋体" w:hAnsi="宋体"/>
                <w:b/>
              </w:rPr>
              <w:t>序号</w:t>
            </w:r>
          </w:p>
        </w:tc>
        <w:tc>
          <w:tcPr>
            <w:tcW w:w="1720" w:type="dxa"/>
            <w:vAlign w:val="center"/>
          </w:tcPr>
          <w:p>
            <w:pPr>
              <w:spacing w:beforeLines="50" w:line="360" w:lineRule="auto"/>
              <w:jc w:val="center"/>
              <w:rPr>
                <w:rFonts w:ascii="宋体" w:hAnsi="宋体"/>
                <w:b/>
              </w:rPr>
            </w:pPr>
            <w:r>
              <w:rPr>
                <w:rFonts w:hint="eastAsia" w:ascii="宋体" w:hAnsi="宋体"/>
                <w:b/>
              </w:rPr>
              <w:t>货物名称</w:t>
            </w:r>
          </w:p>
        </w:tc>
        <w:tc>
          <w:tcPr>
            <w:tcW w:w="694" w:type="dxa"/>
            <w:vAlign w:val="center"/>
          </w:tcPr>
          <w:p>
            <w:pPr>
              <w:spacing w:beforeLines="50" w:line="360" w:lineRule="auto"/>
              <w:jc w:val="center"/>
              <w:rPr>
                <w:rFonts w:ascii="宋体" w:hAnsi="宋体"/>
                <w:b/>
              </w:rPr>
            </w:pPr>
            <w:r>
              <w:rPr>
                <w:rFonts w:hint="eastAsia" w:ascii="宋体" w:hAnsi="宋体"/>
                <w:b/>
              </w:rPr>
              <w:t>品牌</w:t>
            </w:r>
          </w:p>
        </w:tc>
        <w:tc>
          <w:tcPr>
            <w:tcW w:w="1253" w:type="dxa"/>
            <w:vAlign w:val="center"/>
          </w:tcPr>
          <w:p>
            <w:pPr>
              <w:spacing w:beforeLines="50" w:line="360" w:lineRule="auto"/>
              <w:jc w:val="center"/>
              <w:rPr>
                <w:rFonts w:ascii="宋体" w:hAnsi="宋体"/>
                <w:b/>
              </w:rPr>
            </w:pPr>
            <w:r>
              <w:rPr>
                <w:rFonts w:hint="eastAsia" w:ascii="宋体" w:hAnsi="宋体"/>
                <w:b/>
              </w:rPr>
              <w:t>规格型号</w:t>
            </w:r>
          </w:p>
        </w:tc>
        <w:tc>
          <w:tcPr>
            <w:tcW w:w="1417" w:type="dxa"/>
            <w:vAlign w:val="center"/>
          </w:tcPr>
          <w:p>
            <w:pPr>
              <w:spacing w:beforeLines="50" w:line="360" w:lineRule="auto"/>
              <w:jc w:val="center"/>
              <w:rPr>
                <w:rFonts w:ascii="宋体" w:hAnsi="宋体"/>
                <w:b/>
              </w:rPr>
            </w:pPr>
            <w:r>
              <w:rPr>
                <w:rFonts w:hint="eastAsia" w:ascii="宋体" w:hAnsi="宋体"/>
                <w:b/>
              </w:rPr>
              <w:t>制造商</w:t>
            </w:r>
          </w:p>
        </w:tc>
        <w:tc>
          <w:tcPr>
            <w:tcW w:w="851" w:type="dxa"/>
            <w:vAlign w:val="center"/>
          </w:tcPr>
          <w:p>
            <w:pPr>
              <w:spacing w:beforeLines="50" w:line="360" w:lineRule="auto"/>
              <w:jc w:val="center"/>
              <w:rPr>
                <w:rFonts w:ascii="宋体" w:hAnsi="宋体"/>
                <w:b/>
              </w:rPr>
            </w:pPr>
            <w:r>
              <w:rPr>
                <w:rFonts w:hint="eastAsia" w:ascii="宋体" w:hAnsi="宋体"/>
                <w:b/>
              </w:rPr>
              <w:t>数量</w:t>
            </w:r>
          </w:p>
        </w:tc>
        <w:tc>
          <w:tcPr>
            <w:tcW w:w="992" w:type="dxa"/>
            <w:gridSpan w:val="2"/>
            <w:vAlign w:val="center"/>
          </w:tcPr>
          <w:p>
            <w:pPr>
              <w:spacing w:beforeLines="50" w:line="360" w:lineRule="auto"/>
              <w:jc w:val="center"/>
              <w:rPr>
                <w:rFonts w:ascii="宋体" w:hAnsi="宋体"/>
                <w:b/>
              </w:rPr>
            </w:pPr>
            <w:r>
              <w:rPr>
                <w:rFonts w:hint="eastAsia" w:ascii="宋体" w:hAnsi="宋体"/>
                <w:b/>
              </w:rPr>
              <w:t>单价</w:t>
            </w:r>
          </w:p>
        </w:tc>
        <w:tc>
          <w:tcPr>
            <w:tcW w:w="1406" w:type="dxa"/>
            <w:vAlign w:val="center"/>
          </w:tcPr>
          <w:p>
            <w:pPr>
              <w:spacing w:beforeLines="50" w:line="360" w:lineRule="auto"/>
              <w:jc w:val="center"/>
              <w:rPr>
                <w:rFonts w:ascii="宋体" w:hAnsi="宋体"/>
                <w:b/>
              </w:rPr>
            </w:pPr>
            <w:r>
              <w:rPr>
                <w:rFonts w:hint="eastAsia" w:ascii="宋体" w:hAnsi="宋体"/>
                <w:b/>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7875" w:type="dxa"/>
            <w:gridSpan w:val="7"/>
            <w:vAlign w:val="center"/>
          </w:tcPr>
          <w:p>
            <w:pPr>
              <w:spacing w:line="360" w:lineRule="auto"/>
              <w:jc w:val="center"/>
              <w:rPr>
                <w:rFonts w:ascii="宋体" w:hAnsi="宋体"/>
              </w:rPr>
            </w:pPr>
            <w:r>
              <w:rPr>
                <w:rFonts w:hint="eastAsia" w:ascii="宋体" w:hAnsi="宋体" w:cs="宋体"/>
                <w:b/>
              </w:rPr>
              <w:t>监狱企业制造的货物</w:t>
            </w:r>
            <w:r>
              <w:rPr>
                <w:rFonts w:hint="eastAsia" w:ascii="宋体" w:hAnsi="宋体"/>
                <w:b/>
              </w:rPr>
              <w:t>总价合计</w:t>
            </w:r>
          </w:p>
        </w:tc>
        <w:tc>
          <w:tcPr>
            <w:tcW w:w="1418" w:type="dxa"/>
            <w:gridSpan w:val="2"/>
            <w:vAlign w:val="center"/>
          </w:tcPr>
          <w:p>
            <w:pPr>
              <w:spacing w:line="360" w:lineRule="auto"/>
              <w:rPr>
                <w:rFonts w:ascii="宋体" w:hAnsi="宋体"/>
              </w:rPr>
            </w:pPr>
            <w:r>
              <w:rPr>
                <w:rFonts w:hint="eastAsia" w:ascii="宋体" w:hAnsi="宋体"/>
              </w:rPr>
              <w:t>￥</w:t>
            </w:r>
          </w:p>
        </w:tc>
      </w:tr>
    </w:tbl>
    <w:p>
      <w:pPr>
        <w:numPr>
          <w:ilvl w:val="0"/>
          <w:numId w:val="38"/>
        </w:numPr>
        <w:tabs>
          <w:tab w:val="left" w:pos="630"/>
          <w:tab w:val="left" w:pos="7560"/>
        </w:tabs>
        <w:spacing w:after="200" w:line="360" w:lineRule="auto"/>
        <w:ind w:left="0" w:firstLine="0"/>
        <w:rPr>
          <w:rFonts w:ascii="宋体" w:hAnsi="宋体"/>
          <w:b/>
          <w:sz w:val="28"/>
        </w:rPr>
      </w:pPr>
      <w:r>
        <w:rPr>
          <w:rFonts w:hint="eastAsia" w:ascii="宋体" w:hAnsi="宋体"/>
          <w:b/>
          <w:sz w:val="28"/>
        </w:rPr>
        <w:t>投标人投标产品中为残疾人福利性单位制造的货物清单及价格（说明：如未提供则不能享受对残疾人福利性单位制造的货物的价格扣除，</w:t>
      </w:r>
      <w:r>
        <w:rPr>
          <w:rFonts w:ascii="宋体" w:hAnsi="宋体"/>
          <w:b/>
          <w:sz w:val="28"/>
        </w:rPr>
        <w:t>但不影响投标文件的有效性。</w:t>
      </w:r>
      <w:r>
        <w:rPr>
          <w:rFonts w:hint="eastAsia" w:ascii="宋体" w:hAnsi="宋体"/>
          <w:b/>
          <w:sz w:val="28"/>
        </w:rPr>
        <w:t>）</w:t>
      </w:r>
    </w:p>
    <w:tbl>
      <w:tblPr>
        <w:tblStyle w:val="46"/>
        <w:tblW w:w="10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1418"/>
        <w:gridCol w:w="1418"/>
        <w:gridCol w:w="1417"/>
        <w:gridCol w:w="851"/>
        <w:gridCol w:w="992"/>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spacing w:beforeLines="50" w:line="360" w:lineRule="auto"/>
              <w:jc w:val="center"/>
              <w:rPr>
                <w:rFonts w:ascii="宋体" w:hAnsi="宋体"/>
                <w:b/>
              </w:rPr>
            </w:pPr>
            <w:r>
              <w:rPr>
                <w:rFonts w:hint="eastAsia" w:ascii="宋体" w:hAnsi="宋体"/>
                <w:b/>
              </w:rPr>
              <w:t>序号</w:t>
            </w:r>
          </w:p>
        </w:tc>
        <w:tc>
          <w:tcPr>
            <w:tcW w:w="1720" w:type="dxa"/>
            <w:vAlign w:val="center"/>
          </w:tcPr>
          <w:p>
            <w:pPr>
              <w:spacing w:beforeLines="50" w:line="360" w:lineRule="auto"/>
              <w:jc w:val="center"/>
              <w:rPr>
                <w:rFonts w:ascii="宋体" w:hAnsi="宋体"/>
                <w:b/>
              </w:rPr>
            </w:pPr>
            <w:r>
              <w:rPr>
                <w:rFonts w:hint="eastAsia" w:ascii="宋体" w:hAnsi="宋体"/>
                <w:b/>
              </w:rPr>
              <w:t>货物名称</w:t>
            </w:r>
          </w:p>
        </w:tc>
        <w:tc>
          <w:tcPr>
            <w:tcW w:w="1418" w:type="dxa"/>
          </w:tcPr>
          <w:p>
            <w:pPr>
              <w:spacing w:beforeLines="50" w:line="360" w:lineRule="auto"/>
              <w:jc w:val="center"/>
              <w:rPr>
                <w:rFonts w:ascii="宋体" w:hAnsi="宋体"/>
                <w:b/>
              </w:rPr>
            </w:pPr>
            <w:r>
              <w:rPr>
                <w:rFonts w:hint="eastAsia" w:ascii="宋体" w:hAnsi="宋体"/>
                <w:b/>
              </w:rPr>
              <w:t>品牌</w:t>
            </w:r>
          </w:p>
        </w:tc>
        <w:tc>
          <w:tcPr>
            <w:tcW w:w="1418" w:type="dxa"/>
            <w:vAlign w:val="center"/>
          </w:tcPr>
          <w:p>
            <w:pPr>
              <w:spacing w:beforeLines="50" w:line="360" w:lineRule="auto"/>
              <w:jc w:val="center"/>
              <w:rPr>
                <w:rFonts w:ascii="宋体" w:hAnsi="宋体"/>
                <w:b/>
              </w:rPr>
            </w:pPr>
            <w:r>
              <w:rPr>
                <w:rFonts w:hint="eastAsia" w:ascii="宋体" w:hAnsi="宋体"/>
                <w:b/>
              </w:rPr>
              <w:t>规格型号</w:t>
            </w:r>
          </w:p>
        </w:tc>
        <w:tc>
          <w:tcPr>
            <w:tcW w:w="1417" w:type="dxa"/>
            <w:vAlign w:val="center"/>
          </w:tcPr>
          <w:p>
            <w:pPr>
              <w:spacing w:beforeLines="50" w:line="360" w:lineRule="auto"/>
              <w:jc w:val="center"/>
              <w:rPr>
                <w:rFonts w:ascii="宋体" w:hAnsi="宋体"/>
                <w:b/>
              </w:rPr>
            </w:pPr>
            <w:r>
              <w:rPr>
                <w:rFonts w:hint="eastAsia" w:ascii="宋体" w:hAnsi="宋体"/>
                <w:b/>
              </w:rPr>
              <w:t>制造商</w:t>
            </w:r>
          </w:p>
        </w:tc>
        <w:tc>
          <w:tcPr>
            <w:tcW w:w="851" w:type="dxa"/>
            <w:vAlign w:val="center"/>
          </w:tcPr>
          <w:p>
            <w:pPr>
              <w:spacing w:beforeLines="50" w:line="360" w:lineRule="auto"/>
              <w:jc w:val="center"/>
              <w:rPr>
                <w:rFonts w:ascii="宋体" w:hAnsi="宋体"/>
                <w:b/>
              </w:rPr>
            </w:pPr>
            <w:r>
              <w:rPr>
                <w:rFonts w:hint="eastAsia" w:ascii="宋体" w:hAnsi="宋体"/>
                <w:b/>
              </w:rPr>
              <w:t>数量</w:t>
            </w:r>
          </w:p>
        </w:tc>
        <w:tc>
          <w:tcPr>
            <w:tcW w:w="992" w:type="dxa"/>
            <w:vAlign w:val="center"/>
          </w:tcPr>
          <w:p>
            <w:pPr>
              <w:spacing w:beforeLines="50" w:line="360" w:lineRule="auto"/>
              <w:jc w:val="center"/>
              <w:rPr>
                <w:rFonts w:ascii="宋体" w:hAnsi="宋体"/>
                <w:b/>
              </w:rPr>
            </w:pPr>
            <w:r>
              <w:rPr>
                <w:rFonts w:hint="eastAsia" w:ascii="宋体" w:hAnsi="宋体"/>
                <w:b/>
              </w:rPr>
              <w:t>单价</w:t>
            </w:r>
          </w:p>
        </w:tc>
        <w:tc>
          <w:tcPr>
            <w:tcW w:w="1346" w:type="dxa"/>
            <w:vAlign w:val="center"/>
          </w:tcPr>
          <w:p>
            <w:pPr>
              <w:spacing w:beforeLines="50" w:line="360" w:lineRule="auto"/>
              <w:jc w:val="center"/>
              <w:rPr>
                <w:rFonts w:ascii="宋体" w:hAnsi="宋体"/>
                <w:b/>
              </w:rPr>
            </w:pPr>
            <w:r>
              <w:rPr>
                <w:rFonts w:hint="eastAsia" w:ascii="宋体" w:hAnsi="宋体"/>
                <w:b/>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8776" w:type="dxa"/>
            <w:gridSpan w:val="7"/>
          </w:tcPr>
          <w:p>
            <w:pPr>
              <w:spacing w:line="360" w:lineRule="auto"/>
              <w:jc w:val="center"/>
              <w:rPr>
                <w:rFonts w:ascii="宋体" w:hAnsi="宋体"/>
              </w:rPr>
            </w:pPr>
            <w:r>
              <w:rPr>
                <w:rFonts w:hint="eastAsia" w:ascii="宋体" w:hAnsi="宋体" w:cs="宋体"/>
                <w:b/>
              </w:rPr>
              <w:t>残疾人福利性单位制造的货物</w:t>
            </w:r>
            <w:r>
              <w:rPr>
                <w:rFonts w:hint="eastAsia" w:ascii="宋体" w:hAnsi="宋体"/>
                <w:b/>
              </w:rPr>
              <w:t>总价合计</w:t>
            </w:r>
          </w:p>
        </w:tc>
        <w:tc>
          <w:tcPr>
            <w:tcW w:w="1346" w:type="dxa"/>
            <w:vAlign w:val="center"/>
          </w:tcPr>
          <w:p>
            <w:pPr>
              <w:spacing w:line="360" w:lineRule="auto"/>
              <w:rPr>
                <w:rFonts w:ascii="宋体" w:hAnsi="宋体"/>
              </w:rPr>
            </w:pPr>
            <w:r>
              <w:rPr>
                <w:rFonts w:hint="eastAsia" w:ascii="宋体" w:hAnsi="宋体"/>
              </w:rPr>
              <w:t>￥</w:t>
            </w:r>
          </w:p>
        </w:tc>
      </w:tr>
    </w:tbl>
    <w:p>
      <w:pPr>
        <w:tabs>
          <w:tab w:val="left" w:pos="630"/>
          <w:tab w:val="left" w:pos="7560"/>
        </w:tabs>
        <w:spacing w:line="360" w:lineRule="auto"/>
        <w:rPr>
          <w:rFonts w:ascii="宋体" w:hAnsi="宋体"/>
          <w:sz w:val="28"/>
          <w:szCs w:val="28"/>
        </w:rPr>
      </w:pPr>
    </w:p>
    <w:p>
      <w:pPr>
        <w:pStyle w:val="16"/>
        <w:spacing w:line="360" w:lineRule="auto"/>
        <w:ind w:firstLine="565" w:firstLineChars="202"/>
        <w:rPr>
          <w:rFonts w:ascii="宋体" w:hAnsi="宋体"/>
          <w:sz w:val="28"/>
        </w:rPr>
      </w:pPr>
    </w:p>
    <w:p>
      <w:pPr>
        <w:spacing w:line="360" w:lineRule="auto"/>
        <w:rPr>
          <w:rFonts w:ascii="宋体" w:hAnsi="宋体"/>
          <w:sz w:val="28"/>
          <w:lang w:val="zh-CN"/>
        </w:rPr>
      </w:pPr>
      <w:r>
        <w:rPr>
          <w:rFonts w:hint="eastAsia" w:ascii="宋体" w:hAnsi="宋体"/>
          <w:sz w:val="28"/>
          <w:lang w:val="zh-CN"/>
        </w:rPr>
        <w:t>投标人名称：</w:t>
      </w:r>
      <w:r>
        <w:rPr>
          <w:rFonts w:ascii="宋体" w:hAnsi="宋体"/>
          <w:sz w:val="28"/>
          <w:u w:val="single"/>
          <w:lang w:val="zh-CN"/>
        </w:rPr>
        <w:t>XXXXXXXX</w:t>
      </w:r>
    </w:p>
    <w:p>
      <w:pPr>
        <w:spacing w:line="360" w:lineRule="auto"/>
        <w:rPr>
          <w:rFonts w:ascii="宋体" w:hAnsi="宋体"/>
          <w:bCs/>
          <w:sz w:val="28"/>
        </w:rPr>
      </w:pPr>
      <w:r>
        <w:rPr>
          <w:rFonts w:ascii="宋体" w:hAnsi="宋体"/>
          <w:sz w:val="28"/>
        </w:rPr>
        <w:t>日期：</w:t>
      </w:r>
      <w:r>
        <w:rPr>
          <w:rFonts w:ascii="宋体" w:hAnsi="宋体"/>
          <w:bCs/>
          <w:sz w:val="28"/>
        </w:rPr>
        <w:t>202X年XX月XX日</w:t>
      </w:r>
    </w:p>
    <w:p>
      <w:pPr>
        <w:spacing w:line="360" w:lineRule="auto"/>
        <w:rPr>
          <w:rFonts w:ascii="宋体" w:hAnsi="宋体"/>
          <w:bCs/>
          <w:sz w:val="28"/>
        </w:rPr>
      </w:pPr>
    </w:p>
    <w:p>
      <w:pPr>
        <w:pStyle w:val="2"/>
        <w:rPr>
          <w:rFonts w:ascii="宋体" w:hAnsi="宋体"/>
          <w:bCs/>
          <w:sz w:val="28"/>
        </w:rPr>
      </w:pPr>
    </w:p>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中小企业声明函</w:t>
      </w:r>
    </w:p>
    <w:p>
      <w:pPr>
        <w:spacing w:line="440" w:lineRule="exact"/>
        <w:ind w:firstLine="574" w:firstLineChars="196"/>
        <w:jc w:val="center"/>
        <w:rPr>
          <w:rFonts w:ascii="宋体" w:hAnsi="宋体"/>
          <w:b/>
          <w:sz w:val="28"/>
          <w:szCs w:val="28"/>
        </w:rPr>
      </w:pPr>
      <w:r>
        <w:rPr>
          <w:rFonts w:hint="eastAsia" w:ascii="宋体" w:hAnsi="宋体"/>
          <w:b/>
          <w:spacing w:val="6"/>
          <w:sz w:val="28"/>
          <w:szCs w:val="28"/>
        </w:rPr>
        <w:t>中小企业声明函</w:t>
      </w:r>
    </w:p>
    <w:p>
      <w:pPr>
        <w:spacing w:line="480" w:lineRule="exact"/>
        <w:ind w:firstLine="561"/>
        <w:rPr>
          <w:rFonts w:ascii="宋体" w:hAnsi="宋体"/>
          <w:sz w:val="28"/>
          <w:szCs w:val="28"/>
        </w:rPr>
      </w:pPr>
      <w:r>
        <w:rPr>
          <w:rFonts w:hint="eastAsia" w:ascii="宋体" w:hAnsi="宋体"/>
          <w:sz w:val="28"/>
          <w:szCs w:val="28"/>
        </w:rPr>
        <w:t>本公司郑重声明，根据《政府采购促进中小企业发展管理办法》（财库﹝2020﹞46 号）的规定，本公司参加</w:t>
      </w:r>
      <w:r>
        <w:rPr>
          <w:rFonts w:hint="eastAsia" w:ascii="宋体" w:hAnsi="宋体"/>
          <w:b/>
          <w:sz w:val="28"/>
          <w:szCs w:val="28"/>
          <w:u w:val="single"/>
        </w:rPr>
        <w:t>成都市龙泉驿区教育局</w:t>
      </w:r>
      <w:r>
        <w:rPr>
          <w:rFonts w:hint="eastAsia" w:ascii="宋体" w:hAnsi="宋体"/>
          <w:sz w:val="28"/>
          <w:szCs w:val="28"/>
        </w:rPr>
        <w:t>（单位名称）的</w:t>
      </w:r>
      <w:r>
        <w:rPr>
          <w:rFonts w:hint="eastAsia" w:ascii="宋体" w:hAnsi="宋体"/>
          <w:b/>
          <w:sz w:val="28"/>
          <w:szCs w:val="28"/>
          <w:u w:val="single"/>
        </w:rPr>
        <w:t>成都市龙泉驿区教育局2021年新（改扩）建幼儿园第二批家具采购项目采购项目</w:t>
      </w:r>
      <w:r>
        <w:rPr>
          <w:rFonts w:hint="eastAsia" w:ascii="宋体" w:hAnsi="宋体"/>
          <w:sz w:val="28"/>
          <w:szCs w:val="28"/>
        </w:rPr>
        <w:t>（项目名称）采购活动，</w:t>
      </w:r>
      <w:r>
        <w:rPr>
          <w:rFonts w:hint="eastAsia" w:ascii="宋体" w:hAnsi="宋体"/>
          <w:b/>
          <w:sz w:val="28"/>
          <w:szCs w:val="28"/>
        </w:rPr>
        <w:t>提供的货物全部由符合政策要求的中小企业制造。</w:t>
      </w:r>
      <w:r>
        <w:rPr>
          <w:rFonts w:hint="eastAsia" w:ascii="宋体" w:hAnsi="宋体"/>
          <w:sz w:val="28"/>
          <w:szCs w:val="28"/>
        </w:rPr>
        <w:t>相关企业的具体情况如下：</w:t>
      </w:r>
    </w:p>
    <w:p>
      <w:pPr>
        <w:spacing w:line="480" w:lineRule="exact"/>
        <w:ind w:firstLine="561"/>
        <w:rPr>
          <w:rFonts w:ascii="宋体" w:hAnsi="宋体"/>
          <w:sz w:val="28"/>
          <w:szCs w:val="28"/>
        </w:rPr>
      </w:pPr>
      <w:r>
        <w:rPr>
          <w:rFonts w:hint="eastAsia" w:ascii="宋体" w:hAnsi="宋体"/>
          <w:sz w:val="28"/>
          <w:szCs w:val="28"/>
        </w:rPr>
        <w:t xml:space="preserve"> 1.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 xml:space="preserve">2.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w:t>
      </w:r>
    </w:p>
    <w:p>
      <w:pPr>
        <w:spacing w:line="480" w:lineRule="exact"/>
        <w:ind w:firstLine="561"/>
        <w:rPr>
          <w:rFonts w:ascii="宋体" w:hAnsi="宋体"/>
          <w:sz w:val="28"/>
          <w:szCs w:val="28"/>
        </w:rPr>
      </w:pPr>
      <w:r>
        <w:rPr>
          <w:rFonts w:hint="eastAsia" w:ascii="宋体" w:hAnsi="宋体"/>
          <w:sz w:val="28"/>
          <w:szCs w:val="28"/>
        </w:rPr>
        <w:t>以上企业，不属于大企业的分支机构，不存在控股股东 为大企业的情形，也不存在与大企业的负责人为同一人的情形。</w:t>
      </w:r>
    </w:p>
    <w:p>
      <w:pPr>
        <w:spacing w:line="480" w:lineRule="exact"/>
        <w:ind w:firstLine="561"/>
        <w:rPr>
          <w:rFonts w:ascii="宋体" w:hAnsi="宋体"/>
          <w:sz w:val="28"/>
          <w:szCs w:val="28"/>
        </w:rPr>
      </w:pPr>
      <w:r>
        <w:rPr>
          <w:rFonts w:hint="eastAsia" w:ascii="宋体" w:hAnsi="宋体"/>
          <w:sz w:val="28"/>
          <w:szCs w:val="28"/>
        </w:rPr>
        <w:t>本企业对上述声明内容的真实性负责。如有虚假，将依法承担相应责任。</w:t>
      </w:r>
    </w:p>
    <w:p>
      <w:pPr>
        <w:spacing w:line="480" w:lineRule="exact"/>
        <w:ind w:right="280" w:firstLine="561"/>
        <w:jc w:val="right"/>
        <w:rPr>
          <w:rFonts w:ascii="宋体" w:hAnsi="宋体"/>
          <w:sz w:val="28"/>
          <w:szCs w:val="28"/>
        </w:rPr>
      </w:pPr>
      <w:r>
        <w:rPr>
          <w:rFonts w:hint="eastAsia" w:ascii="宋体" w:hAnsi="宋体"/>
          <w:sz w:val="28"/>
          <w:szCs w:val="28"/>
        </w:rPr>
        <w:t>企业名称：</w:t>
      </w:r>
      <w:r>
        <w:rPr>
          <w:rFonts w:hint="eastAsia" w:ascii="宋体" w:hAnsi="宋体"/>
          <w:sz w:val="28"/>
          <w:szCs w:val="28"/>
          <w:u w:val="single"/>
        </w:rPr>
        <w:t>___XXXX____</w:t>
      </w:r>
    </w:p>
    <w:p>
      <w:pPr>
        <w:spacing w:line="480" w:lineRule="exact"/>
        <w:ind w:firstLine="561"/>
        <w:rPr>
          <w:rFonts w:ascii="宋体" w:hAnsi="宋体"/>
          <w:sz w:val="28"/>
          <w:szCs w:val="28"/>
        </w:rPr>
      </w:pPr>
      <w:r>
        <w:rPr>
          <w:rFonts w:hint="eastAsia" w:ascii="宋体" w:hAnsi="宋体"/>
          <w:sz w:val="28"/>
          <w:szCs w:val="28"/>
        </w:rPr>
        <w:t xml:space="preserve">                                日 期：202X年XX月XX日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pStyle w:val="77"/>
        <w:tabs>
          <w:tab w:val="left" w:pos="567"/>
          <w:tab w:val="left" w:pos="709"/>
          <w:tab w:val="left" w:pos="851"/>
        </w:tabs>
        <w:spacing w:line="520" w:lineRule="exact"/>
        <w:ind w:firstLine="0" w:firstLineChars="0"/>
        <w:rPr>
          <w:rFonts w:ascii="宋体" w:hAnsi="宋体" w:eastAsia="宋体"/>
          <w:b/>
          <w:sz w:val="28"/>
          <w:szCs w:val="28"/>
        </w:rPr>
      </w:pPr>
      <w:r>
        <w:rPr>
          <w:rFonts w:hint="eastAsia" w:ascii="宋体" w:hAnsi="宋体" w:eastAsia="宋体"/>
          <w:b/>
          <w:sz w:val="28"/>
          <w:szCs w:val="28"/>
        </w:rPr>
        <w:t>说明：</w:t>
      </w:r>
      <w:r>
        <w:rPr>
          <w:rFonts w:hint="eastAsia" w:ascii="宋体" w:hAnsi="宋体" w:eastAsia="宋体"/>
          <w:b/>
          <w:sz w:val="28"/>
          <w:szCs w:val="28"/>
          <w:vertAlign w:val="superscript"/>
        </w:rPr>
        <w:t>1</w:t>
      </w:r>
      <w:r>
        <w:rPr>
          <w:rFonts w:hint="eastAsia" w:ascii="宋体" w:hAnsi="宋体" w:eastAsia="宋体"/>
          <w:b/>
          <w:sz w:val="28"/>
          <w:szCs w:val="28"/>
        </w:rPr>
        <w:t>从业人员、营业收入、资产总额填报上一年度数据，无上一年度数据的新成立企业可不填报。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残疾人福利性单位声明函</w:t>
      </w:r>
    </w:p>
    <w:p>
      <w:pPr>
        <w:spacing w:line="588" w:lineRule="exact"/>
        <w:ind w:firstLine="562" w:firstLineChars="200"/>
        <w:jc w:val="center"/>
        <w:rPr>
          <w:b/>
          <w:sz w:val="28"/>
          <w:szCs w:val="28"/>
        </w:rPr>
      </w:pPr>
      <w:r>
        <w:rPr>
          <w:rFonts w:hint="eastAsia"/>
          <w:b/>
          <w:sz w:val="28"/>
          <w:szCs w:val="28"/>
        </w:rPr>
        <w:t>残疾人福利性单位声明函</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z w:val="28"/>
          <w:szCs w:val="28"/>
          <w:u w:val="single"/>
        </w:rPr>
        <w:t>成都市龙泉驿区教育局</w:t>
      </w:r>
      <w:r>
        <w:rPr>
          <w:rFonts w:hint="eastAsia" w:ascii="宋体" w:hAnsi="宋体"/>
          <w:spacing w:val="6"/>
          <w:sz w:val="28"/>
          <w:szCs w:val="28"/>
        </w:rPr>
        <w:t>单位</w:t>
      </w:r>
      <w:r>
        <w:rPr>
          <w:rFonts w:ascii="宋体" w:hAnsi="宋体"/>
          <w:spacing w:val="6"/>
          <w:sz w:val="28"/>
          <w:szCs w:val="28"/>
        </w:rPr>
        <w:t>的</w:t>
      </w:r>
      <w:r>
        <w:rPr>
          <w:rFonts w:hint="eastAsia" w:ascii="宋体" w:hAnsi="宋体"/>
          <w:b/>
          <w:sz w:val="28"/>
          <w:szCs w:val="28"/>
          <w:u w:val="single"/>
        </w:rPr>
        <w:t>成都市龙泉驿区教育局2021年新（改扩）建幼儿园第二批家具采购项目采购项目</w:t>
      </w:r>
      <w:r>
        <w:rPr>
          <w:rFonts w:hint="eastAsia" w:ascii="宋体" w:hAnsi="宋体"/>
          <w:spacing w:val="6"/>
          <w:sz w:val="28"/>
          <w:szCs w:val="28"/>
        </w:rPr>
        <w:t>采购活动提供本单位制造的货物，或者提供其他残疾人福利性单位制造的货物（不包括使用非残疾人福利性单位注册商标的货物）。</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rPr>
      </w:pPr>
    </w:p>
    <w:p>
      <w:pPr>
        <w:spacing w:line="588" w:lineRule="exact"/>
        <w:jc w:val="right"/>
        <w:rPr>
          <w:rFonts w:ascii="宋体" w:hAnsi="宋体"/>
          <w:spacing w:val="6"/>
          <w:sz w:val="28"/>
          <w:szCs w:val="28"/>
        </w:rPr>
      </w:pPr>
    </w:p>
    <w:p>
      <w:pPr>
        <w:tabs>
          <w:tab w:val="left" w:pos="3969"/>
        </w:tabs>
        <w:spacing w:line="588" w:lineRule="exact"/>
        <w:ind w:right="526" w:firstLine="5244" w:firstLineChars="1796"/>
        <w:rPr>
          <w:rFonts w:ascii="宋体" w:hAnsi="宋体"/>
          <w:spacing w:val="6"/>
          <w:sz w:val="28"/>
          <w:szCs w:val="28"/>
        </w:rPr>
      </w:pPr>
      <w:r>
        <w:rPr>
          <w:rFonts w:hint="eastAsia" w:ascii="宋体" w:hAnsi="宋体"/>
          <w:spacing w:val="6"/>
          <w:sz w:val="28"/>
          <w:szCs w:val="28"/>
        </w:rPr>
        <w:t>单位名称：</w:t>
      </w:r>
      <w:r>
        <w:rPr>
          <w:rFonts w:hint="eastAsia" w:ascii="宋体" w:hAnsi="宋体"/>
          <w:spacing w:val="6"/>
          <w:sz w:val="28"/>
          <w:szCs w:val="28"/>
          <w:u w:val="single"/>
        </w:rPr>
        <w:t>XXXX</w:t>
      </w:r>
    </w:p>
    <w:p>
      <w:pPr>
        <w:tabs>
          <w:tab w:val="left" w:pos="3969"/>
        </w:tabs>
        <w:spacing w:line="588" w:lineRule="exact"/>
        <w:ind w:right="-58"/>
        <w:jc w:val="right"/>
        <w:rPr>
          <w:rFonts w:ascii="宋体" w:hAnsi="宋体"/>
          <w:bCs/>
          <w:sz w:val="28"/>
        </w:rPr>
      </w:pPr>
      <w:r>
        <w:rPr>
          <w:rFonts w:hint="eastAsia" w:ascii="宋体" w:hAnsi="宋体"/>
          <w:spacing w:val="6"/>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pStyle w:val="2"/>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keepNext/>
        <w:keepLines/>
        <w:numPr>
          <w:ilvl w:val="2"/>
          <w:numId w:val="5"/>
        </w:numPr>
        <w:spacing w:line="360" w:lineRule="auto"/>
        <w:ind w:left="3119" w:hanging="3119"/>
        <w:outlineLvl w:val="2"/>
        <w:rPr>
          <w:rFonts w:ascii="宋体" w:hAnsi="宋体"/>
          <w:sz w:val="28"/>
        </w:rPr>
      </w:pPr>
      <w:r>
        <w:rPr>
          <w:rFonts w:hint="eastAsia" w:ascii="宋体" w:hAnsi="宋体"/>
          <w:b/>
          <w:sz w:val="28"/>
          <w:szCs w:val="28"/>
        </w:rPr>
        <w:t>投标产品</w:t>
      </w:r>
      <w:r>
        <w:rPr>
          <w:rFonts w:ascii="宋体" w:hAnsi="宋体"/>
          <w:b/>
          <w:sz w:val="28"/>
          <w:szCs w:val="28"/>
        </w:rPr>
        <w:t>制造商属于监狱企业的证明文件复印件</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firstLine="708" w:firstLineChars="253"/>
        <w:rPr>
          <w:rFonts w:ascii="宋体" w:hAnsi="宋体"/>
          <w:spacing w:val="6"/>
          <w:sz w:val="28"/>
          <w:szCs w:val="28"/>
        </w:rPr>
      </w:pPr>
      <w:r>
        <w:rPr>
          <w:rFonts w:hint="eastAsia"/>
          <w:sz w:val="28"/>
          <w:szCs w:val="28"/>
        </w:rPr>
        <w:t>投标</w:t>
      </w:r>
      <w:r>
        <w:rPr>
          <w:sz w:val="28"/>
          <w:szCs w:val="28"/>
        </w:rPr>
        <w:t>投标产品中为监狱企业制造的货物应提供由省级以上监狱管理局、戒毒管理局（含新疆生产建设兵团）出具的制造商属于监狱企业的证明文件复印件</w:t>
      </w:r>
      <w:r>
        <w:rPr>
          <w:rFonts w:hint="eastAsia"/>
          <w:sz w:val="28"/>
          <w:szCs w:val="28"/>
        </w:rPr>
        <w:t>。</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spacing w:line="588" w:lineRule="exact"/>
        <w:ind w:firstLine="563"/>
        <w:rPr>
          <w:rFonts w:ascii="宋体" w:hAnsi="宋体"/>
          <w:b/>
          <w:sz w:val="28"/>
          <w:szCs w:val="28"/>
        </w:rPr>
      </w:pPr>
      <w:r>
        <w:rPr>
          <w:rFonts w:hint="eastAsia" w:ascii="宋体" w:hAnsi="宋体"/>
          <w:b/>
          <w:spacing w:val="6"/>
          <w:sz w:val="28"/>
          <w:szCs w:val="28"/>
        </w:rPr>
        <w:t>说明：</w:t>
      </w:r>
      <w:r>
        <w:rPr>
          <w:rFonts w:hint="eastAsia" w:ascii="宋体" w:hAnsi="宋体"/>
          <w:b/>
          <w:sz w:val="28"/>
          <w:szCs w:val="28"/>
        </w:rPr>
        <w:t>如未提供投标产品</w:t>
      </w:r>
      <w:r>
        <w:rPr>
          <w:rFonts w:ascii="宋体" w:hAnsi="宋体"/>
          <w:b/>
          <w:sz w:val="28"/>
          <w:szCs w:val="28"/>
        </w:rPr>
        <w:t>制造商属于监狱企业的证明文件</w:t>
      </w:r>
      <w:r>
        <w:rPr>
          <w:rFonts w:hint="eastAsia" w:ascii="宋体" w:hAnsi="宋体"/>
          <w:b/>
          <w:sz w:val="28"/>
          <w:szCs w:val="28"/>
        </w:rPr>
        <w:t>复印件的，不能享受招标文件规定的价格扣除，但不影响投标人投标文件的有效性。</w:t>
      </w:r>
    </w:p>
    <w:p>
      <w:pPr>
        <w:pStyle w:val="2"/>
      </w:pPr>
    </w:p>
    <w:p>
      <w:pPr>
        <w:spacing w:line="440" w:lineRule="atLeast"/>
        <w:rPr>
          <w:rFonts w:ascii="宋体" w:hAnsi="宋体"/>
          <w:b/>
          <w:sz w:val="28"/>
          <w:szCs w:val="28"/>
        </w:rPr>
      </w:pPr>
    </w:p>
    <w:bookmarkEnd w:id="147"/>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49" w:name="_Toc74752334"/>
      <w:bookmarkStart w:id="150" w:name="_Toc217446093"/>
      <w:bookmarkStart w:id="151" w:name="_Toc316292231"/>
      <w:bookmarkStart w:id="152" w:name="_Toc321382057"/>
      <w:r>
        <w:rPr>
          <w:rFonts w:hint="eastAsia" w:ascii="宋体" w:hAnsi="宋体"/>
          <w:b/>
          <w:bCs/>
          <w:spacing w:val="-20"/>
          <w:kern w:val="44"/>
          <w:sz w:val="32"/>
          <w:szCs w:val="32"/>
        </w:rPr>
        <w:t>招标项目技术、服务、商务及其他要求</w:t>
      </w:r>
      <w:bookmarkEnd w:id="149"/>
      <w:bookmarkEnd w:id="150"/>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32"/>
          <w:szCs w:val="32"/>
        </w:rPr>
      </w:pPr>
      <w:bookmarkStart w:id="153" w:name="_Toc74752335"/>
      <w:r>
        <w:rPr>
          <w:rFonts w:hint="eastAsia" w:ascii="宋体" w:hAnsi="宋体"/>
          <w:b/>
          <w:bCs/>
          <w:sz w:val="32"/>
          <w:szCs w:val="32"/>
        </w:rPr>
        <w:t>项目概况</w:t>
      </w:r>
      <w:bookmarkEnd w:id="153"/>
    </w:p>
    <w:p>
      <w:pPr>
        <w:ind w:firstLine="560" w:firstLineChars="200"/>
        <w:rPr>
          <w:rFonts w:ascii="宋体" w:hAnsi="宋体"/>
          <w:sz w:val="28"/>
          <w:szCs w:val="28"/>
        </w:rPr>
      </w:pPr>
      <w:r>
        <w:rPr>
          <w:rFonts w:hint="eastAsia" w:ascii="宋体" w:hAnsi="宋体"/>
          <w:sz w:val="28"/>
          <w:szCs w:val="28"/>
        </w:rPr>
        <w:t>本项目拟采购龙泉驿区2021年新建第二批6所幼儿园办公家具</w:t>
      </w:r>
    </w:p>
    <w:p>
      <w:pPr>
        <w:rPr>
          <w:rFonts w:ascii="宋体" w:hAnsi="宋体"/>
          <w:sz w:val="28"/>
          <w:szCs w:val="28"/>
        </w:rPr>
      </w:pPr>
      <w:r>
        <w:rPr>
          <w:rFonts w:hint="eastAsia" w:ascii="宋体" w:hAnsi="宋体"/>
          <w:sz w:val="28"/>
          <w:szCs w:val="28"/>
        </w:rPr>
        <w:t>项目，具体如下。</w:t>
      </w:r>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32"/>
          <w:szCs w:val="32"/>
        </w:rPr>
      </w:pPr>
      <w:bookmarkStart w:id="154" w:name="_Toc74752336"/>
      <w:r>
        <w:rPr>
          <w:rFonts w:hint="eastAsia" w:ascii="宋体" w:hAnsi="宋体"/>
          <w:b/>
          <w:bCs/>
          <w:sz w:val="32"/>
          <w:szCs w:val="32"/>
        </w:rPr>
        <w:t>采购内容</w:t>
      </w:r>
      <w:bookmarkEnd w:id="154"/>
    </w:p>
    <w:p>
      <w:pPr>
        <w:tabs>
          <w:tab w:val="left" w:pos="851"/>
        </w:tabs>
        <w:spacing w:line="360" w:lineRule="auto"/>
        <w:ind w:firstLine="565" w:firstLineChars="202"/>
        <w:rPr>
          <w:rFonts w:ascii="宋体" w:hAnsi="宋体"/>
          <w:sz w:val="28"/>
          <w:szCs w:val="28"/>
        </w:rPr>
      </w:pPr>
      <w:r>
        <w:rPr>
          <w:rFonts w:hint="eastAsia" w:ascii="宋体" w:hAnsi="宋体"/>
          <w:sz w:val="28"/>
          <w:szCs w:val="28"/>
        </w:rPr>
        <w:t>本项目核心产品为：书包柜、玩具柜、图书架。</w:t>
      </w:r>
    </w:p>
    <w:tbl>
      <w:tblPr>
        <w:tblStyle w:val="4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27"/>
        <w:gridCol w:w="511"/>
        <w:gridCol w:w="1059"/>
        <w:gridCol w:w="816"/>
        <w:gridCol w:w="816"/>
        <w:gridCol w:w="1171"/>
        <w:gridCol w:w="932"/>
        <w:gridCol w:w="795"/>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restart"/>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序号</w:t>
            </w:r>
          </w:p>
        </w:tc>
        <w:tc>
          <w:tcPr>
            <w:tcW w:w="1127" w:type="dxa"/>
            <w:vMerge w:val="restart"/>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名称</w:t>
            </w:r>
          </w:p>
        </w:tc>
        <w:tc>
          <w:tcPr>
            <w:tcW w:w="511" w:type="dxa"/>
            <w:vMerge w:val="restart"/>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w:t>
            </w:r>
          </w:p>
        </w:tc>
        <w:tc>
          <w:tcPr>
            <w:tcW w:w="6231" w:type="dxa"/>
            <w:gridSpan w:val="7"/>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kern w:val="0"/>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continue"/>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 w:val="20"/>
                <w:szCs w:val="20"/>
              </w:rPr>
            </w:pPr>
          </w:p>
        </w:tc>
        <w:tc>
          <w:tcPr>
            <w:tcW w:w="1127" w:type="dxa"/>
            <w:vMerge w:val="continue"/>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 w:val="20"/>
                <w:szCs w:val="20"/>
              </w:rPr>
            </w:pPr>
          </w:p>
        </w:tc>
        <w:tc>
          <w:tcPr>
            <w:tcW w:w="511" w:type="dxa"/>
            <w:vMerge w:val="continue"/>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 w:val="20"/>
                <w:szCs w:val="20"/>
              </w:rPr>
            </w:pP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世纪广场（</w:t>
            </w:r>
            <w:r>
              <w:rPr>
                <w:rFonts w:cs="宋体" w:asciiTheme="minorEastAsia" w:hAnsiTheme="minorEastAsia" w:eastAsiaTheme="minorEastAsia"/>
                <w:kern w:val="0"/>
                <w:sz w:val="20"/>
                <w:szCs w:val="20"/>
              </w:rPr>
              <w:t>12</w:t>
            </w:r>
            <w:r>
              <w:rPr>
                <w:rFonts w:hint="eastAsia" w:cs="宋体" w:asciiTheme="minorEastAsia" w:hAnsiTheme="minorEastAsia" w:eastAsiaTheme="minorEastAsia"/>
                <w:kern w:val="0"/>
                <w:sz w:val="20"/>
                <w:szCs w:val="20"/>
              </w:rPr>
              <w:t>）</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建材路（</w:t>
            </w:r>
            <w:r>
              <w:rPr>
                <w:rFonts w:cs="宋体" w:asciiTheme="minorEastAsia" w:hAnsiTheme="minorEastAsia" w:eastAsiaTheme="minorEastAsia"/>
                <w:kern w:val="0"/>
                <w:sz w:val="20"/>
                <w:szCs w:val="20"/>
              </w:rPr>
              <w:t>15</w:t>
            </w:r>
            <w:r>
              <w:rPr>
                <w:rFonts w:hint="eastAsia" w:cs="宋体" w:asciiTheme="minorEastAsia" w:hAnsiTheme="minorEastAsia" w:eastAsiaTheme="minorEastAsia"/>
                <w:kern w:val="0"/>
                <w:sz w:val="20"/>
                <w:szCs w:val="20"/>
              </w:rPr>
              <w:t>）</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红咏（</w:t>
            </w:r>
            <w:r>
              <w:rPr>
                <w:rFonts w:cs="宋体" w:asciiTheme="minorEastAsia" w:hAnsiTheme="minorEastAsia" w:eastAsiaTheme="minorEastAsia"/>
                <w:kern w:val="0"/>
                <w:sz w:val="20"/>
                <w:szCs w:val="20"/>
              </w:rPr>
              <w:t>12</w:t>
            </w:r>
            <w:r>
              <w:rPr>
                <w:rFonts w:hint="eastAsia" w:cs="宋体" w:asciiTheme="minorEastAsia" w:hAnsiTheme="minorEastAsia" w:eastAsiaTheme="minorEastAsia"/>
                <w:kern w:val="0"/>
                <w:sz w:val="20"/>
                <w:szCs w:val="20"/>
              </w:rPr>
              <w:t>）</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北大资源（</w:t>
            </w:r>
            <w:r>
              <w:rPr>
                <w:rFonts w:cs="宋体" w:asciiTheme="minorEastAsia" w:hAnsiTheme="minorEastAsia" w:eastAsiaTheme="minorEastAsia"/>
                <w:kern w:val="0"/>
                <w:sz w:val="20"/>
                <w:szCs w:val="20"/>
              </w:rPr>
              <w:t>12</w:t>
            </w:r>
            <w:r>
              <w:rPr>
                <w:rFonts w:hint="eastAsia" w:cs="宋体" w:asciiTheme="minorEastAsia" w:hAnsiTheme="minorEastAsia" w:eastAsiaTheme="minorEastAsia"/>
                <w:kern w:val="0"/>
                <w:sz w:val="20"/>
                <w:szCs w:val="20"/>
              </w:rPr>
              <w:t>）</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蓝色理想（</w:t>
            </w:r>
            <w:r>
              <w:rPr>
                <w:rFonts w:cs="宋体" w:asciiTheme="minorEastAsia" w:hAnsiTheme="minorEastAsia" w:eastAsiaTheme="minorEastAsia"/>
                <w:kern w:val="0"/>
                <w:sz w:val="20"/>
                <w:szCs w:val="20"/>
              </w:rPr>
              <w:t>10)</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驿河第一幼</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gridSpan w:val="2"/>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教室区</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书包柜</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36</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45</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36</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36</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30</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16</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玩具柜</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36</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45</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36</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36</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30</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30</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9</w:t>
            </w:r>
            <w:r>
              <w:rPr>
                <w:rFonts w:hint="eastAsia" w:cs="宋体" w:asciiTheme="minorEastAsia" w:hAnsiTheme="minorEastAsia" w:eastAsiaTheme="minorEastAsia"/>
                <w:kern w:val="0"/>
                <w:szCs w:val="21"/>
              </w:rPr>
              <w:t>格柜</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36</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45</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36</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36</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30</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15</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图书架</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36</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45</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36</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36</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30</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18</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5</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组合柜</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组</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15</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12</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12</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10</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18</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6</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毛巾架</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15</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12</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12</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10</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20</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7</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衣帽鞋柜</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组</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15</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12</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12</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10</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18</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8</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洗手台吊柜</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组</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highlight w:val="none"/>
              </w:rPr>
              <w:t>24</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30</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24</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24</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20</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30</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gridSpan w:val="2"/>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阅读区</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9</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小方桌</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张</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yellow"/>
              </w:rPr>
            </w:pPr>
            <w:r>
              <w:rPr>
                <w:rFonts w:hint="eastAsia" w:cs="宋体" w:asciiTheme="minorEastAsia" w:hAnsiTheme="minorEastAsia" w:eastAsiaTheme="minorEastAsia"/>
                <w:kern w:val="0"/>
                <w:szCs w:val="21"/>
                <w:highlight w:val="none"/>
              </w:rPr>
              <w:t>20</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20</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20</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20</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20</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20</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10</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幼儿椅</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把</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yellow"/>
              </w:rPr>
            </w:pPr>
            <w:r>
              <w:rPr>
                <w:rFonts w:hint="eastAsia" w:cs="宋体" w:asciiTheme="minorEastAsia" w:hAnsiTheme="minorEastAsia" w:eastAsiaTheme="minorEastAsia"/>
                <w:kern w:val="0"/>
                <w:szCs w:val="21"/>
                <w:highlight w:val="none"/>
              </w:rPr>
              <w:t>80</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80</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80</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80</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80</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80</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11</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图书架</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12</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草莓沙发</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套</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13</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多功能书架</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gridSpan w:val="2"/>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陶艺区</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14</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方形美工桌</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张</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15</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圆凳</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36</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36</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36</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36</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36</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36</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16</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陶艺作品收纳柜</w:t>
            </w:r>
            <w:r>
              <w:rPr>
                <w:rFonts w:cs="宋体" w:asciiTheme="minorEastAsia" w:hAnsiTheme="minorEastAsia" w:eastAsiaTheme="minorEastAsia"/>
                <w:kern w:val="0"/>
                <w:szCs w:val="21"/>
              </w:rPr>
              <w:t>A</w:t>
            </w:r>
            <w:r>
              <w:rPr>
                <w:rFonts w:hint="eastAsia" w:cs="宋体" w:asciiTheme="minorEastAsia" w:hAnsiTheme="minorEastAsia" w:eastAsiaTheme="minorEastAsia"/>
                <w:kern w:val="0"/>
                <w:szCs w:val="21"/>
              </w:rPr>
              <w:t>柜</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17</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陶艺作品收纳柜</w:t>
            </w:r>
            <w:r>
              <w:rPr>
                <w:rFonts w:cs="宋体" w:asciiTheme="minorEastAsia" w:hAnsiTheme="minorEastAsia" w:eastAsiaTheme="minorEastAsia"/>
                <w:kern w:val="0"/>
                <w:szCs w:val="21"/>
              </w:rPr>
              <w:t>B</w:t>
            </w:r>
            <w:r>
              <w:rPr>
                <w:rFonts w:hint="eastAsia" w:cs="宋体" w:asciiTheme="minorEastAsia" w:hAnsiTheme="minorEastAsia" w:eastAsiaTheme="minorEastAsia"/>
                <w:kern w:val="0"/>
                <w:szCs w:val="21"/>
              </w:rPr>
              <w:t>柜</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18</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陶艺作品收纳柜</w:t>
            </w:r>
            <w:r>
              <w:rPr>
                <w:rFonts w:cs="宋体" w:asciiTheme="minorEastAsia" w:hAnsiTheme="minorEastAsia" w:eastAsiaTheme="minorEastAsia"/>
                <w:kern w:val="0"/>
                <w:szCs w:val="21"/>
              </w:rPr>
              <w:t>C</w:t>
            </w:r>
            <w:r>
              <w:rPr>
                <w:rFonts w:hint="eastAsia" w:cs="宋体" w:asciiTheme="minorEastAsia" w:hAnsiTheme="minorEastAsia" w:eastAsiaTheme="minorEastAsia"/>
                <w:kern w:val="0"/>
                <w:szCs w:val="21"/>
              </w:rPr>
              <w:t>柜</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19</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原木颜料收纳柜</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8</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gridSpan w:val="2"/>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构建区</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20</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桌椅</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套</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21</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桌椅</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套</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22</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高低玩具柜</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8</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23</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收纳柜</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10</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gridSpan w:val="2"/>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办公区</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24</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班台</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张</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25</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文件柜</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组</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26</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班椅</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把</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27</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班前椅</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把</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28</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沙发</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套</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29</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茶几</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张</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30</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办公桌</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位</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29</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29</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29</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29</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29</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31</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kern w:val="0"/>
                <w:szCs w:val="21"/>
              </w:rPr>
              <w:t>活动柜</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29</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29</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29</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29</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29</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32</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办公椅</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把</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29</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29</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29</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29</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29</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33</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文件柜</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组</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29</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29</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29</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29</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29</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20</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34</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会议桌</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张</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35</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音体教室折叠椅</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把</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60</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60</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60</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60</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60</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60</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3</w:t>
            </w:r>
            <w:r>
              <w:rPr>
                <w:rFonts w:cs="宋体" w:asciiTheme="minorEastAsia" w:hAnsiTheme="minorEastAsia" w:eastAsiaTheme="minorEastAsia"/>
                <w:b/>
                <w:bCs/>
                <w:kern w:val="0"/>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36</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会议椅</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把</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30</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30</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30</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30</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30</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30</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37</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会议条桌</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张</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38</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检查床</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张</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39</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三人位沙发</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40</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遮光窗帘</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平方米</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16</w:t>
            </w:r>
            <w:r>
              <w:rPr>
                <w:rFonts w:cs="宋体" w:asciiTheme="minorEastAsia" w:hAnsiTheme="minorEastAsia" w:eastAsiaTheme="minorEastAsia"/>
                <w:kern w:val="0"/>
                <w:szCs w:val="21"/>
                <w:highlight w:val="none"/>
              </w:rPr>
              <w:t>00</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1320</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16</w:t>
            </w:r>
            <w:r>
              <w:rPr>
                <w:rFonts w:cs="宋体" w:asciiTheme="minorEastAsia" w:hAnsiTheme="minorEastAsia" w:eastAsiaTheme="minorEastAsia"/>
                <w:kern w:val="0"/>
                <w:szCs w:val="21"/>
                <w:highlight w:val="none"/>
              </w:rPr>
              <w:t>00</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1080</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1360</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1200</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41</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窗纱</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米</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1600</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1320</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1600</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1080</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1360</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1200</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42</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轨道</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米</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1600</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1320</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1600</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1080</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1360</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1200</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3</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油漆木质文件柜</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组</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1</w:t>
            </w:r>
            <w:r>
              <w:rPr>
                <w:rFonts w:cs="宋体" w:asciiTheme="minorEastAsia" w:hAnsiTheme="minorEastAsia" w:eastAsiaTheme="minorEastAsia"/>
                <w:b/>
                <w:bC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4</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文件柜</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组</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7</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5</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茶水柜</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张</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2</w:t>
            </w:r>
            <w:r>
              <w:rPr>
                <w:rFonts w:cs="宋体" w:asciiTheme="minorEastAsia" w:hAnsiTheme="minorEastAsia" w:eastAsiaTheme="minorEastAsia"/>
                <w:b/>
                <w:bCs/>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6</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收费桌</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张</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7</w:t>
            </w:r>
          </w:p>
        </w:tc>
        <w:tc>
          <w:tcPr>
            <w:tcW w:w="1127"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货架</w:t>
            </w:r>
          </w:p>
        </w:tc>
        <w:tc>
          <w:tcPr>
            <w:tcW w:w="51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组</w:t>
            </w:r>
          </w:p>
        </w:tc>
        <w:tc>
          <w:tcPr>
            <w:tcW w:w="1059"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816"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171"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93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795"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642" w:type="dxa"/>
            <w:shd w:val="clear" w:color="auto"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2</w:t>
            </w:r>
            <w:r>
              <w:rPr>
                <w:rFonts w:cs="宋体" w:asciiTheme="minorEastAsia" w:hAnsiTheme="minorEastAsia" w:eastAsiaTheme="minorEastAsia"/>
                <w:b/>
                <w:bCs/>
                <w:kern w:val="0"/>
                <w:szCs w:val="21"/>
              </w:rPr>
              <w:t>4</w:t>
            </w:r>
          </w:p>
        </w:tc>
      </w:tr>
    </w:tbl>
    <w:p>
      <w:pPr>
        <w:pStyle w:val="2"/>
      </w:pPr>
    </w:p>
    <w:p>
      <w:pPr>
        <w:tabs>
          <w:tab w:val="left" w:pos="851"/>
        </w:tabs>
        <w:spacing w:line="360" w:lineRule="auto"/>
        <w:ind w:firstLine="424" w:firstLineChars="202"/>
      </w:pPr>
    </w:p>
    <w:p/>
    <w:p>
      <w:pPr>
        <w:pStyle w:val="2"/>
      </w:pPr>
    </w:p>
    <w:p/>
    <w:p>
      <w:pPr>
        <w:pStyle w:val="2"/>
      </w:pPr>
    </w:p>
    <w:p/>
    <w:p>
      <w:pPr>
        <w:pStyle w:val="2"/>
      </w:pPr>
    </w:p>
    <w:p>
      <w:pPr>
        <w:pStyle w:val="2"/>
        <w:rPr>
          <w:rFonts w:ascii="宋体" w:hAnsi="宋体"/>
          <w:b/>
          <w:bCs/>
          <w:sz w:val="32"/>
          <w:szCs w:val="32"/>
        </w:rPr>
        <w:sectPr>
          <w:footerReference r:id="rId3" w:type="default"/>
          <w:pgSz w:w="11850" w:h="16783"/>
          <w:pgMar w:top="1440" w:right="1800" w:bottom="1440" w:left="1800" w:header="708" w:footer="708" w:gutter="0"/>
          <w:cols w:space="708" w:num="1"/>
          <w:docGrid w:linePitch="360" w:charSpace="0"/>
        </w:sectPr>
      </w:pPr>
      <w:bookmarkStart w:id="155" w:name="_Toc529173741"/>
      <w:bookmarkStart w:id="156" w:name="_Toc533672602"/>
    </w:p>
    <w:p>
      <w:pPr>
        <w:keepNext/>
        <w:keepLines/>
        <w:numPr>
          <w:ilvl w:val="1"/>
          <w:numId w:val="5"/>
        </w:numPr>
        <w:tabs>
          <w:tab w:val="left" w:pos="0"/>
          <w:tab w:val="left" w:pos="426"/>
          <w:tab w:val="left" w:pos="576"/>
          <w:tab w:val="left" w:pos="786"/>
        </w:tabs>
        <w:spacing w:line="360" w:lineRule="auto"/>
        <w:ind w:left="0" w:firstLine="0"/>
        <w:outlineLvl w:val="1"/>
      </w:pPr>
      <w:bookmarkStart w:id="157" w:name="_Toc74752337"/>
      <w:r>
        <w:rPr>
          <w:rFonts w:hint="eastAsia" w:ascii="宋体" w:hAnsi="宋体"/>
          <w:b/>
          <w:bCs/>
          <w:sz w:val="32"/>
          <w:szCs w:val="32"/>
        </w:rPr>
        <w:t>技术参数及要求</w:t>
      </w:r>
      <w:bookmarkEnd w:id="157"/>
    </w:p>
    <w:tbl>
      <w:tblPr>
        <w:tblStyle w:val="46"/>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2499"/>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名称</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尺寸（单位：</w:t>
            </w:r>
            <w:r>
              <w:rPr>
                <w:rFonts w:cs="宋体" w:asciiTheme="minorEastAsia" w:hAnsiTheme="minorEastAsia" w:eastAsiaTheme="minorEastAsia"/>
                <w:kern w:val="0"/>
                <w:szCs w:val="21"/>
              </w:rPr>
              <w:t>mm</w:t>
            </w:r>
            <w:r>
              <w:rPr>
                <w:rFonts w:hint="eastAsia" w:cs="宋体" w:asciiTheme="minorEastAsia" w:hAnsiTheme="minorEastAsia" w:eastAsiaTheme="minorEastAsia"/>
                <w:kern w:val="0"/>
                <w:szCs w:val="21"/>
              </w:rPr>
              <w:t>）</w:t>
            </w:r>
          </w:p>
        </w:tc>
        <w:tc>
          <w:tcPr>
            <w:tcW w:w="9186"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48" w:type="dxa"/>
            <w:gridSpan w:val="4"/>
            <w:shd w:val="solid" w:color="FFFF99" w:fill="auto"/>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教室区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书包柜</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L1200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W400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H900</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木材选用实木指接板，严格经过蒸煮、制药、杀菌、喷环保水性油漆。</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柜架牢固，不变形，边角安全圆弧，原木色，脚底粘贴橡胶垫。</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GB/T 3324</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2017</w:t>
            </w:r>
            <w:r>
              <w:rPr>
                <w:rFonts w:hint="eastAsia" w:cs="宋体" w:asciiTheme="minorEastAsia" w:hAnsiTheme="minorEastAsia" w:eastAsiaTheme="minorEastAsia"/>
                <w:kern w:val="0"/>
                <w:szCs w:val="21"/>
              </w:rPr>
              <w:t>《木家具通用技术条件》和</w:t>
            </w:r>
            <w:r>
              <w:rPr>
                <w:rFonts w:cs="宋体" w:asciiTheme="minorEastAsia" w:hAnsiTheme="minorEastAsia" w:eastAsiaTheme="minorEastAsia"/>
                <w:kern w:val="0"/>
                <w:szCs w:val="21"/>
              </w:rPr>
              <w:t xml:space="preserve">GB/T 35607-2017 </w:t>
            </w:r>
            <w:r>
              <w:rPr>
                <w:rFonts w:hint="eastAsia" w:cs="宋体" w:asciiTheme="minorEastAsia" w:hAnsiTheme="minorEastAsia" w:eastAsiaTheme="minorEastAsia"/>
                <w:kern w:val="0"/>
                <w:szCs w:val="21"/>
              </w:rPr>
              <w:t>《绿色产品评价家具》标准，木家具甲醛释放量≤</w:t>
            </w:r>
            <w:r>
              <w:rPr>
                <w:rFonts w:cs="宋体" w:asciiTheme="minorEastAsia" w:hAnsiTheme="minorEastAsia" w:eastAsiaTheme="minorEastAsia"/>
                <w:kern w:val="0"/>
                <w:szCs w:val="21"/>
              </w:rPr>
              <w:t>0.1mg/</w:t>
            </w:r>
            <w:r>
              <w:rPr>
                <w:rFonts w:hint="eastAsia" w:cs="宋体" w:asciiTheme="minorEastAsia" w:hAnsiTheme="minorEastAsia" w:eastAsiaTheme="minorEastAsia"/>
                <w:kern w:val="0"/>
                <w:szCs w:val="21"/>
              </w:rPr>
              <w:t>，苯≤</w:t>
            </w:r>
            <w:r>
              <w:rPr>
                <w:rFonts w:cs="宋体" w:asciiTheme="minorEastAsia" w:hAnsiTheme="minorEastAsia" w:eastAsiaTheme="minorEastAsia"/>
                <w:kern w:val="0"/>
                <w:szCs w:val="21"/>
              </w:rPr>
              <w:t>0.05mg/m</w:t>
            </w:r>
            <w:r>
              <w:rPr>
                <w:rFonts w:hint="eastAsia" w:cs="宋体" w:asciiTheme="minorEastAsia" w:hAnsiTheme="minorEastAsia" w:eastAsiaTheme="minorEastAsia"/>
                <w:kern w:val="0"/>
                <w:szCs w:val="21"/>
              </w:rPr>
              <w:t>³，总挥发性有机化合物≤</w:t>
            </w:r>
            <w:r>
              <w:rPr>
                <w:rFonts w:cs="宋体" w:asciiTheme="minorEastAsia" w:hAnsiTheme="minorEastAsia" w:eastAsiaTheme="minorEastAsia"/>
                <w:kern w:val="0"/>
                <w:szCs w:val="21"/>
              </w:rPr>
              <w:t>0.3mg/m</w:t>
            </w:r>
            <w:r>
              <w:rPr>
                <w:rFonts w:hint="eastAsia" w:cs="宋体" w:asciiTheme="minorEastAsia" w:hAnsiTheme="minorEastAsia" w:eastAsiaTheme="minorEastAsia"/>
                <w:kern w:val="0"/>
                <w:szCs w:val="21"/>
              </w:rPr>
              <w:t>³，结构和底架强度试验检测无断裂、无损坏或脱落。（投标人提供有效的合格的书包柜抽样检测合格报告）</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木家具的外表面和内表面以及儿童手指可触及的隐蔽处，均不得有锐利的棱角、毛刺。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玩具柜</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L1200xW300xH800</w:t>
            </w:r>
            <w:r>
              <w:rPr>
                <w:rFonts w:hint="eastAsia" w:cs="宋体" w:asciiTheme="minorEastAsia" w:hAnsiTheme="minorEastAsia" w:eastAsiaTheme="minorEastAsia"/>
                <w:kern w:val="0"/>
                <w:szCs w:val="21"/>
              </w:rPr>
              <w:t>不含盒</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木材选用实木指接板，严格经过蒸煮、制药、杀菌、喷环保水性油漆。</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柜架牢固，不变形，边角安全圆弧，原木色，脚底粘贴橡胶垫。</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 xml:space="preserve">GB/T 35607-2017 </w:t>
            </w:r>
            <w:r>
              <w:rPr>
                <w:rFonts w:hint="eastAsia" w:cs="宋体" w:asciiTheme="minorEastAsia" w:hAnsiTheme="minorEastAsia" w:eastAsiaTheme="minorEastAsia"/>
                <w:kern w:val="0"/>
                <w:szCs w:val="21"/>
              </w:rPr>
              <w:t>《绿色产品评价家具》标准，木家具甲醛释放量≤</w:t>
            </w:r>
            <w:r>
              <w:rPr>
                <w:rFonts w:cs="宋体" w:asciiTheme="minorEastAsia" w:hAnsiTheme="minorEastAsia" w:eastAsiaTheme="minorEastAsia"/>
                <w:kern w:val="0"/>
                <w:szCs w:val="21"/>
              </w:rPr>
              <w:t>0.1mg/</w:t>
            </w:r>
            <w:r>
              <w:rPr>
                <w:rFonts w:hint="eastAsia" w:cs="宋体" w:asciiTheme="minorEastAsia" w:hAnsiTheme="minorEastAsia" w:eastAsiaTheme="minorEastAsia"/>
                <w:kern w:val="0"/>
                <w:szCs w:val="21"/>
              </w:rPr>
              <w:t>，苯≤</w:t>
            </w:r>
            <w:r>
              <w:rPr>
                <w:rFonts w:cs="宋体" w:asciiTheme="minorEastAsia" w:hAnsiTheme="minorEastAsia" w:eastAsiaTheme="minorEastAsia"/>
                <w:kern w:val="0"/>
                <w:szCs w:val="21"/>
              </w:rPr>
              <w:t>0.05mg/m</w:t>
            </w:r>
            <w:r>
              <w:rPr>
                <w:rFonts w:hint="eastAsia" w:cs="宋体" w:asciiTheme="minorEastAsia" w:hAnsiTheme="minorEastAsia" w:eastAsiaTheme="minorEastAsia"/>
                <w:kern w:val="0"/>
                <w:szCs w:val="21"/>
              </w:rPr>
              <w:t>³，总挥发性有机化合物≤</w:t>
            </w:r>
            <w:r>
              <w:rPr>
                <w:rFonts w:cs="宋体" w:asciiTheme="minorEastAsia" w:hAnsiTheme="minorEastAsia" w:eastAsiaTheme="minorEastAsia"/>
                <w:kern w:val="0"/>
                <w:szCs w:val="21"/>
              </w:rPr>
              <w:t>0.3mg/m</w:t>
            </w:r>
            <w:r>
              <w:rPr>
                <w:rFonts w:hint="eastAsia" w:cs="宋体" w:asciiTheme="minorEastAsia" w:hAnsiTheme="minorEastAsia" w:eastAsiaTheme="minorEastAsia"/>
                <w:kern w:val="0"/>
                <w:szCs w:val="21"/>
              </w:rPr>
              <w:t>³，结构和底架强度试验检测无断裂、无损坏或脱落。（投标人提供有效的合格的玩具柜抽样检测合格报告）</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木家具的外表面和内表面以及儿童手指可触及的隐蔽处，均不得有锐利的棱角、毛刺。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9</w:t>
            </w:r>
            <w:r>
              <w:rPr>
                <w:rFonts w:hint="eastAsia" w:cs="宋体" w:asciiTheme="minorEastAsia" w:hAnsiTheme="minorEastAsia" w:eastAsiaTheme="minorEastAsia"/>
                <w:kern w:val="0"/>
                <w:szCs w:val="21"/>
              </w:rPr>
              <w:t>格柜</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L900xW300xH900</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、木材选用实木指接板，严格经过蒸煮、制药、杀菌、喷环保水性油漆。</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、面漆：要求水性木器涂料挥发性有机化合物含量≤</w:t>
            </w:r>
            <w:r>
              <w:rPr>
                <w:rFonts w:cs="宋体" w:asciiTheme="minorEastAsia" w:hAnsiTheme="minorEastAsia" w:eastAsiaTheme="minorEastAsia"/>
                <w:kern w:val="0"/>
                <w:szCs w:val="21"/>
              </w:rPr>
              <w:t>18g/L</w:t>
            </w:r>
            <w:r>
              <w:rPr>
                <w:rFonts w:hint="eastAsia" w:cs="宋体" w:asciiTheme="minorEastAsia" w:hAnsiTheme="minorEastAsia" w:eastAsiaTheme="minorEastAsia"/>
                <w:kern w:val="0"/>
                <w:szCs w:val="21"/>
              </w:rPr>
              <w:t>，无苯、甲苯、乙苯、二甲苯、乙二醇醚及其酯类，游离甲醛含量≤</w:t>
            </w:r>
            <w:r>
              <w:rPr>
                <w:rFonts w:cs="宋体" w:asciiTheme="minorEastAsia" w:hAnsiTheme="minorEastAsia" w:eastAsiaTheme="minorEastAsia"/>
                <w:kern w:val="0"/>
                <w:szCs w:val="21"/>
              </w:rPr>
              <w:t>12mg/kg</w:t>
            </w:r>
            <w:r>
              <w:rPr>
                <w:rFonts w:hint="eastAsia" w:cs="宋体" w:asciiTheme="minorEastAsia" w:hAnsiTheme="minorEastAsia" w:eastAsiaTheme="minorEastAsia"/>
                <w:kern w:val="0"/>
                <w:szCs w:val="21"/>
              </w:rPr>
              <w:t>，搅拌后均匀无硬块，细度≤</w:t>
            </w:r>
            <w:r>
              <w:rPr>
                <w:rFonts w:cs="宋体" w:asciiTheme="minorEastAsia" w:hAnsiTheme="minorEastAsia" w:eastAsiaTheme="minorEastAsia"/>
                <w:kern w:val="0"/>
                <w:szCs w:val="21"/>
              </w:rPr>
              <w:t>22</w:t>
            </w:r>
            <w:r>
              <w:rPr>
                <w:rFonts w:hint="eastAsia" w:cs="宋体" w:asciiTheme="minorEastAsia" w:hAnsiTheme="minorEastAsia" w:eastAsiaTheme="minorEastAsia"/>
                <w:kern w:val="0"/>
                <w:szCs w:val="21"/>
              </w:rPr>
              <w:t>μ</w:t>
            </w:r>
            <w:r>
              <w:rPr>
                <w:rFonts w:cs="宋体" w:asciiTheme="minorEastAsia" w:hAnsiTheme="minorEastAsia" w:eastAsiaTheme="minorEastAsia"/>
                <w:kern w:val="0"/>
                <w:szCs w:val="21"/>
              </w:rPr>
              <w:t>m</w:t>
            </w:r>
            <w:r>
              <w:rPr>
                <w:rFonts w:hint="eastAsia" w:cs="宋体" w:asciiTheme="minorEastAsia" w:hAnsiTheme="minorEastAsia" w:eastAsiaTheme="minorEastAsia"/>
                <w:kern w:val="0"/>
                <w:szCs w:val="21"/>
              </w:rPr>
              <w:t>，不挥发物≥</w:t>
            </w:r>
            <w:r>
              <w:rPr>
                <w:rFonts w:cs="宋体" w:asciiTheme="minorEastAsia" w:hAnsiTheme="minorEastAsia" w:eastAsiaTheme="minorEastAsia"/>
                <w:kern w:val="0"/>
                <w:szCs w:val="21"/>
              </w:rPr>
              <w:t>39%</w:t>
            </w:r>
            <w:r>
              <w:rPr>
                <w:rFonts w:hint="eastAsia" w:cs="宋体" w:asciiTheme="minorEastAsia" w:hAnsiTheme="minorEastAsia" w:eastAsiaTheme="minorEastAsia"/>
                <w:kern w:val="0"/>
                <w:szCs w:val="21"/>
              </w:rPr>
              <w:t>，涂膜外观正常，硬度（擦伤）≥</w:t>
            </w:r>
            <w:r>
              <w:rPr>
                <w:rFonts w:cs="宋体" w:asciiTheme="minorEastAsia" w:hAnsiTheme="minorEastAsia" w:eastAsiaTheme="minorEastAsia"/>
                <w:kern w:val="0"/>
                <w:szCs w:val="21"/>
              </w:rPr>
              <w:t>2H</w:t>
            </w:r>
            <w:r>
              <w:rPr>
                <w:rFonts w:hint="eastAsia" w:cs="宋体" w:asciiTheme="minorEastAsia" w:hAnsiTheme="minorEastAsia" w:eastAsiaTheme="minorEastAsia"/>
                <w:kern w:val="0"/>
                <w:szCs w:val="21"/>
              </w:rPr>
              <w:t>，耐干热性［（</w:t>
            </w:r>
            <w:r>
              <w:rPr>
                <w:rFonts w:cs="宋体" w:asciiTheme="minorEastAsia" w:hAnsiTheme="minorEastAsia" w:eastAsiaTheme="minorEastAsia"/>
                <w:kern w:val="0"/>
                <w:szCs w:val="21"/>
              </w:rPr>
              <w:t>70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15min</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级。（投标人提供有效的合格的水性漆面漆检测合格报告）</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、底漆：要求挥发性有机化合物总量（</w:t>
            </w:r>
            <w:r>
              <w:rPr>
                <w:rFonts w:cs="宋体" w:asciiTheme="minorEastAsia" w:hAnsiTheme="minorEastAsia" w:eastAsiaTheme="minorEastAsia"/>
                <w:kern w:val="0"/>
                <w:szCs w:val="21"/>
              </w:rPr>
              <w:t>VOC</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25g/L,</w:t>
            </w:r>
            <w:r>
              <w:rPr>
                <w:rFonts w:hint="eastAsia" w:cs="宋体" w:asciiTheme="minorEastAsia" w:hAnsiTheme="minorEastAsia" w:eastAsiaTheme="minorEastAsia"/>
                <w:kern w:val="0"/>
                <w:szCs w:val="21"/>
              </w:rPr>
              <w:t>无苯、甲苯、乙苯、二甲苯、乙二醇醚及其醚类含量，游离甲醛≤</w:t>
            </w:r>
            <w:r>
              <w:rPr>
                <w:rFonts w:cs="宋体" w:asciiTheme="minorEastAsia" w:hAnsiTheme="minorEastAsia" w:eastAsiaTheme="minorEastAsia"/>
                <w:kern w:val="0"/>
                <w:szCs w:val="21"/>
              </w:rPr>
              <w:t>10mg/kg</w:t>
            </w:r>
            <w:r>
              <w:rPr>
                <w:rFonts w:hint="eastAsia" w:cs="宋体" w:asciiTheme="minorEastAsia" w:hAnsiTheme="minorEastAsia" w:eastAsiaTheme="minorEastAsia"/>
                <w:kern w:val="0"/>
                <w:szCs w:val="21"/>
              </w:rPr>
              <w:t>，无可溶性重金属（镉、铬、汞</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，搅拌后均匀无硬块，细度≤</w:t>
            </w:r>
            <w:r>
              <w:rPr>
                <w:rFonts w:cs="宋体" w:asciiTheme="minorEastAsia" w:hAnsiTheme="minorEastAsia" w:eastAsiaTheme="minorEastAsia"/>
                <w:kern w:val="0"/>
                <w:szCs w:val="21"/>
              </w:rPr>
              <w:t>20</w:t>
            </w:r>
            <w:r>
              <w:rPr>
                <w:rFonts w:hint="eastAsia" w:cs="宋体" w:asciiTheme="minorEastAsia" w:hAnsiTheme="minorEastAsia" w:eastAsiaTheme="minorEastAsia"/>
                <w:kern w:val="0"/>
                <w:szCs w:val="21"/>
              </w:rPr>
              <w:t>μ</w:t>
            </w:r>
            <w:r>
              <w:rPr>
                <w:rFonts w:cs="宋体" w:asciiTheme="minorEastAsia" w:hAnsiTheme="minorEastAsia" w:eastAsiaTheme="minorEastAsia"/>
                <w:kern w:val="0"/>
                <w:szCs w:val="21"/>
              </w:rPr>
              <w:t>m</w:t>
            </w:r>
            <w:r>
              <w:rPr>
                <w:rFonts w:hint="eastAsia" w:cs="宋体" w:asciiTheme="minorEastAsia" w:hAnsiTheme="minorEastAsia" w:eastAsiaTheme="minorEastAsia"/>
                <w:kern w:val="0"/>
                <w:szCs w:val="21"/>
              </w:rPr>
              <w:t>，不挥发物≥</w:t>
            </w:r>
            <w:r>
              <w:rPr>
                <w:rFonts w:cs="宋体" w:asciiTheme="minorEastAsia" w:hAnsiTheme="minorEastAsia" w:eastAsiaTheme="minorEastAsia"/>
                <w:kern w:val="0"/>
                <w:szCs w:val="21"/>
              </w:rPr>
              <w:t>36%</w:t>
            </w:r>
            <w:r>
              <w:rPr>
                <w:rFonts w:hint="eastAsia" w:cs="宋体" w:asciiTheme="minorEastAsia" w:hAnsiTheme="minorEastAsia" w:eastAsiaTheme="minorEastAsia"/>
                <w:kern w:val="0"/>
                <w:szCs w:val="21"/>
              </w:rPr>
              <w:t>，贮存稳定性［（</w:t>
            </w:r>
            <w:r>
              <w:rPr>
                <w:rFonts w:cs="宋体" w:asciiTheme="minorEastAsia" w:hAnsiTheme="minorEastAsia" w:eastAsiaTheme="minorEastAsia"/>
                <w:kern w:val="0"/>
                <w:szCs w:val="21"/>
              </w:rPr>
              <w:t>50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7d</w:t>
            </w:r>
            <w:r>
              <w:rPr>
                <w:rFonts w:hint="eastAsia" w:cs="宋体" w:asciiTheme="minorEastAsia" w:hAnsiTheme="minorEastAsia" w:eastAsiaTheme="minorEastAsia"/>
                <w:kern w:val="0"/>
                <w:szCs w:val="21"/>
              </w:rPr>
              <w:t>］无异常，耐打磨，硬度（擦伤）≥</w:t>
            </w:r>
            <w:r>
              <w:rPr>
                <w:rFonts w:cs="宋体" w:asciiTheme="minorEastAsia" w:hAnsiTheme="minorEastAsia" w:eastAsiaTheme="minorEastAsia"/>
                <w:kern w:val="0"/>
                <w:szCs w:val="21"/>
              </w:rPr>
              <w:t>2H</w:t>
            </w:r>
            <w:r>
              <w:rPr>
                <w:rFonts w:hint="eastAsia" w:cs="宋体" w:asciiTheme="minorEastAsia" w:hAnsiTheme="minorEastAsia" w:eastAsiaTheme="minorEastAsia"/>
                <w:kern w:val="0"/>
                <w:szCs w:val="21"/>
              </w:rPr>
              <w:t>，附着力（划格间距</w:t>
            </w:r>
            <w:r>
              <w:rPr>
                <w:rFonts w:cs="宋体" w:asciiTheme="minorEastAsia" w:hAnsiTheme="minorEastAsia" w:eastAsiaTheme="minorEastAsia"/>
                <w:kern w:val="0"/>
                <w:szCs w:val="21"/>
              </w:rPr>
              <w:t>2mm)</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级。（投标人提供有效的合格的水性漆底漆检测合格报告）</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、柜架牢固，不变形，边角安全圆弧，原木色，脚底粘贴橡胶垫。木家具的外表面和内表面以及儿童手指可触及的隐蔽处，均不得有锐利的棱角、毛刺。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图书架</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L1000xW300xH800</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木材选用实木指接板，严格经过蒸煮、制药、杀菌、喷环保水性油漆。</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柜架牢固，不变形，边角安全圆弧，原木色，脚底粘贴橡胶垫。</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木质的外表面和内表面以及儿童手指可触及的隐蔽处，均不得有锐利的棱角、毛刺。</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 xml:space="preserve">GB/T 35607-2017 </w:t>
            </w:r>
            <w:r>
              <w:rPr>
                <w:rFonts w:hint="eastAsia" w:cs="宋体" w:asciiTheme="minorEastAsia" w:hAnsiTheme="minorEastAsia" w:eastAsiaTheme="minorEastAsia"/>
                <w:kern w:val="0"/>
                <w:szCs w:val="21"/>
              </w:rPr>
              <w:t>《绿色产品评价家具》标准，木家具甲醛释放量≤</w:t>
            </w:r>
            <w:r>
              <w:rPr>
                <w:rFonts w:cs="宋体" w:asciiTheme="minorEastAsia" w:hAnsiTheme="minorEastAsia" w:eastAsiaTheme="minorEastAsia"/>
                <w:kern w:val="0"/>
                <w:szCs w:val="21"/>
              </w:rPr>
              <w:t>0.1mg/</w:t>
            </w:r>
            <w:r>
              <w:rPr>
                <w:rFonts w:hint="eastAsia" w:cs="宋体" w:asciiTheme="minorEastAsia" w:hAnsiTheme="minorEastAsia" w:eastAsiaTheme="minorEastAsia"/>
                <w:kern w:val="0"/>
                <w:szCs w:val="21"/>
              </w:rPr>
              <w:t>，苯≤</w:t>
            </w:r>
            <w:r>
              <w:rPr>
                <w:rFonts w:cs="宋体" w:asciiTheme="minorEastAsia" w:hAnsiTheme="minorEastAsia" w:eastAsiaTheme="minorEastAsia"/>
                <w:kern w:val="0"/>
                <w:szCs w:val="21"/>
              </w:rPr>
              <w:t>0.05mg/m</w:t>
            </w:r>
            <w:r>
              <w:rPr>
                <w:rFonts w:hint="eastAsia" w:cs="宋体" w:asciiTheme="minorEastAsia" w:hAnsiTheme="minorEastAsia" w:eastAsiaTheme="minorEastAsia"/>
                <w:kern w:val="0"/>
                <w:szCs w:val="21"/>
              </w:rPr>
              <w:t>³，总挥发性有机化合物≤</w:t>
            </w:r>
            <w:r>
              <w:rPr>
                <w:rFonts w:cs="宋体" w:asciiTheme="minorEastAsia" w:hAnsiTheme="minorEastAsia" w:eastAsiaTheme="minorEastAsia"/>
                <w:kern w:val="0"/>
                <w:szCs w:val="21"/>
              </w:rPr>
              <w:t>0.3mg/m</w:t>
            </w:r>
            <w:r>
              <w:rPr>
                <w:rFonts w:hint="eastAsia" w:cs="宋体" w:asciiTheme="minorEastAsia" w:hAnsiTheme="minorEastAsia" w:eastAsiaTheme="minorEastAsia"/>
                <w:kern w:val="0"/>
                <w:szCs w:val="21"/>
              </w:rPr>
              <w:t>³（投标人提供有效的合格的图书架抽样检测合格报告）。</w:t>
            </w:r>
          </w:p>
          <w:p>
            <w:pPr>
              <w:autoSpaceDE w:val="0"/>
              <w:autoSpaceDN w:val="0"/>
              <w:adjustRightInd w:val="0"/>
              <w:spacing w:line="360" w:lineRule="auto"/>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5</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组合柜</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A</w:t>
            </w:r>
            <w:r>
              <w:rPr>
                <w:rFonts w:hint="eastAsia" w:cs="宋体" w:asciiTheme="minorEastAsia" w:hAnsiTheme="minorEastAsia" w:eastAsiaTheme="minorEastAsia"/>
                <w:kern w:val="0"/>
                <w:szCs w:val="21"/>
              </w:rPr>
              <w:t>柜</w:t>
            </w:r>
            <w:r>
              <w:rPr>
                <w:rFonts w:cs="宋体" w:asciiTheme="minorEastAsia" w:hAnsiTheme="minorEastAsia" w:eastAsiaTheme="minorEastAsia"/>
                <w:kern w:val="0"/>
                <w:szCs w:val="21"/>
              </w:rPr>
              <w:t>L600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W300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H1360</w:t>
            </w:r>
          </w:p>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B</w:t>
            </w:r>
            <w:r>
              <w:rPr>
                <w:rFonts w:hint="eastAsia" w:cs="宋体" w:asciiTheme="minorEastAsia" w:hAnsiTheme="minorEastAsia" w:eastAsiaTheme="minorEastAsia"/>
                <w:kern w:val="0"/>
                <w:szCs w:val="21"/>
              </w:rPr>
              <w:t>柜</w:t>
            </w:r>
            <w:r>
              <w:rPr>
                <w:rFonts w:cs="宋体" w:asciiTheme="minorEastAsia" w:hAnsiTheme="minorEastAsia" w:eastAsiaTheme="minorEastAsia"/>
                <w:kern w:val="0"/>
                <w:szCs w:val="21"/>
              </w:rPr>
              <w:t>L600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W300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H900</w:t>
            </w:r>
          </w:p>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C</w:t>
            </w:r>
            <w:r>
              <w:rPr>
                <w:rFonts w:hint="eastAsia" w:cs="宋体" w:asciiTheme="minorEastAsia" w:hAnsiTheme="minorEastAsia" w:eastAsiaTheme="minorEastAsia"/>
                <w:kern w:val="0"/>
                <w:szCs w:val="21"/>
              </w:rPr>
              <w:t>柜</w:t>
            </w:r>
            <w:r>
              <w:rPr>
                <w:rFonts w:cs="宋体" w:asciiTheme="minorEastAsia" w:hAnsiTheme="minorEastAsia" w:eastAsiaTheme="minorEastAsia"/>
                <w:kern w:val="0"/>
                <w:szCs w:val="21"/>
              </w:rPr>
              <w:t>L900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W300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H600                        D</w:t>
            </w:r>
            <w:r>
              <w:rPr>
                <w:rFonts w:hint="eastAsia" w:cs="宋体" w:asciiTheme="minorEastAsia" w:hAnsiTheme="minorEastAsia" w:eastAsiaTheme="minorEastAsia"/>
                <w:kern w:val="0"/>
                <w:szCs w:val="21"/>
              </w:rPr>
              <w:t>柜</w:t>
            </w:r>
            <w:r>
              <w:rPr>
                <w:rFonts w:cs="宋体" w:asciiTheme="minorEastAsia" w:hAnsiTheme="minorEastAsia" w:eastAsiaTheme="minorEastAsia"/>
                <w:kern w:val="0"/>
                <w:szCs w:val="21"/>
              </w:rPr>
              <w:t>L1200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W300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H900</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木材选用实木指接板，严格经过蒸煮、制药、杀菌、喷环保水性油漆。</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柜架牢固，不变形，边角安全圆弧，原木色，脚底粘贴橡胶垫。</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要求符合</w:t>
            </w:r>
            <w:r>
              <w:rPr>
                <w:rFonts w:cs="宋体" w:asciiTheme="minorEastAsia" w:hAnsiTheme="minorEastAsia" w:eastAsiaTheme="minorEastAsia"/>
                <w:kern w:val="0"/>
                <w:szCs w:val="21"/>
              </w:rPr>
              <w:t>GB/T 3324</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2017</w:t>
            </w:r>
            <w:r>
              <w:rPr>
                <w:rFonts w:hint="eastAsia" w:cs="宋体" w:asciiTheme="minorEastAsia" w:hAnsiTheme="minorEastAsia" w:eastAsiaTheme="minorEastAsia"/>
                <w:kern w:val="0"/>
                <w:szCs w:val="21"/>
              </w:rPr>
              <w:t>《木家具通用技术条件》，木家具甲醛释放量≤</w:t>
            </w:r>
            <w:r>
              <w:rPr>
                <w:rFonts w:cs="宋体" w:asciiTheme="minorEastAsia" w:hAnsiTheme="minorEastAsia" w:eastAsiaTheme="minorEastAsia"/>
                <w:kern w:val="0"/>
                <w:szCs w:val="21"/>
              </w:rPr>
              <w:t>0.1mg/L</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木家具的外表面和内表面以及儿童手指可触及的隐蔽处，均不得有锐利的棱角、毛刺。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6</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毛巾架</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L950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W400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H1050</w:t>
            </w:r>
            <w:r>
              <w:rPr>
                <w:rFonts w:hint="eastAsia" w:cs="宋体" w:asciiTheme="minorEastAsia" w:hAnsiTheme="minorEastAsia" w:eastAsiaTheme="minorEastAsia"/>
                <w:kern w:val="0"/>
                <w:szCs w:val="21"/>
              </w:rPr>
              <w:t>含轮</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立柱采用松木实木，木材严格经过蒸煮、制药、杀菌、喷环保油漆；</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卯榫结构为主，桌架牢固，不变形，边角安全圆弧，原木色，脚底万向带刹车轮；</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木质的外表面和内表面以及儿童手指可触及的隐蔽处，均不得有锐利的棱角、毛刺，可挂</w:t>
            </w:r>
            <w:r>
              <w:rPr>
                <w:rFonts w:cs="宋体" w:asciiTheme="minorEastAsia" w:hAnsiTheme="minorEastAsia" w:eastAsiaTheme="minorEastAsia"/>
                <w:kern w:val="0"/>
                <w:szCs w:val="21"/>
              </w:rPr>
              <w:t>36</w:t>
            </w:r>
            <w:r>
              <w:rPr>
                <w:rFonts w:hint="eastAsia" w:cs="宋体" w:asciiTheme="minorEastAsia" w:hAnsiTheme="minorEastAsia" w:eastAsiaTheme="minorEastAsia"/>
                <w:kern w:val="0"/>
                <w:szCs w:val="21"/>
              </w:rPr>
              <w:t>条毛巾。</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 xml:space="preserve">GB/T 35607-2017 </w:t>
            </w:r>
            <w:r>
              <w:rPr>
                <w:rFonts w:hint="eastAsia" w:cs="宋体" w:asciiTheme="minorEastAsia" w:hAnsiTheme="minorEastAsia" w:eastAsiaTheme="minorEastAsia"/>
                <w:kern w:val="0"/>
                <w:szCs w:val="21"/>
              </w:rPr>
              <w:t>《绿色产品评价家具》标准，木家具甲醛释放量≤</w:t>
            </w:r>
            <w:r>
              <w:rPr>
                <w:rFonts w:cs="宋体" w:asciiTheme="minorEastAsia" w:hAnsiTheme="minorEastAsia" w:eastAsiaTheme="minorEastAsia"/>
                <w:kern w:val="0"/>
                <w:szCs w:val="21"/>
              </w:rPr>
              <w:t>0.1mg/</w:t>
            </w:r>
            <w:r>
              <w:rPr>
                <w:rFonts w:hint="eastAsia" w:cs="宋体" w:asciiTheme="minorEastAsia" w:hAnsiTheme="minorEastAsia" w:eastAsiaTheme="minorEastAsia"/>
                <w:kern w:val="0"/>
                <w:szCs w:val="21"/>
              </w:rPr>
              <w:t>，苯≤</w:t>
            </w:r>
            <w:r>
              <w:rPr>
                <w:rFonts w:cs="宋体" w:asciiTheme="minorEastAsia" w:hAnsiTheme="minorEastAsia" w:eastAsiaTheme="minorEastAsia"/>
                <w:kern w:val="0"/>
                <w:szCs w:val="21"/>
              </w:rPr>
              <w:t>0.05mg/m</w:t>
            </w:r>
            <w:r>
              <w:rPr>
                <w:rFonts w:hint="eastAsia" w:cs="宋体" w:asciiTheme="minorEastAsia" w:hAnsiTheme="minorEastAsia" w:eastAsiaTheme="minorEastAsia"/>
                <w:kern w:val="0"/>
                <w:szCs w:val="21"/>
              </w:rPr>
              <w:t>³，总挥发性有机化合物≤</w:t>
            </w:r>
            <w:r>
              <w:rPr>
                <w:rFonts w:cs="宋体" w:asciiTheme="minorEastAsia" w:hAnsiTheme="minorEastAsia" w:eastAsiaTheme="minorEastAsia"/>
                <w:kern w:val="0"/>
                <w:szCs w:val="21"/>
              </w:rPr>
              <w:t>0.3mg/m</w:t>
            </w:r>
            <w:r>
              <w:rPr>
                <w:rFonts w:hint="eastAsia" w:cs="宋体" w:asciiTheme="minorEastAsia" w:hAnsiTheme="minorEastAsia" w:eastAsiaTheme="minorEastAsia"/>
                <w:kern w:val="0"/>
                <w:szCs w:val="21"/>
              </w:rPr>
              <w:t>³。（投标人提供有效的合格的毛巾架抽样检测合格报告）。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7</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衣帽鞋柜</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L2000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W500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H2000</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柜体采用</w:t>
            </w:r>
            <w:r>
              <w:rPr>
                <w:rFonts w:cs="宋体" w:asciiTheme="minorEastAsia" w:hAnsiTheme="minorEastAsia" w:eastAsiaTheme="minorEastAsia"/>
                <w:kern w:val="0"/>
                <w:szCs w:val="21"/>
              </w:rPr>
              <w:t>E1</w:t>
            </w:r>
            <w:r>
              <w:rPr>
                <w:rFonts w:hint="eastAsia" w:cs="宋体" w:asciiTheme="minorEastAsia" w:hAnsiTheme="minorEastAsia" w:eastAsiaTheme="minorEastAsia"/>
                <w:kern w:val="0"/>
                <w:szCs w:val="21"/>
              </w:rPr>
              <w:t>级三聚氰胺双面免漆板</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楼层板厚度≥</w:t>
            </w:r>
            <w:r>
              <w:rPr>
                <w:rFonts w:cs="宋体" w:asciiTheme="minorEastAsia" w:hAnsiTheme="minorEastAsia" w:eastAsiaTheme="minorEastAsia"/>
                <w:kern w:val="0"/>
                <w:szCs w:val="21"/>
              </w:rPr>
              <w:t>25mm</w:t>
            </w:r>
            <w:r>
              <w:rPr>
                <w:rFonts w:hint="eastAsia" w:cs="宋体" w:asciiTheme="minorEastAsia" w:hAnsiTheme="minorEastAsia" w:eastAsiaTheme="minorEastAsia"/>
                <w:kern w:val="0"/>
                <w:szCs w:val="21"/>
              </w:rPr>
              <w:t>，内结合强度≥</w:t>
            </w:r>
            <w:r>
              <w:rPr>
                <w:rFonts w:cs="宋体" w:asciiTheme="minorEastAsia" w:hAnsiTheme="minorEastAsia" w:eastAsiaTheme="minorEastAsia"/>
                <w:kern w:val="0"/>
                <w:szCs w:val="21"/>
              </w:rPr>
              <w:t>0.48MPa</w:t>
            </w:r>
            <w:r>
              <w:rPr>
                <w:rFonts w:hint="eastAsia" w:cs="宋体" w:asciiTheme="minorEastAsia" w:hAnsiTheme="minorEastAsia" w:eastAsiaTheme="minorEastAsia"/>
                <w:kern w:val="0"/>
                <w:szCs w:val="21"/>
              </w:rPr>
              <w:t>，甲醛释放量≤</w:t>
            </w:r>
            <w:r>
              <w:rPr>
                <w:rFonts w:cs="宋体" w:asciiTheme="minorEastAsia" w:hAnsiTheme="minorEastAsia" w:eastAsiaTheme="minorEastAsia"/>
                <w:kern w:val="0"/>
                <w:szCs w:val="21"/>
              </w:rPr>
              <w:t>0.015mg/m</w:t>
            </w:r>
            <w:r>
              <w:rPr>
                <w:rFonts w:hint="eastAsia" w:cs="宋体" w:asciiTheme="minorEastAsia" w:hAnsiTheme="minorEastAsia" w:eastAsiaTheme="minorEastAsia"/>
                <w:kern w:val="0"/>
                <w:szCs w:val="21"/>
              </w:rPr>
              <w:t>³，板材防潮符合</w:t>
            </w:r>
            <w:r>
              <w:rPr>
                <w:rFonts w:cs="宋体" w:asciiTheme="minorEastAsia" w:hAnsiTheme="minorEastAsia" w:eastAsiaTheme="minorEastAsia"/>
                <w:kern w:val="0"/>
                <w:szCs w:val="21"/>
              </w:rPr>
              <w:t>GB/T4897.7</w:t>
            </w:r>
            <w:r>
              <w:rPr>
                <w:rFonts w:hint="eastAsia" w:cs="宋体" w:asciiTheme="minorEastAsia" w:hAnsiTheme="minorEastAsia" w:eastAsiaTheme="minorEastAsia"/>
                <w:kern w:val="0"/>
                <w:szCs w:val="21"/>
              </w:rPr>
              <w:t>，其截面封边粘力强，密封性好。</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采用缓冲铰链：经检验要求符合检验要求符合</w:t>
            </w:r>
            <w:r>
              <w:rPr>
                <w:rFonts w:cs="宋体" w:asciiTheme="minorEastAsia" w:hAnsiTheme="minorEastAsia" w:eastAsiaTheme="minorEastAsia"/>
                <w:kern w:val="0"/>
                <w:szCs w:val="21"/>
              </w:rPr>
              <w:t>GB/T</w:t>
            </w:r>
            <w:r>
              <w:rPr>
                <w:rFonts w:hint="eastAsia" w:cs="宋体" w:asciiTheme="minorEastAsia" w:hAnsiTheme="minorEastAsia" w:eastAsiaTheme="minorEastAsia"/>
                <w:kern w:val="0"/>
                <w:szCs w:val="21"/>
              </w:rPr>
              <w:t>　</w:t>
            </w:r>
            <w:r>
              <w:rPr>
                <w:rFonts w:cs="宋体" w:asciiTheme="minorEastAsia" w:hAnsiTheme="minorEastAsia" w:eastAsiaTheme="minorEastAsia"/>
                <w:kern w:val="0"/>
                <w:szCs w:val="21"/>
              </w:rPr>
              <w:t>3325-2017</w:t>
            </w:r>
            <w:r>
              <w:rPr>
                <w:rFonts w:hint="eastAsia" w:cs="宋体" w:asciiTheme="minorEastAsia" w:hAnsiTheme="minorEastAsia" w:eastAsiaTheme="minorEastAsia"/>
                <w:kern w:val="0"/>
                <w:szCs w:val="21"/>
              </w:rPr>
              <w:t>《金属家具通用技术条件》，通过抗盐雾喷雾周期</w:t>
            </w:r>
            <w:r>
              <w:rPr>
                <w:rFonts w:cs="宋体" w:asciiTheme="minorEastAsia" w:hAnsiTheme="minorEastAsia" w:eastAsiaTheme="minorEastAsia"/>
                <w:kern w:val="0"/>
                <w:szCs w:val="21"/>
              </w:rPr>
              <w:t>:72h</w:t>
            </w:r>
            <w:r>
              <w:rPr>
                <w:rFonts w:hint="eastAsia" w:cs="宋体" w:asciiTheme="minorEastAsia" w:hAnsiTheme="minorEastAsia" w:eastAsiaTheme="minorEastAsia"/>
                <w:kern w:val="0"/>
                <w:szCs w:val="21"/>
              </w:rPr>
              <w:t>标准试验，耐腐蚀等级≥</w:t>
            </w:r>
            <w:r>
              <w:rPr>
                <w:rFonts w:cs="宋体" w:asciiTheme="minorEastAsia" w:hAnsiTheme="minorEastAsia" w:eastAsiaTheme="minorEastAsia"/>
                <w:kern w:val="0"/>
                <w:szCs w:val="21"/>
              </w:rPr>
              <w:t>9</w:t>
            </w:r>
            <w:r>
              <w:rPr>
                <w:rFonts w:hint="eastAsia" w:cs="宋体" w:asciiTheme="minorEastAsia" w:hAnsiTheme="minorEastAsia" w:eastAsiaTheme="minorEastAsia"/>
                <w:kern w:val="0"/>
                <w:szCs w:val="21"/>
              </w:rPr>
              <w:t>级。（投标人提供有效的合格的缓冲铰链抽样检测合格报告）</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、具体尺寸根据实际场地尺寸可适当调整。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8</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洗手台吊柜</w:t>
            </w:r>
          </w:p>
        </w:tc>
        <w:tc>
          <w:tcPr>
            <w:tcW w:w="2499" w:type="dxa"/>
            <w:shd w:val="solid" w:color="FFFFFF"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L1200*W300*H600</w:t>
            </w:r>
          </w:p>
        </w:tc>
        <w:tc>
          <w:tcPr>
            <w:tcW w:w="9186" w:type="dxa"/>
            <w:shd w:val="solid" w:color="FFFFFF" w:fill="auto"/>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木材选用实木多层板，严格经过蒸煮、制药、杀菌、环保烤漆处理。</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柜架牢固，不变形，边角安全圆弧，</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GB/T 3324</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2017</w:t>
            </w:r>
            <w:r>
              <w:rPr>
                <w:rFonts w:hint="eastAsia" w:cs="宋体" w:asciiTheme="minorEastAsia" w:hAnsiTheme="minorEastAsia" w:eastAsiaTheme="minorEastAsia"/>
                <w:kern w:val="0"/>
                <w:szCs w:val="21"/>
              </w:rPr>
              <w:t>《木家具通用技术条件》标准，木家具甲醛释放量≤</w:t>
            </w:r>
            <w:r>
              <w:rPr>
                <w:rFonts w:cs="宋体" w:asciiTheme="minorEastAsia" w:hAnsiTheme="minorEastAsia" w:eastAsiaTheme="minorEastAsia"/>
                <w:kern w:val="0"/>
                <w:szCs w:val="21"/>
              </w:rPr>
              <w:t>0.1mg/L</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吊柜上墙安装，具体尺寸可根据现场适当调整。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48" w:type="dxa"/>
            <w:gridSpan w:val="4"/>
            <w:shd w:val="solid" w:color="FFFF99" w:fill="auto"/>
            <w:vAlign w:val="center"/>
          </w:tcPr>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阅读区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9</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小方桌</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L600*W600*H500</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采用樟子松实木指接板，木材严格经过蒸煮、制药、杀菌、喷环保油漆；</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卯榫结构为主，桌架牢固，不变形，边角安全圆弧，原木色，桌脚底粘贴橡胶垫；</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 xml:space="preserve">GB/T 35607-2017 </w:t>
            </w:r>
            <w:r>
              <w:rPr>
                <w:rFonts w:hint="eastAsia" w:cs="宋体" w:asciiTheme="minorEastAsia" w:hAnsiTheme="minorEastAsia" w:eastAsiaTheme="minorEastAsia"/>
                <w:kern w:val="0"/>
                <w:szCs w:val="21"/>
              </w:rPr>
              <w:t>《绿色产品评价家具》标准，木家具甲醛释放量≤</w:t>
            </w:r>
            <w:r>
              <w:rPr>
                <w:rFonts w:cs="宋体" w:asciiTheme="minorEastAsia" w:hAnsiTheme="minorEastAsia" w:eastAsiaTheme="minorEastAsia"/>
                <w:kern w:val="0"/>
                <w:szCs w:val="21"/>
              </w:rPr>
              <w:t>0.1mg/L</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木质的外表面和内表面以及儿童手指可触及的隐蔽处，均不得有锐利的棱角、毛刺。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10</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幼儿椅</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270mm(</w:t>
            </w:r>
            <w:r>
              <w:rPr>
                <w:rFonts w:hint="eastAsia" w:cs="宋体" w:asciiTheme="minorEastAsia" w:hAnsiTheme="minorEastAsia" w:eastAsiaTheme="minorEastAsia"/>
                <w:kern w:val="0"/>
                <w:szCs w:val="21"/>
              </w:rPr>
              <w:t>座高）×</w:t>
            </w:r>
            <w:r>
              <w:rPr>
                <w:rFonts w:cs="宋体" w:asciiTheme="minorEastAsia" w:hAnsiTheme="minorEastAsia" w:eastAsiaTheme="minorEastAsia"/>
                <w:kern w:val="0"/>
                <w:szCs w:val="21"/>
              </w:rPr>
              <w:t>260mm</w:t>
            </w:r>
            <w:r>
              <w:rPr>
                <w:rFonts w:hint="eastAsia" w:cs="宋体" w:asciiTheme="minorEastAsia" w:hAnsiTheme="minorEastAsia" w:eastAsiaTheme="minorEastAsia"/>
                <w:kern w:val="0"/>
                <w:szCs w:val="21"/>
              </w:rPr>
              <w:t>（座深）×</w:t>
            </w:r>
            <w:r>
              <w:rPr>
                <w:rFonts w:cs="宋体" w:asciiTheme="minorEastAsia" w:hAnsiTheme="minorEastAsia" w:eastAsiaTheme="minorEastAsia"/>
                <w:kern w:val="0"/>
                <w:szCs w:val="21"/>
              </w:rPr>
              <w:t>290mm</w:t>
            </w:r>
            <w:r>
              <w:rPr>
                <w:rFonts w:hint="eastAsia" w:cs="宋体" w:asciiTheme="minorEastAsia" w:hAnsiTheme="minorEastAsia" w:eastAsiaTheme="minorEastAsia"/>
                <w:kern w:val="0"/>
                <w:szCs w:val="21"/>
              </w:rPr>
              <w:t>（座前宽）×</w:t>
            </w:r>
            <w:r>
              <w:rPr>
                <w:rFonts w:cs="宋体" w:asciiTheme="minorEastAsia" w:hAnsiTheme="minorEastAsia" w:eastAsiaTheme="minorEastAsia"/>
                <w:kern w:val="0"/>
                <w:szCs w:val="21"/>
              </w:rPr>
              <w:t>270mm</w:t>
            </w:r>
            <w:r>
              <w:rPr>
                <w:rFonts w:hint="eastAsia" w:cs="宋体" w:asciiTheme="minorEastAsia" w:hAnsiTheme="minorEastAsia" w:eastAsiaTheme="minorEastAsia"/>
                <w:kern w:val="0"/>
                <w:szCs w:val="21"/>
              </w:rPr>
              <w:t>（座后宽）×</w:t>
            </w:r>
            <w:r>
              <w:rPr>
                <w:rFonts w:cs="宋体" w:asciiTheme="minorEastAsia" w:hAnsiTheme="minorEastAsia" w:eastAsiaTheme="minorEastAsia"/>
                <w:kern w:val="0"/>
                <w:szCs w:val="21"/>
              </w:rPr>
              <w:t>230mm</w:t>
            </w:r>
            <w:r>
              <w:rPr>
                <w:rFonts w:hint="eastAsia" w:cs="宋体" w:asciiTheme="minorEastAsia" w:hAnsiTheme="minorEastAsia" w:eastAsiaTheme="minorEastAsia"/>
                <w:kern w:val="0"/>
                <w:szCs w:val="21"/>
              </w:rPr>
              <w:t>（椅背）</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椅面板采用实木拼接板，木材严格经过蒸煮、制药、杀菌、喷环保油漆。</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卯榫结构为主，桌架牢固，不变形，边角安全圆弧，原木色，脚底粘贴橡胶垫。</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 xml:space="preserve">GB/T 35607-2017 </w:t>
            </w:r>
            <w:r>
              <w:rPr>
                <w:rFonts w:hint="eastAsia" w:cs="宋体" w:asciiTheme="minorEastAsia" w:hAnsiTheme="minorEastAsia" w:eastAsiaTheme="minorEastAsia"/>
                <w:kern w:val="0"/>
                <w:szCs w:val="21"/>
              </w:rPr>
              <w:t>《绿色产品评价家具》标准，木家具甲醛释放量≤</w:t>
            </w:r>
            <w:r>
              <w:rPr>
                <w:rFonts w:cs="宋体" w:asciiTheme="minorEastAsia" w:hAnsiTheme="minorEastAsia" w:eastAsiaTheme="minorEastAsia"/>
                <w:kern w:val="0"/>
                <w:szCs w:val="21"/>
              </w:rPr>
              <w:t>0.1mg/</w:t>
            </w:r>
            <w:r>
              <w:rPr>
                <w:rFonts w:hint="eastAsia" w:cs="宋体" w:asciiTheme="minorEastAsia" w:hAnsiTheme="minorEastAsia" w:eastAsiaTheme="minorEastAsia"/>
                <w:kern w:val="0"/>
                <w:szCs w:val="21"/>
              </w:rPr>
              <w:t>，苯≤</w:t>
            </w:r>
            <w:r>
              <w:rPr>
                <w:rFonts w:cs="宋体" w:asciiTheme="minorEastAsia" w:hAnsiTheme="minorEastAsia" w:eastAsiaTheme="minorEastAsia"/>
                <w:kern w:val="0"/>
                <w:szCs w:val="21"/>
              </w:rPr>
              <w:t>0.05mg/m</w:t>
            </w:r>
            <w:r>
              <w:rPr>
                <w:rFonts w:hint="eastAsia" w:cs="宋体" w:asciiTheme="minorEastAsia" w:hAnsiTheme="minorEastAsia" w:eastAsiaTheme="minorEastAsia"/>
                <w:kern w:val="0"/>
                <w:szCs w:val="21"/>
              </w:rPr>
              <w:t>³，总挥发性有机化合物≤</w:t>
            </w:r>
            <w:r>
              <w:rPr>
                <w:rFonts w:cs="宋体" w:asciiTheme="minorEastAsia" w:hAnsiTheme="minorEastAsia" w:eastAsiaTheme="minorEastAsia"/>
                <w:kern w:val="0"/>
                <w:szCs w:val="21"/>
              </w:rPr>
              <w:t>0.3mg/m</w:t>
            </w:r>
            <w:r>
              <w:rPr>
                <w:rFonts w:hint="eastAsia" w:cs="宋体" w:asciiTheme="minorEastAsia" w:hAnsiTheme="minorEastAsia" w:eastAsiaTheme="minorEastAsia"/>
                <w:kern w:val="0"/>
                <w:szCs w:val="21"/>
              </w:rPr>
              <w:t>³，椅凳类强度和耐久性试验检测无断裂、无损坏或脱落。（投标人提供有效的合格的幼儿椅抽样检测合格报告）。</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木质的外表面和内表面以及儿童手指可触及的隐蔽处，均不得有锐利的棱角、毛刺。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11</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图书架</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L1000*W300*H800</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木材选用实木指接板，严格经过蒸煮、制药、杀菌、喷环保水性油漆。</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柜架牢固，不变形，边角安全圆弧，原木色，脚底粘贴橡胶垫。</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 xml:space="preserve">GB/T 35607-2017 </w:t>
            </w:r>
            <w:r>
              <w:rPr>
                <w:rFonts w:hint="eastAsia" w:cs="宋体" w:asciiTheme="minorEastAsia" w:hAnsiTheme="minorEastAsia" w:eastAsiaTheme="minorEastAsia"/>
                <w:kern w:val="0"/>
                <w:szCs w:val="21"/>
              </w:rPr>
              <w:t>《绿色产品评价家具》标准，木家具甲醛释放量≤</w:t>
            </w:r>
            <w:r>
              <w:rPr>
                <w:rFonts w:cs="宋体" w:asciiTheme="minorEastAsia" w:hAnsiTheme="minorEastAsia" w:eastAsiaTheme="minorEastAsia"/>
                <w:kern w:val="0"/>
                <w:szCs w:val="21"/>
              </w:rPr>
              <w:t>0.1mg/</w:t>
            </w:r>
            <w:r>
              <w:rPr>
                <w:rFonts w:hint="eastAsia" w:cs="宋体" w:asciiTheme="minorEastAsia" w:hAnsiTheme="minorEastAsia" w:eastAsiaTheme="minorEastAsia"/>
                <w:kern w:val="0"/>
                <w:szCs w:val="21"/>
              </w:rPr>
              <w:t>，苯≤</w:t>
            </w:r>
            <w:r>
              <w:rPr>
                <w:rFonts w:cs="宋体" w:asciiTheme="minorEastAsia" w:hAnsiTheme="minorEastAsia" w:eastAsiaTheme="minorEastAsia"/>
                <w:kern w:val="0"/>
                <w:szCs w:val="21"/>
              </w:rPr>
              <w:t>0.05mg/m</w:t>
            </w:r>
            <w:r>
              <w:rPr>
                <w:rFonts w:hint="eastAsia" w:cs="宋体" w:asciiTheme="minorEastAsia" w:hAnsiTheme="minorEastAsia" w:eastAsiaTheme="minorEastAsia"/>
                <w:kern w:val="0"/>
                <w:szCs w:val="21"/>
              </w:rPr>
              <w:t>³，总挥发性有机化合物≤</w:t>
            </w:r>
            <w:r>
              <w:rPr>
                <w:rFonts w:cs="宋体" w:asciiTheme="minorEastAsia" w:hAnsiTheme="minorEastAsia" w:eastAsiaTheme="minorEastAsia"/>
                <w:kern w:val="0"/>
                <w:szCs w:val="21"/>
              </w:rPr>
              <w:t>0.3mg/m</w:t>
            </w:r>
            <w:r>
              <w:rPr>
                <w:rFonts w:hint="eastAsia" w:cs="宋体" w:asciiTheme="minorEastAsia" w:hAnsiTheme="minorEastAsia" w:eastAsiaTheme="minorEastAsia"/>
                <w:kern w:val="0"/>
                <w:szCs w:val="21"/>
              </w:rPr>
              <w:t>³，结构和底架强度试验检测无断裂、无损坏或脱落。（投标人提供有效的合格的图书架抽样检测合格报告）。</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木质的外表面和内表面以及儿童手指可触及的隐蔽处，均不得有锐利的棱角、毛刺。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12</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草莓沙发</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常规</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、面料；采用阻燃绒布面料：符合</w:t>
            </w:r>
            <w:r>
              <w:rPr>
                <w:rFonts w:cs="宋体" w:asciiTheme="minorEastAsia" w:hAnsiTheme="minorEastAsia" w:eastAsiaTheme="minorEastAsia"/>
                <w:kern w:val="0"/>
                <w:szCs w:val="21"/>
              </w:rPr>
              <w:t>GB/T 17591-2006</w:t>
            </w:r>
            <w:r>
              <w:rPr>
                <w:rFonts w:hint="eastAsia" w:cs="宋体" w:asciiTheme="minorEastAsia" w:hAnsiTheme="minorEastAsia" w:eastAsiaTheme="minorEastAsia"/>
                <w:kern w:val="0"/>
                <w:szCs w:val="21"/>
              </w:rPr>
              <w:t>阻燃织物标准，耐酸汗渍色牢度、耐碱汗渍色牢度≥</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级，不含甲醛，续燃时间和阴燃时间</w:t>
            </w:r>
            <w:r>
              <w:rPr>
                <w:rFonts w:cs="宋体" w:asciiTheme="minorEastAsia" w:hAnsiTheme="minorEastAsia" w:eastAsiaTheme="minorEastAsia"/>
                <w:kern w:val="0"/>
                <w:szCs w:val="21"/>
              </w:rPr>
              <w:t>0S</w:t>
            </w:r>
            <w:r>
              <w:rPr>
                <w:rFonts w:hint="eastAsia" w:cs="宋体" w:asciiTheme="minorEastAsia" w:hAnsiTheme="minorEastAsia" w:eastAsiaTheme="minorEastAsia"/>
                <w:kern w:val="0"/>
                <w:szCs w:val="21"/>
              </w:rPr>
              <w:t>，损毁长度经向≤144</w:t>
            </w:r>
            <w:r>
              <w:rPr>
                <w:rFonts w:cs="宋体" w:asciiTheme="minorEastAsia" w:hAnsiTheme="minorEastAsia" w:eastAsiaTheme="minorEastAsia"/>
                <w:kern w:val="0"/>
                <w:szCs w:val="21"/>
              </w:rPr>
              <w:t>mm</w:t>
            </w:r>
            <w:r>
              <w:rPr>
                <w:rFonts w:hint="eastAsia" w:cs="宋体" w:asciiTheme="minorEastAsia" w:hAnsiTheme="minorEastAsia" w:eastAsiaTheme="minorEastAsia"/>
                <w:kern w:val="0"/>
                <w:szCs w:val="21"/>
              </w:rPr>
              <w:t>，纬向≤</w:t>
            </w:r>
            <w:r>
              <w:rPr>
                <w:rFonts w:cs="宋体" w:asciiTheme="minorEastAsia" w:hAnsiTheme="minorEastAsia" w:eastAsiaTheme="minorEastAsia"/>
                <w:kern w:val="0"/>
                <w:szCs w:val="21"/>
              </w:rPr>
              <w:t>140mm</w:t>
            </w:r>
            <w:r>
              <w:rPr>
                <w:rFonts w:hint="eastAsia" w:cs="宋体" w:asciiTheme="minorEastAsia" w:hAnsiTheme="minorEastAsia" w:eastAsiaTheme="minorEastAsia"/>
                <w:kern w:val="0"/>
                <w:szCs w:val="21"/>
              </w:rPr>
              <w:t>。（投标人提供有效的合格的阻燃绒布面料抽样检测合格报告）</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、海绵：符合</w:t>
            </w:r>
            <w:r>
              <w:rPr>
                <w:rFonts w:cs="宋体" w:asciiTheme="minorEastAsia" w:hAnsiTheme="minorEastAsia" w:eastAsiaTheme="minorEastAsia"/>
                <w:kern w:val="0"/>
                <w:szCs w:val="21"/>
              </w:rPr>
              <w:t>GB/T6343-2009</w:t>
            </w:r>
            <w:r>
              <w:rPr>
                <w:rFonts w:hint="eastAsia" w:cs="宋体" w:asciiTheme="minorEastAsia" w:hAnsiTheme="minorEastAsia" w:eastAsiaTheme="minorEastAsia"/>
                <w:kern w:val="0"/>
                <w:szCs w:val="21"/>
              </w:rPr>
              <w:t>泡沬塑料及橡胶表观密度的测定、</w:t>
            </w:r>
            <w:r>
              <w:rPr>
                <w:rFonts w:cs="宋体" w:asciiTheme="minorEastAsia" w:hAnsiTheme="minorEastAsia" w:eastAsiaTheme="minorEastAsia"/>
                <w:kern w:val="0"/>
                <w:szCs w:val="21"/>
              </w:rPr>
              <w:t>GB/T6670-2008</w:t>
            </w:r>
            <w:r>
              <w:rPr>
                <w:rFonts w:hint="eastAsia" w:cs="宋体" w:asciiTheme="minorEastAsia" w:hAnsiTheme="minorEastAsia" w:eastAsiaTheme="minorEastAsia"/>
                <w:kern w:val="0"/>
                <w:szCs w:val="21"/>
              </w:rPr>
              <w:t>软质泡沫聚合材料落球法回弹性能的测定、</w:t>
            </w:r>
            <w:r>
              <w:rPr>
                <w:rFonts w:cs="宋体" w:asciiTheme="minorEastAsia" w:hAnsiTheme="minorEastAsia" w:eastAsiaTheme="minorEastAsia"/>
                <w:kern w:val="0"/>
                <w:szCs w:val="21"/>
              </w:rPr>
              <w:t>GB/T2912.1-2009</w:t>
            </w:r>
            <w:r>
              <w:rPr>
                <w:rFonts w:hint="eastAsia" w:cs="宋体" w:asciiTheme="minorEastAsia" w:hAnsiTheme="minorEastAsia" w:eastAsiaTheme="minorEastAsia"/>
                <w:kern w:val="0"/>
                <w:szCs w:val="21"/>
              </w:rPr>
              <w:t>纺织品甲醛的测定第</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部分</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游离和水解的甲醛</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水萃取法</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表观密度≥</w:t>
            </w:r>
            <w:r>
              <w:rPr>
                <w:rFonts w:cs="宋体" w:asciiTheme="minorEastAsia" w:hAnsiTheme="minorEastAsia" w:eastAsiaTheme="minorEastAsia"/>
                <w:kern w:val="0"/>
                <w:szCs w:val="21"/>
              </w:rPr>
              <w:t>55kg/m</w:t>
            </w:r>
            <w:r>
              <w:rPr>
                <w:rFonts w:hint="eastAsia" w:cs="宋体" w:asciiTheme="minorEastAsia" w:hAnsiTheme="minorEastAsia" w:eastAsiaTheme="minorEastAsia"/>
                <w:kern w:val="0"/>
                <w:szCs w:val="21"/>
              </w:rPr>
              <w:t>³，回弹率≥</w:t>
            </w:r>
            <w:r>
              <w:rPr>
                <w:rFonts w:cs="宋体" w:asciiTheme="minorEastAsia" w:hAnsiTheme="minorEastAsia" w:eastAsiaTheme="minorEastAsia"/>
                <w:kern w:val="0"/>
                <w:szCs w:val="21"/>
              </w:rPr>
              <w:t>50%</w:t>
            </w:r>
            <w:r>
              <w:rPr>
                <w:rFonts w:hint="eastAsia" w:cs="宋体" w:asciiTheme="minorEastAsia" w:hAnsiTheme="minorEastAsia" w:eastAsiaTheme="minorEastAsia"/>
                <w:kern w:val="0"/>
                <w:szCs w:val="21"/>
              </w:rPr>
              <w:t>，不含甲醛</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成型框架</w:t>
            </w:r>
            <w:r>
              <w:rPr>
                <w:rFonts w:cs="宋体" w:asciiTheme="minorEastAsia" w:hAnsiTheme="minorEastAsia" w:eastAsiaTheme="minorEastAsia"/>
                <w:kern w:val="0"/>
                <w:szCs w:val="21"/>
              </w:rPr>
              <w:t xml:space="preserve"> -- </w:t>
            </w:r>
            <w:r>
              <w:rPr>
                <w:rFonts w:hint="eastAsia" w:cs="宋体" w:asciiTheme="minorEastAsia" w:hAnsiTheme="minorEastAsia" w:eastAsiaTheme="minorEastAsia"/>
                <w:kern w:val="0"/>
                <w:szCs w:val="21"/>
              </w:rPr>
              <w:t>用实木锯成的木方或木板。（投标人提供有效的合格的海绵抽样检测合格报告）。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13</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多功能书架</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L1200*W300*H800</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木材选用实木指接板，严格经过蒸煮、制药、杀菌、喷环保水性油漆。</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柜架牢固，不变形，边角安全圆弧，原木色，脚底粘贴橡胶垫。</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 xml:space="preserve">GB/T 35607-2017 </w:t>
            </w:r>
            <w:r>
              <w:rPr>
                <w:rFonts w:hint="eastAsia" w:cs="宋体" w:asciiTheme="minorEastAsia" w:hAnsiTheme="minorEastAsia" w:eastAsiaTheme="minorEastAsia"/>
                <w:kern w:val="0"/>
                <w:szCs w:val="21"/>
              </w:rPr>
              <w:t>《绿色产品评价家具》标准，木家具甲醛释放量≤</w:t>
            </w:r>
            <w:r>
              <w:rPr>
                <w:rFonts w:cs="宋体" w:asciiTheme="minorEastAsia" w:hAnsiTheme="minorEastAsia" w:eastAsiaTheme="minorEastAsia"/>
                <w:kern w:val="0"/>
                <w:szCs w:val="21"/>
              </w:rPr>
              <w:t>0.1mg/</w:t>
            </w:r>
            <w:r>
              <w:rPr>
                <w:rFonts w:hint="eastAsia" w:cs="宋体" w:asciiTheme="minorEastAsia" w:hAnsiTheme="minorEastAsia" w:eastAsiaTheme="minorEastAsia"/>
                <w:kern w:val="0"/>
                <w:szCs w:val="21"/>
              </w:rPr>
              <w:t>，苯≤</w:t>
            </w:r>
            <w:r>
              <w:rPr>
                <w:rFonts w:cs="宋体" w:asciiTheme="minorEastAsia" w:hAnsiTheme="minorEastAsia" w:eastAsiaTheme="minorEastAsia"/>
                <w:kern w:val="0"/>
                <w:szCs w:val="21"/>
              </w:rPr>
              <w:t>0.05mg/m</w:t>
            </w:r>
            <w:r>
              <w:rPr>
                <w:rFonts w:hint="eastAsia" w:cs="宋体" w:asciiTheme="minorEastAsia" w:hAnsiTheme="minorEastAsia" w:eastAsiaTheme="minorEastAsia"/>
                <w:kern w:val="0"/>
                <w:szCs w:val="21"/>
              </w:rPr>
              <w:t>³，总挥发性有机化合物≤</w:t>
            </w:r>
            <w:r>
              <w:rPr>
                <w:rFonts w:cs="宋体" w:asciiTheme="minorEastAsia" w:hAnsiTheme="minorEastAsia" w:eastAsiaTheme="minorEastAsia"/>
                <w:kern w:val="0"/>
                <w:szCs w:val="21"/>
              </w:rPr>
              <w:t>0.3mg/m</w:t>
            </w:r>
            <w:r>
              <w:rPr>
                <w:rFonts w:hint="eastAsia" w:cs="宋体" w:asciiTheme="minorEastAsia" w:hAnsiTheme="minorEastAsia" w:eastAsiaTheme="minorEastAsia"/>
                <w:kern w:val="0"/>
                <w:szCs w:val="21"/>
              </w:rPr>
              <w:t>³。</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木质的外表面和内表面以及儿童手指可触及的隐蔽处，均不得有锐利的棱角、毛刺。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48" w:type="dxa"/>
            <w:gridSpan w:val="4"/>
            <w:shd w:val="solid" w:color="FFFF99"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陶艺区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14</w:t>
            </w:r>
          </w:p>
        </w:tc>
        <w:tc>
          <w:tcPr>
            <w:tcW w:w="1559" w:type="dxa"/>
            <w:shd w:val="solid" w:color="FFFFFF"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方形美工桌</w:t>
            </w:r>
          </w:p>
        </w:tc>
        <w:tc>
          <w:tcPr>
            <w:tcW w:w="2499" w:type="dxa"/>
            <w:shd w:val="solid" w:color="FFFFFF"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L1100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W800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H550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张拼一起</w:t>
            </w:r>
            <w:r>
              <w:rPr>
                <w:rFonts w:cs="宋体" w:asciiTheme="minorEastAsia" w:hAnsiTheme="minorEastAsia" w:eastAsiaTheme="minorEastAsia"/>
                <w:kern w:val="0"/>
                <w:szCs w:val="21"/>
              </w:rPr>
              <w:t>2200</w:t>
            </w:r>
            <w:r>
              <w:rPr>
                <w:rFonts w:hint="eastAsia" w:cs="宋体" w:asciiTheme="minorEastAsia" w:hAnsiTheme="minorEastAsia" w:eastAsiaTheme="minorEastAsia"/>
                <w:kern w:val="0"/>
                <w:szCs w:val="21"/>
              </w:rPr>
              <w:t>长）</w:t>
            </w:r>
          </w:p>
        </w:tc>
        <w:tc>
          <w:tcPr>
            <w:tcW w:w="9186" w:type="dxa"/>
            <w:shd w:val="solid" w:color="FFFFFF" w:fill="auto"/>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采用樟子松实木指接板，木材严格经过蒸煮、制药、杀菌、喷环保水性油漆；</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卯榫结构为主，桌架牢固，不变形，边角安全圆弧，原木色，桌脚底粘贴橡胶垫；</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要求符合</w:t>
            </w:r>
            <w:r>
              <w:rPr>
                <w:rFonts w:cs="宋体" w:asciiTheme="minorEastAsia" w:hAnsiTheme="minorEastAsia" w:eastAsiaTheme="minorEastAsia"/>
                <w:kern w:val="0"/>
                <w:szCs w:val="21"/>
              </w:rPr>
              <w:t xml:space="preserve">GB/T 35607-2017 </w:t>
            </w:r>
            <w:r>
              <w:rPr>
                <w:rFonts w:hint="eastAsia" w:cs="宋体" w:asciiTheme="minorEastAsia" w:hAnsiTheme="minorEastAsia" w:eastAsiaTheme="minorEastAsia"/>
                <w:kern w:val="0"/>
                <w:szCs w:val="21"/>
              </w:rPr>
              <w:t>《绿色产品评价家具》标准，木家具甲醛释放量≤</w:t>
            </w:r>
            <w:r>
              <w:rPr>
                <w:rFonts w:cs="宋体" w:asciiTheme="minorEastAsia" w:hAnsiTheme="minorEastAsia" w:eastAsiaTheme="minorEastAsia"/>
                <w:kern w:val="0"/>
                <w:szCs w:val="21"/>
              </w:rPr>
              <w:t>0.1mg/L</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木质的外表面和内表面以及儿童手指可触及的隐蔽处，均不得有锐利的棱角、毛刺。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15</w:t>
            </w:r>
          </w:p>
        </w:tc>
        <w:tc>
          <w:tcPr>
            <w:tcW w:w="1559" w:type="dxa"/>
            <w:shd w:val="solid" w:color="FFFFFF"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圆凳</w:t>
            </w:r>
          </w:p>
        </w:tc>
        <w:tc>
          <w:tcPr>
            <w:tcW w:w="2499" w:type="dxa"/>
            <w:shd w:val="solid" w:color="FFFFFF"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Φ</w:t>
            </w:r>
            <w:r>
              <w:rPr>
                <w:rFonts w:cs="宋体" w:asciiTheme="minorEastAsia" w:hAnsiTheme="minorEastAsia" w:eastAsiaTheme="minorEastAsia"/>
                <w:kern w:val="0"/>
                <w:szCs w:val="21"/>
              </w:rPr>
              <w:t>250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H290</w:t>
            </w:r>
          </w:p>
        </w:tc>
        <w:tc>
          <w:tcPr>
            <w:tcW w:w="9186" w:type="dxa"/>
            <w:shd w:val="solid" w:color="FFFFFF" w:fill="auto"/>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椅面板采用实木拼接板，木材严格经过蒸煮、制药、杀菌、喷环保油漆。</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卯榫结构为主，桌架牢固，不变形，边角安全圆弧，原木色，脚底粘贴橡胶垫。</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要求木家具甲醛释放量≤</w:t>
            </w:r>
            <w:r>
              <w:rPr>
                <w:rFonts w:cs="宋体" w:asciiTheme="minorEastAsia" w:hAnsiTheme="minorEastAsia" w:eastAsiaTheme="minorEastAsia"/>
                <w:kern w:val="0"/>
                <w:szCs w:val="21"/>
              </w:rPr>
              <w:t>0.1mg/L</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木质的外表面和内表面以及儿童手指可触及的隐蔽处，均不得有锐利的棱角、毛刺。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16</w:t>
            </w:r>
          </w:p>
        </w:tc>
        <w:tc>
          <w:tcPr>
            <w:tcW w:w="1559" w:type="dxa"/>
            <w:shd w:val="solid" w:color="FFFFFF"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陶艺作品收纳柜</w:t>
            </w:r>
            <w:r>
              <w:rPr>
                <w:rFonts w:cs="宋体" w:asciiTheme="minorEastAsia" w:hAnsiTheme="minorEastAsia" w:eastAsiaTheme="minorEastAsia"/>
                <w:kern w:val="0"/>
                <w:szCs w:val="21"/>
              </w:rPr>
              <w:t>A</w:t>
            </w:r>
            <w:r>
              <w:rPr>
                <w:rFonts w:hint="eastAsia" w:cs="宋体" w:asciiTheme="minorEastAsia" w:hAnsiTheme="minorEastAsia" w:eastAsiaTheme="minorEastAsia"/>
                <w:kern w:val="0"/>
                <w:szCs w:val="21"/>
              </w:rPr>
              <w:t>柜</w:t>
            </w:r>
          </w:p>
        </w:tc>
        <w:tc>
          <w:tcPr>
            <w:tcW w:w="2499" w:type="dxa"/>
            <w:shd w:val="solid" w:color="FFFFFF"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L900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W300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H2100</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木材选用实木指接板，严格经过蒸煮、制药、杀菌、喷环保水性油漆。</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柜架牢固，不变形，边角安全圆弧，原木色，脚底粘贴橡胶垫。</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要求符合</w:t>
            </w:r>
            <w:r>
              <w:rPr>
                <w:rFonts w:cs="宋体" w:asciiTheme="minorEastAsia" w:hAnsiTheme="minorEastAsia" w:eastAsiaTheme="minorEastAsia"/>
                <w:kern w:val="0"/>
                <w:szCs w:val="21"/>
              </w:rPr>
              <w:t>GB/T 3324</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2017</w:t>
            </w:r>
            <w:r>
              <w:rPr>
                <w:rFonts w:hint="eastAsia" w:cs="宋体" w:asciiTheme="minorEastAsia" w:hAnsiTheme="minorEastAsia" w:eastAsiaTheme="minorEastAsia"/>
                <w:kern w:val="0"/>
                <w:szCs w:val="21"/>
              </w:rPr>
              <w:t>《木家具通用技术条件》，木家具甲醛释放量≤</w:t>
            </w:r>
            <w:r>
              <w:rPr>
                <w:rFonts w:cs="宋体" w:asciiTheme="minorEastAsia" w:hAnsiTheme="minorEastAsia" w:eastAsiaTheme="minorEastAsia"/>
                <w:kern w:val="0"/>
                <w:szCs w:val="21"/>
              </w:rPr>
              <w:t>0.1mg/L</w:t>
            </w:r>
            <w:r>
              <w:rPr>
                <w:rFonts w:hint="eastAsia" w:cs="宋体" w:asciiTheme="minorEastAsia" w:hAnsiTheme="minorEastAsia" w:eastAsiaTheme="minorEastAsia"/>
                <w:kern w:val="0"/>
                <w:szCs w:val="21"/>
              </w:rPr>
              <w:t>。</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木家具的外表面和内表面以及儿童手指可触及的隐蔽处，均不得有锐利的棱角、毛刺。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17</w:t>
            </w:r>
          </w:p>
        </w:tc>
        <w:tc>
          <w:tcPr>
            <w:tcW w:w="1559" w:type="dxa"/>
            <w:shd w:val="solid" w:color="FFFFFF"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陶艺作品收纳柜</w:t>
            </w:r>
            <w:r>
              <w:rPr>
                <w:rFonts w:cs="宋体" w:asciiTheme="minorEastAsia" w:hAnsiTheme="minorEastAsia" w:eastAsiaTheme="minorEastAsia"/>
                <w:kern w:val="0"/>
                <w:szCs w:val="21"/>
              </w:rPr>
              <w:t>B</w:t>
            </w:r>
            <w:r>
              <w:rPr>
                <w:rFonts w:hint="eastAsia" w:cs="宋体" w:asciiTheme="minorEastAsia" w:hAnsiTheme="minorEastAsia" w:eastAsiaTheme="minorEastAsia"/>
                <w:kern w:val="0"/>
                <w:szCs w:val="21"/>
              </w:rPr>
              <w:t>柜</w:t>
            </w:r>
          </w:p>
        </w:tc>
        <w:tc>
          <w:tcPr>
            <w:tcW w:w="2499" w:type="dxa"/>
            <w:shd w:val="solid" w:color="FFFFFF"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L900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W300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H2000</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木材选用实木指接板，严格经过蒸煮、制药、杀菌、喷环保水性油漆。</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柜架牢固，不变形，边角安全圆弧，原木色，脚底粘贴橡胶垫。</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要求符合</w:t>
            </w:r>
            <w:r>
              <w:rPr>
                <w:rFonts w:cs="宋体" w:asciiTheme="minorEastAsia" w:hAnsiTheme="minorEastAsia" w:eastAsiaTheme="minorEastAsia"/>
                <w:kern w:val="0"/>
                <w:szCs w:val="21"/>
              </w:rPr>
              <w:t>GB/T 3324</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2017</w:t>
            </w:r>
            <w:r>
              <w:rPr>
                <w:rFonts w:hint="eastAsia" w:cs="宋体" w:asciiTheme="minorEastAsia" w:hAnsiTheme="minorEastAsia" w:eastAsiaTheme="minorEastAsia"/>
                <w:kern w:val="0"/>
                <w:szCs w:val="21"/>
              </w:rPr>
              <w:t>《木家具通用技术条件》，木家具甲醛释放量≤</w:t>
            </w:r>
            <w:r>
              <w:rPr>
                <w:rFonts w:cs="宋体" w:asciiTheme="minorEastAsia" w:hAnsiTheme="minorEastAsia" w:eastAsiaTheme="minorEastAsia"/>
                <w:kern w:val="0"/>
                <w:szCs w:val="21"/>
              </w:rPr>
              <w:t>0.1mg/L</w:t>
            </w:r>
            <w:r>
              <w:rPr>
                <w:rFonts w:hint="eastAsia" w:cs="宋体" w:asciiTheme="minorEastAsia" w:hAnsiTheme="minorEastAsia" w:eastAsiaTheme="minorEastAsia"/>
                <w:kern w:val="0"/>
                <w:szCs w:val="21"/>
              </w:rPr>
              <w:t>。</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木家具的外表面和内表面以及儿童手指可触及的隐蔽处，均不得有锐利的棱角、毛刺。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18</w:t>
            </w:r>
          </w:p>
        </w:tc>
        <w:tc>
          <w:tcPr>
            <w:tcW w:w="1559" w:type="dxa"/>
            <w:shd w:val="solid" w:color="FFFFFF"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陶艺作品收纳柜</w:t>
            </w:r>
            <w:r>
              <w:rPr>
                <w:rFonts w:cs="宋体" w:asciiTheme="minorEastAsia" w:hAnsiTheme="minorEastAsia" w:eastAsiaTheme="minorEastAsia"/>
                <w:kern w:val="0"/>
                <w:szCs w:val="21"/>
              </w:rPr>
              <w:t>C</w:t>
            </w:r>
            <w:r>
              <w:rPr>
                <w:rFonts w:hint="eastAsia" w:cs="宋体" w:asciiTheme="minorEastAsia" w:hAnsiTheme="minorEastAsia" w:eastAsiaTheme="minorEastAsia"/>
                <w:kern w:val="0"/>
                <w:szCs w:val="21"/>
              </w:rPr>
              <w:t>柜</w:t>
            </w:r>
          </w:p>
        </w:tc>
        <w:tc>
          <w:tcPr>
            <w:tcW w:w="2499" w:type="dxa"/>
            <w:shd w:val="solid" w:color="FFFFFF"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L900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W300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H2000</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木材选用实木指接板，严格经过蒸煮、制药、杀菌、喷环保水性油漆。</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柜架牢固，不变形，边角安全圆弧，原木色，脚底粘贴橡胶垫。</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要求符合</w:t>
            </w:r>
            <w:r>
              <w:rPr>
                <w:rFonts w:cs="宋体" w:asciiTheme="minorEastAsia" w:hAnsiTheme="minorEastAsia" w:eastAsiaTheme="minorEastAsia"/>
                <w:kern w:val="0"/>
                <w:szCs w:val="21"/>
              </w:rPr>
              <w:t>GB/T 3324</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2017</w:t>
            </w:r>
            <w:r>
              <w:rPr>
                <w:rFonts w:hint="eastAsia" w:cs="宋体" w:asciiTheme="minorEastAsia" w:hAnsiTheme="minorEastAsia" w:eastAsiaTheme="minorEastAsia"/>
                <w:kern w:val="0"/>
                <w:szCs w:val="21"/>
              </w:rPr>
              <w:t>《木家具通用技术条件》，木家具甲醛释放量≤</w:t>
            </w:r>
            <w:r>
              <w:rPr>
                <w:rFonts w:cs="宋体" w:asciiTheme="minorEastAsia" w:hAnsiTheme="minorEastAsia" w:eastAsiaTheme="minorEastAsia"/>
                <w:kern w:val="0"/>
                <w:szCs w:val="21"/>
              </w:rPr>
              <w:t>0.1mg/L</w:t>
            </w:r>
            <w:r>
              <w:rPr>
                <w:rFonts w:hint="eastAsia" w:cs="宋体" w:asciiTheme="minorEastAsia" w:hAnsiTheme="minorEastAsia" w:eastAsiaTheme="minorEastAsia"/>
                <w:kern w:val="0"/>
                <w:szCs w:val="21"/>
              </w:rPr>
              <w:t>。</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木家具的外表面和内表面以及儿童手指可触及的隐蔽处，均不得有锐利的棱角、毛刺。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19</w:t>
            </w:r>
          </w:p>
        </w:tc>
        <w:tc>
          <w:tcPr>
            <w:tcW w:w="1559" w:type="dxa"/>
            <w:shd w:val="solid" w:color="FFFFFF"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原木颜料收纳柜</w:t>
            </w:r>
          </w:p>
        </w:tc>
        <w:tc>
          <w:tcPr>
            <w:tcW w:w="2499" w:type="dxa"/>
            <w:shd w:val="solid" w:color="FFFFFF"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L1200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W300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H800</w:t>
            </w:r>
            <w:r>
              <w:rPr>
                <w:rFonts w:hint="eastAsia" w:cs="宋体" w:asciiTheme="minorEastAsia" w:hAnsiTheme="minorEastAsia" w:eastAsiaTheme="minorEastAsia"/>
                <w:kern w:val="0"/>
                <w:szCs w:val="21"/>
              </w:rPr>
              <w:t>不含配饰</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木材选用实木指接板，严格经过蒸煮、制药、杀菌、喷环保水性油漆。</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柜架牢固，不变形，边角安全圆弧，原木色，脚底粘贴橡胶垫。</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 xml:space="preserve">GB/T 35607-2017 </w:t>
            </w:r>
            <w:r>
              <w:rPr>
                <w:rFonts w:hint="eastAsia" w:cs="宋体" w:asciiTheme="minorEastAsia" w:hAnsiTheme="minorEastAsia" w:eastAsiaTheme="minorEastAsia"/>
                <w:kern w:val="0"/>
                <w:szCs w:val="21"/>
              </w:rPr>
              <w:t>《绿色产品评价家具》标准，木家具甲醛释放量≤</w:t>
            </w:r>
            <w:r>
              <w:rPr>
                <w:rFonts w:cs="宋体" w:asciiTheme="minorEastAsia" w:hAnsiTheme="minorEastAsia" w:eastAsiaTheme="minorEastAsia"/>
                <w:kern w:val="0"/>
                <w:szCs w:val="21"/>
              </w:rPr>
              <w:t>0.1mg/</w:t>
            </w:r>
            <w:r>
              <w:rPr>
                <w:rFonts w:hint="eastAsia" w:cs="宋体" w:asciiTheme="minorEastAsia" w:hAnsiTheme="minorEastAsia" w:eastAsiaTheme="minorEastAsia"/>
                <w:kern w:val="0"/>
                <w:szCs w:val="21"/>
              </w:rPr>
              <w:t>，苯≤</w:t>
            </w:r>
            <w:r>
              <w:rPr>
                <w:rFonts w:cs="宋体" w:asciiTheme="minorEastAsia" w:hAnsiTheme="minorEastAsia" w:eastAsiaTheme="minorEastAsia"/>
                <w:kern w:val="0"/>
                <w:szCs w:val="21"/>
              </w:rPr>
              <w:t>0.05mg/m</w:t>
            </w:r>
            <w:r>
              <w:rPr>
                <w:rFonts w:hint="eastAsia" w:cs="宋体" w:asciiTheme="minorEastAsia" w:hAnsiTheme="minorEastAsia" w:eastAsiaTheme="minorEastAsia"/>
                <w:kern w:val="0"/>
                <w:szCs w:val="21"/>
              </w:rPr>
              <w:t>³，总挥发性有机化合物≤</w:t>
            </w:r>
            <w:r>
              <w:rPr>
                <w:rFonts w:cs="宋体" w:asciiTheme="minorEastAsia" w:hAnsiTheme="minorEastAsia" w:eastAsiaTheme="minorEastAsia"/>
                <w:kern w:val="0"/>
                <w:szCs w:val="21"/>
              </w:rPr>
              <w:t>0.3mg/m</w:t>
            </w:r>
            <w:r>
              <w:rPr>
                <w:rFonts w:hint="eastAsia" w:cs="宋体" w:asciiTheme="minorEastAsia" w:hAnsiTheme="minorEastAsia" w:eastAsiaTheme="minorEastAsia"/>
                <w:kern w:val="0"/>
                <w:szCs w:val="21"/>
              </w:rPr>
              <w:t>³，结构和底架强度试验检测无断裂、无损坏或脱落。</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木家具的外表面和内表面以及儿童手指可触及的隐蔽处，均不得有锐利的棱角、毛刺。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48" w:type="dxa"/>
            <w:gridSpan w:val="4"/>
            <w:shd w:val="solid" w:color="FFFF99"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构建区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20</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桌椅</w:t>
            </w:r>
          </w:p>
        </w:tc>
        <w:tc>
          <w:tcPr>
            <w:tcW w:w="2499" w:type="dxa"/>
            <w:shd w:val="solid" w:color="FFFFFF"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单张桌子</w:t>
            </w:r>
            <w:r>
              <w:rPr>
                <w:rFonts w:cs="宋体" w:asciiTheme="minorEastAsia" w:hAnsiTheme="minorEastAsia" w:eastAsiaTheme="minorEastAsia"/>
                <w:kern w:val="0"/>
                <w:szCs w:val="21"/>
              </w:rPr>
              <w:t>L1200*W600*H550</w:t>
            </w:r>
            <w:r>
              <w:rPr>
                <w:rFonts w:hint="eastAsia" w:cs="宋体" w:asciiTheme="minorEastAsia" w:hAnsiTheme="minorEastAsia" w:eastAsiaTheme="minorEastAsia"/>
                <w:kern w:val="0"/>
                <w:szCs w:val="21"/>
              </w:rPr>
              <w:t>，每套配</w:t>
            </w:r>
            <w:r>
              <w:rPr>
                <w:rFonts w:cs="宋体" w:asciiTheme="minorEastAsia" w:hAnsiTheme="minorEastAsia" w:eastAsiaTheme="minorEastAsia"/>
                <w:kern w:val="0"/>
                <w:szCs w:val="21"/>
              </w:rPr>
              <w:t>12</w:t>
            </w:r>
            <w:r>
              <w:rPr>
                <w:rFonts w:hint="eastAsia" w:cs="宋体" w:asciiTheme="minorEastAsia" w:hAnsiTheme="minorEastAsia" w:eastAsiaTheme="minorEastAsia"/>
                <w:kern w:val="0"/>
                <w:szCs w:val="21"/>
              </w:rPr>
              <w:t>把椅子</w:t>
            </w:r>
          </w:p>
        </w:tc>
        <w:tc>
          <w:tcPr>
            <w:tcW w:w="9186" w:type="dxa"/>
            <w:shd w:val="solid" w:color="FFFFFF" w:fill="auto"/>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、木材采用樟子松实木指接板，木材严格经过蒸煮、制药、杀菌、喷环保油漆；</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卯榫结构为主，桌架、椅架牢固，不变形，边角安全圆弧，原木色，桌脚底粘贴橡胶垫；</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 xml:space="preserve">GB/T 35607-2017 </w:t>
            </w:r>
            <w:r>
              <w:rPr>
                <w:rFonts w:hint="eastAsia" w:cs="宋体" w:asciiTheme="minorEastAsia" w:hAnsiTheme="minorEastAsia" w:eastAsiaTheme="minorEastAsia"/>
                <w:kern w:val="0"/>
                <w:szCs w:val="21"/>
              </w:rPr>
              <w:t>《绿色产品评价家具》标准，木家具甲醛释放量≤</w:t>
            </w:r>
            <w:r>
              <w:rPr>
                <w:rFonts w:cs="宋体" w:asciiTheme="minorEastAsia" w:hAnsiTheme="minorEastAsia" w:eastAsiaTheme="minorEastAsia"/>
                <w:kern w:val="0"/>
                <w:szCs w:val="21"/>
              </w:rPr>
              <w:t>0.1mg/</w:t>
            </w:r>
            <w:r>
              <w:rPr>
                <w:rFonts w:hint="eastAsia" w:cs="宋体" w:asciiTheme="minorEastAsia" w:hAnsiTheme="minorEastAsia" w:eastAsiaTheme="minorEastAsia"/>
                <w:kern w:val="0"/>
                <w:szCs w:val="21"/>
              </w:rPr>
              <w:t>，总挥发性有机化合物≤</w:t>
            </w:r>
            <w:r>
              <w:rPr>
                <w:rFonts w:cs="宋体" w:asciiTheme="minorEastAsia" w:hAnsiTheme="minorEastAsia" w:eastAsiaTheme="minorEastAsia"/>
                <w:kern w:val="0"/>
                <w:szCs w:val="21"/>
              </w:rPr>
              <w:t>0.3mg/m</w:t>
            </w:r>
            <w:r>
              <w:rPr>
                <w:rFonts w:hint="eastAsia" w:cs="宋体" w:asciiTheme="minorEastAsia" w:hAnsiTheme="minorEastAsia" w:eastAsiaTheme="minorEastAsia"/>
                <w:kern w:val="0"/>
                <w:szCs w:val="21"/>
              </w:rPr>
              <w:t>³。（投标人提供有效的合格的幼儿桌抽样检测合格报告）</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木质的外表面和内表面以及儿童手指可触及的隐蔽处，均不得有锐利的棱角、毛刺。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21</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桌椅</w:t>
            </w:r>
          </w:p>
        </w:tc>
        <w:tc>
          <w:tcPr>
            <w:tcW w:w="2499" w:type="dxa"/>
            <w:shd w:val="solid" w:color="FFFFFF"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单张桌子</w:t>
            </w:r>
            <w:r>
              <w:rPr>
                <w:rFonts w:cs="宋体" w:asciiTheme="minorEastAsia" w:hAnsiTheme="minorEastAsia" w:eastAsiaTheme="minorEastAsia"/>
                <w:kern w:val="0"/>
                <w:szCs w:val="21"/>
              </w:rPr>
              <w:t>L1200*W600*H550</w:t>
            </w:r>
            <w:r>
              <w:rPr>
                <w:rFonts w:hint="eastAsia" w:cs="宋体" w:asciiTheme="minorEastAsia" w:hAnsiTheme="minorEastAsia" w:eastAsiaTheme="minorEastAsia"/>
                <w:kern w:val="0"/>
                <w:szCs w:val="21"/>
              </w:rPr>
              <w:t>，每套配</w:t>
            </w:r>
            <w:r>
              <w:rPr>
                <w:rFonts w:cs="宋体" w:asciiTheme="minorEastAsia" w:hAnsiTheme="minorEastAsia" w:eastAsiaTheme="minorEastAsia"/>
                <w:kern w:val="0"/>
                <w:szCs w:val="21"/>
              </w:rPr>
              <w:t>6</w:t>
            </w:r>
            <w:r>
              <w:rPr>
                <w:rFonts w:hint="eastAsia" w:cs="宋体" w:asciiTheme="minorEastAsia" w:hAnsiTheme="minorEastAsia" w:eastAsiaTheme="minorEastAsia"/>
                <w:kern w:val="0"/>
                <w:szCs w:val="21"/>
              </w:rPr>
              <w:t>把椅子</w:t>
            </w:r>
          </w:p>
        </w:tc>
        <w:tc>
          <w:tcPr>
            <w:tcW w:w="9186" w:type="dxa"/>
            <w:shd w:val="solid" w:color="FFFFFF" w:fill="auto"/>
            <w:vAlign w:val="center"/>
          </w:tcPr>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木材采用樟子松实木指接板，木材严格经过蒸煮、制药、杀菌、喷环保油漆；</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卯榫结构为主，桌架、椅架牢固，不变形，边角安全圆弧，原木色，桌脚底粘贴橡胶垫；</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 xml:space="preserve">GB/T 35607-2017 </w:t>
            </w:r>
            <w:r>
              <w:rPr>
                <w:rFonts w:hint="eastAsia" w:cs="宋体" w:asciiTheme="minorEastAsia" w:hAnsiTheme="minorEastAsia" w:eastAsiaTheme="minorEastAsia"/>
                <w:kern w:val="0"/>
                <w:szCs w:val="21"/>
              </w:rPr>
              <w:t>《绿色产品评价家具》标准，木家具甲醛释放量≤</w:t>
            </w:r>
            <w:r>
              <w:rPr>
                <w:rFonts w:cs="宋体" w:asciiTheme="minorEastAsia" w:hAnsiTheme="minorEastAsia" w:eastAsiaTheme="minorEastAsia"/>
                <w:kern w:val="0"/>
                <w:szCs w:val="21"/>
              </w:rPr>
              <w:t>0.1mg/</w:t>
            </w:r>
            <w:r>
              <w:rPr>
                <w:rFonts w:hint="eastAsia" w:cs="宋体" w:asciiTheme="minorEastAsia" w:hAnsiTheme="minorEastAsia" w:eastAsiaTheme="minorEastAsia"/>
                <w:kern w:val="0"/>
                <w:szCs w:val="21"/>
              </w:rPr>
              <w:t>，苯≤</w:t>
            </w:r>
            <w:r>
              <w:rPr>
                <w:rFonts w:cs="宋体" w:asciiTheme="minorEastAsia" w:hAnsiTheme="minorEastAsia" w:eastAsiaTheme="minorEastAsia"/>
                <w:kern w:val="0"/>
                <w:szCs w:val="21"/>
              </w:rPr>
              <w:t>0.05mg/m</w:t>
            </w:r>
            <w:r>
              <w:rPr>
                <w:rFonts w:hint="eastAsia" w:cs="宋体" w:asciiTheme="minorEastAsia" w:hAnsiTheme="minorEastAsia" w:eastAsiaTheme="minorEastAsia"/>
                <w:kern w:val="0"/>
                <w:szCs w:val="21"/>
              </w:rPr>
              <w:t>³，总挥发性有机化合物≤</w:t>
            </w:r>
            <w:r>
              <w:rPr>
                <w:rFonts w:cs="宋体" w:asciiTheme="minorEastAsia" w:hAnsiTheme="minorEastAsia" w:eastAsiaTheme="minorEastAsia"/>
                <w:kern w:val="0"/>
                <w:szCs w:val="21"/>
              </w:rPr>
              <w:t>0.3mg/m</w:t>
            </w:r>
            <w:r>
              <w:rPr>
                <w:rFonts w:hint="eastAsia" w:cs="宋体" w:asciiTheme="minorEastAsia" w:hAnsiTheme="minorEastAsia" w:eastAsiaTheme="minorEastAsia"/>
                <w:kern w:val="0"/>
                <w:szCs w:val="21"/>
              </w:rPr>
              <w:t>³。</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木质的外表面和内表面以及儿童手指可触及的隐蔽处，均不得有锐利的棱角、毛刺。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22</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高低玩具柜</w:t>
            </w:r>
          </w:p>
        </w:tc>
        <w:tc>
          <w:tcPr>
            <w:tcW w:w="2499" w:type="dxa"/>
            <w:shd w:val="solid" w:color="FFFFFF"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L1200*W300*H800</w:t>
            </w:r>
          </w:p>
        </w:tc>
        <w:tc>
          <w:tcPr>
            <w:tcW w:w="9186" w:type="dxa"/>
            <w:shd w:val="solid" w:color="FFFFFF" w:fill="auto"/>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木材选用实木指接板，严格经过蒸煮、制药、杀菌、喷环保水性油漆。</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柜架牢固，不变形，边角安全圆弧，原木色，脚底粘贴橡胶垫。</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 xml:space="preserve">GB/T 35607-2017 </w:t>
            </w:r>
            <w:r>
              <w:rPr>
                <w:rFonts w:hint="eastAsia" w:cs="宋体" w:asciiTheme="minorEastAsia" w:hAnsiTheme="minorEastAsia" w:eastAsiaTheme="minorEastAsia"/>
                <w:kern w:val="0"/>
                <w:szCs w:val="21"/>
              </w:rPr>
              <w:t>《绿色产品评价家具》标准，木家具甲醛释放量≤</w:t>
            </w:r>
            <w:r>
              <w:rPr>
                <w:rFonts w:cs="宋体" w:asciiTheme="minorEastAsia" w:hAnsiTheme="minorEastAsia" w:eastAsiaTheme="minorEastAsia"/>
                <w:kern w:val="0"/>
                <w:szCs w:val="21"/>
              </w:rPr>
              <w:t>0.1mg/</w:t>
            </w:r>
            <w:r>
              <w:rPr>
                <w:rFonts w:hint="eastAsia" w:cs="宋体" w:asciiTheme="minorEastAsia" w:hAnsiTheme="minorEastAsia" w:eastAsiaTheme="minorEastAsia"/>
                <w:kern w:val="0"/>
                <w:szCs w:val="21"/>
              </w:rPr>
              <w:t>，苯≤</w:t>
            </w:r>
            <w:r>
              <w:rPr>
                <w:rFonts w:cs="宋体" w:asciiTheme="minorEastAsia" w:hAnsiTheme="minorEastAsia" w:eastAsiaTheme="minorEastAsia"/>
                <w:kern w:val="0"/>
                <w:szCs w:val="21"/>
              </w:rPr>
              <w:t>0.05mg/m</w:t>
            </w:r>
            <w:r>
              <w:rPr>
                <w:rFonts w:hint="eastAsia" w:cs="宋体" w:asciiTheme="minorEastAsia" w:hAnsiTheme="minorEastAsia" w:eastAsiaTheme="minorEastAsia"/>
                <w:kern w:val="0"/>
                <w:szCs w:val="21"/>
              </w:rPr>
              <w:t>³，总挥发性有机化合物≤</w:t>
            </w:r>
            <w:r>
              <w:rPr>
                <w:rFonts w:cs="宋体" w:asciiTheme="minorEastAsia" w:hAnsiTheme="minorEastAsia" w:eastAsiaTheme="minorEastAsia"/>
                <w:kern w:val="0"/>
                <w:szCs w:val="21"/>
              </w:rPr>
              <w:t>0.3mg/m</w:t>
            </w:r>
            <w:r>
              <w:rPr>
                <w:rFonts w:hint="eastAsia" w:cs="宋体" w:asciiTheme="minorEastAsia" w:hAnsiTheme="minorEastAsia" w:eastAsiaTheme="minorEastAsia"/>
                <w:kern w:val="0"/>
                <w:szCs w:val="21"/>
              </w:rPr>
              <w:t>³。（投标人提供有效的合格的玩具柜抽样检测合格报告）</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木家具的外表面和内表面以及儿童手指可触及的隐蔽处，均不得有锐利的棱角、毛刺。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23</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收纳柜</w:t>
            </w:r>
          </w:p>
        </w:tc>
        <w:tc>
          <w:tcPr>
            <w:tcW w:w="2499" w:type="dxa"/>
            <w:shd w:val="solid" w:color="FFFFFF"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L1200*W300*H800</w:t>
            </w:r>
          </w:p>
        </w:tc>
        <w:tc>
          <w:tcPr>
            <w:tcW w:w="9186" w:type="dxa"/>
            <w:shd w:val="solid" w:color="FFFFFF" w:fill="auto"/>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木材选用实木指接板，严格经过蒸煮、制药、杀菌、喷环保水性油漆。脚底粘贴橡胶垫。</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要求符合</w:t>
            </w:r>
            <w:r>
              <w:rPr>
                <w:rFonts w:cs="宋体" w:asciiTheme="minorEastAsia" w:hAnsiTheme="minorEastAsia" w:eastAsiaTheme="minorEastAsia"/>
                <w:kern w:val="0"/>
                <w:szCs w:val="21"/>
              </w:rPr>
              <w:t>GB/T 3324</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2017</w:t>
            </w:r>
            <w:r>
              <w:rPr>
                <w:rFonts w:hint="eastAsia" w:cs="宋体" w:asciiTheme="minorEastAsia" w:hAnsiTheme="minorEastAsia" w:eastAsiaTheme="minorEastAsia"/>
                <w:kern w:val="0"/>
                <w:szCs w:val="21"/>
              </w:rPr>
              <w:t>《木家具通用技术条件》和《室内装饰装修材料木家具中有害物质限量》标准，木家具甲醛释放量≤</w:t>
            </w:r>
            <w:r>
              <w:rPr>
                <w:rFonts w:cs="宋体" w:asciiTheme="minorEastAsia" w:hAnsiTheme="minorEastAsia" w:eastAsiaTheme="minorEastAsia"/>
                <w:kern w:val="0"/>
                <w:szCs w:val="21"/>
              </w:rPr>
              <w:t>0.1mg/L</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木质的外表面和内表面以及儿童手指可触及的隐蔽处，均不得有锐利的棱角、毛刺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48" w:type="dxa"/>
            <w:gridSpan w:val="4"/>
            <w:shd w:val="solid" w:color="FFFF99"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24</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班台</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L2000*W1000*H750mm</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基材：采用</w:t>
            </w:r>
            <w:r>
              <w:rPr>
                <w:rFonts w:cs="宋体" w:asciiTheme="minorEastAsia" w:hAnsiTheme="minorEastAsia" w:eastAsiaTheme="minorEastAsia"/>
                <w:kern w:val="0"/>
                <w:szCs w:val="21"/>
              </w:rPr>
              <w:t>E1</w:t>
            </w:r>
            <w:r>
              <w:rPr>
                <w:rFonts w:hint="eastAsia" w:cs="宋体" w:asciiTheme="minorEastAsia" w:hAnsiTheme="minorEastAsia" w:eastAsiaTheme="minorEastAsia"/>
                <w:kern w:val="0"/>
                <w:szCs w:val="21"/>
              </w:rPr>
              <w:t>级中密度纤维板，板材厚度≥</w:t>
            </w:r>
            <w:r>
              <w:rPr>
                <w:rFonts w:cs="宋体" w:asciiTheme="minorEastAsia" w:hAnsiTheme="minorEastAsia" w:eastAsiaTheme="minorEastAsia"/>
                <w:kern w:val="0"/>
                <w:szCs w:val="21"/>
              </w:rPr>
              <w:t>25mm</w:t>
            </w:r>
            <w:r>
              <w:rPr>
                <w:rFonts w:hint="eastAsia" w:cs="宋体" w:asciiTheme="minorEastAsia" w:hAnsiTheme="minorEastAsia" w:eastAsiaTheme="minorEastAsia"/>
                <w:kern w:val="0"/>
                <w:szCs w:val="21"/>
              </w:rPr>
              <w:t>，密度≥</w:t>
            </w:r>
            <w:r>
              <w:rPr>
                <w:rFonts w:cs="宋体" w:asciiTheme="minorEastAsia" w:hAnsiTheme="minorEastAsia" w:eastAsiaTheme="minorEastAsia"/>
                <w:kern w:val="0"/>
                <w:szCs w:val="21"/>
              </w:rPr>
              <w:t>720</w:t>
            </w:r>
            <w:r>
              <w:rPr>
                <w:rFonts w:hint="eastAsia" w:cs="宋体" w:asciiTheme="minorEastAsia" w:hAnsiTheme="minorEastAsia" w:eastAsiaTheme="minorEastAsia"/>
                <w:kern w:val="0"/>
                <w:szCs w:val="21"/>
              </w:rPr>
              <w:t>千克</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立方米，游离甲醛释放量小于</w:t>
            </w:r>
            <w:r>
              <w:rPr>
                <w:rFonts w:cs="宋体" w:asciiTheme="minorEastAsia" w:hAnsiTheme="minorEastAsia" w:eastAsiaTheme="minorEastAsia"/>
                <w:kern w:val="0"/>
                <w:szCs w:val="21"/>
              </w:rPr>
              <w:t>1.5mg/L</w:t>
            </w:r>
            <w:r>
              <w:rPr>
                <w:rFonts w:hint="eastAsia" w:cs="宋体" w:asciiTheme="minorEastAsia" w:hAnsiTheme="minorEastAsia" w:eastAsiaTheme="minorEastAsia"/>
                <w:kern w:val="0"/>
                <w:szCs w:val="21"/>
              </w:rPr>
              <w:t>，经防潮、防虫、防腐等处理，含水率不大于</w:t>
            </w:r>
            <w:r>
              <w:rPr>
                <w:rFonts w:cs="宋体" w:asciiTheme="minorEastAsia" w:hAnsiTheme="minorEastAsia" w:eastAsiaTheme="minorEastAsia"/>
                <w:kern w:val="0"/>
                <w:szCs w:val="21"/>
              </w:rPr>
              <w:t>9%</w:t>
            </w:r>
            <w:r>
              <w:rPr>
                <w:rFonts w:hint="eastAsia" w:cs="宋体" w:asciiTheme="minorEastAsia" w:hAnsiTheme="minorEastAsia" w:eastAsiaTheme="minorEastAsia"/>
                <w:kern w:val="0"/>
                <w:szCs w:val="21"/>
              </w:rPr>
              <w:t>；</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面材：采用三聚氰胺板饰面，静曲强度≥</w:t>
            </w:r>
            <w:r>
              <w:rPr>
                <w:rFonts w:cs="宋体" w:asciiTheme="minorEastAsia" w:hAnsiTheme="minorEastAsia" w:eastAsiaTheme="minorEastAsia"/>
                <w:kern w:val="0"/>
                <w:szCs w:val="21"/>
              </w:rPr>
              <w:t>24MPa;</w:t>
            </w:r>
            <w:r>
              <w:rPr>
                <w:rFonts w:hint="eastAsia" w:cs="宋体" w:asciiTheme="minorEastAsia" w:hAnsiTheme="minorEastAsia" w:eastAsiaTheme="minorEastAsia"/>
                <w:kern w:val="0"/>
                <w:szCs w:val="21"/>
              </w:rPr>
              <w:t>经防潮、防虫、防腐等处理；ＰＶＣ封边；</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、五金配件：选用不锈钢材质等不生锈且耐用的配件。</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GB/T3324-2017</w:t>
            </w:r>
            <w:r>
              <w:rPr>
                <w:rFonts w:hint="eastAsia" w:cs="宋体" w:asciiTheme="minorEastAsia" w:hAnsiTheme="minorEastAsia" w:eastAsiaTheme="minorEastAsia"/>
                <w:kern w:val="0"/>
                <w:szCs w:val="21"/>
              </w:rPr>
              <w:t>《木家具通用技术条件》、《绿色产品评价家具》标准，木家具甲醛释放量≤</w:t>
            </w:r>
            <w:r>
              <w:rPr>
                <w:rFonts w:cs="宋体" w:asciiTheme="minorEastAsia" w:hAnsiTheme="minorEastAsia" w:eastAsiaTheme="minorEastAsia"/>
                <w:kern w:val="0"/>
                <w:szCs w:val="21"/>
              </w:rPr>
              <w:t>0.1mg/</w:t>
            </w:r>
            <w:r>
              <w:rPr>
                <w:rFonts w:hint="eastAsia" w:cs="宋体" w:asciiTheme="minorEastAsia" w:hAnsiTheme="minorEastAsia" w:eastAsiaTheme="minorEastAsia"/>
                <w:kern w:val="0"/>
                <w:szCs w:val="21"/>
              </w:rPr>
              <w:t>，苯≤</w:t>
            </w:r>
            <w:r>
              <w:rPr>
                <w:rFonts w:cs="宋体" w:asciiTheme="minorEastAsia" w:hAnsiTheme="minorEastAsia" w:eastAsiaTheme="minorEastAsia"/>
                <w:kern w:val="0"/>
                <w:szCs w:val="21"/>
              </w:rPr>
              <w:t>0.05mg/m</w:t>
            </w:r>
            <w:r>
              <w:rPr>
                <w:rFonts w:hint="eastAsia" w:cs="宋体" w:asciiTheme="minorEastAsia" w:hAnsiTheme="minorEastAsia" w:eastAsiaTheme="minorEastAsia"/>
                <w:kern w:val="0"/>
                <w:szCs w:val="21"/>
              </w:rPr>
              <w:t>³，总挥发性有机化合物≤</w:t>
            </w:r>
            <w:r>
              <w:rPr>
                <w:rFonts w:cs="宋体" w:asciiTheme="minorEastAsia" w:hAnsiTheme="minorEastAsia" w:eastAsiaTheme="minorEastAsia"/>
                <w:kern w:val="0"/>
                <w:szCs w:val="21"/>
              </w:rPr>
              <w:t>0.3mg/m</w:t>
            </w:r>
            <w:r>
              <w:rPr>
                <w:rFonts w:hint="eastAsia" w:cs="宋体" w:asciiTheme="minorEastAsia" w:hAnsiTheme="minorEastAsia" w:eastAsiaTheme="minorEastAsia"/>
                <w:kern w:val="0"/>
                <w:szCs w:val="21"/>
              </w:rPr>
              <w:t>³。（投标人提供有效的合格的班台抽样检测合格报告）。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25</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文件柜</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L1600*W400*H2000</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基材：采用</w:t>
            </w:r>
            <w:r>
              <w:rPr>
                <w:rFonts w:cs="宋体" w:asciiTheme="minorEastAsia" w:hAnsiTheme="minorEastAsia" w:eastAsiaTheme="minorEastAsia"/>
                <w:kern w:val="0"/>
                <w:szCs w:val="21"/>
              </w:rPr>
              <w:t>E1</w:t>
            </w:r>
            <w:r>
              <w:rPr>
                <w:rFonts w:hint="eastAsia" w:cs="宋体" w:asciiTheme="minorEastAsia" w:hAnsiTheme="minorEastAsia" w:eastAsiaTheme="minorEastAsia"/>
                <w:kern w:val="0"/>
                <w:szCs w:val="21"/>
              </w:rPr>
              <w:t>级中密度纤维板，板材厚度≥</w:t>
            </w:r>
            <w:r>
              <w:rPr>
                <w:rFonts w:cs="宋体" w:asciiTheme="minorEastAsia" w:hAnsiTheme="minorEastAsia" w:eastAsiaTheme="minorEastAsia"/>
                <w:kern w:val="0"/>
                <w:szCs w:val="21"/>
              </w:rPr>
              <w:t>25mm</w:t>
            </w:r>
            <w:r>
              <w:rPr>
                <w:rFonts w:hint="eastAsia" w:cs="宋体" w:asciiTheme="minorEastAsia" w:hAnsiTheme="minorEastAsia" w:eastAsiaTheme="minorEastAsia"/>
                <w:kern w:val="0"/>
                <w:szCs w:val="21"/>
              </w:rPr>
              <w:t>，密度≥</w:t>
            </w:r>
            <w:r>
              <w:rPr>
                <w:rFonts w:cs="宋体" w:asciiTheme="minorEastAsia" w:hAnsiTheme="minorEastAsia" w:eastAsiaTheme="minorEastAsia"/>
                <w:kern w:val="0"/>
                <w:szCs w:val="21"/>
              </w:rPr>
              <w:t>720</w:t>
            </w:r>
            <w:r>
              <w:rPr>
                <w:rFonts w:hint="eastAsia" w:cs="宋体" w:asciiTheme="minorEastAsia" w:hAnsiTheme="minorEastAsia" w:eastAsiaTheme="minorEastAsia"/>
                <w:kern w:val="0"/>
                <w:szCs w:val="21"/>
              </w:rPr>
              <w:t>千克</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立方米，游离甲醛释放量小于</w:t>
            </w:r>
            <w:r>
              <w:rPr>
                <w:rFonts w:cs="宋体" w:asciiTheme="minorEastAsia" w:hAnsiTheme="minorEastAsia" w:eastAsiaTheme="minorEastAsia"/>
                <w:kern w:val="0"/>
                <w:szCs w:val="21"/>
              </w:rPr>
              <w:t>1.5mg/L</w:t>
            </w:r>
            <w:r>
              <w:rPr>
                <w:rFonts w:hint="eastAsia" w:cs="宋体" w:asciiTheme="minorEastAsia" w:hAnsiTheme="minorEastAsia" w:eastAsiaTheme="minorEastAsia"/>
                <w:kern w:val="0"/>
                <w:szCs w:val="21"/>
              </w:rPr>
              <w:t>，经防潮、防虫、防腐等处理，含水率不大于</w:t>
            </w:r>
            <w:r>
              <w:rPr>
                <w:rFonts w:cs="宋体" w:asciiTheme="minorEastAsia" w:hAnsiTheme="minorEastAsia" w:eastAsiaTheme="minorEastAsia"/>
                <w:kern w:val="0"/>
                <w:szCs w:val="21"/>
              </w:rPr>
              <w:t>9%</w:t>
            </w:r>
            <w:r>
              <w:rPr>
                <w:rFonts w:hint="eastAsia" w:cs="宋体" w:asciiTheme="minorEastAsia" w:hAnsiTheme="minorEastAsia" w:eastAsiaTheme="minorEastAsia"/>
                <w:kern w:val="0"/>
                <w:szCs w:val="21"/>
              </w:rPr>
              <w:t>；</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面材：采用三聚氰胺板饰面，静曲强度≥</w:t>
            </w:r>
            <w:r>
              <w:rPr>
                <w:rFonts w:cs="宋体" w:asciiTheme="minorEastAsia" w:hAnsiTheme="minorEastAsia" w:eastAsiaTheme="minorEastAsia"/>
                <w:kern w:val="0"/>
                <w:szCs w:val="21"/>
              </w:rPr>
              <w:t>24MPa;</w:t>
            </w:r>
            <w:r>
              <w:rPr>
                <w:rFonts w:hint="eastAsia" w:cs="宋体" w:asciiTheme="minorEastAsia" w:hAnsiTheme="minorEastAsia" w:eastAsiaTheme="minorEastAsia"/>
                <w:kern w:val="0"/>
                <w:szCs w:val="21"/>
              </w:rPr>
              <w:t>经防潮、防虫、防腐等处理；ＰＶＣ封边；</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、五金配件：选用不锈钢材质等不生锈且耐用的配件。</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GB/T3324-2017</w:t>
            </w:r>
            <w:r>
              <w:rPr>
                <w:rFonts w:hint="eastAsia" w:cs="宋体" w:asciiTheme="minorEastAsia" w:hAnsiTheme="minorEastAsia" w:eastAsiaTheme="minorEastAsia"/>
                <w:kern w:val="0"/>
                <w:szCs w:val="21"/>
              </w:rPr>
              <w:t>《木家具通用技术条件》、《绿色产品评价家具》标准，木家具甲醛释放量≤</w:t>
            </w:r>
            <w:r>
              <w:rPr>
                <w:rFonts w:cs="宋体" w:asciiTheme="minorEastAsia" w:hAnsiTheme="minorEastAsia" w:eastAsiaTheme="minorEastAsia"/>
                <w:kern w:val="0"/>
                <w:szCs w:val="21"/>
              </w:rPr>
              <w:t>0.1mg/</w:t>
            </w:r>
            <w:r>
              <w:rPr>
                <w:rFonts w:hint="eastAsia" w:cs="宋体" w:asciiTheme="minorEastAsia" w:hAnsiTheme="minorEastAsia" w:eastAsiaTheme="minorEastAsia"/>
                <w:kern w:val="0"/>
                <w:szCs w:val="21"/>
              </w:rPr>
              <w:t>，苯≤</w:t>
            </w:r>
            <w:r>
              <w:rPr>
                <w:rFonts w:cs="宋体" w:asciiTheme="minorEastAsia" w:hAnsiTheme="minorEastAsia" w:eastAsiaTheme="minorEastAsia"/>
                <w:kern w:val="0"/>
                <w:szCs w:val="21"/>
              </w:rPr>
              <w:t>0.05mg/m</w:t>
            </w:r>
            <w:r>
              <w:rPr>
                <w:rFonts w:hint="eastAsia" w:cs="宋体" w:asciiTheme="minorEastAsia" w:hAnsiTheme="minorEastAsia" w:eastAsiaTheme="minorEastAsia"/>
                <w:kern w:val="0"/>
                <w:szCs w:val="21"/>
              </w:rPr>
              <w:t>³，总挥发性有机化合物≤</w:t>
            </w:r>
            <w:r>
              <w:rPr>
                <w:rFonts w:cs="宋体" w:asciiTheme="minorEastAsia" w:hAnsiTheme="minorEastAsia" w:eastAsiaTheme="minorEastAsia"/>
                <w:kern w:val="0"/>
                <w:szCs w:val="21"/>
              </w:rPr>
              <w:t>0.3mg/m</w:t>
            </w:r>
            <w:r>
              <w:rPr>
                <w:rFonts w:hint="eastAsia" w:cs="宋体" w:asciiTheme="minorEastAsia" w:hAnsiTheme="minorEastAsia" w:eastAsiaTheme="minorEastAsia"/>
                <w:kern w:val="0"/>
                <w:szCs w:val="21"/>
              </w:rPr>
              <w:t>³。（投标人提供有效的合格的文件柜抽样检测合格报告）。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26</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班椅</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标准</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头枕：主体塑胶定型海棉品牌网布，可升降调节；</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背框：一体成型背框（工程塑胶</w:t>
            </w:r>
            <w:r>
              <w:rPr>
                <w:rFonts w:cs="宋体" w:asciiTheme="minorEastAsia" w:hAnsiTheme="minorEastAsia" w:eastAsiaTheme="minorEastAsia"/>
                <w:kern w:val="0"/>
                <w:szCs w:val="21"/>
              </w:rPr>
              <w:t>PA+30%</w:t>
            </w:r>
            <w:r>
              <w:rPr>
                <w:rFonts w:hint="eastAsia" w:cs="宋体" w:asciiTheme="minorEastAsia" w:hAnsiTheme="minorEastAsia" w:eastAsiaTheme="minorEastAsia"/>
                <w:kern w:val="0"/>
                <w:szCs w:val="21"/>
              </w:rPr>
              <w:t>纤）颐达网布；</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腰靠：可调节</w:t>
            </w:r>
            <w:r>
              <w:rPr>
                <w:rFonts w:cs="宋体" w:asciiTheme="minorEastAsia" w:hAnsiTheme="minorEastAsia" w:eastAsiaTheme="minorEastAsia"/>
                <w:kern w:val="0"/>
                <w:szCs w:val="21"/>
              </w:rPr>
              <w:t>pp</w:t>
            </w:r>
            <w:r>
              <w:rPr>
                <w:rFonts w:hint="eastAsia" w:cs="宋体" w:asciiTheme="minorEastAsia" w:hAnsiTheme="minorEastAsia" w:eastAsiaTheme="minorEastAsia"/>
                <w:kern w:val="0"/>
                <w:szCs w:val="21"/>
              </w:rPr>
              <w:t>腰靠；</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座垫：</w:t>
            </w:r>
            <w:r>
              <w:rPr>
                <w:rFonts w:cs="宋体" w:asciiTheme="minorEastAsia" w:hAnsiTheme="minorEastAsia" w:eastAsiaTheme="minorEastAsia"/>
                <w:kern w:val="0"/>
                <w:szCs w:val="21"/>
              </w:rPr>
              <w:t>32#</w:t>
            </w:r>
            <w:r>
              <w:rPr>
                <w:rFonts w:hint="eastAsia" w:cs="宋体" w:asciiTheme="minorEastAsia" w:hAnsiTheme="minorEastAsia" w:eastAsiaTheme="minorEastAsia"/>
                <w:kern w:val="0"/>
                <w:szCs w:val="21"/>
              </w:rPr>
              <w:t>高密度裁切棉</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弹性座布</w:t>
            </w:r>
            <w:r>
              <w:rPr>
                <w:rFonts w:cs="宋体" w:asciiTheme="minorEastAsia" w:hAnsiTheme="minorEastAsia" w:eastAsiaTheme="minorEastAsia"/>
                <w:kern w:val="0"/>
                <w:szCs w:val="21"/>
              </w:rPr>
              <w:t>,14mm</w:t>
            </w:r>
            <w:r>
              <w:rPr>
                <w:rFonts w:hint="eastAsia" w:cs="宋体" w:asciiTheme="minorEastAsia" w:hAnsiTheme="minorEastAsia" w:eastAsiaTheme="minorEastAsia"/>
                <w:kern w:val="0"/>
                <w:szCs w:val="21"/>
              </w:rPr>
              <w:t>木板；</w:t>
            </w:r>
            <w:r>
              <w:rPr>
                <w:rFonts w:cs="宋体" w:asciiTheme="minorEastAsia" w:hAnsiTheme="minorEastAsia" w:eastAsiaTheme="minorEastAsia"/>
                <w:kern w:val="0"/>
                <w:szCs w:val="21"/>
              </w:rPr>
              <w:t>5.</w:t>
            </w:r>
            <w:r>
              <w:rPr>
                <w:rFonts w:hint="eastAsia" w:cs="宋体" w:asciiTheme="minorEastAsia" w:hAnsiTheme="minorEastAsia" w:eastAsiaTheme="minorEastAsia"/>
                <w:kern w:val="0"/>
                <w:szCs w:val="21"/>
              </w:rPr>
              <w:t>扶手：</w:t>
            </w:r>
            <w:r>
              <w:rPr>
                <w:rFonts w:cs="宋体" w:asciiTheme="minorEastAsia" w:hAnsiTheme="minorEastAsia" w:eastAsiaTheme="minorEastAsia"/>
                <w:kern w:val="0"/>
                <w:szCs w:val="21"/>
              </w:rPr>
              <w:t>PP</w:t>
            </w:r>
            <w:r>
              <w:rPr>
                <w:rFonts w:hint="eastAsia" w:cs="宋体" w:asciiTheme="minorEastAsia" w:hAnsiTheme="minorEastAsia" w:eastAsiaTheme="minorEastAsia"/>
                <w:kern w:val="0"/>
                <w:szCs w:val="21"/>
              </w:rPr>
              <w:t>固定扶手；</w:t>
            </w:r>
            <w:r>
              <w:rPr>
                <w:rFonts w:cs="宋体" w:asciiTheme="minorEastAsia" w:hAnsiTheme="minorEastAsia" w:eastAsiaTheme="minorEastAsia"/>
                <w:kern w:val="0"/>
                <w:szCs w:val="21"/>
              </w:rPr>
              <w:t>6.</w:t>
            </w:r>
            <w:r>
              <w:rPr>
                <w:rFonts w:hint="eastAsia" w:cs="宋体" w:asciiTheme="minorEastAsia" w:hAnsiTheme="minorEastAsia" w:eastAsiaTheme="minorEastAsia"/>
                <w:kern w:val="0"/>
                <w:szCs w:val="21"/>
              </w:rPr>
              <w:t>底盘：一档原位锁定底盘</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底盘带防护罩；</w:t>
            </w:r>
            <w:r>
              <w:rPr>
                <w:rFonts w:cs="宋体" w:asciiTheme="minorEastAsia" w:hAnsiTheme="minorEastAsia" w:eastAsiaTheme="minorEastAsia"/>
                <w:kern w:val="0"/>
                <w:szCs w:val="21"/>
              </w:rPr>
              <w:t>7.</w:t>
            </w:r>
            <w:r>
              <w:rPr>
                <w:rFonts w:hint="eastAsia" w:cs="宋体" w:asciiTheme="minorEastAsia" w:hAnsiTheme="minorEastAsia" w:eastAsiaTheme="minorEastAsia"/>
                <w:kern w:val="0"/>
                <w:szCs w:val="21"/>
              </w:rPr>
              <w:t>椅脚：铝合金脚；</w:t>
            </w:r>
            <w:r>
              <w:rPr>
                <w:rFonts w:cs="宋体" w:asciiTheme="minorEastAsia" w:hAnsiTheme="minorEastAsia" w:eastAsiaTheme="minorEastAsia"/>
                <w:kern w:val="0"/>
                <w:szCs w:val="21"/>
              </w:rPr>
              <w:t>9.</w:t>
            </w:r>
            <w:r>
              <w:rPr>
                <w:rFonts w:hint="eastAsia" w:cs="宋体" w:asciiTheme="minorEastAsia" w:hAnsiTheme="minorEastAsia" w:eastAsiaTheme="minorEastAsia"/>
                <w:kern w:val="0"/>
                <w:szCs w:val="21"/>
              </w:rPr>
              <w:t>轮子：</w:t>
            </w:r>
            <w:r>
              <w:rPr>
                <w:rFonts w:cs="宋体" w:asciiTheme="minorEastAsia" w:hAnsiTheme="minorEastAsia" w:eastAsiaTheme="minorEastAsia"/>
                <w:kern w:val="0"/>
                <w:szCs w:val="21"/>
              </w:rPr>
              <w:t>PA</w:t>
            </w:r>
            <w:r>
              <w:rPr>
                <w:rFonts w:hint="eastAsia" w:cs="宋体" w:asciiTheme="minorEastAsia" w:hAnsiTheme="minorEastAsia" w:eastAsiaTheme="minorEastAsia"/>
                <w:kern w:val="0"/>
                <w:szCs w:val="21"/>
              </w:rPr>
              <w:t>直轮，</w:t>
            </w:r>
            <w:r>
              <w:rPr>
                <w:rFonts w:cs="宋体" w:asciiTheme="minorEastAsia" w:hAnsiTheme="minorEastAsia" w:eastAsiaTheme="minorEastAsia"/>
                <w:kern w:val="0"/>
                <w:szCs w:val="21"/>
              </w:rPr>
              <w:t>60/25</w:t>
            </w:r>
            <w:r>
              <w:rPr>
                <w:rFonts w:hint="eastAsia" w:cs="宋体" w:asciiTheme="minorEastAsia" w:hAnsiTheme="minorEastAsia" w:eastAsiaTheme="minorEastAsia"/>
                <w:kern w:val="0"/>
                <w:szCs w:val="21"/>
              </w:rPr>
              <w:t>黑色，过</w:t>
            </w:r>
            <w:r>
              <w:rPr>
                <w:rFonts w:cs="宋体" w:asciiTheme="minorEastAsia" w:hAnsiTheme="minorEastAsia" w:eastAsiaTheme="minorEastAsia"/>
                <w:kern w:val="0"/>
                <w:szCs w:val="21"/>
              </w:rPr>
              <w:t>10w</w:t>
            </w:r>
            <w:r>
              <w:rPr>
                <w:rFonts w:hint="eastAsia" w:cs="宋体" w:asciiTheme="minorEastAsia" w:hAnsiTheme="minorEastAsia" w:eastAsiaTheme="minorEastAsia"/>
                <w:kern w:val="0"/>
                <w:szCs w:val="21"/>
              </w:rPr>
              <w:t>次测试</w:t>
            </w:r>
            <w:r>
              <w:rPr>
                <w:rFonts w:cs="宋体" w:asciiTheme="minorEastAsia" w:hAnsiTheme="minorEastAsia"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27</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班前椅</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常规</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背框：一体成型背框（工程塑胶</w:t>
            </w:r>
            <w:r>
              <w:rPr>
                <w:rFonts w:cs="宋体" w:asciiTheme="minorEastAsia" w:hAnsiTheme="minorEastAsia" w:eastAsiaTheme="minorEastAsia"/>
                <w:kern w:val="0"/>
                <w:szCs w:val="21"/>
              </w:rPr>
              <w:t>PA+30%</w:t>
            </w:r>
            <w:r>
              <w:rPr>
                <w:rFonts w:hint="eastAsia" w:cs="宋体" w:asciiTheme="minorEastAsia" w:hAnsiTheme="minorEastAsia" w:eastAsiaTheme="minorEastAsia"/>
                <w:kern w:val="0"/>
                <w:szCs w:val="21"/>
              </w:rPr>
              <w:t>纤）</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颐达网布；</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腰靠：自适应</w:t>
            </w:r>
            <w:r>
              <w:rPr>
                <w:rFonts w:cs="宋体" w:asciiTheme="minorEastAsia" w:hAnsiTheme="minorEastAsia" w:eastAsiaTheme="minorEastAsia"/>
                <w:kern w:val="0"/>
                <w:szCs w:val="21"/>
              </w:rPr>
              <w:t>pp</w:t>
            </w:r>
            <w:r>
              <w:rPr>
                <w:rFonts w:hint="eastAsia" w:cs="宋体" w:asciiTheme="minorEastAsia" w:hAnsiTheme="minorEastAsia" w:eastAsiaTheme="minorEastAsia"/>
                <w:kern w:val="0"/>
                <w:szCs w:val="21"/>
              </w:rPr>
              <w:t>腰靠；</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座垫：</w:t>
            </w:r>
            <w:r>
              <w:rPr>
                <w:rFonts w:cs="宋体" w:asciiTheme="minorEastAsia" w:hAnsiTheme="minorEastAsia" w:eastAsiaTheme="minorEastAsia"/>
                <w:kern w:val="0"/>
                <w:szCs w:val="21"/>
              </w:rPr>
              <w:t>32#</w:t>
            </w:r>
            <w:r>
              <w:rPr>
                <w:rFonts w:hint="eastAsia" w:cs="宋体" w:asciiTheme="minorEastAsia" w:hAnsiTheme="minorEastAsia" w:eastAsiaTheme="minorEastAsia"/>
                <w:kern w:val="0"/>
                <w:szCs w:val="21"/>
              </w:rPr>
              <w:t>高密度裁切棉</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弹性座布</w:t>
            </w:r>
            <w:r>
              <w:rPr>
                <w:rFonts w:cs="宋体" w:asciiTheme="minorEastAsia" w:hAnsiTheme="minorEastAsia" w:eastAsiaTheme="minorEastAsia"/>
                <w:kern w:val="0"/>
                <w:szCs w:val="21"/>
              </w:rPr>
              <w:t>+14mm</w:t>
            </w:r>
            <w:r>
              <w:rPr>
                <w:rFonts w:hint="eastAsia" w:cs="宋体" w:asciiTheme="minorEastAsia" w:hAnsiTheme="minorEastAsia" w:eastAsiaTheme="minorEastAsia"/>
                <w:kern w:val="0"/>
                <w:szCs w:val="21"/>
              </w:rPr>
              <w:t>木板；</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扶手：</w:t>
            </w:r>
            <w:r>
              <w:rPr>
                <w:rFonts w:cs="宋体" w:asciiTheme="minorEastAsia" w:hAnsiTheme="minorEastAsia" w:eastAsiaTheme="minorEastAsia"/>
                <w:kern w:val="0"/>
                <w:szCs w:val="21"/>
              </w:rPr>
              <w:t>PP</w:t>
            </w:r>
            <w:r>
              <w:rPr>
                <w:rFonts w:hint="eastAsia" w:cs="宋体" w:asciiTheme="minorEastAsia" w:hAnsiTheme="minorEastAsia" w:eastAsiaTheme="minorEastAsia"/>
                <w:kern w:val="0"/>
                <w:szCs w:val="21"/>
              </w:rPr>
              <w:t>固定扶手；</w:t>
            </w:r>
            <w:r>
              <w:rPr>
                <w:rFonts w:cs="宋体" w:asciiTheme="minorEastAsia" w:hAnsiTheme="minorEastAsia" w:eastAsiaTheme="minorEastAsia"/>
                <w:kern w:val="0"/>
                <w:szCs w:val="21"/>
              </w:rPr>
              <w:t>5.</w:t>
            </w:r>
            <w:r>
              <w:rPr>
                <w:rFonts w:hint="eastAsia" w:cs="宋体" w:asciiTheme="minorEastAsia" w:hAnsiTheme="minorEastAsia" w:eastAsiaTheme="minorEastAsia"/>
                <w:kern w:val="0"/>
                <w:szCs w:val="21"/>
              </w:rPr>
              <w:t>铁架：弓形烤漆铁架，管壁壁厚</w:t>
            </w:r>
            <w:r>
              <w:rPr>
                <w:rFonts w:cs="宋体" w:asciiTheme="minorEastAsia" w:hAnsiTheme="minorEastAsia" w:eastAsiaTheme="minorEastAsia"/>
                <w:kern w:val="0"/>
                <w:szCs w:val="21"/>
              </w:rPr>
              <w:t>2.2mm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28</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沙发</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人位</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、面料：采用聚氯乙烯人造革，透气性强，手感柔软且富于韧性，厚度适中；聚氯乙烯人造革：符合</w:t>
            </w:r>
            <w:r>
              <w:rPr>
                <w:rFonts w:cs="宋体" w:asciiTheme="minorEastAsia" w:hAnsiTheme="minorEastAsia" w:eastAsiaTheme="minorEastAsia"/>
                <w:kern w:val="0"/>
                <w:szCs w:val="21"/>
              </w:rPr>
              <w:t>GB/T 8948-2008</w:t>
            </w:r>
            <w:r>
              <w:rPr>
                <w:rFonts w:hint="eastAsia" w:cs="宋体" w:asciiTheme="minorEastAsia" w:hAnsiTheme="minorEastAsia" w:eastAsiaTheme="minorEastAsia"/>
                <w:kern w:val="0"/>
                <w:szCs w:val="21"/>
              </w:rPr>
              <w:t>聚氯乙烯人造革、</w:t>
            </w:r>
            <w:r>
              <w:rPr>
                <w:rFonts w:cs="宋体" w:asciiTheme="minorEastAsia" w:hAnsiTheme="minorEastAsia" w:eastAsiaTheme="minorEastAsia"/>
                <w:kern w:val="0"/>
                <w:szCs w:val="21"/>
              </w:rPr>
              <w:t>GB/T 2912.1-2009</w:t>
            </w:r>
            <w:r>
              <w:rPr>
                <w:rFonts w:hint="eastAsia" w:cs="宋体" w:asciiTheme="minorEastAsia" w:hAnsiTheme="minorEastAsia" w:eastAsiaTheme="minorEastAsia"/>
                <w:kern w:val="0"/>
                <w:szCs w:val="21"/>
              </w:rPr>
              <w:t>纺织品甲醛的测定第一部分；游离和水解的甲醛标准，拉伸负荷纬向≥</w:t>
            </w:r>
            <w:r>
              <w:rPr>
                <w:rFonts w:cs="宋体" w:asciiTheme="minorEastAsia" w:hAnsiTheme="minorEastAsia" w:eastAsiaTheme="minorEastAsia"/>
                <w:kern w:val="0"/>
                <w:szCs w:val="21"/>
              </w:rPr>
              <w:t xml:space="preserve">220N </w:t>
            </w:r>
            <w:r>
              <w:rPr>
                <w:rFonts w:hint="eastAsia" w:cs="宋体" w:asciiTheme="minorEastAsia" w:hAnsiTheme="minorEastAsia" w:eastAsiaTheme="minorEastAsia"/>
                <w:kern w:val="0"/>
                <w:szCs w:val="21"/>
              </w:rPr>
              <w:t>经向≥</w:t>
            </w:r>
            <w:r>
              <w:rPr>
                <w:rFonts w:cs="宋体" w:asciiTheme="minorEastAsia" w:hAnsiTheme="minorEastAsia" w:eastAsiaTheme="minorEastAsia"/>
                <w:kern w:val="0"/>
                <w:szCs w:val="21"/>
              </w:rPr>
              <w:t xml:space="preserve">520N </w:t>
            </w:r>
            <w:r>
              <w:rPr>
                <w:rFonts w:hint="eastAsia" w:cs="宋体" w:asciiTheme="minorEastAsia" w:hAnsiTheme="minorEastAsia" w:eastAsiaTheme="minorEastAsia"/>
                <w:kern w:val="0"/>
                <w:szCs w:val="21"/>
              </w:rPr>
              <w:t>，断裂伸长率纬向≥</w:t>
            </w:r>
            <w:r>
              <w:rPr>
                <w:rFonts w:cs="宋体" w:asciiTheme="minorEastAsia" w:hAnsiTheme="minorEastAsia" w:eastAsiaTheme="minorEastAsia"/>
                <w:kern w:val="0"/>
                <w:szCs w:val="21"/>
              </w:rPr>
              <w:t xml:space="preserve">90% </w:t>
            </w:r>
            <w:r>
              <w:rPr>
                <w:rFonts w:hint="eastAsia" w:cs="宋体" w:asciiTheme="minorEastAsia" w:hAnsiTheme="minorEastAsia" w:eastAsiaTheme="minorEastAsia"/>
                <w:kern w:val="0"/>
                <w:szCs w:val="21"/>
              </w:rPr>
              <w:t>，经向≥</w:t>
            </w:r>
            <w:r>
              <w:rPr>
                <w:rFonts w:cs="宋体" w:asciiTheme="minorEastAsia" w:hAnsiTheme="minorEastAsia" w:eastAsiaTheme="minorEastAsia"/>
                <w:kern w:val="0"/>
                <w:szCs w:val="21"/>
              </w:rPr>
              <w:t>45%</w:t>
            </w:r>
            <w:r>
              <w:rPr>
                <w:rFonts w:hint="eastAsia" w:cs="宋体" w:asciiTheme="minorEastAsia" w:hAnsiTheme="minorEastAsia" w:eastAsiaTheme="minorEastAsia"/>
                <w:kern w:val="0"/>
                <w:szCs w:val="21"/>
              </w:rPr>
              <w:t>，剥离负荷经向≥</w:t>
            </w:r>
            <w:r>
              <w:rPr>
                <w:rFonts w:cs="宋体" w:asciiTheme="minorEastAsia" w:hAnsiTheme="minorEastAsia" w:eastAsiaTheme="minorEastAsia"/>
                <w:kern w:val="0"/>
                <w:szCs w:val="21"/>
              </w:rPr>
              <w:t>25N</w:t>
            </w:r>
            <w:r>
              <w:rPr>
                <w:rFonts w:hint="eastAsia" w:cs="宋体" w:asciiTheme="minorEastAsia" w:hAnsiTheme="minorEastAsia" w:eastAsiaTheme="minorEastAsia"/>
                <w:kern w:val="0"/>
                <w:szCs w:val="21"/>
              </w:rPr>
              <w:t>，不含甲醛。（投标人提供有效的合格的人造革抽样检测合格报告）</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、海棉：高密度海棉，软硬适中，回弹性能好，不易变形，切割一体成型棉，密度高于</w:t>
            </w:r>
            <w:r>
              <w:rPr>
                <w:rFonts w:cs="宋体" w:asciiTheme="minorEastAsia" w:hAnsiTheme="minorEastAsia" w:eastAsiaTheme="minorEastAsia"/>
                <w:kern w:val="0"/>
                <w:szCs w:val="21"/>
              </w:rPr>
              <w:t>45</w:t>
            </w:r>
            <w:r>
              <w:rPr>
                <w:rFonts w:hint="eastAsia" w:cs="宋体" w:asciiTheme="minorEastAsia" w:hAnsiTheme="minorEastAsia" w:eastAsiaTheme="minorEastAsia"/>
                <w:kern w:val="0"/>
                <w:szCs w:val="21"/>
              </w:rPr>
              <w:t>克</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立方厘米，软硬适中，回弹性能好，不变形；</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GB/T 35607-2017</w:t>
            </w:r>
            <w:r>
              <w:rPr>
                <w:rFonts w:hint="eastAsia" w:cs="宋体" w:asciiTheme="minorEastAsia" w:hAnsiTheme="minorEastAsia" w:eastAsiaTheme="minorEastAsia"/>
                <w:kern w:val="0"/>
                <w:szCs w:val="21"/>
              </w:rPr>
              <w:t>《绿色产品评价家具》和《软体家具沙发》标准，木家具甲醛释放量≤</w:t>
            </w:r>
            <w:r>
              <w:rPr>
                <w:rFonts w:cs="宋体" w:asciiTheme="minorEastAsia" w:hAnsiTheme="minorEastAsia" w:eastAsiaTheme="minorEastAsia"/>
                <w:kern w:val="0"/>
                <w:szCs w:val="21"/>
              </w:rPr>
              <w:t>0.1mg/</w:t>
            </w:r>
            <w:r>
              <w:rPr>
                <w:rFonts w:hint="eastAsia" w:cs="宋体" w:asciiTheme="minorEastAsia" w:hAnsiTheme="minorEastAsia" w:eastAsiaTheme="minorEastAsia"/>
                <w:kern w:val="0"/>
                <w:szCs w:val="21"/>
              </w:rPr>
              <w:t>，苯≤</w:t>
            </w:r>
            <w:r>
              <w:rPr>
                <w:rFonts w:cs="宋体" w:asciiTheme="minorEastAsia" w:hAnsiTheme="minorEastAsia" w:eastAsiaTheme="minorEastAsia"/>
                <w:kern w:val="0"/>
                <w:szCs w:val="21"/>
              </w:rPr>
              <w:t>0.05mg/m</w:t>
            </w:r>
            <w:r>
              <w:rPr>
                <w:rFonts w:hint="eastAsia" w:cs="宋体" w:asciiTheme="minorEastAsia" w:hAnsiTheme="minorEastAsia" w:eastAsiaTheme="minorEastAsia"/>
                <w:kern w:val="0"/>
                <w:szCs w:val="21"/>
              </w:rPr>
              <w:t>³，总挥发性有机化合物≤</w:t>
            </w:r>
            <w:r>
              <w:rPr>
                <w:rFonts w:cs="宋体" w:asciiTheme="minorEastAsia" w:hAnsiTheme="minorEastAsia" w:eastAsiaTheme="minorEastAsia"/>
                <w:kern w:val="0"/>
                <w:szCs w:val="21"/>
              </w:rPr>
              <w:t>0.3mg/m</w:t>
            </w:r>
            <w:r>
              <w:rPr>
                <w:rFonts w:hint="eastAsia" w:cs="宋体" w:asciiTheme="minorEastAsia" w:hAnsiTheme="minorEastAsia" w:eastAsiaTheme="minorEastAsia"/>
                <w:kern w:val="0"/>
                <w:szCs w:val="21"/>
              </w:rPr>
              <w:t>³。（投标人提供有效的合格的沙发抽样检测合格报告）。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29</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茶几</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L1200*W600*H450</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基材：采用</w:t>
            </w:r>
            <w:r>
              <w:rPr>
                <w:rFonts w:cs="宋体" w:asciiTheme="minorEastAsia" w:hAnsiTheme="minorEastAsia" w:eastAsiaTheme="minorEastAsia"/>
                <w:kern w:val="0"/>
                <w:szCs w:val="21"/>
              </w:rPr>
              <w:t>E1</w:t>
            </w:r>
            <w:r>
              <w:rPr>
                <w:rFonts w:hint="eastAsia" w:cs="宋体" w:asciiTheme="minorEastAsia" w:hAnsiTheme="minorEastAsia" w:eastAsiaTheme="minorEastAsia"/>
                <w:kern w:val="0"/>
                <w:szCs w:val="21"/>
              </w:rPr>
              <w:t>级中密度纤维板，板材厚度≥</w:t>
            </w:r>
            <w:r>
              <w:rPr>
                <w:rFonts w:cs="宋体" w:asciiTheme="minorEastAsia" w:hAnsiTheme="minorEastAsia" w:eastAsiaTheme="minorEastAsia"/>
                <w:kern w:val="0"/>
                <w:szCs w:val="21"/>
              </w:rPr>
              <w:t>25mm</w:t>
            </w:r>
            <w:r>
              <w:rPr>
                <w:rFonts w:hint="eastAsia" w:cs="宋体" w:asciiTheme="minorEastAsia" w:hAnsiTheme="minorEastAsia" w:eastAsiaTheme="minorEastAsia"/>
                <w:kern w:val="0"/>
                <w:szCs w:val="21"/>
              </w:rPr>
              <w:t>，密度≥</w:t>
            </w:r>
            <w:r>
              <w:rPr>
                <w:rFonts w:cs="宋体" w:asciiTheme="minorEastAsia" w:hAnsiTheme="minorEastAsia" w:eastAsiaTheme="minorEastAsia"/>
                <w:kern w:val="0"/>
                <w:szCs w:val="21"/>
              </w:rPr>
              <w:t>720</w:t>
            </w:r>
            <w:r>
              <w:rPr>
                <w:rFonts w:hint="eastAsia" w:cs="宋体" w:asciiTheme="minorEastAsia" w:hAnsiTheme="minorEastAsia" w:eastAsiaTheme="minorEastAsia"/>
                <w:kern w:val="0"/>
                <w:szCs w:val="21"/>
              </w:rPr>
              <w:t>千克</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立方米，游离甲醛释放量小于</w:t>
            </w:r>
            <w:r>
              <w:rPr>
                <w:rFonts w:cs="宋体" w:asciiTheme="minorEastAsia" w:hAnsiTheme="minorEastAsia" w:eastAsiaTheme="minorEastAsia"/>
                <w:kern w:val="0"/>
                <w:szCs w:val="21"/>
              </w:rPr>
              <w:t>1.5mg/L</w:t>
            </w:r>
            <w:r>
              <w:rPr>
                <w:rFonts w:hint="eastAsia" w:cs="宋体" w:asciiTheme="minorEastAsia" w:hAnsiTheme="minorEastAsia" w:eastAsiaTheme="minorEastAsia"/>
                <w:kern w:val="0"/>
                <w:szCs w:val="21"/>
              </w:rPr>
              <w:t>，经防潮、防虫、防腐等处理，含水率不大于</w:t>
            </w:r>
            <w:r>
              <w:rPr>
                <w:rFonts w:cs="宋体" w:asciiTheme="minorEastAsia" w:hAnsiTheme="minorEastAsia" w:eastAsiaTheme="minorEastAsia"/>
                <w:kern w:val="0"/>
                <w:szCs w:val="21"/>
              </w:rPr>
              <w:t>9%</w:t>
            </w:r>
            <w:r>
              <w:rPr>
                <w:rFonts w:hint="eastAsia" w:cs="宋体" w:asciiTheme="minorEastAsia" w:hAnsiTheme="minorEastAsia" w:eastAsiaTheme="minorEastAsia"/>
                <w:kern w:val="0"/>
                <w:szCs w:val="21"/>
              </w:rPr>
              <w:t>；（台面四角倒</w:t>
            </w:r>
            <w:r>
              <w:rPr>
                <w:rFonts w:cs="宋体" w:asciiTheme="minorEastAsia" w:hAnsiTheme="minorEastAsia" w:eastAsiaTheme="minorEastAsia"/>
                <w:kern w:val="0"/>
                <w:szCs w:val="21"/>
              </w:rPr>
              <w:t>R</w:t>
            </w:r>
            <w:r>
              <w:rPr>
                <w:rFonts w:hint="eastAsia" w:cs="宋体" w:asciiTheme="minorEastAsia" w:hAnsiTheme="minorEastAsia" w:eastAsiaTheme="minorEastAsia"/>
                <w:kern w:val="0"/>
                <w:szCs w:val="21"/>
              </w:rPr>
              <w:t>安全角）</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面材：采用三聚氰胺板饰面，静曲强度≥</w:t>
            </w:r>
            <w:r>
              <w:rPr>
                <w:rFonts w:cs="宋体" w:asciiTheme="minorEastAsia" w:hAnsiTheme="minorEastAsia" w:eastAsiaTheme="minorEastAsia"/>
                <w:kern w:val="0"/>
                <w:szCs w:val="21"/>
              </w:rPr>
              <w:t>24MPa;</w:t>
            </w:r>
            <w:r>
              <w:rPr>
                <w:rFonts w:hint="eastAsia" w:cs="宋体" w:asciiTheme="minorEastAsia" w:hAnsiTheme="minorEastAsia" w:eastAsiaTheme="minorEastAsia"/>
                <w:kern w:val="0"/>
                <w:szCs w:val="21"/>
              </w:rPr>
              <w:t>经防潮、防虫、防腐等处理；ＰＶＣ封边；</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、钢架：：采用管壁厚≥</w:t>
            </w:r>
            <w:r>
              <w:rPr>
                <w:rFonts w:cs="宋体" w:asciiTheme="minorEastAsia" w:hAnsiTheme="minorEastAsia" w:eastAsiaTheme="minorEastAsia"/>
                <w:kern w:val="0"/>
                <w:szCs w:val="21"/>
              </w:rPr>
              <w:t>1.2mm</w:t>
            </w:r>
            <w:r>
              <w:rPr>
                <w:rFonts w:hint="eastAsia" w:cs="宋体" w:asciiTheme="minorEastAsia" w:hAnsiTheme="minorEastAsia" w:eastAsiaTheme="minorEastAsia"/>
                <w:kern w:val="0"/>
                <w:szCs w:val="21"/>
              </w:rPr>
              <w:t>，经绿色环保型粉末静电喷塑，对人体及周围环境不产生危害，无毒、无副作用，使用时无异味坚固耐用，性能优良。</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、五金配件：选用不锈钢材质等不生锈且耐用的配件。</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5</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GB/T3324-2017</w:t>
            </w:r>
            <w:r>
              <w:rPr>
                <w:rFonts w:hint="eastAsia" w:cs="宋体" w:asciiTheme="minorEastAsia" w:hAnsiTheme="minorEastAsia" w:eastAsiaTheme="minorEastAsia"/>
                <w:kern w:val="0"/>
                <w:szCs w:val="21"/>
              </w:rPr>
              <w:t>《木家具通用技术条件》、《绿色产品评价家具》标准，木家具甲醛释放量≤</w:t>
            </w:r>
            <w:r>
              <w:rPr>
                <w:rFonts w:cs="宋体" w:asciiTheme="minorEastAsia" w:hAnsiTheme="minorEastAsia" w:eastAsiaTheme="minorEastAsia"/>
                <w:kern w:val="0"/>
                <w:szCs w:val="21"/>
              </w:rPr>
              <w:t>0.1mg/</w:t>
            </w:r>
            <w:r>
              <w:rPr>
                <w:rFonts w:hint="eastAsia" w:cs="宋体" w:asciiTheme="minorEastAsia" w:hAnsiTheme="minorEastAsia" w:eastAsiaTheme="minorEastAsia"/>
                <w:kern w:val="0"/>
                <w:szCs w:val="21"/>
              </w:rPr>
              <w:t>，苯≤</w:t>
            </w:r>
            <w:r>
              <w:rPr>
                <w:rFonts w:cs="宋体" w:asciiTheme="minorEastAsia" w:hAnsiTheme="minorEastAsia" w:eastAsiaTheme="minorEastAsia"/>
                <w:kern w:val="0"/>
                <w:szCs w:val="21"/>
              </w:rPr>
              <w:t>0.05mg/m</w:t>
            </w:r>
            <w:r>
              <w:rPr>
                <w:rFonts w:hint="eastAsia" w:cs="宋体" w:asciiTheme="minorEastAsia" w:hAnsiTheme="minorEastAsia" w:eastAsiaTheme="minorEastAsia"/>
                <w:kern w:val="0"/>
                <w:szCs w:val="21"/>
              </w:rPr>
              <w:t>³，总挥发性有机化合物≤</w:t>
            </w:r>
            <w:r>
              <w:rPr>
                <w:rFonts w:cs="宋体" w:asciiTheme="minorEastAsia" w:hAnsiTheme="minorEastAsia" w:eastAsiaTheme="minorEastAsia"/>
                <w:kern w:val="0"/>
                <w:szCs w:val="21"/>
              </w:rPr>
              <w:t>0.3mg/m</w:t>
            </w:r>
            <w:r>
              <w:rPr>
                <w:rFonts w:hint="eastAsia" w:cs="宋体" w:asciiTheme="minorEastAsia" w:hAnsiTheme="minorEastAsia" w:eastAsiaTheme="minorEastAsia"/>
                <w:kern w:val="0"/>
                <w:szCs w:val="21"/>
              </w:rPr>
              <w:t>³。（投标人提供有效的合格的茶几抽样检测合格报告）。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30</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办公桌</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L1400*W700*H750mm</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基材：采用</w:t>
            </w:r>
            <w:r>
              <w:rPr>
                <w:rFonts w:cs="宋体" w:asciiTheme="minorEastAsia" w:hAnsiTheme="minorEastAsia" w:eastAsiaTheme="minorEastAsia"/>
                <w:kern w:val="0"/>
                <w:szCs w:val="21"/>
              </w:rPr>
              <w:t>E1</w:t>
            </w:r>
            <w:r>
              <w:rPr>
                <w:rFonts w:hint="eastAsia" w:cs="宋体" w:asciiTheme="minorEastAsia" w:hAnsiTheme="minorEastAsia" w:eastAsiaTheme="minorEastAsia"/>
                <w:kern w:val="0"/>
                <w:szCs w:val="21"/>
              </w:rPr>
              <w:t>级中密度纤维板，桌面板材厚度≥</w:t>
            </w:r>
            <w:r>
              <w:rPr>
                <w:rFonts w:cs="宋体" w:asciiTheme="minorEastAsia" w:hAnsiTheme="minorEastAsia" w:eastAsiaTheme="minorEastAsia"/>
                <w:kern w:val="0"/>
                <w:szCs w:val="21"/>
              </w:rPr>
              <w:t>25mm</w:t>
            </w:r>
            <w:r>
              <w:rPr>
                <w:rFonts w:hint="eastAsia" w:cs="宋体" w:asciiTheme="minorEastAsia" w:hAnsiTheme="minorEastAsia" w:eastAsiaTheme="minorEastAsia"/>
                <w:kern w:val="0"/>
                <w:szCs w:val="21"/>
              </w:rPr>
              <w:t>，密度≥</w:t>
            </w:r>
            <w:r>
              <w:rPr>
                <w:rFonts w:cs="宋体" w:asciiTheme="minorEastAsia" w:hAnsiTheme="minorEastAsia" w:eastAsiaTheme="minorEastAsia"/>
                <w:kern w:val="0"/>
                <w:szCs w:val="21"/>
              </w:rPr>
              <w:t>720</w:t>
            </w:r>
            <w:r>
              <w:rPr>
                <w:rFonts w:hint="eastAsia" w:cs="宋体" w:asciiTheme="minorEastAsia" w:hAnsiTheme="minorEastAsia" w:eastAsiaTheme="minorEastAsia"/>
                <w:kern w:val="0"/>
                <w:szCs w:val="21"/>
              </w:rPr>
              <w:t>千克</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立方米，游离甲醛释放量小于</w:t>
            </w:r>
            <w:r>
              <w:rPr>
                <w:rFonts w:cs="宋体" w:asciiTheme="minorEastAsia" w:hAnsiTheme="minorEastAsia" w:eastAsiaTheme="minorEastAsia"/>
                <w:kern w:val="0"/>
                <w:szCs w:val="21"/>
              </w:rPr>
              <w:t>1.5mg/L</w:t>
            </w:r>
            <w:r>
              <w:rPr>
                <w:rFonts w:hint="eastAsia" w:cs="宋体" w:asciiTheme="minorEastAsia" w:hAnsiTheme="minorEastAsia" w:eastAsiaTheme="minorEastAsia"/>
                <w:kern w:val="0"/>
                <w:szCs w:val="21"/>
              </w:rPr>
              <w:t>，经防潮、防虫、防腐等处理，含水率不大于</w:t>
            </w:r>
            <w:r>
              <w:rPr>
                <w:rFonts w:cs="宋体" w:asciiTheme="minorEastAsia" w:hAnsiTheme="minorEastAsia" w:eastAsiaTheme="minorEastAsia"/>
                <w:kern w:val="0"/>
                <w:szCs w:val="21"/>
              </w:rPr>
              <w:t>9%</w:t>
            </w:r>
            <w:r>
              <w:rPr>
                <w:rFonts w:hint="eastAsia" w:cs="宋体" w:asciiTheme="minorEastAsia" w:hAnsiTheme="minorEastAsia" w:eastAsiaTheme="minorEastAsia"/>
                <w:kern w:val="0"/>
                <w:szCs w:val="21"/>
              </w:rPr>
              <w:t>；</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面材：采用三聚氰胺板饰面，静曲强度≥</w:t>
            </w:r>
            <w:r>
              <w:rPr>
                <w:rFonts w:cs="宋体" w:asciiTheme="minorEastAsia" w:hAnsiTheme="minorEastAsia" w:eastAsiaTheme="minorEastAsia"/>
                <w:kern w:val="0"/>
                <w:szCs w:val="21"/>
              </w:rPr>
              <w:t>24MPa;</w:t>
            </w:r>
            <w:r>
              <w:rPr>
                <w:rFonts w:hint="eastAsia" w:cs="宋体" w:asciiTheme="minorEastAsia" w:hAnsiTheme="minorEastAsia" w:eastAsiaTheme="minorEastAsia"/>
                <w:kern w:val="0"/>
                <w:szCs w:val="21"/>
              </w:rPr>
              <w:t>经防潮、防虫、防腐等处理；ＰＶＣ封边；</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、钢管：桌架拉管</w:t>
            </w:r>
            <w:r>
              <w:rPr>
                <w:rFonts w:cs="宋体" w:asciiTheme="minorEastAsia" w:hAnsiTheme="minorEastAsia" w:eastAsiaTheme="minorEastAsia"/>
                <w:kern w:val="0"/>
                <w:szCs w:val="21"/>
              </w:rPr>
              <w:t>25*50</w:t>
            </w:r>
            <w:r>
              <w:rPr>
                <w:rFonts w:hint="eastAsia" w:cs="宋体" w:asciiTheme="minorEastAsia" w:hAnsiTheme="minorEastAsia" w:eastAsiaTheme="minorEastAsia"/>
                <w:kern w:val="0"/>
                <w:szCs w:val="21"/>
              </w:rPr>
              <w:t>方形钢管</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桌脚</w:t>
            </w:r>
            <w:r>
              <w:rPr>
                <w:rFonts w:cs="宋体" w:asciiTheme="minorEastAsia" w:hAnsiTheme="minorEastAsia" w:eastAsiaTheme="minorEastAsia"/>
                <w:kern w:val="0"/>
                <w:szCs w:val="21"/>
              </w:rPr>
              <w:t>: 50*50</w:t>
            </w:r>
            <w:r>
              <w:rPr>
                <w:rFonts w:hint="eastAsia" w:cs="宋体" w:asciiTheme="minorEastAsia" w:hAnsiTheme="minorEastAsia" w:eastAsiaTheme="minorEastAsia"/>
                <w:kern w:val="0"/>
                <w:szCs w:val="21"/>
              </w:rPr>
              <w:t>方形钢管，厚度≥</w:t>
            </w:r>
            <w:r>
              <w:rPr>
                <w:rFonts w:cs="宋体" w:asciiTheme="minorEastAsia" w:hAnsiTheme="minorEastAsia" w:eastAsiaTheme="minorEastAsia"/>
                <w:kern w:val="0"/>
                <w:szCs w:val="21"/>
              </w:rPr>
              <w:t>1.5mm</w:t>
            </w:r>
            <w:r>
              <w:rPr>
                <w:rFonts w:hint="eastAsia" w:cs="宋体" w:asciiTheme="minorEastAsia" w:hAnsiTheme="minorEastAsia" w:eastAsiaTheme="minorEastAsia"/>
                <w:kern w:val="0"/>
                <w:szCs w:val="21"/>
              </w:rPr>
              <w:t>，烤漆处理</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环保无味</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耐磨耐刮。</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、五金配件：选用五金件。桌下带挡板。</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5</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GB/T3324-2017</w:t>
            </w:r>
            <w:r>
              <w:rPr>
                <w:rFonts w:hint="eastAsia" w:cs="宋体" w:asciiTheme="minorEastAsia" w:hAnsiTheme="minorEastAsia" w:eastAsiaTheme="minorEastAsia"/>
                <w:kern w:val="0"/>
                <w:szCs w:val="21"/>
              </w:rPr>
              <w:t>《木家具通用技术条件》和《绿色产品评价家具》标准，木家具甲醛释放量≤</w:t>
            </w:r>
            <w:r>
              <w:rPr>
                <w:rFonts w:cs="宋体" w:asciiTheme="minorEastAsia" w:hAnsiTheme="minorEastAsia" w:eastAsiaTheme="minorEastAsia"/>
                <w:kern w:val="0"/>
                <w:szCs w:val="21"/>
              </w:rPr>
              <w:t>0.1mg/</w:t>
            </w:r>
            <w:r>
              <w:rPr>
                <w:rFonts w:hint="eastAsia" w:cs="宋体" w:asciiTheme="minorEastAsia" w:hAnsiTheme="minorEastAsia" w:eastAsiaTheme="minorEastAsia"/>
                <w:kern w:val="0"/>
                <w:szCs w:val="21"/>
              </w:rPr>
              <w:t>，苯≤</w:t>
            </w:r>
            <w:r>
              <w:rPr>
                <w:rFonts w:cs="宋体" w:asciiTheme="minorEastAsia" w:hAnsiTheme="minorEastAsia" w:eastAsiaTheme="minorEastAsia"/>
                <w:kern w:val="0"/>
                <w:szCs w:val="21"/>
              </w:rPr>
              <w:t>0.05mg/m</w:t>
            </w:r>
            <w:r>
              <w:rPr>
                <w:rFonts w:hint="eastAsia" w:cs="宋体" w:asciiTheme="minorEastAsia" w:hAnsiTheme="minorEastAsia" w:eastAsiaTheme="minorEastAsia"/>
                <w:kern w:val="0"/>
                <w:szCs w:val="21"/>
              </w:rPr>
              <w:t>³，总挥发性有机化合物≤</w:t>
            </w:r>
            <w:r>
              <w:rPr>
                <w:rFonts w:cs="宋体" w:asciiTheme="minorEastAsia" w:hAnsiTheme="minorEastAsia" w:eastAsiaTheme="minorEastAsia"/>
                <w:kern w:val="0"/>
                <w:szCs w:val="21"/>
              </w:rPr>
              <w:t>0.3mg/m</w:t>
            </w:r>
            <w:r>
              <w:rPr>
                <w:rFonts w:hint="eastAsia" w:cs="宋体" w:asciiTheme="minorEastAsia" w:hAnsiTheme="minorEastAsia" w:eastAsiaTheme="minorEastAsia"/>
                <w:kern w:val="0"/>
                <w:szCs w:val="21"/>
              </w:rPr>
              <w:t>³。（投标人提供有效的合格的办公桌抽样检测合格报告）。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31</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kern w:val="0"/>
                <w:szCs w:val="21"/>
              </w:rPr>
              <w:t>活动柜</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L400*W450*H600mm</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基材：采用</w:t>
            </w:r>
            <w:r>
              <w:rPr>
                <w:rFonts w:cs="宋体" w:asciiTheme="minorEastAsia" w:hAnsiTheme="minorEastAsia" w:eastAsiaTheme="minorEastAsia"/>
                <w:kern w:val="0"/>
                <w:szCs w:val="21"/>
              </w:rPr>
              <w:t>E1</w:t>
            </w:r>
            <w:r>
              <w:rPr>
                <w:rFonts w:hint="eastAsia" w:cs="宋体" w:asciiTheme="minorEastAsia" w:hAnsiTheme="minorEastAsia" w:eastAsiaTheme="minorEastAsia"/>
                <w:kern w:val="0"/>
                <w:szCs w:val="21"/>
              </w:rPr>
              <w:t>级中密度纤维板，桌面板材厚度≥</w:t>
            </w:r>
            <w:r>
              <w:rPr>
                <w:rFonts w:cs="宋体" w:asciiTheme="minorEastAsia" w:hAnsiTheme="minorEastAsia" w:eastAsiaTheme="minorEastAsia"/>
                <w:kern w:val="0"/>
                <w:szCs w:val="21"/>
              </w:rPr>
              <w:t>25mm</w:t>
            </w:r>
            <w:r>
              <w:rPr>
                <w:rFonts w:hint="eastAsia" w:cs="宋体" w:asciiTheme="minorEastAsia" w:hAnsiTheme="minorEastAsia" w:eastAsiaTheme="minorEastAsia"/>
                <w:kern w:val="0"/>
                <w:szCs w:val="21"/>
              </w:rPr>
              <w:t>，密度≥</w:t>
            </w:r>
            <w:r>
              <w:rPr>
                <w:rFonts w:cs="宋体" w:asciiTheme="minorEastAsia" w:hAnsiTheme="minorEastAsia" w:eastAsiaTheme="minorEastAsia"/>
                <w:kern w:val="0"/>
                <w:szCs w:val="21"/>
              </w:rPr>
              <w:t>720</w:t>
            </w:r>
            <w:r>
              <w:rPr>
                <w:rFonts w:hint="eastAsia" w:cs="宋体" w:asciiTheme="minorEastAsia" w:hAnsiTheme="minorEastAsia" w:eastAsiaTheme="minorEastAsia"/>
                <w:kern w:val="0"/>
                <w:szCs w:val="21"/>
              </w:rPr>
              <w:t>千克</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立方米，游离甲醛释放量小于</w:t>
            </w:r>
            <w:r>
              <w:rPr>
                <w:rFonts w:cs="宋体" w:asciiTheme="minorEastAsia" w:hAnsiTheme="minorEastAsia" w:eastAsiaTheme="minorEastAsia"/>
                <w:kern w:val="0"/>
                <w:szCs w:val="21"/>
              </w:rPr>
              <w:t>1.5mg/L</w:t>
            </w:r>
            <w:r>
              <w:rPr>
                <w:rFonts w:hint="eastAsia" w:cs="宋体" w:asciiTheme="minorEastAsia" w:hAnsiTheme="minorEastAsia" w:eastAsiaTheme="minorEastAsia"/>
                <w:kern w:val="0"/>
                <w:szCs w:val="21"/>
              </w:rPr>
              <w:t>，经防潮、防虫、防腐等处理，含水率不大于</w:t>
            </w:r>
            <w:r>
              <w:rPr>
                <w:rFonts w:cs="宋体" w:asciiTheme="minorEastAsia" w:hAnsiTheme="minorEastAsia" w:eastAsiaTheme="minorEastAsia"/>
                <w:kern w:val="0"/>
                <w:szCs w:val="21"/>
              </w:rPr>
              <w:t>9%</w:t>
            </w:r>
            <w:r>
              <w:rPr>
                <w:rFonts w:hint="eastAsia" w:cs="宋体" w:asciiTheme="minorEastAsia" w:hAnsiTheme="minorEastAsia" w:eastAsiaTheme="minorEastAsia"/>
                <w:kern w:val="0"/>
                <w:szCs w:val="21"/>
              </w:rPr>
              <w:t>；</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面材：采用三聚氰胺板饰面，静曲强度≥</w:t>
            </w:r>
            <w:r>
              <w:rPr>
                <w:rFonts w:cs="宋体" w:asciiTheme="minorEastAsia" w:hAnsiTheme="minorEastAsia" w:eastAsiaTheme="minorEastAsia"/>
                <w:kern w:val="0"/>
                <w:szCs w:val="21"/>
              </w:rPr>
              <w:t>24MPa;</w:t>
            </w:r>
            <w:r>
              <w:rPr>
                <w:rFonts w:hint="eastAsia" w:cs="宋体" w:asciiTheme="minorEastAsia" w:hAnsiTheme="minorEastAsia" w:eastAsiaTheme="minorEastAsia"/>
                <w:kern w:val="0"/>
                <w:szCs w:val="21"/>
              </w:rPr>
              <w:t>经防潮、防虫、防腐等处理；ＰＶＣ封边；</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、、五金配件：选用五金件。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32</w:t>
            </w:r>
          </w:p>
        </w:tc>
        <w:tc>
          <w:tcPr>
            <w:tcW w:w="1559" w:type="dxa"/>
            <w:shd w:val="solid" w:color="FFFFFF"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办公椅</w:t>
            </w:r>
          </w:p>
        </w:tc>
        <w:tc>
          <w:tcPr>
            <w:tcW w:w="2499" w:type="dxa"/>
            <w:shd w:val="solid" w:color="FFFFFF" w:fill="auto"/>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常规</w:t>
            </w:r>
          </w:p>
        </w:tc>
        <w:tc>
          <w:tcPr>
            <w:tcW w:w="9186" w:type="dxa"/>
            <w:shd w:val="solid" w:color="FFFFFF" w:fill="auto"/>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3D</w:t>
            </w:r>
            <w:r>
              <w:rPr>
                <w:rFonts w:hint="eastAsia" w:cs="宋体" w:asciiTheme="minorEastAsia" w:hAnsiTheme="minorEastAsia" w:eastAsiaTheme="minorEastAsia"/>
                <w:kern w:val="0"/>
                <w:szCs w:val="21"/>
              </w:rPr>
              <w:t>立体特级钢网靠背，高回弹性不变形，通风透气，采用无甲醛网布，不含可分解致癌芳香胺燃料；</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 xml:space="preserve">3M </w:t>
            </w:r>
            <w:r>
              <w:rPr>
                <w:rFonts w:hint="eastAsia" w:cs="宋体" w:asciiTheme="minorEastAsia" w:hAnsiTheme="minorEastAsia" w:eastAsiaTheme="minorEastAsia"/>
                <w:kern w:val="0"/>
                <w:szCs w:val="21"/>
              </w:rPr>
              <w:t>防水布座面（防水防尘阻燃）；</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、尼龙加纤背框；</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40mm</w:t>
            </w:r>
            <w:r>
              <w:rPr>
                <w:rFonts w:hint="eastAsia" w:cs="宋体" w:asciiTheme="minorEastAsia" w:hAnsiTheme="minorEastAsia" w:eastAsiaTheme="minorEastAsia"/>
                <w:kern w:val="0"/>
                <w:szCs w:val="21"/>
              </w:rPr>
              <w:t>厚度，高弹性、高密度环保成型海棉，密度≥</w:t>
            </w:r>
            <w:r>
              <w:rPr>
                <w:rFonts w:cs="宋体" w:asciiTheme="minorEastAsia" w:hAnsiTheme="minorEastAsia" w:eastAsiaTheme="minorEastAsia"/>
                <w:kern w:val="0"/>
                <w:szCs w:val="21"/>
              </w:rPr>
              <w:t>50kg/m</w:t>
            </w:r>
            <w:r>
              <w:rPr>
                <w:rFonts w:hint="eastAsia" w:cs="宋体" w:asciiTheme="minorEastAsia" w:hAnsiTheme="minorEastAsia" w:eastAsiaTheme="minorEastAsia"/>
                <w:kern w:val="0"/>
                <w:szCs w:val="21"/>
              </w:rPr>
              <w:t>³，伸长率≥</w:t>
            </w:r>
            <w:r>
              <w:rPr>
                <w:rFonts w:cs="宋体" w:asciiTheme="minorEastAsia" w:hAnsiTheme="minorEastAsia" w:eastAsiaTheme="minorEastAsia"/>
                <w:kern w:val="0"/>
                <w:szCs w:val="21"/>
              </w:rPr>
              <w:t>110%</w:t>
            </w:r>
            <w:r>
              <w:rPr>
                <w:rFonts w:hint="eastAsia" w:cs="宋体" w:asciiTheme="minorEastAsia" w:hAnsiTheme="minorEastAsia" w:eastAsiaTheme="minorEastAsia"/>
                <w:kern w:val="0"/>
                <w:szCs w:val="21"/>
              </w:rPr>
              <w:t>，拉伸强度≥</w:t>
            </w:r>
            <w:r>
              <w:rPr>
                <w:rFonts w:cs="宋体" w:asciiTheme="minorEastAsia" w:hAnsiTheme="minorEastAsia" w:eastAsiaTheme="minorEastAsia"/>
                <w:kern w:val="0"/>
                <w:szCs w:val="21"/>
              </w:rPr>
              <w:t>110KPa</w:t>
            </w:r>
            <w:r>
              <w:rPr>
                <w:rFonts w:hint="eastAsia" w:cs="宋体" w:asciiTheme="minorEastAsia" w:hAnsiTheme="minorEastAsia" w:eastAsiaTheme="minorEastAsia"/>
                <w:kern w:val="0"/>
                <w:szCs w:val="21"/>
              </w:rPr>
              <w:t>，回弹率≥</w:t>
            </w:r>
            <w:r>
              <w:rPr>
                <w:rFonts w:cs="宋体" w:asciiTheme="minorEastAsia" w:hAnsiTheme="minorEastAsia" w:eastAsiaTheme="minorEastAsia"/>
                <w:kern w:val="0"/>
                <w:szCs w:val="21"/>
              </w:rPr>
              <w:t>38%</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5</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PP</w:t>
            </w:r>
            <w:r>
              <w:rPr>
                <w:rFonts w:hint="eastAsia" w:cs="宋体" w:asciiTheme="minorEastAsia" w:hAnsiTheme="minorEastAsia" w:eastAsiaTheme="minorEastAsia"/>
                <w:kern w:val="0"/>
                <w:szCs w:val="21"/>
              </w:rPr>
              <w:t>扶手连接弓形架呈</w:t>
            </w:r>
            <w:r>
              <w:rPr>
                <w:rFonts w:cs="宋体" w:asciiTheme="minorEastAsia" w:hAnsiTheme="minorEastAsia" w:eastAsiaTheme="minorEastAsia"/>
                <w:kern w:val="0"/>
                <w:szCs w:val="21"/>
              </w:rPr>
              <w:t>M</w:t>
            </w:r>
            <w:r>
              <w:rPr>
                <w:rFonts w:hint="eastAsia" w:cs="宋体" w:asciiTheme="minorEastAsia" w:hAnsiTheme="minorEastAsia" w:eastAsiaTheme="minorEastAsia"/>
                <w:kern w:val="0"/>
                <w:szCs w:val="21"/>
              </w:rPr>
              <w:t>型造型，线条流畅，一次成型；★</w:t>
            </w:r>
            <w:r>
              <w:rPr>
                <w:rFonts w:cs="宋体" w:asciiTheme="minorEastAsia" w:hAnsiTheme="minorEastAsia" w:eastAsiaTheme="minorEastAsia"/>
                <w:kern w:val="0"/>
                <w:szCs w:val="21"/>
              </w:rPr>
              <w:t>6</w:t>
            </w:r>
            <w:r>
              <w:rPr>
                <w:rFonts w:hint="eastAsia" w:cs="宋体" w:asciiTheme="minorEastAsia" w:hAnsiTheme="minorEastAsia" w:eastAsiaTheme="minorEastAsia"/>
                <w:kern w:val="0"/>
                <w:szCs w:val="21"/>
              </w:rPr>
              <w:t>、架子为钢管电镀处理，厚度≥</w:t>
            </w:r>
            <w:r>
              <w:rPr>
                <w:rFonts w:cs="宋体" w:asciiTheme="minorEastAsia" w:hAnsiTheme="minorEastAsia" w:eastAsiaTheme="minorEastAsia"/>
                <w:kern w:val="0"/>
                <w:szCs w:val="21"/>
              </w:rPr>
              <w:t>2.0mm</w:t>
            </w:r>
            <w:r>
              <w:rPr>
                <w:rFonts w:hint="eastAsia" w:cs="宋体" w:asciiTheme="minorEastAsia" w:hAnsiTheme="minorEastAsia" w:eastAsiaTheme="minorEastAsia"/>
                <w:kern w:val="0"/>
                <w:szCs w:val="21"/>
              </w:rPr>
              <w:t>（提供钢管检验报告）</w:t>
            </w:r>
            <w:r>
              <w:rPr>
                <w:rFonts w:cs="宋体" w:asciiTheme="minorEastAsia" w:hAnsiTheme="minorEastAsia" w:eastAsiaTheme="minorEastAsia"/>
                <w:kern w:val="0"/>
                <w:szCs w:val="21"/>
              </w:rPr>
              <w:t>7</w:t>
            </w:r>
            <w:r>
              <w:rPr>
                <w:rFonts w:hint="eastAsia" w:cs="宋体" w:asciiTheme="minorEastAsia" w:hAnsiTheme="minorEastAsia" w:eastAsiaTheme="minorEastAsia"/>
                <w:kern w:val="0"/>
                <w:szCs w:val="21"/>
              </w:rPr>
              <w:t>、靠背呈菱形状，宽大舒适，上中下尺寸分别</w:t>
            </w:r>
            <w:r>
              <w:rPr>
                <w:rFonts w:cs="宋体" w:asciiTheme="minorEastAsia" w:hAnsiTheme="minorEastAsia" w:eastAsiaTheme="minorEastAsia"/>
                <w:kern w:val="0"/>
                <w:szCs w:val="21"/>
              </w:rPr>
              <w:t>400MM,450MM,500MM</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8</w:t>
            </w:r>
            <w:r>
              <w:rPr>
                <w:rFonts w:hint="eastAsia" w:cs="宋体" w:asciiTheme="minorEastAsia" w:hAnsiTheme="minorEastAsia" w:eastAsiaTheme="minorEastAsia"/>
                <w:kern w:val="0"/>
                <w:szCs w:val="21"/>
              </w:rPr>
              <w:t>、背宽</w:t>
            </w:r>
            <w:r>
              <w:rPr>
                <w:rFonts w:cs="宋体" w:asciiTheme="minorEastAsia" w:hAnsiTheme="minorEastAsia" w:eastAsiaTheme="minorEastAsia"/>
                <w:kern w:val="0"/>
                <w:szCs w:val="21"/>
              </w:rPr>
              <w:t>400-500MM</w:t>
            </w:r>
            <w:r>
              <w:rPr>
                <w:rFonts w:hint="eastAsia" w:cs="宋体" w:asciiTheme="minorEastAsia" w:hAnsiTheme="minorEastAsia" w:eastAsiaTheme="minorEastAsia"/>
                <w:kern w:val="0"/>
                <w:szCs w:val="21"/>
              </w:rPr>
              <w:t>，背高≥</w:t>
            </w:r>
            <w:r>
              <w:rPr>
                <w:rFonts w:cs="宋体" w:asciiTheme="minorEastAsia" w:hAnsiTheme="minorEastAsia" w:eastAsiaTheme="minorEastAsia"/>
                <w:kern w:val="0"/>
                <w:szCs w:val="21"/>
              </w:rPr>
              <w:t>580MM</w:t>
            </w:r>
            <w:r>
              <w:rPr>
                <w:rFonts w:hint="eastAsia" w:cs="宋体" w:asciiTheme="minorEastAsia" w:hAnsiTheme="minorEastAsia" w:eastAsiaTheme="minorEastAsia"/>
                <w:kern w:val="0"/>
                <w:szCs w:val="21"/>
              </w:rPr>
              <w:t>，扶手外宽度≥</w:t>
            </w:r>
            <w:r>
              <w:rPr>
                <w:rFonts w:cs="宋体" w:asciiTheme="minorEastAsia" w:hAnsiTheme="minorEastAsia" w:eastAsiaTheme="minorEastAsia"/>
                <w:kern w:val="0"/>
                <w:szCs w:val="21"/>
              </w:rPr>
              <w:t>580MM</w:t>
            </w:r>
            <w:r>
              <w:rPr>
                <w:rFonts w:hint="eastAsia" w:cs="宋体" w:asciiTheme="minorEastAsia" w:hAnsiTheme="minorEastAsia" w:eastAsiaTheme="minorEastAsia"/>
                <w:kern w:val="0"/>
                <w:szCs w:val="21"/>
              </w:rPr>
              <w:t>，管壁厚度≥</w:t>
            </w:r>
            <w:r>
              <w:rPr>
                <w:rFonts w:cs="宋体" w:asciiTheme="minorEastAsia" w:hAnsiTheme="minorEastAsia" w:eastAsiaTheme="minorEastAsia"/>
                <w:kern w:val="0"/>
                <w:szCs w:val="21"/>
              </w:rPr>
              <w:t>2.5MM</w:t>
            </w:r>
            <w:r>
              <w:rPr>
                <w:rFonts w:hint="eastAsia" w:cs="宋体" w:asciiTheme="minorEastAsia" w:hAnsiTheme="minorEastAsia" w:eastAsiaTheme="minorEastAsia"/>
                <w:kern w:val="0"/>
                <w:szCs w:val="21"/>
              </w:rPr>
              <w:t>，架子前后占地长度≥</w:t>
            </w:r>
            <w:r>
              <w:rPr>
                <w:rFonts w:cs="宋体" w:asciiTheme="minorEastAsia" w:hAnsiTheme="minorEastAsia" w:eastAsiaTheme="minorEastAsia"/>
                <w:kern w:val="0"/>
                <w:szCs w:val="21"/>
              </w:rPr>
              <w:t>580MM,</w:t>
            </w:r>
            <w:r>
              <w:rPr>
                <w:rFonts w:hint="eastAsia" w:cs="宋体" w:asciiTheme="minorEastAsia" w:hAnsiTheme="minorEastAsia" w:eastAsiaTheme="minorEastAsia"/>
                <w:kern w:val="0"/>
                <w:szCs w:val="21"/>
              </w:rPr>
              <w:t>架子正面宽度≥</w:t>
            </w:r>
            <w:r>
              <w:rPr>
                <w:rFonts w:cs="宋体" w:asciiTheme="minorEastAsia" w:hAnsiTheme="minorEastAsia" w:eastAsiaTheme="minorEastAsia"/>
                <w:kern w:val="0"/>
                <w:szCs w:val="21"/>
              </w:rPr>
              <w:t>570MM,</w:t>
            </w:r>
            <w:r>
              <w:rPr>
                <w:rFonts w:hint="eastAsia" w:cs="宋体" w:asciiTheme="minorEastAsia" w:hAnsiTheme="minorEastAsia" w:eastAsiaTheme="minorEastAsia"/>
                <w:kern w:val="0"/>
                <w:szCs w:val="21"/>
              </w:rPr>
              <w:t>坐垫≥长</w:t>
            </w:r>
            <w:r>
              <w:rPr>
                <w:rFonts w:cs="宋体" w:asciiTheme="minorEastAsia" w:hAnsiTheme="minorEastAsia" w:eastAsiaTheme="minorEastAsia"/>
                <w:kern w:val="0"/>
                <w:szCs w:val="21"/>
              </w:rPr>
              <w:t>500MM</w:t>
            </w:r>
            <w:r>
              <w:rPr>
                <w:rFonts w:hint="eastAsia" w:cs="宋体" w:asciiTheme="minorEastAsia" w:hAnsiTheme="minorEastAsia" w:eastAsiaTheme="minorEastAsia"/>
                <w:kern w:val="0"/>
                <w:szCs w:val="21"/>
              </w:rPr>
              <w:t>、宽</w:t>
            </w:r>
            <w:r>
              <w:rPr>
                <w:rFonts w:cs="宋体" w:asciiTheme="minorEastAsia" w:hAnsiTheme="minorEastAsia" w:eastAsiaTheme="minorEastAsia"/>
                <w:kern w:val="0"/>
                <w:szCs w:val="21"/>
              </w:rPr>
              <w:t>500MM</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9</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GB/T35607-2017</w:t>
            </w:r>
            <w:r>
              <w:rPr>
                <w:rFonts w:hint="eastAsia" w:cs="宋体" w:asciiTheme="minorEastAsia" w:hAnsiTheme="minorEastAsia" w:eastAsiaTheme="minorEastAsia"/>
                <w:kern w:val="0"/>
                <w:szCs w:val="21"/>
              </w:rPr>
              <w:t>《绿色产品评价家具》，木家具甲醛释放量≤</w:t>
            </w:r>
            <w:r>
              <w:rPr>
                <w:rFonts w:cs="宋体" w:asciiTheme="minorEastAsia" w:hAnsiTheme="minorEastAsia" w:eastAsiaTheme="minorEastAsia"/>
                <w:kern w:val="0"/>
                <w:szCs w:val="21"/>
              </w:rPr>
              <w:t>0.1mg/</w:t>
            </w:r>
            <w:r>
              <w:rPr>
                <w:rFonts w:hint="eastAsia" w:cs="宋体" w:asciiTheme="minorEastAsia" w:hAnsiTheme="minorEastAsia" w:eastAsiaTheme="minorEastAsia"/>
                <w:kern w:val="0"/>
                <w:szCs w:val="21"/>
              </w:rPr>
              <w:t>，苯≤</w:t>
            </w:r>
            <w:r>
              <w:rPr>
                <w:rFonts w:cs="宋体" w:asciiTheme="minorEastAsia" w:hAnsiTheme="minorEastAsia" w:eastAsiaTheme="minorEastAsia"/>
                <w:kern w:val="0"/>
                <w:szCs w:val="21"/>
              </w:rPr>
              <w:t>0.05mg/m</w:t>
            </w:r>
            <w:r>
              <w:rPr>
                <w:rFonts w:hint="eastAsia" w:cs="宋体" w:asciiTheme="minorEastAsia" w:hAnsiTheme="minorEastAsia" w:eastAsiaTheme="minorEastAsia"/>
                <w:kern w:val="0"/>
                <w:szCs w:val="21"/>
              </w:rPr>
              <w:t>³，总挥发性有机化合物≤</w:t>
            </w:r>
            <w:r>
              <w:rPr>
                <w:rFonts w:cs="宋体" w:asciiTheme="minorEastAsia" w:hAnsiTheme="minorEastAsia" w:eastAsiaTheme="minorEastAsia"/>
                <w:kern w:val="0"/>
                <w:szCs w:val="21"/>
              </w:rPr>
              <w:t>0.3mg/m</w:t>
            </w:r>
            <w:r>
              <w:rPr>
                <w:rFonts w:hint="eastAsia" w:cs="宋体" w:asciiTheme="minorEastAsia" w:hAnsiTheme="minorEastAsia" w:eastAsiaTheme="minorEastAsia"/>
                <w:kern w:val="0"/>
                <w:szCs w:val="21"/>
              </w:rPr>
              <w:t>³（投标人提供有效的合格的办公椅抽样检测合格报告）。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33</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文件柜</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L850*W390*H1800</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采用冷轧钢板经剪切，冲压，折弯，焊接，装配而成。板材厚度</w:t>
            </w:r>
            <w:r>
              <w:rPr>
                <w:rFonts w:cs="宋体" w:asciiTheme="minorEastAsia" w:hAnsiTheme="minorEastAsia" w:eastAsiaTheme="minorEastAsia"/>
                <w:kern w:val="0"/>
                <w:szCs w:val="21"/>
              </w:rPr>
              <w:t>0.7mm.2.</w:t>
            </w:r>
            <w:r>
              <w:rPr>
                <w:rFonts w:hint="eastAsia" w:cs="宋体" w:asciiTheme="minorEastAsia" w:hAnsiTheme="minorEastAsia" w:eastAsiaTheme="minorEastAsia"/>
                <w:kern w:val="0"/>
                <w:szCs w:val="21"/>
              </w:rPr>
              <w:t>焊接部分采用高标准熔接焊，表面平整光滑</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柜面：柜面采用绿色环保型粉末静电喷塑，对人体及周围环境不产生危害，无毒、无副作用，使用时无异味。</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锁具：锁具精美，安全系数高。　　　　　　　　　　　　　　　　　　　　　　　　　　　　　　　　　　　　　　　　　★</w:t>
            </w:r>
            <w:r>
              <w:rPr>
                <w:rFonts w:cs="宋体" w:asciiTheme="minorEastAsia" w:hAnsiTheme="minorEastAsia" w:eastAsiaTheme="minorEastAsia"/>
                <w:kern w:val="0"/>
                <w:szCs w:val="21"/>
              </w:rPr>
              <w:t>5.</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GB/T3325-2017</w:t>
            </w:r>
            <w:r>
              <w:rPr>
                <w:rFonts w:hint="eastAsia" w:cs="宋体" w:asciiTheme="minorEastAsia" w:hAnsiTheme="minorEastAsia" w:eastAsiaTheme="minorEastAsia"/>
                <w:kern w:val="0"/>
                <w:szCs w:val="21"/>
              </w:rPr>
              <w:t>《金属家具通用技术条件》和《绿色产品评价　家具》标准。（投标人提供有效的合格的钢制柜抽样检测合格报告）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34</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会议桌</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L4200*W1800*H760</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基材：采用</w:t>
            </w:r>
            <w:r>
              <w:rPr>
                <w:rFonts w:cs="宋体" w:asciiTheme="minorEastAsia" w:hAnsiTheme="minorEastAsia" w:eastAsiaTheme="minorEastAsia"/>
                <w:kern w:val="0"/>
                <w:szCs w:val="21"/>
              </w:rPr>
              <w:t>E1</w:t>
            </w:r>
            <w:r>
              <w:rPr>
                <w:rFonts w:hint="eastAsia" w:cs="宋体" w:asciiTheme="minorEastAsia" w:hAnsiTheme="minorEastAsia" w:eastAsiaTheme="minorEastAsia"/>
                <w:kern w:val="0"/>
                <w:szCs w:val="21"/>
              </w:rPr>
              <w:t>级中密度纤维板，板材厚度≥</w:t>
            </w:r>
            <w:r>
              <w:rPr>
                <w:rFonts w:cs="宋体" w:asciiTheme="minorEastAsia" w:hAnsiTheme="minorEastAsia" w:eastAsiaTheme="minorEastAsia"/>
                <w:kern w:val="0"/>
                <w:szCs w:val="21"/>
              </w:rPr>
              <w:t>25mm</w:t>
            </w:r>
            <w:r>
              <w:rPr>
                <w:rFonts w:hint="eastAsia" w:cs="宋体" w:asciiTheme="minorEastAsia" w:hAnsiTheme="minorEastAsia" w:eastAsiaTheme="minorEastAsia"/>
                <w:kern w:val="0"/>
                <w:szCs w:val="21"/>
              </w:rPr>
              <w:t>，密度≥</w:t>
            </w:r>
            <w:r>
              <w:rPr>
                <w:rFonts w:cs="宋体" w:asciiTheme="minorEastAsia" w:hAnsiTheme="minorEastAsia" w:eastAsiaTheme="minorEastAsia"/>
                <w:kern w:val="0"/>
                <w:szCs w:val="21"/>
              </w:rPr>
              <w:t>720</w:t>
            </w:r>
            <w:r>
              <w:rPr>
                <w:rFonts w:hint="eastAsia" w:cs="宋体" w:asciiTheme="minorEastAsia" w:hAnsiTheme="minorEastAsia" w:eastAsiaTheme="minorEastAsia"/>
                <w:kern w:val="0"/>
                <w:szCs w:val="21"/>
              </w:rPr>
              <w:t>千克</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立方米，游离甲醛释放量小于</w:t>
            </w:r>
            <w:r>
              <w:rPr>
                <w:rFonts w:cs="宋体" w:asciiTheme="minorEastAsia" w:hAnsiTheme="minorEastAsia" w:eastAsiaTheme="minorEastAsia"/>
                <w:kern w:val="0"/>
                <w:szCs w:val="21"/>
              </w:rPr>
              <w:t>1.5mg/L</w:t>
            </w:r>
            <w:r>
              <w:rPr>
                <w:rFonts w:hint="eastAsia" w:cs="宋体" w:asciiTheme="minorEastAsia" w:hAnsiTheme="minorEastAsia" w:eastAsiaTheme="minorEastAsia"/>
                <w:kern w:val="0"/>
                <w:szCs w:val="21"/>
              </w:rPr>
              <w:t>，经防潮、防虫、防腐等处理，含水率不大于</w:t>
            </w:r>
            <w:r>
              <w:rPr>
                <w:rFonts w:cs="宋体" w:asciiTheme="minorEastAsia" w:hAnsiTheme="minorEastAsia" w:eastAsiaTheme="minorEastAsia"/>
                <w:kern w:val="0"/>
                <w:szCs w:val="21"/>
              </w:rPr>
              <w:t>9%</w:t>
            </w:r>
            <w:r>
              <w:rPr>
                <w:rFonts w:hint="eastAsia" w:cs="宋体" w:asciiTheme="minorEastAsia" w:hAnsiTheme="minorEastAsia" w:eastAsiaTheme="minorEastAsia"/>
                <w:kern w:val="0"/>
                <w:szCs w:val="21"/>
              </w:rPr>
              <w:t>；（台面四角倒</w:t>
            </w:r>
            <w:r>
              <w:rPr>
                <w:rFonts w:cs="宋体" w:asciiTheme="minorEastAsia" w:hAnsiTheme="minorEastAsia" w:eastAsiaTheme="minorEastAsia"/>
                <w:kern w:val="0"/>
                <w:szCs w:val="21"/>
              </w:rPr>
              <w:t>R</w:t>
            </w:r>
            <w:r>
              <w:rPr>
                <w:rFonts w:hint="eastAsia" w:cs="宋体" w:asciiTheme="minorEastAsia" w:hAnsiTheme="minorEastAsia" w:eastAsiaTheme="minorEastAsia"/>
                <w:kern w:val="0"/>
                <w:szCs w:val="21"/>
              </w:rPr>
              <w:t>安全角）</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面材：采用三聚氰胺板饰面，静曲强度≥</w:t>
            </w:r>
            <w:r>
              <w:rPr>
                <w:rFonts w:cs="宋体" w:asciiTheme="minorEastAsia" w:hAnsiTheme="minorEastAsia" w:eastAsiaTheme="minorEastAsia"/>
                <w:kern w:val="0"/>
                <w:szCs w:val="21"/>
              </w:rPr>
              <w:t>24MPa;</w:t>
            </w:r>
            <w:r>
              <w:rPr>
                <w:rFonts w:hint="eastAsia" w:cs="宋体" w:asciiTheme="minorEastAsia" w:hAnsiTheme="minorEastAsia" w:eastAsiaTheme="minorEastAsia"/>
                <w:kern w:val="0"/>
                <w:szCs w:val="21"/>
              </w:rPr>
              <w:t>经防潮、防虫、防腐等处理；ＰＶＣ封边；</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、钢架：：采用管壁厚≥</w:t>
            </w:r>
            <w:r>
              <w:rPr>
                <w:rFonts w:cs="宋体" w:asciiTheme="minorEastAsia" w:hAnsiTheme="minorEastAsia" w:eastAsiaTheme="minorEastAsia"/>
                <w:kern w:val="0"/>
                <w:szCs w:val="21"/>
              </w:rPr>
              <w:t>1.2mm</w:t>
            </w:r>
            <w:r>
              <w:rPr>
                <w:rFonts w:hint="eastAsia" w:cs="宋体" w:asciiTheme="minorEastAsia" w:hAnsiTheme="minorEastAsia" w:eastAsiaTheme="minorEastAsia"/>
                <w:kern w:val="0"/>
                <w:szCs w:val="21"/>
              </w:rPr>
              <w:t>，经绿色环保型粉末静电喷塑，对人体及周围环境不产生危害，无毒、无副作用，使用时无异味坚固耐用，性能优良。</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、五金配件：选用不锈钢材质等不生锈且耐用的配件。（具体尺寸可根据现场情况适当调整）。</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5</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GB/T3324-2017</w:t>
            </w:r>
            <w:r>
              <w:rPr>
                <w:rFonts w:hint="eastAsia" w:cs="宋体" w:asciiTheme="minorEastAsia" w:hAnsiTheme="minorEastAsia" w:eastAsiaTheme="minorEastAsia"/>
                <w:kern w:val="0"/>
                <w:szCs w:val="21"/>
              </w:rPr>
              <w:t>《木家具通用技术条件》、《绿色产品评价家具》标准，木家具甲醛释放量≤</w:t>
            </w:r>
            <w:r>
              <w:rPr>
                <w:rFonts w:cs="宋体" w:asciiTheme="minorEastAsia" w:hAnsiTheme="minorEastAsia" w:eastAsiaTheme="minorEastAsia"/>
                <w:kern w:val="0"/>
                <w:szCs w:val="21"/>
              </w:rPr>
              <w:t>0.1mg/</w:t>
            </w:r>
            <w:r>
              <w:rPr>
                <w:rFonts w:hint="eastAsia" w:cs="宋体" w:asciiTheme="minorEastAsia" w:hAnsiTheme="minorEastAsia" w:eastAsiaTheme="minorEastAsia"/>
                <w:kern w:val="0"/>
                <w:szCs w:val="21"/>
              </w:rPr>
              <w:t>，苯≤</w:t>
            </w:r>
            <w:r>
              <w:rPr>
                <w:rFonts w:cs="宋体" w:asciiTheme="minorEastAsia" w:hAnsiTheme="minorEastAsia" w:eastAsiaTheme="minorEastAsia"/>
                <w:kern w:val="0"/>
                <w:szCs w:val="21"/>
              </w:rPr>
              <w:t>0.05mg/m</w:t>
            </w:r>
            <w:r>
              <w:rPr>
                <w:rFonts w:hint="eastAsia" w:cs="宋体" w:asciiTheme="minorEastAsia" w:hAnsiTheme="minorEastAsia" w:eastAsiaTheme="minorEastAsia"/>
                <w:kern w:val="0"/>
                <w:szCs w:val="21"/>
              </w:rPr>
              <w:t>³，总挥发性有机化合物≤</w:t>
            </w:r>
            <w:r>
              <w:rPr>
                <w:rFonts w:cs="宋体" w:asciiTheme="minorEastAsia" w:hAnsiTheme="minorEastAsia" w:eastAsiaTheme="minorEastAsia"/>
                <w:kern w:val="0"/>
                <w:szCs w:val="21"/>
              </w:rPr>
              <w:t>0.3mg/m</w:t>
            </w:r>
            <w:r>
              <w:rPr>
                <w:rFonts w:hint="eastAsia" w:cs="宋体" w:asciiTheme="minorEastAsia" w:hAnsiTheme="minorEastAsia" w:eastAsiaTheme="minorEastAsia"/>
                <w:kern w:val="0"/>
                <w:szCs w:val="21"/>
              </w:rPr>
              <w:t>³。（投标人提供有效的合格的会议桌抽样检测合格报告）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35</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音体教室折叠椅</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 xml:space="preserve">450*470*760 </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 xml:space="preserve">mm) </w:t>
            </w:r>
            <w:r>
              <w:rPr>
                <w:rFonts w:hint="eastAsia" w:cs="宋体" w:asciiTheme="minorEastAsia" w:hAnsiTheme="minorEastAsia" w:eastAsiaTheme="minorEastAsia"/>
                <w:kern w:val="0"/>
                <w:szCs w:val="21"/>
              </w:rPr>
              <w:t>（长</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宽</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高）±</w:t>
            </w:r>
            <w:r>
              <w:rPr>
                <w:rFonts w:cs="宋体" w:asciiTheme="minorEastAsia" w:hAnsiTheme="minorEastAsia" w:eastAsiaTheme="minorEastAsia"/>
                <w:kern w:val="0"/>
                <w:szCs w:val="21"/>
              </w:rPr>
              <w:t>10mm</w:t>
            </w:r>
            <w:r>
              <w:rPr>
                <w:rFonts w:hint="eastAsia" w:cs="宋体" w:asciiTheme="minorEastAsia" w:hAnsiTheme="minorEastAsia" w:eastAsiaTheme="minorEastAsia"/>
                <w:kern w:val="0"/>
                <w:szCs w:val="21"/>
              </w:rPr>
              <w:t>。</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工程塑料、防污工艺处理，光泽度好，不变形，根据人体工学原理设计，坐感舒适，椅脚钢管的管壁厚度国标</w:t>
            </w:r>
            <w:r>
              <w:rPr>
                <w:rFonts w:cs="宋体" w:asciiTheme="minorEastAsia" w:hAnsiTheme="minorEastAsia" w:eastAsiaTheme="minorEastAsia"/>
                <w:kern w:val="0"/>
                <w:szCs w:val="21"/>
              </w:rPr>
              <w:t>1.5mm,</w:t>
            </w:r>
            <w:r>
              <w:rPr>
                <w:rFonts w:hint="eastAsia" w:cs="宋体" w:asciiTheme="minorEastAsia" w:hAnsiTheme="minorEastAsia" w:eastAsiaTheme="minorEastAsia"/>
                <w:kern w:val="0"/>
                <w:szCs w:val="21"/>
              </w:rPr>
              <w:t>经防锈喷塑处理。</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、带工作写字板。</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GB/T</w:t>
            </w:r>
            <w:r>
              <w:rPr>
                <w:rFonts w:hint="eastAsia" w:cs="宋体" w:asciiTheme="minorEastAsia" w:hAnsiTheme="minorEastAsia" w:eastAsiaTheme="minorEastAsia"/>
                <w:kern w:val="0"/>
                <w:szCs w:val="21"/>
              </w:rPr>
              <w:t>　</w:t>
            </w:r>
            <w:r>
              <w:rPr>
                <w:rFonts w:cs="宋体" w:asciiTheme="minorEastAsia" w:hAnsiTheme="minorEastAsia" w:eastAsiaTheme="minorEastAsia"/>
                <w:kern w:val="0"/>
                <w:szCs w:val="21"/>
              </w:rPr>
              <w:t>3325-2017</w:t>
            </w:r>
            <w:r>
              <w:rPr>
                <w:rFonts w:hint="eastAsia" w:cs="宋体" w:asciiTheme="minorEastAsia" w:hAnsiTheme="minorEastAsia" w:eastAsiaTheme="minorEastAsia"/>
                <w:kern w:val="0"/>
                <w:szCs w:val="21"/>
              </w:rPr>
              <w:t>《金属家具通用技术条件》。（投标人提供折叠椅抽样检测合格报告）。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36</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会议椅</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标准</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椅背：采用无甲醛网布，不含可分解致癌芳香胺燃料，防潮、防污聚丙烯注塑一体成型椅背；</w:t>
            </w:r>
            <w:r>
              <w:rPr>
                <w:rFonts w:cs="宋体" w:asciiTheme="minorEastAsia" w:hAnsiTheme="minorEastAsia" w:eastAsiaTheme="minorEastAsia"/>
                <w:kern w:val="0"/>
                <w:szCs w:val="21"/>
              </w:rPr>
              <w:t xml:space="preserve"> 2.</w:t>
            </w:r>
            <w:r>
              <w:rPr>
                <w:rFonts w:hint="eastAsia" w:cs="宋体" w:asciiTheme="minorEastAsia" w:hAnsiTheme="minorEastAsia" w:eastAsiaTheme="minorEastAsia"/>
                <w:kern w:val="0"/>
                <w:szCs w:val="21"/>
              </w:rPr>
              <w:t>坐垫：高弹性、高密度环保成型海棉</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脚架：金属弓形脚架管壁厚</w:t>
            </w:r>
            <w:r>
              <w:rPr>
                <w:rFonts w:cs="宋体" w:asciiTheme="minorEastAsia" w:hAnsiTheme="minorEastAsia" w:eastAsiaTheme="minorEastAsia"/>
                <w:kern w:val="0"/>
                <w:szCs w:val="21"/>
              </w:rPr>
              <w:t xml:space="preserve">1.2mm </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椅面高度：不低于</w:t>
            </w:r>
            <w:r>
              <w:rPr>
                <w:rFonts w:cs="宋体" w:asciiTheme="minorEastAsia" w:hAnsiTheme="minorEastAsia" w:eastAsiaTheme="minorEastAsia"/>
                <w:kern w:val="0"/>
                <w:szCs w:val="21"/>
              </w:rPr>
              <w:t>450mm</w:t>
            </w:r>
            <w:r>
              <w:rPr>
                <w:rFonts w:hint="eastAsia" w:cs="宋体" w:asciiTheme="minorEastAsia" w:hAnsiTheme="minorEastAsia" w:eastAsiaTheme="minorEastAsia"/>
                <w:kern w:val="0"/>
                <w:szCs w:val="21"/>
              </w:rPr>
              <w:t>。</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5</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GB/T3324-2017</w:t>
            </w:r>
            <w:r>
              <w:rPr>
                <w:rFonts w:hint="eastAsia" w:cs="宋体" w:asciiTheme="minorEastAsia" w:hAnsiTheme="minorEastAsia" w:eastAsiaTheme="minorEastAsia"/>
                <w:kern w:val="0"/>
                <w:szCs w:val="21"/>
              </w:rPr>
              <w:t>《木家具通用技术条件》、《绿色产品评价家具》标准，木家具甲醛释放量≤</w:t>
            </w:r>
            <w:r>
              <w:rPr>
                <w:rFonts w:cs="宋体" w:asciiTheme="minorEastAsia" w:hAnsiTheme="minorEastAsia" w:eastAsiaTheme="minorEastAsia"/>
                <w:kern w:val="0"/>
                <w:szCs w:val="21"/>
              </w:rPr>
              <w:t>0.1mg/</w:t>
            </w:r>
            <w:r>
              <w:rPr>
                <w:rFonts w:hint="eastAsia" w:cs="宋体" w:asciiTheme="minorEastAsia" w:hAnsiTheme="minorEastAsia" w:eastAsiaTheme="minorEastAsia"/>
                <w:kern w:val="0"/>
                <w:szCs w:val="21"/>
              </w:rPr>
              <w:t>，苯≤</w:t>
            </w:r>
            <w:r>
              <w:rPr>
                <w:rFonts w:cs="宋体" w:asciiTheme="minorEastAsia" w:hAnsiTheme="minorEastAsia" w:eastAsiaTheme="minorEastAsia"/>
                <w:kern w:val="0"/>
                <w:szCs w:val="21"/>
              </w:rPr>
              <w:t>0.05mg/m</w:t>
            </w:r>
            <w:r>
              <w:rPr>
                <w:rFonts w:hint="eastAsia" w:cs="宋体" w:asciiTheme="minorEastAsia" w:hAnsiTheme="minorEastAsia" w:eastAsiaTheme="minorEastAsia"/>
                <w:kern w:val="0"/>
                <w:szCs w:val="21"/>
              </w:rPr>
              <w:t>³，总挥发性有机化合物≤</w:t>
            </w:r>
            <w:r>
              <w:rPr>
                <w:rFonts w:cs="宋体" w:asciiTheme="minorEastAsia" w:hAnsiTheme="minorEastAsia" w:eastAsiaTheme="minorEastAsia"/>
                <w:kern w:val="0"/>
                <w:szCs w:val="21"/>
              </w:rPr>
              <w:t>0.3mg/m</w:t>
            </w:r>
            <w:r>
              <w:rPr>
                <w:rFonts w:hint="eastAsia" w:cs="宋体" w:asciiTheme="minorEastAsia" w:hAnsiTheme="minorEastAsia" w:eastAsiaTheme="minorEastAsia"/>
                <w:kern w:val="0"/>
                <w:szCs w:val="21"/>
              </w:rPr>
              <w:t>³。（投标人提供有效的合格的会议椅抽样检测合格报告）。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37</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会议条桌</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1400*500*750</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、采用</w:t>
            </w:r>
            <w:r>
              <w:rPr>
                <w:rFonts w:cs="宋体" w:asciiTheme="minorEastAsia" w:hAnsiTheme="minorEastAsia" w:eastAsiaTheme="minorEastAsia"/>
                <w:kern w:val="0"/>
                <w:szCs w:val="21"/>
              </w:rPr>
              <w:t>E1</w:t>
            </w:r>
            <w:r>
              <w:rPr>
                <w:rFonts w:hint="eastAsia" w:cs="宋体" w:asciiTheme="minorEastAsia" w:hAnsiTheme="minorEastAsia" w:eastAsiaTheme="minorEastAsia"/>
                <w:kern w:val="0"/>
                <w:szCs w:val="21"/>
              </w:rPr>
              <w:t>级三聚氰胺板，内结合强度≥</w:t>
            </w:r>
            <w:r>
              <w:rPr>
                <w:rFonts w:cs="宋体" w:asciiTheme="minorEastAsia" w:hAnsiTheme="minorEastAsia" w:eastAsiaTheme="minorEastAsia"/>
                <w:kern w:val="0"/>
                <w:szCs w:val="21"/>
              </w:rPr>
              <w:t>0.48MPa</w:t>
            </w:r>
            <w:r>
              <w:rPr>
                <w:rFonts w:hint="eastAsia" w:cs="宋体" w:asciiTheme="minorEastAsia" w:hAnsiTheme="minorEastAsia" w:eastAsiaTheme="minorEastAsia"/>
                <w:kern w:val="0"/>
                <w:szCs w:val="21"/>
              </w:rPr>
              <w:t>，甲醛释放量≤</w:t>
            </w:r>
            <w:r>
              <w:rPr>
                <w:rFonts w:cs="宋体" w:asciiTheme="minorEastAsia" w:hAnsiTheme="minorEastAsia" w:eastAsiaTheme="minorEastAsia"/>
                <w:kern w:val="0"/>
                <w:szCs w:val="21"/>
              </w:rPr>
              <w:t>0.015mg/m</w:t>
            </w:r>
            <w:r>
              <w:rPr>
                <w:rFonts w:hint="eastAsia" w:cs="宋体" w:asciiTheme="minorEastAsia" w:hAnsiTheme="minorEastAsia" w:eastAsiaTheme="minorEastAsia"/>
                <w:kern w:val="0"/>
                <w:szCs w:val="21"/>
              </w:rPr>
              <w:t>³，板材防潮符合</w:t>
            </w:r>
            <w:r>
              <w:rPr>
                <w:rFonts w:cs="宋体" w:asciiTheme="minorEastAsia" w:hAnsiTheme="minorEastAsia" w:eastAsiaTheme="minorEastAsia"/>
                <w:kern w:val="0"/>
                <w:szCs w:val="21"/>
              </w:rPr>
              <w:t>GB/T4897.7</w:t>
            </w:r>
            <w:r>
              <w:rPr>
                <w:rFonts w:hint="eastAsia" w:cs="宋体" w:asciiTheme="minorEastAsia" w:hAnsiTheme="minorEastAsia" w:eastAsiaTheme="minorEastAsia"/>
                <w:kern w:val="0"/>
                <w:szCs w:val="21"/>
              </w:rPr>
              <w:t>其截面封边粘力强，密封性好。　</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、桌架：选用钢材，铝合金一体铸造工艺，可根据人性话高低调节。</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、配件：采用五金配件、开放型底盘支架，</w:t>
            </w:r>
            <w:r>
              <w:rPr>
                <w:rFonts w:cs="宋体" w:asciiTheme="minorEastAsia" w:hAnsiTheme="minorEastAsia" w:eastAsiaTheme="minorEastAsia"/>
                <w:kern w:val="0"/>
                <w:szCs w:val="21"/>
              </w:rPr>
              <w:t>360</w:t>
            </w:r>
            <w:r>
              <w:rPr>
                <w:rFonts w:hint="eastAsia" w:cs="宋体" w:asciiTheme="minorEastAsia" w:hAnsiTheme="minorEastAsia" w:eastAsiaTheme="minorEastAsia"/>
                <w:kern w:val="0"/>
                <w:szCs w:val="21"/>
              </w:rPr>
              <w:t>度</w:t>
            </w:r>
            <w:r>
              <w:rPr>
                <w:rFonts w:cs="宋体" w:asciiTheme="minorEastAsia" w:hAnsiTheme="minorEastAsia" w:eastAsiaTheme="minorEastAsia"/>
                <w:kern w:val="0"/>
                <w:szCs w:val="21"/>
              </w:rPr>
              <w:t>PU</w:t>
            </w:r>
            <w:r>
              <w:rPr>
                <w:rFonts w:hint="eastAsia" w:cs="宋体" w:asciiTheme="minorEastAsia" w:hAnsiTheme="minorEastAsia" w:eastAsiaTheme="minorEastAsia"/>
                <w:kern w:val="0"/>
                <w:szCs w:val="21"/>
              </w:rPr>
              <w:t>静音滑轮。</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GB/T3324-2017</w:t>
            </w:r>
            <w:r>
              <w:rPr>
                <w:rFonts w:hint="eastAsia" w:cs="宋体" w:asciiTheme="minorEastAsia" w:hAnsiTheme="minorEastAsia" w:eastAsiaTheme="minorEastAsia"/>
                <w:kern w:val="0"/>
                <w:szCs w:val="21"/>
              </w:rPr>
              <w:t>《木家具通用技术条件》、《绿色产品评价家具》标准，木家具甲醛释放量≤</w:t>
            </w:r>
            <w:r>
              <w:rPr>
                <w:rFonts w:cs="宋体" w:asciiTheme="minorEastAsia" w:hAnsiTheme="minorEastAsia" w:eastAsiaTheme="minorEastAsia"/>
                <w:kern w:val="0"/>
                <w:szCs w:val="21"/>
              </w:rPr>
              <w:t>0.1mg/</w:t>
            </w:r>
            <w:r>
              <w:rPr>
                <w:rFonts w:hint="eastAsia" w:cs="宋体" w:asciiTheme="minorEastAsia" w:hAnsiTheme="minorEastAsia" w:eastAsiaTheme="minorEastAsia"/>
                <w:kern w:val="0"/>
                <w:szCs w:val="21"/>
              </w:rPr>
              <w:t>，苯≤</w:t>
            </w:r>
            <w:r>
              <w:rPr>
                <w:rFonts w:cs="宋体" w:asciiTheme="minorEastAsia" w:hAnsiTheme="minorEastAsia" w:eastAsiaTheme="minorEastAsia"/>
                <w:kern w:val="0"/>
                <w:szCs w:val="21"/>
              </w:rPr>
              <w:t>0.05mg/m</w:t>
            </w:r>
            <w:r>
              <w:rPr>
                <w:rFonts w:hint="eastAsia" w:cs="宋体" w:asciiTheme="minorEastAsia" w:hAnsiTheme="minorEastAsia" w:eastAsiaTheme="minorEastAsia"/>
                <w:kern w:val="0"/>
                <w:szCs w:val="21"/>
              </w:rPr>
              <w:t>³，总挥发性有机化合物≤</w:t>
            </w:r>
            <w:r>
              <w:rPr>
                <w:rFonts w:cs="宋体" w:asciiTheme="minorEastAsia" w:hAnsiTheme="minorEastAsia" w:eastAsiaTheme="minorEastAsia"/>
                <w:kern w:val="0"/>
                <w:szCs w:val="21"/>
              </w:rPr>
              <w:t>0.3mg/m</w:t>
            </w:r>
            <w:r>
              <w:rPr>
                <w:rFonts w:hint="eastAsia" w:cs="宋体" w:asciiTheme="minorEastAsia" w:hAnsiTheme="minorEastAsia" w:eastAsiaTheme="minorEastAsia"/>
                <w:kern w:val="0"/>
                <w:szCs w:val="21"/>
              </w:rPr>
              <w:t>³。（投标人提供有效的合格的会议条桌抽样检测合格报告）。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38</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检查床</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1500*600*650</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、基材：采用冷轧钢为基材，厚度大于</w:t>
            </w:r>
            <w:r>
              <w:rPr>
                <w:rFonts w:cs="宋体" w:asciiTheme="minorEastAsia" w:hAnsiTheme="minorEastAsia" w:eastAsiaTheme="minorEastAsia"/>
                <w:kern w:val="0"/>
                <w:szCs w:val="21"/>
              </w:rPr>
              <w:t>1.2MM</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、工艺：经过预脱脂，水洗，酸洗，中和，表调，磷化，钝化等处理，表面采用环保粉末涂料，不含重金属及有机挥发物、绿色环保、对人体无害、全自动静电喷塑；</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、内衬</w:t>
            </w:r>
            <w:r>
              <w:rPr>
                <w:rFonts w:cs="宋体" w:asciiTheme="minorEastAsia" w:hAnsiTheme="minorEastAsia" w:eastAsiaTheme="minorEastAsia"/>
                <w:kern w:val="0"/>
                <w:szCs w:val="21"/>
              </w:rPr>
              <w:t>45#</w:t>
            </w:r>
            <w:r>
              <w:rPr>
                <w:rFonts w:hint="eastAsia" w:cs="宋体" w:asciiTheme="minorEastAsia" w:hAnsiTheme="minorEastAsia" w:eastAsiaTheme="minorEastAsia"/>
                <w:kern w:val="0"/>
                <w:szCs w:val="21"/>
              </w:rPr>
              <w:t>高密度海绵，外覆人造皮，软硬适中，回弹性能好，不变形，坐感舒适；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39</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三人位沙发</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标准</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、面料：采用聚氯乙烯人造革，透气性强，手感柔软且富于韧性，厚度适中；聚氯乙烯人造革：符合</w:t>
            </w:r>
            <w:r>
              <w:rPr>
                <w:rFonts w:cs="宋体" w:asciiTheme="minorEastAsia" w:hAnsiTheme="minorEastAsia" w:eastAsiaTheme="minorEastAsia"/>
                <w:kern w:val="0"/>
                <w:szCs w:val="21"/>
              </w:rPr>
              <w:t>GB/T 8948-2008</w:t>
            </w:r>
            <w:r>
              <w:rPr>
                <w:rFonts w:hint="eastAsia" w:cs="宋体" w:asciiTheme="minorEastAsia" w:hAnsiTheme="minorEastAsia" w:eastAsiaTheme="minorEastAsia"/>
                <w:kern w:val="0"/>
                <w:szCs w:val="21"/>
              </w:rPr>
              <w:t>聚氯乙烯人造革、</w:t>
            </w:r>
            <w:r>
              <w:rPr>
                <w:rFonts w:cs="宋体" w:asciiTheme="minorEastAsia" w:hAnsiTheme="minorEastAsia" w:eastAsiaTheme="minorEastAsia"/>
                <w:kern w:val="0"/>
                <w:szCs w:val="21"/>
              </w:rPr>
              <w:t>GB/T 2912.1-2009</w:t>
            </w:r>
            <w:r>
              <w:rPr>
                <w:rFonts w:hint="eastAsia" w:cs="宋体" w:asciiTheme="minorEastAsia" w:hAnsiTheme="minorEastAsia" w:eastAsiaTheme="minorEastAsia"/>
                <w:kern w:val="0"/>
                <w:szCs w:val="21"/>
              </w:rPr>
              <w:t>纺织品甲醛的测定第一部分；游离和水解的甲醛标准，拉伸负荷纬向≥</w:t>
            </w:r>
            <w:r>
              <w:rPr>
                <w:rFonts w:cs="宋体" w:asciiTheme="minorEastAsia" w:hAnsiTheme="minorEastAsia" w:eastAsiaTheme="minorEastAsia"/>
                <w:kern w:val="0"/>
                <w:szCs w:val="21"/>
              </w:rPr>
              <w:t xml:space="preserve">220N </w:t>
            </w:r>
            <w:r>
              <w:rPr>
                <w:rFonts w:hint="eastAsia" w:cs="宋体" w:asciiTheme="minorEastAsia" w:hAnsiTheme="minorEastAsia" w:eastAsiaTheme="minorEastAsia"/>
                <w:kern w:val="0"/>
                <w:szCs w:val="21"/>
              </w:rPr>
              <w:t>经向≥</w:t>
            </w:r>
            <w:r>
              <w:rPr>
                <w:rFonts w:cs="宋体" w:asciiTheme="minorEastAsia" w:hAnsiTheme="minorEastAsia" w:eastAsiaTheme="minorEastAsia"/>
                <w:kern w:val="0"/>
                <w:szCs w:val="21"/>
              </w:rPr>
              <w:t xml:space="preserve">520N </w:t>
            </w:r>
            <w:r>
              <w:rPr>
                <w:rFonts w:hint="eastAsia" w:cs="宋体" w:asciiTheme="minorEastAsia" w:hAnsiTheme="minorEastAsia" w:eastAsiaTheme="minorEastAsia"/>
                <w:kern w:val="0"/>
                <w:szCs w:val="21"/>
              </w:rPr>
              <w:t>，断裂伸长率纬向≥</w:t>
            </w:r>
            <w:r>
              <w:rPr>
                <w:rFonts w:cs="宋体" w:asciiTheme="minorEastAsia" w:hAnsiTheme="minorEastAsia" w:eastAsiaTheme="minorEastAsia"/>
                <w:kern w:val="0"/>
                <w:szCs w:val="21"/>
              </w:rPr>
              <w:t xml:space="preserve">90% </w:t>
            </w:r>
            <w:r>
              <w:rPr>
                <w:rFonts w:hint="eastAsia" w:cs="宋体" w:asciiTheme="minorEastAsia" w:hAnsiTheme="minorEastAsia" w:eastAsiaTheme="minorEastAsia"/>
                <w:kern w:val="0"/>
                <w:szCs w:val="21"/>
              </w:rPr>
              <w:t>，经向≥</w:t>
            </w:r>
            <w:r>
              <w:rPr>
                <w:rFonts w:cs="宋体" w:asciiTheme="minorEastAsia" w:hAnsiTheme="minorEastAsia" w:eastAsiaTheme="minorEastAsia"/>
                <w:kern w:val="0"/>
                <w:szCs w:val="21"/>
              </w:rPr>
              <w:t>45%</w:t>
            </w:r>
            <w:r>
              <w:rPr>
                <w:rFonts w:hint="eastAsia" w:cs="宋体" w:asciiTheme="minorEastAsia" w:hAnsiTheme="minorEastAsia" w:eastAsiaTheme="minorEastAsia"/>
                <w:kern w:val="0"/>
                <w:szCs w:val="21"/>
              </w:rPr>
              <w:t>，剥离负荷经向≥</w:t>
            </w:r>
            <w:r>
              <w:rPr>
                <w:rFonts w:cs="宋体" w:asciiTheme="minorEastAsia" w:hAnsiTheme="minorEastAsia" w:eastAsiaTheme="minorEastAsia"/>
                <w:kern w:val="0"/>
                <w:szCs w:val="21"/>
              </w:rPr>
              <w:t>25N</w:t>
            </w:r>
            <w:r>
              <w:rPr>
                <w:rFonts w:hint="eastAsia" w:cs="宋体" w:asciiTheme="minorEastAsia" w:hAnsiTheme="minorEastAsia" w:eastAsiaTheme="minorEastAsia"/>
                <w:kern w:val="0"/>
                <w:szCs w:val="21"/>
              </w:rPr>
              <w:t>，不含甲醛。</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、海棉：高密度海棉，软硬适中，回弹性能好，不易变形，切割一体成型棉，密度高于</w:t>
            </w:r>
            <w:r>
              <w:rPr>
                <w:rFonts w:cs="宋体" w:asciiTheme="minorEastAsia" w:hAnsiTheme="minorEastAsia" w:eastAsiaTheme="minorEastAsia"/>
                <w:kern w:val="0"/>
                <w:szCs w:val="21"/>
              </w:rPr>
              <w:t>45</w:t>
            </w:r>
            <w:r>
              <w:rPr>
                <w:rFonts w:hint="eastAsia" w:cs="宋体" w:asciiTheme="minorEastAsia" w:hAnsiTheme="minorEastAsia" w:eastAsiaTheme="minorEastAsia"/>
                <w:kern w:val="0"/>
                <w:szCs w:val="21"/>
              </w:rPr>
              <w:t>克</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立方厘米，软硬适中，回弹性能好，不变形；</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GB/T 35607-2017</w:t>
            </w:r>
            <w:r>
              <w:rPr>
                <w:rFonts w:hint="eastAsia" w:cs="宋体" w:asciiTheme="minorEastAsia" w:hAnsiTheme="minorEastAsia" w:eastAsiaTheme="minorEastAsia"/>
                <w:kern w:val="0"/>
                <w:szCs w:val="21"/>
              </w:rPr>
              <w:t>《绿色产品评价家具》和《软体家具沙发》标准，木家具甲醛释放量≤</w:t>
            </w:r>
            <w:r>
              <w:rPr>
                <w:rFonts w:cs="宋体" w:asciiTheme="minorEastAsia" w:hAnsiTheme="minorEastAsia" w:eastAsiaTheme="minorEastAsia"/>
                <w:kern w:val="0"/>
                <w:szCs w:val="21"/>
              </w:rPr>
              <w:t>0.1mg/</w:t>
            </w:r>
            <w:r>
              <w:rPr>
                <w:rFonts w:hint="eastAsia" w:cs="宋体" w:asciiTheme="minorEastAsia" w:hAnsiTheme="minorEastAsia" w:eastAsiaTheme="minorEastAsia"/>
                <w:kern w:val="0"/>
                <w:szCs w:val="21"/>
              </w:rPr>
              <w:t>，苯≤</w:t>
            </w:r>
            <w:r>
              <w:rPr>
                <w:rFonts w:cs="宋体" w:asciiTheme="minorEastAsia" w:hAnsiTheme="minorEastAsia" w:eastAsiaTheme="minorEastAsia"/>
                <w:kern w:val="0"/>
                <w:szCs w:val="21"/>
              </w:rPr>
              <w:t>0.05mg/m</w:t>
            </w:r>
            <w:r>
              <w:rPr>
                <w:rFonts w:hint="eastAsia" w:cs="宋体" w:asciiTheme="minorEastAsia" w:hAnsiTheme="minorEastAsia" w:eastAsiaTheme="minorEastAsia"/>
                <w:kern w:val="0"/>
                <w:szCs w:val="21"/>
              </w:rPr>
              <w:t>³，总挥发性有机化合物≤</w:t>
            </w:r>
            <w:r>
              <w:rPr>
                <w:rFonts w:cs="宋体" w:asciiTheme="minorEastAsia" w:hAnsiTheme="minorEastAsia" w:eastAsiaTheme="minorEastAsia"/>
                <w:kern w:val="0"/>
                <w:szCs w:val="21"/>
              </w:rPr>
              <w:t>0.3mg/m</w:t>
            </w:r>
            <w:r>
              <w:rPr>
                <w:rFonts w:hint="eastAsia" w:cs="宋体" w:asciiTheme="minorEastAsia" w:hAnsiTheme="minorEastAsia" w:eastAsiaTheme="minorEastAsia"/>
                <w:kern w:val="0"/>
                <w:szCs w:val="21"/>
              </w:rPr>
              <w:t>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40</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遮光窗帘</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层高</w:t>
            </w:r>
            <w:r>
              <w:rPr>
                <w:rFonts w:cs="宋体" w:asciiTheme="minorEastAsia" w:hAnsiTheme="minorEastAsia" w:eastAsiaTheme="minorEastAsia"/>
                <w:kern w:val="0"/>
                <w:szCs w:val="21"/>
              </w:rPr>
              <w:t>3.5</w:t>
            </w:r>
            <w:r>
              <w:rPr>
                <w:rFonts w:hint="eastAsia" w:cs="宋体" w:asciiTheme="minorEastAsia" w:hAnsiTheme="minorEastAsia" w:eastAsiaTheme="minorEastAsia"/>
                <w:kern w:val="0"/>
                <w:szCs w:val="21"/>
              </w:rPr>
              <w:t>米</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、面料，吸除甲醛、天然抗紫外线、抗菌除螨、吸湿透气、祛除异味、柔软舒适、绿色环保、防静电、耐磨阻燃等功能。</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、面料成分：高级丝绒麻，</w:t>
            </w:r>
            <w:r>
              <w:rPr>
                <w:rFonts w:cs="宋体" w:asciiTheme="minorEastAsia" w:hAnsiTheme="minorEastAsia" w:eastAsiaTheme="minorEastAsia"/>
                <w:kern w:val="0"/>
                <w:szCs w:val="21"/>
              </w:rPr>
              <w:t>20%</w:t>
            </w:r>
            <w:r>
              <w:rPr>
                <w:rFonts w:hint="eastAsia" w:cs="宋体" w:asciiTheme="minorEastAsia" w:hAnsiTheme="minorEastAsia" w:eastAsiaTheme="minorEastAsia"/>
                <w:kern w:val="0"/>
                <w:szCs w:val="21"/>
              </w:rPr>
              <w:t>高级阳离子纤维结合数码纺织工艺制织而成。</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、遮光率达到</w:t>
            </w:r>
            <w:r>
              <w:rPr>
                <w:rFonts w:cs="宋体" w:asciiTheme="minorEastAsia" w:hAnsiTheme="minorEastAsia" w:eastAsiaTheme="minorEastAsia"/>
                <w:kern w:val="0"/>
                <w:szCs w:val="21"/>
              </w:rPr>
              <w:t>80%</w:t>
            </w:r>
            <w:r>
              <w:rPr>
                <w:rFonts w:hint="eastAsia" w:cs="宋体" w:asciiTheme="minorEastAsia" w:hAnsiTheme="minorEastAsia" w:eastAsiaTheme="minorEastAsia"/>
                <w:kern w:val="0"/>
                <w:szCs w:val="21"/>
              </w:rPr>
              <w:t>以上。</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GB/T 4668-1995</w:t>
            </w:r>
            <w:r>
              <w:rPr>
                <w:rFonts w:hint="eastAsia" w:cs="宋体" w:asciiTheme="minorEastAsia" w:hAnsiTheme="minorEastAsia" w:eastAsiaTheme="minorEastAsia"/>
                <w:kern w:val="0"/>
                <w:szCs w:val="21"/>
              </w:rPr>
              <w:t>《机织物密度的测定》标准，阻燃达到</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级等级。（投标人提供有效的合格的遮光窗帘抽样检测合格报告）。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41</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窗纱</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层高</w:t>
            </w:r>
            <w:r>
              <w:rPr>
                <w:rFonts w:cs="宋体" w:asciiTheme="minorEastAsia" w:hAnsiTheme="minorEastAsia" w:eastAsiaTheme="minorEastAsia"/>
                <w:kern w:val="0"/>
                <w:szCs w:val="21"/>
              </w:rPr>
              <w:t>3.5</w:t>
            </w:r>
            <w:r>
              <w:rPr>
                <w:rFonts w:hint="eastAsia" w:cs="宋体" w:asciiTheme="minorEastAsia" w:hAnsiTheme="minorEastAsia" w:eastAsiaTheme="minorEastAsia"/>
                <w:kern w:val="0"/>
                <w:szCs w:val="21"/>
              </w:rPr>
              <w:t>米</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、面料，吸除甲醛、天然抗紫外线、抗菌除螨、吸湿透气、祛除异味、柔软舒适、绿色环保、防静电、耐磨等功能。</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、面料成分：麻绒面料，</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纤维结合数码纺织工艺制织而成。</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、遮光率达到</w:t>
            </w:r>
            <w:r>
              <w:rPr>
                <w:rFonts w:cs="宋体" w:asciiTheme="minorEastAsia" w:hAnsiTheme="minorEastAsia" w:eastAsiaTheme="minorEastAsia"/>
                <w:kern w:val="0"/>
                <w:szCs w:val="21"/>
              </w:rPr>
              <w:t>20%</w:t>
            </w:r>
            <w:r>
              <w:rPr>
                <w:rFonts w:hint="eastAsia" w:cs="宋体" w:asciiTheme="minorEastAsia" w:hAnsiTheme="minorEastAsia" w:eastAsiaTheme="minorEastAsia"/>
                <w:kern w:val="0"/>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42</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轨道</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层高</w:t>
            </w:r>
            <w:r>
              <w:rPr>
                <w:rFonts w:cs="宋体" w:asciiTheme="minorEastAsia" w:hAnsiTheme="minorEastAsia" w:eastAsiaTheme="minorEastAsia"/>
                <w:kern w:val="0"/>
                <w:szCs w:val="21"/>
              </w:rPr>
              <w:t>3.5</w:t>
            </w:r>
            <w:r>
              <w:rPr>
                <w:rFonts w:hint="eastAsia" w:cs="宋体" w:asciiTheme="minorEastAsia" w:hAnsiTheme="minorEastAsia" w:eastAsiaTheme="minorEastAsia"/>
                <w:kern w:val="0"/>
                <w:szCs w:val="21"/>
              </w:rPr>
              <w:t>米</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、铝材选用原生材料、环保、性能稳定。</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、空轨：轨道管径</w:t>
            </w:r>
            <w:r>
              <w:rPr>
                <w:rFonts w:cs="宋体" w:asciiTheme="minorEastAsia" w:hAnsiTheme="minorEastAsia" w:eastAsiaTheme="minorEastAsia"/>
                <w:kern w:val="0"/>
                <w:szCs w:val="21"/>
              </w:rPr>
              <w:t>25mm</w:t>
            </w:r>
            <w:r>
              <w:rPr>
                <w:rFonts w:hint="eastAsia" w:cs="宋体" w:asciiTheme="minorEastAsia" w:hAnsiTheme="minorEastAsia" w:eastAsiaTheme="minorEastAsia"/>
                <w:kern w:val="0"/>
                <w:szCs w:val="21"/>
              </w:rPr>
              <w:t>，用的原生铝合金制造，高精模具成型，型材壁厚</w:t>
            </w:r>
            <w:r>
              <w:rPr>
                <w:rFonts w:cs="宋体" w:asciiTheme="minorEastAsia" w:hAnsiTheme="minorEastAsia" w:eastAsiaTheme="minorEastAsia"/>
                <w:kern w:val="0"/>
                <w:szCs w:val="21"/>
              </w:rPr>
              <w:t>1.0MM</w:t>
            </w:r>
            <w:r>
              <w:rPr>
                <w:rFonts w:hint="eastAsia" w:cs="宋体" w:asciiTheme="minorEastAsia" w:hAnsiTheme="minorEastAsia" w:eastAsiaTheme="minorEastAsia"/>
                <w:kern w:val="0"/>
                <w:szCs w:val="21"/>
              </w:rPr>
              <w:t>以上，表面处理采用国标的电泳和喷涂技术，型材表面附着力好、光洁亮丽，颜色光鲜。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3</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油漆木质文件柜</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800*400*2000</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基材：采用</w:t>
            </w:r>
            <w:r>
              <w:rPr>
                <w:rFonts w:cs="宋体" w:asciiTheme="minorEastAsia" w:hAnsiTheme="minorEastAsia" w:eastAsiaTheme="minorEastAsia"/>
                <w:kern w:val="0"/>
                <w:szCs w:val="21"/>
              </w:rPr>
              <w:t>E1</w:t>
            </w:r>
            <w:r>
              <w:rPr>
                <w:rFonts w:hint="eastAsia" w:cs="宋体" w:asciiTheme="minorEastAsia" w:hAnsiTheme="minorEastAsia" w:eastAsiaTheme="minorEastAsia"/>
                <w:kern w:val="0"/>
                <w:szCs w:val="21"/>
              </w:rPr>
              <w:t>级中密度纤维板，板材厚度≥</w:t>
            </w:r>
            <w:r>
              <w:rPr>
                <w:rFonts w:cs="宋体" w:asciiTheme="minorEastAsia" w:hAnsiTheme="minorEastAsia" w:eastAsiaTheme="minorEastAsia"/>
                <w:kern w:val="0"/>
                <w:szCs w:val="21"/>
              </w:rPr>
              <w:t>25mm</w:t>
            </w:r>
            <w:r>
              <w:rPr>
                <w:rFonts w:hint="eastAsia" w:cs="宋体" w:asciiTheme="minorEastAsia" w:hAnsiTheme="minorEastAsia" w:eastAsiaTheme="minorEastAsia"/>
                <w:kern w:val="0"/>
                <w:szCs w:val="21"/>
              </w:rPr>
              <w:t>，密度≥</w:t>
            </w:r>
            <w:r>
              <w:rPr>
                <w:rFonts w:cs="宋体" w:asciiTheme="minorEastAsia" w:hAnsiTheme="minorEastAsia" w:eastAsiaTheme="minorEastAsia"/>
                <w:kern w:val="0"/>
                <w:szCs w:val="21"/>
              </w:rPr>
              <w:t>760kg/m3</w:t>
            </w:r>
            <w:r>
              <w:rPr>
                <w:rFonts w:hint="eastAsia" w:cs="宋体" w:asciiTheme="minorEastAsia" w:hAnsiTheme="minorEastAsia" w:eastAsiaTheme="minorEastAsia"/>
                <w:kern w:val="0"/>
                <w:szCs w:val="21"/>
              </w:rPr>
              <w:t>，经防潮、防虫、防腐等处理，游离甲醛释放量小于</w:t>
            </w:r>
            <w:r>
              <w:rPr>
                <w:rFonts w:cs="宋体" w:asciiTheme="minorEastAsia" w:hAnsiTheme="minorEastAsia" w:eastAsiaTheme="minorEastAsia"/>
                <w:kern w:val="0"/>
                <w:szCs w:val="21"/>
              </w:rPr>
              <w:t>1.5mg/L</w:t>
            </w:r>
            <w:r>
              <w:rPr>
                <w:rFonts w:hint="eastAsia" w:cs="宋体" w:asciiTheme="minorEastAsia" w:hAnsiTheme="minorEastAsia" w:eastAsiaTheme="minorEastAsia"/>
                <w:kern w:val="0"/>
                <w:szCs w:val="21"/>
              </w:rPr>
              <w:t>，符合国家环保标准，木材干燥至</w:t>
            </w:r>
            <w:r>
              <w:rPr>
                <w:rFonts w:cs="宋体" w:asciiTheme="minorEastAsia" w:hAnsiTheme="minorEastAsia" w:eastAsiaTheme="minorEastAsia"/>
                <w:kern w:val="0"/>
                <w:szCs w:val="21"/>
              </w:rPr>
              <w:t>6%</w:t>
            </w:r>
            <w:r>
              <w:rPr>
                <w:rFonts w:hint="eastAsia" w:cs="宋体" w:asciiTheme="minorEastAsia" w:hAnsiTheme="minorEastAsia" w:eastAsiaTheme="minorEastAsia"/>
                <w:kern w:val="0"/>
                <w:szCs w:val="21"/>
              </w:rPr>
              <w:t>的含水率；</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面材：采用胡桃木皮，厚度≥</w:t>
            </w:r>
            <w:r>
              <w:rPr>
                <w:rFonts w:cs="宋体" w:asciiTheme="minorEastAsia" w:hAnsiTheme="minorEastAsia" w:eastAsiaTheme="minorEastAsia"/>
                <w:kern w:val="0"/>
                <w:szCs w:val="21"/>
              </w:rPr>
              <w:t>0.8mm</w:t>
            </w:r>
            <w:r>
              <w:rPr>
                <w:rFonts w:hint="eastAsia" w:cs="宋体" w:asciiTheme="minorEastAsia" w:hAnsiTheme="minorEastAsia" w:eastAsiaTheme="minorEastAsia"/>
                <w:kern w:val="0"/>
                <w:szCs w:val="21"/>
              </w:rPr>
              <w:t>，木制件甲醛释放量≤</w:t>
            </w:r>
            <w:r>
              <w:rPr>
                <w:rFonts w:cs="宋体" w:asciiTheme="minorEastAsia" w:hAnsiTheme="minorEastAsia" w:eastAsiaTheme="minorEastAsia"/>
                <w:kern w:val="0"/>
                <w:szCs w:val="21"/>
              </w:rPr>
              <w:t>0.1mg/L</w:t>
            </w:r>
            <w:r>
              <w:rPr>
                <w:rFonts w:hint="eastAsia" w:cs="宋体" w:asciiTheme="minorEastAsia" w:hAnsiTheme="minorEastAsia" w:eastAsiaTheme="minorEastAsia"/>
                <w:kern w:val="0"/>
                <w:szCs w:val="21"/>
              </w:rPr>
              <w:t>，经防潮、防虫、防腐等处理，颜色、厚度均匀，木纹清晰</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、油漆：水性漆，不含苯系物，游离甲醛≤</w:t>
            </w:r>
            <w:r>
              <w:rPr>
                <w:rFonts w:cs="宋体" w:asciiTheme="minorEastAsia" w:hAnsiTheme="minorEastAsia" w:eastAsiaTheme="minorEastAsia"/>
                <w:kern w:val="0"/>
                <w:szCs w:val="21"/>
              </w:rPr>
              <w:t>6mg/kg</w:t>
            </w:r>
            <w:r>
              <w:rPr>
                <w:rFonts w:hint="eastAsia" w:cs="宋体" w:asciiTheme="minorEastAsia" w:hAnsiTheme="minorEastAsia" w:eastAsiaTheme="minorEastAsia"/>
                <w:kern w:val="0"/>
                <w:szCs w:val="21"/>
              </w:rPr>
              <w:t>，挥发性有机物含量≤</w:t>
            </w:r>
            <w:r>
              <w:rPr>
                <w:rFonts w:cs="宋体" w:asciiTheme="minorEastAsia" w:hAnsiTheme="minorEastAsia" w:eastAsiaTheme="minorEastAsia"/>
                <w:kern w:val="0"/>
                <w:szCs w:val="21"/>
              </w:rPr>
              <w:t>94g/L4</w:t>
            </w:r>
            <w:r>
              <w:rPr>
                <w:rFonts w:hint="eastAsia" w:cs="宋体" w:asciiTheme="minorEastAsia" w:hAnsiTheme="minorEastAsia" w:eastAsiaTheme="minorEastAsia"/>
                <w:kern w:val="0"/>
                <w:szCs w:val="21"/>
              </w:rPr>
              <w:t>、五金配件：选用不锈钢材质等不生锈且耐用的配件。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4</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文件柜</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L800*W400*H1800</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基材：采用</w:t>
            </w:r>
            <w:r>
              <w:rPr>
                <w:rFonts w:cs="宋体" w:asciiTheme="minorEastAsia" w:hAnsiTheme="minorEastAsia" w:eastAsiaTheme="minorEastAsia"/>
                <w:kern w:val="0"/>
                <w:szCs w:val="21"/>
              </w:rPr>
              <w:t>E1</w:t>
            </w:r>
            <w:r>
              <w:rPr>
                <w:rFonts w:hint="eastAsia" w:cs="宋体" w:asciiTheme="minorEastAsia" w:hAnsiTheme="minorEastAsia" w:eastAsiaTheme="minorEastAsia"/>
                <w:kern w:val="0"/>
                <w:szCs w:val="21"/>
              </w:rPr>
              <w:t>级中密度纤维板，板材厚度≥</w:t>
            </w:r>
            <w:r>
              <w:rPr>
                <w:rFonts w:cs="宋体" w:asciiTheme="minorEastAsia" w:hAnsiTheme="minorEastAsia" w:eastAsiaTheme="minorEastAsia"/>
                <w:kern w:val="0"/>
                <w:szCs w:val="21"/>
              </w:rPr>
              <w:t>25mm</w:t>
            </w:r>
            <w:r>
              <w:rPr>
                <w:rFonts w:hint="eastAsia" w:cs="宋体" w:asciiTheme="minorEastAsia" w:hAnsiTheme="minorEastAsia" w:eastAsiaTheme="minorEastAsia"/>
                <w:kern w:val="0"/>
                <w:szCs w:val="21"/>
              </w:rPr>
              <w:t>，密度≥</w:t>
            </w:r>
            <w:r>
              <w:rPr>
                <w:rFonts w:cs="宋体" w:asciiTheme="minorEastAsia" w:hAnsiTheme="minorEastAsia" w:eastAsiaTheme="minorEastAsia"/>
                <w:kern w:val="0"/>
                <w:szCs w:val="21"/>
              </w:rPr>
              <w:t>720</w:t>
            </w:r>
            <w:r>
              <w:rPr>
                <w:rFonts w:hint="eastAsia" w:cs="宋体" w:asciiTheme="minorEastAsia" w:hAnsiTheme="minorEastAsia" w:eastAsiaTheme="minorEastAsia"/>
                <w:kern w:val="0"/>
                <w:szCs w:val="21"/>
              </w:rPr>
              <w:t>千克</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立方米，游离甲醛释放量小于</w:t>
            </w:r>
            <w:r>
              <w:rPr>
                <w:rFonts w:cs="宋体" w:asciiTheme="minorEastAsia" w:hAnsiTheme="minorEastAsia" w:eastAsiaTheme="minorEastAsia"/>
                <w:kern w:val="0"/>
                <w:szCs w:val="21"/>
              </w:rPr>
              <w:t>1.5mg/L</w:t>
            </w:r>
            <w:r>
              <w:rPr>
                <w:rFonts w:hint="eastAsia" w:cs="宋体" w:asciiTheme="minorEastAsia" w:hAnsiTheme="minorEastAsia" w:eastAsiaTheme="minorEastAsia"/>
                <w:kern w:val="0"/>
                <w:szCs w:val="21"/>
              </w:rPr>
              <w:t>，经防潮、防虫、防腐等处理，含水率不大于</w:t>
            </w:r>
            <w:r>
              <w:rPr>
                <w:rFonts w:cs="宋体" w:asciiTheme="minorEastAsia" w:hAnsiTheme="minorEastAsia" w:eastAsiaTheme="minorEastAsia"/>
                <w:kern w:val="0"/>
                <w:szCs w:val="21"/>
              </w:rPr>
              <w:t>9%</w:t>
            </w:r>
            <w:r>
              <w:rPr>
                <w:rFonts w:hint="eastAsia" w:cs="宋体" w:asciiTheme="minorEastAsia" w:hAnsiTheme="minorEastAsia" w:eastAsiaTheme="minorEastAsia"/>
                <w:kern w:val="0"/>
                <w:szCs w:val="21"/>
              </w:rPr>
              <w:t>；</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面材：采用三聚氰胺板饰面，静曲强度≥</w:t>
            </w:r>
            <w:r>
              <w:rPr>
                <w:rFonts w:cs="宋体" w:asciiTheme="minorEastAsia" w:hAnsiTheme="minorEastAsia" w:eastAsiaTheme="minorEastAsia"/>
                <w:kern w:val="0"/>
                <w:szCs w:val="21"/>
              </w:rPr>
              <w:t>24MPa;</w:t>
            </w:r>
            <w:r>
              <w:rPr>
                <w:rFonts w:hint="eastAsia" w:cs="宋体" w:asciiTheme="minorEastAsia" w:hAnsiTheme="minorEastAsia" w:eastAsiaTheme="minorEastAsia"/>
                <w:kern w:val="0"/>
                <w:szCs w:val="21"/>
              </w:rPr>
              <w:t>经防潮、防虫、防腐等处理；ＰＶＣ封边；</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、五金配件：选用不锈钢材质等不生锈且耐用的配件。</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GB/T3324-2017</w:t>
            </w:r>
            <w:r>
              <w:rPr>
                <w:rFonts w:hint="eastAsia" w:cs="宋体" w:asciiTheme="minorEastAsia" w:hAnsiTheme="minorEastAsia" w:eastAsiaTheme="minorEastAsia"/>
                <w:kern w:val="0"/>
                <w:szCs w:val="21"/>
              </w:rPr>
              <w:t>《木家具通用技术条件》、《绿色产品评价家具》标准，木家具甲醛释放量≤</w:t>
            </w:r>
            <w:r>
              <w:rPr>
                <w:rFonts w:cs="宋体" w:asciiTheme="minorEastAsia" w:hAnsiTheme="minorEastAsia" w:eastAsiaTheme="minorEastAsia"/>
                <w:kern w:val="0"/>
                <w:szCs w:val="21"/>
              </w:rPr>
              <w:t>0.1mg/</w:t>
            </w:r>
            <w:r>
              <w:rPr>
                <w:rFonts w:hint="eastAsia" w:cs="宋体" w:asciiTheme="minorEastAsia" w:hAnsiTheme="minorEastAsia" w:eastAsiaTheme="minorEastAsia"/>
                <w:kern w:val="0"/>
                <w:szCs w:val="21"/>
              </w:rPr>
              <w:t>，苯≤</w:t>
            </w:r>
            <w:r>
              <w:rPr>
                <w:rFonts w:cs="宋体" w:asciiTheme="minorEastAsia" w:hAnsiTheme="minorEastAsia" w:eastAsiaTheme="minorEastAsia"/>
                <w:kern w:val="0"/>
                <w:szCs w:val="21"/>
              </w:rPr>
              <w:t>0.05mg/m</w:t>
            </w:r>
            <w:r>
              <w:rPr>
                <w:rFonts w:hint="eastAsia" w:cs="宋体" w:asciiTheme="minorEastAsia" w:hAnsiTheme="minorEastAsia" w:eastAsiaTheme="minorEastAsia"/>
                <w:kern w:val="0"/>
                <w:szCs w:val="21"/>
              </w:rPr>
              <w:t>³，总挥发性有机化合物≤</w:t>
            </w:r>
            <w:r>
              <w:rPr>
                <w:rFonts w:cs="宋体" w:asciiTheme="minorEastAsia" w:hAnsiTheme="minorEastAsia" w:eastAsiaTheme="minorEastAsia"/>
                <w:kern w:val="0"/>
                <w:szCs w:val="21"/>
              </w:rPr>
              <w:t>0.3mg/m</w:t>
            </w:r>
            <w:r>
              <w:rPr>
                <w:rFonts w:hint="eastAsia" w:cs="宋体" w:asciiTheme="minorEastAsia" w:hAnsiTheme="minorEastAsia" w:eastAsiaTheme="minorEastAsia"/>
                <w:kern w:val="0"/>
                <w:szCs w:val="21"/>
              </w:rPr>
              <w:t>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5</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茶水柜</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800*400*800</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基材：采用</w:t>
            </w:r>
            <w:r>
              <w:rPr>
                <w:rFonts w:cs="宋体" w:asciiTheme="minorEastAsia" w:hAnsiTheme="minorEastAsia" w:eastAsiaTheme="minorEastAsia"/>
                <w:kern w:val="0"/>
                <w:szCs w:val="21"/>
              </w:rPr>
              <w:t>E1</w:t>
            </w:r>
            <w:r>
              <w:rPr>
                <w:rFonts w:hint="eastAsia" w:cs="宋体" w:asciiTheme="minorEastAsia" w:hAnsiTheme="minorEastAsia" w:eastAsiaTheme="minorEastAsia"/>
                <w:kern w:val="0"/>
                <w:szCs w:val="21"/>
              </w:rPr>
              <w:t>级中密度纤维板，板材厚度≥</w:t>
            </w:r>
            <w:r>
              <w:rPr>
                <w:rFonts w:cs="宋体" w:asciiTheme="minorEastAsia" w:hAnsiTheme="minorEastAsia" w:eastAsiaTheme="minorEastAsia"/>
                <w:kern w:val="0"/>
                <w:szCs w:val="21"/>
              </w:rPr>
              <w:t>25mm</w:t>
            </w:r>
            <w:r>
              <w:rPr>
                <w:rFonts w:hint="eastAsia" w:cs="宋体" w:asciiTheme="minorEastAsia" w:hAnsiTheme="minorEastAsia" w:eastAsiaTheme="minorEastAsia"/>
                <w:kern w:val="0"/>
                <w:szCs w:val="21"/>
              </w:rPr>
              <w:t>，密度≥</w:t>
            </w:r>
            <w:r>
              <w:rPr>
                <w:rFonts w:cs="宋体" w:asciiTheme="minorEastAsia" w:hAnsiTheme="minorEastAsia" w:eastAsiaTheme="minorEastAsia"/>
                <w:kern w:val="0"/>
                <w:szCs w:val="21"/>
              </w:rPr>
              <w:t>720</w:t>
            </w:r>
            <w:r>
              <w:rPr>
                <w:rFonts w:hint="eastAsia" w:cs="宋体" w:asciiTheme="minorEastAsia" w:hAnsiTheme="minorEastAsia" w:eastAsiaTheme="minorEastAsia"/>
                <w:kern w:val="0"/>
                <w:szCs w:val="21"/>
              </w:rPr>
              <w:t>千克</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立方米，游离甲醛释放量小于</w:t>
            </w:r>
            <w:r>
              <w:rPr>
                <w:rFonts w:cs="宋体" w:asciiTheme="minorEastAsia" w:hAnsiTheme="minorEastAsia" w:eastAsiaTheme="minorEastAsia"/>
                <w:kern w:val="0"/>
                <w:szCs w:val="21"/>
              </w:rPr>
              <w:t>1.5mg/L</w:t>
            </w:r>
            <w:r>
              <w:rPr>
                <w:rFonts w:hint="eastAsia" w:cs="宋体" w:asciiTheme="minorEastAsia" w:hAnsiTheme="minorEastAsia" w:eastAsiaTheme="minorEastAsia"/>
                <w:kern w:val="0"/>
                <w:szCs w:val="21"/>
              </w:rPr>
              <w:t>，经防潮、防虫、防腐等处理，含水率不大于</w:t>
            </w:r>
            <w:r>
              <w:rPr>
                <w:rFonts w:cs="宋体" w:asciiTheme="minorEastAsia" w:hAnsiTheme="minorEastAsia" w:eastAsiaTheme="minorEastAsia"/>
                <w:kern w:val="0"/>
                <w:szCs w:val="21"/>
              </w:rPr>
              <w:t>9%</w:t>
            </w:r>
            <w:r>
              <w:rPr>
                <w:rFonts w:hint="eastAsia" w:cs="宋体" w:asciiTheme="minorEastAsia" w:hAnsiTheme="minorEastAsia" w:eastAsiaTheme="minorEastAsia"/>
                <w:kern w:val="0"/>
                <w:szCs w:val="21"/>
              </w:rPr>
              <w:t>；</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面材：采用三聚氰胺板饰面，静曲强度≥</w:t>
            </w:r>
            <w:r>
              <w:rPr>
                <w:rFonts w:cs="宋体" w:asciiTheme="minorEastAsia" w:hAnsiTheme="minorEastAsia" w:eastAsiaTheme="minorEastAsia"/>
                <w:kern w:val="0"/>
                <w:szCs w:val="21"/>
              </w:rPr>
              <w:t>24MPa;</w:t>
            </w:r>
            <w:r>
              <w:rPr>
                <w:rFonts w:hint="eastAsia" w:cs="宋体" w:asciiTheme="minorEastAsia" w:hAnsiTheme="minorEastAsia" w:eastAsiaTheme="minorEastAsia"/>
                <w:kern w:val="0"/>
                <w:szCs w:val="21"/>
              </w:rPr>
              <w:t>经防潮、防虫、防腐等处理；ＰＶＣ封边；</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、五金配件：选用不锈钢材质等不生锈且耐用的配件。</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、检验要求符合</w:t>
            </w:r>
            <w:r>
              <w:rPr>
                <w:rFonts w:cs="宋体" w:asciiTheme="minorEastAsia" w:hAnsiTheme="minorEastAsia" w:eastAsiaTheme="minorEastAsia"/>
                <w:kern w:val="0"/>
                <w:szCs w:val="21"/>
              </w:rPr>
              <w:t>GB/T3324-2017</w:t>
            </w:r>
            <w:r>
              <w:rPr>
                <w:rFonts w:hint="eastAsia" w:cs="宋体" w:asciiTheme="minorEastAsia" w:hAnsiTheme="minorEastAsia" w:eastAsiaTheme="minorEastAsia"/>
                <w:kern w:val="0"/>
                <w:szCs w:val="21"/>
              </w:rPr>
              <w:t>《木家具通用技术条件》和《绿色产品评价家具》标准，木家具甲醛释放量≤</w:t>
            </w:r>
            <w:r>
              <w:rPr>
                <w:rFonts w:cs="宋体" w:asciiTheme="minorEastAsia" w:hAnsiTheme="minorEastAsia" w:eastAsiaTheme="minorEastAsia"/>
                <w:kern w:val="0"/>
                <w:szCs w:val="21"/>
              </w:rPr>
              <w:t>0.1mg/</w:t>
            </w:r>
            <w:r>
              <w:rPr>
                <w:rFonts w:hint="eastAsia" w:cs="宋体" w:asciiTheme="minorEastAsia" w:hAnsiTheme="minorEastAsia" w:eastAsiaTheme="minorEastAsia"/>
                <w:kern w:val="0"/>
                <w:szCs w:val="21"/>
              </w:rPr>
              <w:t>，苯≤</w:t>
            </w:r>
            <w:r>
              <w:rPr>
                <w:rFonts w:cs="宋体" w:asciiTheme="minorEastAsia" w:hAnsiTheme="minorEastAsia" w:eastAsiaTheme="minorEastAsia"/>
                <w:kern w:val="0"/>
                <w:szCs w:val="21"/>
              </w:rPr>
              <w:t>0.05mg/m</w:t>
            </w:r>
            <w:r>
              <w:rPr>
                <w:rFonts w:hint="eastAsia" w:cs="宋体" w:asciiTheme="minorEastAsia" w:hAnsiTheme="minorEastAsia" w:eastAsiaTheme="minorEastAsia"/>
                <w:kern w:val="0"/>
                <w:szCs w:val="21"/>
              </w:rPr>
              <w:t>³，总挥发性有机化合物≤</w:t>
            </w:r>
            <w:r>
              <w:rPr>
                <w:rFonts w:cs="宋体" w:asciiTheme="minorEastAsia" w:hAnsiTheme="minorEastAsia" w:eastAsiaTheme="minorEastAsia"/>
                <w:kern w:val="0"/>
                <w:szCs w:val="21"/>
              </w:rPr>
              <w:t>0.3mg/m</w:t>
            </w:r>
            <w:r>
              <w:rPr>
                <w:rFonts w:hint="eastAsia" w:cs="宋体" w:asciiTheme="minorEastAsia" w:hAnsiTheme="minorEastAsia" w:eastAsiaTheme="minorEastAsia"/>
                <w:kern w:val="0"/>
                <w:szCs w:val="21"/>
              </w:rPr>
              <w:t>³。（投标人提供有效的合格的茶水柜抽样检测合格报告）。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6</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收费桌</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1200*600*1150</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基材：采用</w:t>
            </w:r>
            <w:r>
              <w:rPr>
                <w:rFonts w:cs="宋体" w:asciiTheme="minorEastAsia" w:hAnsiTheme="minorEastAsia" w:eastAsiaTheme="minorEastAsia"/>
                <w:kern w:val="0"/>
                <w:szCs w:val="21"/>
              </w:rPr>
              <w:t>E1</w:t>
            </w:r>
            <w:r>
              <w:rPr>
                <w:rFonts w:hint="eastAsia" w:cs="宋体" w:asciiTheme="minorEastAsia" w:hAnsiTheme="minorEastAsia" w:eastAsiaTheme="minorEastAsia"/>
                <w:kern w:val="0"/>
                <w:szCs w:val="21"/>
              </w:rPr>
              <w:t>级中密度纤维板，板材厚度≥</w:t>
            </w:r>
            <w:r>
              <w:rPr>
                <w:rFonts w:cs="宋体" w:asciiTheme="minorEastAsia" w:hAnsiTheme="minorEastAsia" w:eastAsiaTheme="minorEastAsia"/>
                <w:kern w:val="0"/>
                <w:szCs w:val="21"/>
              </w:rPr>
              <w:t>25mm</w:t>
            </w:r>
            <w:r>
              <w:rPr>
                <w:rFonts w:hint="eastAsia" w:cs="宋体" w:asciiTheme="minorEastAsia" w:hAnsiTheme="minorEastAsia" w:eastAsiaTheme="minorEastAsia"/>
                <w:kern w:val="0"/>
                <w:szCs w:val="21"/>
              </w:rPr>
              <w:t>，密度≥</w:t>
            </w:r>
            <w:r>
              <w:rPr>
                <w:rFonts w:cs="宋体" w:asciiTheme="minorEastAsia" w:hAnsiTheme="minorEastAsia" w:eastAsiaTheme="minorEastAsia"/>
                <w:kern w:val="0"/>
                <w:szCs w:val="21"/>
              </w:rPr>
              <w:t>720</w:t>
            </w:r>
            <w:r>
              <w:rPr>
                <w:rFonts w:hint="eastAsia" w:cs="宋体" w:asciiTheme="minorEastAsia" w:hAnsiTheme="minorEastAsia" w:eastAsiaTheme="minorEastAsia"/>
                <w:kern w:val="0"/>
                <w:szCs w:val="21"/>
              </w:rPr>
              <w:t>千克</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立方米，游离甲醛释放量小于</w:t>
            </w:r>
            <w:r>
              <w:rPr>
                <w:rFonts w:cs="宋体" w:asciiTheme="minorEastAsia" w:hAnsiTheme="minorEastAsia" w:eastAsiaTheme="minorEastAsia"/>
                <w:kern w:val="0"/>
                <w:szCs w:val="21"/>
              </w:rPr>
              <w:t>1.5mg/L</w:t>
            </w:r>
            <w:r>
              <w:rPr>
                <w:rFonts w:hint="eastAsia" w:cs="宋体" w:asciiTheme="minorEastAsia" w:hAnsiTheme="minorEastAsia" w:eastAsiaTheme="minorEastAsia"/>
                <w:kern w:val="0"/>
                <w:szCs w:val="21"/>
              </w:rPr>
              <w:t>，经防潮、防虫、防腐等处理，含水率不大于</w:t>
            </w:r>
            <w:r>
              <w:rPr>
                <w:rFonts w:cs="宋体" w:asciiTheme="minorEastAsia" w:hAnsiTheme="minorEastAsia" w:eastAsiaTheme="minorEastAsia"/>
                <w:kern w:val="0"/>
                <w:szCs w:val="21"/>
              </w:rPr>
              <w:t>9%</w:t>
            </w:r>
            <w:r>
              <w:rPr>
                <w:rFonts w:hint="eastAsia" w:cs="宋体" w:asciiTheme="minorEastAsia" w:hAnsiTheme="minorEastAsia" w:eastAsiaTheme="minorEastAsia"/>
                <w:kern w:val="0"/>
                <w:szCs w:val="21"/>
              </w:rPr>
              <w:t>；</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面材：采用三聚氰胺板饰面，静曲强度≥</w:t>
            </w:r>
            <w:r>
              <w:rPr>
                <w:rFonts w:cs="宋体" w:asciiTheme="minorEastAsia" w:hAnsiTheme="minorEastAsia" w:eastAsiaTheme="minorEastAsia"/>
                <w:kern w:val="0"/>
                <w:szCs w:val="21"/>
              </w:rPr>
              <w:t>24MPa;</w:t>
            </w:r>
            <w:r>
              <w:rPr>
                <w:rFonts w:hint="eastAsia" w:cs="宋体" w:asciiTheme="minorEastAsia" w:hAnsiTheme="minorEastAsia" w:eastAsiaTheme="minorEastAsia"/>
                <w:kern w:val="0"/>
                <w:szCs w:val="21"/>
              </w:rPr>
              <w:t>经防潮、防虫、防腐等处理；ＰＶＣ封边；</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、五金配件：选用不锈钢材质等不生锈且耐用的配件。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7</w:t>
            </w:r>
          </w:p>
        </w:tc>
        <w:tc>
          <w:tcPr>
            <w:tcW w:w="155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货架</w:t>
            </w:r>
          </w:p>
        </w:tc>
        <w:tc>
          <w:tcPr>
            <w:tcW w:w="2499" w:type="dxa"/>
            <w:vAlign w:val="center"/>
          </w:tcPr>
          <w:p>
            <w:pPr>
              <w:autoSpaceDE w:val="0"/>
              <w:autoSpaceDN w:val="0"/>
              <w:adjustRightIn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2000*600*2000</w:t>
            </w:r>
          </w:p>
        </w:tc>
        <w:tc>
          <w:tcPr>
            <w:tcW w:w="9186" w:type="dxa"/>
            <w:vAlign w:val="center"/>
          </w:tcPr>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、立柱采用冷轧钢板经折弯成型尺寸</w:t>
            </w:r>
            <w:r>
              <w:rPr>
                <w:rFonts w:cs="宋体" w:asciiTheme="minorEastAsia" w:hAnsiTheme="minorEastAsia" w:eastAsiaTheme="minorEastAsia"/>
                <w:kern w:val="0"/>
                <w:szCs w:val="21"/>
              </w:rPr>
              <w:t>75mm*42mm*1.5mm</w:t>
            </w:r>
            <w:r>
              <w:rPr>
                <w:rFonts w:hint="eastAsia" w:cs="宋体" w:asciiTheme="minorEastAsia" w:hAnsiTheme="minorEastAsia" w:eastAsiaTheme="minorEastAsia"/>
                <w:kern w:val="0"/>
                <w:szCs w:val="21"/>
              </w:rPr>
              <w:t>；蝴蝶孔设计与横梁合理插接，便于拆装；</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、横梁采用</w:t>
            </w:r>
            <w:r>
              <w:rPr>
                <w:rFonts w:cs="宋体" w:asciiTheme="minorEastAsia" w:hAnsiTheme="minorEastAsia" w:eastAsiaTheme="minorEastAsia"/>
                <w:kern w:val="0"/>
                <w:szCs w:val="21"/>
              </w:rPr>
              <w:t>P</w:t>
            </w:r>
            <w:r>
              <w:rPr>
                <w:rFonts w:hint="eastAsia" w:cs="宋体" w:asciiTheme="minorEastAsia" w:hAnsiTheme="minorEastAsia" w:eastAsiaTheme="minorEastAsia"/>
                <w:kern w:val="0"/>
                <w:szCs w:val="21"/>
              </w:rPr>
              <w:t>型管材成型尺寸</w:t>
            </w:r>
            <w:r>
              <w:rPr>
                <w:rFonts w:cs="宋体" w:asciiTheme="minorEastAsia" w:hAnsiTheme="minorEastAsia" w:eastAsiaTheme="minorEastAsia"/>
                <w:kern w:val="0"/>
                <w:szCs w:val="21"/>
              </w:rPr>
              <w:t>80*40mm*1.5mm</w:t>
            </w:r>
            <w:r>
              <w:rPr>
                <w:rFonts w:hint="eastAsia" w:cs="宋体" w:asciiTheme="minorEastAsia" w:hAnsiTheme="minorEastAsia" w:eastAsiaTheme="minorEastAsia"/>
                <w:kern w:val="0"/>
                <w:szCs w:val="21"/>
              </w:rPr>
              <w:t>；</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、层板采用</w:t>
            </w:r>
            <w:r>
              <w:rPr>
                <w:rFonts w:cs="宋体" w:asciiTheme="minorEastAsia" w:hAnsiTheme="minorEastAsia" w:eastAsiaTheme="minorEastAsia"/>
                <w:kern w:val="0"/>
                <w:szCs w:val="21"/>
              </w:rPr>
              <w:t>0.8mm</w:t>
            </w:r>
            <w:r>
              <w:rPr>
                <w:rFonts w:hint="eastAsia" w:cs="宋体" w:asciiTheme="minorEastAsia" w:hAnsiTheme="minorEastAsia" w:eastAsiaTheme="minorEastAsia"/>
                <w:kern w:val="0"/>
                <w:szCs w:val="21"/>
              </w:rPr>
              <w:t>冷轧钢板，底部焊接加强筋增强承重；</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、颜色：立柱、横梁，层板亚光灰白色；</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5</w:t>
            </w:r>
            <w:r>
              <w:rPr>
                <w:rFonts w:hint="eastAsia" w:cs="宋体" w:asciiTheme="minorEastAsia" w:hAnsiTheme="minorEastAsia" w:eastAsiaTheme="minorEastAsia"/>
                <w:kern w:val="0"/>
                <w:szCs w:val="21"/>
              </w:rPr>
              <w:t>、四层空间，每层承重</w:t>
            </w:r>
            <w:r>
              <w:rPr>
                <w:rFonts w:cs="宋体" w:asciiTheme="minorEastAsia" w:hAnsiTheme="minorEastAsia" w:eastAsiaTheme="minorEastAsia"/>
                <w:kern w:val="0"/>
                <w:szCs w:val="21"/>
              </w:rPr>
              <w:t>200kg</w:t>
            </w:r>
            <w:r>
              <w:rPr>
                <w:rFonts w:hint="eastAsia" w:cs="宋体" w:asciiTheme="minorEastAsia" w:hAnsiTheme="minorEastAsia" w:eastAsiaTheme="minorEastAsia"/>
                <w:kern w:val="0"/>
                <w:szCs w:val="21"/>
              </w:rPr>
              <w:t>，层距可自由调节。</w:t>
            </w:r>
          </w:p>
        </w:tc>
      </w:tr>
    </w:tbl>
    <w:p>
      <w:pPr>
        <w:pStyle w:val="2"/>
      </w:pPr>
    </w:p>
    <w:p>
      <w:pPr>
        <w:pStyle w:val="2"/>
      </w:pPr>
    </w:p>
    <w:p>
      <w:pPr>
        <w:pStyle w:val="2"/>
        <w:rPr>
          <w:rFonts w:ascii="宋体" w:hAnsi="宋体"/>
          <w:b/>
          <w:bCs/>
          <w:sz w:val="24"/>
          <w:szCs w:val="24"/>
        </w:rPr>
      </w:pPr>
      <w:r>
        <w:rPr>
          <w:rFonts w:hint="eastAsia" w:ascii="宋体" w:hAnsi="宋体"/>
          <w:b/>
          <w:bCs/>
          <w:sz w:val="24"/>
          <w:szCs w:val="24"/>
        </w:rPr>
        <w:t>送样要求：</w:t>
      </w:r>
    </w:p>
    <w:p>
      <w:pPr>
        <w:pStyle w:val="16"/>
        <w:numPr>
          <w:ilvl w:val="0"/>
          <w:numId w:val="39"/>
        </w:numPr>
        <w:spacing w:line="400" w:lineRule="exact"/>
        <w:ind w:firstLine="480"/>
        <w:rPr>
          <w:rFonts w:ascii="宋体" w:hAnsi="宋体" w:eastAsia="宋体"/>
          <w:sz w:val="24"/>
          <w:szCs w:val="24"/>
        </w:rPr>
      </w:pPr>
      <w:r>
        <w:rPr>
          <w:rFonts w:hint="eastAsia" w:asciiTheme="minorEastAsia" w:hAnsiTheme="minorEastAsia"/>
          <w:sz w:val="24"/>
        </w:rPr>
        <w:t>基本要求：</w:t>
      </w:r>
    </w:p>
    <w:p>
      <w:pPr>
        <w:pStyle w:val="16"/>
        <w:spacing w:line="400" w:lineRule="exact"/>
        <w:ind w:firstLine="480"/>
        <w:rPr>
          <w:rFonts w:asciiTheme="minorEastAsia" w:hAnsiTheme="minorEastAsia"/>
          <w:sz w:val="24"/>
        </w:rPr>
      </w:pPr>
      <w:r>
        <w:rPr>
          <w:rFonts w:hint="eastAsia" w:asciiTheme="minorEastAsia" w:hAnsiTheme="minorEastAsia"/>
          <w:sz w:val="24"/>
        </w:rPr>
        <w:t>1.1投标人的样品制作、搬运、安装、拆除等相关费用由投标人承担。投标人须自备样品封样的纸箱和封箱带等所需物品。</w:t>
      </w:r>
    </w:p>
    <w:p>
      <w:pPr>
        <w:pStyle w:val="16"/>
        <w:spacing w:line="400" w:lineRule="exact"/>
        <w:ind w:firstLine="480"/>
        <w:rPr>
          <w:rFonts w:asciiTheme="minorEastAsia" w:hAnsiTheme="minorEastAsia"/>
          <w:sz w:val="24"/>
        </w:rPr>
      </w:pPr>
      <w:r>
        <w:rPr>
          <w:rFonts w:hint="eastAsia" w:asciiTheme="minorEastAsia" w:hAnsiTheme="minorEastAsia"/>
          <w:sz w:val="24"/>
        </w:rPr>
        <w:t>1.2样品作为响应文件的组成部分，于响应文件截止时间前送达开标地点，否则不予接收。</w:t>
      </w:r>
    </w:p>
    <w:p>
      <w:pPr>
        <w:pStyle w:val="16"/>
        <w:spacing w:line="400" w:lineRule="exact"/>
        <w:ind w:firstLine="480"/>
        <w:rPr>
          <w:rFonts w:asciiTheme="minorEastAsia" w:hAnsiTheme="minorEastAsia"/>
          <w:sz w:val="24"/>
        </w:rPr>
      </w:pPr>
      <w:r>
        <w:rPr>
          <w:rFonts w:hint="eastAsia" w:asciiTheme="minorEastAsia" w:hAnsiTheme="minorEastAsia"/>
          <w:sz w:val="24"/>
        </w:rPr>
        <w:t>1.3送达样品时，必须提供样品清单，注明项目名称、项目编号、样品名称及数量、投标人名称，与样品摆放在一起。</w:t>
      </w:r>
    </w:p>
    <w:p>
      <w:pPr>
        <w:pStyle w:val="16"/>
        <w:spacing w:line="400" w:lineRule="exact"/>
        <w:ind w:firstLine="480"/>
        <w:rPr>
          <w:rFonts w:asciiTheme="minorEastAsia" w:hAnsiTheme="minorEastAsia"/>
          <w:sz w:val="24"/>
        </w:rPr>
      </w:pPr>
      <w:r>
        <w:rPr>
          <w:rFonts w:hint="eastAsia" w:asciiTheme="minorEastAsia" w:hAnsiTheme="minorEastAsia"/>
          <w:sz w:val="24"/>
        </w:rPr>
        <w:t>1.4样品封样时，由现场监督人员现场监督，投标人应按代理机构工作人员指示进行封样。</w:t>
      </w:r>
    </w:p>
    <w:p>
      <w:pPr>
        <w:pStyle w:val="16"/>
        <w:spacing w:line="400" w:lineRule="exact"/>
        <w:ind w:firstLine="480"/>
        <w:rPr>
          <w:rFonts w:asciiTheme="minorEastAsia" w:hAnsiTheme="minorEastAsia"/>
          <w:sz w:val="24"/>
        </w:rPr>
      </w:pPr>
      <w:r>
        <w:rPr>
          <w:rFonts w:hint="eastAsia" w:asciiTheme="minorEastAsia" w:hAnsiTheme="minorEastAsia"/>
          <w:sz w:val="24"/>
        </w:rPr>
        <w:t>1.5样品封样结束后，由投标人保存，投标人收到代理机构工作人员移交通知后，三个工作日内办理移交。</w:t>
      </w:r>
    </w:p>
    <w:p>
      <w:pPr>
        <w:pStyle w:val="16"/>
        <w:spacing w:line="400" w:lineRule="exact"/>
        <w:ind w:firstLine="480"/>
        <w:rPr>
          <w:rFonts w:asciiTheme="minorEastAsia" w:hAnsiTheme="minorEastAsia"/>
          <w:sz w:val="24"/>
        </w:rPr>
      </w:pPr>
      <w:r>
        <w:rPr>
          <w:rFonts w:hint="eastAsia" w:asciiTheme="minorEastAsia" w:hAnsiTheme="minorEastAsia"/>
          <w:sz w:val="24"/>
        </w:rPr>
        <w:t>1.6中标结果公告后，中标人的封样样品移交采购人保存，用于验收比对；未中标的投标人在项目质疑投诉期结束后可自行处理封样样品。</w:t>
      </w:r>
    </w:p>
    <w:p>
      <w:pPr>
        <w:pStyle w:val="16"/>
        <w:spacing w:line="400" w:lineRule="exact"/>
        <w:ind w:firstLine="480"/>
        <w:rPr>
          <w:rFonts w:asciiTheme="minorEastAsia" w:hAnsiTheme="minorEastAsia"/>
          <w:sz w:val="24"/>
        </w:rPr>
      </w:pPr>
      <w:r>
        <w:rPr>
          <w:rFonts w:hint="eastAsia" w:asciiTheme="minorEastAsia" w:hAnsiTheme="minorEastAsia"/>
          <w:sz w:val="24"/>
        </w:rPr>
        <w:t>1.7本项目验收完成后，中标人收到采购人工作人员退还通知后，三个工作日内办理退还，移交后可自行处理样品。</w:t>
      </w:r>
    </w:p>
    <w:p>
      <w:pPr>
        <w:pStyle w:val="16"/>
        <w:spacing w:line="400" w:lineRule="exact"/>
        <w:ind w:firstLine="480"/>
        <w:rPr>
          <w:rFonts w:asciiTheme="minorEastAsia" w:hAnsiTheme="minorEastAsia"/>
          <w:sz w:val="24"/>
        </w:rPr>
      </w:pPr>
      <w:r>
        <w:rPr>
          <w:rFonts w:hint="eastAsia" w:asciiTheme="minorEastAsia" w:hAnsiTheme="minorEastAsia"/>
          <w:sz w:val="24"/>
        </w:rPr>
        <w:t>1.8样品移交、退还时，投标人按代理机构或采购人工作人员指定的时间、地点办理退还，因样品逾期未撤离而产生的废品处置费，由投标人承担。</w:t>
      </w:r>
    </w:p>
    <w:p>
      <w:pPr>
        <w:pStyle w:val="16"/>
        <w:spacing w:line="400" w:lineRule="exact"/>
        <w:ind w:firstLine="480"/>
        <w:rPr>
          <w:rFonts w:ascii="宋体" w:hAnsi="宋体" w:eastAsia="宋体"/>
          <w:sz w:val="24"/>
          <w:szCs w:val="24"/>
        </w:rPr>
      </w:pPr>
      <w:r>
        <w:rPr>
          <w:rFonts w:ascii="宋体" w:hAnsi="宋体" w:eastAsia="宋体"/>
          <w:sz w:val="24"/>
          <w:szCs w:val="24"/>
        </w:rPr>
        <w:t>2.特殊要求：</w:t>
      </w:r>
    </w:p>
    <w:p>
      <w:pPr>
        <w:pStyle w:val="16"/>
        <w:spacing w:line="400" w:lineRule="exact"/>
        <w:ind w:firstLine="480"/>
        <w:rPr>
          <w:rFonts w:asciiTheme="minorEastAsia" w:hAnsiTheme="minorEastAsia"/>
          <w:sz w:val="24"/>
        </w:rPr>
      </w:pPr>
      <w:r>
        <w:rPr>
          <w:rFonts w:hint="eastAsia" w:asciiTheme="minorEastAsia" w:hAnsiTheme="minorEastAsia"/>
          <w:sz w:val="24"/>
        </w:rPr>
        <w:t>2.1本项目样品评审采用盲样，投标人递交的样品上不得看见可以识别投标人的任何标志或标识或具有暗示性的文字、图案、装饰等，否则样品分不得分。</w:t>
      </w:r>
    </w:p>
    <w:p>
      <w:pPr>
        <w:pStyle w:val="16"/>
        <w:spacing w:line="400" w:lineRule="exact"/>
        <w:ind w:firstLine="480"/>
        <w:rPr>
          <w:rFonts w:asciiTheme="minorEastAsia" w:hAnsiTheme="minorEastAsia"/>
          <w:sz w:val="24"/>
        </w:rPr>
      </w:pPr>
      <w:r>
        <w:rPr>
          <w:rFonts w:hint="eastAsia" w:asciiTheme="minorEastAsia" w:hAnsiTheme="minorEastAsia"/>
          <w:sz w:val="24"/>
        </w:rPr>
        <w:t>2.2盲样评审前由现场监督人员进行随机编号后进入评审。</w:t>
      </w:r>
    </w:p>
    <w:p>
      <w:pPr>
        <w:pStyle w:val="16"/>
        <w:spacing w:line="400" w:lineRule="exact"/>
        <w:ind w:firstLine="480"/>
        <w:rPr>
          <w:rFonts w:asciiTheme="minorEastAsia" w:hAnsiTheme="minorEastAsia"/>
          <w:sz w:val="24"/>
        </w:rPr>
      </w:pPr>
      <w:r>
        <w:rPr>
          <w:rFonts w:hint="eastAsia" w:asciiTheme="minorEastAsia" w:hAnsiTheme="minorEastAsia"/>
          <w:sz w:val="24"/>
        </w:rPr>
        <w:t>2.3本项目送样清单：见清单附件。</w:t>
      </w:r>
    </w:p>
    <w:p>
      <w:pPr>
        <w:pStyle w:val="16"/>
        <w:numPr>
          <w:ilvl w:val="0"/>
          <w:numId w:val="40"/>
        </w:numPr>
        <w:spacing w:line="400" w:lineRule="exact"/>
        <w:ind w:firstLine="480"/>
        <w:rPr>
          <w:rFonts w:asciiTheme="minorEastAsia" w:hAnsiTheme="minorEastAsia"/>
          <w:sz w:val="24"/>
        </w:rPr>
      </w:pPr>
      <w:r>
        <w:rPr>
          <w:rFonts w:hint="eastAsia" w:asciiTheme="minorEastAsia" w:hAnsiTheme="minorEastAsia"/>
          <w:sz w:val="24"/>
        </w:rPr>
        <w:t>送样清单：</w:t>
      </w:r>
    </w:p>
    <w:p>
      <w:pPr>
        <w:pStyle w:val="16"/>
        <w:spacing w:line="400" w:lineRule="exact"/>
        <w:ind w:firstLine="0"/>
        <w:rPr>
          <w:rFonts w:asciiTheme="minorEastAsia" w:hAnsiTheme="minorEastAsia"/>
          <w:sz w:val="24"/>
        </w:rPr>
      </w:pPr>
    </w:p>
    <w:tbl>
      <w:tblPr>
        <w:tblStyle w:val="46"/>
        <w:tblW w:w="14073" w:type="dxa"/>
        <w:tblInd w:w="-34" w:type="dxa"/>
        <w:tblLayout w:type="fixed"/>
        <w:tblCellMar>
          <w:top w:w="0" w:type="dxa"/>
          <w:left w:w="108" w:type="dxa"/>
          <w:bottom w:w="0" w:type="dxa"/>
          <w:right w:w="108" w:type="dxa"/>
        </w:tblCellMar>
      </w:tblPr>
      <w:tblGrid>
        <w:gridCol w:w="1178"/>
        <w:gridCol w:w="3117"/>
        <w:gridCol w:w="2866"/>
        <w:gridCol w:w="3495"/>
        <w:gridCol w:w="2527"/>
        <w:gridCol w:w="890"/>
      </w:tblGrid>
      <w:tr>
        <w:tblPrEx>
          <w:tblLayout w:type="fixed"/>
          <w:tblCellMar>
            <w:top w:w="0" w:type="dxa"/>
            <w:left w:w="108" w:type="dxa"/>
            <w:bottom w:w="0" w:type="dxa"/>
            <w:right w:w="108" w:type="dxa"/>
          </w:tblCellMar>
        </w:tblPrEx>
        <w:trPr>
          <w:trHeight w:val="629" w:hRule="atLeast"/>
        </w:trPr>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24"/>
              </w:rPr>
            </w:pPr>
            <w:r>
              <w:rPr>
                <w:rFonts w:hint="eastAsia" w:ascii="宋体" w:hAnsi="宋体"/>
                <w:b/>
                <w:bCs/>
                <w:kern w:val="0"/>
                <w:sz w:val="24"/>
              </w:rPr>
              <w:t>序号</w:t>
            </w:r>
          </w:p>
        </w:tc>
        <w:tc>
          <w:tcPr>
            <w:tcW w:w="3117"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4"/>
              </w:rPr>
            </w:pPr>
            <w:r>
              <w:rPr>
                <w:rFonts w:hint="eastAsia" w:ascii="宋体" w:hAnsi="宋体"/>
                <w:b/>
                <w:bCs/>
                <w:kern w:val="0"/>
                <w:sz w:val="24"/>
              </w:rPr>
              <w:t>产品名称（序号）</w:t>
            </w:r>
          </w:p>
        </w:tc>
        <w:tc>
          <w:tcPr>
            <w:tcW w:w="2866" w:type="dxa"/>
            <w:tcBorders>
              <w:top w:val="single" w:color="auto" w:sz="4" w:space="0"/>
              <w:left w:val="nil"/>
              <w:bottom w:val="single" w:color="auto" w:sz="4" w:space="0"/>
              <w:right w:val="single" w:color="auto" w:sz="4" w:space="0"/>
            </w:tcBorders>
            <w:vAlign w:val="center"/>
          </w:tcPr>
          <w:p>
            <w:pPr>
              <w:spacing w:after="160" w:line="325" w:lineRule="exact"/>
              <w:ind w:left="227" w:right="220" w:firstLine="0"/>
              <w:jc w:val="center"/>
              <w:rPr>
                <w:rFonts w:hint="eastAsia" w:ascii="宋体" w:hAnsi="宋体"/>
                <w:b/>
                <w:bCs/>
                <w:kern w:val="0"/>
                <w:sz w:val="24"/>
              </w:rPr>
            </w:pPr>
            <w:r>
              <w:rPr>
                <w:rFonts w:ascii="宋体" w:hAnsi="宋体" w:eastAsia="宋体" w:cs="Times New Roman"/>
                <w:b/>
                <w:color w:val="000000" w:themeColor="text1"/>
                <w:sz w:val="24"/>
                <w:szCs w:val="24"/>
                <w:lang w:val="en-US" w:eastAsia="zh-CN" w:bidi="ar-SA"/>
              </w:rPr>
              <w:t>对应项目参数序号</w:t>
            </w:r>
          </w:p>
        </w:tc>
        <w:tc>
          <w:tcPr>
            <w:tcW w:w="3495"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4"/>
              </w:rPr>
            </w:pPr>
            <w:r>
              <w:rPr>
                <w:rFonts w:hint="eastAsia" w:ascii="宋体" w:hAnsi="宋体"/>
                <w:b/>
                <w:bCs/>
                <w:kern w:val="0"/>
                <w:sz w:val="24"/>
              </w:rPr>
              <w:t>规格</w:t>
            </w:r>
          </w:p>
        </w:tc>
        <w:tc>
          <w:tcPr>
            <w:tcW w:w="2527"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4"/>
              </w:rPr>
            </w:pPr>
            <w:r>
              <w:rPr>
                <w:rFonts w:hint="eastAsia" w:ascii="宋体" w:hAnsi="宋体"/>
                <w:b/>
                <w:bCs/>
                <w:kern w:val="0"/>
                <w:sz w:val="24"/>
              </w:rPr>
              <w:t>单位</w:t>
            </w:r>
          </w:p>
        </w:tc>
        <w:tc>
          <w:tcPr>
            <w:tcW w:w="890"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4"/>
              </w:rPr>
            </w:pPr>
            <w:r>
              <w:rPr>
                <w:rFonts w:hint="eastAsia" w:ascii="宋体" w:hAnsi="宋体"/>
                <w:b/>
                <w:bCs/>
                <w:kern w:val="0"/>
                <w:sz w:val="24"/>
              </w:rPr>
              <w:t>数量</w:t>
            </w:r>
          </w:p>
        </w:tc>
      </w:tr>
      <w:tr>
        <w:tblPrEx>
          <w:tblLayout w:type="fixed"/>
          <w:tblCellMar>
            <w:top w:w="0" w:type="dxa"/>
            <w:left w:w="108" w:type="dxa"/>
            <w:bottom w:w="0" w:type="dxa"/>
            <w:right w:w="108" w:type="dxa"/>
          </w:tblCellMar>
        </w:tblPrEx>
        <w:trPr>
          <w:trHeight w:val="566" w:hRule="atLeast"/>
        </w:trPr>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w:t>
            </w:r>
          </w:p>
        </w:tc>
        <w:tc>
          <w:tcPr>
            <w:tcW w:w="3117"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rPr>
            </w:pPr>
            <w:r>
              <w:rPr>
                <w:rFonts w:hint="eastAsia" w:ascii="宋体" w:hAnsi="宋体"/>
                <w:sz w:val="24"/>
              </w:rPr>
              <w:t>玩具柜</w:t>
            </w:r>
          </w:p>
        </w:tc>
        <w:tc>
          <w:tcPr>
            <w:tcW w:w="286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 w:val="24"/>
                <w:lang w:val="en-US" w:eastAsia="zh-CN"/>
              </w:rPr>
            </w:pPr>
            <w:r>
              <w:rPr>
                <w:rFonts w:hint="eastAsia" w:ascii="宋体" w:hAnsi="宋体"/>
                <w:sz w:val="24"/>
                <w:lang w:val="en-US" w:eastAsia="zh-CN"/>
              </w:rPr>
              <w:t>2</w:t>
            </w:r>
          </w:p>
        </w:tc>
        <w:tc>
          <w:tcPr>
            <w:tcW w:w="3495"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同技术参数要求</w:t>
            </w:r>
          </w:p>
        </w:tc>
        <w:tc>
          <w:tcPr>
            <w:tcW w:w="2527"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个</w:t>
            </w:r>
          </w:p>
        </w:tc>
        <w:tc>
          <w:tcPr>
            <w:tcW w:w="89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w:t>
            </w:r>
          </w:p>
        </w:tc>
      </w:tr>
      <w:tr>
        <w:tblPrEx>
          <w:tblLayout w:type="fixed"/>
          <w:tblCellMar>
            <w:top w:w="0" w:type="dxa"/>
            <w:left w:w="108" w:type="dxa"/>
            <w:bottom w:w="0" w:type="dxa"/>
            <w:right w:w="108" w:type="dxa"/>
          </w:tblCellMar>
        </w:tblPrEx>
        <w:trPr>
          <w:trHeight w:val="691" w:hRule="atLeast"/>
        </w:trPr>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w:t>
            </w:r>
          </w:p>
        </w:tc>
        <w:tc>
          <w:tcPr>
            <w:tcW w:w="3117"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rPr>
            </w:pPr>
            <w:r>
              <w:rPr>
                <w:rFonts w:hint="eastAsia" w:ascii="宋体" w:hAnsi="宋体"/>
                <w:sz w:val="24"/>
              </w:rPr>
              <w:t>幼儿椅</w:t>
            </w:r>
          </w:p>
        </w:tc>
        <w:tc>
          <w:tcPr>
            <w:tcW w:w="286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sz w:val="24"/>
                <w:lang w:val="en-US" w:eastAsia="zh-CN"/>
              </w:rPr>
            </w:pPr>
            <w:r>
              <w:rPr>
                <w:rFonts w:hint="eastAsia" w:ascii="宋体" w:hAnsi="宋体"/>
                <w:sz w:val="24"/>
                <w:lang w:val="en-US" w:eastAsia="zh-CN"/>
              </w:rPr>
              <w:t>10</w:t>
            </w:r>
          </w:p>
        </w:tc>
        <w:tc>
          <w:tcPr>
            <w:tcW w:w="3495"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同技术参数要求</w:t>
            </w:r>
          </w:p>
        </w:tc>
        <w:tc>
          <w:tcPr>
            <w:tcW w:w="2527"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把</w:t>
            </w:r>
          </w:p>
        </w:tc>
        <w:tc>
          <w:tcPr>
            <w:tcW w:w="89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w:t>
            </w:r>
          </w:p>
        </w:tc>
      </w:tr>
      <w:tr>
        <w:tblPrEx>
          <w:tblLayout w:type="fixed"/>
          <w:tblCellMar>
            <w:top w:w="0" w:type="dxa"/>
            <w:left w:w="108" w:type="dxa"/>
            <w:bottom w:w="0" w:type="dxa"/>
            <w:right w:w="108" w:type="dxa"/>
          </w:tblCellMar>
        </w:tblPrEx>
        <w:trPr>
          <w:trHeight w:val="691" w:hRule="atLeast"/>
        </w:trPr>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3</w:t>
            </w:r>
          </w:p>
        </w:tc>
        <w:tc>
          <w:tcPr>
            <w:tcW w:w="3117"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rPr>
            </w:pPr>
            <w:r>
              <w:rPr>
                <w:rFonts w:hint="eastAsia" w:ascii="宋体" w:hAnsi="宋体"/>
                <w:sz w:val="24"/>
              </w:rPr>
              <w:t>办公桌</w:t>
            </w:r>
          </w:p>
        </w:tc>
        <w:tc>
          <w:tcPr>
            <w:tcW w:w="286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sz w:val="24"/>
                <w:lang w:val="en-US" w:eastAsia="zh-CN"/>
              </w:rPr>
            </w:pPr>
            <w:r>
              <w:rPr>
                <w:rFonts w:hint="eastAsia" w:ascii="宋体" w:hAnsi="宋体"/>
                <w:sz w:val="24"/>
                <w:lang w:val="en-US" w:eastAsia="zh-CN"/>
              </w:rPr>
              <w:t>30</w:t>
            </w:r>
          </w:p>
        </w:tc>
        <w:tc>
          <w:tcPr>
            <w:tcW w:w="3495"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同技术参数要求</w:t>
            </w:r>
          </w:p>
        </w:tc>
        <w:tc>
          <w:tcPr>
            <w:tcW w:w="2527"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位</w:t>
            </w:r>
          </w:p>
        </w:tc>
        <w:tc>
          <w:tcPr>
            <w:tcW w:w="89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w:t>
            </w:r>
          </w:p>
        </w:tc>
      </w:tr>
      <w:tr>
        <w:tblPrEx>
          <w:tblLayout w:type="fixed"/>
          <w:tblCellMar>
            <w:top w:w="0" w:type="dxa"/>
            <w:left w:w="108" w:type="dxa"/>
            <w:bottom w:w="0" w:type="dxa"/>
            <w:right w:w="108" w:type="dxa"/>
          </w:tblCellMar>
        </w:tblPrEx>
        <w:trPr>
          <w:trHeight w:val="691" w:hRule="atLeast"/>
        </w:trPr>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4</w:t>
            </w:r>
          </w:p>
        </w:tc>
        <w:tc>
          <w:tcPr>
            <w:tcW w:w="3117"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rPr>
            </w:pPr>
            <w:r>
              <w:rPr>
                <w:rFonts w:hint="eastAsia" w:ascii="宋体" w:hAnsi="宋体"/>
                <w:sz w:val="24"/>
              </w:rPr>
              <w:t>活动柜</w:t>
            </w:r>
          </w:p>
        </w:tc>
        <w:tc>
          <w:tcPr>
            <w:tcW w:w="286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sz w:val="24"/>
                <w:lang w:val="en-US" w:eastAsia="zh-CN"/>
              </w:rPr>
            </w:pPr>
            <w:r>
              <w:rPr>
                <w:rFonts w:hint="eastAsia" w:ascii="宋体" w:hAnsi="宋体"/>
                <w:sz w:val="24"/>
                <w:lang w:val="en-US" w:eastAsia="zh-CN"/>
              </w:rPr>
              <w:t>31</w:t>
            </w:r>
          </w:p>
        </w:tc>
        <w:tc>
          <w:tcPr>
            <w:tcW w:w="3495"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同技术参数要求</w:t>
            </w:r>
          </w:p>
        </w:tc>
        <w:tc>
          <w:tcPr>
            <w:tcW w:w="2527"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个</w:t>
            </w:r>
          </w:p>
        </w:tc>
        <w:tc>
          <w:tcPr>
            <w:tcW w:w="89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w:t>
            </w:r>
          </w:p>
        </w:tc>
      </w:tr>
      <w:tr>
        <w:tblPrEx>
          <w:tblLayout w:type="fixed"/>
          <w:tblCellMar>
            <w:top w:w="0" w:type="dxa"/>
            <w:left w:w="108" w:type="dxa"/>
            <w:bottom w:w="0" w:type="dxa"/>
            <w:right w:w="108" w:type="dxa"/>
          </w:tblCellMar>
        </w:tblPrEx>
        <w:trPr>
          <w:trHeight w:val="691" w:hRule="atLeast"/>
        </w:trPr>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5</w:t>
            </w:r>
          </w:p>
        </w:tc>
        <w:tc>
          <w:tcPr>
            <w:tcW w:w="3117"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rPr>
            </w:pPr>
            <w:r>
              <w:rPr>
                <w:rFonts w:hint="eastAsia" w:ascii="宋体" w:hAnsi="宋体"/>
                <w:sz w:val="24"/>
              </w:rPr>
              <w:t>办公椅</w:t>
            </w:r>
          </w:p>
        </w:tc>
        <w:tc>
          <w:tcPr>
            <w:tcW w:w="286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sz w:val="24"/>
                <w:lang w:val="en-US" w:eastAsia="zh-CN"/>
              </w:rPr>
            </w:pPr>
            <w:r>
              <w:rPr>
                <w:rFonts w:hint="eastAsia" w:ascii="宋体" w:hAnsi="宋体"/>
                <w:sz w:val="24"/>
                <w:lang w:val="en-US" w:eastAsia="zh-CN"/>
              </w:rPr>
              <w:t>32</w:t>
            </w:r>
          </w:p>
        </w:tc>
        <w:tc>
          <w:tcPr>
            <w:tcW w:w="3495"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同技术参数要求</w:t>
            </w:r>
          </w:p>
        </w:tc>
        <w:tc>
          <w:tcPr>
            <w:tcW w:w="2527"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把</w:t>
            </w:r>
          </w:p>
        </w:tc>
        <w:tc>
          <w:tcPr>
            <w:tcW w:w="89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w:t>
            </w:r>
          </w:p>
        </w:tc>
      </w:tr>
    </w:tbl>
    <w:p>
      <w:pPr>
        <w:pStyle w:val="16"/>
        <w:spacing w:line="400" w:lineRule="exact"/>
        <w:ind w:firstLine="0"/>
        <w:rPr>
          <w:rFonts w:asciiTheme="minorEastAsia" w:hAnsiTheme="minorEastAsia"/>
          <w:sz w:val="24"/>
        </w:rPr>
      </w:pPr>
    </w:p>
    <w:p>
      <w:pPr>
        <w:pStyle w:val="16"/>
        <w:spacing w:line="400" w:lineRule="exact"/>
        <w:ind w:firstLine="240" w:firstLineChars="100"/>
        <w:rPr>
          <w:rFonts w:asciiTheme="minorEastAsia" w:hAnsiTheme="minorEastAsia"/>
          <w:sz w:val="24"/>
        </w:rPr>
      </w:pPr>
      <w:r>
        <w:rPr>
          <w:rFonts w:hint="eastAsia" w:ascii="宋体" w:hAnsi="宋体" w:eastAsia="宋体" w:cs="宋体"/>
          <w:sz w:val="24"/>
          <w:szCs w:val="24"/>
        </w:rPr>
        <w:t>4</w:t>
      </w:r>
      <w:r>
        <w:rPr>
          <w:rFonts w:ascii="宋体" w:hAnsi="宋体" w:eastAsia="宋体"/>
          <w:sz w:val="24"/>
          <w:szCs w:val="24"/>
        </w:rPr>
        <w:t>.</w:t>
      </w:r>
      <w:r>
        <w:rPr>
          <w:rFonts w:ascii="宋体" w:hAnsi="宋体" w:eastAsia="宋体" w:cs="宋体"/>
          <w:sz w:val="24"/>
          <w:szCs w:val="24"/>
        </w:rPr>
        <w:t>其他要求</w:t>
      </w:r>
      <w:r>
        <w:rPr>
          <w:rFonts w:ascii="宋体" w:hAnsi="宋体" w:eastAsia="宋体" w:cs="宋体"/>
          <w:sz w:val="24"/>
          <w:szCs w:val="24"/>
        </w:rPr>
        <w:br w:type="textWrapping"/>
      </w:r>
      <w:r>
        <w:rPr>
          <w:rFonts w:ascii="宋体" w:hAnsi="宋体" w:eastAsia="宋体" w:cs="宋体"/>
          <w:sz w:val="24"/>
          <w:szCs w:val="24"/>
        </w:rPr>
        <w:t>投标企业承诺，为落实大气污染防治相关要求，在家具生产过程汇总，全面使用低VOCs含量原辅材料。请供应商提供承诺函。</w:t>
      </w:r>
    </w:p>
    <w:p>
      <w:pPr>
        <w:pStyle w:val="16"/>
        <w:spacing w:line="400" w:lineRule="exact"/>
        <w:ind w:firstLine="0"/>
        <w:rPr>
          <w:rFonts w:asciiTheme="minorEastAsia" w:hAnsiTheme="minorEastAsia"/>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rPr>
          <w:rFonts w:ascii="宋体" w:hAnsi="宋体"/>
          <w:sz w:val="24"/>
        </w:rPr>
      </w:pPr>
    </w:p>
    <w:p>
      <w:pPr>
        <w:keepNext/>
        <w:keepLines/>
        <w:tabs>
          <w:tab w:val="left" w:pos="0"/>
          <w:tab w:val="left" w:pos="426"/>
          <w:tab w:val="left" w:pos="576"/>
          <w:tab w:val="left" w:pos="786"/>
        </w:tabs>
        <w:spacing w:line="360" w:lineRule="auto"/>
        <w:outlineLvl w:val="1"/>
        <w:rPr>
          <w:rFonts w:ascii="宋体" w:hAnsi="宋体"/>
          <w:b/>
          <w:bCs/>
          <w:sz w:val="28"/>
          <w:szCs w:val="28"/>
        </w:rPr>
        <w:sectPr>
          <w:pgSz w:w="16783" w:h="11850" w:orient="landscape"/>
          <w:pgMar w:top="1800" w:right="1440" w:bottom="1800" w:left="1440" w:header="708" w:footer="708" w:gutter="0"/>
          <w:cols w:space="708" w:num="1"/>
          <w:docGrid w:linePitch="360" w:charSpace="0"/>
        </w:sectPr>
      </w:pPr>
      <w:bookmarkStart w:id="158" w:name="_Toc74752338"/>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28"/>
          <w:szCs w:val="28"/>
        </w:rPr>
      </w:pPr>
      <w:r>
        <w:rPr>
          <w:rFonts w:hint="eastAsia" w:ascii="宋体" w:hAnsi="宋体"/>
          <w:b/>
          <w:bCs/>
          <w:sz w:val="28"/>
          <w:szCs w:val="28"/>
        </w:rPr>
        <w:t>商务</w:t>
      </w:r>
      <w:r>
        <w:rPr>
          <w:rFonts w:ascii="宋体" w:hAnsi="宋体"/>
          <w:b/>
          <w:bCs/>
          <w:sz w:val="28"/>
          <w:szCs w:val="28"/>
        </w:rPr>
        <w:t>要求</w:t>
      </w:r>
      <w:bookmarkEnd w:id="158"/>
    </w:p>
    <w:p>
      <w:pPr>
        <w:spacing w:line="360" w:lineRule="auto"/>
        <w:ind w:firstLine="480"/>
        <w:rPr>
          <w:rFonts w:ascii="宋体" w:hAnsi="宋体"/>
          <w:sz w:val="24"/>
        </w:rPr>
      </w:pPr>
      <w:r>
        <w:rPr>
          <w:rFonts w:hint="eastAsia" w:ascii="宋体" w:hAnsi="宋体"/>
          <w:sz w:val="24"/>
        </w:rPr>
        <w:t>1、设备安装：中标人负责将设备送到成都市龙泉驿区教育局指定学校，并负责安装、调试、培训。</w:t>
      </w:r>
    </w:p>
    <w:p>
      <w:pPr>
        <w:spacing w:line="360" w:lineRule="auto"/>
        <w:ind w:firstLine="480"/>
        <w:rPr>
          <w:rFonts w:ascii="宋体" w:hAnsi="宋体"/>
          <w:sz w:val="24"/>
        </w:rPr>
      </w:pPr>
      <w:r>
        <w:rPr>
          <w:rFonts w:hint="eastAsia" w:ascii="宋体" w:hAnsi="宋体"/>
          <w:sz w:val="24"/>
        </w:rPr>
        <w:t>2、交货期限：中标人须在合同签订生效后60日内完成交付。</w:t>
      </w:r>
    </w:p>
    <w:p>
      <w:pPr>
        <w:spacing w:line="360" w:lineRule="auto"/>
        <w:ind w:firstLine="480"/>
        <w:rPr>
          <w:rFonts w:ascii="宋体" w:hAnsi="宋体"/>
          <w:sz w:val="24"/>
        </w:rPr>
      </w:pPr>
      <w:r>
        <w:rPr>
          <w:rFonts w:hint="eastAsia" w:ascii="宋体" w:hAnsi="宋体"/>
          <w:sz w:val="24"/>
        </w:rPr>
        <w:t>3、付款要求：</w:t>
      </w:r>
    </w:p>
    <w:p>
      <w:pPr>
        <w:spacing w:line="360" w:lineRule="auto"/>
        <w:ind w:firstLine="480"/>
        <w:rPr>
          <w:rFonts w:ascii="宋体" w:hAnsi="宋体"/>
          <w:sz w:val="24"/>
        </w:rPr>
      </w:pPr>
      <w:r>
        <w:rPr>
          <w:rFonts w:hint="eastAsia" w:ascii="宋体" w:hAnsi="宋体"/>
          <w:sz w:val="24"/>
        </w:rPr>
        <w:t>3.1、合同签订生效后后，中标人完成全部货物的运输、安装、调试等工作，经采购人验收合格结束后，采购人在收到中标人出具的正规发票</w:t>
      </w:r>
      <w:r>
        <w:rPr>
          <w:rFonts w:ascii="宋体" w:hAnsi="宋体"/>
          <w:sz w:val="24"/>
        </w:rPr>
        <w:t>15</w:t>
      </w:r>
      <w:r>
        <w:rPr>
          <w:rFonts w:hint="eastAsia" w:ascii="宋体" w:hAnsi="宋体"/>
          <w:sz w:val="24"/>
        </w:rPr>
        <w:t>日内，采购人支付合同金额的100%。</w:t>
      </w:r>
    </w:p>
    <w:p>
      <w:pPr>
        <w:spacing w:line="360" w:lineRule="auto"/>
        <w:ind w:firstLine="480"/>
        <w:rPr>
          <w:rFonts w:ascii="宋体" w:hAnsi="宋体"/>
          <w:sz w:val="24"/>
        </w:rPr>
      </w:pPr>
      <w:r>
        <w:rPr>
          <w:rFonts w:hint="eastAsia" w:ascii="宋体" w:hAnsi="宋体"/>
          <w:sz w:val="24"/>
        </w:rPr>
        <w:t>3.2、逾期支付责任：采购人不得以机构变动、人员更替、政策调整等为由延迟付款，不得将采购文件和合同中未规定的义务作为向供应商付款的条件。采购人逾期付款的，依据相关规定承担相关责任。</w:t>
      </w:r>
      <w:r>
        <w:rPr>
          <w:rFonts w:hint="eastAsia" w:ascii="宋体" w:hAnsi="宋体"/>
          <w:b/>
          <w:bCs/>
          <w:sz w:val="24"/>
        </w:rPr>
        <w:t>（注：此条款为采购人逾期支付责任的说明，投标人在投标文件中对此可不做应答）</w:t>
      </w:r>
    </w:p>
    <w:p>
      <w:pPr>
        <w:spacing w:line="360" w:lineRule="auto"/>
        <w:ind w:firstLine="480"/>
        <w:rPr>
          <w:rFonts w:ascii="宋体" w:hAnsi="宋体"/>
          <w:sz w:val="24"/>
        </w:rPr>
      </w:pPr>
      <w:r>
        <w:rPr>
          <w:rFonts w:hint="eastAsia" w:ascii="宋体" w:hAnsi="宋体"/>
          <w:sz w:val="24"/>
        </w:rPr>
        <w:t>4、履约验收要求：</w:t>
      </w:r>
    </w:p>
    <w:p>
      <w:pPr>
        <w:spacing w:line="360" w:lineRule="auto"/>
        <w:ind w:firstLine="480"/>
        <w:rPr>
          <w:rFonts w:ascii="宋体" w:hAnsi="宋体"/>
          <w:sz w:val="24"/>
        </w:rPr>
      </w:pPr>
      <w:r>
        <w:rPr>
          <w:rFonts w:hint="eastAsia" w:ascii="宋体" w:hAnsi="宋体"/>
          <w:sz w:val="24"/>
        </w:rPr>
        <w:t>4.1中标人与采购人应严格按照相关要求进行验收，采购方有权邀请第三方机构或质检部门共同验收。</w:t>
      </w:r>
    </w:p>
    <w:p>
      <w:pPr>
        <w:spacing w:line="360" w:lineRule="auto"/>
        <w:ind w:firstLine="480"/>
        <w:rPr>
          <w:rFonts w:ascii="宋体" w:hAnsi="宋体"/>
          <w:sz w:val="24"/>
        </w:rPr>
      </w:pPr>
      <w:r>
        <w:rPr>
          <w:rFonts w:hint="eastAsia" w:ascii="宋体" w:hAnsi="宋体"/>
          <w:sz w:val="24"/>
        </w:rPr>
        <w:t>4.2验收方法：验收时双方皆应派员参加，验收合格并安装完毕后需双方签署验收单；</w:t>
      </w:r>
    </w:p>
    <w:p>
      <w:pPr>
        <w:spacing w:line="360" w:lineRule="auto"/>
        <w:ind w:firstLine="480"/>
        <w:rPr>
          <w:rFonts w:ascii="宋体" w:hAnsi="宋体"/>
          <w:sz w:val="24"/>
        </w:rPr>
      </w:pPr>
      <w:r>
        <w:rPr>
          <w:rFonts w:hint="eastAsia" w:ascii="宋体" w:hAnsi="宋体"/>
          <w:sz w:val="24"/>
        </w:rPr>
        <w:t>4.3 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磋商响应文件中按质量要求和技术指标比较优胜的原则确定该项的约定标准进行验收；</w:t>
      </w:r>
    </w:p>
    <w:p>
      <w:pPr>
        <w:spacing w:line="360" w:lineRule="auto"/>
        <w:ind w:firstLine="480"/>
        <w:rPr>
          <w:rFonts w:ascii="宋体" w:hAnsi="宋体"/>
          <w:sz w:val="24"/>
        </w:rPr>
      </w:pPr>
      <w:r>
        <w:rPr>
          <w:rFonts w:hint="eastAsia" w:ascii="宋体" w:hAnsi="宋体"/>
          <w:sz w:val="24"/>
        </w:rPr>
        <w:t>4.4 验收时间要求：成交人按照合同要求完成全部工作后，采购人在收到书面的验收申请材料后30日内组织履约验收工作。</w:t>
      </w:r>
    </w:p>
    <w:p>
      <w:pPr>
        <w:spacing w:line="360" w:lineRule="auto"/>
        <w:ind w:firstLine="480"/>
        <w:rPr>
          <w:rFonts w:ascii="宋体" w:hAnsi="宋体"/>
          <w:sz w:val="24"/>
        </w:rPr>
      </w:pPr>
      <w:r>
        <w:rPr>
          <w:rFonts w:hint="eastAsia" w:ascii="宋体" w:hAnsi="宋体"/>
          <w:sz w:val="24"/>
        </w:rPr>
        <w:t>4.5 其他要求：</w:t>
      </w:r>
    </w:p>
    <w:p>
      <w:pPr>
        <w:spacing w:line="360" w:lineRule="auto"/>
        <w:ind w:firstLine="480"/>
        <w:rPr>
          <w:rFonts w:ascii="宋体" w:hAnsi="宋体"/>
          <w:sz w:val="24"/>
        </w:rPr>
      </w:pPr>
      <w:r>
        <w:rPr>
          <w:rFonts w:hint="eastAsia" w:ascii="宋体" w:hAnsi="宋体"/>
          <w:sz w:val="24"/>
        </w:rPr>
        <w:t>（1）验收时如发现所交付的货物有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w:t>
      </w:r>
    </w:p>
    <w:p>
      <w:pPr>
        <w:spacing w:line="360" w:lineRule="auto"/>
        <w:ind w:firstLine="480"/>
        <w:rPr>
          <w:rFonts w:ascii="宋体" w:hAnsi="宋体"/>
          <w:sz w:val="24"/>
        </w:rPr>
      </w:pPr>
      <w:r>
        <w:rPr>
          <w:rFonts w:hint="eastAsia" w:ascii="宋体" w:hAnsi="宋体"/>
          <w:sz w:val="24"/>
        </w:rPr>
        <w:t>（2）采购人无故不进行验收工作并已使用货物的，视同已完成履约并验收合格。</w:t>
      </w:r>
    </w:p>
    <w:p>
      <w:pPr>
        <w:spacing w:line="360" w:lineRule="auto"/>
        <w:ind w:firstLine="480"/>
        <w:rPr>
          <w:rFonts w:ascii="宋体" w:hAnsi="宋体"/>
          <w:sz w:val="24"/>
        </w:rPr>
      </w:pPr>
      <w:r>
        <w:rPr>
          <w:rFonts w:hint="eastAsia" w:ascii="宋体" w:hAnsi="宋体"/>
          <w:sz w:val="24"/>
        </w:rPr>
        <w:t>（3）如货物经供应商3次维修或更换仍不能达到合同约定的质量标准，采购人有权退货，并视作供应商不能交付货物而须支付违约赔偿金给采购人，采购人还可依法追究供应商的违约责任。</w:t>
      </w:r>
    </w:p>
    <w:p>
      <w:pPr>
        <w:spacing w:line="360" w:lineRule="auto"/>
        <w:ind w:firstLine="480"/>
        <w:rPr>
          <w:rFonts w:ascii="宋体" w:hAnsi="宋体"/>
          <w:sz w:val="24"/>
        </w:rPr>
      </w:pPr>
      <w:r>
        <w:rPr>
          <w:rFonts w:hint="eastAsia" w:ascii="宋体" w:hAnsi="宋体"/>
          <w:sz w:val="24"/>
        </w:rPr>
        <w:t>（4）项目验收结果合格的，供应商凭验收合格证明书至采购单位办理财政支付手续；验收结果不合格且拒不整改的，采购人有权拒绝支付采购资金，还可能上报本项目同级财政部门。</w:t>
      </w:r>
    </w:p>
    <w:p>
      <w:pPr>
        <w:spacing w:line="360" w:lineRule="auto"/>
        <w:ind w:firstLine="480"/>
        <w:rPr>
          <w:rFonts w:ascii="宋体" w:hAnsi="宋体"/>
          <w:sz w:val="24"/>
        </w:rPr>
      </w:pPr>
      <w:r>
        <w:rPr>
          <w:rFonts w:hint="eastAsia" w:ascii="宋体" w:hAnsi="宋体"/>
          <w:sz w:val="24"/>
        </w:rPr>
        <w:t>5、质保期要求</w:t>
      </w:r>
    </w:p>
    <w:p>
      <w:pPr>
        <w:spacing w:line="360" w:lineRule="auto"/>
        <w:ind w:firstLine="480"/>
        <w:rPr>
          <w:rFonts w:ascii="宋体" w:hAnsi="宋体"/>
          <w:sz w:val="24"/>
        </w:rPr>
      </w:pPr>
      <w:r>
        <w:rPr>
          <w:rFonts w:hint="eastAsia" w:ascii="宋体" w:hAnsi="宋体"/>
          <w:sz w:val="24"/>
        </w:rPr>
        <w:t>本项目所涉及产品质保期≥3年，质保期内负责维修，终身维护，质保期从项目通过验收出具发票之日起开始计算。</w:t>
      </w:r>
    </w:p>
    <w:p>
      <w:pPr>
        <w:spacing w:line="360" w:lineRule="auto"/>
        <w:ind w:firstLine="480"/>
        <w:rPr>
          <w:rFonts w:ascii="宋体" w:hAnsi="宋体"/>
          <w:sz w:val="24"/>
        </w:rPr>
      </w:pPr>
      <w:r>
        <w:rPr>
          <w:rFonts w:ascii="宋体" w:hAnsi="宋体"/>
          <w:sz w:val="24"/>
        </w:rPr>
        <w:t>6</w:t>
      </w:r>
      <w:r>
        <w:rPr>
          <w:rFonts w:hint="eastAsia" w:ascii="宋体" w:hAnsi="宋体"/>
          <w:sz w:val="24"/>
        </w:rPr>
        <w:t>、知识产权</w:t>
      </w:r>
    </w:p>
    <w:p>
      <w:pPr>
        <w:spacing w:line="360" w:lineRule="auto"/>
        <w:ind w:firstLine="480"/>
        <w:rPr>
          <w:rFonts w:ascii="宋体" w:hAnsi="宋体"/>
          <w:sz w:val="24"/>
        </w:rPr>
      </w:pPr>
      <w:r>
        <w:rPr>
          <w:rFonts w:hint="eastAsia" w:ascii="宋体" w:hAnsi="宋体"/>
          <w:sz w:val="24"/>
        </w:rPr>
        <w:t>6</w:t>
      </w:r>
      <w:r>
        <w:rPr>
          <w:rFonts w:ascii="宋体" w:hAnsi="宋体"/>
          <w:sz w:val="24"/>
        </w:rPr>
        <w:t xml:space="preserve">.1 </w:t>
      </w:r>
      <w:r>
        <w:rPr>
          <w:rFonts w:hint="eastAsia" w:ascii="宋体" w:hAnsi="宋体"/>
          <w:sz w:val="24"/>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80"/>
        <w:rPr>
          <w:rFonts w:ascii="宋体" w:hAnsi="宋体"/>
          <w:sz w:val="24"/>
        </w:rPr>
      </w:pPr>
      <w:r>
        <w:rPr>
          <w:rFonts w:hint="eastAsia" w:ascii="宋体" w:hAnsi="宋体"/>
          <w:sz w:val="24"/>
        </w:rPr>
        <w:t>6</w:t>
      </w:r>
      <w:r>
        <w:rPr>
          <w:rFonts w:ascii="宋体" w:hAnsi="宋体"/>
          <w:sz w:val="24"/>
        </w:rPr>
        <w:t xml:space="preserve">.2 </w:t>
      </w:r>
      <w:r>
        <w:rPr>
          <w:rFonts w:hint="eastAsia" w:ascii="宋体" w:hAnsi="宋体"/>
          <w:sz w:val="24"/>
        </w:rPr>
        <w:t>采购人享有本项目实施过程中产生的知识成果及知识产权。</w:t>
      </w:r>
    </w:p>
    <w:p>
      <w:pPr>
        <w:spacing w:line="360" w:lineRule="auto"/>
        <w:ind w:firstLine="480"/>
        <w:rPr>
          <w:rFonts w:ascii="宋体" w:hAnsi="宋体"/>
          <w:sz w:val="24"/>
        </w:rPr>
      </w:pPr>
      <w:r>
        <w:rPr>
          <w:rFonts w:hint="eastAsia" w:ascii="宋体" w:hAnsi="宋体"/>
          <w:sz w:val="24"/>
        </w:rPr>
        <w:t>6</w:t>
      </w:r>
      <w:r>
        <w:rPr>
          <w:rFonts w:ascii="宋体" w:hAnsi="宋体"/>
          <w:sz w:val="24"/>
        </w:rPr>
        <w:t xml:space="preserve">.3 </w:t>
      </w:r>
      <w:r>
        <w:rPr>
          <w:rFonts w:hint="eastAsia" w:ascii="宋体" w:hAnsi="宋体"/>
          <w:sz w:val="24"/>
        </w:rPr>
        <w:t>供应商如拟在项目实施过程中采用自有知识成果，需在响应文件中声明，并提供相关知识产权证明文件。使用该知识成果后，供应商需提供开发接口和开发手册等技术文档，并提供无限期技术支持，采购人享有永久使用权（含采购人委托第三方在该项目后续开发的使用权）。</w:t>
      </w:r>
    </w:p>
    <w:p>
      <w:pPr>
        <w:spacing w:line="360" w:lineRule="auto"/>
        <w:ind w:firstLine="480"/>
        <w:rPr>
          <w:rFonts w:ascii="宋体" w:hAnsi="宋体"/>
          <w:sz w:val="24"/>
        </w:rPr>
      </w:pPr>
      <w:r>
        <w:rPr>
          <w:rFonts w:hint="eastAsia" w:ascii="宋体" w:hAnsi="宋体"/>
          <w:sz w:val="24"/>
        </w:rPr>
        <w:t>6.4 如采用供应商所不拥有的知识产权，则在报价中必须包括合法获取该知识产权的相关费用。</w:t>
      </w:r>
    </w:p>
    <w:p>
      <w:pPr>
        <w:pStyle w:val="2"/>
        <w:rPr>
          <w:rFonts w:ascii="宋体" w:hAnsi="宋体"/>
          <w:sz w:val="24"/>
        </w:rPr>
      </w:pPr>
    </w:p>
    <w:p>
      <w:pPr>
        <w:rPr>
          <w:rFonts w:ascii="宋体" w:hAnsi="宋体"/>
          <w:sz w:val="24"/>
        </w:rPr>
      </w:pPr>
    </w:p>
    <w:p>
      <w:pPr>
        <w:pStyle w:val="2"/>
        <w:rPr>
          <w:rFonts w:ascii="宋体" w:hAnsi="宋体"/>
          <w:sz w:val="24"/>
        </w:rPr>
      </w:pPr>
    </w:p>
    <w:p/>
    <w:p>
      <w:pPr>
        <w:rPr>
          <w:rFonts w:ascii="宋体" w:hAnsi="宋体"/>
          <w:sz w:val="24"/>
        </w:rPr>
      </w:pPr>
    </w:p>
    <w:p>
      <w:pPr>
        <w:pStyle w:val="2"/>
        <w:rPr>
          <w:lang w:val="zh-CN"/>
        </w:rPr>
      </w:pPr>
    </w:p>
    <w:bookmarkEnd w:id="155"/>
    <w:bookmarkEnd w:id="156"/>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59" w:name="_Toc74752339"/>
      <w:r>
        <w:rPr>
          <w:rFonts w:hint="eastAsia" w:ascii="宋体" w:hAnsi="宋体"/>
          <w:b/>
          <w:bCs/>
          <w:spacing w:val="-20"/>
          <w:kern w:val="44"/>
          <w:sz w:val="32"/>
          <w:szCs w:val="32"/>
        </w:rPr>
        <w:t>资格性审查</w:t>
      </w:r>
      <w:bookmarkEnd w:id="159"/>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资格性审查由采购人组建的资格审查小组依据法律法规和招标文件的规定，对投标保证金(区公资交易中心出具的</w:t>
      </w:r>
      <w:r>
        <w:rPr>
          <w:rFonts w:hint="eastAsia" w:ascii="宋体" w:hAnsi="宋体"/>
          <w:b/>
          <w:sz w:val="28"/>
          <w:szCs w:val="28"/>
        </w:rPr>
        <w:t>《</w:t>
      </w:r>
      <w:r>
        <w:rPr>
          <w:rFonts w:hint="eastAsia" w:ascii="宋体" w:hAnsi="宋体" w:cs="宋体"/>
          <w:b/>
          <w:sz w:val="28"/>
          <w:szCs w:val="28"/>
        </w:rPr>
        <w:t>成都市政府采购项目供应商参与及保证金交纳情况表》</w:t>
      </w:r>
      <w:r>
        <w:rPr>
          <w:rFonts w:hint="eastAsia" w:ascii="宋体" w:hAnsi="宋体"/>
          <w:b/>
          <w:sz w:val="28"/>
          <w:szCs w:val="28"/>
        </w:rPr>
        <w:t>或投标人递交的投标保函</w:t>
      </w:r>
      <w:r>
        <w:rPr>
          <w:rFonts w:hint="eastAsia" w:ascii="宋体" w:hAnsi="宋体"/>
          <w:sz w:val="28"/>
          <w:szCs w:val="28"/>
        </w:rPr>
        <w:t>)、投标文件中的资格证明等进行审查，以确定投标人是否具备投标资格，并出具资格性审查报告。</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区公资交易中心将以电子邮件形式通知各投标人。资格性审查标准见下表：</w:t>
      </w:r>
    </w:p>
    <w:tbl>
      <w:tblPr>
        <w:tblStyle w:val="4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446"/>
        <w:gridCol w:w="1756"/>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7"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sz w:val="20"/>
              </w:rPr>
            </w:pPr>
            <w:r>
              <w:rPr>
                <w:b/>
                <w:sz w:val="20"/>
              </w:rPr>
              <w:t>资格性审查项</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在中华人民共和国境内依法登记注册，并有效存续具有独立法人资格的</w:t>
            </w:r>
            <w:r>
              <w:rPr>
                <w:rFonts w:hint="eastAsia"/>
                <w:sz w:val="20"/>
              </w:rPr>
              <w:t>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营业执照复印件（正本或副本）或法人证书复印件（正本或副本）</w:t>
            </w:r>
            <w:r>
              <w:rPr>
                <w:rFonts w:hint="eastAsia"/>
                <w:sz w:val="20"/>
              </w:rPr>
              <w:t>。</w:t>
            </w:r>
            <w:r>
              <w:rPr>
                <w:sz w:val="20"/>
              </w:rPr>
              <w:t>【说明：</w:t>
            </w:r>
            <w:r>
              <w:rPr>
                <w:rFonts w:hint="eastAsia" w:ascii="宋体" w:hAnsi="宋体"/>
                <w:sz w:val="20"/>
                <w:szCs w:val="28"/>
              </w:rPr>
              <w:t>①</w:t>
            </w:r>
            <w:r>
              <w:rPr>
                <w:sz w:val="20"/>
              </w:rPr>
              <w:t>营业执照或法人证书载明有期限的，应在有效期限内；</w:t>
            </w:r>
            <w:r>
              <w:rPr>
                <w:rFonts w:hint="eastAsia" w:ascii="宋体" w:hAnsi="宋体"/>
                <w:sz w:val="20"/>
                <w:szCs w:val="28"/>
              </w:rPr>
              <w:t>②</w:t>
            </w:r>
            <w:r>
              <w:rPr>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sz w:val="20"/>
              </w:rPr>
              <w:t>2</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具有良好的商业信誉的证明材料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投标人具有良好的商业信誉的书面声明材料。【</w:t>
            </w:r>
            <w:r>
              <w:rPr>
                <w:rFonts w:hint="eastAsia"/>
                <w:sz w:val="20"/>
              </w:rPr>
              <w:t>说明</w:t>
            </w:r>
            <w:r>
              <w:rPr>
                <w:sz w:val="20"/>
              </w:rPr>
              <w:t>：</w:t>
            </w:r>
            <w:r>
              <w:rPr>
                <w:rFonts w:hint="eastAsia" w:ascii="宋体" w:hAnsi="宋体"/>
                <w:sz w:val="20"/>
                <w:szCs w:val="28"/>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w:t>
            </w:r>
            <w:r>
              <w:rPr>
                <w:rFonts w:ascii="宋体" w:hAnsi="宋体"/>
                <w:sz w:val="20"/>
                <w:szCs w:val="28"/>
              </w:rPr>
              <w:t>具有良好的商业信誉</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参加政府采购活动前三年内，在经营活动中没有重大违法记录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1.投标人参加政府采购活动前三年内，在经营活动中没有重大违法记录的书面声明材料</w:t>
            </w:r>
            <w:r>
              <w:rPr>
                <w:rFonts w:hint="eastAsia"/>
                <w:sz w:val="20"/>
              </w:rPr>
              <w:t>。</w:t>
            </w:r>
            <w:r>
              <w:rPr>
                <w:sz w:val="20"/>
              </w:rPr>
              <w:t>【说明：</w:t>
            </w:r>
            <w:r>
              <w:rPr>
                <w:rFonts w:hint="eastAsia" w:ascii="宋体" w:hAnsi="宋体"/>
                <w:sz w:val="20"/>
                <w:szCs w:val="28"/>
              </w:rPr>
              <w:t>①</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sz w:val="20"/>
              </w:rPr>
              <w:t>；</w:t>
            </w:r>
            <w:r>
              <w:rPr>
                <w:rFonts w:hint="eastAsia" w:ascii="宋体" w:hAnsi="宋体"/>
                <w:sz w:val="20"/>
                <w:szCs w:val="28"/>
              </w:rPr>
              <w:t>②供应商参加政府采购活动前三年内，在经营活动中没有重大违法记录</w:t>
            </w:r>
            <w:r>
              <w:rPr>
                <w:sz w:val="20"/>
              </w:rPr>
              <w:t>。】</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“中国政府采购网”网站的查询结果，在资格审查期间对投标人在参加政府采购活动前三年内，在经营活动中是否有重大违法记录进行审查</w:t>
            </w:r>
            <w:r>
              <w:rPr>
                <w:rFonts w:hint="eastAsia"/>
                <w:sz w:val="20"/>
              </w:rPr>
              <w:t>。</w:t>
            </w:r>
            <w:r>
              <w:rPr>
                <w:sz w:val="20"/>
              </w:rPr>
              <w:t>【说明：投标人参加政府采购活动前三年内，在经营活动中没有重大违法记录</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未被列入失信被执行人、重大税收违法案件当事人名单、政府采购严重违法失信行为记录名单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1.投标人未列入失信被执行人、重大税收违法案件当事人名单、政府采购严重违法失信行为记录名单的书面声明材料</w:t>
            </w:r>
            <w:r>
              <w:rPr>
                <w:rFonts w:hint="eastAsia"/>
                <w:sz w:val="20"/>
              </w:rPr>
              <w:t>。</w:t>
            </w:r>
            <w:r>
              <w:rPr>
                <w:sz w:val="20"/>
              </w:rPr>
              <w:t>【说明：</w:t>
            </w:r>
            <w:r>
              <w:rPr>
                <w:rFonts w:hint="eastAsia" w:ascii="宋体" w:hAnsi="宋体" w:cs="宋体"/>
                <w:sz w:val="20"/>
                <w:lang w:eastAsia="ja-JP"/>
              </w:rPr>
              <w:t>①</w:t>
            </w:r>
            <w:r>
              <w:rPr>
                <w:sz w:val="20"/>
              </w:rPr>
              <w:t>投标人未列入失信被执行人、重大税收违法案件当事人名单、政府采购严重违法失信行为记录名单；</w:t>
            </w:r>
            <w:r>
              <w:rPr>
                <w:rFonts w:hint="eastAsia" w:ascii="宋体" w:hAnsi="宋体"/>
                <w:sz w:val="20"/>
                <w:szCs w:val="28"/>
              </w:rPr>
              <w:t>②</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被列入失信被执行人、重大税收违法案件当事人名单、政府采购严重违法失信行为记录名单进行审查</w:t>
            </w:r>
            <w:r>
              <w:rPr>
                <w:rFonts w:hint="eastAsia"/>
                <w:sz w:val="20"/>
              </w:rPr>
              <w:t>。</w:t>
            </w:r>
            <w:r>
              <w:rPr>
                <w:sz w:val="20"/>
              </w:rPr>
              <w:t>【说明：投标人未列入失信被执行人、重大税收违法案件当事人名单、政府采购严重违法失信行为记录名单。】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未处于被行政部门禁止参与政府采购活动的期限内</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投标人未处于被行政部门禁止参与政府采购活动的期限内。【说明：</w:t>
            </w:r>
            <w:r>
              <w:rPr>
                <w:rFonts w:hint="eastAsia"/>
                <w:sz w:val="20"/>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；②供应商未处于被行政部门禁止参与政府采购活动的期限内。</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7"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行贿犯罪记录</w:t>
            </w:r>
          </w:p>
        </w:tc>
        <w:tc>
          <w:tcPr>
            <w:tcW w:w="629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在行贿犯罪信息查询期限内，投标人及其现任法定代表人、主要负责人没有行贿犯罪记录的书面声明材料。【说明：</w:t>
            </w:r>
            <w:r>
              <w:rPr>
                <w:rFonts w:hint="eastAsia" w:ascii="宋体" w:hAnsi="宋体" w:cs="宋体"/>
                <w:sz w:val="20"/>
                <w:lang w:eastAsia="ja-JP"/>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的格式及要求提供书面声明材料，投标文件中不需提供中国裁判文书网（https://wenshu.court.gov.cn）查询结果的证明材料</w:t>
            </w:r>
            <w:r>
              <w:rPr>
                <w:rFonts w:hint="eastAsia"/>
                <w:sz w:val="20"/>
              </w:rPr>
              <w:t>；</w:t>
            </w:r>
            <w:r>
              <w:rPr>
                <w:rFonts w:hint="eastAsia" w:ascii="宋体" w:hAnsi="宋体"/>
                <w:sz w:val="20"/>
                <w:szCs w:val="28"/>
              </w:rPr>
              <w:t>②在行贿犯罪信息查询期限内，供应商及其现任法定代表人、主要负责人没有行贿犯罪记录</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单位负责人为同一人或者存在直接控股、管理关系的不同供应商，不得参加同一项目的投标</w:t>
            </w:r>
          </w:p>
        </w:tc>
        <w:tc>
          <w:tcPr>
            <w:tcW w:w="6299"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与投标人单位负责人为同一人或者存在直接控股、管理关系的相关供应商的书面声明材料。</w:t>
            </w:r>
            <w:r>
              <w:rPr>
                <w:sz w:val="20"/>
              </w:rPr>
              <w:t>【说明：</w:t>
            </w:r>
            <w:r>
              <w:rPr>
                <w:rFonts w:hint="eastAsia"/>
                <w:sz w:val="20"/>
              </w:rPr>
              <w:t>①</w:t>
            </w:r>
            <w:r>
              <w:rPr>
                <w:sz w:val="20"/>
              </w:rPr>
              <w:t>按招标文件3.2.2</w:t>
            </w:r>
            <w:r>
              <w:rPr>
                <w:rFonts w:hint="eastAsia"/>
                <w:sz w:val="20"/>
              </w:rPr>
              <w:t>声明</w:t>
            </w:r>
            <w:r>
              <w:rPr>
                <w:sz w:val="20"/>
              </w:rPr>
              <w:t>的格式及要求提供书面声明材料</w:t>
            </w:r>
            <w:r>
              <w:rPr>
                <w:rFonts w:hint="eastAsia"/>
                <w:sz w:val="20"/>
              </w:rPr>
              <w:t>；②参加投标的供应商中无与投标人的单位负责人为同一人或者存在直接控股、管理关系的供应商</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3</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不属于其他国家相关法律法规规定的禁止参加投标的供应商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1、根据招标文件的要求不属于禁止参加投标或投标无效的供应商；</w:t>
            </w:r>
          </w:p>
          <w:p>
            <w:pPr>
              <w:tabs>
                <w:tab w:val="left" w:pos="851"/>
              </w:tabs>
              <w:spacing w:line="360" w:lineRule="auto"/>
              <w:rPr>
                <w:sz w:val="20"/>
              </w:rPr>
            </w:pPr>
            <w:r>
              <w:rPr>
                <w:sz w:val="20"/>
              </w:rPr>
              <w:t>2、资格审查小组未发现或者未知晓投标人存在属于国家相关法律法规规定的禁止参加投标或投标无效的供应商。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具有履行合同所必须的设备和专业技术能力</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采购人对投标人履行合同所必须的设备和专业技术能力无其他特殊要求，投标人具有有效的营业执照或法人证书即可，可不提供其他证明材料。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法律、行政法规规定的其他条件</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采购人对法律、行政法规规定的其他条件无其他特殊要求，投标人具有有效的营业执照或法人证书即可，可不提供其他证明材料。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联合体投标</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非联合体投标。</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资质要求</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投标保证金</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sz w:val="20"/>
              </w:rPr>
              <w:t>投标文件解密情况</w:t>
            </w:r>
          </w:p>
        </w:tc>
        <w:tc>
          <w:tcPr>
            <w:tcW w:w="6299"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除因断电、断网、系统故障或其他不可抗力等因素，导致系统无法使用外，投标文件已成功解密。</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投标文件签章</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投标文件加盖有投标人（法定名称）电子签章</w:t>
            </w:r>
            <w:r>
              <w:rPr>
                <w:sz w:val="20"/>
              </w:rPr>
              <w:t>。</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投标文件资格性审查部分的语言</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语言符合招标文件的要求。</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4</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投标文件资格性审查部分组成</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符合资格预审文件“</w:t>
            </w:r>
            <w:r>
              <w:rPr>
                <w:rFonts w:ascii="宋体" w:hAnsi="宋体"/>
                <w:sz w:val="20"/>
                <w:szCs w:val="28"/>
              </w:rPr>
              <w:t>2.4.</w:t>
            </w:r>
            <w:r>
              <w:rPr>
                <w:rFonts w:hint="eastAsia" w:ascii="宋体" w:hAnsi="宋体"/>
                <w:sz w:val="20"/>
                <w:szCs w:val="28"/>
              </w:rPr>
              <w:t>6投标</w:t>
            </w:r>
            <w:r>
              <w:rPr>
                <w:rFonts w:ascii="宋体" w:hAnsi="宋体"/>
                <w:sz w:val="20"/>
                <w:szCs w:val="28"/>
              </w:rPr>
              <w:t>文件的组成”规定要求。</w:t>
            </w:r>
            <w:r>
              <w:rPr>
                <w:rFonts w:hint="eastAsia" w:ascii="宋体" w:hAnsi="宋体"/>
                <w:sz w:val="20"/>
                <w:szCs w:val="28"/>
              </w:rPr>
              <w:t>【说明：投标人按招标文件3.2.1关于投标人资格资格申明的函格式及要求提供关于投标人资格资格申明的函。】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5</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缴纳社会保障资金的证明材料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年任意时段的社保的银行电子回单或行政部门出具的社保缴纳证明材料复印件。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6</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缴纳税收的证明材料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年任意时段的税收的银行电子回单或者行政部门出具的纳税证明或完税证明的复印件。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7</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具有健全的财务会计制度的证明材料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20</w:t>
            </w:r>
            <w:r>
              <w:rPr>
                <w:rFonts w:hint="eastAsia"/>
                <w:sz w:val="20"/>
              </w:rPr>
              <w:t>19</w:t>
            </w:r>
            <w:r>
              <w:rPr>
                <w:sz w:val="20"/>
              </w:rPr>
              <w:t>或20</w:t>
            </w:r>
            <w:r>
              <w:rPr>
                <w:rFonts w:hint="eastAsia"/>
                <w:sz w:val="20"/>
              </w:rPr>
              <w:t>20</w:t>
            </w:r>
            <w:r>
              <w:rPr>
                <w:sz w:val="20"/>
              </w:rPr>
              <w:t>会计年度资产负债表复印件</w:t>
            </w:r>
            <w:r>
              <w:rPr>
                <w:rFonts w:hint="eastAsia"/>
                <w:sz w:val="20"/>
              </w:rPr>
              <w:t>。</w:t>
            </w:r>
            <w:r>
              <w:rPr>
                <w:sz w:val="20"/>
              </w:rPr>
              <w:t>【说明：投标人成立时间至投标截止时间止不足一年的，提供成立后任意时段的资产负债表复印件</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8</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本项目专门面向中小企业（含残疾人福利性单位、监狱企业）采购</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sz w:val="20"/>
                <w:szCs w:val="24"/>
              </w:rPr>
              <w:t>中小企业应当提供中小企业声明函原件；残疾人福利性单位提供残疾人福利性单位声明函原件；监狱企业提供由省级以上监狱管理局、戒毒管理局（含新疆生产建设兵团）出具的属于监狱企业的证明文件复印件。</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投标人的投标文件资格性审查时被判定为无效的，区公资交易中心将通知投标人（以现场公示、电话、短信、区公资交易中心网站等任一方式）。投标人如对资格审查结论有异议的，应及时向区公资交易中心反馈意见。区公资交易中心将及时告知资格审查小组。（说明：无论投标人是否收到通知或提供反馈意见，均不影响资格审查和评标工作，且区公资交易中心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四、通过资格性审查的供应商＜3名，采购失败。</w:t>
      </w: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60" w:name="_Toc74752340"/>
      <w:r>
        <w:rPr>
          <w:rFonts w:hint="eastAsia" w:ascii="宋体" w:hAnsi="宋体"/>
          <w:b/>
          <w:bCs/>
          <w:spacing w:val="-20"/>
          <w:kern w:val="44"/>
          <w:sz w:val="32"/>
          <w:szCs w:val="32"/>
        </w:rPr>
        <w:t>评标办法</w:t>
      </w:r>
      <w:bookmarkEnd w:id="160"/>
    </w:p>
    <w:p>
      <w:pPr>
        <w:keepNext/>
        <w:keepLines/>
        <w:numPr>
          <w:ilvl w:val="1"/>
          <w:numId w:val="5"/>
        </w:numPr>
        <w:spacing w:line="360" w:lineRule="auto"/>
        <w:jc w:val="left"/>
        <w:outlineLvl w:val="1"/>
        <w:rPr>
          <w:rFonts w:ascii="宋体" w:hAnsi="宋体"/>
          <w:b/>
          <w:bCs/>
          <w:sz w:val="28"/>
          <w:szCs w:val="28"/>
        </w:rPr>
      </w:pPr>
      <w:bookmarkStart w:id="161" w:name="_Toc74752341"/>
      <w:r>
        <w:rPr>
          <w:rFonts w:hint="eastAsia" w:ascii="宋体" w:hAnsi="宋体"/>
          <w:b/>
          <w:bCs/>
          <w:sz w:val="28"/>
          <w:szCs w:val="28"/>
        </w:rPr>
        <w:t>总则</w:t>
      </w:r>
      <w:bookmarkEnd w:id="161"/>
    </w:p>
    <w:p>
      <w:pPr>
        <w:numPr>
          <w:ilvl w:val="0"/>
          <w:numId w:val="4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4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评标工作由</w:t>
      </w:r>
      <w:r>
        <w:rPr>
          <w:rFonts w:hint="eastAsia" w:cs="Arial"/>
          <w:sz w:val="28"/>
          <w:szCs w:val="28"/>
        </w:rPr>
        <w:t>区公资交易中心</w:t>
      </w:r>
      <w:r>
        <w:rPr>
          <w:rFonts w:hint="eastAsia" w:ascii="宋体" w:hAnsi="宋体"/>
          <w:sz w:val="28"/>
          <w:szCs w:val="28"/>
        </w:rPr>
        <w:t>负责组织，具体评标事务由采购人或</w:t>
      </w:r>
      <w:r>
        <w:rPr>
          <w:rFonts w:hint="eastAsia" w:cs="Arial"/>
          <w:sz w:val="28"/>
          <w:szCs w:val="28"/>
        </w:rPr>
        <w:t>区公资交易中心</w:t>
      </w:r>
      <w:r>
        <w:rPr>
          <w:rFonts w:hint="eastAsia" w:ascii="宋体" w:hAnsi="宋体"/>
          <w:sz w:val="28"/>
          <w:szCs w:val="28"/>
        </w:rPr>
        <w:t>依法组建的评标委员会负责。评标委员会由采购人代表和评审专家组成。</w:t>
      </w:r>
    </w:p>
    <w:p>
      <w:pPr>
        <w:numPr>
          <w:ilvl w:val="0"/>
          <w:numId w:val="4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numPr>
          <w:ilvl w:val="0"/>
          <w:numId w:val="4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numPr>
          <w:ilvl w:val="1"/>
          <w:numId w:val="42"/>
        </w:numPr>
        <w:spacing w:line="360" w:lineRule="auto"/>
        <w:ind w:left="0" w:firstLine="567"/>
        <w:rPr>
          <w:rFonts w:ascii="宋体" w:hAnsi="宋体"/>
          <w:sz w:val="28"/>
          <w:szCs w:val="28"/>
        </w:rPr>
      </w:pPr>
      <w:r>
        <w:rPr>
          <w:rFonts w:hint="eastAsia" w:ascii="宋体" w:hAnsi="宋体"/>
          <w:sz w:val="28"/>
          <w:szCs w:val="28"/>
        </w:rPr>
        <w:t>熟悉和理解招标文件；</w:t>
      </w:r>
    </w:p>
    <w:p>
      <w:pPr>
        <w:numPr>
          <w:ilvl w:val="1"/>
          <w:numId w:val="42"/>
        </w:numPr>
        <w:spacing w:line="360" w:lineRule="auto"/>
        <w:ind w:left="0" w:firstLine="567"/>
        <w:rPr>
          <w:rFonts w:ascii="宋体" w:hAnsi="宋体"/>
          <w:sz w:val="28"/>
          <w:szCs w:val="28"/>
        </w:rPr>
      </w:pPr>
      <w:r>
        <w:rPr>
          <w:rFonts w:hint="eastAsia" w:ascii="宋体" w:hAnsi="宋体"/>
          <w:sz w:val="28"/>
          <w:szCs w:val="28"/>
        </w:rPr>
        <w:t>审查、评价投标文件是否符合招标文件的商务、技术等实质性要求；</w:t>
      </w:r>
    </w:p>
    <w:p>
      <w:pPr>
        <w:numPr>
          <w:ilvl w:val="1"/>
          <w:numId w:val="42"/>
        </w:numPr>
        <w:spacing w:line="360" w:lineRule="auto"/>
        <w:ind w:left="0" w:firstLine="567"/>
        <w:rPr>
          <w:rFonts w:ascii="宋体" w:hAnsi="宋体"/>
          <w:sz w:val="28"/>
          <w:szCs w:val="28"/>
        </w:rPr>
      </w:pPr>
      <w:r>
        <w:rPr>
          <w:rFonts w:hint="eastAsia" w:ascii="宋体" w:hAnsi="宋体"/>
          <w:sz w:val="28"/>
          <w:szCs w:val="28"/>
        </w:rPr>
        <w:t>对投标文件进行比较和评价；</w:t>
      </w:r>
    </w:p>
    <w:p>
      <w:pPr>
        <w:numPr>
          <w:ilvl w:val="1"/>
          <w:numId w:val="42"/>
        </w:numPr>
        <w:spacing w:line="360" w:lineRule="auto"/>
        <w:ind w:left="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42"/>
        </w:numPr>
        <w:spacing w:line="360" w:lineRule="auto"/>
        <w:ind w:left="0" w:firstLine="567"/>
        <w:rPr>
          <w:rFonts w:ascii="宋体" w:hAnsi="宋体"/>
          <w:sz w:val="28"/>
          <w:szCs w:val="28"/>
        </w:rPr>
      </w:pPr>
      <w:r>
        <w:rPr>
          <w:rFonts w:hint="eastAsia" w:ascii="宋体" w:hAnsi="宋体"/>
          <w:sz w:val="28"/>
          <w:szCs w:val="28"/>
        </w:rPr>
        <w:t>确定中标候选人名单，以及根据采购人委托直接确定中标人；</w:t>
      </w:r>
    </w:p>
    <w:p>
      <w:pPr>
        <w:numPr>
          <w:ilvl w:val="1"/>
          <w:numId w:val="42"/>
        </w:numPr>
        <w:spacing w:line="360" w:lineRule="auto"/>
        <w:ind w:left="0" w:firstLine="567"/>
        <w:rPr>
          <w:rFonts w:ascii="宋体" w:hAnsi="宋体"/>
          <w:sz w:val="28"/>
          <w:szCs w:val="28"/>
        </w:rPr>
      </w:pPr>
      <w:r>
        <w:rPr>
          <w:rFonts w:hint="eastAsia" w:ascii="宋体" w:hAnsi="宋体"/>
          <w:sz w:val="28"/>
          <w:szCs w:val="28"/>
        </w:rPr>
        <w:t>起草评标报告并进行签署；</w:t>
      </w:r>
    </w:p>
    <w:p>
      <w:pPr>
        <w:numPr>
          <w:ilvl w:val="1"/>
          <w:numId w:val="42"/>
        </w:numPr>
        <w:spacing w:line="360" w:lineRule="auto"/>
        <w:ind w:left="0" w:firstLine="567"/>
        <w:rPr>
          <w:rFonts w:ascii="宋体" w:hAnsi="宋体"/>
          <w:sz w:val="28"/>
          <w:szCs w:val="28"/>
        </w:rPr>
      </w:pPr>
      <w:r>
        <w:rPr>
          <w:rFonts w:hint="eastAsia" w:ascii="宋体" w:hAnsi="宋体"/>
          <w:sz w:val="28"/>
          <w:szCs w:val="28"/>
        </w:rPr>
        <w:t>向采购人、区公资交易中心构或者财政、监察等有关部门报告或举报非法干预评标工作的行为；</w:t>
      </w:r>
    </w:p>
    <w:p>
      <w:pPr>
        <w:numPr>
          <w:ilvl w:val="1"/>
          <w:numId w:val="42"/>
        </w:numPr>
        <w:spacing w:line="360" w:lineRule="auto"/>
        <w:ind w:left="0" w:firstLine="567"/>
        <w:rPr>
          <w:rFonts w:ascii="宋体" w:hAnsi="宋体"/>
          <w:sz w:val="28"/>
          <w:szCs w:val="28"/>
        </w:rPr>
      </w:pPr>
      <w:r>
        <w:rPr>
          <w:rFonts w:hint="eastAsia" w:ascii="宋体" w:hAnsi="宋体"/>
          <w:sz w:val="28"/>
          <w:szCs w:val="28"/>
        </w:rPr>
        <w:t>向采购人、</w:t>
      </w:r>
      <w:r>
        <w:rPr>
          <w:rFonts w:hint="eastAsia" w:cs="Arial"/>
          <w:sz w:val="28"/>
          <w:szCs w:val="28"/>
        </w:rPr>
        <w:t>区公资交易中心</w:t>
      </w:r>
      <w:r>
        <w:rPr>
          <w:rFonts w:hint="eastAsia" w:ascii="宋体" w:hAnsi="宋体"/>
          <w:sz w:val="28"/>
          <w:szCs w:val="28"/>
        </w:rPr>
        <w:t>或者有关部门报告评标中发现的违法行为。</w:t>
      </w:r>
    </w:p>
    <w:p>
      <w:pPr>
        <w:numPr>
          <w:ilvl w:val="1"/>
          <w:numId w:val="42"/>
        </w:numPr>
        <w:spacing w:line="360" w:lineRule="auto"/>
        <w:ind w:left="0" w:firstLine="567"/>
        <w:rPr>
          <w:rFonts w:ascii="宋体" w:hAnsi="宋体"/>
          <w:sz w:val="28"/>
          <w:szCs w:val="28"/>
        </w:rPr>
      </w:pPr>
      <w:r>
        <w:rPr>
          <w:rFonts w:hint="eastAsia" w:ascii="宋体" w:hAnsi="宋体"/>
          <w:sz w:val="28"/>
          <w:szCs w:val="28"/>
        </w:rPr>
        <w:t>法律、法规和规章规定的其他职责。</w:t>
      </w:r>
    </w:p>
    <w:p>
      <w:pPr>
        <w:numPr>
          <w:ilvl w:val="0"/>
          <w:numId w:val="4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评标过程独立、保密。投标人非法干预评标过程的行为将导致其投标文件作为无效处理。</w:t>
      </w:r>
    </w:p>
    <w:p>
      <w:pPr>
        <w:numPr>
          <w:ilvl w:val="0"/>
          <w:numId w:val="4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numPr>
          <w:ilvl w:val="0"/>
          <w:numId w:val="4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评标委员会发现招标文件表述不明确或需要说明的事项，可提请采购人和区公资交易中心书面解释说明。</w:t>
      </w:r>
    </w:p>
    <w:p>
      <w:pPr>
        <w:keepNext/>
        <w:keepLines/>
        <w:numPr>
          <w:ilvl w:val="1"/>
          <w:numId w:val="5"/>
        </w:numPr>
        <w:spacing w:line="360" w:lineRule="auto"/>
        <w:jc w:val="left"/>
        <w:outlineLvl w:val="1"/>
        <w:rPr>
          <w:rFonts w:ascii="宋体" w:hAnsi="宋体"/>
          <w:b/>
          <w:bCs/>
          <w:sz w:val="28"/>
          <w:szCs w:val="28"/>
        </w:rPr>
      </w:pPr>
      <w:bookmarkStart w:id="162" w:name="_Toc74752342"/>
      <w:r>
        <w:rPr>
          <w:rFonts w:hint="eastAsia" w:ascii="宋体" w:hAnsi="宋体"/>
          <w:b/>
          <w:bCs/>
          <w:sz w:val="28"/>
          <w:szCs w:val="28"/>
        </w:rPr>
        <w:t>评标方法</w:t>
      </w:r>
      <w:bookmarkEnd w:id="162"/>
    </w:p>
    <w:p>
      <w:pPr>
        <w:spacing w:line="360" w:lineRule="auto"/>
        <w:ind w:firstLine="565" w:firstLineChars="202"/>
        <w:rPr>
          <w:rFonts w:ascii="宋体" w:hAnsi="宋体"/>
          <w:sz w:val="28"/>
          <w:szCs w:val="28"/>
        </w:rPr>
      </w:pPr>
      <w:r>
        <w:rPr>
          <w:rFonts w:hint="eastAsia" w:ascii="宋体" w:hAnsi="宋体"/>
          <w:sz w:val="28"/>
          <w:szCs w:val="28"/>
        </w:rPr>
        <w:t>综合评分法。</w:t>
      </w:r>
    </w:p>
    <w:p>
      <w:pPr>
        <w:keepNext/>
        <w:keepLines/>
        <w:numPr>
          <w:ilvl w:val="1"/>
          <w:numId w:val="5"/>
        </w:numPr>
        <w:spacing w:line="360" w:lineRule="auto"/>
        <w:jc w:val="left"/>
        <w:outlineLvl w:val="1"/>
        <w:rPr>
          <w:rFonts w:ascii="宋体" w:hAnsi="宋体"/>
          <w:b/>
          <w:bCs/>
          <w:sz w:val="28"/>
          <w:szCs w:val="28"/>
        </w:rPr>
      </w:pPr>
      <w:bookmarkStart w:id="163" w:name="_Toc74752343"/>
      <w:r>
        <w:rPr>
          <w:rFonts w:hint="eastAsia" w:ascii="宋体" w:hAnsi="宋体"/>
          <w:b/>
          <w:bCs/>
          <w:sz w:val="28"/>
          <w:szCs w:val="28"/>
        </w:rPr>
        <w:t>评标程序</w:t>
      </w:r>
      <w:bookmarkEnd w:id="163"/>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符合性审查</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符合性审查标准见下表（按以下顺序审查）：</w:t>
      </w:r>
    </w:p>
    <w:tbl>
      <w:tblPr>
        <w:tblStyle w:val="46"/>
        <w:tblW w:w="91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87"/>
        <w:gridCol w:w="6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sz w:val="24"/>
                <w:szCs w:val="28"/>
              </w:rPr>
            </w:pPr>
            <w:r>
              <w:rPr>
                <w:rFonts w:hint="eastAsia" w:ascii="宋体" w:hAnsi="宋体"/>
                <w:b/>
                <w:sz w:val="24"/>
                <w:szCs w:val="28"/>
              </w:rPr>
              <w:t>符合性审查项</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1</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组成</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2</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的计量单位、语言、报价货币、投标有效期</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3</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第4章打</w:t>
            </w:r>
            <w:r>
              <w:rPr>
                <w:rFonts w:hint="eastAsia" w:ascii="宋体" w:hAnsi="宋体" w:cs="宋体"/>
                <w:sz w:val="24"/>
                <w:szCs w:val="28"/>
              </w:rPr>
              <w:t>▲</w:t>
            </w:r>
            <w:r>
              <w:rPr>
                <w:rFonts w:hint="eastAsia" w:ascii="宋体" w:hAnsi="宋体"/>
                <w:sz w:val="24"/>
                <w:szCs w:val="28"/>
              </w:rPr>
              <w:t>号的技术、服务、商务和其他要求</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投标文件均实质性响应招标文件中加</w:t>
            </w:r>
            <w:r>
              <w:rPr>
                <w:rFonts w:hint="eastAsia" w:ascii="宋体" w:hAnsi="宋体" w:cs="宋体"/>
                <w:sz w:val="24"/>
                <w:szCs w:val="28"/>
              </w:rPr>
              <w:t>▲</w:t>
            </w:r>
            <w:r>
              <w:rPr>
                <w:rFonts w:hint="eastAsia" w:ascii="宋体" w:hAnsi="宋体"/>
                <w:sz w:val="24"/>
                <w:szCs w:val="28"/>
              </w:rPr>
              <w:t>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4</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进口产品</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5</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不属于禁止参加投标或投标无效的供应商</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（1）根据招标文件的要求不属于禁止参加投标或投标无效的供应商；</w:t>
            </w:r>
          </w:p>
          <w:p>
            <w:pPr>
              <w:tabs>
                <w:tab w:val="left" w:pos="851"/>
              </w:tabs>
              <w:spacing w:line="360" w:lineRule="auto"/>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6</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7</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除资格性审查要求的证明材料外，招标文件要求提供的其他证明材料</w:t>
            </w:r>
          </w:p>
        </w:tc>
        <w:tc>
          <w:tcPr>
            <w:tcW w:w="6275" w:type="dxa"/>
            <w:tcBorders>
              <w:top w:val="single" w:color="auto" w:sz="2" w:space="0"/>
              <w:left w:val="single" w:color="auto" w:sz="2" w:space="0"/>
              <w:bottom w:val="single" w:color="auto" w:sz="2" w:space="0"/>
              <w:right w:val="single" w:color="auto" w:sz="2" w:space="0"/>
            </w:tcBorders>
            <w:vAlign w:val="center"/>
          </w:tcPr>
          <w:p>
            <w:pPr>
              <w:pStyle w:val="152"/>
              <w:spacing w:line="360" w:lineRule="auto"/>
            </w:pPr>
            <w:r>
              <w:rPr>
                <w:rFonts w:hAnsi="宋体" w:cs="Times New Roman"/>
                <w:color w:val="auto"/>
                <w:kern w:val="2"/>
                <w:szCs w:val="28"/>
              </w:rPr>
              <w:t>1.承诺函【注：①按</w:t>
            </w:r>
            <w:r>
              <w:rPr>
                <w:rFonts w:ascii="Times New Roman" w:hAnsi="Times New Roman" w:cs="Times New Roman"/>
                <w:color w:val="auto"/>
                <w:kern w:val="2"/>
                <w:szCs w:val="28"/>
              </w:rPr>
              <w:t>3.3.7</w:t>
            </w:r>
            <w:r>
              <w:rPr>
                <w:rFonts w:hAnsi="宋体" w:cs="Times New Roman"/>
                <w:color w:val="auto"/>
                <w:kern w:val="2"/>
                <w:szCs w:val="28"/>
              </w:rPr>
              <w:t>的格式及要求提供承诺函；②承诺的内容满足招标文件的要求。】。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8</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报价</w:t>
            </w:r>
            <w:r>
              <w:rPr>
                <w:rFonts w:ascii="宋体" w:hAnsi="宋体"/>
                <w:sz w:val="24"/>
                <w:szCs w:val="28"/>
              </w:rPr>
              <w:t>要求响应文件的</w:t>
            </w:r>
            <w:r>
              <w:rPr>
                <w:rFonts w:hint="eastAsia" w:ascii="宋体" w:hAnsi="宋体"/>
                <w:sz w:val="24"/>
                <w:szCs w:val="28"/>
              </w:rPr>
              <w:t>投标报价</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rPr>
            </w:pPr>
            <w:r>
              <w:rPr>
                <w:rFonts w:hint="eastAsia" w:ascii="宋体" w:hAnsi="宋体"/>
                <w:sz w:val="24"/>
                <w:szCs w:val="28"/>
              </w:rPr>
              <w:t>开标一览表、报价</w:t>
            </w:r>
            <w:r>
              <w:rPr>
                <w:rFonts w:ascii="宋体" w:hAnsi="宋体"/>
                <w:sz w:val="24"/>
                <w:szCs w:val="28"/>
              </w:rPr>
              <w:t>明细表</w:t>
            </w:r>
            <w:r>
              <w:rPr>
                <w:rFonts w:hint="eastAsia" w:ascii="宋体" w:hAnsi="宋体"/>
                <w:sz w:val="24"/>
                <w:szCs w:val="28"/>
              </w:rPr>
              <w:t>、</w:t>
            </w:r>
            <w:r>
              <w:rPr>
                <w:rFonts w:ascii="宋体" w:hAnsi="宋体"/>
                <w:sz w:val="24"/>
                <w:szCs w:val="28"/>
              </w:rPr>
              <w:t>投标文件</w:t>
            </w:r>
            <w:r>
              <w:rPr>
                <w:rFonts w:hint="eastAsia" w:ascii="宋体" w:hAnsi="宋体"/>
                <w:sz w:val="24"/>
                <w:szCs w:val="28"/>
              </w:rPr>
              <w:t>【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投标人的投标文件符合性审查时被判定为无效投标文件的，区公资交易中心将通知投标人（以现场公示、电话、短信、区公资交易中心网站等任一方式）。投标人如对评审结论有异议的，应及时向区公资交易中心反馈意见。区公资交易中心在评审结束前将收到的反馈意见及时告知评标委员会。（说明：无论投标人是否收到通知或提供反馈意见，均不影响评标委员会的评标工作，且区公资交易中心对此将不承担任何的责任。投标人对评审结论有异议的，其反馈意见仅限于评标委员会对评审结论的正确性进行复核，避免出现评审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三、通过符合性审查的供应商＜3名，本项目采购失败。</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解释、澄清有关问题</w:t>
      </w:r>
    </w:p>
    <w:p>
      <w:pPr>
        <w:numPr>
          <w:ilvl w:val="0"/>
          <w:numId w:val="43"/>
        </w:numPr>
        <w:tabs>
          <w:tab w:val="left" w:pos="1134"/>
        </w:tabs>
        <w:spacing w:line="360" w:lineRule="auto"/>
        <w:ind w:left="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区公资交易中心书面解释。区公资交易中心的解释不得改变招标文件的原义或者影响公平、公正，解释事项如果涉及投标人权益的以有利于投标人的原则进行解释。</w:t>
      </w:r>
    </w:p>
    <w:p>
      <w:pPr>
        <w:numPr>
          <w:ilvl w:val="0"/>
          <w:numId w:val="43"/>
        </w:numPr>
        <w:tabs>
          <w:tab w:val="left" w:pos="1134"/>
        </w:tabs>
        <w:spacing w:after="200" w:line="560" w:lineRule="exact"/>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43"/>
        </w:numPr>
        <w:tabs>
          <w:tab w:val="left" w:pos="1134"/>
        </w:tabs>
        <w:spacing w:line="360" w:lineRule="auto"/>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44"/>
        </w:numPr>
        <w:tabs>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44"/>
        </w:numPr>
        <w:tabs>
          <w:tab w:val="left" w:pos="1260"/>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44"/>
        </w:numPr>
        <w:tabs>
          <w:tab w:val="left" w:pos="993"/>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43"/>
        </w:numPr>
        <w:tabs>
          <w:tab w:val="left" w:pos="1134"/>
        </w:tabs>
        <w:spacing w:line="360" w:lineRule="auto"/>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（一）开标现场宣读的投标报价与投标文件中的投标报价不一致的，以投标人</w:t>
      </w:r>
      <w:r>
        <w:rPr>
          <w:rFonts w:ascii="宋体" w:hAnsi="宋体"/>
          <w:sz w:val="28"/>
          <w:szCs w:val="28"/>
        </w:rPr>
        <w:t>在</w:t>
      </w:r>
      <w:r>
        <w:rPr>
          <w:rFonts w:hint="eastAsia" w:ascii="宋体" w:hAnsi="宋体"/>
          <w:sz w:val="28"/>
          <w:szCs w:val="28"/>
        </w:rPr>
        <w:t>政府采购</w:t>
      </w:r>
      <w:r>
        <w:rPr>
          <w:rFonts w:ascii="宋体" w:hAnsi="宋体"/>
          <w:sz w:val="28"/>
          <w:szCs w:val="28"/>
        </w:rPr>
        <w:t>云平台</w:t>
      </w:r>
      <w:r>
        <w:rPr>
          <w:rFonts w:hint="eastAsia" w:ascii="宋体" w:hAnsi="宋体"/>
          <w:sz w:val="28"/>
          <w:szCs w:val="28"/>
        </w:rPr>
        <w:t>开标</w:t>
      </w:r>
      <w:r>
        <w:rPr>
          <w:rFonts w:ascii="宋体" w:hAnsi="宋体"/>
          <w:sz w:val="28"/>
          <w:szCs w:val="28"/>
        </w:rPr>
        <w:t>一览表中填写的报价为准</w:t>
      </w:r>
      <w:r>
        <w:rPr>
          <w:rFonts w:hint="eastAsia" w:ascii="宋体" w:hAnsi="宋体"/>
          <w:sz w:val="28"/>
          <w:szCs w:val="28"/>
        </w:rPr>
        <w:t>；</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（二）大写金额和小写金额不一致的，以大写金额为准，但大写金额出现文字错误，导致金额无法判断的除外；</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（三）单价金额小数点或者百分比有明显错位的，以总价为准，并修改单价；</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（四）总价金额与按单价汇总金额不一致的，以单价金额计算结果为准。</w:t>
      </w:r>
    </w:p>
    <w:p>
      <w:pPr>
        <w:spacing w:line="360" w:lineRule="auto"/>
        <w:ind w:firstLine="561"/>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line="360" w:lineRule="auto"/>
        <w:ind w:firstLine="561"/>
        <w:rPr>
          <w:sz w:val="28"/>
          <w:szCs w:val="28"/>
        </w:rPr>
      </w:pPr>
      <w:r>
        <w:rPr>
          <w:rFonts w:hint="eastAsia"/>
          <w:sz w:val="28"/>
          <w:szCs w:val="28"/>
        </w:rPr>
        <w:t>五、对不同语言文本投标文件的解释发生异议的，以中文文本为准。</w:t>
      </w:r>
    </w:p>
    <w:p>
      <w:pPr>
        <w:tabs>
          <w:tab w:val="left" w:pos="720"/>
        </w:tabs>
        <w:spacing w:line="560" w:lineRule="exact"/>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比较与评价</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rPr>
        <w:t>区公资交易中心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45"/>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45"/>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45"/>
        </w:numPr>
        <w:tabs>
          <w:tab w:val="left" w:pos="851"/>
          <w:tab w:val="left" w:pos="1276"/>
          <w:tab w:val="left" w:pos="1560"/>
        </w:tabs>
        <w:spacing w:line="360" w:lineRule="auto"/>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45"/>
        </w:numPr>
        <w:tabs>
          <w:tab w:val="left" w:pos="851"/>
          <w:tab w:val="left" w:pos="1276"/>
        </w:tabs>
        <w:spacing w:line="360" w:lineRule="auto"/>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确定中标候选人名单</w:t>
      </w:r>
    </w:p>
    <w:p>
      <w:pPr>
        <w:tabs>
          <w:tab w:val="left" w:pos="851"/>
        </w:tabs>
        <w:spacing w:line="360" w:lineRule="auto"/>
        <w:ind w:firstLine="565" w:firstLineChars="202"/>
        <w:rPr>
          <w:rFonts w:ascii="Helvetica" w:hAnsi="Helvetica" w:cs="Helvetica"/>
          <w:kern w:val="0"/>
          <w:sz w:val="28"/>
          <w:szCs w:val="28"/>
        </w:rPr>
      </w:pPr>
      <w:r>
        <w:rPr>
          <w:rFonts w:hint="eastAsia" w:ascii="宋体" w:hAnsi="宋体"/>
          <w:sz w:val="28"/>
          <w:szCs w:val="28"/>
        </w:rPr>
        <w:t>按投标人综合得分从高到低进行排序，确定1至3名中标候选人。综合得分相同的，按投标报价由低到高顺序排列，得分且投标报价相同的并列。</w:t>
      </w:r>
      <w:r>
        <w:rPr>
          <w:rFonts w:hint="eastAsia" w:ascii="Helvetica" w:hAnsi="Helvetica" w:cs="Helvetica"/>
          <w:kern w:val="0"/>
          <w:sz w:val="28"/>
          <w:szCs w:val="28"/>
        </w:rPr>
        <w:t>投标文件满足招标文件全部实质性要求，且按照评审因素的量化指标评审得分最高的投标人为排名第一的中标候选人。</w:t>
      </w:r>
    </w:p>
    <w:p>
      <w:pPr>
        <w:tabs>
          <w:tab w:val="left" w:pos="851"/>
        </w:tabs>
        <w:spacing w:line="360" w:lineRule="auto"/>
        <w:ind w:firstLine="565" w:firstLineChars="202"/>
        <w:rPr>
          <w:rFonts w:ascii="宋体" w:hAnsi="宋体"/>
          <w:sz w:val="28"/>
          <w:szCs w:val="28"/>
        </w:rPr>
      </w:pPr>
      <w:r>
        <w:rPr>
          <w:rFonts w:hint="eastAsia" w:ascii="宋体" w:hAnsi="宋体"/>
          <w:sz w:val="28"/>
          <w:szCs w:val="28"/>
          <w:lang w:val="zh-CN"/>
        </w:rPr>
        <w:t>提供核心产品品牌相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2"/>
          <w:numId w:val="5"/>
        </w:numPr>
        <w:spacing w:before="240" w:line="360" w:lineRule="auto"/>
        <w:ind w:left="0" w:firstLine="0"/>
        <w:outlineLvl w:val="2"/>
        <w:rPr>
          <w:rFonts w:ascii="宋体" w:hAnsi="宋体"/>
          <w:b/>
          <w:bCs/>
          <w:sz w:val="28"/>
          <w:szCs w:val="28"/>
        </w:rPr>
      </w:pPr>
      <w:r>
        <w:rPr>
          <w:rFonts w:hint="eastAsia" w:ascii="宋体" w:hAnsi="宋体"/>
          <w:b/>
          <w:bCs/>
          <w:sz w:val="28"/>
          <w:szCs w:val="28"/>
        </w:rPr>
        <w:t>编写评标报告</w:t>
      </w:r>
    </w:p>
    <w:p>
      <w:pPr>
        <w:spacing w:line="360" w:lineRule="auto"/>
        <w:ind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投标人名单和评标委员会成员名单；</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评标方法和标准；</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5"/>
        </w:numPr>
        <w:spacing w:line="360" w:lineRule="auto"/>
        <w:jc w:val="left"/>
        <w:outlineLvl w:val="1"/>
        <w:rPr>
          <w:rFonts w:ascii="宋体" w:hAnsi="宋体"/>
          <w:b/>
          <w:bCs/>
          <w:sz w:val="28"/>
          <w:szCs w:val="28"/>
        </w:rPr>
      </w:pPr>
      <w:bookmarkStart w:id="164" w:name="_Toc74752344"/>
      <w:r>
        <w:rPr>
          <w:rFonts w:hint="eastAsia" w:ascii="宋体" w:hAnsi="宋体"/>
          <w:b/>
          <w:bCs/>
          <w:sz w:val="28"/>
          <w:szCs w:val="28"/>
        </w:rPr>
        <w:t>评标争议处理规则</w:t>
      </w:r>
      <w:bookmarkEnd w:id="164"/>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rPr>
        <w:t>区公资交易中心</w:t>
      </w:r>
      <w:r>
        <w:rPr>
          <w:rFonts w:hint="eastAsia" w:ascii="宋体" w:hAnsi="宋体"/>
          <w:sz w:val="28"/>
          <w:szCs w:val="28"/>
        </w:rPr>
        <w:t>书面反映。采购人或</w:t>
      </w:r>
      <w:r>
        <w:rPr>
          <w:rFonts w:hint="eastAsia" w:cs="Arial"/>
          <w:sz w:val="28"/>
          <w:szCs w:val="28"/>
        </w:rPr>
        <w:t>区公资交易中心</w:t>
      </w:r>
      <w:r>
        <w:rPr>
          <w:rFonts w:hint="eastAsia" w:ascii="宋体" w:hAnsi="宋体"/>
          <w:sz w:val="28"/>
          <w:szCs w:val="28"/>
        </w:rPr>
        <w:t>收到书面反映后，应当书面报告采购项目同级财政部门依法处理。</w:t>
      </w:r>
    </w:p>
    <w:p>
      <w:pPr>
        <w:keepNext/>
        <w:keepLines/>
        <w:numPr>
          <w:ilvl w:val="1"/>
          <w:numId w:val="5"/>
        </w:numPr>
        <w:spacing w:line="360" w:lineRule="auto"/>
        <w:jc w:val="left"/>
        <w:outlineLvl w:val="1"/>
        <w:rPr>
          <w:rFonts w:ascii="宋体" w:hAnsi="宋体"/>
          <w:b/>
          <w:bCs/>
          <w:sz w:val="28"/>
          <w:szCs w:val="28"/>
        </w:rPr>
      </w:pPr>
      <w:bookmarkStart w:id="165" w:name="_Toc74752345"/>
      <w:r>
        <w:rPr>
          <w:rFonts w:hint="eastAsia" w:ascii="宋体" w:hAnsi="宋体"/>
          <w:b/>
          <w:bCs/>
          <w:sz w:val="28"/>
          <w:szCs w:val="28"/>
        </w:rPr>
        <w:t>评标细则及标准</w:t>
      </w:r>
      <w:bookmarkEnd w:id="165"/>
    </w:p>
    <w:p>
      <w:pPr>
        <w:numPr>
          <w:ilvl w:val="0"/>
          <w:numId w:val="47"/>
        </w:numPr>
        <w:tabs>
          <w:tab w:val="left" w:pos="1155"/>
        </w:tabs>
        <w:spacing w:after="200" w:line="360" w:lineRule="auto"/>
        <w:ind w:left="0" w:firstLine="567"/>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numPr>
          <w:ilvl w:val="0"/>
          <w:numId w:val="47"/>
        </w:numPr>
        <w:tabs>
          <w:tab w:val="left" w:pos="1155"/>
        </w:tabs>
        <w:spacing w:after="200" w:line="360" w:lineRule="auto"/>
        <w:ind w:left="0" w:firstLine="567"/>
        <w:rPr>
          <w:rFonts w:ascii="宋体" w:hAnsi="宋体"/>
          <w:sz w:val="28"/>
          <w:szCs w:val="28"/>
        </w:rPr>
      </w:pPr>
      <w:r>
        <w:rPr>
          <w:rFonts w:hint="eastAsia" w:ascii="宋体" w:hAnsi="宋体"/>
          <w:sz w:val="28"/>
          <w:szCs w:val="28"/>
        </w:rPr>
        <w:t>本次综合评分的因素是：价格、服务、商务等。</w:t>
      </w:r>
    </w:p>
    <w:p>
      <w:pPr>
        <w:numPr>
          <w:ilvl w:val="0"/>
          <w:numId w:val="47"/>
        </w:numPr>
        <w:tabs>
          <w:tab w:val="left" w:pos="1155"/>
        </w:tabs>
        <w:spacing w:after="200" w:line="360" w:lineRule="auto"/>
        <w:ind w:left="0" w:firstLine="525"/>
        <w:rPr>
          <w:rFonts w:ascii="宋体" w:hAnsi="宋体"/>
          <w:sz w:val="28"/>
          <w:szCs w:val="28"/>
        </w:rPr>
      </w:pPr>
      <w:r>
        <w:rPr>
          <w:rFonts w:hint="eastAsia" w:ascii="宋体" w:hAnsi="宋体"/>
          <w:sz w:val="28"/>
          <w:szCs w:val="28"/>
        </w:rPr>
        <w:t>评标委员会成员应依据招标文件规定的评分标准和方法独立打分。</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评分办法</w:t>
      </w:r>
    </w:p>
    <w:p>
      <w:pPr>
        <w:spacing w:line="360" w:lineRule="auto"/>
        <w:ind w:firstLine="630" w:firstLineChars="225"/>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spacing w:line="360" w:lineRule="auto"/>
        <w:ind w:firstLine="630" w:firstLineChars="225"/>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widowControl/>
        <w:spacing w:line="360" w:lineRule="auto"/>
        <w:ind w:firstLine="560" w:firstLineChars="200"/>
        <w:rPr>
          <w:rFonts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评分标准</w:t>
      </w:r>
    </w:p>
    <w:tbl>
      <w:tblPr>
        <w:tblStyle w:val="46"/>
        <w:tblW w:w="9140" w:type="dxa"/>
        <w:jc w:val="center"/>
        <w:tblInd w:w="0" w:type="dxa"/>
        <w:tblLayout w:type="fixed"/>
        <w:tblCellMar>
          <w:top w:w="0" w:type="dxa"/>
          <w:left w:w="108" w:type="dxa"/>
          <w:bottom w:w="0" w:type="dxa"/>
          <w:right w:w="108" w:type="dxa"/>
        </w:tblCellMar>
      </w:tblPr>
      <w:tblGrid>
        <w:gridCol w:w="497"/>
        <w:gridCol w:w="1045"/>
        <w:gridCol w:w="765"/>
        <w:gridCol w:w="5774"/>
        <w:gridCol w:w="1059"/>
      </w:tblGrid>
      <w:tr>
        <w:tblPrEx>
          <w:tblLayout w:type="fixed"/>
          <w:tblCellMar>
            <w:top w:w="0" w:type="dxa"/>
            <w:left w:w="108" w:type="dxa"/>
            <w:bottom w:w="0" w:type="dxa"/>
            <w:right w:w="108" w:type="dxa"/>
          </w:tblCellMar>
        </w:tblPrEx>
        <w:trPr>
          <w:trHeight w:val="734"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b/>
                <w:szCs w:val="21"/>
              </w:rPr>
            </w:pPr>
            <w:r>
              <w:rPr>
                <w:rFonts w:ascii="宋体" w:hAnsi="宋体"/>
                <w:b/>
                <w:szCs w:val="21"/>
              </w:rPr>
              <w:t>序号</w:t>
            </w:r>
          </w:p>
        </w:tc>
        <w:tc>
          <w:tcPr>
            <w:tcW w:w="104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b/>
                <w:szCs w:val="21"/>
              </w:rPr>
            </w:pPr>
            <w:r>
              <w:rPr>
                <w:rFonts w:ascii="宋体" w:hAnsi="宋体"/>
                <w:b/>
                <w:szCs w:val="21"/>
              </w:rPr>
              <w:t>评分因素</w:t>
            </w:r>
          </w:p>
        </w:tc>
        <w:tc>
          <w:tcPr>
            <w:tcW w:w="7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b/>
                <w:szCs w:val="21"/>
              </w:rPr>
            </w:pPr>
            <w:r>
              <w:rPr>
                <w:rFonts w:ascii="宋体" w:hAnsi="宋体"/>
                <w:b/>
                <w:szCs w:val="21"/>
              </w:rPr>
              <w:t>分值</w:t>
            </w:r>
          </w:p>
        </w:tc>
        <w:tc>
          <w:tcPr>
            <w:tcW w:w="577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b/>
                <w:szCs w:val="21"/>
              </w:rPr>
            </w:pPr>
            <w:r>
              <w:rPr>
                <w:rFonts w:ascii="宋体" w:hAnsi="宋体"/>
                <w:b/>
                <w:szCs w:val="21"/>
              </w:rPr>
              <w:t>评分标准</w:t>
            </w:r>
          </w:p>
        </w:tc>
        <w:tc>
          <w:tcPr>
            <w:tcW w:w="1059" w:type="dxa"/>
            <w:tcBorders>
              <w:top w:val="single" w:color="000000" w:sz="4" w:space="0"/>
              <w:bottom w:val="single" w:color="000000" w:sz="4" w:space="0"/>
              <w:right w:val="single" w:color="000000" w:sz="4" w:space="0"/>
            </w:tcBorders>
            <w:vAlign w:val="center"/>
          </w:tcPr>
          <w:p>
            <w:pPr>
              <w:autoSpaceDN w:val="0"/>
              <w:spacing w:line="360" w:lineRule="auto"/>
              <w:ind w:firstLine="28"/>
              <w:jc w:val="center"/>
              <w:rPr>
                <w:rFonts w:ascii="宋体" w:hAnsi="宋体"/>
                <w:b/>
                <w:szCs w:val="21"/>
              </w:rPr>
            </w:pPr>
            <w:r>
              <w:rPr>
                <w:rFonts w:hint="eastAsia" w:ascii="宋体" w:hAnsi="宋体"/>
                <w:b/>
                <w:szCs w:val="21"/>
              </w:rPr>
              <w:t>备注</w:t>
            </w:r>
          </w:p>
        </w:tc>
      </w:tr>
      <w:tr>
        <w:tblPrEx>
          <w:tblLayout w:type="fixed"/>
          <w:tblCellMar>
            <w:top w:w="0" w:type="dxa"/>
            <w:left w:w="108" w:type="dxa"/>
            <w:bottom w:w="0" w:type="dxa"/>
            <w:right w:w="108" w:type="dxa"/>
          </w:tblCellMar>
        </w:tblPrEx>
        <w:trPr>
          <w:trHeight w:val="822"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ascii="宋体" w:hAnsi="宋体"/>
                <w:szCs w:val="21"/>
              </w:rPr>
              <w:t>1</w:t>
            </w:r>
          </w:p>
        </w:tc>
        <w:tc>
          <w:tcPr>
            <w:tcW w:w="104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ascii="宋体" w:hAnsi="宋体"/>
                <w:szCs w:val="21"/>
              </w:rPr>
              <w:t>报价</w:t>
            </w:r>
          </w:p>
        </w:tc>
        <w:tc>
          <w:tcPr>
            <w:tcW w:w="7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ascii="宋体" w:hAnsi="宋体"/>
                <w:szCs w:val="21"/>
              </w:rPr>
              <w:t>30</w:t>
            </w:r>
            <w:r>
              <w:rPr>
                <w:rFonts w:hint="eastAsia" w:ascii="宋体" w:hAnsi="宋体"/>
                <w:szCs w:val="21"/>
              </w:rPr>
              <w:t>分</w:t>
            </w:r>
          </w:p>
        </w:tc>
        <w:tc>
          <w:tcPr>
            <w:tcW w:w="5774"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rPr>
                <w:rFonts w:ascii="宋体" w:hAnsi="宋体"/>
                <w:szCs w:val="21"/>
              </w:rPr>
            </w:pPr>
            <w:r>
              <w:rPr>
                <w:rFonts w:hint="eastAsia" w:ascii="宋体" w:hAnsi="宋体"/>
                <w:szCs w:val="21"/>
              </w:rPr>
              <w:t>以本次最低有效投标报价为基准价，投标报价得分=(基准价／投标报价)×</w:t>
            </w:r>
            <w:r>
              <w:rPr>
                <w:rFonts w:ascii="宋体" w:hAnsi="宋体"/>
                <w:szCs w:val="21"/>
              </w:rPr>
              <w:t>30</w:t>
            </w:r>
          </w:p>
        </w:tc>
        <w:tc>
          <w:tcPr>
            <w:tcW w:w="1059"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szCs w:val="21"/>
              </w:rPr>
            </w:pPr>
            <w:r>
              <w:rPr>
                <w:rFonts w:hint="eastAsia" w:ascii="宋体" w:hAnsi="宋体"/>
                <w:szCs w:val="21"/>
              </w:rPr>
              <w:t>（共同评分因素）</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ascii="宋体" w:hAnsi="宋体"/>
                <w:szCs w:val="21"/>
              </w:rPr>
              <w:t>2</w:t>
            </w:r>
          </w:p>
        </w:tc>
        <w:tc>
          <w:tcPr>
            <w:tcW w:w="104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ascii="宋体" w:hAnsi="宋体"/>
                <w:szCs w:val="21"/>
              </w:rPr>
              <w:t>技术指标和配置</w:t>
            </w:r>
          </w:p>
        </w:tc>
        <w:tc>
          <w:tcPr>
            <w:tcW w:w="7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ascii="宋体" w:hAnsi="宋体"/>
                <w:szCs w:val="21"/>
              </w:rPr>
              <w:t>1</w:t>
            </w:r>
            <w:r>
              <w:rPr>
                <w:rFonts w:hint="eastAsia" w:ascii="宋体" w:hAnsi="宋体"/>
                <w:szCs w:val="21"/>
                <w:lang w:val="en-US" w:eastAsia="zh-CN"/>
              </w:rPr>
              <w:t>9</w:t>
            </w:r>
            <w:r>
              <w:rPr>
                <w:rFonts w:hint="eastAsia" w:ascii="宋体" w:hAnsi="宋体"/>
                <w:szCs w:val="21"/>
              </w:rPr>
              <w:t>分</w:t>
            </w:r>
          </w:p>
        </w:tc>
        <w:tc>
          <w:tcPr>
            <w:tcW w:w="5774"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rPr>
                <w:rFonts w:ascii="宋体" w:hAnsi="宋体" w:cs="宋体"/>
                <w:szCs w:val="21"/>
              </w:rPr>
            </w:pPr>
            <w:r>
              <w:rPr>
                <w:rFonts w:hint="eastAsia" w:ascii="宋体" w:hAnsi="宋体" w:cs="宋体"/>
                <w:szCs w:val="21"/>
              </w:rPr>
              <w:t>1、投标人针对一般技术参数条款的响应得分规则如下：（一般技术参数条款是指：以产品为计算单元，其包含的所有技术参数条款（除开标注“★”或“*”的技术参数条款）逐项视为一条一般技术参数条款，）一般技术参数条款响应得分=（投标人满足一般技术参数条款的数量÷对应包件中一般技术参数条款的总数量）×</w:t>
            </w:r>
            <w:r>
              <w:rPr>
                <w:rFonts w:hint="eastAsia" w:ascii="宋体" w:hAnsi="宋体" w:cs="宋体"/>
                <w:szCs w:val="21"/>
                <w:lang w:val="en-US" w:eastAsia="zh-CN"/>
              </w:rPr>
              <w:t>9</w:t>
            </w:r>
            <w:r>
              <w:rPr>
                <w:rFonts w:hint="eastAsia" w:ascii="宋体" w:hAnsi="宋体" w:cs="宋体"/>
                <w:szCs w:val="21"/>
              </w:rPr>
              <w:t>分。</w:t>
            </w:r>
          </w:p>
          <w:p>
            <w:pPr>
              <w:autoSpaceDN w:val="0"/>
              <w:spacing w:line="360" w:lineRule="auto"/>
              <w:rPr>
                <w:rFonts w:ascii="宋体" w:hAnsi="宋体" w:cs="宋体"/>
                <w:szCs w:val="21"/>
              </w:rPr>
            </w:pPr>
            <w:r>
              <w:rPr>
                <w:rFonts w:hint="eastAsia" w:ascii="宋体" w:hAnsi="宋体" w:cs="宋体"/>
                <w:szCs w:val="21"/>
              </w:rPr>
              <w:t>2、投标人针对“★”技术参数条款的响应得分规则如下：</w:t>
            </w:r>
          </w:p>
          <w:p>
            <w:pPr>
              <w:autoSpaceDN w:val="0"/>
              <w:spacing w:line="360" w:lineRule="auto"/>
              <w:rPr>
                <w:rFonts w:ascii="宋体" w:hAnsi="宋体" w:cs="宋体"/>
                <w:szCs w:val="21"/>
              </w:rPr>
            </w:pPr>
            <w:r>
              <w:rPr>
                <w:rFonts w:hint="eastAsia" w:ascii="宋体" w:hAnsi="宋体" w:cs="宋体"/>
                <w:szCs w:val="21"/>
              </w:rPr>
              <w:t>“★”技术参数条款响应得分=（投标人满足“★”技术参数条款的数量÷对应包件中“★”技术参数条款的总数量）×</w:t>
            </w:r>
            <w:r>
              <w:rPr>
                <w:rFonts w:ascii="宋体" w:hAnsi="宋体" w:cs="宋体"/>
                <w:szCs w:val="21"/>
              </w:rPr>
              <w:t>10</w:t>
            </w:r>
            <w:r>
              <w:rPr>
                <w:rFonts w:hint="eastAsia" w:ascii="宋体" w:hAnsi="宋体" w:cs="宋体"/>
                <w:szCs w:val="21"/>
              </w:rPr>
              <w:t>分</w:t>
            </w:r>
          </w:p>
          <w:p>
            <w:pPr>
              <w:autoSpaceDN w:val="0"/>
              <w:spacing w:line="360" w:lineRule="auto"/>
              <w:rPr>
                <w:rFonts w:ascii="宋体" w:hAnsi="宋体" w:cs="宋体"/>
                <w:szCs w:val="21"/>
              </w:rPr>
            </w:pPr>
            <w:r>
              <w:rPr>
                <w:rFonts w:hint="eastAsia" w:ascii="宋体" w:hAnsi="宋体" w:cs="宋体"/>
                <w:szCs w:val="21"/>
              </w:rPr>
              <w:t>注：</w:t>
            </w:r>
          </w:p>
          <w:p>
            <w:pPr>
              <w:autoSpaceDN w:val="0"/>
              <w:spacing w:line="360" w:lineRule="auto"/>
              <w:rPr>
                <w:rFonts w:ascii="宋体" w:hAnsi="宋体" w:cs="宋体"/>
                <w:szCs w:val="21"/>
              </w:rPr>
            </w:pPr>
            <w:r>
              <w:rPr>
                <w:rFonts w:hint="eastAsia" w:ascii="宋体" w:hAnsi="宋体" w:cs="宋体"/>
                <w:szCs w:val="21"/>
              </w:rPr>
              <w:t>①针对“★”技术参数条款的技术响应，投标人需提供技术支撑材料（如产品检测报告复印件或参数证明复印件或产品官网最新参数证明截图等），但如果“★”技术条款对技术支撑材料有要求，应按要求提供，否则对应技术参数条款将视为不满足。</w:t>
            </w:r>
          </w:p>
          <w:p>
            <w:pPr>
              <w:autoSpaceDN w:val="0"/>
              <w:spacing w:line="360" w:lineRule="auto"/>
              <w:rPr>
                <w:rFonts w:ascii="宋体" w:hAnsi="宋体" w:cs="宋体"/>
                <w:szCs w:val="21"/>
              </w:rPr>
            </w:pPr>
            <w:r>
              <w:rPr>
                <w:rFonts w:hint="eastAsia" w:ascii="宋体" w:hAnsi="宋体" w:cs="宋体"/>
                <w:szCs w:val="21"/>
              </w:rPr>
              <w:t>②针对一般技术参数条款的技术响应，如果技术条款对技术支撑材料有要求，应按要求提供，否则对应技术参数条款将视为不满足。</w:t>
            </w:r>
          </w:p>
          <w:p>
            <w:pPr>
              <w:autoSpaceDN w:val="0"/>
              <w:spacing w:line="360" w:lineRule="auto"/>
              <w:rPr>
                <w:rFonts w:ascii="宋体" w:hAnsi="宋体" w:cs="宋体"/>
                <w:szCs w:val="21"/>
              </w:rPr>
            </w:pPr>
            <w:r>
              <w:rPr>
                <w:rFonts w:hint="eastAsia" w:ascii="宋体" w:hAnsi="宋体" w:cs="宋体"/>
                <w:szCs w:val="21"/>
              </w:rPr>
              <w:t>③针对一般技术参数条款的技术响应，产品中涉及技术参数为多项条款的，其中任意一条及以上技术参数条款的偏离的，视为此项一般技术参数条款偏离。</w:t>
            </w:r>
          </w:p>
          <w:p>
            <w:pPr>
              <w:autoSpaceDN w:val="0"/>
              <w:spacing w:line="360" w:lineRule="auto"/>
              <w:rPr>
                <w:rFonts w:ascii="宋体" w:hAnsi="宋体"/>
                <w:szCs w:val="21"/>
              </w:rPr>
            </w:pPr>
            <w:r>
              <w:rPr>
                <w:rFonts w:ascii="宋体" w:hAnsi="宋体" w:cs="宋体"/>
                <w:szCs w:val="21"/>
              </w:rPr>
              <w:t>④</w:t>
            </w:r>
            <w:r>
              <w:rPr>
                <w:rFonts w:hint="eastAsia" w:ascii="宋体" w:hAnsi="宋体" w:cs="宋体"/>
                <w:szCs w:val="21"/>
              </w:rPr>
              <w:t>得分保留小数点后两位小数，四舍五入。</w:t>
            </w:r>
          </w:p>
        </w:tc>
        <w:tc>
          <w:tcPr>
            <w:tcW w:w="1059"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投标人须认真核实所有技术支持资料，并对其在投标文件中提供的技术支持资料的真实性负责，并承担由此带来的一切法律责任和后果。</w:t>
            </w:r>
          </w:p>
          <w:p>
            <w:pPr>
              <w:spacing w:line="360" w:lineRule="auto"/>
              <w:jc w:val="center"/>
              <w:rPr>
                <w:rFonts w:ascii="宋体" w:hAnsi="宋体"/>
                <w:szCs w:val="21"/>
              </w:rPr>
            </w:pPr>
            <w:r>
              <w:rPr>
                <w:rFonts w:hint="eastAsia" w:ascii="宋体" w:hAnsi="宋体" w:cs="宋体"/>
                <w:kern w:val="0"/>
                <w:szCs w:val="21"/>
                <w:shd w:val="clear" w:color="auto" w:fill="FFFFFF" w:themeFill="background1"/>
              </w:rPr>
              <w:t>(共同评分因素)</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cs="宋体"/>
                <w:kern w:val="0"/>
                <w:szCs w:val="21"/>
                <w:shd w:val="clear" w:color="auto" w:fill="FFFFFF" w:themeFill="background1"/>
              </w:rPr>
              <w:t>3</w:t>
            </w:r>
          </w:p>
        </w:tc>
        <w:tc>
          <w:tcPr>
            <w:tcW w:w="1045" w:type="dxa"/>
            <w:tcBorders>
              <w:top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szCs w:val="21"/>
              </w:rPr>
              <w:t>产品质量</w:t>
            </w:r>
          </w:p>
        </w:tc>
        <w:tc>
          <w:tcPr>
            <w:tcW w:w="765" w:type="dxa"/>
            <w:tcBorders>
              <w:top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ascii="宋体" w:hAnsi="宋体"/>
                <w:szCs w:val="21"/>
              </w:rPr>
              <w:t>17</w:t>
            </w:r>
            <w:r>
              <w:rPr>
                <w:rFonts w:hint="eastAsia" w:ascii="宋体" w:hAnsi="宋体"/>
                <w:szCs w:val="21"/>
              </w:rPr>
              <w:t>分</w:t>
            </w:r>
          </w:p>
        </w:tc>
        <w:tc>
          <w:tcPr>
            <w:tcW w:w="577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rPr>
                <w:rFonts w:ascii="宋体" w:hAnsi="宋体" w:cs="宋体"/>
                <w:szCs w:val="21"/>
              </w:rPr>
            </w:pPr>
            <w:r>
              <w:rPr>
                <w:rFonts w:hint="eastAsia" w:ascii="宋体" w:hAnsi="宋体" w:cs="宋体"/>
                <w:szCs w:val="21"/>
              </w:rPr>
              <w:t>1、投标人于2019年1月1日以后，获得</w:t>
            </w:r>
            <w:r>
              <w:rPr>
                <w:rFonts w:hint="eastAsia" w:ascii="宋体" w:hAnsi="宋体" w:cs="宋体"/>
                <w:szCs w:val="21"/>
                <w:lang w:eastAsia="zh-CN"/>
              </w:rPr>
              <w:t>市级以上</w:t>
            </w:r>
            <w:r>
              <w:rPr>
                <w:rFonts w:hint="eastAsia" w:ascii="宋体" w:hAnsi="宋体" w:cs="宋体"/>
                <w:szCs w:val="21"/>
              </w:rPr>
              <w:t>质量监督检验机构出具的书包柜、玩具柜、书架、毛巾架、班台、钢制文件柜、遮光窗帘、折叠椅产品质量检验报告齐全得6分，少一项扣1分，扣完为止。</w:t>
            </w:r>
          </w:p>
          <w:p>
            <w:pPr>
              <w:autoSpaceDN w:val="0"/>
              <w:spacing w:line="360" w:lineRule="auto"/>
              <w:rPr>
                <w:rFonts w:ascii="宋体" w:hAnsi="宋体" w:cs="宋体"/>
                <w:szCs w:val="21"/>
              </w:rPr>
            </w:pPr>
            <w:r>
              <w:rPr>
                <w:rFonts w:hint="eastAsia" w:ascii="宋体" w:hAnsi="宋体" w:cs="宋体"/>
                <w:szCs w:val="21"/>
              </w:rPr>
              <w:t>2、投标人获得文件柜、书柜（架）、沙发、儿童学习桌、儿童学习椅、办公桌、办公椅等七大类人类工效学认证证书得3分，不符或缺少不得分。</w:t>
            </w:r>
          </w:p>
          <w:p>
            <w:pPr>
              <w:autoSpaceDN w:val="0"/>
              <w:spacing w:line="360" w:lineRule="auto"/>
              <w:rPr>
                <w:rFonts w:ascii="宋体" w:hAnsi="宋体" w:cs="宋体"/>
                <w:szCs w:val="21"/>
              </w:rPr>
            </w:pPr>
            <w:r>
              <w:rPr>
                <w:rFonts w:hint="eastAsia" w:ascii="宋体" w:hAnsi="宋体" w:cs="宋体"/>
                <w:szCs w:val="21"/>
              </w:rPr>
              <w:t>3、投标人获得健康产品认证证书（范围包含：班台、办公桌、会议桌、茶几、组合柜、鞋柜、活动柜、床、书包柜、玩具柜、毛巾架、木制椅）得2分，范围不符或缺少不得分。</w:t>
            </w:r>
          </w:p>
          <w:p>
            <w:pPr>
              <w:autoSpaceDN w:val="0"/>
              <w:spacing w:line="360" w:lineRule="auto"/>
              <w:rPr>
                <w:rFonts w:ascii="宋体" w:hAnsi="宋体" w:cs="宋体"/>
                <w:szCs w:val="21"/>
              </w:rPr>
            </w:pPr>
            <w:r>
              <w:rPr>
                <w:rFonts w:hint="eastAsia" w:ascii="宋体" w:hAnsi="宋体" w:cs="宋体"/>
                <w:szCs w:val="21"/>
              </w:rPr>
              <w:t>4、投标人获得质量管理体系认证证书、环境管理体系认证证书、职业健康安全管理体系认证证书（认证范围含：学习桌、条桌、会议椅、班椅、木架椅、班台、书架、茶几、鞋柜、玩具柜、组合柜、毛巾架、诊断床、金属制品、板式家具、金属家具、软体家具、幼儿家具、办公家具）得3分，范围不符或缺少不得分。</w:t>
            </w:r>
          </w:p>
          <w:p>
            <w:pPr>
              <w:autoSpaceDN w:val="0"/>
              <w:spacing w:line="360" w:lineRule="auto"/>
              <w:rPr>
                <w:rFonts w:ascii="宋体" w:hAnsi="宋体" w:cs="宋体"/>
                <w:szCs w:val="21"/>
              </w:rPr>
            </w:pPr>
            <w:r>
              <w:rPr>
                <w:rFonts w:hint="eastAsia" w:ascii="宋体" w:hAnsi="宋体" w:cs="宋体"/>
                <w:szCs w:val="21"/>
              </w:rPr>
              <w:t>5、投标人获得低VOCs家具产品认证证书（认证范围含：轻金属床类诊断床、金属质柜类文件柜、实木毛巾架、人造板茶几、人造板办公桌、人造板活动柜、实木书架）得3分，范围不符或缺少不得分。</w:t>
            </w:r>
          </w:p>
        </w:tc>
        <w:tc>
          <w:tcPr>
            <w:tcW w:w="1059"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kern w:val="0"/>
                <w:szCs w:val="21"/>
                <w:shd w:val="clear" w:color="auto" w:fill="FFFFFF" w:themeFill="background1"/>
              </w:rPr>
              <w:t>(共同评分因素)　</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ascii="宋体" w:hAnsi="宋体"/>
                <w:szCs w:val="21"/>
              </w:rPr>
              <w:t>4</w:t>
            </w:r>
          </w:p>
        </w:tc>
        <w:tc>
          <w:tcPr>
            <w:tcW w:w="104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szCs w:val="21"/>
              </w:rPr>
              <w:t>样品</w:t>
            </w:r>
          </w:p>
        </w:tc>
        <w:tc>
          <w:tcPr>
            <w:tcW w:w="7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ascii="宋体" w:hAnsi="宋体"/>
                <w:szCs w:val="21"/>
              </w:rPr>
              <w:t>8</w:t>
            </w:r>
            <w:r>
              <w:rPr>
                <w:rFonts w:hint="eastAsia" w:ascii="宋体" w:hAnsi="宋体"/>
                <w:szCs w:val="21"/>
              </w:rPr>
              <w:t>分</w:t>
            </w:r>
          </w:p>
        </w:tc>
        <w:tc>
          <w:tcPr>
            <w:tcW w:w="5774"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rPr>
                <w:rFonts w:ascii="宋体" w:hAnsi="宋体" w:cs="宋体"/>
                <w:szCs w:val="21"/>
              </w:rPr>
            </w:pPr>
            <w:r>
              <w:rPr>
                <w:rFonts w:hint="eastAsia" w:ascii="宋体" w:hAnsi="宋体" w:cs="宋体"/>
                <w:szCs w:val="21"/>
              </w:rPr>
              <w:t>1、未按招标要求款式、规格送样的或少送样的得0分；</w:t>
            </w:r>
          </w:p>
          <w:p>
            <w:pPr>
              <w:autoSpaceDN w:val="0"/>
              <w:spacing w:line="360" w:lineRule="auto"/>
              <w:rPr>
                <w:rFonts w:ascii="宋体" w:hAnsi="宋体" w:cs="宋体"/>
                <w:szCs w:val="21"/>
              </w:rPr>
            </w:pPr>
            <w:r>
              <w:rPr>
                <w:rFonts w:hint="eastAsia" w:ascii="宋体" w:hAnsi="宋体" w:cs="宋体"/>
                <w:szCs w:val="21"/>
              </w:rPr>
              <w:t>2、样品制作的标准和要求：对应参照本项目技术参数及要求，符合要求得3分，不符合不得分；</w:t>
            </w:r>
          </w:p>
          <w:p>
            <w:pPr>
              <w:autoSpaceDN w:val="0"/>
              <w:spacing w:line="360" w:lineRule="auto"/>
              <w:rPr>
                <w:rFonts w:ascii="宋体" w:hAnsi="宋体" w:cs="宋体"/>
                <w:szCs w:val="21"/>
              </w:rPr>
            </w:pPr>
            <w:r>
              <w:rPr>
                <w:rFonts w:hint="eastAsia" w:ascii="宋体" w:hAnsi="宋体" w:cs="宋体"/>
                <w:szCs w:val="21"/>
              </w:rPr>
              <w:t>3、样品评分细则：</w:t>
            </w:r>
          </w:p>
          <w:p>
            <w:pPr>
              <w:autoSpaceDN w:val="0"/>
              <w:spacing w:line="360" w:lineRule="auto"/>
              <w:rPr>
                <w:rFonts w:ascii="宋体" w:hAnsi="宋体" w:cs="宋体"/>
                <w:szCs w:val="21"/>
              </w:rPr>
            </w:pPr>
            <w:r>
              <w:rPr>
                <w:rFonts w:hint="eastAsia" w:ascii="宋体" w:hAnsi="宋体" w:cs="宋体"/>
                <w:szCs w:val="21"/>
              </w:rPr>
              <w:t>（1）金属部件焊接应牢靠，焊缝均匀。无脱焊、虚焊、焊穿，得1分，有1-3处得0.5分，超过3处得0分。</w:t>
            </w:r>
          </w:p>
          <w:p>
            <w:pPr>
              <w:autoSpaceDN w:val="0"/>
              <w:spacing w:line="360" w:lineRule="auto"/>
              <w:rPr>
                <w:rFonts w:ascii="宋体" w:hAnsi="宋体" w:cs="宋体"/>
                <w:szCs w:val="21"/>
              </w:rPr>
            </w:pPr>
            <w:r>
              <w:rPr>
                <w:rFonts w:hint="eastAsia" w:ascii="宋体" w:hAnsi="宋体" w:cs="宋体"/>
                <w:szCs w:val="21"/>
              </w:rPr>
              <w:t>（2）金属无毛刺、锐棱、飞溅、裂纹等缺陷，得1分；有1-3处得0.5分，超过3处得0分。</w:t>
            </w:r>
          </w:p>
          <w:p>
            <w:pPr>
              <w:autoSpaceDN w:val="0"/>
              <w:spacing w:line="360" w:lineRule="auto"/>
              <w:rPr>
                <w:rFonts w:ascii="宋体" w:hAnsi="宋体" w:cs="宋体"/>
                <w:szCs w:val="21"/>
              </w:rPr>
            </w:pPr>
            <w:r>
              <w:rPr>
                <w:rFonts w:hint="eastAsia" w:ascii="宋体" w:hAnsi="宋体" w:cs="宋体"/>
                <w:szCs w:val="21"/>
              </w:rPr>
              <w:t>（3）喷涂件涂层应光滑均匀，色泽一致，无流挂、疙瘩、皱皮、飞漆，无漏喷、锈蚀，得1分，有1-3处得0.5分，超过3处得0分。</w:t>
            </w:r>
          </w:p>
          <w:p>
            <w:pPr>
              <w:autoSpaceDN w:val="0"/>
              <w:spacing w:line="360" w:lineRule="auto"/>
              <w:rPr>
                <w:rFonts w:ascii="宋体" w:hAnsi="宋体" w:cs="宋体"/>
                <w:szCs w:val="21"/>
              </w:rPr>
            </w:pPr>
            <w:r>
              <w:rPr>
                <w:rFonts w:hint="eastAsia" w:ascii="宋体" w:hAnsi="宋体" w:cs="宋体"/>
                <w:szCs w:val="21"/>
              </w:rPr>
              <w:t>（4）金属合金件无锈蚀、氧化膜脱落、刃口、锐棱、毛刺、黑斑，得1分，有1-3处得0.5分，超过3处得0分。</w:t>
            </w:r>
          </w:p>
          <w:p>
            <w:pPr>
              <w:autoSpaceDN w:val="0"/>
              <w:spacing w:line="360" w:lineRule="auto"/>
              <w:rPr>
                <w:rFonts w:ascii="宋体" w:hAnsi="宋体" w:cs="宋体"/>
                <w:szCs w:val="21"/>
              </w:rPr>
            </w:pPr>
            <w:r>
              <w:rPr>
                <w:rFonts w:hint="eastAsia" w:ascii="宋体" w:hAnsi="宋体" w:cs="宋体"/>
                <w:szCs w:val="21"/>
              </w:rPr>
              <w:t>（5）木质部件的非交接面应该进行封边或涂饰处理，贴面、封边、包边无脱胶、鼓泡或开裂现象得1分，有1-3处得0.5分，超过3处得0分。</w:t>
            </w:r>
          </w:p>
        </w:tc>
        <w:tc>
          <w:tcPr>
            <w:tcW w:w="1059"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（共同评分因素）</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szCs w:val="21"/>
              </w:rPr>
              <w:t>5</w:t>
            </w:r>
          </w:p>
        </w:tc>
        <w:tc>
          <w:tcPr>
            <w:tcW w:w="104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szCs w:val="21"/>
              </w:rPr>
              <w:t>信誉、资质和实力</w:t>
            </w:r>
          </w:p>
        </w:tc>
        <w:tc>
          <w:tcPr>
            <w:tcW w:w="7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szCs w:val="21"/>
                <w:lang w:val="en-US" w:eastAsia="zh-CN"/>
              </w:rPr>
              <w:t>11</w:t>
            </w:r>
            <w:bookmarkStart w:id="236" w:name="_GoBack"/>
            <w:bookmarkEnd w:id="236"/>
            <w:r>
              <w:rPr>
                <w:rFonts w:hint="eastAsia" w:ascii="宋体" w:hAnsi="宋体"/>
                <w:szCs w:val="21"/>
              </w:rPr>
              <w:t>分</w:t>
            </w:r>
          </w:p>
        </w:tc>
        <w:tc>
          <w:tcPr>
            <w:tcW w:w="5774" w:type="dxa"/>
            <w:tcBorders>
              <w:top w:val="single" w:color="000000" w:sz="4" w:space="0"/>
              <w:bottom w:val="single" w:color="000000" w:sz="4" w:space="0"/>
              <w:right w:val="single" w:color="000000" w:sz="4" w:space="0"/>
            </w:tcBorders>
            <w:tcMar>
              <w:top w:w="0" w:type="dxa"/>
              <w:left w:w="108" w:type="dxa"/>
              <w:bottom w:w="0" w:type="dxa"/>
              <w:right w:w="108" w:type="dxa"/>
            </w:tcMar>
          </w:tcPr>
          <w:p>
            <w:pPr>
              <w:numPr>
                <w:ilvl w:val="0"/>
                <w:numId w:val="48"/>
              </w:numPr>
              <w:autoSpaceDN w:val="0"/>
              <w:spacing w:line="360" w:lineRule="auto"/>
              <w:rPr>
                <w:rFonts w:hint="eastAsia" w:ascii="宋体" w:hAnsi="宋体" w:cs="宋体"/>
                <w:szCs w:val="21"/>
              </w:rPr>
            </w:pPr>
            <w:r>
              <w:rPr>
                <w:rFonts w:hint="eastAsia" w:ascii="宋体" w:hAnsi="宋体" w:cs="宋体"/>
                <w:szCs w:val="21"/>
              </w:rPr>
              <w:t>投标人具有符合国家标准GB/T 15496—2017的AAAAA级标准化良好行为企业认证证书（认证范围含：板式家具、软体家具、金属家具、办公家具、幼儿家具）得3分，范围不符或缺少不得分。</w:t>
            </w:r>
          </w:p>
          <w:p>
            <w:pPr>
              <w:autoSpaceDN w:val="0"/>
              <w:spacing w:line="360" w:lineRule="auto"/>
              <w:rPr>
                <w:rFonts w:ascii="宋体" w:hAnsi="宋体" w:cs="宋体"/>
                <w:szCs w:val="21"/>
              </w:rPr>
            </w:pPr>
            <w:r>
              <w:rPr>
                <w:rFonts w:hint="eastAsia" w:ascii="宋体" w:hAnsi="宋体" w:cs="宋体"/>
                <w:szCs w:val="21"/>
              </w:rPr>
              <w:t>2、投标人具有五星绿色供应链管理认证证书（认证范围含：板式家具、软体家具、金属家具、综合木家具、办公家具、幼儿家具）得3分，范围不符或缺少不得分。</w:t>
            </w:r>
          </w:p>
          <w:p>
            <w:pPr>
              <w:autoSpaceDN w:val="0"/>
              <w:spacing w:line="360" w:lineRule="auto"/>
              <w:rPr>
                <w:rFonts w:ascii="宋体" w:hAnsi="宋体" w:cs="宋体"/>
                <w:szCs w:val="21"/>
              </w:rPr>
            </w:pPr>
            <w:r>
              <w:rPr>
                <w:rFonts w:hint="eastAsia" w:ascii="宋体" w:hAnsi="宋体" w:cs="宋体"/>
                <w:szCs w:val="21"/>
              </w:rPr>
              <w:t>3、投标人具有社会责任管理活动认证证书（认证范围含：板式家具、金属家具、软体家具、综合木家具、办公家具、班台、会议桌、活动柜、书包柜、鞋柜、班椅、诊断床）得3分，范围不符或缺少不得分。</w:t>
            </w:r>
          </w:p>
          <w:p>
            <w:pPr>
              <w:pStyle w:val="2"/>
              <w:numPr>
                <w:numId w:val="0"/>
              </w:numPr>
            </w:pPr>
          </w:p>
          <w:p>
            <w:pPr>
              <w:autoSpaceDN w:val="0"/>
              <w:spacing w:line="360" w:lineRule="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、投标人具有五星家具定制服务认证证书（认证范围含：板式家具、软体家具、金属家具、办公家具、幼儿家具）得2分，范围不符或缺少不得分。</w:t>
            </w:r>
          </w:p>
        </w:tc>
        <w:tc>
          <w:tcPr>
            <w:tcW w:w="1059"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（共同评分因素）</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szCs w:val="21"/>
              </w:rPr>
              <w:t>6</w:t>
            </w:r>
          </w:p>
        </w:tc>
        <w:tc>
          <w:tcPr>
            <w:tcW w:w="104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szCs w:val="21"/>
              </w:rPr>
              <w:t>业绩</w:t>
            </w:r>
          </w:p>
        </w:tc>
        <w:tc>
          <w:tcPr>
            <w:tcW w:w="7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szCs w:val="21"/>
                <w:lang w:val="en-US" w:eastAsia="zh-CN"/>
              </w:rPr>
              <w:t>4</w:t>
            </w:r>
            <w:r>
              <w:rPr>
                <w:rFonts w:hint="eastAsia" w:ascii="宋体" w:hAnsi="宋体"/>
                <w:szCs w:val="21"/>
              </w:rPr>
              <w:t>分</w:t>
            </w:r>
          </w:p>
        </w:tc>
        <w:tc>
          <w:tcPr>
            <w:tcW w:w="5774"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rPr>
                <w:rFonts w:ascii="宋体" w:hAnsi="宋体" w:cs="宋体"/>
                <w:szCs w:val="21"/>
              </w:rPr>
            </w:pPr>
            <w:r>
              <w:rPr>
                <w:rFonts w:hint="eastAsia" w:ascii="宋体" w:hAnsi="宋体" w:cs="宋体"/>
                <w:szCs w:val="21"/>
              </w:rPr>
              <w:t>投标人2018年1月1日以来具有类似销售业绩的，每有1个合同得0.5分，最多得</w:t>
            </w:r>
            <w:r>
              <w:rPr>
                <w:rFonts w:hint="eastAsia" w:ascii="宋体" w:hAnsi="宋体" w:cs="宋体"/>
                <w:szCs w:val="21"/>
                <w:lang w:val="en-US" w:eastAsia="zh-CN"/>
              </w:rPr>
              <w:t>4</w:t>
            </w:r>
            <w:r>
              <w:rPr>
                <w:rFonts w:hint="eastAsia" w:ascii="宋体" w:hAnsi="宋体" w:cs="宋体"/>
                <w:szCs w:val="21"/>
              </w:rPr>
              <w:t>分。（提供合同复印件）</w:t>
            </w:r>
          </w:p>
        </w:tc>
        <w:tc>
          <w:tcPr>
            <w:tcW w:w="1059"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（共同评分因素）</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szCs w:val="21"/>
              </w:rPr>
              <w:t>7</w:t>
            </w:r>
          </w:p>
        </w:tc>
        <w:tc>
          <w:tcPr>
            <w:tcW w:w="104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szCs w:val="21"/>
              </w:rPr>
              <w:t>售后服务</w:t>
            </w:r>
          </w:p>
        </w:tc>
        <w:tc>
          <w:tcPr>
            <w:tcW w:w="7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szCs w:val="21"/>
              </w:rPr>
              <w:t>8分</w:t>
            </w:r>
          </w:p>
        </w:tc>
        <w:tc>
          <w:tcPr>
            <w:tcW w:w="5774"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rPr>
                <w:rFonts w:ascii="宋体" w:hAnsi="宋体" w:cs="宋体"/>
                <w:szCs w:val="21"/>
              </w:rPr>
            </w:pPr>
            <w:r>
              <w:rPr>
                <w:rFonts w:hint="eastAsia" w:ascii="宋体" w:hAnsi="宋体" w:cs="宋体"/>
                <w:szCs w:val="21"/>
              </w:rPr>
              <w:t>1、根据投标人提供售后服务方案进行评审（内容包括：售后服务呼叫电话得0.5分、响应时间满足得0.5分、现场服务支持能力得0.5分、应急处理方式得0.5分）最多得2分。</w:t>
            </w:r>
          </w:p>
          <w:p>
            <w:pPr>
              <w:autoSpaceDN w:val="0"/>
              <w:spacing w:line="360" w:lineRule="auto"/>
              <w:rPr>
                <w:rFonts w:ascii="宋体" w:hAnsi="宋体" w:cs="宋体"/>
                <w:szCs w:val="21"/>
              </w:rPr>
            </w:pPr>
            <w:r>
              <w:rPr>
                <w:rFonts w:hint="eastAsia" w:ascii="宋体" w:hAnsi="宋体" w:cs="宋体"/>
                <w:szCs w:val="21"/>
              </w:rPr>
              <w:t>2、投标人具有符合GB/T27922-2011及SB/T10962-2013标准的售后服务完善程度认证证书（认证范围含：办公桌、文件柜、金属箱柜、书架、组合柜、木质家具、书包柜、板式家具、金属家具、办公家具、幼儿家具），五星级以上得4分，五星级得2分，五星级以下得1分，范围不符或缺少不得分。（提供证书复印件，加盖投标人公章）。</w:t>
            </w:r>
          </w:p>
          <w:p>
            <w:pPr>
              <w:autoSpaceDN w:val="0"/>
              <w:spacing w:line="360" w:lineRule="auto"/>
              <w:rPr>
                <w:rFonts w:ascii="宋体" w:hAnsi="宋体" w:cs="宋体"/>
                <w:szCs w:val="21"/>
              </w:rPr>
            </w:pPr>
            <w:r>
              <w:rPr>
                <w:rFonts w:hint="eastAsia" w:ascii="宋体" w:hAnsi="宋体" w:cs="宋体"/>
                <w:szCs w:val="21"/>
              </w:rPr>
              <w:t>3、投标人为2016年以来</w:t>
            </w:r>
            <w:r>
              <w:rPr>
                <w:rFonts w:hint="eastAsia" w:ascii="宋体" w:hAnsi="宋体" w:cs="宋体"/>
                <w:szCs w:val="21"/>
                <w:lang w:eastAsia="zh-CN"/>
              </w:rPr>
              <w:t>获得省级</w:t>
            </w:r>
            <w:r>
              <w:rPr>
                <w:rFonts w:hint="eastAsia" w:ascii="宋体" w:hAnsi="宋体" w:cs="宋体"/>
                <w:szCs w:val="21"/>
              </w:rPr>
              <w:t>以上政府部门颁发的 “守合同重信用”企业得2分，省级以下得1分。</w:t>
            </w:r>
          </w:p>
        </w:tc>
        <w:tc>
          <w:tcPr>
            <w:tcW w:w="1059"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（共同评分因素）</w:t>
            </w:r>
          </w:p>
        </w:tc>
      </w:tr>
      <w:tr>
        <w:tblPrEx>
          <w:tblLayout w:type="fixed"/>
          <w:tblCellMar>
            <w:top w:w="0" w:type="dxa"/>
            <w:left w:w="108" w:type="dxa"/>
            <w:bottom w:w="0" w:type="dxa"/>
            <w:right w:w="108" w:type="dxa"/>
          </w:tblCellMar>
        </w:tblPrEx>
        <w:trPr>
          <w:trHeight w:val="350"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ascii="宋体" w:hAnsi="宋体"/>
                <w:szCs w:val="21"/>
              </w:rPr>
              <w:t>8</w:t>
            </w:r>
          </w:p>
        </w:tc>
        <w:tc>
          <w:tcPr>
            <w:tcW w:w="104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szCs w:val="21"/>
              </w:rPr>
              <w:t>节能、环境标志、无线局域网产品</w:t>
            </w:r>
          </w:p>
        </w:tc>
        <w:tc>
          <w:tcPr>
            <w:tcW w:w="7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ascii="宋体" w:hAnsi="宋体"/>
                <w:szCs w:val="21"/>
              </w:rPr>
              <w:t>2</w:t>
            </w:r>
            <w:r>
              <w:rPr>
                <w:rFonts w:hint="eastAsia" w:ascii="宋体" w:hAnsi="宋体"/>
                <w:szCs w:val="21"/>
              </w:rPr>
              <w:t>分</w:t>
            </w:r>
          </w:p>
        </w:tc>
        <w:tc>
          <w:tcPr>
            <w:tcW w:w="577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rPr>
                <w:rFonts w:ascii="宋体" w:hAnsi="宋体"/>
                <w:szCs w:val="21"/>
              </w:rPr>
            </w:pPr>
            <w:r>
              <w:rPr>
                <w:rFonts w:hint="eastAsia" w:ascii="宋体" w:hAnsi="宋体"/>
                <w:szCs w:val="21"/>
              </w:rPr>
              <w:t>投标人所投产品中每有一项属于节能产品政府采购品目清单中优先采购范围的得0.5分；每有一项属于环境标志产品政府采购品目清单中优先采购范围的得0.5分；每有一项为无线局域网产品政府采购清单中的产品的得0.5分。本项共</w:t>
            </w:r>
            <w:r>
              <w:rPr>
                <w:rFonts w:ascii="宋体" w:hAnsi="宋体"/>
                <w:szCs w:val="21"/>
              </w:rPr>
              <w:t>2</w:t>
            </w:r>
            <w:r>
              <w:rPr>
                <w:rFonts w:hint="eastAsia" w:ascii="宋体" w:hAnsi="宋体"/>
                <w:szCs w:val="21"/>
              </w:rPr>
              <w:t>分。</w:t>
            </w:r>
          </w:p>
          <w:p>
            <w:pPr>
              <w:autoSpaceDN w:val="0"/>
              <w:spacing w:line="360" w:lineRule="auto"/>
              <w:rPr>
                <w:rFonts w:ascii="宋体" w:hAnsi="宋体"/>
                <w:szCs w:val="21"/>
              </w:rPr>
            </w:pPr>
            <w:r>
              <w:rPr>
                <w:rFonts w:hint="eastAsia" w:ascii="宋体" w:hAnsi="宋体"/>
                <w:szCs w:val="21"/>
              </w:rPr>
              <w:t>注：</w:t>
            </w:r>
          </w:p>
          <w:p>
            <w:pPr>
              <w:autoSpaceDN w:val="0"/>
              <w:spacing w:line="360" w:lineRule="auto"/>
              <w:rPr>
                <w:rFonts w:ascii="宋体" w:hAnsi="宋体"/>
                <w:szCs w:val="21"/>
              </w:rPr>
            </w:pPr>
            <w:r>
              <w:rPr>
                <w:rFonts w:hint="eastAsia" w:ascii="宋体" w:hAnsi="宋体"/>
                <w:szCs w:val="21"/>
              </w:rPr>
              <w:t>1、可重复计分；</w:t>
            </w:r>
          </w:p>
          <w:p>
            <w:pPr>
              <w:autoSpaceDN w:val="0"/>
              <w:spacing w:line="360" w:lineRule="auto"/>
              <w:rPr>
                <w:rFonts w:ascii="宋体" w:hAnsi="宋体"/>
                <w:szCs w:val="21"/>
              </w:rPr>
            </w:pPr>
            <w:r>
              <w:rPr>
                <w:rFonts w:hint="eastAsia" w:ascii="宋体" w:hAnsi="宋体"/>
                <w:szCs w:val="21"/>
              </w:rPr>
              <w:t>2、本项目采购的产品中属于节能产品或环境标志产品政府采购品目清单中强制采购范围的，不属于本项评分范围。</w:t>
            </w:r>
          </w:p>
          <w:p>
            <w:pPr>
              <w:autoSpaceDN w:val="0"/>
              <w:spacing w:line="360" w:lineRule="auto"/>
              <w:rPr>
                <w:rFonts w:ascii="宋体" w:hAnsi="宋体"/>
                <w:szCs w:val="21"/>
              </w:rPr>
            </w:pPr>
            <w:r>
              <w:rPr>
                <w:rFonts w:hint="eastAsia" w:ascii="宋体" w:hAnsi="宋体"/>
                <w:szCs w:val="21"/>
              </w:rPr>
              <w:t>3、投标人所投产品属于节能产品或环境标志产品政府采购品目清单中优先采购范围的，应当在投标文件中提供国家确定的认证机构出具的、处于有效期之内的节能产品或环境标志产品认证证书复印件并加盖供应商公章（鲜章），否则不予给分。</w:t>
            </w:r>
          </w:p>
          <w:p>
            <w:pPr>
              <w:autoSpaceDN w:val="0"/>
              <w:spacing w:line="360" w:lineRule="auto"/>
              <w:rPr>
                <w:rFonts w:ascii="宋体" w:hAnsi="宋体"/>
                <w:bCs/>
                <w:szCs w:val="21"/>
              </w:rPr>
            </w:pPr>
            <w:r>
              <w:rPr>
                <w:rFonts w:hint="eastAsia" w:ascii="宋体" w:hAnsi="宋体"/>
                <w:bCs/>
                <w:szCs w:val="21"/>
              </w:rPr>
              <w:t>4、</w:t>
            </w:r>
            <w:r>
              <w:rPr>
                <w:rFonts w:hint="eastAsia" w:ascii="宋体" w:hAnsi="宋体"/>
                <w:szCs w:val="21"/>
              </w:rPr>
              <w:t>投标人所投产品</w:t>
            </w:r>
            <w:r>
              <w:rPr>
                <w:rFonts w:hint="eastAsia" w:ascii="宋体" w:hAnsi="宋体"/>
                <w:bCs/>
                <w:szCs w:val="21"/>
              </w:rPr>
              <w:t>属于优先采购范围内的无线局域网产品的</w:t>
            </w:r>
            <w:r>
              <w:rPr>
                <w:rFonts w:hint="eastAsia" w:ascii="宋体" w:hAnsi="宋体"/>
                <w:szCs w:val="21"/>
              </w:rPr>
              <w:t>，</w:t>
            </w:r>
            <w:r>
              <w:rPr>
                <w:rFonts w:hint="eastAsia" w:ascii="宋体" w:hAnsi="宋体"/>
                <w:bCs/>
                <w:szCs w:val="21"/>
              </w:rPr>
              <w:t>需提供《中国政府采购网》公布的</w:t>
            </w:r>
            <w:r>
              <w:rPr>
                <w:rFonts w:hint="eastAsia" w:ascii="宋体" w:hAnsi="宋体"/>
                <w:szCs w:val="21"/>
              </w:rPr>
              <w:t>无线局域网产品</w:t>
            </w:r>
            <w:r>
              <w:rPr>
                <w:rFonts w:hint="eastAsia" w:ascii="宋体" w:hAnsi="宋体"/>
                <w:bCs/>
                <w:szCs w:val="21"/>
              </w:rPr>
              <w:t>政府采购清单封面及对应页并加盖供应商单位公章（鲜章）。</w:t>
            </w:r>
          </w:p>
          <w:p>
            <w:pPr>
              <w:autoSpaceDN w:val="0"/>
              <w:spacing w:line="360" w:lineRule="auto"/>
              <w:rPr>
                <w:rFonts w:ascii="宋体" w:hAnsi="宋体"/>
                <w:bCs/>
                <w:szCs w:val="21"/>
              </w:rPr>
            </w:pPr>
            <w:r>
              <w:rPr>
                <w:rFonts w:hint="eastAsia" w:ascii="宋体" w:hAnsi="宋体"/>
                <w:bCs/>
                <w:szCs w:val="21"/>
              </w:rPr>
              <w:t>5、如涉及招标文件其他部分对节能、环境标志、无线局域网产品相关证书有专门要求的，此处不再重复计分。</w:t>
            </w:r>
          </w:p>
          <w:p>
            <w:pPr>
              <w:autoSpaceDN w:val="0"/>
              <w:spacing w:line="360" w:lineRule="auto"/>
              <w:rPr>
                <w:rFonts w:ascii="宋体" w:hAnsi="宋体"/>
                <w:bCs/>
                <w:szCs w:val="21"/>
              </w:rPr>
            </w:pPr>
            <w:r>
              <w:rPr>
                <w:rFonts w:hint="eastAsia" w:ascii="宋体" w:hAnsi="宋体"/>
                <w:bCs/>
                <w:szCs w:val="21"/>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tc>
        <w:tc>
          <w:tcPr>
            <w:tcW w:w="1059"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szCs w:val="21"/>
              </w:rPr>
            </w:pPr>
            <w:r>
              <w:rPr>
                <w:rFonts w:hint="eastAsia" w:ascii="宋体" w:hAnsi="宋体" w:cs="宋体"/>
                <w:szCs w:val="21"/>
              </w:rPr>
              <w:t>（共同评分因素）</w:t>
            </w:r>
          </w:p>
        </w:tc>
      </w:tr>
      <w:tr>
        <w:tblPrEx>
          <w:tblLayout w:type="fixed"/>
          <w:tblCellMar>
            <w:top w:w="0" w:type="dxa"/>
            <w:left w:w="108" w:type="dxa"/>
            <w:bottom w:w="0" w:type="dxa"/>
            <w:right w:w="108" w:type="dxa"/>
          </w:tblCellMar>
        </w:tblPrEx>
        <w:trPr>
          <w:trHeight w:val="350"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szCs w:val="21"/>
              </w:rPr>
              <w:t>9</w:t>
            </w:r>
          </w:p>
        </w:tc>
        <w:tc>
          <w:tcPr>
            <w:tcW w:w="104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ascii="宋体" w:hAnsi="Times New Roman"/>
              </w:rPr>
              <w:t>扶持不发达地区和少数民族地区</w:t>
            </w:r>
          </w:p>
        </w:tc>
        <w:tc>
          <w:tcPr>
            <w:tcW w:w="7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szCs w:val="21"/>
              </w:rPr>
              <w:t>1分</w:t>
            </w:r>
          </w:p>
        </w:tc>
        <w:tc>
          <w:tcPr>
            <w:tcW w:w="577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rPr>
                <w:rFonts w:ascii="宋体" w:hAnsi="宋体"/>
              </w:rPr>
            </w:pPr>
            <w:r>
              <w:rPr>
                <w:rFonts w:ascii="宋体" w:hAnsi="Times New Roman"/>
              </w:rPr>
              <w:t>投标人为不发达地区或少数民族地区企业的得1分。</w:t>
            </w:r>
          </w:p>
          <w:p>
            <w:pPr>
              <w:autoSpaceDN w:val="0"/>
              <w:spacing w:line="360" w:lineRule="auto"/>
              <w:rPr>
                <w:rFonts w:ascii="宋体" w:hAnsi="宋体"/>
                <w:bCs/>
                <w:szCs w:val="21"/>
              </w:rPr>
            </w:pPr>
            <w:r>
              <w:rPr>
                <w:rFonts w:ascii="宋体" w:hAnsi="Times New Roman"/>
              </w:rPr>
              <w:t>注：提供不发达地区企业的相关证明材料或投标人注册地为少数民族地区。</w:t>
            </w:r>
          </w:p>
        </w:tc>
        <w:tc>
          <w:tcPr>
            <w:tcW w:w="1059"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szCs w:val="21"/>
              </w:rPr>
            </w:pPr>
            <w:r>
              <w:rPr>
                <w:rFonts w:hint="eastAsia" w:ascii="宋体" w:hAnsi="宋体" w:cs="宋体"/>
                <w:szCs w:val="21"/>
              </w:rPr>
              <w:t>（共同评分因素）</w:t>
            </w:r>
          </w:p>
        </w:tc>
      </w:tr>
      <w:tr>
        <w:tblPrEx>
          <w:tblLayout w:type="fixed"/>
          <w:tblCellMar>
            <w:top w:w="0" w:type="dxa"/>
            <w:left w:w="108" w:type="dxa"/>
            <w:bottom w:w="0" w:type="dxa"/>
            <w:right w:w="108" w:type="dxa"/>
          </w:tblCellMar>
        </w:tblPrEx>
        <w:trPr>
          <w:trHeight w:val="350" w:hRule="atLeast"/>
          <w:jc w:val="center"/>
        </w:trPr>
        <w:tc>
          <w:tcPr>
            <w:tcW w:w="914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b/>
                <w:bCs/>
                <w:szCs w:val="21"/>
              </w:rPr>
            </w:pPr>
            <w:r>
              <w:rPr>
                <w:rFonts w:hint="eastAsia" w:ascii="宋体" w:hAnsi="宋体"/>
                <w:b/>
                <w:bCs/>
              </w:rPr>
              <w:t>注：评标委员会在评标过程中计算得分分数时，如涉及小数的，四舍五入后保留小数点后两位。</w:t>
            </w:r>
          </w:p>
        </w:tc>
      </w:tr>
    </w:tbl>
    <w:p>
      <w:pPr>
        <w:pStyle w:val="2"/>
      </w:pPr>
    </w:p>
    <w:p>
      <w:pPr>
        <w:pStyle w:val="2"/>
        <w:rPr>
          <w:rFonts w:ascii="宋体" w:hAnsi="宋体"/>
          <w:b/>
          <w:bCs/>
          <w:sz w:val="28"/>
          <w:szCs w:val="28"/>
        </w:rPr>
      </w:pPr>
    </w:p>
    <w:p/>
    <w:p>
      <w:pPr>
        <w:ind w:firstLine="560" w:firstLineChars="200"/>
        <w:rPr>
          <w:rFonts w:ascii="宋体" w:hAnsi="宋体"/>
          <w:sz w:val="28"/>
        </w:rPr>
      </w:pPr>
      <w:r>
        <w:rPr>
          <w:rFonts w:hint="eastAsia" w:ascii="宋体" w:hAnsi="宋体"/>
          <w:sz w:val="28"/>
        </w:rPr>
        <w:t>说明：</w:t>
      </w:r>
    </w:p>
    <w:p>
      <w:pPr>
        <w:spacing w:line="360" w:lineRule="auto"/>
        <w:ind w:firstLine="560" w:firstLineChars="200"/>
        <w:rPr>
          <w:rFonts w:ascii="宋体" w:hAnsi="宋体"/>
          <w:sz w:val="28"/>
        </w:rPr>
      </w:pPr>
      <w:r>
        <w:rPr>
          <w:rFonts w:hint="eastAsia" w:ascii="宋体" w:hAnsi="宋体"/>
          <w:sz w:val="28"/>
        </w:rPr>
        <w:t>1、评分的取值按四舍五入法，保留小数点后两位；</w:t>
      </w:r>
    </w:p>
    <w:p>
      <w:pPr>
        <w:spacing w:line="360" w:lineRule="auto"/>
        <w:ind w:firstLine="560" w:firstLineChars="200"/>
        <w:rPr>
          <w:rFonts w:ascii="宋体" w:hAnsi="宋体"/>
          <w:sz w:val="28"/>
        </w:rPr>
      </w:pPr>
      <w:r>
        <w:rPr>
          <w:rFonts w:hint="eastAsia" w:ascii="宋体" w:hAnsi="宋体"/>
          <w:sz w:val="28"/>
        </w:rPr>
        <w:t>2、评分标准中要求提供复印件的证明材料须清晰可辨。</w:t>
      </w:r>
    </w:p>
    <w:p>
      <w:pPr>
        <w:keepNext/>
        <w:keepLines/>
        <w:numPr>
          <w:ilvl w:val="1"/>
          <w:numId w:val="5"/>
        </w:numPr>
        <w:spacing w:before="260" w:after="260" w:line="360" w:lineRule="auto"/>
        <w:jc w:val="left"/>
        <w:outlineLvl w:val="1"/>
        <w:rPr>
          <w:rFonts w:ascii="宋体" w:hAnsi="宋体"/>
          <w:b/>
          <w:bCs/>
          <w:sz w:val="28"/>
          <w:szCs w:val="28"/>
        </w:rPr>
      </w:pPr>
      <w:bookmarkStart w:id="166" w:name="_Toc74752346"/>
      <w:r>
        <w:rPr>
          <w:rFonts w:hint="eastAsia" w:ascii="宋体" w:hAnsi="宋体"/>
          <w:b/>
          <w:bCs/>
          <w:sz w:val="28"/>
          <w:szCs w:val="28"/>
        </w:rPr>
        <w:t>废标</w:t>
      </w:r>
      <w:bookmarkEnd w:id="166"/>
    </w:p>
    <w:p>
      <w:pPr>
        <w:spacing w:line="360" w:lineRule="auto"/>
        <w:ind w:firstLine="560" w:firstLineChars="200"/>
        <w:rPr>
          <w:rFonts w:ascii="宋体" w:hAnsi="宋体"/>
          <w:sz w:val="28"/>
          <w:szCs w:val="28"/>
        </w:rPr>
      </w:pPr>
      <w:r>
        <w:rPr>
          <w:rFonts w:hint="eastAsia" w:ascii="宋体" w:hAnsi="宋体"/>
          <w:sz w:val="28"/>
          <w:szCs w:val="28"/>
        </w:rPr>
        <w:t>本次政府采购活动中，出现下列情形之一的，予以废标：</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废标后，区公资交易中心将在“四川政府采购网”和“成都市公共资源交易服务中心”网站上公告。</w:t>
      </w:r>
    </w:p>
    <w:p>
      <w:pPr>
        <w:keepNext/>
        <w:keepLines/>
        <w:numPr>
          <w:ilvl w:val="1"/>
          <w:numId w:val="5"/>
        </w:numPr>
        <w:spacing w:before="260" w:after="260" w:line="360" w:lineRule="auto"/>
        <w:jc w:val="left"/>
        <w:outlineLvl w:val="1"/>
        <w:rPr>
          <w:rFonts w:ascii="宋体" w:hAnsi="宋体"/>
          <w:b/>
          <w:bCs/>
          <w:sz w:val="28"/>
          <w:szCs w:val="28"/>
        </w:rPr>
      </w:pPr>
      <w:bookmarkStart w:id="167" w:name="_Toc74752347"/>
      <w:r>
        <w:rPr>
          <w:rFonts w:hint="eastAsia" w:ascii="宋体" w:hAnsi="宋体"/>
          <w:b/>
          <w:bCs/>
          <w:sz w:val="28"/>
          <w:szCs w:val="28"/>
        </w:rPr>
        <w:t>定标</w:t>
      </w:r>
      <w:bookmarkEnd w:id="167"/>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定标原则</w:t>
      </w:r>
    </w:p>
    <w:p>
      <w:pPr>
        <w:spacing w:line="560" w:lineRule="exact"/>
        <w:ind w:firstLine="560" w:firstLineChars="200"/>
        <w:rPr>
          <w:rFonts w:ascii="宋体" w:hAnsi="宋体"/>
          <w:sz w:val="28"/>
          <w:szCs w:val="28"/>
        </w:rPr>
      </w:pPr>
      <w:r>
        <w:rPr>
          <w:rFonts w:hint="eastAsia" w:ascii="宋体" w:hAnsi="宋体"/>
          <w:sz w:val="28"/>
          <w:szCs w:val="28"/>
        </w:rPr>
        <w:t>本项目根据评标委员会确定的中标候选人名单，采购人按顺序确定1名中标人。中标候选供应商并列的，</w:t>
      </w:r>
      <w:r>
        <w:rPr>
          <w:rFonts w:hint="eastAsia" w:ascii="宋体"/>
          <w:sz w:val="28"/>
          <w:szCs w:val="28"/>
        </w:rPr>
        <w:t>由采购人采取随机抽取的方式确定中标人</w:t>
      </w:r>
      <w:r>
        <w:rPr>
          <w:rFonts w:hint="eastAsia" w:ascii="宋体" w:hAnsi="宋体"/>
          <w:sz w:val="28"/>
          <w:szCs w:val="28"/>
        </w:rPr>
        <w:t>。</w:t>
      </w:r>
    </w:p>
    <w:p>
      <w:pPr>
        <w:spacing w:line="560" w:lineRule="exact"/>
        <w:ind w:firstLine="560" w:firstLineChars="200"/>
        <w:rPr>
          <w:rFonts w:ascii="宋体" w:hAnsi="宋体"/>
          <w:sz w:val="28"/>
          <w:szCs w:val="28"/>
        </w:rPr>
      </w:pPr>
      <w:r>
        <w:rPr>
          <w:rFonts w:hint="eastAsia" w:cs="Helvetica" w:asciiTheme="minorEastAsia" w:hAnsiTheme="minorEastAsia" w:eastAsiaTheme="minorEastAsia"/>
          <w:kern w:val="0"/>
          <w:sz w:val="28"/>
          <w:szCs w:val="28"/>
        </w:rPr>
        <w:t>采购人在收到评标报告</w:t>
      </w:r>
      <w:r>
        <w:rPr>
          <w:rFonts w:hint="eastAsia" w:cs="宋体" w:asciiTheme="minorEastAsia" w:hAnsiTheme="minorEastAsia" w:eastAsiaTheme="minorEastAsia"/>
          <w:kern w:val="0"/>
          <w:sz w:val="28"/>
          <w:szCs w:val="28"/>
        </w:rPr>
        <w:t>5</w:t>
      </w:r>
      <w:r>
        <w:rPr>
          <w:rFonts w:hint="eastAsia" w:cs="Helvetica" w:asciiTheme="minorEastAsia" w:hAnsiTheme="minorEastAsia" w:eastAsiaTheme="minorEastAsia"/>
          <w:kern w:val="0"/>
          <w:sz w:val="28"/>
          <w:szCs w:val="28"/>
        </w:rPr>
        <w:t>个工作日内未按评标报告推荐的中标候选人顺序确定中标人，又不能说明合法理由的，视同按评标报告推荐的顺序确定排名第一的中标候选人为中标人。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定标程序</w:t>
      </w:r>
    </w:p>
    <w:p>
      <w:pPr>
        <w:spacing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line="360" w:lineRule="auto"/>
        <w:ind w:firstLine="560" w:firstLineChars="200"/>
        <w:rPr>
          <w:rFonts w:ascii="宋体" w:hAnsi="宋体" w:cs="Helvetica"/>
          <w:sz w:val="28"/>
          <w:szCs w:val="28"/>
        </w:rPr>
      </w:pPr>
      <w:r>
        <w:rPr>
          <w:rFonts w:hint="eastAsia" w:ascii="宋体" w:hAnsi="宋体" w:cs="Helvetica"/>
          <w:sz w:val="28"/>
          <w:szCs w:val="28"/>
        </w:rPr>
        <w:t>二、区公资交易中心在评审结束之日起2个工作日内将评审报告送采购人。</w:t>
      </w:r>
    </w:p>
    <w:p>
      <w:pPr>
        <w:spacing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四、根据采购人确定的中标（成交）人，区公资交易中心在“四川政府采购网”和“成都市公共资源交易服务中心”网站上发布中标（成交）公告，同时向中标（成交）人发出中标（成交）通知书。</w:t>
      </w:r>
    </w:p>
    <w:p>
      <w:pPr>
        <w:spacing w:line="360" w:lineRule="auto"/>
        <w:ind w:firstLine="560" w:firstLineChars="200"/>
        <w:rPr>
          <w:rFonts w:ascii="宋体" w:hAnsi="宋体" w:cs="Helvetica"/>
          <w:sz w:val="28"/>
          <w:szCs w:val="28"/>
        </w:rPr>
      </w:pPr>
      <w:r>
        <w:rPr>
          <w:rFonts w:hint="eastAsia" w:ascii="宋体" w:hAnsi="宋体" w:cs="Helvetica"/>
          <w:sz w:val="28"/>
          <w:szCs w:val="28"/>
        </w:rPr>
        <w:t>五、采购人、区公资交易中心不解释中标（成交）或未中标（成交）原因，不退回投标文件和其他投标资料。</w:t>
      </w:r>
    </w:p>
    <w:p>
      <w:pPr>
        <w:keepNext/>
        <w:keepLines/>
        <w:numPr>
          <w:ilvl w:val="1"/>
          <w:numId w:val="5"/>
        </w:numPr>
        <w:spacing w:line="360" w:lineRule="auto"/>
        <w:jc w:val="left"/>
        <w:outlineLvl w:val="1"/>
        <w:rPr>
          <w:rFonts w:ascii="宋体" w:hAnsi="宋体"/>
          <w:b/>
          <w:bCs/>
          <w:sz w:val="28"/>
          <w:szCs w:val="28"/>
        </w:rPr>
      </w:pPr>
      <w:bookmarkStart w:id="168" w:name="_Toc74752348"/>
      <w:r>
        <w:rPr>
          <w:rFonts w:hint="eastAsia" w:ascii="宋体" w:hAnsi="宋体"/>
          <w:b/>
          <w:bCs/>
          <w:sz w:val="28"/>
          <w:szCs w:val="28"/>
        </w:rPr>
        <w:t>评标专家在政府采购活动中承担以下义务</w:t>
      </w:r>
      <w:bookmarkEnd w:id="168"/>
    </w:p>
    <w:p>
      <w:pPr>
        <w:numPr>
          <w:ilvl w:val="0"/>
          <w:numId w:val="50"/>
        </w:numPr>
        <w:tabs>
          <w:tab w:val="left" w:pos="1155"/>
        </w:tabs>
        <w:spacing w:line="360" w:lineRule="auto"/>
        <w:ind w:left="0" w:firstLine="525"/>
        <w:rPr>
          <w:rFonts w:ascii="宋体" w:hAnsi="宋体"/>
          <w:sz w:val="28"/>
          <w:szCs w:val="28"/>
        </w:rPr>
      </w:pPr>
      <w:r>
        <w:rPr>
          <w:rFonts w:hint="eastAsia" w:ascii="宋体" w:hAnsi="宋体"/>
          <w:sz w:val="28"/>
          <w:szCs w:val="28"/>
        </w:rPr>
        <w:t>遵纪守法，客观、公正、廉洁地履行职责。</w:t>
      </w:r>
    </w:p>
    <w:p>
      <w:pPr>
        <w:numPr>
          <w:ilvl w:val="0"/>
          <w:numId w:val="50"/>
        </w:numPr>
        <w:tabs>
          <w:tab w:val="left" w:pos="1155"/>
        </w:tabs>
        <w:spacing w:line="360" w:lineRule="auto"/>
        <w:ind w:left="0" w:firstLine="525"/>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50"/>
        </w:numPr>
        <w:tabs>
          <w:tab w:val="left" w:pos="1155"/>
        </w:tabs>
        <w:spacing w:line="360" w:lineRule="auto"/>
        <w:ind w:left="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numPr>
          <w:ilvl w:val="0"/>
          <w:numId w:val="50"/>
        </w:numPr>
        <w:tabs>
          <w:tab w:val="left" w:pos="1155"/>
        </w:tabs>
        <w:spacing w:line="360" w:lineRule="auto"/>
        <w:ind w:left="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numPr>
          <w:ilvl w:val="0"/>
          <w:numId w:val="50"/>
        </w:numPr>
        <w:tabs>
          <w:tab w:val="left" w:pos="1155"/>
        </w:tabs>
        <w:spacing w:line="360" w:lineRule="auto"/>
        <w:ind w:left="0" w:firstLine="525"/>
        <w:rPr>
          <w:rFonts w:ascii="宋体" w:hAnsi="宋体"/>
          <w:sz w:val="28"/>
          <w:szCs w:val="28"/>
        </w:rPr>
      </w:pPr>
      <w:r>
        <w:rPr>
          <w:rFonts w:hint="eastAsia" w:ascii="宋体" w:hAnsi="宋体"/>
          <w:sz w:val="28"/>
          <w:szCs w:val="28"/>
        </w:rPr>
        <w:t>发现采购人、区公资交易中心及其工作人员在政府采购活动中有干预评审、发表倾向性和歧视性言论、受贿或者接受投标人的其他好处及其他违法违规行为，及时向财政部门报告。</w:t>
      </w:r>
    </w:p>
    <w:p>
      <w:pPr>
        <w:numPr>
          <w:ilvl w:val="0"/>
          <w:numId w:val="50"/>
        </w:numPr>
        <w:tabs>
          <w:tab w:val="left" w:pos="1155"/>
        </w:tabs>
        <w:spacing w:line="360" w:lineRule="auto"/>
        <w:ind w:left="0" w:firstLine="525"/>
        <w:rPr>
          <w:rFonts w:ascii="宋体" w:hAnsi="宋体"/>
          <w:sz w:val="28"/>
          <w:szCs w:val="28"/>
        </w:rPr>
      </w:pPr>
      <w:r>
        <w:rPr>
          <w:rFonts w:hint="eastAsia" w:ascii="宋体" w:hAnsi="宋体"/>
          <w:sz w:val="28"/>
          <w:szCs w:val="28"/>
        </w:rPr>
        <w:t>解答有关方面对政府采购评审工作中有关问题的询问，配合采购人或者区公资交易中心答复投标人的询问、质疑，配合财政部门的投诉处理工作等事宜。</w:t>
      </w:r>
    </w:p>
    <w:p>
      <w:pPr>
        <w:numPr>
          <w:ilvl w:val="0"/>
          <w:numId w:val="50"/>
        </w:numPr>
        <w:tabs>
          <w:tab w:val="left" w:pos="1155"/>
        </w:tabs>
        <w:spacing w:line="360" w:lineRule="auto"/>
        <w:ind w:left="0" w:firstLine="525"/>
        <w:rPr>
          <w:rFonts w:ascii="宋体" w:hAnsi="宋体"/>
          <w:sz w:val="28"/>
          <w:szCs w:val="28"/>
        </w:rPr>
      </w:pPr>
      <w:r>
        <w:rPr>
          <w:rFonts w:hint="eastAsia" w:ascii="宋体" w:hAnsi="宋体"/>
          <w:sz w:val="28"/>
          <w:szCs w:val="28"/>
        </w:rPr>
        <w:t>法律、法规和规章规定的其他义务。</w:t>
      </w:r>
    </w:p>
    <w:p>
      <w:pPr>
        <w:keepNext/>
        <w:keepLines/>
        <w:numPr>
          <w:ilvl w:val="1"/>
          <w:numId w:val="5"/>
        </w:numPr>
        <w:spacing w:line="360" w:lineRule="auto"/>
        <w:jc w:val="left"/>
        <w:outlineLvl w:val="1"/>
        <w:rPr>
          <w:rFonts w:ascii="宋体" w:hAnsi="宋体"/>
          <w:b/>
          <w:bCs/>
          <w:sz w:val="28"/>
          <w:szCs w:val="28"/>
        </w:rPr>
      </w:pPr>
      <w:bookmarkStart w:id="169" w:name="_Toc74752349"/>
      <w:r>
        <w:rPr>
          <w:rFonts w:hint="eastAsia" w:ascii="宋体" w:hAnsi="宋体"/>
          <w:b/>
          <w:bCs/>
          <w:sz w:val="28"/>
          <w:szCs w:val="28"/>
        </w:rPr>
        <w:t>评标委员会及其成员不得有下列行为</w:t>
      </w:r>
      <w:bookmarkEnd w:id="169"/>
    </w:p>
    <w:p>
      <w:pPr>
        <w:numPr>
          <w:ilvl w:val="0"/>
          <w:numId w:val="51"/>
        </w:numPr>
        <w:tabs>
          <w:tab w:val="left" w:pos="1155"/>
        </w:tabs>
        <w:spacing w:line="360" w:lineRule="auto"/>
        <w:rPr>
          <w:rFonts w:ascii="宋体" w:hAnsi="宋体"/>
          <w:sz w:val="28"/>
          <w:szCs w:val="28"/>
        </w:rPr>
      </w:pPr>
      <w:r>
        <w:rPr>
          <w:rFonts w:hint="eastAsia" w:ascii="宋体" w:hAnsi="宋体"/>
          <w:sz w:val="28"/>
          <w:szCs w:val="28"/>
        </w:rPr>
        <w:t>确定参与评标至评标结束前私自接触投标人；</w:t>
      </w:r>
    </w:p>
    <w:p>
      <w:pPr>
        <w:numPr>
          <w:ilvl w:val="0"/>
          <w:numId w:val="51"/>
        </w:numPr>
        <w:tabs>
          <w:tab w:val="left" w:pos="1155"/>
        </w:tabs>
        <w:spacing w:line="360" w:lineRule="auto"/>
        <w:ind w:left="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numPr>
          <w:ilvl w:val="0"/>
          <w:numId w:val="51"/>
        </w:numPr>
        <w:tabs>
          <w:tab w:val="left" w:pos="1155"/>
        </w:tabs>
        <w:spacing w:line="360" w:lineRule="auto"/>
        <w:ind w:left="0" w:firstLine="567"/>
        <w:rPr>
          <w:rFonts w:ascii="宋体" w:hAnsi="宋体"/>
          <w:sz w:val="28"/>
          <w:szCs w:val="28"/>
        </w:rPr>
      </w:pPr>
      <w:r>
        <w:rPr>
          <w:rFonts w:hint="eastAsia" w:ascii="宋体" w:hAnsi="宋体"/>
          <w:sz w:val="28"/>
          <w:szCs w:val="28"/>
        </w:rPr>
        <w:t>违反评标纪律发表倾向性意见或者征询采购人的倾向性意见；</w:t>
      </w:r>
    </w:p>
    <w:p>
      <w:pPr>
        <w:numPr>
          <w:ilvl w:val="0"/>
          <w:numId w:val="51"/>
        </w:numPr>
        <w:tabs>
          <w:tab w:val="left" w:pos="1155"/>
        </w:tabs>
        <w:spacing w:line="360" w:lineRule="auto"/>
        <w:rPr>
          <w:rFonts w:ascii="宋体" w:hAnsi="宋体"/>
          <w:sz w:val="28"/>
          <w:szCs w:val="28"/>
        </w:rPr>
      </w:pPr>
      <w:r>
        <w:rPr>
          <w:rFonts w:hint="eastAsia" w:ascii="宋体" w:hAnsi="宋体"/>
          <w:sz w:val="28"/>
          <w:szCs w:val="28"/>
        </w:rPr>
        <w:t>对需要专业判断的主观评审因素协商评分；</w:t>
      </w:r>
    </w:p>
    <w:p>
      <w:pPr>
        <w:numPr>
          <w:ilvl w:val="0"/>
          <w:numId w:val="51"/>
        </w:numPr>
        <w:tabs>
          <w:tab w:val="left" w:pos="1155"/>
        </w:tabs>
        <w:spacing w:line="360" w:lineRule="auto"/>
        <w:rPr>
          <w:rFonts w:ascii="宋体" w:hAnsi="宋体"/>
          <w:sz w:val="28"/>
          <w:szCs w:val="28"/>
        </w:rPr>
      </w:pPr>
      <w:r>
        <w:rPr>
          <w:rFonts w:hint="eastAsia" w:ascii="宋体" w:hAnsi="宋体"/>
          <w:sz w:val="28"/>
          <w:szCs w:val="28"/>
        </w:rPr>
        <w:t>在评标过程中擅离职守，影响评标程序正常进行的；</w:t>
      </w:r>
    </w:p>
    <w:p>
      <w:pPr>
        <w:numPr>
          <w:ilvl w:val="0"/>
          <w:numId w:val="51"/>
        </w:numPr>
        <w:tabs>
          <w:tab w:val="left" w:pos="1155"/>
        </w:tabs>
        <w:spacing w:line="360" w:lineRule="auto"/>
        <w:rPr>
          <w:rFonts w:ascii="宋体" w:hAnsi="宋体"/>
          <w:sz w:val="28"/>
          <w:szCs w:val="28"/>
        </w:rPr>
      </w:pPr>
      <w:r>
        <w:rPr>
          <w:rFonts w:hint="eastAsia" w:ascii="宋体" w:hAnsi="宋体"/>
          <w:sz w:val="28"/>
          <w:szCs w:val="28"/>
        </w:rPr>
        <w:t>记录、复制或者带走任何评标资料；</w:t>
      </w:r>
    </w:p>
    <w:p>
      <w:pPr>
        <w:numPr>
          <w:ilvl w:val="0"/>
          <w:numId w:val="51"/>
        </w:numPr>
        <w:tabs>
          <w:tab w:val="left" w:pos="1155"/>
        </w:tabs>
        <w:spacing w:line="360" w:lineRule="auto"/>
        <w:rPr>
          <w:rFonts w:ascii="宋体" w:hAnsi="宋体"/>
          <w:sz w:val="28"/>
          <w:szCs w:val="28"/>
        </w:rPr>
      </w:pPr>
      <w:r>
        <w:rPr>
          <w:rFonts w:hint="eastAsia" w:ascii="宋体" w:hAnsi="宋体"/>
          <w:sz w:val="28"/>
          <w:szCs w:val="28"/>
        </w:rPr>
        <w:t>其他不遵守评标纪律的行为。</w:t>
      </w:r>
    </w:p>
    <w:p>
      <w:pPr>
        <w:spacing w:line="360" w:lineRule="auto"/>
        <w:ind w:firstLine="560" w:firstLineChars="200"/>
        <w:rPr>
          <w:sz w:val="28"/>
          <w:szCs w:val="28"/>
        </w:rPr>
      </w:pPr>
      <w:r>
        <w:rPr>
          <w:rFonts w:hint="eastAsia"/>
          <w:sz w:val="28"/>
          <w:szCs w:val="28"/>
        </w:rPr>
        <w:t>评标委员会成员有前款第一至五项行为之一的，其评审意见无效，并不得获取评审劳务报酬和报销异地评审差旅费。</w:t>
      </w:r>
    </w:p>
    <w:p>
      <w:pPr>
        <w:keepNext/>
        <w:keepLines/>
        <w:numPr>
          <w:ilvl w:val="1"/>
          <w:numId w:val="5"/>
        </w:numPr>
        <w:spacing w:before="240" w:line="360" w:lineRule="auto"/>
        <w:jc w:val="left"/>
        <w:outlineLvl w:val="1"/>
        <w:rPr>
          <w:rFonts w:ascii="宋体" w:hAnsi="宋体"/>
          <w:b/>
          <w:bCs/>
          <w:sz w:val="28"/>
          <w:szCs w:val="28"/>
        </w:rPr>
      </w:pPr>
      <w:bookmarkStart w:id="170" w:name="_Toc74752350"/>
      <w:r>
        <w:rPr>
          <w:rFonts w:hint="eastAsia" w:ascii="宋体" w:hAnsi="宋体"/>
          <w:b/>
          <w:bCs/>
          <w:sz w:val="28"/>
          <w:szCs w:val="28"/>
        </w:rPr>
        <w:t>评审专家在政府采购活动中应当遵守以下工作纪律</w:t>
      </w:r>
      <w:bookmarkEnd w:id="170"/>
    </w:p>
    <w:p>
      <w:pPr>
        <w:numPr>
          <w:ilvl w:val="0"/>
          <w:numId w:val="52"/>
        </w:numPr>
        <w:tabs>
          <w:tab w:val="left" w:pos="1155"/>
        </w:tabs>
        <w:spacing w:line="360" w:lineRule="auto"/>
        <w:ind w:left="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numPr>
          <w:ilvl w:val="0"/>
          <w:numId w:val="52"/>
        </w:numPr>
        <w:tabs>
          <w:tab w:val="left" w:pos="1155"/>
        </w:tabs>
        <w:spacing w:line="580" w:lineRule="exact"/>
        <w:ind w:left="0" w:firstLine="527"/>
        <w:rPr>
          <w:rFonts w:ascii="宋体" w:hAnsi="宋体"/>
          <w:sz w:val="28"/>
          <w:szCs w:val="28"/>
        </w:rPr>
      </w:pPr>
      <w:r>
        <w:rPr>
          <w:rFonts w:hint="eastAsia" w:ascii="宋体" w:hAnsi="宋体"/>
          <w:sz w:val="28"/>
          <w:szCs w:val="28"/>
        </w:rPr>
        <w:t>应邀按时参加评审和咨询活动，遵守评标区管理规定。</w:t>
      </w:r>
    </w:p>
    <w:p>
      <w:pPr>
        <w:numPr>
          <w:ilvl w:val="0"/>
          <w:numId w:val="52"/>
        </w:numPr>
        <w:tabs>
          <w:tab w:val="left" w:pos="1155"/>
        </w:tabs>
        <w:spacing w:line="580" w:lineRule="exact"/>
        <w:ind w:left="0" w:firstLine="527"/>
        <w:rPr>
          <w:rFonts w:ascii="宋体" w:hAnsi="宋体"/>
          <w:sz w:val="28"/>
          <w:szCs w:val="28"/>
        </w:rPr>
      </w:pPr>
      <w:r>
        <w:rPr>
          <w:rFonts w:hint="eastAsia" w:ascii="宋体" w:hAnsi="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8"/>
          <w:szCs w:val="28"/>
        </w:rPr>
        <w:t>区公资交易中心</w:t>
      </w:r>
      <w:r>
        <w:rPr>
          <w:rFonts w:hint="eastAsia" w:ascii="宋体" w:hAnsi="宋体"/>
          <w:sz w:val="28"/>
          <w:szCs w:val="28"/>
        </w:rPr>
        <w:t>，不得私自转托他人。</w:t>
      </w:r>
    </w:p>
    <w:p>
      <w:pPr>
        <w:numPr>
          <w:ilvl w:val="0"/>
          <w:numId w:val="52"/>
        </w:numPr>
        <w:tabs>
          <w:tab w:val="left" w:pos="1155"/>
        </w:tabs>
        <w:spacing w:line="580" w:lineRule="exact"/>
        <w:ind w:left="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cs="Arial"/>
          <w:sz w:val="28"/>
          <w:szCs w:val="28"/>
        </w:rPr>
        <w:t>区公资交易中心</w:t>
      </w:r>
      <w:r>
        <w:rPr>
          <w:rFonts w:hint="eastAsia" w:ascii="宋体" w:hAnsi="宋体"/>
          <w:sz w:val="28"/>
          <w:szCs w:val="28"/>
        </w:rPr>
        <w:t>也可要求该评审专家回避。</w:t>
      </w:r>
    </w:p>
    <w:p>
      <w:pPr>
        <w:numPr>
          <w:ilvl w:val="0"/>
          <w:numId w:val="52"/>
        </w:numPr>
        <w:tabs>
          <w:tab w:val="left" w:pos="1155"/>
        </w:tabs>
        <w:spacing w:line="580" w:lineRule="exact"/>
        <w:ind w:left="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52"/>
        </w:numPr>
        <w:tabs>
          <w:tab w:val="left" w:pos="1155"/>
        </w:tabs>
        <w:spacing w:line="580" w:lineRule="exact"/>
        <w:ind w:left="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52"/>
        </w:numPr>
        <w:tabs>
          <w:tab w:val="left" w:pos="1155"/>
        </w:tabs>
        <w:spacing w:line="580" w:lineRule="exact"/>
        <w:ind w:left="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numPr>
          <w:ilvl w:val="0"/>
          <w:numId w:val="52"/>
        </w:numPr>
        <w:tabs>
          <w:tab w:val="left" w:pos="1155"/>
        </w:tabs>
        <w:spacing w:line="580" w:lineRule="exact"/>
        <w:ind w:left="0" w:firstLine="527"/>
        <w:rPr>
          <w:rFonts w:ascii="宋体" w:hAnsi="宋体"/>
          <w:sz w:val="28"/>
          <w:szCs w:val="28"/>
        </w:rPr>
      </w:pPr>
      <w:r>
        <w:rPr>
          <w:rFonts w:hint="eastAsia" w:ascii="宋体" w:hAnsi="宋体"/>
          <w:sz w:val="28"/>
          <w:szCs w:val="28"/>
        </w:rPr>
        <w:t>服从评标现场</w:t>
      </w:r>
      <w:r>
        <w:rPr>
          <w:rFonts w:hint="eastAsia" w:cs="Arial"/>
          <w:sz w:val="28"/>
          <w:szCs w:val="28"/>
        </w:rPr>
        <w:t>区公资交易中心</w:t>
      </w:r>
      <w:r>
        <w:rPr>
          <w:rFonts w:hint="eastAsia" w:ascii="宋体" w:hAnsi="宋体"/>
          <w:sz w:val="28"/>
          <w:szCs w:val="28"/>
        </w:rPr>
        <w:t>的现场秩序管理，接受评标现场监督人员的合法监督。</w:t>
      </w:r>
    </w:p>
    <w:p>
      <w:pPr>
        <w:numPr>
          <w:ilvl w:val="0"/>
          <w:numId w:val="52"/>
        </w:numPr>
        <w:tabs>
          <w:tab w:val="left" w:pos="1155"/>
        </w:tabs>
        <w:spacing w:line="580" w:lineRule="exact"/>
        <w:ind w:left="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numPr>
          <w:ilvl w:val="0"/>
          <w:numId w:val="52"/>
        </w:numPr>
        <w:tabs>
          <w:tab w:val="left" w:pos="1155"/>
        </w:tabs>
        <w:spacing w:line="580" w:lineRule="exact"/>
        <w:ind w:left="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52"/>
        </w:numPr>
        <w:tabs>
          <w:tab w:val="left" w:pos="1155"/>
          <w:tab w:val="left" w:pos="1276"/>
          <w:tab w:val="left" w:pos="1418"/>
        </w:tabs>
        <w:spacing w:line="580" w:lineRule="exact"/>
        <w:ind w:left="527" w:firstLine="40"/>
        <w:rPr>
          <w:rFonts w:ascii="宋体" w:hAnsi="宋体"/>
          <w:sz w:val="28"/>
          <w:szCs w:val="28"/>
        </w:rPr>
      </w:pPr>
      <w:r>
        <w:rPr>
          <w:rFonts w:hint="eastAsia" w:ascii="宋体" w:hAnsi="宋体"/>
          <w:sz w:val="28"/>
          <w:szCs w:val="28"/>
        </w:rPr>
        <w:t>有关部门（机构）制定的其他评审工作纪律。</w:t>
      </w: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bookmarkEnd w:id="151"/>
    <w:bookmarkEnd w:id="152"/>
    <w:p>
      <w:pPr>
        <w:keepNext/>
        <w:keepLines/>
        <w:spacing w:before="340" w:after="330" w:line="400" w:lineRule="exact"/>
        <w:outlineLvl w:val="0"/>
        <w:rPr>
          <w:rFonts w:ascii="宋体" w:hAnsi="宋体"/>
          <w:b/>
          <w:bCs/>
          <w:spacing w:val="-20"/>
          <w:kern w:val="44"/>
          <w:szCs w:val="32"/>
        </w:rPr>
        <w:sectPr>
          <w:pgSz w:w="11850" w:h="16783"/>
          <w:pgMar w:top="1440" w:right="1800" w:bottom="1440" w:left="1800" w:header="708" w:footer="708" w:gutter="0"/>
          <w:cols w:space="708" w:num="1"/>
          <w:docGrid w:linePitch="360" w:charSpace="0"/>
        </w:sectPr>
      </w:pPr>
      <w:bookmarkStart w:id="171" w:name="_Toc74752351"/>
    </w:p>
    <w:p>
      <w:pPr>
        <w:keepNext/>
        <w:keepLines/>
        <w:numPr>
          <w:ilvl w:val="0"/>
          <w:numId w:val="5"/>
        </w:numPr>
        <w:spacing w:before="340" w:after="330" w:line="400" w:lineRule="exact"/>
        <w:jc w:val="center"/>
        <w:outlineLvl w:val="0"/>
        <w:rPr>
          <w:rFonts w:ascii="宋体" w:hAnsi="宋体"/>
          <w:b/>
          <w:bCs/>
          <w:spacing w:val="-20"/>
          <w:kern w:val="44"/>
          <w:szCs w:val="32"/>
        </w:rPr>
      </w:pPr>
      <w:r>
        <w:rPr>
          <w:rFonts w:hint="eastAsia" w:ascii="宋体" w:hAnsi="宋体"/>
          <w:b/>
          <w:bCs/>
          <w:spacing w:val="-20"/>
          <w:kern w:val="44"/>
          <w:sz w:val="32"/>
          <w:szCs w:val="32"/>
        </w:rPr>
        <w:t>拟签订合同</w:t>
      </w:r>
      <w:bookmarkEnd w:id="0"/>
      <w:bookmarkEnd w:id="1"/>
      <w:bookmarkEnd w:id="2"/>
      <w:bookmarkEnd w:id="3"/>
      <w:bookmarkStart w:id="172" w:name="_Toc316475764"/>
      <w:bookmarkEnd w:id="172"/>
      <w:bookmarkStart w:id="173" w:name="_Toc316475670"/>
      <w:bookmarkEnd w:id="173"/>
      <w:bookmarkStart w:id="174" w:name="_Toc316475664"/>
      <w:bookmarkEnd w:id="174"/>
      <w:bookmarkStart w:id="175" w:name="_Toc277152523"/>
      <w:bookmarkEnd w:id="175"/>
      <w:bookmarkStart w:id="176" w:name="_Toc316475758"/>
      <w:bookmarkEnd w:id="176"/>
      <w:bookmarkStart w:id="177" w:name="_Toc316475763"/>
      <w:bookmarkEnd w:id="177"/>
      <w:bookmarkStart w:id="178" w:name="_Toc316475760"/>
      <w:bookmarkEnd w:id="178"/>
      <w:bookmarkStart w:id="179" w:name="_Toc316475673"/>
      <w:bookmarkEnd w:id="179"/>
      <w:bookmarkStart w:id="180" w:name="_Toc316475751"/>
      <w:bookmarkEnd w:id="180"/>
      <w:bookmarkStart w:id="181" w:name="_Toc277152520"/>
      <w:bookmarkEnd w:id="181"/>
      <w:bookmarkStart w:id="182" w:name="_Toc277152522"/>
      <w:bookmarkEnd w:id="182"/>
      <w:bookmarkStart w:id="183" w:name="_Toc316475675"/>
      <w:bookmarkEnd w:id="183"/>
      <w:bookmarkStart w:id="184" w:name="_Toc316475669"/>
      <w:bookmarkEnd w:id="184"/>
      <w:bookmarkStart w:id="185" w:name="_Toc316475668"/>
      <w:bookmarkEnd w:id="185"/>
      <w:bookmarkStart w:id="186" w:name="_Toc316475754"/>
      <w:bookmarkEnd w:id="186"/>
      <w:bookmarkStart w:id="187" w:name="_Toc316475665"/>
      <w:bookmarkEnd w:id="187"/>
      <w:bookmarkStart w:id="188" w:name="_Toc316475676"/>
      <w:bookmarkEnd w:id="188"/>
      <w:bookmarkStart w:id="189" w:name="_Toc316475677"/>
      <w:bookmarkEnd w:id="189"/>
      <w:bookmarkStart w:id="190" w:name="_Toc316475666"/>
      <w:bookmarkEnd w:id="190"/>
      <w:bookmarkStart w:id="191" w:name="_Toc316475672"/>
      <w:bookmarkEnd w:id="191"/>
      <w:bookmarkStart w:id="192" w:name="_Toc316475674"/>
      <w:bookmarkEnd w:id="192"/>
      <w:bookmarkStart w:id="193" w:name="_Toc316475671"/>
      <w:bookmarkEnd w:id="193"/>
      <w:bookmarkStart w:id="194" w:name="_Toc316475762"/>
      <w:bookmarkEnd w:id="194"/>
      <w:bookmarkStart w:id="195" w:name="_Toc277152521"/>
      <w:bookmarkEnd w:id="195"/>
      <w:bookmarkStart w:id="196" w:name="_Toc316475753"/>
      <w:bookmarkEnd w:id="196"/>
      <w:bookmarkStart w:id="197" w:name="_Toc316475757"/>
      <w:bookmarkEnd w:id="197"/>
      <w:bookmarkStart w:id="198" w:name="_Toc316475755"/>
      <w:bookmarkEnd w:id="198"/>
      <w:bookmarkStart w:id="199" w:name="_Toc299975364"/>
      <w:bookmarkEnd w:id="199"/>
      <w:bookmarkStart w:id="200" w:name="_Toc316475667"/>
      <w:bookmarkEnd w:id="200"/>
      <w:bookmarkStart w:id="201" w:name="_Toc316475761"/>
      <w:bookmarkEnd w:id="201"/>
      <w:bookmarkStart w:id="202" w:name="_Toc299975392"/>
      <w:bookmarkEnd w:id="202"/>
      <w:bookmarkStart w:id="203" w:name="_Toc214858832"/>
      <w:bookmarkEnd w:id="203"/>
      <w:bookmarkStart w:id="204" w:name="_Toc316475756"/>
      <w:bookmarkEnd w:id="204"/>
      <w:bookmarkStart w:id="205" w:name="_Toc316475752"/>
      <w:bookmarkEnd w:id="205"/>
      <w:bookmarkStart w:id="206" w:name="_Toc316475759"/>
      <w:bookmarkEnd w:id="206"/>
      <w:bookmarkStart w:id="207" w:name="_Toc8573798"/>
      <w:bookmarkStart w:id="208" w:name="_Toc217446108"/>
      <w:bookmarkStart w:id="209" w:name="_Toc34729074"/>
      <w:r>
        <w:rPr>
          <w:rFonts w:hint="eastAsia" w:ascii="宋体" w:hAnsi="宋体"/>
          <w:b/>
          <w:bCs/>
          <w:spacing w:val="-20"/>
          <w:kern w:val="44"/>
          <w:sz w:val="32"/>
          <w:szCs w:val="32"/>
        </w:rPr>
        <w:t>文本</w:t>
      </w:r>
      <w:bookmarkEnd w:id="171"/>
      <w:bookmarkEnd w:id="207"/>
      <w:bookmarkEnd w:id="208"/>
      <w:bookmarkEnd w:id="209"/>
    </w:p>
    <w:p>
      <w:pPr>
        <w:spacing w:line="360" w:lineRule="auto"/>
        <w:jc w:val="center"/>
        <w:rPr>
          <w:rFonts w:ascii="宋体" w:hAnsi="宋体"/>
          <w:sz w:val="24"/>
          <w:szCs w:val="24"/>
        </w:rPr>
      </w:pPr>
      <w:r>
        <w:rPr>
          <w:rFonts w:hint="eastAsia" w:ascii="宋体" w:hAnsi="宋体"/>
          <w:sz w:val="28"/>
          <w:szCs w:val="28"/>
        </w:rPr>
        <w:t>（本部分内容仅供投标人参考，具体</w:t>
      </w:r>
      <w:r>
        <w:rPr>
          <w:rFonts w:hint="eastAsia" w:ascii="宋体" w:hAnsi="宋体"/>
          <w:sz w:val="24"/>
          <w:szCs w:val="24"/>
        </w:rPr>
        <w:t>条款以双方签订合同为准）</w:t>
      </w:r>
    </w:p>
    <w:p>
      <w:pPr>
        <w:spacing w:line="360" w:lineRule="auto"/>
        <w:ind w:firstLine="600"/>
        <w:jc w:val="center"/>
        <w:rPr>
          <w:rFonts w:ascii="宋体" w:hAnsi="宋体"/>
          <w:color w:val="000000"/>
          <w:sz w:val="24"/>
          <w:szCs w:val="24"/>
        </w:rPr>
      </w:pPr>
      <w:r>
        <w:rPr>
          <w:rFonts w:hint="eastAsia" w:ascii="宋体" w:hAnsi="宋体"/>
          <w:color w:val="000000"/>
          <w:sz w:val="24"/>
          <w:szCs w:val="24"/>
        </w:rPr>
        <w:t xml:space="preserve">                                 合同编号：</w:t>
      </w:r>
    </w:p>
    <w:p>
      <w:pPr>
        <w:spacing w:line="360" w:lineRule="auto"/>
        <w:ind w:firstLine="480" w:firstLineChars="200"/>
        <w:rPr>
          <w:rFonts w:ascii="宋体" w:hAnsi="宋体"/>
          <w:sz w:val="24"/>
          <w:szCs w:val="24"/>
        </w:rPr>
      </w:pPr>
      <w:bookmarkStart w:id="210" w:name="_Toc211911354"/>
      <w:bookmarkEnd w:id="210"/>
      <w:bookmarkStart w:id="211" w:name="_Toc211854455"/>
      <w:bookmarkEnd w:id="211"/>
      <w:bookmarkStart w:id="212" w:name="_Toc225244858"/>
      <w:bookmarkEnd w:id="212"/>
      <w:bookmarkStart w:id="213" w:name="_Toc212019600"/>
      <w:bookmarkEnd w:id="213"/>
      <w:bookmarkStart w:id="214" w:name="_Toc283019219"/>
      <w:bookmarkEnd w:id="214"/>
      <w:bookmarkStart w:id="215" w:name="_Toc225654650"/>
      <w:bookmarkEnd w:id="215"/>
      <w:bookmarkStart w:id="216" w:name="_Toc247334847"/>
      <w:bookmarkEnd w:id="216"/>
      <w:bookmarkStart w:id="217" w:name="_Toc282696231"/>
      <w:bookmarkEnd w:id="217"/>
      <w:bookmarkStart w:id="218" w:name="_Toc232492934"/>
      <w:bookmarkEnd w:id="218"/>
      <w:bookmarkStart w:id="219" w:name="_Toc225670757"/>
      <w:bookmarkEnd w:id="219"/>
      <w:bookmarkStart w:id="220" w:name="_Toc239568424"/>
      <w:bookmarkEnd w:id="220"/>
      <w:bookmarkStart w:id="221" w:name="_Toc286993793"/>
      <w:bookmarkEnd w:id="221"/>
      <w:bookmarkStart w:id="222" w:name="_Toc185395255"/>
      <w:bookmarkEnd w:id="222"/>
      <w:bookmarkStart w:id="223" w:name="_Toc237145412"/>
      <w:bookmarkEnd w:id="223"/>
      <w:bookmarkStart w:id="224" w:name="_Toc239233920"/>
      <w:bookmarkEnd w:id="224"/>
      <w:bookmarkStart w:id="225" w:name="_Toc238984981"/>
      <w:bookmarkEnd w:id="225"/>
      <w:bookmarkStart w:id="226" w:name="_Toc251768868"/>
      <w:bookmarkEnd w:id="226"/>
      <w:bookmarkStart w:id="227" w:name="_Toc241833909"/>
      <w:r>
        <w:rPr>
          <w:rFonts w:hint="eastAsia" w:ascii="宋体" w:hAnsi="宋体"/>
          <w:sz w:val="24"/>
          <w:szCs w:val="24"/>
        </w:rPr>
        <w:t>合同编号：</w:t>
      </w:r>
      <w:bookmarkEnd w:id="227"/>
      <w:r>
        <w:rPr>
          <w:rFonts w:hint="eastAsia" w:ascii="宋体" w:hAnsi="宋体"/>
        </w:rPr>
        <w:t>XXXX。</w:t>
      </w:r>
    </w:p>
    <w:p>
      <w:pPr>
        <w:spacing w:line="360" w:lineRule="auto"/>
        <w:ind w:firstLine="480" w:firstLineChars="200"/>
        <w:rPr>
          <w:rFonts w:ascii="宋体" w:hAnsi="宋体"/>
          <w:sz w:val="24"/>
          <w:szCs w:val="24"/>
        </w:rPr>
      </w:pPr>
      <w:r>
        <w:rPr>
          <w:rFonts w:hint="eastAsia" w:ascii="宋体" w:hAnsi="宋体"/>
          <w:sz w:val="24"/>
          <w:szCs w:val="24"/>
        </w:rPr>
        <w:t>签订地点：</w:t>
      </w:r>
      <w:r>
        <w:rPr>
          <w:rFonts w:hint="eastAsia" w:ascii="宋体" w:hAnsi="宋体"/>
        </w:rPr>
        <w:t>XXXX。</w:t>
      </w:r>
    </w:p>
    <w:p>
      <w:pPr>
        <w:spacing w:line="360" w:lineRule="auto"/>
        <w:ind w:firstLine="480" w:firstLineChars="200"/>
        <w:rPr>
          <w:rFonts w:ascii="宋体" w:hAnsi="宋体"/>
          <w:sz w:val="24"/>
          <w:szCs w:val="24"/>
        </w:rPr>
      </w:pPr>
      <w:r>
        <w:rPr>
          <w:rFonts w:hint="eastAsia" w:ascii="宋体" w:hAnsi="宋体"/>
          <w:sz w:val="24"/>
          <w:szCs w:val="24"/>
        </w:rPr>
        <w:t>签订时间：</w:t>
      </w:r>
      <w:r>
        <w:rPr>
          <w:rFonts w:hint="eastAsia" w:ascii="宋体" w:hAnsi="宋体"/>
        </w:rPr>
        <w:t>XXXX</w:t>
      </w:r>
      <w:r>
        <w:rPr>
          <w:rFonts w:hint="eastAsia" w:ascii="宋体" w:hAnsi="宋体"/>
          <w:sz w:val="24"/>
          <w:szCs w:val="24"/>
        </w:rPr>
        <w:t>年</w:t>
      </w:r>
      <w:r>
        <w:rPr>
          <w:rFonts w:hint="eastAsia" w:ascii="宋体" w:hAnsi="宋体"/>
        </w:rPr>
        <w:t>XX</w:t>
      </w:r>
      <w:r>
        <w:rPr>
          <w:rFonts w:hint="eastAsia" w:ascii="宋体" w:hAnsi="宋体"/>
          <w:sz w:val="24"/>
          <w:szCs w:val="24"/>
        </w:rPr>
        <w:t>月</w:t>
      </w:r>
      <w:r>
        <w:rPr>
          <w:rFonts w:hint="eastAsia" w:ascii="宋体" w:hAnsi="宋体"/>
        </w:rPr>
        <w:t>XX</w:t>
      </w:r>
      <w:r>
        <w:rPr>
          <w:rFonts w:hint="eastAsia" w:ascii="宋体" w:hAnsi="宋体"/>
          <w:sz w:val="24"/>
          <w:szCs w:val="24"/>
        </w:rPr>
        <w:t>日。</w:t>
      </w:r>
    </w:p>
    <w:p>
      <w:pPr>
        <w:spacing w:line="360" w:lineRule="auto"/>
        <w:ind w:firstLine="480" w:firstLineChars="200"/>
        <w:rPr>
          <w:rFonts w:ascii="宋体" w:hAnsi="宋体"/>
          <w:sz w:val="24"/>
          <w:szCs w:val="24"/>
        </w:rPr>
      </w:pPr>
      <w:r>
        <w:rPr>
          <w:rFonts w:hint="eastAsia" w:ascii="宋体" w:hAnsi="宋体"/>
          <w:sz w:val="24"/>
          <w:szCs w:val="24"/>
        </w:rPr>
        <w:t>采购人（甲方）：</w:t>
      </w:r>
    </w:p>
    <w:p>
      <w:pPr>
        <w:spacing w:line="360" w:lineRule="auto"/>
        <w:ind w:firstLine="480" w:firstLineChars="200"/>
        <w:rPr>
          <w:rFonts w:ascii="宋体" w:hAnsi="宋体"/>
          <w:sz w:val="24"/>
          <w:szCs w:val="24"/>
        </w:rPr>
      </w:pPr>
      <w:r>
        <w:rPr>
          <w:rFonts w:hint="eastAsia" w:ascii="宋体" w:hAnsi="宋体"/>
          <w:sz w:val="24"/>
          <w:szCs w:val="24"/>
        </w:rPr>
        <w:t>供应商（乙方）：</w:t>
      </w:r>
    </w:p>
    <w:p>
      <w:pPr>
        <w:pStyle w:val="100"/>
        <w:spacing w:line="360" w:lineRule="auto"/>
        <w:ind w:firstLine="480"/>
        <w:rPr>
          <w:rFonts w:ascii="宋体" w:hAnsi="宋体"/>
        </w:rPr>
      </w:pPr>
      <w:r>
        <w:rPr>
          <w:rFonts w:hint="eastAsia" w:ascii="宋体" w:hAnsi="宋体"/>
        </w:rPr>
        <w:t>根据《中华人民共和国政府采购法》、《中华人民共和国合同法》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114"/>
        <w:ind w:firstLine="0" w:firstLineChars="0"/>
        <w:rPr>
          <w:rFonts w:ascii="宋体" w:hAnsi="宋体"/>
          <w:b/>
          <w:bCs/>
        </w:rPr>
      </w:pPr>
      <w:bookmarkStart w:id="228" w:name="_Toc217446107"/>
      <w:bookmarkEnd w:id="228"/>
      <w:r>
        <w:rPr>
          <w:rFonts w:hint="eastAsia" w:ascii="宋体" w:hAnsi="宋体"/>
          <w:b/>
          <w:bCs/>
        </w:rPr>
        <w:t>一、合同货物</w:t>
      </w:r>
    </w:p>
    <w:tbl>
      <w:tblPr>
        <w:tblStyle w:val="46"/>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宋体" w:hAnsi="宋体"/>
                <w:sz w:val="24"/>
                <w:szCs w:val="24"/>
              </w:rPr>
            </w:pPr>
            <w:r>
              <w:rPr>
                <w:rFonts w:hint="eastAsia" w:ascii="宋体" w:hAnsi="宋体"/>
                <w:sz w:val="24"/>
                <w:szCs w:val="24"/>
              </w:rPr>
              <w:t>货物品名</w:t>
            </w: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规格</w:t>
            </w:r>
          </w:p>
          <w:p>
            <w:pPr>
              <w:spacing w:line="360" w:lineRule="auto"/>
              <w:jc w:val="center"/>
              <w:rPr>
                <w:rFonts w:ascii="宋体" w:hAnsi="宋体"/>
                <w:sz w:val="24"/>
                <w:szCs w:val="24"/>
              </w:rPr>
            </w:pPr>
            <w:r>
              <w:rPr>
                <w:rFonts w:hint="eastAsia" w:ascii="宋体" w:hAnsi="宋体"/>
                <w:sz w:val="24"/>
                <w:szCs w:val="24"/>
              </w:rPr>
              <w:t>型号</w:t>
            </w:r>
          </w:p>
        </w:tc>
        <w:tc>
          <w:tcPr>
            <w:tcW w:w="720"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单位</w:t>
            </w:r>
          </w:p>
        </w:tc>
        <w:tc>
          <w:tcPr>
            <w:tcW w:w="900" w:type="dxa"/>
            <w:tcBorders>
              <w:top w:val="single" w:color="auto" w:sz="4" w:space="0"/>
              <w:left w:val="nil"/>
              <w:bottom w:val="single" w:color="auto" w:sz="4" w:space="0"/>
              <w:right w:val="single" w:color="auto" w:sz="4" w:space="0"/>
            </w:tcBorders>
            <w:vAlign w:val="center"/>
          </w:tcPr>
          <w:p>
            <w:pPr>
              <w:spacing w:line="360" w:lineRule="auto"/>
              <w:ind w:firstLine="120" w:firstLineChars="50"/>
              <w:rPr>
                <w:rFonts w:ascii="宋体" w:hAnsi="宋体"/>
                <w:sz w:val="24"/>
                <w:szCs w:val="24"/>
              </w:rPr>
            </w:pPr>
            <w:r>
              <w:rPr>
                <w:rFonts w:hint="eastAsia" w:ascii="宋体" w:hAnsi="宋体"/>
                <w:sz w:val="24"/>
                <w:szCs w:val="24"/>
              </w:rPr>
              <w:t>数量</w:t>
            </w:r>
          </w:p>
        </w:tc>
        <w:tc>
          <w:tcPr>
            <w:tcW w:w="1080" w:type="dxa"/>
            <w:tcBorders>
              <w:top w:val="single" w:color="auto" w:sz="4" w:space="0"/>
              <w:left w:val="nil"/>
              <w:bottom w:val="single" w:color="auto" w:sz="4" w:space="0"/>
              <w:right w:val="single" w:color="auto" w:sz="4" w:space="0"/>
            </w:tcBorders>
            <w:vAlign w:val="center"/>
          </w:tcPr>
          <w:p>
            <w:pPr>
              <w:spacing w:line="360" w:lineRule="auto"/>
              <w:ind w:firstLine="120" w:firstLineChars="50"/>
              <w:jc w:val="center"/>
              <w:rPr>
                <w:rFonts w:ascii="宋体" w:hAnsi="宋体"/>
                <w:sz w:val="24"/>
                <w:szCs w:val="24"/>
              </w:rPr>
            </w:pPr>
            <w:r>
              <w:rPr>
                <w:rFonts w:hint="eastAsia" w:ascii="宋体" w:hAnsi="宋体"/>
                <w:sz w:val="24"/>
                <w:szCs w:val="24"/>
              </w:rPr>
              <w:t>单价</w:t>
            </w:r>
          </w:p>
          <w:p>
            <w:pPr>
              <w:spacing w:line="360" w:lineRule="auto"/>
              <w:jc w:val="center"/>
              <w:rPr>
                <w:rFonts w:ascii="宋体" w:hAnsi="宋体"/>
                <w:sz w:val="24"/>
                <w:szCs w:val="24"/>
              </w:rPr>
            </w:pPr>
            <w:r>
              <w:rPr>
                <w:rFonts w:hint="eastAsia" w:ascii="宋体" w:hAnsi="宋体"/>
                <w:sz w:val="24"/>
                <w:szCs w:val="24"/>
              </w:rPr>
              <w:t>（万元）</w:t>
            </w:r>
          </w:p>
        </w:tc>
        <w:tc>
          <w:tcPr>
            <w:tcW w:w="1185" w:type="dxa"/>
            <w:tcBorders>
              <w:top w:val="single" w:color="auto" w:sz="4" w:space="0"/>
              <w:left w:val="nil"/>
              <w:bottom w:val="single" w:color="auto" w:sz="4" w:space="0"/>
              <w:right w:val="single" w:color="auto" w:sz="4" w:space="0"/>
            </w:tcBorders>
            <w:vAlign w:val="center"/>
          </w:tcPr>
          <w:p>
            <w:pPr>
              <w:spacing w:line="360" w:lineRule="auto"/>
              <w:ind w:firstLine="240" w:firstLineChars="100"/>
              <w:rPr>
                <w:rFonts w:ascii="宋体" w:hAnsi="宋体"/>
                <w:sz w:val="24"/>
                <w:szCs w:val="24"/>
              </w:rPr>
            </w:pPr>
            <w:r>
              <w:rPr>
                <w:rFonts w:hint="eastAsia" w:ascii="宋体" w:hAnsi="宋体"/>
                <w:sz w:val="24"/>
                <w:szCs w:val="24"/>
              </w:rPr>
              <w:t>总价</w:t>
            </w:r>
          </w:p>
          <w:p>
            <w:pPr>
              <w:spacing w:line="360" w:lineRule="auto"/>
              <w:rPr>
                <w:rFonts w:ascii="宋体" w:hAnsi="宋体"/>
                <w:sz w:val="24"/>
                <w:szCs w:val="24"/>
              </w:rPr>
            </w:pPr>
            <w:r>
              <w:rPr>
                <w:rFonts w:hint="eastAsia" w:ascii="宋体" w:hAnsi="宋体"/>
                <w:sz w:val="24"/>
                <w:szCs w:val="24"/>
              </w:rPr>
              <w:t>（万元）</w:t>
            </w: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随机</w:t>
            </w:r>
          </w:p>
          <w:p>
            <w:pPr>
              <w:spacing w:line="360" w:lineRule="auto"/>
              <w:jc w:val="center"/>
              <w:rPr>
                <w:rFonts w:ascii="宋体" w:hAnsi="宋体"/>
                <w:sz w:val="24"/>
                <w:szCs w:val="24"/>
              </w:rPr>
            </w:pPr>
            <w:r>
              <w:rPr>
                <w:rFonts w:hint="eastAsia" w:ascii="宋体" w:hAnsi="宋体"/>
                <w:sz w:val="24"/>
                <w:szCs w:val="24"/>
              </w:rPr>
              <w:t>配件</w:t>
            </w:r>
          </w:p>
        </w:tc>
        <w:tc>
          <w:tcPr>
            <w:tcW w:w="1260" w:type="dxa"/>
            <w:tcBorders>
              <w:top w:val="single" w:color="auto" w:sz="4" w:space="0"/>
              <w:left w:val="nil"/>
              <w:bottom w:val="single" w:color="auto" w:sz="4" w:space="0"/>
              <w:right w:val="single" w:color="auto" w:sz="4" w:space="0"/>
            </w:tcBorders>
            <w:vAlign w:val="center"/>
          </w:tcPr>
          <w:p>
            <w:pPr>
              <w:spacing w:line="360" w:lineRule="auto"/>
              <w:ind w:firstLine="120" w:firstLineChars="50"/>
              <w:rPr>
                <w:rFonts w:ascii="宋体" w:hAnsi="宋体"/>
                <w:sz w:val="24"/>
                <w:szCs w:val="24"/>
              </w:rPr>
            </w:pPr>
            <w:r>
              <w:rPr>
                <w:rFonts w:hint="eastAsia" w:ascii="宋体" w:hAnsi="宋体"/>
                <w:sz w:val="24"/>
                <w:szCs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9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9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r>
    </w:tbl>
    <w:p>
      <w:pPr>
        <w:pStyle w:val="114"/>
        <w:ind w:firstLine="0" w:firstLineChars="0"/>
        <w:rPr>
          <w:rFonts w:ascii="宋体" w:hAnsi="宋体"/>
          <w:b/>
          <w:bCs/>
        </w:rPr>
      </w:pPr>
      <w:r>
        <w:rPr>
          <w:rFonts w:hint="eastAsia" w:ascii="宋体" w:hAnsi="宋体"/>
          <w:b/>
          <w:bCs/>
        </w:rPr>
        <w:t>二、合同总价</w:t>
      </w:r>
    </w:p>
    <w:p>
      <w:pPr>
        <w:pStyle w:val="16"/>
        <w:spacing w:line="360" w:lineRule="auto"/>
        <w:ind w:firstLineChars="175"/>
        <w:rPr>
          <w:rFonts w:ascii="宋体" w:hAnsi="宋体"/>
          <w:sz w:val="24"/>
          <w:szCs w:val="24"/>
        </w:rPr>
      </w:pPr>
      <w:r>
        <w:rPr>
          <w:rFonts w:hint="eastAsia" w:ascii="宋体" w:hAnsi="宋体"/>
          <w:sz w:val="24"/>
          <w:szCs w:val="24"/>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114"/>
        <w:ind w:firstLine="0" w:firstLineChars="0"/>
        <w:rPr>
          <w:rFonts w:ascii="宋体" w:hAnsi="宋体"/>
          <w:b/>
          <w:bCs/>
        </w:rPr>
      </w:pPr>
      <w:bookmarkStart w:id="229" w:name="_Toc217446109"/>
      <w:bookmarkEnd w:id="229"/>
      <w:r>
        <w:rPr>
          <w:rFonts w:hint="eastAsia" w:ascii="宋体" w:hAnsi="宋体"/>
          <w:b/>
          <w:bCs/>
        </w:rPr>
        <w:t>三、质量要求</w:t>
      </w:r>
    </w:p>
    <w:p>
      <w:pPr>
        <w:pStyle w:val="100"/>
        <w:spacing w:line="360" w:lineRule="auto"/>
        <w:ind w:firstLine="480"/>
        <w:rPr>
          <w:rFonts w:ascii="宋体" w:hAnsi="宋体"/>
        </w:rPr>
      </w:pPr>
      <w:r>
        <w:rPr>
          <w:rFonts w:hint="eastAsia" w:ascii="宋体" w:hAnsi="宋体"/>
        </w:rPr>
        <w:t>1、乙方须提供全新的货物（含零部件、配件等），表面无划伤、无碰撞痕迹，且权属清楚，不得侵害他人的知识产权。</w:t>
      </w:r>
    </w:p>
    <w:p>
      <w:pPr>
        <w:pStyle w:val="100"/>
        <w:spacing w:line="360" w:lineRule="auto"/>
        <w:ind w:firstLine="480"/>
        <w:rPr>
          <w:rFonts w:ascii="宋体" w:hAnsi="宋体"/>
        </w:rPr>
      </w:pPr>
      <w:r>
        <w:rPr>
          <w:rFonts w:hint="eastAsia" w:ascii="宋体" w:hAnsi="宋体"/>
        </w:rPr>
        <w:t>2、货物必须符合或优于国家（行业）标准，以及本项目招标文件的质量要求和技术指标与出厂标准。</w:t>
      </w:r>
    </w:p>
    <w:p>
      <w:pPr>
        <w:pStyle w:val="100"/>
        <w:spacing w:line="360" w:lineRule="auto"/>
        <w:ind w:firstLine="480"/>
        <w:rPr>
          <w:rFonts w:ascii="宋体" w:hAnsi="宋体"/>
        </w:rPr>
      </w:pPr>
      <w:r>
        <w:rPr>
          <w:rFonts w:hint="eastAsia" w:ascii="宋体" w:hAnsi="宋体"/>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pPr>
        <w:pStyle w:val="100"/>
        <w:spacing w:line="360" w:lineRule="auto"/>
        <w:ind w:firstLine="480"/>
        <w:rPr>
          <w:rFonts w:ascii="宋体" w:hAnsi="宋体"/>
        </w:rPr>
      </w:pPr>
      <w:r>
        <w:rPr>
          <w:rFonts w:hint="eastAsia" w:ascii="宋体" w:hAnsi="宋体"/>
        </w:rPr>
        <w:t>4、货物制造质量出现问题，乙方应负责三包（包修、包换、包退），费用由乙方负担，甲方有权到乙方生产场地检查货物质量和生产进度。</w:t>
      </w:r>
    </w:p>
    <w:p>
      <w:pPr>
        <w:pStyle w:val="100"/>
        <w:spacing w:line="360" w:lineRule="auto"/>
        <w:ind w:firstLine="480"/>
        <w:rPr>
          <w:rFonts w:ascii="宋体" w:hAnsi="宋体"/>
        </w:rPr>
      </w:pPr>
      <w:r>
        <w:rPr>
          <w:rFonts w:hint="eastAsia" w:ascii="宋体" w:hAnsi="宋体"/>
        </w:rPr>
        <w:t>5、货到现场后由于甲方保管不当造成的质量问题，乙方亦应负责修理，但费用由甲方负担。</w:t>
      </w:r>
    </w:p>
    <w:p>
      <w:pPr>
        <w:pStyle w:val="114"/>
        <w:ind w:firstLine="0" w:firstLineChars="0"/>
        <w:rPr>
          <w:rFonts w:ascii="宋体" w:hAnsi="宋体"/>
          <w:b/>
          <w:bCs/>
        </w:rPr>
      </w:pPr>
      <w:bookmarkStart w:id="230" w:name="_Toc217446110"/>
      <w:bookmarkEnd w:id="230"/>
      <w:r>
        <w:rPr>
          <w:rFonts w:hint="eastAsia" w:ascii="宋体" w:hAnsi="宋体"/>
          <w:b/>
          <w:bCs/>
        </w:rPr>
        <w:t>四、交货及验收</w:t>
      </w:r>
    </w:p>
    <w:p>
      <w:pPr>
        <w:pStyle w:val="100"/>
        <w:spacing w:line="360" w:lineRule="auto"/>
        <w:ind w:firstLine="480"/>
        <w:rPr>
          <w:rFonts w:ascii="宋体" w:hAnsi="宋体"/>
        </w:rPr>
      </w:pPr>
      <w:r>
        <w:rPr>
          <w:rFonts w:hint="eastAsia" w:ascii="宋体" w:hAnsi="宋体"/>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pStyle w:val="100"/>
        <w:spacing w:line="360" w:lineRule="auto"/>
        <w:ind w:firstLine="480"/>
        <w:rPr>
          <w:rFonts w:ascii="宋体" w:hAnsi="宋体"/>
        </w:rPr>
      </w:pPr>
      <w:r>
        <w:rPr>
          <w:rFonts w:hint="eastAsia" w:ascii="宋体" w:hAnsi="宋体"/>
        </w:rPr>
        <w:t>2、验收由甲方组织，乙方配合进行：</w:t>
      </w:r>
    </w:p>
    <w:p>
      <w:pPr>
        <w:pStyle w:val="100"/>
        <w:spacing w:line="360" w:lineRule="auto"/>
        <w:ind w:firstLine="480"/>
        <w:rPr>
          <w:rFonts w:ascii="宋体" w:hAnsi="宋体"/>
        </w:rPr>
      </w:pPr>
      <w:r>
        <w:rPr>
          <w:rFonts w:hint="eastAsia" w:ascii="宋体" w:hAnsi="宋体"/>
        </w:rPr>
        <w:t>(1) 货物在乙方通知安装调试完毕后日内初步验收。初步验收合格后，进入试用期；试用期间发生重大质量问题，修复后试用相应顺延；试用期结束后日内完成最终验收；</w:t>
      </w:r>
    </w:p>
    <w:p>
      <w:pPr>
        <w:pStyle w:val="100"/>
        <w:spacing w:line="360" w:lineRule="auto"/>
        <w:ind w:firstLine="480"/>
        <w:rPr>
          <w:rFonts w:ascii="宋体" w:hAnsi="宋体"/>
        </w:rPr>
      </w:pPr>
      <w:r>
        <w:rPr>
          <w:rFonts w:hint="eastAsia" w:ascii="宋体" w:hAnsi="宋体"/>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100"/>
        <w:spacing w:line="360" w:lineRule="auto"/>
        <w:ind w:firstLine="480"/>
        <w:rPr>
          <w:rFonts w:ascii="宋体" w:hAnsi="宋体"/>
        </w:rPr>
      </w:pPr>
      <w:r>
        <w:rPr>
          <w:rFonts w:hint="eastAsia" w:ascii="宋体" w:hAnsi="宋体"/>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00"/>
        <w:spacing w:line="360" w:lineRule="auto"/>
        <w:ind w:firstLine="480"/>
        <w:rPr>
          <w:rFonts w:ascii="宋体" w:hAnsi="宋体"/>
        </w:rPr>
      </w:pPr>
      <w:r>
        <w:rPr>
          <w:rFonts w:hint="eastAsia" w:ascii="宋体" w:hAnsi="宋体"/>
        </w:rPr>
        <w:t>(4) 如质量验收合格，双方签署质量验收报告。</w:t>
      </w:r>
    </w:p>
    <w:p>
      <w:pPr>
        <w:pStyle w:val="100"/>
        <w:spacing w:line="360" w:lineRule="auto"/>
        <w:ind w:firstLine="480"/>
        <w:rPr>
          <w:rFonts w:ascii="宋体" w:hAnsi="宋体"/>
        </w:rPr>
      </w:pPr>
      <w:r>
        <w:rPr>
          <w:rFonts w:hint="eastAsia" w:ascii="宋体" w:hAnsi="宋体"/>
        </w:rPr>
        <w:t>3、货物安装完成后日内，甲方无故不进行验收工作并已使用货物的，视同已安装调试完成并验收合格。</w:t>
      </w:r>
    </w:p>
    <w:p>
      <w:pPr>
        <w:pStyle w:val="100"/>
        <w:spacing w:line="360" w:lineRule="auto"/>
        <w:ind w:firstLine="480"/>
        <w:rPr>
          <w:rFonts w:ascii="宋体" w:hAnsi="宋体"/>
        </w:rPr>
      </w:pPr>
      <w:r>
        <w:rPr>
          <w:rFonts w:hint="eastAsia" w:ascii="宋体" w:hAnsi="宋体"/>
        </w:rPr>
        <w:t>4、乙方应将所提供货物的装箱清单、配件、随机工具、用户使用手册、原厂保修卡等资料交付给甲方；乙方不能完整交付货物及本款规定的单证和工具的，必须负责补齐，否则视为未按合同约定交货。</w:t>
      </w:r>
    </w:p>
    <w:p>
      <w:pPr>
        <w:pStyle w:val="100"/>
        <w:spacing w:line="360" w:lineRule="auto"/>
        <w:ind w:firstLine="480"/>
        <w:rPr>
          <w:rFonts w:ascii="宋体" w:hAnsi="宋体"/>
        </w:rPr>
      </w:pPr>
      <w:r>
        <w:rPr>
          <w:rFonts w:hint="eastAsia" w:ascii="宋体" w:hAnsi="宋体"/>
        </w:rPr>
        <w:t xml:space="preserve">5、如货物经乙方次维修仍不能达到合同约定的质量标准，甲方有权退货，并视作乙方不能交付货物而须支付违约赔偿金给甲方，甲方还可依法追究乙方的违约责任。 </w:t>
      </w:r>
    </w:p>
    <w:p>
      <w:pPr>
        <w:pStyle w:val="100"/>
        <w:spacing w:line="360" w:lineRule="auto"/>
        <w:ind w:firstLine="480"/>
        <w:rPr>
          <w:rFonts w:ascii="宋体" w:hAnsi="宋体"/>
        </w:rPr>
      </w:pPr>
      <w:r>
        <w:rPr>
          <w:rFonts w:hint="eastAsia" w:ascii="宋体" w:hAnsi="宋体"/>
        </w:rPr>
        <w:t>6、其他未尽事宜应严格按照《四川省政府采购项目需求论证和履约验收管理办法》（川财采〔2015〕32号）的要求进行。</w:t>
      </w:r>
    </w:p>
    <w:p>
      <w:pPr>
        <w:pStyle w:val="114"/>
        <w:ind w:firstLine="0" w:firstLineChars="0"/>
        <w:rPr>
          <w:rFonts w:ascii="宋体" w:hAnsi="宋体"/>
          <w:b/>
          <w:bCs/>
        </w:rPr>
      </w:pPr>
      <w:bookmarkStart w:id="231" w:name="_Toc217446111"/>
      <w:bookmarkEnd w:id="231"/>
      <w:r>
        <w:rPr>
          <w:rFonts w:hint="eastAsia" w:ascii="宋体" w:hAnsi="宋体"/>
          <w:b/>
          <w:bCs/>
        </w:rPr>
        <w:t>五、付款方式</w:t>
      </w:r>
    </w:p>
    <w:p>
      <w:pPr>
        <w:pStyle w:val="100"/>
        <w:spacing w:line="360" w:lineRule="auto"/>
        <w:ind w:firstLine="480"/>
        <w:rPr>
          <w:rFonts w:ascii="宋体" w:hAnsi="宋体"/>
        </w:rPr>
      </w:pPr>
      <w:r>
        <w:rPr>
          <w:rFonts w:hint="eastAsia" w:ascii="宋体" w:hAnsi="宋体"/>
        </w:rPr>
        <w:t>（一）适用于无预付款采购项目</w:t>
      </w:r>
    </w:p>
    <w:p>
      <w:pPr>
        <w:pStyle w:val="100"/>
        <w:spacing w:line="360" w:lineRule="auto"/>
        <w:ind w:firstLine="480"/>
        <w:rPr>
          <w:rFonts w:ascii="宋体" w:hAnsi="宋体"/>
        </w:rPr>
      </w:pPr>
      <w:r>
        <w:rPr>
          <w:rFonts w:hint="eastAsia" w:ascii="宋体" w:hAnsi="宋体"/>
        </w:rPr>
        <w:t>1、全部货物安装调试完毕并验收合格之日起，甲方接到乙方通知与票据凭证资料以后的日内，按照财政性资金支付有关规定，向乙方支付合同价款￥元，人民币大写元整；</w:t>
      </w:r>
    </w:p>
    <w:p>
      <w:pPr>
        <w:pStyle w:val="100"/>
        <w:spacing w:line="360" w:lineRule="auto"/>
        <w:ind w:firstLine="480"/>
        <w:rPr>
          <w:rFonts w:ascii="宋体" w:hAnsi="宋体"/>
        </w:rPr>
      </w:pPr>
      <w:r>
        <w:rPr>
          <w:rFonts w:hint="eastAsia" w:ascii="宋体" w:hAnsi="宋体"/>
        </w:rPr>
        <w:t>2、乙方须向甲方出具合法有效完整的完税发票及凭证资料进行支付结算。</w:t>
      </w:r>
    </w:p>
    <w:p>
      <w:pPr>
        <w:pStyle w:val="100"/>
        <w:spacing w:line="360" w:lineRule="auto"/>
        <w:ind w:firstLine="480"/>
        <w:rPr>
          <w:rFonts w:ascii="宋体" w:hAnsi="宋体"/>
        </w:rPr>
      </w:pPr>
      <w:r>
        <w:rPr>
          <w:rFonts w:hint="eastAsia" w:ascii="宋体" w:hAnsi="宋体"/>
        </w:rPr>
        <w:t>（二）适用于有预付款采购项目</w:t>
      </w:r>
    </w:p>
    <w:p>
      <w:pPr>
        <w:pStyle w:val="100"/>
        <w:spacing w:line="360" w:lineRule="auto"/>
        <w:ind w:firstLine="480"/>
        <w:rPr>
          <w:rFonts w:ascii="宋体" w:hAnsi="宋体"/>
        </w:rPr>
      </w:pPr>
      <w:r>
        <w:rPr>
          <w:rFonts w:hint="eastAsia" w:ascii="宋体" w:hAnsi="宋体"/>
        </w:rPr>
        <w:t>1、全部货物安装调试完毕并验收合格之日起，甲方接到乙方通知与票据凭证资料以后的日内，提交支付凭证资料给财政国库支付执行机构办理财政国库支付手续，并由其向乙方核拨合同总价的百分之款项：￥元，人民币大写元整；</w:t>
      </w:r>
    </w:p>
    <w:p>
      <w:pPr>
        <w:pStyle w:val="100"/>
        <w:spacing w:line="360" w:lineRule="auto"/>
        <w:ind w:firstLine="480"/>
        <w:rPr>
          <w:rFonts w:ascii="宋体" w:hAnsi="宋体"/>
        </w:rPr>
      </w:pPr>
      <w:r>
        <w:rPr>
          <w:rFonts w:hint="eastAsia" w:ascii="宋体" w:hAnsi="宋体"/>
        </w:rPr>
        <w:t>2、乙方须向甲方出具合法有效完整的完税发票及凭证资料进行支付结算。</w:t>
      </w:r>
    </w:p>
    <w:p>
      <w:pPr>
        <w:pStyle w:val="114"/>
        <w:ind w:firstLine="0" w:firstLineChars="0"/>
        <w:rPr>
          <w:rFonts w:ascii="宋体" w:hAnsi="宋体"/>
          <w:b/>
          <w:bCs/>
        </w:rPr>
      </w:pPr>
      <w:bookmarkStart w:id="232" w:name="_Toc217446112"/>
      <w:bookmarkEnd w:id="232"/>
      <w:r>
        <w:rPr>
          <w:rFonts w:hint="eastAsia" w:ascii="宋体" w:hAnsi="宋体"/>
          <w:b/>
          <w:bCs/>
        </w:rPr>
        <w:t>六、售后服务</w:t>
      </w:r>
    </w:p>
    <w:p>
      <w:pPr>
        <w:pStyle w:val="100"/>
        <w:spacing w:line="360" w:lineRule="auto"/>
        <w:ind w:firstLine="480"/>
        <w:rPr>
          <w:rFonts w:ascii="宋体" w:hAnsi="宋体"/>
        </w:rPr>
      </w:pPr>
      <w:r>
        <w:rPr>
          <w:rFonts w:hint="eastAsia" w:ascii="宋体" w:hAnsi="宋体"/>
        </w:rPr>
        <w:t>1、质保期为验收合格后XX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pPr>
        <w:pStyle w:val="100"/>
        <w:spacing w:line="360" w:lineRule="auto"/>
        <w:ind w:firstLine="480"/>
        <w:rPr>
          <w:rFonts w:ascii="宋体" w:hAnsi="宋体"/>
        </w:rPr>
      </w:pPr>
      <w:r>
        <w:rPr>
          <w:rFonts w:hint="eastAsia" w:ascii="宋体" w:hAnsi="宋体"/>
        </w:rPr>
        <w:t xml:space="preserve">2、乙方须指派专人负责与甲方联系售后服务事宜。 </w:t>
      </w:r>
    </w:p>
    <w:p>
      <w:pPr>
        <w:pStyle w:val="114"/>
        <w:ind w:firstLine="0" w:firstLineChars="0"/>
        <w:rPr>
          <w:rFonts w:ascii="宋体" w:hAnsi="宋体"/>
          <w:b/>
          <w:bCs/>
        </w:rPr>
      </w:pPr>
      <w:bookmarkStart w:id="233" w:name="_Toc217446113"/>
      <w:bookmarkEnd w:id="233"/>
      <w:r>
        <w:rPr>
          <w:rFonts w:hint="eastAsia" w:ascii="宋体" w:hAnsi="宋体"/>
          <w:b/>
          <w:bCs/>
        </w:rPr>
        <w:t>七、违约责任</w:t>
      </w:r>
    </w:p>
    <w:p>
      <w:pPr>
        <w:pStyle w:val="100"/>
        <w:spacing w:line="360" w:lineRule="auto"/>
        <w:ind w:firstLine="480"/>
        <w:rPr>
          <w:rFonts w:ascii="宋体" w:hAnsi="宋体"/>
        </w:rPr>
      </w:pPr>
      <w:r>
        <w:rPr>
          <w:rFonts w:hint="eastAsia" w:ascii="宋体" w:hAnsi="宋体"/>
        </w:rPr>
        <w:t>1、甲方违约责任</w:t>
      </w:r>
    </w:p>
    <w:p>
      <w:pPr>
        <w:pStyle w:val="100"/>
        <w:spacing w:line="360" w:lineRule="auto"/>
        <w:ind w:firstLine="480"/>
        <w:rPr>
          <w:rFonts w:ascii="宋体" w:hAnsi="宋体"/>
        </w:rPr>
      </w:pPr>
      <w:r>
        <w:rPr>
          <w:rFonts w:hint="eastAsia" w:ascii="宋体" w:hAnsi="宋体"/>
        </w:rPr>
        <w:t>（1） 甲方无正当理由拒收货物的，甲方应偿付合同总价百分之  的违约金；</w:t>
      </w:r>
    </w:p>
    <w:p>
      <w:pPr>
        <w:pStyle w:val="100"/>
        <w:spacing w:line="360" w:lineRule="auto"/>
        <w:ind w:firstLine="480"/>
        <w:rPr>
          <w:rFonts w:ascii="宋体" w:hAnsi="宋体"/>
        </w:rPr>
      </w:pPr>
      <w:r>
        <w:rPr>
          <w:rFonts w:hint="eastAsia" w:ascii="宋体" w:hAnsi="宋体"/>
        </w:rPr>
        <w:t>（2） 甲方逾期支付货款的，除应及时付足货款外，应向乙方偿付欠款总额万分之/天的违约金；逾期付款超过天的，乙方有权终止合同；</w:t>
      </w:r>
    </w:p>
    <w:p>
      <w:pPr>
        <w:pStyle w:val="100"/>
        <w:spacing w:line="360" w:lineRule="auto"/>
        <w:ind w:firstLine="480"/>
        <w:rPr>
          <w:rFonts w:ascii="宋体" w:hAnsi="宋体"/>
        </w:rPr>
      </w:pPr>
      <w:r>
        <w:rPr>
          <w:rFonts w:hint="eastAsia" w:ascii="宋体" w:hAnsi="宋体"/>
        </w:rPr>
        <w:t>（3） 甲方偿付的违约金不足以弥补乙方损失的，还应按乙方损失尚未弥补的部分，支付赔偿金给乙方。</w:t>
      </w:r>
    </w:p>
    <w:p>
      <w:pPr>
        <w:pStyle w:val="100"/>
        <w:spacing w:line="360" w:lineRule="auto"/>
        <w:ind w:firstLine="480"/>
        <w:rPr>
          <w:rFonts w:ascii="宋体" w:hAnsi="宋体"/>
        </w:rPr>
      </w:pPr>
      <w:r>
        <w:rPr>
          <w:rFonts w:hint="eastAsia" w:ascii="宋体" w:hAnsi="宋体"/>
        </w:rPr>
        <w:t>2、乙方违约责任</w:t>
      </w:r>
    </w:p>
    <w:p>
      <w:pPr>
        <w:pStyle w:val="100"/>
        <w:spacing w:line="360" w:lineRule="auto"/>
        <w:ind w:firstLine="480"/>
        <w:rPr>
          <w:rFonts w:ascii="宋体" w:hAnsi="宋体"/>
        </w:rPr>
      </w:pPr>
      <w:r>
        <w:rPr>
          <w:rFonts w:hint="eastAsia" w:ascii="宋体" w:hAnsi="宋体"/>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pPr>
        <w:pStyle w:val="100"/>
        <w:spacing w:line="360" w:lineRule="auto"/>
        <w:ind w:firstLine="480"/>
        <w:rPr>
          <w:rFonts w:ascii="宋体" w:hAnsi="宋体"/>
        </w:rPr>
      </w:pPr>
      <w:r>
        <w:rPr>
          <w:rFonts w:hint="eastAsia" w:ascii="宋体" w:hAnsi="宋体"/>
        </w:rPr>
        <w:t>（2）乙方不能交付货物或逾期交付货物而违约的，除应及时交足货物外，应向甲方偿付逾期交货部分货款总额的万分之/天的违约金；逾期交货超过XX天，甲方有权终止合同，乙方则应按合同总价的百分之的款额向甲方偿付赔偿金，并须全额退还甲方已经付给乙方的货款及其利息。</w:t>
      </w:r>
    </w:p>
    <w:p>
      <w:pPr>
        <w:pStyle w:val="100"/>
        <w:spacing w:line="360" w:lineRule="auto"/>
        <w:ind w:firstLine="480"/>
        <w:rPr>
          <w:rFonts w:ascii="宋体" w:hAnsi="宋体"/>
        </w:rPr>
      </w:pPr>
      <w:r>
        <w:rPr>
          <w:rFonts w:hint="eastAsia" w:ascii="宋体" w:hAnsi="宋体"/>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pPr>
        <w:pStyle w:val="100"/>
        <w:spacing w:line="360" w:lineRule="auto"/>
        <w:ind w:firstLine="480"/>
        <w:rPr>
          <w:rFonts w:ascii="宋体" w:hAnsi="宋体"/>
        </w:rPr>
      </w:pPr>
      <w:r>
        <w:rPr>
          <w:rFonts w:hint="eastAsia" w:ascii="宋体" w:hAnsi="宋体"/>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pPr>
        <w:pStyle w:val="100"/>
        <w:spacing w:line="360" w:lineRule="auto"/>
        <w:ind w:firstLine="480"/>
        <w:rPr>
          <w:rFonts w:ascii="宋体" w:hAnsi="宋体"/>
        </w:rPr>
      </w:pPr>
      <w:r>
        <w:rPr>
          <w:rFonts w:hint="eastAsia" w:ascii="宋体" w:hAnsi="宋体"/>
        </w:rPr>
        <w:t>（5）乙方偿付的违约金不足以弥补甲方损失的，还应按甲方损失尚未弥补的部分，支付赔偿金给甲方。</w:t>
      </w:r>
    </w:p>
    <w:p>
      <w:pPr>
        <w:pStyle w:val="114"/>
        <w:ind w:firstLine="0" w:firstLineChars="0"/>
        <w:rPr>
          <w:rFonts w:ascii="宋体" w:hAnsi="宋体"/>
          <w:b/>
          <w:bCs/>
        </w:rPr>
      </w:pPr>
      <w:bookmarkStart w:id="234" w:name="_Toc217446114"/>
      <w:bookmarkEnd w:id="234"/>
      <w:r>
        <w:rPr>
          <w:rFonts w:hint="eastAsia" w:ascii="宋体" w:hAnsi="宋体"/>
          <w:b/>
          <w:bCs/>
        </w:rPr>
        <w:t>八、争议解决办法</w:t>
      </w:r>
    </w:p>
    <w:p>
      <w:pPr>
        <w:pStyle w:val="100"/>
        <w:spacing w:line="360" w:lineRule="auto"/>
        <w:ind w:firstLine="480"/>
        <w:rPr>
          <w:rFonts w:ascii="宋体" w:hAnsi="宋体"/>
        </w:rPr>
      </w:pPr>
      <w:r>
        <w:rPr>
          <w:rFonts w:hint="eastAsia" w:ascii="宋体" w:hAnsi="宋体"/>
        </w:rPr>
        <w:t>1、因货物的质量问题发生争议，由质量技术监督部门或其指定的质量鉴定机构进行质量鉴定。货物符合标准的，鉴定费由甲方承担；货物不符合质量标准的，鉴定费由乙方承担。</w:t>
      </w:r>
    </w:p>
    <w:p>
      <w:pPr>
        <w:pStyle w:val="100"/>
        <w:spacing w:line="360" w:lineRule="auto"/>
        <w:ind w:firstLine="480"/>
        <w:rPr>
          <w:rFonts w:ascii="宋体" w:hAnsi="宋体"/>
        </w:rPr>
      </w:pPr>
      <w:r>
        <w:rPr>
          <w:rFonts w:hint="eastAsia" w:ascii="宋体" w:hAnsi="宋体"/>
        </w:rPr>
        <w:t>2、合同履行期间,若双方发生争议，可协商或由有关部门调解解决，协商或调解不成的，由当事人依法维护其合法权益。</w:t>
      </w:r>
    </w:p>
    <w:p>
      <w:pPr>
        <w:pStyle w:val="114"/>
        <w:ind w:firstLine="0" w:firstLineChars="0"/>
        <w:rPr>
          <w:rFonts w:ascii="宋体" w:hAnsi="宋体"/>
          <w:b/>
          <w:bCs/>
        </w:rPr>
      </w:pPr>
      <w:bookmarkStart w:id="235" w:name="_Toc217446115"/>
      <w:bookmarkEnd w:id="235"/>
      <w:r>
        <w:rPr>
          <w:rFonts w:hint="eastAsia" w:ascii="宋体" w:hAnsi="宋体"/>
          <w:b/>
          <w:bCs/>
        </w:rPr>
        <w:t>九、其他</w:t>
      </w:r>
    </w:p>
    <w:p>
      <w:pPr>
        <w:pStyle w:val="100"/>
        <w:spacing w:line="360" w:lineRule="auto"/>
        <w:ind w:firstLine="480"/>
        <w:rPr>
          <w:rFonts w:ascii="宋体" w:hAnsi="宋体"/>
        </w:rPr>
      </w:pPr>
      <w:r>
        <w:rPr>
          <w:rFonts w:hint="eastAsia" w:ascii="宋体" w:hAnsi="宋体"/>
        </w:rPr>
        <w:t>1、如有未尽事宜，由双方依法订立补充合同。</w:t>
      </w:r>
    </w:p>
    <w:p>
      <w:pPr>
        <w:pStyle w:val="100"/>
        <w:spacing w:line="360" w:lineRule="auto"/>
        <w:ind w:firstLine="480"/>
        <w:rPr>
          <w:rFonts w:ascii="宋体" w:hAnsi="宋体"/>
        </w:rPr>
      </w:pPr>
      <w:r>
        <w:rPr>
          <w:rFonts w:hint="eastAsia" w:ascii="宋体" w:hAnsi="宋体"/>
        </w:rPr>
        <w:t>2、本合同一式六份，自双方签章之日起生效。甲方三份，乙方、政府采购管理部门、采购代理机构各一份。</w:t>
      </w:r>
    </w:p>
    <w:p>
      <w:pPr>
        <w:spacing w:line="360" w:lineRule="auto"/>
        <w:ind w:firstLine="480" w:firstLineChars="200"/>
        <w:rPr>
          <w:rFonts w:ascii="宋体" w:hAnsi="宋体"/>
          <w:sz w:val="24"/>
          <w:szCs w:val="24"/>
        </w:rPr>
      </w:pPr>
      <w:r>
        <w:rPr>
          <w:rFonts w:hint="eastAsia" w:ascii="宋体" w:hAnsi="宋体"/>
          <w:sz w:val="24"/>
          <w:szCs w:val="24"/>
        </w:rPr>
        <w:t xml:space="preserve">甲方：   （盖章）   </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 xml:space="preserve">       乙方：   （盖章）</w:t>
      </w:r>
    </w:p>
    <w:p>
      <w:pPr>
        <w:spacing w:line="360" w:lineRule="auto"/>
        <w:ind w:firstLine="480" w:firstLineChars="200"/>
        <w:rPr>
          <w:rFonts w:ascii="宋体" w:hAnsi="宋体"/>
          <w:sz w:val="24"/>
          <w:szCs w:val="24"/>
        </w:rPr>
      </w:pPr>
      <w:r>
        <w:rPr>
          <w:rFonts w:hint="eastAsia" w:ascii="宋体" w:hAnsi="宋体"/>
          <w:sz w:val="24"/>
          <w:szCs w:val="24"/>
        </w:rPr>
        <w:t>法定代表人/单位负责人（授权代表）：            法定代表人/单位负责人（授权代表）：</w:t>
      </w:r>
    </w:p>
    <w:p>
      <w:pPr>
        <w:spacing w:line="360" w:lineRule="auto"/>
        <w:ind w:firstLine="480" w:firstLineChars="200"/>
        <w:rPr>
          <w:rFonts w:ascii="宋体" w:hAnsi="宋体"/>
          <w:sz w:val="24"/>
          <w:szCs w:val="24"/>
        </w:rPr>
      </w:pPr>
      <w:r>
        <w:rPr>
          <w:rFonts w:hint="eastAsia" w:ascii="宋体" w:hAnsi="宋体"/>
          <w:sz w:val="24"/>
          <w:szCs w:val="24"/>
        </w:rPr>
        <w:t>地    址：                         地    址：</w:t>
      </w:r>
    </w:p>
    <w:p>
      <w:pPr>
        <w:spacing w:line="360" w:lineRule="auto"/>
        <w:ind w:firstLine="480" w:firstLineChars="200"/>
        <w:rPr>
          <w:rFonts w:ascii="宋体" w:hAnsi="宋体"/>
          <w:sz w:val="24"/>
          <w:szCs w:val="24"/>
        </w:rPr>
      </w:pPr>
      <w:r>
        <w:rPr>
          <w:rFonts w:hint="eastAsia" w:ascii="宋体" w:hAnsi="宋体"/>
          <w:sz w:val="24"/>
          <w:szCs w:val="24"/>
        </w:rPr>
        <w:t>开户银行：                         开户银行：</w:t>
      </w:r>
    </w:p>
    <w:p>
      <w:pPr>
        <w:spacing w:line="360" w:lineRule="auto"/>
        <w:ind w:firstLine="480" w:firstLineChars="200"/>
        <w:rPr>
          <w:rFonts w:ascii="宋体" w:hAnsi="宋体"/>
          <w:sz w:val="24"/>
          <w:szCs w:val="24"/>
        </w:rPr>
      </w:pPr>
      <w:r>
        <w:rPr>
          <w:rFonts w:hint="eastAsia" w:ascii="宋体" w:hAnsi="宋体"/>
          <w:sz w:val="24"/>
          <w:szCs w:val="24"/>
        </w:rPr>
        <w:t>账号：                             账号：</w:t>
      </w:r>
    </w:p>
    <w:p>
      <w:pPr>
        <w:spacing w:line="360" w:lineRule="auto"/>
        <w:ind w:firstLine="480" w:firstLineChars="200"/>
        <w:rPr>
          <w:rFonts w:ascii="宋体" w:hAnsi="宋体"/>
          <w:sz w:val="24"/>
          <w:szCs w:val="24"/>
        </w:rPr>
      </w:pPr>
      <w:r>
        <w:rPr>
          <w:rFonts w:hint="eastAsia" w:ascii="宋体" w:hAnsi="宋体"/>
          <w:sz w:val="24"/>
          <w:szCs w:val="24"/>
        </w:rPr>
        <w:t>电    话：                         电    话：</w:t>
      </w:r>
    </w:p>
    <w:p>
      <w:pPr>
        <w:spacing w:line="360" w:lineRule="auto"/>
        <w:ind w:firstLine="480" w:firstLineChars="200"/>
        <w:rPr>
          <w:rFonts w:ascii="宋体" w:hAnsi="宋体"/>
          <w:sz w:val="24"/>
          <w:szCs w:val="24"/>
        </w:rPr>
      </w:pPr>
      <w:r>
        <w:rPr>
          <w:rFonts w:hint="eastAsia" w:ascii="宋体" w:hAnsi="宋体"/>
          <w:sz w:val="24"/>
          <w:szCs w:val="24"/>
        </w:rPr>
        <w:t>传    真：                         传    真：</w:t>
      </w:r>
    </w:p>
    <w:p>
      <w:pPr>
        <w:spacing w:line="360" w:lineRule="auto"/>
        <w:ind w:firstLine="420" w:firstLineChars="200"/>
        <w:rPr>
          <w:rFonts w:ascii="宋体" w:hAnsi="宋体"/>
        </w:rPr>
      </w:pPr>
      <w:r>
        <w:rPr>
          <w:rFonts w:hint="eastAsia" w:ascii="宋体" w:hAnsi="宋体"/>
        </w:rPr>
        <w:t>签约日期：XX年XX月XX日</w:t>
      </w:r>
      <w:r>
        <w:rPr>
          <w:rFonts w:hint="eastAsia" w:ascii="宋体" w:hAnsi="宋体"/>
        </w:rPr>
        <w:tab/>
      </w:r>
      <w:r>
        <w:rPr>
          <w:rFonts w:hint="eastAsia" w:ascii="宋体" w:hAnsi="宋体"/>
        </w:rPr>
        <w:tab/>
      </w:r>
      <w:r>
        <w:rPr>
          <w:rFonts w:hint="eastAsia" w:ascii="宋体" w:hAnsi="宋体"/>
        </w:rPr>
        <w:tab/>
      </w:r>
      <w:r>
        <w:rPr>
          <w:rFonts w:hint="eastAsia" w:ascii="宋体" w:hAnsi="宋体"/>
        </w:rPr>
        <w:t>签约日期：XX年XX月XX日</w:t>
      </w:r>
    </w:p>
    <w:p/>
    <w:p>
      <w:pPr>
        <w:pStyle w:val="2"/>
      </w:pPr>
    </w:p>
    <w:sectPr>
      <w:pgSz w:w="11850" w:h="16783"/>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514241"/>
    </w:sdtPr>
    <w:sdtContent>
      <w:p>
        <w:pPr>
          <w:pStyle w:val="29"/>
          <w:ind w:firstLine="480"/>
          <w:jc w:val="center"/>
        </w:pPr>
        <w:r>
          <w:fldChar w:fldCharType="begin"/>
        </w:r>
        <w:r>
          <w:instrText xml:space="preserve">PAGE   \* MERGEFORMAT</w:instrText>
        </w:r>
        <w:r>
          <w:fldChar w:fldCharType="separate"/>
        </w:r>
        <w:r>
          <w:rPr>
            <w:lang w:val="zh-CN"/>
          </w:rPr>
          <w:t>46</w:t>
        </w:r>
        <w: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9C7D74"/>
    <w:multiLevelType w:val="singleLevel"/>
    <w:tmpl w:val="D99C7D74"/>
    <w:lvl w:ilvl="0" w:tentative="0">
      <w:start w:val="1"/>
      <w:numFmt w:val="decimal"/>
      <w:suff w:val="nothing"/>
      <w:lvlText w:val="%1、"/>
      <w:lvlJc w:val="left"/>
    </w:lvl>
  </w:abstractNum>
  <w:abstractNum w:abstractNumId="1">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88"/>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4">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8">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9">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2">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6"/>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3">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5">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3E"/>
    <w:multiLevelType w:val="multilevel"/>
    <w:tmpl w:val="0000003E"/>
    <w:lvl w:ilvl="0" w:tentative="0">
      <w:start w:val="1"/>
      <w:numFmt w:val="chineseCountingThousand"/>
      <w:suff w:val="nothing"/>
      <w:lvlText w:val="%1、"/>
      <w:lvlJc w:val="left"/>
      <w:pPr>
        <w:ind w:left="2126"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7">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43"/>
    <w:multiLevelType w:val="multilevel"/>
    <w:tmpl w:val="00000043"/>
    <w:lvl w:ilvl="0" w:tentative="0">
      <w:start w:val="1"/>
      <w:numFmt w:val="chineseCountingThousand"/>
      <w:lvlText w:val="%1、"/>
      <w:lvlJc w:val="left"/>
      <w:pPr>
        <w:ind w:left="1413" w:hanging="420"/>
      </w:pPr>
      <w:rPr>
        <w:color w:val="auto"/>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19">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0">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1">
    <w:nsid w:val="0B7C44A9"/>
    <w:multiLevelType w:val="multilevel"/>
    <w:tmpl w:val="0B7C44A9"/>
    <w:lvl w:ilvl="0" w:tentative="0">
      <w:start w:val="1"/>
      <w:numFmt w:val="japaneseCounting"/>
      <w:lvlText w:val="%1、"/>
      <w:lvlJc w:val="left"/>
      <w:pPr>
        <w:ind w:left="1288" w:hanging="720"/>
      </w:pPr>
      <w:rPr>
        <w:rFonts w:hint="default"/>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22">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3">
    <w:nsid w:val="0EA05B87"/>
    <w:multiLevelType w:val="singleLevel"/>
    <w:tmpl w:val="0EA05B87"/>
    <w:lvl w:ilvl="0" w:tentative="0">
      <w:start w:val="1"/>
      <w:numFmt w:val="decimal"/>
      <w:lvlText w:val="%1."/>
      <w:lvlJc w:val="left"/>
      <w:pPr>
        <w:tabs>
          <w:tab w:val="left" w:pos="312"/>
        </w:tabs>
      </w:pPr>
    </w:lvl>
  </w:abstractNum>
  <w:abstractNum w:abstractNumId="24">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5">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6">
    <w:nsid w:val="27B0359A"/>
    <w:multiLevelType w:val="multilevel"/>
    <w:tmpl w:val="27B0359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8">
    <w:nsid w:val="2B883668"/>
    <w:multiLevelType w:val="multilevel"/>
    <w:tmpl w:val="2B883668"/>
    <w:lvl w:ilvl="0" w:tentative="0">
      <w:start w:val="1"/>
      <w:numFmt w:val="chineseCountingThousand"/>
      <w:lvlText w:val="(%1)"/>
      <w:lvlJc w:val="left"/>
      <w:pPr>
        <w:ind w:left="297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C5917C3"/>
    <w:multiLevelType w:val="multilevel"/>
    <w:tmpl w:val="2C5917C3"/>
    <w:lvl w:ilvl="0" w:tentative="0">
      <w:start w:val="1"/>
      <w:numFmt w:val="none"/>
      <w:pStyle w:val="154"/>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30">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1">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32">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36BC04DA"/>
    <w:multiLevelType w:val="multilevel"/>
    <w:tmpl w:val="36BC04D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4">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5">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6">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7">
    <w:nsid w:val="4F8094B6"/>
    <w:multiLevelType w:val="singleLevel"/>
    <w:tmpl w:val="4F8094B6"/>
    <w:lvl w:ilvl="0" w:tentative="0">
      <w:start w:val="3"/>
      <w:numFmt w:val="decimal"/>
      <w:suff w:val="nothing"/>
      <w:lvlText w:val="%1、"/>
      <w:lvlJc w:val="left"/>
    </w:lvl>
  </w:abstractNum>
  <w:abstractNum w:abstractNumId="38">
    <w:nsid w:val="50841406"/>
    <w:multiLevelType w:val="multilevel"/>
    <w:tmpl w:val="50841406"/>
    <w:lvl w:ilvl="0" w:tentative="0">
      <w:start w:val="1"/>
      <w:numFmt w:val="japaneseCounting"/>
      <w:lvlText w:val="%1、"/>
      <w:lvlJc w:val="left"/>
      <w:pPr>
        <w:ind w:left="3980" w:hanging="720"/>
      </w:pPr>
      <w:rPr>
        <w:rFonts w:hint="default" w:ascii="宋体" w:hAnsi="宋体" w:eastAsia="宋体"/>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9">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0">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1">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2">
    <w:nsid w:val="617229B6"/>
    <w:multiLevelType w:val="multilevel"/>
    <w:tmpl w:val="617229B6"/>
    <w:lvl w:ilvl="0" w:tentative="0">
      <w:start w:val="1"/>
      <w:numFmt w:val="chineseCountingThousand"/>
      <w:lvlText w:val="%1、"/>
      <w:lvlJc w:val="left"/>
      <w:pPr>
        <w:ind w:left="966" w:hanging="420"/>
      </w:pPr>
      <w:rPr>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43">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4">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5">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46">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7">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8">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9">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50">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2"/>
  </w:num>
  <w:num w:numId="2">
    <w:abstractNumId w:val="7"/>
  </w:num>
  <w:num w:numId="3">
    <w:abstractNumId w:val="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26"/>
  </w:num>
  <w:num w:numId="39">
    <w:abstractNumId w:val="23"/>
  </w:num>
  <w:num w:numId="40">
    <w:abstractNumId w:val="37"/>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416D4"/>
    <w:rsid w:val="00001186"/>
    <w:rsid w:val="000014AD"/>
    <w:rsid w:val="00001B71"/>
    <w:rsid w:val="00005F22"/>
    <w:rsid w:val="000115D7"/>
    <w:rsid w:val="00012151"/>
    <w:rsid w:val="000141F6"/>
    <w:rsid w:val="000175B6"/>
    <w:rsid w:val="000243B4"/>
    <w:rsid w:val="00027377"/>
    <w:rsid w:val="00030E31"/>
    <w:rsid w:val="0003441E"/>
    <w:rsid w:val="00034B6E"/>
    <w:rsid w:val="000352C7"/>
    <w:rsid w:val="00037CCE"/>
    <w:rsid w:val="0004003F"/>
    <w:rsid w:val="000403DE"/>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4004"/>
    <w:rsid w:val="00094BF4"/>
    <w:rsid w:val="00096E03"/>
    <w:rsid w:val="00097F27"/>
    <w:rsid w:val="000A04C0"/>
    <w:rsid w:val="000A0A88"/>
    <w:rsid w:val="000A0DBC"/>
    <w:rsid w:val="000A1D1F"/>
    <w:rsid w:val="000A2F7D"/>
    <w:rsid w:val="000A6A86"/>
    <w:rsid w:val="000A7ED1"/>
    <w:rsid w:val="000B0566"/>
    <w:rsid w:val="000B6BFA"/>
    <w:rsid w:val="000C156C"/>
    <w:rsid w:val="000C52E5"/>
    <w:rsid w:val="000C78CD"/>
    <w:rsid w:val="000D15BC"/>
    <w:rsid w:val="000D18C0"/>
    <w:rsid w:val="000D261C"/>
    <w:rsid w:val="000D28CC"/>
    <w:rsid w:val="000D4993"/>
    <w:rsid w:val="000E3744"/>
    <w:rsid w:val="000E7E9D"/>
    <w:rsid w:val="000F0E67"/>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4996"/>
    <w:rsid w:val="00134BA8"/>
    <w:rsid w:val="001366BE"/>
    <w:rsid w:val="001408B7"/>
    <w:rsid w:val="00143673"/>
    <w:rsid w:val="00144F09"/>
    <w:rsid w:val="00144FDB"/>
    <w:rsid w:val="001471FF"/>
    <w:rsid w:val="00153CE6"/>
    <w:rsid w:val="00155145"/>
    <w:rsid w:val="00163AF9"/>
    <w:rsid w:val="00167216"/>
    <w:rsid w:val="00185817"/>
    <w:rsid w:val="001861B9"/>
    <w:rsid w:val="001902FC"/>
    <w:rsid w:val="00192DEE"/>
    <w:rsid w:val="00194A61"/>
    <w:rsid w:val="001A11CD"/>
    <w:rsid w:val="001A16D4"/>
    <w:rsid w:val="001A268E"/>
    <w:rsid w:val="001A7C04"/>
    <w:rsid w:val="001B0B26"/>
    <w:rsid w:val="001B33BD"/>
    <w:rsid w:val="001B59CE"/>
    <w:rsid w:val="001B6694"/>
    <w:rsid w:val="001C0C42"/>
    <w:rsid w:val="001C2195"/>
    <w:rsid w:val="001C6504"/>
    <w:rsid w:val="001C7B91"/>
    <w:rsid w:val="001D0739"/>
    <w:rsid w:val="001D4279"/>
    <w:rsid w:val="001D57E6"/>
    <w:rsid w:val="001D791A"/>
    <w:rsid w:val="001E2114"/>
    <w:rsid w:val="001E369C"/>
    <w:rsid w:val="001E3E2B"/>
    <w:rsid w:val="001F412D"/>
    <w:rsid w:val="001F5DE0"/>
    <w:rsid w:val="00200370"/>
    <w:rsid w:val="00201F03"/>
    <w:rsid w:val="002023C7"/>
    <w:rsid w:val="0020244C"/>
    <w:rsid w:val="00211279"/>
    <w:rsid w:val="00216EA3"/>
    <w:rsid w:val="002258B8"/>
    <w:rsid w:val="0023546D"/>
    <w:rsid w:val="002359E9"/>
    <w:rsid w:val="00236E6B"/>
    <w:rsid w:val="0024454D"/>
    <w:rsid w:val="00250119"/>
    <w:rsid w:val="00250F2D"/>
    <w:rsid w:val="0025426D"/>
    <w:rsid w:val="00257C0B"/>
    <w:rsid w:val="0026057E"/>
    <w:rsid w:val="00266214"/>
    <w:rsid w:val="00267499"/>
    <w:rsid w:val="00277630"/>
    <w:rsid w:val="00281AF2"/>
    <w:rsid w:val="0028299F"/>
    <w:rsid w:val="00287268"/>
    <w:rsid w:val="00290A5C"/>
    <w:rsid w:val="00290E1D"/>
    <w:rsid w:val="002923EA"/>
    <w:rsid w:val="0029432D"/>
    <w:rsid w:val="002A0908"/>
    <w:rsid w:val="002A0FC0"/>
    <w:rsid w:val="002A35F1"/>
    <w:rsid w:val="002A4E91"/>
    <w:rsid w:val="002A6C35"/>
    <w:rsid w:val="002A734D"/>
    <w:rsid w:val="002B1ABE"/>
    <w:rsid w:val="002B2470"/>
    <w:rsid w:val="002B3BBD"/>
    <w:rsid w:val="002B46A8"/>
    <w:rsid w:val="002B5F08"/>
    <w:rsid w:val="002B6C18"/>
    <w:rsid w:val="002B6FA3"/>
    <w:rsid w:val="002B729A"/>
    <w:rsid w:val="002B7FDA"/>
    <w:rsid w:val="002C022D"/>
    <w:rsid w:val="002C184B"/>
    <w:rsid w:val="002C397A"/>
    <w:rsid w:val="002C758B"/>
    <w:rsid w:val="002D1454"/>
    <w:rsid w:val="002D219C"/>
    <w:rsid w:val="002D23E6"/>
    <w:rsid w:val="002D631B"/>
    <w:rsid w:val="002F2C78"/>
    <w:rsid w:val="003048DB"/>
    <w:rsid w:val="00305022"/>
    <w:rsid w:val="003059F1"/>
    <w:rsid w:val="00305EB7"/>
    <w:rsid w:val="00306F8F"/>
    <w:rsid w:val="00310E45"/>
    <w:rsid w:val="003136FF"/>
    <w:rsid w:val="00315FD1"/>
    <w:rsid w:val="00317FDF"/>
    <w:rsid w:val="00321B72"/>
    <w:rsid w:val="00325363"/>
    <w:rsid w:val="003259DB"/>
    <w:rsid w:val="00325D4A"/>
    <w:rsid w:val="003309D6"/>
    <w:rsid w:val="00345ACC"/>
    <w:rsid w:val="0035095F"/>
    <w:rsid w:val="00351C5C"/>
    <w:rsid w:val="00352B15"/>
    <w:rsid w:val="00352CC6"/>
    <w:rsid w:val="00362A5C"/>
    <w:rsid w:val="0036589D"/>
    <w:rsid w:val="003671A2"/>
    <w:rsid w:val="00367A2C"/>
    <w:rsid w:val="00376071"/>
    <w:rsid w:val="003772F0"/>
    <w:rsid w:val="0037775B"/>
    <w:rsid w:val="00377878"/>
    <w:rsid w:val="00380680"/>
    <w:rsid w:val="00381D40"/>
    <w:rsid w:val="003826D1"/>
    <w:rsid w:val="00383DEC"/>
    <w:rsid w:val="003854BD"/>
    <w:rsid w:val="00385B50"/>
    <w:rsid w:val="003872B9"/>
    <w:rsid w:val="00396342"/>
    <w:rsid w:val="003973AA"/>
    <w:rsid w:val="003A344E"/>
    <w:rsid w:val="003A464B"/>
    <w:rsid w:val="003B254C"/>
    <w:rsid w:val="003B3D08"/>
    <w:rsid w:val="003B4E95"/>
    <w:rsid w:val="003C04C7"/>
    <w:rsid w:val="003C22B2"/>
    <w:rsid w:val="003C237F"/>
    <w:rsid w:val="003C2DEB"/>
    <w:rsid w:val="003D2F39"/>
    <w:rsid w:val="003E0EC4"/>
    <w:rsid w:val="003E439D"/>
    <w:rsid w:val="003E62C8"/>
    <w:rsid w:val="003F17D5"/>
    <w:rsid w:val="003F19C0"/>
    <w:rsid w:val="003F231B"/>
    <w:rsid w:val="003F2B24"/>
    <w:rsid w:val="003F4855"/>
    <w:rsid w:val="004023F4"/>
    <w:rsid w:val="004030C8"/>
    <w:rsid w:val="004044F7"/>
    <w:rsid w:val="0040550B"/>
    <w:rsid w:val="00406F30"/>
    <w:rsid w:val="004110CF"/>
    <w:rsid w:val="0041137C"/>
    <w:rsid w:val="004132E6"/>
    <w:rsid w:val="00413FE1"/>
    <w:rsid w:val="00414D00"/>
    <w:rsid w:val="00415846"/>
    <w:rsid w:val="0041672F"/>
    <w:rsid w:val="00421A24"/>
    <w:rsid w:val="004364BF"/>
    <w:rsid w:val="00437153"/>
    <w:rsid w:val="004417D5"/>
    <w:rsid w:val="00444A4E"/>
    <w:rsid w:val="00450758"/>
    <w:rsid w:val="00451D9F"/>
    <w:rsid w:val="00452F16"/>
    <w:rsid w:val="004539B0"/>
    <w:rsid w:val="00453E3D"/>
    <w:rsid w:val="00454540"/>
    <w:rsid w:val="00454B38"/>
    <w:rsid w:val="00455E6A"/>
    <w:rsid w:val="00455ED6"/>
    <w:rsid w:val="00461D47"/>
    <w:rsid w:val="004642AB"/>
    <w:rsid w:val="00473B52"/>
    <w:rsid w:val="00480E1E"/>
    <w:rsid w:val="00481271"/>
    <w:rsid w:val="00482461"/>
    <w:rsid w:val="00485D6A"/>
    <w:rsid w:val="00486C7F"/>
    <w:rsid w:val="00490EB1"/>
    <w:rsid w:val="00492416"/>
    <w:rsid w:val="004937FB"/>
    <w:rsid w:val="00496BF2"/>
    <w:rsid w:val="004A33F2"/>
    <w:rsid w:val="004A46B7"/>
    <w:rsid w:val="004A7164"/>
    <w:rsid w:val="004B488F"/>
    <w:rsid w:val="004C0629"/>
    <w:rsid w:val="004C1903"/>
    <w:rsid w:val="004C21C1"/>
    <w:rsid w:val="004D1459"/>
    <w:rsid w:val="004D5161"/>
    <w:rsid w:val="004D51B2"/>
    <w:rsid w:val="004D57C1"/>
    <w:rsid w:val="004E629C"/>
    <w:rsid w:val="004E69F1"/>
    <w:rsid w:val="004F1E70"/>
    <w:rsid w:val="004F3155"/>
    <w:rsid w:val="004F5C26"/>
    <w:rsid w:val="004F7332"/>
    <w:rsid w:val="004F77EB"/>
    <w:rsid w:val="00503FAD"/>
    <w:rsid w:val="0050629D"/>
    <w:rsid w:val="00512A0A"/>
    <w:rsid w:val="00516E36"/>
    <w:rsid w:val="00516FA0"/>
    <w:rsid w:val="00520369"/>
    <w:rsid w:val="005211D0"/>
    <w:rsid w:val="00521CCA"/>
    <w:rsid w:val="00525240"/>
    <w:rsid w:val="005267BB"/>
    <w:rsid w:val="0053002C"/>
    <w:rsid w:val="00540B6F"/>
    <w:rsid w:val="0054101C"/>
    <w:rsid w:val="00541095"/>
    <w:rsid w:val="005416D4"/>
    <w:rsid w:val="005416FA"/>
    <w:rsid w:val="00542208"/>
    <w:rsid w:val="00543239"/>
    <w:rsid w:val="00543F8F"/>
    <w:rsid w:val="0054431E"/>
    <w:rsid w:val="00545310"/>
    <w:rsid w:val="00550D84"/>
    <w:rsid w:val="00552345"/>
    <w:rsid w:val="0055261B"/>
    <w:rsid w:val="00553FA1"/>
    <w:rsid w:val="00554CC2"/>
    <w:rsid w:val="005551E8"/>
    <w:rsid w:val="00555A3D"/>
    <w:rsid w:val="0055787D"/>
    <w:rsid w:val="00557F72"/>
    <w:rsid w:val="00562493"/>
    <w:rsid w:val="00565BEE"/>
    <w:rsid w:val="0056629C"/>
    <w:rsid w:val="00570B90"/>
    <w:rsid w:val="00576208"/>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7B85"/>
    <w:rsid w:val="005E091E"/>
    <w:rsid w:val="005E16D8"/>
    <w:rsid w:val="005E19F0"/>
    <w:rsid w:val="005E295C"/>
    <w:rsid w:val="005F120B"/>
    <w:rsid w:val="005F321A"/>
    <w:rsid w:val="005F6D42"/>
    <w:rsid w:val="00602082"/>
    <w:rsid w:val="006026DE"/>
    <w:rsid w:val="006065F6"/>
    <w:rsid w:val="00612ABE"/>
    <w:rsid w:val="00626FA7"/>
    <w:rsid w:val="00627080"/>
    <w:rsid w:val="006272D6"/>
    <w:rsid w:val="006308A5"/>
    <w:rsid w:val="00631D06"/>
    <w:rsid w:val="006320B8"/>
    <w:rsid w:val="00636B9B"/>
    <w:rsid w:val="006378C1"/>
    <w:rsid w:val="00642C40"/>
    <w:rsid w:val="00645645"/>
    <w:rsid w:val="0064767E"/>
    <w:rsid w:val="00647A70"/>
    <w:rsid w:val="00647AC9"/>
    <w:rsid w:val="0065074A"/>
    <w:rsid w:val="00651B7B"/>
    <w:rsid w:val="00653F0D"/>
    <w:rsid w:val="006548AC"/>
    <w:rsid w:val="00654DD5"/>
    <w:rsid w:val="006551E5"/>
    <w:rsid w:val="006557AD"/>
    <w:rsid w:val="00656604"/>
    <w:rsid w:val="0066243E"/>
    <w:rsid w:val="006646FC"/>
    <w:rsid w:val="00666707"/>
    <w:rsid w:val="006670AD"/>
    <w:rsid w:val="00671E18"/>
    <w:rsid w:val="00673782"/>
    <w:rsid w:val="00673AF4"/>
    <w:rsid w:val="00675258"/>
    <w:rsid w:val="00676662"/>
    <w:rsid w:val="00680AEF"/>
    <w:rsid w:val="0068137A"/>
    <w:rsid w:val="0068568B"/>
    <w:rsid w:val="00685F5A"/>
    <w:rsid w:val="006871D3"/>
    <w:rsid w:val="006872FD"/>
    <w:rsid w:val="0068756E"/>
    <w:rsid w:val="0069224F"/>
    <w:rsid w:val="00693F9D"/>
    <w:rsid w:val="00696759"/>
    <w:rsid w:val="006A39DB"/>
    <w:rsid w:val="006A601C"/>
    <w:rsid w:val="006B0CD6"/>
    <w:rsid w:val="006B5446"/>
    <w:rsid w:val="006B6DBF"/>
    <w:rsid w:val="006C0470"/>
    <w:rsid w:val="006C0C79"/>
    <w:rsid w:val="006C352A"/>
    <w:rsid w:val="006C49AC"/>
    <w:rsid w:val="006C5F89"/>
    <w:rsid w:val="006D0175"/>
    <w:rsid w:val="006D43AA"/>
    <w:rsid w:val="006D4825"/>
    <w:rsid w:val="006D5C8D"/>
    <w:rsid w:val="006D5D19"/>
    <w:rsid w:val="006D60F6"/>
    <w:rsid w:val="006E3106"/>
    <w:rsid w:val="006E3F62"/>
    <w:rsid w:val="006E4F22"/>
    <w:rsid w:val="006E7141"/>
    <w:rsid w:val="006F02B4"/>
    <w:rsid w:val="006F0597"/>
    <w:rsid w:val="006F6EA6"/>
    <w:rsid w:val="006F7414"/>
    <w:rsid w:val="00700B80"/>
    <w:rsid w:val="00703B01"/>
    <w:rsid w:val="00704D6E"/>
    <w:rsid w:val="00705675"/>
    <w:rsid w:val="00705EED"/>
    <w:rsid w:val="007101E0"/>
    <w:rsid w:val="00712E30"/>
    <w:rsid w:val="00713C61"/>
    <w:rsid w:val="007149A8"/>
    <w:rsid w:val="00715456"/>
    <w:rsid w:val="00717BA9"/>
    <w:rsid w:val="00717DA5"/>
    <w:rsid w:val="00723CC8"/>
    <w:rsid w:val="00726D1D"/>
    <w:rsid w:val="00730EE6"/>
    <w:rsid w:val="0073298A"/>
    <w:rsid w:val="00740A2F"/>
    <w:rsid w:val="007477AD"/>
    <w:rsid w:val="0075057C"/>
    <w:rsid w:val="007513A7"/>
    <w:rsid w:val="00751480"/>
    <w:rsid w:val="0075340E"/>
    <w:rsid w:val="00754D3F"/>
    <w:rsid w:val="007560BF"/>
    <w:rsid w:val="007571C9"/>
    <w:rsid w:val="00757DEB"/>
    <w:rsid w:val="00764320"/>
    <w:rsid w:val="0076642E"/>
    <w:rsid w:val="00767EFE"/>
    <w:rsid w:val="00770A0A"/>
    <w:rsid w:val="007712B8"/>
    <w:rsid w:val="007715F6"/>
    <w:rsid w:val="007719E0"/>
    <w:rsid w:val="007736FB"/>
    <w:rsid w:val="00773D82"/>
    <w:rsid w:val="00776951"/>
    <w:rsid w:val="00780C5B"/>
    <w:rsid w:val="00783451"/>
    <w:rsid w:val="00786497"/>
    <w:rsid w:val="00793530"/>
    <w:rsid w:val="00795F4E"/>
    <w:rsid w:val="007A0A96"/>
    <w:rsid w:val="007A26C1"/>
    <w:rsid w:val="007A4A3A"/>
    <w:rsid w:val="007A6EF2"/>
    <w:rsid w:val="007B038E"/>
    <w:rsid w:val="007B0CFC"/>
    <w:rsid w:val="007B1777"/>
    <w:rsid w:val="007B5FB7"/>
    <w:rsid w:val="007B6E0E"/>
    <w:rsid w:val="007C034B"/>
    <w:rsid w:val="007C7BFC"/>
    <w:rsid w:val="007C7CBC"/>
    <w:rsid w:val="007D0A52"/>
    <w:rsid w:val="007D2305"/>
    <w:rsid w:val="007D2E1D"/>
    <w:rsid w:val="007D3F68"/>
    <w:rsid w:val="007D4EB4"/>
    <w:rsid w:val="007D5868"/>
    <w:rsid w:val="007D5C21"/>
    <w:rsid w:val="007D6D58"/>
    <w:rsid w:val="007D7265"/>
    <w:rsid w:val="007D7BDB"/>
    <w:rsid w:val="007E2A9E"/>
    <w:rsid w:val="007E45B9"/>
    <w:rsid w:val="007E54C8"/>
    <w:rsid w:val="007E5548"/>
    <w:rsid w:val="007F07FA"/>
    <w:rsid w:val="007F3076"/>
    <w:rsid w:val="007F77C7"/>
    <w:rsid w:val="00801531"/>
    <w:rsid w:val="00802C18"/>
    <w:rsid w:val="00806E5E"/>
    <w:rsid w:val="008079EB"/>
    <w:rsid w:val="00807CC4"/>
    <w:rsid w:val="00815525"/>
    <w:rsid w:val="00816B68"/>
    <w:rsid w:val="008175E0"/>
    <w:rsid w:val="00821EFD"/>
    <w:rsid w:val="00822688"/>
    <w:rsid w:val="0082604D"/>
    <w:rsid w:val="00827354"/>
    <w:rsid w:val="00827831"/>
    <w:rsid w:val="0083164D"/>
    <w:rsid w:val="008318C0"/>
    <w:rsid w:val="008344E1"/>
    <w:rsid w:val="00836A82"/>
    <w:rsid w:val="00836B86"/>
    <w:rsid w:val="008409EE"/>
    <w:rsid w:val="008435B2"/>
    <w:rsid w:val="008439C6"/>
    <w:rsid w:val="0084516F"/>
    <w:rsid w:val="008465E3"/>
    <w:rsid w:val="00846A31"/>
    <w:rsid w:val="00851A19"/>
    <w:rsid w:val="0085377B"/>
    <w:rsid w:val="008553D1"/>
    <w:rsid w:val="00855A14"/>
    <w:rsid w:val="00855DF8"/>
    <w:rsid w:val="008602E5"/>
    <w:rsid w:val="00863FFA"/>
    <w:rsid w:val="00865690"/>
    <w:rsid w:val="00867148"/>
    <w:rsid w:val="0087013A"/>
    <w:rsid w:val="00877F22"/>
    <w:rsid w:val="00881614"/>
    <w:rsid w:val="00881FD7"/>
    <w:rsid w:val="00884A57"/>
    <w:rsid w:val="008868F4"/>
    <w:rsid w:val="00887597"/>
    <w:rsid w:val="00890872"/>
    <w:rsid w:val="00894014"/>
    <w:rsid w:val="00894C03"/>
    <w:rsid w:val="00894FD9"/>
    <w:rsid w:val="00895FBF"/>
    <w:rsid w:val="008A0693"/>
    <w:rsid w:val="008A1AFF"/>
    <w:rsid w:val="008A26CA"/>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E1246"/>
    <w:rsid w:val="008E21A9"/>
    <w:rsid w:val="008E258A"/>
    <w:rsid w:val="008E53F9"/>
    <w:rsid w:val="008E7EAE"/>
    <w:rsid w:val="008F254C"/>
    <w:rsid w:val="008F2A0D"/>
    <w:rsid w:val="008F38AF"/>
    <w:rsid w:val="008F5E19"/>
    <w:rsid w:val="008F6FA3"/>
    <w:rsid w:val="009018B3"/>
    <w:rsid w:val="00901ECD"/>
    <w:rsid w:val="009035B3"/>
    <w:rsid w:val="00905839"/>
    <w:rsid w:val="009065A8"/>
    <w:rsid w:val="00907431"/>
    <w:rsid w:val="0091012C"/>
    <w:rsid w:val="009108B0"/>
    <w:rsid w:val="00911362"/>
    <w:rsid w:val="009147A4"/>
    <w:rsid w:val="00915485"/>
    <w:rsid w:val="00917355"/>
    <w:rsid w:val="0092029D"/>
    <w:rsid w:val="009248FC"/>
    <w:rsid w:val="00925230"/>
    <w:rsid w:val="0092585C"/>
    <w:rsid w:val="00926676"/>
    <w:rsid w:val="0092720F"/>
    <w:rsid w:val="0093403E"/>
    <w:rsid w:val="009364CF"/>
    <w:rsid w:val="009378BF"/>
    <w:rsid w:val="0094201C"/>
    <w:rsid w:val="00946CAF"/>
    <w:rsid w:val="009511AB"/>
    <w:rsid w:val="00951219"/>
    <w:rsid w:val="0095172F"/>
    <w:rsid w:val="00952677"/>
    <w:rsid w:val="00954712"/>
    <w:rsid w:val="00955FB3"/>
    <w:rsid w:val="0096104E"/>
    <w:rsid w:val="009613B3"/>
    <w:rsid w:val="00962C7D"/>
    <w:rsid w:val="00963F27"/>
    <w:rsid w:val="00965E96"/>
    <w:rsid w:val="00966327"/>
    <w:rsid w:val="00970DEA"/>
    <w:rsid w:val="00971325"/>
    <w:rsid w:val="009725D8"/>
    <w:rsid w:val="00977951"/>
    <w:rsid w:val="00982626"/>
    <w:rsid w:val="009872DB"/>
    <w:rsid w:val="009903DE"/>
    <w:rsid w:val="00994398"/>
    <w:rsid w:val="00995C7B"/>
    <w:rsid w:val="009971B8"/>
    <w:rsid w:val="009A053C"/>
    <w:rsid w:val="009A248F"/>
    <w:rsid w:val="009A501D"/>
    <w:rsid w:val="009A5678"/>
    <w:rsid w:val="009A68F5"/>
    <w:rsid w:val="009B1675"/>
    <w:rsid w:val="009B58AF"/>
    <w:rsid w:val="009C1154"/>
    <w:rsid w:val="009C37CA"/>
    <w:rsid w:val="009C3BA2"/>
    <w:rsid w:val="009C63C3"/>
    <w:rsid w:val="009C746B"/>
    <w:rsid w:val="009D10AD"/>
    <w:rsid w:val="009D6AF5"/>
    <w:rsid w:val="009D6D5B"/>
    <w:rsid w:val="009E01C8"/>
    <w:rsid w:val="009E0372"/>
    <w:rsid w:val="009E19A0"/>
    <w:rsid w:val="009E1EF6"/>
    <w:rsid w:val="009E6146"/>
    <w:rsid w:val="009E63B9"/>
    <w:rsid w:val="009F496E"/>
    <w:rsid w:val="009F6780"/>
    <w:rsid w:val="00A0119E"/>
    <w:rsid w:val="00A020EB"/>
    <w:rsid w:val="00A06B09"/>
    <w:rsid w:val="00A10B6D"/>
    <w:rsid w:val="00A1129D"/>
    <w:rsid w:val="00A1339A"/>
    <w:rsid w:val="00A146AB"/>
    <w:rsid w:val="00A1574E"/>
    <w:rsid w:val="00A16AA7"/>
    <w:rsid w:val="00A17799"/>
    <w:rsid w:val="00A2013E"/>
    <w:rsid w:val="00A21399"/>
    <w:rsid w:val="00A23726"/>
    <w:rsid w:val="00A25B6F"/>
    <w:rsid w:val="00A2615C"/>
    <w:rsid w:val="00A301C6"/>
    <w:rsid w:val="00A31667"/>
    <w:rsid w:val="00A3426A"/>
    <w:rsid w:val="00A35765"/>
    <w:rsid w:val="00A36E25"/>
    <w:rsid w:val="00A37352"/>
    <w:rsid w:val="00A37E17"/>
    <w:rsid w:val="00A420B4"/>
    <w:rsid w:val="00A44395"/>
    <w:rsid w:val="00A4562E"/>
    <w:rsid w:val="00A4725E"/>
    <w:rsid w:val="00A5327E"/>
    <w:rsid w:val="00A56FA5"/>
    <w:rsid w:val="00A60A57"/>
    <w:rsid w:val="00A7094C"/>
    <w:rsid w:val="00A70B4C"/>
    <w:rsid w:val="00A71E38"/>
    <w:rsid w:val="00A861B6"/>
    <w:rsid w:val="00A86A02"/>
    <w:rsid w:val="00A86BED"/>
    <w:rsid w:val="00A92071"/>
    <w:rsid w:val="00A93303"/>
    <w:rsid w:val="00AA09CA"/>
    <w:rsid w:val="00AA0E63"/>
    <w:rsid w:val="00AA408C"/>
    <w:rsid w:val="00AA5229"/>
    <w:rsid w:val="00AA660C"/>
    <w:rsid w:val="00AB1127"/>
    <w:rsid w:val="00AB2105"/>
    <w:rsid w:val="00AC5977"/>
    <w:rsid w:val="00AD2FF1"/>
    <w:rsid w:val="00AD4F5A"/>
    <w:rsid w:val="00AD7551"/>
    <w:rsid w:val="00AE18E6"/>
    <w:rsid w:val="00AE1F28"/>
    <w:rsid w:val="00AE5199"/>
    <w:rsid w:val="00AE5F10"/>
    <w:rsid w:val="00AF2422"/>
    <w:rsid w:val="00AF54C6"/>
    <w:rsid w:val="00B0162A"/>
    <w:rsid w:val="00B02E10"/>
    <w:rsid w:val="00B04827"/>
    <w:rsid w:val="00B0526D"/>
    <w:rsid w:val="00B05831"/>
    <w:rsid w:val="00B06C4F"/>
    <w:rsid w:val="00B0755F"/>
    <w:rsid w:val="00B11DC8"/>
    <w:rsid w:val="00B128C8"/>
    <w:rsid w:val="00B14099"/>
    <w:rsid w:val="00B14EC8"/>
    <w:rsid w:val="00B14F90"/>
    <w:rsid w:val="00B204D2"/>
    <w:rsid w:val="00B22954"/>
    <w:rsid w:val="00B25536"/>
    <w:rsid w:val="00B25CE7"/>
    <w:rsid w:val="00B25E6E"/>
    <w:rsid w:val="00B26012"/>
    <w:rsid w:val="00B302DC"/>
    <w:rsid w:val="00B32191"/>
    <w:rsid w:val="00B37BCF"/>
    <w:rsid w:val="00B37D0A"/>
    <w:rsid w:val="00B41E9C"/>
    <w:rsid w:val="00B42AB8"/>
    <w:rsid w:val="00B4520A"/>
    <w:rsid w:val="00B45CDC"/>
    <w:rsid w:val="00B51908"/>
    <w:rsid w:val="00B5326F"/>
    <w:rsid w:val="00B560A1"/>
    <w:rsid w:val="00B56739"/>
    <w:rsid w:val="00B57224"/>
    <w:rsid w:val="00B572D0"/>
    <w:rsid w:val="00B668E1"/>
    <w:rsid w:val="00B673F4"/>
    <w:rsid w:val="00B71718"/>
    <w:rsid w:val="00B74D61"/>
    <w:rsid w:val="00B75EE4"/>
    <w:rsid w:val="00B772FA"/>
    <w:rsid w:val="00B8140B"/>
    <w:rsid w:val="00B82721"/>
    <w:rsid w:val="00B82C8D"/>
    <w:rsid w:val="00B8500A"/>
    <w:rsid w:val="00B85368"/>
    <w:rsid w:val="00B9180C"/>
    <w:rsid w:val="00B93639"/>
    <w:rsid w:val="00B93DEB"/>
    <w:rsid w:val="00B950DF"/>
    <w:rsid w:val="00B958F4"/>
    <w:rsid w:val="00B95A28"/>
    <w:rsid w:val="00B96FF3"/>
    <w:rsid w:val="00BB0E10"/>
    <w:rsid w:val="00BB2867"/>
    <w:rsid w:val="00BB6E19"/>
    <w:rsid w:val="00BC0A36"/>
    <w:rsid w:val="00BC541F"/>
    <w:rsid w:val="00BD2D6B"/>
    <w:rsid w:val="00BD3681"/>
    <w:rsid w:val="00BD3F1F"/>
    <w:rsid w:val="00BD454B"/>
    <w:rsid w:val="00BE69B4"/>
    <w:rsid w:val="00BE74CE"/>
    <w:rsid w:val="00BF4B00"/>
    <w:rsid w:val="00BF6056"/>
    <w:rsid w:val="00C0374B"/>
    <w:rsid w:val="00C03BB4"/>
    <w:rsid w:val="00C04B7B"/>
    <w:rsid w:val="00C056BB"/>
    <w:rsid w:val="00C06829"/>
    <w:rsid w:val="00C07C25"/>
    <w:rsid w:val="00C11711"/>
    <w:rsid w:val="00C179CA"/>
    <w:rsid w:val="00C25C2B"/>
    <w:rsid w:val="00C276A7"/>
    <w:rsid w:val="00C303AD"/>
    <w:rsid w:val="00C30B81"/>
    <w:rsid w:val="00C30D53"/>
    <w:rsid w:val="00C30FA1"/>
    <w:rsid w:val="00C34EB0"/>
    <w:rsid w:val="00C36913"/>
    <w:rsid w:val="00C36B4E"/>
    <w:rsid w:val="00C4016E"/>
    <w:rsid w:val="00C4116C"/>
    <w:rsid w:val="00C51EC3"/>
    <w:rsid w:val="00C53932"/>
    <w:rsid w:val="00C54448"/>
    <w:rsid w:val="00C60C21"/>
    <w:rsid w:val="00C61592"/>
    <w:rsid w:val="00C63AC3"/>
    <w:rsid w:val="00C640C6"/>
    <w:rsid w:val="00C6423C"/>
    <w:rsid w:val="00C65ED0"/>
    <w:rsid w:val="00C6761E"/>
    <w:rsid w:val="00C70E74"/>
    <w:rsid w:val="00C737F6"/>
    <w:rsid w:val="00C75791"/>
    <w:rsid w:val="00C75E07"/>
    <w:rsid w:val="00C76A2E"/>
    <w:rsid w:val="00C80668"/>
    <w:rsid w:val="00C905A4"/>
    <w:rsid w:val="00C91820"/>
    <w:rsid w:val="00C9549E"/>
    <w:rsid w:val="00C956B1"/>
    <w:rsid w:val="00C9599A"/>
    <w:rsid w:val="00C9618B"/>
    <w:rsid w:val="00CA06D6"/>
    <w:rsid w:val="00CA07B5"/>
    <w:rsid w:val="00CA51D8"/>
    <w:rsid w:val="00CA74BE"/>
    <w:rsid w:val="00CB041D"/>
    <w:rsid w:val="00CB1CD9"/>
    <w:rsid w:val="00CB466B"/>
    <w:rsid w:val="00CB4B67"/>
    <w:rsid w:val="00CB5AF7"/>
    <w:rsid w:val="00CB5F88"/>
    <w:rsid w:val="00CB66A1"/>
    <w:rsid w:val="00CC0110"/>
    <w:rsid w:val="00CC18DF"/>
    <w:rsid w:val="00CC4EBE"/>
    <w:rsid w:val="00CD3CBF"/>
    <w:rsid w:val="00CD7AFB"/>
    <w:rsid w:val="00CE0807"/>
    <w:rsid w:val="00CE0967"/>
    <w:rsid w:val="00CE3AC4"/>
    <w:rsid w:val="00CE448D"/>
    <w:rsid w:val="00CE76DC"/>
    <w:rsid w:val="00CE7A61"/>
    <w:rsid w:val="00CF0E3B"/>
    <w:rsid w:val="00CF1907"/>
    <w:rsid w:val="00CF5368"/>
    <w:rsid w:val="00CF77E0"/>
    <w:rsid w:val="00D043F0"/>
    <w:rsid w:val="00D0518C"/>
    <w:rsid w:val="00D06718"/>
    <w:rsid w:val="00D07B57"/>
    <w:rsid w:val="00D15C2D"/>
    <w:rsid w:val="00D160C4"/>
    <w:rsid w:val="00D174F9"/>
    <w:rsid w:val="00D2197A"/>
    <w:rsid w:val="00D23120"/>
    <w:rsid w:val="00D238EE"/>
    <w:rsid w:val="00D26E08"/>
    <w:rsid w:val="00D312B2"/>
    <w:rsid w:val="00D36479"/>
    <w:rsid w:val="00D3706A"/>
    <w:rsid w:val="00D37995"/>
    <w:rsid w:val="00D4311A"/>
    <w:rsid w:val="00D43DE9"/>
    <w:rsid w:val="00D44390"/>
    <w:rsid w:val="00D51B77"/>
    <w:rsid w:val="00D53F4E"/>
    <w:rsid w:val="00D547DC"/>
    <w:rsid w:val="00D55190"/>
    <w:rsid w:val="00D56AEA"/>
    <w:rsid w:val="00D60811"/>
    <w:rsid w:val="00D62941"/>
    <w:rsid w:val="00D6306E"/>
    <w:rsid w:val="00D65C74"/>
    <w:rsid w:val="00D66060"/>
    <w:rsid w:val="00D67E2D"/>
    <w:rsid w:val="00D73F77"/>
    <w:rsid w:val="00D75236"/>
    <w:rsid w:val="00D7670A"/>
    <w:rsid w:val="00D82056"/>
    <w:rsid w:val="00D8576D"/>
    <w:rsid w:val="00D90D1E"/>
    <w:rsid w:val="00D917DE"/>
    <w:rsid w:val="00D966C9"/>
    <w:rsid w:val="00D96BE0"/>
    <w:rsid w:val="00DA0594"/>
    <w:rsid w:val="00DA15E2"/>
    <w:rsid w:val="00DA21FB"/>
    <w:rsid w:val="00DA5A85"/>
    <w:rsid w:val="00DA6808"/>
    <w:rsid w:val="00DB01BF"/>
    <w:rsid w:val="00DB04A7"/>
    <w:rsid w:val="00DB0F4C"/>
    <w:rsid w:val="00DB23B4"/>
    <w:rsid w:val="00DB2A92"/>
    <w:rsid w:val="00DB3FD6"/>
    <w:rsid w:val="00DB41AF"/>
    <w:rsid w:val="00DB7E76"/>
    <w:rsid w:val="00DC1525"/>
    <w:rsid w:val="00DC2865"/>
    <w:rsid w:val="00DC6537"/>
    <w:rsid w:val="00DD0BC6"/>
    <w:rsid w:val="00DD433A"/>
    <w:rsid w:val="00DD517A"/>
    <w:rsid w:val="00DD56D5"/>
    <w:rsid w:val="00DD5D55"/>
    <w:rsid w:val="00DD7A21"/>
    <w:rsid w:val="00DD7C85"/>
    <w:rsid w:val="00DE02EF"/>
    <w:rsid w:val="00DE1E00"/>
    <w:rsid w:val="00DE2A7B"/>
    <w:rsid w:val="00DE56DF"/>
    <w:rsid w:val="00DF0935"/>
    <w:rsid w:val="00DF186F"/>
    <w:rsid w:val="00DF1C26"/>
    <w:rsid w:val="00E075CA"/>
    <w:rsid w:val="00E12BCD"/>
    <w:rsid w:val="00E14F25"/>
    <w:rsid w:val="00E20E5A"/>
    <w:rsid w:val="00E21A0D"/>
    <w:rsid w:val="00E22362"/>
    <w:rsid w:val="00E223ED"/>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5917"/>
    <w:rsid w:val="00E659CF"/>
    <w:rsid w:val="00E70AEA"/>
    <w:rsid w:val="00E731B9"/>
    <w:rsid w:val="00E77CEA"/>
    <w:rsid w:val="00E803F1"/>
    <w:rsid w:val="00E80555"/>
    <w:rsid w:val="00E83A59"/>
    <w:rsid w:val="00E879F0"/>
    <w:rsid w:val="00E9016E"/>
    <w:rsid w:val="00E91619"/>
    <w:rsid w:val="00E942EE"/>
    <w:rsid w:val="00E967CD"/>
    <w:rsid w:val="00E96C70"/>
    <w:rsid w:val="00E97716"/>
    <w:rsid w:val="00EA21BC"/>
    <w:rsid w:val="00EA35CE"/>
    <w:rsid w:val="00EA478D"/>
    <w:rsid w:val="00EA55D7"/>
    <w:rsid w:val="00EB5195"/>
    <w:rsid w:val="00EB5D94"/>
    <w:rsid w:val="00EC0B24"/>
    <w:rsid w:val="00EC2852"/>
    <w:rsid w:val="00EC49FF"/>
    <w:rsid w:val="00EC66DD"/>
    <w:rsid w:val="00EC6CA9"/>
    <w:rsid w:val="00EC7450"/>
    <w:rsid w:val="00ED2F68"/>
    <w:rsid w:val="00ED3AF5"/>
    <w:rsid w:val="00ED3BC1"/>
    <w:rsid w:val="00ED3E86"/>
    <w:rsid w:val="00ED6272"/>
    <w:rsid w:val="00EE04B8"/>
    <w:rsid w:val="00EE04F6"/>
    <w:rsid w:val="00EE42A3"/>
    <w:rsid w:val="00EF0045"/>
    <w:rsid w:val="00EF130A"/>
    <w:rsid w:val="00EF22E3"/>
    <w:rsid w:val="00EF4C3C"/>
    <w:rsid w:val="00EF6688"/>
    <w:rsid w:val="00F1035A"/>
    <w:rsid w:val="00F153C7"/>
    <w:rsid w:val="00F20531"/>
    <w:rsid w:val="00F23178"/>
    <w:rsid w:val="00F23671"/>
    <w:rsid w:val="00F244AE"/>
    <w:rsid w:val="00F25130"/>
    <w:rsid w:val="00F31C7C"/>
    <w:rsid w:val="00F33887"/>
    <w:rsid w:val="00F400F6"/>
    <w:rsid w:val="00F419CF"/>
    <w:rsid w:val="00F41AEA"/>
    <w:rsid w:val="00F42C83"/>
    <w:rsid w:val="00F449D8"/>
    <w:rsid w:val="00F47CDF"/>
    <w:rsid w:val="00F50729"/>
    <w:rsid w:val="00F545BB"/>
    <w:rsid w:val="00F62B66"/>
    <w:rsid w:val="00F67ACB"/>
    <w:rsid w:val="00F70261"/>
    <w:rsid w:val="00F81C60"/>
    <w:rsid w:val="00F8328F"/>
    <w:rsid w:val="00F90655"/>
    <w:rsid w:val="00F96652"/>
    <w:rsid w:val="00FA01CE"/>
    <w:rsid w:val="00FA03F9"/>
    <w:rsid w:val="00FA2CAE"/>
    <w:rsid w:val="00FA6039"/>
    <w:rsid w:val="00FA639C"/>
    <w:rsid w:val="00FB2B3C"/>
    <w:rsid w:val="00FB2C5D"/>
    <w:rsid w:val="00FB3DE3"/>
    <w:rsid w:val="00FB63F2"/>
    <w:rsid w:val="00FB6571"/>
    <w:rsid w:val="00FC0E08"/>
    <w:rsid w:val="00FC27FC"/>
    <w:rsid w:val="00FC3E65"/>
    <w:rsid w:val="00FC554B"/>
    <w:rsid w:val="00FC6936"/>
    <w:rsid w:val="00FC6C3D"/>
    <w:rsid w:val="00FD3A4B"/>
    <w:rsid w:val="00FD4714"/>
    <w:rsid w:val="00FD5FB7"/>
    <w:rsid w:val="00FD6888"/>
    <w:rsid w:val="00FD74A2"/>
    <w:rsid w:val="00FE02F4"/>
    <w:rsid w:val="00FE47B2"/>
    <w:rsid w:val="00FF72E9"/>
    <w:rsid w:val="00FF75D6"/>
    <w:rsid w:val="012974F9"/>
    <w:rsid w:val="01510107"/>
    <w:rsid w:val="025A1558"/>
    <w:rsid w:val="02EF5314"/>
    <w:rsid w:val="0307764D"/>
    <w:rsid w:val="03A3137C"/>
    <w:rsid w:val="04782EAE"/>
    <w:rsid w:val="04EC5C80"/>
    <w:rsid w:val="05DE044A"/>
    <w:rsid w:val="07790C43"/>
    <w:rsid w:val="07807AE4"/>
    <w:rsid w:val="085C47AA"/>
    <w:rsid w:val="090617CA"/>
    <w:rsid w:val="095B6B36"/>
    <w:rsid w:val="09BB458B"/>
    <w:rsid w:val="0A3D6332"/>
    <w:rsid w:val="0B517666"/>
    <w:rsid w:val="0B812686"/>
    <w:rsid w:val="0CC3219B"/>
    <w:rsid w:val="0D790042"/>
    <w:rsid w:val="0F61448E"/>
    <w:rsid w:val="0F725B2A"/>
    <w:rsid w:val="11E3661B"/>
    <w:rsid w:val="12DD05E9"/>
    <w:rsid w:val="141A18C2"/>
    <w:rsid w:val="14595F09"/>
    <w:rsid w:val="148804D9"/>
    <w:rsid w:val="15DF7533"/>
    <w:rsid w:val="160D6230"/>
    <w:rsid w:val="16EB2051"/>
    <w:rsid w:val="1C7E22CE"/>
    <w:rsid w:val="1D257E50"/>
    <w:rsid w:val="1D3800E5"/>
    <w:rsid w:val="1D403C48"/>
    <w:rsid w:val="1D452F25"/>
    <w:rsid w:val="1E387C25"/>
    <w:rsid w:val="1F1E5F5E"/>
    <w:rsid w:val="1F9832F2"/>
    <w:rsid w:val="1FE01983"/>
    <w:rsid w:val="20044367"/>
    <w:rsid w:val="200E353D"/>
    <w:rsid w:val="20364BEF"/>
    <w:rsid w:val="20582906"/>
    <w:rsid w:val="20E30BCC"/>
    <w:rsid w:val="20E64162"/>
    <w:rsid w:val="229437B8"/>
    <w:rsid w:val="24145213"/>
    <w:rsid w:val="24960018"/>
    <w:rsid w:val="25091FB5"/>
    <w:rsid w:val="256A42FE"/>
    <w:rsid w:val="256C7E2D"/>
    <w:rsid w:val="28181BD6"/>
    <w:rsid w:val="28193344"/>
    <w:rsid w:val="290736F4"/>
    <w:rsid w:val="29136292"/>
    <w:rsid w:val="29721EDE"/>
    <w:rsid w:val="298D3E05"/>
    <w:rsid w:val="2A473FA1"/>
    <w:rsid w:val="2AF44AF1"/>
    <w:rsid w:val="2C5059A1"/>
    <w:rsid w:val="2D453A5B"/>
    <w:rsid w:val="2FEA7D72"/>
    <w:rsid w:val="313E24FD"/>
    <w:rsid w:val="33A55E69"/>
    <w:rsid w:val="33ED2441"/>
    <w:rsid w:val="361E5607"/>
    <w:rsid w:val="38601536"/>
    <w:rsid w:val="38B74DEF"/>
    <w:rsid w:val="397A571B"/>
    <w:rsid w:val="39AF0741"/>
    <w:rsid w:val="39D62B89"/>
    <w:rsid w:val="3A9577F1"/>
    <w:rsid w:val="3AE141CF"/>
    <w:rsid w:val="3B024314"/>
    <w:rsid w:val="3B61768E"/>
    <w:rsid w:val="3B84694D"/>
    <w:rsid w:val="3E0969FA"/>
    <w:rsid w:val="3E6D7E3C"/>
    <w:rsid w:val="3EDD2583"/>
    <w:rsid w:val="40650CB2"/>
    <w:rsid w:val="412E6881"/>
    <w:rsid w:val="41476E3A"/>
    <w:rsid w:val="415F6CF4"/>
    <w:rsid w:val="419F5106"/>
    <w:rsid w:val="433F12C9"/>
    <w:rsid w:val="43DC28F2"/>
    <w:rsid w:val="44A5589C"/>
    <w:rsid w:val="451D09E8"/>
    <w:rsid w:val="46A96339"/>
    <w:rsid w:val="478D5C50"/>
    <w:rsid w:val="479A31A6"/>
    <w:rsid w:val="481562C8"/>
    <w:rsid w:val="485634D6"/>
    <w:rsid w:val="48F346C7"/>
    <w:rsid w:val="4B1F4488"/>
    <w:rsid w:val="4B374269"/>
    <w:rsid w:val="4B5E0A53"/>
    <w:rsid w:val="4C0D6DFC"/>
    <w:rsid w:val="4D0200A8"/>
    <w:rsid w:val="4F271BB1"/>
    <w:rsid w:val="4F451C3A"/>
    <w:rsid w:val="4FA32719"/>
    <w:rsid w:val="50783714"/>
    <w:rsid w:val="5087461C"/>
    <w:rsid w:val="51165660"/>
    <w:rsid w:val="518A1511"/>
    <w:rsid w:val="51FF4425"/>
    <w:rsid w:val="53537EE4"/>
    <w:rsid w:val="53CE4DBB"/>
    <w:rsid w:val="53F531C3"/>
    <w:rsid w:val="56F54B17"/>
    <w:rsid w:val="577065DF"/>
    <w:rsid w:val="5817319D"/>
    <w:rsid w:val="582C6F70"/>
    <w:rsid w:val="5859401C"/>
    <w:rsid w:val="58CB49AF"/>
    <w:rsid w:val="58DA0675"/>
    <w:rsid w:val="594F5FD9"/>
    <w:rsid w:val="595766ED"/>
    <w:rsid w:val="59BC01DD"/>
    <w:rsid w:val="59DD3FE8"/>
    <w:rsid w:val="5A1422A6"/>
    <w:rsid w:val="5A2315F0"/>
    <w:rsid w:val="5A5B1B5E"/>
    <w:rsid w:val="5B704328"/>
    <w:rsid w:val="5D4B04E4"/>
    <w:rsid w:val="5DDE4CE1"/>
    <w:rsid w:val="5E3120FD"/>
    <w:rsid w:val="5EDD30EB"/>
    <w:rsid w:val="60726849"/>
    <w:rsid w:val="60FD699C"/>
    <w:rsid w:val="616921F2"/>
    <w:rsid w:val="61F96DBA"/>
    <w:rsid w:val="6349433D"/>
    <w:rsid w:val="63EB49E5"/>
    <w:rsid w:val="649C5D28"/>
    <w:rsid w:val="64A81520"/>
    <w:rsid w:val="658B23DA"/>
    <w:rsid w:val="65BA491F"/>
    <w:rsid w:val="66242A78"/>
    <w:rsid w:val="664064B9"/>
    <w:rsid w:val="66563C11"/>
    <w:rsid w:val="670951B1"/>
    <w:rsid w:val="670B0E1A"/>
    <w:rsid w:val="689F2E7D"/>
    <w:rsid w:val="69396744"/>
    <w:rsid w:val="6A6013FF"/>
    <w:rsid w:val="6A68112B"/>
    <w:rsid w:val="6CFD501E"/>
    <w:rsid w:val="6DF539D5"/>
    <w:rsid w:val="6ED230D4"/>
    <w:rsid w:val="6F00019E"/>
    <w:rsid w:val="70476740"/>
    <w:rsid w:val="70CA4467"/>
    <w:rsid w:val="71D71B60"/>
    <w:rsid w:val="7476222D"/>
    <w:rsid w:val="74917FF7"/>
    <w:rsid w:val="751D2C06"/>
    <w:rsid w:val="757760A3"/>
    <w:rsid w:val="77487872"/>
    <w:rsid w:val="77BB7E1A"/>
    <w:rsid w:val="77F61571"/>
    <w:rsid w:val="78903436"/>
    <w:rsid w:val="79D15ABE"/>
    <w:rsid w:val="79DC6D34"/>
    <w:rsid w:val="7AA2309E"/>
    <w:rsid w:val="7ADA548E"/>
    <w:rsid w:val="7B5320F0"/>
    <w:rsid w:val="7B7215C3"/>
    <w:rsid w:val="7B925FB1"/>
    <w:rsid w:val="7BB607CA"/>
    <w:rsid w:val="7C1612EB"/>
    <w:rsid w:val="7C1A3B9D"/>
    <w:rsid w:val="7D184D00"/>
    <w:rsid w:val="7D5116F8"/>
    <w:rsid w:val="7D7E17DC"/>
    <w:rsid w:val="7E1B22B1"/>
    <w:rsid w:val="7E646E8E"/>
    <w:rsid w:val="7F4D45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8"/>
    <w:qFormat/>
    <w:uiPriority w:val="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49"/>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0"/>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link w:val="51"/>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2"/>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8">
    <w:name w:val="heading 6"/>
    <w:basedOn w:val="1"/>
    <w:next w:val="1"/>
    <w:link w:val="53"/>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54"/>
    <w:semiHidden/>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55"/>
    <w:semiHidden/>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56"/>
    <w:semiHidden/>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1">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83"/>
    <w:unhideWhenUsed/>
    <w:qFormat/>
    <w:uiPriority w:val="99"/>
    <w:pPr>
      <w:spacing w:after="120"/>
    </w:pPr>
  </w:style>
  <w:style w:type="paragraph" w:styleId="12">
    <w:name w:val="annotation subject"/>
    <w:basedOn w:val="13"/>
    <w:next w:val="13"/>
    <w:link w:val="73"/>
    <w:unhideWhenUsed/>
    <w:qFormat/>
    <w:uiPriority w:val="99"/>
    <w:rPr>
      <w:rFonts w:ascii="Calibri" w:hAnsi="Calibri"/>
      <w:b/>
      <w:bCs/>
      <w:kern w:val="2"/>
      <w:sz w:val="21"/>
      <w:szCs w:val="22"/>
    </w:rPr>
  </w:style>
  <w:style w:type="paragraph" w:styleId="13">
    <w:name w:val="annotation text"/>
    <w:basedOn w:val="1"/>
    <w:link w:val="59"/>
    <w:unhideWhenUsed/>
    <w:qFormat/>
    <w:uiPriority w:val="0"/>
    <w:pPr>
      <w:jc w:val="left"/>
    </w:pPr>
    <w:rPr>
      <w:rFonts w:ascii="Times New Roman" w:hAnsi="Times New Roman"/>
      <w:kern w:val="0"/>
      <w:sz w:val="18"/>
      <w:szCs w:val="18"/>
    </w:rPr>
  </w:style>
  <w:style w:type="paragraph" w:styleId="14">
    <w:name w:val="toc 7"/>
    <w:basedOn w:val="1"/>
    <w:next w:val="1"/>
    <w:unhideWhenUsed/>
    <w:qFormat/>
    <w:uiPriority w:val="0"/>
    <w:pPr>
      <w:ind w:left="2520" w:leftChars="1200"/>
    </w:pPr>
    <w:rPr>
      <w:rFonts w:ascii="Times New Roman" w:hAnsi="Times New Roman"/>
      <w:szCs w:val="24"/>
    </w:rPr>
  </w:style>
  <w:style w:type="paragraph" w:styleId="15">
    <w:name w:val="Body Text First Indent"/>
    <w:basedOn w:val="2"/>
    <w:link w:val="66"/>
    <w:unhideWhenUsed/>
    <w:qFormat/>
    <w:uiPriority w:val="0"/>
    <w:pPr>
      <w:ind w:firstLine="420" w:firstLineChars="100"/>
    </w:pPr>
    <w:rPr>
      <w:rFonts w:ascii="Times New Roman" w:hAnsi="Times New Roman"/>
      <w:kern w:val="0"/>
      <w:sz w:val="18"/>
      <w:szCs w:val="18"/>
    </w:rPr>
  </w:style>
  <w:style w:type="paragraph" w:styleId="16">
    <w:name w:val="Normal Indent"/>
    <w:basedOn w:val="1"/>
    <w:link w:val="57"/>
    <w:unhideWhenUsed/>
    <w:qFormat/>
    <w:uiPriority w:val="0"/>
    <w:pPr>
      <w:spacing w:after="180" w:line="307" w:lineRule="auto"/>
      <w:ind w:firstLine="420"/>
    </w:pPr>
    <w:rPr>
      <w:rFonts w:asciiTheme="minorHAnsi" w:hAnsiTheme="minorHAnsi" w:eastAsiaTheme="minorEastAsia" w:cstheme="minorBidi"/>
    </w:rPr>
  </w:style>
  <w:style w:type="paragraph" w:styleId="17">
    <w:name w:val="caption"/>
    <w:basedOn w:val="1"/>
    <w:next w:val="1"/>
    <w:semiHidden/>
    <w:unhideWhenUsed/>
    <w:qFormat/>
    <w:uiPriority w:val="0"/>
    <w:pPr>
      <w:spacing w:before="152" w:after="160" w:line="360" w:lineRule="auto"/>
    </w:pPr>
    <w:rPr>
      <w:rFonts w:ascii="Arial" w:hAnsi="Arial" w:eastAsia="黑体" w:cs="Arial"/>
      <w:sz w:val="20"/>
      <w:szCs w:val="20"/>
    </w:rPr>
  </w:style>
  <w:style w:type="paragraph" w:styleId="18">
    <w:name w:val="Document Map"/>
    <w:basedOn w:val="1"/>
    <w:link w:val="71"/>
    <w:unhideWhenUsed/>
    <w:qFormat/>
    <w:uiPriority w:val="0"/>
    <w:pPr>
      <w:shd w:val="clear" w:color="auto" w:fill="000080"/>
    </w:pPr>
    <w:rPr>
      <w:rFonts w:ascii="Times New Roman" w:hAnsi="Times New Roman"/>
      <w:kern w:val="0"/>
      <w:sz w:val="18"/>
      <w:szCs w:val="18"/>
    </w:rPr>
  </w:style>
  <w:style w:type="paragraph" w:styleId="19">
    <w:name w:val="Body Text 3"/>
    <w:basedOn w:val="1"/>
    <w:link w:val="68"/>
    <w:unhideWhenUsed/>
    <w:qFormat/>
    <w:uiPriority w:val="0"/>
    <w:pPr>
      <w:jc w:val="center"/>
    </w:pPr>
    <w:rPr>
      <w:rFonts w:ascii="Times New Roman" w:hAnsi="Times New Roman" w:eastAsia="黑体"/>
      <w:sz w:val="44"/>
      <w:szCs w:val="24"/>
    </w:rPr>
  </w:style>
  <w:style w:type="paragraph" w:styleId="20">
    <w:name w:val="Body Text Indent"/>
    <w:basedOn w:val="1"/>
    <w:link w:val="63"/>
    <w:unhideWhenUsed/>
    <w:qFormat/>
    <w:uiPriority w:val="0"/>
    <w:pPr>
      <w:spacing w:after="120"/>
      <w:ind w:left="420" w:leftChars="200"/>
    </w:pPr>
    <w:rPr>
      <w:rFonts w:ascii="Times New Roman" w:hAnsi="Times New Roman"/>
      <w:kern w:val="0"/>
      <w:sz w:val="20"/>
      <w:szCs w:val="24"/>
    </w:rPr>
  </w:style>
  <w:style w:type="paragraph" w:styleId="21">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2">
    <w:name w:val="toc 5"/>
    <w:basedOn w:val="1"/>
    <w:next w:val="1"/>
    <w:unhideWhenUsed/>
    <w:qFormat/>
    <w:uiPriority w:val="0"/>
    <w:pPr>
      <w:ind w:left="1680" w:leftChars="800"/>
    </w:pPr>
    <w:rPr>
      <w:rFonts w:ascii="Times New Roman" w:hAnsi="Times New Roman"/>
      <w:sz w:val="18"/>
      <w:szCs w:val="18"/>
    </w:rPr>
  </w:style>
  <w:style w:type="paragraph" w:styleId="23">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4">
    <w:name w:val="Plain Text"/>
    <w:basedOn w:val="1"/>
    <w:link w:val="188"/>
    <w:unhideWhenUsed/>
    <w:qFormat/>
    <w:uiPriority w:val="0"/>
    <w:rPr>
      <w:rFonts w:ascii="宋体" w:hAnsi="Courier New"/>
      <w:kern w:val="0"/>
      <w:sz w:val="20"/>
      <w:szCs w:val="18"/>
    </w:rPr>
  </w:style>
  <w:style w:type="paragraph" w:styleId="25">
    <w:name w:val="toc 8"/>
    <w:basedOn w:val="1"/>
    <w:next w:val="1"/>
    <w:unhideWhenUsed/>
    <w:qFormat/>
    <w:uiPriority w:val="0"/>
    <w:pPr>
      <w:ind w:left="2940" w:leftChars="1400"/>
    </w:pPr>
    <w:rPr>
      <w:rFonts w:ascii="Times New Roman" w:hAnsi="Times New Roman"/>
      <w:szCs w:val="24"/>
    </w:rPr>
  </w:style>
  <w:style w:type="paragraph" w:styleId="26">
    <w:name w:val="Date"/>
    <w:basedOn w:val="1"/>
    <w:next w:val="1"/>
    <w:link w:val="65"/>
    <w:unhideWhenUsed/>
    <w:qFormat/>
    <w:uiPriority w:val="0"/>
    <w:pPr>
      <w:ind w:left="100" w:leftChars="2500"/>
    </w:pPr>
    <w:rPr>
      <w:rFonts w:ascii="Times New Roman" w:hAnsi="Times New Roman"/>
      <w:kern w:val="0"/>
      <w:sz w:val="24"/>
      <w:szCs w:val="24"/>
    </w:rPr>
  </w:style>
  <w:style w:type="paragraph" w:styleId="27">
    <w:name w:val="Body Text Indent 2"/>
    <w:basedOn w:val="1"/>
    <w:link w:val="69"/>
    <w:unhideWhenUsed/>
    <w:qFormat/>
    <w:uiPriority w:val="0"/>
    <w:pPr>
      <w:spacing w:after="120" w:line="480" w:lineRule="auto"/>
      <w:ind w:left="420" w:leftChars="200"/>
    </w:pPr>
  </w:style>
  <w:style w:type="paragraph" w:styleId="28">
    <w:name w:val="Balloon Text"/>
    <w:basedOn w:val="1"/>
    <w:link w:val="74"/>
    <w:unhideWhenUsed/>
    <w:qFormat/>
    <w:uiPriority w:val="99"/>
    <w:rPr>
      <w:rFonts w:ascii="Times New Roman" w:hAnsi="Times New Roman"/>
      <w:kern w:val="0"/>
      <w:sz w:val="18"/>
      <w:szCs w:val="18"/>
    </w:rPr>
  </w:style>
  <w:style w:type="paragraph" w:styleId="29">
    <w:name w:val="footer"/>
    <w:basedOn w:val="1"/>
    <w:link w:val="61"/>
    <w:unhideWhenUsed/>
    <w:qFormat/>
    <w:uiPriority w:val="99"/>
    <w:pPr>
      <w:tabs>
        <w:tab w:val="center" w:pos="4153"/>
        <w:tab w:val="right" w:pos="8306"/>
      </w:tabs>
      <w:snapToGrid w:val="0"/>
      <w:jc w:val="left"/>
    </w:pPr>
    <w:rPr>
      <w:kern w:val="0"/>
      <w:sz w:val="18"/>
      <w:szCs w:val="18"/>
    </w:rPr>
  </w:style>
  <w:style w:type="paragraph" w:styleId="30">
    <w:name w:val="header"/>
    <w:basedOn w:val="1"/>
    <w:link w:val="6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2">
    <w:name w:val="toc 4"/>
    <w:basedOn w:val="1"/>
    <w:next w:val="1"/>
    <w:unhideWhenUsed/>
    <w:qFormat/>
    <w:uiPriority w:val="0"/>
    <w:pPr>
      <w:ind w:left="1260" w:leftChars="600"/>
    </w:pPr>
    <w:rPr>
      <w:rFonts w:ascii="Times New Roman" w:hAnsi="Times New Roman"/>
      <w:sz w:val="18"/>
      <w:szCs w:val="18"/>
    </w:rPr>
  </w:style>
  <w:style w:type="paragraph" w:styleId="33">
    <w:name w:val="Subtitle"/>
    <w:basedOn w:val="1"/>
    <w:next w:val="1"/>
    <w:link w:val="64"/>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58"/>
    <w:unhideWhenUsed/>
    <w:qFormat/>
    <w:uiPriority w:val="0"/>
    <w:pPr>
      <w:snapToGrid w:val="0"/>
      <w:jc w:val="left"/>
    </w:pPr>
    <w:rPr>
      <w:sz w:val="18"/>
      <w:szCs w:val="18"/>
    </w:rPr>
  </w:style>
  <w:style w:type="paragraph" w:styleId="35">
    <w:name w:val="toc 6"/>
    <w:basedOn w:val="1"/>
    <w:next w:val="1"/>
    <w:unhideWhenUsed/>
    <w:qFormat/>
    <w:uiPriority w:val="0"/>
    <w:pPr>
      <w:ind w:left="2100" w:leftChars="1000"/>
    </w:pPr>
    <w:rPr>
      <w:rFonts w:ascii="Times New Roman" w:hAnsi="Times New Roman"/>
      <w:szCs w:val="24"/>
    </w:rPr>
  </w:style>
  <w:style w:type="paragraph" w:styleId="36">
    <w:name w:val="Body Text Indent 3"/>
    <w:basedOn w:val="1"/>
    <w:link w:val="70"/>
    <w:unhideWhenUsed/>
    <w:qFormat/>
    <w:uiPriority w:val="0"/>
    <w:pPr>
      <w:spacing w:line="360" w:lineRule="auto"/>
      <w:ind w:left="153" w:leftChars="85" w:firstLine="560" w:firstLineChars="200"/>
    </w:pPr>
    <w:rPr>
      <w:rFonts w:ascii="宋体" w:hAnsi="宋体"/>
      <w:kern w:val="0"/>
      <w:sz w:val="28"/>
      <w:szCs w:val="28"/>
    </w:rPr>
  </w:style>
  <w:style w:type="paragraph" w:styleId="3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unhideWhenUsed/>
    <w:qFormat/>
    <w:uiPriority w:val="0"/>
    <w:pPr>
      <w:ind w:left="3360" w:leftChars="1600"/>
    </w:pPr>
    <w:rPr>
      <w:rFonts w:ascii="Times New Roman" w:hAnsi="Times New Roman"/>
      <w:szCs w:val="24"/>
    </w:rPr>
  </w:style>
  <w:style w:type="paragraph" w:styleId="39">
    <w:name w:val="Body Text 2"/>
    <w:basedOn w:val="1"/>
    <w:link w:val="67"/>
    <w:unhideWhenUsed/>
    <w:qFormat/>
    <w:uiPriority w:val="0"/>
    <w:pPr>
      <w:spacing w:after="120" w:line="480" w:lineRule="auto"/>
    </w:pPr>
    <w:rPr>
      <w:rFonts w:ascii="Times New Roman" w:hAnsi="Times New Roman"/>
      <w:kern w:val="0"/>
      <w:sz w:val="18"/>
      <w:szCs w:val="18"/>
    </w:rPr>
  </w:style>
  <w:style w:type="paragraph" w:styleId="40">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character" w:styleId="42">
    <w:name w:val="FollowedHyperlink"/>
    <w:basedOn w:val="41"/>
    <w:unhideWhenUsed/>
    <w:qFormat/>
    <w:uiPriority w:val="99"/>
    <w:rPr>
      <w:color w:val="44B9E8" w:themeColor="followedHyperlink"/>
      <w:u w:val="single"/>
    </w:rPr>
  </w:style>
  <w:style w:type="character" w:styleId="43">
    <w:name w:val="Hyperlink"/>
    <w:unhideWhenUsed/>
    <w:qFormat/>
    <w:uiPriority w:val="99"/>
    <w:rPr>
      <w:color w:val="0000FF"/>
      <w:u w:val="single"/>
    </w:rPr>
  </w:style>
  <w:style w:type="character" w:styleId="44">
    <w:name w:val="annotation reference"/>
    <w:unhideWhenUsed/>
    <w:qFormat/>
    <w:uiPriority w:val="0"/>
    <w:rPr>
      <w:sz w:val="21"/>
      <w:szCs w:val="21"/>
    </w:rPr>
  </w:style>
  <w:style w:type="character" w:styleId="45">
    <w:name w:val="footnote reference"/>
    <w:unhideWhenUsed/>
    <w:qFormat/>
    <w:uiPriority w:val="0"/>
    <w:rPr>
      <w:vertAlign w:val="superscript"/>
    </w:r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8">
    <w:name w:val="标题 1 Char"/>
    <w:basedOn w:val="41"/>
    <w:link w:val="3"/>
    <w:qFormat/>
    <w:uiPriority w:val="9"/>
    <w:rPr>
      <w:rFonts w:ascii="宋体" w:hAnsi="宋体" w:eastAsia="宋体" w:cs="宋体"/>
      <w:b/>
      <w:bCs/>
      <w:spacing w:val="-20"/>
      <w:kern w:val="44"/>
      <w:sz w:val="32"/>
      <w:szCs w:val="32"/>
    </w:rPr>
  </w:style>
  <w:style w:type="character" w:customStyle="1" w:styleId="49">
    <w:name w:val="标题 2 Char"/>
    <w:basedOn w:val="41"/>
    <w:link w:val="4"/>
    <w:qFormat/>
    <w:uiPriority w:val="0"/>
    <w:rPr>
      <w:rFonts w:ascii="宋体" w:hAnsi="宋体" w:eastAsia="宋体" w:cs="宋体"/>
      <w:b/>
      <w:bCs/>
      <w:sz w:val="28"/>
      <w:szCs w:val="28"/>
    </w:rPr>
  </w:style>
  <w:style w:type="character" w:customStyle="1" w:styleId="50">
    <w:name w:val="标题 3 Char"/>
    <w:basedOn w:val="41"/>
    <w:link w:val="5"/>
    <w:qFormat/>
    <w:uiPriority w:val="0"/>
    <w:rPr>
      <w:rFonts w:ascii="宋体" w:hAnsi="宋体" w:eastAsia="宋体" w:cs="宋体"/>
      <w:b/>
      <w:bCs/>
      <w:color w:val="000000"/>
      <w:kern w:val="0"/>
      <w:sz w:val="28"/>
      <w:szCs w:val="28"/>
    </w:rPr>
  </w:style>
  <w:style w:type="character" w:customStyle="1" w:styleId="51">
    <w:name w:val="标题 4 Char"/>
    <w:basedOn w:val="41"/>
    <w:link w:val="6"/>
    <w:qFormat/>
    <w:uiPriority w:val="0"/>
    <w:rPr>
      <w:rFonts w:ascii="Arial" w:hAnsi="Arial" w:eastAsia="宋体" w:cs="Times New Roman"/>
      <w:b/>
      <w:bCs/>
      <w:kern w:val="0"/>
      <w:sz w:val="28"/>
      <w:szCs w:val="28"/>
    </w:rPr>
  </w:style>
  <w:style w:type="character" w:customStyle="1" w:styleId="52">
    <w:name w:val="标题 5 Char"/>
    <w:basedOn w:val="41"/>
    <w:link w:val="7"/>
    <w:qFormat/>
    <w:uiPriority w:val="0"/>
    <w:rPr>
      <w:rFonts w:ascii="Calibri" w:hAnsi="Calibri" w:eastAsia="宋体" w:cs="宋体"/>
      <w:b/>
      <w:bCs/>
      <w:kern w:val="0"/>
      <w:sz w:val="28"/>
      <w:szCs w:val="28"/>
    </w:rPr>
  </w:style>
  <w:style w:type="character" w:customStyle="1" w:styleId="53">
    <w:name w:val="标题 6 Char"/>
    <w:basedOn w:val="41"/>
    <w:link w:val="8"/>
    <w:qFormat/>
    <w:uiPriority w:val="0"/>
    <w:rPr>
      <w:rFonts w:ascii="Arial" w:hAnsi="Arial" w:eastAsia="宋体" w:cs="Times New Roman"/>
      <w:b/>
      <w:bCs/>
      <w:kern w:val="0"/>
      <w:sz w:val="28"/>
      <w:szCs w:val="18"/>
    </w:rPr>
  </w:style>
  <w:style w:type="character" w:customStyle="1" w:styleId="54">
    <w:name w:val="标题 7 Char"/>
    <w:basedOn w:val="41"/>
    <w:link w:val="9"/>
    <w:semiHidden/>
    <w:qFormat/>
    <w:uiPriority w:val="0"/>
    <w:rPr>
      <w:rFonts w:ascii="Arial Narrow" w:hAnsi="Arial Narrow" w:eastAsia="宋体" w:cs="Times New Roman"/>
      <w:b/>
      <w:bCs/>
      <w:iCs/>
      <w:kern w:val="0"/>
      <w:sz w:val="20"/>
      <w:szCs w:val="24"/>
      <w:lang w:eastAsia="en-US"/>
    </w:rPr>
  </w:style>
  <w:style w:type="character" w:customStyle="1" w:styleId="55">
    <w:name w:val="标题 8 Char"/>
    <w:basedOn w:val="41"/>
    <w:link w:val="10"/>
    <w:semiHidden/>
    <w:qFormat/>
    <w:uiPriority w:val="0"/>
    <w:rPr>
      <w:rFonts w:ascii="Arial" w:hAnsi="Arial" w:eastAsia="黑体" w:cs="Times New Roman"/>
      <w:kern w:val="0"/>
      <w:sz w:val="24"/>
      <w:szCs w:val="24"/>
    </w:rPr>
  </w:style>
  <w:style w:type="character" w:customStyle="1" w:styleId="56">
    <w:name w:val="标题 9 Char"/>
    <w:basedOn w:val="41"/>
    <w:link w:val="11"/>
    <w:semiHidden/>
    <w:qFormat/>
    <w:uiPriority w:val="0"/>
    <w:rPr>
      <w:rFonts w:ascii="Arial" w:hAnsi="Arial" w:eastAsia="黑体" w:cs="Times New Roman"/>
      <w:kern w:val="0"/>
      <w:sz w:val="20"/>
      <w:szCs w:val="21"/>
    </w:rPr>
  </w:style>
  <w:style w:type="character" w:customStyle="1" w:styleId="57">
    <w:name w:val="正文缩进 Char1"/>
    <w:link w:val="16"/>
    <w:qFormat/>
    <w:locked/>
    <w:uiPriority w:val="0"/>
  </w:style>
  <w:style w:type="character" w:customStyle="1" w:styleId="58">
    <w:name w:val="脚注文本 Char"/>
    <w:basedOn w:val="41"/>
    <w:link w:val="34"/>
    <w:qFormat/>
    <w:uiPriority w:val="0"/>
    <w:rPr>
      <w:rFonts w:ascii="Calibri" w:hAnsi="Calibri" w:eastAsia="宋体" w:cs="Times New Roman"/>
      <w:sz w:val="18"/>
      <w:szCs w:val="18"/>
    </w:rPr>
  </w:style>
  <w:style w:type="character" w:customStyle="1" w:styleId="59">
    <w:name w:val="批注文字 Char"/>
    <w:basedOn w:val="41"/>
    <w:link w:val="13"/>
    <w:qFormat/>
    <w:uiPriority w:val="99"/>
    <w:rPr>
      <w:rFonts w:ascii="Times New Roman" w:hAnsi="Times New Roman" w:eastAsia="宋体" w:cs="Times New Roman"/>
      <w:kern w:val="0"/>
      <w:sz w:val="18"/>
      <w:szCs w:val="18"/>
    </w:rPr>
  </w:style>
  <w:style w:type="character" w:customStyle="1" w:styleId="60">
    <w:name w:val="页眉 Char"/>
    <w:basedOn w:val="41"/>
    <w:link w:val="30"/>
    <w:qFormat/>
    <w:uiPriority w:val="99"/>
    <w:rPr>
      <w:rFonts w:ascii="Calibri" w:hAnsi="Calibri" w:eastAsia="宋体" w:cs="Times New Roman"/>
      <w:kern w:val="0"/>
      <w:sz w:val="18"/>
      <w:szCs w:val="18"/>
    </w:rPr>
  </w:style>
  <w:style w:type="character" w:customStyle="1" w:styleId="61">
    <w:name w:val="页脚 Char"/>
    <w:basedOn w:val="41"/>
    <w:link w:val="29"/>
    <w:qFormat/>
    <w:uiPriority w:val="99"/>
    <w:rPr>
      <w:rFonts w:ascii="Calibri" w:hAnsi="Calibri" w:eastAsia="宋体" w:cs="Times New Roman"/>
      <w:kern w:val="0"/>
      <w:sz w:val="18"/>
      <w:szCs w:val="18"/>
    </w:rPr>
  </w:style>
  <w:style w:type="character" w:customStyle="1" w:styleId="62">
    <w:name w:val="正文文本 Char"/>
    <w:basedOn w:val="41"/>
    <w:qFormat/>
    <w:uiPriority w:val="0"/>
    <w:rPr>
      <w:rFonts w:ascii="Calibri" w:hAnsi="Calibri" w:eastAsia="宋体" w:cs="Times New Roman"/>
    </w:rPr>
  </w:style>
  <w:style w:type="character" w:customStyle="1" w:styleId="63">
    <w:name w:val="正文文本缩进 Char"/>
    <w:basedOn w:val="41"/>
    <w:link w:val="20"/>
    <w:qFormat/>
    <w:uiPriority w:val="0"/>
    <w:rPr>
      <w:rFonts w:ascii="Times New Roman" w:hAnsi="Times New Roman" w:eastAsia="宋体" w:cs="Times New Roman"/>
      <w:kern w:val="0"/>
      <w:sz w:val="20"/>
      <w:szCs w:val="24"/>
    </w:rPr>
  </w:style>
  <w:style w:type="character" w:customStyle="1" w:styleId="64">
    <w:name w:val="副标题 Char"/>
    <w:basedOn w:val="41"/>
    <w:link w:val="33"/>
    <w:qFormat/>
    <w:uiPriority w:val="0"/>
    <w:rPr>
      <w:rFonts w:ascii="Cambria" w:hAnsi="Cambria" w:eastAsia="宋体" w:cs="Times New Roman"/>
      <w:b/>
      <w:bCs/>
      <w:kern w:val="28"/>
      <w:sz w:val="32"/>
      <w:szCs w:val="32"/>
    </w:rPr>
  </w:style>
  <w:style w:type="character" w:customStyle="1" w:styleId="65">
    <w:name w:val="日期 Char"/>
    <w:basedOn w:val="41"/>
    <w:link w:val="26"/>
    <w:qFormat/>
    <w:uiPriority w:val="0"/>
    <w:rPr>
      <w:rFonts w:ascii="Times New Roman" w:hAnsi="Times New Roman" w:eastAsia="宋体" w:cs="Times New Roman"/>
      <w:kern w:val="0"/>
      <w:sz w:val="24"/>
      <w:szCs w:val="24"/>
    </w:rPr>
  </w:style>
  <w:style w:type="character" w:customStyle="1" w:styleId="66">
    <w:name w:val="正文首行缩进 Char"/>
    <w:basedOn w:val="62"/>
    <w:link w:val="15"/>
    <w:qFormat/>
    <w:uiPriority w:val="0"/>
    <w:rPr>
      <w:rFonts w:ascii="Times New Roman" w:hAnsi="Times New Roman" w:eastAsia="宋体" w:cs="Times New Roman"/>
      <w:kern w:val="0"/>
      <w:sz w:val="18"/>
      <w:szCs w:val="18"/>
    </w:rPr>
  </w:style>
  <w:style w:type="character" w:customStyle="1" w:styleId="67">
    <w:name w:val="正文文本 2 Char"/>
    <w:basedOn w:val="41"/>
    <w:link w:val="39"/>
    <w:qFormat/>
    <w:uiPriority w:val="0"/>
    <w:rPr>
      <w:rFonts w:ascii="Times New Roman" w:hAnsi="Times New Roman" w:eastAsia="宋体" w:cs="Times New Roman"/>
      <w:kern w:val="0"/>
      <w:sz w:val="18"/>
      <w:szCs w:val="18"/>
    </w:rPr>
  </w:style>
  <w:style w:type="character" w:customStyle="1" w:styleId="68">
    <w:name w:val="正文文本 3 Char"/>
    <w:basedOn w:val="41"/>
    <w:link w:val="19"/>
    <w:qFormat/>
    <w:uiPriority w:val="0"/>
    <w:rPr>
      <w:rFonts w:ascii="Times New Roman" w:hAnsi="Times New Roman" w:eastAsia="黑体" w:cs="Times New Roman"/>
      <w:sz w:val="44"/>
      <w:szCs w:val="24"/>
    </w:rPr>
  </w:style>
  <w:style w:type="character" w:customStyle="1" w:styleId="69">
    <w:name w:val="正文文本缩进 2 Char"/>
    <w:basedOn w:val="41"/>
    <w:link w:val="27"/>
    <w:qFormat/>
    <w:uiPriority w:val="0"/>
    <w:rPr>
      <w:rFonts w:ascii="Calibri" w:hAnsi="Calibri" w:eastAsia="宋体" w:cs="Times New Roman"/>
    </w:rPr>
  </w:style>
  <w:style w:type="character" w:customStyle="1" w:styleId="70">
    <w:name w:val="正文文本缩进 3 Char"/>
    <w:basedOn w:val="41"/>
    <w:link w:val="36"/>
    <w:qFormat/>
    <w:uiPriority w:val="0"/>
    <w:rPr>
      <w:rFonts w:ascii="宋体" w:hAnsi="宋体" w:eastAsia="宋体" w:cs="Times New Roman"/>
      <w:kern w:val="0"/>
      <w:sz w:val="28"/>
      <w:szCs w:val="28"/>
    </w:rPr>
  </w:style>
  <w:style w:type="character" w:customStyle="1" w:styleId="71">
    <w:name w:val="文档结构图 Char"/>
    <w:basedOn w:val="41"/>
    <w:link w:val="18"/>
    <w:qFormat/>
    <w:uiPriority w:val="0"/>
    <w:rPr>
      <w:rFonts w:ascii="Times New Roman" w:hAnsi="Times New Roman" w:eastAsia="宋体" w:cs="Times New Roman"/>
      <w:kern w:val="0"/>
      <w:sz w:val="18"/>
      <w:szCs w:val="18"/>
      <w:shd w:val="clear" w:color="auto" w:fill="000080"/>
    </w:rPr>
  </w:style>
  <w:style w:type="character" w:customStyle="1" w:styleId="72">
    <w:name w:val="纯文本 Char"/>
    <w:basedOn w:val="41"/>
    <w:qFormat/>
    <w:uiPriority w:val="0"/>
    <w:rPr>
      <w:rFonts w:ascii="宋体" w:hAnsi="Courier New" w:eastAsia="宋体" w:cs="Courier New"/>
      <w:szCs w:val="21"/>
    </w:rPr>
  </w:style>
  <w:style w:type="character" w:customStyle="1" w:styleId="73">
    <w:name w:val="批注主题 Char"/>
    <w:basedOn w:val="59"/>
    <w:link w:val="12"/>
    <w:qFormat/>
    <w:uiPriority w:val="99"/>
    <w:rPr>
      <w:rFonts w:ascii="Calibri" w:hAnsi="Calibri" w:eastAsia="宋体" w:cs="Times New Roman"/>
      <w:b/>
      <w:bCs/>
      <w:kern w:val="0"/>
      <w:sz w:val="18"/>
      <w:szCs w:val="18"/>
    </w:rPr>
  </w:style>
  <w:style w:type="character" w:customStyle="1" w:styleId="74">
    <w:name w:val="批注框文本 Char"/>
    <w:basedOn w:val="41"/>
    <w:link w:val="28"/>
    <w:qFormat/>
    <w:uiPriority w:val="99"/>
    <w:rPr>
      <w:rFonts w:ascii="Times New Roman" w:hAnsi="Times New Roman" w:eastAsia="宋体" w:cs="Times New Roman"/>
      <w:kern w:val="0"/>
      <w:sz w:val="18"/>
      <w:szCs w:val="18"/>
    </w:rPr>
  </w:style>
  <w:style w:type="paragraph" w:styleId="7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列出段落 Char"/>
    <w:link w:val="77"/>
    <w:qFormat/>
    <w:locked/>
    <w:uiPriority w:val="34"/>
    <w:rPr>
      <w:rFonts w:ascii="Calibri" w:hAnsi="Calibri"/>
    </w:rPr>
  </w:style>
  <w:style w:type="paragraph" w:styleId="77">
    <w:name w:val="List Paragraph"/>
    <w:basedOn w:val="1"/>
    <w:link w:val="76"/>
    <w:qFormat/>
    <w:uiPriority w:val="34"/>
    <w:pPr>
      <w:ind w:firstLine="420" w:firstLineChars="200"/>
    </w:pPr>
    <w:rPr>
      <w:rFonts w:eastAsiaTheme="minorEastAsia" w:cstheme="minorBidi"/>
    </w:rPr>
  </w:style>
  <w:style w:type="character" w:customStyle="1" w:styleId="78">
    <w:name w:val="彩色列表 - 强调文字颜色 1 Char"/>
    <w:link w:val="79"/>
    <w:qFormat/>
    <w:locked/>
    <w:uiPriority w:val="0"/>
    <w:rPr>
      <w:rFonts w:ascii="Calibri" w:hAnsi="Calibri"/>
    </w:rPr>
  </w:style>
  <w:style w:type="paragraph" w:customStyle="1" w:styleId="79">
    <w:name w:val="彩色列表 - 强调文字颜色 11"/>
    <w:basedOn w:val="1"/>
    <w:link w:val="78"/>
    <w:qFormat/>
    <w:uiPriority w:val="0"/>
    <w:pPr>
      <w:ind w:firstLine="420" w:firstLineChars="200"/>
    </w:pPr>
    <w:rPr>
      <w:rFonts w:eastAsiaTheme="minorEastAsia" w:cstheme="minorBidi"/>
    </w:rPr>
  </w:style>
  <w:style w:type="paragraph" w:customStyle="1" w:styleId="80">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1">
    <w:name w:val="MM Title"/>
    <w:basedOn w:val="1"/>
    <w:qFormat/>
    <w:uiPriority w:val="0"/>
    <w:pPr>
      <w:spacing w:before="240" w:after="60"/>
      <w:jc w:val="center"/>
      <w:outlineLvl w:val="0"/>
    </w:pPr>
    <w:rPr>
      <w:rFonts w:ascii="Arial" w:hAnsi="Arial" w:cs="Arial"/>
      <w:b/>
      <w:bCs/>
      <w:sz w:val="32"/>
      <w:szCs w:val="32"/>
    </w:rPr>
  </w:style>
  <w:style w:type="paragraph" w:customStyle="1" w:styleId="82">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3">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4">
    <w:name w:val="gb_master正文"/>
    <w:basedOn w:val="1"/>
    <w:qFormat/>
    <w:uiPriority w:val="0"/>
    <w:pPr>
      <w:ind w:firstLine="200" w:firstLineChars="200"/>
    </w:pPr>
    <w:rPr>
      <w:rFonts w:ascii="Times New Roman" w:hAnsi="Times New Roman"/>
      <w:szCs w:val="24"/>
    </w:rPr>
  </w:style>
  <w:style w:type="paragraph" w:customStyle="1" w:styleId="8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87">
    <w:name w:val="Char2 Char Char Char"/>
    <w:basedOn w:val="1"/>
    <w:qFormat/>
    <w:uiPriority w:val="0"/>
    <w:rPr>
      <w:rFonts w:ascii="仿宋_GB2312" w:hAnsi="Times New Roman"/>
      <w:b/>
      <w:sz w:val="30"/>
      <w:szCs w:val="32"/>
    </w:rPr>
  </w:style>
  <w:style w:type="paragraph" w:customStyle="1" w:styleId="88">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0">
    <w:name w:val="默认段落字体 Para Char"/>
    <w:basedOn w:val="1"/>
    <w:qFormat/>
    <w:uiPriority w:val="0"/>
    <w:rPr>
      <w:rFonts w:ascii="Tahoma" w:hAnsi="Tahoma"/>
      <w:sz w:val="24"/>
      <w:szCs w:val="20"/>
    </w:rPr>
  </w:style>
  <w:style w:type="paragraph" w:customStyle="1" w:styleId="91">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3">
    <w:name w:val="样式 正文缩进 + (中文) 仿宋_GB2312 小四 Char"/>
    <w:basedOn w:val="16"/>
    <w:qFormat/>
    <w:uiPriority w:val="0"/>
    <w:pPr>
      <w:spacing w:after="0" w:line="360" w:lineRule="auto"/>
      <w:ind w:firstLine="480" w:firstLineChars="200"/>
    </w:pPr>
    <w:rPr>
      <w:rFonts w:ascii="宋体" w:hAnsi="宋体"/>
      <w:sz w:val="24"/>
      <w:szCs w:val="24"/>
    </w:rPr>
  </w:style>
  <w:style w:type="paragraph" w:customStyle="1" w:styleId="94">
    <w:name w:val="表格文字"/>
    <w:basedOn w:val="1"/>
    <w:qFormat/>
    <w:uiPriority w:val="0"/>
    <w:pPr>
      <w:spacing w:beforeLines="25"/>
    </w:pPr>
    <w:rPr>
      <w:rFonts w:ascii="Times New (W1)" w:hAnsi="Times New (W1)"/>
      <w:spacing w:val="10"/>
      <w:szCs w:val="24"/>
    </w:rPr>
  </w:style>
  <w:style w:type="paragraph" w:customStyle="1" w:styleId="95">
    <w:name w:val="文章正文"/>
    <w:basedOn w:val="1"/>
    <w:qFormat/>
    <w:uiPriority w:val="0"/>
    <w:pPr>
      <w:spacing w:line="360" w:lineRule="auto"/>
      <w:ind w:firstLine="420"/>
    </w:pPr>
    <w:rPr>
      <w:rFonts w:ascii="Times New Roman" w:hAnsi="Times New Roman"/>
      <w:sz w:val="24"/>
      <w:szCs w:val="24"/>
    </w:rPr>
  </w:style>
  <w:style w:type="paragraph" w:customStyle="1" w:styleId="96">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97">
    <w:name w:val="默认段落字体 Para Char Char"/>
    <w:basedOn w:val="1"/>
    <w:qFormat/>
    <w:uiPriority w:val="0"/>
    <w:rPr>
      <w:rFonts w:ascii="Times New Roman" w:hAnsi="Times New Roman"/>
      <w:szCs w:val="24"/>
    </w:rPr>
  </w:style>
  <w:style w:type="paragraph" w:customStyle="1" w:styleId="98">
    <w:name w:val="MM Topic 6"/>
    <w:basedOn w:val="8"/>
    <w:qFormat/>
    <w:uiPriority w:val="0"/>
    <w:pPr>
      <w:tabs>
        <w:tab w:val="left" w:pos="3260"/>
        <w:tab w:val="clear" w:pos="1702"/>
      </w:tabs>
      <w:ind w:left="0" w:firstLine="0"/>
    </w:pPr>
    <w:rPr>
      <w:rFonts w:eastAsia="黑体"/>
    </w:rPr>
  </w:style>
  <w:style w:type="paragraph" w:customStyle="1" w:styleId="99">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0">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1">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2">
    <w:name w:val="标题 5 + 首行缩进:  2 字符"/>
    <w:basedOn w:val="7"/>
    <w:next w:val="20"/>
    <w:qFormat/>
    <w:uiPriority w:val="0"/>
    <w:pPr>
      <w:tabs>
        <w:tab w:val="left" w:pos="992"/>
        <w:tab w:val="clear" w:pos="1134"/>
      </w:tabs>
      <w:snapToGrid w:val="0"/>
      <w:spacing w:beforeLines="50" w:afterLines="50"/>
      <w:ind w:left="3570" w:firstLine="482" w:firstLineChars="200"/>
    </w:pPr>
    <w:rPr>
      <w:rFonts w:cs="Times New Roman"/>
      <w:color w:val="000000"/>
      <w:szCs w:val="20"/>
    </w:rPr>
  </w:style>
  <w:style w:type="paragraph" w:customStyle="1" w:styleId="103">
    <w:name w:val="Char2 Char Char Char Char Char Char"/>
    <w:basedOn w:val="1"/>
    <w:qFormat/>
    <w:uiPriority w:val="0"/>
    <w:rPr>
      <w:rFonts w:ascii="仿宋_GB2312" w:hAnsi="Times New Roman"/>
      <w:b/>
      <w:sz w:val="30"/>
      <w:szCs w:val="32"/>
    </w:rPr>
  </w:style>
  <w:style w:type="paragraph" w:customStyle="1" w:styleId="104">
    <w:name w:val="MM Topic 2"/>
    <w:basedOn w:val="4"/>
    <w:qFormat/>
    <w:uiPriority w:val="0"/>
    <w:pPr>
      <w:numPr>
        <w:ilvl w:val="0"/>
        <w:numId w:val="0"/>
      </w:numPr>
      <w:tabs>
        <w:tab w:val="left" w:pos="992"/>
      </w:tabs>
    </w:pPr>
    <w:rPr>
      <w:rFonts w:cs="Times New Roman"/>
    </w:rPr>
  </w:style>
  <w:style w:type="paragraph" w:customStyle="1" w:styleId="105">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6">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07">
    <w:name w:val="MM Topic 8"/>
    <w:basedOn w:val="10"/>
    <w:qFormat/>
    <w:uiPriority w:val="0"/>
    <w:pPr>
      <w:tabs>
        <w:tab w:val="left" w:pos="4394"/>
      </w:tabs>
    </w:pPr>
  </w:style>
  <w:style w:type="paragraph" w:customStyle="1" w:styleId="108">
    <w:name w:val="Char1 Char Char Char Char Char Char"/>
    <w:basedOn w:val="1"/>
    <w:qFormat/>
    <w:uiPriority w:val="0"/>
    <w:rPr>
      <w:rFonts w:ascii="Tahoma" w:hAnsi="Tahoma"/>
      <w:sz w:val="24"/>
      <w:szCs w:val="20"/>
    </w:rPr>
  </w:style>
  <w:style w:type="paragraph" w:customStyle="1" w:styleId="109">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0">
    <w:name w:val="样式 小四2"/>
    <w:basedOn w:val="1"/>
    <w:qFormat/>
    <w:uiPriority w:val="0"/>
    <w:rPr>
      <w:rFonts w:ascii="宋体" w:hAnsi="宋体"/>
      <w:sz w:val="24"/>
      <w:szCs w:val="24"/>
    </w:rPr>
  </w:style>
  <w:style w:type="paragraph" w:customStyle="1" w:styleId="111">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2">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4">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5">
    <w:name w:val="文章正文 Char Char1"/>
    <w:basedOn w:val="1"/>
    <w:qFormat/>
    <w:uiPriority w:val="0"/>
    <w:pPr>
      <w:spacing w:line="360" w:lineRule="auto"/>
      <w:ind w:firstLine="420"/>
    </w:pPr>
    <w:rPr>
      <w:rFonts w:ascii="Times New Roman" w:hAnsi="Times New Roman"/>
      <w:sz w:val="24"/>
      <w:szCs w:val="24"/>
    </w:rPr>
  </w:style>
  <w:style w:type="paragraph" w:customStyle="1" w:styleId="116">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17">
    <w:name w:val="样式"/>
    <w:link w:val="221"/>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8">
    <w:name w:val="图"/>
    <w:basedOn w:val="1"/>
    <w:qFormat/>
    <w:uiPriority w:val="0"/>
    <w:pPr>
      <w:widowControl/>
      <w:adjustRightInd w:val="0"/>
      <w:snapToGrid w:val="0"/>
      <w:jc w:val="center"/>
    </w:pPr>
    <w:rPr>
      <w:rFonts w:ascii="宋体" w:hAnsi="宋体"/>
      <w:bCs/>
      <w:szCs w:val="24"/>
    </w:rPr>
  </w:style>
  <w:style w:type="paragraph" w:customStyle="1" w:styleId="119">
    <w:name w:val="Char1 Char Char Char Char Char Char1"/>
    <w:basedOn w:val="1"/>
    <w:qFormat/>
    <w:uiPriority w:val="0"/>
    <w:rPr>
      <w:rFonts w:ascii="Tahoma" w:hAnsi="Tahoma"/>
      <w:sz w:val="24"/>
      <w:szCs w:val="20"/>
    </w:rPr>
  </w:style>
  <w:style w:type="paragraph" w:customStyle="1" w:styleId="120">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1">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2">
    <w:name w:val="MM Topic 1"/>
    <w:basedOn w:val="3"/>
    <w:qFormat/>
    <w:uiPriority w:val="0"/>
    <w:pPr>
      <w:tabs>
        <w:tab w:val="left" w:pos="425"/>
      </w:tabs>
    </w:pPr>
    <w:rPr>
      <w:rFonts w:cs="Times New Roman"/>
      <w:sz w:val="44"/>
    </w:rPr>
  </w:style>
  <w:style w:type="paragraph" w:customStyle="1" w:styleId="123">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4">
    <w:name w:val="我的正文"/>
    <w:basedOn w:val="1"/>
    <w:qFormat/>
    <w:uiPriority w:val="0"/>
    <w:pPr>
      <w:spacing w:line="360" w:lineRule="auto"/>
      <w:ind w:firstLine="420" w:firstLineChars="200"/>
    </w:pPr>
    <w:rPr>
      <w:rFonts w:ascii="宋体" w:hAnsi="宋体"/>
      <w:szCs w:val="24"/>
    </w:rPr>
  </w:style>
  <w:style w:type="paragraph" w:customStyle="1" w:styleId="125">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6">
    <w:name w:val="标书（正文）"/>
    <w:basedOn w:val="1"/>
    <w:qFormat/>
    <w:uiPriority w:val="0"/>
    <w:pPr>
      <w:spacing w:line="360" w:lineRule="auto"/>
      <w:ind w:firstLine="560" w:firstLineChars="200"/>
    </w:pPr>
    <w:rPr>
      <w:rFonts w:ascii="宋体" w:hAnsi="宋体"/>
      <w:kern w:val="10"/>
      <w:sz w:val="28"/>
      <w:szCs w:val="28"/>
    </w:rPr>
  </w:style>
  <w:style w:type="paragraph" w:customStyle="1" w:styleId="127">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28">
    <w:name w:val="论文正文"/>
    <w:basedOn w:val="1"/>
    <w:qFormat/>
    <w:uiPriority w:val="0"/>
    <w:pPr>
      <w:spacing w:line="360" w:lineRule="auto"/>
      <w:ind w:firstLine="700" w:firstLineChars="250"/>
    </w:pPr>
    <w:rPr>
      <w:rFonts w:ascii="宋体" w:hAnsi="宋体"/>
      <w:bCs/>
      <w:sz w:val="28"/>
      <w:szCs w:val="28"/>
    </w:rPr>
  </w:style>
  <w:style w:type="paragraph" w:customStyle="1" w:styleId="129">
    <w:name w:val="样式1"/>
    <w:basedOn w:val="1"/>
    <w:qFormat/>
    <w:uiPriority w:val="0"/>
    <w:rPr>
      <w:rFonts w:ascii="Times New Roman" w:hAnsi="Times New Roman" w:eastAsia="隶书"/>
      <w:i/>
      <w:dstrike/>
      <w:sz w:val="28"/>
      <w:szCs w:val="18"/>
    </w:rPr>
  </w:style>
  <w:style w:type="paragraph" w:customStyle="1" w:styleId="130">
    <w:name w:val="表格"/>
    <w:basedOn w:val="1"/>
    <w:qFormat/>
    <w:uiPriority w:val="0"/>
    <w:pPr>
      <w:spacing w:line="400" w:lineRule="exact"/>
    </w:pPr>
    <w:rPr>
      <w:rFonts w:ascii="Times New Roman" w:hAnsi="Times New Roman"/>
      <w:sz w:val="24"/>
      <w:szCs w:val="24"/>
    </w:rPr>
  </w:style>
  <w:style w:type="paragraph" w:customStyle="1" w:styleId="131">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2">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3">
    <w:name w:val="Char Char Char Char Char Char Char Char Char Char Char Char Char"/>
    <w:basedOn w:val="18"/>
    <w:qFormat/>
    <w:uiPriority w:val="0"/>
    <w:rPr>
      <w:rFonts w:ascii="Tahoma" w:hAnsi="Tahoma"/>
      <w:sz w:val="24"/>
      <w:szCs w:val="24"/>
    </w:rPr>
  </w:style>
  <w:style w:type="paragraph" w:customStyle="1" w:styleId="134">
    <w:name w:val="MM Topic 3"/>
    <w:basedOn w:val="5"/>
    <w:qFormat/>
    <w:uiPriority w:val="0"/>
    <w:pPr>
      <w:numPr>
        <w:ilvl w:val="0"/>
        <w:numId w:val="0"/>
      </w:numPr>
      <w:tabs>
        <w:tab w:val="left" w:pos="1418"/>
      </w:tabs>
    </w:pPr>
    <w:rPr>
      <w:rFonts w:cs="Times New Roman"/>
    </w:rPr>
  </w:style>
  <w:style w:type="paragraph" w:customStyle="1" w:styleId="13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6">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37">
    <w:name w:val="Char Char Char Char"/>
    <w:basedOn w:val="1"/>
    <w:qFormat/>
    <w:uiPriority w:val="0"/>
    <w:rPr>
      <w:rFonts w:ascii="Tahoma" w:hAnsi="Tahoma"/>
      <w:sz w:val="24"/>
      <w:szCs w:val="20"/>
    </w:rPr>
  </w:style>
  <w:style w:type="paragraph" w:customStyle="1" w:styleId="138">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39">
    <w:name w:val="MM Topic 9"/>
    <w:basedOn w:val="11"/>
    <w:qFormat/>
    <w:uiPriority w:val="0"/>
    <w:pPr>
      <w:tabs>
        <w:tab w:val="left" w:pos="5102"/>
      </w:tabs>
    </w:pPr>
  </w:style>
  <w:style w:type="paragraph" w:customStyle="1" w:styleId="140">
    <w:name w:val="MM Topic 5"/>
    <w:basedOn w:val="7"/>
    <w:qFormat/>
    <w:uiPriority w:val="0"/>
    <w:pPr>
      <w:tabs>
        <w:tab w:val="left" w:pos="2551"/>
        <w:tab w:val="clear" w:pos="1134"/>
        <w:tab w:val="clear" w:pos="1560"/>
      </w:tabs>
      <w:ind w:left="0" w:firstLine="0"/>
    </w:pPr>
    <w:rPr>
      <w:rFonts w:cs="Times New Roman"/>
    </w:rPr>
  </w:style>
  <w:style w:type="paragraph" w:customStyle="1" w:styleId="141">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2">
    <w:name w:val="MM Topic 4"/>
    <w:basedOn w:val="6"/>
    <w:qFormat/>
    <w:uiPriority w:val="0"/>
    <w:pPr>
      <w:tabs>
        <w:tab w:val="left" w:pos="1984"/>
      </w:tabs>
      <w:ind w:left="0" w:firstLine="0"/>
    </w:p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5">
    <w:name w:val="样式 标题 2H2第一章 标题 2Heading 2 HiddenHeading 2 CCBSheading 2h2..."/>
    <w:basedOn w:val="4"/>
    <w:qFormat/>
    <w:uiPriority w:val="0"/>
    <w:pPr>
      <w:tabs>
        <w:tab w:val="left" w:pos="-2493"/>
      </w:tabs>
    </w:pPr>
    <w:rPr>
      <w:rFonts w:cs="Times New Roman"/>
      <w:szCs w:val="20"/>
    </w:rPr>
  </w:style>
  <w:style w:type="paragraph" w:customStyle="1" w:styleId="146">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47">
    <w:name w:val="列出段落2"/>
    <w:basedOn w:val="1"/>
    <w:qFormat/>
    <w:uiPriority w:val="0"/>
    <w:pPr>
      <w:ind w:firstLine="420" w:firstLineChars="200"/>
    </w:pPr>
  </w:style>
  <w:style w:type="paragraph" w:customStyle="1" w:styleId="148">
    <w:name w:val="列出段落4"/>
    <w:basedOn w:val="1"/>
    <w:qFormat/>
    <w:uiPriority w:val="34"/>
    <w:pPr>
      <w:ind w:firstLine="420" w:firstLineChars="200"/>
    </w:pPr>
    <w:rPr>
      <w:rFonts w:ascii="Times New Roman" w:hAnsi="Times New Roman"/>
      <w:szCs w:val="24"/>
    </w:rPr>
  </w:style>
  <w:style w:type="paragraph" w:customStyle="1" w:styleId="149">
    <w:name w:val="列出段落1"/>
    <w:basedOn w:val="1"/>
    <w:qFormat/>
    <w:uiPriority w:val="0"/>
    <w:pPr>
      <w:ind w:firstLine="420" w:firstLineChars="200"/>
    </w:pPr>
  </w:style>
  <w:style w:type="paragraph" w:customStyle="1" w:styleId="150">
    <w:name w:val="修订1"/>
    <w:qFormat/>
    <w:uiPriority w:val="99"/>
    <w:rPr>
      <w:rFonts w:ascii="Calibri" w:hAnsi="Calibri" w:eastAsia="宋体" w:cs="Times New Roman"/>
      <w:kern w:val="2"/>
      <w:sz w:val="21"/>
      <w:szCs w:val="22"/>
      <w:lang w:val="en-US" w:eastAsia="zh-CN" w:bidi="ar-SA"/>
    </w:rPr>
  </w:style>
  <w:style w:type="paragraph" w:customStyle="1" w:styleId="151">
    <w:name w:val="彩色列表 - 强调文字颜色 12"/>
    <w:basedOn w:val="1"/>
    <w:qFormat/>
    <w:uiPriority w:val="0"/>
    <w:pPr>
      <w:ind w:firstLine="420" w:firstLineChars="200"/>
    </w:pPr>
  </w:style>
  <w:style w:type="paragraph" w:customStyle="1" w:styleId="15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3">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4">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character" w:customStyle="1" w:styleId="155">
    <w:name w:val="0-CD Char"/>
    <w:link w:val="156"/>
    <w:qFormat/>
    <w:locked/>
    <w:uiPriority w:val="0"/>
    <w:rPr>
      <w:rFonts w:ascii="宋体" w:hAnsi="宋体" w:eastAsia="宋体"/>
      <w:sz w:val="28"/>
      <w:szCs w:val="24"/>
    </w:rPr>
  </w:style>
  <w:style w:type="paragraph" w:customStyle="1" w:styleId="156">
    <w:name w:val="0-CD"/>
    <w:basedOn w:val="1"/>
    <w:link w:val="155"/>
    <w:qFormat/>
    <w:uiPriority w:val="0"/>
    <w:pPr>
      <w:spacing w:line="360" w:lineRule="auto"/>
      <w:ind w:firstLine="708" w:firstLineChars="253"/>
      <w:jc w:val="left"/>
    </w:pPr>
    <w:rPr>
      <w:rFonts w:ascii="宋体" w:hAnsi="宋体" w:cstheme="minorBidi"/>
      <w:sz w:val="28"/>
      <w:szCs w:val="24"/>
    </w:rPr>
  </w:style>
  <w:style w:type="character" w:customStyle="1" w:styleId="157">
    <w:name w:val="Char Char8"/>
    <w:qFormat/>
    <w:uiPriority w:val="0"/>
    <w:rPr>
      <w:rFonts w:hint="eastAsia" w:ascii="宋体" w:hAnsi="宋体" w:eastAsia="宋体"/>
      <w:kern w:val="2"/>
      <w:sz w:val="28"/>
      <w:szCs w:val="28"/>
    </w:rPr>
  </w:style>
  <w:style w:type="character" w:customStyle="1" w:styleId="158">
    <w:name w:val="Char Char5"/>
    <w:qFormat/>
    <w:uiPriority w:val="0"/>
    <w:rPr>
      <w:kern w:val="2"/>
      <w:sz w:val="21"/>
      <w:szCs w:val="24"/>
    </w:rPr>
  </w:style>
  <w:style w:type="character" w:customStyle="1" w:styleId="159">
    <w:name w:val="列出段落 Char Char"/>
    <w:qFormat/>
    <w:uiPriority w:val="0"/>
    <w:rPr>
      <w:rFonts w:hint="default" w:ascii="Calibri" w:hAnsi="Calibri" w:cs="Calibri"/>
      <w:kern w:val="2"/>
      <w:sz w:val="21"/>
      <w:szCs w:val="22"/>
    </w:rPr>
  </w:style>
  <w:style w:type="character" w:customStyle="1" w:styleId="160">
    <w:name w:val="正文文本 Char Char"/>
    <w:qFormat/>
    <w:uiPriority w:val="0"/>
    <w:rPr>
      <w:kern w:val="2"/>
      <w:sz w:val="21"/>
      <w:szCs w:val="24"/>
    </w:rPr>
  </w:style>
  <w:style w:type="character" w:customStyle="1" w:styleId="161">
    <w:name w:val="Char Char11"/>
    <w:qFormat/>
    <w:uiPriority w:val="0"/>
    <w:rPr>
      <w:rFonts w:hint="default" w:ascii="Arial Narrow" w:hAnsi="Arial Narrow"/>
      <w:b/>
      <w:bCs/>
      <w:iCs/>
      <w:szCs w:val="24"/>
      <w:lang w:eastAsia="en-US"/>
    </w:rPr>
  </w:style>
  <w:style w:type="character" w:customStyle="1" w:styleId="162">
    <w:name w:val="标书（正文） Char Char"/>
    <w:qFormat/>
    <w:uiPriority w:val="0"/>
    <w:rPr>
      <w:rFonts w:hint="eastAsia" w:ascii="宋体" w:hAnsi="宋体" w:eastAsia="宋体"/>
      <w:b/>
      <w:kern w:val="10"/>
      <w:sz w:val="21"/>
      <w:szCs w:val="21"/>
      <w:lang w:val="en-US" w:eastAsia="zh-CN" w:bidi="ar-SA"/>
    </w:rPr>
  </w:style>
  <w:style w:type="character" w:customStyle="1" w:styleId="163">
    <w:name w:val="line2"/>
    <w:basedOn w:val="41"/>
    <w:qFormat/>
    <w:uiPriority w:val="0"/>
  </w:style>
  <w:style w:type="character" w:customStyle="1" w:styleId="164">
    <w:name w:val="Char Char10"/>
    <w:qFormat/>
    <w:uiPriority w:val="0"/>
    <w:rPr>
      <w:kern w:val="2"/>
      <w:sz w:val="24"/>
      <w:szCs w:val="24"/>
    </w:rPr>
  </w:style>
  <w:style w:type="character" w:customStyle="1" w:styleId="165">
    <w:name w:val="MM Topic 4 Char Char"/>
    <w:qFormat/>
    <w:uiPriority w:val="0"/>
    <w:rPr>
      <w:rFonts w:hint="default" w:ascii="Arial" w:hAnsi="Arial" w:cs="Arial"/>
      <w:b/>
      <w:bCs/>
      <w:kern w:val="2"/>
      <w:sz w:val="28"/>
      <w:szCs w:val="28"/>
    </w:rPr>
  </w:style>
  <w:style w:type="character" w:customStyle="1" w:styleId="166">
    <w:name w:val="标书正文:  0.74 厘米 Char Char"/>
    <w:qFormat/>
    <w:uiPriority w:val="0"/>
    <w:rPr>
      <w:kern w:val="2"/>
      <w:sz w:val="24"/>
    </w:rPr>
  </w:style>
  <w:style w:type="character" w:customStyle="1" w:styleId="167">
    <w:name w:val="访问过的超链接1"/>
    <w:qFormat/>
    <w:uiPriority w:val="99"/>
    <w:rPr>
      <w:color w:val="800080"/>
      <w:u w:val="single"/>
    </w:rPr>
  </w:style>
  <w:style w:type="character" w:customStyle="1" w:styleId="168">
    <w:name w:val="标题 3 Char Char Char"/>
    <w:qFormat/>
    <w:uiPriority w:val="0"/>
    <w:rPr>
      <w:rFonts w:hint="eastAsia" w:ascii="宋体" w:hAnsi="宋体" w:eastAsia="宋体"/>
      <w:b/>
      <w:kern w:val="2"/>
      <w:sz w:val="32"/>
      <w:lang w:val="en-US" w:eastAsia="zh-CN" w:bidi="ar-SA"/>
    </w:rPr>
  </w:style>
  <w:style w:type="character" w:customStyle="1" w:styleId="169">
    <w:name w:val="（符号）邀请函中一、"/>
    <w:qFormat/>
    <w:uiPriority w:val="0"/>
    <w:rPr>
      <w:rFonts w:hint="eastAsia" w:ascii="黑体" w:hAnsi="黑体" w:eastAsia="黑体"/>
      <w:b/>
      <w:bCs/>
      <w:sz w:val="24"/>
    </w:rPr>
  </w:style>
  <w:style w:type="character" w:customStyle="1" w:styleId="170">
    <w:name w:val="tt Char"/>
    <w:qFormat/>
    <w:uiPriority w:val="0"/>
    <w:rPr>
      <w:rFonts w:hint="default" w:ascii="Arial" w:hAnsi="Arial" w:eastAsia="黑体" w:cs="Arial"/>
      <w:kern w:val="2"/>
      <w:sz w:val="21"/>
      <w:szCs w:val="21"/>
    </w:rPr>
  </w:style>
  <w:style w:type="character" w:customStyle="1" w:styleId="171">
    <w:name w:val="Char Char9"/>
    <w:qFormat/>
    <w:uiPriority w:val="0"/>
    <w:rPr>
      <w:kern w:val="2"/>
      <w:sz w:val="18"/>
      <w:szCs w:val="18"/>
    </w:rPr>
  </w:style>
  <w:style w:type="character" w:customStyle="1" w:styleId="172">
    <w:name w:val="MM Topic 3 Char Char"/>
    <w:qFormat/>
    <w:uiPriority w:val="0"/>
    <w:rPr>
      <w:rFonts w:hint="eastAsia" w:ascii="宋体" w:hAnsi="宋体" w:eastAsia="宋体"/>
      <w:b/>
      <w:bCs/>
      <w:color w:val="000000"/>
      <w:kern w:val="2"/>
      <w:sz w:val="28"/>
      <w:szCs w:val="28"/>
    </w:rPr>
  </w:style>
  <w:style w:type="character" w:customStyle="1" w:styleId="173">
    <w:name w:val="样式 小四2 Char Char"/>
    <w:qFormat/>
    <w:uiPriority w:val="0"/>
    <w:rPr>
      <w:rFonts w:hint="eastAsia" w:ascii="宋体" w:hAnsi="宋体" w:eastAsia="宋体"/>
      <w:kern w:val="2"/>
      <w:sz w:val="24"/>
      <w:szCs w:val="24"/>
    </w:rPr>
  </w:style>
  <w:style w:type="character" w:customStyle="1" w:styleId="174">
    <w:name w:val="Char Char7"/>
    <w:qFormat/>
    <w:uiPriority w:val="0"/>
    <w:rPr>
      <w:kern w:val="2"/>
      <w:sz w:val="18"/>
      <w:szCs w:val="18"/>
    </w:rPr>
  </w:style>
  <w:style w:type="character" w:customStyle="1" w:styleId="175">
    <w:name w:val="Char Char3"/>
    <w:qFormat/>
    <w:uiPriority w:val="0"/>
    <w:rPr>
      <w:b/>
      <w:bCs/>
      <w:kern w:val="2"/>
      <w:sz w:val="18"/>
      <w:szCs w:val="18"/>
    </w:rPr>
  </w:style>
  <w:style w:type="character" w:customStyle="1" w:styleId="176">
    <w:name w:val="apple-style-span"/>
    <w:basedOn w:val="41"/>
    <w:qFormat/>
    <w:uiPriority w:val="0"/>
  </w:style>
  <w:style w:type="character" w:customStyle="1" w:styleId="177">
    <w:name w:val="Char Char4"/>
    <w:qFormat/>
    <w:uiPriority w:val="0"/>
    <w:rPr>
      <w:kern w:val="2"/>
      <w:sz w:val="18"/>
      <w:szCs w:val="18"/>
    </w:rPr>
  </w:style>
  <w:style w:type="character" w:customStyle="1" w:styleId="178">
    <w:name w:val="副标题 Char1"/>
    <w:qFormat/>
    <w:uiPriority w:val="11"/>
    <w:rPr>
      <w:rFonts w:hint="default" w:ascii="Cambria" w:hAnsi="Cambria" w:cs="Times New Roman"/>
      <w:b/>
      <w:bCs/>
      <w:kern w:val="28"/>
      <w:sz w:val="32"/>
      <w:szCs w:val="32"/>
    </w:rPr>
  </w:style>
  <w:style w:type="character" w:customStyle="1" w:styleId="179">
    <w:name w:val="small"/>
    <w:basedOn w:val="41"/>
    <w:qFormat/>
    <w:uiPriority w:val="0"/>
  </w:style>
  <w:style w:type="character" w:customStyle="1" w:styleId="180">
    <w:name w:val="Legal Level 1.1.1. Char"/>
    <w:qFormat/>
    <w:uiPriority w:val="0"/>
    <w:rPr>
      <w:rFonts w:hint="default" w:ascii="Arial" w:hAnsi="Arial" w:eastAsia="黑体" w:cs="Arial"/>
      <w:kern w:val="2"/>
      <w:sz w:val="24"/>
      <w:szCs w:val="24"/>
    </w:rPr>
  </w:style>
  <w:style w:type="character" w:customStyle="1" w:styleId="181">
    <w:name w:val="文章正文 Char Char"/>
    <w:qFormat/>
    <w:uiPriority w:val="0"/>
    <w:rPr>
      <w:rFonts w:hint="eastAsia" w:ascii="宋体" w:hAnsi="宋体" w:eastAsia="宋体"/>
      <w:kern w:val="2"/>
      <w:sz w:val="24"/>
      <w:szCs w:val="24"/>
      <w:lang w:val="en-US" w:eastAsia="zh-CN" w:bidi="ar-SA"/>
    </w:rPr>
  </w:style>
  <w:style w:type="character" w:customStyle="1" w:styleId="182">
    <w:name w:val="正文文本 Char1"/>
    <w:qFormat/>
    <w:uiPriority w:val="0"/>
    <w:rPr>
      <w:rFonts w:hint="default" w:ascii="Times New Roman" w:hAnsi="Times New Roman" w:eastAsia="宋体" w:cs="Times New Roman"/>
      <w:kern w:val="0"/>
      <w:sz w:val="18"/>
      <w:szCs w:val="18"/>
    </w:rPr>
  </w:style>
  <w:style w:type="character" w:customStyle="1" w:styleId="183">
    <w:name w:val="正文文本 Char2"/>
    <w:basedOn w:val="41"/>
    <w:link w:val="2"/>
    <w:qFormat/>
    <w:locked/>
    <w:uiPriority w:val="0"/>
    <w:rPr>
      <w:rFonts w:ascii="Calibri" w:hAnsi="Calibri" w:eastAsia="宋体" w:cs="Times New Roman"/>
    </w:rPr>
  </w:style>
  <w:style w:type="character" w:customStyle="1" w:styleId="184">
    <w:name w:val="CD正文 Char Char"/>
    <w:qFormat/>
    <w:uiPriority w:val="0"/>
    <w:rPr>
      <w:rFonts w:hint="eastAsia" w:ascii="宋体" w:hAnsi="宋体" w:eastAsia="宋体"/>
      <w:kern w:val="2"/>
      <w:sz w:val="30"/>
      <w:szCs w:val="28"/>
      <w:lang w:val="en-US" w:eastAsia="zh-CN" w:bidi="ar-SA"/>
    </w:rPr>
  </w:style>
  <w:style w:type="character" w:customStyle="1" w:styleId="185">
    <w:name w:val="Char Char2"/>
    <w:qFormat/>
    <w:uiPriority w:val="0"/>
    <w:rPr>
      <w:kern w:val="2"/>
      <w:sz w:val="18"/>
      <w:szCs w:val="18"/>
    </w:rPr>
  </w:style>
  <w:style w:type="character" w:customStyle="1" w:styleId="186">
    <w:name w:val="标题 1 Char1"/>
    <w:qFormat/>
    <w:uiPriority w:val="0"/>
    <w:rPr>
      <w:b/>
      <w:bCs/>
      <w:kern w:val="44"/>
      <w:sz w:val="44"/>
      <w:szCs w:val="44"/>
    </w:rPr>
  </w:style>
  <w:style w:type="character" w:customStyle="1" w:styleId="187">
    <w:name w:val="表正文 Char1"/>
    <w:qFormat/>
    <w:uiPriority w:val="0"/>
    <w:rPr>
      <w:rFonts w:hint="eastAsia" w:ascii="宋体" w:hAnsi="宋体" w:eastAsia="宋体"/>
      <w:kern w:val="2"/>
      <w:sz w:val="21"/>
      <w:lang w:val="en-US" w:eastAsia="zh-CN" w:bidi="ar-SA"/>
    </w:rPr>
  </w:style>
  <w:style w:type="character" w:customStyle="1" w:styleId="188">
    <w:name w:val="纯文本 Char1"/>
    <w:link w:val="24"/>
    <w:qFormat/>
    <w:locked/>
    <w:uiPriority w:val="0"/>
    <w:rPr>
      <w:rFonts w:ascii="宋体" w:hAnsi="Courier New" w:eastAsia="宋体" w:cs="Times New Roman"/>
      <w:kern w:val="0"/>
      <w:sz w:val="20"/>
      <w:szCs w:val="18"/>
    </w:rPr>
  </w:style>
  <w:style w:type="character" w:customStyle="1" w:styleId="189">
    <w:name w:val="Char Char Char"/>
    <w:qFormat/>
    <w:uiPriority w:val="0"/>
    <w:rPr>
      <w:rFonts w:hint="eastAsia" w:ascii="宋体" w:hAnsi="宋体" w:eastAsia="宋体"/>
      <w:kern w:val="2"/>
      <w:sz w:val="18"/>
      <w:szCs w:val="18"/>
      <w:lang w:val="en-US" w:eastAsia="zh-CN" w:bidi="ar-SA"/>
    </w:rPr>
  </w:style>
  <w:style w:type="character" w:customStyle="1" w:styleId="190">
    <w:name w:val="Char Char6"/>
    <w:qFormat/>
    <w:uiPriority w:val="0"/>
    <w:rPr>
      <w:kern w:val="2"/>
      <w:sz w:val="21"/>
      <w:szCs w:val="24"/>
    </w:rPr>
  </w:style>
  <w:style w:type="character" w:customStyle="1" w:styleId="191">
    <w:name w:val="正文缩进 Char"/>
    <w:qFormat/>
    <w:uiPriority w:val="0"/>
    <w:rPr>
      <w:kern w:val="2"/>
      <w:sz w:val="21"/>
      <w:lang w:val="zh-CN" w:eastAsia="zh-CN"/>
    </w:rPr>
  </w:style>
  <w:style w:type="character" w:customStyle="1" w:styleId="192">
    <w:name w:val="font11"/>
    <w:basedOn w:val="41"/>
    <w:qFormat/>
    <w:uiPriority w:val="0"/>
    <w:rPr>
      <w:rFonts w:hint="eastAsia" w:ascii="宋体" w:hAnsi="宋体" w:eastAsia="宋体" w:cs="宋体"/>
      <w:b/>
      <w:color w:val="000000"/>
      <w:sz w:val="22"/>
      <w:szCs w:val="22"/>
      <w:u w:val="none"/>
    </w:rPr>
  </w:style>
  <w:style w:type="character" w:customStyle="1" w:styleId="193">
    <w:name w:val="font01"/>
    <w:basedOn w:val="41"/>
    <w:qFormat/>
    <w:uiPriority w:val="0"/>
    <w:rPr>
      <w:rFonts w:hint="eastAsia" w:ascii="宋体" w:hAnsi="宋体" w:eastAsia="宋体" w:cs="宋体"/>
      <w:color w:val="000000"/>
      <w:sz w:val="22"/>
      <w:szCs w:val="22"/>
      <w:u w:val="none"/>
    </w:rPr>
  </w:style>
  <w:style w:type="character" w:customStyle="1" w:styleId="194">
    <w:name w:val="页脚 Char1"/>
    <w:basedOn w:val="41"/>
    <w:qFormat/>
    <w:uiPriority w:val="99"/>
    <w:rPr>
      <w:sz w:val="18"/>
      <w:szCs w:val="18"/>
    </w:rPr>
  </w:style>
  <w:style w:type="character" w:customStyle="1" w:styleId="195">
    <w:name w:val="批注文字 Char2"/>
    <w:qFormat/>
    <w:uiPriority w:val="0"/>
    <w:rPr>
      <w:rFonts w:hint="eastAsia" w:ascii="宋体" w:hAnsi="宋体" w:eastAsia="宋体"/>
      <w:sz w:val="18"/>
      <w:szCs w:val="18"/>
    </w:rPr>
  </w:style>
  <w:style w:type="character" w:customStyle="1" w:styleId="196">
    <w:name w:val="列出段落 Char1"/>
    <w:qFormat/>
    <w:uiPriority w:val="34"/>
    <w:rPr>
      <w:rFonts w:hint="default" w:ascii="Calibri" w:hAnsi="Calibri"/>
      <w:kern w:val="2"/>
      <w:sz w:val="21"/>
      <w:szCs w:val="22"/>
    </w:rPr>
  </w:style>
  <w:style w:type="paragraph" w:customStyle="1" w:styleId="197">
    <w:name w:val="CD正文"/>
    <w:basedOn w:val="95"/>
    <w:qFormat/>
    <w:uiPriority w:val="0"/>
  </w:style>
  <w:style w:type="paragraph" w:customStyle="1" w:styleId="198">
    <w:name w:val="项目符号：一级"/>
    <w:basedOn w:val="82"/>
    <w:next w:val="82"/>
    <w:qFormat/>
    <w:uiPriority w:val="0"/>
  </w:style>
  <w:style w:type="paragraph" w:customStyle="1" w:styleId="199">
    <w:name w:val="修订2"/>
    <w:semiHidden/>
    <w:qFormat/>
    <w:uiPriority w:val="99"/>
    <w:rPr>
      <w:rFonts w:ascii="Calibri" w:hAnsi="Calibri" w:eastAsia="宋体" w:cs="Times New Roman"/>
      <w:kern w:val="2"/>
      <w:sz w:val="21"/>
      <w:szCs w:val="22"/>
      <w:lang w:val="en-US" w:eastAsia="zh-CN" w:bidi="ar-SA"/>
    </w:rPr>
  </w:style>
  <w:style w:type="paragraph" w:customStyle="1" w:styleId="200">
    <w:name w:val="修订21"/>
    <w:semiHidden/>
    <w:qFormat/>
    <w:uiPriority w:val="99"/>
    <w:rPr>
      <w:rFonts w:ascii="Calibri" w:hAnsi="Calibri" w:eastAsia="宋体" w:cs="Times New Roman"/>
      <w:kern w:val="2"/>
      <w:sz w:val="21"/>
      <w:szCs w:val="22"/>
      <w:lang w:val="en-US" w:eastAsia="zh-CN" w:bidi="ar-SA"/>
    </w:rPr>
  </w:style>
  <w:style w:type="paragraph" w:customStyle="1" w:styleId="201">
    <w:name w:val="List Paragraph1"/>
    <w:basedOn w:val="1"/>
    <w:semiHidden/>
    <w:qFormat/>
    <w:uiPriority w:val="0"/>
    <w:pPr>
      <w:ind w:firstLine="420" w:firstLineChars="200"/>
    </w:pPr>
    <w:rPr>
      <w:rFonts w:ascii="Times New Roman" w:hAnsi="Times New Roman"/>
      <w:szCs w:val="24"/>
    </w:rPr>
  </w:style>
  <w:style w:type="paragraph" w:customStyle="1" w:styleId="202">
    <w:name w:val="修订3"/>
    <w:semiHidden/>
    <w:qFormat/>
    <w:uiPriority w:val="99"/>
    <w:rPr>
      <w:rFonts w:ascii="Calibri" w:hAnsi="Calibri" w:eastAsia="宋体" w:cs="Times New Roman"/>
      <w:kern w:val="2"/>
      <w:sz w:val="21"/>
      <w:szCs w:val="22"/>
      <w:lang w:val="en-US" w:eastAsia="zh-CN" w:bidi="ar-SA"/>
    </w:rPr>
  </w:style>
  <w:style w:type="paragraph" w:customStyle="1" w:styleId="203">
    <w:name w:val="Normal Indent1"/>
    <w:basedOn w:val="1"/>
    <w:semiHidden/>
    <w:qFormat/>
    <w:uiPriority w:val="99"/>
    <w:pPr>
      <w:spacing w:line="360" w:lineRule="auto"/>
      <w:ind w:firstLine="200" w:firstLineChars="200"/>
    </w:pPr>
    <w:rPr>
      <w:sz w:val="24"/>
      <w:szCs w:val="24"/>
    </w:rPr>
  </w:style>
  <w:style w:type="character" w:styleId="204">
    <w:name w:val="Placeholder Text"/>
    <w:basedOn w:val="41"/>
    <w:semiHidden/>
    <w:qFormat/>
    <w:uiPriority w:val="99"/>
    <w:rPr>
      <w:color w:val="808080"/>
    </w:rPr>
  </w:style>
  <w:style w:type="character" w:customStyle="1" w:styleId="205">
    <w:name w:val="font61"/>
    <w:qFormat/>
    <w:uiPriority w:val="0"/>
    <w:rPr>
      <w:rFonts w:hint="eastAsia" w:ascii="仿宋_GB2312" w:eastAsia="仿宋_GB2312" w:cs="仿宋_GB2312"/>
      <w:color w:val="000000"/>
      <w:sz w:val="24"/>
      <w:szCs w:val="24"/>
      <w:u w:val="none"/>
    </w:rPr>
  </w:style>
  <w:style w:type="character" w:customStyle="1" w:styleId="206">
    <w:name w:val="日期 Char1"/>
    <w:basedOn w:val="41"/>
    <w:semiHidden/>
    <w:qFormat/>
    <w:uiPriority w:val="99"/>
    <w:rPr>
      <w:rFonts w:hint="default" w:ascii="Calibri" w:hAnsi="Calibri" w:eastAsia="宋体" w:cs="Times New Roman"/>
    </w:rPr>
  </w:style>
  <w:style w:type="character" w:customStyle="1" w:styleId="207">
    <w:name w:val="副标题 Char2"/>
    <w:basedOn w:val="41"/>
    <w:qFormat/>
    <w:uiPriority w:val="11"/>
    <w:rPr>
      <w:rFonts w:hint="default" w:eastAsia="宋体" w:asciiTheme="majorHAnsi" w:hAnsiTheme="majorHAnsi" w:cstheme="majorBidi"/>
      <w:b/>
      <w:bCs/>
      <w:kern w:val="28"/>
      <w:sz w:val="32"/>
      <w:szCs w:val="32"/>
    </w:rPr>
  </w:style>
  <w:style w:type="character" w:customStyle="1" w:styleId="208">
    <w:name w:val="正文文本缩进 3 Char1"/>
    <w:basedOn w:val="41"/>
    <w:semiHidden/>
    <w:qFormat/>
    <w:uiPriority w:val="99"/>
    <w:rPr>
      <w:rFonts w:hint="default" w:ascii="Calibri" w:hAnsi="Calibri" w:eastAsia="宋体" w:cs="Times New Roman"/>
      <w:sz w:val="16"/>
      <w:szCs w:val="16"/>
    </w:rPr>
  </w:style>
  <w:style w:type="character" w:customStyle="1" w:styleId="209">
    <w:name w:val="批注框文本 Char1"/>
    <w:basedOn w:val="41"/>
    <w:semiHidden/>
    <w:qFormat/>
    <w:uiPriority w:val="99"/>
    <w:rPr>
      <w:rFonts w:hint="default" w:ascii="Calibri" w:hAnsi="Calibri" w:eastAsia="宋体" w:cs="Times New Roman"/>
      <w:sz w:val="18"/>
      <w:szCs w:val="18"/>
    </w:rPr>
  </w:style>
  <w:style w:type="character" w:customStyle="1" w:styleId="210">
    <w:name w:val="纯文本 Char2"/>
    <w:basedOn w:val="41"/>
    <w:qFormat/>
    <w:uiPriority w:val="99"/>
    <w:rPr>
      <w:rFonts w:hint="eastAsia" w:ascii="宋体" w:hAnsi="Courier New" w:eastAsia="宋体" w:cs="Courier New"/>
      <w:szCs w:val="21"/>
    </w:rPr>
  </w:style>
  <w:style w:type="character" w:customStyle="1" w:styleId="211">
    <w:name w:val="正文文本缩进 2 Char1"/>
    <w:basedOn w:val="41"/>
    <w:semiHidden/>
    <w:qFormat/>
    <w:uiPriority w:val="99"/>
    <w:rPr>
      <w:rFonts w:hint="default" w:ascii="Calibri" w:hAnsi="Calibri" w:eastAsia="宋体" w:cs="Times New Roman"/>
    </w:rPr>
  </w:style>
  <w:style w:type="character" w:customStyle="1" w:styleId="212">
    <w:name w:val="正文文本缩进 Char1"/>
    <w:basedOn w:val="41"/>
    <w:semiHidden/>
    <w:qFormat/>
    <w:uiPriority w:val="99"/>
    <w:rPr>
      <w:rFonts w:hint="default" w:ascii="Calibri" w:hAnsi="Calibri" w:eastAsia="宋体" w:cs="Times New Roman"/>
    </w:rPr>
  </w:style>
  <w:style w:type="character" w:customStyle="1" w:styleId="213">
    <w:name w:val="正文文本 2 Char1"/>
    <w:basedOn w:val="41"/>
    <w:semiHidden/>
    <w:qFormat/>
    <w:uiPriority w:val="99"/>
    <w:rPr>
      <w:rFonts w:hint="default" w:ascii="Calibri" w:hAnsi="Calibri" w:eastAsia="宋体" w:cs="Times New Roman"/>
    </w:rPr>
  </w:style>
  <w:style w:type="character" w:customStyle="1" w:styleId="214">
    <w:name w:val="正文文本 Char3"/>
    <w:basedOn w:val="41"/>
    <w:locked/>
    <w:uiPriority w:val="0"/>
    <w:rPr>
      <w:rFonts w:ascii="Calibri" w:hAnsi="Calibri" w:eastAsia="宋体"/>
      <w:kern w:val="2"/>
      <w:sz w:val="21"/>
      <w:szCs w:val="22"/>
    </w:rPr>
  </w:style>
  <w:style w:type="character" w:customStyle="1" w:styleId="215">
    <w:name w:val="正文首行缩进 Char1"/>
    <w:basedOn w:val="214"/>
    <w:semiHidden/>
    <w:qFormat/>
    <w:uiPriority w:val="99"/>
    <w:rPr>
      <w:rFonts w:ascii="Calibri" w:hAnsi="Calibri" w:eastAsia="宋体"/>
      <w:kern w:val="2"/>
      <w:sz w:val="21"/>
      <w:szCs w:val="22"/>
    </w:rPr>
  </w:style>
  <w:style w:type="character" w:customStyle="1" w:styleId="216">
    <w:name w:val="批注文字 Char1"/>
    <w:basedOn w:val="41"/>
    <w:semiHidden/>
    <w:qFormat/>
    <w:uiPriority w:val="0"/>
    <w:rPr>
      <w:rFonts w:hint="default" w:ascii="Calibri" w:hAnsi="Calibri" w:eastAsia="宋体" w:cs="Times New Roman"/>
    </w:rPr>
  </w:style>
  <w:style w:type="character" w:customStyle="1" w:styleId="217">
    <w:name w:val="正文文本 3 Char1"/>
    <w:basedOn w:val="41"/>
    <w:semiHidden/>
    <w:qFormat/>
    <w:uiPriority w:val="99"/>
    <w:rPr>
      <w:rFonts w:hint="default" w:ascii="Calibri" w:hAnsi="Calibri" w:eastAsia="宋体" w:cs="Times New Roman"/>
      <w:sz w:val="16"/>
      <w:szCs w:val="16"/>
    </w:rPr>
  </w:style>
  <w:style w:type="character" w:customStyle="1" w:styleId="218">
    <w:name w:val="文档结构图 Char1"/>
    <w:basedOn w:val="41"/>
    <w:semiHidden/>
    <w:qFormat/>
    <w:uiPriority w:val="99"/>
    <w:rPr>
      <w:rFonts w:hint="eastAsia" w:ascii="宋体" w:hAnsi="Calibri" w:eastAsia="宋体" w:cs="Times New Roman"/>
      <w:sz w:val="18"/>
      <w:szCs w:val="18"/>
    </w:rPr>
  </w:style>
  <w:style w:type="character" w:customStyle="1" w:styleId="219">
    <w:name w:val="font21"/>
    <w:qFormat/>
    <w:uiPriority w:val="0"/>
    <w:rPr>
      <w:rFonts w:hint="eastAsia" w:ascii="仿宋_GB2312" w:eastAsia="仿宋_GB2312" w:cs="仿宋_GB2312"/>
      <w:color w:val="000000"/>
      <w:sz w:val="24"/>
      <w:szCs w:val="24"/>
      <w:u w:val="none"/>
    </w:rPr>
  </w:style>
  <w:style w:type="paragraph" w:customStyle="1" w:styleId="220">
    <w:name w:val="正文_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1">
    <w:name w:val="样式 Char Char"/>
    <w:link w:val="117"/>
    <w:qFormat/>
    <w:locked/>
    <w:uiPriority w:val="0"/>
    <w:rPr>
      <w:rFonts w:ascii="宋体" w:hAnsi="宋体" w:eastAsia="宋体" w:cs="宋体"/>
      <w:kern w:val="0"/>
      <w:sz w:val="24"/>
      <w:szCs w:val="24"/>
    </w:rPr>
  </w:style>
  <w:style w:type="paragraph" w:customStyle="1" w:styleId="222">
    <w:name w:val="Table Paragraph"/>
    <w:basedOn w:val="1"/>
    <w:qFormat/>
    <w:uiPriority w:val="1"/>
    <w:rPr>
      <w:rFonts w:ascii="宋体" w:hAnsi="宋体" w:cs="宋体"/>
      <w:lang w:eastAsia="en-US" w:bidi="en-US"/>
    </w:rPr>
  </w:style>
  <w:style w:type="character" w:customStyle="1" w:styleId="223">
    <w:name w:val="font41"/>
    <w:qFormat/>
    <w:uiPriority w:val="0"/>
    <w:rPr>
      <w:rFonts w:hint="default" w:ascii="Calibri" w:hAnsi="Calibri" w:cs="Calibri"/>
      <w:color w:val="000000"/>
      <w:sz w:val="20"/>
      <w:szCs w:val="20"/>
      <w:u w:val="none"/>
    </w:rPr>
  </w:style>
  <w:style w:type="paragraph" w:customStyle="1" w:styleId="224">
    <w:name w:val="样式 正文文本 + 四号 加粗 行距: 固定值 20 磅"/>
    <w:basedOn w:val="4"/>
    <w:qFormat/>
    <w:uiPriority w:val="0"/>
    <w:pPr>
      <w:autoSpaceDE w:val="0"/>
      <w:autoSpaceDN w:val="0"/>
      <w:spacing w:before="0" w:after="0" w:line="400" w:lineRule="exact"/>
      <w:jc w:val="both"/>
    </w:pPr>
    <w:rPr>
      <w:b w:val="0"/>
      <w:bCs w:val="0"/>
      <w:kern w:val="0"/>
      <w:lang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9C5D8-23D2-4D58-9C24-1FF25CE3587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92</Pages>
  <Words>7911</Words>
  <Characters>45097</Characters>
  <Lines>375</Lines>
  <Paragraphs>105</Paragraphs>
  <TotalTime>1</TotalTime>
  <ScaleCrop>false</ScaleCrop>
  <LinksUpToDate>false</LinksUpToDate>
  <CharactersWithSpaces>52903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2021-06-15T10:42:00Z</dcterms:created>
  <dc:creator>高文豪</dc:creator>
  <cp:lastModifiedBy>Administrator</cp:lastModifiedBy>
  <cp:lastPrinted>2021-06-16T08:13:00Z</cp:lastPrinted>
  <dcterms:modified xsi:type="dcterms:W3CDTF">2021-08-05T06:56:28Z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