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华文中宋" w:hAnsi="华文中宋" w:eastAsia="华文中宋"/>
          <w:spacing w:val="42"/>
          <w:sz w:val="84"/>
          <w:lang w:val="en-US" w:eastAsia="zh-CN"/>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成都市龙泉驿区教育局2021年新建永丰家园小学和十陵来龙小学办公家具采购项目</w:t>
      </w:r>
    </w:p>
    <w:p>
      <w:pPr>
        <w:spacing w:line="360" w:lineRule="auto"/>
        <w:ind w:left="2409" w:leftChars="338" w:hanging="1699" w:hangingChars="531"/>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龙泉驿政采（2021）A0009号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成都市龙泉驿区教育局</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w:t>
      </w:r>
      <w:r>
        <w:rPr>
          <w:rFonts w:hint="eastAsia" w:ascii="华文中宋" w:hAnsi="华文中宋" w:eastAsia="华文中宋"/>
          <w:sz w:val="32"/>
          <w:szCs w:val="32"/>
          <w:lang w:eastAsia="zh-CN"/>
        </w:rPr>
        <w:t>龙泉驿区</w:t>
      </w:r>
      <w:r>
        <w:rPr>
          <w:rFonts w:hint="eastAsia" w:ascii="华文中宋" w:hAnsi="华文中宋" w:eastAsia="华文中宋"/>
          <w:sz w:val="32"/>
          <w:szCs w:val="32"/>
        </w:rPr>
        <w:t>公共资源交易服务中心共同编制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华文中宋" w:hAnsi="华文中宋" w:eastAsia="华文中宋"/>
          <w:sz w:val="32"/>
          <w:szCs w:val="32"/>
          <w:lang w:eastAsia="zh-CN"/>
        </w:rPr>
        <w:t>七</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spacing w:line="360" w:lineRule="auto"/>
        <w:jc w:val="center"/>
        <w:rPr>
          <w:rFonts w:ascii="宋体" w:hAnsi="宋体"/>
          <w:b/>
          <w:sz w:val="36"/>
        </w:rPr>
      </w:pPr>
      <w:bookmarkStart w:id="0" w:name="_Toc148505181"/>
      <w:bookmarkStart w:id="1" w:name="_Toc101247312"/>
      <w:bookmarkStart w:id="2" w:name="_Toc101328520"/>
      <w:bookmarkStart w:id="3" w:name="_Toc101234248"/>
      <w:r>
        <w:rPr>
          <w:rFonts w:hint="eastAsia" w:ascii="宋体" w:hAnsi="宋体"/>
          <w:b/>
          <w:sz w:val="32"/>
          <w:szCs w:val="32"/>
        </w:rPr>
        <w:t>目 录</w:t>
      </w:r>
    </w:p>
    <w:p>
      <w:pPr>
        <w:pStyle w:val="31"/>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"_Toc74752318" </w:instrText>
      </w:r>
      <w:r>
        <w:fldChar w:fldCharType="separate"/>
      </w:r>
      <w:r>
        <w:rPr>
          <w:rStyle w:val="43"/>
          <w:rFonts w:ascii="Times New Roman" w:hAnsi="Times New Roman"/>
          <w:b/>
          <w:spacing w:val="-20"/>
          <w:kern w:val="44"/>
        </w:rPr>
        <w:t>第1章</w:t>
      </w:r>
      <w:r>
        <w:rPr>
          <w:rFonts w:asciiTheme="minorHAnsi" w:hAnsiTheme="minorHAnsi" w:eastAsiaTheme="minorEastAsia" w:cstheme="minorBidi"/>
          <w:bCs w:val="0"/>
          <w:caps w:val="0"/>
          <w:sz w:val="21"/>
          <w:szCs w:val="22"/>
        </w:rPr>
        <w:tab/>
      </w:r>
      <w:r>
        <w:rPr>
          <w:rStyle w:val="43"/>
          <w:rFonts w:ascii="宋体" w:hAnsi="宋体"/>
          <w:b/>
          <w:spacing w:val="-20"/>
          <w:kern w:val="44"/>
        </w:rPr>
        <w:t>投标邀请</w:t>
      </w:r>
      <w:r>
        <w:tab/>
      </w:r>
      <w:r>
        <w:fldChar w:fldCharType="begin"/>
      </w:r>
      <w:r>
        <w:instrText xml:space="preserve"> PAGEREF _Toc74752318 \h </w:instrText>
      </w:r>
      <w:r>
        <w:fldChar w:fldCharType="separate"/>
      </w:r>
      <w:r>
        <w:t>3</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"_Toc74752319" </w:instrText>
      </w:r>
      <w:r>
        <w:fldChar w:fldCharType="separate"/>
      </w:r>
      <w:r>
        <w:rPr>
          <w:rStyle w:val="43"/>
          <w:rFonts w:ascii="Times New Roman" w:hAnsi="Times New Roman"/>
          <w:b/>
          <w:spacing w:val="-20"/>
          <w:kern w:val="44"/>
        </w:rPr>
        <w:t>第2章</w:t>
      </w:r>
      <w:r>
        <w:rPr>
          <w:rFonts w:asciiTheme="minorHAnsi" w:hAnsiTheme="minorHAnsi" w:eastAsiaTheme="minorEastAsia" w:cstheme="minorBidi"/>
          <w:bCs w:val="0"/>
          <w:caps w:val="0"/>
          <w:sz w:val="21"/>
          <w:szCs w:val="22"/>
        </w:rPr>
        <w:tab/>
      </w:r>
      <w:r>
        <w:rPr>
          <w:rStyle w:val="43"/>
          <w:rFonts w:ascii="宋体" w:hAnsi="宋体"/>
          <w:b/>
          <w:spacing w:val="-20"/>
          <w:kern w:val="44"/>
        </w:rPr>
        <w:t>投标人须知</w:t>
      </w:r>
      <w:r>
        <w:tab/>
      </w:r>
      <w:r>
        <w:fldChar w:fldCharType="begin"/>
      </w:r>
      <w:r>
        <w:instrText xml:space="preserve"> PAGEREF _Toc74752319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"_Toc74752320" </w:instrText>
      </w:r>
      <w:r>
        <w:fldChar w:fldCharType="separate"/>
      </w:r>
      <w:r>
        <w:rPr>
          <w:rStyle w:val="43"/>
          <w:rFonts w:ascii="Times New Roman" w:hAnsi="Times New Roman"/>
          <w:b/>
          <w:bCs/>
        </w:rPr>
        <w:t>2.1</w:t>
      </w:r>
      <w:r>
        <w:rPr>
          <w:rStyle w:val="43"/>
          <w:rFonts w:ascii="宋体" w:hAnsi="宋体"/>
          <w:b/>
          <w:bCs/>
        </w:rPr>
        <w:t xml:space="preserve"> 投标人须知前附表</w:t>
      </w:r>
      <w:r>
        <w:tab/>
      </w:r>
      <w:r>
        <w:fldChar w:fldCharType="begin"/>
      </w:r>
      <w:r>
        <w:instrText xml:space="preserve"> PAGEREF _Toc74752320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"_Toc74752321" </w:instrText>
      </w:r>
      <w:r>
        <w:fldChar w:fldCharType="separate"/>
      </w:r>
      <w:r>
        <w:rPr>
          <w:rStyle w:val="43"/>
          <w:rFonts w:ascii="Times New Roman" w:hAnsi="Times New Roman"/>
          <w:b/>
          <w:bCs/>
        </w:rPr>
        <w:t>2.2</w:t>
      </w:r>
      <w:r>
        <w:rPr>
          <w:rStyle w:val="43"/>
          <w:rFonts w:ascii="宋体" w:hAnsi="宋体"/>
          <w:b/>
          <w:bCs/>
        </w:rPr>
        <w:t xml:space="preserve"> 总则</w:t>
      </w:r>
      <w:r>
        <w:tab/>
      </w:r>
      <w:r>
        <w:fldChar w:fldCharType="begin"/>
      </w:r>
      <w:r>
        <w:instrText xml:space="preserve"> PAGEREF _Toc74752321 \h </w:instrText>
      </w:r>
      <w:r>
        <w:fldChar w:fldCharType="separate"/>
      </w:r>
      <w:r>
        <w:t>10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"_Toc74752322" </w:instrText>
      </w:r>
      <w:r>
        <w:fldChar w:fldCharType="separate"/>
      </w:r>
      <w:r>
        <w:rPr>
          <w:rStyle w:val="43"/>
          <w:rFonts w:ascii="Times New Roman" w:hAnsi="Times New Roman"/>
          <w:b/>
          <w:bCs/>
        </w:rPr>
        <w:t>2.3</w:t>
      </w:r>
      <w:r>
        <w:rPr>
          <w:rStyle w:val="43"/>
          <w:rFonts w:ascii="宋体" w:hAnsi="宋体"/>
          <w:b/>
          <w:bCs/>
        </w:rPr>
        <w:t xml:space="preserve"> 招标文件</w:t>
      </w:r>
      <w:r>
        <w:tab/>
      </w:r>
      <w:r>
        <w:fldChar w:fldCharType="begin"/>
      </w:r>
      <w:r>
        <w:instrText xml:space="preserve"> PAGEREF _Toc74752322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"_Toc74752323" </w:instrText>
      </w:r>
      <w:r>
        <w:fldChar w:fldCharType="separate"/>
      </w:r>
      <w:r>
        <w:rPr>
          <w:rStyle w:val="43"/>
          <w:rFonts w:ascii="Times New Roman" w:hAnsi="Times New Roman"/>
          <w:b/>
          <w:bCs/>
        </w:rPr>
        <w:t>2.4</w:t>
      </w:r>
      <w:r>
        <w:rPr>
          <w:rStyle w:val="43"/>
          <w:rFonts w:ascii="宋体" w:hAnsi="宋体"/>
          <w:b/>
          <w:bCs/>
        </w:rPr>
        <w:t xml:space="preserve"> 投标文件</w:t>
      </w:r>
      <w:r>
        <w:tab/>
      </w:r>
      <w:r>
        <w:fldChar w:fldCharType="begin"/>
      </w:r>
      <w:r>
        <w:instrText xml:space="preserve"> PAGEREF _Toc74752323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"_Toc74752324" </w:instrText>
      </w:r>
      <w:r>
        <w:fldChar w:fldCharType="separate"/>
      </w:r>
      <w:r>
        <w:rPr>
          <w:rStyle w:val="43"/>
          <w:rFonts w:ascii="Times New Roman" w:hAnsi="Times New Roman"/>
          <w:b/>
          <w:bCs/>
        </w:rPr>
        <w:t>2.5</w:t>
      </w:r>
      <w:r>
        <w:rPr>
          <w:rStyle w:val="43"/>
          <w:rFonts w:ascii="宋体" w:hAnsi="宋体"/>
          <w:b/>
          <w:bCs/>
        </w:rPr>
        <w:t xml:space="preserve"> 开标、资格审查、评标和中标</w:t>
      </w:r>
      <w:r>
        <w:tab/>
      </w:r>
      <w:r>
        <w:fldChar w:fldCharType="begin"/>
      </w:r>
      <w:r>
        <w:instrText xml:space="preserve"> PAGEREF _Toc74752324 \h </w:instrText>
      </w:r>
      <w:r>
        <w:fldChar w:fldCharType="separate"/>
      </w:r>
      <w:r>
        <w:t>19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"_Toc74752325" </w:instrText>
      </w:r>
      <w:r>
        <w:fldChar w:fldCharType="separate"/>
      </w:r>
      <w:r>
        <w:rPr>
          <w:rStyle w:val="43"/>
          <w:rFonts w:ascii="Times New Roman" w:hAnsi="Times New Roman"/>
          <w:b/>
          <w:bCs/>
        </w:rPr>
        <w:t>2.6</w:t>
      </w:r>
      <w:r>
        <w:rPr>
          <w:rStyle w:val="43"/>
          <w:rFonts w:ascii="宋体" w:hAnsi="宋体"/>
          <w:b/>
          <w:bCs/>
        </w:rPr>
        <w:t xml:space="preserve"> 签订及履行合同和验收</w:t>
      </w:r>
      <w:r>
        <w:tab/>
      </w:r>
      <w:r>
        <w:fldChar w:fldCharType="begin"/>
      </w:r>
      <w:r>
        <w:instrText xml:space="preserve"> PAGEREF _Toc74752325 \h </w:instrText>
      </w:r>
      <w:r>
        <w:fldChar w:fldCharType="separate"/>
      </w:r>
      <w:r>
        <w:t>21</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"_Toc74752326" </w:instrText>
      </w:r>
      <w:r>
        <w:fldChar w:fldCharType="separate"/>
      </w:r>
      <w:r>
        <w:rPr>
          <w:rStyle w:val="43"/>
          <w:rFonts w:ascii="Times New Roman" w:hAnsi="Times New Roman"/>
          <w:b/>
          <w:bCs/>
        </w:rPr>
        <w:t>2.7</w:t>
      </w:r>
      <w:r>
        <w:rPr>
          <w:rStyle w:val="43"/>
          <w:rFonts w:ascii="宋体" w:hAnsi="宋体"/>
          <w:b/>
          <w:bCs/>
        </w:rPr>
        <w:t xml:space="preserve"> 投标纪律要求</w:t>
      </w:r>
      <w:r>
        <w:tab/>
      </w:r>
      <w:r>
        <w:fldChar w:fldCharType="begin"/>
      </w:r>
      <w:r>
        <w:instrText xml:space="preserve"> PAGEREF _Toc74752326 \h </w:instrText>
      </w:r>
      <w:r>
        <w:fldChar w:fldCharType="separate"/>
      </w:r>
      <w:r>
        <w:t>23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"_Toc74752327" </w:instrText>
      </w:r>
      <w:r>
        <w:fldChar w:fldCharType="separate"/>
      </w:r>
      <w:r>
        <w:rPr>
          <w:rStyle w:val="43"/>
          <w:rFonts w:ascii="Times New Roman" w:hAnsi="Times New Roman"/>
          <w:b/>
          <w:bCs/>
        </w:rPr>
        <w:t>2.8</w:t>
      </w:r>
      <w:r>
        <w:rPr>
          <w:rStyle w:val="43"/>
          <w:rFonts w:ascii="宋体" w:hAnsi="宋体"/>
          <w:b/>
          <w:bCs/>
        </w:rPr>
        <w:t xml:space="preserve"> 询问、质疑和投诉</w:t>
      </w:r>
      <w:r>
        <w:tab/>
      </w:r>
      <w:r>
        <w:fldChar w:fldCharType="begin"/>
      </w:r>
      <w:r>
        <w:instrText xml:space="preserve"> PAGEREF _Toc74752327 \h </w:instrText>
      </w:r>
      <w:r>
        <w:fldChar w:fldCharType="separate"/>
      </w:r>
      <w:r>
        <w:t>26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"_Toc74752328" </w:instrText>
      </w:r>
      <w:r>
        <w:fldChar w:fldCharType="separate"/>
      </w:r>
      <w:r>
        <w:rPr>
          <w:rStyle w:val="43"/>
          <w:rFonts w:ascii="Times New Roman" w:hAnsi="Times New Roman"/>
          <w:b/>
          <w:bCs/>
        </w:rPr>
        <w:t>2.9</w:t>
      </w:r>
      <w:r>
        <w:rPr>
          <w:rStyle w:val="43"/>
          <w:rFonts w:ascii="宋体" w:hAnsi="宋体"/>
          <w:b/>
          <w:bCs/>
        </w:rPr>
        <w:t xml:space="preserve"> 中小企业政府采购信用融资</w:t>
      </w:r>
      <w:r>
        <w:tab/>
      </w:r>
      <w:r>
        <w:fldChar w:fldCharType="begin"/>
      </w:r>
      <w:r>
        <w:instrText xml:space="preserve"> PAGEREF _Toc74752328 \h </w:instrText>
      </w:r>
      <w:r>
        <w:fldChar w:fldCharType="separate"/>
      </w:r>
      <w:r>
        <w:t>27</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"_Toc74752329" </w:instrText>
      </w:r>
      <w:r>
        <w:fldChar w:fldCharType="separate"/>
      </w:r>
      <w:r>
        <w:rPr>
          <w:rStyle w:val="43"/>
          <w:rFonts w:ascii="Times New Roman" w:hAnsi="Times New Roman"/>
          <w:b/>
          <w:spacing w:val="-20"/>
          <w:kern w:val="44"/>
        </w:rPr>
        <w:t>第3章</w:t>
      </w:r>
      <w:r>
        <w:rPr>
          <w:rFonts w:asciiTheme="minorHAnsi" w:hAnsiTheme="minorHAnsi" w:eastAsiaTheme="minorEastAsia" w:cstheme="minorBidi"/>
          <w:bCs w:val="0"/>
          <w:caps w:val="0"/>
          <w:sz w:val="21"/>
          <w:szCs w:val="22"/>
        </w:rPr>
        <w:tab/>
      </w:r>
      <w:r>
        <w:rPr>
          <w:rStyle w:val="43"/>
          <w:rFonts w:ascii="宋体" w:hAnsi="宋体"/>
          <w:b/>
          <w:spacing w:val="-20"/>
          <w:kern w:val="44"/>
        </w:rPr>
        <w:t>投标文件格式</w:t>
      </w:r>
      <w:r>
        <w:tab/>
      </w:r>
      <w:r>
        <w:fldChar w:fldCharType="begin"/>
      </w:r>
      <w:r>
        <w:instrText xml:space="preserve"> PAGEREF _Toc74752329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"_Toc74752330" </w:instrText>
      </w:r>
      <w:r>
        <w:fldChar w:fldCharType="separate"/>
      </w:r>
      <w:r>
        <w:rPr>
          <w:rStyle w:val="43"/>
          <w:rFonts w:ascii="Times New Roman" w:hAnsi="Times New Roman"/>
          <w:b/>
          <w:bCs/>
        </w:rPr>
        <w:t>3.1</w:t>
      </w:r>
      <w:r>
        <w:rPr>
          <w:rStyle w:val="43"/>
          <w:rFonts w:ascii="宋体" w:hAnsi="宋体"/>
          <w:b/>
          <w:bCs/>
        </w:rPr>
        <w:t xml:space="preserve"> 投标文件封面格式</w:t>
      </w:r>
      <w:r>
        <w:tab/>
      </w:r>
      <w:r>
        <w:fldChar w:fldCharType="begin"/>
      </w:r>
      <w:r>
        <w:instrText xml:space="preserve"> PAGEREF _Toc74752330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"_Toc74752331" </w:instrText>
      </w:r>
      <w:r>
        <w:fldChar w:fldCharType="separate"/>
      </w:r>
      <w:r>
        <w:rPr>
          <w:rStyle w:val="43"/>
          <w:rFonts w:ascii="Times New Roman" w:hAnsi="Times New Roman"/>
          <w:b/>
          <w:bCs/>
        </w:rPr>
        <w:t>3.2</w:t>
      </w:r>
      <w:r>
        <w:rPr>
          <w:rStyle w:val="43"/>
          <w:rFonts w:ascii="宋体" w:hAnsi="宋体"/>
          <w:b/>
          <w:bCs/>
        </w:rPr>
        <w:t xml:space="preserve"> 资格响应文件</w:t>
      </w:r>
      <w:r>
        <w:tab/>
      </w:r>
      <w:r>
        <w:fldChar w:fldCharType="begin"/>
      </w:r>
      <w:r>
        <w:instrText xml:space="preserve"> PAGEREF _Toc74752331 \h </w:instrText>
      </w:r>
      <w:r>
        <w:fldChar w:fldCharType="separate"/>
      </w:r>
      <w:r>
        <w:t>29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"_Toc74752332" </w:instrText>
      </w:r>
      <w:r>
        <w:fldChar w:fldCharType="separate"/>
      </w:r>
      <w:r>
        <w:rPr>
          <w:rStyle w:val="43"/>
          <w:rFonts w:ascii="Times New Roman" w:hAnsi="Times New Roman"/>
          <w:b/>
          <w:bCs/>
        </w:rPr>
        <w:t>3.3</w:t>
      </w:r>
      <w:r>
        <w:rPr>
          <w:rStyle w:val="43"/>
          <w:rFonts w:ascii="宋体" w:hAnsi="宋体"/>
          <w:b/>
          <w:bCs/>
        </w:rPr>
        <w:t xml:space="preserve"> 商务技术响应文件</w:t>
      </w:r>
      <w:r>
        <w:tab/>
      </w:r>
      <w:r>
        <w:fldChar w:fldCharType="begin"/>
      </w:r>
      <w:r>
        <w:instrText xml:space="preserve"> PAGEREF _Toc74752332 \h </w:instrText>
      </w:r>
      <w:r>
        <w:fldChar w:fldCharType="separate"/>
      </w:r>
      <w:r>
        <w:t>33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"_Toc74752333" </w:instrText>
      </w:r>
      <w:r>
        <w:fldChar w:fldCharType="separate"/>
      </w:r>
      <w:r>
        <w:rPr>
          <w:rStyle w:val="43"/>
          <w:rFonts w:ascii="Times New Roman" w:hAnsi="Times New Roman"/>
          <w:b/>
          <w:bCs/>
        </w:rPr>
        <w:t>3.4</w:t>
      </w:r>
      <w:r>
        <w:rPr>
          <w:rStyle w:val="43"/>
          <w:rFonts w:ascii="宋体" w:hAnsi="宋体"/>
          <w:b/>
          <w:bCs/>
        </w:rPr>
        <w:t xml:space="preserve"> 报价要求响应文件</w:t>
      </w:r>
      <w:r>
        <w:tab/>
      </w:r>
      <w:r>
        <w:fldChar w:fldCharType="begin"/>
      </w:r>
      <w:r>
        <w:instrText xml:space="preserve"> PAGEREF _Toc74752333 \h </w:instrText>
      </w:r>
      <w:r>
        <w:fldChar w:fldCharType="separate"/>
      </w:r>
      <w:r>
        <w:t>40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"_Toc74752334" </w:instrText>
      </w:r>
      <w:r>
        <w:fldChar w:fldCharType="separate"/>
      </w:r>
      <w:r>
        <w:rPr>
          <w:rStyle w:val="43"/>
          <w:rFonts w:ascii="Times New Roman" w:hAnsi="Times New Roman"/>
          <w:b/>
          <w:spacing w:val="-20"/>
          <w:kern w:val="44"/>
        </w:rPr>
        <w:t>第4章</w:t>
      </w:r>
      <w:r>
        <w:rPr>
          <w:rFonts w:asciiTheme="minorHAnsi" w:hAnsiTheme="minorHAnsi" w:eastAsiaTheme="minorEastAsia" w:cstheme="minorBidi"/>
          <w:bCs w:val="0"/>
          <w:caps w:val="0"/>
          <w:sz w:val="21"/>
          <w:szCs w:val="22"/>
        </w:rPr>
        <w:tab/>
      </w:r>
      <w:r>
        <w:rPr>
          <w:rStyle w:val="43"/>
          <w:rFonts w:ascii="宋体" w:hAnsi="宋体"/>
          <w:b/>
          <w:spacing w:val="-20"/>
          <w:kern w:val="44"/>
        </w:rPr>
        <w:t>招标项目技术、服务、商务及其他要求</w:t>
      </w:r>
      <w:r>
        <w:tab/>
      </w:r>
      <w:r>
        <w:fldChar w:fldCharType="begin"/>
      </w:r>
      <w:r>
        <w:instrText xml:space="preserve"> PAGEREF _Toc74752334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"_Toc74752335" </w:instrText>
      </w:r>
      <w:r>
        <w:fldChar w:fldCharType="separate"/>
      </w:r>
      <w:r>
        <w:rPr>
          <w:rStyle w:val="43"/>
          <w:rFonts w:ascii="Times New Roman" w:hAnsi="Times New Roman"/>
          <w:b/>
          <w:bCs/>
        </w:rPr>
        <w:t>4.1</w:t>
      </w:r>
      <w:r>
        <w:rPr>
          <w:rStyle w:val="43"/>
          <w:rFonts w:ascii="宋体" w:hAnsi="宋体"/>
          <w:b/>
          <w:bCs/>
        </w:rPr>
        <w:t xml:space="preserve"> 项目概况</w:t>
      </w:r>
      <w:r>
        <w:tab/>
      </w:r>
      <w:r>
        <w:fldChar w:fldCharType="begin"/>
      </w:r>
      <w:r>
        <w:instrText xml:space="preserve"> PAGEREF _Toc74752335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"_Toc74752336" </w:instrText>
      </w:r>
      <w:r>
        <w:fldChar w:fldCharType="separate"/>
      </w:r>
      <w:r>
        <w:rPr>
          <w:rStyle w:val="43"/>
          <w:rFonts w:ascii="Times New Roman" w:hAnsi="Times New Roman"/>
          <w:b/>
          <w:bCs/>
        </w:rPr>
        <w:t>4.2</w:t>
      </w:r>
      <w:r>
        <w:rPr>
          <w:rStyle w:val="43"/>
          <w:rFonts w:ascii="宋体" w:hAnsi="宋体"/>
          <w:b/>
          <w:bCs/>
        </w:rPr>
        <w:t xml:space="preserve"> 采购内容</w:t>
      </w:r>
      <w:r>
        <w:tab/>
      </w:r>
      <w:r>
        <w:fldChar w:fldCharType="begin"/>
      </w:r>
      <w:r>
        <w:instrText xml:space="preserve"> PAGEREF _Toc74752336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"_Toc74752337" </w:instrText>
      </w:r>
      <w:r>
        <w:fldChar w:fldCharType="separate"/>
      </w:r>
      <w:r>
        <w:rPr>
          <w:rStyle w:val="43"/>
          <w:rFonts w:ascii="Times New Roman" w:hAnsi="Times New Roman"/>
          <w:b/>
          <w:bCs/>
        </w:rPr>
        <w:t>4.3</w:t>
      </w:r>
      <w:r>
        <w:rPr>
          <w:rStyle w:val="43"/>
          <w:rFonts w:ascii="宋体" w:hAnsi="宋体"/>
          <w:b/>
          <w:bCs/>
        </w:rPr>
        <w:t xml:space="preserve"> 技术参数及要求</w:t>
      </w:r>
      <w:r>
        <w:tab/>
      </w:r>
      <w:r>
        <w:fldChar w:fldCharType="begin"/>
      </w:r>
      <w:r>
        <w:instrText xml:space="preserve"> PAGEREF _Toc74752337 \h </w:instrText>
      </w:r>
      <w:r>
        <w:fldChar w:fldCharType="separate"/>
      </w:r>
      <w:r>
        <w:t>48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"_Toc74752338" </w:instrText>
      </w:r>
      <w:r>
        <w:fldChar w:fldCharType="separate"/>
      </w:r>
      <w:r>
        <w:rPr>
          <w:rStyle w:val="43"/>
          <w:rFonts w:ascii="Times New Roman" w:hAnsi="Times New Roman"/>
          <w:b/>
          <w:bCs/>
        </w:rPr>
        <w:t>4.4</w:t>
      </w:r>
      <w:r>
        <w:rPr>
          <w:rStyle w:val="43"/>
          <w:rFonts w:ascii="宋体" w:hAnsi="宋体"/>
          <w:b/>
          <w:bCs/>
        </w:rPr>
        <w:t xml:space="preserve"> 商务要求</w:t>
      </w:r>
      <w:r>
        <w:tab/>
      </w:r>
      <w:r>
        <w:fldChar w:fldCharType="begin"/>
      </w:r>
      <w:r>
        <w:instrText xml:space="preserve"> PAGEREF _Toc74752338 \h </w:instrText>
      </w:r>
      <w:r>
        <w:fldChar w:fldCharType="separate"/>
      </w:r>
      <w:r>
        <w:t>71</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"_Toc74752339" </w:instrText>
      </w:r>
      <w:r>
        <w:fldChar w:fldCharType="separate"/>
      </w:r>
      <w:r>
        <w:rPr>
          <w:rStyle w:val="43"/>
          <w:rFonts w:ascii="Times New Roman" w:hAnsi="Times New Roman"/>
          <w:b/>
          <w:spacing w:val="-20"/>
          <w:kern w:val="44"/>
        </w:rPr>
        <w:t>第5章</w:t>
      </w:r>
      <w:r>
        <w:rPr>
          <w:rFonts w:asciiTheme="minorHAnsi" w:hAnsiTheme="minorHAnsi" w:eastAsiaTheme="minorEastAsia" w:cstheme="minorBidi"/>
          <w:bCs w:val="0"/>
          <w:caps w:val="0"/>
          <w:sz w:val="21"/>
          <w:szCs w:val="22"/>
        </w:rPr>
        <w:tab/>
      </w:r>
      <w:r>
        <w:rPr>
          <w:rStyle w:val="43"/>
          <w:rFonts w:ascii="宋体" w:hAnsi="宋体"/>
          <w:b/>
          <w:spacing w:val="-20"/>
          <w:kern w:val="44"/>
        </w:rPr>
        <w:t>资格性审查</w:t>
      </w:r>
      <w:r>
        <w:tab/>
      </w:r>
      <w:r>
        <w:fldChar w:fldCharType="begin"/>
      </w:r>
      <w:r>
        <w:instrText xml:space="preserve"> PAGEREF _Toc74752339 \h </w:instrText>
      </w:r>
      <w:r>
        <w:fldChar w:fldCharType="separate"/>
      </w:r>
      <w:r>
        <w:t>73</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"_Toc74752340" </w:instrText>
      </w:r>
      <w:r>
        <w:fldChar w:fldCharType="separate"/>
      </w:r>
      <w:r>
        <w:rPr>
          <w:rStyle w:val="43"/>
          <w:rFonts w:ascii="Times New Roman" w:hAnsi="Times New Roman"/>
          <w:b/>
          <w:spacing w:val="-20"/>
          <w:kern w:val="44"/>
        </w:rPr>
        <w:t>第6章</w:t>
      </w:r>
      <w:r>
        <w:rPr>
          <w:rFonts w:asciiTheme="minorHAnsi" w:hAnsiTheme="minorHAnsi" w:eastAsiaTheme="minorEastAsia" w:cstheme="minorBidi"/>
          <w:bCs w:val="0"/>
          <w:caps w:val="0"/>
          <w:sz w:val="21"/>
          <w:szCs w:val="22"/>
        </w:rPr>
        <w:tab/>
      </w:r>
      <w:r>
        <w:rPr>
          <w:rStyle w:val="43"/>
          <w:rFonts w:ascii="宋体" w:hAnsi="宋体"/>
          <w:b/>
          <w:spacing w:val="-20"/>
          <w:kern w:val="44"/>
        </w:rPr>
        <w:t>评标办法</w:t>
      </w:r>
      <w:r>
        <w:tab/>
      </w:r>
      <w:r>
        <w:fldChar w:fldCharType="begin"/>
      </w:r>
      <w:r>
        <w:instrText xml:space="preserve"> PAGEREF _Toc74752340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"_Toc74752341" </w:instrText>
      </w:r>
      <w:r>
        <w:fldChar w:fldCharType="separate"/>
      </w:r>
      <w:r>
        <w:rPr>
          <w:rStyle w:val="43"/>
          <w:rFonts w:ascii="Times New Roman" w:hAnsi="Times New Roman"/>
          <w:b/>
          <w:bCs/>
        </w:rPr>
        <w:t>6.1</w:t>
      </w:r>
      <w:r>
        <w:rPr>
          <w:rStyle w:val="43"/>
          <w:rFonts w:ascii="宋体" w:hAnsi="宋体"/>
          <w:b/>
          <w:bCs/>
        </w:rPr>
        <w:t xml:space="preserve"> 总则</w:t>
      </w:r>
      <w:r>
        <w:tab/>
      </w:r>
      <w:r>
        <w:fldChar w:fldCharType="begin"/>
      </w:r>
      <w:r>
        <w:instrText xml:space="preserve"> PAGEREF _Toc74752341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"_Toc74752342" </w:instrText>
      </w:r>
      <w:r>
        <w:fldChar w:fldCharType="separate"/>
      </w:r>
      <w:r>
        <w:rPr>
          <w:rStyle w:val="43"/>
          <w:rFonts w:ascii="Times New Roman" w:hAnsi="Times New Roman"/>
          <w:b/>
          <w:bCs/>
        </w:rPr>
        <w:t>6.2</w:t>
      </w:r>
      <w:r>
        <w:rPr>
          <w:rStyle w:val="43"/>
          <w:rFonts w:ascii="宋体" w:hAnsi="宋体"/>
          <w:b/>
          <w:bCs/>
        </w:rPr>
        <w:t xml:space="preserve"> 评标方法</w:t>
      </w:r>
      <w:r>
        <w:tab/>
      </w:r>
      <w:r>
        <w:fldChar w:fldCharType="begin"/>
      </w:r>
      <w:r>
        <w:instrText xml:space="preserve"> PAGEREF _Toc74752342 \h </w:instrText>
      </w:r>
      <w:r>
        <w:fldChar w:fldCharType="separate"/>
      </w:r>
      <w:r>
        <w:t>78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"_Toc74752343" </w:instrText>
      </w:r>
      <w:r>
        <w:fldChar w:fldCharType="separate"/>
      </w:r>
      <w:r>
        <w:rPr>
          <w:rStyle w:val="43"/>
          <w:rFonts w:ascii="Times New Roman" w:hAnsi="Times New Roman"/>
          <w:b/>
          <w:bCs/>
        </w:rPr>
        <w:t>6.3</w:t>
      </w:r>
      <w:r>
        <w:rPr>
          <w:rStyle w:val="43"/>
          <w:rFonts w:ascii="宋体" w:hAnsi="宋体"/>
          <w:b/>
          <w:bCs/>
        </w:rPr>
        <w:t xml:space="preserve"> 评标程序</w:t>
      </w:r>
      <w:r>
        <w:tab/>
      </w:r>
      <w:r>
        <w:fldChar w:fldCharType="begin"/>
      </w:r>
      <w:r>
        <w:instrText xml:space="preserve"> PAGEREF _Toc74752343 \h </w:instrText>
      </w:r>
      <w:r>
        <w:fldChar w:fldCharType="separate"/>
      </w:r>
      <w:r>
        <w:t>78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"_Toc74752344" </w:instrText>
      </w:r>
      <w:r>
        <w:fldChar w:fldCharType="separate"/>
      </w:r>
      <w:r>
        <w:rPr>
          <w:rStyle w:val="43"/>
          <w:rFonts w:ascii="Times New Roman" w:hAnsi="Times New Roman"/>
          <w:b/>
          <w:bCs/>
        </w:rPr>
        <w:t>6.4</w:t>
      </w:r>
      <w:r>
        <w:rPr>
          <w:rStyle w:val="43"/>
          <w:rFonts w:ascii="宋体" w:hAnsi="宋体"/>
          <w:b/>
          <w:bCs/>
        </w:rPr>
        <w:t xml:space="preserve"> 评标争议处理规则</w:t>
      </w:r>
      <w:r>
        <w:tab/>
      </w:r>
      <w:r>
        <w:fldChar w:fldCharType="begin"/>
      </w:r>
      <w:r>
        <w:instrText xml:space="preserve"> PAGEREF _Toc74752344 \h </w:instrText>
      </w:r>
      <w:r>
        <w:fldChar w:fldCharType="separate"/>
      </w:r>
      <w:r>
        <w:t>84</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"_Toc74752345" </w:instrText>
      </w:r>
      <w:r>
        <w:fldChar w:fldCharType="separate"/>
      </w:r>
      <w:r>
        <w:rPr>
          <w:rStyle w:val="43"/>
          <w:rFonts w:ascii="Times New Roman" w:hAnsi="Times New Roman"/>
          <w:b/>
          <w:bCs/>
        </w:rPr>
        <w:t>6.5</w:t>
      </w:r>
      <w:r>
        <w:rPr>
          <w:rStyle w:val="43"/>
          <w:rFonts w:ascii="宋体" w:hAnsi="宋体"/>
          <w:b/>
          <w:bCs/>
        </w:rPr>
        <w:t xml:space="preserve"> 评标细则及标准</w:t>
      </w:r>
      <w:r>
        <w:tab/>
      </w:r>
      <w:r>
        <w:fldChar w:fldCharType="begin"/>
      </w:r>
      <w:r>
        <w:instrText xml:space="preserve"> PAGEREF _Toc74752345 \h </w:instrText>
      </w:r>
      <w:r>
        <w:fldChar w:fldCharType="separate"/>
      </w:r>
      <w:r>
        <w:t>85</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"_Toc74752346" </w:instrText>
      </w:r>
      <w:r>
        <w:fldChar w:fldCharType="separate"/>
      </w:r>
      <w:r>
        <w:rPr>
          <w:rStyle w:val="43"/>
          <w:rFonts w:ascii="Times New Roman" w:hAnsi="Times New Roman"/>
          <w:b/>
          <w:bCs/>
        </w:rPr>
        <w:t>6.6</w:t>
      </w:r>
      <w:r>
        <w:rPr>
          <w:rStyle w:val="43"/>
          <w:rFonts w:ascii="宋体" w:hAnsi="宋体"/>
          <w:b/>
          <w:bCs/>
        </w:rPr>
        <w:t xml:space="preserve"> 废标</w:t>
      </w:r>
      <w:r>
        <w:tab/>
      </w:r>
      <w:r>
        <w:fldChar w:fldCharType="begin"/>
      </w:r>
      <w:r>
        <w:instrText xml:space="preserve"> PAGEREF _Toc74752346 \h </w:instrText>
      </w:r>
      <w:r>
        <w:fldChar w:fldCharType="separate"/>
      </w:r>
      <w:r>
        <w:t>89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"_Toc74752347" </w:instrText>
      </w:r>
      <w:r>
        <w:fldChar w:fldCharType="separate"/>
      </w:r>
      <w:r>
        <w:rPr>
          <w:rStyle w:val="43"/>
          <w:rFonts w:ascii="Times New Roman" w:hAnsi="Times New Roman"/>
          <w:b/>
          <w:bCs/>
        </w:rPr>
        <w:t>6.7</w:t>
      </w:r>
      <w:r>
        <w:rPr>
          <w:rStyle w:val="43"/>
          <w:rFonts w:ascii="宋体" w:hAnsi="宋体"/>
          <w:b/>
          <w:bCs/>
        </w:rPr>
        <w:t xml:space="preserve"> 定标</w:t>
      </w:r>
      <w:r>
        <w:tab/>
      </w:r>
      <w:r>
        <w:fldChar w:fldCharType="begin"/>
      </w:r>
      <w:r>
        <w:instrText xml:space="preserve"> PAGEREF _Toc74752347 \h </w:instrText>
      </w:r>
      <w:r>
        <w:fldChar w:fldCharType="separate"/>
      </w:r>
      <w:r>
        <w:t>89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"_Toc74752348" </w:instrText>
      </w:r>
      <w:r>
        <w:fldChar w:fldCharType="separate"/>
      </w:r>
      <w:r>
        <w:rPr>
          <w:rStyle w:val="43"/>
          <w:rFonts w:ascii="Times New Roman" w:hAnsi="Times New Roman"/>
          <w:b/>
          <w:bCs/>
        </w:rPr>
        <w:t>6.8</w:t>
      </w:r>
      <w:r>
        <w:rPr>
          <w:rStyle w:val="43"/>
          <w:rFonts w:ascii="宋体" w:hAnsi="宋体"/>
          <w:b/>
          <w:bCs/>
        </w:rPr>
        <w:t xml:space="preserve"> 评标专家在政府采购活动中承担以下义务</w:t>
      </w:r>
      <w:r>
        <w:tab/>
      </w:r>
      <w:r>
        <w:fldChar w:fldCharType="begin"/>
      </w:r>
      <w:r>
        <w:instrText xml:space="preserve"> PAGEREF _Toc74752348 \h </w:instrText>
      </w:r>
      <w:r>
        <w:fldChar w:fldCharType="separate"/>
      </w:r>
      <w:r>
        <w:t>90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"_Toc74752349" </w:instrText>
      </w:r>
      <w:r>
        <w:fldChar w:fldCharType="separate"/>
      </w:r>
      <w:r>
        <w:rPr>
          <w:rStyle w:val="43"/>
          <w:rFonts w:ascii="Times New Roman" w:hAnsi="Times New Roman"/>
          <w:b/>
          <w:bCs/>
        </w:rPr>
        <w:t>6.9</w:t>
      </w:r>
      <w:r>
        <w:rPr>
          <w:rStyle w:val="43"/>
          <w:rFonts w:ascii="宋体" w:hAnsi="宋体"/>
          <w:b/>
          <w:bCs/>
        </w:rPr>
        <w:t xml:space="preserve"> 评标委员会及其成员不得有下列行为</w:t>
      </w:r>
      <w:r>
        <w:tab/>
      </w:r>
      <w:r>
        <w:fldChar w:fldCharType="begin"/>
      </w:r>
      <w:r>
        <w:instrText xml:space="preserve"> PAGEREF _Toc74752349 \h </w:instrText>
      </w:r>
      <w:r>
        <w:fldChar w:fldCharType="separate"/>
      </w:r>
      <w:r>
        <w:t>91</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"_Toc74752350" </w:instrText>
      </w:r>
      <w:r>
        <w:fldChar w:fldCharType="separate"/>
      </w:r>
      <w:r>
        <w:rPr>
          <w:rStyle w:val="43"/>
          <w:rFonts w:ascii="Times New Roman" w:hAnsi="Times New Roman"/>
          <w:b/>
          <w:bCs/>
        </w:rPr>
        <w:t>6.10</w:t>
      </w:r>
      <w:r>
        <w:rPr>
          <w:rStyle w:val="43"/>
          <w:rFonts w:ascii="宋体" w:hAnsi="宋体"/>
          <w:b/>
          <w:bCs/>
        </w:rPr>
        <w:t xml:space="preserve"> 评审专家在政府采购活动中应当遵守以下工作纪律</w:t>
      </w:r>
      <w:r>
        <w:tab/>
      </w:r>
      <w:r>
        <w:fldChar w:fldCharType="begin"/>
      </w:r>
      <w:r>
        <w:instrText xml:space="preserve"> PAGEREF _Toc74752350 \h </w:instrText>
      </w:r>
      <w:r>
        <w:fldChar w:fldCharType="separate"/>
      </w:r>
      <w:r>
        <w:t>92</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"_Toc74752351" </w:instrText>
      </w:r>
      <w:r>
        <w:fldChar w:fldCharType="separate"/>
      </w:r>
      <w:r>
        <w:rPr>
          <w:rStyle w:val="43"/>
          <w:rFonts w:ascii="Times New Roman" w:hAnsi="Times New Roman"/>
          <w:b/>
          <w:spacing w:val="-20"/>
          <w:kern w:val="44"/>
        </w:rPr>
        <w:t>第7章</w:t>
      </w:r>
      <w:r>
        <w:rPr>
          <w:rFonts w:asciiTheme="minorHAnsi" w:hAnsiTheme="minorHAnsi" w:eastAsiaTheme="minorEastAsia" w:cstheme="minorBidi"/>
          <w:bCs w:val="0"/>
          <w:caps w:val="0"/>
          <w:sz w:val="21"/>
          <w:szCs w:val="22"/>
        </w:rPr>
        <w:tab/>
      </w:r>
      <w:r>
        <w:rPr>
          <w:rStyle w:val="43"/>
          <w:rFonts w:ascii="宋体" w:hAnsi="宋体"/>
          <w:b/>
          <w:spacing w:val="-20"/>
          <w:kern w:val="44"/>
        </w:rPr>
        <w:t>拟签订合同文本</w:t>
      </w:r>
      <w:r>
        <w:tab/>
      </w:r>
      <w:r>
        <w:fldChar w:fldCharType="begin"/>
      </w:r>
      <w:r>
        <w:instrText xml:space="preserve"> PAGEREF _Toc74752351 \h </w:instrText>
      </w:r>
      <w:r>
        <w:fldChar w:fldCharType="separate"/>
      </w:r>
      <w:r>
        <w:t>94</w:t>
      </w:r>
      <w:r>
        <w:fldChar w:fldCharType="end"/>
      </w:r>
      <w:r>
        <w:fldChar w:fldCharType="end"/>
      </w:r>
    </w:p>
    <w:p>
      <w:pPr>
        <w:tabs>
          <w:tab w:val="left" w:pos="620"/>
          <w:tab w:val="right" w:leader="dot" w:pos="8364"/>
        </w:tabs>
        <w:spacing w:line="360" w:lineRule="exact"/>
      </w:pPr>
      <w:r>
        <w:rPr>
          <w:rFonts w:hint="eastAsia"/>
        </w:rPr>
        <w:fldChar w:fldCharType="end"/>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204575871"/>
      <w:bookmarkStart w:id="5" w:name="_Toc74752318"/>
      <w:bookmarkStart w:id="6" w:name="_Toc181610856"/>
      <w:bookmarkStart w:id="7" w:name="_Toc181591102"/>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lang w:eastAsia="zh-CN"/>
        </w:rPr>
        <w:t>成都市龙泉驿区公共资源交易服务中心</w:t>
      </w:r>
      <w:r>
        <w:rPr>
          <w:rFonts w:hint="eastAsia" w:ascii="宋体" w:hAnsi="宋体"/>
          <w:sz w:val="28"/>
          <w:szCs w:val="28"/>
        </w:rPr>
        <w:t>(以下简称“</w:t>
      </w:r>
      <w:r>
        <w:rPr>
          <w:rFonts w:hint="eastAsia" w:ascii="宋体" w:hAnsi="宋体"/>
          <w:sz w:val="28"/>
          <w:szCs w:val="28"/>
          <w:lang w:eastAsia="zh-CN"/>
        </w:rPr>
        <w:t>区公资交易中心</w:t>
      </w:r>
      <w:r>
        <w:rPr>
          <w:rFonts w:hint="eastAsia" w:ascii="宋体" w:hAnsi="宋体"/>
          <w:sz w:val="28"/>
          <w:szCs w:val="28"/>
        </w:rPr>
        <w:t>”)受</w:t>
      </w:r>
      <w:r>
        <w:rPr>
          <w:rFonts w:hint="eastAsia" w:ascii="宋体" w:hAnsi="宋体"/>
          <w:b/>
          <w:sz w:val="28"/>
          <w:szCs w:val="28"/>
          <w:u w:val="single"/>
        </w:rPr>
        <w:t>成都市龙泉驿区教育局</w:t>
      </w:r>
      <w:r>
        <w:rPr>
          <w:rFonts w:hint="eastAsia" w:ascii="宋体" w:hAnsi="宋体"/>
          <w:sz w:val="28"/>
          <w:szCs w:val="28"/>
        </w:rPr>
        <w:t>委托，拟对</w:t>
      </w:r>
      <w:r>
        <w:rPr>
          <w:rFonts w:hint="eastAsia" w:ascii="宋体" w:hAnsi="宋体"/>
          <w:b/>
          <w:sz w:val="28"/>
          <w:szCs w:val="28"/>
          <w:u w:val="single"/>
          <w:lang w:eastAsia="zh-CN"/>
        </w:rPr>
        <w:t>成都市龙泉驿区教育局2021年新建永丰家园小学和十陵来龙小学办公家具</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龙泉驿政采（2021）A0009号</w:t>
      </w:r>
    </w:p>
    <w:p>
      <w:pPr>
        <w:spacing w:line="360" w:lineRule="auto"/>
        <w:ind w:left="567" w:firstLine="281" w:firstLineChars="100"/>
        <w:rPr>
          <w:rFonts w:ascii="宋体" w:hAnsi="宋体"/>
          <w:b/>
          <w:sz w:val="28"/>
          <w:szCs w:val="28"/>
        </w:rPr>
      </w:pPr>
      <w:r>
        <w:rPr>
          <w:rFonts w:hint="eastAsia" w:ascii="宋体" w:hAnsi="宋体"/>
          <w:b/>
          <w:sz w:val="28"/>
          <w:szCs w:val="28"/>
        </w:rPr>
        <w:t>（采购项目编号：</w:t>
      </w:r>
      <w:r>
        <w:rPr>
          <w:rFonts w:hint="eastAsia" w:ascii="宋体" w:hAnsi="宋体"/>
          <w:b/>
          <w:sz w:val="28"/>
          <w:szCs w:val="28"/>
          <w:lang w:eastAsia="zh-CN"/>
        </w:rPr>
        <w:t>510112202100142</w:t>
      </w:r>
      <w:r>
        <w:rPr>
          <w:rFonts w:hint="eastAsia" w:ascii="宋体" w:hAnsi="宋体"/>
          <w:b/>
          <w:sz w:val="28"/>
          <w:szCs w:val="28"/>
        </w:rPr>
        <w:t>）</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成都市龙泉驿区教育局2021年新建永丰家园小学和十陵来龙小学办公家具采购项目</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w:t>
      </w:r>
      <w:r>
        <w:rPr>
          <w:rFonts w:hint="eastAsia" w:ascii="宋体" w:hAnsi="宋体"/>
          <w:sz w:val="28"/>
          <w:szCs w:val="28"/>
          <w:lang w:val="en-US" w:eastAsia="zh-CN"/>
        </w:rPr>
        <w:t>1</w:t>
      </w:r>
      <w:r>
        <w:rPr>
          <w:rFonts w:hint="eastAsia" w:ascii="宋体" w:hAnsi="宋体"/>
          <w:sz w:val="28"/>
          <w:szCs w:val="28"/>
        </w:rPr>
        <w:t>)</w:t>
      </w:r>
      <w:r>
        <w:rPr>
          <w:rFonts w:hint="eastAsia" w:ascii="宋体" w:hAnsi="宋体"/>
          <w:sz w:val="28"/>
          <w:szCs w:val="28"/>
          <w:lang w:val="en-US" w:eastAsia="zh-CN"/>
        </w:rPr>
        <w:t>0785</w:t>
      </w:r>
      <w:r>
        <w:rPr>
          <w:rFonts w:hint="eastAsia" w:ascii="宋体" w:hAnsi="宋体"/>
          <w:sz w:val="28"/>
          <w:szCs w:val="28"/>
        </w:rPr>
        <w:t>号；预算品目：A069901办公家具；预算金额：</w:t>
      </w:r>
      <w:r>
        <w:rPr>
          <w:rFonts w:hint="eastAsia" w:ascii="宋体" w:hAnsi="宋体"/>
          <w:sz w:val="28"/>
          <w:szCs w:val="28"/>
          <w:lang w:val="en-US" w:eastAsia="zh-CN"/>
        </w:rPr>
        <w:t>330.05</w:t>
      </w:r>
      <w:r>
        <w:rPr>
          <w:rFonts w:hint="eastAsia" w:ascii="宋体" w:hAnsi="宋体"/>
          <w:sz w:val="28"/>
          <w:szCs w:val="28"/>
        </w:rPr>
        <w:t>万元</w:t>
      </w:r>
      <w:r>
        <w:rPr>
          <w:rFonts w:hint="eastAsia" w:ascii="宋体" w:hAnsi="宋体"/>
          <w:sz w:val="28"/>
        </w:rPr>
        <w:t>；最高限价：</w:t>
      </w:r>
      <w:r>
        <w:rPr>
          <w:rFonts w:hint="eastAsia" w:ascii="宋体" w:hAnsi="宋体"/>
          <w:sz w:val="28"/>
          <w:szCs w:val="28"/>
          <w:lang w:val="en-US" w:eastAsia="zh-CN"/>
        </w:rPr>
        <w:t>330.05</w:t>
      </w:r>
      <w:r>
        <w:rPr>
          <w:rFonts w:hint="eastAsia" w:ascii="宋体" w:hAnsi="宋体"/>
          <w:sz w:val="28"/>
        </w:rPr>
        <w:t>万</w:t>
      </w:r>
      <w:r>
        <w:rPr>
          <w:rFonts w:hint="eastAsia" w:ascii="宋体" w:hAnsi="宋体"/>
          <w:sz w:val="28"/>
          <w:szCs w:val="28"/>
        </w:rPr>
        <w:t>元。</w:t>
      </w:r>
      <w:r>
        <w:rPr>
          <w:rFonts w:hint="eastAsia" w:ascii="宋体" w:hAnsi="宋体"/>
          <w:sz w:val="28"/>
          <w:szCs w:val="28"/>
          <w:lang w:eastAsia="zh-CN"/>
        </w:rPr>
        <w:t>行业类别为：制造业。</w:t>
      </w:r>
    </w:p>
    <w:p>
      <w:pPr>
        <w:numPr>
          <w:ilvl w:val="0"/>
          <w:numId w:val="6"/>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spacing w:line="360" w:lineRule="auto"/>
        <w:ind w:firstLine="560" w:firstLineChars="200"/>
        <w:rPr>
          <w:rFonts w:ascii="宋体" w:hAnsi="宋体"/>
          <w:sz w:val="28"/>
          <w:szCs w:val="28"/>
        </w:rPr>
      </w:pPr>
      <w:r>
        <w:rPr>
          <w:rFonts w:hint="eastAsia" w:ascii="宋体" w:hAnsi="宋体"/>
          <w:sz w:val="28"/>
          <w:szCs w:val="28"/>
          <w:lang w:eastAsia="zh-CN"/>
        </w:rPr>
        <w:t>本项目拟采购龙泉驿区教育局</w:t>
      </w:r>
      <w:r>
        <w:rPr>
          <w:rFonts w:hint="eastAsia" w:ascii="宋体" w:hAnsi="宋体"/>
          <w:sz w:val="28"/>
          <w:szCs w:val="28"/>
          <w:lang w:val="en-US" w:eastAsia="zh-CN"/>
        </w:rPr>
        <w:t>2021年</w:t>
      </w:r>
      <w:r>
        <w:rPr>
          <w:rFonts w:hint="eastAsia" w:ascii="宋体" w:hAnsi="宋体"/>
          <w:sz w:val="28"/>
          <w:szCs w:val="28"/>
          <w:lang w:eastAsia="zh-CN"/>
        </w:rPr>
        <w:t>新建</w:t>
      </w:r>
      <w:bookmarkStart w:id="236" w:name="_GoBack"/>
      <w:bookmarkEnd w:id="236"/>
      <w:r>
        <w:rPr>
          <w:rFonts w:hint="eastAsia" w:ascii="宋体" w:hAnsi="宋体"/>
          <w:sz w:val="28"/>
          <w:szCs w:val="28"/>
          <w:lang w:eastAsia="zh-CN"/>
        </w:rPr>
        <w:t>永丰家园小学办公家具和十陵来龙小学办公家具，详细的技术</w:t>
      </w:r>
      <w:r>
        <w:rPr>
          <w:rFonts w:hint="eastAsia" w:ascii="宋体" w:hAnsi="宋体"/>
          <w:sz w:val="28"/>
          <w:szCs w:val="28"/>
        </w:rPr>
        <w:t>、服务、商务及其他要求见招标文件第4章。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8"/>
          <w:szCs w:val="28"/>
          <w:u w:val="single"/>
        </w:rPr>
      </w:pPr>
      <w:r>
        <w:rPr>
          <w:rFonts w:hint="eastAsia" w:ascii="宋体" w:hAnsi="宋体"/>
          <w:sz w:val="28"/>
          <w:szCs w:val="28"/>
          <w:u w:val="single"/>
          <w:lang w:eastAsia="zh-CN"/>
        </w:rPr>
        <w:t>本项目专门面向中小企业采购。</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numPr>
          <w:ilvl w:val="0"/>
          <w:numId w:val="6"/>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8"/>
        </w:numPr>
        <w:spacing w:line="360" w:lineRule="auto"/>
        <w:ind w:left="0" w:firstLine="567"/>
        <w:rPr>
          <w:rFonts w:ascii="宋体" w:hAnsi="宋体"/>
          <w:sz w:val="28"/>
        </w:rPr>
      </w:pPr>
      <w:r>
        <w:rPr>
          <w:rFonts w:hint="eastAsia" w:ascii="宋体" w:hAnsi="宋体"/>
          <w:sz w:val="28"/>
          <w:szCs w:val="28"/>
        </w:rPr>
        <w:t>招标文件获取时间：2021年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12</w:t>
      </w:r>
      <w:r>
        <w:rPr>
          <w:rFonts w:hint="eastAsia" w:ascii="宋体" w:hAnsi="宋体"/>
          <w:sz w:val="28"/>
          <w:szCs w:val="28"/>
        </w:rPr>
        <w:t>日至</w:t>
      </w:r>
      <w:r>
        <w:rPr>
          <w:rFonts w:ascii="宋体" w:hAnsi="宋体"/>
          <w:sz w:val="28"/>
          <w:szCs w:val="28"/>
        </w:rPr>
        <w:t>7</w:t>
      </w:r>
      <w:r>
        <w:rPr>
          <w:rFonts w:hint="eastAsia" w:ascii="宋体" w:hAnsi="宋体"/>
          <w:sz w:val="28"/>
          <w:szCs w:val="28"/>
        </w:rPr>
        <w:t>月</w:t>
      </w:r>
      <w:r>
        <w:rPr>
          <w:rFonts w:hint="eastAsia" w:ascii="宋体" w:hAnsi="宋体"/>
          <w:sz w:val="28"/>
          <w:szCs w:val="28"/>
          <w:lang w:val="en-US" w:eastAsia="zh-CN"/>
        </w:rPr>
        <w:t>16</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公告期限：2021年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12</w:t>
      </w:r>
      <w:r>
        <w:rPr>
          <w:rFonts w:hint="eastAsia" w:ascii="宋体" w:hAnsi="宋体"/>
          <w:sz w:val="28"/>
          <w:szCs w:val="28"/>
        </w:rPr>
        <w:t>日至</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16</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84013605"/>
      <w:bookmarkStart w:id="9" w:name="_Toc186274101"/>
      <w:bookmarkStart w:id="10" w:name="_Toc180051012"/>
      <w:bookmarkStart w:id="11" w:name="_Toc174185149"/>
      <w:bookmarkStart w:id="12" w:name="_Toc184023104"/>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ascii="宋体" w:hAnsi="宋体"/>
          <w:b/>
          <w:sz w:val="28"/>
          <w:szCs w:val="28"/>
        </w:rPr>
        <w:t>1</w:t>
      </w:r>
      <w:r>
        <w:rPr>
          <w:rFonts w:hint="eastAsia" w:ascii="宋体" w:hAnsi="宋体"/>
          <w:b/>
          <w:sz w:val="28"/>
          <w:szCs w:val="28"/>
        </w:rPr>
        <w:t>年</w:t>
      </w:r>
      <w:r>
        <w:rPr>
          <w:rFonts w:hint="eastAsia" w:ascii="宋体" w:hAnsi="宋体"/>
          <w:b/>
          <w:sz w:val="28"/>
          <w:szCs w:val="28"/>
          <w:lang w:val="en-US" w:eastAsia="zh-CN"/>
        </w:rPr>
        <w:t>8</w:t>
      </w:r>
      <w:r>
        <w:rPr>
          <w:rFonts w:hint="eastAsia" w:ascii="宋体" w:hAnsi="宋体"/>
          <w:b/>
          <w:sz w:val="28"/>
          <w:szCs w:val="28"/>
        </w:rPr>
        <w:t>月</w:t>
      </w:r>
      <w:r>
        <w:rPr>
          <w:rFonts w:hint="eastAsia" w:ascii="宋体" w:hAnsi="宋体"/>
          <w:b/>
          <w:sz w:val="28"/>
          <w:szCs w:val="28"/>
          <w:lang w:val="en-US" w:eastAsia="zh-CN"/>
        </w:rPr>
        <w:t>3</w:t>
      </w:r>
      <w:r>
        <w:rPr>
          <w:rFonts w:hint="eastAsia" w:ascii="宋体" w:hAnsi="宋体"/>
          <w:b/>
          <w:sz w:val="28"/>
          <w:szCs w:val="28"/>
        </w:rPr>
        <w:t>日上午09:30。</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华文中宋" w:hAnsi="华文中宋" w:eastAsia="华文中宋"/>
          <w:sz w:val="28"/>
          <w:szCs w:val="28"/>
        </w:rPr>
        <w:t>成都市龙泉驿区教育局</w:t>
      </w:r>
    </w:p>
    <w:p>
      <w:pPr>
        <w:pStyle w:val="146"/>
        <w:ind w:firstLine="560"/>
        <w:rPr>
          <w:rFonts w:ascii="宋体" w:hAnsi="宋体"/>
          <w:kern w:val="0"/>
          <w:sz w:val="28"/>
          <w:szCs w:val="22"/>
        </w:rPr>
      </w:pPr>
      <w:r>
        <w:rPr>
          <w:rFonts w:hint="eastAsia" w:ascii="宋体" w:hAnsi="宋体"/>
          <w:sz w:val="28"/>
          <w:szCs w:val="28"/>
        </w:rPr>
        <w:t>地  址： 龙泉东街92号</w:t>
      </w:r>
    </w:p>
    <w:p>
      <w:pPr>
        <w:spacing w:line="360" w:lineRule="auto"/>
        <w:ind w:firstLine="565" w:firstLineChars="202"/>
        <w:rPr>
          <w:rFonts w:hint="default" w:ascii="宋体" w:hAnsi="宋体" w:eastAsia="宋体"/>
          <w:sz w:val="28"/>
          <w:szCs w:val="28"/>
          <w:lang w:val="en-US" w:eastAsia="zh-CN"/>
        </w:rPr>
      </w:pPr>
      <w:r>
        <w:rPr>
          <w:rFonts w:hint="eastAsia" w:ascii="宋体" w:hAnsi="宋体"/>
          <w:sz w:val="28"/>
          <w:szCs w:val="28"/>
        </w:rPr>
        <w:t xml:space="preserve">邮  编： </w:t>
      </w:r>
      <w:r>
        <w:rPr>
          <w:rFonts w:ascii="宋体" w:hAnsi="宋体"/>
          <w:sz w:val="28"/>
          <w:szCs w:val="28"/>
        </w:rPr>
        <w:t>610</w:t>
      </w:r>
      <w:r>
        <w:rPr>
          <w:rFonts w:hint="eastAsia" w:ascii="宋体" w:hAnsi="宋体"/>
          <w:sz w:val="28"/>
          <w:szCs w:val="28"/>
          <w:lang w:val="en-US" w:eastAsia="zh-CN"/>
        </w:rPr>
        <w:t>100</w:t>
      </w:r>
    </w:p>
    <w:p>
      <w:pPr>
        <w:spacing w:line="360" w:lineRule="auto"/>
        <w:ind w:firstLine="565" w:firstLineChars="202"/>
        <w:rPr>
          <w:rFonts w:ascii="宋体" w:hAnsi="宋体"/>
          <w:sz w:val="28"/>
          <w:szCs w:val="28"/>
        </w:rPr>
      </w:pPr>
      <w:r>
        <w:rPr>
          <w:rFonts w:hint="eastAsia" w:ascii="宋体" w:hAnsi="宋体"/>
          <w:sz w:val="28"/>
          <w:szCs w:val="28"/>
        </w:rPr>
        <w:t>联系人：</w:t>
      </w:r>
      <w:r>
        <w:rPr>
          <w:rFonts w:hint="eastAsia" w:ascii="宋体" w:hAnsi="宋体"/>
          <w:sz w:val="28"/>
          <w:szCs w:val="28"/>
          <w:lang w:val="en-US" w:eastAsia="zh-CN"/>
        </w:rPr>
        <w:t xml:space="preserve">卢兴其 </w:t>
      </w:r>
      <w:r>
        <w:rPr>
          <w:rFonts w:hint="eastAsia" w:ascii="宋体" w:hAnsi="宋体"/>
          <w:sz w:val="28"/>
          <w:szCs w:val="28"/>
        </w:rPr>
        <w:t xml:space="preserve"> </w:t>
      </w:r>
    </w:p>
    <w:p>
      <w:pPr>
        <w:spacing w:line="360" w:lineRule="auto"/>
        <w:ind w:firstLine="565" w:firstLineChars="202"/>
        <w:rPr>
          <w:rFonts w:hint="default" w:ascii="宋体" w:hAnsi="宋体" w:eastAsia="宋体"/>
          <w:sz w:val="28"/>
          <w:szCs w:val="28"/>
          <w:lang w:val="en-US" w:eastAsia="zh-CN"/>
        </w:rPr>
      </w:pPr>
      <w:r>
        <w:rPr>
          <w:rFonts w:hint="eastAsia" w:ascii="宋体" w:hAnsi="宋体"/>
          <w:sz w:val="28"/>
          <w:szCs w:val="28"/>
        </w:rPr>
        <w:t>联系电话：</w:t>
      </w:r>
      <w:r>
        <w:rPr>
          <w:rFonts w:ascii="宋体" w:hAnsi="宋体"/>
          <w:sz w:val="28"/>
          <w:szCs w:val="28"/>
        </w:rPr>
        <w:t>028-8</w:t>
      </w:r>
      <w:r>
        <w:rPr>
          <w:rFonts w:hint="eastAsia" w:ascii="宋体" w:hAnsi="宋体"/>
          <w:sz w:val="28"/>
          <w:szCs w:val="28"/>
          <w:lang w:val="en-US" w:eastAsia="zh-CN"/>
        </w:rPr>
        <w:t>4853172</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hint="eastAsia" w:ascii="宋体" w:hAnsi="宋体" w:eastAsia="宋体"/>
          <w:sz w:val="28"/>
          <w:szCs w:val="28"/>
          <w:lang w:eastAsia="zh-CN"/>
        </w:rPr>
      </w:pPr>
      <w:r>
        <w:rPr>
          <w:rFonts w:hint="eastAsia" w:ascii="宋体" w:hAnsi="宋体"/>
          <w:sz w:val="28"/>
          <w:szCs w:val="28"/>
        </w:rPr>
        <w:t>联系人：</w:t>
      </w:r>
      <w:r>
        <w:rPr>
          <w:rFonts w:hint="eastAsia" w:ascii="宋体" w:hAnsi="宋体"/>
          <w:sz w:val="28"/>
          <w:szCs w:val="28"/>
          <w:lang w:eastAsia="zh-CN"/>
        </w:rPr>
        <w:t>王健</w:t>
      </w:r>
    </w:p>
    <w:p>
      <w:pPr>
        <w:spacing w:line="600" w:lineRule="exact"/>
        <w:ind w:firstLine="705" w:firstLineChars="252"/>
        <w:rPr>
          <w:rFonts w:hint="eastAsia" w:ascii="宋体" w:hAnsi="宋体" w:eastAsia="宋体"/>
          <w:sz w:val="28"/>
          <w:szCs w:val="28"/>
          <w:lang w:eastAsia="zh-CN"/>
        </w:rPr>
      </w:pPr>
      <w:r>
        <w:rPr>
          <w:rFonts w:hint="eastAsia" w:ascii="宋体" w:hAnsi="宋体"/>
          <w:sz w:val="28"/>
          <w:szCs w:val="28"/>
        </w:rPr>
        <w:t>联系电话：028-6143062</w:t>
      </w:r>
      <w:r>
        <w:rPr>
          <w:rFonts w:hint="eastAsia" w:ascii="宋体" w:hAnsi="宋体"/>
          <w:sz w:val="28"/>
          <w:szCs w:val="28"/>
          <w:lang w:val="en-US" w:eastAsia="zh-CN"/>
        </w:rPr>
        <w:t>3</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752319"/>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213496268"/>
      <w:bookmarkStart w:id="15" w:name="_Toc213397010"/>
      <w:bookmarkStart w:id="16" w:name="_Toc189727030"/>
      <w:bookmarkStart w:id="17" w:name="_Toc213396946"/>
      <w:bookmarkStart w:id="18" w:name="_Toc217446032"/>
      <w:bookmarkStart w:id="19" w:name="_Toc74752320"/>
      <w:bookmarkStart w:id="20" w:name="_Toc213396760"/>
      <w:bookmarkStart w:id="21" w:name="_Toc316462344"/>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6"/>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w:t>
            </w:r>
            <w:r>
              <w:rPr>
                <w:rFonts w:hint="eastAsia" w:ascii="宋体" w:hAnsi="宋体"/>
                <w:b/>
                <w:lang w:val="en-US" w:eastAsia="zh-CN"/>
              </w:rPr>
              <w:t>330.05</w:t>
            </w:r>
            <w:r>
              <w:rPr>
                <w:rFonts w:hint="eastAsia" w:ascii="宋体" w:hAnsi="宋体"/>
                <w:b/>
              </w:rPr>
              <w:t>万元</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w:t>
            </w:r>
            <w:r>
              <w:rPr>
                <w:rFonts w:hint="eastAsia" w:ascii="宋体" w:hAnsi="宋体" w:cs="宋体"/>
                <w:b/>
                <w:lang w:val="en-US" w:eastAsia="zh-CN"/>
              </w:rPr>
              <w:t>330</w:t>
            </w:r>
            <w:r>
              <w:rPr>
                <w:rFonts w:hint="eastAsia" w:ascii="宋体" w:hAnsi="宋体" w:cs="宋体"/>
                <w:b/>
                <w:lang w:val="zh-CN"/>
              </w:rPr>
              <w:t>.</w:t>
            </w:r>
            <w:r>
              <w:rPr>
                <w:rFonts w:hint="eastAsia" w:ascii="宋体" w:hAnsi="宋体" w:cs="宋体"/>
                <w:b/>
                <w:lang w:val="en-US" w:eastAsia="zh-CN"/>
              </w:rPr>
              <w:t>05</w:t>
            </w:r>
            <w:r>
              <w:rPr>
                <w:rFonts w:hint="eastAsia" w:ascii="宋体" w:hAnsi="宋体" w:cs="宋体"/>
                <w:b/>
                <w:lang w:val="zh-CN"/>
              </w:rPr>
              <w:t>万元，</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w:t>
            </w:r>
            <w:r>
              <w:rPr>
                <w:rFonts w:hint="eastAsia" w:ascii="宋体" w:hAnsi="宋体"/>
                <w:lang w:eastAsia="zh-CN"/>
              </w:rPr>
              <w:t>区公资交易中心</w:t>
            </w:r>
            <w:r>
              <w:rPr>
                <w:rFonts w:hint="eastAsia" w:ascii="宋体" w:hAnsi="宋体"/>
              </w:rPr>
              <w:t>提出，并由</w:t>
            </w:r>
            <w:r>
              <w:rPr>
                <w:rFonts w:hint="eastAsia" w:ascii="宋体" w:hAnsi="宋体"/>
                <w:lang w:eastAsia="zh-CN"/>
              </w:rPr>
              <w:t>区公资交易中心</w:t>
            </w:r>
            <w:r>
              <w:rPr>
                <w:rFonts w:hint="eastAsia" w:ascii="宋体" w:hAnsi="宋体"/>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hint="eastAsia" w:ascii="宋体" w:hAnsi="宋体"/>
              </w:rPr>
            </w:pPr>
            <w:r>
              <w:rPr>
                <w:rFonts w:hint="eastAsia" w:ascii="宋体" w:hAnsi="宋体"/>
              </w:rPr>
              <w:t>投诉受理单位</w:t>
            </w:r>
          </w:p>
          <w:p>
            <w:pPr>
              <w:tabs>
                <w:tab w:val="left" w:pos="7665"/>
              </w:tabs>
              <w:snapToGrid w:val="0"/>
              <w:spacing w:line="360" w:lineRule="auto"/>
              <w:rPr>
                <w:rFonts w:hint="eastAsia" w:ascii="宋体" w:hAnsi="宋体"/>
              </w:rPr>
            </w:pPr>
            <w:r>
              <w:rPr>
                <w:rFonts w:hint="eastAsia" w:ascii="宋体" w:hAnsi="宋体"/>
              </w:rPr>
              <w:t>政府采购监督管理部门：成都市龙泉驿区财政局</w:t>
            </w:r>
          </w:p>
          <w:p>
            <w:pPr>
              <w:tabs>
                <w:tab w:val="left" w:pos="7665"/>
              </w:tabs>
              <w:snapToGrid w:val="0"/>
              <w:spacing w:line="360" w:lineRule="auto"/>
              <w:rPr>
                <w:rFonts w:hint="eastAsia" w:ascii="宋体" w:hAnsi="宋体"/>
              </w:rPr>
            </w:pPr>
            <w:r>
              <w:rPr>
                <w:rFonts w:hint="eastAsia" w:ascii="宋体" w:hAnsi="宋体"/>
              </w:rPr>
              <w:t>地 址：成都市龙泉驿区中街聚星楼6-7楼</w:t>
            </w:r>
          </w:p>
          <w:p>
            <w:pPr>
              <w:tabs>
                <w:tab w:val="left" w:pos="7665"/>
              </w:tabs>
              <w:snapToGrid w:val="0"/>
              <w:spacing w:line="360" w:lineRule="auto"/>
              <w:rPr>
                <w:rFonts w:hint="eastAsia" w:ascii="宋体" w:hAnsi="宋体"/>
              </w:rPr>
            </w:pPr>
            <w:r>
              <w:rPr>
                <w:rFonts w:hint="eastAsia" w:ascii="宋体" w:hAnsi="宋体"/>
              </w:rPr>
              <w:t>联系人：李先生</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74752321"/>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w:t>
      </w:r>
      <w:r>
        <w:rPr>
          <w:rFonts w:hint="eastAsia" w:ascii="宋体" w:hAnsi="宋体"/>
          <w:sz w:val="28"/>
          <w:szCs w:val="28"/>
          <w:lang w:eastAsia="zh-CN"/>
        </w:rPr>
        <w:t>区公资交易中心</w:t>
      </w:r>
      <w:r>
        <w:rPr>
          <w:rFonts w:hint="eastAsia" w:ascii="宋体" w:hAnsi="宋体"/>
          <w:sz w:val="28"/>
          <w:szCs w:val="28"/>
        </w:rPr>
        <w:t>享有。对招标文件中供应商参加本次政府采购活动应当具备的条件，招标项目技术、服务、商务及其他要求，评标细则及标准由采购人负责解释。除上述招标文件内容，其他内容由</w:t>
      </w:r>
      <w:r>
        <w:rPr>
          <w:rFonts w:hint="eastAsia" w:ascii="宋体" w:hAnsi="宋体"/>
          <w:sz w:val="28"/>
          <w:szCs w:val="28"/>
          <w:lang w:eastAsia="zh-CN"/>
        </w:rPr>
        <w:t>区公资交易中心</w:t>
      </w:r>
      <w:r>
        <w:rPr>
          <w:rFonts w:hint="eastAsia" w:ascii="宋体" w:hAnsi="宋体"/>
          <w:sz w:val="28"/>
          <w:szCs w:val="28"/>
        </w:rPr>
        <w:t>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rPr>
        <w:t>成都市龙泉驿区教育局</w:t>
      </w:r>
      <w:r>
        <w:rPr>
          <w:rFonts w:hint="eastAsia" w:ascii="宋体" w:hAnsi="宋体"/>
          <w:sz w:val="28"/>
          <w:szCs w:val="28"/>
        </w:rPr>
        <w:t>。</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w:t>
      </w:r>
      <w:r>
        <w:rPr>
          <w:rFonts w:hint="eastAsia" w:ascii="宋体" w:hAnsi="宋体"/>
          <w:sz w:val="28"/>
          <w:szCs w:val="28"/>
          <w:lang w:eastAsia="zh-CN"/>
        </w:rPr>
        <w:t>区公资交易中心</w:t>
      </w:r>
      <w:r>
        <w:rPr>
          <w:rFonts w:hint="eastAsia" w:ascii="宋体" w:hAnsi="宋体"/>
          <w:sz w:val="28"/>
          <w:szCs w:val="28"/>
        </w:rPr>
        <w:t>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23" w:name="_Toc183682344"/>
      <w:bookmarkStart w:id="24" w:name="_Toc217446036"/>
      <w:bookmarkStart w:id="25" w:name="_Toc217390843"/>
      <w:bookmarkStart w:id="26" w:name="_Toc183582207"/>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3"/>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本项</w:t>
      </w:r>
      <w:r>
        <w:rPr>
          <w:rFonts w:hint="eastAsia" w:asciiTheme="minorEastAsia" w:hAnsiTheme="minorEastAsia"/>
          <w:sz w:val="28"/>
          <w:szCs w:val="28"/>
          <w:lang w:val="zh-CN"/>
        </w:rPr>
        <w:t>目</w:t>
      </w:r>
      <w:r>
        <w:rPr>
          <w:rFonts w:hint="eastAsia" w:asciiTheme="minorEastAsia" w:hAnsiTheme="minorEastAsia"/>
          <w:b/>
          <w:sz w:val="28"/>
          <w:szCs w:val="28"/>
        </w:rPr>
        <w:t>核心产品为</w:t>
      </w:r>
      <w:r>
        <w:rPr>
          <w:rFonts w:hint="eastAsia" w:asciiTheme="minorEastAsia" w:hAnsiTheme="minorEastAsia"/>
          <w:b/>
          <w:sz w:val="28"/>
          <w:szCs w:val="28"/>
          <w:lang w:eastAsia="zh-CN"/>
        </w:rPr>
        <w:t>：详见第四章</w:t>
      </w:r>
      <w:r>
        <w:rPr>
          <w:rFonts w:hint="eastAsia" w:ascii="宋体" w:hAnsi="宋体"/>
          <w:sz w:val="28"/>
          <w:szCs w:val="28"/>
          <w:lang w:val="zh-CN"/>
        </w:rPr>
        <w:t>。</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8"/>
          <w:szCs w:val="28"/>
        </w:rPr>
      </w:pPr>
      <w:bookmarkStart w:id="27" w:name="_Toc183582210"/>
      <w:bookmarkStart w:id="28" w:name="_Toc183682347"/>
      <w:bookmarkStart w:id="29" w:name="_Toc217446039"/>
      <w:bookmarkStart w:id="30" w:name="_Toc74752322"/>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1"/>
          <w:numId w:val="5"/>
        </w:numPr>
        <w:spacing w:line="360" w:lineRule="auto"/>
        <w:jc w:val="left"/>
        <w:outlineLvl w:val="1"/>
        <w:rPr>
          <w:rFonts w:ascii="宋体" w:hAnsi="宋体"/>
          <w:b/>
          <w:bCs/>
          <w:sz w:val="28"/>
          <w:szCs w:val="28"/>
        </w:rPr>
      </w:pPr>
      <w:bookmarkStart w:id="31" w:name="_Toc183582214"/>
      <w:bookmarkStart w:id="32" w:name="_Toc217446042"/>
      <w:bookmarkStart w:id="33" w:name="_Toc89075876"/>
      <w:bookmarkStart w:id="34" w:name="_Toc77400780"/>
      <w:bookmarkStart w:id="35" w:name="_Toc183682351"/>
      <w:bookmarkStart w:id="36" w:name="_Toc74752323"/>
      <w:r>
        <w:rPr>
          <w:rFonts w:hint="eastAsia" w:ascii="宋体" w:hAnsi="宋体"/>
          <w:b/>
          <w:bCs/>
          <w:sz w:val="28"/>
          <w:szCs w:val="28"/>
        </w:rPr>
        <w:t>投标文件</w:t>
      </w:r>
      <w:bookmarkEnd w:id="31"/>
      <w:bookmarkEnd w:id="32"/>
      <w:bookmarkEnd w:id="33"/>
      <w:bookmarkEnd w:id="34"/>
      <w:bookmarkEnd w:id="35"/>
      <w:bookmarkEnd w:id="36"/>
    </w:p>
    <w:p>
      <w:pPr>
        <w:keepNext/>
        <w:keepLines/>
        <w:numPr>
          <w:ilvl w:val="2"/>
          <w:numId w:val="5"/>
        </w:numPr>
        <w:spacing w:line="360" w:lineRule="auto"/>
        <w:ind w:left="0" w:firstLine="0"/>
        <w:outlineLvl w:val="2"/>
        <w:rPr>
          <w:rFonts w:ascii="宋体" w:hAnsi="宋体"/>
          <w:b/>
          <w:bCs/>
          <w:sz w:val="28"/>
          <w:szCs w:val="28"/>
        </w:rPr>
      </w:pPr>
      <w:bookmarkStart w:id="37" w:name="_Toc217446043"/>
      <w:bookmarkStart w:id="38" w:name="_Toc183682352"/>
      <w:bookmarkStart w:id="39" w:name="_Toc183582215"/>
      <w:r>
        <w:rPr>
          <w:rFonts w:hint="eastAsia" w:ascii="宋体" w:hAnsi="宋体"/>
          <w:b/>
          <w:bCs/>
          <w:sz w:val="28"/>
          <w:szCs w:val="28"/>
        </w:rPr>
        <w:t>投标文件的语言</w:t>
      </w:r>
      <w:bookmarkEnd w:id="37"/>
      <w:bookmarkEnd w:id="38"/>
      <w:bookmarkEnd w:id="39"/>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lang w:eastAsia="zh-CN"/>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0" w:name="_Toc183582216"/>
      <w:bookmarkStart w:id="41" w:name="_Toc217446044"/>
      <w:bookmarkStart w:id="42" w:name="_Toc183682353"/>
      <w:r>
        <w:rPr>
          <w:rFonts w:hint="eastAsia" w:ascii="宋体" w:hAnsi="宋体"/>
          <w:b/>
          <w:bCs/>
          <w:sz w:val="28"/>
          <w:szCs w:val="28"/>
        </w:rPr>
        <w:t>计量单位</w:t>
      </w:r>
      <w:bookmarkEnd w:id="40"/>
      <w:bookmarkEnd w:id="41"/>
      <w:bookmarkEnd w:id="42"/>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3" w:name="_Toc217446045"/>
      <w:r>
        <w:rPr>
          <w:rFonts w:hint="eastAsia" w:ascii="宋体" w:hAnsi="宋体"/>
          <w:b/>
          <w:bCs/>
          <w:sz w:val="28"/>
          <w:szCs w:val="28"/>
        </w:rPr>
        <w:t>投标货币</w:t>
      </w:r>
      <w:bookmarkEnd w:id="43"/>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4" w:name="_Toc217446046"/>
      <w:r>
        <w:rPr>
          <w:rFonts w:hint="eastAsia" w:ascii="宋体" w:hAnsi="宋体"/>
          <w:b/>
          <w:bCs/>
          <w:sz w:val="28"/>
          <w:szCs w:val="28"/>
        </w:rPr>
        <w:t>联合体投标</w:t>
      </w:r>
      <w:bookmarkEnd w:id="44"/>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5" w:name="_Toc217446047"/>
      <w:r>
        <w:rPr>
          <w:rFonts w:hint="eastAsia" w:ascii="宋体" w:hAnsi="宋体"/>
          <w:b/>
          <w:bCs/>
          <w:sz w:val="28"/>
          <w:szCs w:val="28"/>
        </w:rPr>
        <w:t>知识产权</w:t>
      </w:r>
      <w:bookmarkEnd w:id="45"/>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6" w:name="_Toc183682354"/>
      <w:bookmarkStart w:id="47" w:name="_Toc183582217"/>
      <w:bookmarkStart w:id="48" w:name="_Toc217446048"/>
      <w:r>
        <w:rPr>
          <w:rFonts w:hint="eastAsia" w:ascii="宋体" w:hAnsi="宋体"/>
          <w:b/>
          <w:bCs/>
          <w:sz w:val="28"/>
          <w:szCs w:val="28"/>
        </w:rPr>
        <w:t>投标文件的组成</w:t>
      </w:r>
      <w:bookmarkEnd w:id="46"/>
      <w:bookmarkEnd w:id="47"/>
      <w:bookmarkEnd w:id="48"/>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2019或2020会计年度资产负债表复印件（说明：投标人成立时间至递交投标文件截止时间止不足一年的，提供成立后任意时段的资产负债表复印件）；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0"/>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keepNext/>
        <w:keepLines/>
        <w:numPr>
          <w:ilvl w:val="2"/>
          <w:numId w:val="5"/>
        </w:numPr>
        <w:spacing w:line="360" w:lineRule="auto"/>
        <w:ind w:left="0" w:firstLine="0"/>
        <w:outlineLvl w:val="2"/>
        <w:rPr>
          <w:rFonts w:ascii="宋体" w:hAnsi="宋体"/>
          <w:b/>
          <w:bCs/>
          <w:sz w:val="28"/>
          <w:szCs w:val="28"/>
        </w:rPr>
      </w:pPr>
      <w:bookmarkStart w:id="49" w:name="_Toc183582211"/>
      <w:bookmarkStart w:id="50" w:name="_Toc183682348"/>
      <w:bookmarkStart w:id="51" w:name="_Toc217446040"/>
      <w:r>
        <w:rPr>
          <w:rFonts w:hint="eastAsia" w:ascii="宋体" w:hAnsi="宋体"/>
          <w:b/>
          <w:bCs/>
          <w:sz w:val="28"/>
          <w:szCs w:val="28"/>
        </w:rPr>
        <w:t>招标文件的澄清</w:t>
      </w:r>
      <w:bookmarkEnd w:id="49"/>
      <w:bookmarkEnd w:id="50"/>
      <w:r>
        <w:rPr>
          <w:rFonts w:hint="eastAsia" w:ascii="宋体" w:hAnsi="宋体"/>
          <w:b/>
          <w:bCs/>
          <w:sz w:val="28"/>
          <w:szCs w:val="28"/>
        </w:rPr>
        <w:t>和修改</w:t>
      </w:r>
      <w:bookmarkEnd w:id="51"/>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lang w:eastAsia="zh-CN"/>
        </w:rPr>
        <w:t>区公资交易中心</w:t>
      </w:r>
      <w:r>
        <w:rPr>
          <w:rFonts w:hint="eastAsia" w:ascii="宋体" w:hAnsi="宋体"/>
          <w:sz w:val="28"/>
          <w:szCs w:val="28"/>
        </w:rPr>
        <w:t>可以对已发出的招标文件进行必要的澄清或者修改。</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w:t>
      </w:r>
      <w:r>
        <w:rPr>
          <w:rFonts w:hint="eastAsia" w:ascii="宋体" w:hAnsi="宋体"/>
          <w:sz w:val="28"/>
          <w:szCs w:val="28"/>
          <w:lang w:eastAsia="zh-CN"/>
        </w:rPr>
        <w:t>区公资交易中心</w:t>
      </w:r>
      <w:r>
        <w:rPr>
          <w:rFonts w:hint="eastAsia" w:ascii="宋体" w:hAnsi="宋体"/>
          <w:sz w:val="28"/>
          <w:szCs w:val="28"/>
        </w:rPr>
        <w:t>应当在投标截止时间至少15日前，通过云平台通知所有获取招标文件的潜在投标人；不足15日的，采购人或</w:t>
      </w:r>
      <w:r>
        <w:rPr>
          <w:rFonts w:hint="eastAsia" w:ascii="宋体" w:hAnsi="宋体"/>
          <w:sz w:val="28"/>
          <w:szCs w:val="28"/>
          <w:lang w:eastAsia="zh-CN"/>
        </w:rPr>
        <w:t>区公资交易中心</w:t>
      </w:r>
      <w:r>
        <w:rPr>
          <w:rFonts w:hint="eastAsia" w:ascii="宋体" w:hAnsi="宋体"/>
          <w:sz w:val="28"/>
          <w:szCs w:val="28"/>
        </w:rPr>
        <w:t>应当顺延提交投标文件的截止时间。</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7"/>
        <w:numPr>
          <w:ilvl w:val="0"/>
          <w:numId w:val="22"/>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w:t>
      </w:r>
    </w:p>
    <w:p>
      <w:pPr>
        <w:tabs>
          <w:tab w:val="left" w:pos="1134"/>
        </w:tabs>
        <w:spacing w:line="360" w:lineRule="auto"/>
        <w:rPr>
          <w:rFonts w:ascii="宋体" w:hAnsi="宋体"/>
          <w:b/>
          <w:sz w:val="28"/>
          <w:szCs w:val="28"/>
        </w:rPr>
      </w:pPr>
      <w:r>
        <w:rPr>
          <w:rFonts w:hint="eastAsia" w:ascii="宋体" w:hAnsi="宋体"/>
          <w:b/>
          <w:sz w:val="28"/>
          <w:szCs w:val="28"/>
        </w:rPr>
        <w:t>中填写的报价为准。）；</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r>
        <w:rPr>
          <w:rFonts w:ascii="宋体" w:hAnsi="宋体"/>
          <w:b/>
          <w:sz w:val="28"/>
          <w:szCs w:val="28"/>
        </w:rPr>
        <w:t>1.</w:t>
      </w:r>
      <w:r>
        <w:rPr>
          <w:rFonts w:hint="eastAsia" w:ascii="宋体" w:hAnsi="宋体"/>
          <w:b/>
          <w:sz w:val="28"/>
          <w:szCs w:val="28"/>
        </w:rPr>
        <w:t>分项报价明细表中要求填写品牌、规格型号、制造商、进口或国产的，投标人必须载明其投标产品的品牌、规格型号、制造商、进口或国产；2.报价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rPr>
        <w:t>监狱企业、残疾人福利性单位制造的货物清单及价格</w:t>
      </w:r>
      <w:r>
        <w:rPr>
          <w:rFonts w:ascii="宋体" w:hAnsi="宋体" w:eastAsia="宋体" w:cs="宋体"/>
          <w:sz w:val="24"/>
          <w:szCs w:val="24"/>
        </w:rPr>
        <w:t>（本项目专门面向中小企业，投标产品应为中小或监狱企业、残疾人福利性单位制造）</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中小企业声明函（）；</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残疾人福利性单位声明函（）；</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投标产品</w:t>
      </w:r>
      <w:r>
        <w:rPr>
          <w:rFonts w:ascii="宋体" w:hAnsi="宋体"/>
          <w:b/>
          <w:sz w:val="28"/>
          <w:szCs w:val="28"/>
        </w:rPr>
        <w:t>制造商属于监狱企业的证明文件复印件</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bookmarkStart w:id="52" w:name="_Toc316292020"/>
      <w:bookmarkEnd w:id="52"/>
      <w:bookmarkStart w:id="53" w:name="_Toc316292019"/>
      <w:bookmarkEnd w:id="53"/>
      <w:bookmarkStart w:id="54" w:name="_Toc316291396"/>
      <w:bookmarkEnd w:id="54"/>
      <w:bookmarkStart w:id="55" w:name="_Toc316291395"/>
      <w:bookmarkEnd w:id="55"/>
      <w:bookmarkStart w:id="56" w:name="_Toc217446049"/>
      <w:bookmarkStart w:id="57" w:name="_Toc183582218"/>
      <w:bookmarkStart w:id="58" w:name="_Toc183682355"/>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217446050"/>
      <w:bookmarkStart w:id="60" w:name="_Toc183582223"/>
      <w:bookmarkStart w:id="61" w:name="_Toc18368236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1400"/>
      <w:bookmarkEnd w:id="62"/>
      <w:bookmarkStart w:id="63" w:name="_Toc316292024"/>
      <w:bookmarkEnd w:id="63"/>
      <w:bookmarkStart w:id="64" w:name="_Toc183682361"/>
      <w:bookmarkStart w:id="65" w:name="_Toc183582224"/>
      <w:bookmarkStart w:id="66" w:name="_Toc217446051"/>
      <w:r>
        <w:rPr>
          <w:rFonts w:hint="eastAsia" w:ascii="宋体" w:hAnsi="宋体"/>
          <w:b/>
          <w:bCs/>
          <w:sz w:val="28"/>
          <w:szCs w:val="28"/>
        </w:rPr>
        <w:t>投标有效期</w:t>
      </w:r>
      <w:bookmarkEnd w:id="64"/>
      <w:bookmarkEnd w:id="65"/>
      <w:bookmarkEnd w:id="66"/>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67" w:name="_Toc183682364"/>
      <w:bookmarkStart w:id="68" w:name="_Toc183582227"/>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w:t>
      </w:r>
      <w:r>
        <w:rPr>
          <w:rFonts w:hint="eastAsia" w:ascii="宋体" w:hAnsi="宋体" w:eastAsiaTheme="minorEastAsia" w:cstheme="minorBidi"/>
          <w:bCs/>
          <w:sz w:val="28"/>
          <w:szCs w:val="28"/>
          <w:lang w:eastAsia="zh-CN"/>
        </w:rPr>
        <w:t>区公资交易中心</w:t>
      </w:r>
      <w:r>
        <w:rPr>
          <w:rFonts w:hint="eastAsia" w:ascii="宋体" w:hAnsi="宋体" w:eastAsiaTheme="minorEastAsia" w:cstheme="minorBidi"/>
          <w:bCs/>
          <w:sz w:val="28"/>
          <w:szCs w:val="28"/>
        </w:rPr>
        <w:t>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70" w:name="_Toc316475587"/>
      <w:bookmarkEnd w:id="70"/>
      <w:bookmarkStart w:id="71" w:name="_Toc316475586"/>
      <w:bookmarkEnd w:id="71"/>
      <w:bookmarkStart w:id="72" w:name="_Toc183582228"/>
      <w:bookmarkStart w:id="73" w:name="_Toc183682365"/>
      <w:bookmarkStart w:id="74" w:name="_Toc217446055"/>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w:t>
      </w:r>
      <w:r>
        <w:rPr>
          <w:rFonts w:hint="eastAsia" w:ascii="宋体" w:hAnsi="宋体"/>
          <w:sz w:val="28"/>
          <w:szCs w:val="28"/>
          <w:lang w:eastAsia="zh-CN"/>
        </w:rPr>
        <w:t>区公资交易中心</w:t>
      </w:r>
      <w:r>
        <w:rPr>
          <w:rFonts w:hint="eastAsia" w:ascii="宋体" w:hAnsi="宋体"/>
          <w:sz w:val="28"/>
          <w:szCs w:val="28"/>
        </w:rPr>
        <w:t>开启解密后，进行线上解密。</w:t>
      </w:r>
      <w:r>
        <w:rPr>
          <w:rFonts w:hint="eastAsia" w:ascii="宋体" w:hAnsi="宋体"/>
          <w:bCs/>
          <w:sz w:val="28"/>
          <w:szCs w:val="28"/>
        </w:rPr>
        <w:t>除因</w:t>
      </w:r>
      <w:r>
        <w:rPr>
          <w:rFonts w:hint="eastAsia" w:ascii="宋体" w:hAnsi="宋体"/>
          <w:sz w:val="28"/>
          <w:szCs w:val="28"/>
          <w:lang w:eastAsia="zh-CN"/>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75" w:name="_Toc89075878"/>
      <w:bookmarkStart w:id="76" w:name="_Toc183582231"/>
      <w:bookmarkStart w:id="77" w:name="_Toc77400782"/>
      <w:bookmarkStart w:id="78" w:name="_Toc183682368"/>
      <w:bookmarkStart w:id="79" w:name="_Toc74752324"/>
      <w:bookmarkStart w:id="80" w:name="_Toc217446056"/>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开启解密后，投标人进行线上解密。开启解密后，投标人应在</w:t>
      </w:r>
      <w:r>
        <w:rPr>
          <w:rFonts w:hint="eastAsia" w:ascii="宋体" w:hAnsi="宋体" w:eastAsia="宋体" w:cs="宋体"/>
          <w:b/>
          <w:sz w:val="28"/>
          <w:szCs w:val="28"/>
          <w:lang w:val="en-US" w:eastAsia="zh-CN"/>
        </w:rPr>
        <w:t>6</w:t>
      </w:r>
      <w:r>
        <w:rPr>
          <w:rFonts w:hint="eastAsia" w:ascii="宋体" w:hAnsi="宋体" w:eastAsia="宋体" w:cs="宋体"/>
          <w:b/>
          <w:sz w:val="28"/>
          <w:szCs w:val="28"/>
        </w:rPr>
        <w:t>0分钟内，使用加密该投标文件的CA数字证书在线完成投标文件的解密。除因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相关工作人员有需要回避的情形的，及时向工作人员提出询问或者回避申请。采购人、</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1" w:name="_Toc183682375"/>
      <w:bookmarkStart w:id="82" w:name="_Toc183582238"/>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682377"/>
      <w:bookmarkStart w:id="86"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87" w:name="_Toc74752325"/>
      <w:r>
        <w:rPr>
          <w:rFonts w:hint="eastAsia" w:ascii="宋体" w:hAnsi="宋体"/>
          <w:b/>
          <w:bCs/>
          <w:sz w:val="28"/>
          <w:szCs w:val="28"/>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7"/>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582243"/>
      <w:bookmarkStart w:id="97" w:name="_Toc183682380"/>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98" w:name="_Toc74752326"/>
      <w:r>
        <w:rPr>
          <w:rFonts w:hint="eastAsia" w:ascii="宋体" w:hAnsi="宋体"/>
          <w:b/>
          <w:bCs/>
          <w:sz w:val="28"/>
          <w:szCs w:val="28"/>
        </w:rPr>
        <w:t>投标纪律要求</w:t>
      </w:r>
      <w:bookmarkEnd w:id="95"/>
      <w:bookmarkEnd w:id="98"/>
    </w:p>
    <w:p>
      <w:pPr>
        <w:keepNext/>
        <w:keepLines/>
        <w:numPr>
          <w:ilvl w:val="2"/>
          <w:numId w:val="5"/>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lang w:eastAsia="zh-CN"/>
        </w:rPr>
        <w:t>区公资交易中心</w:t>
      </w:r>
      <w:r>
        <w:rPr>
          <w:rFonts w:hint="eastAsia" w:ascii="宋体" w:hAnsi="宋体"/>
          <w:sz w:val="28"/>
          <w:szCs w:val="28"/>
        </w:rPr>
        <w:t>、其他投标人恶意串通；</w:t>
      </w:r>
    </w:p>
    <w:p>
      <w:pPr>
        <w:numPr>
          <w:ilvl w:val="1"/>
          <w:numId w:val="28"/>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lang w:eastAsia="zh-CN"/>
        </w:rPr>
        <w:t>区公资交易中心</w:t>
      </w:r>
      <w:r>
        <w:rPr>
          <w:rFonts w:hint="eastAsia" w:ascii="宋体" w:hAnsi="宋体"/>
          <w:sz w:val="28"/>
          <w:szCs w:val="28"/>
        </w:rPr>
        <w:t>、评标委员会成员行贿或者提供其他不正当利益；</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lang w:eastAsia="zh-CN"/>
        </w:rPr>
        <w:t>区公资交易中心</w:t>
      </w:r>
      <w:r>
        <w:rPr>
          <w:rFonts w:hint="eastAsia" w:ascii="宋体" w:hAnsi="宋体"/>
          <w:sz w:val="28"/>
          <w:szCs w:val="28"/>
        </w:rPr>
        <w:t>进行协商谈判；</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8"/>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lang w:eastAsia="zh-CN"/>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1" w:name="_Toc217446078"/>
      <w:bookmarkStart w:id="102" w:name="_Toc74752327"/>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30"/>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0"/>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1"/>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1"/>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lang w:eastAsia="zh-CN"/>
        </w:rPr>
        <w:t>区公资交易中心</w:t>
      </w:r>
      <w:r>
        <w:rPr>
          <w:rFonts w:hint="eastAsia" w:ascii="宋体" w:hAnsi="宋体"/>
          <w:sz w:val="28"/>
          <w:szCs w:val="28"/>
        </w:rPr>
        <w:t>提出。</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供应商对</w:t>
      </w:r>
      <w:r>
        <w:rPr>
          <w:rFonts w:hint="eastAsia" w:ascii="宋体" w:hAnsi="宋体"/>
          <w:sz w:val="28"/>
          <w:szCs w:val="28"/>
          <w:lang w:eastAsia="zh-CN"/>
        </w:rPr>
        <w:t>区公资交易中心</w:t>
      </w:r>
      <w:r>
        <w:rPr>
          <w:rFonts w:hint="eastAsia" w:ascii="宋体" w:hAnsi="宋体"/>
          <w:sz w:val="28"/>
          <w:szCs w:val="28"/>
        </w:rPr>
        <w:t>的质疑答复不满意，或者</w:t>
      </w:r>
      <w:r>
        <w:rPr>
          <w:rFonts w:hint="eastAsia" w:ascii="宋体" w:hAnsi="宋体"/>
          <w:sz w:val="28"/>
          <w:szCs w:val="28"/>
          <w:lang w:eastAsia="zh-CN"/>
        </w:rPr>
        <w:t>区公资交易中心</w:t>
      </w:r>
      <w:r>
        <w:rPr>
          <w:rFonts w:hint="eastAsia" w:ascii="宋体" w:hAnsi="宋体"/>
          <w:sz w:val="28"/>
          <w:szCs w:val="28"/>
        </w:rPr>
        <w:t>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04" w:name="_Toc74752328"/>
      <w:r>
        <w:rPr>
          <w:rFonts w:hint="eastAsia" w:ascii="宋体" w:hAnsi="宋体"/>
          <w:b/>
          <w:bCs/>
          <w:sz w:val="28"/>
          <w:szCs w:val="28"/>
        </w:rPr>
        <w:t>中小企业政府采购信用融资</w:t>
      </w:r>
      <w:bookmarkEnd w:id="104"/>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6292049"/>
      <w:bookmarkEnd w:id="105"/>
      <w:bookmarkStart w:id="106" w:name="_Toc316292050"/>
      <w:bookmarkEnd w:id="106"/>
      <w:bookmarkStart w:id="107" w:name="_Toc315871046"/>
      <w:bookmarkEnd w:id="107"/>
      <w:bookmarkStart w:id="108" w:name="_Toc316292048"/>
      <w:bookmarkEnd w:id="108"/>
      <w:bookmarkStart w:id="109" w:name="_Toc315871049"/>
      <w:bookmarkEnd w:id="109"/>
      <w:bookmarkStart w:id="110" w:name="_Toc316292051"/>
      <w:bookmarkEnd w:id="110"/>
      <w:bookmarkStart w:id="111" w:name="_Toc315871048"/>
      <w:bookmarkEnd w:id="111"/>
      <w:bookmarkStart w:id="112" w:name="_Toc315871047"/>
      <w:bookmarkEnd w:id="112"/>
      <w:bookmarkStart w:id="113" w:name="_Toc315871050"/>
      <w:bookmarkEnd w:id="113"/>
      <w:bookmarkStart w:id="114" w:name="_Toc315871045"/>
      <w:bookmarkEnd w:id="114"/>
      <w:bookmarkStart w:id="115" w:name="_Toc316292052"/>
      <w:bookmarkEnd w:id="115"/>
      <w:bookmarkStart w:id="116" w:name="_Toc74752329"/>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74752330"/>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hint="eastAsia" w:ascii="宋体" w:hAnsi="宋体" w:eastAsia="宋体"/>
          <w:b/>
          <w:bCs/>
          <w:sz w:val="32"/>
          <w:szCs w:val="32"/>
          <w:lang w:eastAsia="zh-CN"/>
        </w:rPr>
      </w:pPr>
      <w:r>
        <w:rPr>
          <w:rFonts w:hint="eastAsia" w:ascii="宋体" w:hAnsi="宋体"/>
          <w:b/>
          <w:bCs/>
          <w:sz w:val="32"/>
          <w:szCs w:val="32"/>
        </w:rPr>
        <w:t>项目名称：</w:t>
      </w:r>
      <w:r>
        <w:rPr>
          <w:rFonts w:hint="eastAsia" w:ascii="宋体" w:hAnsi="宋体"/>
          <w:b/>
          <w:bCs/>
          <w:sz w:val="32"/>
          <w:szCs w:val="32"/>
          <w:lang w:eastAsia="zh-CN"/>
        </w:rPr>
        <w:t>成都市龙泉驿区教育局2021年新建永丰家园小学和十陵来龙小学办公家具采购项目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龙泉驿政采（2021）A0009号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pStyle w:val="2"/>
      </w:pPr>
    </w:p>
    <w:p>
      <w:pPr>
        <w:keepNext/>
        <w:keepLines/>
        <w:numPr>
          <w:ilvl w:val="1"/>
          <w:numId w:val="5"/>
        </w:numPr>
        <w:spacing w:before="260" w:after="260" w:line="360" w:lineRule="auto"/>
        <w:jc w:val="left"/>
        <w:outlineLvl w:val="1"/>
        <w:rPr>
          <w:rFonts w:ascii="宋体" w:hAnsi="宋体"/>
          <w:b/>
          <w:bCs/>
          <w:sz w:val="28"/>
          <w:szCs w:val="28"/>
        </w:rPr>
      </w:pPr>
      <w:bookmarkStart w:id="118" w:name="_Toc74752331"/>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52184753"/>
      <w:bookmarkStart w:id="121" w:name="_Toc146903609"/>
      <w:bookmarkStart w:id="122" w:name="_Toc119203988"/>
      <w:bookmarkStart w:id="123" w:name="_Toc119295087"/>
      <w:bookmarkStart w:id="124" w:name="_Toc119296788"/>
      <w:r>
        <w:rPr>
          <w:rFonts w:hint="eastAsia" w:ascii="宋体" w:hAnsi="宋体"/>
          <w:sz w:val="28"/>
          <w:szCs w:val="28"/>
        </w:rPr>
        <w:t>致：</w:t>
      </w:r>
      <w:bookmarkEnd w:id="119"/>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lang w:eastAsia="zh-CN"/>
        </w:rPr>
        <w:t>成都市龙泉驿区教育局2021年新建永丰家园小学和十陵来龙小学办公家具采购项目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龙泉驿政采（2021）A0009号</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125"/>
    </w:p>
    <w:p>
      <w:pPr>
        <w:widowControl/>
        <w:numPr>
          <w:ilvl w:val="2"/>
          <w:numId w:val="33"/>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sz w:val="28"/>
          <w:szCs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成都市龙泉驿区教育局2021年新建永丰家园小学和十陵来龙小学办公家具采购项目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龙泉驿政采（2021）A0009号</w:t>
      </w:r>
      <w:r>
        <w:rPr>
          <w:rFonts w:hint="eastAsia" w:ascii="宋体" w:hAnsi="宋体"/>
          <w:b/>
          <w:sz w:val="28"/>
          <w:szCs w:val="28"/>
          <w:u w:val="single"/>
        </w:rPr>
        <w:t>）</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127" w:name="_Toc74752332"/>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lang w:eastAsia="zh-CN"/>
        </w:rPr>
        <w:t>成都市龙泉驿区教育局2021年新建永丰家园小学和十陵来龙小学办公家具采购项目</w:t>
      </w:r>
      <w:r>
        <w:rPr>
          <w:rFonts w:hint="eastAsia" w:ascii="宋体" w:hAnsi="宋体"/>
          <w:b/>
          <w:bCs/>
          <w:sz w:val="28"/>
          <w:szCs w:val="28"/>
          <w:u w:val="single"/>
        </w:rPr>
        <w:t>”（项目编号：</w:t>
      </w:r>
      <w:r>
        <w:rPr>
          <w:rFonts w:hint="eastAsia" w:ascii="宋体" w:hAnsi="宋体"/>
          <w:b/>
          <w:bCs/>
          <w:sz w:val="28"/>
          <w:szCs w:val="28"/>
          <w:u w:val="single"/>
          <w:lang w:eastAsia="zh-CN"/>
        </w:rPr>
        <w:t>龙泉驿政采（2021）A0009号</w:t>
      </w:r>
      <w:r>
        <w:rPr>
          <w:rFonts w:hint="eastAsia" w:ascii="宋体" w:hAnsi="宋体"/>
          <w:b/>
          <w:bCs/>
          <w:sz w:val="28"/>
          <w:szCs w:val="28"/>
          <w:u w:val="single"/>
        </w:rPr>
        <w:t>）</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314574804"/>
      <w:bookmarkStart w:id="129" w:name="_Toc240367172"/>
      <w:bookmarkStart w:id="130" w:name="_Toc231030275"/>
      <w:bookmarkStart w:id="131" w:name="_Toc265494342"/>
      <w:bookmarkStart w:id="132" w:name="_Toc239846734"/>
      <w:bookmarkStart w:id="133" w:name="_Toc229802674"/>
      <w:bookmarkStart w:id="134" w:name="_Toc239849853"/>
      <w:bookmarkStart w:id="135" w:name="_Toc240865266"/>
      <w:bookmarkStart w:id="136" w:name="_Toc237145395"/>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63753605"/>
      <w:bookmarkStart w:id="141" w:name="_Toc263768870"/>
      <w:bookmarkStart w:id="142" w:name="_Toc220299393"/>
      <w:bookmarkStart w:id="143" w:name="_Toc217446083"/>
      <w:r>
        <w:rPr>
          <w:rFonts w:hint="eastAsia" w:ascii="宋体" w:hAnsi="宋体"/>
          <w:b/>
          <w:bCs/>
          <w:sz w:val="28"/>
          <w:szCs w:val="28"/>
        </w:rPr>
        <w:t>投标人基本情况表</w:t>
      </w:r>
      <w:bookmarkEnd w:id="139"/>
    </w:p>
    <w:tbl>
      <w:tblPr>
        <w:tblStyle w:val="4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302997928"/>
      <w:bookmarkStart w:id="145" w:name="_Toc263768877"/>
      <w:bookmarkStart w:id="146" w:name="_Toc263753619"/>
      <w:r>
        <w:rPr>
          <w:rFonts w:hint="eastAsia" w:ascii="宋体" w:hAnsi="宋体"/>
          <w:b/>
          <w:bCs/>
          <w:sz w:val="28"/>
          <w:szCs w:val="28"/>
        </w:rPr>
        <w:t>投标产品技术性能、技术参数和配置的详细描述</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项目名称：</w:t>
      </w:r>
      <w:r>
        <w:rPr>
          <w:rFonts w:hint="eastAsia" w:ascii="宋体" w:hAnsi="宋体"/>
          <w:b/>
          <w:sz w:val="28"/>
          <w:u w:val="single"/>
          <w:lang w:eastAsia="zh-CN"/>
        </w:rPr>
        <w:t>成都市龙泉驿区教育局2021年新建永丰家园小学和十陵来龙小学办公家具采购项目</w:t>
      </w:r>
    </w:p>
    <w:p>
      <w:pPr>
        <w:snapToGrid w:val="0"/>
        <w:spacing w:line="360" w:lineRule="auto"/>
        <w:ind w:right="-624" w:rightChars="-297"/>
        <w:rPr>
          <w:rFonts w:hint="eastAsia" w:ascii="宋体" w:hAnsi="宋体" w:eastAsia="宋体"/>
          <w:lang w:eastAsia="zh-CN"/>
        </w:rPr>
      </w:pPr>
      <w:r>
        <w:rPr>
          <w:rFonts w:hint="eastAsia" w:ascii="宋体" w:hAnsi="宋体"/>
          <w:b/>
          <w:sz w:val="28"/>
        </w:rPr>
        <w:t>项目编号：</w:t>
      </w:r>
      <w:r>
        <w:rPr>
          <w:rFonts w:hint="eastAsia" w:ascii="宋体" w:hAnsi="宋体"/>
          <w:b/>
          <w:sz w:val="28"/>
          <w:szCs w:val="28"/>
          <w:u w:val="single"/>
          <w:lang w:eastAsia="zh-CN"/>
        </w:rPr>
        <w:t>龙泉驿政采（2021）A0009号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rPr>
        <w:t>项目名称：</w:t>
      </w:r>
      <w:r>
        <w:rPr>
          <w:rFonts w:hint="eastAsia" w:ascii="宋体" w:hAnsi="宋体"/>
          <w:b/>
          <w:sz w:val="28"/>
          <w:szCs w:val="28"/>
          <w:u w:val="single"/>
          <w:lang w:eastAsia="zh-CN"/>
        </w:rPr>
        <w:t>成都市龙泉驿区教育局2021年新建永丰家园小学和十陵来龙小学办公家具采购项目</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项目编号：</w:t>
      </w:r>
      <w:r>
        <w:rPr>
          <w:rFonts w:hint="eastAsia" w:ascii="宋体" w:hAnsi="宋体"/>
          <w:b/>
          <w:sz w:val="28"/>
          <w:u w:val="single"/>
          <w:lang w:eastAsia="zh-CN"/>
        </w:rPr>
        <w:t>龙泉驿政采（2021）A0009号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成都市龙泉驿区教育局2021年新建永丰家园小学和十陵来龙小学办公家具采购项目</w:t>
      </w:r>
    </w:p>
    <w:p>
      <w:pPr>
        <w:snapToGrid w:val="0"/>
        <w:spacing w:line="360" w:lineRule="auto"/>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u w:val="single"/>
          <w:lang w:eastAsia="zh-CN"/>
        </w:rPr>
        <w:t>龙泉驿政采（2021）A0009号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成都市龙泉驿区教育局2021年新建永丰家园小学和十陵来龙小学办公家具采购项目</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szCs w:val="28"/>
          <w:u w:val="single"/>
          <w:lang w:eastAsia="zh-CN"/>
        </w:rPr>
        <w:t>龙泉驿政采（2021）A0009号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为本项目提供的所有产品、辅材中</w:t>
      </w:r>
      <w:r>
        <w:rPr>
          <w:rFonts w:ascii="宋体" w:hAnsi="宋体" w:cs="宋体"/>
          <w:kern w:val="0"/>
          <w:sz w:val="28"/>
          <w:szCs w:val="28"/>
        </w:rPr>
        <w:t>属于《国家强制性产品认证目录》范围内产品的，均通过国家强制性产品认证并取得认证证书。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cs="宋体"/>
          <w:kern w:val="0"/>
          <w:sz w:val="28"/>
          <w:szCs w:val="28"/>
        </w:rPr>
      </w:pPr>
      <w:r>
        <w:rPr>
          <w:rFonts w:hint="eastAsia" w:ascii="宋体" w:hAnsi="宋体"/>
          <w:sz w:val="28"/>
          <w:szCs w:val="28"/>
        </w:rPr>
        <w:t>为本项目提供的所有产品、辅材符合现行的强制性国家相关标准、行业标准。</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我方为本项目提供的所有产品中属于节能产品政府采购品目清单中的政府强制采购产品的，均应具有国家确定的认证机构出具的有效期内的节能产品认证证书。</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r>
        <w:rPr>
          <w:rFonts w:hint="eastAsia" w:ascii="宋体" w:hAnsi="宋体"/>
          <w:b/>
          <w:bCs/>
          <w:sz w:val="28"/>
          <w:szCs w:val="28"/>
        </w:rPr>
        <w:t xml:space="preserve"> </w:t>
      </w:r>
      <w:bookmarkStart w:id="148" w:name="_Toc74752333"/>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hint="eastAsia" w:ascii="宋体" w:hAnsi="宋体" w:eastAsia="宋体"/>
          <w:b/>
          <w:bCs/>
          <w:sz w:val="28"/>
          <w:szCs w:val="28"/>
          <w:lang w:eastAsia="zh-CN"/>
        </w:rPr>
      </w:pPr>
      <w:r>
        <w:rPr>
          <w:rFonts w:hint="eastAsia" w:ascii="宋体" w:hAnsi="宋体"/>
          <w:b/>
          <w:bCs/>
          <w:sz w:val="28"/>
          <w:szCs w:val="28"/>
        </w:rPr>
        <w:t>标项1：</w:t>
      </w:r>
      <w:r>
        <w:rPr>
          <w:rFonts w:hint="eastAsia" w:ascii="宋体" w:hAnsi="宋体"/>
          <w:b/>
          <w:bCs/>
          <w:sz w:val="28"/>
          <w:szCs w:val="28"/>
          <w:lang w:eastAsia="zh-CN"/>
        </w:rPr>
        <w:t>成都市龙泉驿区教育局2021年新建永丰家园小学和十陵来龙小学办公家具采购项目</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6"/>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hint="eastAsia" w:ascii="宋体" w:hAnsi="宋体" w:eastAsia="宋体" w:cs="Times New Roman"/>
                <w:szCs w:val="28"/>
                <w:lang w:eastAsia="zh-CN"/>
              </w:rPr>
            </w:pPr>
            <w:r>
              <w:rPr>
                <w:rFonts w:hint="eastAsia" w:ascii="宋体" w:hAnsi="宋体" w:eastAsia="宋体" w:cs="Times New Roman"/>
                <w:szCs w:val="28"/>
                <w:lang w:eastAsia="zh-CN"/>
              </w:rPr>
              <w:t>（请供应商根据参数填写）</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3</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4</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5</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6</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7</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8</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9</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419" w:firstLineChars="149"/>
        <w:rPr>
          <w:rFonts w:ascii="宋体" w:hAnsi="宋体"/>
          <w:b/>
          <w:sz w:val="28"/>
          <w:szCs w:val="28"/>
        </w:rPr>
      </w:pPr>
      <w:r>
        <w:rPr>
          <w:rFonts w:hint="eastAsia" w:ascii="宋体" w:hAnsi="宋体"/>
          <w:b/>
          <w:sz w:val="28"/>
          <w:szCs w:val="28"/>
        </w:rPr>
        <w:t>1、进口产品是指通过中国海关报关验放进入中国境内且产自关境外的产品。</w:t>
      </w:r>
    </w:p>
    <w:p>
      <w:pPr>
        <w:spacing w:line="360" w:lineRule="auto"/>
        <w:ind w:firstLine="422" w:firstLineChars="150"/>
        <w:rPr>
          <w:rFonts w:ascii="宋体" w:hAnsi="宋体"/>
          <w:b/>
          <w:sz w:val="28"/>
          <w:szCs w:val="28"/>
        </w:rPr>
      </w:pPr>
      <w:r>
        <w:rPr>
          <w:rFonts w:ascii="宋体" w:hAnsi="宋体"/>
          <w:b/>
          <w:sz w:val="28"/>
          <w:szCs w:val="28"/>
        </w:rPr>
        <w:t>2</w:t>
      </w: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1134" w:hanging="1134"/>
        <w:outlineLvl w:val="2"/>
        <w:rPr>
          <w:rFonts w:ascii="宋体" w:hAnsi="宋体"/>
          <w:b/>
          <w:bCs/>
          <w:sz w:val="28"/>
          <w:szCs w:val="28"/>
        </w:rPr>
      </w:pPr>
      <w:r>
        <w:rPr>
          <w:rFonts w:hint="eastAsia" w:ascii="宋体" w:hAnsi="宋体"/>
          <w:b/>
          <w:sz w:val="28"/>
        </w:rPr>
        <w:t>监狱企业、残疾人福利性单位制造的货物清单及价格</w:t>
      </w:r>
    </w:p>
    <w:p>
      <w:pPr>
        <w:numPr>
          <w:ilvl w:val="0"/>
          <w:numId w:val="38"/>
        </w:numPr>
        <w:tabs>
          <w:tab w:val="left" w:pos="1134"/>
          <w:tab w:val="clear" w:pos="720"/>
        </w:tabs>
        <w:spacing w:after="200" w:line="360" w:lineRule="auto"/>
        <w:ind w:left="0" w:firstLine="565" w:firstLineChars="201"/>
        <w:rPr>
          <w:rFonts w:ascii="宋体" w:hAnsi="宋体"/>
          <w:b/>
          <w:sz w:val="28"/>
        </w:rPr>
      </w:pPr>
      <w:r>
        <w:rPr>
          <w:rFonts w:hint="eastAsia" w:ascii="宋体" w:hAnsi="宋体"/>
          <w:b/>
          <w:sz w:val="28"/>
          <w:szCs w:val="28"/>
        </w:rPr>
        <w:t>投标人</w:t>
      </w:r>
      <w:r>
        <w:rPr>
          <w:rFonts w:hint="eastAsia" w:ascii="宋体" w:hAnsi="宋体"/>
          <w:b/>
          <w:sz w:val="28"/>
        </w:rPr>
        <w:t>投标产品中为监狱企业制造的货物清单及价格（说明：</w:t>
      </w:r>
      <w:r>
        <w:rPr>
          <w:rFonts w:ascii="宋体" w:hAnsi="宋体"/>
          <w:b/>
          <w:sz w:val="28"/>
        </w:rPr>
        <w:t>1、提供由省级以上监狱管理局、戒毒管理局（含新疆生产建设兵团）出具的</w:t>
      </w:r>
      <w:r>
        <w:rPr>
          <w:rFonts w:hint="eastAsia" w:ascii="宋体" w:hAnsi="宋体"/>
          <w:b/>
          <w:sz w:val="28"/>
        </w:rPr>
        <w:t>制造</w:t>
      </w:r>
      <w:r>
        <w:rPr>
          <w:rFonts w:ascii="宋体" w:hAnsi="宋体"/>
          <w:b/>
          <w:sz w:val="28"/>
        </w:rPr>
        <w:t>商属于监狱企业的证明文件复印件；2、如未提供</w:t>
      </w:r>
      <w:r>
        <w:rPr>
          <w:rFonts w:hint="eastAsia" w:ascii="宋体" w:hAnsi="宋体"/>
          <w:b/>
          <w:sz w:val="28"/>
        </w:rPr>
        <w:t>货物</w:t>
      </w:r>
      <w:r>
        <w:rPr>
          <w:rFonts w:ascii="宋体" w:hAnsi="宋体"/>
          <w:b/>
          <w:sz w:val="28"/>
        </w:rPr>
        <w:t>清单及价格以及相关证明材料复印件，则不能享受对监狱企业</w:t>
      </w:r>
      <w:r>
        <w:rPr>
          <w:rFonts w:hint="eastAsia" w:ascii="宋体" w:hAnsi="宋体"/>
          <w:b/>
          <w:sz w:val="28"/>
        </w:rPr>
        <w:t>制造的货物</w:t>
      </w:r>
      <w:r>
        <w:rPr>
          <w:rFonts w:ascii="宋体" w:hAnsi="宋体"/>
          <w:b/>
          <w:sz w:val="28"/>
        </w:rPr>
        <w:t>的价格扣除，但不影响投标文件的有效性。）</w:t>
      </w:r>
    </w:p>
    <w:tbl>
      <w:tblPr>
        <w:tblStyle w:val="46"/>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980"/>
        <w:gridCol w:w="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694" w:type="dxa"/>
            <w:vAlign w:val="center"/>
          </w:tcPr>
          <w:p>
            <w:pPr>
              <w:spacing w:before="120" w:beforeLines="50" w:line="360" w:lineRule="auto"/>
              <w:jc w:val="center"/>
              <w:rPr>
                <w:rFonts w:ascii="宋体" w:hAnsi="宋体"/>
                <w:b/>
              </w:rPr>
            </w:pPr>
            <w:r>
              <w:rPr>
                <w:rFonts w:hint="eastAsia" w:ascii="宋体" w:hAnsi="宋体"/>
                <w:b/>
              </w:rPr>
              <w:t>品牌</w:t>
            </w:r>
          </w:p>
        </w:tc>
        <w:tc>
          <w:tcPr>
            <w:tcW w:w="1253"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gridSpan w:val="2"/>
            <w:vAlign w:val="center"/>
          </w:tcPr>
          <w:p>
            <w:pPr>
              <w:spacing w:before="120" w:beforeLines="50" w:line="360" w:lineRule="auto"/>
              <w:jc w:val="center"/>
              <w:rPr>
                <w:rFonts w:ascii="宋体" w:hAnsi="宋体"/>
                <w:b/>
              </w:rPr>
            </w:pPr>
            <w:r>
              <w:rPr>
                <w:rFonts w:hint="eastAsia" w:ascii="宋体" w:hAnsi="宋体"/>
                <w:b/>
              </w:rPr>
              <w:t>单价</w:t>
            </w:r>
          </w:p>
        </w:tc>
        <w:tc>
          <w:tcPr>
            <w:tcW w:w="140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875" w:type="dxa"/>
            <w:gridSpan w:val="7"/>
            <w:vAlign w:val="center"/>
          </w:tcPr>
          <w:p>
            <w:pPr>
              <w:spacing w:line="360" w:lineRule="auto"/>
              <w:jc w:val="center"/>
              <w:rPr>
                <w:rFonts w:ascii="宋体" w:hAnsi="宋体"/>
              </w:rPr>
            </w:pPr>
            <w:r>
              <w:rPr>
                <w:rFonts w:hint="eastAsia" w:ascii="宋体" w:hAnsi="宋体" w:cs="宋体"/>
                <w:b/>
              </w:rPr>
              <w:t>监狱企业制造的货物</w:t>
            </w:r>
            <w:r>
              <w:rPr>
                <w:rFonts w:hint="eastAsia" w:ascii="宋体" w:hAnsi="宋体"/>
                <w:b/>
              </w:rPr>
              <w:t>总价合计</w:t>
            </w:r>
          </w:p>
        </w:tc>
        <w:tc>
          <w:tcPr>
            <w:tcW w:w="1418" w:type="dxa"/>
            <w:gridSpan w:val="2"/>
            <w:vAlign w:val="center"/>
          </w:tcPr>
          <w:p>
            <w:pPr>
              <w:spacing w:line="360" w:lineRule="auto"/>
              <w:rPr>
                <w:rFonts w:ascii="宋体" w:hAnsi="宋体"/>
              </w:rPr>
            </w:pPr>
            <w:r>
              <w:rPr>
                <w:rFonts w:hint="eastAsia" w:ascii="宋体" w:hAnsi="宋体"/>
              </w:rPr>
              <w:t>￥</w:t>
            </w:r>
          </w:p>
        </w:tc>
      </w:tr>
    </w:tbl>
    <w:p>
      <w:pPr>
        <w:numPr>
          <w:ilvl w:val="0"/>
          <w:numId w:val="38"/>
        </w:numPr>
        <w:tabs>
          <w:tab w:val="left" w:pos="630"/>
          <w:tab w:val="left" w:pos="7560"/>
        </w:tabs>
        <w:spacing w:after="200" w:line="360" w:lineRule="auto"/>
        <w:ind w:left="0" w:firstLine="0"/>
        <w:rPr>
          <w:rFonts w:ascii="宋体" w:hAnsi="宋体"/>
          <w:b/>
          <w:sz w:val="28"/>
        </w:rPr>
      </w:pPr>
      <w:r>
        <w:rPr>
          <w:rFonts w:hint="eastAsia" w:ascii="宋体" w:hAnsi="宋体"/>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hint="eastAsia" w:ascii="宋体" w:hAnsi="宋体"/>
          <w:b/>
          <w:sz w:val="28"/>
        </w:rPr>
        <w:t>）</w:t>
      </w:r>
    </w:p>
    <w:tbl>
      <w:tblPr>
        <w:tblStyle w:val="46"/>
        <w:tblW w:w="10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gridCol w:w="851"/>
        <w:gridCol w:w="99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1418" w:type="dxa"/>
          </w:tcPr>
          <w:p>
            <w:pPr>
              <w:spacing w:before="120" w:beforeLines="50" w:line="360" w:lineRule="auto"/>
              <w:jc w:val="center"/>
              <w:rPr>
                <w:rFonts w:ascii="宋体" w:hAnsi="宋体"/>
                <w:b/>
              </w:rPr>
            </w:pPr>
            <w:r>
              <w:rPr>
                <w:rFonts w:hint="eastAsia" w:ascii="宋体" w:hAnsi="宋体"/>
                <w:b/>
              </w:rPr>
              <w:t>品牌</w:t>
            </w:r>
          </w:p>
        </w:tc>
        <w:tc>
          <w:tcPr>
            <w:tcW w:w="1418"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vAlign w:val="center"/>
          </w:tcPr>
          <w:p>
            <w:pPr>
              <w:spacing w:before="120" w:beforeLines="50" w:line="360" w:lineRule="auto"/>
              <w:jc w:val="center"/>
              <w:rPr>
                <w:rFonts w:ascii="宋体" w:hAnsi="宋体"/>
                <w:b/>
              </w:rPr>
            </w:pPr>
            <w:r>
              <w:rPr>
                <w:rFonts w:hint="eastAsia" w:ascii="宋体" w:hAnsi="宋体"/>
                <w:b/>
              </w:rPr>
              <w:t>单价</w:t>
            </w:r>
          </w:p>
        </w:tc>
        <w:tc>
          <w:tcPr>
            <w:tcW w:w="134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776" w:type="dxa"/>
            <w:gridSpan w:val="7"/>
          </w:tcPr>
          <w:p>
            <w:pPr>
              <w:spacing w:line="360" w:lineRule="auto"/>
              <w:jc w:val="center"/>
              <w:rPr>
                <w:rFonts w:ascii="宋体" w:hAnsi="宋体"/>
              </w:rPr>
            </w:pPr>
            <w:r>
              <w:rPr>
                <w:rFonts w:hint="eastAsia" w:ascii="宋体" w:hAnsi="宋体" w:cs="宋体"/>
                <w:b/>
              </w:rPr>
              <w:t>残疾人福利性单位制造的货物</w:t>
            </w:r>
            <w:r>
              <w:rPr>
                <w:rFonts w:hint="eastAsia" w:ascii="宋体" w:hAnsi="宋体"/>
                <w:b/>
              </w:rPr>
              <w:t>总价合计</w:t>
            </w:r>
          </w:p>
        </w:tc>
        <w:tc>
          <w:tcPr>
            <w:tcW w:w="1346" w:type="dxa"/>
            <w:vAlign w:val="center"/>
          </w:tcPr>
          <w:p>
            <w:pPr>
              <w:spacing w:line="360" w:lineRule="auto"/>
              <w:rPr>
                <w:rFonts w:ascii="宋体" w:hAnsi="宋体"/>
              </w:rPr>
            </w:pPr>
            <w:r>
              <w:rPr>
                <w:rFonts w:hint="eastAsia" w:ascii="宋体" w:hAnsi="宋体"/>
              </w:rPr>
              <w:t>￥</w:t>
            </w:r>
          </w:p>
        </w:tc>
      </w:tr>
    </w:tbl>
    <w:p>
      <w:pPr>
        <w:tabs>
          <w:tab w:val="left" w:pos="630"/>
          <w:tab w:val="left" w:pos="7560"/>
        </w:tabs>
        <w:spacing w:line="360" w:lineRule="auto"/>
        <w:rPr>
          <w:rFonts w:ascii="宋体" w:hAnsi="宋体"/>
          <w:sz w:val="28"/>
          <w:szCs w:val="28"/>
        </w:rPr>
      </w:pPr>
    </w:p>
    <w:p>
      <w:pPr>
        <w:pStyle w:val="16"/>
        <w:spacing w:line="360" w:lineRule="auto"/>
        <w:ind w:firstLine="565" w:firstLineChars="202"/>
        <w:rPr>
          <w:rFonts w:ascii="宋体" w:hAnsi="宋体"/>
          <w:sz w:val="28"/>
        </w:rPr>
      </w:pPr>
    </w:p>
    <w:p>
      <w:pPr>
        <w:spacing w:line="360" w:lineRule="auto"/>
        <w:rPr>
          <w:rFonts w:ascii="宋体" w:hAnsi="宋体"/>
          <w:sz w:val="28"/>
          <w:lang w:val="zh-CN"/>
        </w:rPr>
      </w:pPr>
      <w:r>
        <w:rPr>
          <w:rFonts w:hint="eastAsia" w:ascii="宋体" w:hAnsi="宋体"/>
          <w:sz w:val="28"/>
          <w:lang w:val="zh-CN"/>
        </w:rPr>
        <w:t>投标人名称：</w:t>
      </w:r>
      <w:r>
        <w:rPr>
          <w:rFonts w:ascii="宋体" w:hAnsi="宋体"/>
          <w:sz w:val="28"/>
          <w:u w:val="single"/>
          <w:lang w:val="zh-CN"/>
        </w:rPr>
        <w:t>XXXXXXXX</w:t>
      </w:r>
    </w:p>
    <w:p>
      <w:pPr>
        <w:spacing w:line="360" w:lineRule="auto"/>
        <w:rPr>
          <w:rFonts w:ascii="宋体" w:hAnsi="宋体"/>
          <w:bCs/>
          <w:sz w:val="28"/>
        </w:rPr>
      </w:pPr>
      <w:r>
        <w:rPr>
          <w:rFonts w:ascii="宋体" w:hAnsi="宋体"/>
          <w:sz w:val="28"/>
        </w:rPr>
        <w:t>日期：</w:t>
      </w:r>
      <w:r>
        <w:rPr>
          <w:rFonts w:ascii="宋体" w:hAnsi="宋体"/>
          <w:bCs/>
          <w:sz w:val="28"/>
        </w:rPr>
        <w:t>202X年XX月XX日</w:t>
      </w: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成都市龙泉驿区教育局</w:t>
      </w:r>
      <w:r>
        <w:rPr>
          <w:rFonts w:hint="eastAsia" w:ascii="宋体" w:hAnsi="宋体"/>
          <w:sz w:val="28"/>
          <w:szCs w:val="28"/>
        </w:rPr>
        <w:t>（单位名称）的</w:t>
      </w:r>
      <w:r>
        <w:rPr>
          <w:rFonts w:hint="eastAsia" w:ascii="宋体" w:hAnsi="宋体"/>
          <w:b/>
          <w:sz w:val="28"/>
          <w:szCs w:val="28"/>
          <w:u w:val="single"/>
          <w:lang w:eastAsia="zh-CN"/>
        </w:rPr>
        <w:t>成都市龙泉驿区教育局2021年新建永丰家园小学和十陵来龙小学办公家具采购项目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成都市龙泉驿区教育局</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lang w:eastAsia="zh-CN"/>
        </w:rPr>
        <w:t>成都市龙泉驿区教育局2021年新建永丰家园小学和十陵来龙小学办公家具采购项目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74752334"/>
      <w:bookmarkStart w:id="150" w:name="_Toc217446093"/>
      <w:bookmarkStart w:id="151" w:name="_Toc321382057"/>
      <w:bookmarkStart w:id="152" w:name="_Toc316292231"/>
      <w:r>
        <w:rPr>
          <w:rFonts w:hint="eastAsia" w:ascii="宋体" w:hAnsi="宋体"/>
          <w:b/>
          <w:bCs/>
          <w:spacing w:val="-20"/>
          <w:kern w:val="44"/>
          <w:sz w:val="32"/>
          <w:szCs w:val="32"/>
        </w:rPr>
        <w:t>招标项目技术、服务、商务及其他要求</w:t>
      </w:r>
      <w:bookmarkEnd w:id="149"/>
      <w:bookmarkEnd w:id="150"/>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4752335"/>
      <w:r>
        <w:rPr>
          <w:rFonts w:hint="eastAsia" w:ascii="宋体" w:hAnsi="宋体"/>
          <w:b/>
          <w:bCs/>
          <w:sz w:val="32"/>
          <w:szCs w:val="32"/>
        </w:rPr>
        <w:t>项目概况</w:t>
      </w:r>
      <w:bookmarkEnd w:id="153"/>
    </w:p>
    <w:p>
      <w:pPr>
        <w:tabs>
          <w:tab w:val="left" w:pos="851"/>
        </w:tabs>
        <w:spacing w:line="360" w:lineRule="auto"/>
        <w:ind w:firstLine="565" w:firstLineChars="202"/>
        <w:rPr>
          <w:rFonts w:ascii="宋体" w:hAnsi="宋体"/>
          <w:sz w:val="28"/>
          <w:szCs w:val="28"/>
        </w:rPr>
      </w:pPr>
      <w:r>
        <w:rPr>
          <w:rFonts w:hint="eastAsia" w:ascii="宋体" w:hAnsi="宋体"/>
          <w:sz w:val="28"/>
          <w:szCs w:val="28"/>
        </w:rPr>
        <w:t>本项目拟采购龙泉驿区新建永丰家园</w:t>
      </w:r>
      <w:r>
        <w:rPr>
          <w:rFonts w:hint="eastAsia" w:ascii="宋体" w:hAnsi="宋体"/>
          <w:sz w:val="28"/>
          <w:szCs w:val="28"/>
          <w:lang w:eastAsia="zh-CN"/>
        </w:rPr>
        <w:t>和十陵</w:t>
      </w:r>
      <w:r>
        <w:rPr>
          <w:rFonts w:hint="eastAsia" w:ascii="宋体" w:hAnsi="宋体"/>
          <w:sz w:val="28"/>
          <w:szCs w:val="28"/>
        </w:rPr>
        <w:t>来龙</w:t>
      </w:r>
      <w:r>
        <w:rPr>
          <w:rFonts w:hint="eastAsia" w:ascii="宋体" w:hAnsi="宋体"/>
          <w:sz w:val="28"/>
          <w:szCs w:val="28"/>
          <w:lang w:eastAsia="zh-CN"/>
        </w:rPr>
        <w:t>小</w:t>
      </w:r>
      <w:r>
        <w:rPr>
          <w:rFonts w:hint="eastAsia" w:ascii="宋体" w:hAnsi="宋体"/>
          <w:sz w:val="28"/>
          <w:szCs w:val="28"/>
        </w:rPr>
        <w:t>学小学合班课桌椅</w:t>
      </w:r>
      <w:r>
        <w:rPr>
          <w:rFonts w:hint="eastAsia" w:ascii="宋体" w:hAnsi="宋体"/>
          <w:sz w:val="28"/>
          <w:szCs w:val="28"/>
          <w:lang w:eastAsia="zh-CN"/>
        </w:rPr>
        <w:t>、</w:t>
      </w:r>
      <w:r>
        <w:rPr>
          <w:rFonts w:hint="eastAsia" w:ascii="宋体" w:hAnsi="宋体"/>
          <w:sz w:val="28"/>
          <w:szCs w:val="28"/>
        </w:rPr>
        <w:t>办公家具</w:t>
      </w:r>
      <w:r>
        <w:rPr>
          <w:rFonts w:hint="eastAsia" w:ascii="宋体" w:hAnsi="宋体"/>
          <w:sz w:val="28"/>
          <w:szCs w:val="28"/>
          <w:lang w:eastAsia="zh-CN"/>
        </w:rPr>
        <w:t>和</w:t>
      </w:r>
      <w:r>
        <w:rPr>
          <w:rFonts w:hint="eastAsia" w:ascii="宋体" w:hAnsi="宋体"/>
          <w:sz w:val="28"/>
          <w:szCs w:val="28"/>
        </w:rPr>
        <w:t>办公室等所需办公家具，</w:t>
      </w:r>
      <w:r>
        <w:rPr>
          <w:rFonts w:hint="eastAsia" w:ascii="宋体" w:hAnsi="宋体"/>
          <w:sz w:val="28"/>
          <w:szCs w:val="28"/>
          <w:lang w:eastAsia="zh-CN"/>
        </w:rPr>
        <w:t>具体如下</w:t>
      </w:r>
      <w:r>
        <w:rPr>
          <w:rFonts w:hint="eastAsia" w:ascii="宋体" w:hAnsi="宋体"/>
          <w:sz w:val="28"/>
          <w:szCs w:val="28"/>
        </w:rPr>
        <w:t>。</w:t>
      </w: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4" w:name="_Toc74752336"/>
      <w:r>
        <w:rPr>
          <w:rFonts w:hint="eastAsia" w:ascii="宋体" w:hAnsi="宋体"/>
          <w:b/>
          <w:bCs/>
          <w:sz w:val="32"/>
          <w:szCs w:val="32"/>
        </w:rPr>
        <w:t>采购内容</w:t>
      </w:r>
      <w:bookmarkEnd w:id="154"/>
      <w:r>
        <w:rPr>
          <w:rFonts w:hint="eastAsia" w:ascii="宋体" w:hAnsi="宋体"/>
          <w:b/>
          <w:bCs/>
          <w:sz w:val="32"/>
          <w:szCs w:val="32"/>
          <w:lang w:val="en-US" w:eastAsia="zh-CN"/>
        </w:rPr>
        <w:t xml:space="preserve">  </w:t>
      </w:r>
    </w:p>
    <w:p>
      <w:pPr>
        <w:tabs>
          <w:tab w:val="left" w:pos="851"/>
        </w:tabs>
        <w:spacing w:line="360" w:lineRule="auto"/>
        <w:ind w:firstLine="565" w:firstLineChars="202"/>
        <w:rPr>
          <w:rFonts w:hint="eastAsia" w:ascii="宋体" w:hAnsi="宋体"/>
          <w:sz w:val="28"/>
          <w:szCs w:val="28"/>
          <w:lang w:eastAsia="zh-CN"/>
        </w:rPr>
      </w:pPr>
      <w:r>
        <w:rPr>
          <w:rFonts w:hint="eastAsia" w:ascii="宋体" w:hAnsi="宋体"/>
          <w:sz w:val="28"/>
          <w:szCs w:val="28"/>
          <w:lang w:eastAsia="zh-CN"/>
        </w:rPr>
        <w:t>本项目</w:t>
      </w:r>
      <w:r>
        <w:rPr>
          <w:rFonts w:hint="eastAsia" w:ascii="宋体" w:hAnsi="宋体"/>
          <w:sz w:val="28"/>
          <w:szCs w:val="28"/>
        </w:rPr>
        <w:t>核心产品为：合班课桌椅、木质涂饰办公桌、弓架网椅、</w:t>
      </w:r>
      <w:r>
        <w:rPr>
          <w:rFonts w:hint="eastAsia" w:ascii="宋体" w:hAnsi="宋体"/>
          <w:sz w:val="28"/>
          <w:szCs w:val="28"/>
          <w:lang w:eastAsia="zh-CN"/>
        </w:rPr>
        <w:t>屏风</w:t>
      </w:r>
      <w:r>
        <w:rPr>
          <w:rFonts w:hint="eastAsia" w:ascii="宋体" w:hAnsi="宋体"/>
          <w:sz w:val="28"/>
          <w:szCs w:val="28"/>
        </w:rPr>
        <w:t>工作位、钢制文件柜、礼堂椅</w:t>
      </w:r>
      <w:r>
        <w:rPr>
          <w:rFonts w:hint="eastAsia" w:ascii="宋体" w:hAnsi="宋体"/>
          <w:sz w:val="28"/>
          <w:szCs w:val="28"/>
          <w:lang w:eastAsia="zh-CN"/>
        </w:rPr>
        <w:t>。</w:t>
      </w:r>
    </w:p>
    <w:tbl>
      <w:tblPr>
        <w:tblStyle w:val="46"/>
        <w:tblW w:w="8522" w:type="dxa"/>
        <w:tblInd w:w="0" w:type="dxa"/>
        <w:tblLayout w:type="fixed"/>
        <w:tblCellMar>
          <w:top w:w="0" w:type="dxa"/>
          <w:left w:w="108" w:type="dxa"/>
          <w:bottom w:w="0" w:type="dxa"/>
          <w:right w:w="108" w:type="dxa"/>
        </w:tblCellMar>
      </w:tblPr>
      <w:tblGrid>
        <w:gridCol w:w="1925"/>
        <w:gridCol w:w="2899"/>
        <w:gridCol w:w="1510"/>
        <w:gridCol w:w="2188"/>
      </w:tblGrid>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b/>
                <w:color w:val="000000"/>
                <w:sz w:val="24"/>
                <w:szCs w:val="24"/>
              </w:rPr>
            </w:pPr>
            <w:r>
              <w:rPr>
                <w:rFonts w:ascii="宋体" w:hAnsi="宋体" w:eastAsia="宋体"/>
                <w:b/>
                <w:color w:val="000000"/>
                <w:sz w:val="24"/>
                <w:szCs w:val="24"/>
              </w:rPr>
              <w:t>序号</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b/>
                <w:color w:val="000000"/>
                <w:sz w:val="24"/>
                <w:szCs w:val="24"/>
              </w:rPr>
            </w:pPr>
            <w:r>
              <w:rPr>
                <w:rFonts w:ascii="宋体" w:hAnsi="宋体" w:eastAsia="宋体"/>
                <w:b/>
                <w:color w:val="000000"/>
                <w:sz w:val="24"/>
                <w:szCs w:val="24"/>
              </w:rPr>
              <w:t>品名</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b/>
                <w:color w:val="000000"/>
                <w:sz w:val="24"/>
                <w:szCs w:val="24"/>
              </w:rPr>
            </w:pPr>
            <w:r>
              <w:rPr>
                <w:rFonts w:ascii="宋体" w:hAnsi="宋体" w:eastAsia="宋体"/>
                <w:b/>
                <w:color w:val="000000"/>
                <w:sz w:val="24"/>
                <w:szCs w:val="24"/>
              </w:rPr>
              <w:t>单位</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b/>
                <w:color w:val="000000"/>
                <w:sz w:val="24"/>
                <w:szCs w:val="24"/>
              </w:rPr>
            </w:pPr>
            <w:r>
              <w:rPr>
                <w:rFonts w:ascii="宋体" w:hAnsi="宋体" w:eastAsia="宋体"/>
                <w:b/>
                <w:color w:val="000000"/>
                <w:sz w:val="24"/>
                <w:szCs w:val="24"/>
              </w:rPr>
              <w:t>数量</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木质涂饰办公桌</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张</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hint="eastAsia" w:ascii="宋体" w:hAnsi="宋体" w:eastAsia="宋体"/>
                <w:color w:val="000000"/>
                <w:sz w:val="24"/>
                <w:szCs w:val="24"/>
                <w:lang w:val="en-US" w:eastAsia="zh-CN"/>
              </w:rPr>
            </w:pPr>
            <w:r>
              <w:rPr>
                <w:rFonts w:ascii="宋体" w:hAnsi="宋体" w:eastAsia="宋体"/>
                <w:color w:val="000000"/>
                <w:sz w:val="24"/>
                <w:szCs w:val="24"/>
              </w:rPr>
              <w:t>定制柜</w:t>
            </w:r>
            <w:r>
              <w:rPr>
                <w:rFonts w:hint="eastAsia" w:ascii="宋体" w:hAnsi="宋体"/>
                <w:color w:val="000000"/>
                <w:sz w:val="24"/>
                <w:szCs w:val="24"/>
                <w:lang w:val="en-US" w:eastAsia="zh-CN"/>
              </w:rPr>
              <w:t>1</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组</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7</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hint="eastAsia" w:ascii="宋体" w:hAnsi="宋体" w:eastAsia="宋体"/>
                <w:color w:val="000000"/>
                <w:sz w:val="24"/>
                <w:szCs w:val="24"/>
                <w:lang w:val="en-US" w:eastAsia="zh-CN"/>
              </w:rPr>
            </w:pPr>
            <w:r>
              <w:rPr>
                <w:rFonts w:ascii="宋体" w:hAnsi="宋体" w:eastAsia="宋体"/>
                <w:color w:val="000000"/>
                <w:sz w:val="24"/>
                <w:szCs w:val="24"/>
              </w:rPr>
              <w:t>定制柜</w:t>
            </w:r>
            <w:r>
              <w:rPr>
                <w:rFonts w:hint="eastAsia" w:ascii="宋体" w:hAnsi="宋体"/>
                <w:color w:val="000000"/>
                <w:sz w:val="24"/>
                <w:szCs w:val="24"/>
                <w:lang w:val="en-US" w:eastAsia="zh-CN"/>
              </w:rPr>
              <w:t>2</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组</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7</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4</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皮转椅</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把</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5</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弓架网椅</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把</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4</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6</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木质涂饰书柜</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门</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37</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7</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木质涂饰茶水柜</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组</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8</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木质涂饰茶几</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张</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7</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9</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木质覆面办公桌</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张</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5</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10</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hint="eastAsia" w:ascii="宋体" w:hAnsi="宋体" w:eastAsia="宋体"/>
                <w:color w:val="000000"/>
                <w:sz w:val="24"/>
                <w:szCs w:val="24"/>
                <w:lang w:val="en-US" w:eastAsia="zh-CN"/>
              </w:rPr>
            </w:pPr>
            <w:r>
              <w:rPr>
                <w:rFonts w:ascii="宋体" w:hAnsi="宋体" w:eastAsia="宋体"/>
                <w:color w:val="000000"/>
                <w:sz w:val="24"/>
                <w:szCs w:val="24"/>
              </w:rPr>
              <w:t>皮沙发</w:t>
            </w:r>
            <w:r>
              <w:rPr>
                <w:rFonts w:hint="eastAsia" w:ascii="宋体" w:hAnsi="宋体"/>
                <w:color w:val="000000"/>
                <w:sz w:val="24"/>
                <w:szCs w:val="24"/>
                <w:lang w:val="en-US" w:eastAsia="zh-CN"/>
              </w:rPr>
              <w:t>1</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套</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11</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hint="eastAsia" w:ascii="宋体" w:hAnsi="宋体" w:eastAsia="宋体"/>
                <w:color w:val="000000"/>
                <w:sz w:val="24"/>
                <w:szCs w:val="24"/>
                <w:lang w:val="en-US" w:eastAsia="zh-CN"/>
              </w:rPr>
            </w:pPr>
            <w:r>
              <w:rPr>
                <w:rFonts w:ascii="宋体" w:hAnsi="宋体" w:eastAsia="宋体"/>
                <w:color w:val="000000"/>
                <w:sz w:val="24"/>
                <w:szCs w:val="24"/>
              </w:rPr>
              <w:t>皮沙发</w:t>
            </w:r>
            <w:r>
              <w:rPr>
                <w:rFonts w:hint="eastAsia" w:ascii="宋体" w:hAnsi="宋体"/>
                <w:color w:val="000000"/>
                <w:sz w:val="24"/>
                <w:szCs w:val="24"/>
                <w:lang w:val="en-US" w:eastAsia="zh-CN"/>
              </w:rPr>
              <w:t>2</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组</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21</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12</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网面转椅</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把</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5</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13</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书包柜</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组</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54</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14</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木质涂饰办公桌</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张</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100</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15</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弓架网椅</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把</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230</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16</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网面转椅</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把</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100</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17</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木质涂饰茶水柜</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组</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8</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18</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hint="eastAsia" w:ascii="宋体" w:hAnsi="宋体"/>
                <w:color w:val="000000"/>
                <w:sz w:val="24"/>
                <w:szCs w:val="24"/>
                <w:lang w:eastAsia="zh-CN"/>
              </w:rPr>
              <w:t>屏风</w:t>
            </w:r>
            <w:r>
              <w:rPr>
                <w:rFonts w:ascii="宋体" w:hAnsi="宋体" w:eastAsia="宋体"/>
                <w:color w:val="000000"/>
                <w:sz w:val="24"/>
                <w:szCs w:val="24"/>
              </w:rPr>
              <w:t>工作位</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位</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200</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19</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木质涂饰书柜</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组</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20</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保密柜</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套</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21</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保险柜</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组</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22</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钢制文件柜</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组</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174</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23</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会计凭证柜</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组</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14</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24</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密集架</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立方米</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52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25</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书梯</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部</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26</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书车</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部</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27</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干湿温度计</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支</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28</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除湿机</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台</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29</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防磁柜</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套</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30</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主席台</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米</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42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31</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实木架会议椅</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把</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18</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32</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木质涂饰演讲台</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组</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33</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木质涂饰条形桌</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张</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10</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34</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木质涂饰条形桌</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张</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18</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35</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木质涂饰会议桌</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张</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36</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会议椅</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把</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40</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37</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礼堂椅</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座</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362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38</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合班课桌椅</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位</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452</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39</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窗帘布</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米</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3850</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40</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窗帘纱</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米</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3850</w:t>
            </w:r>
          </w:p>
        </w:tc>
      </w:tr>
      <w:tr>
        <w:tblPrEx>
          <w:tblLayout w:type="fixed"/>
          <w:tblCellMar>
            <w:top w:w="0" w:type="dxa"/>
            <w:left w:w="108" w:type="dxa"/>
            <w:bottom w:w="0" w:type="dxa"/>
            <w:right w:w="108" w:type="dxa"/>
          </w:tblCellMar>
        </w:tblPrEx>
        <w:tc>
          <w:tcPr>
            <w:tcW w:w="19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41</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轨道</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米</w:t>
            </w:r>
          </w:p>
        </w:tc>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jc w:val="center"/>
              <w:rPr>
                <w:rFonts w:ascii="宋体" w:hAnsi="宋体" w:eastAsia="宋体"/>
                <w:color w:val="000000"/>
                <w:sz w:val="24"/>
                <w:szCs w:val="24"/>
              </w:rPr>
            </w:pPr>
            <w:r>
              <w:rPr>
                <w:rFonts w:ascii="宋体" w:hAnsi="宋体" w:eastAsia="宋体"/>
                <w:color w:val="000000"/>
                <w:sz w:val="24"/>
                <w:szCs w:val="24"/>
              </w:rPr>
              <w:t>3850</w:t>
            </w:r>
          </w:p>
        </w:tc>
      </w:tr>
    </w:tbl>
    <w:p>
      <w:pPr>
        <w:tabs>
          <w:tab w:val="left" w:pos="851"/>
        </w:tabs>
        <w:spacing w:line="360" w:lineRule="auto"/>
        <w:ind w:firstLine="424" w:firstLineChars="202"/>
      </w:pPr>
    </w:p>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5" w:name="_Toc74752337"/>
      <w:r>
        <w:rPr>
          <w:rFonts w:hint="eastAsia" w:ascii="宋体" w:hAnsi="宋体"/>
          <w:b/>
          <w:bCs/>
          <w:sz w:val="32"/>
          <w:szCs w:val="32"/>
        </w:rPr>
        <w:t>技术参数及要求</w:t>
      </w:r>
      <w:bookmarkEnd w:id="155"/>
      <w:bookmarkStart w:id="156" w:name="_Toc529173741"/>
      <w:bookmarkStart w:id="157" w:name="_Toc533672602"/>
    </w:p>
    <w:p>
      <w:pPr>
        <w:pStyle w:val="2"/>
        <w:rPr>
          <w:rFonts w:hint="eastAsia" w:ascii="宋体" w:hAnsi="宋体"/>
          <w:b/>
          <w:bCs/>
          <w:sz w:val="32"/>
          <w:szCs w:val="32"/>
        </w:rPr>
        <w:sectPr>
          <w:footerReference r:id="rId3" w:type="default"/>
          <w:pgSz w:w="12240" w:h="15840"/>
          <w:pgMar w:top="1440" w:right="1800" w:bottom="1440" w:left="1800" w:header="708" w:footer="708" w:gutter="0"/>
          <w:cols w:space="708" w:num="1"/>
          <w:docGrid w:linePitch="360" w:charSpace="0"/>
        </w:sectPr>
      </w:pPr>
    </w:p>
    <w:p>
      <w:pPr>
        <w:rPr>
          <w:rFonts w:hint="eastAsia"/>
        </w:rPr>
      </w:pPr>
    </w:p>
    <w:tbl>
      <w:tblPr>
        <w:tblStyle w:val="4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9"/>
        <w:gridCol w:w="1028"/>
        <w:gridCol w:w="2316"/>
        <w:gridCol w:w="10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b/>
                <w:color w:val="000000"/>
              </w:rPr>
            </w:pPr>
            <w:r>
              <w:rPr>
                <w:rFonts w:ascii="宋体" w:hAnsi="宋体" w:eastAsia="宋体"/>
                <w:b/>
                <w:color w:val="000000"/>
              </w:rPr>
              <w:t>序号</w:t>
            </w:r>
          </w:p>
        </w:tc>
        <w:tc>
          <w:tcPr>
            <w:tcW w:w="1028" w:type="dxa"/>
            <w:vAlign w:val="center"/>
          </w:tcPr>
          <w:p>
            <w:pPr>
              <w:autoSpaceDE w:val="0"/>
              <w:autoSpaceDN w:val="0"/>
              <w:spacing w:line="360" w:lineRule="auto"/>
              <w:jc w:val="center"/>
              <w:rPr>
                <w:rFonts w:ascii="宋体" w:hAnsi="宋体" w:eastAsia="宋体"/>
                <w:b/>
                <w:color w:val="000000"/>
              </w:rPr>
            </w:pPr>
            <w:r>
              <w:rPr>
                <w:rFonts w:ascii="宋体" w:hAnsi="宋体" w:eastAsia="宋体"/>
                <w:b/>
                <w:color w:val="000000"/>
              </w:rPr>
              <w:t>品名</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b/>
                <w:color w:val="000000"/>
              </w:rPr>
              <w:t>规格（</w:t>
            </w:r>
            <w:r>
              <w:rPr>
                <w:rFonts w:ascii="宋体" w:hAnsi="宋体" w:eastAsia="宋体"/>
                <w:color w:val="000000"/>
              </w:rPr>
              <w:t>mm）</w:t>
            </w:r>
          </w:p>
        </w:tc>
        <w:tc>
          <w:tcPr>
            <w:tcW w:w="10221" w:type="dxa"/>
            <w:vAlign w:val="center"/>
          </w:tcPr>
          <w:p>
            <w:pPr>
              <w:autoSpaceDE w:val="0"/>
              <w:autoSpaceDN w:val="0"/>
              <w:spacing w:line="360" w:lineRule="auto"/>
              <w:jc w:val="center"/>
              <w:rPr>
                <w:rFonts w:ascii="宋体" w:hAnsi="宋体" w:eastAsia="宋体"/>
                <w:b/>
                <w:color w:val="000000"/>
              </w:rPr>
            </w:pPr>
            <w:r>
              <w:rPr>
                <w:rFonts w:ascii="宋体" w:hAnsi="宋体" w:eastAsia="宋体"/>
                <w:b/>
                <w:color w:val="000000"/>
              </w:rPr>
              <w:t>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木质涂饰办公桌</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2200*1050*760</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基材：采用E1级中密度纤维板，含水率≤6.3%，吸水膨胀率≥9.1%，甲醛释放量≤0.038mg/m³。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胶水：采用净味拼板胶，符合内装饰装修材料胶粘剂中有害物质限量，总挥发有机物≤22G/L,笨≤0.02g/kg，游离甲醛≤0.1g/kg。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过线盒：采用优质的过线盒 金属电镀层抗盐雾检验 18h，无锈点。</w:t>
            </w:r>
          </w:p>
          <w:p>
            <w:pPr>
              <w:autoSpaceDE w:val="0"/>
              <w:autoSpaceDN w:val="0"/>
              <w:spacing w:line="360" w:lineRule="auto"/>
              <w:jc w:val="left"/>
              <w:rPr>
                <w:rFonts w:ascii="宋体" w:hAnsi="宋体" w:eastAsia="宋体"/>
                <w:color w:val="000000"/>
              </w:rPr>
            </w:pPr>
            <w:r>
              <w:rPr>
                <w:rFonts w:ascii="宋体" w:hAnsi="宋体" w:eastAsia="宋体"/>
                <w:color w:val="000000"/>
              </w:rPr>
              <w:t>三合一连接件：采用优质的三合一连接件 金属电镀层抗盐雾检验 18h，无锈点。</w:t>
            </w:r>
          </w:p>
          <w:p>
            <w:pPr>
              <w:autoSpaceDE w:val="0"/>
              <w:autoSpaceDN w:val="0"/>
              <w:spacing w:line="360" w:lineRule="auto"/>
              <w:jc w:val="left"/>
              <w:rPr>
                <w:rFonts w:ascii="宋体" w:hAnsi="宋体" w:eastAsia="宋体"/>
                <w:color w:val="000000"/>
              </w:rPr>
            </w:pPr>
            <w:r>
              <w:rPr>
                <w:rFonts w:ascii="宋体" w:hAnsi="宋体" w:eastAsia="宋体"/>
                <w:color w:val="000000"/>
              </w:rPr>
              <w:t>阻尼滑轨：采用阻尼滑轨 五金抽屉导轨 垂直向下静载荷、水平侧向静载荷、耐久性、耐腐蚀符合检测标准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阻尼铰链：采用优质的阻尼铰链 垂直向下静载荷、水平侧向静载荷、耐久性、耐腐蚀符合检测标准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锁具：采用优质的锁具 锁定到位开启灵活，金属电镀层抗盐雾18h，无锈点。 </w:t>
            </w:r>
          </w:p>
          <w:p>
            <w:pPr>
              <w:autoSpaceDE w:val="0"/>
              <w:autoSpaceDN w:val="0"/>
              <w:spacing w:line="360" w:lineRule="auto"/>
              <w:jc w:val="left"/>
              <w:rPr>
                <w:rFonts w:ascii="宋体" w:hAnsi="宋体" w:eastAsia="宋体"/>
                <w:color w:val="000000"/>
              </w:rPr>
            </w:pPr>
            <w:r>
              <w:rPr>
                <w:rFonts w:ascii="宋体" w:hAnsi="宋体" w:eastAsia="宋体"/>
                <w:color w:val="000000"/>
              </w:rPr>
              <w:t>不锈钢卡扣：采用优质的不锈钢卡扣，金属电镀层抗盐雾符合检测标准。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w:t>
            </w:r>
          </w:p>
        </w:tc>
        <w:tc>
          <w:tcPr>
            <w:tcW w:w="1028" w:type="dxa"/>
            <w:vAlign w:val="center"/>
          </w:tcPr>
          <w:p>
            <w:pPr>
              <w:autoSpaceDE w:val="0"/>
              <w:autoSpaceDN w:val="0"/>
              <w:spacing w:line="360" w:lineRule="auto"/>
              <w:jc w:val="center"/>
              <w:rPr>
                <w:rFonts w:hint="eastAsia" w:ascii="宋体" w:hAnsi="宋体" w:eastAsia="宋体"/>
                <w:color w:val="000000"/>
                <w:lang w:val="en-US" w:eastAsia="zh-CN"/>
              </w:rPr>
            </w:pPr>
            <w:r>
              <w:rPr>
                <w:rFonts w:ascii="宋体" w:hAnsi="宋体" w:eastAsia="宋体"/>
                <w:color w:val="000000"/>
              </w:rPr>
              <w:t>定制柜</w:t>
            </w:r>
            <w:r>
              <w:rPr>
                <w:rFonts w:hint="eastAsia" w:ascii="宋体" w:hAnsi="宋体"/>
                <w:color w:val="000000"/>
                <w:lang w:val="en-US" w:eastAsia="zh-CN"/>
              </w:rPr>
              <w:t>1</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1200MM*400MM*580MM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基材：采用E1级中密度纤维板，含水率≤6.3%，吸水膨胀率≥9.1%，甲醛释放量≤0.038mg/m³。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胶水：采用净味拼板胶，符合内装饰装修材料胶粘剂中有害物质限量，总挥发有机物≤22G/L,笨≤0.02g/kg，游离甲醛≤0.1g/kg。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三合一连接件：采用优质的三合一连接件 金属电镀层抗盐雾检验 18h，无锈点。</w:t>
            </w:r>
          </w:p>
          <w:p>
            <w:pPr>
              <w:autoSpaceDE w:val="0"/>
              <w:autoSpaceDN w:val="0"/>
              <w:spacing w:line="360" w:lineRule="auto"/>
              <w:jc w:val="left"/>
              <w:rPr>
                <w:rFonts w:ascii="宋体" w:hAnsi="宋体" w:eastAsia="宋体"/>
                <w:color w:val="000000"/>
              </w:rPr>
            </w:pPr>
            <w:r>
              <w:rPr>
                <w:rFonts w:ascii="宋体" w:hAnsi="宋体" w:eastAsia="宋体"/>
                <w:color w:val="000000"/>
              </w:rPr>
              <w:t>阻尼铰链：采用优质的阻尼铰链 垂直向下静载荷、水平侧向静载荷、耐久性、耐腐蚀符合检测标准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锁具：采用优质的锁具 锁定到位开启灵活，金属电镀层抗盐雾18h，无锈点。 </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w:t>
            </w:r>
          </w:p>
        </w:tc>
        <w:tc>
          <w:tcPr>
            <w:tcW w:w="1028" w:type="dxa"/>
            <w:vAlign w:val="center"/>
          </w:tcPr>
          <w:p>
            <w:pPr>
              <w:autoSpaceDE w:val="0"/>
              <w:autoSpaceDN w:val="0"/>
              <w:spacing w:line="360" w:lineRule="auto"/>
              <w:jc w:val="center"/>
              <w:rPr>
                <w:rFonts w:hint="eastAsia" w:ascii="宋体" w:hAnsi="宋体" w:eastAsia="宋体"/>
                <w:color w:val="000000"/>
                <w:lang w:val="en-US" w:eastAsia="zh-CN"/>
              </w:rPr>
            </w:pPr>
            <w:r>
              <w:rPr>
                <w:rFonts w:ascii="宋体" w:hAnsi="宋体" w:eastAsia="宋体"/>
                <w:color w:val="000000"/>
              </w:rPr>
              <w:t>定制柜</w:t>
            </w:r>
            <w:r>
              <w:rPr>
                <w:rFonts w:hint="eastAsia" w:ascii="宋体" w:hAnsi="宋体"/>
                <w:color w:val="000000"/>
                <w:lang w:val="en-US" w:eastAsia="zh-CN"/>
              </w:rPr>
              <w:t>2</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370MM*400MM*580MM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基材：采用E1级中密度纤维板，含水率≤6.3%，吸水膨胀率≥9.1%，甲醛释放量≤0.038mg/m³。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胶水：采用净味拼板胶，符合内装饰装修材料胶粘剂中有害物质限量，总挥发有机物≤22G/L,笨≤0.02g/kg，游离甲醛≤0.1g/kg。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三合一连接件：采用优质的三合一连接件 金属电镀层抗盐雾检验 18h，无锈点。</w:t>
            </w:r>
          </w:p>
          <w:p>
            <w:pPr>
              <w:autoSpaceDE w:val="0"/>
              <w:autoSpaceDN w:val="0"/>
              <w:spacing w:line="360" w:lineRule="auto"/>
              <w:jc w:val="left"/>
              <w:rPr>
                <w:rFonts w:ascii="宋体" w:hAnsi="宋体" w:eastAsia="宋体"/>
                <w:color w:val="000000"/>
              </w:rPr>
            </w:pPr>
            <w:r>
              <w:rPr>
                <w:rFonts w:ascii="宋体" w:hAnsi="宋体" w:eastAsia="宋体"/>
                <w:color w:val="000000"/>
              </w:rPr>
              <w:t>阻尼铰链：采用优质的阻尼铰链 垂直向下静载荷、水平侧向静载荷、耐久性、耐腐蚀符合检测标准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锁具：采用优质的锁具 锁定到位开启灵活，金属电镀层抗盐雾18h，无锈点。 </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4</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皮转椅</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椅高；1170mm-1235mm              座高；440mm-505mm   背高：745mm      椅宽；660mm      背宽：490mm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一：脚轮采用PA+玻纤注塑而成，毂外套PU白色软边，不伤地板，美观耐磨，静音顺滑。</w:t>
            </w:r>
          </w:p>
          <w:p>
            <w:pPr>
              <w:autoSpaceDE w:val="0"/>
              <w:autoSpaceDN w:val="0"/>
              <w:spacing w:line="360" w:lineRule="auto"/>
              <w:jc w:val="left"/>
              <w:rPr>
                <w:rFonts w:ascii="宋体" w:hAnsi="宋体" w:eastAsia="宋体"/>
                <w:color w:val="000000"/>
              </w:rPr>
            </w:pPr>
            <w:r>
              <w:rPr>
                <w:rFonts w:ascii="宋体" w:hAnsi="宋体" w:eastAsia="宋体"/>
                <w:color w:val="000000"/>
              </w:rPr>
              <w:t>二：椅脚架采用黑色尼龙脚加电镀装饰盖设计，由PA+GF材质一体注塑而成，可通过测试；静压1360KG一分钟两次不变形，不断裂。</w:t>
            </w:r>
          </w:p>
          <w:p>
            <w:pPr>
              <w:autoSpaceDE w:val="0"/>
              <w:autoSpaceDN w:val="0"/>
              <w:spacing w:line="360" w:lineRule="auto"/>
              <w:jc w:val="left"/>
              <w:rPr>
                <w:rFonts w:ascii="宋体" w:hAnsi="宋体" w:eastAsia="宋体"/>
                <w:color w:val="000000"/>
              </w:rPr>
            </w:pPr>
            <w:r>
              <w:rPr>
                <w:rFonts w:ascii="宋体" w:hAnsi="宋体" w:eastAsia="宋体"/>
                <w:color w:val="000000"/>
              </w:rPr>
              <w:t>三：气杆内充氮气6.8MPA，管壁厚，镭射钢印，升降12万次功能正常，75kg重量38cm高度自由落体冲击10万次气压杆不拉坏；负重136kg，旋转10万次，气压杆无结构性破坏及功能性损失。</w:t>
            </w:r>
          </w:p>
          <w:p>
            <w:pPr>
              <w:autoSpaceDE w:val="0"/>
              <w:autoSpaceDN w:val="0"/>
              <w:spacing w:line="360" w:lineRule="auto"/>
              <w:jc w:val="left"/>
              <w:rPr>
                <w:rFonts w:ascii="宋体" w:hAnsi="宋体" w:eastAsia="宋体"/>
                <w:color w:val="000000"/>
              </w:rPr>
            </w:pPr>
            <w:r>
              <w:rPr>
                <w:rFonts w:ascii="宋体" w:hAnsi="宋体" w:eastAsia="宋体"/>
                <w:color w:val="000000"/>
              </w:rPr>
              <w:t>四：底盘大盘3.0mm厚钢板组合而成,通过测试，整椅可逍遥倾躺多功能锁定，大角度逍遥倾躺，角度125度，底盘四档锁定，放松和舒适。</w:t>
            </w:r>
          </w:p>
          <w:p>
            <w:pPr>
              <w:autoSpaceDE w:val="0"/>
              <w:autoSpaceDN w:val="0"/>
              <w:spacing w:line="360" w:lineRule="auto"/>
              <w:jc w:val="left"/>
              <w:rPr>
                <w:rFonts w:ascii="宋体" w:hAnsi="宋体" w:eastAsia="宋体"/>
                <w:color w:val="000000"/>
              </w:rPr>
            </w:pPr>
            <w:r>
              <w:rPr>
                <w:rFonts w:ascii="宋体" w:hAnsi="宋体" w:eastAsia="宋体"/>
                <w:color w:val="000000"/>
              </w:rPr>
              <w:t>五：座包内架用木板厚14MM，含水量≤12°，内衬高密度高弹性聚氨酯定型海绵，座面采用牛皮，柔韧透气耐磨；</w:t>
            </w:r>
          </w:p>
          <w:p>
            <w:pPr>
              <w:autoSpaceDE w:val="0"/>
              <w:autoSpaceDN w:val="0"/>
              <w:spacing w:line="360" w:lineRule="auto"/>
              <w:jc w:val="left"/>
              <w:rPr>
                <w:rFonts w:ascii="宋体" w:hAnsi="宋体" w:eastAsia="宋体"/>
                <w:color w:val="000000"/>
              </w:rPr>
            </w:pPr>
            <w:r>
              <w:rPr>
                <w:rFonts w:ascii="宋体" w:hAnsi="宋体" w:eastAsia="宋体"/>
                <w:color w:val="000000"/>
              </w:rPr>
              <w:t>六：多功能3D升降，前后移动和左右摆动扶手，扶手架由PA材质注塑组装而成，扶手面由PU材料，舒适支撑手臂。</w:t>
            </w:r>
          </w:p>
          <w:p>
            <w:pPr>
              <w:autoSpaceDE w:val="0"/>
              <w:autoSpaceDN w:val="0"/>
              <w:spacing w:line="360" w:lineRule="auto"/>
              <w:jc w:val="left"/>
              <w:rPr>
                <w:rFonts w:ascii="宋体" w:hAnsi="宋体" w:eastAsia="宋体"/>
                <w:color w:val="000000"/>
              </w:rPr>
            </w:pPr>
            <w:r>
              <w:rPr>
                <w:rFonts w:ascii="宋体" w:hAnsi="宋体" w:eastAsia="宋体"/>
                <w:color w:val="000000"/>
              </w:rPr>
              <w:t>七：隐藏式腿拖，安享午休，腿拖造型精巧不外露，拉出和收纳操作方便。</w:t>
            </w:r>
          </w:p>
          <w:p>
            <w:pPr>
              <w:autoSpaceDE w:val="0"/>
              <w:autoSpaceDN w:val="0"/>
              <w:spacing w:line="360" w:lineRule="auto"/>
              <w:jc w:val="left"/>
              <w:rPr>
                <w:rFonts w:ascii="宋体" w:hAnsi="宋体" w:eastAsia="宋体"/>
                <w:color w:val="000000"/>
              </w:rPr>
            </w:pPr>
            <w:r>
              <w:rPr>
                <w:rFonts w:ascii="宋体" w:hAnsi="宋体" w:eastAsia="宋体"/>
                <w:color w:val="000000"/>
              </w:rPr>
              <w:t>八；材质符合国家环保标准要求，椅子通过破坏性测试。整椅结构件质保十年。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5</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弓架网椅</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椅高：930mm    椅宽：590mm    座高：460mm    背高：545mm    背宽：480mm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一、靠背：采用多层面料，具有较强的延伸性和弹性，柔软耐磨，久坐舒适，透气性好，采用整块尼龙板结构，承载力强。</w:t>
            </w:r>
          </w:p>
          <w:p>
            <w:pPr>
              <w:autoSpaceDE w:val="0"/>
              <w:autoSpaceDN w:val="0"/>
              <w:spacing w:line="360" w:lineRule="auto"/>
              <w:jc w:val="left"/>
              <w:rPr>
                <w:rFonts w:ascii="宋体" w:hAnsi="宋体" w:eastAsia="宋体"/>
                <w:color w:val="000000"/>
              </w:rPr>
            </w:pPr>
            <w:r>
              <w:rPr>
                <w:rFonts w:ascii="宋体" w:hAnsi="宋体" w:eastAsia="宋体"/>
                <w:color w:val="000000"/>
              </w:rPr>
              <w:t>二、坐垫：座内架用木板厚16MM，含水量≤12%，座内由PU材料发泡而成定型绵，密度大于或等于75KG/M3.泡绵回弹性可达95%，座感舒软，立体饱满坐垫，采用多层面料，具有较强的延伸性和弹性，柔软舒适，亲肤透气。</w:t>
            </w:r>
          </w:p>
          <w:p>
            <w:pPr>
              <w:autoSpaceDE w:val="0"/>
              <w:autoSpaceDN w:val="0"/>
              <w:spacing w:line="360" w:lineRule="auto"/>
              <w:jc w:val="left"/>
              <w:rPr>
                <w:rFonts w:ascii="宋体" w:hAnsi="宋体" w:eastAsia="宋体"/>
                <w:color w:val="000000"/>
              </w:rPr>
            </w:pPr>
            <w:r>
              <w:rPr>
                <w:rFonts w:ascii="宋体" w:hAnsi="宋体" w:eastAsia="宋体"/>
                <w:color w:val="000000"/>
              </w:rPr>
              <w:t>三、弓形架：直径25mm,2.5mm厚管壁，A3钢管焊接，贯穿尾背后部设计，表面镀镍铬，所有焊接点采用二氧化碳保护焊焊接，承载力强。</w:t>
            </w:r>
          </w:p>
          <w:p>
            <w:pPr>
              <w:autoSpaceDE w:val="0"/>
              <w:autoSpaceDN w:val="0"/>
              <w:spacing w:line="360" w:lineRule="auto"/>
              <w:jc w:val="left"/>
              <w:rPr>
                <w:rFonts w:ascii="宋体" w:hAnsi="宋体" w:eastAsia="宋体"/>
                <w:color w:val="000000"/>
              </w:rPr>
            </w:pPr>
            <w:r>
              <w:rPr>
                <w:rFonts w:ascii="宋体" w:hAnsi="宋体" w:eastAsia="宋体"/>
                <w:color w:val="000000"/>
              </w:rPr>
              <w:t>四、扶手：由PP+GF材质注塑而成，耐磨性强，弧形折弯设计，手臂自然放松。</w:t>
            </w:r>
          </w:p>
          <w:p>
            <w:pPr>
              <w:autoSpaceDE w:val="0"/>
              <w:autoSpaceDN w:val="0"/>
              <w:spacing w:line="360" w:lineRule="auto"/>
              <w:jc w:val="left"/>
              <w:rPr>
                <w:rFonts w:ascii="宋体" w:hAnsi="宋体" w:eastAsia="宋体"/>
                <w:color w:val="000000"/>
              </w:rPr>
            </w:pPr>
            <w:r>
              <w:rPr>
                <w:rFonts w:ascii="宋体" w:hAnsi="宋体" w:eastAsia="宋体"/>
                <w:color w:val="000000"/>
              </w:rPr>
              <w:t>五、材质符合国家环保标准要求，椅子通过破坏性测试。整椅结构件质保十年。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6</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木质涂饰书柜</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1800mm*420mm*2000mm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基材：采用E1级中密度纤维板，含水率≤6.3%，吸水膨胀率≥9.1%，甲醛释放量≤0.038mg/m³。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胶水：采用净味拼板胶，符合内装饰装修材料胶粘剂中有害物质限量，总挥发有机物≤22G/L,笨≤0.02g/kg，游离甲醛≤0.1g/kg。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三合一连接件：采用优质的三合一连接件 金属电镀层抗盐雾检验 18h，无锈点。</w:t>
            </w:r>
          </w:p>
          <w:p>
            <w:pPr>
              <w:autoSpaceDE w:val="0"/>
              <w:autoSpaceDN w:val="0"/>
              <w:spacing w:line="360" w:lineRule="auto"/>
              <w:jc w:val="left"/>
              <w:rPr>
                <w:rFonts w:ascii="宋体" w:hAnsi="宋体" w:eastAsia="宋体"/>
                <w:color w:val="000000"/>
              </w:rPr>
            </w:pPr>
            <w:r>
              <w:rPr>
                <w:rFonts w:ascii="宋体" w:hAnsi="宋体" w:eastAsia="宋体"/>
                <w:color w:val="000000"/>
              </w:rPr>
              <w:t>阻尼铰链：采用优质的阻尼铰链 垂直向下静载荷、水平侧向静载荷、耐久性、耐腐蚀符合检测标准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锁具：采用优质的锁具 锁定到位开启灵活，金属电镀层抗盐雾18h，无锈点。 </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塑料脚钉：采用优质的塑料脚钉 符合GB 28481-2012 塑料家具中有害物质限量 可溶性铅≤2.1mg/kg,可溶性镉≤1.1mg/kg，可溶性汞≤1.1mg/kg，可溶性铬≤1.1mg/kg </w:t>
            </w:r>
          </w:p>
          <w:p>
            <w:pPr>
              <w:autoSpaceDE w:val="0"/>
              <w:autoSpaceDN w:val="0"/>
              <w:spacing w:line="360" w:lineRule="auto"/>
              <w:jc w:val="left"/>
              <w:rPr>
                <w:rFonts w:ascii="宋体" w:hAnsi="宋体" w:eastAsia="宋体"/>
                <w:color w:val="000000"/>
              </w:rPr>
            </w:pPr>
            <w:r>
              <w:rPr>
                <w:rFonts w:ascii="宋体" w:hAnsi="宋体" w:eastAsia="宋体"/>
                <w:color w:val="000000"/>
              </w:rPr>
              <w:t>门板磁碰：采用优质的门板磁碰，符合塑料家具通用技术条件 塑料外观 无裂纹、变形、缩水、针孔、凹陷、飞边、褶皱、疙瘩、无明显色差。</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1" w:hRule="atLeast"/>
        </w:trPr>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7</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木质涂饰茶水柜</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1200mm*400mm*880mm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基材：采用E1级中密度纤维板，含水率≤6.3%，吸水膨胀率≥9.1%，甲醛释放量≤0.038mg/m³。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胶水：采用净味拼板胶，符合内装饰装修材料胶粘剂中有害物质限量，总挥发有机物≤22G/L,笨≤0.02g/kg，游离甲醛≤0.1g/kg。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三合一连接件：采用优质的三合一连接件 金属电镀层抗盐雾检验 18h，无锈点。</w:t>
            </w:r>
          </w:p>
          <w:p>
            <w:pPr>
              <w:autoSpaceDE w:val="0"/>
              <w:autoSpaceDN w:val="0"/>
              <w:spacing w:line="360" w:lineRule="auto"/>
              <w:jc w:val="left"/>
              <w:rPr>
                <w:rFonts w:ascii="宋体" w:hAnsi="宋体" w:eastAsia="宋体"/>
                <w:color w:val="000000"/>
              </w:rPr>
            </w:pPr>
            <w:r>
              <w:rPr>
                <w:rFonts w:ascii="宋体" w:hAnsi="宋体" w:eastAsia="宋体"/>
                <w:color w:val="000000"/>
              </w:rPr>
              <w:t>阻尼铰链：采用优质的阻尼铰链 垂直向下静载荷、水平侧向静载荷、耐久性、耐腐蚀符合检测标准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锁具：采用优质的锁具 锁定到位开启灵活，金属电镀层抗盐雾18h，无锈点。 </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塑料脚钉：采用优质的塑料脚钉 符合GB 28481-2012 塑料家具中有害物质限量 可溶性铅≤2.1mg/kg,可溶性镉≤1.1mg/kg，可溶性汞≤1.1mg/kg，可溶性铬≤1.1mg/kg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8</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木质涂饰茶几</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1200mm*600mm*450mm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基材：采用E1级中密度纤维板，含水率≤6.3%，吸水膨胀率≥9.1%，甲醛释放量≤0.038mg/m³。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质量工艺要求：台面平整，颜色均匀，木材拼接紧密，线条均匀，转角过渡自然，间隙细小且均匀等，误差不超过5mm；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9</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木质覆面办公桌</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2000mm*1050mm*760mm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基材：采用E1级实木颗粒板，静曲强度≥18MPa;内结合强度≥0.54MPa:吸水厚度膨胀率≥3.5%；板面握螺丝钉力≥1048N;板边握螺丝钉力≥822N；甲醛释放量≤0.033mg/m³。</w:t>
            </w:r>
          </w:p>
          <w:p>
            <w:pPr>
              <w:autoSpaceDE w:val="0"/>
              <w:autoSpaceDN w:val="0"/>
              <w:spacing w:line="360" w:lineRule="auto"/>
              <w:jc w:val="left"/>
              <w:rPr>
                <w:rFonts w:ascii="宋体" w:hAnsi="宋体" w:eastAsia="宋体"/>
                <w:color w:val="000000"/>
              </w:rPr>
            </w:pPr>
            <w:r>
              <w:rPr>
                <w:rFonts w:ascii="宋体" w:hAnsi="宋体" w:eastAsia="宋体"/>
                <w:color w:val="000000"/>
              </w:rPr>
              <w:t>封边条：采用PVC封边条符合QB/T 4463-2013 家具封边条技术要求标准，甲醛释放量≤0.11mg/L，可迁移元素可溶性铅≤2mg/kg，镉≤1mg/kg，铬≤1mg/kg，汞≤1mg/kg，砷≤1mg/kg,钡≤2mg/kg，锑≤1mg/kg，硒≤1mg/kg。</w:t>
            </w:r>
          </w:p>
          <w:p>
            <w:pPr>
              <w:autoSpaceDE w:val="0"/>
              <w:autoSpaceDN w:val="0"/>
              <w:spacing w:line="360" w:lineRule="auto"/>
              <w:jc w:val="left"/>
              <w:rPr>
                <w:rFonts w:ascii="宋体" w:hAnsi="宋体" w:eastAsia="宋体"/>
                <w:color w:val="000000"/>
              </w:rPr>
            </w:pPr>
            <w:r>
              <w:rPr>
                <w:rFonts w:ascii="宋体" w:hAnsi="宋体" w:eastAsia="宋体"/>
                <w:color w:val="000000"/>
              </w:rPr>
              <w:t>过线盒：采用优质的过线盒 金属电镀层抗盐雾检验 18h，无锈点。</w:t>
            </w:r>
          </w:p>
          <w:p>
            <w:pPr>
              <w:autoSpaceDE w:val="0"/>
              <w:autoSpaceDN w:val="0"/>
              <w:spacing w:line="360" w:lineRule="auto"/>
              <w:jc w:val="left"/>
              <w:rPr>
                <w:rFonts w:ascii="宋体" w:hAnsi="宋体" w:eastAsia="宋体"/>
                <w:color w:val="000000"/>
              </w:rPr>
            </w:pPr>
            <w:r>
              <w:rPr>
                <w:rFonts w:ascii="宋体" w:hAnsi="宋体" w:eastAsia="宋体"/>
                <w:color w:val="000000"/>
              </w:rPr>
              <w:t>三合一连接件：采用优质的三合一连接件 金属电镀层抗盐雾检验 18h，无锈点。</w:t>
            </w:r>
          </w:p>
          <w:p>
            <w:pPr>
              <w:autoSpaceDE w:val="0"/>
              <w:autoSpaceDN w:val="0"/>
              <w:spacing w:line="360" w:lineRule="auto"/>
              <w:jc w:val="left"/>
              <w:rPr>
                <w:rFonts w:ascii="宋体" w:hAnsi="宋体" w:eastAsia="宋体"/>
                <w:color w:val="000000"/>
              </w:rPr>
            </w:pPr>
            <w:r>
              <w:rPr>
                <w:rFonts w:ascii="宋体" w:hAnsi="宋体" w:eastAsia="宋体"/>
                <w:color w:val="000000"/>
              </w:rPr>
              <w:t>阻尼铰链：采用优质的阻尼铰链 垂直向下静载荷、水平侧向静载荷、耐久性、耐腐蚀符合检测标准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锁具：采用优质的锁具 锁定到位开启灵活，金属电镀层抗盐雾18h，无锈点。 </w:t>
            </w:r>
          </w:p>
          <w:p>
            <w:pPr>
              <w:autoSpaceDE w:val="0"/>
              <w:autoSpaceDN w:val="0"/>
              <w:spacing w:line="360" w:lineRule="auto"/>
              <w:jc w:val="left"/>
              <w:rPr>
                <w:rFonts w:ascii="宋体" w:hAnsi="宋体" w:eastAsia="宋体"/>
                <w:color w:val="000000"/>
              </w:rPr>
            </w:pPr>
            <w:r>
              <w:rPr>
                <w:rFonts w:ascii="宋体" w:hAnsi="宋体" w:eastAsia="宋体"/>
                <w:color w:val="000000"/>
              </w:rPr>
              <w:t>不锈钢卡扣：采用优质的不锈钢卡扣，金属电镀层抗盐雾符合检测标准。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塑料脚钉：采用优质的塑料脚钉 符合塑料家具中有害物质限量 可溶性铅≤2.1mg/kg,可溶性镉≤1.1mg/kg，可溶性汞≤1.1mg/kg，可溶性铬≤1.1mg/kg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10</w:t>
            </w:r>
          </w:p>
        </w:tc>
        <w:tc>
          <w:tcPr>
            <w:tcW w:w="1028" w:type="dxa"/>
            <w:vAlign w:val="center"/>
          </w:tcPr>
          <w:p>
            <w:pPr>
              <w:autoSpaceDE w:val="0"/>
              <w:autoSpaceDN w:val="0"/>
              <w:spacing w:line="360" w:lineRule="auto"/>
              <w:jc w:val="center"/>
              <w:rPr>
                <w:rFonts w:hint="eastAsia" w:ascii="宋体" w:hAnsi="宋体" w:eastAsia="宋体"/>
                <w:color w:val="000000"/>
                <w:lang w:val="en-US" w:eastAsia="zh-CN"/>
              </w:rPr>
            </w:pPr>
            <w:r>
              <w:rPr>
                <w:rFonts w:ascii="宋体" w:hAnsi="宋体" w:eastAsia="宋体"/>
                <w:color w:val="000000"/>
              </w:rPr>
              <w:t>皮沙发</w:t>
            </w:r>
            <w:r>
              <w:rPr>
                <w:rFonts w:hint="eastAsia" w:ascii="宋体" w:hAnsi="宋体"/>
                <w:color w:val="000000"/>
                <w:lang w:val="en-US" w:eastAsia="zh-CN"/>
              </w:rPr>
              <w:t>1</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单人位850*850*1000三人位2000*850*850</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表层：采用头层牛皮覆面，符合家具用皮革标准，摩擦色牢度≥4级，甲醛释放量≤21mg/kg</w:t>
            </w:r>
          </w:p>
          <w:p>
            <w:pPr>
              <w:autoSpaceDE w:val="0"/>
              <w:autoSpaceDN w:val="0"/>
              <w:spacing w:line="360" w:lineRule="auto"/>
              <w:jc w:val="left"/>
              <w:rPr>
                <w:rFonts w:ascii="宋体" w:hAnsi="宋体" w:eastAsia="宋体"/>
                <w:color w:val="000000"/>
              </w:rPr>
            </w:pPr>
            <w:r>
              <w:rPr>
                <w:rFonts w:ascii="宋体" w:hAnsi="宋体" w:eastAsia="宋体"/>
                <w:color w:val="000000"/>
              </w:rPr>
              <w:t>泡绵：</w:t>
            </w:r>
            <w:r>
              <w:rPr>
                <w:rFonts w:ascii="宋体" w:hAnsi="宋体" w:eastAsia="宋体" w:cs="宋体"/>
                <w:sz w:val="24"/>
                <w:szCs w:val="24"/>
              </w:rPr>
              <w:t>采用高密度定型海绵 符合GB/T 10802-2006《通用软质聚醚型聚氨酯泡沫塑料》标准，75%压缩永久变形≤3.0，回弹率≥42%，游离甲醛≤22mg/kg。</w:t>
            </w:r>
          </w:p>
          <w:p>
            <w:pPr>
              <w:autoSpaceDE w:val="0"/>
              <w:autoSpaceDN w:val="0"/>
              <w:spacing w:line="360" w:lineRule="auto"/>
              <w:jc w:val="left"/>
              <w:rPr>
                <w:rFonts w:ascii="宋体" w:hAnsi="宋体" w:eastAsia="宋体"/>
                <w:color w:val="000000"/>
              </w:rPr>
            </w:pPr>
            <w:r>
              <w:rPr>
                <w:rFonts w:ascii="宋体" w:hAnsi="宋体" w:eastAsia="宋体"/>
                <w:color w:val="000000"/>
              </w:rPr>
              <w:t>内架：采用实木框架 符合室内装饰装修材料木家具中有害物质限量 甲醛释放量≤0.11mg/L,木材含水率≤10%，全干密度≥0.54g/cm³</w:t>
            </w:r>
            <w:r>
              <w:rPr>
                <w:rFonts w:ascii="宋体" w:hAnsi="宋体" w:eastAsia="宋体"/>
                <w:color w:val="000000"/>
              </w:rPr>
              <w:br w:type="textWrapping" w:clear="all"/>
            </w:r>
            <w:r>
              <w:rPr>
                <w:rFonts w:ascii="宋体" w:hAnsi="宋体" w:eastAsia="宋体"/>
                <w:color w:val="000000"/>
              </w:rPr>
              <w:t>螺丝：采用优质的螺丝，符合轻工产品金属镀层腐蚀试验结果的评价和轻工产品金属镀层和化学处理层的耐腐蚀试验方法 中性盐雾试验（NSS）法企业技术条件 耐腐蚀等级18H中性盐雾试验≥8级</w:t>
            </w:r>
          </w:p>
          <w:p>
            <w:pPr>
              <w:autoSpaceDE w:val="0"/>
              <w:autoSpaceDN w:val="0"/>
              <w:spacing w:line="360" w:lineRule="auto"/>
              <w:jc w:val="left"/>
              <w:rPr>
                <w:rFonts w:ascii="宋体" w:hAnsi="宋体" w:eastAsia="宋体"/>
                <w:color w:val="000000"/>
              </w:rPr>
            </w:pPr>
            <w:r>
              <w:rPr>
                <w:rFonts w:ascii="宋体" w:hAnsi="宋体" w:eastAsia="宋体"/>
                <w:color w:val="000000"/>
              </w:rPr>
              <w:t>绷带：采用优质的绷带，符合国家纺织产品基本安全技术规范 甲醛释放量≤21mg/kg</w:t>
            </w:r>
          </w:p>
          <w:p>
            <w:pPr>
              <w:autoSpaceDE w:val="0"/>
              <w:autoSpaceDN w:val="0"/>
              <w:spacing w:line="360" w:lineRule="auto"/>
              <w:jc w:val="left"/>
              <w:rPr>
                <w:rFonts w:ascii="宋体" w:hAnsi="宋体" w:eastAsia="宋体"/>
                <w:color w:val="000000"/>
              </w:rPr>
            </w:pPr>
            <w:r>
              <w:rPr>
                <w:rFonts w:ascii="宋体" w:hAnsi="宋体" w:eastAsia="宋体"/>
                <w:color w:val="000000"/>
              </w:rPr>
              <w:t>弹簧：采用优质的弹簧符合 金属家具通用技术条件金属电镀层抗盐雾符合检测标准。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11</w:t>
            </w:r>
          </w:p>
        </w:tc>
        <w:tc>
          <w:tcPr>
            <w:tcW w:w="1028" w:type="dxa"/>
            <w:vAlign w:val="center"/>
          </w:tcPr>
          <w:p>
            <w:pPr>
              <w:autoSpaceDE w:val="0"/>
              <w:autoSpaceDN w:val="0"/>
              <w:spacing w:line="360" w:lineRule="auto"/>
              <w:jc w:val="center"/>
              <w:rPr>
                <w:rFonts w:hint="eastAsia" w:ascii="宋体" w:hAnsi="宋体" w:eastAsia="宋体"/>
                <w:color w:val="000000"/>
                <w:lang w:val="en-US" w:eastAsia="zh-CN"/>
              </w:rPr>
            </w:pPr>
            <w:r>
              <w:rPr>
                <w:rFonts w:ascii="宋体" w:hAnsi="宋体" w:eastAsia="宋体"/>
                <w:color w:val="000000"/>
              </w:rPr>
              <w:t>皮沙发</w:t>
            </w:r>
            <w:r>
              <w:rPr>
                <w:rFonts w:hint="eastAsia" w:ascii="宋体" w:hAnsi="宋体"/>
                <w:color w:val="000000"/>
                <w:lang w:val="en-US" w:eastAsia="zh-CN"/>
              </w:rPr>
              <w:t>2</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单人位850*850*1000</w:t>
            </w:r>
          </w:p>
          <w:p>
            <w:pPr>
              <w:autoSpaceDE w:val="0"/>
              <w:autoSpaceDN w:val="0"/>
              <w:spacing w:line="360" w:lineRule="auto"/>
              <w:jc w:val="center"/>
              <w:rPr>
                <w:rFonts w:ascii="宋体" w:hAnsi="宋体" w:eastAsia="宋体"/>
                <w:color w:val="000000"/>
              </w:rPr>
            </w:pPr>
            <w:r>
              <w:rPr>
                <w:rFonts w:ascii="宋体" w:hAnsi="宋体" w:eastAsia="宋体"/>
                <w:color w:val="000000"/>
              </w:rPr>
              <w:t>三人位2000*850*850</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表层：采用头层牛皮覆面，符合家具用皮革标准，摩擦色牢度≥4级，甲醛释放量≤21mg/kg</w:t>
            </w:r>
          </w:p>
          <w:p>
            <w:pPr>
              <w:autoSpaceDE w:val="0"/>
              <w:autoSpaceDN w:val="0"/>
              <w:spacing w:line="360" w:lineRule="auto"/>
              <w:jc w:val="left"/>
              <w:rPr>
                <w:rFonts w:ascii="宋体" w:hAnsi="宋体" w:eastAsia="宋体"/>
                <w:color w:val="000000"/>
              </w:rPr>
            </w:pPr>
            <w:r>
              <w:rPr>
                <w:rFonts w:ascii="宋体" w:hAnsi="宋体" w:eastAsia="宋体"/>
                <w:color w:val="000000"/>
              </w:rPr>
              <w:t>泡绵：</w:t>
            </w:r>
            <w:r>
              <w:rPr>
                <w:rFonts w:ascii="宋体" w:hAnsi="宋体" w:eastAsia="宋体" w:cs="宋体"/>
                <w:sz w:val="24"/>
                <w:szCs w:val="24"/>
              </w:rPr>
              <w:t>采用高密度定型海绵 符合GB/T 10802-2006《通用软质聚醚型聚氨酯泡沫塑料》标准，75%压缩永久变形≤3.0，回弹率≥42%，游离甲醛≤22mg/kg。</w:t>
            </w:r>
            <w:r>
              <w:rPr>
                <w:rFonts w:ascii="宋体" w:hAnsi="宋体" w:eastAsia="宋体"/>
                <w:color w:val="000000"/>
              </w:rPr>
              <w:t>。</w:t>
            </w:r>
          </w:p>
          <w:p>
            <w:pPr>
              <w:autoSpaceDE w:val="0"/>
              <w:autoSpaceDN w:val="0"/>
              <w:spacing w:line="360" w:lineRule="auto"/>
              <w:jc w:val="left"/>
              <w:rPr>
                <w:rFonts w:ascii="宋体" w:hAnsi="宋体" w:eastAsia="宋体"/>
                <w:color w:val="000000"/>
              </w:rPr>
            </w:pPr>
            <w:r>
              <w:rPr>
                <w:rFonts w:ascii="宋体" w:hAnsi="宋体" w:eastAsia="宋体"/>
                <w:color w:val="000000"/>
              </w:rPr>
              <w:t>内架：采用实木框架 符合室内装饰装修材料木家具中有害物质限量 甲醛释放量≤0.11mg/L,木材含水率≤10%，全干密度≥0.54g/cm³</w:t>
            </w:r>
            <w:r>
              <w:rPr>
                <w:rFonts w:ascii="宋体" w:hAnsi="宋体" w:eastAsia="宋体"/>
                <w:color w:val="000000"/>
              </w:rPr>
              <w:br w:type="textWrapping" w:clear="all"/>
            </w:r>
            <w:r>
              <w:rPr>
                <w:rFonts w:ascii="宋体" w:hAnsi="宋体" w:eastAsia="宋体"/>
                <w:color w:val="000000"/>
              </w:rPr>
              <w:t>螺丝：采用优质的螺丝，符合轻工产品金属镀层腐蚀试验结果的评价和轻工产品金属镀层和化学处理层的耐腐蚀试验方法 中性盐雾试验（NSS）法企业技术条件 耐腐蚀等级18H中性盐雾试验≥8级</w:t>
            </w:r>
          </w:p>
          <w:p>
            <w:pPr>
              <w:autoSpaceDE w:val="0"/>
              <w:autoSpaceDN w:val="0"/>
              <w:spacing w:line="360" w:lineRule="auto"/>
              <w:jc w:val="left"/>
              <w:rPr>
                <w:rFonts w:ascii="宋体" w:hAnsi="宋体" w:eastAsia="宋体"/>
                <w:color w:val="000000"/>
              </w:rPr>
            </w:pPr>
            <w:r>
              <w:rPr>
                <w:rFonts w:ascii="宋体" w:hAnsi="宋体" w:eastAsia="宋体"/>
                <w:color w:val="000000"/>
              </w:rPr>
              <w:t>绷带：采用优质的绷带，符合国家纺织产品基本安全技术规范 甲醛释放量≤21mg/kg</w:t>
            </w:r>
          </w:p>
          <w:p>
            <w:pPr>
              <w:autoSpaceDE w:val="0"/>
              <w:autoSpaceDN w:val="0"/>
              <w:spacing w:line="360" w:lineRule="auto"/>
              <w:jc w:val="left"/>
              <w:rPr>
                <w:rFonts w:ascii="宋体" w:hAnsi="宋体" w:eastAsia="宋体"/>
                <w:color w:val="000000"/>
              </w:rPr>
            </w:pPr>
            <w:r>
              <w:rPr>
                <w:rFonts w:ascii="宋体" w:hAnsi="宋体" w:eastAsia="宋体"/>
                <w:color w:val="000000"/>
              </w:rPr>
              <w:t>弹簧：采用优质的弹簧符合金属家具通用技术条件金属电镀层抗盐雾符合检测标准。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12</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网面转椅</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椅高；1110mm-1210mm          椅宽；610mm                         座高；420mm-520mm 背高：570mm     背宽：450mm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一、靠背/座板：头枕可上下前后调节，网布具有较强的延伸性和弹性，透气性好，手感好，结实，久座舒适.座内衬高密度高弹性聚氨酯定型海绵。</w:t>
            </w:r>
          </w:p>
          <w:p>
            <w:pPr>
              <w:autoSpaceDE w:val="0"/>
              <w:autoSpaceDN w:val="0"/>
              <w:spacing w:line="360" w:lineRule="auto"/>
              <w:jc w:val="left"/>
              <w:rPr>
                <w:rFonts w:ascii="宋体" w:hAnsi="宋体" w:eastAsia="宋体"/>
                <w:color w:val="000000"/>
              </w:rPr>
            </w:pPr>
            <w:r>
              <w:rPr>
                <w:rFonts w:ascii="宋体" w:hAnsi="宋体" w:eastAsia="宋体"/>
                <w:color w:val="000000"/>
              </w:rPr>
              <w:t>二、扶手：多功能3D升降扶手，扶手架由PA材质注塑组装而成，扶手面由PU材料注塑而成，舒适支撑手臂。</w:t>
            </w:r>
          </w:p>
          <w:p>
            <w:pPr>
              <w:autoSpaceDE w:val="0"/>
              <w:autoSpaceDN w:val="0"/>
              <w:spacing w:line="360" w:lineRule="auto"/>
              <w:jc w:val="left"/>
              <w:rPr>
                <w:rFonts w:ascii="宋体" w:hAnsi="宋体" w:eastAsia="宋体"/>
                <w:color w:val="000000"/>
              </w:rPr>
            </w:pPr>
            <w:r>
              <w:rPr>
                <w:rFonts w:ascii="宋体" w:hAnsi="宋体" w:eastAsia="宋体"/>
                <w:color w:val="000000"/>
              </w:rPr>
              <w:t>三：整椅底盘可逍遥和具有锁定功能，久座放松和舒适。</w:t>
            </w:r>
          </w:p>
          <w:p>
            <w:pPr>
              <w:autoSpaceDE w:val="0"/>
              <w:autoSpaceDN w:val="0"/>
              <w:spacing w:line="360" w:lineRule="auto"/>
              <w:jc w:val="left"/>
              <w:rPr>
                <w:rFonts w:ascii="宋体" w:hAnsi="宋体" w:eastAsia="宋体"/>
                <w:color w:val="000000"/>
              </w:rPr>
            </w:pPr>
            <w:r>
              <w:rPr>
                <w:rFonts w:ascii="宋体" w:hAnsi="宋体" w:eastAsia="宋体"/>
                <w:color w:val="000000"/>
              </w:rPr>
              <w:t>四：汽杆内充氮气6.8MPA，管壁厚，镭射钢印，升降12万次功能正常，75kg重量38cm高度自由落体冲击10万次气压杆不拉坏；负重136kg，旋转10万次，气压杆无结构性破坏及功能性损失。五：椅脚架采用黑色尼龙脚加电镀装饰盖设计，由PA+GF材质一体注塑而成，可通过测试；静压1360KG一分钟两次不变形，不断裂。六：脚轮采用PA+玻纤注塑而成，轮毂外套PU黑色软边，不伤地板，经久耐磨，静音顺滑，防滑防刮。</w:t>
            </w:r>
          </w:p>
          <w:p>
            <w:pPr>
              <w:autoSpaceDE w:val="0"/>
              <w:autoSpaceDN w:val="0"/>
              <w:spacing w:line="360" w:lineRule="auto"/>
              <w:jc w:val="left"/>
              <w:rPr>
                <w:rFonts w:ascii="宋体" w:hAnsi="宋体" w:eastAsia="宋体"/>
                <w:color w:val="000000"/>
              </w:rPr>
            </w:pPr>
            <w:r>
              <w:rPr>
                <w:rFonts w:ascii="宋体" w:hAnsi="宋体" w:eastAsia="宋体"/>
                <w:color w:val="000000"/>
              </w:rPr>
              <w:t>七：整椅边框采用黑色全新尼龙料，安全环保无气味，不易老化。八：材质符合国家环保标准要求，椅子通过破坏性测试。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13</w:t>
            </w:r>
          </w:p>
        </w:tc>
        <w:tc>
          <w:tcPr>
            <w:tcW w:w="1028" w:type="dxa"/>
            <w:shd w:val="clear" w:color="000000" w:fill="auto"/>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书包柜</w:t>
            </w:r>
          </w:p>
        </w:tc>
        <w:tc>
          <w:tcPr>
            <w:tcW w:w="2316" w:type="dxa"/>
            <w:shd w:val="clear" w:color="000000" w:fill="auto"/>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500mm*380mm*313mm（4层52格）</w:t>
            </w:r>
          </w:p>
        </w:tc>
        <w:tc>
          <w:tcPr>
            <w:tcW w:w="10221" w:type="dxa"/>
            <w:shd w:val="clear" w:color="000000" w:fill="auto"/>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1、材质：门板由ABS+HIPS+TPE工程塑料+PET膜，柜体采用高强度HIPS工程塑料制成，柜门与柜体连接采用自润滑赛钢铰链。</w:t>
            </w:r>
          </w:p>
          <w:p>
            <w:pPr>
              <w:autoSpaceDE w:val="0"/>
              <w:autoSpaceDN w:val="0"/>
              <w:spacing w:line="360" w:lineRule="auto"/>
              <w:jc w:val="left"/>
              <w:rPr>
                <w:rFonts w:ascii="宋体" w:hAnsi="宋体" w:eastAsia="宋体"/>
                <w:color w:val="000000"/>
              </w:rPr>
            </w:pPr>
            <w:r>
              <w:rPr>
                <w:rFonts w:ascii="宋体" w:hAnsi="宋体" w:eastAsia="宋体"/>
                <w:color w:val="000000"/>
              </w:rPr>
              <w:t>2、工艺：所有板材采用钢制模具一次注塑成型。</w:t>
            </w:r>
          </w:p>
          <w:p>
            <w:pPr>
              <w:autoSpaceDE w:val="0"/>
              <w:autoSpaceDN w:val="0"/>
              <w:spacing w:line="360" w:lineRule="auto"/>
              <w:jc w:val="left"/>
              <w:rPr>
                <w:rFonts w:ascii="宋体" w:hAnsi="宋体" w:eastAsia="宋体"/>
                <w:color w:val="000000"/>
              </w:rPr>
            </w:pPr>
            <w:r>
              <w:rPr>
                <w:rFonts w:ascii="宋体" w:hAnsi="宋体" w:eastAsia="宋体"/>
                <w:color w:val="000000"/>
              </w:rPr>
              <w:t>3、使用寿命：产品抗冲击、耐腐蚀、不生锈。</w:t>
            </w:r>
          </w:p>
          <w:p>
            <w:pPr>
              <w:autoSpaceDE w:val="0"/>
              <w:autoSpaceDN w:val="0"/>
              <w:spacing w:line="360" w:lineRule="auto"/>
              <w:jc w:val="left"/>
              <w:rPr>
                <w:rFonts w:ascii="宋体" w:hAnsi="宋体" w:eastAsia="宋体"/>
                <w:color w:val="000000"/>
              </w:rPr>
            </w:pPr>
            <w:r>
              <w:rPr>
                <w:rFonts w:ascii="宋体" w:hAnsi="宋体" w:eastAsia="宋体"/>
                <w:color w:val="000000"/>
              </w:rPr>
              <w:t>4、榫卯连接结构，DIY组装，不用胶水，不用金属螺丝，不易变形，可重复拆装使用。产品左右侧面筋采用最新的无筋条设计，即简洁大方又易于清理卫生，底座高度80mm，，抗压力强，可自行选配专用脚垫，可按需调整高度和水平，保证底座四个支撑点有效与地面接触，稳固、结实、耐用，整柜做工精细，无毛边毛刺等瑕疵。</w:t>
            </w:r>
          </w:p>
          <w:p>
            <w:pPr>
              <w:autoSpaceDE w:val="0"/>
              <w:autoSpaceDN w:val="0"/>
              <w:spacing w:line="360" w:lineRule="auto"/>
              <w:jc w:val="left"/>
              <w:rPr>
                <w:rFonts w:ascii="宋体" w:hAnsi="宋体" w:eastAsia="宋体"/>
                <w:color w:val="000000"/>
              </w:rPr>
            </w:pPr>
            <w:r>
              <w:rPr>
                <w:rFonts w:ascii="Arial" w:hAnsi="Arial" w:eastAsia="Arial"/>
                <w:color w:val="000000" w:themeColor="text1"/>
                <w14:textFill>
                  <w14:solidFill>
                    <w14:schemeClr w14:val="tx1"/>
                  </w14:solidFill>
                </w14:textFill>
              </w:rPr>
              <w:t>★</w:t>
            </w:r>
            <w:r>
              <w:rPr>
                <w:rFonts w:ascii="宋体" w:hAnsi="宋体" w:eastAsia="宋体"/>
                <w:color w:val="000000"/>
              </w:rPr>
              <w:t>5、门板表面为整体纯平面设计，无凸起的附加造型，外观简约，美观，并可根据用户的使用场景进行定制；门板上不能用嵌入式的号码牌（号码牌安装在门把手上）。门板铰链采用两个连接件分别钩住上下孔位，中间形成一个长方形导槽（连接件的一个面上设有一个导槽），另一个面上设有一个柱子，在导槽中间插处一个蝴蝶形插片，在安装过和中方便、简单、快捷,门板在厂内整体组装好出货，无需到现场再组装，即节省安装时间又节省运输成本；门板内侧配有水杯架，可放大水杯、钥匙、眼镜、笔等小件物品；门板外表面的硬度达3H以上；6、门副板与门板四周采用防脱开卡扣固定，稳定牢固；更换门板时，只需捏住蝴蝶插片抽出即可拆下门板。</w:t>
            </w:r>
          </w:p>
          <w:p>
            <w:pPr>
              <w:autoSpaceDE w:val="0"/>
              <w:autoSpaceDN w:val="0"/>
              <w:spacing w:line="360" w:lineRule="auto"/>
              <w:jc w:val="left"/>
              <w:rPr>
                <w:rFonts w:ascii="宋体" w:hAnsi="宋体" w:eastAsia="宋体"/>
                <w:color w:val="000000"/>
              </w:rPr>
            </w:pPr>
            <w:r>
              <w:rPr>
                <w:rFonts w:ascii="Arial" w:hAnsi="Arial" w:eastAsia="Arial"/>
                <w:color w:val="000000" w:themeColor="text1"/>
                <w14:textFill>
                  <w14:solidFill>
                    <w14:schemeClr w14:val="tx1"/>
                  </w14:solidFill>
                </w14:textFill>
              </w:rPr>
              <w:t>★</w:t>
            </w:r>
            <w:r>
              <w:rPr>
                <w:rFonts w:ascii="宋体" w:hAnsi="宋体" w:eastAsia="宋体"/>
                <w:color w:val="000000"/>
              </w:rPr>
              <w:t>7、门板与拉手安装方式采用全覆盖、多弯角防盗设计，拉手安装到位后，即于门板和门副板连接一个整体，大大的提高了其强度和安全性能，维修简单，易操作。8、柜门与柜体连接采用自润滑赛钢铰链连接设计，防水，无噪音。铰链由两个连接件分别钩住上下孔位，中间形成一个长方形导槽（连接件的一个面上设有一个导槽），另一个面上设有一个柱子，在导槽中间插处一个蝴蝶形插片三个部件组成，（其中有两个部件是一样的）拆卸时，只需捏住蝴蝶插片抽出即可，每门一套，不需要任何辅助螺丝连接，铰链自身具有限位功能。铰链易拆易装，方便售后维修。</w:t>
            </w:r>
            <w:r>
              <w:rPr>
                <w:rFonts w:ascii="Arial" w:hAnsi="Arial" w:eastAsia="Arial"/>
                <w:color w:val="000000" w:themeColor="text1"/>
                <w14:textFill>
                  <w14:solidFill>
                    <w14:schemeClr w14:val="tx1"/>
                  </w14:solidFill>
                </w14:textFill>
              </w:rPr>
              <w:t>★</w:t>
            </w:r>
            <w:r>
              <w:rPr>
                <w:rFonts w:ascii="宋体" w:hAnsi="宋体" w:eastAsia="宋体"/>
                <w:color w:val="000000"/>
              </w:rPr>
              <w:t>9、上下板高度40mm，采用隐藏帽檐设计，可将上下板隐藏于上下门板之间，正面无法观察到，达到柜子正面统一效果。</w:t>
            </w:r>
            <w:r>
              <w:rPr>
                <w:rFonts w:ascii="Arial" w:hAnsi="Arial" w:eastAsia="Arial"/>
                <w:color w:val="000000" w:themeColor="text1"/>
                <w14:textFill>
                  <w14:solidFill>
                    <w14:schemeClr w14:val="tx1"/>
                  </w14:solidFill>
                </w14:textFill>
              </w:rPr>
              <w:t>★</w:t>
            </w:r>
            <w:r>
              <w:rPr>
                <w:rFonts w:ascii="宋体" w:hAnsi="宋体" w:eastAsia="宋体"/>
                <w:color w:val="000000"/>
              </w:rPr>
              <w:t>10、整体后板由注塑机一次成型，无需增加其他配件即可使用。后板两个角上设有透气窗，透气窗采用百叶窗结构设计，90︒角投影透气孔最大宽度为0.17mm。实现即可防虫又能通风去异味的作用，后板两侧可顺利插入单、双侧板导向槽，并通过后板上端两侧的钩子固定在单、双侧板上，起到加固的作用。 11、整个柜体板材之间的连接完全不需要任何螺丝，采用拼接的方式，防止侧板变形，整体做到可重复拆装利用。</w:t>
            </w:r>
            <w:r>
              <w:rPr>
                <w:rFonts w:ascii="Arial" w:hAnsi="Arial" w:eastAsia="Arial"/>
                <w:color w:val="000000" w:themeColor="text1"/>
                <w14:textFill>
                  <w14:solidFill>
                    <w14:schemeClr w14:val="tx1"/>
                  </w14:solidFill>
                </w14:textFill>
              </w:rPr>
              <w:t>★</w:t>
            </w:r>
            <w:r>
              <w:rPr>
                <w:rFonts w:ascii="宋体" w:hAnsi="宋体" w:eastAsia="宋体"/>
                <w:color w:val="000000"/>
              </w:rPr>
              <w:t>12、门板采用PET模内成型技术、柜门颜色每个批次都很统一；可以根据客户的不同需求定制不同的颜色和图案，让自己的柜子与众不同，个性凸显！13、整柜尺寸：高396*宽382*厚500mm（单门含底座）； 14、配件外框厚度：单侧板厚25mm（±2mm）、双侧板宽50mm（±2mm）、上下板高40mm（±2mm）；门板厚25mm（±2mm）、底座高80mm（±2mm)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14</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木质涂饰办公桌</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1400mm*700mm*760mm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基材：采用E1级中密度纤维板，含水率≤6.3%，吸水膨胀率≥9.1%，甲醛释放量≤0.038mg/m³。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胶水：采用净味拼板胶，符合内装饰装修材料胶粘剂中有害物质限量，总挥发有机物≤22G/L,笨≤0.02g/kg，游离甲醛≤0.1g/kg。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过线盒：采用优质的过线盒 金属电镀层抗盐雾检验 18h，无锈点。</w:t>
            </w:r>
          </w:p>
          <w:p>
            <w:pPr>
              <w:autoSpaceDE w:val="0"/>
              <w:autoSpaceDN w:val="0"/>
              <w:spacing w:line="360" w:lineRule="auto"/>
              <w:jc w:val="left"/>
              <w:rPr>
                <w:rFonts w:ascii="宋体" w:hAnsi="宋体" w:eastAsia="宋体"/>
                <w:color w:val="000000"/>
              </w:rPr>
            </w:pPr>
            <w:r>
              <w:rPr>
                <w:rFonts w:ascii="宋体" w:hAnsi="宋体" w:eastAsia="宋体"/>
                <w:color w:val="000000"/>
              </w:rPr>
              <w:t>三合一连接件：采用优质的三合一连接件 金属电镀层抗盐雾检验 18h，无锈点。</w:t>
            </w:r>
          </w:p>
          <w:p>
            <w:pPr>
              <w:autoSpaceDE w:val="0"/>
              <w:autoSpaceDN w:val="0"/>
              <w:spacing w:line="360" w:lineRule="auto"/>
              <w:jc w:val="left"/>
              <w:rPr>
                <w:rFonts w:ascii="宋体" w:hAnsi="宋体" w:eastAsia="宋体"/>
                <w:color w:val="000000"/>
              </w:rPr>
            </w:pPr>
            <w:r>
              <w:rPr>
                <w:rFonts w:ascii="宋体" w:hAnsi="宋体" w:eastAsia="宋体"/>
                <w:color w:val="000000"/>
              </w:rPr>
              <w:t>阻尼铰链：采用优质的阻尼铰链 垂直向下静载荷、水平侧向静载荷、耐久性、耐腐蚀符合检测标准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锁具：采用优质的锁具 锁定到位开启灵活，金属电镀层抗盐雾18h，无锈点。 </w:t>
            </w:r>
          </w:p>
          <w:p>
            <w:pPr>
              <w:autoSpaceDE w:val="0"/>
              <w:autoSpaceDN w:val="0"/>
              <w:spacing w:line="360" w:lineRule="auto"/>
              <w:jc w:val="left"/>
              <w:rPr>
                <w:rFonts w:ascii="宋体" w:hAnsi="宋体" w:eastAsia="宋体"/>
                <w:color w:val="000000"/>
              </w:rPr>
            </w:pPr>
            <w:r>
              <w:rPr>
                <w:rFonts w:ascii="宋体" w:hAnsi="宋体" w:eastAsia="宋体"/>
                <w:color w:val="000000"/>
              </w:rPr>
              <w:t>不锈钢卡扣：采用优质的不锈钢卡扣，金属电镀层抗盐雾符合检测标准。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塑料脚钉：采用优质的塑料脚钉 符合塑料家具中有害物质限量 可溶性铅≤2.1mg/kg,可溶性镉≤1.1mg/kg，可溶性汞≤1.1mg/kg，可溶性铬≤1.1mg/kg </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15</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弓架网椅</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椅高：940 mm    椅宽：570mm     椅深：550mm    座高：455mm    座深：480mm    扶手宽：46mm   椅重8.9KG.</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一、靠背/座板：椅背椅座采用同一种双层网布，具有较强的延伸性和弹性，透气性好，手感好，结实，座内衬高密度高弹性聚氨酯定型海绵。二、背外框和扶手架采用镶嵌式连接，使扶手与背框形成一个整体结构，不松动，结构稳固，立体感流线型强，粗壮的背外框腰部厚46mm,顶部厚26mm,强度高，不变形断裂。三：整椅边框采用白色尼龙料，安全环保无气味，不易老化。四：椅脚架采用直径28mm，厚2.5mm经CNC一将次弯制而成,表面黑色环保处理，稳固。五：钢脚脚垫采用pu软尼龙料，耐磨性强，韧性好，防滑防刮地板。六：材质符合国家环保标准要求，椅子通过BIFMA X5.1破坏性测试。整椅结构件质保十年。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shd w:val="clear" w:color="000000" w:fill="auto"/>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16</w:t>
            </w:r>
          </w:p>
        </w:tc>
        <w:tc>
          <w:tcPr>
            <w:tcW w:w="1028" w:type="dxa"/>
            <w:shd w:val="clear" w:color="000000" w:fill="auto"/>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网面转椅</w:t>
            </w:r>
          </w:p>
        </w:tc>
        <w:tc>
          <w:tcPr>
            <w:tcW w:w="2316" w:type="dxa"/>
            <w:shd w:val="clear" w:color="000000" w:fill="auto"/>
            <w:vAlign w:val="center"/>
          </w:tcPr>
          <w:p>
            <w:pPr>
              <w:autoSpaceDE w:val="0"/>
              <w:autoSpaceDN w:val="0"/>
              <w:spacing w:line="360" w:lineRule="auto"/>
              <w:rPr>
                <w:rFonts w:ascii="宋体" w:eastAsia="Calibri"/>
                <w:color w:val="000000"/>
              </w:rPr>
            </w:pPr>
            <w:r>
              <w:rPr>
                <w:rFonts w:ascii="宋体" w:hAnsi="宋体" w:eastAsia="宋体"/>
                <w:color w:val="000000"/>
              </w:rPr>
              <w:t xml:space="preserve">椅高：920-980mm    椅宽：610mm         背高：515mm    背宽：455mm 。  </w:t>
            </w:r>
          </w:p>
        </w:tc>
        <w:tc>
          <w:tcPr>
            <w:tcW w:w="10221" w:type="dxa"/>
            <w:shd w:val="clear" w:color="000000" w:fill="auto"/>
            <w:vAlign w:val="center"/>
          </w:tcPr>
          <w:p>
            <w:pPr>
              <w:autoSpaceDE w:val="0"/>
              <w:autoSpaceDN w:val="0"/>
              <w:spacing w:line="360" w:lineRule="auto"/>
              <w:rPr>
                <w:rFonts w:ascii="宋体" w:hAnsi="宋体" w:eastAsia="宋体"/>
                <w:sz w:val="20"/>
                <w:szCs w:val="20"/>
              </w:rPr>
            </w:pPr>
            <w:r>
              <w:rPr>
                <w:rFonts w:ascii="Arial" w:hAnsi="Arial" w:eastAsia="Arial"/>
                <w:color w:val="000000" w:themeColor="text1"/>
                <w:sz w:val="18"/>
                <w:szCs w:val="18"/>
                <w14:textFill>
                  <w14:solidFill>
                    <w14:schemeClr w14:val="tx1"/>
                  </w14:solidFill>
                </w14:textFill>
              </w:rPr>
              <w:t>★</w:t>
            </w:r>
            <w:r>
              <w:rPr>
                <w:rFonts w:ascii="宋体" w:hAnsi="宋体" w:eastAsia="宋体"/>
                <w:color w:val="000000"/>
                <w:sz w:val="20"/>
                <w:szCs w:val="20"/>
              </w:rPr>
              <w:t>1,脚轮采用PA+玻纤注塑而成，轮毂外套PU黑色软边，不伤地板，经久耐磨，静音顺滑，防滑防刮；脚由PA+GF材质一体注塑而成，可通过5.1静压1136KG一分钟两次不变形，不断裂，脚尖带踏脚防滑平面的尼龙脚。2，汽杆内充氮气6.8MPA，管壁厚，镭射钢印，升降12万次功能正常，75kg重量38cm高度自由落体冲击10万次气压杆不拉坏；负重136kg，旋转10万次，气压杆无结构性破坏及功能性损失。3，整椅带倾斜逍遥功能。</w:t>
            </w:r>
            <w:r>
              <w:rPr>
                <w:rFonts w:ascii="Arial" w:hAnsi="Arial" w:eastAsia="Arial"/>
                <w:color w:val="000000" w:themeColor="text1"/>
                <w:sz w:val="18"/>
                <w:szCs w:val="18"/>
                <w14:textFill>
                  <w14:solidFill>
                    <w14:schemeClr w14:val="tx1"/>
                  </w14:solidFill>
                </w14:textFill>
              </w:rPr>
              <w:t>★</w:t>
            </w:r>
            <w:r>
              <w:rPr>
                <w:rFonts w:ascii="宋体" w:hAnsi="宋体" w:eastAsia="宋体"/>
                <w:color w:val="000000"/>
                <w:sz w:val="20"/>
                <w:szCs w:val="20"/>
              </w:rPr>
              <w:t>4，扶手与背框和座框架采用尼龙材质一体注塑成型，无螺丝连接，成一整体结构。5，整椅座面和背面采用同一种优质玻纤尼龙弹力单层网布，横纵向撕裂强度大于或等于10KG/cm，具有较强的延伸性和弹性，轻薄，单层镂空透气性好，手感好。6，椅子整体结构件质保十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17</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木质涂饰茶水柜</w:t>
            </w:r>
          </w:p>
        </w:tc>
        <w:tc>
          <w:tcPr>
            <w:tcW w:w="2316" w:type="dxa"/>
            <w:vAlign w:val="center"/>
          </w:tcPr>
          <w:p>
            <w:pPr>
              <w:autoSpaceDE w:val="0"/>
              <w:autoSpaceDN w:val="0"/>
              <w:spacing w:line="360" w:lineRule="auto"/>
              <w:jc w:val="center"/>
              <w:rPr>
                <w:rFonts w:ascii="宋体" w:eastAsia="Calibri"/>
                <w:color w:val="000000"/>
              </w:rPr>
            </w:pPr>
            <w:r>
              <w:rPr>
                <w:rFonts w:ascii="宋体" w:eastAsia="Calibri"/>
                <w:color w:val="000000"/>
              </w:rPr>
              <w:t>800mm*400mm*850mm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基材：采用E1级中密度纤维板，含水率≤6.3%，吸水膨胀率≥9.1%，甲醛释放量≤0.038mg/m³。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胶水：采用净味拼板胶，符合内装饰装修材料胶粘剂中有害物质限量，总挥发有机物≤22G/L,笨≤0.02g/kg，游离甲醛≤0.1g/kg。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三合一连接件：采用优质的三合一连接件 金属电镀层抗盐雾检验 18h，无锈点。</w:t>
            </w:r>
          </w:p>
          <w:p>
            <w:pPr>
              <w:autoSpaceDE w:val="0"/>
              <w:autoSpaceDN w:val="0"/>
              <w:spacing w:line="360" w:lineRule="auto"/>
              <w:jc w:val="left"/>
              <w:rPr>
                <w:rFonts w:ascii="宋体" w:hAnsi="宋体" w:eastAsia="宋体"/>
                <w:color w:val="000000"/>
              </w:rPr>
            </w:pPr>
            <w:r>
              <w:rPr>
                <w:rFonts w:ascii="宋体" w:hAnsi="宋体" w:eastAsia="宋体"/>
                <w:color w:val="000000"/>
              </w:rPr>
              <w:t>阻尼铰链：采用优质的阻尼铰链 垂直向下静载荷、水平侧向静载荷、耐久性、耐腐蚀符合检测标准</w:t>
            </w:r>
          </w:p>
          <w:p>
            <w:pPr>
              <w:autoSpaceDE w:val="0"/>
              <w:autoSpaceDN w:val="0"/>
              <w:spacing w:line="360" w:lineRule="auto"/>
              <w:jc w:val="left"/>
              <w:rPr>
                <w:rFonts w:ascii="宋体" w:hAnsi="宋体" w:eastAsia="宋体"/>
                <w:color w:val="000000"/>
              </w:rPr>
            </w:pPr>
            <w:r>
              <w:rPr>
                <w:rFonts w:ascii="宋体" w:hAnsi="宋体" w:eastAsia="宋体"/>
                <w:color w:val="000000"/>
              </w:rPr>
              <w:t xml:space="preserve"> 塑料脚钉：采用优质的塑料脚钉 符合GB 28481-2012 塑料家具中有害物质限量 可溶性铅≤2.1mg/kg,可溶性镉≤1.1mg/kg，可溶性汞≤1.1mg/kg，可溶性铬≤1.1mg/kg </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18</w:t>
            </w:r>
          </w:p>
        </w:tc>
        <w:tc>
          <w:tcPr>
            <w:tcW w:w="1028" w:type="dxa"/>
            <w:shd w:val="clear" w:color="000000" w:fill="auto"/>
            <w:vAlign w:val="center"/>
          </w:tcPr>
          <w:p>
            <w:pPr>
              <w:autoSpaceDE w:val="0"/>
              <w:autoSpaceDN w:val="0"/>
              <w:spacing w:line="360" w:lineRule="auto"/>
              <w:jc w:val="center"/>
              <w:rPr>
                <w:rFonts w:ascii="宋体" w:hAnsi="宋体" w:eastAsia="宋体"/>
                <w:color w:val="000000"/>
              </w:rPr>
            </w:pPr>
            <w:r>
              <w:rPr>
                <w:rFonts w:hint="eastAsia" w:ascii="宋体" w:hAnsi="宋体"/>
                <w:color w:val="000000"/>
                <w:lang w:eastAsia="zh-CN"/>
              </w:rPr>
              <w:t>屏风</w:t>
            </w:r>
            <w:r>
              <w:rPr>
                <w:rFonts w:ascii="宋体" w:hAnsi="宋体" w:eastAsia="宋体"/>
                <w:color w:val="000000"/>
              </w:rPr>
              <w:t>工作位</w:t>
            </w:r>
          </w:p>
        </w:tc>
        <w:tc>
          <w:tcPr>
            <w:tcW w:w="2316" w:type="dxa"/>
            <w:shd w:val="clear" w:color="000000" w:fill="auto"/>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1400mm*</w:t>
            </w:r>
            <w:r>
              <w:rPr>
                <w:rFonts w:hint="eastAsia" w:ascii="宋体" w:hAnsi="宋体"/>
                <w:color w:val="000000"/>
                <w:lang w:val="en-US" w:eastAsia="zh-CN"/>
              </w:rPr>
              <w:t>6</w:t>
            </w:r>
            <w:r>
              <w:rPr>
                <w:rFonts w:ascii="宋体" w:hAnsi="宋体" w:eastAsia="宋体"/>
                <w:color w:val="000000"/>
              </w:rPr>
              <w:t>00mm*1100mm</w:t>
            </w:r>
          </w:p>
        </w:tc>
        <w:tc>
          <w:tcPr>
            <w:tcW w:w="10221" w:type="dxa"/>
            <w:shd w:val="clear" w:color="000000" w:fill="auto"/>
            <w:vAlign w:val="center"/>
          </w:tcPr>
          <w:p>
            <w:pPr>
              <w:pStyle w:val="2"/>
              <w:rPr>
                <w:rFonts w:hint="eastAsia" w:ascii="宋体" w:hAnsi="宋体" w:eastAsia="宋体" w:cs="Times New Roman"/>
                <w:color w:val="000000"/>
                <w:kern w:val="2"/>
                <w:sz w:val="21"/>
                <w:szCs w:val="22"/>
                <w:lang w:val="en-US" w:eastAsia="zh-CN" w:bidi="ar-SA"/>
              </w:rPr>
            </w:pPr>
            <w:r>
              <w:rPr>
                <w:rFonts w:ascii="宋体" w:hAnsi="宋体" w:eastAsia="宋体" w:cs="Times New Roman"/>
                <w:color w:val="000000"/>
                <w:kern w:val="2"/>
                <w:sz w:val="21"/>
                <w:szCs w:val="22"/>
                <w:lang w:val="en-US" w:eastAsia="zh-CN" w:bidi="ar-SA"/>
              </w:rPr>
              <w:t>★1、桌面采用25mm中纤板，表面贴防火板，表面抛光电镀处理，桌面正面边框采用梯形铝合金封边，型材底部采用螺丝与桌面固定；桌面强度高，包边四周牢固，不易脱落，实用美观。桌架下与三抽柜支撑柱采用65*57*44*1.2mm闭口焊管型材，其立面为中空封闭口形状高频焊管，立柱正面为平面，有一圆弧凸槽加强筋，使纵向受力更好。与两侧面圆弧过渡，起到防撞作用，内部有一凹槽。桌下三抽钢柜，钢柜柜体采用0.8mm厚冷轧钢板，顶面柜边折边为20mm厚鸭嘴边型、两侧面柜边折边为12mm子弹头边型，侧板和背板采用呈4层扣式焊接，结构要求牢固，门采用冰箱活页，门张开最大时不低于90度，门在转动和关闭时不和柜体的任何一个部位直接接触，门闭合时与柜体正面完全嵌合，磁碰无异响，柜体正面整体平整度高。钢件采用CO2保护焊，焊点深无下缝，焊口平整光滑，承重良好，坚固耐用。</w:t>
            </w:r>
            <w:r>
              <w:rPr>
                <w:rFonts w:ascii="宋体" w:hAnsi="宋体" w:eastAsia="宋体" w:cs="Times New Roman"/>
                <w:color w:val="000000"/>
                <w:kern w:val="2"/>
                <w:sz w:val="21"/>
                <w:szCs w:val="22"/>
                <w:lang w:val="en-US" w:eastAsia="zh-CN" w:bidi="ar-SA"/>
              </w:rPr>
              <w:br w:type="textWrapping"/>
            </w:r>
            <w:r>
              <w:rPr>
                <w:rFonts w:ascii="宋体" w:hAnsi="宋体" w:eastAsia="宋体" w:cs="Times New Roman"/>
                <w:color w:val="000000"/>
                <w:kern w:val="2"/>
                <w:sz w:val="21"/>
                <w:szCs w:val="22"/>
                <w:lang w:val="en-US" w:eastAsia="zh-CN" w:bidi="ar-SA"/>
              </w:rPr>
              <w:t>2、桌面基材：采用E1级实木颗粒板，静曲强度≥18MPa;内结合强度≥0.54MPa:吸水厚度膨胀率≥3.5%；板面握螺丝钉力≥1048N;板边握螺丝钉力≥822N；甲醛释放量≤0.033mg/m³。</w:t>
            </w:r>
            <w:r>
              <w:rPr>
                <w:rFonts w:ascii="宋体" w:hAnsi="宋体" w:eastAsia="宋体" w:cs="Times New Roman"/>
                <w:color w:val="000000"/>
                <w:kern w:val="2"/>
                <w:sz w:val="21"/>
                <w:szCs w:val="22"/>
                <w:lang w:val="en-US" w:eastAsia="zh-CN" w:bidi="ar-SA"/>
              </w:rPr>
              <w:br w:type="textWrapping"/>
            </w:r>
            <w:r>
              <w:rPr>
                <w:rFonts w:ascii="宋体" w:hAnsi="宋体" w:eastAsia="宋体" w:cs="Times New Roman"/>
                <w:color w:val="000000"/>
                <w:kern w:val="2"/>
                <w:sz w:val="21"/>
                <w:szCs w:val="22"/>
                <w:lang w:val="en-US" w:eastAsia="zh-CN" w:bidi="ar-SA"/>
              </w:rPr>
              <w:t>3、封边条：采用PVC封边条符合 家具封边条技术要求标准，甲醛释放量≤0.11mg/L，可迁移元素可溶性铅≤2mg/kg，镉≤1mg/kg，铬≤1mg/kg，汞≤1mg/kg，砷≤1mg/kg,钡≤2mg/kg，锑≤1mg/kg，硒≤1mg/kg。</w:t>
            </w:r>
            <w:r>
              <w:rPr>
                <w:rFonts w:ascii="宋体" w:hAnsi="宋体" w:eastAsia="宋体" w:cs="Times New Roman"/>
                <w:color w:val="000000"/>
                <w:kern w:val="2"/>
                <w:sz w:val="21"/>
                <w:szCs w:val="22"/>
                <w:lang w:val="en-US" w:eastAsia="zh-CN" w:bidi="ar-SA"/>
              </w:rPr>
              <w:br w:type="textWrapping"/>
            </w:r>
            <w:r>
              <w:rPr>
                <w:rFonts w:ascii="宋体" w:hAnsi="宋体" w:eastAsia="宋体" w:cs="Times New Roman"/>
                <w:color w:val="000000"/>
                <w:kern w:val="2"/>
                <w:sz w:val="21"/>
                <w:szCs w:val="22"/>
                <w:lang w:val="en-US" w:eastAsia="zh-CN" w:bidi="ar-SA"/>
              </w:rPr>
              <w:t>4、铝材：采用优质的铝合金 符合金属家具通用技术条件标准，金属电镀层抗盐雾18h,1.5mm以下锈点≤20点/dm,直径≥1.0mm锈点不超过5点(距边缘棱角2MM以内的不计)</w:t>
            </w:r>
            <w:r>
              <w:rPr>
                <w:rFonts w:ascii="宋体" w:hAnsi="宋体" w:eastAsia="宋体" w:cs="Times New Roman"/>
                <w:color w:val="000000"/>
                <w:kern w:val="2"/>
                <w:sz w:val="21"/>
                <w:szCs w:val="22"/>
                <w:lang w:val="en-US" w:eastAsia="zh-CN" w:bidi="ar-SA"/>
              </w:rPr>
              <w:br w:type="textWrapping"/>
            </w:r>
            <w:r>
              <w:rPr>
                <w:rFonts w:ascii="宋体" w:hAnsi="宋体" w:eastAsia="宋体" w:cs="Times New Roman"/>
                <w:color w:val="000000"/>
                <w:kern w:val="2"/>
                <w:sz w:val="21"/>
                <w:szCs w:val="22"/>
                <w:lang w:val="en-US" w:eastAsia="zh-CN" w:bidi="ar-SA"/>
              </w:rPr>
              <w:t>5、不锈钢锁扣：采用优质的不锈钢锁扣，符合金属家具通用技术条件 金属电镀层抗盐雾 符合检测标准</w:t>
            </w:r>
            <w:r>
              <w:rPr>
                <w:rFonts w:ascii="宋体" w:hAnsi="宋体" w:eastAsia="宋体" w:cs="Times New Roman"/>
                <w:color w:val="000000"/>
                <w:kern w:val="2"/>
                <w:sz w:val="21"/>
                <w:szCs w:val="22"/>
                <w:lang w:val="en-US" w:eastAsia="zh-CN" w:bidi="ar-SA"/>
              </w:rPr>
              <w:br w:type="textWrapping"/>
            </w:r>
            <w:r>
              <w:rPr>
                <w:rFonts w:ascii="宋体" w:hAnsi="宋体" w:eastAsia="宋体" w:cs="Times New Roman"/>
                <w:color w:val="000000"/>
                <w:kern w:val="2"/>
                <w:sz w:val="21"/>
                <w:szCs w:val="22"/>
                <w:lang w:val="en-US" w:eastAsia="zh-CN" w:bidi="ar-SA"/>
              </w:rPr>
              <w:t>6、屏风卡件：采用优质的屏风卡件，符合 金属家具通用技术条件 金属电镀层抗盐雾 符合检测标准</w:t>
            </w:r>
            <w:r>
              <w:rPr>
                <w:rFonts w:ascii="宋体" w:hAnsi="宋体" w:eastAsia="宋体" w:cs="Times New Roman"/>
                <w:color w:val="000000"/>
                <w:kern w:val="2"/>
                <w:sz w:val="21"/>
                <w:szCs w:val="22"/>
                <w:lang w:val="en-US" w:eastAsia="zh-CN" w:bidi="ar-SA"/>
              </w:rPr>
              <w:br w:type="textWrapping"/>
            </w:r>
            <w:r>
              <w:rPr>
                <w:rFonts w:ascii="宋体" w:hAnsi="宋体" w:eastAsia="宋体" w:cs="Times New Roman"/>
                <w:color w:val="000000"/>
                <w:kern w:val="2"/>
                <w:sz w:val="21"/>
                <w:szCs w:val="22"/>
                <w:lang w:val="en-US" w:eastAsia="zh-CN" w:bidi="ar-SA"/>
              </w:rPr>
              <w:t>7、门板磁碰：采用优质的门板磁碰，符合 塑料家具通用技术条件 塑料外观 无裂纹、变形、缩水、针孔、凹陷、飞边、褶皱、疙瘩、无明显色差。</w:t>
            </w:r>
            <w:r>
              <w:rPr>
                <w:rFonts w:ascii="宋体" w:hAnsi="宋体" w:eastAsia="宋体" w:cs="Times New Roman"/>
                <w:color w:val="000000"/>
                <w:kern w:val="2"/>
                <w:sz w:val="21"/>
                <w:szCs w:val="22"/>
                <w:lang w:val="en-US" w:eastAsia="zh-CN" w:bidi="ar-SA"/>
              </w:rPr>
              <w:br w:type="textWrapping"/>
            </w:r>
            <w:r>
              <w:rPr>
                <w:rFonts w:ascii="宋体" w:hAnsi="宋体" w:eastAsia="宋体" w:cs="Times New Roman"/>
                <w:color w:val="000000"/>
                <w:kern w:val="2"/>
                <w:sz w:val="21"/>
                <w:szCs w:val="22"/>
                <w:lang w:val="en-US" w:eastAsia="zh-CN" w:bidi="ar-SA"/>
              </w:rPr>
              <w:t>投标时提供屏风工作位实物样品一位。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19</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木质涂饰书柜</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2250mm*400mm*2000mm</w:t>
            </w:r>
          </w:p>
        </w:tc>
        <w:tc>
          <w:tcPr>
            <w:tcW w:w="10221" w:type="dxa"/>
            <w:vAlign w:val="center"/>
          </w:tcPr>
          <w:p>
            <w:pPr>
              <w:autoSpaceDE w:val="0"/>
              <w:autoSpaceDN w:val="0"/>
              <w:spacing w:line="360" w:lineRule="auto"/>
              <w:jc w:val="left"/>
              <w:rPr>
                <w:rFonts w:ascii="宋体" w:hAnsi="宋体" w:eastAsia="宋体" w:cs="Times New Roman"/>
                <w:color w:val="000000"/>
                <w:kern w:val="2"/>
                <w:sz w:val="21"/>
                <w:szCs w:val="22"/>
                <w:lang w:val="en-US" w:eastAsia="zh-CN" w:bidi="ar-SA"/>
              </w:rPr>
            </w:pPr>
            <w:r>
              <w:rPr>
                <w:rFonts w:ascii="宋体" w:hAnsi="宋体" w:eastAsia="宋体" w:cs="Times New Roman"/>
                <w:color w:val="000000"/>
                <w:kern w:val="2"/>
                <w:sz w:val="21"/>
                <w:szCs w:val="22"/>
                <w:lang w:val="en-US" w:eastAsia="zh-CN" w:bidi="ar-SA"/>
              </w:rPr>
              <w:t>基材：采用E1级中密度纤维板，含水率≤6.3%，吸水膨胀率≥9.1%，甲醛释放量≤0.038mg/m³。</w:t>
            </w:r>
          </w:p>
          <w:p>
            <w:pPr>
              <w:autoSpaceDE w:val="0"/>
              <w:autoSpaceDN w:val="0"/>
              <w:spacing w:line="360" w:lineRule="auto"/>
              <w:jc w:val="left"/>
              <w:rPr>
                <w:rFonts w:ascii="宋体" w:hAnsi="宋体" w:eastAsia="宋体" w:cs="Times New Roman"/>
                <w:color w:val="000000"/>
                <w:kern w:val="2"/>
                <w:sz w:val="21"/>
                <w:szCs w:val="22"/>
                <w:lang w:val="en-US" w:eastAsia="zh-CN" w:bidi="ar-SA"/>
              </w:rPr>
            </w:pPr>
            <w:r>
              <w:rPr>
                <w:rFonts w:ascii="宋体" w:hAnsi="宋体" w:eastAsia="宋体" w:cs="Times New Roman"/>
                <w:color w:val="000000"/>
                <w:kern w:val="2"/>
                <w:sz w:val="21"/>
                <w:szCs w:val="22"/>
                <w:lang w:val="en-US" w:eastAsia="zh-CN" w:bidi="ar-SA"/>
              </w:rPr>
              <w:t>胶水：采用净味拼板胶，符合内装饰装修材料胶粘剂中有害物质限量，总挥发有机物≤22G/L,笨≤0.02g/kg，游离甲醛≤0.1g/kg。</w:t>
            </w:r>
          </w:p>
          <w:p>
            <w:pPr>
              <w:autoSpaceDE w:val="0"/>
              <w:autoSpaceDN w:val="0"/>
              <w:spacing w:line="360" w:lineRule="auto"/>
              <w:jc w:val="left"/>
              <w:rPr>
                <w:rFonts w:ascii="宋体" w:hAnsi="宋体" w:eastAsia="宋体" w:cs="Times New Roman"/>
                <w:color w:val="000000"/>
                <w:kern w:val="2"/>
                <w:sz w:val="21"/>
                <w:szCs w:val="22"/>
                <w:lang w:val="en-US" w:eastAsia="zh-CN" w:bidi="ar-SA"/>
              </w:rPr>
            </w:pPr>
            <w:r>
              <w:rPr>
                <w:rFonts w:ascii="宋体" w:hAnsi="宋体" w:eastAsia="宋体" w:cs="Times New Roman"/>
                <w:color w:val="000000"/>
                <w:kern w:val="2"/>
                <w:sz w:val="21"/>
                <w:szCs w:val="22"/>
                <w:lang w:val="en-US" w:eastAsia="zh-CN" w:bidi="ar-SA"/>
              </w:rPr>
              <w:t>表面：采用柏腊木皮贴面，厚度≥0.6mm：甲醛释放量≤0.11mg/L</w:t>
            </w:r>
          </w:p>
          <w:p>
            <w:pPr>
              <w:autoSpaceDE w:val="0"/>
              <w:autoSpaceDN w:val="0"/>
              <w:spacing w:line="360" w:lineRule="auto"/>
              <w:jc w:val="left"/>
              <w:rPr>
                <w:rFonts w:ascii="宋体" w:hAnsi="宋体" w:eastAsia="宋体" w:cs="Times New Roman"/>
                <w:color w:val="000000"/>
                <w:kern w:val="2"/>
                <w:sz w:val="21"/>
                <w:szCs w:val="22"/>
                <w:lang w:val="en-US" w:eastAsia="zh-CN" w:bidi="ar-SA"/>
              </w:rPr>
            </w:pPr>
            <w:r>
              <w:rPr>
                <w:rFonts w:ascii="宋体" w:hAnsi="宋体" w:eastAsia="宋体" w:cs="Times New Roman"/>
                <w:color w:val="000000"/>
                <w:kern w:val="2"/>
                <w:sz w:val="21"/>
                <w:szCs w:val="22"/>
                <w:lang w:val="en-US" w:eastAsia="zh-CN" w:bidi="ar-SA"/>
              </w:rPr>
              <w:t>底漆：采用水性高透明底漆，符合企业技术规范干燥时间表干30min 已干实干6h 已干。</w:t>
            </w:r>
          </w:p>
          <w:p>
            <w:pPr>
              <w:autoSpaceDE w:val="0"/>
              <w:autoSpaceDN w:val="0"/>
              <w:spacing w:line="360" w:lineRule="auto"/>
              <w:jc w:val="left"/>
              <w:rPr>
                <w:rFonts w:ascii="宋体" w:hAnsi="宋体" w:eastAsia="宋体" w:cs="Times New Roman"/>
                <w:color w:val="000000"/>
                <w:kern w:val="2"/>
                <w:sz w:val="21"/>
                <w:szCs w:val="22"/>
                <w:lang w:val="en-US" w:eastAsia="zh-CN" w:bidi="ar-SA"/>
              </w:rPr>
            </w:pPr>
            <w:r>
              <w:rPr>
                <w:rFonts w:ascii="宋体" w:hAnsi="宋体" w:eastAsia="宋体" w:cs="Times New Roman"/>
                <w:color w:val="000000"/>
                <w:kern w:val="2"/>
                <w:sz w:val="21"/>
                <w:szCs w:val="22"/>
                <w:lang w:val="en-US" w:eastAsia="zh-CN" w:bidi="ar-SA"/>
              </w:rPr>
              <w:t>面漆：采用水性UV X分哑清面漆，符合企业技术规范细度≤7UM 耐磨性≤0.007g</w:t>
            </w:r>
          </w:p>
          <w:p>
            <w:pPr>
              <w:autoSpaceDE w:val="0"/>
              <w:autoSpaceDN w:val="0"/>
              <w:spacing w:line="360" w:lineRule="auto"/>
              <w:jc w:val="left"/>
              <w:rPr>
                <w:rFonts w:ascii="宋体" w:hAnsi="宋体" w:eastAsia="宋体" w:cs="Times New Roman"/>
                <w:color w:val="000000"/>
                <w:kern w:val="2"/>
                <w:sz w:val="21"/>
                <w:szCs w:val="22"/>
                <w:lang w:val="en-US" w:eastAsia="zh-CN" w:bidi="ar-SA"/>
              </w:rPr>
            </w:pPr>
            <w:r>
              <w:rPr>
                <w:rFonts w:ascii="宋体" w:hAnsi="宋体" w:eastAsia="宋体" w:cs="Times New Roman"/>
                <w:color w:val="000000"/>
                <w:kern w:val="2"/>
                <w:sz w:val="21"/>
                <w:szCs w:val="22"/>
                <w:lang w:val="en-US" w:eastAsia="zh-CN" w:bidi="ar-SA"/>
              </w:rPr>
              <w:t>三合一连接件：采用优质的三合一连接件 金属电镀层抗盐雾检验 18h，无锈点。</w:t>
            </w:r>
          </w:p>
          <w:p>
            <w:pPr>
              <w:autoSpaceDE w:val="0"/>
              <w:autoSpaceDN w:val="0"/>
              <w:spacing w:line="360" w:lineRule="auto"/>
              <w:jc w:val="left"/>
              <w:rPr>
                <w:rFonts w:ascii="宋体" w:hAnsi="宋体" w:eastAsia="宋体" w:cs="Times New Roman"/>
                <w:color w:val="000000"/>
                <w:kern w:val="2"/>
                <w:sz w:val="21"/>
                <w:szCs w:val="22"/>
                <w:lang w:val="en-US" w:eastAsia="zh-CN" w:bidi="ar-SA"/>
              </w:rPr>
            </w:pPr>
            <w:r>
              <w:rPr>
                <w:rFonts w:ascii="宋体" w:hAnsi="宋体" w:eastAsia="宋体" w:cs="Times New Roman"/>
                <w:color w:val="000000"/>
                <w:kern w:val="2"/>
                <w:sz w:val="21"/>
                <w:szCs w:val="22"/>
                <w:lang w:val="en-US" w:eastAsia="zh-CN" w:bidi="ar-SA"/>
              </w:rPr>
              <w:t>阻尼铰链：采用优质的阻尼铰链 垂直向下静载荷、水平侧向静载荷、耐久性、耐腐蚀符合检测标准</w:t>
            </w:r>
          </w:p>
          <w:p>
            <w:pPr>
              <w:autoSpaceDE w:val="0"/>
              <w:autoSpaceDN w:val="0"/>
              <w:spacing w:line="360" w:lineRule="auto"/>
              <w:jc w:val="left"/>
              <w:rPr>
                <w:rFonts w:ascii="宋体" w:hAnsi="宋体" w:eastAsia="宋体" w:cs="Times New Roman"/>
                <w:color w:val="000000"/>
                <w:kern w:val="2"/>
                <w:sz w:val="21"/>
                <w:szCs w:val="22"/>
                <w:lang w:val="en-US" w:eastAsia="zh-CN" w:bidi="ar-SA"/>
              </w:rPr>
            </w:pPr>
            <w:r>
              <w:rPr>
                <w:rFonts w:ascii="宋体" w:hAnsi="宋体" w:eastAsia="宋体" w:cs="Times New Roman"/>
                <w:color w:val="000000"/>
                <w:kern w:val="2"/>
                <w:sz w:val="21"/>
                <w:szCs w:val="22"/>
                <w:lang w:val="en-US" w:eastAsia="zh-CN" w:bidi="ar-SA"/>
              </w:rPr>
              <w:t xml:space="preserve">锁具：采用优质的锁具 锁定到位开启灵活，金属电镀层抗盐雾18h，无锈点。 </w:t>
            </w:r>
          </w:p>
          <w:p>
            <w:pPr>
              <w:autoSpaceDE w:val="0"/>
              <w:autoSpaceDN w:val="0"/>
              <w:spacing w:line="360" w:lineRule="auto"/>
              <w:jc w:val="left"/>
              <w:rPr>
                <w:rFonts w:ascii="宋体" w:hAnsi="宋体" w:eastAsia="宋体" w:cs="Times New Roman"/>
                <w:color w:val="000000"/>
                <w:kern w:val="2"/>
                <w:sz w:val="21"/>
                <w:szCs w:val="22"/>
                <w:lang w:val="en-US" w:eastAsia="zh-CN" w:bidi="ar-SA"/>
              </w:rPr>
            </w:pPr>
            <w:r>
              <w:rPr>
                <w:rFonts w:ascii="宋体" w:hAnsi="宋体" w:eastAsia="宋体" w:cs="Times New Roman"/>
                <w:color w:val="000000"/>
                <w:kern w:val="2"/>
                <w:sz w:val="21"/>
                <w:szCs w:val="22"/>
                <w:lang w:val="en-US" w:eastAsia="zh-CN" w:bidi="ar-SA"/>
              </w:rPr>
              <w:t xml:space="preserve">塑料脚钉：采用优质的塑料脚钉 符合塑料家具中有害物质限量 可溶性铅≤2.1mg/kg,可溶性镉≤1.1mg/kg，可溶性汞≤1.1mg/kg，可溶性铬≤1.1mg/kg </w:t>
            </w:r>
          </w:p>
          <w:p>
            <w:pPr>
              <w:autoSpaceDE w:val="0"/>
              <w:autoSpaceDN w:val="0"/>
              <w:spacing w:line="360" w:lineRule="auto"/>
              <w:jc w:val="left"/>
              <w:rPr>
                <w:rFonts w:ascii="宋体" w:hAnsi="宋体" w:eastAsia="宋体" w:cs="Times New Roman"/>
                <w:color w:val="000000"/>
                <w:kern w:val="2"/>
                <w:sz w:val="21"/>
                <w:szCs w:val="22"/>
                <w:lang w:val="en-US" w:eastAsia="zh-CN" w:bidi="ar-SA"/>
              </w:rPr>
            </w:pPr>
            <w:r>
              <w:rPr>
                <w:rFonts w:ascii="宋体" w:hAnsi="宋体" w:eastAsia="宋体" w:cs="Times New Roman"/>
                <w:color w:val="000000"/>
                <w:kern w:val="2"/>
                <w:sz w:val="21"/>
                <w:szCs w:val="22"/>
                <w:lang w:val="en-US" w:eastAsia="zh-CN" w:bidi="ar-SA"/>
              </w:rPr>
              <w:t>质量工艺要求：台面平整，木材拼接紧密，线条均匀，转角过渡自然，间隙细小且均匀等，误差不超过5mm；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20</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保密柜</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1940mm*900mm*420mm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基材：使用优质的钢板符合金属家具通用技术条件标准，金属喷漆（塑）涂层冲击强度符合检测标准，金属喷漆（塑）涂层附着力≥2级</w:t>
            </w:r>
          </w:p>
          <w:p>
            <w:pPr>
              <w:autoSpaceDE w:val="0"/>
              <w:autoSpaceDN w:val="0"/>
              <w:spacing w:line="360" w:lineRule="auto"/>
              <w:jc w:val="left"/>
              <w:rPr>
                <w:rFonts w:ascii="宋体" w:hAnsi="宋体" w:eastAsia="宋体"/>
                <w:color w:val="000000"/>
              </w:rPr>
            </w:pPr>
            <w:r>
              <w:rPr>
                <w:rFonts w:ascii="宋体" w:hAnsi="宋体" w:eastAsia="宋体"/>
                <w:color w:val="000000"/>
              </w:rPr>
              <w:t>表面：采用静电粉末喷涂，符合室内装饰装修材料木家具中有害物质限量可溶性铅≤2mg/kg，镉≤1mg/kg，铬≤1mg/kg，汞≤1mg/kg。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21</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保险柜</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800mm*440mm*390mm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基材：使用优质的钢板符合金属家具通用技术条件标准，金属喷漆（塑）涂层冲击强度符合检测标准，金属喷漆（塑）涂层附着力≥2级</w:t>
            </w:r>
          </w:p>
          <w:p>
            <w:pPr>
              <w:autoSpaceDE w:val="0"/>
              <w:autoSpaceDN w:val="0"/>
              <w:spacing w:line="360" w:lineRule="auto"/>
              <w:jc w:val="left"/>
              <w:rPr>
                <w:rFonts w:ascii="宋体" w:hAnsi="宋体" w:eastAsia="宋体"/>
                <w:color w:val="000000"/>
              </w:rPr>
            </w:pPr>
            <w:r>
              <w:rPr>
                <w:rFonts w:ascii="宋体" w:hAnsi="宋体" w:eastAsia="宋体"/>
                <w:color w:val="000000"/>
              </w:rPr>
              <w:t>表面：采用静电粉末喷涂，符合室内装饰装修材料木家具中有害物质限量可溶性铅≤2mg/kg，镉≤1mg/kg，铬≤1mg/kg，汞≤1mg/kg。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22</w:t>
            </w:r>
          </w:p>
        </w:tc>
        <w:tc>
          <w:tcPr>
            <w:tcW w:w="1028" w:type="dxa"/>
            <w:shd w:val="clear" w:color="000000" w:fill="auto"/>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钢制文件柜</w:t>
            </w:r>
          </w:p>
        </w:tc>
        <w:tc>
          <w:tcPr>
            <w:tcW w:w="2316" w:type="dxa"/>
            <w:shd w:val="clear" w:color="000000" w:fill="auto"/>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1800mm*420mm*858mm</w:t>
            </w:r>
          </w:p>
        </w:tc>
        <w:tc>
          <w:tcPr>
            <w:tcW w:w="10221" w:type="dxa"/>
            <w:shd w:val="clear" w:color="000000" w:fill="auto"/>
            <w:vAlign w:val="center"/>
          </w:tcPr>
          <w:p>
            <w:pPr>
              <w:autoSpaceDE w:val="0"/>
              <w:autoSpaceDN w:val="0"/>
              <w:spacing w:line="360" w:lineRule="auto"/>
              <w:jc w:val="left"/>
              <w:rPr>
                <w:rFonts w:ascii="宋体" w:hAnsi="宋体" w:eastAsia="宋体"/>
                <w:color w:val="000000"/>
              </w:rPr>
            </w:pPr>
            <w:r>
              <w:rPr>
                <w:rFonts w:ascii="宋体" w:hAnsi="宋体" w:eastAsia="宋体" w:cs="宋体"/>
                <w:sz w:val="24"/>
                <w:szCs w:val="24"/>
              </w:rPr>
              <w:t>上节:</w:t>
            </w:r>
            <w:r>
              <w:rPr>
                <w:rFonts w:ascii="宋体" w:hAnsi="宋体" w:eastAsia="宋体"/>
                <w:color w:val="000000"/>
              </w:rPr>
              <w:t>高375mm*宽858mm*深420mm；围脚：高70mm*宽858mm*深420mm；★1、柜体采用0.6mm厚冷轧钢板，结构要求牢固，门闭合时与柜体正面完全嵌合，，柜体正面整体平整度高，铝合金拉手并开透气孔。2、下料尺寸精确，保证产品结构的牢固性、合理性。3、焊接：二氢化碳保护焊，镀铜焊丝，一级。4、所有金属表面处理：经酸洗陶化及抛丸机打砂除油除锈后，高压恒温环氧树脂固体粉末静电喷涂，喷塑温度达到195-205摄氏度，喷涂均匀，附着力强、耐腐蚀、耐擦挂、耐冲击，保证喷塑质量的稳定性和可靠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23</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会计凭证柜</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1950mm*350mm*900mm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基材：使用冷轧钢板钢材厚0.6mm,金属家具通用技术条件标准，金属电镀层抗盐雾（18h)1.5mm以下锈点≤20点/dm,≥1.0mm锈点不超过5点。</w:t>
            </w:r>
          </w:p>
          <w:p>
            <w:pPr>
              <w:autoSpaceDE w:val="0"/>
              <w:autoSpaceDN w:val="0"/>
              <w:spacing w:line="360" w:lineRule="auto"/>
              <w:jc w:val="left"/>
              <w:rPr>
                <w:rFonts w:ascii="宋体" w:hAnsi="宋体" w:eastAsia="宋体"/>
                <w:color w:val="000000"/>
              </w:rPr>
            </w:pPr>
            <w:r>
              <w:rPr>
                <w:rFonts w:ascii="宋体" w:hAnsi="宋体" w:eastAsia="宋体"/>
                <w:color w:val="000000"/>
              </w:rPr>
              <w:t>表面：采用静电粉末喷涂，采用静电粉末喷涂，符合室内装饰装修材料木家具中有害物质限量可溶性铅≤2mg/kg，镉≤1mg/kg，铬≤1mg/kg，汞≤1mg/kg。</w:t>
            </w:r>
          </w:p>
          <w:p>
            <w:pPr>
              <w:autoSpaceDE w:val="0"/>
              <w:autoSpaceDN w:val="0"/>
              <w:spacing w:line="360" w:lineRule="auto"/>
              <w:jc w:val="left"/>
              <w:rPr>
                <w:rFonts w:ascii="宋体" w:hAnsi="宋体" w:eastAsia="宋体"/>
                <w:color w:val="000000"/>
              </w:rPr>
            </w:pPr>
            <w:r>
              <w:rPr>
                <w:rFonts w:ascii="宋体" w:hAnsi="宋体" w:eastAsia="宋体"/>
                <w:color w:val="000000"/>
              </w:rPr>
              <w:t>锁具：采用优质的锁具，符合金属家具通用技术条件标准，电镀层抗盐雾（18h)1.5mm以下锈点≤20点/dm,≥1.0mm锈点不超过5点。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24</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密集架</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2400*1000*600</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一、密集架的组成：</w:t>
            </w:r>
          </w:p>
          <w:p>
            <w:pPr>
              <w:autoSpaceDE w:val="0"/>
              <w:autoSpaceDN w:val="0"/>
              <w:spacing w:line="360" w:lineRule="auto"/>
              <w:jc w:val="left"/>
              <w:rPr>
                <w:rFonts w:ascii="宋体" w:hAnsi="宋体" w:eastAsia="宋体"/>
                <w:color w:val="000000"/>
              </w:rPr>
            </w:pPr>
            <w:r>
              <w:rPr>
                <w:rFonts w:ascii="宋体" w:hAnsi="宋体" w:eastAsia="宋体"/>
                <w:color w:val="000000"/>
              </w:rPr>
              <w:t>1、档案架严格采用冷轧板，使用先进的数控机械设备锻压成型，表面喷涂是采用全自动九工位喷塑流水线环保型环氧聚脂静电粉末喷塑制成，有底盘系列、传动系统，安全防护装置，制动装置，防尘密封系统立柱、侧板、搁板、门板、摇臂，标准件全部采用镀锌件。</w:t>
            </w:r>
          </w:p>
          <w:p>
            <w:pPr>
              <w:autoSpaceDE w:val="0"/>
              <w:autoSpaceDN w:val="0"/>
              <w:spacing w:line="360" w:lineRule="auto"/>
              <w:jc w:val="left"/>
              <w:rPr>
                <w:rFonts w:ascii="宋体" w:hAnsi="宋体" w:eastAsia="宋体"/>
                <w:color w:val="000000"/>
              </w:rPr>
            </w:pPr>
            <w:r>
              <w:rPr>
                <w:rFonts w:ascii="宋体" w:hAnsi="宋体" w:eastAsia="宋体"/>
                <w:color w:val="000000"/>
              </w:rPr>
              <w:t>2、边列与中间列均可双面使用，边列可两头固定中间摇动也可中间固定两边分摇，摇臂采用盘式及多种式样，档案柜的上顶有防尘板，列与列之间装有磁性橡胶密封条起到缓冲作用，具有防火，防尘，防潮，防鼠，防盗功能。</w:t>
            </w:r>
          </w:p>
          <w:p>
            <w:pPr>
              <w:autoSpaceDE w:val="0"/>
              <w:autoSpaceDN w:val="0"/>
              <w:spacing w:line="360" w:lineRule="auto"/>
              <w:jc w:val="left"/>
              <w:rPr>
                <w:rFonts w:ascii="宋体" w:hAnsi="宋体" w:eastAsia="宋体"/>
                <w:color w:val="000000"/>
              </w:rPr>
            </w:pPr>
            <w:r>
              <w:rPr>
                <w:rFonts w:ascii="宋体" w:hAnsi="宋体" w:eastAsia="宋体"/>
                <w:color w:val="000000"/>
              </w:rPr>
              <w:t>二、底盘系统</w:t>
            </w:r>
          </w:p>
          <w:p>
            <w:pPr>
              <w:autoSpaceDE w:val="0"/>
              <w:autoSpaceDN w:val="0"/>
              <w:spacing w:line="360" w:lineRule="auto"/>
              <w:jc w:val="left"/>
              <w:rPr>
                <w:rFonts w:ascii="宋体" w:hAnsi="宋体" w:eastAsia="宋体"/>
                <w:color w:val="000000"/>
              </w:rPr>
            </w:pPr>
            <w:r>
              <w:rPr>
                <w:rFonts w:ascii="宋体" w:hAnsi="宋体" w:eastAsia="宋体"/>
                <w:color w:val="000000"/>
              </w:rPr>
              <w:t>底盘冷轧钢板冲压成型，采用高强度桥梁插接组合结构，加配焊加强型整体轮架，强度牢靠，且便于运输，安装，调试。</w:t>
            </w:r>
          </w:p>
          <w:p>
            <w:pPr>
              <w:autoSpaceDE w:val="0"/>
              <w:autoSpaceDN w:val="0"/>
              <w:spacing w:line="360" w:lineRule="auto"/>
              <w:jc w:val="left"/>
              <w:rPr>
                <w:rFonts w:ascii="宋体" w:hAnsi="宋体" w:eastAsia="宋体"/>
                <w:color w:val="000000"/>
              </w:rPr>
            </w:pPr>
            <w:r>
              <w:rPr>
                <w:rFonts w:ascii="宋体" w:hAnsi="宋体" w:eastAsia="宋体"/>
                <w:color w:val="000000"/>
              </w:rPr>
              <w:t>三、传动系统：</w:t>
            </w:r>
          </w:p>
          <w:p>
            <w:pPr>
              <w:autoSpaceDE w:val="0"/>
              <w:autoSpaceDN w:val="0"/>
              <w:spacing w:line="360" w:lineRule="auto"/>
              <w:jc w:val="left"/>
              <w:rPr>
                <w:rFonts w:ascii="宋体" w:hAnsi="宋体" w:eastAsia="宋体"/>
                <w:color w:val="000000"/>
              </w:rPr>
            </w:pPr>
            <w:r>
              <w:rPr>
                <w:rFonts w:ascii="宋体" w:hAnsi="宋体" w:eastAsia="宋体"/>
                <w:color w:val="000000"/>
              </w:rPr>
              <w:t>传动系统由：摇把、链条、传动轴承、行走轮组成，采用立式调心轴承，传动轴使用无缝钢管，双驱动双方向传动，行走轮采用铸铁强度可靠耐久，结构紧凑，变速机构使用破断力为摩托车链条，并增加了三级变速固定盘，配以齿轮自动离合方向盘，使密集架移动轻捷、灵活，消除了列端性不同步现象。设立防倾机构，使密集架在任何情况下不会倾倒伤人或损坏设施。</w:t>
            </w:r>
          </w:p>
          <w:p>
            <w:pPr>
              <w:autoSpaceDE w:val="0"/>
              <w:autoSpaceDN w:val="0"/>
              <w:spacing w:line="360" w:lineRule="auto"/>
              <w:jc w:val="left"/>
              <w:rPr>
                <w:rFonts w:ascii="宋体" w:hAnsi="宋体" w:eastAsia="宋体"/>
                <w:color w:val="000000"/>
              </w:rPr>
            </w:pPr>
            <w:r>
              <w:rPr>
                <w:rFonts w:ascii="宋体" w:hAnsi="宋体" w:eastAsia="宋体"/>
                <w:color w:val="000000"/>
              </w:rPr>
              <w:t>四、安全防护装置：</w:t>
            </w:r>
          </w:p>
          <w:p>
            <w:pPr>
              <w:autoSpaceDE w:val="0"/>
              <w:autoSpaceDN w:val="0"/>
              <w:spacing w:line="360" w:lineRule="auto"/>
              <w:jc w:val="left"/>
              <w:rPr>
                <w:rFonts w:ascii="宋体" w:hAnsi="宋体" w:eastAsia="宋体"/>
                <w:color w:val="000000"/>
              </w:rPr>
            </w:pPr>
            <w:r>
              <w:rPr>
                <w:rFonts w:ascii="宋体" w:hAnsi="宋体" w:eastAsia="宋体"/>
                <w:color w:val="000000"/>
              </w:rPr>
              <w:t>安全防护装置包括密封装置、防倾倒装置、限位装置、制动装置。</w:t>
            </w:r>
          </w:p>
          <w:p>
            <w:pPr>
              <w:autoSpaceDE w:val="0"/>
              <w:autoSpaceDN w:val="0"/>
              <w:spacing w:line="360" w:lineRule="auto"/>
              <w:jc w:val="left"/>
              <w:rPr>
                <w:rFonts w:ascii="宋体" w:hAnsi="宋体" w:eastAsia="宋体"/>
                <w:color w:val="000000"/>
              </w:rPr>
            </w:pPr>
            <w:r>
              <w:rPr>
                <w:rFonts w:ascii="宋体" w:hAnsi="宋体" w:eastAsia="宋体"/>
                <w:color w:val="000000"/>
              </w:rPr>
              <w:t>1、密封装置安装架体的两端与两架体之间接触而上以缓冲架体碰撞减低架体聚合时发出的响声且有防尘、防火、防潮、防鼠功能。</w:t>
            </w:r>
          </w:p>
          <w:p>
            <w:pPr>
              <w:autoSpaceDE w:val="0"/>
              <w:autoSpaceDN w:val="0"/>
              <w:spacing w:line="360" w:lineRule="auto"/>
              <w:jc w:val="left"/>
              <w:rPr>
                <w:rFonts w:ascii="宋体" w:hAnsi="宋体" w:eastAsia="宋体"/>
                <w:color w:val="000000"/>
              </w:rPr>
            </w:pPr>
            <w:r>
              <w:rPr>
                <w:rFonts w:ascii="宋体" w:hAnsi="宋体" w:eastAsia="宋体"/>
                <w:color w:val="000000"/>
              </w:rPr>
              <w:t>2、防倾倒装置在每列密集架的底盘上安装钢板安全钩，并与轨道相连，防止架体倾倒，达到安全可靠。</w:t>
            </w:r>
          </w:p>
          <w:p>
            <w:pPr>
              <w:autoSpaceDE w:val="0"/>
              <w:autoSpaceDN w:val="0"/>
              <w:spacing w:line="360" w:lineRule="auto"/>
              <w:jc w:val="left"/>
              <w:rPr>
                <w:rFonts w:ascii="宋体" w:hAnsi="宋体" w:eastAsia="宋体"/>
                <w:color w:val="000000"/>
              </w:rPr>
            </w:pPr>
            <w:r>
              <w:rPr>
                <w:rFonts w:ascii="宋体" w:hAnsi="宋体" w:eastAsia="宋体"/>
                <w:color w:val="000000"/>
              </w:rPr>
              <w:t>3、制动装置：制动装置安装于每列密集架的侧端，侧板的中部它可使密集架不被他人移动，有效地保证查阅人员的安全。</w:t>
            </w:r>
          </w:p>
          <w:p>
            <w:pPr>
              <w:autoSpaceDE w:val="0"/>
              <w:autoSpaceDN w:val="0"/>
              <w:spacing w:line="360" w:lineRule="auto"/>
              <w:jc w:val="left"/>
              <w:rPr>
                <w:rFonts w:ascii="宋体" w:hAnsi="宋体" w:eastAsia="宋体"/>
                <w:color w:val="000000"/>
              </w:rPr>
            </w:pPr>
            <w:r>
              <w:rPr>
                <w:rFonts w:ascii="宋体" w:hAnsi="宋体" w:eastAsia="宋体"/>
                <w:color w:val="000000"/>
              </w:rPr>
              <w:t>五、立架部件</w:t>
            </w:r>
          </w:p>
          <w:p>
            <w:pPr>
              <w:autoSpaceDE w:val="0"/>
              <w:autoSpaceDN w:val="0"/>
              <w:spacing w:line="360" w:lineRule="auto"/>
              <w:jc w:val="left"/>
              <w:rPr>
                <w:rFonts w:ascii="宋体" w:hAnsi="宋体" w:eastAsia="宋体"/>
                <w:color w:val="000000"/>
              </w:rPr>
            </w:pPr>
            <w:r>
              <w:rPr>
                <w:rFonts w:ascii="宋体" w:hAnsi="宋体" w:eastAsia="宋体"/>
                <w:color w:val="000000"/>
              </w:rPr>
              <w:t>立架部分由立柱、搁板、挂板、书档组成。</w:t>
            </w:r>
          </w:p>
          <w:p>
            <w:pPr>
              <w:autoSpaceDE w:val="0"/>
              <w:autoSpaceDN w:val="0"/>
              <w:spacing w:line="360" w:lineRule="auto"/>
              <w:jc w:val="left"/>
              <w:rPr>
                <w:rFonts w:ascii="宋体" w:hAnsi="宋体" w:eastAsia="宋体"/>
                <w:color w:val="000000"/>
              </w:rPr>
            </w:pPr>
            <w:r>
              <w:rPr>
                <w:rFonts w:ascii="宋体" w:hAnsi="宋体" w:eastAsia="宋体"/>
                <w:color w:val="000000"/>
              </w:rPr>
              <w:t>特点：承载大、强度好，且整体稳定，牢固，可靠。</w:t>
            </w:r>
          </w:p>
          <w:p>
            <w:pPr>
              <w:autoSpaceDE w:val="0"/>
              <w:autoSpaceDN w:val="0"/>
              <w:spacing w:line="360" w:lineRule="auto"/>
              <w:jc w:val="left"/>
              <w:rPr>
                <w:rFonts w:ascii="宋体" w:hAnsi="宋体" w:eastAsia="宋体"/>
                <w:color w:val="000000"/>
              </w:rPr>
            </w:pPr>
            <w:r>
              <w:rPr>
                <w:rFonts w:ascii="宋体" w:hAnsi="宋体" w:eastAsia="宋体"/>
                <w:color w:val="000000"/>
              </w:rPr>
              <w:t>六、侧板、立架、顶板组合方式</w:t>
            </w:r>
          </w:p>
          <w:p>
            <w:pPr>
              <w:autoSpaceDE w:val="0"/>
              <w:autoSpaceDN w:val="0"/>
              <w:spacing w:line="360" w:lineRule="auto"/>
              <w:jc w:val="left"/>
              <w:rPr>
                <w:rFonts w:ascii="宋体" w:hAnsi="宋体" w:eastAsia="宋体"/>
                <w:color w:val="000000"/>
              </w:rPr>
            </w:pPr>
            <w:r>
              <w:rPr>
                <w:rFonts w:ascii="宋体" w:hAnsi="宋体" w:eastAsia="宋体"/>
                <w:color w:val="000000"/>
              </w:rPr>
              <w:t>侧板采用冷轧钢板，每列侧板上装有两块录框，便于装捅档案目录，使用镀锌螺丝，把立柱，顶板，侧板紧密相连。</w:t>
            </w:r>
          </w:p>
          <w:p>
            <w:pPr>
              <w:autoSpaceDE w:val="0"/>
              <w:autoSpaceDN w:val="0"/>
              <w:spacing w:line="360" w:lineRule="auto"/>
              <w:jc w:val="left"/>
              <w:rPr>
                <w:rFonts w:ascii="宋体" w:hAnsi="宋体" w:eastAsia="宋体"/>
                <w:color w:val="000000"/>
              </w:rPr>
            </w:pPr>
            <w:r>
              <w:rPr>
                <w:rFonts w:ascii="宋体" w:hAnsi="宋体" w:eastAsia="宋体"/>
                <w:color w:val="000000"/>
              </w:rPr>
              <w:t>七、密集架工艺标准</w:t>
            </w:r>
          </w:p>
          <w:p>
            <w:pPr>
              <w:autoSpaceDE w:val="0"/>
              <w:autoSpaceDN w:val="0"/>
              <w:spacing w:line="360" w:lineRule="auto"/>
              <w:jc w:val="left"/>
              <w:rPr>
                <w:rFonts w:ascii="宋体" w:hAnsi="宋体" w:eastAsia="宋体"/>
                <w:color w:val="000000"/>
              </w:rPr>
            </w:pPr>
            <w:r>
              <w:rPr>
                <w:rFonts w:ascii="宋体" w:hAnsi="宋体" w:eastAsia="宋体"/>
                <w:color w:val="000000"/>
              </w:rPr>
              <w:t>密集架为框架结构，主要由轨道、底盘、传动机构、架体（包括立柱、搁板支撑板、搁板、门板、顶板、侧护板）等等（部）件组成。列与列之间装有特种抗老化PVC磁封条，形成两列间的全封闭，门面列和中间移动列分别装有锁具和制动装置，每组密集架闭合后可用总锁锁住，形成一个封闭的整体。各列移开后可单独制动。底须有防鼠、防倒装置，因而整个架体具有良好的防尘、防火、防鼠、防潮、防火、防盗和保密功能。</w:t>
            </w:r>
          </w:p>
          <w:p>
            <w:pPr>
              <w:autoSpaceDE w:val="0"/>
              <w:autoSpaceDN w:val="0"/>
              <w:spacing w:line="360" w:lineRule="auto"/>
              <w:jc w:val="left"/>
              <w:rPr>
                <w:rFonts w:ascii="宋体" w:hAnsi="宋体" w:eastAsia="宋体"/>
                <w:color w:val="000000"/>
              </w:rPr>
            </w:pPr>
            <w:r>
              <w:rPr>
                <w:rFonts w:ascii="宋体" w:hAnsi="宋体" w:eastAsia="宋体"/>
                <w:color w:val="000000"/>
              </w:rPr>
              <w:t>八、装配</w:t>
            </w:r>
          </w:p>
          <w:p>
            <w:pPr>
              <w:autoSpaceDE w:val="0"/>
              <w:autoSpaceDN w:val="0"/>
              <w:spacing w:line="360" w:lineRule="auto"/>
              <w:jc w:val="left"/>
              <w:rPr>
                <w:rFonts w:ascii="宋体" w:hAnsi="宋体" w:eastAsia="宋体"/>
                <w:color w:val="000000"/>
              </w:rPr>
            </w:pPr>
            <w:r>
              <w:rPr>
                <w:rFonts w:ascii="宋体" w:hAnsi="宋体" w:eastAsia="宋体"/>
                <w:color w:val="000000"/>
              </w:rPr>
              <w:t>1、每列组装后，上中下护板的对缝外间隙不大于1.5mm</w:t>
            </w:r>
          </w:p>
          <w:p>
            <w:pPr>
              <w:autoSpaceDE w:val="0"/>
              <w:autoSpaceDN w:val="0"/>
              <w:spacing w:line="360" w:lineRule="auto"/>
              <w:jc w:val="left"/>
              <w:rPr>
                <w:rFonts w:ascii="宋体" w:hAnsi="宋体" w:eastAsia="宋体"/>
                <w:color w:val="000000"/>
              </w:rPr>
            </w:pPr>
            <w:r>
              <w:rPr>
                <w:rFonts w:ascii="宋体" w:hAnsi="宋体" w:eastAsia="宋体"/>
                <w:color w:val="000000"/>
              </w:rPr>
              <w:t>2、传动机构应转动灵活，平衡，不得有失灵现象</w:t>
            </w:r>
          </w:p>
          <w:p>
            <w:pPr>
              <w:autoSpaceDE w:val="0"/>
              <w:autoSpaceDN w:val="0"/>
              <w:spacing w:line="360" w:lineRule="auto"/>
              <w:jc w:val="left"/>
              <w:rPr>
                <w:rFonts w:ascii="宋体" w:hAnsi="宋体" w:eastAsia="宋体"/>
                <w:color w:val="000000"/>
              </w:rPr>
            </w:pPr>
            <w:r>
              <w:rPr>
                <w:rFonts w:ascii="宋体" w:hAnsi="宋体" w:eastAsia="宋体"/>
                <w:color w:val="000000"/>
              </w:rPr>
              <w:t>3、各结构件和架体无明显变形，架体无倾斜现象。</w:t>
            </w:r>
          </w:p>
          <w:p>
            <w:pPr>
              <w:autoSpaceDE w:val="0"/>
              <w:autoSpaceDN w:val="0"/>
              <w:spacing w:line="360" w:lineRule="auto"/>
              <w:jc w:val="left"/>
              <w:rPr>
                <w:rFonts w:ascii="宋体" w:hAnsi="宋体" w:eastAsia="宋体"/>
                <w:color w:val="000000"/>
              </w:rPr>
            </w:pPr>
          </w:p>
          <w:p>
            <w:pPr>
              <w:autoSpaceDE w:val="0"/>
              <w:autoSpaceDN w:val="0"/>
              <w:spacing w:line="360" w:lineRule="auto"/>
              <w:jc w:val="left"/>
              <w:rPr>
                <w:rFonts w:ascii="宋体" w:hAnsi="宋体" w:eastAsia="宋体"/>
                <w:color w:val="000000"/>
              </w:rPr>
            </w:pPr>
            <w:r>
              <w:rPr>
                <w:rFonts w:ascii="宋体" w:hAnsi="宋体" w:eastAsia="宋体"/>
                <w:color w:val="000000"/>
              </w:rPr>
              <w:t>密集架使用说明</w:t>
            </w:r>
          </w:p>
          <w:p>
            <w:pPr>
              <w:autoSpaceDE w:val="0"/>
              <w:autoSpaceDN w:val="0"/>
              <w:spacing w:line="360" w:lineRule="auto"/>
              <w:jc w:val="left"/>
              <w:rPr>
                <w:rFonts w:ascii="宋体" w:hAnsi="宋体" w:eastAsia="宋体"/>
                <w:color w:val="000000"/>
              </w:rPr>
            </w:pPr>
            <w:r>
              <w:rPr>
                <w:rFonts w:ascii="宋体" w:hAnsi="宋体" w:eastAsia="宋体"/>
                <w:color w:val="000000"/>
              </w:rPr>
              <w:t>一、用途</w:t>
            </w:r>
          </w:p>
          <w:p>
            <w:pPr>
              <w:autoSpaceDE w:val="0"/>
              <w:autoSpaceDN w:val="0"/>
              <w:spacing w:line="360" w:lineRule="auto"/>
              <w:jc w:val="left"/>
              <w:rPr>
                <w:rFonts w:ascii="宋体" w:hAnsi="宋体" w:eastAsia="宋体"/>
                <w:color w:val="000000"/>
              </w:rPr>
            </w:pPr>
            <w:r>
              <w:rPr>
                <w:rFonts w:ascii="宋体" w:hAnsi="宋体" w:eastAsia="宋体"/>
                <w:color w:val="000000"/>
              </w:rPr>
              <w:t>档案密集架是存放图书、档案文件、证券凭证等的理想装具。也可当作货物存放架，外形美观，占地空间小，存取方便，可充分利用库房面积和空间，增加存储量2-3倍。</w:t>
            </w:r>
          </w:p>
          <w:p>
            <w:pPr>
              <w:autoSpaceDE w:val="0"/>
              <w:autoSpaceDN w:val="0"/>
              <w:spacing w:line="360" w:lineRule="auto"/>
              <w:jc w:val="left"/>
              <w:rPr>
                <w:rFonts w:ascii="宋体" w:hAnsi="宋体" w:eastAsia="宋体"/>
                <w:color w:val="000000"/>
              </w:rPr>
            </w:pPr>
            <w:r>
              <w:rPr>
                <w:rFonts w:ascii="宋体" w:hAnsi="宋体" w:eastAsia="宋体"/>
                <w:color w:val="000000"/>
              </w:rPr>
              <w:t>二、工作原理</w:t>
            </w:r>
          </w:p>
          <w:p>
            <w:pPr>
              <w:autoSpaceDE w:val="0"/>
              <w:autoSpaceDN w:val="0"/>
              <w:spacing w:line="360" w:lineRule="auto"/>
              <w:jc w:val="left"/>
              <w:rPr>
                <w:rFonts w:ascii="宋体" w:hAnsi="宋体" w:eastAsia="宋体"/>
                <w:color w:val="000000"/>
              </w:rPr>
            </w:pPr>
            <w:r>
              <w:rPr>
                <w:rFonts w:ascii="宋体" w:hAnsi="宋体" w:eastAsia="宋体"/>
                <w:color w:val="000000"/>
              </w:rPr>
              <w:t>1、密集架的移动</w:t>
            </w:r>
          </w:p>
          <w:p>
            <w:pPr>
              <w:autoSpaceDE w:val="0"/>
              <w:autoSpaceDN w:val="0"/>
              <w:spacing w:line="360" w:lineRule="auto"/>
              <w:jc w:val="left"/>
              <w:rPr>
                <w:rFonts w:ascii="宋体" w:hAnsi="宋体" w:eastAsia="宋体"/>
                <w:color w:val="000000"/>
              </w:rPr>
            </w:pPr>
            <w:r>
              <w:rPr>
                <w:rFonts w:ascii="宋体" w:hAnsi="宋体" w:eastAsia="宋体"/>
                <w:color w:val="000000"/>
              </w:rPr>
              <w:t>密集架可单列或多列在导轨上行走，每列具有手刹制动装置,(自锁柄)。自锁柄在ＯＦＦ位置时，架体不能移动，在ＯＮ位置时，架体可移动，每列架体的侧板上有标签框，移动列底盘上有防倒装置，移动边列侧板上有锁，导轨的端部有限位装置。</w:t>
            </w:r>
          </w:p>
          <w:p>
            <w:pPr>
              <w:autoSpaceDE w:val="0"/>
              <w:autoSpaceDN w:val="0"/>
              <w:spacing w:line="360" w:lineRule="auto"/>
              <w:jc w:val="left"/>
              <w:rPr>
                <w:rFonts w:ascii="宋体" w:hAnsi="宋体" w:eastAsia="宋体"/>
                <w:color w:val="000000"/>
              </w:rPr>
            </w:pPr>
            <w:r>
              <w:rPr>
                <w:rFonts w:ascii="宋体" w:hAnsi="宋体" w:eastAsia="宋体"/>
                <w:color w:val="000000"/>
              </w:rPr>
              <w:t>2、文档的存取</w:t>
            </w:r>
          </w:p>
          <w:p>
            <w:pPr>
              <w:autoSpaceDE w:val="0"/>
              <w:autoSpaceDN w:val="0"/>
              <w:spacing w:line="360" w:lineRule="auto"/>
              <w:jc w:val="left"/>
              <w:rPr>
                <w:rFonts w:ascii="宋体" w:hAnsi="宋体" w:eastAsia="宋体"/>
                <w:color w:val="000000"/>
              </w:rPr>
            </w:pPr>
            <w:r>
              <w:rPr>
                <w:rFonts w:ascii="宋体" w:hAnsi="宋体" w:eastAsia="宋体"/>
                <w:color w:val="000000"/>
              </w:rPr>
              <w:t>顺时针或逆时针摇动手柄，活动架将在轨道上行走，当相邻二架体间距移开到一定值，顺时针转动两列架体的自锁柄至OFF位置，此时再摇动手柄，二架体不能移动，然后可进入架体间存取文档（如转动自锁时不能锁定架体，可稍稍转动手轮致能拉动自锁柄）。</w:t>
            </w:r>
          </w:p>
          <w:p>
            <w:pPr>
              <w:autoSpaceDE w:val="0"/>
              <w:autoSpaceDN w:val="0"/>
              <w:spacing w:line="360" w:lineRule="auto"/>
              <w:jc w:val="left"/>
              <w:rPr>
                <w:rFonts w:ascii="宋体" w:hAnsi="宋体" w:eastAsia="宋体"/>
                <w:color w:val="000000"/>
              </w:rPr>
            </w:pPr>
            <w:r>
              <w:rPr>
                <w:rFonts w:ascii="宋体" w:hAnsi="宋体" w:eastAsia="宋体"/>
                <w:color w:val="000000"/>
              </w:rPr>
              <w:t>3、密集架的锁定</w:t>
            </w:r>
          </w:p>
          <w:p>
            <w:pPr>
              <w:autoSpaceDE w:val="0"/>
              <w:autoSpaceDN w:val="0"/>
              <w:spacing w:line="360" w:lineRule="auto"/>
              <w:jc w:val="left"/>
              <w:rPr>
                <w:rFonts w:ascii="宋体" w:hAnsi="宋体" w:eastAsia="宋体"/>
                <w:color w:val="000000"/>
              </w:rPr>
            </w:pPr>
            <w:r>
              <w:rPr>
                <w:rFonts w:ascii="宋体" w:hAnsi="宋体" w:eastAsia="宋体"/>
                <w:color w:val="000000"/>
              </w:rPr>
              <w:t>逆时针转动自锁柄至ON位置，架体自锁被解除。摇动手柄架体可行走，当所有架体与固定列紧靠在一起不能再移动时，转动边列的可行走，当所有架体与固定列紧靠在一起不能再移动时，转动边列的自锁柄使边列自锁，然后顺时针转动总锁钥匙，则将所有密集架锁定。</w:t>
            </w:r>
          </w:p>
          <w:p>
            <w:pPr>
              <w:autoSpaceDE w:val="0"/>
              <w:autoSpaceDN w:val="0"/>
              <w:spacing w:line="360" w:lineRule="auto"/>
              <w:jc w:val="left"/>
              <w:rPr>
                <w:rFonts w:ascii="宋体" w:hAnsi="宋体" w:eastAsia="宋体"/>
                <w:color w:val="000000"/>
              </w:rPr>
            </w:pPr>
            <w:r>
              <w:rPr>
                <w:rFonts w:ascii="宋体" w:hAnsi="宋体" w:eastAsia="宋体"/>
                <w:color w:val="000000"/>
              </w:rPr>
              <w:t>4、层高的调整</w:t>
            </w:r>
          </w:p>
          <w:p>
            <w:pPr>
              <w:autoSpaceDE w:val="0"/>
              <w:autoSpaceDN w:val="0"/>
              <w:spacing w:line="360" w:lineRule="auto"/>
              <w:jc w:val="left"/>
              <w:rPr>
                <w:rFonts w:ascii="宋体" w:hAnsi="宋体" w:eastAsia="宋体"/>
                <w:color w:val="000000"/>
              </w:rPr>
            </w:pPr>
            <w:r>
              <w:rPr>
                <w:rFonts w:ascii="宋体" w:hAnsi="宋体" w:eastAsia="宋体"/>
                <w:color w:val="000000"/>
              </w:rPr>
              <w:t>密集架每层按标准调试配置，当需调整层高时先取下层板，将层板二侧挂板上移，使之与立柱脱钩，再向上移或下移到所需要的调试，插入立柱孔中上与立柱挂上，然后放上层板即可。</w:t>
            </w:r>
          </w:p>
          <w:p>
            <w:pPr>
              <w:autoSpaceDE w:val="0"/>
              <w:autoSpaceDN w:val="0"/>
              <w:spacing w:line="360" w:lineRule="auto"/>
              <w:jc w:val="left"/>
              <w:rPr>
                <w:rFonts w:ascii="宋体" w:hAnsi="宋体" w:eastAsia="宋体"/>
                <w:color w:val="000000"/>
              </w:rPr>
            </w:pPr>
            <w:r>
              <w:rPr>
                <w:rFonts w:ascii="宋体" w:hAnsi="宋体" w:eastAsia="宋体"/>
                <w:color w:val="000000"/>
              </w:rPr>
              <w:t>三、安全</w:t>
            </w:r>
          </w:p>
          <w:p>
            <w:pPr>
              <w:autoSpaceDE w:val="0"/>
              <w:autoSpaceDN w:val="0"/>
              <w:spacing w:line="360" w:lineRule="auto"/>
              <w:jc w:val="left"/>
              <w:rPr>
                <w:rFonts w:ascii="宋体" w:hAnsi="宋体" w:eastAsia="宋体"/>
                <w:color w:val="000000"/>
              </w:rPr>
            </w:pPr>
            <w:r>
              <w:rPr>
                <w:rFonts w:ascii="宋体" w:hAnsi="宋体" w:eastAsia="宋体"/>
                <w:color w:val="000000"/>
              </w:rPr>
              <w:t>1、当人进入相邻二架体前，须预先用自锁柄锁定二架体，以防架体意外移动而伤人。</w:t>
            </w:r>
          </w:p>
          <w:p>
            <w:pPr>
              <w:autoSpaceDE w:val="0"/>
              <w:autoSpaceDN w:val="0"/>
              <w:spacing w:line="360" w:lineRule="auto"/>
              <w:jc w:val="left"/>
              <w:rPr>
                <w:rFonts w:ascii="宋体" w:hAnsi="宋体" w:eastAsia="宋体"/>
                <w:color w:val="000000"/>
              </w:rPr>
            </w:pPr>
            <w:r>
              <w:rPr>
                <w:rFonts w:ascii="宋体" w:hAnsi="宋体" w:eastAsia="宋体"/>
                <w:color w:val="000000"/>
              </w:rPr>
              <w:t>2、密集架工作物体存放之用，不可将架体和层板当作扶梯攀登。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25</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书梯</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1550*400*800</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基材：使用冷轧钢板钢材厚4mm,金属家具通用技术条件标准，金属电镀层抗盐雾（18h)1.5mm以下锈点≤20点/dm,≥1.0mm锈点不超过5点。</w:t>
            </w:r>
          </w:p>
          <w:p>
            <w:pPr>
              <w:autoSpaceDE w:val="0"/>
              <w:autoSpaceDN w:val="0"/>
              <w:spacing w:line="360" w:lineRule="auto"/>
              <w:jc w:val="left"/>
              <w:rPr>
                <w:rFonts w:ascii="宋体" w:hAnsi="宋体" w:eastAsia="宋体"/>
                <w:color w:val="000000"/>
              </w:rPr>
            </w:pPr>
            <w:r>
              <w:rPr>
                <w:rFonts w:ascii="宋体" w:hAnsi="宋体" w:eastAsia="宋体"/>
                <w:color w:val="000000"/>
              </w:rPr>
              <w:t>表面：采用静电粉末喷涂，采用静电粉末喷涂，符合室内装饰装修材料木家具中有害物质限量可溶性铅≤2mg/kg，镉≤1mg/kg，铬≤1mg/kg，汞≤1mg/kg。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26</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书车</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900*680*350</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基材：使用冷轧钢板钢材厚4mm,金属家具通用技术条件标准，金属电镀层抗盐雾（18h)1.5mm以下锈点≤20点/dm,≥1.0mm锈点不超过5点。</w:t>
            </w:r>
          </w:p>
          <w:p>
            <w:pPr>
              <w:autoSpaceDE w:val="0"/>
              <w:autoSpaceDN w:val="0"/>
              <w:spacing w:line="360" w:lineRule="auto"/>
              <w:jc w:val="left"/>
              <w:rPr>
                <w:rFonts w:ascii="宋体" w:hAnsi="宋体" w:eastAsia="宋体"/>
                <w:color w:val="000000"/>
              </w:rPr>
            </w:pPr>
            <w:r>
              <w:rPr>
                <w:rFonts w:ascii="宋体" w:hAnsi="宋体" w:eastAsia="宋体"/>
                <w:color w:val="000000"/>
              </w:rPr>
              <w:t>表面：采用静电粉末喷涂，采用静电粉末喷涂，符合室内装饰装修材料木家具中有害物质限量可溶性铅≤2mg/kg，镉≤1mg/kg，铬≤1mg/kg，汞≤1mg/kg。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27</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干湿温度计</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202*202</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全程温度-30至50度，误差小于1-1.5度。湿度20-100%RH,误差小于5-75%RH.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28</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除湿机</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370*250*630</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每天除湿机除湿量26升，适应面积15-50平方米。电源220V/50HZ,额定输入电流1.6A，额定输入功率350W,使用环境温度5-32%，循环风量300m/h,排水方式：商用型水箱式，毛重13Kg.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29</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防磁柜</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475*495*435</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整体抗震结构，采用冷轧钢板，外表环氧树脂静电喷塑。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30</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主席台</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1400mm*600mm*750mm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基材：E1级中密度纤维板，含水率在3%~7%之间，吸水膨胀率≥9.1%，甲醛释放量≤0.038mg/m³。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胶水：采用净味拼板胶，总挥发有机物21G/L,笨0.02g/kg，游离甲醛0.1g/kg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质量工艺要求：台面平整，颜色均匀，木材拼接紧密，线条均匀，转角过渡自然，间隙细小且均匀等，误差不超过5mm；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31</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实木架会议椅</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高度1055mm，座深515mm，扶手长度580mm，前扶手距地面高度660mm，后扶手距地面高度645mm</w:t>
            </w:r>
          </w:p>
        </w:tc>
        <w:tc>
          <w:tcPr>
            <w:tcW w:w="10221" w:type="dxa"/>
            <w:vAlign w:val="center"/>
          </w:tcPr>
          <w:p>
            <w:pPr>
              <w:autoSpaceDE w:val="0"/>
              <w:autoSpaceDN w:val="0"/>
              <w:spacing w:line="360" w:lineRule="auto"/>
              <w:jc w:val="left"/>
              <w:rPr>
                <w:rFonts w:hAnsi="Times New Roman"/>
              </w:rPr>
            </w:pPr>
            <w:r>
              <w:rPr>
                <w:rFonts w:hAnsi="Times New Roman"/>
              </w:rPr>
              <w:t>表层：采用皮革覆面，摩擦色牢度≥4级，甲醛释放量≤9.1mg/kg</w:t>
            </w:r>
          </w:p>
          <w:p>
            <w:pPr>
              <w:spacing w:after="160"/>
              <w:jc w:val="left"/>
              <w:rPr>
                <w:rFonts w:hAnsi="Malgun Gothic" w:eastAsia="Malgun Gothic"/>
              </w:rPr>
            </w:pPr>
            <w:r>
              <w:rPr>
                <w:rFonts w:hAnsi="Times New Roman"/>
              </w:rPr>
              <w:t>内架：采用实木框架 符合室内装饰装修材料 木家具中有害物质限量 甲醛释放量≤0.11mg/L,木材含水率≤10%，全干密度≥0.54g/cm³</w:t>
            </w:r>
            <w:r>
              <w:rPr>
                <w:rFonts w:hAnsi="Times New Roman"/>
              </w:rPr>
              <w:br w:type="textWrapping" w:clear="all"/>
            </w:r>
            <w:r>
              <w:rPr>
                <w:rFonts w:hAnsi="Times New Roman"/>
              </w:rPr>
              <w:t>椅架：采用优质的实木为基材，符合木家具通用技术条件和室内装饰装修材料木家具中有害物质限量 含水率≤13%，甲醛释放量≤0.11mg/L</w:t>
            </w:r>
          </w:p>
          <w:p>
            <w:pPr>
              <w:spacing w:after="160"/>
              <w:jc w:val="left"/>
              <w:rPr>
                <w:rFonts w:eastAsia="Calibri"/>
              </w:rPr>
            </w:pPr>
            <w:r>
              <w:rPr>
                <w:rFonts w:eastAsia="Calibri"/>
              </w:rPr>
              <w:t>螺丝：采用优质的螺丝，符合轻工产品金属镀层腐蚀试验结果的评价和轻工产品金属镀层和化学处理层的耐腐蚀试验方法 中性盐雾试验（NSS）法企业技术条件 耐腐蚀等级18H中性盐雾试验≥8级</w:t>
            </w:r>
          </w:p>
          <w:p>
            <w:pPr>
              <w:spacing w:after="160"/>
              <w:jc w:val="left"/>
              <w:rPr>
                <w:rFonts w:eastAsia="Calibri"/>
              </w:rPr>
            </w:pPr>
            <w:r>
              <w:rPr>
                <w:rFonts w:eastAsia="Calibri"/>
              </w:rPr>
              <w:t>角铁：采用优质的角铁 符合金属家具通用技术条件 金属喷漆（塑）涂层冲击强度冲击高度400mm无剥落、裂纹、皱纹，耐腐蚀等级≥8级</w:t>
            </w:r>
          </w:p>
          <w:p>
            <w:pPr>
              <w:spacing w:after="160"/>
              <w:jc w:val="left"/>
              <w:rPr>
                <w:rFonts w:eastAsia="Calibri"/>
              </w:rPr>
            </w:pPr>
            <w:r>
              <w:rPr>
                <w:rFonts w:eastAsia="Calibri"/>
              </w:rPr>
              <w:t>塑料脚钉：采用优质的塑料脚钉，符合塑料家具中有害物质限量 可溶性铅≤2.1mg/kg,可溶性镉≤1.1mg/kg，可溶性汞≤1.1mg/kg，可溶性铬≤1.1mg/kg</w:t>
            </w:r>
          </w:p>
          <w:p>
            <w:pPr>
              <w:spacing w:after="160"/>
              <w:jc w:val="left"/>
              <w:rPr>
                <w:rFonts w:eastAsia="Calibri"/>
              </w:rPr>
            </w:pPr>
            <w:r>
              <w:rPr>
                <w:rFonts w:eastAsia="Calibri"/>
              </w:rPr>
              <w:t>底漆：采用水性高透明底漆，符合企业技术规范 干燥时间表干30min 已干 实干6h 已干。</w:t>
            </w:r>
          </w:p>
          <w:p>
            <w:pPr>
              <w:pStyle w:val="2"/>
              <w:spacing w:after="160"/>
              <w:rPr>
                <w:rFonts w:hAnsi="宋体" w:eastAsia="宋体"/>
              </w:rPr>
            </w:pPr>
            <w:r>
              <w:rPr>
                <w:rFonts w:hAnsi="Times New Roman"/>
              </w:rPr>
              <w:t>面漆：采用水性UV X分哑清面漆，符合企业技术规范 细度≤7um,耐磨性≤0.007g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32</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木质涂饰演讲台</w:t>
            </w:r>
          </w:p>
        </w:tc>
        <w:tc>
          <w:tcPr>
            <w:tcW w:w="2316" w:type="dxa"/>
            <w:vAlign w:val="center"/>
          </w:tcPr>
          <w:p>
            <w:pPr>
              <w:autoSpaceDE w:val="0"/>
              <w:autoSpaceDN w:val="0"/>
              <w:spacing w:line="360" w:lineRule="auto"/>
              <w:jc w:val="center"/>
              <w:rPr>
                <w:rFonts w:ascii="宋体" w:hAnsi="黑体" w:eastAsia="黑体"/>
                <w:color w:val="000000"/>
              </w:rPr>
            </w:pPr>
            <w:r>
              <w:rPr>
                <w:rFonts w:ascii="宋体" w:hAnsi="黑体" w:eastAsia="黑体"/>
                <w:color w:val="000000"/>
              </w:rPr>
              <w:t>770mm*500mm*1180mm</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基材：E1级中密度纤维板，含水率含水率≤6.3%，吸水膨胀率≥9.1%，甲醛释放量≤0.038mg/m³。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质量工艺要求：台面平整，颜色均匀，木材拼接紧密，线条均匀，转角过渡自然，间隙细小且均匀等，误差不超过5mm；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33</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木质涂饰条形桌</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1800*400*760</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基材：E1级中密度纤维板，含水率含水率≤6.3%，吸水膨胀率≥9.1%，甲醛释放量≤0.038mg/m³。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质量工艺要求：台面平整，颜色均匀，木材拼接紧密，线条均匀，转角过渡自然，间隙细小且均匀等，误差不超过5mm；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34</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木质涂饰条形桌</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1200*400*760</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基材：E1级中密度纤维板，含水率含水率≤6.3%，吸水膨胀率≥9.1%，甲醛释放量≤0.038mg/m³。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质量工艺要求：台面平整，颜色均匀，木材拼接紧密，线条均匀，转角过渡自然，间隙细小且均匀等，误差不超过5mm；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35</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木质涂饰会议桌</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5400*1800*760</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基材：E1级中密度纤维板，含水率≤6.3%，吸水膨胀率≥9.1%，甲醛释放量≤0.038mg/m³。</w:t>
            </w:r>
          </w:p>
          <w:p>
            <w:pPr>
              <w:autoSpaceDE w:val="0"/>
              <w:autoSpaceDN w:val="0"/>
              <w:spacing w:line="360" w:lineRule="auto"/>
              <w:jc w:val="left"/>
              <w:rPr>
                <w:rFonts w:ascii="宋体" w:hAnsi="宋体" w:eastAsia="宋体"/>
                <w:color w:val="000000"/>
              </w:rPr>
            </w:pPr>
            <w:r>
              <w:rPr>
                <w:rFonts w:ascii="宋体" w:hAnsi="宋体" w:eastAsia="宋体"/>
                <w:color w:val="000000"/>
              </w:rPr>
              <w:t>胶水：采用净味拼板胶，总挥发有机物≤22G/L,笨≤0.02g/kg，游离甲醛≤0.1g/kg</w:t>
            </w:r>
          </w:p>
          <w:p>
            <w:pPr>
              <w:autoSpaceDE w:val="0"/>
              <w:autoSpaceDN w:val="0"/>
              <w:spacing w:line="360" w:lineRule="auto"/>
              <w:jc w:val="left"/>
              <w:rPr>
                <w:rFonts w:ascii="宋体" w:hAnsi="宋体" w:eastAsia="宋体"/>
                <w:color w:val="000000"/>
              </w:rPr>
            </w:pPr>
            <w:r>
              <w:rPr>
                <w:rFonts w:ascii="宋体" w:hAnsi="宋体" w:eastAsia="宋体"/>
                <w:color w:val="000000"/>
              </w:rPr>
              <w:t>表面：采用柏腊木皮贴面，厚度≥0.6mm：甲醛释放量≤0.11mg/L</w:t>
            </w:r>
          </w:p>
          <w:p>
            <w:pPr>
              <w:autoSpaceDE w:val="0"/>
              <w:autoSpaceDN w:val="0"/>
              <w:spacing w:line="360" w:lineRule="auto"/>
              <w:jc w:val="left"/>
              <w:rPr>
                <w:rFonts w:ascii="宋体" w:hAnsi="宋体" w:eastAsia="宋体"/>
                <w:color w:val="000000"/>
              </w:rPr>
            </w:pPr>
            <w:r>
              <w:rPr>
                <w:rFonts w:ascii="宋体" w:hAnsi="宋体" w:eastAsia="宋体"/>
                <w:color w:val="000000"/>
              </w:rPr>
              <w:t>底漆：采用水性高透明底漆，符合企业技术规范干燥时间表干30min 已干实干6h 已干。</w:t>
            </w:r>
          </w:p>
          <w:p>
            <w:pPr>
              <w:autoSpaceDE w:val="0"/>
              <w:autoSpaceDN w:val="0"/>
              <w:spacing w:line="360" w:lineRule="auto"/>
              <w:jc w:val="left"/>
              <w:rPr>
                <w:rFonts w:ascii="宋体" w:hAnsi="宋体" w:eastAsia="宋体"/>
                <w:color w:val="000000"/>
              </w:rPr>
            </w:pPr>
            <w:r>
              <w:rPr>
                <w:rFonts w:ascii="宋体" w:hAnsi="宋体" w:eastAsia="宋体"/>
                <w:color w:val="000000"/>
              </w:rPr>
              <w:t>面漆：采用水性UV X分哑清面漆，符合企业技术规范细度≤7UM 耐磨性≤0.007g</w:t>
            </w:r>
          </w:p>
          <w:p>
            <w:pPr>
              <w:autoSpaceDE w:val="0"/>
              <w:autoSpaceDN w:val="0"/>
              <w:spacing w:line="360" w:lineRule="auto"/>
              <w:jc w:val="left"/>
              <w:rPr>
                <w:rFonts w:ascii="宋体" w:hAnsi="宋体" w:eastAsia="宋体"/>
                <w:color w:val="000000"/>
              </w:rPr>
            </w:pPr>
            <w:r>
              <w:rPr>
                <w:rFonts w:ascii="宋体" w:hAnsi="宋体" w:eastAsia="宋体"/>
                <w:color w:val="000000"/>
              </w:rPr>
              <w:t>质量工艺要求：台面平整，颜色均匀，木材拼接紧密，线条均匀，转角过渡自然，间隙细小且均匀等，误差不超过5mm；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36</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会议椅</w:t>
            </w:r>
          </w:p>
        </w:tc>
        <w:tc>
          <w:tcPr>
            <w:tcW w:w="2316"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椅高：985    椅宽：645    座高：455    背高：590    背宽：445</w:t>
            </w: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一、靠背/座板：网布具有较强的延伸性和弹性，透气性好，手感好，结实，座内架用木板厚度为16mm左右，含水量≤12°，座内衬高密度高弹性聚氨酯定型海绵，密度大于或等于75KG/M3.泡绵回弹性可达95%，座面采用耐磨面料，座感舒软，久座舒适，外观线条轮角分明。二、椅背带可调节护腰装置三，独立式T字型扶手：，扶手架由PA材质注塑组装而成，扶手面由PU材料注塑而成，舒适支撑手臂。</w:t>
            </w:r>
          </w:p>
          <w:p>
            <w:pPr>
              <w:autoSpaceDE w:val="0"/>
              <w:autoSpaceDN w:val="0"/>
              <w:spacing w:line="360" w:lineRule="auto"/>
              <w:jc w:val="left"/>
              <w:rPr>
                <w:rFonts w:ascii="宋体" w:hAnsi="宋体" w:eastAsia="宋体"/>
                <w:color w:val="000000"/>
              </w:rPr>
            </w:pPr>
            <w:r>
              <w:rPr>
                <w:rFonts w:ascii="宋体" w:hAnsi="宋体" w:eastAsia="宋体"/>
                <w:color w:val="000000"/>
              </w:rPr>
              <w:t>三:底座采用可旋转转盘归位设计，可旋转左右各90度，卸力后自动回位。</w:t>
            </w:r>
          </w:p>
          <w:p>
            <w:pPr>
              <w:autoSpaceDE w:val="0"/>
              <w:autoSpaceDN w:val="0"/>
              <w:spacing w:line="360" w:lineRule="auto"/>
              <w:jc w:val="left"/>
              <w:rPr>
                <w:rFonts w:ascii="宋体" w:hAnsi="宋体" w:eastAsia="宋体"/>
                <w:color w:val="000000"/>
              </w:rPr>
            </w:pPr>
            <w:r>
              <w:rPr>
                <w:rFonts w:ascii="宋体" w:hAnsi="宋体" w:eastAsia="宋体"/>
                <w:color w:val="000000"/>
              </w:rPr>
              <w:t>四：脚架采用直径φ32*2.0，厚2.5加套管经CNC一将次弯制而成,外表精抛镀镍铬合金。</w:t>
            </w:r>
          </w:p>
          <w:p>
            <w:pPr>
              <w:autoSpaceDE w:val="0"/>
              <w:autoSpaceDN w:val="0"/>
              <w:spacing w:line="360" w:lineRule="auto"/>
              <w:jc w:val="left"/>
              <w:rPr>
                <w:rFonts w:ascii="宋体" w:hAnsi="宋体" w:eastAsia="宋体"/>
                <w:color w:val="000000"/>
              </w:rPr>
            </w:pPr>
            <w:r>
              <w:rPr>
                <w:rFonts w:ascii="宋体" w:hAnsi="宋体" w:eastAsia="宋体"/>
                <w:color w:val="000000"/>
              </w:rPr>
              <w:t>五：钢脚脚垫采用软尼龙料，耐磨性强，韧性好，防滑防刮地板。</w:t>
            </w:r>
          </w:p>
          <w:p>
            <w:pPr>
              <w:autoSpaceDE w:val="0"/>
              <w:autoSpaceDN w:val="0"/>
              <w:spacing w:line="360" w:lineRule="auto"/>
              <w:jc w:val="left"/>
              <w:rPr>
                <w:rFonts w:ascii="宋体" w:hAnsi="宋体" w:eastAsia="宋体"/>
                <w:color w:val="000000"/>
              </w:rPr>
            </w:pPr>
            <w:r>
              <w:rPr>
                <w:rFonts w:ascii="宋体" w:hAnsi="宋体" w:eastAsia="宋体"/>
                <w:color w:val="000000"/>
              </w:rPr>
              <w:t>六：材质符合国家环保标准要求，椅子通过BIFMA X5.1破坏性测试。整椅结构件质保十年。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37</w:t>
            </w:r>
          </w:p>
        </w:tc>
        <w:tc>
          <w:tcPr>
            <w:tcW w:w="1028" w:type="dxa"/>
            <w:shd w:val="clear" w:color="000000" w:fill="auto"/>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礼堂椅</w:t>
            </w:r>
          </w:p>
        </w:tc>
        <w:tc>
          <w:tcPr>
            <w:tcW w:w="2316" w:type="dxa"/>
            <w:shd w:val="clear" w:color="000000" w:fill="auto"/>
            <w:vAlign w:val="center"/>
          </w:tcPr>
          <w:p>
            <w:pPr>
              <w:autoSpaceDE w:val="0"/>
              <w:autoSpaceDN w:val="0"/>
              <w:spacing w:line="360" w:lineRule="auto"/>
              <w:rPr>
                <w:rFonts w:ascii="Times New Roman" w:hAnsi="宋体" w:eastAsia="宋体"/>
              </w:rPr>
            </w:pPr>
            <w:r>
              <w:rPr>
                <w:rFonts w:ascii="Times New Roman" w:hAnsi="宋体" w:eastAsia="宋体"/>
              </w:rPr>
              <w:t>中心距：570； 座内宽：505；座深：460；座高：450；扶手高：640；</w:t>
            </w:r>
          </w:p>
          <w:p>
            <w:pPr>
              <w:autoSpaceDE w:val="0"/>
              <w:autoSpaceDN w:val="0"/>
              <w:spacing w:line="360" w:lineRule="auto"/>
              <w:rPr>
                <w:rFonts w:ascii="宋体" w:hAnsi="宋体" w:eastAsia="宋体"/>
                <w:color w:val="000000"/>
              </w:rPr>
            </w:pPr>
            <w:r>
              <w:rPr>
                <w:rFonts w:ascii="Times New Roman" w:hAnsi="宋体" w:eastAsia="宋体"/>
              </w:rPr>
              <w:t>扶手宽：60；全高：1020；全深（展开写字板）：820；全深（展开写字板中途）：930；整体深度：720（座包打开），误差：±5-10</w:t>
            </w:r>
          </w:p>
        </w:tc>
        <w:tc>
          <w:tcPr>
            <w:tcW w:w="10221" w:type="dxa"/>
            <w:shd w:val="clear" w:color="000000" w:fill="auto"/>
            <w:vAlign w:val="center"/>
          </w:tcPr>
          <w:p>
            <w:pPr>
              <w:autoSpaceDE w:val="0"/>
              <w:autoSpaceDN w:val="0"/>
              <w:spacing w:line="360" w:lineRule="auto"/>
              <w:jc w:val="left"/>
              <w:rPr>
                <w:rFonts w:ascii="Times New Roman" w:hAnsi="宋体" w:eastAsia="宋体"/>
              </w:rPr>
            </w:pPr>
            <w:r>
              <w:rPr>
                <w:rFonts w:ascii="宋体" w:hAnsi="宋体" w:eastAsia="宋体"/>
                <w:color w:val="000000"/>
              </w:rPr>
              <w:t>1、</w:t>
            </w:r>
            <w:r>
              <w:rPr>
                <w:rFonts w:ascii="Times New Roman" w:hAnsi="宋体" w:eastAsia="宋体"/>
                <w:b/>
                <w:color w:val="000000" w:themeColor="text1"/>
                <w14:textFill>
                  <w14:solidFill>
                    <w14:schemeClr w14:val="tx1"/>
                  </w14:solidFill>
                </w14:textFill>
              </w:rPr>
              <w:t>背海绵：</w:t>
            </w:r>
            <w:r>
              <w:rPr>
                <w:rFonts w:ascii="Times New Roman" w:hAnsi="宋体" w:eastAsia="宋体"/>
              </w:rPr>
              <w:t>采用高密度冷发泡定型绵，舒适耐用，密度高达45 -60 kg/m</w:t>
            </w:r>
            <w:r>
              <w:rPr>
                <w:rFonts w:ascii="Times New Roman" w:hAnsi="宋体" w:eastAsia="宋体"/>
                <w:vertAlign w:val="superscript"/>
              </w:rPr>
              <w:t xml:space="preserve">3   </w:t>
            </w:r>
            <w:r>
              <w:rPr>
                <w:rFonts w:ascii="Times New Roman" w:hAnsi="宋体" w:eastAsia="宋体"/>
                <w:b/>
              </w:rPr>
              <w:t>背内板：</w:t>
            </w:r>
            <w:r>
              <w:rPr>
                <w:rFonts w:ascii="Times New Roman" w:hAnsi="宋体" w:eastAsia="宋体"/>
              </w:rPr>
              <w:t>采用优质多层板经模具成型，具有曲线，符合人体学原理。</w:t>
            </w:r>
            <w:r>
              <w:rPr>
                <w:rFonts w:ascii="Times New Roman" w:hAnsi="宋体" w:eastAsia="宋体"/>
                <w:b/>
              </w:rPr>
              <w:t>背外板：</w:t>
            </w:r>
            <w:r>
              <w:rPr>
                <w:rFonts w:ascii="Times New Roman" w:hAnsi="宋体" w:eastAsia="宋体"/>
              </w:rPr>
              <w:t>采用多层硬木成型板，常规厚度15mm，表面压木皮，经高周波，高压制成，承托力强，抗变形。油漆颜色可选择；</w:t>
            </w:r>
            <w:r>
              <w:rPr>
                <w:rFonts w:ascii="Times New Roman" w:hAnsi="宋体" w:eastAsia="宋体"/>
                <w:b/>
              </w:rPr>
              <w:t>座海绵：</w:t>
            </w:r>
            <w:r>
              <w:rPr>
                <w:rFonts w:ascii="Times New Roman" w:hAnsi="宋体" w:eastAsia="宋体"/>
              </w:rPr>
              <w:t>采用高密度冷发泡定型绵，舒适耐用，密度高达50-60 kg/m</w:t>
            </w:r>
            <w:r>
              <w:rPr>
                <w:rFonts w:ascii="Times New Roman" w:hAnsi="宋体" w:eastAsia="宋体"/>
                <w:vertAlign w:val="superscript"/>
              </w:rPr>
              <w:t>3</w:t>
            </w:r>
            <w:r>
              <w:rPr>
                <w:rFonts w:ascii="Times New Roman" w:hAnsi="宋体" w:eastAsia="宋体"/>
                <w:b/>
              </w:rPr>
              <w:t>座框架：</w:t>
            </w:r>
            <w:r>
              <w:rPr>
                <w:rFonts w:ascii="Times New Roman" w:hAnsi="宋体" w:eastAsia="宋体"/>
              </w:rPr>
              <w:t>采用（1.5mm厚）优质冷轧钢板，经模具冲压焊接组合成型，铁框+夹板结构，摒弃了市场上依然大范围使用的木框+夹板结构，承托力更强，不易变形断裂，更坚固耐用。</w:t>
            </w:r>
            <w:r>
              <w:rPr>
                <w:rFonts w:ascii="Times New Roman" w:hAnsi="宋体" w:eastAsia="宋体"/>
                <w:b/>
              </w:rPr>
              <w:t>座外板：</w:t>
            </w:r>
            <w:r>
              <w:rPr>
                <w:rFonts w:ascii="Times New Roman" w:hAnsi="宋体" w:eastAsia="宋体"/>
              </w:rPr>
              <w:t>采用多层硬木成型板，常规厚度15mm，表面压木皮，经高周波，高压制成，承托力强，抗变形。附独特蜂窝式吸音气孔，整体吸音率0.5，全场能在0.1秒内消除回音，保证座椅的良好透气性能和整个会场采用优质耐磨麻绒面料，软硬适中，手感舒适，长时间使用无断裂、不起球、不褪色。可根据客户要求进行3M(防潮、防尘、防污)处理，可做阻燃处理。有多种颜色可供选择。无噪音。油漆颜色可选择。采用优质铝合金材质，经模具压铸成型，表面喷专用金属漆并经高温烤锔。铝合金脚框造型新颖特别。宽60mm，上长360mm、下长425，高595mm。</w:t>
            </w:r>
          </w:p>
          <w:p>
            <w:pPr>
              <w:autoSpaceDE w:val="0"/>
              <w:autoSpaceDN w:val="0"/>
              <w:spacing w:line="360" w:lineRule="auto"/>
              <w:jc w:val="left"/>
              <w:rPr>
                <w:rFonts w:ascii="宋体" w:hAnsi="宋体" w:eastAsia="宋体"/>
                <w:color w:val="000000"/>
              </w:rPr>
            </w:pPr>
            <w:r>
              <w:rPr>
                <w:rFonts w:ascii="宋体" w:hAnsi="宋体" w:eastAsia="宋体"/>
              </w:rPr>
              <w:t>★</w:t>
            </w:r>
            <w:r>
              <w:rPr>
                <w:rFonts w:ascii="Times New Roman" w:hAnsi="宋体" w:eastAsia="宋体"/>
              </w:rPr>
              <w:t>脚架固定孔距160mm，藏于脚架内部，安装之后看不到固定螺丝，</w:t>
            </w:r>
            <w:r>
              <w:rPr>
                <w:rFonts w:ascii="宋体" w:hAnsi="宋体" w:eastAsia="宋体"/>
                <w:color w:val="000000" w:themeColor="text1"/>
                <w14:textFill>
                  <w14:solidFill>
                    <w14:schemeClr w14:val="tx1"/>
                  </w14:solidFill>
                </w14:textFill>
              </w:rPr>
              <w:t>★</w:t>
            </w:r>
            <w:r>
              <w:rPr>
                <w:rFonts w:ascii="Times New Roman" w:hAnsi="宋体" w:eastAsia="宋体"/>
              </w:rPr>
              <w:t>左右脚架两边各有30个长方形凹槽，美观大气。采用进口橡木或榉木，经6次油漆工艺精制而成采用黑色PP塑料写字板(长300x宽260x厚12mm)。独特的下插式写字板机构，写字板藏于铝合金扶手脚内部，美观方便。配置高档的铝合金旋转支架，旋转无声。采用优质木板，面覆海绵和麻绒，并采用活动式扣钉，易于拆装采用弹簧加阻尼器自动回复装置，使椅座能缓慢自动复位，回位轻盈，无杂音，零故障。投标时提供样品一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38</w:t>
            </w:r>
          </w:p>
        </w:tc>
        <w:tc>
          <w:tcPr>
            <w:tcW w:w="1028" w:type="dxa"/>
            <w:vAlign w:val="center"/>
          </w:tcPr>
          <w:p>
            <w:pPr>
              <w:autoSpaceDE w:val="0"/>
              <w:autoSpaceDN w:val="0"/>
              <w:spacing w:line="360" w:lineRule="auto"/>
              <w:jc w:val="left"/>
              <w:rPr>
                <w:rFonts w:ascii="宋体" w:hAnsi="宋体" w:eastAsia="宋体"/>
                <w:color w:val="000000"/>
              </w:rPr>
            </w:pPr>
            <w:r>
              <w:rPr>
                <w:rFonts w:ascii="宋体" w:hAnsi="Times New Roman"/>
              </w:rPr>
              <w:t>合班课桌椅</w:t>
            </w:r>
          </w:p>
        </w:tc>
        <w:tc>
          <w:tcPr>
            <w:tcW w:w="2316" w:type="dxa"/>
            <w:vAlign w:val="center"/>
          </w:tcPr>
          <w:p>
            <w:pPr>
              <w:autoSpaceDE w:val="0"/>
              <w:autoSpaceDN w:val="0"/>
              <w:spacing w:line="360" w:lineRule="auto"/>
              <w:jc w:val="center"/>
              <w:rPr>
                <w:rFonts w:ascii="宋体" w:hAnsi="宋体" w:eastAsia="宋体"/>
                <w:color w:val="000000"/>
              </w:rPr>
            </w:pPr>
            <w:r>
              <w:rPr>
                <w:rFonts w:ascii="Arial" w:hAnsi="Arial" w:eastAsia="Arial"/>
              </w:rPr>
              <w:t>中心距：520mm、座高：435mm、台面板：750mm。</w:t>
            </w:r>
          </w:p>
        </w:tc>
        <w:tc>
          <w:tcPr>
            <w:tcW w:w="10221" w:type="dxa"/>
            <w:vAlign w:val="center"/>
          </w:tcPr>
          <w:p>
            <w:pPr>
              <w:autoSpaceDE w:val="0"/>
              <w:autoSpaceDN w:val="0"/>
              <w:spacing w:line="360" w:lineRule="auto"/>
              <w:jc w:val="left"/>
              <w:rPr>
                <w:rFonts w:ascii="Arial" w:hAnsi="Arial" w:eastAsia="Arial"/>
              </w:rPr>
            </w:pPr>
            <w:r>
              <w:rPr>
                <w:rFonts w:ascii="Arial" w:hAnsi="Arial" w:eastAsia="Arial"/>
                <w:color w:val="000000" w:themeColor="text1"/>
                <w:sz w:val="18"/>
                <w:szCs w:val="18"/>
                <w14:textFill>
                  <w14:solidFill>
                    <w14:schemeClr w14:val="tx1"/>
                  </w14:solidFill>
                </w14:textFill>
              </w:rPr>
              <w:t>★</w:t>
            </w:r>
            <w:r>
              <w:rPr>
                <w:rFonts w:ascii="Arial" w:hAnsi="Arial" w:eastAsia="Arial"/>
              </w:rPr>
              <w:t>1.椅脚：采用铝合金一体压铸成型，带扶手，</w:t>
            </w:r>
            <w:r>
              <w:rPr>
                <w:rFonts w:ascii="宋体" w:hAnsi="宋体" w:eastAsia="宋体"/>
              </w:rPr>
              <w:t>站脚宽度50mm，</w:t>
            </w:r>
            <w:r>
              <w:rPr>
                <w:rFonts w:ascii="Arial" w:hAnsi="Arial" w:eastAsia="Arial"/>
              </w:rPr>
              <w:t>椅脚高度970mm，可适应于220mm以下的阶梯安装。</w:t>
            </w:r>
            <w:r>
              <w:rPr>
                <w:rFonts w:ascii="宋体" w:hAnsi="宋体" w:eastAsia="宋体"/>
              </w:rPr>
              <w:t>站脚</w:t>
            </w:r>
            <w:r>
              <w:rPr>
                <w:rFonts w:ascii="Arial" w:hAnsi="Arial" w:eastAsia="Arial"/>
              </w:rPr>
              <w:t>最薄处裸壁厚不小于4mm，</w:t>
            </w:r>
            <w:r>
              <w:rPr>
                <w:rFonts w:ascii="宋体" w:hAnsi="宋体" w:eastAsia="宋体"/>
              </w:rPr>
              <w:t>站脚表面作防氧化处理后高温</w:t>
            </w:r>
            <w:r>
              <w:rPr>
                <w:rFonts w:ascii="Arial" w:hAnsi="Arial" w:eastAsia="Arial"/>
              </w:rPr>
              <w:t>喷涂处理，重量不小于3.3kg/个。椅脚表面</w:t>
            </w:r>
            <w:r>
              <w:rPr>
                <w:rFonts w:ascii="宋体" w:hAnsi="宋体" w:eastAsia="宋体"/>
              </w:rPr>
              <w:t>作防氧化精抛处理后，</w:t>
            </w:r>
            <w:r>
              <w:rPr>
                <w:rFonts w:ascii="Arial" w:hAnsi="Arial" w:eastAsia="Arial"/>
              </w:rPr>
              <w:t>经</w:t>
            </w:r>
            <w:r>
              <w:rPr>
                <w:rFonts w:ascii="宋体" w:hAnsi="宋体" w:eastAsia="宋体"/>
              </w:rPr>
              <w:t>高温</w:t>
            </w:r>
            <w:r>
              <w:rPr>
                <w:rFonts w:ascii="Arial" w:hAnsi="Arial" w:eastAsia="Arial"/>
              </w:rPr>
              <w:t>喷涂处理。</w:t>
            </w:r>
            <w:r>
              <w:rPr>
                <w:rFonts w:ascii="宋体" w:hAnsi="宋体" w:eastAsia="宋体"/>
              </w:rPr>
              <w:t>全包围式地脚钉孔，</w:t>
            </w:r>
            <w:r>
              <w:rPr>
                <w:rFonts w:ascii="Arial" w:hAnsi="Arial" w:eastAsia="Arial"/>
              </w:rPr>
              <w:t>内藏式地脚螺丝，前后2个站脚安装孔与扶手在同一直线，</w:t>
            </w:r>
            <w:r>
              <w:rPr>
                <w:rFonts w:ascii="宋体" w:hAnsi="宋体" w:eastAsia="宋体"/>
              </w:rPr>
              <w:t>脚板长度不小于</w:t>
            </w:r>
            <w:r>
              <w:rPr>
                <w:rFonts w:ascii="Arial" w:hAnsi="Arial" w:eastAsia="Arial"/>
              </w:rPr>
              <w:t>395mm</w:t>
            </w:r>
            <w:r>
              <w:rPr>
                <w:rFonts w:ascii="宋体" w:hAnsi="宋体" w:eastAsia="宋体"/>
              </w:rPr>
              <w:t>，脚板厚度不低于</w:t>
            </w:r>
            <w:r>
              <w:rPr>
                <w:rFonts w:ascii="Arial" w:hAnsi="Arial" w:eastAsia="Arial"/>
              </w:rPr>
              <w:t>25mm</w:t>
            </w:r>
            <w:r>
              <w:rPr>
                <w:rFonts w:ascii="宋体" w:hAnsi="宋体" w:eastAsia="宋体"/>
              </w:rPr>
              <w:t>,</w:t>
            </w:r>
            <w:r>
              <w:rPr>
                <w:rFonts w:ascii="Arial" w:hAnsi="Arial" w:eastAsia="Arial"/>
              </w:rPr>
              <w:t>孔距不小于350mm，M8电镀防锈螺丝，外覆优质PP螺丝盖。椅脚后背到座垫回复中心距离不小于260mm,确保座椅的舒适度。</w:t>
            </w:r>
          </w:p>
          <w:p>
            <w:pPr>
              <w:autoSpaceDE w:val="0"/>
              <w:autoSpaceDN w:val="0"/>
              <w:spacing w:line="360" w:lineRule="auto"/>
              <w:jc w:val="left"/>
              <w:rPr>
                <w:rFonts w:ascii="Arial" w:hAnsi="Arial" w:eastAsia="Arial"/>
              </w:rPr>
            </w:pPr>
            <w:r>
              <w:rPr>
                <w:rFonts w:ascii="Arial" w:hAnsi="Arial" w:eastAsia="Arial"/>
              </w:rPr>
              <w:t>2.椅背：采用侧边2mm包边1.5mm厚度钢制框架，面板用10mm多层旋切木皮面压防火板，背板造型根据人体曲线设计顶腰处采用弧型设计，托背位置采用斜线设计，以确保人体坐姿的舒适度和贴合度。</w:t>
            </w:r>
          </w:p>
          <w:p>
            <w:pPr>
              <w:autoSpaceDE w:val="0"/>
              <w:autoSpaceDN w:val="0"/>
              <w:spacing w:line="360" w:lineRule="auto"/>
              <w:jc w:val="left"/>
              <w:rPr>
                <w:rFonts w:ascii="Arial" w:hAnsi="Arial" w:eastAsia="Arial"/>
              </w:rPr>
            </w:pPr>
            <w:r>
              <w:rPr>
                <w:rFonts w:ascii="Arial" w:hAnsi="Arial" w:eastAsia="Arial"/>
              </w:rPr>
              <w:t>3.椅座：采用15mm多层旋切木皮经模具热压成型并面压防火板，</w:t>
            </w:r>
            <w:r>
              <w:rPr>
                <w:rFonts w:ascii="宋体" w:hAnsi="宋体" w:eastAsia="宋体"/>
              </w:rPr>
              <w:t>采用环保油漆和环保胶粘接；</w:t>
            </w:r>
            <w:r>
              <w:rPr>
                <w:rFonts w:ascii="Arial" w:hAnsi="Arial" w:eastAsia="Arial"/>
              </w:rPr>
              <w:t>座板与角码采用穿透方式连接。</w:t>
            </w:r>
          </w:p>
          <w:p>
            <w:pPr>
              <w:autoSpaceDE w:val="0"/>
              <w:autoSpaceDN w:val="0"/>
              <w:spacing w:line="360" w:lineRule="auto"/>
              <w:jc w:val="left"/>
              <w:rPr>
                <w:rFonts w:ascii="Arial" w:hAnsi="Arial" w:eastAsia="Arial"/>
              </w:rPr>
            </w:pPr>
            <w:r>
              <w:rPr>
                <w:rFonts w:ascii="Arial" w:hAnsi="Arial" w:eastAsia="Arial"/>
              </w:rPr>
              <w:t>4. 活动桌面（写字板）：采用3mm厚度的铁制铰链式活动写字板机构，铰链机构翻转自如。面板采用榉木色</w:t>
            </w:r>
            <w:r>
              <w:rPr>
                <w:rFonts w:ascii="宋体" w:hAnsi="宋体" w:eastAsia="宋体"/>
              </w:rPr>
              <w:t>高密度中纤</w:t>
            </w:r>
            <w:r>
              <w:rPr>
                <w:rFonts w:ascii="Arial" w:hAnsi="Arial" w:eastAsia="Arial"/>
              </w:rPr>
              <w:t>板面压防火板，</w:t>
            </w:r>
            <w:r>
              <w:rPr>
                <w:rFonts w:ascii="宋体" w:hAnsi="宋体" w:eastAsia="宋体"/>
              </w:rPr>
              <w:t>正面半圆工艺封边处理，</w:t>
            </w:r>
            <w:r>
              <w:rPr>
                <w:rFonts w:ascii="Arial" w:hAnsi="Arial" w:eastAsia="Arial"/>
              </w:rPr>
              <w:t>宽度300mm，厚度16mm，两侧用铝合金一体压铸件封边处理，外形美观，牢固，无渣粒。</w:t>
            </w:r>
          </w:p>
          <w:p>
            <w:pPr>
              <w:autoSpaceDE w:val="0"/>
              <w:autoSpaceDN w:val="0"/>
              <w:spacing w:line="360" w:lineRule="auto"/>
              <w:jc w:val="left"/>
              <w:rPr>
                <w:rFonts w:ascii="Arial" w:hAnsi="Arial" w:eastAsia="Arial"/>
              </w:rPr>
            </w:pPr>
            <w:r>
              <w:rPr>
                <w:rFonts w:ascii="Arial" w:hAnsi="Arial" w:eastAsia="Arial"/>
              </w:rPr>
              <w:t>5.书网架：</w:t>
            </w:r>
            <w:r>
              <w:rPr>
                <w:rFonts w:ascii="宋体" w:hAnsi="宋体" w:eastAsia="宋体"/>
              </w:rPr>
              <w:t>与桌面板平行，</w:t>
            </w:r>
            <w:r>
              <w:rPr>
                <w:rFonts w:ascii="Arial" w:hAnsi="Arial" w:eastAsia="Arial"/>
              </w:rPr>
              <w:t>采用优质冷拉钢，</w:t>
            </w:r>
            <w:r>
              <w:rPr>
                <w:rFonts w:ascii="宋体" w:hAnsi="宋体" w:eastAsia="宋体"/>
              </w:rPr>
              <w:t>表面经喷涂处理</w:t>
            </w:r>
            <w:r>
              <w:rPr>
                <w:rFonts w:ascii="Arial" w:hAnsi="Arial" w:eastAsia="Arial"/>
              </w:rPr>
              <w:t>。</w:t>
            </w:r>
          </w:p>
          <w:p>
            <w:pPr>
              <w:autoSpaceDE w:val="0"/>
              <w:autoSpaceDN w:val="0"/>
              <w:spacing w:line="360" w:lineRule="auto"/>
              <w:jc w:val="left"/>
              <w:rPr>
                <w:rFonts w:ascii="宋体" w:hAnsi="宋体" w:eastAsia="宋体"/>
                <w:color w:val="000000"/>
              </w:rPr>
            </w:pPr>
            <w:r>
              <w:rPr>
                <w:rFonts w:ascii="Arial" w:hAnsi="Arial" w:eastAsia="Arial"/>
              </w:rPr>
              <w:t>6.回复机构：采用铝合金承重式重力回复机构，铝合金和受力精密车件一体压铸成型，确保外型美观，精细，内有超静音处理，回复效果好，且永不失效。投标时提供样品一套。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39</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窗帘布</w:t>
            </w:r>
          </w:p>
        </w:tc>
        <w:tc>
          <w:tcPr>
            <w:tcW w:w="2316" w:type="dxa"/>
            <w:vAlign w:val="center"/>
          </w:tcPr>
          <w:p>
            <w:pPr>
              <w:autoSpaceDE w:val="0"/>
              <w:autoSpaceDN w:val="0"/>
              <w:spacing w:line="360" w:lineRule="auto"/>
              <w:jc w:val="center"/>
              <w:rPr>
                <w:rFonts w:ascii="宋体" w:hAnsi="宋体" w:eastAsia="宋体"/>
                <w:color w:val="000000"/>
              </w:rPr>
            </w:pP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采用斜纹阻燃布料，经三防处理、抗静电、不起球，阻燃达到国家B1级标准。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40</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窗帘纱</w:t>
            </w:r>
          </w:p>
        </w:tc>
        <w:tc>
          <w:tcPr>
            <w:tcW w:w="2316" w:type="dxa"/>
            <w:vAlign w:val="center"/>
          </w:tcPr>
          <w:p>
            <w:pPr>
              <w:autoSpaceDE w:val="0"/>
              <w:autoSpaceDN w:val="0"/>
              <w:spacing w:line="360" w:lineRule="auto"/>
              <w:jc w:val="center"/>
              <w:rPr>
                <w:rFonts w:ascii="宋体" w:hAnsi="宋体" w:eastAsia="宋体"/>
                <w:color w:val="000000"/>
              </w:rPr>
            </w:pPr>
          </w:p>
        </w:tc>
        <w:tc>
          <w:tcPr>
            <w:tcW w:w="10221" w:type="dxa"/>
            <w:vAlign w:val="center"/>
          </w:tcPr>
          <w:p>
            <w:pPr>
              <w:autoSpaceDE w:val="0"/>
              <w:autoSpaceDN w:val="0"/>
              <w:spacing w:line="360" w:lineRule="auto"/>
              <w:jc w:val="left"/>
              <w:rPr>
                <w:rFonts w:ascii="宋体" w:hAnsi="宋体" w:eastAsia="宋体"/>
                <w:color w:val="000000"/>
              </w:rPr>
            </w:pPr>
            <w:r>
              <w:rPr>
                <w:rFonts w:ascii="宋体" w:hAnsi="宋体" w:eastAsia="宋体"/>
                <w:color w:val="000000"/>
              </w:rPr>
              <w:t>采用涤纶丝，经三防处理、抗静电、不起球，阻燃达到国家标准。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09"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41</w:t>
            </w:r>
          </w:p>
        </w:tc>
        <w:tc>
          <w:tcPr>
            <w:tcW w:w="1028" w:type="dxa"/>
            <w:vAlign w:val="center"/>
          </w:tcPr>
          <w:p>
            <w:pPr>
              <w:autoSpaceDE w:val="0"/>
              <w:autoSpaceDN w:val="0"/>
              <w:spacing w:line="360" w:lineRule="auto"/>
              <w:jc w:val="center"/>
              <w:rPr>
                <w:rFonts w:ascii="宋体" w:hAnsi="宋体" w:eastAsia="宋体"/>
                <w:color w:val="000000"/>
              </w:rPr>
            </w:pPr>
            <w:r>
              <w:rPr>
                <w:rFonts w:ascii="宋体" w:hAnsi="宋体" w:eastAsia="宋体"/>
                <w:color w:val="000000"/>
              </w:rPr>
              <w:t>轨道</w:t>
            </w:r>
          </w:p>
        </w:tc>
        <w:tc>
          <w:tcPr>
            <w:tcW w:w="2316" w:type="dxa"/>
            <w:vAlign w:val="center"/>
          </w:tcPr>
          <w:p>
            <w:pPr>
              <w:autoSpaceDE w:val="0"/>
              <w:autoSpaceDN w:val="0"/>
              <w:spacing w:line="360" w:lineRule="auto"/>
              <w:jc w:val="center"/>
              <w:rPr>
                <w:rFonts w:ascii="宋体" w:hAnsi="宋体" w:eastAsia="宋体"/>
                <w:color w:val="000000"/>
              </w:rPr>
            </w:pPr>
          </w:p>
        </w:tc>
        <w:tc>
          <w:tcPr>
            <w:tcW w:w="10221" w:type="dxa"/>
            <w:vAlign w:val="center"/>
          </w:tcPr>
          <w:p>
            <w:pPr>
              <w:autoSpaceDE w:val="0"/>
              <w:autoSpaceDN w:val="0"/>
              <w:spacing w:line="360" w:lineRule="auto"/>
              <w:jc w:val="left"/>
              <w:rPr>
                <w:rFonts w:ascii="宋体" w:hAnsi="黑体" w:eastAsia="黑体"/>
                <w:color w:val="000000"/>
              </w:rPr>
            </w:pPr>
            <w:r>
              <w:rPr>
                <w:rFonts w:ascii="宋体" w:hAnsi="宋体" w:eastAsia="宋体"/>
                <w:color w:val="000000"/>
              </w:rPr>
              <w:t>铝合金及配件</w:t>
            </w:r>
          </w:p>
        </w:tc>
      </w:tr>
    </w:tbl>
    <w:p>
      <w:pPr>
        <w:pStyle w:val="2"/>
        <w:rPr>
          <w:rFonts w:hint="eastAsia"/>
        </w:rPr>
      </w:pPr>
    </w:p>
    <w:p>
      <w:pPr>
        <w:pStyle w:val="2"/>
        <w:rPr>
          <w:rFonts w:hint="eastAsia" w:ascii="宋体" w:hAnsi="宋体"/>
          <w:b/>
          <w:bCs/>
          <w:sz w:val="24"/>
          <w:szCs w:val="24"/>
          <w:lang w:val="en-US" w:eastAsia="zh-CN"/>
        </w:rPr>
      </w:pPr>
      <w:r>
        <w:rPr>
          <w:rFonts w:hint="eastAsia" w:ascii="宋体" w:hAnsi="宋体"/>
          <w:b/>
          <w:bCs/>
          <w:sz w:val="24"/>
          <w:szCs w:val="24"/>
          <w:lang w:val="en-US" w:eastAsia="zh-CN"/>
        </w:rPr>
        <w:t>送样要求：</w:t>
      </w:r>
    </w:p>
    <w:p>
      <w:pPr>
        <w:pStyle w:val="16"/>
        <w:numPr>
          <w:ilvl w:val="0"/>
          <w:numId w:val="39"/>
        </w:numPr>
        <w:spacing w:line="400" w:lineRule="exact"/>
        <w:ind w:firstLine="480"/>
        <w:rPr>
          <w:rFonts w:ascii="宋体" w:hAnsi="宋体" w:eastAsia="宋体"/>
          <w:sz w:val="24"/>
          <w:szCs w:val="24"/>
        </w:rPr>
      </w:pPr>
      <w:r>
        <w:rPr>
          <w:rFonts w:hint="eastAsia" w:asciiTheme="minorEastAsia" w:hAnsiTheme="minorEastAsia" w:eastAsiaTheme="minorEastAsia"/>
          <w:sz w:val="24"/>
        </w:rPr>
        <w:t>基本要求：</w:t>
      </w:r>
    </w:p>
    <w:p>
      <w:pPr>
        <w:pStyle w:val="16"/>
        <w:spacing w:line="400" w:lineRule="exact"/>
        <w:ind w:firstLine="480"/>
        <w:rPr>
          <w:rFonts w:ascii="宋体" w:hAnsi="宋体" w:eastAsia="宋体"/>
          <w:sz w:val="24"/>
          <w:szCs w:val="24"/>
        </w:rPr>
      </w:pPr>
      <w:r>
        <w:rPr>
          <w:rFonts w:ascii="宋体" w:hAnsi="宋体" w:eastAsia="宋体"/>
          <w:sz w:val="24"/>
          <w:szCs w:val="24"/>
        </w:rPr>
        <w:t>1.1投标人的样品制作、搬运、安装、拆除等相关费用由投标人承担。投标人须自备样品封样的纸箱和封箱带等所需物品。</w:t>
      </w:r>
    </w:p>
    <w:p>
      <w:pPr>
        <w:pStyle w:val="16"/>
        <w:spacing w:line="400" w:lineRule="exact"/>
        <w:ind w:firstLine="480"/>
        <w:rPr>
          <w:rFonts w:ascii="宋体" w:hAnsi="宋体" w:eastAsia="宋体"/>
          <w:sz w:val="24"/>
          <w:szCs w:val="24"/>
        </w:rPr>
      </w:pPr>
      <w:r>
        <w:rPr>
          <w:rFonts w:ascii="宋体" w:hAnsi="宋体" w:eastAsia="宋体"/>
          <w:sz w:val="24"/>
          <w:szCs w:val="24"/>
        </w:rPr>
        <w:t>1.2样品作为响应文件的组成部分，于响应文件截止时间前送达开标地点，否则不予接收。</w:t>
      </w:r>
    </w:p>
    <w:p>
      <w:pPr>
        <w:pStyle w:val="16"/>
        <w:spacing w:line="400" w:lineRule="exact"/>
        <w:ind w:firstLine="480"/>
        <w:rPr>
          <w:rFonts w:ascii="宋体" w:hAnsi="宋体" w:eastAsia="宋体"/>
          <w:sz w:val="24"/>
          <w:szCs w:val="24"/>
        </w:rPr>
      </w:pPr>
      <w:r>
        <w:rPr>
          <w:rFonts w:ascii="宋体" w:hAnsi="宋体" w:eastAsia="宋体"/>
          <w:sz w:val="24"/>
          <w:szCs w:val="24"/>
        </w:rPr>
        <w:t>1.3送达样品时，必须提供样品清单，注明项目名称、项目编号、样品名称及数量、投标人名称，与样品摆放在一起。</w:t>
      </w:r>
    </w:p>
    <w:p>
      <w:pPr>
        <w:pStyle w:val="16"/>
        <w:spacing w:line="400" w:lineRule="exact"/>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4</w:t>
      </w:r>
      <w:r>
        <w:rPr>
          <w:rFonts w:ascii="宋体" w:hAnsi="宋体" w:eastAsia="宋体"/>
          <w:sz w:val="24"/>
          <w:szCs w:val="24"/>
        </w:rPr>
        <w:t>样品封样结束后，由投标人保存。</w:t>
      </w:r>
    </w:p>
    <w:p>
      <w:pPr>
        <w:pStyle w:val="16"/>
        <w:spacing w:line="400" w:lineRule="exact"/>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5</w:t>
      </w:r>
      <w:r>
        <w:rPr>
          <w:rFonts w:ascii="宋体" w:hAnsi="宋体" w:eastAsia="宋体"/>
          <w:sz w:val="24"/>
          <w:szCs w:val="24"/>
        </w:rPr>
        <w:t>中标结果公告后，中标人的封样样品移交采购人保存，用于验收比对；未中标的投标人在项目质疑投诉期结束后可自行处理封样样品。</w:t>
      </w:r>
    </w:p>
    <w:p>
      <w:pPr>
        <w:pStyle w:val="16"/>
        <w:spacing w:line="400" w:lineRule="exact"/>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6</w:t>
      </w:r>
      <w:r>
        <w:rPr>
          <w:rFonts w:ascii="宋体" w:hAnsi="宋体" w:eastAsia="宋体"/>
          <w:sz w:val="24"/>
          <w:szCs w:val="24"/>
        </w:rPr>
        <w:t>本项目验收完成后，中标人收到采购人工作人员退还通知后，三个工作日内办理退还，移交后可自行处理样品。</w:t>
      </w:r>
    </w:p>
    <w:p>
      <w:pPr>
        <w:pStyle w:val="16"/>
        <w:spacing w:line="400" w:lineRule="exact"/>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7</w:t>
      </w:r>
      <w:r>
        <w:rPr>
          <w:rFonts w:ascii="宋体" w:hAnsi="宋体" w:eastAsia="宋体"/>
          <w:sz w:val="24"/>
          <w:szCs w:val="24"/>
        </w:rPr>
        <w:t>样品移交、退还时，投标人按代理机构或采购人工作人员指定的时间、地点办理退还，因样品逾期未撤离而产生的废品处置费，由投标人承担。</w:t>
      </w:r>
    </w:p>
    <w:p>
      <w:pPr>
        <w:pStyle w:val="16"/>
        <w:spacing w:line="400" w:lineRule="exact"/>
        <w:ind w:firstLine="480"/>
        <w:rPr>
          <w:rFonts w:ascii="宋体" w:hAnsi="宋体" w:eastAsia="宋体"/>
          <w:sz w:val="24"/>
          <w:szCs w:val="24"/>
        </w:rPr>
      </w:pPr>
      <w:r>
        <w:rPr>
          <w:rFonts w:ascii="宋体" w:hAnsi="宋体" w:eastAsia="宋体"/>
          <w:sz w:val="24"/>
          <w:szCs w:val="24"/>
        </w:rPr>
        <w:t>2.特殊要求：</w:t>
      </w:r>
    </w:p>
    <w:p>
      <w:pPr>
        <w:pStyle w:val="16"/>
        <w:spacing w:line="400" w:lineRule="exact"/>
        <w:ind w:firstLine="480"/>
        <w:rPr>
          <w:rFonts w:ascii="宋体" w:hAnsi="宋体" w:eastAsia="宋体"/>
          <w:sz w:val="24"/>
          <w:szCs w:val="24"/>
        </w:rPr>
      </w:pPr>
      <w:r>
        <w:rPr>
          <w:rFonts w:ascii="宋体" w:hAnsi="宋体" w:eastAsia="宋体"/>
          <w:sz w:val="24"/>
          <w:szCs w:val="24"/>
        </w:rPr>
        <w:t>2.1本项目样品评审采用盲样，投标人递交的样品上不得看见可以识别投标人的任何标志或标识或具有暗示性的文字、图案、装饰等，否则样品分不得分。</w:t>
      </w:r>
    </w:p>
    <w:p>
      <w:pPr>
        <w:pStyle w:val="16"/>
        <w:spacing w:line="400" w:lineRule="exact"/>
        <w:ind w:firstLine="480"/>
        <w:rPr>
          <w:rFonts w:ascii="宋体" w:hAnsi="宋体" w:eastAsia="宋体"/>
          <w:sz w:val="24"/>
          <w:szCs w:val="24"/>
        </w:rPr>
      </w:pPr>
      <w:r>
        <w:rPr>
          <w:rFonts w:ascii="宋体" w:hAnsi="宋体" w:eastAsia="宋体"/>
          <w:sz w:val="24"/>
          <w:szCs w:val="24"/>
        </w:rPr>
        <w:t>2.2盲样评审前由现场监督人员进行随机编号后进入评审。</w:t>
      </w:r>
    </w:p>
    <w:p>
      <w:pPr>
        <w:pStyle w:val="16"/>
        <w:spacing w:line="400" w:lineRule="exact"/>
        <w:ind w:firstLine="480"/>
        <w:rPr>
          <w:rFonts w:ascii="宋体" w:hAnsi="宋体" w:eastAsia="宋体"/>
          <w:sz w:val="24"/>
          <w:szCs w:val="24"/>
        </w:rPr>
      </w:pPr>
      <w:r>
        <w:rPr>
          <w:rFonts w:ascii="宋体" w:hAnsi="宋体" w:eastAsia="宋体"/>
          <w:sz w:val="24"/>
          <w:szCs w:val="24"/>
        </w:rPr>
        <w:t>2.3本项目送样清单：见清单附件。</w:t>
      </w:r>
    </w:p>
    <w:p>
      <w:pPr>
        <w:pStyle w:val="1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办理退还，因样品逾期未撤离而产生的废品处置费，由投标人承担。</w:t>
      </w:r>
    </w:p>
    <w:p>
      <w:pPr>
        <w:pStyle w:val="1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2.3本项目送样清单：见清单附件。</w:t>
      </w:r>
    </w:p>
    <w:p>
      <w:pPr>
        <w:pStyle w:val="16"/>
        <w:numPr>
          <w:ilvl w:val="0"/>
          <w:numId w:val="40"/>
        </w:numPr>
        <w:spacing w:line="400" w:lineRule="exact"/>
        <w:ind w:firstLine="480"/>
        <w:rPr>
          <w:rFonts w:hint="eastAsia" w:asciiTheme="minorEastAsia" w:hAnsiTheme="minorEastAsia" w:eastAsiaTheme="minorEastAsia"/>
          <w:sz w:val="24"/>
        </w:rPr>
      </w:pPr>
      <w:r>
        <w:rPr>
          <w:rFonts w:hint="eastAsia" w:asciiTheme="minorEastAsia" w:hAnsiTheme="minorEastAsia" w:eastAsiaTheme="minorEastAsia"/>
          <w:sz w:val="24"/>
        </w:rPr>
        <w:t>送样清单：</w:t>
      </w:r>
    </w:p>
    <w:tbl>
      <w:tblPr>
        <w:tblStyle w:val="46"/>
        <w:tblpPr w:leftFromText="180" w:rightFromText="180" w:vertAnchor="text" w:horzAnchor="margin" w:tblpY="84"/>
        <w:tblW w:w="131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3"/>
        <w:gridCol w:w="2883"/>
        <w:gridCol w:w="2569"/>
        <w:gridCol w:w="2704"/>
        <w:gridCol w:w="3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3" w:type="dxa"/>
            <w:vAlign w:val="center"/>
          </w:tcPr>
          <w:p>
            <w:pPr>
              <w:keepNext/>
              <w:keepLines/>
              <w:autoSpaceDE w:val="0"/>
              <w:autoSpaceDN w:val="0"/>
              <w:jc w:val="center"/>
              <w:outlineLvl w:val="1"/>
              <w:rPr>
                <w:rFonts w:ascii="宋体" w:hAnsi="宋体" w:eastAsia="宋体" w:cs="Times New Roman"/>
                <w:b/>
                <w:color w:val="000000" w:themeColor="text1"/>
                <w:sz w:val="24"/>
                <w:szCs w:val="24"/>
                <w:lang w:val="en-US" w:eastAsia="zh-CN" w:bidi="ar-SA"/>
                <w14:textFill>
                  <w14:solidFill>
                    <w14:schemeClr w14:val="tx1"/>
                  </w14:solidFill>
                </w14:textFill>
              </w:rPr>
            </w:pPr>
            <w:r>
              <w:rPr>
                <w:rFonts w:ascii="宋体" w:hAnsi="宋体" w:eastAsia="宋体" w:cs="Times New Roman"/>
                <w:b/>
                <w:color w:val="000000" w:themeColor="text1"/>
                <w:sz w:val="24"/>
                <w:szCs w:val="24"/>
                <w:lang w:val="en-US" w:eastAsia="zh-CN" w:bidi="ar-SA"/>
                <w14:textFill>
                  <w14:solidFill>
                    <w14:schemeClr w14:val="tx1"/>
                  </w14:solidFill>
                </w14:textFill>
              </w:rPr>
              <w:t>序号</w:t>
            </w:r>
          </w:p>
        </w:tc>
        <w:tc>
          <w:tcPr>
            <w:tcW w:w="2883" w:type="dxa"/>
            <w:vAlign w:val="center"/>
          </w:tcPr>
          <w:p>
            <w:pPr>
              <w:keepNext/>
              <w:keepLines/>
              <w:autoSpaceDE w:val="0"/>
              <w:autoSpaceDN w:val="0"/>
              <w:jc w:val="center"/>
              <w:outlineLvl w:val="1"/>
              <w:rPr>
                <w:rFonts w:ascii="宋体" w:hAnsi="宋体" w:eastAsia="宋体" w:cs="Times New Roman"/>
                <w:b/>
                <w:color w:val="000000" w:themeColor="text1"/>
                <w:sz w:val="24"/>
                <w:szCs w:val="24"/>
                <w:lang w:val="en-US" w:eastAsia="zh-CN" w:bidi="ar-SA"/>
                <w14:textFill>
                  <w14:solidFill>
                    <w14:schemeClr w14:val="tx1"/>
                  </w14:solidFill>
                </w14:textFill>
              </w:rPr>
            </w:pPr>
            <w:r>
              <w:rPr>
                <w:rFonts w:ascii="宋体" w:hAnsi="宋体" w:eastAsia="宋体" w:cs="Times New Roman"/>
                <w:b/>
                <w:color w:val="000000" w:themeColor="text1"/>
                <w:sz w:val="24"/>
                <w:szCs w:val="24"/>
                <w:lang w:val="en-US" w:eastAsia="zh-CN" w:bidi="ar-SA"/>
                <w14:textFill>
                  <w14:solidFill>
                    <w14:schemeClr w14:val="tx1"/>
                  </w14:solidFill>
                </w14:textFill>
              </w:rPr>
              <w:t>样品名称</w:t>
            </w:r>
          </w:p>
        </w:tc>
        <w:tc>
          <w:tcPr>
            <w:tcW w:w="2569" w:type="dxa"/>
            <w:vAlign w:val="center"/>
          </w:tcPr>
          <w:p>
            <w:pPr>
              <w:spacing w:after="160" w:line="325" w:lineRule="exact"/>
              <w:ind w:left="227" w:right="220" w:firstLine="0"/>
              <w:jc w:val="center"/>
              <w:rPr>
                <w:rFonts w:ascii="宋体" w:hAnsi="宋体" w:eastAsia="宋体" w:cs="Times New Roman"/>
                <w:b/>
                <w:color w:val="000000" w:themeColor="text1"/>
                <w:sz w:val="24"/>
                <w:szCs w:val="24"/>
                <w:lang w:val="en-US" w:eastAsia="zh-CN" w:bidi="ar-SA"/>
                <w14:textFill>
                  <w14:solidFill>
                    <w14:schemeClr w14:val="tx1"/>
                  </w14:solidFill>
                </w14:textFill>
              </w:rPr>
            </w:pPr>
            <w:r>
              <w:rPr>
                <w:rFonts w:ascii="宋体" w:hAnsi="宋体" w:eastAsia="宋体" w:cs="Times New Roman"/>
                <w:b/>
                <w:color w:val="000000" w:themeColor="text1"/>
                <w:sz w:val="24"/>
                <w:szCs w:val="24"/>
                <w:lang w:val="en-US" w:eastAsia="zh-CN" w:bidi="ar-SA"/>
                <w14:textFill>
                  <w14:solidFill>
                    <w14:schemeClr w14:val="tx1"/>
                  </w14:solidFill>
                </w14:textFill>
              </w:rPr>
              <w:t>对应项目参</w:t>
            </w:r>
          </w:p>
          <w:p>
            <w:pPr>
              <w:keepNext/>
              <w:keepLines/>
              <w:autoSpaceDE w:val="0"/>
              <w:autoSpaceDN w:val="0"/>
              <w:jc w:val="center"/>
              <w:outlineLvl w:val="1"/>
              <w:rPr>
                <w:rFonts w:ascii="宋体" w:hAnsi="宋体" w:eastAsia="宋体" w:cs="Times New Roman"/>
                <w:b/>
                <w:color w:val="000000" w:themeColor="text1"/>
                <w:sz w:val="24"/>
                <w:szCs w:val="24"/>
                <w:lang w:val="en-US" w:eastAsia="zh-CN" w:bidi="ar-SA"/>
                <w14:textFill>
                  <w14:solidFill>
                    <w14:schemeClr w14:val="tx1"/>
                  </w14:solidFill>
                </w14:textFill>
              </w:rPr>
            </w:pPr>
            <w:r>
              <w:rPr>
                <w:rFonts w:ascii="宋体" w:hAnsi="宋体" w:eastAsia="宋体" w:cs="Times New Roman"/>
                <w:b/>
                <w:color w:val="000000" w:themeColor="text1"/>
                <w:sz w:val="24"/>
                <w:szCs w:val="24"/>
                <w:lang w:val="en-US" w:eastAsia="zh-CN" w:bidi="ar-SA"/>
                <w14:textFill>
                  <w14:solidFill>
                    <w14:schemeClr w14:val="tx1"/>
                  </w14:solidFill>
                </w14:textFill>
              </w:rPr>
              <w:t>数序号</w:t>
            </w:r>
          </w:p>
        </w:tc>
        <w:tc>
          <w:tcPr>
            <w:tcW w:w="2704" w:type="dxa"/>
            <w:vAlign w:val="center"/>
          </w:tcPr>
          <w:p>
            <w:pPr>
              <w:keepNext/>
              <w:keepLines/>
              <w:autoSpaceDE w:val="0"/>
              <w:autoSpaceDN w:val="0"/>
              <w:jc w:val="center"/>
              <w:outlineLvl w:val="1"/>
              <w:rPr>
                <w:rFonts w:ascii="宋体" w:hAnsi="宋体" w:eastAsia="宋体" w:cs="Times New Roman"/>
                <w:b/>
                <w:color w:val="000000" w:themeColor="text1"/>
                <w:sz w:val="24"/>
                <w:szCs w:val="24"/>
                <w:lang w:val="en-US" w:eastAsia="zh-CN" w:bidi="ar-SA"/>
                <w14:textFill>
                  <w14:solidFill>
                    <w14:schemeClr w14:val="tx1"/>
                  </w14:solidFill>
                </w14:textFill>
              </w:rPr>
            </w:pPr>
            <w:r>
              <w:rPr>
                <w:rFonts w:ascii="宋体" w:hAnsi="宋体" w:eastAsia="宋体" w:cs="Times New Roman"/>
                <w:b/>
                <w:color w:val="000000" w:themeColor="text1"/>
                <w:sz w:val="24"/>
                <w:szCs w:val="24"/>
                <w:lang w:val="en-US" w:eastAsia="zh-CN" w:bidi="ar-SA"/>
                <w14:textFill>
                  <w14:solidFill>
                    <w14:schemeClr w14:val="tx1"/>
                  </w14:solidFill>
                </w14:textFill>
              </w:rPr>
              <w:t>数量</w:t>
            </w:r>
          </w:p>
        </w:tc>
        <w:tc>
          <w:tcPr>
            <w:tcW w:w="3761" w:type="dxa"/>
            <w:vAlign w:val="center"/>
          </w:tcPr>
          <w:p>
            <w:pPr>
              <w:keepNext/>
              <w:keepLines/>
              <w:autoSpaceDE w:val="0"/>
              <w:autoSpaceDN w:val="0"/>
              <w:jc w:val="center"/>
              <w:outlineLvl w:val="1"/>
              <w:rPr>
                <w:rFonts w:ascii="宋体" w:hAnsi="宋体" w:eastAsia="宋体" w:cs="Times New Roman"/>
                <w:b/>
                <w:color w:val="FF0000"/>
                <w:sz w:val="24"/>
                <w:szCs w:val="24"/>
                <w:lang w:val="en-US" w:eastAsia="zh-CN" w:bidi="ar-SA"/>
              </w:rPr>
            </w:pPr>
            <w:r>
              <w:rPr>
                <w:rFonts w:ascii="宋体" w:hAnsi="宋体" w:eastAsia="宋体" w:cs="Times New Roman"/>
                <w:b/>
                <w:color w:val="000000" w:themeColor="text1"/>
                <w:sz w:val="24"/>
                <w:szCs w:val="24"/>
                <w:lang w:val="en-US" w:eastAsia="zh-CN" w:bidi="ar-SA"/>
                <w14:textFill>
                  <w14:solidFill>
                    <w14:schemeClr w14:val="tx1"/>
                  </w14:solidFill>
                </w14:textFill>
              </w:rPr>
              <w:t>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3" w:type="dxa"/>
            <w:vAlign w:val="center"/>
          </w:tcPr>
          <w:p>
            <w:pPr>
              <w:keepNext/>
              <w:keepLines/>
              <w:autoSpaceDE w:val="0"/>
              <w:autoSpaceDN w:val="0"/>
              <w:spacing w:line="360" w:lineRule="auto"/>
              <w:jc w:val="center"/>
              <w:outlineLvl w:val="1"/>
              <w:rPr>
                <w:rFonts w:ascii="宋体" w:hAnsi="宋体" w:eastAsia="宋体" w:cs="Times New Roman"/>
                <w:b w:val="0"/>
                <w:color w:val="000000" w:themeColor="text1"/>
                <w:sz w:val="24"/>
                <w:szCs w:val="24"/>
                <w:lang w:val="en-US" w:eastAsia="zh-CN" w:bidi="ar-SA"/>
                <w14:textFill>
                  <w14:solidFill>
                    <w14:schemeClr w14:val="tx1"/>
                  </w14:solidFill>
                </w14:textFill>
              </w:rPr>
            </w:pPr>
            <w:r>
              <w:rPr>
                <w:rFonts w:hint="eastAsia" w:ascii="宋体" w:hAnsi="宋体" w:cs="Times New Roman"/>
                <w:b w:val="0"/>
                <w:color w:val="000000" w:themeColor="text1"/>
                <w:sz w:val="24"/>
                <w:szCs w:val="24"/>
                <w:lang w:val="en-US" w:eastAsia="zh-CN" w:bidi="ar-SA"/>
                <w14:textFill>
                  <w14:solidFill>
                    <w14:schemeClr w14:val="tx1"/>
                  </w14:solidFill>
                </w14:textFill>
              </w:rPr>
              <w:t>1</w:t>
            </w:r>
          </w:p>
        </w:tc>
        <w:tc>
          <w:tcPr>
            <w:tcW w:w="2883" w:type="dxa"/>
            <w:vAlign w:val="center"/>
          </w:tcPr>
          <w:p>
            <w:pPr>
              <w:widowControl/>
              <w:autoSpaceDE w:val="0"/>
              <w:autoSpaceDN w:val="0"/>
              <w:spacing w:line="273" w:lineRule="auto"/>
              <w:jc w:val="center"/>
              <w:rPr>
                <w:rFonts w:ascii="宋体" w:hAnsi="宋体" w:eastAsia="宋体"/>
                <w:color w:val="000000" w:themeColor="text1"/>
                <w:kern w:val="0"/>
                <w:sz w:val="24"/>
                <w:szCs w:val="24"/>
                <w14:textFill>
                  <w14:solidFill>
                    <w14:schemeClr w14:val="tx1"/>
                  </w14:solidFill>
                </w14:textFill>
              </w:rPr>
            </w:pPr>
            <w:r>
              <w:rPr>
                <w:rFonts w:ascii="宋体" w:hAnsi="Times New Roman" w:eastAsia="Times New Roman"/>
                <w:color w:val="000000" w:themeColor="text1"/>
                <w:kern w:val="0"/>
                <w:szCs w:val="21"/>
                <w14:textFill>
                  <w14:solidFill>
                    <w14:schemeClr w14:val="tx1"/>
                  </w14:solidFill>
                </w14:textFill>
              </w:rPr>
              <w:t>网面转椅</w:t>
            </w:r>
          </w:p>
        </w:tc>
        <w:tc>
          <w:tcPr>
            <w:tcW w:w="2569" w:type="dxa"/>
            <w:vAlign w:val="center"/>
          </w:tcPr>
          <w:p>
            <w:pPr>
              <w:keepNext/>
              <w:keepLines/>
              <w:autoSpaceDE w:val="0"/>
              <w:autoSpaceDN w:val="0"/>
              <w:spacing w:line="360" w:lineRule="auto"/>
              <w:jc w:val="center"/>
              <w:outlineLvl w:val="1"/>
              <w:rPr>
                <w:rFonts w:ascii="宋体" w:hAnsi="宋体" w:eastAsia="宋体" w:cs="Times New Roman"/>
                <w:b w:val="0"/>
                <w:color w:val="000000" w:themeColor="text1"/>
                <w:sz w:val="24"/>
                <w:szCs w:val="24"/>
                <w:lang w:val="en-US" w:eastAsia="zh-CN" w:bidi="ar-SA"/>
                <w14:textFill>
                  <w14:solidFill>
                    <w14:schemeClr w14:val="tx1"/>
                  </w14:solidFill>
                </w14:textFill>
              </w:rPr>
            </w:pPr>
            <w:r>
              <w:rPr>
                <w:rFonts w:ascii="宋体" w:hAnsi="宋体" w:eastAsia="宋体" w:cs="Times New Roman"/>
                <w:b w:val="0"/>
                <w:color w:val="000000" w:themeColor="text1"/>
                <w:sz w:val="24"/>
                <w:szCs w:val="24"/>
                <w:lang w:val="en-US" w:eastAsia="zh-CN" w:bidi="ar-SA"/>
                <w14:textFill>
                  <w14:solidFill>
                    <w14:schemeClr w14:val="tx1"/>
                  </w14:solidFill>
                </w14:textFill>
              </w:rPr>
              <w:t>16</w:t>
            </w:r>
          </w:p>
        </w:tc>
        <w:tc>
          <w:tcPr>
            <w:tcW w:w="2704" w:type="dxa"/>
            <w:vAlign w:val="center"/>
          </w:tcPr>
          <w:p>
            <w:pPr>
              <w:keepNext/>
              <w:keepLines/>
              <w:autoSpaceDE w:val="0"/>
              <w:autoSpaceDN w:val="0"/>
              <w:jc w:val="center"/>
              <w:outlineLvl w:val="1"/>
              <w:rPr>
                <w:rFonts w:ascii="宋体" w:hAnsi="宋体" w:eastAsia="宋体" w:cs="Times New Roman"/>
                <w:b w:val="0"/>
                <w:color w:val="000000" w:themeColor="text1"/>
                <w:sz w:val="24"/>
                <w:szCs w:val="24"/>
                <w:lang w:val="en-US" w:eastAsia="zh-CN" w:bidi="ar-SA"/>
                <w14:textFill>
                  <w14:solidFill>
                    <w14:schemeClr w14:val="tx1"/>
                  </w14:solidFill>
                </w14:textFill>
              </w:rPr>
            </w:pPr>
            <w:r>
              <w:rPr>
                <w:rFonts w:ascii="宋体" w:hAnsi="宋体" w:eastAsia="宋体" w:cs="Times New Roman"/>
                <w:b w:val="0"/>
                <w:color w:val="000000" w:themeColor="text1"/>
                <w:sz w:val="24"/>
                <w:szCs w:val="24"/>
                <w:lang w:val="en-US" w:eastAsia="zh-CN" w:bidi="ar-SA"/>
                <w14:textFill>
                  <w14:solidFill>
                    <w14:schemeClr w14:val="tx1"/>
                  </w14:solidFill>
                </w14:textFill>
              </w:rPr>
              <w:t>1</w:t>
            </w:r>
            <w:r>
              <w:rPr>
                <w:rFonts w:hint="eastAsia" w:ascii="宋体" w:hAnsi="宋体" w:cs="Times New Roman"/>
                <w:b w:val="0"/>
                <w:color w:val="000000" w:themeColor="text1"/>
                <w:sz w:val="24"/>
                <w:szCs w:val="24"/>
                <w:lang w:val="en-US" w:eastAsia="zh-CN" w:bidi="ar-SA"/>
                <w14:textFill>
                  <w14:solidFill>
                    <w14:schemeClr w14:val="tx1"/>
                  </w14:solidFill>
                </w14:textFill>
              </w:rPr>
              <w:t>把</w:t>
            </w:r>
          </w:p>
        </w:tc>
        <w:tc>
          <w:tcPr>
            <w:tcW w:w="3761" w:type="dxa"/>
            <w:vMerge w:val="restart"/>
            <w:vAlign w:val="center"/>
          </w:tcPr>
          <w:p>
            <w:pPr>
              <w:widowControl/>
              <w:rPr>
                <w:rFonts w:eastAsia="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3" w:type="dxa"/>
            <w:vAlign w:val="center"/>
          </w:tcPr>
          <w:p>
            <w:pPr>
              <w:keepNext/>
              <w:keepLines/>
              <w:autoSpaceDE w:val="0"/>
              <w:autoSpaceDN w:val="0"/>
              <w:spacing w:line="360" w:lineRule="auto"/>
              <w:jc w:val="center"/>
              <w:outlineLvl w:val="1"/>
              <w:rPr>
                <w:rFonts w:ascii="宋体" w:hAnsi="宋体" w:eastAsia="宋体" w:cs="Times New Roman"/>
                <w:b w:val="0"/>
                <w:color w:val="000000" w:themeColor="text1"/>
                <w:sz w:val="24"/>
                <w:szCs w:val="24"/>
                <w:lang w:val="en-US" w:eastAsia="zh-CN" w:bidi="ar-SA"/>
                <w14:textFill>
                  <w14:solidFill>
                    <w14:schemeClr w14:val="tx1"/>
                  </w14:solidFill>
                </w14:textFill>
              </w:rPr>
            </w:pPr>
            <w:r>
              <w:rPr>
                <w:rFonts w:hint="eastAsia" w:ascii="宋体" w:hAnsi="宋体" w:cs="Times New Roman"/>
                <w:b w:val="0"/>
                <w:color w:val="000000" w:themeColor="text1"/>
                <w:sz w:val="24"/>
                <w:szCs w:val="24"/>
                <w:lang w:val="en-US" w:eastAsia="zh-CN" w:bidi="ar-SA"/>
                <w14:textFill>
                  <w14:solidFill>
                    <w14:schemeClr w14:val="tx1"/>
                  </w14:solidFill>
                </w14:textFill>
              </w:rPr>
              <w:t>2</w:t>
            </w:r>
          </w:p>
        </w:tc>
        <w:tc>
          <w:tcPr>
            <w:tcW w:w="2883" w:type="dxa"/>
            <w:vAlign w:val="center"/>
          </w:tcPr>
          <w:p>
            <w:pPr>
              <w:widowControl/>
              <w:jc w:val="center"/>
              <w:rPr>
                <w:rFonts w:hint="eastAsia" w:ascii="宋体" w:hAnsi="宋体" w:eastAsia="宋体"/>
                <w:color w:val="000000" w:themeColor="text1"/>
                <w:kern w:val="0"/>
                <w:sz w:val="24"/>
                <w:szCs w:val="24"/>
                <w:lang w:eastAsia="zh-CN"/>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屏风</w:t>
            </w:r>
            <w:r>
              <w:rPr>
                <w:rFonts w:ascii="宋体" w:hAnsi="宋体" w:eastAsia="宋体"/>
                <w:color w:val="000000" w:themeColor="text1"/>
                <w:kern w:val="0"/>
                <w:szCs w:val="21"/>
                <w14:textFill>
                  <w14:solidFill>
                    <w14:schemeClr w14:val="tx1"/>
                  </w14:solidFill>
                </w14:textFill>
              </w:rPr>
              <w:t>工作位</w:t>
            </w:r>
          </w:p>
        </w:tc>
        <w:tc>
          <w:tcPr>
            <w:tcW w:w="2569" w:type="dxa"/>
            <w:vAlign w:val="center"/>
          </w:tcPr>
          <w:p>
            <w:pPr>
              <w:keepNext/>
              <w:keepLines/>
              <w:autoSpaceDE w:val="0"/>
              <w:autoSpaceDN w:val="0"/>
              <w:spacing w:line="360" w:lineRule="auto"/>
              <w:jc w:val="center"/>
              <w:outlineLvl w:val="1"/>
              <w:rPr>
                <w:rFonts w:ascii="宋体" w:hAnsi="宋体" w:eastAsia="宋体" w:cs="Times New Roman"/>
                <w:b w:val="0"/>
                <w:color w:val="000000" w:themeColor="text1"/>
                <w:sz w:val="24"/>
                <w:szCs w:val="24"/>
                <w:lang w:val="en-US" w:eastAsia="zh-CN" w:bidi="ar-SA"/>
                <w14:textFill>
                  <w14:solidFill>
                    <w14:schemeClr w14:val="tx1"/>
                  </w14:solidFill>
                </w14:textFill>
              </w:rPr>
            </w:pPr>
            <w:r>
              <w:rPr>
                <w:rFonts w:ascii="宋体" w:hAnsi="宋体" w:eastAsia="宋体" w:cs="Times New Roman"/>
                <w:b w:val="0"/>
                <w:color w:val="000000" w:themeColor="text1"/>
                <w:sz w:val="24"/>
                <w:szCs w:val="24"/>
                <w:lang w:val="en-US" w:eastAsia="zh-CN" w:bidi="ar-SA"/>
                <w14:textFill>
                  <w14:solidFill>
                    <w14:schemeClr w14:val="tx1"/>
                  </w14:solidFill>
                </w14:textFill>
              </w:rPr>
              <w:t>18</w:t>
            </w:r>
          </w:p>
        </w:tc>
        <w:tc>
          <w:tcPr>
            <w:tcW w:w="2704" w:type="dxa"/>
            <w:vAlign w:val="center"/>
          </w:tcPr>
          <w:p>
            <w:pPr>
              <w:keepNext/>
              <w:keepLines/>
              <w:autoSpaceDE w:val="0"/>
              <w:autoSpaceDN w:val="0"/>
              <w:jc w:val="center"/>
              <w:outlineLvl w:val="1"/>
              <w:rPr>
                <w:rFonts w:hint="default" w:ascii="宋体" w:hAnsi="宋体" w:eastAsia="宋体" w:cs="Times New Roman"/>
                <w:b w:val="0"/>
                <w:color w:val="000000" w:themeColor="text1"/>
                <w:sz w:val="24"/>
                <w:szCs w:val="24"/>
                <w:lang w:val="en-US" w:eastAsia="zh-CN" w:bidi="ar-SA"/>
                <w14:textFill>
                  <w14:solidFill>
                    <w14:schemeClr w14:val="tx1"/>
                  </w14:solidFill>
                </w14:textFill>
              </w:rPr>
            </w:pPr>
            <w:r>
              <w:rPr>
                <w:rFonts w:hint="eastAsia" w:ascii="宋体" w:hAnsi="宋体" w:cs="Times New Roman"/>
                <w:b w:val="0"/>
                <w:color w:val="000000" w:themeColor="text1"/>
                <w:sz w:val="24"/>
                <w:szCs w:val="24"/>
                <w:lang w:val="en-US" w:eastAsia="zh-CN" w:bidi="ar-SA"/>
                <w14:textFill>
                  <w14:solidFill>
                    <w14:schemeClr w14:val="tx1"/>
                  </w14:solidFill>
                </w14:textFill>
              </w:rPr>
              <w:t>1位</w:t>
            </w:r>
          </w:p>
        </w:tc>
        <w:tc>
          <w:tcPr>
            <w:tcW w:w="3761" w:type="dxa"/>
            <w:vMerge w:val="continue"/>
            <w:vAlign w:val="center"/>
          </w:tcPr>
          <w:p>
            <w:pPr>
              <w:widowControl/>
              <w:rPr>
                <w:rFonts w:eastAsia="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3" w:type="dxa"/>
            <w:vAlign w:val="center"/>
          </w:tcPr>
          <w:p>
            <w:pPr>
              <w:keepNext/>
              <w:keepLines/>
              <w:autoSpaceDE w:val="0"/>
              <w:autoSpaceDN w:val="0"/>
              <w:spacing w:line="360" w:lineRule="auto"/>
              <w:jc w:val="center"/>
              <w:outlineLvl w:val="1"/>
              <w:rPr>
                <w:rFonts w:ascii="宋体" w:hAnsi="宋体" w:eastAsia="宋体" w:cs="Times New Roman"/>
                <w:b w:val="0"/>
                <w:color w:val="000000" w:themeColor="text1"/>
                <w:sz w:val="24"/>
                <w:szCs w:val="24"/>
                <w:lang w:val="en-US" w:eastAsia="zh-CN" w:bidi="ar-SA"/>
                <w14:textFill>
                  <w14:solidFill>
                    <w14:schemeClr w14:val="tx1"/>
                  </w14:solidFill>
                </w14:textFill>
              </w:rPr>
            </w:pPr>
            <w:r>
              <w:rPr>
                <w:rFonts w:hint="eastAsia" w:ascii="宋体" w:hAnsi="Times New Roman" w:eastAsia="Times New Roman" w:cs="Times New Roman"/>
                <w:b w:val="0"/>
                <w:color w:val="000000" w:themeColor="text1"/>
                <w:sz w:val="21"/>
                <w:szCs w:val="21"/>
                <w:lang w:val="en-US" w:eastAsia="zh-CN" w:bidi="ar-SA"/>
                <w14:textFill>
                  <w14:solidFill>
                    <w14:schemeClr w14:val="tx1"/>
                  </w14:solidFill>
                </w14:textFill>
              </w:rPr>
              <w:t>3</w:t>
            </w:r>
          </w:p>
        </w:tc>
        <w:tc>
          <w:tcPr>
            <w:tcW w:w="2883" w:type="dxa"/>
            <w:vAlign w:val="center"/>
          </w:tcPr>
          <w:p>
            <w:pPr>
              <w:widowControl/>
              <w:jc w:val="center"/>
              <w:rPr>
                <w:rFonts w:ascii="宋体" w:hAnsi="宋体" w:eastAsia="宋体"/>
                <w:color w:val="000000" w:themeColor="text1"/>
                <w:kern w:val="0"/>
                <w:szCs w:val="21"/>
                <w14:textFill>
                  <w14:solidFill>
                    <w14:schemeClr w14:val="tx1"/>
                  </w14:solidFill>
                </w14:textFill>
              </w:rPr>
            </w:pPr>
            <w:r>
              <w:rPr>
                <w:rFonts w:ascii="宋体" w:hAnsi="Times New Roman" w:eastAsia="Times New Roman"/>
                <w:color w:val="000000" w:themeColor="text1"/>
                <w:kern w:val="0"/>
                <w:szCs w:val="21"/>
                <w14:textFill>
                  <w14:solidFill>
                    <w14:schemeClr w14:val="tx1"/>
                  </w14:solidFill>
                </w14:textFill>
              </w:rPr>
              <w:t>礼堂椅</w:t>
            </w:r>
          </w:p>
        </w:tc>
        <w:tc>
          <w:tcPr>
            <w:tcW w:w="2569" w:type="dxa"/>
            <w:vAlign w:val="center"/>
          </w:tcPr>
          <w:p>
            <w:pPr>
              <w:keepNext/>
              <w:keepLines/>
              <w:autoSpaceDE w:val="0"/>
              <w:autoSpaceDN w:val="0"/>
              <w:spacing w:line="360" w:lineRule="auto"/>
              <w:jc w:val="center"/>
              <w:outlineLvl w:val="1"/>
              <w:rPr>
                <w:rFonts w:ascii="宋体" w:hAnsi="宋体" w:eastAsia="宋体" w:cs="Times New Roman"/>
                <w:b w:val="0"/>
                <w:color w:val="000000" w:themeColor="text1"/>
                <w:sz w:val="24"/>
                <w:szCs w:val="24"/>
                <w:lang w:val="en-US" w:eastAsia="zh-CN" w:bidi="ar-SA"/>
                <w14:textFill>
                  <w14:solidFill>
                    <w14:schemeClr w14:val="tx1"/>
                  </w14:solidFill>
                </w14:textFill>
              </w:rPr>
            </w:pPr>
            <w:r>
              <w:rPr>
                <w:rFonts w:ascii="宋体" w:hAnsi="Times New Roman" w:eastAsia="Times New Roman" w:cs="Times New Roman"/>
                <w:b w:val="0"/>
                <w:color w:val="000000" w:themeColor="text1"/>
                <w:sz w:val="21"/>
                <w:szCs w:val="21"/>
                <w:lang w:val="en-US" w:eastAsia="zh-CN" w:bidi="ar-SA"/>
                <w14:textFill>
                  <w14:solidFill>
                    <w14:schemeClr w14:val="tx1"/>
                  </w14:solidFill>
                </w14:textFill>
              </w:rPr>
              <w:t>37</w:t>
            </w:r>
          </w:p>
        </w:tc>
        <w:tc>
          <w:tcPr>
            <w:tcW w:w="2704" w:type="dxa"/>
            <w:vAlign w:val="center"/>
          </w:tcPr>
          <w:p>
            <w:pPr>
              <w:keepNext/>
              <w:keepLines/>
              <w:autoSpaceDE w:val="0"/>
              <w:autoSpaceDN w:val="0"/>
              <w:jc w:val="center"/>
              <w:outlineLvl w:val="1"/>
              <w:rPr>
                <w:rFonts w:ascii="宋体" w:hAnsi="宋体" w:eastAsia="宋体" w:cs="Times New Roman"/>
                <w:b w:val="0"/>
                <w:color w:val="000000" w:themeColor="text1"/>
                <w:sz w:val="24"/>
                <w:szCs w:val="24"/>
                <w:lang w:val="en-US" w:eastAsia="zh-CN" w:bidi="ar-SA"/>
                <w14:textFill>
                  <w14:solidFill>
                    <w14:schemeClr w14:val="tx1"/>
                  </w14:solidFill>
                </w14:textFill>
              </w:rPr>
            </w:pPr>
            <w:r>
              <w:rPr>
                <w:rFonts w:ascii="宋体" w:hAnsi="宋体" w:eastAsia="宋体" w:cs="Times New Roman"/>
                <w:b w:val="0"/>
                <w:color w:val="000000" w:themeColor="text1"/>
                <w:sz w:val="24"/>
                <w:szCs w:val="24"/>
                <w:lang w:val="en-US" w:eastAsia="zh-CN" w:bidi="ar-SA"/>
                <w14:textFill>
                  <w14:solidFill>
                    <w14:schemeClr w14:val="tx1"/>
                  </w14:solidFill>
                </w14:textFill>
              </w:rPr>
              <w:t>1</w:t>
            </w:r>
            <w:r>
              <w:rPr>
                <w:rFonts w:hint="eastAsia" w:ascii="宋体" w:hAnsi="宋体" w:cs="Times New Roman"/>
                <w:b w:val="0"/>
                <w:color w:val="000000" w:themeColor="text1"/>
                <w:sz w:val="24"/>
                <w:szCs w:val="24"/>
                <w:lang w:val="en-US" w:eastAsia="zh-CN" w:bidi="ar-SA"/>
                <w14:textFill>
                  <w14:solidFill>
                    <w14:schemeClr w14:val="tx1"/>
                  </w14:solidFill>
                </w14:textFill>
              </w:rPr>
              <w:t>座</w:t>
            </w:r>
          </w:p>
        </w:tc>
        <w:tc>
          <w:tcPr>
            <w:tcW w:w="3761" w:type="dxa"/>
            <w:vMerge w:val="continue"/>
            <w:vAlign w:val="center"/>
          </w:tcPr>
          <w:p>
            <w:pPr>
              <w:widowControl/>
              <w:rPr>
                <w:rFonts w:eastAsia="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3" w:type="dxa"/>
            <w:vAlign w:val="center"/>
          </w:tcPr>
          <w:p>
            <w:pPr>
              <w:keepNext/>
              <w:keepLines/>
              <w:autoSpaceDE w:val="0"/>
              <w:autoSpaceDN w:val="0"/>
              <w:spacing w:line="360" w:lineRule="auto"/>
              <w:jc w:val="center"/>
              <w:outlineLvl w:val="1"/>
              <w:rPr>
                <w:rFonts w:ascii="宋体" w:hAnsi="宋体" w:eastAsia="宋体" w:cs="Times New Roman"/>
                <w:b w:val="0"/>
                <w:color w:val="000000" w:themeColor="text1"/>
                <w:sz w:val="24"/>
                <w:szCs w:val="24"/>
                <w:lang w:val="en-US" w:eastAsia="zh-CN" w:bidi="ar-SA"/>
                <w14:textFill>
                  <w14:solidFill>
                    <w14:schemeClr w14:val="tx1"/>
                  </w14:solidFill>
                </w14:textFill>
              </w:rPr>
            </w:pPr>
            <w:r>
              <w:rPr>
                <w:rFonts w:hint="eastAsia" w:ascii="宋体" w:hAnsi="Times New Roman" w:eastAsia="Times New Roman" w:cs="Times New Roman"/>
                <w:b w:val="0"/>
                <w:color w:val="000000" w:themeColor="text1"/>
                <w:sz w:val="21"/>
                <w:szCs w:val="21"/>
                <w:lang w:val="en-US" w:eastAsia="zh-CN" w:bidi="ar-SA"/>
                <w14:textFill>
                  <w14:solidFill>
                    <w14:schemeClr w14:val="tx1"/>
                  </w14:solidFill>
                </w14:textFill>
              </w:rPr>
              <w:t>4</w:t>
            </w:r>
          </w:p>
        </w:tc>
        <w:tc>
          <w:tcPr>
            <w:tcW w:w="2883" w:type="dxa"/>
            <w:vAlign w:val="center"/>
          </w:tcPr>
          <w:p>
            <w:pPr>
              <w:widowControl/>
              <w:jc w:val="center"/>
              <w:rPr>
                <w:rFonts w:ascii="宋体" w:hAnsi="宋体" w:eastAsia="宋体"/>
                <w:color w:val="000000" w:themeColor="text1"/>
                <w:kern w:val="0"/>
                <w:szCs w:val="21"/>
                <w14:textFill>
                  <w14:solidFill>
                    <w14:schemeClr w14:val="tx1"/>
                  </w14:solidFill>
                </w14:textFill>
              </w:rPr>
            </w:pPr>
            <w:r>
              <w:rPr>
                <w:rFonts w:ascii="宋体" w:hAnsi="Times New Roman" w:eastAsia="Times New Roman"/>
                <w:color w:val="000000" w:themeColor="text1"/>
                <w:kern w:val="0"/>
                <w:szCs w:val="21"/>
                <w14:textFill>
                  <w14:solidFill>
                    <w14:schemeClr w14:val="tx1"/>
                  </w14:solidFill>
                </w14:textFill>
              </w:rPr>
              <w:t>合班课桌椅</w:t>
            </w:r>
          </w:p>
        </w:tc>
        <w:tc>
          <w:tcPr>
            <w:tcW w:w="2569" w:type="dxa"/>
            <w:vAlign w:val="center"/>
          </w:tcPr>
          <w:p>
            <w:pPr>
              <w:keepNext/>
              <w:keepLines/>
              <w:autoSpaceDE w:val="0"/>
              <w:autoSpaceDN w:val="0"/>
              <w:spacing w:line="360" w:lineRule="auto"/>
              <w:jc w:val="center"/>
              <w:outlineLvl w:val="1"/>
              <w:rPr>
                <w:rFonts w:ascii="宋体" w:hAnsi="宋体" w:eastAsia="宋体" w:cs="Times New Roman"/>
                <w:b w:val="0"/>
                <w:color w:val="000000" w:themeColor="text1"/>
                <w:sz w:val="24"/>
                <w:szCs w:val="24"/>
                <w:lang w:val="en-US" w:eastAsia="zh-CN" w:bidi="ar-SA"/>
                <w14:textFill>
                  <w14:solidFill>
                    <w14:schemeClr w14:val="tx1"/>
                  </w14:solidFill>
                </w14:textFill>
              </w:rPr>
            </w:pPr>
            <w:r>
              <w:rPr>
                <w:rFonts w:ascii="宋体" w:hAnsi="Times New Roman" w:eastAsia="Times New Roman" w:cs="Times New Roman"/>
                <w:b w:val="0"/>
                <w:color w:val="000000" w:themeColor="text1"/>
                <w:sz w:val="21"/>
                <w:szCs w:val="21"/>
                <w:lang w:val="en-US" w:eastAsia="zh-CN" w:bidi="ar-SA"/>
                <w14:textFill>
                  <w14:solidFill>
                    <w14:schemeClr w14:val="tx1"/>
                  </w14:solidFill>
                </w14:textFill>
              </w:rPr>
              <w:t>38</w:t>
            </w:r>
          </w:p>
        </w:tc>
        <w:tc>
          <w:tcPr>
            <w:tcW w:w="2704" w:type="dxa"/>
            <w:vAlign w:val="center"/>
          </w:tcPr>
          <w:p>
            <w:pPr>
              <w:keepNext/>
              <w:keepLines/>
              <w:autoSpaceDE w:val="0"/>
              <w:autoSpaceDN w:val="0"/>
              <w:jc w:val="center"/>
              <w:outlineLvl w:val="1"/>
              <w:rPr>
                <w:rFonts w:ascii="宋体" w:hAnsi="宋体" w:eastAsia="宋体" w:cs="Times New Roman"/>
                <w:b w:val="0"/>
                <w:color w:val="000000" w:themeColor="text1"/>
                <w:sz w:val="24"/>
                <w:szCs w:val="24"/>
                <w:lang w:val="en-US" w:eastAsia="zh-CN" w:bidi="ar-SA"/>
                <w14:textFill>
                  <w14:solidFill>
                    <w14:schemeClr w14:val="tx1"/>
                  </w14:solidFill>
                </w14:textFill>
              </w:rPr>
            </w:pPr>
            <w:r>
              <w:rPr>
                <w:rFonts w:ascii="宋体" w:hAnsi="宋体" w:eastAsia="宋体" w:cs="Times New Roman"/>
                <w:b w:val="0"/>
                <w:color w:val="000000" w:themeColor="text1"/>
                <w:sz w:val="24"/>
                <w:szCs w:val="24"/>
                <w:lang w:val="en-US" w:eastAsia="zh-CN" w:bidi="ar-SA"/>
                <w14:textFill>
                  <w14:solidFill>
                    <w14:schemeClr w14:val="tx1"/>
                  </w14:solidFill>
                </w14:textFill>
              </w:rPr>
              <w:t>1</w:t>
            </w:r>
            <w:r>
              <w:rPr>
                <w:rFonts w:hint="eastAsia" w:ascii="宋体" w:hAnsi="宋体" w:cs="Times New Roman"/>
                <w:b w:val="0"/>
                <w:color w:val="000000" w:themeColor="text1"/>
                <w:sz w:val="24"/>
                <w:szCs w:val="24"/>
                <w:lang w:val="en-US" w:eastAsia="zh-CN" w:bidi="ar-SA"/>
                <w14:textFill>
                  <w14:solidFill>
                    <w14:schemeClr w14:val="tx1"/>
                  </w14:solidFill>
                </w14:textFill>
              </w:rPr>
              <w:t>套</w:t>
            </w:r>
          </w:p>
        </w:tc>
        <w:tc>
          <w:tcPr>
            <w:tcW w:w="3761" w:type="dxa"/>
            <w:vMerge w:val="continue"/>
            <w:vAlign w:val="center"/>
          </w:tcPr>
          <w:p>
            <w:pPr>
              <w:widowControl/>
              <w:rPr>
                <w:rFonts w:eastAsia="Times New Roman"/>
                <w:kern w:val="0"/>
                <w:szCs w:val="21"/>
              </w:rPr>
            </w:pPr>
          </w:p>
        </w:tc>
      </w:tr>
    </w:tbl>
    <w:p>
      <w:pPr>
        <w:pStyle w:val="16"/>
        <w:widowControl w:val="0"/>
        <w:numPr>
          <w:ilvl w:val="0"/>
          <w:numId w:val="0"/>
        </w:numPr>
        <w:spacing w:after="180" w:line="400" w:lineRule="exact"/>
        <w:ind w:firstLine="240" w:firstLineChars="100"/>
        <w:jc w:val="both"/>
        <w:rPr>
          <w:rFonts w:hint="eastAsia" w:asciiTheme="minorEastAsia" w:hAnsiTheme="minorEastAsia" w:eastAsiaTheme="minorEastAsia"/>
          <w:sz w:val="24"/>
        </w:rPr>
      </w:pPr>
      <w:r>
        <w:rPr>
          <w:rFonts w:hint="eastAsia" w:ascii="宋体" w:hAnsi="宋体" w:eastAsia="宋体" w:cs="宋体"/>
          <w:sz w:val="24"/>
          <w:szCs w:val="24"/>
          <w:lang w:val="en-US" w:eastAsia="zh-CN"/>
        </w:rPr>
        <w:t>4</w:t>
      </w:r>
      <w:r>
        <w:rPr>
          <w:rFonts w:ascii="宋体" w:hAnsi="宋体" w:eastAsia="宋体"/>
          <w:sz w:val="24"/>
          <w:szCs w:val="24"/>
        </w:rPr>
        <w:t>.</w:t>
      </w:r>
      <w:r>
        <w:rPr>
          <w:rFonts w:ascii="宋体" w:hAnsi="宋体" w:eastAsia="宋体" w:cs="宋体"/>
          <w:sz w:val="24"/>
          <w:szCs w:val="24"/>
        </w:rPr>
        <w:t>其他要求</w:t>
      </w:r>
      <w:r>
        <w:rPr>
          <w:rFonts w:ascii="宋体" w:hAnsi="宋体" w:eastAsia="宋体" w:cs="宋体"/>
          <w:sz w:val="24"/>
          <w:szCs w:val="24"/>
        </w:rPr>
        <w:br w:type="textWrapping"/>
      </w:r>
      <w:r>
        <w:rPr>
          <w:rFonts w:ascii="宋体" w:hAnsi="宋体" w:eastAsia="宋体" w:cs="宋体"/>
          <w:sz w:val="24"/>
          <w:szCs w:val="24"/>
        </w:rPr>
        <w:t>投标企业承诺，为落实大气污染防治相关要求，在家具生产过程汇总，全面使用低VOCs含量原辅材料。请供应商提供承诺函。</w:t>
      </w:r>
    </w:p>
    <w:p>
      <w:pPr>
        <w:pStyle w:val="16"/>
        <w:widowControl w:val="0"/>
        <w:numPr>
          <w:ilvl w:val="0"/>
          <w:numId w:val="0"/>
        </w:numPr>
        <w:spacing w:after="180" w:line="400" w:lineRule="exact"/>
        <w:jc w:val="both"/>
        <w:rPr>
          <w:rFonts w:hint="eastAsia" w:asciiTheme="minorEastAsia" w:hAnsiTheme="minorEastAsia" w:eastAsiaTheme="minorEastAsia"/>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rPr>
          <w:rFonts w:hint="eastAsia" w:ascii="宋体" w:hAnsi="宋体"/>
          <w:sz w:val="24"/>
          <w:lang w:val="en-US" w:eastAsia="zh-CN"/>
        </w:rPr>
      </w:pPr>
    </w:p>
    <w:p>
      <w:pPr>
        <w:keepNext/>
        <w:keepLines/>
        <w:numPr>
          <w:ilvl w:val="0"/>
          <w:numId w:val="0"/>
        </w:numPr>
        <w:tabs>
          <w:tab w:val="left" w:pos="0"/>
          <w:tab w:val="left" w:pos="426"/>
          <w:tab w:val="left" w:pos="576"/>
          <w:tab w:val="left" w:pos="786"/>
        </w:tabs>
        <w:spacing w:line="360" w:lineRule="auto"/>
        <w:ind w:leftChars="0"/>
        <w:outlineLvl w:val="1"/>
        <w:rPr>
          <w:rFonts w:ascii="宋体" w:hAnsi="宋体"/>
          <w:b/>
          <w:bCs/>
          <w:sz w:val="28"/>
          <w:szCs w:val="28"/>
        </w:rPr>
        <w:sectPr>
          <w:pgSz w:w="15840" w:h="12240" w:orient="landscape"/>
          <w:pgMar w:top="1800" w:right="1440" w:bottom="1800" w:left="1440" w:header="708" w:footer="708" w:gutter="0"/>
          <w:cols w:space="708" w:num="1"/>
          <w:docGrid w:linePitch="360" w:charSpace="0"/>
        </w:sectPr>
      </w:pPr>
      <w:bookmarkStart w:id="158" w:name="_Toc74752338"/>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r>
        <w:rPr>
          <w:rFonts w:hint="eastAsia" w:ascii="宋体" w:hAnsi="宋体"/>
          <w:b/>
          <w:bCs/>
          <w:sz w:val="28"/>
          <w:szCs w:val="28"/>
        </w:rPr>
        <w:t>商务</w:t>
      </w:r>
      <w:r>
        <w:rPr>
          <w:rFonts w:ascii="宋体" w:hAnsi="宋体"/>
          <w:b/>
          <w:bCs/>
          <w:sz w:val="28"/>
          <w:szCs w:val="28"/>
        </w:rPr>
        <w:t>要求</w:t>
      </w:r>
      <w:bookmarkEnd w:id="158"/>
    </w:p>
    <w:p>
      <w:pPr>
        <w:spacing w:line="360" w:lineRule="auto"/>
        <w:ind w:firstLine="480"/>
        <w:rPr>
          <w:rFonts w:ascii="宋体" w:hAnsi="宋体"/>
          <w:sz w:val="24"/>
        </w:rPr>
      </w:pPr>
      <w:r>
        <w:rPr>
          <w:rFonts w:hint="eastAsia" w:ascii="宋体" w:hAnsi="宋体"/>
          <w:sz w:val="24"/>
        </w:rPr>
        <w:t>1、设备安装：中标人负责将设备送到成都市龙泉驿区教育局指定学校，并负责安装、调试、培训。</w:t>
      </w:r>
    </w:p>
    <w:p>
      <w:pPr>
        <w:spacing w:line="360" w:lineRule="auto"/>
        <w:ind w:firstLine="480"/>
        <w:rPr>
          <w:rFonts w:ascii="宋体" w:hAnsi="宋体"/>
          <w:sz w:val="24"/>
        </w:rPr>
      </w:pPr>
      <w:r>
        <w:rPr>
          <w:rFonts w:hint="eastAsia" w:ascii="宋体" w:hAnsi="宋体"/>
          <w:sz w:val="24"/>
        </w:rPr>
        <w:t>2、交货期限：中标人须在合同签订生效后</w:t>
      </w:r>
      <w:r>
        <w:rPr>
          <w:rFonts w:ascii="宋体" w:hAnsi="宋体"/>
          <w:sz w:val="24"/>
        </w:rPr>
        <w:t>3</w:t>
      </w:r>
      <w:r>
        <w:rPr>
          <w:rFonts w:hint="eastAsia" w:ascii="宋体" w:hAnsi="宋体"/>
          <w:sz w:val="24"/>
        </w:rPr>
        <w:t>0日内完成交付。</w:t>
      </w:r>
    </w:p>
    <w:p>
      <w:pPr>
        <w:spacing w:line="360" w:lineRule="auto"/>
        <w:ind w:firstLine="480"/>
        <w:rPr>
          <w:rFonts w:ascii="宋体" w:hAnsi="宋体"/>
          <w:sz w:val="24"/>
        </w:rPr>
      </w:pPr>
      <w:r>
        <w:rPr>
          <w:rFonts w:hint="eastAsia" w:ascii="宋体" w:hAnsi="宋体"/>
          <w:sz w:val="24"/>
        </w:rPr>
        <w:t>3、付款要求：</w:t>
      </w:r>
    </w:p>
    <w:p>
      <w:pPr>
        <w:spacing w:line="360" w:lineRule="auto"/>
        <w:ind w:firstLine="480"/>
        <w:rPr>
          <w:rFonts w:ascii="宋体" w:hAnsi="宋体"/>
          <w:sz w:val="24"/>
        </w:rPr>
      </w:pPr>
      <w:r>
        <w:rPr>
          <w:rFonts w:hint="eastAsia" w:ascii="宋体" w:hAnsi="宋体"/>
          <w:sz w:val="24"/>
        </w:rPr>
        <w:t>3.1、合同签订生效后后，中标人完成全部货物的运输、安装、调试等工作，经采购人验收合格结束后，采购人在收到中标人出具的正规发票</w:t>
      </w:r>
      <w:r>
        <w:rPr>
          <w:rFonts w:ascii="宋体" w:hAnsi="宋体"/>
          <w:sz w:val="24"/>
        </w:rPr>
        <w:t>15</w:t>
      </w:r>
      <w:r>
        <w:rPr>
          <w:rFonts w:hint="eastAsia" w:ascii="宋体" w:hAnsi="宋体"/>
          <w:sz w:val="24"/>
        </w:rPr>
        <w:t>日内，采购人支付合同金额的100%。</w:t>
      </w:r>
    </w:p>
    <w:p>
      <w:pPr>
        <w:spacing w:line="360" w:lineRule="auto"/>
        <w:ind w:firstLine="480"/>
        <w:rPr>
          <w:rFonts w:ascii="宋体" w:hAnsi="宋体"/>
          <w:sz w:val="24"/>
        </w:rPr>
      </w:pPr>
      <w:r>
        <w:rPr>
          <w:rFonts w:hint="eastAsia" w:ascii="宋体" w:hAnsi="宋体"/>
          <w:sz w:val="24"/>
        </w:rPr>
        <w:t>3.2、逾期支付责任：采购人不得以机构变动、人员更替、政策调整等为由延迟付款，不得将采购文件和合同中未规定的义务作为向供应商付款的条件。采购人逾期付款的，依据相关规定承担相关责任。</w:t>
      </w:r>
      <w:r>
        <w:rPr>
          <w:rFonts w:hint="eastAsia" w:ascii="宋体" w:hAnsi="宋体"/>
          <w:b/>
          <w:bCs/>
          <w:sz w:val="24"/>
        </w:rPr>
        <w:t>（注：此条款为采购人逾期支付责任的说明，投标人在投标文件中对此可不做应答）</w:t>
      </w:r>
    </w:p>
    <w:p>
      <w:pPr>
        <w:spacing w:line="360" w:lineRule="auto"/>
        <w:ind w:firstLine="480"/>
        <w:rPr>
          <w:rFonts w:ascii="宋体" w:hAnsi="宋体"/>
          <w:sz w:val="24"/>
        </w:rPr>
      </w:pPr>
      <w:r>
        <w:rPr>
          <w:rFonts w:hint="eastAsia" w:ascii="宋体" w:hAnsi="宋体"/>
          <w:sz w:val="24"/>
        </w:rPr>
        <w:t>4、履约验收要求：</w:t>
      </w:r>
    </w:p>
    <w:p>
      <w:pPr>
        <w:spacing w:line="360" w:lineRule="auto"/>
        <w:ind w:firstLine="480"/>
        <w:rPr>
          <w:rFonts w:ascii="宋体" w:hAnsi="宋体"/>
          <w:sz w:val="24"/>
        </w:rPr>
      </w:pPr>
      <w:r>
        <w:rPr>
          <w:rFonts w:hint="eastAsia" w:ascii="宋体" w:hAnsi="宋体"/>
          <w:sz w:val="24"/>
        </w:rPr>
        <w:t>4.1中标人与采购人应严格按照相关要求进行验收，采购方有权邀请第三方机构或质检部门共同验收。</w:t>
      </w:r>
    </w:p>
    <w:p>
      <w:pPr>
        <w:spacing w:line="360" w:lineRule="auto"/>
        <w:ind w:firstLine="480"/>
        <w:rPr>
          <w:rFonts w:ascii="宋体" w:hAnsi="宋体"/>
          <w:sz w:val="24"/>
        </w:rPr>
      </w:pPr>
      <w:r>
        <w:rPr>
          <w:rFonts w:hint="eastAsia" w:ascii="宋体" w:hAnsi="宋体"/>
          <w:sz w:val="24"/>
        </w:rPr>
        <w:t>4.2验收方法：验收时双方皆应派员参加，验收合格并安装完毕后需双方签署验收单；</w:t>
      </w:r>
    </w:p>
    <w:p>
      <w:pPr>
        <w:spacing w:line="360" w:lineRule="auto"/>
        <w:ind w:firstLine="480"/>
        <w:rPr>
          <w:rFonts w:ascii="宋体" w:hAnsi="宋体"/>
          <w:sz w:val="24"/>
        </w:rPr>
      </w:pPr>
      <w:r>
        <w:rPr>
          <w:rFonts w:hint="eastAsia" w:ascii="宋体" w:hAnsi="宋体"/>
          <w:sz w:val="24"/>
        </w:rPr>
        <w:t>4.3 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磋商响应文件中按质量要求和技术指标比较优胜的原则确定该项的约定标准进行验收；</w:t>
      </w:r>
    </w:p>
    <w:p>
      <w:pPr>
        <w:spacing w:line="360" w:lineRule="auto"/>
        <w:ind w:firstLine="480"/>
        <w:rPr>
          <w:rFonts w:ascii="宋体" w:hAnsi="宋体"/>
          <w:sz w:val="24"/>
        </w:rPr>
      </w:pPr>
      <w:r>
        <w:rPr>
          <w:rFonts w:hint="eastAsia" w:ascii="宋体" w:hAnsi="宋体"/>
          <w:sz w:val="24"/>
        </w:rPr>
        <w:t>4.4 验收时间要求：成交人按照合同要求完成全部工作后，采购人在收到书面的验收申请材料后30日内组织履约验收工作。</w:t>
      </w:r>
    </w:p>
    <w:p>
      <w:pPr>
        <w:spacing w:line="360" w:lineRule="auto"/>
        <w:ind w:firstLine="480"/>
        <w:rPr>
          <w:rFonts w:ascii="宋体" w:hAnsi="宋体"/>
          <w:sz w:val="24"/>
        </w:rPr>
      </w:pPr>
      <w:r>
        <w:rPr>
          <w:rFonts w:hint="eastAsia" w:ascii="宋体" w:hAnsi="宋体"/>
          <w:sz w:val="24"/>
        </w:rPr>
        <w:t>4.5 其他要求：</w:t>
      </w:r>
    </w:p>
    <w:p>
      <w:pPr>
        <w:spacing w:line="360" w:lineRule="auto"/>
        <w:ind w:firstLine="480"/>
        <w:rPr>
          <w:rFonts w:ascii="宋体" w:hAnsi="宋体"/>
          <w:sz w:val="24"/>
        </w:rPr>
      </w:pPr>
      <w:r>
        <w:rPr>
          <w:rFonts w:hint="eastAsia" w:ascii="宋体" w:hAnsi="宋体"/>
          <w:sz w:val="24"/>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ind w:firstLine="480"/>
        <w:rPr>
          <w:rFonts w:ascii="宋体" w:hAnsi="宋体"/>
          <w:sz w:val="24"/>
        </w:rPr>
      </w:pPr>
      <w:r>
        <w:rPr>
          <w:rFonts w:hint="eastAsia" w:ascii="宋体" w:hAnsi="宋体"/>
          <w:sz w:val="24"/>
        </w:rPr>
        <w:t>（2）采购人无故不进行验收工作并已使用货物的，视同已完成履约并验收合格。</w:t>
      </w:r>
    </w:p>
    <w:p>
      <w:pPr>
        <w:spacing w:line="360" w:lineRule="auto"/>
        <w:ind w:firstLine="480"/>
        <w:rPr>
          <w:rFonts w:ascii="宋体" w:hAnsi="宋体"/>
          <w:sz w:val="24"/>
        </w:rPr>
      </w:pPr>
      <w:r>
        <w:rPr>
          <w:rFonts w:hint="eastAsia" w:ascii="宋体" w:hAnsi="宋体"/>
          <w:sz w:val="24"/>
        </w:rPr>
        <w:t>（3）如货物经供应商3次维修或更换仍不能达到合同约定的质量标准，采购人有权退货，并视作供应商不能交付货物而须支付违约赔偿金给采购人，采购人还可依法追究供应商的违约责任。</w:t>
      </w:r>
    </w:p>
    <w:p>
      <w:pPr>
        <w:spacing w:line="360" w:lineRule="auto"/>
        <w:ind w:firstLine="480"/>
        <w:rPr>
          <w:rFonts w:ascii="宋体" w:hAnsi="宋体"/>
          <w:sz w:val="24"/>
        </w:rPr>
      </w:pPr>
      <w:r>
        <w:rPr>
          <w:rFonts w:hint="eastAsia" w:ascii="宋体" w:hAnsi="宋体"/>
          <w:sz w:val="24"/>
        </w:rPr>
        <w:t>（4）项目验收结果合格的，供应商凭验收合格证明书至采购单位办理财政支付手续；验收结果不合格且拒不整改的，采购人有权拒绝支付采购资金，还可能上报本项目同级财政部门。</w:t>
      </w:r>
    </w:p>
    <w:p>
      <w:pPr>
        <w:spacing w:line="360" w:lineRule="auto"/>
        <w:ind w:firstLine="480"/>
        <w:rPr>
          <w:rFonts w:ascii="宋体" w:hAnsi="宋体"/>
          <w:sz w:val="24"/>
        </w:rPr>
      </w:pPr>
      <w:r>
        <w:rPr>
          <w:rFonts w:hint="eastAsia" w:ascii="宋体" w:hAnsi="宋体"/>
          <w:sz w:val="24"/>
        </w:rPr>
        <w:t>5、质保期要求</w:t>
      </w:r>
    </w:p>
    <w:p>
      <w:pPr>
        <w:spacing w:line="360" w:lineRule="auto"/>
        <w:ind w:firstLine="480"/>
        <w:rPr>
          <w:rFonts w:ascii="宋体" w:hAnsi="宋体"/>
          <w:sz w:val="24"/>
        </w:rPr>
      </w:pPr>
      <w:r>
        <w:rPr>
          <w:rFonts w:hint="eastAsia" w:ascii="宋体" w:hAnsi="宋体"/>
          <w:sz w:val="24"/>
        </w:rPr>
        <w:t>本项目所涉及产品质保期≥3年，质保期内负责维修，终身维护，质保期从项目通过验收出具发票之日起开始计算。</w:t>
      </w:r>
    </w:p>
    <w:p>
      <w:pPr>
        <w:spacing w:line="360" w:lineRule="auto"/>
        <w:ind w:firstLine="480"/>
        <w:rPr>
          <w:rFonts w:ascii="宋体" w:hAnsi="宋体"/>
          <w:sz w:val="24"/>
        </w:rPr>
      </w:pPr>
      <w:r>
        <w:rPr>
          <w:rFonts w:ascii="宋体" w:hAnsi="宋体"/>
          <w:sz w:val="24"/>
        </w:rPr>
        <w:t>6</w:t>
      </w:r>
      <w:r>
        <w:rPr>
          <w:rFonts w:hint="eastAsia" w:ascii="宋体" w:hAnsi="宋体"/>
          <w:sz w:val="24"/>
        </w:rPr>
        <w:t>、知识产权</w:t>
      </w:r>
    </w:p>
    <w:p>
      <w:pPr>
        <w:spacing w:line="360" w:lineRule="auto"/>
        <w:ind w:firstLine="480"/>
        <w:rPr>
          <w:rFonts w:ascii="宋体" w:hAnsi="宋体"/>
          <w:sz w:val="24"/>
        </w:rPr>
      </w:pPr>
      <w:r>
        <w:rPr>
          <w:rFonts w:hint="eastAsia" w:ascii="宋体" w:hAnsi="宋体"/>
          <w:sz w:val="24"/>
        </w:rPr>
        <w:t>6</w:t>
      </w:r>
      <w:r>
        <w:rPr>
          <w:rFonts w:ascii="宋体" w:hAnsi="宋体"/>
          <w:sz w:val="24"/>
        </w:rPr>
        <w:t xml:space="preserve">.1 </w:t>
      </w:r>
      <w:r>
        <w:rPr>
          <w:rFonts w:hint="eastAsia" w:ascii="宋体" w:hAnsi="宋体"/>
          <w:sz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rPr>
          <w:rFonts w:ascii="宋体" w:hAnsi="宋体"/>
          <w:sz w:val="24"/>
        </w:rPr>
      </w:pPr>
      <w:r>
        <w:rPr>
          <w:rFonts w:hint="eastAsia" w:ascii="宋体" w:hAnsi="宋体"/>
          <w:sz w:val="24"/>
        </w:rPr>
        <w:t>6</w:t>
      </w:r>
      <w:r>
        <w:rPr>
          <w:rFonts w:ascii="宋体" w:hAnsi="宋体"/>
          <w:sz w:val="24"/>
        </w:rPr>
        <w:t xml:space="preserve">.2 </w:t>
      </w:r>
      <w:r>
        <w:rPr>
          <w:rFonts w:hint="eastAsia" w:ascii="宋体" w:hAnsi="宋体"/>
          <w:sz w:val="24"/>
        </w:rPr>
        <w:t>采购人享有本项目实施过程中产生的知识成果及知识产权。</w:t>
      </w:r>
    </w:p>
    <w:p>
      <w:pPr>
        <w:spacing w:line="360" w:lineRule="auto"/>
        <w:ind w:firstLine="480"/>
        <w:rPr>
          <w:rFonts w:hint="eastAsia" w:ascii="宋体" w:hAnsi="宋体"/>
          <w:sz w:val="24"/>
        </w:rPr>
      </w:pPr>
      <w:r>
        <w:rPr>
          <w:rFonts w:hint="eastAsia" w:ascii="宋体" w:hAnsi="宋体"/>
          <w:sz w:val="24"/>
        </w:rPr>
        <w:t>6</w:t>
      </w:r>
      <w:r>
        <w:rPr>
          <w:rFonts w:ascii="宋体" w:hAnsi="宋体"/>
          <w:sz w:val="24"/>
        </w:rPr>
        <w:t xml:space="preserve">.3 </w:t>
      </w:r>
      <w:r>
        <w:rPr>
          <w:rFonts w:hint="eastAsia" w:ascii="宋体" w:hAnsi="宋体"/>
          <w:sz w:val="24"/>
        </w:rPr>
        <w:t>供应商如拟在项目实施过程中采用自有知识成果，需在响应文件中声明，并提供相关知识产权证明文件。使用该知识成果后，供应商需提供开发接口和开发手册等技术文档，并提供无限期技术支持，采购人享有永久使用权（含采购人委托第三方在该项目后续开发的使用权）。</w:t>
      </w:r>
    </w:p>
    <w:p>
      <w:pPr>
        <w:spacing w:line="360" w:lineRule="auto"/>
        <w:ind w:firstLine="480"/>
        <w:rPr>
          <w:rFonts w:hint="eastAsia" w:ascii="宋体" w:hAnsi="宋体"/>
          <w:sz w:val="24"/>
        </w:rPr>
      </w:pPr>
      <w:r>
        <w:rPr>
          <w:rFonts w:hint="eastAsia" w:ascii="宋体" w:hAnsi="宋体"/>
          <w:sz w:val="24"/>
        </w:rPr>
        <w:t>6.4 如采用供应商所不拥有的知识产权，则在报价中必须包括合法获取该知识产权的相关费用。</w:t>
      </w:r>
    </w:p>
    <w:p>
      <w:pPr>
        <w:pStyle w:val="2"/>
        <w:rPr>
          <w:rFonts w:hint="eastAsia" w:ascii="宋体" w:hAnsi="宋体"/>
          <w:sz w:val="24"/>
        </w:rPr>
      </w:pPr>
    </w:p>
    <w:p>
      <w:pPr>
        <w:rPr>
          <w:rFonts w:hint="eastAsia" w:ascii="宋体" w:hAnsi="宋体"/>
          <w:sz w:val="24"/>
        </w:rPr>
      </w:pPr>
    </w:p>
    <w:p>
      <w:pPr>
        <w:pStyle w:val="2"/>
        <w:rPr>
          <w:rFonts w:hint="eastAsia"/>
          <w:lang w:val="zh-CN"/>
        </w:rPr>
      </w:pPr>
    </w:p>
    <w:bookmarkEnd w:id="156"/>
    <w:bookmarkEnd w:id="157"/>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9" w:name="_Toc74752339"/>
      <w:r>
        <w:rPr>
          <w:rFonts w:hint="eastAsia" w:ascii="宋体" w:hAnsi="宋体"/>
          <w:b/>
          <w:bCs/>
          <w:spacing w:val="-20"/>
          <w:kern w:val="44"/>
          <w:sz w:val="32"/>
          <w:szCs w:val="32"/>
        </w:rPr>
        <w:t>资格性审查</w:t>
      </w:r>
      <w:bookmarkEnd w:id="159"/>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w:t>
      </w:r>
      <w:r>
        <w:rPr>
          <w:rFonts w:hint="eastAsia" w:ascii="宋体" w:hAnsi="宋体"/>
          <w:sz w:val="28"/>
          <w:szCs w:val="28"/>
          <w:lang w:eastAsia="zh-CN"/>
        </w:rPr>
        <w:t>区公资交易中心</w:t>
      </w:r>
      <w:r>
        <w:rPr>
          <w:rFonts w:hint="eastAsia" w:ascii="宋体" w:hAnsi="宋体"/>
          <w:sz w:val="28"/>
          <w:szCs w:val="28"/>
        </w:rPr>
        <w:t>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w:t>
      </w:r>
      <w:r>
        <w:rPr>
          <w:rFonts w:hint="eastAsia" w:ascii="宋体" w:hAnsi="宋体"/>
          <w:sz w:val="28"/>
          <w:szCs w:val="28"/>
          <w:lang w:eastAsia="zh-CN"/>
        </w:rPr>
        <w:t>区公资交易中心</w:t>
      </w:r>
      <w:r>
        <w:rPr>
          <w:rFonts w:hint="eastAsia" w:ascii="宋体" w:hAnsi="宋体"/>
          <w:sz w:val="28"/>
          <w:szCs w:val="28"/>
        </w:rPr>
        <w:t>将以电子邮件形式通知各投标人。资格性审查标准见下表：</w:t>
      </w:r>
    </w:p>
    <w:tbl>
      <w:tblPr>
        <w:tblStyle w:val="4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eastAsia="宋体"/>
                <w:sz w:val="20"/>
                <w:lang w:val="en-US" w:eastAsia="zh-CN"/>
              </w:rPr>
            </w:pPr>
            <w:r>
              <w:rPr>
                <w:rFonts w:hint="eastAsia"/>
                <w:sz w:val="20"/>
                <w:lang w:val="en-US" w:eastAsia="zh-CN"/>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本项目专门面向中小企业（含残疾人福利性单位、监狱企业）采购</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b w:val="0"/>
                <w:sz w:val="20"/>
                <w:szCs w:val="24"/>
                <w:u w:val="none"/>
              </w:rPr>
              <w:t>中小企业应当提供中小企业声明函原件；残疾人福利性单位提供残疾人福利性单位声明函原件；监狱企业提供由省级以上监狱管理局、戒毒管理局（含新疆生产建设兵团）出具的属于监狱企业的证明文件复印件。</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w:t>
      </w:r>
      <w:r>
        <w:rPr>
          <w:rFonts w:hint="eastAsia" w:ascii="宋体" w:hAnsi="宋体"/>
          <w:sz w:val="28"/>
          <w:szCs w:val="28"/>
          <w:lang w:eastAsia="zh-CN"/>
        </w:rPr>
        <w:t>区公资交易中心</w:t>
      </w:r>
      <w:r>
        <w:rPr>
          <w:rFonts w:hint="eastAsia" w:ascii="宋体" w:hAnsi="宋体"/>
          <w:sz w:val="28"/>
          <w:szCs w:val="28"/>
        </w:rPr>
        <w:t>将通知投标人（以现场公示、电话、短信、</w:t>
      </w:r>
      <w:r>
        <w:rPr>
          <w:rFonts w:hint="eastAsia" w:ascii="宋体" w:hAnsi="宋体"/>
          <w:sz w:val="28"/>
          <w:szCs w:val="28"/>
          <w:lang w:eastAsia="zh-CN"/>
        </w:rPr>
        <w:t>区公资交易中心</w:t>
      </w:r>
      <w:r>
        <w:rPr>
          <w:rFonts w:hint="eastAsia" w:ascii="宋体" w:hAnsi="宋体"/>
          <w:sz w:val="28"/>
          <w:szCs w:val="28"/>
        </w:rPr>
        <w:t>网站等任一方式）。投标人如对资格审查结论有异议的，应及时向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将及时告知资格审查小组。（说明：无论投标人是否收到通知或提供反馈意见，均不影响资格审查和评标工作，且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0" w:name="_Toc74752340"/>
      <w:r>
        <w:rPr>
          <w:rFonts w:hint="eastAsia" w:ascii="宋体" w:hAnsi="宋体"/>
          <w:b/>
          <w:bCs/>
          <w:spacing w:val="-20"/>
          <w:kern w:val="44"/>
          <w:sz w:val="32"/>
          <w:szCs w:val="32"/>
        </w:rPr>
        <w:t>评标办法</w:t>
      </w:r>
      <w:bookmarkEnd w:id="160"/>
    </w:p>
    <w:p>
      <w:pPr>
        <w:keepNext/>
        <w:keepLines/>
        <w:numPr>
          <w:ilvl w:val="1"/>
          <w:numId w:val="5"/>
        </w:numPr>
        <w:spacing w:line="360" w:lineRule="auto"/>
        <w:jc w:val="left"/>
        <w:outlineLvl w:val="1"/>
        <w:rPr>
          <w:rFonts w:ascii="宋体" w:hAnsi="宋体"/>
          <w:b/>
          <w:bCs/>
          <w:sz w:val="28"/>
          <w:szCs w:val="28"/>
        </w:rPr>
      </w:pPr>
      <w:bookmarkStart w:id="161" w:name="_Toc74752341"/>
      <w:r>
        <w:rPr>
          <w:rFonts w:hint="eastAsia" w:ascii="宋体" w:hAnsi="宋体"/>
          <w:b/>
          <w:bCs/>
          <w:sz w:val="28"/>
          <w:szCs w:val="28"/>
        </w:rPr>
        <w:t>总则</w:t>
      </w:r>
      <w:bookmarkEnd w:id="161"/>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lang w:eastAsia="zh-CN"/>
        </w:rPr>
        <w:t>区公资交易中心</w:t>
      </w:r>
      <w:r>
        <w:rPr>
          <w:rFonts w:hint="eastAsia" w:ascii="宋体" w:hAnsi="宋体"/>
          <w:sz w:val="28"/>
          <w:szCs w:val="28"/>
        </w:rPr>
        <w:t>负责组织，具体评标事务由采购人或</w:t>
      </w:r>
      <w:r>
        <w:rPr>
          <w:rFonts w:hint="eastAsia" w:cs="Arial"/>
          <w:sz w:val="28"/>
          <w:szCs w:val="28"/>
          <w:lang w:eastAsia="zh-CN"/>
        </w:rPr>
        <w:t>区公资交易中心</w:t>
      </w:r>
      <w:r>
        <w:rPr>
          <w:rFonts w:hint="eastAsia" w:ascii="宋体" w:hAnsi="宋体"/>
          <w:sz w:val="28"/>
          <w:szCs w:val="28"/>
        </w:rPr>
        <w:t>依法组建的评标委员会负责。评标委员会由采购人代表和评审专家组成。</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2"/>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2"/>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2"/>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2"/>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2"/>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2"/>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2"/>
        </w:numPr>
        <w:spacing w:line="360" w:lineRule="auto"/>
        <w:ind w:left="0" w:firstLine="567"/>
        <w:rPr>
          <w:rFonts w:ascii="宋体" w:hAnsi="宋体"/>
          <w:sz w:val="28"/>
          <w:szCs w:val="28"/>
        </w:rPr>
      </w:pPr>
      <w:r>
        <w:rPr>
          <w:rFonts w:hint="eastAsia" w:ascii="宋体" w:hAnsi="宋体"/>
          <w:sz w:val="28"/>
          <w:szCs w:val="28"/>
        </w:rPr>
        <w:t>向采购人、</w:t>
      </w:r>
      <w:r>
        <w:rPr>
          <w:rFonts w:hint="eastAsia" w:ascii="宋体" w:hAnsi="宋体"/>
          <w:sz w:val="28"/>
          <w:szCs w:val="28"/>
          <w:lang w:eastAsia="zh-CN"/>
        </w:rPr>
        <w:t>区公资交易中心</w:t>
      </w:r>
      <w:r>
        <w:rPr>
          <w:rFonts w:hint="eastAsia" w:ascii="宋体" w:hAnsi="宋体"/>
          <w:sz w:val="28"/>
          <w:szCs w:val="28"/>
        </w:rPr>
        <w:t>构或者财政、监察等有关部门报告或举报非法干预评标工作的行为；</w:t>
      </w:r>
    </w:p>
    <w:p>
      <w:pPr>
        <w:numPr>
          <w:ilvl w:val="1"/>
          <w:numId w:val="42"/>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lang w:eastAsia="zh-CN"/>
        </w:rPr>
        <w:t>区公资交易中心</w:t>
      </w:r>
      <w:r>
        <w:rPr>
          <w:rFonts w:hint="eastAsia" w:ascii="宋体" w:hAnsi="宋体"/>
          <w:sz w:val="28"/>
          <w:szCs w:val="28"/>
        </w:rPr>
        <w:t>或者有关部门报告评标中发现的违法行为。</w:t>
      </w:r>
    </w:p>
    <w:p>
      <w:pPr>
        <w:numPr>
          <w:ilvl w:val="1"/>
          <w:numId w:val="42"/>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w:t>
      </w:r>
      <w:r>
        <w:rPr>
          <w:rFonts w:hint="eastAsia" w:ascii="宋体" w:hAnsi="宋体"/>
          <w:sz w:val="28"/>
          <w:szCs w:val="28"/>
          <w:lang w:eastAsia="zh-CN"/>
        </w:rPr>
        <w:t>区公资交易中心</w:t>
      </w:r>
      <w:r>
        <w:rPr>
          <w:rFonts w:hint="eastAsia" w:ascii="宋体" w:hAnsi="宋体"/>
          <w:sz w:val="28"/>
          <w:szCs w:val="28"/>
        </w:rPr>
        <w:t>书面解释说明。</w:t>
      </w:r>
    </w:p>
    <w:p>
      <w:pPr>
        <w:keepNext/>
        <w:keepLines/>
        <w:numPr>
          <w:ilvl w:val="1"/>
          <w:numId w:val="5"/>
        </w:numPr>
        <w:spacing w:line="360" w:lineRule="auto"/>
        <w:jc w:val="left"/>
        <w:outlineLvl w:val="1"/>
        <w:rPr>
          <w:rFonts w:ascii="宋体" w:hAnsi="宋体"/>
          <w:b/>
          <w:bCs/>
          <w:sz w:val="28"/>
          <w:szCs w:val="28"/>
        </w:rPr>
      </w:pPr>
      <w:bookmarkStart w:id="162" w:name="_Toc74752342"/>
      <w:r>
        <w:rPr>
          <w:rFonts w:hint="eastAsia" w:ascii="宋体" w:hAnsi="宋体"/>
          <w:b/>
          <w:bCs/>
          <w:sz w:val="28"/>
          <w:szCs w:val="28"/>
        </w:rPr>
        <w:t>评标方法</w:t>
      </w:r>
      <w:bookmarkEnd w:id="162"/>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3" w:name="_Toc74752343"/>
      <w:r>
        <w:rPr>
          <w:rFonts w:hint="eastAsia" w:ascii="宋体" w:hAnsi="宋体"/>
          <w:b/>
          <w:bCs/>
          <w:sz w:val="28"/>
          <w:szCs w:val="28"/>
        </w:rPr>
        <w:t>评标程序</w:t>
      </w:r>
      <w:bookmarkEnd w:id="163"/>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eastAsia="宋体" w:cs="宋体"/>
                <w:sz w:val="24"/>
                <w:szCs w:val="28"/>
              </w:rPr>
              <w:t>▲</w:t>
            </w:r>
            <w:r>
              <w:rPr>
                <w:rFonts w:hint="eastAsia" w:ascii="宋体" w:hAnsi="宋体"/>
                <w:sz w:val="24"/>
                <w:szCs w:val="28"/>
              </w:rPr>
              <w:t>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eastAsia="宋体" w:cs="宋体"/>
                <w:sz w:val="24"/>
                <w:szCs w:val="28"/>
              </w:rPr>
              <w:t>▲</w:t>
            </w:r>
            <w:r>
              <w:rPr>
                <w:rFonts w:hint="eastAsia" w:ascii="宋体" w:hAnsi="宋体"/>
                <w:sz w:val="24"/>
                <w:szCs w:val="28"/>
              </w:rPr>
              <w:t>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rPr>
                <w:sz w:val="24"/>
              </w:rPr>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w:t>
      </w:r>
      <w:r>
        <w:rPr>
          <w:rFonts w:hint="eastAsia" w:ascii="宋体" w:hAnsi="宋体"/>
          <w:sz w:val="28"/>
          <w:szCs w:val="28"/>
          <w:lang w:eastAsia="zh-CN"/>
        </w:rPr>
        <w:t>区公资交易中心</w:t>
      </w:r>
      <w:r>
        <w:rPr>
          <w:rFonts w:hint="eastAsia" w:ascii="宋体" w:hAnsi="宋体"/>
          <w:sz w:val="28"/>
          <w:szCs w:val="28"/>
        </w:rPr>
        <w:t>将通知投标人（以现场公示、电话、短信、</w:t>
      </w:r>
      <w:r>
        <w:rPr>
          <w:rFonts w:hint="eastAsia" w:ascii="宋体" w:hAnsi="宋体"/>
          <w:sz w:val="28"/>
          <w:szCs w:val="28"/>
          <w:lang w:eastAsia="zh-CN"/>
        </w:rPr>
        <w:t>区公资交易中心</w:t>
      </w:r>
      <w:r>
        <w:rPr>
          <w:rFonts w:hint="eastAsia" w:ascii="宋体" w:hAnsi="宋体"/>
          <w:sz w:val="28"/>
          <w:szCs w:val="28"/>
        </w:rPr>
        <w:t>网站等任一方式）。投标人如对评审结论有异议的，应及时向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在评审结束前将收到的反馈意见及时告知评标委员会。（说明：无论投标人是否收到通知或提供反馈意见，均不影响评标委员会的评标工作，且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w:t>
      </w:r>
      <w:r>
        <w:rPr>
          <w:rFonts w:hint="eastAsia" w:ascii="宋体" w:hAnsi="宋体"/>
          <w:sz w:val="28"/>
          <w:szCs w:val="28"/>
          <w:lang w:eastAsia="zh-CN"/>
        </w:rPr>
        <w:t>区公资交易中心</w:t>
      </w:r>
      <w:r>
        <w:rPr>
          <w:rFonts w:hint="eastAsia" w:ascii="宋体" w:hAnsi="宋体"/>
          <w:sz w:val="28"/>
          <w:szCs w:val="28"/>
        </w:rPr>
        <w:t>书面解释。</w:t>
      </w:r>
      <w:r>
        <w:rPr>
          <w:rFonts w:hint="eastAsia" w:ascii="宋体" w:hAnsi="宋体"/>
          <w:sz w:val="28"/>
          <w:szCs w:val="28"/>
          <w:lang w:eastAsia="zh-CN"/>
        </w:rPr>
        <w:t>区公资交易中心</w:t>
      </w:r>
      <w:r>
        <w:rPr>
          <w:rFonts w:hint="eastAsia" w:ascii="宋体" w:hAnsi="宋体"/>
          <w:sz w:val="28"/>
          <w:szCs w:val="28"/>
        </w:rPr>
        <w:t>的解释不得改变招标文件的原义或者影响公平、公正，解释事项如果涉及投标人权益的以有利于投标人的原则进行解释。</w:t>
      </w:r>
    </w:p>
    <w:p>
      <w:pPr>
        <w:numPr>
          <w:ilvl w:val="0"/>
          <w:numId w:val="43"/>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4"/>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4"/>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4"/>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lang w:eastAsia="zh-CN"/>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5"/>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5"/>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5"/>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5"/>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4" w:name="_Toc74752344"/>
      <w:r>
        <w:rPr>
          <w:rFonts w:hint="eastAsia" w:ascii="宋体" w:hAnsi="宋体"/>
          <w:b/>
          <w:bCs/>
          <w:sz w:val="28"/>
          <w:szCs w:val="28"/>
        </w:rPr>
        <w:t>评标争议处理规则</w:t>
      </w:r>
      <w:bookmarkEnd w:id="164"/>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lang w:eastAsia="zh-CN"/>
        </w:rPr>
        <w:t>区公资交易中心</w:t>
      </w:r>
      <w:r>
        <w:rPr>
          <w:rFonts w:hint="eastAsia" w:ascii="宋体" w:hAnsi="宋体"/>
          <w:sz w:val="28"/>
          <w:szCs w:val="28"/>
        </w:rPr>
        <w:t>书面反映。采购人或</w:t>
      </w:r>
      <w:r>
        <w:rPr>
          <w:rFonts w:hint="eastAsia" w:cs="Arial"/>
          <w:sz w:val="28"/>
          <w:szCs w:val="28"/>
          <w:lang w:eastAsia="zh-CN"/>
        </w:rPr>
        <w:t>区公资交易中心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65" w:name="_Toc74752345"/>
      <w:r>
        <w:rPr>
          <w:rFonts w:hint="eastAsia" w:ascii="宋体" w:hAnsi="宋体"/>
          <w:b/>
          <w:bCs/>
          <w:sz w:val="28"/>
          <w:szCs w:val="28"/>
        </w:rPr>
        <w:t>评标细则及标准</w:t>
      </w:r>
      <w:bookmarkEnd w:id="165"/>
    </w:p>
    <w:p>
      <w:pPr>
        <w:numPr>
          <w:ilvl w:val="0"/>
          <w:numId w:val="47"/>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7"/>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7"/>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tbl>
      <w:tblPr>
        <w:tblStyle w:val="46"/>
        <w:tblW w:w="9725" w:type="dxa"/>
        <w:jc w:val="center"/>
        <w:tblInd w:w="0" w:type="dxa"/>
        <w:tblLayout w:type="fixed"/>
        <w:tblCellMar>
          <w:top w:w="0" w:type="dxa"/>
          <w:left w:w="108" w:type="dxa"/>
          <w:bottom w:w="0" w:type="dxa"/>
          <w:right w:w="108" w:type="dxa"/>
        </w:tblCellMar>
      </w:tblPr>
      <w:tblGrid>
        <w:gridCol w:w="497"/>
        <w:gridCol w:w="1206"/>
        <w:gridCol w:w="708"/>
        <w:gridCol w:w="5670"/>
        <w:gridCol w:w="1644"/>
      </w:tblGrid>
      <w:tr>
        <w:tblPrEx>
          <w:tblLayout w:type="fixed"/>
          <w:tblCellMar>
            <w:top w:w="0" w:type="dxa"/>
            <w:left w:w="108" w:type="dxa"/>
            <w:bottom w:w="0" w:type="dxa"/>
            <w:right w:w="108" w:type="dxa"/>
          </w:tblCellMar>
        </w:tblPrEx>
        <w:trPr>
          <w:trHeight w:val="734"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b/>
              </w:rPr>
            </w:pPr>
            <w:r>
              <w:rPr>
                <w:rFonts w:ascii="宋体" w:hAnsi="宋体" w:eastAsia="宋体"/>
                <w:b/>
              </w:rPr>
              <w:t>序号</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b/>
              </w:rPr>
            </w:pPr>
            <w:r>
              <w:rPr>
                <w:rFonts w:ascii="宋体" w:hAnsi="宋体" w:eastAsia="宋体"/>
                <w:b/>
              </w:rPr>
              <w:t>评分因素</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ind w:firstLine="28"/>
              <w:jc w:val="center"/>
              <w:rPr>
                <w:rFonts w:ascii="宋体" w:hAnsi="宋体" w:eastAsia="宋体"/>
                <w:b/>
              </w:rPr>
            </w:pPr>
            <w:r>
              <w:rPr>
                <w:rFonts w:ascii="宋体" w:hAnsi="宋体" w:eastAsia="宋体"/>
                <w:b/>
              </w:rPr>
              <w:t>分值</w:t>
            </w:r>
          </w:p>
        </w:tc>
        <w:tc>
          <w:tcPr>
            <w:tcW w:w="5670" w:type="dxa"/>
            <w:tcBorders>
              <w:top w:val="single" w:color="000000" w:sz="4" w:space="0"/>
              <w:bottom w:val="single" w:color="000000" w:sz="4" w:space="0"/>
              <w:right w:val="single" w:color="000000" w:sz="4" w:space="0"/>
            </w:tcBorders>
            <w:vAlign w:val="center"/>
          </w:tcPr>
          <w:p>
            <w:pPr>
              <w:autoSpaceDN w:val="0"/>
              <w:spacing w:line="360" w:lineRule="auto"/>
              <w:ind w:firstLine="28"/>
              <w:jc w:val="center"/>
              <w:rPr>
                <w:rFonts w:ascii="宋体" w:hAnsi="宋体" w:eastAsia="宋体"/>
                <w:b/>
              </w:rPr>
            </w:pPr>
            <w:r>
              <w:rPr>
                <w:rFonts w:ascii="宋体" w:hAnsi="宋体" w:eastAsia="宋体"/>
                <w:b/>
              </w:rPr>
              <w:t>评分标准</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ind w:firstLine="28"/>
              <w:jc w:val="center"/>
              <w:rPr>
                <w:rFonts w:ascii="宋体" w:hAnsi="宋体" w:eastAsia="宋体"/>
                <w:b/>
              </w:rPr>
            </w:pPr>
            <w:r>
              <w:rPr>
                <w:rFonts w:ascii="宋体" w:hAnsi="Times New Roman"/>
                <w:b/>
              </w:rPr>
              <w:t>备注</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1</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报价</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30</w:t>
            </w:r>
            <w:r>
              <w:rPr>
                <w:rFonts w:ascii="宋体" w:hAnsi="Times New Roman"/>
              </w:rPr>
              <w:t>分</w:t>
            </w:r>
          </w:p>
        </w:tc>
        <w:tc>
          <w:tcPr>
            <w:tcW w:w="5670" w:type="dxa"/>
            <w:tcBorders>
              <w:top w:val="single" w:color="000000" w:sz="4" w:space="0"/>
              <w:bottom w:val="single" w:color="000000" w:sz="4" w:space="0"/>
              <w:right w:val="single" w:color="000000" w:sz="4" w:space="0"/>
            </w:tcBorders>
          </w:tcPr>
          <w:p>
            <w:pPr>
              <w:autoSpaceDN w:val="0"/>
              <w:spacing w:line="360" w:lineRule="auto"/>
              <w:rPr>
                <w:rFonts w:ascii="宋体" w:hAnsi="宋体" w:eastAsia="宋体"/>
              </w:rPr>
            </w:pPr>
            <w:r>
              <w:rPr>
                <w:rFonts w:ascii="宋体" w:hAnsi="Times New Roman"/>
              </w:rPr>
              <w:t>以本次最低有效投标报价为基准价，投标报价得分=(基准价／投标报价)×</w:t>
            </w:r>
            <w:r>
              <w:rPr>
                <w:rFonts w:ascii="宋体" w:hAnsi="宋体" w:eastAsia="宋体"/>
              </w:rPr>
              <w:t>30</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2</w:t>
            </w:r>
          </w:p>
        </w:tc>
        <w:tc>
          <w:tcPr>
            <w:tcW w:w="1206" w:type="dxa"/>
            <w:tcBorders>
              <w:top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技术指标和配置</w:t>
            </w:r>
          </w:p>
        </w:tc>
        <w:tc>
          <w:tcPr>
            <w:tcW w:w="708" w:type="dxa"/>
            <w:tcBorders>
              <w:top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34</w:t>
            </w:r>
            <w:r>
              <w:rPr>
                <w:rFonts w:ascii="宋体" w:hAnsi="Times New Roman"/>
              </w:rPr>
              <w:t>分</w:t>
            </w:r>
          </w:p>
        </w:tc>
        <w:tc>
          <w:tcPr>
            <w:tcW w:w="5670" w:type="dxa"/>
            <w:tcBorders>
              <w:top w:val="single" w:color="000000" w:sz="4" w:space="0"/>
              <w:bottom w:val="single" w:color="000000" w:sz="4" w:space="0"/>
              <w:right w:val="single" w:color="000000" w:sz="4" w:space="0"/>
            </w:tcBorders>
          </w:tcPr>
          <w:p>
            <w:pPr>
              <w:autoSpaceDN w:val="0"/>
              <w:spacing w:line="360" w:lineRule="auto"/>
              <w:rPr>
                <w:rFonts w:ascii="宋体" w:hAnsi="宋体" w:eastAsia="宋体"/>
              </w:rPr>
            </w:pPr>
            <w:r>
              <w:rPr>
                <w:rFonts w:ascii="宋体" w:hAnsi="Times New Roman"/>
              </w:rPr>
              <w:t>1、投标人针对一般技术参数条款的响应得分规则如下：（一般技术参数条款是指：以产品为计算单元，其所包含的所有技术参数条款逐项视为一条一般技术参数条款）</w:t>
            </w:r>
          </w:p>
          <w:p>
            <w:pPr>
              <w:autoSpaceDN w:val="0"/>
              <w:spacing w:line="360" w:lineRule="auto"/>
              <w:rPr>
                <w:rFonts w:ascii="宋体" w:hAnsi="宋体" w:eastAsia="宋体"/>
              </w:rPr>
            </w:pPr>
            <w:r>
              <w:rPr>
                <w:rFonts w:ascii="宋体" w:hAnsi="Times New Roman"/>
              </w:rPr>
              <w:t>一般技术参数条款响应得分=（投标人满足一般技术参数条款的数量÷对应包件中一般技术参数条款的总数量）×</w:t>
            </w:r>
            <w:r>
              <w:rPr>
                <w:rFonts w:ascii="宋体" w:hAnsi="宋体" w:eastAsia="宋体"/>
              </w:rPr>
              <w:t>10</w:t>
            </w:r>
            <w:r>
              <w:rPr>
                <w:rFonts w:ascii="宋体" w:hAnsi="Times New Roman"/>
              </w:rPr>
              <w:t>分。满足带</w:t>
            </w:r>
            <w:r>
              <w:rPr>
                <w:rFonts w:ascii="Arial" w:hAnsi="Arial" w:eastAsia="Arial"/>
                <w:color w:val="000000" w:themeColor="text1"/>
                <w:sz w:val="18"/>
                <w:szCs w:val="18"/>
                <w14:textFill>
                  <w14:solidFill>
                    <w14:schemeClr w14:val="tx1"/>
                  </w14:solidFill>
                </w14:textFill>
              </w:rPr>
              <w:t>★</w:t>
            </w:r>
            <w:r>
              <w:rPr>
                <w:rFonts w:ascii="Arial" w:hAnsi="Arial" w:eastAsia="Arial"/>
                <w:color w:val="000000" w:themeColor="text1"/>
                <w14:textFill>
                  <w14:solidFill>
                    <w14:schemeClr w14:val="tx1"/>
                  </w14:solidFill>
                </w14:textFill>
              </w:rPr>
              <w:t>的重要技术参数的，满分12分，每一项不满足扣一分。</w:t>
            </w:r>
          </w:p>
          <w:p>
            <w:pPr>
              <w:autoSpaceDN w:val="0"/>
              <w:spacing w:line="360" w:lineRule="auto"/>
              <w:rPr>
                <w:rFonts w:ascii="宋体" w:hAnsi="宋体" w:eastAsia="宋体"/>
              </w:rPr>
            </w:pPr>
            <w:r>
              <w:rPr>
                <w:rFonts w:ascii="宋体" w:hAnsi="Times New Roman"/>
              </w:rPr>
              <w:t>注：</w:t>
            </w:r>
          </w:p>
          <w:p>
            <w:pPr>
              <w:autoSpaceDN w:val="0"/>
              <w:spacing w:line="360" w:lineRule="auto"/>
              <w:rPr>
                <w:rFonts w:ascii="宋体" w:hAnsi="宋体" w:eastAsia="宋体"/>
              </w:rPr>
            </w:pPr>
            <w:r>
              <w:rPr>
                <w:rFonts w:ascii="宋体" w:hAnsi="Times New Roman"/>
              </w:rPr>
              <w:t>①针对一般技术参数条款的技术响应，如果技术条款对技术支撑材料有要求，应按要求提供，否则对应技术参数条款将视为不满足。针对一般技术参数条款的技术响应，产品中涉及技术参数为多项条款的，其中任意一条及以上技术参数条款的偏离的，视为此项一般技术参数条款偏离。</w:t>
            </w:r>
          </w:p>
          <w:p>
            <w:pPr>
              <w:autoSpaceDN w:val="0"/>
              <w:spacing w:line="360" w:lineRule="auto"/>
              <w:rPr>
                <w:rFonts w:ascii="宋体" w:hAnsi="Times New Roman"/>
              </w:rPr>
            </w:pPr>
            <w:r>
              <w:rPr>
                <w:rFonts w:ascii="宋体" w:hAnsi="Times New Roman"/>
              </w:rPr>
              <w:t>②得分保留小数点后两位小数，四舍五入。</w:t>
            </w:r>
          </w:p>
          <w:p>
            <w:pPr>
              <w:autoSpaceDN w:val="0"/>
              <w:spacing w:line="360" w:lineRule="auto"/>
              <w:rPr>
                <w:rFonts w:ascii="宋体" w:hAnsi="宋体" w:eastAsia="宋体"/>
              </w:rPr>
            </w:pPr>
            <w:r>
              <w:rPr>
                <w:rFonts w:ascii="宋体" w:hAnsi="Times New Roman"/>
              </w:rPr>
              <w:t>2、投标人或产品制造商提供2019年以来成品检验报告：木质涂饰办公桌、皮转椅、木质涂饰书柜、木质涂饰茶水柜、木质涂饰茶几、皮沙发、网面转椅、铝合金骨架工作位、钢制文件柜、主席台、实木架办公椅、木质涂饰演讲台、木质涂饰条形桌、木质涂饰会议桌、实木架会议椅、礼堂椅、木质覆面办公桌、布艺沙发、密集架、钢木茶几，缺一项扣</w:t>
            </w:r>
            <w:r>
              <w:rPr>
                <w:rFonts w:ascii="宋体" w:hAnsi="宋体" w:eastAsia="宋体"/>
              </w:rPr>
              <w:t>0.3</w:t>
            </w:r>
            <w:r>
              <w:rPr>
                <w:rFonts w:ascii="宋体" w:hAnsi="Times New Roman"/>
              </w:rPr>
              <w:t>分，扣完为止。（本项满分6分）</w:t>
            </w:r>
          </w:p>
          <w:p>
            <w:pPr>
              <w:autoSpaceDN w:val="0"/>
              <w:spacing w:line="360" w:lineRule="auto"/>
              <w:rPr>
                <w:rFonts w:ascii="宋体" w:hAnsi="宋体" w:eastAsia="宋体"/>
              </w:rPr>
            </w:pPr>
            <w:r>
              <w:rPr>
                <w:rFonts w:ascii="宋体" w:hAnsi="Times New Roman"/>
              </w:rPr>
              <w:t>3、投标人或产品制造商提供2019年以来原材料检验报告：柏腊木皮、水性高透明底漆、水性UV X分哑面漆、过线盒、三合一连接件、阻尼铰链、锁具、不锈钢锁扣、滑轮、实木框架、绷带、弹簧、实木、净味拼板胶、E1级实木颗粒板、高密度定型绵、E1级实木多层板、钢制垫片、麻面布料、门板磁碰，缺一项扣</w:t>
            </w:r>
            <w:r>
              <w:rPr>
                <w:rFonts w:ascii="宋体" w:hAnsi="宋体" w:eastAsia="宋体"/>
              </w:rPr>
              <w:t>0.3</w:t>
            </w:r>
            <w:r>
              <w:rPr>
                <w:rFonts w:ascii="宋体" w:hAnsi="Times New Roman"/>
              </w:rPr>
              <w:t>分，扣完为止。（本项满分6分）</w:t>
            </w:r>
          </w:p>
        </w:tc>
        <w:tc>
          <w:tcPr>
            <w:tcW w:w="1644" w:type="dxa"/>
            <w:tcBorders>
              <w:top w:val="single" w:color="000000" w:sz="4" w:space="0"/>
              <w:right w:val="single" w:color="000000" w:sz="4" w:space="0"/>
            </w:tcBorders>
            <w:vAlign w:val="center"/>
          </w:tcPr>
          <w:p>
            <w:pPr>
              <w:spacing w:line="360" w:lineRule="auto"/>
              <w:jc w:val="center"/>
              <w:rPr>
                <w:rFonts w:ascii="宋体" w:hAnsi="宋体" w:eastAsia="宋体"/>
              </w:rPr>
            </w:pPr>
            <w:r>
              <w:rPr>
                <w:rFonts w:ascii="宋体" w:hAnsi="Times New Roman"/>
              </w:rPr>
              <w:t>投标人须认真核实所有技术支持资料，并对其在投标文件中提供的技术支持资料的真实性负责，并承担由此带来的一切法律责任和后果。</w:t>
            </w:r>
          </w:p>
          <w:p>
            <w:pPr>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auto" w:sz="4" w:space="0"/>
              <w:bottom w:val="single" w:color="auto"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shd w:val="clear" w:color="000000" w:fill="FFFFFF" w:themeFill="background1"/>
              </w:rPr>
              <w:t>3</w:t>
            </w:r>
          </w:p>
        </w:tc>
        <w:tc>
          <w:tcPr>
            <w:tcW w:w="1206" w:type="dxa"/>
            <w:tcBorders>
              <w:top w:val="single" w:color="000000" w:sz="4" w:space="0"/>
              <w:bottom w:val="single" w:color="auto"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投标</w:t>
            </w:r>
          </w:p>
          <w:p>
            <w:pPr>
              <w:autoSpaceDN w:val="0"/>
              <w:spacing w:line="360" w:lineRule="auto"/>
              <w:jc w:val="center"/>
              <w:rPr>
                <w:rFonts w:ascii="宋体" w:hAnsi="宋体" w:eastAsia="宋体"/>
              </w:rPr>
            </w:pPr>
            <w:r>
              <w:rPr>
                <w:rFonts w:ascii="宋体" w:hAnsi="Times New Roman"/>
              </w:rPr>
              <w:t>样品</w:t>
            </w:r>
          </w:p>
        </w:tc>
        <w:tc>
          <w:tcPr>
            <w:tcW w:w="708" w:type="dxa"/>
            <w:tcBorders>
              <w:top w:val="single" w:color="000000" w:sz="4" w:space="0"/>
              <w:bottom w:val="single" w:color="auto"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12</w:t>
            </w:r>
            <w:r>
              <w:rPr>
                <w:rFonts w:ascii="宋体" w:hAnsi="Times New Roman"/>
              </w:rPr>
              <w:t>分</w:t>
            </w:r>
          </w:p>
        </w:tc>
        <w:tc>
          <w:tcPr>
            <w:tcW w:w="5670" w:type="dxa"/>
            <w:tcBorders>
              <w:top w:val="single" w:color="000000" w:sz="4" w:space="0"/>
              <w:bottom w:val="single" w:color="000000" w:sz="4" w:space="0"/>
              <w:right w:val="single" w:color="000000" w:sz="4" w:space="0"/>
            </w:tcBorders>
            <w:vAlign w:val="center"/>
          </w:tcPr>
          <w:p>
            <w:pPr>
              <w:autoSpaceDN w:val="0"/>
              <w:spacing w:line="360" w:lineRule="auto"/>
              <w:rPr>
                <w:rFonts w:ascii="宋体" w:hAnsi="宋体" w:eastAsia="宋体"/>
              </w:rPr>
            </w:pPr>
            <w:r>
              <w:rPr>
                <w:rFonts w:ascii="宋体" w:hAnsi="宋体" w:eastAsia="宋体" w:cs="宋体"/>
                <w:sz w:val="24"/>
                <w:szCs w:val="24"/>
              </w:rPr>
              <w:t>按</w:t>
            </w:r>
            <w:r>
              <w:rPr>
                <w:rFonts w:ascii="宋体" w:hAnsi="Times New Roman"/>
              </w:rPr>
              <w:t>照招标文件中技术参数和规格要求提供实物样品：序号16网面转椅一把；序号18屏风工作位一位；序号37礼堂椅一座；序号38合班课桌椅一套。本项最多得12分；评标委员会现场查看样品，进行评分。</w:t>
            </w:r>
            <w:r>
              <w:rPr>
                <w:rFonts w:ascii="宋体" w:hAnsi="Times New Roman"/>
              </w:rPr>
              <w:br w:type="textWrapping"/>
            </w:r>
            <w:r>
              <w:rPr>
                <w:rFonts w:ascii="宋体" w:hAnsi="Times New Roman"/>
              </w:rPr>
              <w:t>1、尺寸、比例满足技术要求，无明显失衡；</w:t>
            </w:r>
            <w:r>
              <w:rPr>
                <w:rFonts w:ascii="宋体" w:hAnsi="Times New Roman"/>
              </w:rPr>
              <w:br w:type="textWrapping"/>
            </w:r>
            <w:r>
              <w:rPr>
                <w:rFonts w:ascii="宋体" w:hAnsi="Times New Roman"/>
              </w:rPr>
              <w:t>2、漆面平整光滑无起皮、聚点、起皱现象；</w:t>
            </w:r>
            <w:r>
              <w:rPr>
                <w:rFonts w:ascii="宋体" w:hAnsi="Times New Roman"/>
              </w:rPr>
              <w:br w:type="textWrapping"/>
            </w:r>
            <w:r>
              <w:rPr>
                <w:rFonts w:ascii="宋体" w:hAnsi="Times New Roman"/>
              </w:rPr>
              <w:t>3、皮面光亮、无起毛、损伤、不均匀现象；</w:t>
            </w:r>
            <w:r>
              <w:rPr>
                <w:rFonts w:ascii="宋体" w:hAnsi="Times New Roman"/>
              </w:rPr>
              <w:br w:type="textWrapping"/>
            </w:r>
            <w:r>
              <w:rPr>
                <w:rFonts w:ascii="宋体" w:hAnsi="Times New Roman"/>
              </w:rPr>
              <w:t>4、制作工艺（平整度、弯曲度、折线）满足采购技术要求。每有一项满足要求的得3分，每有一项不满足不得分，本</w:t>
            </w:r>
            <w:r>
              <w:rPr>
                <w:rFonts w:hint="eastAsia" w:ascii="宋体" w:hAnsi="Times New Roman"/>
                <w:lang w:eastAsia="zh-CN"/>
              </w:rPr>
              <w:t>项</w:t>
            </w:r>
            <w:r>
              <w:rPr>
                <w:rFonts w:ascii="宋体" w:hAnsi="Times New Roman"/>
              </w:rPr>
              <w:t>最高得12分。</w:t>
            </w:r>
            <w:r>
              <w:rPr>
                <w:rFonts w:ascii="宋体" w:hAnsi="Times New Roman"/>
              </w:rPr>
              <w:br w:type="textWrapping"/>
            </w:r>
            <w:r>
              <w:rPr>
                <w:rFonts w:ascii="宋体" w:hAnsi="Times New Roman"/>
              </w:rPr>
              <w:t>注：样品提供不符合要求或提供不齐全不得分，但不作为废标处理。</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rPr>
            </w:pPr>
            <w:r>
              <w:rPr>
                <w:rFonts w:ascii="宋体" w:hAnsi="Times New Roman"/>
              </w:rPr>
              <w:t>（共同评分因素</w:t>
            </w:r>
            <w:r>
              <w:rPr>
                <w:rFonts w:ascii="宋体" w:hAnsi="Times New Roman"/>
                <w:shd w:val="clear" w:color="000000" w:fill="FFFFFF" w:themeFill="background1"/>
              </w:rPr>
              <w:t>)　</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auto"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4</w:t>
            </w:r>
          </w:p>
        </w:tc>
        <w:tc>
          <w:tcPr>
            <w:tcW w:w="1206" w:type="dxa"/>
            <w:tcBorders>
              <w:top w:val="single" w:color="auto"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履约能力</w:t>
            </w:r>
          </w:p>
        </w:tc>
        <w:tc>
          <w:tcPr>
            <w:tcW w:w="708" w:type="dxa"/>
            <w:tcBorders>
              <w:top w:val="single" w:color="auto"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hint="eastAsia" w:ascii="宋体" w:hAnsi="宋体"/>
                <w:lang w:val="en-US" w:eastAsia="zh-CN"/>
              </w:rPr>
              <w:t>9</w:t>
            </w:r>
            <w:r>
              <w:rPr>
                <w:rFonts w:ascii="宋体" w:hAnsi="Times New Roman"/>
              </w:rPr>
              <w:t>分</w:t>
            </w:r>
          </w:p>
        </w:tc>
        <w:tc>
          <w:tcPr>
            <w:tcW w:w="5670" w:type="dxa"/>
            <w:tcBorders>
              <w:top w:val="single" w:color="000000" w:sz="4" w:space="0"/>
              <w:bottom w:val="single" w:color="000000" w:sz="4" w:space="0"/>
              <w:right w:val="single" w:color="000000" w:sz="4" w:space="0"/>
            </w:tcBorders>
          </w:tcPr>
          <w:p>
            <w:pPr>
              <w:autoSpaceDN w:val="0"/>
              <w:spacing w:line="360" w:lineRule="auto"/>
              <w:rPr>
                <w:rFonts w:ascii="宋体" w:hAnsi="宋体" w:eastAsia="宋体"/>
              </w:rPr>
            </w:pPr>
            <w:r>
              <w:rPr>
                <w:rFonts w:ascii="宋体" w:hAnsi="Times New Roman"/>
              </w:rPr>
              <w:t>1、</w:t>
            </w:r>
            <w:r>
              <w:rPr>
                <w:rFonts w:hint="eastAsia" w:ascii="宋体" w:hAnsi="Times New Roman"/>
                <w:lang w:eastAsia="zh-CN"/>
              </w:rPr>
              <w:t>投标人或</w:t>
            </w:r>
            <w:r>
              <w:rPr>
                <w:rFonts w:ascii="宋体" w:hAnsi="Times New Roman"/>
              </w:rPr>
              <w:t>产品制造商获得过家具制造业《绿色工厂》证书的得</w:t>
            </w:r>
            <w:r>
              <w:rPr>
                <w:rFonts w:hint="eastAsia" w:ascii="宋体" w:hAnsi="Times New Roman"/>
                <w:lang w:val="en-US" w:eastAsia="zh-CN"/>
              </w:rPr>
              <w:t>3</w:t>
            </w:r>
            <w:r>
              <w:rPr>
                <w:rFonts w:ascii="宋体" w:hAnsi="Times New Roman"/>
              </w:rPr>
              <w:t>分，不提供不得分，本项满分</w:t>
            </w:r>
            <w:r>
              <w:rPr>
                <w:rFonts w:hint="eastAsia" w:ascii="宋体" w:hAnsi="Times New Roman"/>
                <w:lang w:val="en-US" w:eastAsia="zh-CN"/>
              </w:rPr>
              <w:t>3</w:t>
            </w:r>
            <w:r>
              <w:rPr>
                <w:rFonts w:ascii="宋体" w:hAnsi="Times New Roman"/>
              </w:rPr>
              <w:t>分。</w:t>
            </w:r>
          </w:p>
          <w:p>
            <w:pPr>
              <w:autoSpaceDN w:val="0"/>
              <w:spacing w:line="360" w:lineRule="auto"/>
              <w:rPr>
                <w:rFonts w:ascii="宋体" w:hAnsi="宋体" w:eastAsia="宋体"/>
              </w:rPr>
            </w:pPr>
            <w:r>
              <w:rPr>
                <w:rFonts w:ascii="宋体" w:hAnsi="Times New Roman"/>
              </w:rPr>
              <w:t>2、</w:t>
            </w:r>
            <w:r>
              <w:rPr>
                <w:rFonts w:hint="eastAsia" w:ascii="宋体" w:hAnsi="Times New Roman"/>
                <w:lang w:eastAsia="zh-CN"/>
              </w:rPr>
              <w:t>投标人或</w:t>
            </w:r>
            <w:r>
              <w:rPr>
                <w:rFonts w:ascii="宋体" w:hAnsi="Times New Roman"/>
              </w:rPr>
              <w:t>产品制造商属于安全生产标准化企业：安全标准化二级及以上企业的得</w:t>
            </w:r>
            <w:r>
              <w:rPr>
                <w:rFonts w:hint="eastAsia" w:ascii="宋体" w:hAnsi="Times New Roman"/>
                <w:lang w:val="en-US" w:eastAsia="zh-CN"/>
              </w:rPr>
              <w:t>4</w:t>
            </w:r>
            <w:r>
              <w:rPr>
                <w:rFonts w:ascii="宋体" w:hAnsi="Times New Roman"/>
              </w:rPr>
              <w:t>分，三级企业的得</w:t>
            </w:r>
            <w:r>
              <w:rPr>
                <w:rFonts w:hint="eastAsia" w:ascii="宋体" w:hAnsi="Times New Roman"/>
                <w:lang w:val="en-US" w:eastAsia="zh-CN"/>
              </w:rPr>
              <w:t>2</w:t>
            </w:r>
            <w:r>
              <w:rPr>
                <w:rFonts w:ascii="宋体" w:hAnsi="Times New Roman"/>
              </w:rPr>
              <w:t>分，其他不得分，本项满分</w:t>
            </w:r>
            <w:r>
              <w:rPr>
                <w:rFonts w:hint="eastAsia" w:ascii="宋体" w:hAnsi="Times New Roman"/>
                <w:lang w:val="en-US" w:eastAsia="zh-CN"/>
              </w:rPr>
              <w:t>4</w:t>
            </w:r>
            <w:r>
              <w:rPr>
                <w:rFonts w:ascii="宋体" w:hAnsi="Times New Roman"/>
              </w:rPr>
              <w:t>分。</w:t>
            </w:r>
          </w:p>
          <w:p>
            <w:pPr>
              <w:autoSpaceDN w:val="0"/>
              <w:spacing w:line="360" w:lineRule="auto"/>
              <w:rPr>
                <w:rFonts w:ascii="宋体" w:hAnsi="宋体" w:eastAsia="宋体"/>
              </w:rPr>
            </w:pPr>
            <w:r>
              <w:rPr>
                <w:rFonts w:hint="eastAsia" w:ascii="宋体" w:hAnsi="Times New Roman"/>
                <w:lang w:val="en-US" w:eastAsia="zh-CN"/>
              </w:rPr>
              <w:t>3</w:t>
            </w:r>
            <w:r>
              <w:rPr>
                <w:rFonts w:ascii="宋体" w:hAnsi="Times New Roman"/>
              </w:rPr>
              <w:t>、</w:t>
            </w:r>
            <w:r>
              <w:rPr>
                <w:rFonts w:hint="eastAsia" w:ascii="宋体" w:hAnsi="Times New Roman"/>
                <w:lang w:eastAsia="zh-CN"/>
              </w:rPr>
              <w:t>投标人或</w:t>
            </w:r>
            <w:r>
              <w:rPr>
                <w:rFonts w:ascii="宋体" w:hAnsi="Times New Roman"/>
              </w:rPr>
              <w:t>产品制造商购买有效期内的《财产综合保险》的得</w:t>
            </w:r>
            <w:r>
              <w:rPr>
                <w:rFonts w:hint="eastAsia" w:ascii="宋体" w:hAnsi="Times New Roman"/>
                <w:lang w:val="en-US" w:eastAsia="zh-CN"/>
              </w:rPr>
              <w:t>2</w:t>
            </w:r>
            <w:r>
              <w:rPr>
                <w:rFonts w:ascii="宋体" w:hAnsi="Times New Roman"/>
              </w:rPr>
              <w:t>分，不提供得分，本项满分</w:t>
            </w:r>
            <w:r>
              <w:rPr>
                <w:rFonts w:hint="eastAsia" w:ascii="宋体" w:hAnsi="Times New Roman"/>
                <w:lang w:val="en-US" w:eastAsia="zh-CN"/>
              </w:rPr>
              <w:t>2</w:t>
            </w:r>
            <w:r>
              <w:rPr>
                <w:rFonts w:ascii="宋体" w:hAnsi="Times New Roman"/>
              </w:rPr>
              <w:t>分。（提供保单复印件加盖公司公章）。</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5</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售后服务方案</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2</w:t>
            </w:r>
            <w:r>
              <w:rPr>
                <w:rFonts w:ascii="宋体" w:hAnsi="Times New Roman"/>
              </w:rPr>
              <w:t>分</w:t>
            </w:r>
          </w:p>
        </w:tc>
        <w:tc>
          <w:tcPr>
            <w:tcW w:w="5670" w:type="dxa"/>
            <w:tcBorders>
              <w:top w:val="single" w:color="000000" w:sz="4" w:space="0"/>
              <w:bottom w:val="single" w:color="000000" w:sz="4" w:space="0"/>
              <w:right w:val="single" w:color="000000" w:sz="4" w:space="0"/>
            </w:tcBorders>
          </w:tcPr>
          <w:p>
            <w:pPr>
              <w:autoSpaceDN w:val="0"/>
              <w:spacing w:line="360" w:lineRule="auto"/>
              <w:rPr>
                <w:rFonts w:ascii="宋体" w:hAnsi="宋体" w:eastAsia="宋体"/>
              </w:rPr>
            </w:pPr>
            <w:r>
              <w:rPr>
                <w:rFonts w:hint="eastAsia" w:ascii="宋体" w:hAnsi="Times New Roman"/>
                <w:lang w:val="en-US" w:eastAsia="zh-CN"/>
              </w:rPr>
              <w:t>1、</w:t>
            </w:r>
            <w:r>
              <w:rPr>
                <w:rFonts w:ascii="宋体" w:hAnsi="Times New Roman"/>
              </w:rPr>
              <w:t>投标人在投标文件中提供关于本项目的售后服务方案，该方案包括但不限于以下细分内容：a.服务标准，b.服务措施，c.售后服务人员名单；本单项最多得</w:t>
            </w:r>
            <w:r>
              <w:rPr>
                <w:rFonts w:ascii="宋体" w:hAnsi="宋体" w:eastAsia="宋体"/>
              </w:rPr>
              <w:t>2</w:t>
            </w:r>
            <w:r>
              <w:rPr>
                <w:rFonts w:ascii="宋体" w:hAnsi="Times New Roman"/>
              </w:rPr>
              <w:t>分；前述细分内容中，每有1目细分内容不完善或不满足采购需求的，扣1分，直至本单项不得分。</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6</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服务水平</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宋体" w:eastAsia="宋体"/>
              </w:rPr>
              <w:t>5</w:t>
            </w:r>
            <w:r>
              <w:rPr>
                <w:rFonts w:ascii="宋体" w:hAnsi="Times New Roman"/>
              </w:rPr>
              <w:t>分</w:t>
            </w:r>
          </w:p>
        </w:tc>
        <w:tc>
          <w:tcPr>
            <w:tcW w:w="5670" w:type="dxa"/>
            <w:tcBorders>
              <w:top w:val="single" w:color="000000" w:sz="4" w:space="0"/>
              <w:bottom w:val="single" w:color="000000" w:sz="4" w:space="0"/>
              <w:right w:val="single" w:color="000000" w:sz="4" w:space="0"/>
            </w:tcBorders>
          </w:tcPr>
          <w:p>
            <w:pPr>
              <w:autoSpaceDN w:val="0"/>
              <w:spacing w:line="360" w:lineRule="auto"/>
              <w:rPr>
                <w:rFonts w:ascii="宋体" w:hAnsi="宋体" w:eastAsia="宋体"/>
                <w:color w:val="auto"/>
                <w:u w:val="none"/>
              </w:rPr>
            </w:pPr>
            <w:r>
              <w:rPr>
                <w:rFonts w:ascii="宋体" w:hAnsi="宋体" w:eastAsia="宋体"/>
                <w:u w:val="none"/>
              </w:rPr>
              <w:t>1</w:t>
            </w:r>
            <w:r>
              <w:rPr>
                <w:rFonts w:ascii="宋体" w:hAnsi="Times New Roman"/>
                <w:color w:val="auto"/>
                <w:u w:val="none"/>
              </w:rPr>
              <w:t>、</w:t>
            </w:r>
            <w:r>
              <w:rPr>
                <w:rFonts w:hint="eastAsia" w:ascii="宋体" w:hAnsi="Times New Roman"/>
                <w:lang w:eastAsia="zh-CN"/>
              </w:rPr>
              <w:t>投标人</w:t>
            </w:r>
            <w:r>
              <w:rPr>
                <w:rFonts w:ascii="宋体" w:hAnsi="Times New Roman"/>
              </w:rPr>
              <w:t>在</w:t>
            </w:r>
            <w:r>
              <w:rPr>
                <w:rFonts w:hint="eastAsia" w:ascii="宋体" w:hAnsi="Times New Roman"/>
                <w:lang w:eastAsia="zh-CN"/>
              </w:rPr>
              <w:t>项目所在地</w:t>
            </w:r>
            <w:r>
              <w:rPr>
                <w:rFonts w:ascii="宋体" w:hAnsi="Times New Roman"/>
              </w:rPr>
              <w:t>有售后服务网点</w:t>
            </w:r>
            <w:r>
              <w:rPr>
                <w:rFonts w:hint="eastAsia" w:ascii="宋体" w:hAnsi="Times New Roman"/>
                <w:lang w:eastAsia="zh-CN"/>
              </w:rPr>
              <w:t>或承诺中标后在项目所在地设立售后服务网点</w:t>
            </w:r>
            <w:r>
              <w:rPr>
                <w:rFonts w:ascii="宋体" w:hAnsi="Times New Roman"/>
              </w:rPr>
              <w:t>的</w:t>
            </w:r>
            <w:r>
              <w:rPr>
                <w:rFonts w:ascii="宋体" w:hAnsi="Times New Roman"/>
                <w:color w:val="auto"/>
                <w:u w:val="none"/>
              </w:rPr>
              <w:t>得1分。</w:t>
            </w:r>
          </w:p>
          <w:p>
            <w:pPr>
              <w:autoSpaceDN w:val="0"/>
              <w:spacing w:line="360" w:lineRule="auto"/>
              <w:rPr>
                <w:rFonts w:ascii="宋体" w:hAnsi="宋体" w:eastAsia="宋体"/>
              </w:rPr>
            </w:pPr>
            <w:r>
              <w:rPr>
                <w:rFonts w:ascii="宋体" w:hAnsi="Times New Roman"/>
                <w:color w:val="auto"/>
                <w:u w:val="none"/>
              </w:rPr>
              <w:t>说明：本项以</w:t>
            </w:r>
            <w:r>
              <w:rPr>
                <w:rFonts w:hint="eastAsia" w:ascii="宋体" w:hAnsi="Times New Roman"/>
                <w:color w:val="auto"/>
                <w:u w:val="none"/>
                <w:lang w:eastAsia="zh-CN"/>
              </w:rPr>
              <w:t>投标文件</w:t>
            </w:r>
            <w:r>
              <w:rPr>
                <w:rFonts w:ascii="宋体" w:hAnsi="Times New Roman"/>
                <w:color w:val="auto"/>
              </w:rPr>
              <w:t>中提供</w:t>
            </w:r>
            <w:r>
              <w:rPr>
                <w:rFonts w:ascii="宋体" w:hAnsi="Times New Roman"/>
              </w:rPr>
              <w:t>的售后服务网点营业执照影印件和服务电话为准。</w:t>
            </w:r>
          </w:p>
          <w:p>
            <w:pPr>
              <w:autoSpaceDN w:val="0"/>
              <w:spacing w:line="360" w:lineRule="auto"/>
              <w:rPr>
                <w:rFonts w:ascii="宋体" w:hAnsi="宋体" w:eastAsia="宋体"/>
              </w:rPr>
            </w:pPr>
            <w:r>
              <w:rPr>
                <w:rFonts w:ascii="宋体" w:hAnsi="宋体" w:eastAsia="宋体"/>
              </w:rPr>
              <w:t>2</w:t>
            </w:r>
            <w:r>
              <w:rPr>
                <w:rFonts w:ascii="宋体" w:hAnsi="Times New Roman"/>
              </w:rPr>
              <w:t>、产品质保期满足招标文件要求的基础上，每增加一年的质保期加0.5分，本项最多加2分。</w:t>
            </w:r>
          </w:p>
          <w:p>
            <w:pPr>
              <w:autoSpaceDN w:val="0"/>
              <w:spacing w:line="360" w:lineRule="auto"/>
              <w:rPr>
                <w:rFonts w:ascii="宋体" w:hAnsi="宋体" w:eastAsia="宋体"/>
              </w:rPr>
            </w:pPr>
            <w:r>
              <w:rPr>
                <w:rFonts w:ascii="宋体" w:hAnsi="Times New Roman"/>
              </w:rPr>
              <w:t>说明：本项以</w:t>
            </w:r>
            <w:r>
              <w:rPr>
                <w:rFonts w:hint="eastAsia" w:ascii="宋体" w:hAnsi="Times New Roman"/>
                <w:lang w:eastAsia="zh-CN"/>
              </w:rPr>
              <w:t>投标文件</w:t>
            </w:r>
            <w:r>
              <w:rPr>
                <w:rFonts w:ascii="宋体" w:hAnsi="Times New Roman"/>
              </w:rPr>
              <w:t>中提供的质保期承诺内容为准。</w:t>
            </w:r>
          </w:p>
          <w:p>
            <w:pPr>
              <w:autoSpaceDN w:val="0"/>
              <w:spacing w:line="360" w:lineRule="auto"/>
              <w:rPr>
                <w:rFonts w:ascii="宋体" w:hAnsi="宋体" w:eastAsia="宋体"/>
              </w:rPr>
            </w:pPr>
            <w:r>
              <w:rPr>
                <w:rFonts w:ascii="宋体" w:hAnsi="宋体" w:eastAsia="宋体"/>
              </w:rPr>
              <w:t>3</w:t>
            </w:r>
            <w:r>
              <w:rPr>
                <w:rFonts w:ascii="宋体" w:hAnsi="Times New Roman"/>
              </w:rPr>
              <w:t>、产品制造商获得《售后服务体系完善程度认证证书》，十星的得</w:t>
            </w:r>
            <w:r>
              <w:rPr>
                <w:rFonts w:ascii="宋体" w:hAnsi="宋体" w:eastAsia="宋体"/>
              </w:rPr>
              <w:t>2</w:t>
            </w:r>
            <w:r>
              <w:rPr>
                <w:rFonts w:ascii="宋体" w:hAnsi="Times New Roman"/>
              </w:rPr>
              <w:t>分，九星的得1分，其余不得分。</w:t>
            </w:r>
          </w:p>
          <w:p>
            <w:pPr>
              <w:autoSpaceDN w:val="0"/>
              <w:spacing w:line="360" w:lineRule="auto"/>
              <w:rPr>
                <w:rFonts w:ascii="宋体" w:hAnsi="宋体" w:eastAsia="宋体"/>
              </w:rPr>
            </w:pPr>
            <w:r>
              <w:rPr>
                <w:rFonts w:ascii="宋体" w:hAnsi="Times New Roman"/>
              </w:rPr>
              <w:t>说明：本项以</w:t>
            </w:r>
            <w:r>
              <w:rPr>
                <w:rFonts w:hint="eastAsia" w:ascii="宋体" w:hAnsi="Times New Roman"/>
                <w:lang w:eastAsia="zh-CN"/>
              </w:rPr>
              <w:t>投标文件</w:t>
            </w:r>
            <w:r>
              <w:rPr>
                <w:rFonts w:ascii="宋体" w:hAnsi="Times New Roman"/>
              </w:rPr>
              <w:t>中提供的响应产品制品商获得的服务认证证书影印件加盖</w:t>
            </w:r>
            <w:r>
              <w:rPr>
                <w:rFonts w:ascii="宋体" w:hAnsi="宋体" w:eastAsia="宋体"/>
              </w:rPr>
              <w:t>投标单位</w:t>
            </w:r>
            <w:r>
              <w:rPr>
                <w:rFonts w:ascii="宋体" w:hAnsi="Times New Roman"/>
              </w:rPr>
              <w:t>公章为准。</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7</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售后服务配置</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5分</w:t>
            </w:r>
          </w:p>
        </w:tc>
        <w:tc>
          <w:tcPr>
            <w:tcW w:w="5670" w:type="dxa"/>
            <w:tcBorders>
              <w:top w:val="single" w:color="000000" w:sz="4" w:space="0"/>
              <w:bottom w:val="single" w:color="000000" w:sz="4" w:space="0"/>
              <w:right w:val="single" w:color="000000" w:sz="4" w:space="0"/>
            </w:tcBorders>
          </w:tcPr>
          <w:p>
            <w:pPr>
              <w:autoSpaceDN w:val="0"/>
              <w:spacing w:line="360" w:lineRule="auto"/>
              <w:rPr>
                <w:rFonts w:ascii="宋体" w:hAnsi="宋体" w:eastAsia="宋体"/>
              </w:rPr>
            </w:pPr>
            <w:r>
              <w:rPr>
                <w:rFonts w:ascii="宋体" w:hAnsi="Times New Roman"/>
              </w:rPr>
              <w:t>根据投标人提供的售后服务措施进行评审①服务承诺内容；②售后人员配置；③售后的工作流程规范；④售后保证措施及期限；⑤在采购人所在地设立售后服务机构。完全满足本项目售后服务要求的得5分，有缺项或遗漏的，扣1分，扣完为止。</w:t>
            </w:r>
          </w:p>
        </w:tc>
        <w:tc>
          <w:tcPr>
            <w:tcW w:w="1644"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hint="eastAsia" w:ascii="宋体" w:hAnsi="宋体" w:eastAsia="宋体"/>
                <w:lang w:eastAsia="zh-CN"/>
              </w:rPr>
            </w:pPr>
            <w:r>
              <w:rPr>
                <w:rFonts w:hint="eastAsia" w:ascii="宋体" w:hAnsi="宋体"/>
                <w:lang w:val="en-US" w:eastAsia="zh-CN"/>
              </w:rPr>
              <w:t>8</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节能、环境标志、无线局域网产品</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hint="eastAsia" w:ascii="宋体" w:hAnsi="宋体"/>
                <w:lang w:val="en-US" w:eastAsia="zh-CN"/>
              </w:rPr>
              <w:t>2</w:t>
            </w:r>
            <w:r>
              <w:rPr>
                <w:rFonts w:ascii="宋体" w:hAnsi="Times New Roman"/>
              </w:rPr>
              <w:t>分</w:t>
            </w:r>
          </w:p>
        </w:tc>
        <w:tc>
          <w:tcPr>
            <w:tcW w:w="5670" w:type="dxa"/>
            <w:tcBorders>
              <w:top w:val="single" w:color="000000" w:sz="4" w:space="0"/>
              <w:bottom w:val="single" w:color="000000" w:sz="4" w:space="0"/>
              <w:right w:val="single" w:color="000000" w:sz="4" w:space="0"/>
            </w:tcBorders>
            <w:vAlign w:val="center"/>
          </w:tcPr>
          <w:p>
            <w:pPr>
              <w:autoSpaceDN w:val="0"/>
              <w:spacing w:line="360" w:lineRule="auto"/>
              <w:rPr>
                <w:rFonts w:ascii="宋体" w:hAnsi="宋体" w:eastAsia="宋体"/>
              </w:rPr>
            </w:pPr>
            <w:r>
              <w:rPr>
                <w:rFonts w:ascii="宋体" w:hAnsi="Times New Roman"/>
              </w:rPr>
              <w:t>投标人所投产品中每有一项属于节能产品政府采购品目清单中优先采购范围的得0.5分；每有一项属于环境标志产品政府采购品目清单中优先采购范围的得0.5分；每有一项为无线局域网产品政府采购清单中的产品的得0.5分。本项</w:t>
            </w:r>
            <w:r>
              <w:rPr>
                <w:rFonts w:hint="eastAsia" w:ascii="宋体" w:hAnsi="Times New Roman"/>
                <w:lang w:eastAsia="zh-CN"/>
              </w:rPr>
              <w:t>最多得</w:t>
            </w:r>
            <w:r>
              <w:rPr>
                <w:rFonts w:hint="eastAsia" w:ascii="宋体" w:hAnsi="宋体"/>
                <w:lang w:val="en-US" w:eastAsia="zh-CN"/>
              </w:rPr>
              <w:t>2</w:t>
            </w:r>
            <w:r>
              <w:rPr>
                <w:rFonts w:ascii="宋体" w:hAnsi="Times New Roman"/>
              </w:rPr>
              <w:t>分。</w:t>
            </w:r>
          </w:p>
          <w:p>
            <w:pPr>
              <w:autoSpaceDN w:val="0"/>
              <w:spacing w:line="360" w:lineRule="auto"/>
              <w:rPr>
                <w:rFonts w:ascii="宋体" w:hAnsi="宋体" w:eastAsia="宋体"/>
              </w:rPr>
            </w:pPr>
            <w:r>
              <w:rPr>
                <w:rFonts w:ascii="宋体" w:hAnsi="Times New Roman"/>
              </w:rPr>
              <w:t>注：</w:t>
            </w:r>
          </w:p>
          <w:p>
            <w:pPr>
              <w:autoSpaceDN w:val="0"/>
              <w:spacing w:line="360" w:lineRule="auto"/>
              <w:rPr>
                <w:rFonts w:ascii="宋体" w:hAnsi="宋体" w:eastAsia="宋体"/>
              </w:rPr>
            </w:pPr>
            <w:r>
              <w:rPr>
                <w:rFonts w:ascii="宋体" w:hAnsi="Times New Roman"/>
              </w:rPr>
              <w:t>1、可重复计分；</w:t>
            </w:r>
          </w:p>
          <w:p>
            <w:pPr>
              <w:autoSpaceDN w:val="0"/>
              <w:spacing w:line="360" w:lineRule="auto"/>
              <w:rPr>
                <w:rFonts w:ascii="宋体" w:hAnsi="宋体" w:eastAsia="宋体"/>
              </w:rPr>
            </w:pPr>
            <w:r>
              <w:rPr>
                <w:rFonts w:ascii="宋体" w:hAnsi="Times New Roman"/>
              </w:rPr>
              <w:t>2、本项目采购的产品中属于节能产品或环境标志产品政府采购品目清单中强制采购范围的，不属于本项评分范围。</w:t>
            </w:r>
          </w:p>
          <w:p>
            <w:pPr>
              <w:autoSpaceDN w:val="0"/>
              <w:spacing w:line="360" w:lineRule="auto"/>
              <w:rPr>
                <w:rFonts w:ascii="宋体" w:hAnsi="宋体" w:eastAsia="宋体"/>
              </w:rPr>
            </w:pPr>
            <w:r>
              <w:rPr>
                <w:rFonts w:ascii="宋体" w:hAnsi="Times New Roman"/>
              </w:rPr>
              <w:t>3、投标人所投产品属于节能产品或环境标志产品政府采购品目清单中优先采购范围的，应当在投标文件中提供国家确定的认证机构出具的、处于有效期之内的节能产品或环境标志产品认证证书复印件并加盖供应商公章（鲜章），否则不予给分。</w:t>
            </w:r>
          </w:p>
          <w:p>
            <w:pPr>
              <w:autoSpaceDN w:val="0"/>
              <w:spacing w:line="360" w:lineRule="auto"/>
              <w:rPr>
                <w:rFonts w:ascii="宋体" w:hAnsi="宋体" w:eastAsia="宋体"/>
              </w:rPr>
            </w:pPr>
            <w:r>
              <w:rPr>
                <w:rFonts w:ascii="宋体" w:hAnsi="Times New Roman"/>
              </w:rPr>
              <w:t>4、投标人所投产品属于优先采购范围内的无线局域网产品的，需提供《中国政府采购网》公布的无线局域网产品政府采购清单封面及对应页并加盖供应商单位公章（鲜章）。</w:t>
            </w:r>
          </w:p>
          <w:p>
            <w:pPr>
              <w:autoSpaceDN w:val="0"/>
              <w:spacing w:line="360" w:lineRule="auto"/>
              <w:rPr>
                <w:rFonts w:ascii="宋体" w:hAnsi="宋体" w:eastAsia="宋体"/>
              </w:rPr>
            </w:pPr>
            <w:r>
              <w:rPr>
                <w:rFonts w:ascii="宋体" w:hAnsi="Times New Roman"/>
              </w:rPr>
              <w:t>5、如涉及招标文件其他部分对节能、环境标志、无线局域网产品相关证书有专门要求的，此处不再重复计分。</w:t>
            </w:r>
          </w:p>
          <w:p>
            <w:pPr>
              <w:autoSpaceDN w:val="0"/>
              <w:spacing w:line="360" w:lineRule="auto"/>
              <w:rPr>
                <w:rFonts w:ascii="宋体" w:hAnsi="宋体" w:eastAsia="宋体"/>
              </w:rPr>
            </w:pPr>
            <w:r>
              <w:rPr>
                <w:rFonts w:ascii="宋体" w:hAnsi="Times New Roman"/>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hint="eastAsia" w:ascii="宋体" w:hAnsi="宋体" w:eastAsia="宋体"/>
                <w:lang w:eastAsia="zh-CN"/>
              </w:rPr>
            </w:pPr>
            <w:r>
              <w:rPr>
                <w:rFonts w:hint="eastAsia" w:ascii="宋体" w:hAnsi="Times New Roman"/>
                <w:lang w:val="en-US" w:eastAsia="zh-CN"/>
              </w:rPr>
              <w:t>9</w:t>
            </w:r>
          </w:p>
        </w:tc>
        <w:tc>
          <w:tcPr>
            <w:tcW w:w="1206"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扶持不发达地区和少数民族地区</w:t>
            </w:r>
          </w:p>
        </w:tc>
        <w:tc>
          <w:tcPr>
            <w:tcW w:w="708"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1分</w:t>
            </w:r>
          </w:p>
        </w:tc>
        <w:tc>
          <w:tcPr>
            <w:tcW w:w="5670" w:type="dxa"/>
            <w:tcBorders>
              <w:top w:val="single" w:color="000000" w:sz="4" w:space="0"/>
              <w:bottom w:val="single" w:color="000000" w:sz="4" w:space="0"/>
              <w:right w:val="single" w:color="000000" w:sz="4" w:space="0"/>
            </w:tcBorders>
            <w:vAlign w:val="center"/>
          </w:tcPr>
          <w:p>
            <w:pPr>
              <w:autoSpaceDN w:val="0"/>
              <w:spacing w:line="360" w:lineRule="auto"/>
              <w:rPr>
                <w:rFonts w:ascii="宋体" w:hAnsi="宋体" w:eastAsia="宋体"/>
              </w:rPr>
            </w:pPr>
            <w:r>
              <w:rPr>
                <w:rFonts w:ascii="宋体" w:hAnsi="Times New Roman"/>
              </w:rPr>
              <w:t>投标人为不发达地区或少数民族地区企业的得1分。</w:t>
            </w:r>
          </w:p>
          <w:p>
            <w:pPr>
              <w:autoSpaceDN w:val="0"/>
              <w:spacing w:line="360" w:lineRule="auto"/>
              <w:rPr>
                <w:rFonts w:ascii="宋体" w:hAnsi="宋体" w:eastAsia="宋体"/>
              </w:rPr>
            </w:pPr>
            <w:r>
              <w:rPr>
                <w:rFonts w:ascii="宋体" w:hAnsi="Times New Roman"/>
              </w:rPr>
              <w:t>注：提供不发达地区企业的相关证明材料或投标人注册地为少数民族地区。</w:t>
            </w:r>
          </w:p>
        </w:tc>
        <w:tc>
          <w:tcPr>
            <w:tcW w:w="1644"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rPr>
            </w:pPr>
            <w:r>
              <w:rPr>
                <w:rFonts w:ascii="宋体" w:hAnsi="Times New Roman"/>
              </w:rPr>
              <w:t>（共同评分因素）</w:t>
            </w:r>
          </w:p>
        </w:tc>
      </w:tr>
      <w:tr>
        <w:tblPrEx>
          <w:tblLayout w:type="fixed"/>
          <w:tblCellMar>
            <w:top w:w="0" w:type="dxa"/>
            <w:left w:w="108" w:type="dxa"/>
            <w:bottom w:w="0" w:type="dxa"/>
            <w:right w:w="108" w:type="dxa"/>
          </w:tblCellMar>
        </w:tblPrEx>
        <w:trPr>
          <w:trHeight w:val="350" w:hRule="atLeast"/>
          <w:jc w:val="center"/>
        </w:trPr>
        <w:tc>
          <w:tcPr>
            <w:tcW w:w="9725"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eastAsia="宋体"/>
                <w:b/>
              </w:rPr>
            </w:pPr>
            <w:r>
              <w:rPr>
                <w:rFonts w:ascii="宋体" w:hAnsi="Times New Roman"/>
                <w:b/>
              </w:rPr>
              <w:t>注：评标委员会在评标过程中计算得分分数时，如涉及小数的，四舍五入后保留小数点后两位。</w:t>
            </w:r>
          </w:p>
        </w:tc>
      </w:tr>
    </w:tbl>
    <w:tbl>
      <w:tblPr>
        <w:tblStyle w:val="47"/>
        <w:tblpPr w:leftFromText="180" w:rightFromText="180" w:vertAnchor="text" w:tblpX="-332" w:tblpY="25378"/>
        <w:tblOverlap w:val="never"/>
        <w:tblW w:w="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 w:hRule="atLeast"/>
        </w:trPr>
        <w:tc>
          <w:tcPr>
            <w:tcW w:w="944" w:type="dxa"/>
          </w:tcPr>
          <w:p>
            <w:pPr>
              <w:pStyle w:val="2"/>
              <w:rPr>
                <w:rFonts w:hint="eastAsia" w:ascii="宋体" w:hAnsi="宋体"/>
                <w:b/>
                <w:bCs/>
                <w:sz w:val="28"/>
                <w:szCs w:val="28"/>
                <w:vertAlign w:val="baseline"/>
              </w:rPr>
            </w:pPr>
          </w:p>
        </w:tc>
      </w:tr>
    </w:tbl>
    <w:p>
      <w:pPr>
        <w:pStyle w:val="2"/>
        <w:rPr>
          <w:rFonts w:hint="eastAsia" w:ascii="宋体" w:hAnsi="宋体"/>
          <w:b/>
          <w:bCs/>
          <w:sz w:val="28"/>
          <w:szCs w:val="28"/>
        </w:rPr>
      </w:pPr>
    </w:p>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66" w:name="_Toc74752346"/>
      <w:r>
        <w:rPr>
          <w:rFonts w:hint="eastAsia" w:ascii="宋体" w:hAnsi="宋体"/>
          <w:b/>
          <w:bCs/>
          <w:sz w:val="28"/>
          <w:szCs w:val="28"/>
        </w:rPr>
        <w:t>废标</w:t>
      </w:r>
      <w:bookmarkEnd w:id="166"/>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废标后，</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167" w:name="_Toc74752347"/>
      <w:r>
        <w:rPr>
          <w:rFonts w:hint="eastAsia" w:ascii="宋体" w:hAnsi="宋体"/>
          <w:b/>
          <w:bCs/>
          <w:sz w:val="28"/>
          <w:szCs w:val="28"/>
        </w:rPr>
        <w:t>定标</w:t>
      </w:r>
      <w:bookmarkEnd w:id="167"/>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w:t>
      </w:r>
      <w:r>
        <w:rPr>
          <w:rFonts w:hint="eastAsia" w:ascii="宋体" w:hAnsi="宋体" w:cs="Helvetica"/>
          <w:sz w:val="28"/>
          <w:szCs w:val="28"/>
          <w:lang w:eastAsia="zh-CN"/>
        </w:rPr>
        <w:t>区公资交易中心</w:t>
      </w:r>
      <w:r>
        <w:rPr>
          <w:rFonts w:hint="eastAsia" w:ascii="宋体" w:hAnsi="宋体" w:cs="Helvetica"/>
          <w:sz w:val="28"/>
          <w:szCs w:val="28"/>
        </w:rPr>
        <w:t>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w:t>
      </w:r>
      <w:r>
        <w:rPr>
          <w:rFonts w:hint="eastAsia" w:ascii="宋体" w:hAnsi="宋体" w:cs="Helvetica"/>
          <w:sz w:val="28"/>
          <w:szCs w:val="28"/>
          <w:lang w:eastAsia="zh-CN"/>
        </w:rPr>
        <w:t>区公资交易中心</w:t>
      </w:r>
      <w:r>
        <w:rPr>
          <w:rFonts w:hint="eastAsia" w:ascii="宋体" w:hAnsi="宋体" w:cs="Helvetica"/>
          <w:sz w:val="28"/>
          <w:szCs w:val="28"/>
        </w:rPr>
        <w:t>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w:t>
      </w:r>
      <w:r>
        <w:rPr>
          <w:rFonts w:hint="eastAsia" w:ascii="宋体" w:hAnsi="宋体" w:cs="Helvetica"/>
          <w:sz w:val="28"/>
          <w:szCs w:val="28"/>
          <w:lang w:eastAsia="zh-CN"/>
        </w:rPr>
        <w:t>区公资交易中心</w:t>
      </w:r>
      <w:r>
        <w:rPr>
          <w:rFonts w:hint="eastAsia" w:ascii="宋体" w:hAnsi="宋体" w:cs="Helvetica"/>
          <w:sz w:val="28"/>
          <w:szCs w:val="28"/>
        </w:rPr>
        <w:t>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68" w:name="_Toc74752348"/>
      <w:r>
        <w:rPr>
          <w:rFonts w:hint="eastAsia" w:ascii="宋体" w:hAnsi="宋体"/>
          <w:b/>
          <w:bCs/>
          <w:sz w:val="28"/>
          <w:szCs w:val="28"/>
        </w:rPr>
        <w:t>评标专家在政府采购活动中承担以下义务</w:t>
      </w:r>
      <w:bookmarkEnd w:id="168"/>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发现采购人、</w:t>
      </w:r>
      <w:r>
        <w:rPr>
          <w:rFonts w:hint="eastAsia" w:ascii="宋体" w:hAnsi="宋体"/>
          <w:sz w:val="28"/>
          <w:szCs w:val="28"/>
          <w:lang w:eastAsia="zh-CN"/>
        </w:rPr>
        <w:t>区公资交易中心</w:t>
      </w:r>
      <w:r>
        <w:rPr>
          <w:rFonts w:hint="eastAsia" w:ascii="宋体" w:hAnsi="宋体"/>
          <w:sz w:val="28"/>
          <w:szCs w:val="28"/>
        </w:rPr>
        <w:t>及其工作人员在政府采购活动中有干预评审、发表倾向性和歧视性言论、受贿或者接受投标人的其他好处及其他违法违规行为，及时向财政部门报告。</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w:t>
      </w:r>
      <w:r>
        <w:rPr>
          <w:rFonts w:hint="eastAsia" w:ascii="宋体" w:hAnsi="宋体"/>
          <w:sz w:val="28"/>
          <w:szCs w:val="28"/>
          <w:lang w:eastAsia="zh-CN"/>
        </w:rPr>
        <w:t>区公资交易中心</w:t>
      </w:r>
      <w:r>
        <w:rPr>
          <w:rFonts w:hint="eastAsia" w:ascii="宋体" w:hAnsi="宋体"/>
          <w:sz w:val="28"/>
          <w:szCs w:val="28"/>
        </w:rPr>
        <w:t>答复投标人的询问、质疑，配合财政部门的投诉处理工作等事宜。</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69" w:name="_Toc74752349"/>
      <w:r>
        <w:rPr>
          <w:rFonts w:hint="eastAsia" w:ascii="宋体" w:hAnsi="宋体"/>
          <w:b/>
          <w:bCs/>
          <w:sz w:val="28"/>
          <w:szCs w:val="28"/>
        </w:rPr>
        <w:t>评标委员会及其成员不得有下列行为</w:t>
      </w:r>
      <w:bookmarkEnd w:id="169"/>
    </w:p>
    <w:p>
      <w:pPr>
        <w:numPr>
          <w:ilvl w:val="0"/>
          <w:numId w:val="50"/>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50"/>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50"/>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70" w:name="_Toc74752350"/>
      <w:r>
        <w:rPr>
          <w:rFonts w:hint="eastAsia" w:ascii="宋体" w:hAnsi="宋体"/>
          <w:b/>
          <w:bCs/>
          <w:sz w:val="28"/>
          <w:szCs w:val="28"/>
        </w:rPr>
        <w:t>评审专家在政府采购活动中应当遵守以下工作纪律</w:t>
      </w:r>
      <w:bookmarkEnd w:id="170"/>
    </w:p>
    <w:p>
      <w:pPr>
        <w:numPr>
          <w:ilvl w:val="0"/>
          <w:numId w:val="51"/>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lang w:eastAsia="zh-CN"/>
        </w:rPr>
        <w:t>区公资交易中心</w:t>
      </w:r>
      <w:r>
        <w:rPr>
          <w:rFonts w:hint="eastAsia" w:ascii="宋体" w:hAnsi="宋体"/>
          <w:sz w:val="28"/>
          <w:szCs w:val="28"/>
        </w:rPr>
        <w:t>，不得私自转托他人。</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lang w:eastAsia="zh-CN"/>
        </w:rPr>
        <w:t>区公资交易中心</w:t>
      </w:r>
      <w:r>
        <w:rPr>
          <w:rFonts w:hint="eastAsia" w:ascii="宋体" w:hAnsi="宋体"/>
          <w:sz w:val="28"/>
          <w:szCs w:val="28"/>
        </w:rPr>
        <w:t>也可要求该评审专家回避。</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lang w:eastAsia="zh-CN"/>
        </w:rPr>
        <w:t>区公资交易中心</w:t>
      </w:r>
      <w:r>
        <w:rPr>
          <w:rFonts w:hint="eastAsia" w:ascii="宋体" w:hAnsi="宋体"/>
          <w:sz w:val="28"/>
          <w:szCs w:val="28"/>
        </w:rPr>
        <w:t>的现场秩序管理，接受评标现场监督人员的合法监督。</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51"/>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bookmarkEnd w:id="151"/>
    <w:bookmarkEnd w:id="152"/>
    <w:p>
      <w:pPr>
        <w:keepNext/>
        <w:keepLines/>
        <w:numPr>
          <w:ilvl w:val="0"/>
          <w:numId w:val="0"/>
        </w:numPr>
        <w:spacing w:before="340" w:after="330" w:line="400" w:lineRule="exact"/>
        <w:jc w:val="both"/>
        <w:outlineLvl w:val="0"/>
        <w:rPr>
          <w:rFonts w:ascii="宋体" w:hAnsi="宋体"/>
          <w:b/>
          <w:bCs/>
          <w:spacing w:val="-20"/>
          <w:kern w:val="44"/>
          <w:szCs w:val="32"/>
        </w:rPr>
        <w:sectPr>
          <w:pgSz w:w="12240" w:h="15840"/>
          <w:pgMar w:top="1440" w:right="1800" w:bottom="1440" w:left="1800" w:header="708" w:footer="708" w:gutter="0"/>
          <w:cols w:space="708" w:num="1"/>
          <w:docGrid w:linePitch="360" w:charSpace="0"/>
        </w:sectPr>
      </w:pPr>
      <w:bookmarkStart w:id="171" w:name="_Toc74752351"/>
    </w:p>
    <w:p>
      <w:pPr>
        <w:keepNext/>
        <w:keepLines/>
        <w:numPr>
          <w:ilvl w:val="0"/>
          <w:numId w:val="5"/>
        </w:numPr>
        <w:spacing w:before="340" w:after="330" w:line="400" w:lineRule="exact"/>
        <w:jc w:val="center"/>
        <w:outlineLvl w:val="0"/>
        <w:rPr>
          <w:rFonts w:ascii="宋体" w:hAnsi="宋体"/>
          <w:b/>
          <w:bCs/>
          <w:spacing w:val="-20"/>
          <w:kern w:val="44"/>
          <w:szCs w:val="32"/>
        </w:rPr>
      </w:pPr>
      <w:r>
        <w:rPr>
          <w:rFonts w:hint="eastAsia" w:ascii="宋体" w:hAnsi="宋体"/>
          <w:b/>
          <w:bCs/>
          <w:spacing w:val="-20"/>
          <w:kern w:val="44"/>
          <w:sz w:val="32"/>
          <w:szCs w:val="32"/>
        </w:rPr>
        <w:t>拟签订合同</w:t>
      </w:r>
      <w:bookmarkEnd w:id="0"/>
      <w:bookmarkEnd w:id="1"/>
      <w:bookmarkEnd w:id="2"/>
      <w:bookmarkEnd w:id="3"/>
      <w:bookmarkStart w:id="172" w:name="_Toc316475664"/>
      <w:bookmarkEnd w:id="172"/>
      <w:bookmarkStart w:id="173" w:name="_Toc316475758"/>
      <w:bookmarkEnd w:id="173"/>
      <w:bookmarkStart w:id="174" w:name="_Toc316475764"/>
      <w:bookmarkEnd w:id="174"/>
      <w:bookmarkStart w:id="175" w:name="_Toc316475670"/>
      <w:bookmarkEnd w:id="175"/>
      <w:bookmarkStart w:id="176" w:name="_Toc316475763"/>
      <w:bookmarkEnd w:id="176"/>
      <w:bookmarkStart w:id="177" w:name="_Toc316475760"/>
      <w:bookmarkEnd w:id="177"/>
      <w:bookmarkStart w:id="178" w:name="_Toc316475669"/>
      <w:bookmarkEnd w:id="178"/>
      <w:bookmarkStart w:id="179" w:name="_Toc316475673"/>
      <w:bookmarkEnd w:id="179"/>
      <w:bookmarkStart w:id="180" w:name="_Toc316475754"/>
      <w:bookmarkEnd w:id="180"/>
      <w:bookmarkStart w:id="181" w:name="_Toc316475675"/>
      <w:bookmarkEnd w:id="181"/>
      <w:bookmarkStart w:id="182" w:name="_Toc316475667"/>
      <w:bookmarkEnd w:id="182"/>
      <w:bookmarkStart w:id="183" w:name="_Toc316475676"/>
      <w:bookmarkEnd w:id="183"/>
      <w:bookmarkStart w:id="184" w:name="_Toc316475677"/>
      <w:bookmarkEnd w:id="184"/>
      <w:bookmarkStart w:id="185" w:name="_Toc316475751"/>
      <w:bookmarkEnd w:id="185"/>
      <w:bookmarkStart w:id="186" w:name="_Toc316475666"/>
      <w:bookmarkEnd w:id="186"/>
      <w:bookmarkStart w:id="187" w:name="_Toc316475668"/>
      <w:bookmarkEnd w:id="187"/>
      <w:bookmarkStart w:id="188" w:name="_Toc316475753"/>
      <w:bookmarkEnd w:id="188"/>
      <w:bookmarkStart w:id="189" w:name="_Toc316475761"/>
      <w:bookmarkEnd w:id="189"/>
      <w:bookmarkStart w:id="190" w:name="_Toc316475756"/>
      <w:bookmarkEnd w:id="190"/>
      <w:bookmarkStart w:id="191" w:name="_Toc316475672"/>
      <w:bookmarkEnd w:id="191"/>
      <w:bookmarkStart w:id="192" w:name="_Toc316475757"/>
      <w:bookmarkEnd w:id="192"/>
      <w:bookmarkStart w:id="193" w:name="_Toc316475762"/>
      <w:bookmarkEnd w:id="193"/>
      <w:bookmarkStart w:id="194" w:name="_Toc316475759"/>
      <w:bookmarkEnd w:id="194"/>
      <w:bookmarkStart w:id="195" w:name="_Toc316475755"/>
      <w:bookmarkEnd w:id="195"/>
      <w:bookmarkStart w:id="196" w:name="_Toc316475752"/>
      <w:bookmarkEnd w:id="196"/>
      <w:bookmarkStart w:id="197" w:name="_Toc316475671"/>
      <w:bookmarkEnd w:id="197"/>
      <w:bookmarkStart w:id="198" w:name="_Toc316475665"/>
      <w:bookmarkEnd w:id="198"/>
      <w:bookmarkStart w:id="199" w:name="_Toc277152521"/>
      <w:bookmarkEnd w:id="199"/>
      <w:bookmarkStart w:id="200" w:name="_Toc277152523"/>
      <w:bookmarkEnd w:id="200"/>
      <w:bookmarkStart w:id="201" w:name="_Toc277152522"/>
      <w:bookmarkEnd w:id="201"/>
      <w:bookmarkStart w:id="202" w:name="_Toc214858832"/>
      <w:bookmarkEnd w:id="202"/>
      <w:bookmarkStart w:id="203" w:name="_Toc316475674"/>
      <w:bookmarkEnd w:id="203"/>
      <w:bookmarkStart w:id="204" w:name="_Toc299975392"/>
      <w:bookmarkEnd w:id="204"/>
      <w:bookmarkStart w:id="205" w:name="_Toc277152520"/>
      <w:bookmarkEnd w:id="205"/>
      <w:bookmarkStart w:id="206" w:name="_Toc299975364"/>
      <w:bookmarkEnd w:id="206"/>
      <w:bookmarkStart w:id="207" w:name="_Toc34729074"/>
      <w:bookmarkStart w:id="208" w:name="_Toc8573798"/>
      <w:bookmarkStart w:id="209" w:name="_Toc217446108"/>
      <w:r>
        <w:rPr>
          <w:rFonts w:hint="eastAsia" w:ascii="宋体" w:hAnsi="宋体"/>
          <w:b/>
          <w:bCs/>
          <w:spacing w:val="-20"/>
          <w:kern w:val="44"/>
          <w:sz w:val="32"/>
          <w:szCs w:val="32"/>
        </w:rPr>
        <w:t>文本</w:t>
      </w:r>
      <w:bookmarkEnd w:id="171"/>
      <w:bookmarkEnd w:id="207"/>
      <w:bookmarkEnd w:id="208"/>
      <w:bookmarkEnd w:id="209"/>
    </w:p>
    <w:p>
      <w:pPr>
        <w:spacing w:line="360" w:lineRule="auto"/>
        <w:jc w:val="center"/>
        <w:rPr>
          <w:rFonts w:ascii="宋体" w:hAnsi="宋体"/>
          <w:sz w:val="24"/>
          <w:szCs w:val="24"/>
        </w:rPr>
      </w:pPr>
      <w:r>
        <w:rPr>
          <w:rFonts w:hint="eastAsia" w:ascii="宋体" w:hAnsi="宋体"/>
          <w:sz w:val="28"/>
          <w:szCs w:val="28"/>
        </w:rPr>
        <w:t>（本部分内容仅供投标人参考，具体</w:t>
      </w:r>
      <w:r>
        <w:rPr>
          <w:rFonts w:hint="eastAsia" w:ascii="宋体" w:hAnsi="宋体"/>
          <w:sz w:val="24"/>
          <w:szCs w:val="24"/>
        </w:rPr>
        <w:t>条款以双方签订合同为准）</w:t>
      </w:r>
    </w:p>
    <w:p>
      <w:pPr>
        <w:spacing w:line="360" w:lineRule="auto"/>
        <w:ind w:firstLine="600"/>
        <w:jc w:val="center"/>
        <w:rPr>
          <w:rFonts w:ascii="宋体" w:hAnsi="宋体"/>
          <w:color w:val="000000"/>
          <w:sz w:val="24"/>
          <w:szCs w:val="24"/>
        </w:rPr>
      </w:pPr>
      <w:r>
        <w:rPr>
          <w:rFonts w:hint="eastAsia" w:ascii="宋体" w:hAnsi="宋体"/>
          <w:color w:val="000000"/>
          <w:sz w:val="24"/>
          <w:szCs w:val="24"/>
        </w:rPr>
        <w:t xml:space="preserve">                                 合同编号：</w:t>
      </w:r>
    </w:p>
    <w:p>
      <w:pPr>
        <w:spacing w:line="360" w:lineRule="auto"/>
        <w:ind w:firstLine="480" w:firstLineChars="200"/>
        <w:rPr>
          <w:rFonts w:ascii="宋体" w:hAnsi="宋体"/>
          <w:sz w:val="24"/>
          <w:szCs w:val="24"/>
        </w:rPr>
      </w:pPr>
      <w:bookmarkStart w:id="210" w:name="_Toc286993793"/>
      <w:bookmarkEnd w:id="210"/>
      <w:bookmarkStart w:id="211" w:name="_Toc247334847"/>
      <w:bookmarkEnd w:id="211"/>
      <w:bookmarkStart w:id="212" w:name="_Toc225654650"/>
      <w:bookmarkEnd w:id="212"/>
      <w:bookmarkStart w:id="213" w:name="_Toc212019600"/>
      <w:bookmarkEnd w:id="213"/>
      <w:bookmarkStart w:id="214" w:name="_Toc211854455"/>
      <w:bookmarkEnd w:id="214"/>
      <w:bookmarkStart w:id="215" w:name="_Toc282696231"/>
      <w:bookmarkEnd w:id="215"/>
      <w:bookmarkStart w:id="216" w:name="_Toc185395255"/>
      <w:bookmarkEnd w:id="216"/>
      <w:bookmarkStart w:id="217" w:name="_Toc225244858"/>
      <w:bookmarkEnd w:id="217"/>
      <w:bookmarkStart w:id="218" w:name="_Toc211911354"/>
      <w:bookmarkEnd w:id="218"/>
      <w:bookmarkStart w:id="219" w:name="_Toc232492934"/>
      <w:bookmarkEnd w:id="219"/>
      <w:bookmarkStart w:id="220" w:name="_Toc239568424"/>
      <w:bookmarkEnd w:id="220"/>
      <w:bookmarkStart w:id="221" w:name="_Toc237145412"/>
      <w:bookmarkEnd w:id="221"/>
      <w:bookmarkStart w:id="222" w:name="_Toc283019219"/>
      <w:bookmarkEnd w:id="222"/>
      <w:bookmarkStart w:id="223" w:name="_Toc239233920"/>
      <w:bookmarkEnd w:id="223"/>
      <w:bookmarkStart w:id="224" w:name="_Toc225670757"/>
      <w:bookmarkEnd w:id="224"/>
      <w:bookmarkStart w:id="225" w:name="_Toc238984981"/>
      <w:bookmarkEnd w:id="225"/>
      <w:bookmarkStart w:id="226" w:name="_Toc251768868"/>
      <w:bookmarkEnd w:id="226"/>
      <w:bookmarkStart w:id="227" w:name="_Toc241833909"/>
      <w:r>
        <w:rPr>
          <w:rFonts w:hint="eastAsia" w:ascii="宋体" w:hAnsi="宋体"/>
          <w:sz w:val="24"/>
          <w:szCs w:val="24"/>
        </w:rPr>
        <w:t>合同编号：</w:t>
      </w:r>
      <w:bookmarkEnd w:id="227"/>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签订地点：</w:t>
      </w:r>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签订时间：</w:t>
      </w:r>
      <w:r>
        <w:rPr>
          <w:rFonts w:hint="eastAsia" w:ascii="宋体" w:hAnsi="宋体"/>
        </w:rPr>
        <w:t>XXXX</w:t>
      </w:r>
      <w:r>
        <w:rPr>
          <w:rFonts w:hint="eastAsia" w:ascii="宋体" w:hAnsi="宋体"/>
          <w:sz w:val="24"/>
          <w:szCs w:val="24"/>
        </w:rPr>
        <w:t>年</w:t>
      </w:r>
      <w:r>
        <w:rPr>
          <w:rFonts w:hint="eastAsia" w:ascii="宋体" w:hAnsi="宋体"/>
        </w:rPr>
        <w:t>XX</w:t>
      </w:r>
      <w:r>
        <w:rPr>
          <w:rFonts w:hint="eastAsia" w:ascii="宋体" w:hAnsi="宋体"/>
          <w:sz w:val="24"/>
          <w:szCs w:val="24"/>
        </w:rPr>
        <w:t>月</w:t>
      </w:r>
      <w:r>
        <w:rPr>
          <w:rFonts w:hint="eastAsia" w:ascii="宋体" w:hAnsi="宋体"/>
        </w:rPr>
        <w:t>XX</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采购人（甲方）：</w:t>
      </w:r>
    </w:p>
    <w:p>
      <w:pPr>
        <w:spacing w:line="360" w:lineRule="auto"/>
        <w:ind w:firstLine="480" w:firstLineChars="200"/>
        <w:rPr>
          <w:rFonts w:ascii="宋体" w:hAnsi="宋体"/>
          <w:sz w:val="24"/>
          <w:szCs w:val="24"/>
        </w:rPr>
      </w:pPr>
      <w:r>
        <w:rPr>
          <w:rFonts w:hint="eastAsia" w:ascii="宋体" w:hAnsi="宋体"/>
          <w:sz w:val="24"/>
          <w:szCs w:val="24"/>
        </w:rPr>
        <w:t>供应商（乙方）：</w:t>
      </w:r>
    </w:p>
    <w:p>
      <w:pPr>
        <w:pStyle w:val="100"/>
        <w:spacing w:line="360" w:lineRule="auto"/>
        <w:ind w:firstLine="480"/>
        <w:rPr>
          <w:rFonts w:ascii="宋体" w:hAnsi="宋体"/>
        </w:rPr>
      </w:pPr>
      <w:r>
        <w:rPr>
          <w:rFonts w:hint="eastAsia" w:ascii="宋体" w:hAnsi="宋体"/>
        </w:rPr>
        <w:t>根据《中华人民共和国政府采购法》、《中华人民共和国合同法》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114"/>
        <w:ind w:firstLine="0" w:firstLineChars="0"/>
        <w:rPr>
          <w:rFonts w:ascii="宋体" w:hAnsi="宋体"/>
          <w:b/>
          <w:bCs/>
        </w:rPr>
      </w:pPr>
      <w:bookmarkStart w:id="228" w:name="_Toc217446107"/>
      <w:bookmarkEnd w:id="228"/>
      <w:r>
        <w:rPr>
          <w:rFonts w:hint="eastAsia" w:ascii="宋体" w:hAnsi="宋体"/>
          <w:b/>
          <w:bCs/>
        </w:rPr>
        <w:t>一、合同货物</w:t>
      </w:r>
    </w:p>
    <w:tbl>
      <w:tblPr>
        <w:tblStyle w:val="46"/>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货物品名</w:t>
            </w: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规格</w:t>
            </w:r>
          </w:p>
          <w:p>
            <w:pPr>
              <w:spacing w:line="360" w:lineRule="auto"/>
              <w:jc w:val="center"/>
              <w:rPr>
                <w:rFonts w:ascii="宋体" w:hAnsi="宋体"/>
                <w:sz w:val="24"/>
                <w:szCs w:val="24"/>
              </w:rPr>
            </w:pPr>
            <w:r>
              <w:rPr>
                <w:rFonts w:hint="eastAsia" w:ascii="宋体" w:hAnsi="宋体"/>
                <w:sz w:val="24"/>
                <w:szCs w:val="24"/>
              </w:rPr>
              <w:t>型号</w:t>
            </w:r>
          </w:p>
        </w:tc>
        <w:tc>
          <w:tcPr>
            <w:tcW w:w="720"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单位</w:t>
            </w:r>
          </w:p>
        </w:tc>
        <w:tc>
          <w:tcPr>
            <w:tcW w:w="90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数量</w:t>
            </w:r>
          </w:p>
        </w:tc>
        <w:tc>
          <w:tcPr>
            <w:tcW w:w="1080" w:type="dxa"/>
            <w:tcBorders>
              <w:top w:val="single" w:color="auto" w:sz="4" w:space="0"/>
              <w:left w:val="nil"/>
              <w:bottom w:val="single" w:color="auto" w:sz="4" w:space="0"/>
              <w:right w:val="single" w:color="auto" w:sz="4" w:space="0"/>
            </w:tcBorders>
            <w:vAlign w:val="center"/>
          </w:tcPr>
          <w:p>
            <w:pPr>
              <w:spacing w:line="360" w:lineRule="auto"/>
              <w:ind w:firstLine="120" w:firstLineChars="50"/>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sz w:val="24"/>
                <w:szCs w:val="24"/>
              </w:rPr>
            </w:pPr>
            <w:r>
              <w:rPr>
                <w:rFonts w:hint="eastAsia" w:ascii="宋体" w:hAnsi="宋体"/>
                <w:sz w:val="24"/>
                <w:szCs w:val="24"/>
              </w:rPr>
              <w:t>（万元）</w:t>
            </w:r>
          </w:p>
        </w:tc>
        <w:tc>
          <w:tcPr>
            <w:tcW w:w="1185"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总价</w:t>
            </w:r>
          </w:p>
          <w:p>
            <w:pPr>
              <w:spacing w:line="360" w:lineRule="auto"/>
              <w:rPr>
                <w:rFonts w:ascii="宋体" w:hAnsi="宋体"/>
                <w:sz w:val="24"/>
                <w:szCs w:val="24"/>
              </w:rPr>
            </w:pPr>
            <w:r>
              <w:rPr>
                <w:rFonts w:hint="eastAsia" w:ascii="宋体" w:hAnsi="宋体"/>
                <w:sz w:val="24"/>
                <w:szCs w:val="24"/>
              </w:rPr>
              <w:t>（万元）</w:t>
            </w: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随机</w:t>
            </w:r>
          </w:p>
          <w:p>
            <w:pPr>
              <w:spacing w:line="360" w:lineRule="auto"/>
              <w:jc w:val="center"/>
              <w:rPr>
                <w:rFonts w:ascii="宋体" w:hAnsi="宋体"/>
                <w:sz w:val="24"/>
                <w:szCs w:val="24"/>
              </w:rPr>
            </w:pPr>
            <w:r>
              <w:rPr>
                <w:rFonts w:hint="eastAsia" w:ascii="宋体" w:hAnsi="宋体"/>
                <w:sz w:val="24"/>
                <w:szCs w:val="24"/>
              </w:rPr>
              <w:t>配件</w:t>
            </w:r>
          </w:p>
        </w:tc>
        <w:tc>
          <w:tcPr>
            <w:tcW w:w="126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bl>
    <w:p>
      <w:pPr>
        <w:pStyle w:val="114"/>
        <w:ind w:firstLine="0" w:firstLineChars="0"/>
        <w:rPr>
          <w:rFonts w:ascii="宋体" w:hAnsi="宋体"/>
          <w:b/>
          <w:bCs/>
        </w:rPr>
      </w:pPr>
      <w:r>
        <w:rPr>
          <w:rFonts w:hint="eastAsia" w:ascii="宋体" w:hAnsi="宋体"/>
          <w:b/>
          <w:bCs/>
        </w:rPr>
        <w:t>二、合同总价</w:t>
      </w:r>
    </w:p>
    <w:p>
      <w:pPr>
        <w:pStyle w:val="16"/>
        <w:spacing w:line="360" w:lineRule="auto"/>
        <w:ind w:firstLine="420" w:firstLineChars="175"/>
        <w:rPr>
          <w:rFonts w:ascii="宋体" w:hAnsi="宋体"/>
          <w:sz w:val="24"/>
          <w:szCs w:val="24"/>
        </w:rPr>
      </w:pPr>
      <w:r>
        <w:rPr>
          <w:rFonts w:hint="eastAsia" w:ascii="宋体" w:hAnsi="宋体"/>
          <w:sz w:val="24"/>
          <w:szCs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14"/>
        <w:ind w:firstLine="0" w:firstLineChars="0"/>
        <w:rPr>
          <w:rFonts w:ascii="宋体" w:hAnsi="宋体"/>
          <w:b/>
          <w:bCs/>
        </w:rPr>
      </w:pPr>
      <w:bookmarkStart w:id="229" w:name="_Toc217446109"/>
      <w:bookmarkEnd w:id="229"/>
      <w:r>
        <w:rPr>
          <w:rFonts w:hint="eastAsia" w:ascii="宋体" w:hAnsi="宋体"/>
          <w:b/>
          <w:bCs/>
        </w:rPr>
        <w:t>三、质量要求</w:t>
      </w:r>
    </w:p>
    <w:p>
      <w:pPr>
        <w:pStyle w:val="100"/>
        <w:spacing w:line="360" w:lineRule="auto"/>
        <w:ind w:firstLine="480"/>
        <w:rPr>
          <w:rFonts w:ascii="宋体" w:hAnsi="宋体"/>
        </w:rPr>
      </w:pPr>
      <w:r>
        <w:rPr>
          <w:rFonts w:hint="eastAsia" w:ascii="宋体" w:hAnsi="宋体"/>
        </w:rPr>
        <w:t>1、乙方须提供全新的货物（含零部件、配件等），表面无划伤、无碰撞痕迹，且权属清楚，不得侵害他人的知识产权。</w:t>
      </w:r>
    </w:p>
    <w:p>
      <w:pPr>
        <w:pStyle w:val="100"/>
        <w:spacing w:line="360" w:lineRule="auto"/>
        <w:ind w:firstLine="480"/>
        <w:rPr>
          <w:rFonts w:ascii="宋体" w:hAnsi="宋体"/>
        </w:rPr>
      </w:pPr>
      <w:r>
        <w:rPr>
          <w:rFonts w:hint="eastAsia" w:ascii="宋体" w:hAnsi="宋体"/>
        </w:rPr>
        <w:t>2、货物必须符合或优于国家（行业）标准，以及本项目招标文件的质量要求和技术指标与出厂标准。</w:t>
      </w:r>
    </w:p>
    <w:p>
      <w:pPr>
        <w:pStyle w:val="100"/>
        <w:spacing w:line="360" w:lineRule="auto"/>
        <w:ind w:firstLine="480"/>
        <w:rPr>
          <w:rFonts w:ascii="宋体" w:hAnsi="宋体"/>
        </w:rPr>
      </w:pPr>
      <w:r>
        <w:rPr>
          <w:rFonts w:hint="eastAsia" w:ascii="宋体" w:hAnsi="宋体"/>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100"/>
        <w:spacing w:line="360" w:lineRule="auto"/>
        <w:ind w:firstLine="480"/>
        <w:rPr>
          <w:rFonts w:ascii="宋体" w:hAnsi="宋体"/>
        </w:rPr>
      </w:pPr>
      <w:r>
        <w:rPr>
          <w:rFonts w:hint="eastAsia" w:ascii="宋体" w:hAnsi="宋体"/>
        </w:rPr>
        <w:t>4、货物制造质量出现问题，乙方应负责三包（包修、包换、包退），费用由乙方负担，甲方有权到乙方生产场地检查货物质量和生产进度。</w:t>
      </w:r>
    </w:p>
    <w:p>
      <w:pPr>
        <w:pStyle w:val="100"/>
        <w:spacing w:line="360" w:lineRule="auto"/>
        <w:ind w:firstLine="480"/>
        <w:rPr>
          <w:rFonts w:ascii="宋体" w:hAnsi="宋体"/>
        </w:rPr>
      </w:pPr>
      <w:r>
        <w:rPr>
          <w:rFonts w:hint="eastAsia" w:ascii="宋体" w:hAnsi="宋体"/>
        </w:rPr>
        <w:t>5、货到现场后由于甲方保管不当造成的质量问题，乙方亦应负责修理，但费用由甲方负担。</w:t>
      </w:r>
    </w:p>
    <w:p>
      <w:pPr>
        <w:pStyle w:val="114"/>
        <w:ind w:firstLine="0" w:firstLineChars="0"/>
        <w:rPr>
          <w:rFonts w:ascii="宋体" w:hAnsi="宋体"/>
          <w:b/>
          <w:bCs/>
        </w:rPr>
      </w:pPr>
      <w:bookmarkStart w:id="230" w:name="_Toc217446110"/>
      <w:bookmarkEnd w:id="230"/>
      <w:r>
        <w:rPr>
          <w:rFonts w:hint="eastAsia" w:ascii="宋体" w:hAnsi="宋体"/>
          <w:b/>
          <w:bCs/>
        </w:rPr>
        <w:t>四、交货及验收</w:t>
      </w:r>
    </w:p>
    <w:p>
      <w:pPr>
        <w:pStyle w:val="100"/>
        <w:spacing w:line="360" w:lineRule="auto"/>
        <w:ind w:firstLine="480"/>
        <w:rPr>
          <w:rFonts w:ascii="宋体" w:hAnsi="宋体"/>
        </w:rPr>
      </w:pPr>
      <w:r>
        <w:rPr>
          <w:rFonts w:hint="eastAsia" w:ascii="宋体" w:hAnsi="宋体"/>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100"/>
        <w:spacing w:line="360" w:lineRule="auto"/>
        <w:ind w:firstLine="480"/>
        <w:rPr>
          <w:rFonts w:ascii="宋体" w:hAnsi="宋体"/>
        </w:rPr>
      </w:pPr>
      <w:r>
        <w:rPr>
          <w:rFonts w:hint="eastAsia" w:ascii="宋体" w:hAnsi="宋体"/>
        </w:rPr>
        <w:t>2、验收由甲方组织，乙方配合进行：</w:t>
      </w:r>
    </w:p>
    <w:p>
      <w:pPr>
        <w:pStyle w:val="100"/>
        <w:spacing w:line="360" w:lineRule="auto"/>
        <w:ind w:firstLine="480"/>
        <w:rPr>
          <w:rFonts w:ascii="宋体" w:hAnsi="宋体"/>
        </w:rPr>
      </w:pPr>
      <w:r>
        <w:rPr>
          <w:rFonts w:hint="eastAsia" w:ascii="宋体" w:hAnsi="宋体"/>
        </w:rPr>
        <w:t>(1) 货物在乙方通知安装调试完毕后日内初步验收。初步验收合格后，进入试用期；试用期间发生重大质量问题，修复后试用相应顺延；试用期结束后日内完成最终验收；</w:t>
      </w:r>
    </w:p>
    <w:p>
      <w:pPr>
        <w:pStyle w:val="100"/>
        <w:spacing w:line="360" w:lineRule="auto"/>
        <w:ind w:firstLine="480"/>
        <w:rPr>
          <w:rFonts w:ascii="宋体" w:hAnsi="宋体"/>
        </w:rPr>
      </w:pPr>
      <w:r>
        <w:rPr>
          <w:rFonts w:hint="eastAsia"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0"/>
        <w:spacing w:line="360" w:lineRule="auto"/>
        <w:ind w:firstLine="480"/>
        <w:rPr>
          <w:rFonts w:ascii="宋体" w:hAnsi="宋体"/>
        </w:rPr>
      </w:pPr>
      <w:r>
        <w:rPr>
          <w:rFonts w:hint="eastAsia"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0"/>
        <w:spacing w:line="360" w:lineRule="auto"/>
        <w:ind w:firstLine="480"/>
        <w:rPr>
          <w:rFonts w:ascii="宋体" w:hAnsi="宋体"/>
        </w:rPr>
      </w:pPr>
      <w:r>
        <w:rPr>
          <w:rFonts w:hint="eastAsia" w:ascii="宋体" w:hAnsi="宋体"/>
        </w:rPr>
        <w:t>(4) 如质量验收合格，双方签署质量验收报告。</w:t>
      </w:r>
    </w:p>
    <w:p>
      <w:pPr>
        <w:pStyle w:val="100"/>
        <w:spacing w:line="360" w:lineRule="auto"/>
        <w:ind w:firstLine="480"/>
        <w:rPr>
          <w:rFonts w:ascii="宋体" w:hAnsi="宋体"/>
        </w:rPr>
      </w:pPr>
      <w:r>
        <w:rPr>
          <w:rFonts w:hint="eastAsia" w:ascii="宋体" w:hAnsi="宋体"/>
        </w:rPr>
        <w:t>3、货物安装完成后日内，甲方无故不进行验收工作并已使用货物的，视同已安装调试完成并验收合格。</w:t>
      </w:r>
    </w:p>
    <w:p>
      <w:pPr>
        <w:pStyle w:val="100"/>
        <w:spacing w:line="360" w:lineRule="auto"/>
        <w:ind w:firstLine="480"/>
        <w:rPr>
          <w:rFonts w:ascii="宋体" w:hAnsi="宋体"/>
        </w:rPr>
      </w:pPr>
      <w:r>
        <w:rPr>
          <w:rFonts w:hint="eastAsia"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100"/>
        <w:spacing w:line="360" w:lineRule="auto"/>
        <w:ind w:firstLine="480"/>
        <w:rPr>
          <w:rFonts w:ascii="宋体" w:hAnsi="宋体"/>
        </w:rPr>
      </w:pPr>
      <w:r>
        <w:rPr>
          <w:rFonts w:hint="eastAsia" w:ascii="宋体" w:hAnsi="宋体"/>
        </w:rPr>
        <w:t xml:space="preserve">5、如货物经乙方次维修仍不能达到合同约定的质量标准，甲方有权退货，并视作乙方不能交付货物而须支付违约赔偿金给甲方，甲方还可依法追究乙方的违约责任。 </w:t>
      </w:r>
    </w:p>
    <w:p>
      <w:pPr>
        <w:pStyle w:val="100"/>
        <w:spacing w:line="360" w:lineRule="auto"/>
        <w:ind w:firstLine="480"/>
        <w:rPr>
          <w:rFonts w:ascii="宋体" w:hAnsi="宋体"/>
        </w:rPr>
      </w:pPr>
      <w:r>
        <w:rPr>
          <w:rFonts w:hint="eastAsia" w:ascii="宋体" w:hAnsi="宋体"/>
        </w:rPr>
        <w:t>6、其他未尽事宜应严格按照《四川省政府采购项目需求论证和履约验收管理办法》（川财采〔2015〕32号）的要求进行。</w:t>
      </w:r>
    </w:p>
    <w:p>
      <w:pPr>
        <w:pStyle w:val="114"/>
        <w:ind w:firstLine="0" w:firstLineChars="0"/>
        <w:rPr>
          <w:rFonts w:ascii="宋体" w:hAnsi="宋体"/>
          <w:b/>
          <w:bCs/>
        </w:rPr>
      </w:pPr>
      <w:bookmarkStart w:id="231" w:name="_Toc217446111"/>
      <w:bookmarkEnd w:id="231"/>
      <w:r>
        <w:rPr>
          <w:rFonts w:hint="eastAsia" w:ascii="宋体" w:hAnsi="宋体"/>
          <w:b/>
          <w:bCs/>
        </w:rPr>
        <w:t>五、付款方式</w:t>
      </w:r>
    </w:p>
    <w:p>
      <w:pPr>
        <w:pStyle w:val="100"/>
        <w:spacing w:line="360" w:lineRule="auto"/>
        <w:ind w:firstLine="480"/>
        <w:rPr>
          <w:rFonts w:ascii="宋体" w:hAnsi="宋体"/>
        </w:rPr>
      </w:pPr>
      <w:r>
        <w:rPr>
          <w:rFonts w:hint="eastAsia" w:ascii="宋体" w:hAnsi="宋体"/>
        </w:rPr>
        <w:t>（一）适用于无预付款采购项目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1、全部货物安装调试完毕并验收合格之日起，甲方接到乙方通知与票据凭证资料以后的日内，按照财政性资金支付有关规定，向乙方支付合同价款￥元，人民币大写元整；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00"/>
        <w:spacing w:line="360" w:lineRule="auto"/>
        <w:ind w:firstLine="480"/>
        <w:rPr>
          <w:rFonts w:ascii="宋体" w:hAnsi="宋体"/>
        </w:rPr>
      </w:pPr>
      <w:r>
        <w:rPr>
          <w:rFonts w:hint="eastAsia" w:ascii="宋体" w:hAnsi="宋体"/>
        </w:rPr>
        <w:t>（二）适用于有预付款采购项目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14"/>
        <w:ind w:firstLine="0" w:firstLineChars="0"/>
        <w:rPr>
          <w:rFonts w:ascii="宋体" w:hAnsi="宋体"/>
          <w:b/>
          <w:bCs/>
        </w:rPr>
      </w:pPr>
      <w:bookmarkStart w:id="232" w:name="_Toc217446112"/>
      <w:bookmarkEnd w:id="232"/>
      <w:r>
        <w:rPr>
          <w:rFonts w:hint="eastAsia" w:ascii="宋体" w:hAnsi="宋体"/>
          <w:b/>
          <w:bCs/>
        </w:rPr>
        <w:t>六、售后服务</w:t>
      </w:r>
    </w:p>
    <w:p>
      <w:pPr>
        <w:pStyle w:val="100"/>
        <w:spacing w:line="360" w:lineRule="auto"/>
        <w:ind w:firstLine="480"/>
        <w:rPr>
          <w:rFonts w:ascii="宋体" w:hAnsi="宋体"/>
        </w:rPr>
      </w:pPr>
      <w:r>
        <w:rPr>
          <w:rFonts w:hint="eastAsia" w:ascii="宋体" w:hAnsi="宋体"/>
        </w:rPr>
        <w:t>1、质保期为验收合格后XX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100"/>
        <w:spacing w:line="360" w:lineRule="auto"/>
        <w:ind w:firstLine="480"/>
        <w:rPr>
          <w:rFonts w:ascii="宋体" w:hAnsi="宋体"/>
        </w:rPr>
      </w:pPr>
      <w:r>
        <w:rPr>
          <w:rFonts w:hint="eastAsia" w:ascii="宋体" w:hAnsi="宋体"/>
        </w:rPr>
        <w:t xml:space="preserve">2、乙方须指派专人负责与甲方联系售后服务事宜。 </w:t>
      </w:r>
    </w:p>
    <w:p>
      <w:pPr>
        <w:pStyle w:val="114"/>
        <w:ind w:firstLine="0" w:firstLineChars="0"/>
        <w:rPr>
          <w:rFonts w:ascii="宋体" w:hAnsi="宋体"/>
          <w:b/>
          <w:bCs/>
        </w:rPr>
      </w:pPr>
      <w:bookmarkStart w:id="233" w:name="_Toc217446113"/>
      <w:bookmarkEnd w:id="233"/>
      <w:r>
        <w:rPr>
          <w:rFonts w:hint="eastAsia" w:ascii="宋体" w:hAnsi="宋体"/>
          <w:b/>
          <w:bCs/>
        </w:rPr>
        <w:t>七、违约责任</w:t>
      </w:r>
    </w:p>
    <w:p>
      <w:pPr>
        <w:pStyle w:val="100"/>
        <w:spacing w:line="360" w:lineRule="auto"/>
        <w:ind w:firstLine="480"/>
        <w:rPr>
          <w:rFonts w:ascii="宋体" w:hAnsi="宋体"/>
        </w:rPr>
      </w:pPr>
      <w:r>
        <w:rPr>
          <w:rFonts w:hint="eastAsia" w:ascii="宋体" w:hAnsi="宋体"/>
        </w:rPr>
        <w:t>1、甲方违约责任</w:t>
      </w:r>
    </w:p>
    <w:p>
      <w:pPr>
        <w:pStyle w:val="100"/>
        <w:spacing w:line="360" w:lineRule="auto"/>
        <w:ind w:firstLine="480"/>
        <w:rPr>
          <w:rFonts w:ascii="宋体" w:hAnsi="宋体"/>
        </w:rPr>
      </w:pPr>
      <w:r>
        <w:rPr>
          <w:rFonts w:hint="eastAsia" w:ascii="宋体" w:hAnsi="宋体"/>
        </w:rPr>
        <w:t>（1） 甲方无正当理由拒收货物的，甲方应偿付合同总价百分之  的违约金；</w:t>
      </w:r>
    </w:p>
    <w:p>
      <w:pPr>
        <w:pStyle w:val="100"/>
        <w:spacing w:line="360" w:lineRule="auto"/>
        <w:ind w:firstLine="480"/>
        <w:rPr>
          <w:rFonts w:ascii="宋体" w:hAnsi="宋体"/>
        </w:rPr>
      </w:pPr>
      <w:r>
        <w:rPr>
          <w:rFonts w:hint="eastAsia" w:ascii="宋体" w:hAnsi="宋体"/>
        </w:rPr>
        <w:t>（2） 甲方逾期支付货款的，除应及时付足货款外，应向乙方偿付欠款总额万分之/天的违约金；逾期付款超过天的，乙方有权终止合同；</w:t>
      </w:r>
    </w:p>
    <w:p>
      <w:pPr>
        <w:pStyle w:val="100"/>
        <w:spacing w:line="360" w:lineRule="auto"/>
        <w:ind w:firstLine="480"/>
        <w:rPr>
          <w:rFonts w:ascii="宋体" w:hAnsi="宋体"/>
        </w:rPr>
      </w:pPr>
      <w:r>
        <w:rPr>
          <w:rFonts w:hint="eastAsia" w:ascii="宋体" w:hAnsi="宋体"/>
        </w:rPr>
        <w:t>（3） 甲方偿付的违约金不足以弥补乙方损失的，还应按乙方损失尚未弥补的部分，支付赔偿金给乙方。</w:t>
      </w:r>
    </w:p>
    <w:p>
      <w:pPr>
        <w:pStyle w:val="100"/>
        <w:spacing w:line="360" w:lineRule="auto"/>
        <w:ind w:firstLine="480"/>
        <w:rPr>
          <w:rFonts w:ascii="宋体" w:hAnsi="宋体"/>
        </w:rPr>
      </w:pPr>
      <w:r>
        <w:rPr>
          <w:rFonts w:hint="eastAsia" w:ascii="宋体" w:hAnsi="宋体"/>
        </w:rPr>
        <w:t>2、乙方违约责任</w:t>
      </w:r>
    </w:p>
    <w:p>
      <w:pPr>
        <w:pStyle w:val="100"/>
        <w:spacing w:line="360" w:lineRule="auto"/>
        <w:ind w:firstLine="480"/>
        <w:rPr>
          <w:rFonts w:ascii="宋体" w:hAnsi="宋体"/>
        </w:rPr>
      </w:pPr>
      <w:r>
        <w:rPr>
          <w:rFonts w:hint="eastAsia" w:ascii="宋体" w:hAnsi="宋体"/>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100"/>
        <w:spacing w:line="360" w:lineRule="auto"/>
        <w:ind w:firstLine="480"/>
        <w:rPr>
          <w:rFonts w:ascii="宋体" w:hAnsi="宋体"/>
        </w:rPr>
      </w:pPr>
      <w:r>
        <w:rPr>
          <w:rFonts w:hint="eastAsia" w:ascii="宋体" w:hAnsi="宋体"/>
        </w:rPr>
        <w:t>（2）乙方不能交付货物或逾期交付货物而违约的，除应及时交足货物外，应向甲方偿付逾期交货部分货款总额的万分之/天的违约金；逾期交货超过XX天，甲方有权终止合同，乙方则应按合同总价的百分之的款额向甲方偿付赔偿金，并须全额退还甲方已经付给乙方的货款及其利息。</w:t>
      </w:r>
    </w:p>
    <w:p>
      <w:pPr>
        <w:pStyle w:val="100"/>
        <w:spacing w:line="360" w:lineRule="auto"/>
        <w:ind w:firstLine="480"/>
        <w:rPr>
          <w:rFonts w:ascii="宋体" w:hAnsi="宋体"/>
        </w:rPr>
      </w:pPr>
      <w:r>
        <w:rPr>
          <w:rFonts w:hint="eastAsia" w:ascii="宋体" w:hAnsi="宋体"/>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100"/>
        <w:spacing w:line="360" w:lineRule="auto"/>
        <w:ind w:firstLine="480"/>
        <w:rPr>
          <w:rFonts w:ascii="宋体" w:hAnsi="宋体"/>
        </w:rPr>
      </w:pPr>
      <w:r>
        <w:rPr>
          <w:rFonts w:hint="eastAsia"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100"/>
        <w:spacing w:line="360" w:lineRule="auto"/>
        <w:ind w:firstLine="480"/>
        <w:rPr>
          <w:rFonts w:ascii="宋体" w:hAnsi="宋体"/>
        </w:rPr>
      </w:pPr>
      <w:r>
        <w:rPr>
          <w:rFonts w:hint="eastAsia" w:ascii="宋体" w:hAnsi="宋体"/>
        </w:rPr>
        <w:t>（5）乙方偿付的违约金不足以弥补甲方损失的，还应按甲方损失尚未弥补的部分，支付赔偿金给甲方。</w:t>
      </w:r>
    </w:p>
    <w:p>
      <w:pPr>
        <w:pStyle w:val="114"/>
        <w:ind w:firstLine="0" w:firstLineChars="0"/>
        <w:rPr>
          <w:rFonts w:ascii="宋体" w:hAnsi="宋体"/>
          <w:b/>
          <w:bCs/>
        </w:rPr>
      </w:pPr>
      <w:bookmarkStart w:id="234" w:name="_Toc217446114"/>
      <w:bookmarkEnd w:id="234"/>
      <w:r>
        <w:rPr>
          <w:rFonts w:hint="eastAsia" w:ascii="宋体" w:hAnsi="宋体"/>
          <w:b/>
          <w:bCs/>
        </w:rPr>
        <w:t>八、争议解决办法</w:t>
      </w:r>
    </w:p>
    <w:p>
      <w:pPr>
        <w:pStyle w:val="100"/>
        <w:spacing w:line="360" w:lineRule="auto"/>
        <w:ind w:firstLine="480"/>
        <w:rPr>
          <w:rFonts w:ascii="宋体" w:hAnsi="宋体"/>
        </w:rPr>
      </w:pPr>
      <w:r>
        <w:rPr>
          <w:rFonts w:hint="eastAsia" w:ascii="宋体" w:hAnsi="宋体"/>
        </w:rPr>
        <w:t>1、因货物的质量问题发生争议，由质量技术监督部门或其指定的质量鉴定机构进行质量鉴定。货物符合标准的，鉴定费由甲方承担；货物不符合质量标准的，鉴定费由乙方承担。</w:t>
      </w:r>
    </w:p>
    <w:p>
      <w:pPr>
        <w:pStyle w:val="100"/>
        <w:spacing w:line="360" w:lineRule="auto"/>
        <w:ind w:firstLine="480"/>
        <w:rPr>
          <w:rFonts w:ascii="宋体" w:hAnsi="宋体"/>
        </w:rPr>
      </w:pPr>
      <w:r>
        <w:rPr>
          <w:rFonts w:hint="eastAsia" w:ascii="宋体" w:hAnsi="宋体"/>
        </w:rPr>
        <w:t>2、合同履行期间,若双方发生争议，可协商或由有关部门调解解决，协商或调解不成的，由当事人依法维护其合法权益。</w:t>
      </w:r>
    </w:p>
    <w:p>
      <w:pPr>
        <w:pStyle w:val="114"/>
        <w:ind w:firstLine="0" w:firstLineChars="0"/>
        <w:rPr>
          <w:rFonts w:ascii="宋体" w:hAnsi="宋体"/>
          <w:b/>
          <w:bCs/>
        </w:rPr>
      </w:pPr>
      <w:bookmarkStart w:id="235" w:name="_Toc217446115"/>
      <w:bookmarkEnd w:id="235"/>
      <w:r>
        <w:rPr>
          <w:rFonts w:hint="eastAsia" w:ascii="宋体" w:hAnsi="宋体"/>
          <w:b/>
          <w:bCs/>
        </w:rPr>
        <w:t>九、其他</w:t>
      </w:r>
    </w:p>
    <w:p>
      <w:pPr>
        <w:pStyle w:val="100"/>
        <w:spacing w:line="360" w:lineRule="auto"/>
        <w:ind w:firstLine="480"/>
        <w:rPr>
          <w:rFonts w:ascii="宋体" w:hAnsi="宋体"/>
        </w:rPr>
      </w:pPr>
      <w:r>
        <w:rPr>
          <w:rFonts w:hint="eastAsia" w:ascii="宋体" w:hAnsi="宋体"/>
        </w:rPr>
        <w:t>1、如有未尽事宜，由双方依法订立补充合同。</w:t>
      </w:r>
    </w:p>
    <w:p>
      <w:pPr>
        <w:pStyle w:val="100"/>
        <w:spacing w:line="360" w:lineRule="auto"/>
        <w:ind w:firstLine="480"/>
        <w:rPr>
          <w:rFonts w:ascii="宋体" w:hAnsi="宋体"/>
        </w:rPr>
      </w:pPr>
      <w:r>
        <w:rPr>
          <w:rFonts w:hint="eastAsia" w:ascii="宋体" w:hAnsi="宋体"/>
        </w:rPr>
        <w:t>2、本合同一式六份，自双方签章之日起生效。甲方三份，乙方、政府采购管理部门、采购代理机构各一份。</w:t>
      </w:r>
    </w:p>
    <w:p>
      <w:pPr>
        <w:spacing w:line="360" w:lineRule="auto"/>
        <w:ind w:firstLine="480" w:firstLineChars="200"/>
        <w:rPr>
          <w:rFonts w:ascii="宋体" w:hAnsi="宋体"/>
          <w:sz w:val="24"/>
          <w:szCs w:val="24"/>
        </w:rPr>
      </w:pPr>
      <w:r>
        <w:rPr>
          <w:rFonts w:hint="eastAsia" w:ascii="宋体" w:hAnsi="宋体"/>
          <w:sz w:val="24"/>
          <w:szCs w:val="24"/>
        </w:rPr>
        <w:t xml:space="preserve">甲方：   （盖章）   </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乙方：   （盖章）</w:t>
      </w:r>
    </w:p>
    <w:p>
      <w:pPr>
        <w:spacing w:line="360" w:lineRule="auto"/>
        <w:ind w:firstLine="480" w:firstLineChars="200"/>
        <w:rPr>
          <w:rFonts w:ascii="宋体" w:hAnsi="宋体"/>
          <w:sz w:val="24"/>
          <w:szCs w:val="24"/>
        </w:rPr>
      </w:pPr>
      <w:r>
        <w:rPr>
          <w:rFonts w:hint="eastAsia" w:ascii="宋体" w:hAnsi="宋体"/>
          <w:sz w:val="24"/>
          <w:szCs w:val="24"/>
        </w:rPr>
        <w:t>法定代表人/单位负责人（授权代表）：            法定代表人/单位负责人（授权代表）：</w:t>
      </w:r>
    </w:p>
    <w:p>
      <w:pPr>
        <w:spacing w:line="360" w:lineRule="auto"/>
        <w:ind w:firstLine="480" w:firstLineChars="200"/>
        <w:rPr>
          <w:rFonts w:ascii="宋体" w:hAnsi="宋体"/>
          <w:sz w:val="24"/>
          <w:szCs w:val="24"/>
        </w:rPr>
      </w:pPr>
      <w:r>
        <w:rPr>
          <w:rFonts w:hint="eastAsia" w:ascii="宋体" w:hAnsi="宋体"/>
          <w:sz w:val="24"/>
          <w:szCs w:val="24"/>
        </w:rPr>
        <w:t>地    址：                         地    址：</w:t>
      </w:r>
    </w:p>
    <w:p>
      <w:pPr>
        <w:spacing w:line="360" w:lineRule="auto"/>
        <w:ind w:firstLine="480" w:firstLineChars="200"/>
        <w:rPr>
          <w:rFonts w:ascii="宋体" w:hAnsi="宋体"/>
          <w:sz w:val="24"/>
          <w:szCs w:val="24"/>
        </w:rPr>
      </w:pPr>
      <w:r>
        <w:rPr>
          <w:rFonts w:hint="eastAsia" w:ascii="宋体" w:hAnsi="宋体"/>
          <w:sz w:val="24"/>
          <w:szCs w:val="24"/>
        </w:rPr>
        <w:t>开户银行：                         开户银行：</w:t>
      </w:r>
    </w:p>
    <w:p>
      <w:pPr>
        <w:spacing w:line="360" w:lineRule="auto"/>
        <w:ind w:firstLine="480" w:firstLineChars="200"/>
        <w:rPr>
          <w:rFonts w:ascii="宋体" w:hAnsi="宋体"/>
          <w:sz w:val="24"/>
          <w:szCs w:val="24"/>
        </w:rPr>
      </w:pPr>
      <w:r>
        <w:rPr>
          <w:rFonts w:hint="eastAsia" w:ascii="宋体" w:hAnsi="宋体"/>
          <w:sz w:val="24"/>
          <w:szCs w:val="24"/>
        </w:rPr>
        <w:t>账号：                             账号：</w:t>
      </w:r>
    </w:p>
    <w:p>
      <w:pPr>
        <w:spacing w:line="360" w:lineRule="auto"/>
        <w:ind w:firstLine="480" w:firstLineChars="200"/>
        <w:rPr>
          <w:rFonts w:ascii="宋体" w:hAnsi="宋体"/>
          <w:sz w:val="24"/>
          <w:szCs w:val="24"/>
        </w:rPr>
      </w:pPr>
      <w:r>
        <w:rPr>
          <w:rFonts w:hint="eastAsia" w:ascii="宋体" w:hAnsi="宋体"/>
          <w:sz w:val="24"/>
          <w:szCs w:val="24"/>
        </w:rPr>
        <w:t>电    话：                         电    话：</w:t>
      </w:r>
    </w:p>
    <w:p>
      <w:pPr>
        <w:spacing w:line="360" w:lineRule="auto"/>
        <w:ind w:firstLine="480" w:firstLineChars="200"/>
        <w:rPr>
          <w:rFonts w:ascii="宋体" w:hAnsi="宋体"/>
          <w:sz w:val="24"/>
          <w:szCs w:val="24"/>
        </w:rPr>
      </w:pPr>
      <w:r>
        <w:rPr>
          <w:rFonts w:hint="eastAsia" w:ascii="宋体" w:hAnsi="宋体"/>
          <w:sz w:val="24"/>
          <w:szCs w:val="24"/>
        </w:rPr>
        <w:t>传    真：                         传    真：</w:t>
      </w:r>
    </w:p>
    <w:p>
      <w:pPr>
        <w:spacing w:line="360" w:lineRule="auto"/>
        <w:ind w:firstLine="420" w:firstLineChars="200"/>
        <w:rPr>
          <w:rFonts w:ascii="宋体" w:hAnsi="宋体"/>
        </w:rPr>
      </w:pPr>
      <w:r>
        <w:rPr>
          <w:rFonts w:hint="eastAsia" w:ascii="宋体" w:hAnsi="宋体"/>
        </w:rPr>
        <w:t>签约日期：XX年XX月XX日</w:t>
      </w:r>
      <w:r>
        <w:rPr>
          <w:rFonts w:hint="eastAsia" w:ascii="宋体" w:hAnsi="宋体"/>
        </w:rPr>
        <w:tab/>
      </w:r>
      <w:r>
        <w:rPr>
          <w:rFonts w:hint="eastAsia" w:ascii="宋体" w:hAnsi="宋体"/>
        </w:rPr>
        <w:tab/>
      </w:r>
      <w:r>
        <w:rPr>
          <w:rFonts w:hint="eastAsia" w:ascii="宋体" w:hAnsi="宋体"/>
        </w:rPr>
        <w:tab/>
      </w:r>
      <w:r>
        <w:rPr>
          <w:rFonts w:hint="eastAsia" w:ascii="宋体" w:hAnsi="宋体"/>
        </w:rPr>
        <w:t>签约日期：XX年XX月XX日</w:t>
      </w:r>
    </w:p>
    <w:p/>
    <w:p>
      <w:pPr>
        <w:pStyle w:val="2"/>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docPartObj>
        <w:docPartGallery w:val="autotext"/>
      </w:docPartObj>
    </w:sdtPr>
    <w:sdtContent>
      <w:p>
        <w:pPr>
          <w:pStyle w:val="29"/>
          <w:ind w:firstLine="480"/>
          <w:jc w:val="center"/>
        </w:pPr>
        <w:r>
          <w:fldChar w:fldCharType="begin"/>
        </w:r>
        <w:r>
          <w:instrText xml:space="preserve">PAGE   \* MERGEFORMAT</w:instrText>
        </w:r>
        <w:r>
          <w:fldChar w:fldCharType="separate"/>
        </w:r>
        <w:r>
          <w:rPr>
            <w:lang w:val="zh-CN"/>
          </w:rPr>
          <w:t>2</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1">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0">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2">
    <w:nsid w:val="0EA05B87"/>
    <w:multiLevelType w:val="singleLevel"/>
    <w:tmpl w:val="0EA05B87"/>
    <w:lvl w:ilvl="0" w:tentative="0">
      <w:start w:val="1"/>
      <w:numFmt w:val="decimal"/>
      <w:lvlText w:val="%1."/>
      <w:lvlJc w:val="left"/>
      <w:pPr>
        <w:tabs>
          <w:tab w:val="left" w:pos="312"/>
        </w:tabs>
      </w:pPr>
    </w:lvl>
  </w:abstractNum>
  <w:abstractNum w:abstractNumId="23">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4">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5">
    <w:nsid w:val="27B0359A"/>
    <w:multiLevelType w:val="multilevel"/>
    <w:tmpl w:val="27B0359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7">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9">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0">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1">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3">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5">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6">
    <w:nsid w:val="4F8094B6"/>
    <w:multiLevelType w:val="singleLevel"/>
    <w:tmpl w:val="4F8094B6"/>
    <w:lvl w:ilvl="0" w:tentative="0">
      <w:start w:val="3"/>
      <w:numFmt w:val="decimal"/>
      <w:suff w:val="nothing"/>
      <w:lvlText w:val="%1、"/>
      <w:lvlJc w:val="left"/>
    </w:lvl>
  </w:abstractNum>
  <w:abstractNum w:abstractNumId="37">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8">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1">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2">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5">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6">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7">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8">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9">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6"/>
  </w:num>
  <w:num w:numId="3">
    <w:abstractNumId w:val="2"/>
  </w:num>
  <w:num w:numId="4">
    <w:abstractNumId w:val="2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5"/>
  </w:num>
  <w:num w:numId="39">
    <w:abstractNumId w:val="22"/>
  </w:num>
  <w:num w:numId="40">
    <w:abstractNumId w:val="3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12974F9"/>
    <w:rsid w:val="025A1558"/>
    <w:rsid w:val="02EF5314"/>
    <w:rsid w:val="085C47AA"/>
    <w:rsid w:val="090617CA"/>
    <w:rsid w:val="09BB458B"/>
    <w:rsid w:val="0A3D6332"/>
    <w:rsid w:val="0B812686"/>
    <w:rsid w:val="0D790042"/>
    <w:rsid w:val="0F61448E"/>
    <w:rsid w:val="0F725B2A"/>
    <w:rsid w:val="11E3661B"/>
    <w:rsid w:val="14595F09"/>
    <w:rsid w:val="148804D9"/>
    <w:rsid w:val="1C7E22CE"/>
    <w:rsid w:val="1D257E50"/>
    <w:rsid w:val="1D3800E5"/>
    <w:rsid w:val="1D403C48"/>
    <w:rsid w:val="1D452F25"/>
    <w:rsid w:val="1F9832F2"/>
    <w:rsid w:val="1FE01983"/>
    <w:rsid w:val="20044367"/>
    <w:rsid w:val="200E353D"/>
    <w:rsid w:val="20364BEF"/>
    <w:rsid w:val="20E30BCC"/>
    <w:rsid w:val="20E64162"/>
    <w:rsid w:val="25091FB5"/>
    <w:rsid w:val="256A42FE"/>
    <w:rsid w:val="28181BD6"/>
    <w:rsid w:val="290736F4"/>
    <w:rsid w:val="29721EDE"/>
    <w:rsid w:val="298D3E05"/>
    <w:rsid w:val="2A473FA1"/>
    <w:rsid w:val="2C5059A1"/>
    <w:rsid w:val="2D453A5B"/>
    <w:rsid w:val="33A55E69"/>
    <w:rsid w:val="38601536"/>
    <w:rsid w:val="397A571B"/>
    <w:rsid w:val="39AF0741"/>
    <w:rsid w:val="39D62B89"/>
    <w:rsid w:val="3B61768E"/>
    <w:rsid w:val="3B84694D"/>
    <w:rsid w:val="3E0969FA"/>
    <w:rsid w:val="3EDD2583"/>
    <w:rsid w:val="40650CB2"/>
    <w:rsid w:val="412E6881"/>
    <w:rsid w:val="41476E3A"/>
    <w:rsid w:val="415F6CF4"/>
    <w:rsid w:val="419F5106"/>
    <w:rsid w:val="43DC28F2"/>
    <w:rsid w:val="478D5C50"/>
    <w:rsid w:val="479A31A6"/>
    <w:rsid w:val="481562C8"/>
    <w:rsid w:val="485634D6"/>
    <w:rsid w:val="4B1F4488"/>
    <w:rsid w:val="4B5E0A53"/>
    <w:rsid w:val="4D0200A8"/>
    <w:rsid w:val="4F271BB1"/>
    <w:rsid w:val="4FA32719"/>
    <w:rsid w:val="51165660"/>
    <w:rsid w:val="51FF4425"/>
    <w:rsid w:val="53F531C3"/>
    <w:rsid w:val="582C6F70"/>
    <w:rsid w:val="5859401C"/>
    <w:rsid w:val="595766ED"/>
    <w:rsid w:val="59BC01DD"/>
    <w:rsid w:val="59DD3FE8"/>
    <w:rsid w:val="5A1422A6"/>
    <w:rsid w:val="5A2315F0"/>
    <w:rsid w:val="5A5B1B5E"/>
    <w:rsid w:val="5D4B04E4"/>
    <w:rsid w:val="5DDE4CE1"/>
    <w:rsid w:val="5EDD30EB"/>
    <w:rsid w:val="616921F2"/>
    <w:rsid w:val="61F96DBA"/>
    <w:rsid w:val="6349433D"/>
    <w:rsid w:val="63EB49E5"/>
    <w:rsid w:val="649C5D28"/>
    <w:rsid w:val="658B23DA"/>
    <w:rsid w:val="66242A78"/>
    <w:rsid w:val="664064B9"/>
    <w:rsid w:val="66563C11"/>
    <w:rsid w:val="689F2E7D"/>
    <w:rsid w:val="6CFD501E"/>
    <w:rsid w:val="6ED230D4"/>
    <w:rsid w:val="6F00019E"/>
    <w:rsid w:val="7476222D"/>
    <w:rsid w:val="74917FF7"/>
    <w:rsid w:val="757760A3"/>
    <w:rsid w:val="77487872"/>
    <w:rsid w:val="77BB7E1A"/>
    <w:rsid w:val="78903436"/>
    <w:rsid w:val="7ADA548E"/>
    <w:rsid w:val="7B925FB1"/>
    <w:rsid w:val="7D184D00"/>
    <w:rsid w:val="7D7E17DC"/>
    <w:rsid w:val="7F4D4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1">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annotation subject"/>
    <w:basedOn w:val="13"/>
    <w:next w:val="13"/>
    <w:link w:val="73"/>
    <w:unhideWhenUsed/>
    <w:qFormat/>
    <w:uiPriority w:val="99"/>
    <w:rPr>
      <w:rFonts w:ascii="Calibri" w:hAnsi="Calibri"/>
      <w:b/>
      <w:bCs/>
      <w:kern w:val="2"/>
      <w:sz w:val="21"/>
      <w:szCs w:val="22"/>
    </w:rPr>
  </w:style>
  <w:style w:type="paragraph" w:styleId="13">
    <w:name w:val="annotation text"/>
    <w:basedOn w:val="1"/>
    <w:link w:val="59"/>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1"/>
    <w:unhideWhenUsed/>
    <w:qFormat/>
    <w:uiPriority w:val="0"/>
    <w:pPr>
      <w:shd w:val="clear" w:color="auto" w:fill="000080"/>
    </w:pPr>
    <w:rPr>
      <w:rFonts w:ascii="Times New Roman" w:hAnsi="Times New Roman"/>
      <w:kern w:val="0"/>
      <w:sz w:val="18"/>
      <w:szCs w:val="18"/>
    </w:rPr>
  </w:style>
  <w:style w:type="paragraph" w:styleId="19">
    <w:name w:val="Body Text 3"/>
    <w:basedOn w:val="1"/>
    <w:link w:val="68"/>
    <w:unhideWhenUsed/>
    <w:qFormat/>
    <w:uiPriority w:val="0"/>
    <w:pPr>
      <w:jc w:val="center"/>
    </w:pPr>
    <w:rPr>
      <w:rFonts w:ascii="Times New Roman" w:hAnsi="Times New Roman" w:eastAsia="黑体"/>
      <w:sz w:val="44"/>
      <w:szCs w:val="24"/>
    </w:rPr>
  </w:style>
  <w:style w:type="paragraph" w:styleId="20">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5"/>
    <w:unhideWhenUsed/>
    <w:qFormat/>
    <w:uiPriority w:val="0"/>
    <w:pPr>
      <w:ind w:left="100" w:leftChars="2500"/>
    </w:pPr>
    <w:rPr>
      <w:rFonts w:ascii="Times New Roman" w:hAnsi="Times New Roman"/>
      <w:kern w:val="0"/>
      <w:sz w:val="24"/>
      <w:szCs w:val="24"/>
    </w:rPr>
  </w:style>
  <w:style w:type="paragraph" w:styleId="27">
    <w:name w:val="Body Text Indent 2"/>
    <w:basedOn w:val="1"/>
    <w:link w:val="69"/>
    <w:unhideWhenUsed/>
    <w:qFormat/>
    <w:uiPriority w:val="0"/>
    <w:pPr>
      <w:spacing w:after="120" w:line="480" w:lineRule="auto"/>
      <w:ind w:left="420" w:leftChars="200"/>
    </w:pPr>
  </w:style>
  <w:style w:type="paragraph" w:styleId="28">
    <w:name w:val="Balloon Text"/>
    <w:basedOn w:val="1"/>
    <w:link w:val="74"/>
    <w:unhideWhenUsed/>
    <w:qFormat/>
    <w:uiPriority w:val="99"/>
    <w:rPr>
      <w:rFonts w:ascii="Times New Roman" w:hAnsi="Times New Roman"/>
      <w:kern w:val="0"/>
      <w:sz w:val="18"/>
      <w:szCs w:val="18"/>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58"/>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2">
    <w:name w:val="FollowedHyperlink"/>
    <w:basedOn w:val="41"/>
    <w:unhideWhenUsed/>
    <w:qFormat/>
    <w:uiPriority w:val="99"/>
    <w:rPr>
      <w:color w:val="44B9E8" w:themeColor="followedHyperlink"/>
      <w:u w:val="single"/>
      <w14:textFill>
        <w14:solidFill>
          <w14:schemeClr w14:val="folHlink"/>
        </w14:solidFill>
      </w14:textFill>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character" w:styleId="45">
    <w:name w:val="footnote reference"/>
    <w:unhideWhenUsed/>
    <w:qFormat/>
    <w:uiPriority w:val="0"/>
    <w:rPr>
      <w:vertAlign w:val="superscript"/>
    </w:rPr>
  </w:style>
  <w:style w:type="table" w:styleId="47">
    <w:name w:val="Table Grid"/>
    <w:basedOn w:val="4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8">
    <w:name w:val="标题 1 字符"/>
    <w:basedOn w:val="41"/>
    <w:link w:val="3"/>
    <w:qFormat/>
    <w:uiPriority w:val="9"/>
    <w:rPr>
      <w:rFonts w:ascii="宋体" w:hAnsi="宋体" w:eastAsia="宋体" w:cs="宋体"/>
      <w:b/>
      <w:bCs/>
      <w:spacing w:val="-20"/>
      <w:kern w:val="44"/>
      <w:sz w:val="32"/>
      <w:szCs w:val="32"/>
    </w:rPr>
  </w:style>
  <w:style w:type="character" w:customStyle="1" w:styleId="49">
    <w:name w:val="标题 2 字符"/>
    <w:basedOn w:val="41"/>
    <w:link w:val="4"/>
    <w:qFormat/>
    <w:uiPriority w:val="0"/>
    <w:rPr>
      <w:rFonts w:ascii="宋体" w:hAnsi="宋体" w:eastAsia="宋体" w:cs="宋体"/>
      <w:b/>
      <w:bCs/>
      <w:sz w:val="28"/>
      <w:szCs w:val="28"/>
    </w:rPr>
  </w:style>
  <w:style w:type="character" w:customStyle="1" w:styleId="50">
    <w:name w:val="标题 3 字符"/>
    <w:basedOn w:val="41"/>
    <w:link w:val="5"/>
    <w:qFormat/>
    <w:uiPriority w:val="0"/>
    <w:rPr>
      <w:rFonts w:ascii="宋体" w:hAnsi="宋体" w:eastAsia="宋体" w:cs="宋体"/>
      <w:b/>
      <w:bCs/>
      <w:color w:val="000000"/>
      <w:kern w:val="0"/>
      <w:sz w:val="28"/>
      <w:szCs w:val="28"/>
    </w:rPr>
  </w:style>
  <w:style w:type="character" w:customStyle="1" w:styleId="51">
    <w:name w:val="标题 4 字符"/>
    <w:basedOn w:val="41"/>
    <w:link w:val="6"/>
    <w:qFormat/>
    <w:uiPriority w:val="0"/>
    <w:rPr>
      <w:rFonts w:ascii="Arial" w:hAnsi="Arial" w:eastAsia="宋体" w:cs="Times New Roman"/>
      <w:b/>
      <w:bCs/>
      <w:kern w:val="0"/>
      <w:sz w:val="28"/>
      <w:szCs w:val="28"/>
    </w:rPr>
  </w:style>
  <w:style w:type="character" w:customStyle="1" w:styleId="52">
    <w:name w:val="标题 5 字符"/>
    <w:basedOn w:val="41"/>
    <w:link w:val="7"/>
    <w:qFormat/>
    <w:uiPriority w:val="0"/>
    <w:rPr>
      <w:rFonts w:ascii="Calibri" w:hAnsi="Calibri" w:eastAsia="宋体" w:cs="宋体"/>
      <w:b/>
      <w:bCs/>
      <w:kern w:val="0"/>
      <w:sz w:val="28"/>
      <w:szCs w:val="28"/>
    </w:rPr>
  </w:style>
  <w:style w:type="character" w:customStyle="1" w:styleId="53">
    <w:name w:val="标题 6 字符"/>
    <w:basedOn w:val="41"/>
    <w:link w:val="8"/>
    <w:qFormat/>
    <w:uiPriority w:val="0"/>
    <w:rPr>
      <w:rFonts w:ascii="Arial" w:hAnsi="Arial" w:eastAsia="宋体" w:cs="Times New Roman"/>
      <w:b/>
      <w:bCs/>
      <w:kern w:val="0"/>
      <w:sz w:val="28"/>
      <w:szCs w:val="18"/>
    </w:rPr>
  </w:style>
  <w:style w:type="character" w:customStyle="1" w:styleId="54">
    <w:name w:val="标题 7 字符"/>
    <w:basedOn w:val="41"/>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字符"/>
    <w:basedOn w:val="41"/>
    <w:link w:val="10"/>
    <w:semiHidden/>
    <w:qFormat/>
    <w:uiPriority w:val="0"/>
    <w:rPr>
      <w:rFonts w:ascii="Arial" w:hAnsi="Arial" w:eastAsia="黑体" w:cs="Times New Roman"/>
      <w:kern w:val="0"/>
      <w:sz w:val="24"/>
      <w:szCs w:val="24"/>
    </w:rPr>
  </w:style>
  <w:style w:type="character" w:customStyle="1" w:styleId="56">
    <w:name w:val="标题 9 字符"/>
    <w:basedOn w:val="41"/>
    <w:link w:val="11"/>
    <w:semiHidden/>
    <w:qFormat/>
    <w:uiPriority w:val="0"/>
    <w:rPr>
      <w:rFonts w:ascii="Arial" w:hAnsi="Arial" w:eastAsia="黑体" w:cs="Times New Roman"/>
      <w:kern w:val="0"/>
      <w:sz w:val="20"/>
      <w:szCs w:val="21"/>
    </w:rPr>
  </w:style>
  <w:style w:type="character" w:customStyle="1" w:styleId="57">
    <w:name w:val="正文缩进 字符"/>
    <w:link w:val="16"/>
    <w:qFormat/>
    <w:locked/>
    <w:uiPriority w:val="0"/>
  </w:style>
  <w:style w:type="character" w:customStyle="1" w:styleId="58">
    <w:name w:val="脚注文本 字符"/>
    <w:basedOn w:val="41"/>
    <w:link w:val="34"/>
    <w:qFormat/>
    <w:uiPriority w:val="0"/>
    <w:rPr>
      <w:rFonts w:ascii="Calibri" w:hAnsi="Calibri" w:eastAsia="宋体" w:cs="Times New Roman"/>
      <w:sz w:val="18"/>
      <w:szCs w:val="18"/>
    </w:rPr>
  </w:style>
  <w:style w:type="character" w:customStyle="1" w:styleId="59">
    <w:name w:val="批注文字 字符"/>
    <w:basedOn w:val="41"/>
    <w:link w:val="13"/>
    <w:qFormat/>
    <w:uiPriority w:val="99"/>
    <w:rPr>
      <w:rFonts w:ascii="Times New Roman" w:hAnsi="Times New Roman" w:eastAsia="宋体" w:cs="Times New Roman"/>
      <w:kern w:val="0"/>
      <w:sz w:val="18"/>
      <w:szCs w:val="18"/>
    </w:rPr>
  </w:style>
  <w:style w:type="character" w:customStyle="1" w:styleId="60">
    <w:name w:val="页眉 字符"/>
    <w:basedOn w:val="41"/>
    <w:link w:val="30"/>
    <w:qFormat/>
    <w:uiPriority w:val="99"/>
    <w:rPr>
      <w:rFonts w:ascii="Calibri" w:hAnsi="Calibri" w:eastAsia="宋体" w:cs="Times New Roman"/>
      <w:kern w:val="0"/>
      <w:sz w:val="18"/>
      <w:szCs w:val="18"/>
    </w:rPr>
  </w:style>
  <w:style w:type="character" w:customStyle="1" w:styleId="61">
    <w:name w:val="页脚 字符"/>
    <w:basedOn w:val="41"/>
    <w:link w:val="29"/>
    <w:qFormat/>
    <w:uiPriority w:val="99"/>
    <w:rPr>
      <w:rFonts w:ascii="Calibri" w:hAnsi="Calibri" w:eastAsia="宋体" w:cs="Times New Roman"/>
      <w:kern w:val="0"/>
      <w:sz w:val="18"/>
      <w:szCs w:val="18"/>
    </w:rPr>
  </w:style>
  <w:style w:type="character" w:customStyle="1" w:styleId="62">
    <w:name w:val="正文文本 Char"/>
    <w:basedOn w:val="41"/>
    <w:qFormat/>
    <w:uiPriority w:val="0"/>
    <w:rPr>
      <w:rFonts w:ascii="Calibri" w:hAnsi="Calibri" w:eastAsia="宋体" w:cs="Times New Roman"/>
    </w:rPr>
  </w:style>
  <w:style w:type="character" w:customStyle="1" w:styleId="63">
    <w:name w:val="正文文本缩进 字符"/>
    <w:basedOn w:val="41"/>
    <w:link w:val="20"/>
    <w:qFormat/>
    <w:uiPriority w:val="0"/>
    <w:rPr>
      <w:rFonts w:ascii="Times New Roman" w:hAnsi="Times New Roman" w:eastAsia="宋体" w:cs="Times New Roman"/>
      <w:kern w:val="0"/>
      <w:sz w:val="20"/>
      <w:szCs w:val="24"/>
    </w:rPr>
  </w:style>
  <w:style w:type="character" w:customStyle="1" w:styleId="64">
    <w:name w:val="副标题 字符"/>
    <w:basedOn w:val="41"/>
    <w:link w:val="33"/>
    <w:qFormat/>
    <w:uiPriority w:val="0"/>
    <w:rPr>
      <w:rFonts w:ascii="Cambria" w:hAnsi="Cambria" w:eastAsia="宋体" w:cs="Times New Roman"/>
      <w:b/>
      <w:bCs/>
      <w:kern w:val="28"/>
      <w:sz w:val="32"/>
      <w:szCs w:val="32"/>
    </w:rPr>
  </w:style>
  <w:style w:type="character" w:customStyle="1" w:styleId="65">
    <w:name w:val="日期 字符"/>
    <w:basedOn w:val="41"/>
    <w:link w:val="26"/>
    <w:qFormat/>
    <w:uiPriority w:val="0"/>
    <w:rPr>
      <w:rFonts w:ascii="Times New Roman" w:hAnsi="Times New Roman" w:eastAsia="宋体" w:cs="Times New Roman"/>
      <w:kern w:val="0"/>
      <w:sz w:val="24"/>
      <w:szCs w:val="24"/>
    </w:rPr>
  </w:style>
  <w:style w:type="character" w:customStyle="1" w:styleId="66">
    <w:name w:val="正文首行缩进 字符"/>
    <w:basedOn w:val="62"/>
    <w:link w:val="15"/>
    <w:qFormat/>
    <w:uiPriority w:val="0"/>
    <w:rPr>
      <w:rFonts w:ascii="Times New Roman" w:hAnsi="Times New Roman" w:eastAsia="宋体" w:cs="Times New Roman"/>
      <w:kern w:val="0"/>
      <w:sz w:val="18"/>
      <w:szCs w:val="18"/>
    </w:rPr>
  </w:style>
  <w:style w:type="character" w:customStyle="1" w:styleId="67">
    <w:name w:val="正文文本 2 字符"/>
    <w:basedOn w:val="41"/>
    <w:link w:val="39"/>
    <w:qFormat/>
    <w:uiPriority w:val="0"/>
    <w:rPr>
      <w:rFonts w:ascii="Times New Roman" w:hAnsi="Times New Roman" w:eastAsia="宋体" w:cs="Times New Roman"/>
      <w:kern w:val="0"/>
      <w:sz w:val="18"/>
      <w:szCs w:val="18"/>
    </w:rPr>
  </w:style>
  <w:style w:type="character" w:customStyle="1" w:styleId="68">
    <w:name w:val="正文文本 3 字符"/>
    <w:basedOn w:val="41"/>
    <w:link w:val="19"/>
    <w:qFormat/>
    <w:uiPriority w:val="0"/>
    <w:rPr>
      <w:rFonts w:ascii="Times New Roman" w:hAnsi="Times New Roman" w:eastAsia="黑体" w:cs="Times New Roman"/>
      <w:sz w:val="44"/>
      <w:szCs w:val="24"/>
    </w:rPr>
  </w:style>
  <w:style w:type="character" w:customStyle="1" w:styleId="69">
    <w:name w:val="正文文本缩进 2 字符"/>
    <w:basedOn w:val="41"/>
    <w:link w:val="27"/>
    <w:qFormat/>
    <w:uiPriority w:val="0"/>
    <w:rPr>
      <w:rFonts w:ascii="Calibri" w:hAnsi="Calibri" w:eastAsia="宋体" w:cs="Times New Roman"/>
    </w:rPr>
  </w:style>
  <w:style w:type="character" w:customStyle="1" w:styleId="70">
    <w:name w:val="正文文本缩进 3 字符"/>
    <w:basedOn w:val="41"/>
    <w:link w:val="36"/>
    <w:qFormat/>
    <w:uiPriority w:val="0"/>
    <w:rPr>
      <w:rFonts w:ascii="宋体" w:hAnsi="宋体" w:eastAsia="宋体" w:cs="Times New Roman"/>
      <w:kern w:val="0"/>
      <w:sz w:val="28"/>
      <w:szCs w:val="28"/>
    </w:rPr>
  </w:style>
  <w:style w:type="character" w:customStyle="1" w:styleId="71">
    <w:name w:val="文档结构图 字符"/>
    <w:basedOn w:val="41"/>
    <w:link w:val="18"/>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1"/>
    <w:qFormat/>
    <w:uiPriority w:val="0"/>
    <w:rPr>
      <w:rFonts w:ascii="宋体" w:hAnsi="Courier New" w:eastAsia="宋体" w:cs="Courier New"/>
      <w:szCs w:val="21"/>
    </w:rPr>
  </w:style>
  <w:style w:type="character" w:customStyle="1" w:styleId="73">
    <w:name w:val="批注主题 字符"/>
    <w:basedOn w:val="59"/>
    <w:link w:val="12"/>
    <w:qFormat/>
    <w:uiPriority w:val="99"/>
    <w:rPr>
      <w:rFonts w:ascii="Calibri" w:hAnsi="Calibri" w:eastAsia="宋体" w:cs="Times New Roman"/>
      <w:b/>
      <w:bCs/>
      <w:kern w:val="0"/>
      <w:sz w:val="18"/>
      <w:szCs w:val="18"/>
    </w:rPr>
  </w:style>
  <w:style w:type="character" w:customStyle="1" w:styleId="74">
    <w:name w:val="批注框文本 字符"/>
    <w:basedOn w:val="41"/>
    <w:link w:val="28"/>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字符"/>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20"/>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8"/>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kern w:val="0"/>
      <w:sz w:val="21"/>
      <w:szCs w:val="20"/>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1"/>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1"/>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1"/>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字符"/>
    <w:basedOn w:val="41"/>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字符"/>
    <w:link w:val="24"/>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1"/>
    <w:qFormat/>
    <w:uiPriority w:val="0"/>
    <w:rPr>
      <w:rFonts w:hint="eastAsia" w:ascii="宋体" w:hAnsi="宋体" w:eastAsia="宋体" w:cs="宋体"/>
      <w:b/>
      <w:color w:val="000000"/>
      <w:sz w:val="22"/>
      <w:szCs w:val="22"/>
      <w:u w:val="none"/>
    </w:rPr>
  </w:style>
  <w:style w:type="character" w:customStyle="1" w:styleId="193">
    <w:name w:val="font01"/>
    <w:basedOn w:val="41"/>
    <w:qFormat/>
    <w:uiPriority w:val="0"/>
    <w:rPr>
      <w:rFonts w:hint="eastAsia" w:ascii="宋体" w:hAnsi="宋体" w:eastAsia="宋体" w:cs="宋体"/>
      <w:color w:val="000000"/>
      <w:sz w:val="22"/>
      <w:szCs w:val="22"/>
      <w:u w:val="none"/>
    </w:rPr>
  </w:style>
  <w:style w:type="character" w:customStyle="1" w:styleId="194">
    <w:name w:val="页脚 Char1"/>
    <w:basedOn w:val="41"/>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Revision"/>
    <w:semiHidden/>
    <w:qFormat/>
    <w:uiPriority w:val="99"/>
    <w:rPr>
      <w:rFonts w:ascii="Calibri" w:hAnsi="Calibri" w:eastAsia="宋体" w:cs="Times New Roman"/>
      <w:kern w:val="2"/>
      <w:sz w:val="21"/>
      <w:szCs w:val="22"/>
      <w:lang w:val="en-US" w:eastAsia="zh-CN" w:bidi="ar-SA"/>
    </w:rPr>
  </w:style>
  <w:style w:type="paragraph" w:customStyle="1" w:styleId="200">
    <w:name w:val="修订2"/>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1"/>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1"/>
    <w:semiHidden/>
    <w:qFormat/>
    <w:uiPriority w:val="99"/>
    <w:rPr>
      <w:rFonts w:hint="default" w:ascii="Calibri" w:hAnsi="Calibri" w:eastAsia="宋体" w:cs="Times New Roman"/>
    </w:rPr>
  </w:style>
  <w:style w:type="character" w:customStyle="1" w:styleId="207">
    <w:name w:val="副标题 Char2"/>
    <w:basedOn w:val="41"/>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1"/>
    <w:semiHidden/>
    <w:qFormat/>
    <w:uiPriority w:val="99"/>
    <w:rPr>
      <w:rFonts w:hint="default" w:ascii="Calibri" w:hAnsi="Calibri" w:eastAsia="宋体" w:cs="Times New Roman"/>
      <w:sz w:val="16"/>
      <w:szCs w:val="16"/>
    </w:rPr>
  </w:style>
  <w:style w:type="character" w:customStyle="1" w:styleId="209">
    <w:name w:val="批注框文本 Char1"/>
    <w:basedOn w:val="41"/>
    <w:semiHidden/>
    <w:qFormat/>
    <w:uiPriority w:val="99"/>
    <w:rPr>
      <w:rFonts w:hint="default" w:ascii="Calibri" w:hAnsi="Calibri" w:eastAsia="宋体" w:cs="Times New Roman"/>
      <w:sz w:val="18"/>
      <w:szCs w:val="18"/>
    </w:rPr>
  </w:style>
  <w:style w:type="character" w:customStyle="1" w:styleId="210">
    <w:name w:val="纯文本 Char2"/>
    <w:basedOn w:val="41"/>
    <w:qFormat/>
    <w:uiPriority w:val="99"/>
    <w:rPr>
      <w:rFonts w:hint="eastAsia" w:ascii="宋体" w:hAnsi="Courier New" w:eastAsia="宋体" w:cs="Courier New"/>
      <w:szCs w:val="21"/>
    </w:rPr>
  </w:style>
  <w:style w:type="character" w:customStyle="1" w:styleId="211">
    <w:name w:val="正文文本缩进 2 Char1"/>
    <w:basedOn w:val="41"/>
    <w:semiHidden/>
    <w:qFormat/>
    <w:uiPriority w:val="99"/>
    <w:rPr>
      <w:rFonts w:hint="default" w:ascii="Calibri" w:hAnsi="Calibri" w:eastAsia="宋体" w:cs="Times New Roman"/>
    </w:rPr>
  </w:style>
  <w:style w:type="character" w:customStyle="1" w:styleId="212">
    <w:name w:val="正文文本缩进 Char1"/>
    <w:basedOn w:val="41"/>
    <w:semiHidden/>
    <w:qFormat/>
    <w:uiPriority w:val="99"/>
    <w:rPr>
      <w:rFonts w:hint="default" w:ascii="Calibri" w:hAnsi="Calibri" w:eastAsia="宋体" w:cs="Times New Roman"/>
    </w:rPr>
  </w:style>
  <w:style w:type="character" w:customStyle="1" w:styleId="213">
    <w:name w:val="正文文本 2 Char1"/>
    <w:basedOn w:val="41"/>
    <w:semiHidden/>
    <w:qFormat/>
    <w:uiPriority w:val="99"/>
    <w:rPr>
      <w:rFonts w:hint="default" w:ascii="Calibri" w:hAnsi="Calibri" w:eastAsia="宋体" w:cs="Times New Roman"/>
    </w:rPr>
  </w:style>
  <w:style w:type="character" w:customStyle="1" w:styleId="214">
    <w:name w:val="正文文本 Char3"/>
    <w:basedOn w:val="41"/>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1"/>
    <w:semiHidden/>
    <w:qFormat/>
    <w:uiPriority w:val="0"/>
    <w:rPr>
      <w:rFonts w:hint="default" w:ascii="Calibri" w:hAnsi="Calibri" w:eastAsia="宋体" w:cs="Times New Roman"/>
    </w:rPr>
  </w:style>
  <w:style w:type="character" w:customStyle="1" w:styleId="217">
    <w:name w:val="正文文本 3 Char1"/>
    <w:basedOn w:val="41"/>
    <w:semiHidden/>
    <w:qFormat/>
    <w:uiPriority w:val="99"/>
    <w:rPr>
      <w:rFonts w:hint="default" w:ascii="Calibri" w:hAnsi="Calibri" w:eastAsia="宋体" w:cs="Times New Roman"/>
      <w:sz w:val="16"/>
      <w:szCs w:val="16"/>
    </w:rPr>
  </w:style>
  <w:style w:type="character" w:customStyle="1" w:styleId="218">
    <w:name w:val="文档结构图 Char1"/>
    <w:basedOn w:val="41"/>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样式 正文文本 + 四号 加粗 行距: 固定值 20 磅"/>
    <w:basedOn w:val="4"/>
    <w:qFormat/>
    <w:uiPriority w:val="0"/>
    <w:pPr>
      <w:autoSpaceDE w:val="0"/>
      <w:autoSpaceDN w:val="0"/>
      <w:spacing w:before="0" w:after="0" w:line="400" w:lineRule="exact"/>
      <w:jc w:val="both"/>
    </w:pPr>
    <w:rPr>
      <w:rFonts w:cs="宋体"/>
      <w:b w:val="0"/>
      <w:bCs w:val="0"/>
      <w:kern w:val="0"/>
      <w:sz w:val="28"/>
      <w:lang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Pages>98</Pages>
  <Words>48294</Words>
  <Characters>52407</Characters>
  <Lines>319</Lines>
  <Paragraphs>89</Paragraphs>
  <TotalTime>75</TotalTime>
  <ScaleCrop>false</ScaleCrop>
  <LinksUpToDate>false</LinksUpToDate>
  <CharactersWithSpaces>53343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Administrator</cp:lastModifiedBy>
  <cp:lastPrinted>2021-06-16T08:13:00Z</cp:lastPrinted>
  <dcterms:modified xsi:type="dcterms:W3CDTF">2021-07-09T07:47:15Z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