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华文中宋" w:hAnsi="华文中宋" w:eastAsia="华文中宋"/>
          <w:spacing w:val="42"/>
          <w:sz w:val="84"/>
          <w:lang w:val="en-US" w:eastAsia="zh-CN"/>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hint="eastAsia" w:ascii="华文中宋" w:hAnsi="华文中宋" w:eastAsia="华文中宋"/>
          <w:sz w:val="32"/>
          <w:szCs w:val="32"/>
          <w:lang w:eastAsia="zh-CN"/>
        </w:rPr>
      </w:pPr>
      <w:r>
        <w:rPr>
          <w:rFonts w:hint="eastAsia" w:ascii="华文中宋" w:hAnsi="华文中宋" w:eastAsia="华文中宋"/>
          <w:sz w:val="32"/>
          <w:szCs w:val="32"/>
        </w:rPr>
        <w:t>项目名称：</w:t>
      </w:r>
      <w:r>
        <w:rPr>
          <w:rFonts w:hint="eastAsia" w:ascii="华文中宋" w:hAnsi="华文中宋" w:eastAsia="华文中宋"/>
          <w:sz w:val="32"/>
          <w:szCs w:val="32"/>
          <w:lang w:eastAsia="zh-CN"/>
        </w:rPr>
        <w:t>成都市龙泉驿区教育局2021年新建永丰家园小学和十陵来龙小学办公家具采购项目</w:t>
      </w:r>
    </w:p>
    <w:p>
      <w:pPr>
        <w:spacing w:line="360" w:lineRule="auto"/>
        <w:ind w:left="2409" w:leftChars="338" w:hanging="1699" w:hangingChars="531"/>
        <w:rPr>
          <w:rFonts w:hint="eastAsia" w:ascii="华文中宋" w:hAnsi="华文中宋" w:eastAsia="华文中宋"/>
          <w:sz w:val="32"/>
          <w:szCs w:val="32"/>
          <w:lang w:eastAsia="zh-CN"/>
        </w:rPr>
      </w:pPr>
      <w:r>
        <w:rPr>
          <w:rFonts w:hint="eastAsia" w:ascii="华文中宋" w:hAnsi="华文中宋" w:eastAsia="华文中宋"/>
          <w:sz w:val="32"/>
          <w:szCs w:val="32"/>
        </w:rPr>
        <w:t>项目编号：</w:t>
      </w:r>
      <w:r>
        <w:rPr>
          <w:rFonts w:hint="eastAsia" w:ascii="华文中宋" w:hAnsi="华文中宋" w:eastAsia="华文中宋"/>
          <w:sz w:val="32"/>
          <w:szCs w:val="32"/>
          <w:lang w:eastAsia="zh-CN"/>
        </w:rPr>
        <w:t>龙泉驿政采（2021）A0009号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pacing w:val="-20"/>
          <w:sz w:val="32"/>
          <w:szCs w:val="32"/>
        </w:rPr>
        <w:t>成都市龙泉驿区教育局</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w:t>
      </w:r>
      <w:r>
        <w:rPr>
          <w:rFonts w:hint="eastAsia" w:ascii="华文中宋" w:hAnsi="华文中宋" w:eastAsia="华文中宋"/>
          <w:sz w:val="32"/>
          <w:szCs w:val="32"/>
          <w:lang w:eastAsia="zh-CN"/>
        </w:rPr>
        <w:t>龙泉驿区</w:t>
      </w:r>
      <w:r>
        <w:rPr>
          <w:rFonts w:hint="eastAsia" w:ascii="华文中宋" w:hAnsi="华文中宋" w:eastAsia="华文中宋"/>
          <w:sz w:val="32"/>
          <w:szCs w:val="32"/>
        </w:rPr>
        <w:t>公共资源交易服务中心共同编制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w:t>
      </w:r>
      <w:r>
        <w:rPr>
          <w:rFonts w:hint="eastAsia" w:ascii="华文中宋" w:hAnsi="华文中宋" w:eastAsia="华文中宋"/>
          <w:sz w:val="32"/>
          <w:szCs w:val="32"/>
          <w:lang w:eastAsia="zh-CN"/>
        </w:rPr>
        <w:t>七</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spacing w:line="360" w:lineRule="auto"/>
        <w:jc w:val="center"/>
        <w:rPr>
          <w:rFonts w:ascii="宋体" w:hAnsi="宋体"/>
          <w:b/>
          <w:sz w:val="36"/>
        </w:rPr>
      </w:pPr>
      <w:bookmarkStart w:id="0" w:name="_Toc148505181"/>
      <w:bookmarkStart w:id="1" w:name="_Toc101247312"/>
      <w:bookmarkStart w:id="2" w:name="_Toc101328520"/>
      <w:bookmarkStart w:id="3" w:name="_Toc101234248"/>
      <w:r>
        <w:rPr>
          <w:rFonts w:hint="eastAsia" w:ascii="宋体" w:hAnsi="宋体"/>
          <w:b/>
          <w:sz w:val="32"/>
          <w:szCs w:val="32"/>
        </w:rPr>
        <w:t>目 录</w:t>
      </w:r>
    </w:p>
    <w:p>
      <w:pPr>
        <w:pStyle w:val="31"/>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"_Toc74752318" </w:instrText>
      </w:r>
      <w:r>
        <w:fldChar w:fldCharType="separate"/>
      </w:r>
      <w:r>
        <w:rPr>
          <w:rStyle w:val="43"/>
          <w:rFonts w:ascii="Times New Roman" w:hAnsi="Times New Roman"/>
          <w:b/>
          <w:spacing w:val="-20"/>
          <w:kern w:val="44"/>
        </w:rPr>
        <w:t>第1章</w:t>
      </w:r>
      <w:r>
        <w:rPr>
          <w:rFonts w:asciiTheme="minorHAnsi" w:hAnsiTheme="minorHAnsi" w:eastAsiaTheme="minorEastAsia" w:cstheme="minorBidi"/>
          <w:bCs w:val="0"/>
          <w:caps w:val="0"/>
          <w:sz w:val="21"/>
          <w:szCs w:val="22"/>
        </w:rPr>
        <w:tab/>
      </w:r>
      <w:r>
        <w:rPr>
          <w:rStyle w:val="43"/>
          <w:rFonts w:ascii="宋体" w:hAnsi="宋体"/>
          <w:b/>
          <w:spacing w:val="-20"/>
          <w:kern w:val="44"/>
        </w:rPr>
        <w:t>投标邀请</w:t>
      </w:r>
      <w:r>
        <w:tab/>
      </w:r>
      <w:r>
        <w:fldChar w:fldCharType="begin"/>
      </w:r>
      <w:r>
        <w:instrText xml:space="preserve"> PAGEREF _Toc74752318 \h </w:instrText>
      </w:r>
      <w:r>
        <w:fldChar w:fldCharType="separate"/>
      </w:r>
      <w:r>
        <w:t>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"_Toc74752319" </w:instrText>
      </w:r>
      <w:r>
        <w:fldChar w:fldCharType="separate"/>
      </w:r>
      <w:r>
        <w:rPr>
          <w:rStyle w:val="43"/>
          <w:rFonts w:ascii="Times New Roman" w:hAnsi="Times New Roman"/>
          <w:b/>
          <w:spacing w:val="-20"/>
          <w:kern w:val="44"/>
        </w:rPr>
        <w:t>第2章</w:t>
      </w:r>
      <w:r>
        <w:rPr>
          <w:rFonts w:asciiTheme="minorHAnsi" w:hAnsiTheme="minorHAnsi" w:eastAsiaTheme="minorEastAsia" w:cstheme="minorBidi"/>
          <w:bCs w:val="0"/>
          <w:caps w:val="0"/>
          <w:sz w:val="21"/>
          <w:szCs w:val="22"/>
        </w:rPr>
        <w:tab/>
      </w:r>
      <w:r>
        <w:rPr>
          <w:rStyle w:val="43"/>
          <w:rFonts w:ascii="宋体" w:hAnsi="宋体"/>
          <w:b/>
          <w:spacing w:val="-20"/>
          <w:kern w:val="44"/>
        </w:rPr>
        <w:t>投标人须知</w:t>
      </w:r>
      <w:r>
        <w:tab/>
      </w:r>
      <w:r>
        <w:fldChar w:fldCharType="begin"/>
      </w:r>
      <w:r>
        <w:instrText xml:space="preserve"> PAGEREF _Toc74752319 \h </w:instrText>
      </w:r>
      <w:r>
        <w:fldChar w:fldCharType="separate"/>
      </w:r>
      <w:r>
        <w:t>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"_Toc74752320" </w:instrText>
      </w:r>
      <w:r>
        <w:fldChar w:fldCharType="separate"/>
      </w:r>
      <w:r>
        <w:rPr>
          <w:rStyle w:val="43"/>
          <w:rFonts w:ascii="Times New Roman" w:hAnsi="Times New Roman"/>
          <w:b/>
          <w:bCs/>
        </w:rPr>
        <w:t>2.1</w:t>
      </w:r>
      <w:r>
        <w:rPr>
          <w:rStyle w:val="43"/>
          <w:rFonts w:ascii="宋体" w:hAnsi="宋体"/>
          <w:b/>
          <w:bCs/>
        </w:rPr>
        <w:t xml:space="preserve"> 投标人须知前附表</w:t>
      </w:r>
      <w:r>
        <w:tab/>
      </w:r>
      <w:r>
        <w:fldChar w:fldCharType="begin"/>
      </w:r>
      <w:r>
        <w:instrText xml:space="preserve"> PAGEREF _Toc74752320 \h </w:instrText>
      </w:r>
      <w:r>
        <w:fldChar w:fldCharType="separate"/>
      </w:r>
      <w:r>
        <w:t>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"_Toc74752321" </w:instrText>
      </w:r>
      <w:r>
        <w:fldChar w:fldCharType="separate"/>
      </w:r>
      <w:r>
        <w:rPr>
          <w:rStyle w:val="43"/>
          <w:rFonts w:ascii="Times New Roman" w:hAnsi="Times New Roman"/>
          <w:b/>
          <w:bCs/>
        </w:rPr>
        <w:t>2.2</w:t>
      </w:r>
      <w:r>
        <w:rPr>
          <w:rStyle w:val="43"/>
          <w:rFonts w:ascii="宋体" w:hAnsi="宋体"/>
          <w:b/>
          <w:bCs/>
        </w:rPr>
        <w:t xml:space="preserve"> 总则</w:t>
      </w:r>
      <w:r>
        <w:tab/>
      </w:r>
      <w:r>
        <w:fldChar w:fldCharType="begin"/>
      </w:r>
      <w:r>
        <w:instrText xml:space="preserve"> PAGEREF _Toc74752321 \h </w:instrText>
      </w:r>
      <w:r>
        <w:fldChar w:fldCharType="separate"/>
      </w:r>
      <w:r>
        <w:t>10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"_Toc74752322" </w:instrText>
      </w:r>
      <w:r>
        <w:fldChar w:fldCharType="separate"/>
      </w:r>
      <w:r>
        <w:rPr>
          <w:rStyle w:val="43"/>
          <w:rFonts w:ascii="Times New Roman" w:hAnsi="Times New Roman"/>
          <w:b/>
          <w:bCs/>
        </w:rPr>
        <w:t>2.3</w:t>
      </w:r>
      <w:r>
        <w:rPr>
          <w:rStyle w:val="43"/>
          <w:rFonts w:ascii="宋体" w:hAnsi="宋体"/>
          <w:b/>
          <w:bCs/>
        </w:rPr>
        <w:t xml:space="preserve"> 招标文件</w:t>
      </w:r>
      <w:r>
        <w:tab/>
      </w:r>
      <w:r>
        <w:fldChar w:fldCharType="begin"/>
      </w:r>
      <w:r>
        <w:instrText xml:space="preserve"> PAGEREF _Toc74752322 \h </w:instrText>
      </w:r>
      <w:r>
        <w:fldChar w:fldCharType="separate"/>
      </w:r>
      <w:r>
        <w:t>12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"_Toc74752323" </w:instrText>
      </w:r>
      <w:r>
        <w:fldChar w:fldCharType="separate"/>
      </w:r>
      <w:r>
        <w:rPr>
          <w:rStyle w:val="43"/>
          <w:rFonts w:ascii="Times New Roman" w:hAnsi="Times New Roman"/>
          <w:b/>
          <w:bCs/>
        </w:rPr>
        <w:t>2.4</w:t>
      </w:r>
      <w:r>
        <w:rPr>
          <w:rStyle w:val="43"/>
          <w:rFonts w:ascii="宋体" w:hAnsi="宋体"/>
          <w:b/>
          <w:bCs/>
        </w:rPr>
        <w:t xml:space="preserve"> 投标文件</w:t>
      </w:r>
      <w:r>
        <w:tab/>
      </w:r>
      <w:r>
        <w:fldChar w:fldCharType="begin"/>
      </w:r>
      <w:r>
        <w:instrText xml:space="preserve"> PAGEREF _Toc74752323 \h </w:instrText>
      </w:r>
      <w:r>
        <w:fldChar w:fldCharType="separate"/>
      </w:r>
      <w:r>
        <w:t>12</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"_Toc74752324" </w:instrText>
      </w:r>
      <w:r>
        <w:fldChar w:fldCharType="separate"/>
      </w:r>
      <w:r>
        <w:rPr>
          <w:rStyle w:val="43"/>
          <w:rFonts w:ascii="Times New Roman" w:hAnsi="Times New Roman"/>
          <w:b/>
          <w:bCs/>
        </w:rPr>
        <w:t>2.5</w:t>
      </w:r>
      <w:r>
        <w:rPr>
          <w:rStyle w:val="43"/>
          <w:rFonts w:ascii="宋体" w:hAnsi="宋体"/>
          <w:b/>
          <w:bCs/>
        </w:rPr>
        <w:t xml:space="preserve"> 开标、资格审查、评标和中标</w:t>
      </w:r>
      <w:r>
        <w:tab/>
      </w:r>
      <w:r>
        <w:fldChar w:fldCharType="begin"/>
      </w:r>
      <w:r>
        <w:instrText xml:space="preserve"> PAGEREF _Toc74752324 \h </w:instrText>
      </w:r>
      <w:r>
        <w:fldChar w:fldCharType="separate"/>
      </w:r>
      <w:r>
        <w:t>19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"_Toc74752325" </w:instrText>
      </w:r>
      <w:r>
        <w:fldChar w:fldCharType="separate"/>
      </w:r>
      <w:r>
        <w:rPr>
          <w:rStyle w:val="43"/>
          <w:rFonts w:ascii="Times New Roman" w:hAnsi="Times New Roman"/>
          <w:b/>
          <w:bCs/>
        </w:rPr>
        <w:t>2.6</w:t>
      </w:r>
      <w:r>
        <w:rPr>
          <w:rStyle w:val="43"/>
          <w:rFonts w:ascii="宋体" w:hAnsi="宋体"/>
          <w:b/>
          <w:bCs/>
        </w:rPr>
        <w:t xml:space="preserve"> 签订及履行合同和验收</w:t>
      </w:r>
      <w:r>
        <w:tab/>
      </w:r>
      <w:r>
        <w:fldChar w:fldCharType="begin"/>
      </w:r>
      <w:r>
        <w:instrText xml:space="preserve"> PAGEREF _Toc74752325 \h </w:instrText>
      </w:r>
      <w:r>
        <w:fldChar w:fldCharType="separate"/>
      </w:r>
      <w:r>
        <w:t>21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"_Toc74752326" </w:instrText>
      </w:r>
      <w:r>
        <w:fldChar w:fldCharType="separate"/>
      </w:r>
      <w:r>
        <w:rPr>
          <w:rStyle w:val="43"/>
          <w:rFonts w:ascii="Times New Roman" w:hAnsi="Times New Roman"/>
          <w:b/>
          <w:bCs/>
        </w:rPr>
        <w:t>2.7</w:t>
      </w:r>
      <w:r>
        <w:rPr>
          <w:rStyle w:val="43"/>
          <w:rFonts w:ascii="宋体" w:hAnsi="宋体"/>
          <w:b/>
          <w:bCs/>
        </w:rPr>
        <w:t xml:space="preserve"> 投标纪律要求</w:t>
      </w:r>
      <w:r>
        <w:tab/>
      </w:r>
      <w:r>
        <w:fldChar w:fldCharType="begin"/>
      </w:r>
      <w:r>
        <w:instrText xml:space="preserve"> PAGEREF _Toc74752326 \h </w:instrText>
      </w:r>
      <w:r>
        <w:fldChar w:fldCharType="separate"/>
      </w:r>
      <w:r>
        <w:t>23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"_Toc74752327" </w:instrText>
      </w:r>
      <w:r>
        <w:fldChar w:fldCharType="separate"/>
      </w:r>
      <w:r>
        <w:rPr>
          <w:rStyle w:val="43"/>
          <w:rFonts w:ascii="Times New Roman" w:hAnsi="Times New Roman"/>
          <w:b/>
          <w:bCs/>
        </w:rPr>
        <w:t>2.8</w:t>
      </w:r>
      <w:r>
        <w:rPr>
          <w:rStyle w:val="43"/>
          <w:rFonts w:ascii="宋体" w:hAnsi="宋体"/>
          <w:b/>
          <w:bCs/>
        </w:rPr>
        <w:t xml:space="preserve"> 询问、质疑和投诉</w:t>
      </w:r>
      <w:r>
        <w:tab/>
      </w:r>
      <w:r>
        <w:fldChar w:fldCharType="begin"/>
      </w:r>
      <w:r>
        <w:instrText xml:space="preserve"> PAGEREF _Toc74752327 \h </w:instrText>
      </w:r>
      <w:r>
        <w:fldChar w:fldCharType="separate"/>
      </w:r>
      <w:r>
        <w:t>26</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"_Toc74752328" </w:instrText>
      </w:r>
      <w:r>
        <w:fldChar w:fldCharType="separate"/>
      </w:r>
      <w:r>
        <w:rPr>
          <w:rStyle w:val="43"/>
          <w:rFonts w:ascii="Times New Roman" w:hAnsi="Times New Roman"/>
          <w:b/>
          <w:bCs/>
        </w:rPr>
        <w:t>2.9</w:t>
      </w:r>
      <w:r>
        <w:rPr>
          <w:rStyle w:val="43"/>
          <w:rFonts w:ascii="宋体" w:hAnsi="宋体"/>
          <w:b/>
          <w:bCs/>
        </w:rPr>
        <w:t xml:space="preserve"> 中小企业政府采购信用融资</w:t>
      </w:r>
      <w:r>
        <w:tab/>
      </w:r>
      <w:r>
        <w:fldChar w:fldCharType="begin"/>
      </w:r>
      <w:r>
        <w:instrText xml:space="preserve"> PAGEREF _Toc74752328 \h </w:instrText>
      </w:r>
      <w:r>
        <w:fldChar w:fldCharType="separate"/>
      </w:r>
      <w:r>
        <w:t>27</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"_Toc74752329" </w:instrText>
      </w:r>
      <w:r>
        <w:fldChar w:fldCharType="separate"/>
      </w:r>
      <w:r>
        <w:rPr>
          <w:rStyle w:val="43"/>
          <w:rFonts w:ascii="Times New Roman" w:hAnsi="Times New Roman"/>
          <w:b/>
          <w:spacing w:val="-20"/>
          <w:kern w:val="44"/>
        </w:rPr>
        <w:t>第3章</w:t>
      </w:r>
      <w:r>
        <w:rPr>
          <w:rFonts w:asciiTheme="minorHAnsi" w:hAnsiTheme="minorHAnsi" w:eastAsiaTheme="minorEastAsia" w:cstheme="minorBidi"/>
          <w:bCs w:val="0"/>
          <w:caps w:val="0"/>
          <w:sz w:val="21"/>
          <w:szCs w:val="22"/>
        </w:rPr>
        <w:tab/>
      </w:r>
      <w:r>
        <w:rPr>
          <w:rStyle w:val="43"/>
          <w:rFonts w:ascii="宋体" w:hAnsi="宋体"/>
          <w:b/>
          <w:spacing w:val="-20"/>
          <w:kern w:val="44"/>
        </w:rPr>
        <w:t>投标文件格式</w:t>
      </w:r>
      <w:r>
        <w:tab/>
      </w:r>
      <w:r>
        <w:fldChar w:fldCharType="begin"/>
      </w:r>
      <w:r>
        <w:instrText xml:space="preserve"> PAGEREF _Toc74752329 \h </w:instrText>
      </w:r>
      <w:r>
        <w:fldChar w:fldCharType="separate"/>
      </w:r>
      <w:r>
        <w:t>28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"_Toc74752330" </w:instrText>
      </w:r>
      <w:r>
        <w:fldChar w:fldCharType="separate"/>
      </w:r>
      <w:r>
        <w:rPr>
          <w:rStyle w:val="43"/>
          <w:rFonts w:ascii="Times New Roman" w:hAnsi="Times New Roman"/>
          <w:b/>
          <w:bCs/>
        </w:rPr>
        <w:t>3.1</w:t>
      </w:r>
      <w:r>
        <w:rPr>
          <w:rStyle w:val="43"/>
          <w:rFonts w:ascii="宋体" w:hAnsi="宋体"/>
          <w:b/>
          <w:bCs/>
        </w:rPr>
        <w:t xml:space="preserve"> 投标文件封面格式</w:t>
      </w:r>
      <w:r>
        <w:tab/>
      </w:r>
      <w:r>
        <w:fldChar w:fldCharType="begin"/>
      </w:r>
      <w:r>
        <w:instrText xml:space="preserve"> PAGEREF _Toc74752330 \h </w:instrText>
      </w:r>
      <w:r>
        <w:fldChar w:fldCharType="separate"/>
      </w:r>
      <w:r>
        <w:t>28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"_Toc74752331" </w:instrText>
      </w:r>
      <w:r>
        <w:fldChar w:fldCharType="separate"/>
      </w:r>
      <w:r>
        <w:rPr>
          <w:rStyle w:val="43"/>
          <w:rFonts w:ascii="Times New Roman" w:hAnsi="Times New Roman"/>
          <w:b/>
          <w:bCs/>
        </w:rPr>
        <w:t>3.2</w:t>
      </w:r>
      <w:r>
        <w:rPr>
          <w:rStyle w:val="43"/>
          <w:rFonts w:ascii="宋体" w:hAnsi="宋体"/>
          <w:b/>
          <w:bCs/>
        </w:rPr>
        <w:t xml:space="preserve"> 资格响应文件</w:t>
      </w:r>
      <w:r>
        <w:tab/>
      </w:r>
      <w:r>
        <w:fldChar w:fldCharType="begin"/>
      </w:r>
      <w:r>
        <w:instrText xml:space="preserve"> PAGEREF _Toc74752331 \h </w:instrText>
      </w:r>
      <w:r>
        <w:fldChar w:fldCharType="separate"/>
      </w:r>
      <w:r>
        <w:t>29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"_Toc74752332" </w:instrText>
      </w:r>
      <w:r>
        <w:fldChar w:fldCharType="separate"/>
      </w:r>
      <w:r>
        <w:rPr>
          <w:rStyle w:val="43"/>
          <w:rFonts w:ascii="Times New Roman" w:hAnsi="Times New Roman"/>
          <w:b/>
          <w:bCs/>
        </w:rPr>
        <w:t>3.3</w:t>
      </w:r>
      <w:r>
        <w:rPr>
          <w:rStyle w:val="43"/>
          <w:rFonts w:ascii="宋体" w:hAnsi="宋体"/>
          <w:b/>
          <w:bCs/>
        </w:rPr>
        <w:t xml:space="preserve"> 商务技术响应文件</w:t>
      </w:r>
      <w:r>
        <w:tab/>
      </w:r>
      <w:r>
        <w:fldChar w:fldCharType="begin"/>
      </w:r>
      <w:r>
        <w:instrText xml:space="preserve"> PAGEREF _Toc74752332 \h </w:instrText>
      </w:r>
      <w:r>
        <w:fldChar w:fldCharType="separate"/>
      </w:r>
      <w:r>
        <w:t>33</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"_Toc74752333" </w:instrText>
      </w:r>
      <w:r>
        <w:fldChar w:fldCharType="separate"/>
      </w:r>
      <w:r>
        <w:rPr>
          <w:rStyle w:val="43"/>
          <w:rFonts w:ascii="Times New Roman" w:hAnsi="Times New Roman"/>
          <w:b/>
          <w:bCs/>
        </w:rPr>
        <w:t>3.4</w:t>
      </w:r>
      <w:r>
        <w:rPr>
          <w:rStyle w:val="43"/>
          <w:rFonts w:ascii="宋体" w:hAnsi="宋体"/>
          <w:b/>
          <w:bCs/>
        </w:rPr>
        <w:t xml:space="preserve"> 报价要求响应文件</w:t>
      </w:r>
      <w:r>
        <w:tab/>
      </w:r>
      <w:r>
        <w:fldChar w:fldCharType="begin"/>
      </w:r>
      <w:r>
        <w:instrText xml:space="preserve"> PAGEREF _Toc74752333 \h </w:instrText>
      </w:r>
      <w:r>
        <w:fldChar w:fldCharType="separate"/>
      </w:r>
      <w:r>
        <w:t>40</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"_Toc74752334" </w:instrText>
      </w:r>
      <w:r>
        <w:fldChar w:fldCharType="separate"/>
      </w:r>
      <w:r>
        <w:rPr>
          <w:rStyle w:val="43"/>
          <w:rFonts w:ascii="Times New Roman" w:hAnsi="Times New Roman"/>
          <w:b/>
          <w:spacing w:val="-20"/>
          <w:kern w:val="44"/>
        </w:rPr>
        <w:t>第4章</w:t>
      </w:r>
      <w:r>
        <w:rPr>
          <w:rFonts w:asciiTheme="minorHAnsi" w:hAnsiTheme="minorHAnsi" w:eastAsiaTheme="minorEastAsia" w:cstheme="minorBidi"/>
          <w:bCs w:val="0"/>
          <w:caps w:val="0"/>
          <w:sz w:val="21"/>
          <w:szCs w:val="22"/>
        </w:rPr>
        <w:tab/>
      </w:r>
      <w:r>
        <w:rPr>
          <w:rStyle w:val="43"/>
          <w:rFonts w:ascii="宋体" w:hAnsi="宋体"/>
          <w:b/>
          <w:spacing w:val="-20"/>
          <w:kern w:val="44"/>
        </w:rPr>
        <w:t>招标项目技术、服务、商务及其他要求</w:t>
      </w:r>
      <w:r>
        <w:tab/>
      </w:r>
      <w:r>
        <w:fldChar w:fldCharType="begin"/>
      </w:r>
      <w:r>
        <w:instrText xml:space="preserve"> PAGEREF _Toc74752334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"_Toc74752335" </w:instrText>
      </w:r>
      <w:r>
        <w:fldChar w:fldCharType="separate"/>
      </w:r>
      <w:r>
        <w:rPr>
          <w:rStyle w:val="43"/>
          <w:rFonts w:ascii="Times New Roman" w:hAnsi="Times New Roman"/>
          <w:b/>
          <w:bCs/>
        </w:rPr>
        <w:t>4.1</w:t>
      </w:r>
      <w:r>
        <w:rPr>
          <w:rStyle w:val="43"/>
          <w:rFonts w:ascii="宋体" w:hAnsi="宋体"/>
          <w:b/>
          <w:bCs/>
        </w:rPr>
        <w:t xml:space="preserve"> 项目概况</w:t>
      </w:r>
      <w:r>
        <w:tab/>
      </w:r>
      <w:r>
        <w:fldChar w:fldCharType="begin"/>
      </w:r>
      <w:r>
        <w:instrText xml:space="preserve"> PAGEREF _Toc74752335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"_Toc74752336" </w:instrText>
      </w:r>
      <w:r>
        <w:fldChar w:fldCharType="separate"/>
      </w:r>
      <w:r>
        <w:rPr>
          <w:rStyle w:val="43"/>
          <w:rFonts w:ascii="Times New Roman" w:hAnsi="Times New Roman"/>
          <w:b/>
          <w:bCs/>
        </w:rPr>
        <w:t>4.2</w:t>
      </w:r>
      <w:r>
        <w:rPr>
          <w:rStyle w:val="43"/>
          <w:rFonts w:ascii="宋体" w:hAnsi="宋体"/>
          <w:b/>
          <w:bCs/>
        </w:rPr>
        <w:t xml:space="preserve"> 采购内容</w:t>
      </w:r>
      <w:r>
        <w:tab/>
      </w:r>
      <w:r>
        <w:fldChar w:fldCharType="begin"/>
      </w:r>
      <w:r>
        <w:instrText xml:space="preserve"> PAGEREF _Toc74752336 \h </w:instrText>
      </w:r>
      <w:r>
        <w:fldChar w:fldCharType="separate"/>
      </w:r>
      <w:r>
        <w:t>47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"_Toc74752337" </w:instrText>
      </w:r>
      <w:r>
        <w:fldChar w:fldCharType="separate"/>
      </w:r>
      <w:r>
        <w:rPr>
          <w:rStyle w:val="43"/>
          <w:rFonts w:ascii="Times New Roman" w:hAnsi="Times New Roman"/>
          <w:b/>
          <w:bCs/>
        </w:rPr>
        <w:t>4.3</w:t>
      </w:r>
      <w:r>
        <w:rPr>
          <w:rStyle w:val="43"/>
          <w:rFonts w:ascii="宋体" w:hAnsi="宋体"/>
          <w:b/>
          <w:bCs/>
        </w:rPr>
        <w:t xml:space="preserve"> 技术参数及要求</w:t>
      </w:r>
      <w:r>
        <w:tab/>
      </w:r>
      <w:r>
        <w:fldChar w:fldCharType="begin"/>
      </w:r>
      <w:r>
        <w:instrText xml:space="preserve"> PAGEREF _Toc74752337 \h </w:instrText>
      </w:r>
      <w:r>
        <w:fldChar w:fldCharType="separate"/>
      </w:r>
      <w:r>
        <w:t>48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"_Toc74752338" </w:instrText>
      </w:r>
      <w:r>
        <w:fldChar w:fldCharType="separate"/>
      </w:r>
      <w:r>
        <w:rPr>
          <w:rStyle w:val="43"/>
          <w:rFonts w:ascii="Times New Roman" w:hAnsi="Times New Roman"/>
          <w:b/>
          <w:bCs/>
        </w:rPr>
        <w:t>4.4</w:t>
      </w:r>
      <w:r>
        <w:rPr>
          <w:rStyle w:val="43"/>
          <w:rFonts w:ascii="宋体" w:hAnsi="宋体"/>
          <w:b/>
          <w:bCs/>
        </w:rPr>
        <w:t xml:space="preserve"> 商务要求</w:t>
      </w:r>
      <w:r>
        <w:tab/>
      </w:r>
      <w:r>
        <w:fldChar w:fldCharType="begin"/>
      </w:r>
      <w:r>
        <w:instrText xml:space="preserve"> PAGEREF _Toc74752338 \h </w:instrText>
      </w:r>
      <w:r>
        <w:fldChar w:fldCharType="separate"/>
      </w:r>
      <w:r>
        <w:t>71</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"_Toc74752339" </w:instrText>
      </w:r>
      <w:r>
        <w:fldChar w:fldCharType="separate"/>
      </w:r>
      <w:r>
        <w:rPr>
          <w:rStyle w:val="43"/>
          <w:rFonts w:ascii="Times New Roman" w:hAnsi="Times New Roman"/>
          <w:b/>
          <w:spacing w:val="-20"/>
          <w:kern w:val="44"/>
        </w:rPr>
        <w:t>第5章</w:t>
      </w:r>
      <w:r>
        <w:rPr>
          <w:rFonts w:asciiTheme="minorHAnsi" w:hAnsiTheme="minorHAnsi" w:eastAsiaTheme="minorEastAsia" w:cstheme="minorBidi"/>
          <w:bCs w:val="0"/>
          <w:caps w:val="0"/>
          <w:sz w:val="21"/>
          <w:szCs w:val="22"/>
        </w:rPr>
        <w:tab/>
      </w:r>
      <w:r>
        <w:rPr>
          <w:rStyle w:val="43"/>
          <w:rFonts w:ascii="宋体" w:hAnsi="宋体"/>
          <w:b/>
          <w:spacing w:val="-20"/>
          <w:kern w:val="44"/>
        </w:rPr>
        <w:t>资格性审查</w:t>
      </w:r>
      <w:r>
        <w:tab/>
      </w:r>
      <w:r>
        <w:fldChar w:fldCharType="begin"/>
      </w:r>
      <w:r>
        <w:instrText xml:space="preserve"> PAGEREF _Toc74752339 \h </w:instrText>
      </w:r>
      <w:r>
        <w:fldChar w:fldCharType="separate"/>
      </w:r>
      <w:r>
        <w:t>73</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"_Toc74752340" </w:instrText>
      </w:r>
      <w:r>
        <w:fldChar w:fldCharType="separate"/>
      </w:r>
      <w:r>
        <w:rPr>
          <w:rStyle w:val="43"/>
          <w:rFonts w:ascii="Times New Roman" w:hAnsi="Times New Roman"/>
          <w:b/>
          <w:spacing w:val="-20"/>
          <w:kern w:val="44"/>
        </w:rPr>
        <w:t>第6章</w:t>
      </w:r>
      <w:r>
        <w:rPr>
          <w:rFonts w:asciiTheme="minorHAnsi" w:hAnsiTheme="minorHAnsi" w:eastAsiaTheme="minorEastAsia" w:cstheme="minorBidi"/>
          <w:bCs w:val="0"/>
          <w:caps w:val="0"/>
          <w:sz w:val="21"/>
          <w:szCs w:val="22"/>
        </w:rPr>
        <w:tab/>
      </w:r>
      <w:r>
        <w:rPr>
          <w:rStyle w:val="43"/>
          <w:rFonts w:ascii="宋体" w:hAnsi="宋体"/>
          <w:b/>
          <w:spacing w:val="-20"/>
          <w:kern w:val="44"/>
        </w:rPr>
        <w:t>评标办法</w:t>
      </w:r>
      <w:r>
        <w:tab/>
      </w:r>
      <w:r>
        <w:fldChar w:fldCharType="begin"/>
      </w:r>
      <w:r>
        <w:instrText xml:space="preserve"> PAGEREF _Toc74752340 \h </w:instrText>
      </w:r>
      <w:r>
        <w:fldChar w:fldCharType="separate"/>
      </w:r>
      <w:r>
        <w:t>77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"_Toc74752341" </w:instrText>
      </w:r>
      <w:r>
        <w:fldChar w:fldCharType="separate"/>
      </w:r>
      <w:r>
        <w:rPr>
          <w:rStyle w:val="43"/>
          <w:rFonts w:ascii="Times New Roman" w:hAnsi="Times New Roman"/>
          <w:b/>
          <w:bCs/>
        </w:rPr>
        <w:t>6.1</w:t>
      </w:r>
      <w:r>
        <w:rPr>
          <w:rStyle w:val="43"/>
          <w:rFonts w:ascii="宋体" w:hAnsi="宋体"/>
          <w:b/>
          <w:bCs/>
        </w:rPr>
        <w:t xml:space="preserve"> 总则</w:t>
      </w:r>
      <w:r>
        <w:tab/>
      </w:r>
      <w:r>
        <w:fldChar w:fldCharType="begin"/>
      </w:r>
      <w:r>
        <w:instrText xml:space="preserve"> PAGEREF _Toc74752341 \h </w:instrText>
      </w:r>
      <w:r>
        <w:fldChar w:fldCharType="separate"/>
      </w:r>
      <w:r>
        <w:t>77</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"_Toc74752342" </w:instrText>
      </w:r>
      <w:r>
        <w:fldChar w:fldCharType="separate"/>
      </w:r>
      <w:r>
        <w:rPr>
          <w:rStyle w:val="43"/>
          <w:rFonts w:ascii="Times New Roman" w:hAnsi="Times New Roman"/>
          <w:b/>
          <w:bCs/>
        </w:rPr>
        <w:t>6.2</w:t>
      </w:r>
      <w:r>
        <w:rPr>
          <w:rStyle w:val="43"/>
          <w:rFonts w:ascii="宋体" w:hAnsi="宋体"/>
          <w:b/>
          <w:bCs/>
        </w:rPr>
        <w:t xml:space="preserve"> 评标方法</w:t>
      </w:r>
      <w:r>
        <w:tab/>
      </w:r>
      <w:r>
        <w:fldChar w:fldCharType="begin"/>
      </w:r>
      <w:r>
        <w:instrText xml:space="preserve"> PAGEREF _Toc74752342 \h </w:instrText>
      </w:r>
      <w:r>
        <w:fldChar w:fldCharType="separate"/>
      </w:r>
      <w:r>
        <w:t>78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"_Toc74752343" </w:instrText>
      </w:r>
      <w:r>
        <w:fldChar w:fldCharType="separate"/>
      </w:r>
      <w:r>
        <w:rPr>
          <w:rStyle w:val="43"/>
          <w:rFonts w:ascii="Times New Roman" w:hAnsi="Times New Roman"/>
          <w:b/>
          <w:bCs/>
        </w:rPr>
        <w:t>6.3</w:t>
      </w:r>
      <w:r>
        <w:rPr>
          <w:rStyle w:val="43"/>
          <w:rFonts w:ascii="宋体" w:hAnsi="宋体"/>
          <w:b/>
          <w:bCs/>
        </w:rPr>
        <w:t xml:space="preserve"> 评标程序</w:t>
      </w:r>
      <w:r>
        <w:tab/>
      </w:r>
      <w:r>
        <w:fldChar w:fldCharType="begin"/>
      </w:r>
      <w:r>
        <w:instrText xml:space="preserve"> PAGEREF _Toc74752343 \h </w:instrText>
      </w:r>
      <w:r>
        <w:fldChar w:fldCharType="separate"/>
      </w:r>
      <w:r>
        <w:t>78</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"_Toc74752344" </w:instrText>
      </w:r>
      <w:r>
        <w:fldChar w:fldCharType="separate"/>
      </w:r>
      <w:r>
        <w:rPr>
          <w:rStyle w:val="43"/>
          <w:rFonts w:ascii="Times New Roman" w:hAnsi="Times New Roman"/>
          <w:b/>
          <w:bCs/>
        </w:rPr>
        <w:t>6.4</w:t>
      </w:r>
      <w:r>
        <w:rPr>
          <w:rStyle w:val="43"/>
          <w:rFonts w:ascii="宋体" w:hAnsi="宋体"/>
          <w:b/>
          <w:bCs/>
        </w:rPr>
        <w:t xml:space="preserve"> 评标争议处理规则</w:t>
      </w:r>
      <w:r>
        <w:tab/>
      </w:r>
      <w:r>
        <w:fldChar w:fldCharType="begin"/>
      </w:r>
      <w:r>
        <w:instrText xml:space="preserve"> PAGEREF _Toc74752344 \h </w:instrText>
      </w:r>
      <w:r>
        <w:fldChar w:fldCharType="separate"/>
      </w:r>
      <w:r>
        <w:t>84</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"_Toc74752345" </w:instrText>
      </w:r>
      <w:r>
        <w:fldChar w:fldCharType="separate"/>
      </w:r>
      <w:r>
        <w:rPr>
          <w:rStyle w:val="43"/>
          <w:rFonts w:ascii="Times New Roman" w:hAnsi="Times New Roman"/>
          <w:b/>
          <w:bCs/>
        </w:rPr>
        <w:t>6.5</w:t>
      </w:r>
      <w:r>
        <w:rPr>
          <w:rStyle w:val="43"/>
          <w:rFonts w:ascii="宋体" w:hAnsi="宋体"/>
          <w:b/>
          <w:bCs/>
        </w:rPr>
        <w:t xml:space="preserve"> 评标细则及标准</w:t>
      </w:r>
      <w:r>
        <w:tab/>
      </w:r>
      <w:r>
        <w:fldChar w:fldCharType="begin"/>
      </w:r>
      <w:r>
        <w:instrText xml:space="preserve"> PAGEREF _Toc74752345 \h </w:instrText>
      </w:r>
      <w:r>
        <w:fldChar w:fldCharType="separate"/>
      </w:r>
      <w:r>
        <w:t>85</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"_Toc74752346" </w:instrText>
      </w:r>
      <w:r>
        <w:fldChar w:fldCharType="separate"/>
      </w:r>
      <w:r>
        <w:rPr>
          <w:rStyle w:val="43"/>
          <w:rFonts w:ascii="Times New Roman" w:hAnsi="Times New Roman"/>
          <w:b/>
          <w:bCs/>
        </w:rPr>
        <w:t>6.6</w:t>
      </w:r>
      <w:r>
        <w:rPr>
          <w:rStyle w:val="43"/>
          <w:rFonts w:ascii="宋体" w:hAnsi="宋体"/>
          <w:b/>
          <w:bCs/>
        </w:rPr>
        <w:t xml:space="preserve"> 废标</w:t>
      </w:r>
      <w:r>
        <w:tab/>
      </w:r>
      <w:r>
        <w:fldChar w:fldCharType="begin"/>
      </w:r>
      <w:r>
        <w:instrText xml:space="preserve"> PAGEREF _Toc74752346 \h </w:instrText>
      </w:r>
      <w:r>
        <w:fldChar w:fldCharType="separate"/>
      </w:r>
      <w:r>
        <w:t>89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"_Toc74752347" </w:instrText>
      </w:r>
      <w:r>
        <w:fldChar w:fldCharType="separate"/>
      </w:r>
      <w:r>
        <w:rPr>
          <w:rStyle w:val="43"/>
          <w:rFonts w:ascii="Times New Roman" w:hAnsi="Times New Roman"/>
          <w:b/>
          <w:bCs/>
        </w:rPr>
        <w:t>6.7</w:t>
      </w:r>
      <w:r>
        <w:rPr>
          <w:rStyle w:val="43"/>
          <w:rFonts w:ascii="宋体" w:hAnsi="宋体"/>
          <w:b/>
          <w:bCs/>
        </w:rPr>
        <w:t xml:space="preserve"> 定标</w:t>
      </w:r>
      <w:r>
        <w:tab/>
      </w:r>
      <w:r>
        <w:fldChar w:fldCharType="begin"/>
      </w:r>
      <w:r>
        <w:instrText xml:space="preserve"> PAGEREF _Toc74752347 \h </w:instrText>
      </w:r>
      <w:r>
        <w:fldChar w:fldCharType="separate"/>
      </w:r>
      <w:r>
        <w:t>89</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"_Toc74752348" </w:instrText>
      </w:r>
      <w:r>
        <w:fldChar w:fldCharType="separate"/>
      </w:r>
      <w:r>
        <w:rPr>
          <w:rStyle w:val="43"/>
          <w:rFonts w:ascii="Times New Roman" w:hAnsi="Times New Roman"/>
          <w:b/>
          <w:bCs/>
        </w:rPr>
        <w:t>6.8</w:t>
      </w:r>
      <w:r>
        <w:rPr>
          <w:rStyle w:val="43"/>
          <w:rFonts w:ascii="宋体" w:hAnsi="宋体"/>
          <w:b/>
          <w:bCs/>
        </w:rPr>
        <w:t xml:space="preserve"> 评标专家在政府采购活动中承担以下义务</w:t>
      </w:r>
      <w:r>
        <w:tab/>
      </w:r>
      <w:r>
        <w:fldChar w:fldCharType="begin"/>
      </w:r>
      <w:r>
        <w:instrText xml:space="preserve"> PAGEREF _Toc74752348 \h </w:instrText>
      </w:r>
      <w:r>
        <w:fldChar w:fldCharType="separate"/>
      </w:r>
      <w:r>
        <w:t>90</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"_Toc74752349" </w:instrText>
      </w:r>
      <w:r>
        <w:fldChar w:fldCharType="separate"/>
      </w:r>
      <w:r>
        <w:rPr>
          <w:rStyle w:val="43"/>
          <w:rFonts w:ascii="Times New Roman" w:hAnsi="Times New Roman"/>
          <w:b/>
          <w:bCs/>
        </w:rPr>
        <w:t>6.9</w:t>
      </w:r>
      <w:r>
        <w:rPr>
          <w:rStyle w:val="43"/>
          <w:rFonts w:ascii="宋体" w:hAnsi="宋体"/>
          <w:b/>
          <w:bCs/>
        </w:rPr>
        <w:t xml:space="preserve"> 评标委员会及其成员不得有下列行为</w:t>
      </w:r>
      <w:r>
        <w:tab/>
      </w:r>
      <w:r>
        <w:fldChar w:fldCharType="begin"/>
      </w:r>
      <w:r>
        <w:instrText xml:space="preserve"> PAGEREF _Toc74752349 \h </w:instrText>
      </w:r>
      <w:r>
        <w:fldChar w:fldCharType="separate"/>
      </w:r>
      <w:r>
        <w:t>91</w:t>
      </w:r>
      <w:r>
        <w:fldChar w:fldCharType="end"/>
      </w:r>
      <w:r>
        <w:fldChar w:fldCharType="end"/>
      </w:r>
    </w:p>
    <w:p>
      <w:pPr>
        <w:pStyle w:val="37"/>
        <w:rPr>
          <w:rFonts w:asciiTheme="minorHAnsi" w:hAnsiTheme="minorHAnsi" w:eastAsiaTheme="minorEastAsia" w:cstheme="minorBidi"/>
          <w:smallCaps w:val="0"/>
          <w:sz w:val="21"/>
          <w:szCs w:val="22"/>
        </w:rPr>
      </w:pPr>
      <w:r>
        <w:fldChar w:fldCharType="begin"/>
      </w:r>
      <w:r>
        <w:instrText xml:space="preserve"> HYPERLINK \l "_Toc74752350" </w:instrText>
      </w:r>
      <w:r>
        <w:fldChar w:fldCharType="separate"/>
      </w:r>
      <w:r>
        <w:rPr>
          <w:rStyle w:val="43"/>
          <w:rFonts w:ascii="Times New Roman" w:hAnsi="Times New Roman"/>
          <w:b/>
          <w:bCs/>
        </w:rPr>
        <w:t>6.10</w:t>
      </w:r>
      <w:r>
        <w:rPr>
          <w:rStyle w:val="43"/>
          <w:rFonts w:ascii="宋体" w:hAnsi="宋体"/>
          <w:b/>
          <w:bCs/>
        </w:rPr>
        <w:t xml:space="preserve"> 评审专家在政府采购活动中应当遵守以下工作纪律</w:t>
      </w:r>
      <w:r>
        <w:tab/>
      </w:r>
      <w:r>
        <w:fldChar w:fldCharType="begin"/>
      </w:r>
      <w:r>
        <w:instrText xml:space="preserve"> PAGEREF _Toc74752350 \h </w:instrText>
      </w:r>
      <w:r>
        <w:fldChar w:fldCharType="separate"/>
      </w:r>
      <w:r>
        <w:t>92</w:t>
      </w:r>
      <w:r>
        <w:fldChar w:fldCharType="end"/>
      </w:r>
      <w:r>
        <w:fldChar w:fldCharType="end"/>
      </w:r>
    </w:p>
    <w:p>
      <w:pPr>
        <w:pStyle w:val="31"/>
        <w:rPr>
          <w:rFonts w:asciiTheme="minorHAnsi" w:hAnsiTheme="minorHAnsi" w:eastAsiaTheme="minorEastAsia" w:cstheme="minorBidi"/>
          <w:bCs w:val="0"/>
          <w:caps w:val="0"/>
          <w:sz w:val="21"/>
          <w:szCs w:val="22"/>
        </w:rPr>
      </w:pPr>
      <w:r>
        <w:fldChar w:fldCharType="begin"/>
      </w:r>
      <w:r>
        <w:instrText xml:space="preserve"> HYPERLINK \l "_Toc74752351" </w:instrText>
      </w:r>
      <w:r>
        <w:fldChar w:fldCharType="separate"/>
      </w:r>
      <w:r>
        <w:rPr>
          <w:rStyle w:val="43"/>
          <w:rFonts w:ascii="Times New Roman" w:hAnsi="Times New Roman"/>
          <w:b/>
          <w:spacing w:val="-20"/>
          <w:kern w:val="44"/>
        </w:rPr>
        <w:t>第7章</w:t>
      </w:r>
      <w:r>
        <w:rPr>
          <w:rFonts w:asciiTheme="minorHAnsi" w:hAnsiTheme="minorHAnsi" w:eastAsiaTheme="minorEastAsia" w:cstheme="minorBidi"/>
          <w:bCs w:val="0"/>
          <w:caps w:val="0"/>
          <w:sz w:val="21"/>
          <w:szCs w:val="22"/>
        </w:rPr>
        <w:tab/>
      </w:r>
      <w:r>
        <w:rPr>
          <w:rStyle w:val="43"/>
          <w:rFonts w:ascii="宋体" w:hAnsi="宋体"/>
          <w:b/>
          <w:spacing w:val="-20"/>
          <w:kern w:val="44"/>
        </w:rPr>
        <w:t>拟签订合同文本</w:t>
      </w:r>
      <w:r>
        <w:tab/>
      </w:r>
      <w:r>
        <w:fldChar w:fldCharType="begin"/>
      </w:r>
      <w:r>
        <w:instrText xml:space="preserve"> PAGEREF _Toc74752351 \h </w:instrText>
      </w:r>
      <w:r>
        <w:fldChar w:fldCharType="separate"/>
      </w:r>
      <w:r>
        <w:t>94</w:t>
      </w:r>
      <w:r>
        <w:fldChar w:fldCharType="end"/>
      </w:r>
      <w:r>
        <w:fldChar w:fldCharType="end"/>
      </w:r>
    </w:p>
    <w:p>
      <w:pPr>
        <w:tabs>
          <w:tab w:val="left" w:pos="620"/>
          <w:tab w:val="right" w:leader="dot" w:pos="8364"/>
        </w:tabs>
        <w:spacing w:line="360" w:lineRule="exact"/>
      </w:pPr>
      <w:r>
        <w:rPr>
          <w:rFonts w:hint="eastAsia"/>
        </w:rPr>
        <w:fldChar w:fldCharType="end"/>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204575871"/>
      <w:bookmarkStart w:id="5" w:name="_Toc74752318"/>
      <w:bookmarkStart w:id="6" w:name="_Toc181610856"/>
      <w:bookmarkStart w:id="7" w:name="_Toc181591102"/>
      <w:r>
        <w:rPr>
          <w:rFonts w:hint="eastAsia" w:ascii="宋体" w:hAnsi="宋体"/>
          <w:b/>
          <w:bCs/>
          <w:spacing w:val="-20"/>
          <w:kern w:val="44"/>
          <w:sz w:val="32"/>
          <w:szCs w:val="32"/>
        </w:rPr>
        <w:t>投标邀请</w:t>
      </w:r>
      <w:bookmarkEnd w:id="4"/>
      <w:bookmarkEnd w:id="5"/>
      <w:bookmarkEnd w:id="6"/>
      <w:bookmarkEnd w:id="7"/>
    </w:p>
    <w:p>
      <w:pPr>
        <w:spacing w:line="360" w:lineRule="auto"/>
        <w:ind w:firstLine="565" w:firstLineChars="202"/>
        <w:rPr>
          <w:rFonts w:ascii="宋体" w:hAnsi="宋体"/>
          <w:sz w:val="28"/>
          <w:szCs w:val="28"/>
        </w:rPr>
      </w:pPr>
      <w:r>
        <w:rPr>
          <w:rFonts w:hint="eastAsia" w:ascii="宋体" w:hAnsi="宋体"/>
          <w:sz w:val="28"/>
          <w:szCs w:val="28"/>
          <w:lang w:eastAsia="zh-CN"/>
        </w:rPr>
        <w:t>成都市龙泉驿区公共资源交易服务中心</w:t>
      </w:r>
      <w:r>
        <w:rPr>
          <w:rFonts w:hint="eastAsia" w:ascii="宋体" w:hAnsi="宋体"/>
          <w:sz w:val="28"/>
          <w:szCs w:val="28"/>
        </w:rPr>
        <w:t>(以下简称“</w:t>
      </w:r>
      <w:r>
        <w:rPr>
          <w:rFonts w:hint="eastAsia" w:ascii="宋体" w:hAnsi="宋体"/>
          <w:sz w:val="28"/>
          <w:szCs w:val="28"/>
          <w:lang w:eastAsia="zh-CN"/>
        </w:rPr>
        <w:t>区公资交易中心</w:t>
      </w:r>
      <w:r>
        <w:rPr>
          <w:rFonts w:hint="eastAsia" w:ascii="宋体" w:hAnsi="宋体"/>
          <w:sz w:val="28"/>
          <w:szCs w:val="28"/>
        </w:rPr>
        <w:t>”)受</w:t>
      </w:r>
      <w:r>
        <w:rPr>
          <w:rFonts w:hint="eastAsia" w:ascii="宋体" w:hAnsi="宋体"/>
          <w:b/>
          <w:sz w:val="28"/>
          <w:szCs w:val="28"/>
          <w:u w:val="single"/>
        </w:rPr>
        <w:t>成都市龙泉驿区教育局</w:t>
      </w:r>
      <w:r>
        <w:rPr>
          <w:rFonts w:hint="eastAsia" w:ascii="宋体" w:hAnsi="宋体"/>
          <w:sz w:val="28"/>
          <w:szCs w:val="28"/>
        </w:rPr>
        <w:t>委托，拟对</w:t>
      </w:r>
      <w:r>
        <w:rPr>
          <w:rFonts w:hint="eastAsia" w:ascii="宋体" w:hAnsi="宋体"/>
          <w:b/>
          <w:sz w:val="28"/>
          <w:szCs w:val="28"/>
          <w:u w:val="single"/>
          <w:lang w:eastAsia="zh-CN"/>
        </w:rPr>
        <w:t>成都市龙泉驿区教育局2021年新建永丰家园小学和十陵来龙小学办公家具</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项目编号：</w:t>
      </w:r>
      <w:r>
        <w:rPr>
          <w:rFonts w:hint="eastAsia" w:ascii="宋体" w:hAnsi="宋体"/>
          <w:b/>
          <w:sz w:val="28"/>
          <w:szCs w:val="28"/>
          <w:lang w:eastAsia="zh-CN"/>
        </w:rPr>
        <w:t>龙泉驿政采（2021）A0009号</w:t>
      </w:r>
    </w:p>
    <w:p>
      <w:pPr>
        <w:spacing w:line="360" w:lineRule="auto"/>
        <w:ind w:left="567" w:firstLine="281" w:firstLineChars="100"/>
        <w:rPr>
          <w:rFonts w:ascii="宋体" w:hAnsi="宋体"/>
          <w:b/>
          <w:sz w:val="28"/>
          <w:szCs w:val="28"/>
        </w:rPr>
      </w:pPr>
      <w:r>
        <w:rPr>
          <w:rFonts w:hint="eastAsia" w:ascii="宋体" w:hAnsi="宋体"/>
          <w:b/>
          <w:sz w:val="28"/>
          <w:szCs w:val="28"/>
        </w:rPr>
        <w:t>（采购项目编号：</w:t>
      </w:r>
      <w:r>
        <w:rPr>
          <w:rFonts w:hint="eastAsia" w:ascii="宋体" w:hAnsi="宋体"/>
          <w:b/>
          <w:sz w:val="28"/>
          <w:szCs w:val="28"/>
          <w:lang w:eastAsia="zh-CN"/>
        </w:rPr>
        <w:t>510112202100142</w:t>
      </w:r>
      <w:r>
        <w:rPr>
          <w:rFonts w:hint="eastAsia" w:ascii="宋体" w:hAnsi="宋体"/>
          <w:b/>
          <w:sz w:val="28"/>
          <w:szCs w:val="28"/>
        </w:rPr>
        <w:t>）</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项目名称：</w:t>
      </w:r>
      <w:r>
        <w:rPr>
          <w:rFonts w:hint="eastAsia" w:ascii="宋体" w:hAnsi="宋体"/>
          <w:b/>
          <w:bCs/>
          <w:sz w:val="28"/>
          <w:szCs w:val="28"/>
          <w:lang w:eastAsia="zh-CN"/>
        </w:rPr>
        <w:t>成都市龙泉驿区教育局2021年新建永丰家园小学和十陵来龙小学办公家具采购项目</w:t>
      </w:r>
    </w:p>
    <w:p>
      <w:pPr>
        <w:numPr>
          <w:ilvl w:val="0"/>
          <w:numId w:val="6"/>
        </w:numPr>
        <w:spacing w:line="360" w:lineRule="auto"/>
        <w:ind w:left="0" w:firstLine="568"/>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财政性资金，政府采购实施计划备案表号：(202</w:t>
      </w:r>
      <w:r>
        <w:rPr>
          <w:rFonts w:hint="eastAsia" w:ascii="宋体" w:hAnsi="宋体"/>
          <w:sz w:val="28"/>
          <w:szCs w:val="28"/>
          <w:lang w:val="en-US" w:eastAsia="zh-CN"/>
        </w:rPr>
        <w:t>1</w:t>
      </w:r>
      <w:r>
        <w:rPr>
          <w:rFonts w:hint="eastAsia" w:ascii="宋体" w:hAnsi="宋体"/>
          <w:sz w:val="28"/>
          <w:szCs w:val="28"/>
        </w:rPr>
        <w:t>)</w:t>
      </w:r>
      <w:r>
        <w:rPr>
          <w:rFonts w:hint="eastAsia" w:ascii="宋体" w:hAnsi="宋体"/>
          <w:sz w:val="28"/>
          <w:szCs w:val="28"/>
          <w:lang w:val="en-US" w:eastAsia="zh-CN"/>
        </w:rPr>
        <w:t>0785</w:t>
      </w:r>
      <w:r>
        <w:rPr>
          <w:rFonts w:hint="eastAsia" w:ascii="宋体" w:hAnsi="宋体"/>
          <w:sz w:val="28"/>
          <w:szCs w:val="28"/>
        </w:rPr>
        <w:t>号；预算品目：A069901办公家具；预算金额：</w:t>
      </w:r>
      <w:r>
        <w:rPr>
          <w:rFonts w:hint="eastAsia" w:ascii="宋体" w:hAnsi="宋体"/>
          <w:sz w:val="28"/>
          <w:szCs w:val="28"/>
          <w:lang w:val="en-US" w:eastAsia="zh-CN"/>
        </w:rPr>
        <w:t>330.05</w:t>
      </w:r>
      <w:r>
        <w:rPr>
          <w:rFonts w:hint="eastAsia" w:ascii="宋体" w:hAnsi="宋体"/>
          <w:sz w:val="28"/>
          <w:szCs w:val="28"/>
        </w:rPr>
        <w:t>万元</w:t>
      </w:r>
      <w:r>
        <w:rPr>
          <w:rFonts w:hint="eastAsia" w:ascii="宋体" w:hAnsi="宋体"/>
          <w:sz w:val="28"/>
        </w:rPr>
        <w:t>；最高限价：</w:t>
      </w:r>
      <w:r>
        <w:rPr>
          <w:rFonts w:hint="eastAsia" w:ascii="宋体" w:hAnsi="宋体"/>
          <w:sz w:val="28"/>
          <w:szCs w:val="28"/>
          <w:lang w:val="en-US" w:eastAsia="zh-CN"/>
        </w:rPr>
        <w:t>330.05</w:t>
      </w:r>
      <w:r>
        <w:rPr>
          <w:rFonts w:hint="eastAsia" w:ascii="宋体" w:hAnsi="宋体"/>
          <w:sz w:val="28"/>
        </w:rPr>
        <w:t>万</w:t>
      </w:r>
      <w:r>
        <w:rPr>
          <w:rFonts w:hint="eastAsia" w:ascii="宋体" w:hAnsi="宋体"/>
          <w:sz w:val="28"/>
          <w:szCs w:val="28"/>
        </w:rPr>
        <w:t>元。</w:t>
      </w:r>
      <w:r>
        <w:rPr>
          <w:rFonts w:hint="eastAsia" w:ascii="宋体" w:hAnsi="宋体"/>
          <w:sz w:val="28"/>
          <w:szCs w:val="28"/>
          <w:lang w:eastAsia="zh-CN"/>
        </w:rPr>
        <w:t>行业类别为：制造业。</w:t>
      </w:r>
    </w:p>
    <w:p>
      <w:pPr>
        <w:numPr>
          <w:ilvl w:val="0"/>
          <w:numId w:val="6"/>
        </w:numPr>
        <w:spacing w:line="360" w:lineRule="auto"/>
        <w:ind w:left="0" w:firstLine="562" w:firstLineChars="200"/>
        <w:rPr>
          <w:rFonts w:ascii="宋体" w:hAnsi="宋体"/>
          <w:sz w:val="28"/>
          <w:szCs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lang w:eastAsia="zh-CN"/>
        </w:rPr>
        <w:t>本项目拟采购龙泉驿区教育局</w:t>
      </w:r>
      <w:r>
        <w:rPr>
          <w:rFonts w:hint="eastAsia" w:ascii="宋体" w:hAnsi="宋体"/>
          <w:sz w:val="28"/>
          <w:szCs w:val="28"/>
          <w:lang w:val="en-US" w:eastAsia="zh-CN"/>
        </w:rPr>
        <w:t>2021年</w:t>
      </w:r>
      <w:r>
        <w:rPr>
          <w:rFonts w:hint="eastAsia" w:ascii="宋体" w:hAnsi="宋体"/>
          <w:sz w:val="28"/>
          <w:szCs w:val="28"/>
          <w:lang w:eastAsia="zh-CN"/>
        </w:rPr>
        <w:t>新建</w:t>
      </w:r>
      <w:bookmarkStart w:id="236" w:name="_GoBack"/>
      <w:bookmarkEnd w:id="236"/>
      <w:r>
        <w:rPr>
          <w:rFonts w:hint="eastAsia" w:ascii="宋体" w:hAnsi="宋体"/>
          <w:sz w:val="28"/>
          <w:szCs w:val="28"/>
          <w:lang w:eastAsia="zh-CN"/>
        </w:rPr>
        <w:t>永丰家园小学办公家具和十陵来龙小学办公家具，详细的技术</w:t>
      </w:r>
      <w:r>
        <w:rPr>
          <w:rFonts w:hint="eastAsia" w:ascii="宋体" w:hAnsi="宋体"/>
          <w:sz w:val="28"/>
          <w:szCs w:val="28"/>
        </w:rPr>
        <w:t>、服务、商务及其他要求见招标文件第4章。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符合《政府采购法》第二十二条第一款规定的条件；</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hint="eastAsia" w:ascii="宋体" w:hAnsi="宋体"/>
          <w:sz w:val="28"/>
          <w:szCs w:val="28"/>
        </w:rPr>
        <w:t>；</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不属于其他国家相关法律法规规定的禁止参加投标的供应商；</w:t>
      </w:r>
    </w:p>
    <w:p>
      <w:pPr>
        <w:numPr>
          <w:ilvl w:val="1"/>
          <w:numId w:val="7"/>
        </w:numPr>
        <w:tabs>
          <w:tab w:val="left" w:pos="1260"/>
        </w:tabs>
        <w:spacing w:line="360" w:lineRule="auto"/>
        <w:ind w:left="0" w:firstLine="630"/>
        <w:rPr>
          <w:rFonts w:ascii="宋体" w:hAnsi="宋体"/>
          <w:sz w:val="28"/>
          <w:szCs w:val="28"/>
          <w:u w:val="single"/>
        </w:rPr>
      </w:pPr>
      <w:r>
        <w:rPr>
          <w:rFonts w:hint="eastAsia" w:ascii="宋体" w:hAnsi="宋体"/>
          <w:sz w:val="28"/>
          <w:szCs w:val="28"/>
          <w:u w:val="single"/>
          <w:lang w:eastAsia="zh-CN"/>
        </w:rPr>
        <w:t>本项目专门面向中小企业采购。</w:t>
      </w:r>
    </w:p>
    <w:p>
      <w:pPr>
        <w:numPr>
          <w:ilvl w:val="1"/>
          <w:numId w:val="7"/>
        </w:numPr>
        <w:tabs>
          <w:tab w:val="left" w:pos="1260"/>
        </w:tabs>
        <w:spacing w:line="360" w:lineRule="auto"/>
        <w:ind w:left="0" w:firstLine="630"/>
        <w:rPr>
          <w:rFonts w:ascii="宋体" w:hAnsi="宋体"/>
          <w:sz w:val="28"/>
          <w:szCs w:val="28"/>
        </w:rPr>
      </w:pPr>
      <w:r>
        <w:rPr>
          <w:rFonts w:hint="eastAsia" w:ascii="宋体" w:hAnsi="宋体"/>
          <w:sz w:val="28"/>
          <w:szCs w:val="28"/>
        </w:rPr>
        <w:t>本项目</w:t>
      </w:r>
      <w:r>
        <w:rPr>
          <w:rFonts w:hint="eastAsia" w:ascii="宋体" w:hAnsi="宋体"/>
          <w:b/>
          <w:sz w:val="28"/>
          <w:szCs w:val="28"/>
        </w:rPr>
        <w:t>不接受</w:t>
      </w:r>
      <w:r>
        <w:rPr>
          <w:rFonts w:hint="eastAsia" w:ascii="宋体" w:hAnsi="宋体"/>
          <w:sz w:val="28"/>
          <w:szCs w:val="28"/>
        </w:rPr>
        <w:t>联合体投标。</w:t>
      </w:r>
    </w:p>
    <w:p>
      <w:pPr>
        <w:numPr>
          <w:ilvl w:val="0"/>
          <w:numId w:val="6"/>
        </w:numPr>
        <w:spacing w:line="360" w:lineRule="auto"/>
        <w:ind w:left="0" w:firstLine="567"/>
        <w:rPr>
          <w:rFonts w:ascii="宋体" w:hAnsi="宋体"/>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sz w:val="28"/>
        </w:rPr>
      </w:pPr>
      <w:r>
        <w:rPr>
          <w:rFonts w:hint="eastAsia" w:ascii="宋体" w:hAnsi="宋体"/>
          <w:sz w:val="28"/>
          <w:szCs w:val="28"/>
        </w:rPr>
        <w:t>招标文件获取时间：2021年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12</w:t>
      </w:r>
      <w:r>
        <w:rPr>
          <w:rFonts w:hint="eastAsia" w:ascii="宋体" w:hAnsi="宋体"/>
          <w:sz w:val="28"/>
          <w:szCs w:val="28"/>
        </w:rPr>
        <w:t>日至</w:t>
      </w:r>
      <w:r>
        <w:rPr>
          <w:rFonts w:ascii="宋体" w:hAnsi="宋体"/>
          <w:sz w:val="28"/>
          <w:szCs w:val="28"/>
        </w:rPr>
        <w:t>7</w:t>
      </w:r>
      <w:r>
        <w:rPr>
          <w:rFonts w:hint="eastAsia" w:ascii="宋体" w:hAnsi="宋体"/>
          <w:sz w:val="28"/>
          <w:szCs w:val="28"/>
        </w:rPr>
        <w:t>月</w:t>
      </w:r>
      <w:r>
        <w:rPr>
          <w:rFonts w:hint="eastAsia" w:ascii="宋体" w:hAnsi="宋体"/>
          <w:sz w:val="28"/>
          <w:szCs w:val="28"/>
          <w:lang w:val="en-US" w:eastAsia="zh-CN"/>
        </w:rPr>
        <w:t>16</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公告期限：2021年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12</w:t>
      </w:r>
      <w:r>
        <w:rPr>
          <w:rFonts w:hint="eastAsia" w:ascii="宋体" w:hAnsi="宋体"/>
          <w:sz w:val="28"/>
          <w:szCs w:val="28"/>
        </w:rPr>
        <w:t>日至</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16</w:t>
      </w:r>
      <w:r>
        <w:rPr>
          <w:rFonts w:hint="eastAsia" w:ascii="宋体" w:hAnsi="宋体"/>
          <w:sz w:val="28"/>
          <w:szCs w:val="28"/>
        </w:rPr>
        <w:t>日。</w:t>
      </w:r>
    </w:p>
    <w:p>
      <w:pPr>
        <w:numPr>
          <w:ilvl w:val="0"/>
          <w:numId w:val="8"/>
        </w:numPr>
        <w:spacing w:line="360" w:lineRule="auto"/>
        <w:ind w:left="0" w:firstLine="567"/>
        <w:rPr>
          <w:rFonts w:ascii="宋体" w:hAnsi="宋体"/>
          <w:sz w:val="28"/>
          <w:szCs w:val="28"/>
        </w:rPr>
      </w:pPr>
      <w:r>
        <w:rPr>
          <w:rFonts w:hint="eastAsia" w:ascii="宋体" w:hAnsi="宋体"/>
          <w:sz w:val="28"/>
          <w:szCs w:val="28"/>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0" w:firstLineChars="200"/>
        <w:rPr>
          <w:rFonts w:ascii="宋体" w:hAnsi="宋体"/>
          <w:sz w:val="28"/>
          <w:szCs w:val="28"/>
        </w:rPr>
      </w:pPr>
      <w:r>
        <w:rPr>
          <w:rFonts w:hint="eastAsia" w:ascii="宋体" w:hAnsi="宋体"/>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0" w:firstLineChars="200"/>
        <w:rPr>
          <w:rFonts w:ascii="宋体" w:hAnsi="宋体"/>
          <w:sz w:val="28"/>
          <w:szCs w:val="28"/>
        </w:rPr>
      </w:pPr>
      <w:r>
        <w:rPr>
          <w:rFonts w:hint="eastAsia" w:ascii="宋体" w:hAnsi="宋体"/>
          <w:sz w:val="28"/>
          <w:szCs w:val="28"/>
        </w:rPr>
        <w:t>提示：</w:t>
      </w:r>
    </w:p>
    <w:p>
      <w:pPr>
        <w:spacing w:line="360" w:lineRule="auto"/>
        <w:ind w:firstLine="560" w:firstLineChars="200"/>
        <w:rPr>
          <w:rFonts w:ascii="宋体" w:hAnsi="宋体"/>
          <w:sz w:val="28"/>
          <w:szCs w:val="28"/>
        </w:rPr>
      </w:pPr>
      <w:r>
        <w:rPr>
          <w:rFonts w:hint="eastAsia" w:ascii="宋体" w:hAnsi="宋体"/>
          <w:sz w:val="28"/>
          <w:szCs w:val="28"/>
        </w:rPr>
        <w:t>（1）本项目采购文件免费获取。</w:t>
      </w:r>
    </w:p>
    <w:p>
      <w:pPr>
        <w:spacing w:line="360" w:lineRule="auto"/>
        <w:ind w:firstLine="560" w:firstLineChars="200"/>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0" w:firstLineChars="200"/>
        <w:rPr>
          <w:rFonts w:ascii="宋体" w:hAnsi="宋体"/>
          <w:sz w:val="28"/>
          <w:szCs w:val="28"/>
        </w:rPr>
      </w:pPr>
      <w:r>
        <w:rPr>
          <w:rFonts w:hint="eastAsia" w:ascii="宋体" w:hAnsi="宋体"/>
          <w:sz w:val="28"/>
          <w:szCs w:val="28"/>
        </w:rPr>
        <w:t>（3）首次登录成都市公共资源交易服务中心门户网站的新用户应先点击“注册新用户”，注册成功后再登录。</w:t>
      </w:r>
    </w:p>
    <w:p>
      <w:pPr>
        <w:spacing w:line="360" w:lineRule="auto"/>
        <w:ind w:firstLine="560" w:firstLineChars="200"/>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0" w:firstLineChars="200"/>
        <w:rPr>
          <w:rFonts w:ascii="宋体" w:hAnsi="宋体"/>
          <w:sz w:val="28"/>
          <w:szCs w:val="28"/>
        </w:rPr>
      </w:pPr>
      <w:bookmarkStart w:id="8" w:name="_Toc184013605"/>
      <w:bookmarkStart w:id="9" w:name="_Toc186274101"/>
      <w:bookmarkStart w:id="10" w:name="_Toc180051012"/>
      <w:bookmarkStart w:id="11" w:name="_Toc174185149"/>
      <w:bookmarkStart w:id="12" w:name="_Toc184023104"/>
      <w:r>
        <w:rPr>
          <w:rFonts w:hint="eastAsia" w:ascii="宋体" w:hAnsi="宋体"/>
          <w:sz w:val="28"/>
          <w:szCs w:val="28"/>
        </w:rPr>
        <w:t>登录成都市公共资源交易服务中心门户网站（https://www.cdggzy.com/）—用户中心—政府采购云平台获取</w:t>
      </w:r>
      <w:r>
        <w:rPr>
          <w:rFonts w:hint="eastAsia" w:ascii="宋体" w:hAnsi="宋体"/>
          <w:sz w:val="28"/>
        </w:rPr>
        <w:t>。</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投标文件递交截止时间及开标时间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5" w:firstLineChars="202"/>
        <w:rPr>
          <w:rFonts w:ascii="宋体" w:hAnsi="宋体"/>
          <w:b/>
          <w:sz w:val="28"/>
          <w:szCs w:val="28"/>
        </w:rPr>
      </w:pPr>
      <w:r>
        <w:rPr>
          <w:rFonts w:hint="eastAsia" w:ascii="宋体" w:hAnsi="宋体"/>
          <w:sz w:val="28"/>
          <w:szCs w:val="28"/>
        </w:rPr>
        <w:t>（一）投标文件递交截止时间及开标时间：</w:t>
      </w:r>
      <w:r>
        <w:rPr>
          <w:rFonts w:hint="eastAsia" w:ascii="宋体" w:hAnsi="宋体"/>
          <w:b/>
          <w:sz w:val="28"/>
          <w:szCs w:val="28"/>
        </w:rPr>
        <w:t>202</w:t>
      </w:r>
      <w:r>
        <w:rPr>
          <w:rFonts w:ascii="宋体" w:hAnsi="宋体"/>
          <w:b/>
          <w:sz w:val="28"/>
          <w:szCs w:val="28"/>
        </w:rPr>
        <w:t>1</w:t>
      </w:r>
      <w:r>
        <w:rPr>
          <w:rFonts w:hint="eastAsia" w:ascii="宋体" w:hAnsi="宋体"/>
          <w:b/>
          <w:sz w:val="28"/>
          <w:szCs w:val="28"/>
        </w:rPr>
        <w:t>年</w:t>
      </w:r>
      <w:r>
        <w:rPr>
          <w:rFonts w:hint="eastAsia" w:ascii="宋体" w:hAnsi="宋体"/>
          <w:b/>
          <w:sz w:val="28"/>
          <w:szCs w:val="28"/>
          <w:lang w:val="en-US" w:eastAsia="zh-CN"/>
        </w:rPr>
        <w:t>8</w:t>
      </w:r>
      <w:r>
        <w:rPr>
          <w:rFonts w:hint="eastAsia" w:ascii="宋体" w:hAnsi="宋体"/>
          <w:b/>
          <w:sz w:val="28"/>
          <w:szCs w:val="28"/>
        </w:rPr>
        <w:t>月</w:t>
      </w:r>
      <w:r>
        <w:rPr>
          <w:rFonts w:hint="eastAsia" w:ascii="宋体" w:hAnsi="宋体"/>
          <w:b/>
          <w:sz w:val="28"/>
          <w:szCs w:val="28"/>
          <w:lang w:val="en-US" w:eastAsia="zh-CN"/>
        </w:rPr>
        <w:t>3</w:t>
      </w:r>
      <w:r>
        <w:rPr>
          <w:rFonts w:hint="eastAsia" w:ascii="宋体" w:hAnsi="宋体"/>
          <w:b/>
          <w:sz w:val="28"/>
          <w:szCs w:val="28"/>
        </w:rPr>
        <w:t>日上午09:30。</w:t>
      </w:r>
    </w:p>
    <w:p>
      <w:pPr>
        <w:spacing w:line="560" w:lineRule="exact"/>
        <w:ind w:firstLine="565" w:firstLineChars="202"/>
        <w:rPr>
          <w:rFonts w:ascii="宋体" w:hAnsi="宋体"/>
          <w:sz w:val="28"/>
          <w:szCs w:val="28"/>
        </w:rPr>
      </w:pPr>
      <w:r>
        <w:rPr>
          <w:rFonts w:hint="eastAsia" w:ascii="宋体" w:hAnsi="宋体"/>
          <w:sz w:val="28"/>
          <w:szCs w:val="28"/>
        </w:rPr>
        <w:t>（二）投标文件递交方式、地点：投标截止时间前，投标人应将加密的投标文件递交至“政府采购云平台”对应项目（包件）。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2" w:firstLineChars="150"/>
        <w:jc w:val="left"/>
        <w:rPr>
          <w:rFonts w:ascii="宋体" w:hAnsi="宋体"/>
          <w:b/>
          <w:sz w:val="28"/>
          <w:szCs w:val="28"/>
        </w:rPr>
      </w:pPr>
      <w:r>
        <w:rPr>
          <w:rFonts w:hint="eastAsia" w:ascii="宋体" w:hAnsi="宋体"/>
          <w:b/>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开标地点为：成都市公共资源交易服务中心“政府采购云平台”。登录成都市公共资源交易服务中心门户网站（https://www.cdggzy.com）—用户中心—政府采购云平台。</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政采中小企业政府采购信用担保融资</w:t>
      </w:r>
    </w:p>
    <w:p>
      <w:pPr>
        <w:spacing w:line="560" w:lineRule="exact"/>
        <w:ind w:firstLine="565" w:firstLineChars="202"/>
        <w:rPr>
          <w:rFonts w:ascii="宋体" w:hAnsi="宋体"/>
          <w:sz w:val="28"/>
          <w:szCs w:val="28"/>
        </w:rPr>
      </w:pPr>
      <w:r>
        <w:rPr>
          <w:rFonts w:hint="eastAsia" w:ascii="宋体" w:hAnsi="宋体"/>
          <w:sz w:val="28"/>
          <w:szCs w:val="28"/>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szCs w:val="28"/>
        </w:rPr>
        <w:t xml:space="preserve">采购人： </w:t>
      </w:r>
      <w:r>
        <w:rPr>
          <w:rFonts w:hint="eastAsia" w:ascii="华文中宋" w:hAnsi="华文中宋" w:eastAsia="华文中宋"/>
          <w:sz w:val="28"/>
          <w:szCs w:val="28"/>
        </w:rPr>
        <w:t>成都市龙泉驿区教育局</w:t>
      </w:r>
    </w:p>
    <w:p>
      <w:pPr>
        <w:pStyle w:val="146"/>
        <w:ind w:firstLine="560"/>
        <w:rPr>
          <w:rFonts w:ascii="宋体" w:hAnsi="宋体"/>
          <w:kern w:val="0"/>
          <w:sz w:val="28"/>
          <w:szCs w:val="22"/>
        </w:rPr>
      </w:pPr>
      <w:r>
        <w:rPr>
          <w:rFonts w:hint="eastAsia" w:ascii="宋体" w:hAnsi="宋体"/>
          <w:sz w:val="28"/>
          <w:szCs w:val="28"/>
        </w:rPr>
        <w:t>地  址： 龙泉东街92号</w:t>
      </w:r>
    </w:p>
    <w:p>
      <w:pPr>
        <w:spacing w:line="360" w:lineRule="auto"/>
        <w:ind w:firstLine="565" w:firstLineChars="202"/>
        <w:rPr>
          <w:rFonts w:hint="default" w:ascii="宋体" w:hAnsi="宋体" w:eastAsia="宋体"/>
          <w:sz w:val="28"/>
          <w:szCs w:val="28"/>
          <w:lang w:val="en-US" w:eastAsia="zh-CN"/>
        </w:rPr>
      </w:pPr>
      <w:r>
        <w:rPr>
          <w:rFonts w:hint="eastAsia" w:ascii="宋体" w:hAnsi="宋体"/>
          <w:sz w:val="28"/>
          <w:szCs w:val="28"/>
        </w:rPr>
        <w:t xml:space="preserve">邮  编： </w:t>
      </w:r>
      <w:r>
        <w:rPr>
          <w:rFonts w:ascii="宋体" w:hAnsi="宋体"/>
          <w:sz w:val="28"/>
          <w:szCs w:val="28"/>
        </w:rPr>
        <w:t>610</w:t>
      </w:r>
      <w:r>
        <w:rPr>
          <w:rFonts w:hint="eastAsia" w:ascii="宋体" w:hAnsi="宋体"/>
          <w:sz w:val="28"/>
          <w:szCs w:val="28"/>
          <w:lang w:val="en-US" w:eastAsia="zh-CN"/>
        </w:rPr>
        <w:t>100</w:t>
      </w:r>
    </w:p>
    <w:p>
      <w:pPr>
        <w:spacing w:line="360" w:lineRule="auto"/>
        <w:ind w:firstLine="565" w:firstLineChars="202"/>
        <w:rPr>
          <w:rFonts w:ascii="宋体" w:hAnsi="宋体"/>
          <w:sz w:val="28"/>
          <w:szCs w:val="28"/>
        </w:rPr>
      </w:pPr>
      <w:r>
        <w:rPr>
          <w:rFonts w:hint="eastAsia" w:ascii="宋体" w:hAnsi="宋体"/>
          <w:sz w:val="28"/>
          <w:szCs w:val="28"/>
        </w:rPr>
        <w:t>联系人：</w:t>
      </w:r>
      <w:r>
        <w:rPr>
          <w:rFonts w:hint="eastAsia" w:ascii="宋体" w:hAnsi="宋体"/>
          <w:sz w:val="28"/>
          <w:szCs w:val="28"/>
          <w:lang w:val="en-US" w:eastAsia="zh-CN"/>
        </w:rPr>
        <w:t xml:space="preserve">卢兴其 </w:t>
      </w:r>
      <w:r>
        <w:rPr>
          <w:rFonts w:hint="eastAsia" w:ascii="宋体" w:hAnsi="宋体"/>
          <w:sz w:val="28"/>
          <w:szCs w:val="28"/>
        </w:rPr>
        <w:t xml:space="preserve"> </w:t>
      </w:r>
    </w:p>
    <w:p>
      <w:pPr>
        <w:spacing w:line="360" w:lineRule="auto"/>
        <w:ind w:firstLine="565" w:firstLineChars="202"/>
        <w:rPr>
          <w:rFonts w:hint="default" w:ascii="宋体" w:hAnsi="宋体" w:eastAsia="宋体"/>
          <w:sz w:val="28"/>
          <w:szCs w:val="28"/>
          <w:lang w:val="en-US" w:eastAsia="zh-CN"/>
        </w:rPr>
      </w:pPr>
      <w:r>
        <w:rPr>
          <w:rFonts w:hint="eastAsia" w:ascii="宋体" w:hAnsi="宋体"/>
          <w:sz w:val="28"/>
          <w:szCs w:val="28"/>
        </w:rPr>
        <w:t>联系电话：</w:t>
      </w:r>
      <w:r>
        <w:rPr>
          <w:rFonts w:ascii="宋体" w:hAnsi="宋体"/>
          <w:sz w:val="28"/>
          <w:szCs w:val="28"/>
        </w:rPr>
        <w:t>028-8</w:t>
      </w:r>
      <w:r>
        <w:rPr>
          <w:rFonts w:hint="eastAsia" w:ascii="宋体" w:hAnsi="宋体"/>
          <w:sz w:val="28"/>
          <w:szCs w:val="28"/>
          <w:lang w:val="en-US" w:eastAsia="zh-CN"/>
        </w:rPr>
        <w:t>4853172</w:t>
      </w:r>
    </w:p>
    <w:p>
      <w:pPr>
        <w:spacing w:line="600" w:lineRule="exact"/>
        <w:ind w:firstLine="708" w:firstLineChars="252"/>
        <w:rPr>
          <w:rFonts w:ascii="宋体" w:hAnsi="宋体"/>
          <w:b/>
          <w:sz w:val="28"/>
          <w:szCs w:val="28"/>
        </w:rPr>
      </w:pPr>
      <w:r>
        <w:rPr>
          <w:rFonts w:hint="eastAsia" w:ascii="宋体" w:hAnsi="宋体"/>
          <w:b/>
          <w:sz w:val="28"/>
          <w:szCs w:val="28"/>
        </w:rPr>
        <w:t>成都市龙泉驿区公共资源交易服务中心</w:t>
      </w:r>
    </w:p>
    <w:p>
      <w:pPr>
        <w:spacing w:line="600" w:lineRule="exact"/>
        <w:ind w:firstLine="705" w:firstLineChars="252"/>
        <w:rPr>
          <w:rFonts w:ascii="宋体" w:hAnsi="宋体"/>
          <w:sz w:val="28"/>
          <w:szCs w:val="28"/>
        </w:rPr>
      </w:pPr>
      <w:r>
        <w:rPr>
          <w:rFonts w:hint="eastAsia" w:ascii="宋体" w:hAnsi="宋体"/>
          <w:sz w:val="28"/>
          <w:szCs w:val="28"/>
        </w:rPr>
        <w:t>地  址：成都市龙泉驿区北泉路777号</w:t>
      </w:r>
    </w:p>
    <w:p>
      <w:pPr>
        <w:spacing w:line="600" w:lineRule="exact"/>
        <w:ind w:firstLine="705" w:firstLineChars="252"/>
        <w:rPr>
          <w:rFonts w:ascii="宋体" w:hAnsi="宋体"/>
          <w:sz w:val="28"/>
          <w:szCs w:val="28"/>
        </w:rPr>
      </w:pPr>
      <w:r>
        <w:rPr>
          <w:rFonts w:hint="eastAsia" w:ascii="宋体" w:hAnsi="宋体"/>
          <w:sz w:val="28"/>
          <w:szCs w:val="28"/>
        </w:rPr>
        <w:t>邮  编：610100</w:t>
      </w:r>
    </w:p>
    <w:p>
      <w:pPr>
        <w:spacing w:line="600" w:lineRule="exact"/>
        <w:ind w:firstLine="705" w:firstLineChars="252"/>
        <w:rPr>
          <w:rFonts w:hint="eastAsia" w:ascii="宋体" w:hAnsi="宋体" w:eastAsia="宋体"/>
          <w:sz w:val="28"/>
          <w:szCs w:val="28"/>
          <w:lang w:eastAsia="zh-CN"/>
        </w:rPr>
      </w:pPr>
      <w:r>
        <w:rPr>
          <w:rFonts w:hint="eastAsia" w:ascii="宋体" w:hAnsi="宋体"/>
          <w:sz w:val="28"/>
          <w:szCs w:val="28"/>
        </w:rPr>
        <w:t>联系人：</w:t>
      </w:r>
      <w:r>
        <w:rPr>
          <w:rFonts w:hint="eastAsia" w:ascii="宋体" w:hAnsi="宋体"/>
          <w:sz w:val="28"/>
          <w:szCs w:val="28"/>
          <w:lang w:eastAsia="zh-CN"/>
        </w:rPr>
        <w:t>王健</w:t>
      </w:r>
    </w:p>
    <w:p>
      <w:pPr>
        <w:spacing w:line="600" w:lineRule="exact"/>
        <w:ind w:firstLine="705" w:firstLineChars="252"/>
        <w:rPr>
          <w:rFonts w:hint="eastAsia" w:ascii="宋体" w:hAnsi="宋体" w:eastAsia="宋体"/>
          <w:sz w:val="28"/>
          <w:szCs w:val="28"/>
          <w:lang w:eastAsia="zh-CN"/>
        </w:rPr>
      </w:pPr>
      <w:r>
        <w:rPr>
          <w:rFonts w:hint="eastAsia" w:ascii="宋体" w:hAnsi="宋体"/>
          <w:sz w:val="28"/>
          <w:szCs w:val="28"/>
        </w:rPr>
        <w:t>联系电话：028-6143062</w:t>
      </w:r>
      <w:r>
        <w:rPr>
          <w:rFonts w:hint="eastAsia" w:ascii="宋体" w:hAnsi="宋体"/>
          <w:sz w:val="28"/>
          <w:szCs w:val="28"/>
          <w:lang w:val="en-US" w:eastAsia="zh-CN"/>
        </w:rPr>
        <w:t>3</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政府采购监督机构：成都市龙泉驿区财政局</w:t>
      </w:r>
    </w:p>
    <w:p>
      <w:pPr>
        <w:spacing w:line="600" w:lineRule="exact"/>
        <w:ind w:firstLine="705" w:firstLineChars="252"/>
        <w:rPr>
          <w:rFonts w:ascii="宋体" w:hAnsi="宋体"/>
          <w:sz w:val="28"/>
          <w:szCs w:val="28"/>
        </w:rPr>
      </w:pPr>
      <w:r>
        <w:rPr>
          <w:rFonts w:hint="eastAsia" w:ascii="宋体" w:hAnsi="宋体"/>
          <w:sz w:val="28"/>
          <w:szCs w:val="28"/>
        </w:rPr>
        <w:t>地 址：成都市龙泉驿区中街聚星楼6-7楼</w:t>
      </w:r>
    </w:p>
    <w:p>
      <w:pPr>
        <w:spacing w:line="600" w:lineRule="exact"/>
        <w:ind w:firstLine="705" w:firstLineChars="252"/>
        <w:rPr>
          <w:rFonts w:ascii="宋体" w:hAnsi="宋体"/>
          <w:sz w:val="28"/>
          <w:szCs w:val="28"/>
        </w:rPr>
      </w:pPr>
      <w:r>
        <w:rPr>
          <w:rFonts w:hint="eastAsia" w:ascii="宋体" w:hAnsi="宋体"/>
          <w:sz w:val="28"/>
          <w:szCs w:val="28"/>
        </w:rPr>
        <w:t>联系电话：028-84636986</w:t>
      </w: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tabs>
          <w:tab w:val="left" w:pos="900"/>
        </w:tabs>
        <w:spacing w:line="360" w:lineRule="auto"/>
        <w:ind w:firstLine="562" w:firstLineChars="200"/>
        <w:rPr>
          <w:rFonts w:ascii="宋体" w:hAnsi="宋体" w:cstheme="minorBidi"/>
          <w:b/>
          <w:sz w:val="28"/>
          <w:szCs w:val="28"/>
        </w:rPr>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74752319"/>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213496268"/>
      <w:bookmarkStart w:id="15" w:name="_Toc213397010"/>
      <w:bookmarkStart w:id="16" w:name="_Toc189727030"/>
      <w:bookmarkStart w:id="17" w:name="_Toc213396946"/>
      <w:bookmarkStart w:id="18" w:name="_Toc217446032"/>
      <w:bookmarkStart w:id="19" w:name="_Toc74752320"/>
      <w:bookmarkStart w:id="20" w:name="_Toc213396760"/>
      <w:bookmarkStart w:id="21" w:name="_Toc316462344"/>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6"/>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w:t>
            </w:r>
            <w:r>
              <w:rPr>
                <w:rFonts w:hint="eastAsia" w:ascii="宋体" w:hAnsi="宋体"/>
                <w:b/>
                <w:lang w:val="en-US" w:eastAsia="zh-CN"/>
              </w:rPr>
              <w:t>330.05</w:t>
            </w:r>
            <w:r>
              <w:rPr>
                <w:rFonts w:hint="eastAsia" w:ascii="宋体" w:hAnsi="宋体"/>
                <w:b/>
              </w:rPr>
              <w:t>万元</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2"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最高限价：</w:t>
            </w:r>
            <w:r>
              <w:rPr>
                <w:rFonts w:hint="eastAsia" w:ascii="宋体" w:hAnsi="宋体" w:cs="宋体"/>
                <w:b/>
                <w:lang w:val="en-US" w:eastAsia="zh-CN"/>
              </w:rPr>
              <w:t>330</w:t>
            </w:r>
            <w:r>
              <w:rPr>
                <w:rFonts w:hint="eastAsia" w:ascii="宋体" w:hAnsi="宋体" w:cs="宋体"/>
                <w:b/>
                <w:lang w:val="zh-CN"/>
              </w:rPr>
              <w:t>.</w:t>
            </w:r>
            <w:r>
              <w:rPr>
                <w:rFonts w:hint="eastAsia" w:ascii="宋体" w:hAnsi="宋体" w:cs="宋体"/>
                <w:b/>
                <w:lang w:val="en-US" w:eastAsia="zh-CN"/>
              </w:rPr>
              <w:t>05</w:t>
            </w:r>
            <w:r>
              <w:rPr>
                <w:rFonts w:hint="eastAsia" w:ascii="宋体" w:hAnsi="宋体" w:cs="宋体"/>
                <w:b/>
                <w:lang w:val="zh-CN"/>
              </w:rPr>
              <w:t>万元，</w:t>
            </w:r>
            <w:r>
              <w:rPr>
                <w:rFonts w:hint="eastAsia"/>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u w:val="single"/>
                <w:lang w:val="zh-CN"/>
              </w:rPr>
            </w:pPr>
            <w:r>
              <w:rPr>
                <w:rFonts w:hint="eastAsia" w:ascii="宋体" w:hAnsi="宋体" w:cs="宋体"/>
                <w:u w:val="single"/>
                <w:lang w:val="zh-CN"/>
              </w:rPr>
              <w:t>本项目专门面向中小企业采购，不做价格扣除。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4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w:t>
            </w:r>
            <w:r>
              <w:rPr>
                <w:rFonts w:hint="eastAsia" w:ascii="宋体" w:hAnsi="宋体"/>
                <w:lang w:eastAsia="zh-CN"/>
              </w:rPr>
              <w:t>区公资交易中心</w:t>
            </w:r>
            <w:r>
              <w:rPr>
                <w:rFonts w:hint="eastAsia" w:ascii="宋体" w:hAnsi="宋体"/>
              </w:rPr>
              <w:t>提出，并由</w:t>
            </w:r>
            <w:r>
              <w:rPr>
                <w:rFonts w:hint="eastAsia" w:ascii="宋体" w:hAnsi="宋体"/>
                <w:lang w:eastAsia="zh-CN"/>
              </w:rPr>
              <w:t>区公资交易中心</w:t>
            </w:r>
            <w:r>
              <w:rPr>
                <w:rFonts w:hint="eastAsia" w:ascii="宋体" w:hAnsi="宋体"/>
              </w:rPr>
              <w:t>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hint="eastAsia" w:ascii="宋体" w:hAnsi="宋体"/>
              </w:rPr>
            </w:pPr>
            <w:r>
              <w:rPr>
                <w:rFonts w:hint="eastAsia" w:ascii="宋体" w:hAnsi="宋体"/>
              </w:rPr>
              <w:t>投诉受理单位</w:t>
            </w:r>
          </w:p>
          <w:p>
            <w:pPr>
              <w:tabs>
                <w:tab w:val="left" w:pos="7665"/>
              </w:tabs>
              <w:snapToGrid w:val="0"/>
              <w:spacing w:line="360" w:lineRule="auto"/>
              <w:rPr>
                <w:rFonts w:hint="eastAsia" w:ascii="宋体" w:hAnsi="宋体"/>
              </w:rPr>
            </w:pPr>
            <w:r>
              <w:rPr>
                <w:rFonts w:hint="eastAsia" w:ascii="宋体" w:hAnsi="宋体"/>
              </w:rPr>
              <w:t>政府采购监督管理部门：成都市龙泉驿区财政局</w:t>
            </w:r>
          </w:p>
          <w:p>
            <w:pPr>
              <w:tabs>
                <w:tab w:val="left" w:pos="7665"/>
              </w:tabs>
              <w:snapToGrid w:val="0"/>
              <w:spacing w:line="360" w:lineRule="auto"/>
              <w:rPr>
                <w:rFonts w:hint="eastAsia" w:ascii="宋体" w:hAnsi="宋体"/>
              </w:rPr>
            </w:pPr>
            <w:r>
              <w:rPr>
                <w:rFonts w:hint="eastAsia" w:ascii="宋体" w:hAnsi="宋体"/>
              </w:rPr>
              <w:t>地 址：成都市龙泉驿区中街聚星楼6-7楼</w:t>
            </w:r>
          </w:p>
          <w:p>
            <w:pPr>
              <w:tabs>
                <w:tab w:val="left" w:pos="7665"/>
              </w:tabs>
              <w:snapToGrid w:val="0"/>
              <w:spacing w:line="360" w:lineRule="auto"/>
              <w:rPr>
                <w:rFonts w:hint="eastAsia" w:ascii="宋体" w:hAnsi="宋体"/>
              </w:rPr>
            </w:pPr>
            <w:r>
              <w:rPr>
                <w:rFonts w:hint="eastAsia" w:ascii="宋体" w:hAnsi="宋体"/>
              </w:rPr>
              <w:t>联系人：李先生</w:t>
            </w:r>
          </w:p>
          <w:p>
            <w:pPr>
              <w:tabs>
                <w:tab w:val="left" w:pos="7665"/>
              </w:tabs>
              <w:snapToGrid w:val="0"/>
              <w:spacing w:line="360" w:lineRule="auto"/>
              <w:rPr>
                <w:rFonts w:ascii="宋体" w:hAnsi="宋体"/>
              </w:rPr>
            </w:pPr>
            <w:r>
              <w:rPr>
                <w:rFonts w:hint="eastAsia" w:ascii="宋体" w:hAnsi="宋体"/>
              </w:rPr>
              <w:t>联系电话：028-84636986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9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3"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hint="eastAsia" w:ascii="宋体" w:hAnsi="宋体"/>
                <w:sz w:val="24"/>
              </w:rPr>
              <w:t>工作的通知》</w:t>
            </w:r>
            <w:r>
              <w:rPr>
                <w:rFonts w:hint="eastAsia" w:ascii="宋体" w:hAnsi="宋体"/>
              </w:rPr>
              <w:t>（成财采〔2020〕20号）</w:t>
            </w:r>
            <w:r>
              <w:rPr>
                <w:rFonts w:hint="eastAsia" w:ascii="宋体" w:hAnsi="宋体"/>
                <w:sz w:val="24"/>
              </w:rPr>
              <w:t>见附件</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9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8"/>
          <w:szCs w:val="28"/>
        </w:rPr>
      </w:pPr>
      <w:bookmarkStart w:id="22" w:name="_Toc74752321"/>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本招标文件仅适用于本次公开招标采购项目。</w:t>
      </w:r>
    </w:p>
    <w:p>
      <w:pPr>
        <w:numPr>
          <w:ilvl w:val="0"/>
          <w:numId w:val="10"/>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本招标文件的最终解释权由采购人或</w:t>
      </w:r>
      <w:r>
        <w:rPr>
          <w:rFonts w:hint="eastAsia" w:ascii="宋体" w:hAnsi="宋体"/>
          <w:sz w:val="28"/>
          <w:szCs w:val="28"/>
          <w:lang w:eastAsia="zh-CN"/>
        </w:rPr>
        <w:t>区公资交易中心</w:t>
      </w:r>
      <w:r>
        <w:rPr>
          <w:rFonts w:hint="eastAsia" w:ascii="宋体" w:hAnsi="宋体"/>
          <w:sz w:val="28"/>
          <w:szCs w:val="28"/>
        </w:rPr>
        <w:t>享有。对招标文件中供应商参加本次政府采购活动应当具备的条件，招标项目技术、服务、商务及其他要求，评标细则及标准由采购人负责解释。除上述招标文件内容，其他内容由</w:t>
      </w:r>
      <w:r>
        <w:rPr>
          <w:rFonts w:hint="eastAsia" w:ascii="宋体" w:hAnsi="宋体"/>
          <w:sz w:val="28"/>
          <w:szCs w:val="28"/>
          <w:lang w:eastAsia="zh-CN"/>
        </w:rPr>
        <w:t>区公资交易中心</w:t>
      </w:r>
      <w:r>
        <w:rPr>
          <w:rFonts w:hint="eastAsia" w:ascii="宋体" w:hAnsi="宋体"/>
          <w:sz w:val="28"/>
          <w:szCs w:val="28"/>
        </w:rPr>
        <w:t>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“采购人”和“甲方”系指依法进行政府采购的成都市级机关、事业单位、团体组织。本次招标的采购人是</w:t>
      </w:r>
      <w:r>
        <w:rPr>
          <w:rFonts w:hint="eastAsia" w:ascii="宋体" w:hAnsi="宋体"/>
          <w:b/>
          <w:bCs/>
          <w:sz w:val="28"/>
          <w:szCs w:val="28"/>
          <w:u w:val="single"/>
        </w:rPr>
        <w:t>成都市龙泉驿区教育局</w:t>
      </w:r>
      <w:r>
        <w:rPr>
          <w:rFonts w:hint="eastAsia" w:ascii="宋体" w:hAnsi="宋体"/>
          <w:sz w:val="28"/>
          <w:szCs w:val="28"/>
        </w:rPr>
        <w:t>。</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“投标人”系指在系统中成功提交《采购文件获取登记表》拟参加投标和向采购人提供货物及服务的供应商。</w:t>
      </w:r>
    </w:p>
    <w:p>
      <w:pPr>
        <w:numPr>
          <w:ilvl w:val="0"/>
          <w:numId w:val="11"/>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1"/>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hint="eastAsia" w:ascii="宋体" w:hAnsi="宋体"/>
          <w:sz w:val="28"/>
          <w:szCs w:val="28"/>
        </w:rPr>
        <w:t>。</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不见面开标是指，</w:t>
      </w:r>
      <w:r>
        <w:rPr>
          <w:rFonts w:hint="eastAsia" w:ascii="宋体" w:hAnsi="宋体"/>
          <w:sz w:val="28"/>
          <w:szCs w:val="28"/>
          <w:lang w:eastAsia="zh-CN"/>
        </w:rPr>
        <w:t>区公资交易中心</w:t>
      </w:r>
      <w:r>
        <w:rPr>
          <w:rFonts w:hint="eastAsia" w:ascii="宋体" w:hAnsi="宋体"/>
          <w:sz w:val="28"/>
          <w:szCs w:val="28"/>
        </w:rPr>
        <w:t>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23" w:name="_Toc183682344"/>
      <w:bookmarkStart w:id="24" w:name="_Toc217446036"/>
      <w:bookmarkStart w:id="25" w:name="_Toc217390843"/>
      <w:bookmarkStart w:id="26" w:name="_Toc183582207"/>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5" w:firstLineChars="202"/>
        <w:rPr>
          <w:rFonts w:ascii="宋体" w:hAnsi="宋体"/>
          <w:sz w:val="28"/>
          <w:szCs w:val="28"/>
        </w:rPr>
      </w:pPr>
      <w:r>
        <w:rPr>
          <w:rFonts w:hint="eastAsia" w:ascii="宋体" w:hAnsi="宋体"/>
          <w:sz w:val="28"/>
          <w:szCs w:val="28"/>
        </w:rPr>
        <w:t>合格的投标人应具备以下条件：</w:t>
      </w:r>
    </w:p>
    <w:p>
      <w:pPr>
        <w:numPr>
          <w:ilvl w:val="0"/>
          <w:numId w:val="12"/>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2"/>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0"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3"/>
        </w:numPr>
        <w:tabs>
          <w:tab w:val="left" w:pos="1134"/>
        </w:tabs>
        <w:adjustRightInd w:val="0"/>
        <w:spacing w:line="360" w:lineRule="auto"/>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（说明：无供应商为本项目提供整体设计、规范编制或者项目管理、监理、检测等服务。）</w:t>
      </w:r>
    </w:p>
    <w:p>
      <w:pPr>
        <w:numPr>
          <w:ilvl w:val="0"/>
          <w:numId w:val="13"/>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本项</w:t>
      </w:r>
      <w:r>
        <w:rPr>
          <w:rFonts w:hint="eastAsia" w:asciiTheme="minorEastAsia" w:hAnsiTheme="minorEastAsia"/>
          <w:sz w:val="28"/>
          <w:szCs w:val="28"/>
          <w:lang w:val="zh-CN"/>
        </w:rPr>
        <w:t>目</w:t>
      </w:r>
      <w:r>
        <w:rPr>
          <w:rFonts w:hint="eastAsia" w:asciiTheme="minorEastAsia" w:hAnsiTheme="minorEastAsia"/>
          <w:b/>
          <w:sz w:val="28"/>
          <w:szCs w:val="28"/>
        </w:rPr>
        <w:t>核心产品为</w:t>
      </w:r>
      <w:r>
        <w:rPr>
          <w:rFonts w:hint="eastAsia" w:asciiTheme="minorEastAsia" w:hAnsiTheme="minorEastAsia"/>
          <w:b/>
          <w:sz w:val="28"/>
          <w:szCs w:val="28"/>
          <w:lang w:eastAsia="zh-CN"/>
        </w:rPr>
        <w:t>：详见第四章</w:t>
      </w:r>
      <w:r>
        <w:rPr>
          <w:rFonts w:hint="eastAsia" w:ascii="宋体" w:hAnsi="宋体"/>
          <w:sz w:val="28"/>
          <w:szCs w:val="28"/>
          <w:lang w:val="zh-CN"/>
        </w:rPr>
        <w:t>。</w:t>
      </w:r>
      <w:r>
        <w:rPr>
          <w:rFonts w:hint="eastAsia" w:hAnsi="宋体"/>
          <w:sz w:val="28"/>
          <w:szCs w:val="28"/>
        </w:rPr>
        <w:t>提供核心产品品牌相</w:t>
      </w:r>
      <w:r>
        <w:rPr>
          <w:rFonts w:hint="eastAsia" w:hAnsi="宋体"/>
          <w:sz w:val="28"/>
          <w:szCs w:val="28"/>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5"/>
        </w:numPr>
        <w:spacing w:line="360" w:lineRule="auto"/>
        <w:jc w:val="left"/>
        <w:outlineLvl w:val="1"/>
        <w:rPr>
          <w:rFonts w:ascii="宋体" w:hAnsi="宋体"/>
          <w:b/>
          <w:bCs/>
          <w:sz w:val="28"/>
          <w:szCs w:val="28"/>
        </w:rPr>
      </w:pPr>
      <w:bookmarkStart w:id="27" w:name="_Toc183582210"/>
      <w:bookmarkStart w:id="28" w:name="_Toc183682347"/>
      <w:bookmarkStart w:id="29" w:name="_Toc217446039"/>
      <w:bookmarkStart w:id="30" w:name="_Toc74752322"/>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5"/>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1"/>
          <w:numId w:val="5"/>
        </w:numPr>
        <w:spacing w:line="360" w:lineRule="auto"/>
        <w:jc w:val="left"/>
        <w:outlineLvl w:val="1"/>
        <w:rPr>
          <w:rFonts w:ascii="宋体" w:hAnsi="宋体"/>
          <w:b/>
          <w:bCs/>
          <w:sz w:val="28"/>
          <w:szCs w:val="28"/>
        </w:rPr>
      </w:pPr>
      <w:bookmarkStart w:id="31" w:name="_Toc183582214"/>
      <w:bookmarkStart w:id="32" w:name="_Toc217446042"/>
      <w:bookmarkStart w:id="33" w:name="_Toc89075876"/>
      <w:bookmarkStart w:id="34" w:name="_Toc77400780"/>
      <w:bookmarkStart w:id="35" w:name="_Toc183682351"/>
      <w:bookmarkStart w:id="36" w:name="_Toc74752323"/>
      <w:r>
        <w:rPr>
          <w:rFonts w:hint="eastAsia" w:ascii="宋体" w:hAnsi="宋体"/>
          <w:b/>
          <w:bCs/>
          <w:sz w:val="28"/>
          <w:szCs w:val="28"/>
        </w:rPr>
        <w:t>投标文件</w:t>
      </w:r>
      <w:bookmarkEnd w:id="31"/>
      <w:bookmarkEnd w:id="32"/>
      <w:bookmarkEnd w:id="33"/>
      <w:bookmarkEnd w:id="34"/>
      <w:bookmarkEnd w:id="35"/>
      <w:bookmarkEnd w:id="36"/>
    </w:p>
    <w:p>
      <w:pPr>
        <w:keepNext/>
        <w:keepLines/>
        <w:numPr>
          <w:ilvl w:val="2"/>
          <w:numId w:val="5"/>
        </w:numPr>
        <w:spacing w:line="360" w:lineRule="auto"/>
        <w:ind w:left="0" w:firstLine="0"/>
        <w:outlineLvl w:val="2"/>
        <w:rPr>
          <w:rFonts w:ascii="宋体" w:hAnsi="宋体"/>
          <w:b/>
          <w:bCs/>
          <w:sz w:val="28"/>
          <w:szCs w:val="28"/>
        </w:rPr>
      </w:pPr>
      <w:bookmarkStart w:id="37" w:name="_Toc217446043"/>
      <w:bookmarkStart w:id="38" w:name="_Toc183682352"/>
      <w:bookmarkStart w:id="39" w:name="_Toc183582215"/>
      <w:r>
        <w:rPr>
          <w:rFonts w:hint="eastAsia" w:ascii="宋体" w:hAnsi="宋体"/>
          <w:b/>
          <w:bCs/>
          <w:sz w:val="28"/>
          <w:szCs w:val="28"/>
        </w:rPr>
        <w:t>投标文件的语言</w:t>
      </w:r>
      <w:bookmarkEnd w:id="37"/>
      <w:bookmarkEnd w:id="38"/>
      <w:bookmarkEnd w:id="39"/>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投标人提交的投标文件以及投标人与采购人或</w:t>
      </w:r>
      <w:r>
        <w:rPr>
          <w:rFonts w:hint="eastAsia" w:cs="Arial"/>
          <w:sz w:val="28"/>
          <w:szCs w:val="28"/>
          <w:lang w:eastAsia="zh-CN"/>
        </w:rPr>
        <w:t>区公资交易中心</w:t>
      </w:r>
      <w:r>
        <w:rPr>
          <w:rFonts w:hint="eastAsia" w:ascii="宋体" w:hAnsi="宋体"/>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6"/>
        </w:numPr>
        <w:tabs>
          <w:tab w:val="left" w:pos="1134"/>
        </w:tabs>
        <w:spacing w:line="360" w:lineRule="auto"/>
        <w:ind w:left="0" w:firstLine="560"/>
        <w:rPr>
          <w:rFonts w:ascii="宋体" w:hAnsi="宋体"/>
          <w:sz w:val="28"/>
          <w:szCs w:val="28"/>
        </w:rPr>
      </w:pPr>
      <w:r>
        <w:rPr>
          <w:rFonts w:hint="eastAsia" w:ascii="宋体" w:hAnsi="宋体"/>
          <w:sz w:val="28"/>
          <w:szCs w:val="28"/>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8"/>
          <w:szCs w:val="28"/>
        </w:rPr>
      </w:pPr>
      <w:bookmarkStart w:id="40" w:name="_Toc183582216"/>
      <w:bookmarkStart w:id="41" w:name="_Toc217446044"/>
      <w:bookmarkStart w:id="42" w:name="_Toc183682353"/>
      <w:r>
        <w:rPr>
          <w:rFonts w:hint="eastAsia" w:ascii="宋体" w:hAnsi="宋体"/>
          <w:b/>
          <w:bCs/>
          <w:sz w:val="28"/>
          <w:szCs w:val="28"/>
        </w:rPr>
        <w:t>计量单位</w:t>
      </w:r>
      <w:bookmarkEnd w:id="40"/>
      <w:bookmarkEnd w:id="41"/>
      <w:bookmarkEnd w:id="42"/>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3" w:name="_Toc217446045"/>
      <w:r>
        <w:rPr>
          <w:rFonts w:hint="eastAsia" w:ascii="宋体" w:hAnsi="宋体"/>
          <w:b/>
          <w:bCs/>
          <w:sz w:val="28"/>
          <w:szCs w:val="28"/>
        </w:rPr>
        <w:t>投标货币</w:t>
      </w:r>
      <w:bookmarkEnd w:id="43"/>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4" w:name="_Toc217446046"/>
      <w:r>
        <w:rPr>
          <w:rFonts w:hint="eastAsia" w:ascii="宋体" w:hAnsi="宋体"/>
          <w:b/>
          <w:bCs/>
          <w:sz w:val="28"/>
          <w:szCs w:val="28"/>
        </w:rPr>
        <w:t>联合体投标</w:t>
      </w:r>
      <w:bookmarkEnd w:id="44"/>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5" w:name="_Toc217446047"/>
      <w:r>
        <w:rPr>
          <w:rFonts w:hint="eastAsia" w:ascii="宋体" w:hAnsi="宋体"/>
          <w:b/>
          <w:bCs/>
          <w:sz w:val="28"/>
          <w:szCs w:val="28"/>
        </w:rPr>
        <w:t>知识产权</w:t>
      </w:r>
      <w:bookmarkEnd w:id="45"/>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采购人享有本项目实施过程中产生的知识成果及知识产权。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7"/>
        </w:numPr>
        <w:tabs>
          <w:tab w:val="left" w:pos="1134"/>
        </w:tabs>
        <w:spacing w:line="360" w:lineRule="auto"/>
        <w:ind w:left="0" w:firstLine="549"/>
        <w:rPr>
          <w:rFonts w:ascii="宋体" w:hAnsi="宋体"/>
          <w:sz w:val="28"/>
          <w:szCs w:val="28"/>
        </w:rPr>
      </w:pP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6" w:name="_Toc183682354"/>
      <w:bookmarkStart w:id="47" w:name="_Toc183582217"/>
      <w:bookmarkStart w:id="48" w:name="_Toc217446048"/>
      <w:r>
        <w:rPr>
          <w:rFonts w:hint="eastAsia" w:ascii="宋体" w:hAnsi="宋体"/>
          <w:b/>
          <w:bCs/>
          <w:sz w:val="28"/>
          <w:szCs w:val="28"/>
        </w:rPr>
        <w:t>投标文件的组成</w:t>
      </w:r>
      <w:bookmarkEnd w:id="46"/>
      <w:bookmarkEnd w:id="47"/>
      <w:bookmarkEnd w:id="48"/>
    </w:p>
    <w:p>
      <w:pPr>
        <w:spacing w:line="360" w:lineRule="auto"/>
        <w:ind w:firstLine="548"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numPr>
          <w:ilvl w:val="3"/>
          <w:numId w:val="5"/>
        </w:numPr>
        <w:rPr>
          <w:rFonts w:ascii="宋体" w:hAnsi="宋体"/>
        </w:rPr>
      </w:pPr>
      <w:r>
        <w:rPr>
          <w:rFonts w:hint="eastAsia" w:ascii="宋体" w:hAnsi="宋体"/>
        </w:rPr>
        <w:t>资格响应文件：</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关于投标人资格申明的函；</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声明；</w:t>
      </w:r>
    </w:p>
    <w:p>
      <w:pPr>
        <w:numPr>
          <w:ilvl w:val="0"/>
          <w:numId w:val="18"/>
        </w:numPr>
        <w:tabs>
          <w:tab w:val="left" w:pos="1134"/>
        </w:tabs>
        <w:spacing w:line="360" w:lineRule="auto"/>
        <w:ind w:left="0" w:firstLine="546"/>
        <w:rPr>
          <w:rFonts w:ascii="宋体" w:hAnsi="宋体"/>
          <w:b/>
          <w:sz w:val="28"/>
          <w:szCs w:val="28"/>
        </w:rPr>
      </w:pPr>
      <w:r>
        <w:rPr>
          <w:rFonts w:hint="eastAsia" w:ascii="宋体" w:hAnsi="宋体"/>
          <w:b/>
          <w:sz w:val="28"/>
          <w:szCs w:val="28"/>
        </w:rPr>
        <w:t>投标人应提交的相关资格证明材料：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营业执照复印件（正本或副本）或法人证书复印件（正本或副本）；</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2019或2020会计年度资产负债表复印件（说明：投标人成立时间至递交投标文件截止时间止不足一年的，提供成立后任意时段的资产负债表复印件）；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投标人缴纳2020或2021年任意时段的税收的银行电子回单或者行政部门出具的纳税证明或完税证明复印件；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采购人对投标人履行合同所必须的设备和专业技术能力无特殊要求，投标人具有有效的营业执照或法人证书，可不提供其他证明材料；</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投标人缴纳2020或2021年任意时段的社保的银行电子回单或行政部门出具的社保缴纳证明材料复印件；</w:t>
      </w:r>
    </w:p>
    <w:p>
      <w:pPr>
        <w:pStyle w:val="77"/>
        <w:numPr>
          <w:ilvl w:val="0"/>
          <w:numId w:val="19"/>
        </w:numPr>
        <w:spacing w:before="60" w:line="360" w:lineRule="auto"/>
        <w:ind w:left="0" w:firstLine="546" w:firstLineChars="0"/>
        <w:rPr>
          <w:rFonts w:ascii="宋体" w:hAnsi="宋体"/>
          <w:b/>
          <w:sz w:val="28"/>
          <w:szCs w:val="28"/>
        </w:rPr>
      </w:pPr>
      <w:r>
        <w:rPr>
          <w:rFonts w:hint="eastAsia" w:ascii="宋体" w:hAnsi="宋体"/>
          <w:b/>
          <w:sz w:val="28"/>
          <w:szCs w:val="28"/>
        </w:rPr>
        <w:t>采购人对法律、行政法规规定的其他条件无特殊要求，投标人具有有效的营业执照或法人证书，可不提供其他证明材料。</w:t>
      </w:r>
    </w:p>
    <w:p>
      <w:pPr>
        <w:pStyle w:val="6"/>
        <w:numPr>
          <w:ilvl w:val="3"/>
          <w:numId w:val="5"/>
        </w:numPr>
        <w:rPr>
          <w:rFonts w:ascii="宋体" w:hAnsi="宋体"/>
        </w:rPr>
      </w:pPr>
      <w:r>
        <w:rPr>
          <w:rFonts w:hint="eastAsia" w:ascii="宋体" w:hAnsi="宋体"/>
        </w:rPr>
        <w:t>商务技术</w:t>
      </w:r>
      <w:r>
        <w:rPr>
          <w:rFonts w:ascii="宋体" w:hAnsi="宋体"/>
        </w:rPr>
        <w:t>响应</w:t>
      </w:r>
      <w:r>
        <w:rPr>
          <w:rFonts w:hint="eastAsia" w:ascii="宋体" w:hAnsi="宋体"/>
        </w:rPr>
        <w:t>文件</w:t>
      </w:r>
    </w:p>
    <w:p>
      <w:pPr>
        <w:numPr>
          <w:ilvl w:val="0"/>
          <w:numId w:val="20"/>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法定代表人身份证明书；</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投标人基本情况表；</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投标产品技术性能、技术参数和配置的详细描述；</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售后服务及承诺；</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项目实施方案；</w:t>
      </w:r>
    </w:p>
    <w:p>
      <w:pPr>
        <w:numPr>
          <w:ilvl w:val="0"/>
          <w:numId w:val="20"/>
        </w:numPr>
        <w:tabs>
          <w:tab w:val="left" w:pos="1134"/>
        </w:tabs>
        <w:spacing w:line="360" w:lineRule="auto"/>
        <w:ind w:left="0" w:firstLine="546"/>
        <w:rPr>
          <w:rFonts w:ascii="宋体" w:hAnsi="宋体"/>
          <w:b/>
          <w:sz w:val="28"/>
          <w:szCs w:val="28"/>
        </w:rPr>
      </w:pPr>
      <w:r>
        <w:rPr>
          <w:rFonts w:hint="eastAsia" w:ascii="宋体" w:hAnsi="宋体"/>
          <w:b/>
          <w:sz w:val="28"/>
          <w:szCs w:val="28"/>
        </w:rPr>
        <w:t>承诺函。</w:t>
      </w:r>
    </w:p>
    <w:p>
      <w:pPr>
        <w:keepNext/>
        <w:keepLines/>
        <w:numPr>
          <w:ilvl w:val="2"/>
          <w:numId w:val="5"/>
        </w:numPr>
        <w:spacing w:line="360" w:lineRule="auto"/>
        <w:ind w:left="0" w:firstLine="0"/>
        <w:outlineLvl w:val="2"/>
        <w:rPr>
          <w:rFonts w:ascii="宋体" w:hAnsi="宋体"/>
          <w:b/>
          <w:bCs/>
          <w:sz w:val="28"/>
          <w:szCs w:val="28"/>
        </w:rPr>
      </w:pPr>
      <w:bookmarkStart w:id="49" w:name="_Toc183582211"/>
      <w:bookmarkStart w:id="50" w:name="_Toc183682348"/>
      <w:bookmarkStart w:id="51" w:name="_Toc217446040"/>
      <w:r>
        <w:rPr>
          <w:rFonts w:hint="eastAsia" w:ascii="宋体" w:hAnsi="宋体"/>
          <w:b/>
          <w:bCs/>
          <w:sz w:val="28"/>
          <w:szCs w:val="28"/>
        </w:rPr>
        <w:t>招标文件的澄清</w:t>
      </w:r>
      <w:bookmarkEnd w:id="49"/>
      <w:bookmarkEnd w:id="50"/>
      <w:r>
        <w:rPr>
          <w:rFonts w:hint="eastAsia" w:ascii="宋体" w:hAnsi="宋体"/>
          <w:b/>
          <w:bCs/>
          <w:sz w:val="28"/>
          <w:szCs w:val="28"/>
        </w:rPr>
        <w:t>和修改</w:t>
      </w:r>
      <w:bookmarkEnd w:id="51"/>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lang w:eastAsia="zh-CN"/>
        </w:rPr>
        <w:t>区公资交易中心</w:t>
      </w:r>
      <w:r>
        <w:rPr>
          <w:rFonts w:hint="eastAsia" w:ascii="宋体" w:hAnsi="宋体"/>
          <w:sz w:val="28"/>
          <w:szCs w:val="28"/>
        </w:rPr>
        <w:t>可以对已发出的招标文件进行必要的澄清或者修改。</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w:t>
      </w:r>
      <w:r>
        <w:rPr>
          <w:rFonts w:hint="eastAsia" w:ascii="宋体" w:hAnsi="宋体"/>
          <w:sz w:val="28"/>
          <w:szCs w:val="28"/>
          <w:lang w:eastAsia="zh-CN"/>
        </w:rPr>
        <w:t>区公资交易中心</w:t>
      </w:r>
      <w:r>
        <w:rPr>
          <w:rFonts w:hint="eastAsia" w:ascii="宋体" w:hAnsi="宋体"/>
          <w:sz w:val="28"/>
          <w:szCs w:val="28"/>
        </w:rPr>
        <w:t>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看）</w:t>
      </w:r>
    </w:p>
    <w:p>
      <w:pPr>
        <w:numPr>
          <w:ilvl w:val="0"/>
          <w:numId w:val="21"/>
        </w:numPr>
        <w:tabs>
          <w:tab w:val="left" w:pos="142"/>
          <w:tab w:val="left" w:pos="1134"/>
        </w:tabs>
        <w:spacing w:line="360" w:lineRule="auto"/>
        <w:ind w:left="0" w:firstLine="560"/>
        <w:rPr>
          <w:rFonts w:ascii="宋体" w:hAnsi="宋体"/>
          <w:sz w:val="28"/>
          <w:szCs w:val="28"/>
        </w:rPr>
      </w:pPr>
      <w:r>
        <w:rPr>
          <w:rFonts w:hint="eastAsia" w:ascii="宋体" w:hAnsi="宋体"/>
          <w:sz w:val="28"/>
          <w:szCs w:val="28"/>
        </w:rPr>
        <w:t>澄清或者修改的内容可能影响投标文件编制的，</w:t>
      </w:r>
      <w:r>
        <w:rPr>
          <w:rFonts w:hint="eastAsia" w:ascii="宋体" w:hAnsi="宋体"/>
          <w:sz w:val="28"/>
          <w:szCs w:val="28"/>
          <w:lang w:eastAsia="zh-CN"/>
        </w:rPr>
        <w:t>区公资交易中心</w:t>
      </w:r>
      <w:r>
        <w:rPr>
          <w:rFonts w:hint="eastAsia" w:ascii="宋体" w:hAnsi="宋体"/>
          <w:sz w:val="28"/>
          <w:szCs w:val="28"/>
        </w:rPr>
        <w:t>应当在投标截止时间至少15日前，通过云平台通知所有获取招标文件的潜在投标人；不足15日的，采购人或</w:t>
      </w:r>
      <w:r>
        <w:rPr>
          <w:rFonts w:hint="eastAsia" w:ascii="宋体" w:hAnsi="宋体"/>
          <w:sz w:val="28"/>
          <w:szCs w:val="28"/>
          <w:lang w:eastAsia="zh-CN"/>
        </w:rPr>
        <w:t>区公资交易中心</w:t>
      </w:r>
      <w:r>
        <w:rPr>
          <w:rFonts w:hint="eastAsia" w:ascii="宋体" w:hAnsi="宋体"/>
          <w:sz w:val="28"/>
          <w:szCs w:val="28"/>
        </w:rPr>
        <w:t>应当顺延提交投标文件的截止时间。</w:t>
      </w:r>
    </w:p>
    <w:p>
      <w:pPr>
        <w:pStyle w:val="6"/>
        <w:numPr>
          <w:ilvl w:val="3"/>
          <w:numId w:val="5"/>
        </w:numPr>
        <w:rPr>
          <w:rFonts w:ascii="宋体" w:hAnsi="宋体"/>
        </w:rPr>
      </w:pPr>
      <w:r>
        <w:rPr>
          <w:rFonts w:hint="eastAsia" w:ascii="宋体" w:hAnsi="宋体"/>
        </w:rPr>
        <w:t>报价</w:t>
      </w:r>
      <w:r>
        <w:rPr>
          <w:rFonts w:ascii="宋体" w:hAnsi="宋体"/>
        </w:rPr>
        <w:t>要求响应文件</w:t>
      </w:r>
    </w:p>
    <w:p>
      <w:pPr>
        <w:pStyle w:val="77"/>
        <w:numPr>
          <w:ilvl w:val="0"/>
          <w:numId w:val="22"/>
        </w:numPr>
        <w:tabs>
          <w:tab w:val="left" w:pos="1134"/>
        </w:tabs>
        <w:spacing w:line="360" w:lineRule="auto"/>
        <w:ind w:firstLineChars="0"/>
        <w:rPr>
          <w:rFonts w:ascii="宋体" w:hAnsi="宋体"/>
          <w:b/>
          <w:sz w:val="28"/>
          <w:szCs w:val="28"/>
        </w:rPr>
      </w:pPr>
      <w:r>
        <w:rPr>
          <w:rFonts w:hint="eastAsia" w:ascii="宋体" w:hAnsi="宋体"/>
          <w:b/>
          <w:sz w:val="28"/>
          <w:szCs w:val="28"/>
        </w:rPr>
        <w:t>开标一览表（投标报价以投标人在政府采购云平台开标一览表</w:t>
      </w:r>
    </w:p>
    <w:p>
      <w:pPr>
        <w:tabs>
          <w:tab w:val="left" w:pos="1134"/>
        </w:tabs>
        <w:spacing w:line="360" w:lineRule="auto"/>
        <w:rPr>
          <w:rFonts w:ascii="宋体" w:hAnsi="宋体"/>
          <w:b/>
          <w:sz w:val="28"/>
          <w:szCs w:val="28"/>
        </w:rPr>
      </w:pPr>
      <w:r>
        <w:rPr>
          <w:rFonts w:hint="eastAsia" w:ascii="宋体" w:hAnsi="宋体"/>
          <w:b/>
          <w:sz w:val="28"/>
          <w:szCs w:val="28"/>
        </w:rPr>
        <w:t>中填写的报价为准。）；</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分项报价明细表(</w:t>
      </w:r>
      <w:r>
        <w:rPr>
          <w:rFonts w:ascii="宋体" w:hAnsi="宋体"/>
          <w:b/>
          <w:sz w:val="28"/>
          <w:szCs w:val="28"/>
        </w:rPr>
        <w:t>1.</w:t>
      </w:r>
      <w:r>
        <w:rPr>
          <w:rFonts w:hint="eastAsia" w:ascii="宋体" w:hAnsi="宋体"/>
          <w:b/>
          <w:sz w:val="28"/>
          <w:szCs w:val="28"/>
        </w:rPr>
        <w:t>分项报价明细表中要求填写品牌、规格型号、制造商、进口或国产的，投标人必须载明其投标产品的品牌、规格型号、制造商、进口或国产；2.报价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r>
        <w:rPr>
          <w:rFonts w:hint="eastAsia" w:ascii="宋体" w:hAnsi="宋体"/>
          <w:b/>
          <w:sz w:val="28"/>
          <w:szCs w:val="28"/>
        </w:rPr>
        <w:t>)；</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rPr>
        <w:t>监狱企业、残疾人福利性单位制造的货物清单及价格</w:t>
      </w:r>
      <w:r>
        <w:rPr>
          <w:rFonts w:ascii="宋体" w:hAnsi="宋体" w:eastAsia="宋体" w:cs="宋体"/>
          <w:sz w:val="24"/>
          <w:szCs w:val="24"/>
        </w:rPr>
        <w:t>（本项目专门面向中小企业，投标产品应为中小或监狱企业、残疾人福利性单位制造）</w:t>
      </w:r>
      <w:r>
        <w:rPr>
          <w:rFonts w:hint="eastAsia" w:ascii="宋体" w:hAnsi="宋体"/>
          <w:b/>
          <w:sz w:val="28"/>
          <w:szCs w:val="28"/>
        </w:rPr>
        <w:t>；</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中小企业声明函（）；</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残疾人福利性单位声明函（）；</w:t>
      </w:r>
    </w:p>
    <w:p>
      <w:pPr>
        <w:pStyle w:val="77"/>
        <w:numPr>
          <w:ilvl w:val="0"/>
          <w:numId w:val="22"/>
        </w:numPr>
        <w:tabs>
          <w:tab w:val="left" w:pos="1134"/>
        </w:tabs>
        <w:spacing w:line="360" w:lineRule="auto"/>
        <w:ind w:left="0" w:firstLine="546" w:firstLineChars="0"/>
        <w:rPr>
          <w:rFonts w:ascii="宋体" w:hAnsi="宋体"/>
          <w:b/>
          <w:sz w:val="28"/>
          <w:szCs w:val="28"/>
        </w:rPr>
      </w:pPr>
      <w:r>
        <w:rPr>
          <w:rFonts w:hint="eastAsia" w:ascii="宋体" w:hAnsi="宋体"/>
          <w:b/>
          <w:sz w:val="28"/>
          <w:szCs w:val="28"/>
        </w:rPr>
        <w:t>投标产品</w:t>
      </w:r>
      <w:r>
        <w:rPr>
          <w:rFonts w:ascii="宋体" w:hAnsi="宋体"/>
          <w:b/>
          <w:sz w:val="28"/>
          <w:szCs w:val="28"/>
        </w:rPr>
        <w:t>制造商属于监狱企业的证明文件复印件</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bookmarkStart w:id="52" w:name="_Toc316292020"/>
      <w:bookmarkEnd w:id="52"/>
      <w:bookmarkStart w:id="53" w:name="_Toc316292019"/>
      <w:bookmarkEnd w:id="53"/>
      <w:bookmarkStart w:id="54" w:name="_Toc316291396"/>
      <w:bookmarkEnd w:id="54"/>
      <w:bookmarkStart w:id="55" w:name="_Toc316291395"/>
      <w:bookmarkEnd w:id="55"/>
      <w:bookmarkStart w:id="56" w:name="_Toc217446049"/>
      <w:bookmarkStart w:id="57" w:name="_Toc183582218"/>
      <w:bookmarkStart w:id="58" w:name="_Toc183682355"/>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3"/>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4"/>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5" w:firstLineChars="202"/>
        <w:rPr>
          <w:rFonts w:ascii="宋体" w:hAnsi="宋体"/>
          <w:sz w:val="28"/>
          <w:szCs w:val="28"/>
        </w:rPr>
      </w:pPr>
      <w:bookmarkStart w:id="59" w:name="_Toc217446050"/>
      <w:bookmarkStart w:id="60" w:name="_Toc183582223"/>
      <w:bookmarkStart w:id="61" w:name="_Toc183682360"/>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5"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1400"/>
      <w:bookmarkEnd w:id="62"/>
      <w:bookmarkStart w:id="63" w:name="_Toc316292024"/>
      <w:bookmarkEnd w:id="63"/>
      <w:bookmarkStart w:id="64" w:name="_Toc183682361"/>
      <w:bookmarkStart w:id="65" w:name="_Toc183582224"/>
      <w:bookmarkStart w:id="66" w:name="_Toc217446051"/>
      <w:r>
        <w:rPr>
          <w:rFonts w:hint="eastAsia" w:ascii="宋体" w:hAnsi="宋体"/>
          <w:b/>
          <w:bCs/>
          <w:sz w:val="28"/>
          <w:szCs w:val="28"/>
        </w:rPr>
        <w:t>投标有效期</w:t>
      </w:r>
      <w:bookmarkEnd w:id="64"/>
      <w:bookmarkEnd w:id="65"/>
      <w:bookmarkEnd w:id="66"/>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5"/>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ind w:left="0" w:firstLine="0"/>
        <w:rPr>
          <w:color w:val="auto"/>
        </w:rPr>
      </w:pPr>
      <w:bookmarkStart w:id="67" w:name="_Toc183682364"/>
      <w:bookmarkStart w:id="68" w:name="_Toc183582227"/>
      <w:bookmarkStart w:id="69" w:name="_Toc217446054"/>
      <w:r>
        <w:rPr>
          <w:rFonts w:hint="eastAsia"/>
          <w:color w:val="auto"/>
        </w:rPr>
        <w:t>投标文件的制作和签章、加密</w:t>
      </w:r>
    </w:p>
    <w:p>
      <w:pPr>
        <w:spacing w:line="360" w:lineRule="auto"/>
        <w:ind w:firstLine="562" w:firstLineChars="200"/>
        <w:rPr>
          <w:rFonts w:ascii="宋体" w:hAnsi="宋体"/>
          <w:sz w:val="28"/>
          <w:szCs w:val="28"/>
        </w:rPr>
      </w:pPr>
      <w:r>
        <w:rPr>
          <w:rFonts w:hint="eastAsia" w:ascii="宋体" w:hAnsi="宋体"/>
          <w:b/>
          <w:sz w:val="28"/>
          <w:szCs w:val="28"/>
        </w:rPr>
        <w:t>一、投标文件应根据招标文件的要求进行制作。</w:t>
      </w:r>
      <w:r>
        <w:rPr>
          <w:rFonts w:hint="eastAsia" w:ascii="宋体" w:hAnsi="宋体"/>
          <w:sz w:val="28"/>
          <w:szCs w:val="28"/>
        </w:rPr>
        <w:t>（说明：1、招标文件中要求提供复印件证明材料的，包含提供原件的影印件或复印件。2、要求提供复印件的证明材料须清晰可辨。）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2" w:firstLineChars="200"/>
        <w:rPr>
          <w:rFonts w:ascii="宋体" w:hAnsi="宋体"/>
          <w:b/>
          <w:sz w:val="28"/>
          <w:szCs w:val="28"/>
        </w:rPr>
      </w:pPr>
      <w:r>
        <w:rPr>
          <w:rFonts w:hint="eastAsia" w:ascii="宋体" w:hAnsi="宋体"/>
          <w:b/>
          <w:sz w:val="28"/>
          <w:szCs w:val="28"/>
        </w:rPr>
        <w:t>3、投标人应使用本企业CA数字证书对投标文件进行加密。</w:t>
      </w:r>
    </w:p>
    <w:p>
      <w:pPr>
        <w:spacing w:line="360" w:lineRule="auto"/>
        <w:ind w:firstLine="562" w:firstLineChars="200"/>
        <w:rPr>
          <w:rFonts w:ascii="宋体" w:hAnsi="宋体"/>
          <w:b/>
          <w:sz w:val="28"/>
          <w:szCs w:val="28"/>
        </w:rPr>
      </w:pPr>
      <w:r>
        <w:rPr>
          <w:rFonts w:hint="eastAsia" w:ascii="宋体" w:hAnsi="宋体"/>
          <w:b/>
          <w:sz w:val="28"/>
          <w:szCs w:val="28"/>
        </w:rPr>
        <w:t>4、招标文件有修改的，投标人须重新下载修改后的招标文件（修改后的招标文件在更正公告中下载），根据修改后的招标文件制作、撤回修改，并递交投标文件。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5"/>
        <w:numPr>
          <w:ilvl w:val="2"/>
          <w:numId w:val="5"/>
        </w:numPr>
        <w:spacing w:after="200"/>
        <w:ind w:left="0" w:firstLine="0"/>
        <w:rPr>
          <w:color w:val="auto"/>
        </w:rPr>
      </w:pPr>
      <w:r>
        <w:rPr>
          <w:rFonts w:hint="eastAsia"/>
          <w:color w:val="auto"/>
        </w:rPr>
        <w:t>投标文件的</w:t>
      </w:r>
      <w:bookmarkEnd w:id="67"/>
      <w:bookmarkEnd w:id="68"/>
      <w:r>
        <w:rPr>
          <w:rFonts w:hint="eastAsia"/>
          <w:color w:val="auto"/>
        </w:rPr>
        <w:t>递交</w:t>
      </w:r>
      <w:bookmarkEnd w:id="69"/>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一、投标人应当在投标文件递交截止时间前，将生成的已加密的投标文件成功递交至“政府采购云平台”。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w:t>
      </w:r>
      <w:r>
        <w:rPr>
          <w:rFonts w:hint="eastAsia" w:ascii="宋体" w:hAnsi="宋体" w:eastAsiaTheme="minorEastAsia" w:cstheme="minorBidi"/>
          <w:bCs/>
          <w:sz w:val="28"/>
          <w:szCs w:val="28"/>
          <w:lang w:eastAsia="zh-CN"/>
        </w:rPr>
        <w:t>区公资交易中心</w:t>
      </w:r>
      <w:r>
        <w:rPr>
          <w:rFonts w:hint="eastAsia" w:ascii="宋体" w:hAnsi="宋体" w:eastAsiaTheme="minorEastAsia" w:cstheme="minorBidi"/>
          <w:bCs/>
          <w:sz w:val="28"/>
          <w:szCs w:val="28"/>
        </w:rPr>
        <w:t>在“四川政府采购网”和“成都市公共资源交易服务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三、投标人应充分考虑递交文件的不可预见因素，未在投标截止时间前完成递交的，在投标截止时间后将无法递交</w:t>
      </w:r>
      <w:r>
        <w:rPr>
          <w:rFonts w:hint="eastAsia" w:ascii="宋体" w:hAnsi="宋体"/>
          <w:bCs/>
          <w:sz w:val="28"/>
          <w:szCs w:val="28"/>
        </w:rPr>
        <w:t>。</w:t>
      </w:r>
    </w:p>
    <w:p>
      <w:pPr>
        <w:pStyle w:val="5"/>
        <w:numPr>
          <w:ilvl w:val="2"/>
          <w:numId w:val="5"/>
        </w:numPr>
        <w:spacing w:after="200"/>
        <w:ind w:left="0" w:firstLine="0"/>
        <w:rPr>
          <w:color w:val="auto"/>
        </w:rPr>
      </w:pPr>
      <w:r>
        <w:rPr>
          <w:rFonts w:hint="eastAsia"/>
          <w:color w:val="auto"/>
        </w:rPr>
        <w:t>投标文件的补充、修改</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在投标截止时间之后，投标人不得对其递交的投标文件做任何补充、修改。</w:t>
      </w:r>
    </w:p>
    <w:p>
      <w:pPr>
        <w:pStyle w:val="5"/>
        <w:numPr>
          <w:ilvl w:val="2"/>
          <w:numId w:val="5"/>
        </w:numPr>
        <w:spacing w:after="200"/>
        <w:ind w:left="0" w:firstLine="0"/>
        <w:rPr>
          <w:color w:val="auto"/>
        </w:rPr>
      </w:pPr>
      <w:bookmarkStart w:id="70" w:name="_Toc316475587"/>
      <w:bookmarkEnd w:id="70"/>
      <w:bookmarkStart w:id="71" w:name="_Toc316475586"/>
      <w:bookmarkEnd w:id="71"/>
      <w:bookmarkStart w:id="72" w:name="_Toc183582228"/>
      <w:bookmarkStart w:id="73" w:name="_Toc183682365"/>
      <w:bookmarkStart w:id="74" w:name="_Toc217446055"/>
      <w:r>
        <w:rPr>
          <w:rFonts w:hint="eastAsia"/>
          <w:color w:val="auto"/>
        </w:rPr>
        <w:t>投标文件的</w:t>
      </w:r>
      <w:bookmarkEnd w:id="72"/>
      <w:bookmarkEnd w:id="73"/>
      <w:bookmarkEnd w:id="74"/>
      <w:r>
        <w:rPr>
          <w:rFonts w:hint="eastAsia"/>
          <w:color w:val="auto"/>
        </w:rPr>
        <w:t>撤回</w:t>
      </w:r>
    </w:p>
    <w:p>
      <w:pPr>
        <w:spacing w:before="120" w:after="200" w:line="360" w:lineRule="auto"/>
        <w:ind w:firstLine="560" w:firstLineChars="200"/>
        <w:rPr>
          <w:rFonts w:ascii="宋体" w:hAnsi="宋体"/>
          <w:bCs/>
          <w:sz w:val="28"/>
          <w:szCs w:val="28"/>
        </w:rPr>
      </w:pPr>
      <w:r>
        <w:rPr>
          <w:rFonts w:hint="eastAsia" w:ascii="宋体" w:hAnsi="宋体"/>
          <w:bCs/>
          <w:sz w:val="28"/>
          <w:szCs w:val="28"/>
        </w:rPr>
        <w:t>在投标截止时间之前，投标人可对已递交的投标文件进行撤回。在投标截止时间之后，投标人不得撤回投标文件。</w:t>
      </w:r>
    </w:p>
    <w:p>
      <w:pPr>
        <w:pStyle w:val="5"/>
        <w:numPr>
          <w:ilvl w:val="2"/>
          <w:numId w:val="5"/>
        </w:numPr>
        <w:spacing w:after="200" w:line="240" w:lineRule="auto"/>
        <w:rPr>
          <w:color w:val="auto"/>
        </w:rPr>
      </w:pPr>
      <w:r>
        <w:rPr>
          <w:rFonts w:hint="eastAsia"/>
          <w:color w:val="auto"/>
        </w:rPr>
        <w:t>投标文件的解密</w:t>
      </w:r>
    </w:p>
    <w:p>
      <w:pPr>
        <w:tabs>
          <w:tab w:val="left" w:pos="1134"/>
        </w:tabs>
        <w:spacing w:before="120" w:line="360" w:lineRule="auto"/>
        <w:ind w:firstLine="565"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w:t>
      </w:r>
      <w:r>
        <w:rPr>
          <w:rFonts w:hint="eastAsia" w:ascii="宋体" w:hAnsi="宋体"/>
          <w:sz w:val="28"/>
          <w:szCs w:val="28"/>
          <w:lang w:eastAsia="zh-CN"/>
        </w:rPr>
        <w:t>区公资交易中心</w:t>
      </w:r>
      <w:r>
        <w:rPr>
          <w:rFonts w:hint="eastAsia" w:ascii="宋体" w:hAnsi="宋体"/>
          <w:sz w:val="28"/>
          <w:szCs w:val="28"/>
        </w:rPr>
        <w:t>开启解密后，进行线上解密。</w:t>
      </w:r>
      <w:r>
        <w:rPr>
          <w:rFonts w:hint="eastAsia" w:ascii="宋体" w:hAnsi="宋体"/>
          <w:bCs/>
          <w:sz w:val="28"/>
          <w:szCs w:val="28"/>
        </w:rPr>
        <w:t>除因</w:t>
      </w:r>
      <w:r>
        <w:rPr>
          <w:rFonts w:hint="eastAsia" w:ascii="宋体" w:hAnsi="宋体"/>
          <w:sz w:val="28"/>
          <w:szCs w:val="28"/>
          <w:lang w:eastAsia="zh-CN"/>
        </w:rPr>
        <w:t>区公资交易中心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75" w:name="_Toc89075878"/>
      <w:bookmarkStart w:id="76" w:name="_Toc183582231"/>
      <w:bookmarkStart w:id="77" w:name="_Toc77400782"/>
      <w:bookmarkStart w:id="78" w:name="_Toc183682368"/>
      <w:bookmarkStart w:id="79" w:name="_Toc74752324"/>
      <w:bookmarkStart w:id="80" w:name="_Toc217446056"/>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开标及开标程序</w:t>
      </w:r>
    </w:p>
    <w:p>
      <w:pPr>
        <w:pStyle w:val="77"/>
        <w:numPr>
          <w:ilvl w:val="0"/>
          <w:numId w:val="27"/>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本项目为不见面开标项目。递交投标文件的投标人不足3家的，不予开标。</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开启解密后，投标人进行线上解密。开启解密后，投标人应在</w:t>
      </w:r>
      <w:r>
        <w:rPr>
          <w:rFonts w:hint="eastAsia" w:ascii="宋体" w:hAnsi="宋体" w:eastAsia="宋体" w:cs="宋体"/>
          <w:b/>
          <w:sz w:val="28"/>
          <w:szCs w:val="28"/>
          <w:lang w:val="en-US" w:eastAsia="zh-CN"/>
        </w:rPr>
        <w:t>6</w:t>
      </w:r>
      <w:r>
        <w:rPr>
          <w:rFonts w:hint="eastAsia" w:ascii="宋体" w:hAnsi="宋体" w:eastAsia="宋体" w:cs="宋体"/>
          <w:b/>
          <w:sz w:val="28"/>
          <w:szCs w:val="28"/>
        </w:rPr>
        <w:t>0分钟内，使用加密该投标文件的CA数字证书在线完成投标文件的解密。除因</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断电、断网、系统故障或其他不可抗力等因素，导致系统无法使用外，投标人在规定的解密时间内，未成功解密的投标文件将视为无效投标文件。</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相关工作人员有需要回避的情形的，及时向工作人员提出询问或者回避申请。采购人、</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对投标人提出的询问或者回避申请应当及时处理。</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w:t>
      </w:r>
      <w:r>
        <w:rPr>
          <w:rFonts w:hint="eastAsia" w:ascii="宋体" w:hAnsi="宋体" w:eastAsia="宋体" w:cs="宋体"/>
          <w:b/>
          <w:sz w:val="28"/>
          <w:szCs w:val="28"/>
          <w:lang w:eastAsia="zh-CN"/>
        </w:rPr>
        <w:t>区公资交易中心</w:t>
      </w:r>
      <w:r>
        <w:rPr>
          <w:rFonts w:hint="eastAsia" w:ascii="宋体" w:hAnsi="宋体" w:eastAsia="宋体" w:cs="宋体"/>
          <w:b/>
          <w:sz w:val="28"/>
          <w:szCs w:val="28"/>
        </w:rPr>
        <w:t>断电、断网、系统故障或其他不可抗力等因素导致不见面开标系统无法正常运行的，开标活动中止或延迟，待系统恢复正常后继续进行开标活动。</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1" w:name="_Toc183682375"/>
      <w:bookmarkStart w:id="82" w:name="_Toc183582238"/>
      <w:bookmarkStart w:id="83" w:name="_Toc217446063"/>
      <w:r>
        <w:rPr>
          <w:rFonts w:hint="eastAsia" w:ascii="宋体" w:hAnsi="宋体"/>
          <w:b/>
          <w:bCs/>
          <w:sz w:val="28"/>
          <w:szCs w:val="28"/>
        </w:rPr>
        <w:t>中标通知</w:t>
      </w:r>
      <w:bookmarkEnd w:id="81"/>
      <w:bookmarkEnd w:id="82"/>
      <w:r>
        <w:rPr>
          <w:rFonts w:hint="eastAsia" w:ascii="宋体" w:hAnsi="宋体"/>
          <w:b/>
          <w:bCs/>
          <w:sz w:val="28"/>
          <w:szCs w:val="28"/>
        </w:rPr>
        <w:t>书</w:t>
      </w:r>
      <w:bookmarkEnd w:id="83"/>
    </w:p>
    <w:p>
      <w:pPr>
        <w:spacing w:line="360" w:lineRule="auto"/>
        <w:ind w:right="210" w:firstLine="560" w:firstLineChars="200"/>
        <w:rPr>
          <w:rFonts w:ascii="宋体" w:hAnsi="宋体"/>
          <w:sz w:val="28"/>
          <w:szCs w:val="28"/>
        </w:rPr>
      </w:pPr>
      <w:bookmarkStart w:id="84" w:name="_Toc217446064"/>
      <w:bookmarkStart w:id="85" w:name="_Toc183682377"/>
      <w:bookmarkStart w:id="86" w:name="_Toc183582240"/>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560" w:firstLineChars="200"/>
        <w:rPr>
          <w:rFonts w:ascii="宋体" w:hAnsi="宋体"/>
          <w:sz w:val="28"/>
          <w:szCs w:val="28"/>
        </w:rPr>
      </w:pPr>
      <w:r>
        <w:rPr>
          <w:rFonts w:hint="eastAsia" w:ascii="宋体" w:hAnsi="宋体"/>
          <w:sz w:val="28"/>
          <w:szCs w:val="28"/>
        </w:rPr>
        <w:t>二、中标通知书对采购人和中标人均具有法律效力。中标通知书发出后，采购人改变中标结果，或者中标人无正当理由放弃中标的，应当承担相应的法律责任。</w:t>
      </w:r>
    </w:p>
    <w:p>
      <w:pPr>
        <w:spacing w:line="360" w:lineRule="auto"/>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87" w:name="_Toc74752325"/>
      <w:r>
        <w:rPr>
          <w:rFonts w:hint="eastAsia" w:ascii="宋体" w:hAnsi="宋体"/>
          <w:b/>
          <w:bCs/>
          <w:sz w:val="28"/>
          <w:szCs w:val="28"/>
        </w:rPr>
        <w:t>签订及履行合同和验收</w:t>
      </w:r>
      <w:bookmarkEnd w:id="84"/>
      <w:bookmarkEnd w:id="87"/>
    </w:p>
    <w:p>
      <w:pPr>
        <w:keepNext/>
        <w:keepLines/>
        <w:numPr>
          <w:ilvl w:val="2"/>
          <w:numId w:val="5"/>
        </w:numPr>
        <w:spacing w:line="360" w:lineRule="auto"/>
        <w:ind w:left="0" w:firstLine="0"/>
        <w:outlineLvl w:val="2"/>
        <w:rPr>
          <w:rFonts w:ascii="宋体" w:hAnsi="宋体"/>
          <w:b/>
          <w:bCs/>
          <w:sz w:val="28"/>
          <w:szCs w:val="28"/>
        </w:rPr>
      </w:pPr>
      <w:bookmarkStart w:id="88" w:name="_Toc217446065"/>
      <w:r>
        <w:rPr>
          <w:rFonts w:hint="eastAsia" w:ascii="宋体" w:hAnsi="宋体"/>
          <w:b/>
          <w:bCs/>
          <w:sz w:val="28"/>
          <w:szCs w:val="28"/>
        </w:rPr>
        <w:t>签订合同</w:t>
      </w:r>
      <w:bookmarkEnd w:id="88"/>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89" w:name="_Toc315871033"/>
      <w:bookmarkEnd w:id="89"/>
      <w:bookmarkStart w:id="90" w:name="_Toc217446066"/>
      <w:r>
        <w:rPr>
          <w:rFonts w:hint="eastAsia" w:ascii="宋体" w:hAnsi="宋体"/>
          <w:b/>
          <w:bCs/>
          <w:sz w:val="28"/>
          <w:szCs w:val="28"/>
        </w:rPr>
        <w:t>合同分包</w:t>
      </w:r>
      <w:bookmarkEnd w:id="90"/>
      <w:r>
        <w:rPr>
          <w:rFonts w:hint="eastAsia" w:ascii="宋体" w:hAnsi="宋体"/>
          <w:b/>
          <w:bCs/>
          <w:sz w:val="28"/>
          <w:szCs w:val="28"/>
        </w:rPr>
        <w:t>和转包</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合同分包</w:t>
      </w:r>
    </w:p>
    <w:p>
      <w:pPr>
        <w:pStyle w:val="117"/>
        <w:spacing w:line="360" w:lineRule="auto"/>
        <w:ind w:firstLine="560" w:firstLineChars="200"/>
        <w:rPr>
          <w:rFonts w:cs="Times New Roman"/>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5"/>
        </w:numPr>
        <w:spacing w:line="360" w:lineRule="auto"/>
        <w:ind w:left="1275" w:hanging="127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1" w:name="_Toc217446067"/>
      <w:r>
        <w:rPr>
          <w:rFonts w:hint="eastAsia" w:ascii="宋体" w:hAnsi="宋体"/>
          <w:b/>
          <w:bCs/>
          <w:sz w:val="28"/>
          <w:szCs w:val="28"/>
        </w:rPr>
        <w:t>采购人增加合同标的的权</w:t>
      </w:r>
      <w:bookmarkEnd w:id="91"/>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2" w:name="_Toc217446068"/>
      <w:r>
        <w:rPr>
          <w:rFonts w:hint="eastAsia" w:ascii="宋体" w:hAnsi="宋体"/>
          <w:b/>
          <w:bCs/>
          <w:sz w:val="28"/>
          <w:szCs w:val="28"/>
        </w:rPr>
        <w:t>履约保证金</w:t>
      </w:r>
      <w:bookmarkEnd w:id="92"/>
    </w:p>
    <w:p>
      <w:pPr>
        <w:spacing w:after="180" w:line="360" w:lineRule="auto"/>
        <w:ind w:firstLine="562" w:firstLineChars="200"/>
        <w:rPr>
          <w:rFonts w:ascii="宋体" w:hAnsi="宋体"/>
          <w:b/>
          <w:sz w:val="28"/>
          <w:szCs w:val="28"/>
        </w:rPr>
      </w:pPr>
      <w:bookmarkStart w:id="93" w:name="_Toc217446069"/>
      <w:r>
        <w:rPr>
          <w:rFonts w:hint="eastAsia" w:ascii="宋体" w:hAnsi="宋体"/>
          <w:b/>
          <w:sz w:val="28"/>
          <w:szCs w:val="28"/>
        </w:rPr>
        <w:t>本项目</w:t>
      </w:r>
      <w:r>
        <w:rPr>
          <w:rFonts w:ascii="宋体" w:hAnsi="宋体"/>
          <w:b/>
          <w:sz w:val="28"/>
          <w:szCs w:val="28"/>
        </w:rPr>
        <w:t>不收取履约保证金</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3"/>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4" w:name="_Toc217446070"/>
      <w:r>
        <w:rPr>
          <w:rFonts w:hint="eastAsia" w:ascii="宋体" w:hAnsi="宋体"/>
          <w:b/>
          <w:bCs/>
          <w:sz w:val="28"/>
          <w:szCs w:val="28"/>
        </w:rPr>
        <w:t>验收</w:t>
      </w:r>
      <w:bookmarkEnd w:id="94"/>
      <w:r>
        <w:rPr>
          <w:rFonts w:hint="eastAsia" w:ascii="宋体" w:hAnsi="宋体"/>
          <w:b/>
          <w:bCs/>
          <w:sz w:val="28"/>
          <w:szCs w:val="28"/>
        </w:rPr>
        <w:t>或考核</w:t>
      </w:r>
    </w:p>
    <w:bookmarkEnd w:id="85"/>
    <w:bookmarkEnd w:id="86"/>
    <w:p>
      <w:pPr>
        <w:spacing w:line="360" w:lineRule="auto"/>
        <w:ind w:firstLine="560" w:firstLineChars="200"/>
        <w:rPr>
          <w:rFonts w:ascii="宋体" w:hAnsi="宋体"/>
          <w:sz w:val="28"/>
          <w:szCs w:val="28"/>
        </w:rPr>
      </w:pPr>
      <w:bookmarkStart w:id="95" w:name="_Toc217446074"/>
      <w:bookmarkStart w:id="96" w:name="_Toc183582243"/>
      <w:bookmarkStart w:id="97" w:name="_Toc183682380"/>
      <w:r>
        <w:rPr>
          <w:rFonts w:hint="eastAsia" w:ascii="宋体" w:hAnsi="宋体"/>
          <w:sz w:val="28"/>
          <w:szCs w:val="28"/>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98" w:name="_Toc74752326"/>
      <w:r>
        <w:rPr>
          <w:rFonts w:hint="eastAsia" w:ascii="宋体" w:hAnsi="宋体"/>
          <w:b/>
          <w:bCs/>
          <w:sz w:val="28"/>
          <w:szCs w:val="28"/>
        </w:rPr>
        <w:t>投标纪律要求</w:t>
      </w:r>
      <w:bookmarkEnd w:id="95"/>
      <w:bookmarkEnd w:id="98"/>
    </w:p>
    <w:p>
      <w:pPr>
        <w:keepNext/>
        <w:keepLines/>
        <w:numPr>
          <w:ilvl w:val="2"/>
          <w:numId w:val="5"/>
        </w:numPr>
        <w:spacing w:line="360" w:lineRule="auto"/>
        <w:ind w:left="0" w:firstLine="0"/>
        <w:outlineLvl w:val="2"/>
        <w:rPr>
          <w:rFonts w:ascii="宋体" w:hAnsi="宋体"/>
          <w:b/>
          <w:bCs/>
          <w:sz w:val="28"/>
          <w:szCs w:val="28"/>
        </w:rPr>
      </w:pPr>
      <w:bookmarkStart w:id="99" w:name="_Toc217446075"/>
      <w:r>
        <w:rPr>
          <w:rFonts w:hint="eastAsia" w:ascii="宋体" w:hAnsi="宋体"/>
          <w:b/>
          <w:bCs/>
          <w:sz w:val="28"/>
          <w:szCs w:val="28"/>
        </w:rPr>
        <w:t>投标人不得具有的情形</w:t>
      </w:r>
      <w:bookmarkEnd w:id="99"/>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left="42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lang w:eastAsia="zh-CN"/>
        </w:rPr>
        <w:t>区公资交易中心</w:t>
      </w:r>
      <w:r>
        <w:rPr>
          <w:rFonts w:hint="eastAsia" w:ascii="宋体" w:hAnsi="宋体"/>
          <w:sz w:val="28"/>
          <w:szCs w:val="28"/>
        </w:rPr>
        <w:t>、其他投标人恶意串通；</w:t>
      </w:r>
    </w:p>
    <w:p>
      <w:pPr>
        <w:numPr>
          <w:ilvl w:val="1"/>
          <w:numId w:val="28"/>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lang w:eastAsia="zh-CN"/>
        </w:rPr>
        <w:t>区公资交易中心</w:t>
      </w:r>
      <w:r>
        <w:rPr>
          <w:rFonts w:hint="eastAsia" w:ascii="宋体" w:hAnsi="宋体"/>
          <w:sz w:val="28"/>
          <w:szCs w:val="28"/>
        </w:rPr>
        <w:t>、评标委员会成员行贿或者提供其他不正当利益；</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lang w:eastAsia="zh-CN"/>
        </w:rPr>
        <w:t>区公资交易中心</w:t>
      </w:r>
      <w:r>
        <w:rPr>
          <w:rFonts w:hint="eastAsia" w:ascii="宋体" w:hAnsi="宋体"/>
          <w:sz w:val="28"/>
          <w:szCs w:val="28"/>
        </w:rPr>
        <w:t>进行协商谈判；</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8"/>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8"/>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十四、处于被行政部门禁止参与政府采购活动的期限内；</w:t>
      </w:r>
    </w:p>
    <w:p>
      <w:pPr>
        <w:tabs>
          <w:tab w:val="left" w:pos="1134"/>
        </w:tabs>
        <w:spacing w:line="360" w:lineRule="auto"/>
        <w:ind w:left="567"/>
        <w:rPr>
          <w:rFonts w:ascii="宋体" w:hAnsi="宋体"/>
          <w:sz w:val="28"/>
          <w:szCs w:val="28"/>
        </w:rPr>
      </w:pPr>
      <w:r>
        <w:rPr>
          <w:rFonts w:hint="eastAsia" w:ascii="宋体" w:hAnsi="宋体"/>
          <w:sz w:val="28"/>
          <w:szCs w:val="28"/>
        </w:rPr>
        <w:t>十五、拒绝有关部门的监督检查或者向监督检查部门提供虚假情况；</w:t>
      </w:r>
    </w:p>
    <w:p>
      <w:pPr>
        <w:spacing w:after="180" w:line="360" w:lineRule="auto"/>
        <w:ind w:firstLine="565" w:firstLineChars="202"/>
        <w:rPr>
          <w:rFonts w:ascii="宋体" w:hAnsi="宋体"/>
          <w:sz w:val="28"/>
          <w:szCs w:val="28"/>
        </w:rPr>
      </w:pPr>
      <w:r>
        <w:rPr>
          <w:rFonts w:hint="eastAsia" w:ascii="宋体" w:hAnsi="宋体"/>
          <w:sz w:val="28"/>
          <w:szCs w:val="28"/>
        </w:rPr>
        <w:t>十六、法律法规规定的其他情形。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8"/>
          <w:szCs w:val="28"/>
        </w:rPr>
      </w:pPr>
      <w:bookmarkStart w:id="100" w:name="_Toc314574786"/>
      <w:r>
        <w:rPr>
          <w:rFonts w:hint="eastAsia" w:ascii="宋体" w:hAnsi="宋体"/>
          <w:b/>
          <w:bCs/>
          <w:sz w:val="28"/>
          <w:szCs w:val="28"/>
        </w:rPr>
        <w:t>保密</w:t>
      </w:r>
      <w:bookmarkEnd w:id="100"/>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不得透露有关在系统中成功提交《采购文件获取登记表》的潜在投标人的任何情况。</w:t>
      </w:r>
    </w:p>
    <w:p>
      <w:pPr>
        <w:numPr>
          <w:ilvl w:val="0"/>
          <w:numId w:val="29"/>
        </w:numPr>
        <w:tabs>
          <w:tab w:val="left" w:pos="0"/>
          <w:tab w:val="left" w:pos="1134"/>
        </w:tabs>
        <w:spacing w:line="360" w:lineRule="auto"/>
        <w:ind w:left="0" w:firstLine="567"/>
        <w:rPr>
          <w:rFonts w:ascii="宋体" w:hAnsi="宋体"/>
          <w:sz w:val="28"/>
          <w:szCs w:val="28"/>
        </w:rPr>
      </w:pPr>
      <w:r>
        <w:rPr>
          <w:rFonts w:hint="eastAsia" w:ascii="宋体" w:hAnsi="宋体"/>
          <w:sz w:val="28"/>
          <w:szCs w:val="28"/>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lang w:eastAsia="zh-CN"/>
        </w:rPr>
        <w:t>区公资交易中心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1" w:name="_Toc217446078"/>
      <w:bookmarkStart w:id="102" w:name="_Toc74752327"/>
      <w:r>
        <w:rPr>
          <w:rFonts w:hint="eastAsia" w:ascii="宋体" w:hAnsi="宋体"/>
          <w:b/>
          <w:bCs/>
          <w:sz w:val="28"/>
          <w:szCs w:val="28"/>
        </w:rPr>
        <w:t>询问、质疑和投诉</w:t>
      </w:r>
      <w:bookmarkEnd w:id="101"/>
      <w:bookmarkEnd w:id="102"/>
      <w:bookmarkStart w:id="103" w:name="_Toc217446079"/>
    </w:p>
    <w:bookmarkEnd w:id="96"/>
    <w:bookmarkEnd w:id="97"/>
    <w:bookmarkEnd w:id="103"/>
    <w:p>
      <w:pPr>
        <w:numPr>
          <w:ilvl w:val="0"/>
          <w:numId w:val="30"/>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30"/>
        </w:numPr>
        <w:spacing w:line="360" w:lineRule="auto"/>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31"/>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参加本次政府采购活动应当具备的条件，招标项目技术、服务、商务及其他要求，评标细则及标准，和中标结果中关于资格审查提出询问或质疑的，应通过</w:t>
      </w:r>
      <w:r>
        <w:rPr>
          <w:rFonts w:ascii="宋体" w:hAnsi="宋体"/>
          <w:sz w:val="28"/>
          <w:szCs w:val="28"/>
        </w:rPr>
        <w:t>云平台</w:t>
      </w:r>
      <w:r>
        <w:rPr>
          <w:rFonts w:hint="eastAsia" w:ascii="宋体" w:hAnsi="宋体"/>
          <w:sz w:val="28"/>
          <w:szCs w:val="28"/>
        </w:rPr>
        <w:t>向采购人提出；</w:t>
      </w:r>
    </w:p>
    <w:p>
      <w:pPr>
        <w:numPr>
          <w:ilvl w:val="1"/>
          <w:numId w:val="31"/>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hint="eastAsia" w:ascii="宋体" w:hAnsi="宋体"/>
          <w:sz w:val="28"/>
          <w:szCs w:val="28"/>
        </w:rPr>
        <w:t>提出询问或质疑的，应通过</w:t>
      </w:r>
      <w:r>
        <w:rPr>
          <w:rFonts w:ascii="宋体" w:hAnsi="宋体"/>
          <w:sz w:val="28"/>
          <w:szCs w:val="28"/>
        </w:rPr>
        <w:t>云平台</w:t>
      </w:r>
      <w:r>
        <w:rPr>
          <w:rFonts w:hint="eastAsia" w:ascii="宋体" w:hAnsi="宋体"/>
          <w:sz w:val="28"/>
          <w:szCs w:val="28"/>
        </w:rPr>
        <w:t>向</w:t>
      </w:r>
      <w:r>
        <w:rPr>
          <w:rFonts w:hint="eastAsia" w:ascii="宋体" w:hAnsi="宋体" w:cs="Arial"/>
          <w:sz w:val="28"/>
          <w:szCs w:val="28"/>
          <w:lang w:eastAsia="zh-CN"/>
        </w:rPr>
        <w:t>区公资交易中心</w:t>
      </w:r>
      <w:r>
        <w:rPr>
          <w:rFonts w:hint="eastAsia" w:ascii="宋体" w:hAnsi="宋体"/>
          <w:sz w:val="28"/>
          <w:szCs w:val="28"/>
        </w:rPr>
        <w:t>提出。</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30"/>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（二）法定代表人授权委托书1份（委托代理人办理质疑事宜的需提供）；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（三）营业执照或法人证书复印件1份（加盖公章）；</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（四）法定代表人身份证复印件1份；</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（五）委托代理人身份证复印件1份（委托代理人办理质疑事宜的需提供）；</w:t>
      </w:r>
    </w:p>
    <w:p>
      <w:pPr>
        <w:pStyle w:val="40"/>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（六）针对质疑事项必要的证明材料。</w:t>
      </w:r>
    </w:p>
    <w:p>
      <w:pPr>
        <w:numPr>
          <w:ilvl w:val="0"/>
          <w:numId w:val="30"/>
        </w:numPr>
        <w:tabs>
          <w:tab w:val="left" w:pos="1134"/>
        </w:tabs>
        <w:spacing w:line="360" w:lineRule="auto"/>
        <w:ind w:left="0" w:firstLine="567"/>
        <w:rPr>
          <w:rFonts w:ascii="宋体" w:hAnsi="宋体"/>
          <w:sz w:val="28"/>
          <w:szCs w:val="28"/>
        </w:rPr>
      </w:pPr>
      <w:r>
        <w:rPr>
          <w:rFonts w:hint="eastAsia" w:ascii="宋体" w:hAnsi="宋体"/>
          <w:sz w:val="28"/>
          <w:szCs w:val="28"/>
        </w:rPr>
        <w:t>供应商对</w:t>
      </w:r>
      <w:r>
        <w:rPr>
          <w:rFonts w:hint="eastAsia" w:ascii="宋体" w:hAnsi="宋体"/>
          <w:sz w:val="28"/>
          <w:szCs w:val="28"/>
          <w:lang w:eastAsia="zh-CN"/>
        </w:rPr>
        <w:t>区公资交易中心</w:t>
      </w:r>
      <w:r>
        <w:rPr>
          <w:rFonts w:hint="eastAsia" w:ascii="宋体" w:hAnsi="宋体"/>
          <w:sz w:val="28"/>
          <w:szCs w:val="28"/>
        </w:rPr>
        <w:t>的质疑答复不满意，或者</w:t>
      </w:r>
      <w:r>
        <w:rPr>
          <w:rFonts w:hint="eastAsia" w:ascii="宋体" w:hAnsi="宋体"/>
          <w:sz w:val="28"/>
          <w:szCs w:val="28"/>
          <w:lang w:eastAsia="zh-CN"/>
        </w:rPr>
        <w:t>区公资交易中心</w:t>
      </w:r>
      <w:r>
        <w:rPr>
          <w:rFonts w:hint="eastAsia" w:ascii="宋体" w:hAnsi="宋体"/>
          <w:sz w:val="28"/>
          <w:szCs w:val="28"/>
        </w:rPr>
        <w:t>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8"/>
          <w:szCs w:val="28"/>
        </w:rPr>
      </w:pPr>
      <w:bookmarkStart w:id="104" w:name="_Toc74752328"/>
      <w:r>
        <w:rPr>
          <w:rFonts w:hint="eastAsia" w:ascii="宋体" w:hAnsi="宋体"/>
          <w:b/>
          <w:bCs/>
          <w:sz w:val="28"/>
          <w:szCs w:val="28"/>
        </w:rPr>
        <w:t>中小企业政府采购信用融资</w:t>
      </w:r>
      <w:bookmarkEnd w:id="104"/>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参与本次招标活动中标的中小企业投标人无需提供财产抵押或第三方担保，凭借政府采购合同可向融资机构申请融资。</w:t>
      </w:r>
    </w:p>
    <w:p>
      <w:pPr>
        <w:numPr>
          <w:ilvl w:val="0"/>
          <w:numId w:val="32"/>
        </w:numPr>
        <w:tabs>
          <w:tab w:val="left" w:pos="1134"/>
        </w:tabs>
        <w:spacing w:line="360" w:lineRule="auto"/>
        <w:ind w:left="0" w:firstLine="567"/>
        <w:rPr>
          <w:rFonts w:ascii="宋体" w:hAnsi="宋体"/>
          <w:sz w:val="28"/>
          <w:szCs w:val="28"/>
        </w:rPr>
      </w:pPr>
      <w:r>
        <w:rPr>
          <w:rFonts w:hint="eastAsia" w:ascii="宋体" w:hAnsi="宋体"/>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5" w:name="_Toc316292049"/>
      <w:bookmarkEnd w:id="105"/>
      <w:bookmarkStart w:id="106" w:name="_Toc316292050"/>
      <w:bookmarkEnd w:id="106"/>
      <w:bookmarkStart w:id="107" w:name="_Toc315871046"/>
      <w:bookmarkEnd w:id="107"/>
      <w:bookmarkStart w:id="108" w:name="_Toc316292048"/>
      <w:bookmarkEnd w:id="108"/>
      <w:bookmarkStart w:id="109" w:name="_Toc315871049"/>
      <w:bookmarkEnd w:id="109"/>
      <w:bookmarkStart w:id="110" w:name="_Toc316292051"/>
      <w:bookmarkEnd w:id="110"/>
      <w:bookmarkStart w:id="111" w:name="_Toc315871048"/>
      <w:bookmarkEnd w:id="111"/>
      <w:bookmarkStart w:id="112" w:name="_Toc315871047"/>
      <w:bookmarkEnd w:id="112"/>
      <w:bookmarkStart w:id="113" w:name="_Toc315871050"/>
      <w:bookmarkEnd w:id="113"/>
      <w:bookmarkStart w:id="114" w:name="_Toc315871045"/>
      <w:bookmarkEnd w:id="114"/>
      <w:bookmarkStart w:id="115" w:name="_Toc316292052"/>
      <w:bookmarkEnd w:id="115"/>
      <w:bookmarkStart w:id="116" w:name="_Toc74752329"/>
      <w:r>
        <w:rPr>
          <w:rFonts w:hint="eastAsia" w:ascii="宋体" w:hAnsi="宋体"/>
          <w:b/>
          <w:bCs/>
          <w:spacing w:val="-20"/>
          <w:kern w:val="44"/>
          <w:sz w:val="32"/>
          <w:szCs w:val="32"/>
        </w:rPr>
        <w:t>投标文件格式</w:t>
      </w:r>
      <w:bookmarkEnd w:id="116"/>
    </w:p>
    <w:p>
      <w:pPr>
        <w:keepNext/>
        <w:keepLines/>
        <w:numPr>
          <w:ilvl w:val="1"/>
          <w:numId w:val="5"/>
        </w:numPr>
        <w:spacing w:before="260" w:after="260" w:line="360" w:lineRule="auto"/>
        <w:jc w:val="left"/>
        <w:outlineLvl w:val="1"/>
        <w:rPr>
          <w:rFonts w:ascii="宋体" w:hAnsi="宋体"/>
          <w:b/>
          <w:bCs/>
          <w:sz w:val="28"/>
          <w:szCs w:val="28"/>
        </w:rPr>
      </w:pPr>
      <w:bookmarkStart w:id="117" w:name="_Toc74752330"/>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hint="eastAsia" w:ascii="宋体" w:hAnsi="宋体" w:eastAsia="宋体"/>
          <w:b/>
          <w:bCs/>
          <w:sz w:val="32"/>
          <w:szCs w:val="32"/>
          <w:lang w:eastAsia="zh-CN"/>
        </w:rPr>
      </w:pPr>
      <w:r>
        <w:rPr>
          <w:rFonts w:hint="eastAsia" w:ascii="宋体" w:hAnsi="宋体"/>
          <w:b/>
          <w:bCs/>
          <w:sz w:val="32"/>
          <w:szCs w:val="32"/>
        </w:rPr>
        <w:t>项目名称：</w:t>
      </w:r>
      <w:r>
        <w:rPr>
          <w:rFonts w:hint="eastAsia" w:ascii="宋体" w:hAnsi="宋体"/>
          <w:b/>
          <w:bCs/>
          <w:sz w:val="32"/>
          <w:szCs w:val="32"/>
          <w:lang w:eastAsia="zh-CN"/>
        </w:rPr>
        <w:t>成都市龙泉驿区教育局2021年新建永丰家园小学和十陵来龙小学办公家具采购项目</w:t>
      </w:r>
    </w:p>
    <w:p>
      <w:pPr>
        <w:spacing w:line="360" w:lineRule="auto"/>
        <w:rPr>
          <w:rFonts w:hint="eastAsia" w:ascii="宋体" w:hAnsi="宋体" w:eastAsia="宋体"/>
          <w:b/>
          <w:sz w:val="32"/>
          <w:szCs w:val="32"/>
          <w:u w:val="single"/>
          <w:lang w:eastAsia="zh-CN"/>
        </w:rPr>
      </w:pPr>
      <w:r>
        <w:rPr>
          <w:rFonts w:hint="eastAsia" w:ascii="宋体" w:hAnsi="宋体"/>
          <w:b/>
          <w:bCs/>
          <w:sz w:val="32"/>
          <w:szCs w:val="32"/>
        </w:rPr>
        <w:t>项目编号：</w:t>
      </w:r>
      <w:r>
        <w:rPr>
          <w:rFonts w:hint="eastAsia" w:ascii="宋体" w:hAnsi="宋体"/>
          <w:b/>
          <w:bCs/>
          <w:sz w:val="32"/>
          <w:szCs w:val="32"/>
          <w:lang w:eastAsia="zh-CN"/>
        </w:rPr>
        <w:t>龙泉驿政采（2021）A0009号</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pStyle w:val="2"/>
      </w:pPr>
    </w:p>
    <w:p>
      <w:pPr>
        <w:keepNext/>
        <w:keepLines/>
        <w:numPr>
          <w:ilvl w:val="1"/>
          <w:numId w:val="5"/>
        </w:numPr>
        <w:spacing w:before="260" w:after="260" w:line="360" w:lineRule="auto"/>
        <w:jc w:val="left"/>
        <w:outlineLvl w:val="1"/>
        <w:rPr>
          <w:rFonts w:ascii="宋体" w:hAnsi="宋体"/>
          <w:b/>
          <w:bCs/>
          <w:sz w:val="28"/>
          <w:szCs w:val="28"/>
        </w:rPr>
      </w:pPr>
      <w:bookmarkStart w:id="118" w:name="_Toc74752331"/>
      <w:r>
        <w:rPr>
          <w:rFonts w:hint="eastAsia" w:ascii="宋体" w:hAnsi="宋体"/>
          <w:b/>
          <w:bCs/>
          <w:sz w:val="28"/>
          <w:szCs w:val="28"/>
        </w:rPr>
        <w:t>资格响应文件</w:t>
      </w:r>
      <w:bookmarkEnd w:id="118"/>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19" w:name="_Toc238581782"/>
      <w:bookmarkStart w:id="120" w:name="_Toc52184753"/>
      <w:bookmarkStart w:id="121" w:name="_Toc146903609"/>
      <w:bookmarkStart w:id="122" w:name="_Toc119203988"/>
      <w:bookmarkStart w:id="123" w:name="_Toc119295087"/>
      <w:bookmarkStart w:id="124" w:name="_Toc119296788"/>
      <w:r>
        <w:rPr>
          <w:rFonts w:hint="eastAsia" w:ascii="宋体" w:hAnsi="宋体"/>
          <w:sz w:val="28"/>
          <w:szCs w:val="28"/>
        </w:rPr>
        <w:t>致：</w:t>
      </w:r>
      <w:bookmarkEnd w:id="119"/>
      <w:r>
        <w:rPr>
          <w:rFonts w:hint="eastAsia" w:ascii="宋体" w:hAnsi="宋体"/>
          <w:sz w:val="28"/>
          <w:szCs w:val="28"/>
        </w:rPr>
        <w:t>成都市龙泉驿区公共资源交易服务中心</w:t>
      </w:r>
    </w:p>
    <w:p>
      <w:pPr>
        <w:spacing w:line="360" w:lineRule="auto"/>
        <w:ind w:firstLine="565"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lang w:eastAsia="zh-CN"/>
        </w:rPr>
        <w:t>成都市龙泉驿区教育局2021年新建永丰家园小学和十陵来龙小学办公家具采购项目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龙泉驿政采（2021）A0009号</w:t>
      </w:r>
      <w:r>
        <w:rPr>
          <w:rFonts w:hint="eastAsia" w:ascii="宋体" w:hAnsi="宋体"/>
          <w:b/>
          <w:sz w:val="28"/>
          <w:szCs w:val="28"/>
          <w:u w:val="single"/>
        </w:rPr>
        <w:t>）</w:t>
      </w:r>
      <w:r>
        <w:rPr>
          <w:rFonts w:hint="eastAsia" w:ascii="宋体" w:hAnsi="宋体"/>
          <w:sz w:val="28"/>
          <w:szCs w:val="28"/>
        </w:rPr>
        <w:t>的公开招标，提交的下列文件和说明是准确的和真实的。</w:t>
      </w:r>
      <w:bookmarkEnd w:id="125"/>
    </w:p>
    <w:p>
      <w:pPr>
        <w:widowControl/>
        <w:numPr>
          <w:ilvl w:val="2"/>
          <w:numId w:val="33"/>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4"/>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3"/>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sz w:val="28"/>
          <w:szCs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致：成都市龙泉驿区公共资源交易服务中心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lang w:eastAsia="zh-CN"/>
        </w:rPr>
        <w:t>成都市龙泉驿区教育局2021年新建永丰家园小学和十陵来龙小学办公家具采购项目</w:t>
      </w:r>
      <w:r>
        <w:rPr>
          <w:rFonts w:hint="eastAsia" w:ascii="宋体" w:hAnsi="宋体"/>
          <w:b/>
          <w:sz w:val="28"/>
          <w:szCs w:val="28"/>
          <w:u w:val="single"/>
        </w:rPr>
        <w:t>（项目编号：</w:t>
      </w:r>
      <w:r>
        <w:rPr>
          <w:rFonts w:hint="eastAsia" w:ascii="宋体" w:hAnsi="宋体"/>
          <w:b/>
          <w:sz w:val="28"/>
          <w:szCs w:val="28"/>
          <w:u w:val="single"/>
          <w:lang w:eastAsia="zh-CN"/>
        </w:rPr>
        <w:t>龙泉驿政采（2021）A0009号</w:t>
      </w:r>
      <w:r>
        <w:rPr>
          <w:rFonts w:hint="eastAsia" w:ascii="宋体" w:hAnsi="宋体"/>
          <w:b/>
          <w:sz w:val="28"/>
          <w:szCs w:val="28"/>
          <w:u w:val="single"/>
        </w:rPr>
        <w:t>）</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b/>
          <w:sz w:val="28"/>
          <w:szCs w:val="28"/>
        </w:rPr>
        <w:t xml:space="preserve"> </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rPr>
        <w:t>19或</w:t>
      </w:r>
      <w:r>
        <w:rPr>
          <w:rFonts w:ascii="宋体" w:hAnsi="宋体"/>
          <w:sz w:val="28"/>
          <w:szCs w:val="28"/>
        </w:rPr>
        <w:t>20</w:t>
      </w:r>
      <w:r>
        <w:rPr>
          <w:rFonts w:hint="eastAsia" w:ascii="宋体" w:hAnsi="宋体"/>
          <w:sz w:val="28"/>
          <w:szCs w:val="28"/>
        </w:rPr>
        <w:t>20会计年度资产负债表复印件（说明：投标人成立时间至递交投标文件截止时间止不足一年的，提供成立后任意时段的资产负债表复印件）；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keepNext/>
        <w:keepLines/>
        <w:numPr>
          <w:ilvl w:val="1"/>
          <w:numId w:val="5"/>
        </w:numPr>
        <w:spacing w:line="520" w:lineRule="exact"/>
        <w:jc w:val="left"/>
        <w:outlineLvl w:val="1"/>
        <w:rPr>
          <w:rFonts w:ascii="宋体" w:hAnsi="宋体"/>
          <w:b/>
          <w:bCs/>
          <w:sz w:val="28"/>
          <w:szCs w:val="28"/>
        </w:rPr>
      </w:pPr>
      <w:bookmarkStart w:id="127" w:name="_Toc74752332"/>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成都市龙泉驿区公共资源交易服务中心：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lang w:eastAsia="zh-CN"/>
        </w:rPr>
        <w:t>成都市龙泉驿区教育局2021年新建永丰家园小学和十陵来龙小学办公家具采购项目</w:t>
      </w:r>
      <w:r>
        <w:rPr>
          <w:rFonts w:hint="eastAsia" w:ascii="宋体" w:hAnsi="宋体"/>
          <w:b/>
          <w:bCs/>
          <w:sz w:val="28"/>
          <w:szCs w:val="28"/>
          <w:u w:val="single"/>
        </w:rPr>
        <w:t>”（项目编号：</w:t>
      </w:r>
      <w:r>
        <w:rPr>
          <w:rFonts w:hint="eastAsia" w:ascii="宋体" w:hAnsi="宋体"/>
          <w:b/>
          <w:bCs/>
          <w:sz w:val="28"/>
          <w:szCs w:val="28"/>
          <w:u w:val="single"/>
          <w:lang w:eastAsia="zh-CN"/>
        </w:rPr>
        <w:t>龙泉驿政采（2021）A0009号</w:t>
      </w:r>
      <w:r>
        <w:rPr>
          <w:rFonts w:hint="eastAsia" w:ascii="宋体" w:hAnsi="宋体"/>
          <w:b/>
          <w:bCs/>
          <w:sz w:val="28"/>
          <w:szCs w:val="28"/>
          <w:u w:val="single"/>
        </w:rPr>
        <w:t>）</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314574804"/>
      <w:bookmarkStart w:id="129" w:name="_Toc240367172"/>
      <w:bookmarkStart w:id="130" w:name="_Toc231030275"/>
      <w:bookmarkStart w:id="131" w:name="_Toc265494342"/>
      <w:bookmarkStart w:id="132" w:name="_Toc239846734"/>
      <w:bookmarkStart w:id="133" w:name="_Toc229802674"/>
      <w:bookmarkStart w:id="134" w:name="_Toc239849853"/>
      <w:bookmarkStart w:id="135" w:name="_Toc240865266"/>
      <w:bookmarkStart w:id="136" w:name="_Toc237145395"/>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128"/>
    <w:bookmarkEnd w:id="129"/>
    <w:bookmarkEnd w:id="130"/>
    <w:bookmarkEnd w:id="131"/>
    <w:bookmarkEnd w:id="132"/>
    <w:bookmarkEnd w:id="133"/>
    <w:bookmarkEnd w:id="134"/>
    <w:bookmarkEnd w:id="135"/>
    <w:bookmarkEnd w:id="136"/>
    <w:p>
      <w:pPr>
        <w:keepNext/>
        <w:keepLines/>
        <w:numPr>
          <w:ilvl w:val="2"/>
          <w:numId w:val="5"/>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63753605"/>
      <w:bookmarkStart w:id="141" w:name="_Toc263768870"/>
      <w:bookmarkStart w:id="142" w:name="_Toc220299393"/>
      <w:bookmarkStart w:id="143" w:name="_Toc217446083"/>
      <w:r>
        <w:rPr>
          <w:rFonts w:hint="eastAsia" w:ascii="宋体" w:hAnsi="宋体"/>
          <w:b/>
          <w:bCs/>
          <w:sz w:val="28"/>
          <w:szCs w:val="28"/>
        </w:rPr>
        <w:t>投标人基本情况表</w:t>
      </w:r>
      <w:bookmarkEnd w:id="139"/>
    </w:p>
    <w:tbl>
      <w:tblPr>
        <w:tblStyle w:val="46"/>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u w:val="single"/>
        </w:rPr>
      </w:pPr>
    </w:p>
    <w:bookmarkEnd w:id="140"/>
    <w:bookmarkEnd w:id="141"/>
    <w:bookmarkEnd w:id="142"/>
    <w:p>
      <w:pPr>
        <w:keepNext/>
        <w:keepLines/>
        <w:numPr>
          <w:ilvl w:val="2"/>
          <w:numId w:val="5"/>
        </w:numPr>
        <w:spacing w:line="360" w:lineRule="auto"/>
        <w:ind w:left="142" w:hanging="142"/>
        <w:outlineLvl w:val="2"/>
        <w:rPr>
          <w:rFonts w:ascii="宋体" w:hAnsi="宋体"/>
          <w:b/>
          <w:bCs/>
          <w:sz w:val="28"/>
          <w:szCs w:val="28"/>
        </w:rPr>
      </w:pPr>
      <w:bookmarkStart w:id="144" w:name="_Toc302997928"/>
      <w:bookmarkStart w:id="145" w:name="_Toc263768877"/>
      <w:bookmarkStart w:id="146" w:name="_Toc263753619"/>
      <w:r>
        <w:rPr>
          <w:rFonts w:hint="eastAsia" w:ascii="宋体" w:hAnsi="宋体"/>
          <w:b/>
          <w:bCs/>
          <w:sz w:val="28"/>
          <w:szCs w:val="28"/>
        </w:rPr>
        <w:t>投标产品技术性能、技术参数和配置的详细描述</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项目名称：</w:t>
      </w:r>
      <w:r>
        <w:rPr>
          <w:rFonts w:hint="eastAsia" w:ascii="宋体" w:hAnsi="宋体"/>
          <w:b/>
          <w:sz w:val="28"/>
          <w:u w:val="single"/>
          <w:lang w:eastAsia="zh-CN"/>
        </w:rPr>
        <w:t>成都市龙泉驿区教育局2021年新建永丰家园小学和十陵来龙小学办公家具采购项目</w:t>
      </w:r>
    </w:p>
    <w:p>
      <w:pPr>
        <w:snapToGrid w:val="0"/>
        <w:spacing w:line="360" w:lineRule="auto"/>
        <w:ind w:right="-624" w:rightChars="-297"/>
        <w:rPr>
          <w:rFonts w:hint="eastAsia" w:ascii="宋体" w:hAnsi="宋体" w:eastAsia="宋体"/>
          <w:lang w:eastAsia="zh-CN"/>
        </w:rPr>
      </w:pPr>
      <w:r>
        <w:rPr>
          <w:rFonts w:hint="eastAsia" w:ascii="宋体" w:hAnsi="宋体"/>
          <w:b/>
          <w:sz w:val="28"/>
        </w:rPr>
        <w:t>项目编号：</w:t>
      </w:r>
      <w:r>
        <w:rPr>
          <w:rFonts w:hint="eastAsia" w:ascii="宋体" w:hAnsi="宋体"/>
          <w:b/>
          <w:sz w:val="28"/>
          <w:szCs w:val="28"/>
          <w:u w:val="single"/>
          <w:lang w:eastAsia="zh-CN"/>
        </w:rPr>
        <w:t>龙泉驿政采（2021）A0009号</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hint="eastAsia" w:ascii="宋体" w:hAnsi="宋体" w:eastAsia="宋体"/>
          <w:b/>
          <w:sz w:val="28"/>
          <w:szCs w:val="28"/>
          <w:lang w:eastAsia="zh-CN"/>
        </w:rPr>
      </w:pPr>
      <w:r>
        <w:rPr>
          <w:rFonts w:hint="eastAsia" w:ascii="宋体" w:hAnsi="宋体"/>
          <w:b/>
          <w:sz w:val="28"/>
        </w:rPr>
        <w:t>项目名称：</w:t>
      </w:r>
      <w:r>
        <w:rPr>
          <w:rFonts w:hint="eastAsia" w:ascii="宋体" w:hAnsi="宋体"/>
          <w:b/>
          <w:sz w:val="28"/>
          <w:szCs w:val="28"/>
          <w:u w:val="single"/>
          <w:lang w:eastAsia="zh-CN"/>
        </w:rPr>
        <w:t>成都市龙泉驿区教育局2021年新建永丰家园小学和十陵来龙小学办公家具采购项目</w:t>
      </w:r>
    </w:p>
    <w:p>
      <w:pPr>
        <w:snapToGrid w:val="0"/>
        <w:spacing w:line="360" w:lineRule="auto"/>
        <w:ind w:right="-624" w:rightChars="-297"/>
        <w:rPr>
          <w:rFonts w:hint="eastAsia" w:ascii="宋体" w:hAnsi="宋体" w:eastAsia="宋体"/>
          <w:b/>
          <w:sz w:val="28"/>
          <w:lang w:eastAsia="zh-CN"/>
        </w:rPr>
      </w:pPr>
      <w:r>
        <w:rPr>
          <w:rFonts w:hint="eastAsia" w:ascii="宋体" w:hAnsi="宋体"/>
          <w:b/>
          <w:sz w:val="28"/>
        </w:rPr>
        <w:t>项目编号：</w:t>
      </w:r>
      <w:r>
        <w:rPr>
          <w:rFonts w:hint="eastAsia" w:ascii="宋体" w:hAnsi="宋体"/>
          <w:b/>
          <w:sz w:val="28"/>
          <w:u w:val="single"/>
          <w:lang w:eastAsia="zh-CN"/>
        </w:rPr>
        <w:t>龙泉驿政采（2021）A0009号</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r>
        <w:rPr>
          <w:rFonts w:hint="eastAsia" w:ascii="宋体" w:hAnsi="宋体"/>
          <w:sz w:val="28"/>
        </w:rPr>
        <w:t>二、交货进度计划及保障措施</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5"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5" w:firstLineChars="202"/>
        <w:rPr>
          <w:rFonts w:ascii="宋体" w:hAnsi="宋体"/>
          <w:sz w:val="28"/>
        </w:rPr>
      </w:pPr>
      <w:r>
        <w:rPr>
          <w:rFonts w:hint="eastAsia" w:ascii="宋体" w:hAnsi="宋体"/>
          <w:sz w:val="28"/>
        </w:rPr>
        <w:t>（三）……</w:t>
      </w:r>
    </w:p>
    <w:p>
      <w:pPr>
        <w:ind w:firstLine="565" w:firstLineChars="202"/>
        <w:rPr>
          <w:rFonts w:ascii="宋体" w:hAnsi="宋体"/>
          <w:sz w:val="28"/>
        </w:rPr>
      </w:pPr>
      <w:r>
        <w:rPr>
          <w:rFonts w:hint="eastAsia" w:ascii="宋体" w:hAnsi="宋体"/>
          <w:sz w:val="28"/>
        </w:rPr>
        <w:t>四、技术支持的能力及方案</w:t>
      </w:r>
    </w:p>
    <w:p>
      <w:pPr>
        <w:ind w:firstLine="565" w:firstLineChars="202"/>
        <w:rPr>
          <w:rFonts w:ascii="宋体" w:hAnsi="宋体"/>
          <w:sz w:val="28"/>
        </w:rPr>
      </w:pPr>
    </w:p>
    <w:p>
      <w:pPr>
        <w:ind w:firstLine="565"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ind w:firstLine="565" w:firstLineChars="202"/>
        <w:rPr>
          <w:rFonts w:ascii="宋体" w:hAnsi="宋体"/>
          <w:bCs/>
          <w:sz w:val="28"/>
          <w:szCs w:val="28"/>
        </w:rPr>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成都市龙泉驿区教育局2021年新建永丰家园小学和十陵来龙小学办公家具采购项目</w:t>
      </w:r>
    </w:p>
    <w:p>
      <w:pPr>
        <w:snapToGrid w:val="0"/>
        <w:spacing w:line="360" w:lineRule="auto"/>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u w:val="single"/>
          <w:lang w:eastAsia="zh-CN"/>
        </w:rPr>
        <w:t>龙泉驿政采（2021）A0009号</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hint="eastAsia" w:ascii="宋体" w:hAnsi="宋体" w:eastAsia="宋体"/>
          <w:b/>
          <w:sz w:val="28"/>
          <w:szCs w:val="28"/>
          <w:lang w:eastAsia="zh-CN"/>
        </w:rPr>
      </w:pPr>
      <w:r>
        <w:rPr>
          <w:rFonts w:hint="eastAsia" w:ascii="宋体" w:hAnsi="宋体"/>
          <w:b/>
          <w:sz w:val="28"/>
          <w:szCs w:val="28"/>
        </w:rPr>
        <w:t>项目名称：</w:t>
      </w:r>
      <w:r>
        <w:rPr>
          <w:rFonts w:hint="eastAsia" w:ascii="宋体" w:hAnsi="宋体"/>
          <w:b/>
          <w:sz w:val="28"/>
          <w:szCs w:val="28"/>
          <w:u w:val="single"/>
          <w:lang w:eastAsia="zh-CN"/>
        </w:rPr>
        <w:t>成都市龙泉驿区教育局2021年新建永丰家园小学和十陵来龙小学办公家具采购项目</w:t>
      </w:r>
    </w:p>
    <w:p>
      <w:pPr>
        <w:snapToGrid w:val="0"/>
        <w:spacing w:line="560" w:lineRule="exact"/>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szCs w:val="28"/>
          <w:u w:val="single"/>
          <w:lang w:eastAsia="zh-CN"/>
        </w:rPr>
        <w:t>龙泉驿政采（2021）A0009号</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为本项目提供的所有产品、辅材中</w:t>
      </w:r>
      <w:r>
        <w:rPr>
          <w:rFonts w:ascii="宋体" w:hAnsi="宋体" w:cs="宋体"/>
          <w:kern w:val="0"/>
          <w:sz w:val="28"/>
          <w:szCs w:val="28"/>
        </w:rPr>
        <w:t>属于《国家强制性产品认证目录》范围内产品的，均通过国家强制性产品认证并取得认证证书。</w:t>
      </w:r>
    </w:p>
    <w:p>
      <w:pPr>
        <w:pStyle w:val="149"/>
        <w:numPr>
          <w:ilvl w:val="0"/>
          <w:numId w:val="37"/>
        </w:numPr>
        <w:tabs>
          <w:tab w:val="left" w:pos="1134"/>
        </w:tabs>
        <w:snapToGrid w:val="0"/>
        <w:spacing w:before="60" w:after="200" w:line="560" w:lineRule="exact"/>
        <w:ind w:left="0" w:right="210" w:firstLine="567" w:firstLineChars="0"/>
        <w:rPr>
          <w:rFonts w:ascii="宋体" w:hAnsi="宋体" w:cs="宋体"/>
          <w:kern w:val="0"/>
          <w:sz w:val="28"/>
          <w:szCs w:val="28"/>
        </w:rPr>
      </w:pPr>
      <w:r>
        <w:rPr>
          <w:rFonts w:hint="eastAsia" w:ascii="宋体" w:hAnsi="宋体"/>
          <w:sz w:val="28"/>
          <w:szCs w:val="28"/>
        </w:rPr>
        <w:t>为本项目提供的所有产品、辅材符合现行的强制性国家相关标准、行业标准。</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我方为本项目提供的所有产品中属于节能产品政府采购品目清单中的政府强制采购产品的，均应具有国家确定的认证机构出具的有效期内的节能产品认证证书。</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pPr>
      <w:r>
        <w:rPr>
          <w:rFonts w:hint="eastAsia" w:ascii="宋体" w:hAnsi="宋体"/>
          <w:b/>
          <w:bCs/>
          <w:sz w:val="28"/>
          <w:szCs w:val="28"/>
        </w:rPr>
        <w:t xml:space="preserve"> </w:t>
      </w:r>
      <w:bookmarkStart w:id="148" w:name="_Toc74752333"/>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p>
      <w:pPr>
        <w:tabs>
          <w:tab w:val="left" w:pos="1134"/>
        </w:tabs>
        <w:spacing w:line="560" w:lineRule="exact"/>
        <w:rPr>
          <w:rFonts w:hint="eastAsia" w:ascii="宋体" w:hAnsi="宋体" w:eastAsia="宋体"/>
          <w:b/>
          <w:bCs/>
          <w:sz w:val="28"/>
          <w:szCs w:val="28"/>
          <w:lang w:eastAsia="zh-CN"/>
        </w:rPr>
      </w:pPr>
      <w:r>
        <w:rPr>
          <w:rFonts w:hint="eastAsia" w:ascii="宋体" w:hAnsi="宋体"/>
          <w:b/>
          <w:bCs/>
          <w:sz w:val="28"/>
          <w:szCs w:val="28"/>
        </w:rPr>
        <w:t>标项1：</w:t>
      </w:r>
      <w:r>
        <w:rPr>
          <w:rFonts w:hint="eastAsia" w:ascii="宋体" w:hAnsi="宋体"/>
          <w:b/>
          <w:bCs/>
          <w:sz w:val="28"/>
          <w:szCs w:val="28"/>
          <w:lang w:eastAsia="zh-CN"/>
        </w:rPr>
        <w:t>成都市龙泉驿区教育局2021年新建永丰家园小学和十陵来龙小学办公家具采购项目</w:t>
      </w:r>
    </w:p>
    <w:tbl>
      <w:tblPr>
        <w:tblStyle w:val="47"/>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62" w:type="dxa"/>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Pr>
          <w:p>
            <w:pPr>
              <w:tabs>
                <w:tab w:val="left" w:pos="1134"/>
              </w:tabs>
              <w:spacing w:line="560" w:lineRule="exact"/>
              <w:rPr>
                <w:rFonts w:ascii="宋体" w:hAnsi="宋体"/>
                <w:kern w:val="0"/>
                <w:sz w:val="28"/>
                <w:szCs w:val="28"/>
              </w:rPr>
            </w:pPr>
          </w:p>
        </w:tc>
      </w:tr>
    </w:tbl>
    <w:p>
      <w:pPr>
        <w:tabs>
          <w:tab w:val="left" w:pos="1134"/>
        </w:tabs>
        <w:spacing w:line="560" w:lineRule="exact"/>
        <w:ind w:firstLine="425" w:firstLineChars="152"/>
        <w:rPr>
          <w:rFonts w:ascii="宋体" w:hAnsi="宋体"/>
          <w:sz w:val="28"/>
          <w:szCs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6"/>
        <w:tblpPr w:leftFromText="180" w:rightFromText="180" w:vertAnchor="text" w:horzAnchor="margin"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920"/>
        <w:gridCol w:w="850"/>
        <w:gridCol w:w="708"/>
        <w:gridCol w:w="78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总价（元）</w:t>
            </w:r>
            <w:r>
              <w:rPr>
                <w:rFonts w:hint="eastAsia" w:ascii="宋体" w:hAnsi="宋体"/>
                <w:b/>
                <w:bCs/>
                <w:sz w:val="24"/>
                <w:szCs w:val="28"/>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hint="eastAsia" w:ascii="宋体" w:hAnsi="宋体" w:eastAsia="宋体" w:cs="Times New Roman"/>
                <w:szCs w:val="28"/>
                <w:lang w:eastAsia="zh-CN"/>
              </w:rPr>
            </w:pPr>
            <w:r>
              <w:rPr>
                <w:rFonts w:hint="eastAsia" w:ascii="宋体" w:hAnsi="宋体" w:eastAsia="宋体" w:cs="Times New Roman"/>
                <w:szCs w:val="28"/>
                <w:lang w:eastAsia="zh-CN"/>
              </w:rPr>
              <w:t>（请供应商根据参数填写）</w:t>
            </w: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3</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4</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5</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6</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7</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8</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9</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419" w:firstLineChars="149"/>
        <w:rPr>
          <w:rFonts w:ascii="宋体" w:hAnsi="宋体"/>
          <w:b/>
          <w:sz w:val="28"/>
          <w:szCs w:val="28"/>
        </w:rPr>
      </w:pPr>
      <w:r>
        <w:rPr>
          <w:rFonts w:hint="eastAsia" w:ascii="宋体" w:hAnsi="宋体"/>
          <w:b/>
          <w:sz w:val="28"/>
          <w:szCs w:val="28"/>
        </w:rPr>
        <w:t>1、进口产品是指通过中国海关报关验放进入中国境内且产自关境外的产品。</w:t>
      </w:r>
    </w:p>
    <w:p>
      <w:pPr>
        <w:spacing w:line="360" w:lineRule="auto"/>
        <w:ind w:firstLine="422" w:firstLineChars="150"/>
        <w:rPr>
          <w:rFonts w:ascii="宋体" w:hAnsi="宋体"/>
          <w:b/>
          <w:sz w:val="28"/>
          <w:szCs w:val="28"/>
        </w:rPr>
      </w:pPr>
      <w:r>
        <w:rPr>
          <w:rFonts w:ascii="宋体" w:hAnsi="宋体"/>
          <w:b/>
          <w:sz w:val="28"/>
          <w:szCs w:val="28"/>
        </w:rPr>
        <w:t>2</w:t>
      </w:r>
      <w:r>
        <w:rPr>
          <w:rFonts w:hint="eastAsia" w:ascii="宋体" w:hAnsi="宋体"/>
          <w:b/>
          <w:sz w:val="28"/>
          <w:szCs w:val="28"/>
        </w:rPr>
        <w:t>、分项报价明细表格式中要求填写品牌、规格型号、制造商、进口或国产的，投标人必须载明其投标产品的品牌、规格型号、制造商、进口或国产。</w:t>
      </w:r>
    </w:p>
    <w:p>
      <w:pPr>
        <w:spacing w:line="360" w:lineRule="auto"/>
        <w:ind w:firstLine="422" w:firstLineChars="150"/>
        <w:rPr>
          <w:rFonts w:ascii="宋体" w:hAnsi="宋体"/>
          <w:b/>
          <w:sz w:val="28"/>
          <w:szCs w:val="28"/>
        </w:rPr>
      </w:pPr>
      <w:r>
        <w:rPr>
          <w:rFonts w:hint="eastAsia" w:ascii="宋体" w:hAnsi="宋体"/>
          <w:b/>
          <w:sz w:val="28"/>
          <w:szCs w:val="28"/>
        </w:rPr>
        <w:t>3.报价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1134" w:hanging="1134"/>
        <w:outlineLvl w:val="2"/>
        <w:rPr>
          <w:rFonts w:ascii="宋体" w:hAnsi="宋体"/>
          <w:b/>
          <w:bCs/>
          <w:sz w:val="28"/>
          <w:szCs w:val="28"/>
        </w:rPr>
      </w:pPr>
      <w:r>
        <w:rPr>
          <w:rFonts w:hint="eastAsia" w:ascii="宋体" w:hAnsi="宋体"/>
          <w:b/>
          <w:sz w:val="28"/>
        </w:rPr>
        <w:t>监狱企业、残疾人福利性单位制造的货物清单及价格</w:t>
      </w:r>
    </w:p>
    <w:p>
      <w:pPr>
        <w:numPr>
          <w:ilvl w:val="0"/>
          <w:numId w:val="38"/>
        </w:numPr>
        <w:tabs>
          <w:tab w:val="left" w:pos="1134"/>
          <w:tab w:val="clear" w:pos="720"/>
        </w:tabs>
        <w:spacing w:after="200" w:line="360" w:lineRule="auto"/>
        <w:ind w:left="0" w:firstLine="565" w:firstLineChars="201"/>
        <w:rPr>
          <w:rFonts w:ascii="宋体" w:hAnsi="宋体"/>
          <w:b/>
          <w:sz w:val="28"/>
        </w:rPr>
      </w:pPr>
      <w:r>
        <w:rPr>
          <w:rFonts w:hint="eastAsia" w:ascii="宋体" w:hAnsi="宋体"/>
          <w:b/>
          <w:sz w:val="28"/>
          <w:szCs w:val="28"/>
        </w:rPr>
        <w:t>投标人</w:t>
      </w:r>
      <w:r>
        <w:rPr>
          <w:rFonts w:hint="eastAsia" w:ascii="宋体" w:hAnsi="宋体"/>
          <w:b/>
          <w:sz w:val="28"/>
        </w:rPr>
        <w:t>投标产品中为监狱企业制造的货物清单及价格（说明：</w:t>
      </w:r>
      <w:r>
        <w:rPr>
          <w:rFonts w:ascii="宋体" w:hAnsi="宋体"/>
          <w:b/>
          <w:sz w:val="28"/>
        </w:rPr>
        <w:t>1、提供由省级以上监狱管理局、戒毒管理局（含新疆生产建设兵团）出具的</w:t>
      </w:r>
      <w:r>
        <w:rPr>
          <w:rFonts w:hint="eastAsia" w:ascii="宋体" w:hAnsi="宋体"/>
          <w:b/>
          <w:sz w:val="28"/>
        </w:rPr>
        <w:t>制造</w:t>
      </w:r>
      <w:r>
        <w:rPr>
          <w:rFonts w:ascii="宋体" w:hAnsi="宋体"/>
          <w:b/>
          <w:sz w:val="28"/>
        </w:rPr>
        <w:t>商属于监狱企业的证明文件复印件；2、如未提供</w:t>
      </w:r>
      <w:r>
        <w:rPr>
          <w:rFonts w:hint="eastAsia" w:ascii="宋体" w:hAnsi="宋体"/>
          <w:b/>
          <w:sz w:val="28"/>
        </w:rPr>
        <w:t>货物</w:t>
      </w:r>
      <w:r>
        <w:rPr>
          <w:rFonts w:ascii="宋体" w:hAnsi="宋体"/>
          <w:b/>
          <w:sz w:val="28"/>
        </w:rPr>
        <w:t>清单及价格以及相关证明材料复印件，则不能享受对监狱企业</w:t>
      </w:r>
      <w:r>
        <w:rPr>
          <w:rFonts w:hint="eastAsia" w:ascii="宋体" w:hAnsi="宋体"/>
          <w:b/>
          <w:sz w:val="28"/>
        </w:rPr>
        <w:t>制造的货物</w:t>
      </w:r>
      <w:r>
        <w:rPr>
          <w:rFonts w:ascii="宋体" w:hAnsi="宋体"/>
          <w:b/>
          <w:sz w:val="28"/>
        </w:rPr>
        <w:t>的价格扣除，但不影响投标文件的有效性。）</w:t>
      </w:r>
    </w:p>
    <w:tbl>
      <w:tblPr>
        <w:tblStyle w:val="46"/>
        <w:tblW w:w="92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980"/>
        <w:gridCol w:w="1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694" w:type="dxa"/>
            <w:vAlign w:val="center"/>
          </w:tcPr>
          <w:p>
            <w:pPr>
              <w:spacing w:before="120" w:beforeLines="50" w:line="360" w:lineRule="auto"/>
              <w:jc w:val="center"/>
              <w:rPr>
                <w:rFonts w:ascii="宋体" w:hAnsi="宋体"/>
                <w:b/>
              </w:rPr>
            </w:pPr>
            <w:r>
              <w:rPr>
                <w:rFonts w:hint="eastAsia" w:ascii="宋体" w:hAnsi="宋体"/>
                <w:b/>
              </w:rPr>
              <w:t>品牌</w:t>
            </w:r>
          </w:p>
        </w:tc>
        <w:tc>
          <w:tcPr>
            <w:tcW w:w="1253"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gridSpan w:val="2"/>
            <w:vAlign w:val="center"/>
          </w:tcPr>
          <w:p>
            <w:pPr>
              <w:spacing w:before="120" w:beforeLines="50" w:line="360" w:lineRule="auto"/>
              <w:jc w:val="center"/>
              <w:rPr>
                <w:rFonts w:ascii="宋体" w:hAnsi="宋体"/>
                <w:b/>
              </w:rPr>
            </w:pPr>
            <w:r>
              <w:rPr>
                <w:rFonts w:hint="eastAsia" w:ascii="宋体" w:hAnsi="宋体"/>
                <w:b/>
              </w:rPr>
              <w:t>单价</w:t>
            </w:r>
          </w:p>
        </w:tc>
        <w:tc>
          <w:tcPr>
            <w:tcW w:w="140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875" w:type="dxa"/>
            <w:gridSpan w:val="7"/>
            <w:vAlign w:val="center"/>
          </w:tcPr>
          <w:p>
            <w:pPr>
              <w:spacing w:line="360" w:lineRule="auto"/>
              <w:jc w:val="center"/>
              <w:rPr>
                <w:rFonts w:ascii="宋体" w:hAnsi="宋体"/>
              </w:rPr>
            </w:pPr>
            <w:r>
              <w:rPr>
                <w:rFonts w:hint="eastAsia" w:ascii="宋体" w:hAnsi="宋体" w:cs="宋体"/>
                <w:b/>
              </w:rPr>
              <w:t>监狱企业制造的货物</w:t>
            </w:r>
            <w:r>
              <w:rPr>
                <w:rFonts w:hint="eastAsia" w:ascii="宋体" w:hAnsi="宋体"/>
                <w:b/>
              </w:rPr>
              <w:t>总价合计</w:t>
            </w:r>
          </w:p>
        </w:tc>
        <w:tc>
          <w:tcPr>
            <w:tcW w:w="1418" w:type="dxa"/>
            <w:gridSpan w:val="2"/>
            <w:vAlign w:val="center"/>
          </w:tcPr>
          <w:p>
            <w:pPr>
              <w:spacing w:line="360" w:lineRule="auto"/>
              <w:rPr>
                <w:rFonts w:ascii="宋体" w:hAnsi="宋体"/>
              </w:rPr>
            </w:pPr>
            <w:r>
              <w:rPr>
                <w:rFonts w:hint="eastAsia" w:ascii="宋体" w:hAnsi="宋体"/>
              </w:rPr>
              <w:t>￥</w:t>
            </w:r>
          </w:p>
        </w:tc>
      </w:tr>
    </w:tbl>
    <w:p>
      <w:pPr>
        <w:numPr>
          <w:ilvl w:val="0"/>
          <w:numId w:val="38"/>
        </w:numPr>
        <w:tabs>
          <w:tab w:val="left" w:pos="630"/>
          <w:tab w:val="left" w:pos="7560"/>
        </w:tabs>
        <w:spacing w:after="200" w:line="360" w:lineRule="auto"/>
        <w:ind w:left="0" w:firstLine="0"/>
        <w:rPr>
          <w:rFonts w:ascii="宋体" w:hAnsi="宋体"/>
          <w:b/>
          <w:sz w:val="28"/>
        </w:rPr>
      </w:pPr>
      <w:r>
        <w:rPr>
          <w:rFonts w:hint="eastAsia" w:ascii="宋体" w:hAnsi="宋体"/>
          <w:b/>
          <w:sz w:val="28"/>
        </w:rPr>
        <w:t>投标人投标产品中为残疾人福利性单位制造的货物清单及价格（说明：如未提供则不能享受对残疾人福利性单位制造的货物的价格扣除，</w:t>
      </w:r>
      <w:r>
        <w:rPr>
          <w:rFonts w:ascii="宋体" w:hAnsi="宋体"/>
          <w:b/>
          <w:sz w:val="28"/>
        </w:rPr>
        <w:t>但不影响投标文件的有效性。</w:t>
      </w:r>
      <w:r>
        <w:rPr>
          <w:rFonts w:hint="eastAsia" w:ascii="宋体" w:hAnsi="宋体"/>
          <w:b/>
          <w:sz w:val="28"/>
        </w:rPr>
        <w:t>）</w:t>
      </w:r>
    </w:p>
    <w:tbl>
      <w:tblPr>
        <w:tblStyle w:val="46"/>
        <w:tblW w:w="10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1418"/>
        <w:gridCol w:w="1418"/>
        <w:gridCol w:w="1417"/>
        <w:gridCol w:w="851"/>
        <w:gridCol w:w="99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1418" w:type="dxa"/>
          </w:tcPr>
          <w:p>
            <w:pPr>
              <w:spacing w:before="120" w:beforeLines="50" w:line="360" w:lineRule="auto"/>
              <w:jc w:val="center"/>
              <w:rPr>
                <w:rFonts w:ascii="宋体" w:hAnsi="宋体"/>
                <w:b/>
              </w:rPr>
            </w:pPr>
            <w:r>
              <w:rPr>
                <w:rFonts w:hint="eastAsia" w:ascii="宋体" w:hAnsi="宋体"/>
                <w:b/>
              </w:rPr>
              <w:t>品牌</w:t>
            </w:r>
          </w:p>
        </w:tc>
        <w:tc>
          <w:tcPr>
            <w:tcW w:w="1418"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vAlign w:val="center"/>
          </w:tcPr>
          <w:p>
            <w:pPr>
              <w:spacing w:before="120" w:beforeLines="50" w:line="360" w:lineRule="auto"/>
              <w:jc w:val="center"/>
              <w:rPr>
                <w:rFonts w:ascii="宋体" w:hAnsi="宋体"/>
                <w:b/>
              </w:rPr>
            </w:pPr>
            <w:r>
              <w:rPr>
                <w:rFonts w:hint="eastAsia" w:ascii="宋体" w:hAnsi="宋体"/>
                <w:b/>
              </w:rPr>
              <w:t>单价</w:t>
            </w:r>
          </w:p>
        </w:tc>
        <w:tc>
          <w:tcPr>
            <w:tcW w:w="134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8776" w:type="dxa"/>
            <w:gridSpan w:val="7"/>
          </w:tcPr>
          <w:p>
            <w:pPr>
              <w:spacing w:line="360" w:lineRule="auto"/>
              <w:jc w:val="center"/>
              <w:rPr>
                <w:rFonts w:ascii="宋体" w:hAnsi="宋体"/>
              </w:rPr>
            </w:pPr>
            <w:r>
              <w:rPr>
                <w:rFonts w:hint="eastAsia" w:ascii="宋体" w:hAnsi="宋体" w:cs="宋体"/>
                <w:b/>
              </w:rPr>
              <w:t>残疾人福利性单位制造的货物</w:t>
            </w:r>
            <w:r>
              <w:rPr>
                <w:rFonts w:hint="eastAsia" w:ascii="宋体" w:hAnsi="宋体"/>
                <w:b/>
              </w:rPr>
              <w:t>总价合计</w:t>
            </w:r>
          </w:p>
        </w:tc>
        <w:tc>
          <w:tcPr>
            <w:tcW w:w="1346" w:type="dxa"/>
            <w:vAlign w:val="center"/>
          </w:tcPr>
          <w:p>
            <w:pPr>
              <w:spacing w:line="360" w:lineRule="auto"/>
              <w:rPr>
                <w:rFonts w:ascii="宋体" w:hAnsi="宋体"/>
              </w:rPr>
            </w:pPr>
            <w:r>
              <w:rPr>
                <w:rFonts w:hint="eastAsia" w:ascii="宋体" w:hAnsi="宋体"/>
              </w:rPr>
              <w:t>￥</w:t>
            </w:r>
          </w:p>
        </w:tc>
      </w:tr>
    </w:tbl>
    <w:p>
      <w:pPr>
        <w:tabs>
          <w:tab w:val="left" w:pos="630"/>
          <w:tab w:val="left" w:pos="7560"/>
        </w:tabs>
        <w:spacing w:line="360" w:lineRule="auto"/>
        <w:rPr>
          <w:rFonts w:ascii="宋体" w:hAnsi="宋体"/>
          <w:sz w:val="28"/>
          <w:szCs w:val="28"/>
        </w:rPr>
      </w:pPr>
    </w:p>
    <w:p>
      <w:pPr>
        <w:pStyle w:val="16"/>
        <w:spacing w:line="360" w:lineRule="auto"/>
        <w:ind w:firstLine="565" w:firstLineChars="202"/>
        <w:rPr>
          <w:rFonts w:ascii="宋体" w:hAnsi="宋体"/>
          <w:sz w:val="28"/>
        </w:rPr>
      </w:pPr>
    </w:p>
    <w:p>
      <w:pPr>
        <w:spacing w:line="360" w:lineRule="auto"/>
        <w:rPr>
          <w:rFonts w:ascii="宋体" w:hAnsi="宋体"/>
          <w:sz w:val="28"/>
          <w:lang w:val="zh-CN"/>
        </w:rPr>
      </w:pPr>
      <w:r>
        <w:rPr>
          <w:rFonts w:hint="eastAsia" w:ascii="宋体" w:hAnsi="宋体"/>
          <w:sz w:val="28"/>
          <w:lang w:val="zh-CN"/>
        </w:rPr>
        <w:t>投标人名称：</w:t>
      </w:r>
      <w:r>
        <w:rPr>
          <w:rFonts w:ascii="宋体" w:hAnsi="宋体"/>
          <w:sz w:val="28"/>
          <w:u w:val="single"/>
          <w:lang w:val="zh-CN"/>
        </w:rPr>
        <w:t>XXXXXXXX</w:t>
      </w:r>
    </w:p>
    <w:p>
      <w:pPr>
        <w:spacing w:line="360" w:lineRule="auto"/>
        <w:rPr>
          <w:rFonts w:ascii="宋体" w:hAnsi="宋体"/>
          <w:bCs/>
          <w:sz w:val="28"/>
        </w:rPr>
      </w:pPr>
      <w:r>
        <w:rPr>
          <w:rFonts w:ascii="宋体" w:hAnsi="宋体"/>
          <w:sz w:val="28"/>
        </w:rPr>
        <w:t>日期：</w:t>
      </w:r>
      <w:r>
        <w:rPr>
          <w:rFonts w:ascii="宋体" w:hAnsi="宋体"/>
          <w:bCs/>
          <w:sz w:val="28"/>
        </w:rPr>
        <w:t>202X年XX月XX日</w:t>
      </w: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rPr>
        <w:t>成都市龙泉驿区教育局</w:t>
      </w:r>
      <w:r>
        <w:rPr>
          <w:rFonts w:hint="eastAsia" w:ascii="宋体" w:hAnsi="宋体"/>
          <w:sz w:val="28"/>
          <w:szCs w:val="28"/>
        </w:rPr>
        <w:t>（单位名称）的</w:t>
      </w:r>
      <w:r>
        <w:rPr>
          <w:rFonts w:hint="eastAsia" w:ascii="宋体" w:hAnsi="宋体"/>
          <w:b/>
          <w:sz w:val="28"/>
          <w:szCs w:val="28"/>
          <w:u w:val="single"/>
          <w:lang w:eastAsia="zh-CN"/>
        </w:rPr>
        <w:t>成都市龙泉驿区教育局2021年新建永丰家园小学和十陵来龙小学办公家具采购项目</w:t>
      </w:r>
      <w:r>
        <w:rPr>
          <w:rFonts w:hint="eastAsia" w:ascii="宋体" w:hAnsi="宋体"/>
          <w:sz w:val="28"/>
          <w:szCs w:val="28"/>
        </w:rPr>
        <w:t>（项目名称）采购活动，</w:t>
      </w:r>
      <w:r>
        <w:rPr>
          <w:rFonts w:hint="eastAsia" w:ascii="宋体" w:hAnsi="宋体"/>
          <w:b/>
          <w:sz w:val="28"/>
          <w:szCs w:val="28"/>
        </w:rPr>
        <w:t>提供的货物全部由符合政策要求的中小企业制造。</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pStyle w:val="77"/>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rPr>
        <w:t>成都市龙泉驿区教育局</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lang w:eastAsia="zh-CN"/>
        </w:rPr>
        <w:t>成都市龙泉驿区教育局2021年新建永丰家园小学和十陵来龙小学办公家具采购项目</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rPr>
        <w:t>投标产品</w:t>
      </w:r>
      <w:r>
        <w:rPr>
          <w:rFonts w:ascii="宋体" w:hAnsi="宋体"/>
          <w:b/>
          <w:sz w:val="28"/>
          <w:szCs w:val="28"/>
        </w:rPr>
        <w:t>制造商属于监狱企业的证明文件复印件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投标</w:t>
      </w:r>
      <w:r>
        <w:rPr>
          <w:sz w:val="28"/>
          <w:szCs w:val="28"/>
        </w:rPr>
        <w:t>投标产品中为监狱企业制造的货物应提供由省级以上监狱管理局、戒毒管理局（含新疆生产建设兵团）出具的制造商属于监狱企业的证明文件复印件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spacing w:line="588" w:lineRule="exact"/>
        <w:ind w:firstLine="563"/>
        <w:rPr>
          <w:rFonts w:ascii="宋体" w:hAnsi="宋体"/>
          <w:b/>
          <w:sz w:val="28"/>
          <w:szCs w:val="28"/>
        </w:rPr>
      </w:pPr>
      <w:r>
        <w:rPr>
          <w:rFonts w:hint="eastAsia" w:ascii="宋体" w:hAnsi="宋体"/>
          <w:b/>
          <w:spacing w:val="6"/>
          <w:sz w:val="28"/>
          <w:szCs w:val="28"/>
        </w:rPr>
        <w:t>说明：</w:t>
      </w:r>
      <w:r>
        <w:rPr>
          <w:rFonts w:hint="eastAsia" w:ascii="宋体" w:hAnsi="宋体"/>
          <w:b/>
          <w:sz w:val="28"/>
          <w:szCs w:val="28"/>
        </w:rPr>
        <w:t>如未提供投标产品</w:t>
      </w:r>
      <w:r>
        <w:rPr>
          <w:rFonts w:ascii="宋体" w:hAnsi="宋体"/>
          <w:b/>
          <w:sz w:val="28"/>
          <w:szCs w:val="28"/>
        </w:rPr>
        <w:t>制造商属于监狱企业的证明文件</w:t>
      </w:r>
      <w:r>
        <w:rPr>
          <w:rFonts w:hint="eastAsia" w:ascii="宋体" w:hAnsi="宋体"/>
          <w:b/>
          <w:sz w:val="28"/>
          <w:szCs w:val="28"/>
        </w:rPr>
        <w:t>复印件的，不能享受招标文件规定的价格扣除，但不影响投标人投标文件的有效性。</w:t>
      </w:r>
    </w:p>
    <w:p>
      <w:pPr>
        <w:spacing w:line="440" w:lineRule="atLeast"/>
        <w:rPr>
          <w:rFonts w:ascii="宋体" w:hAnsi="宋体"/>
          <w:b/>
          <w:sz w:val="28"/>
          <w:szCs w:val="28"/>
        </w:rPr>
      </w:pPr>
    </w:p>
    <w:bookmarkEnd w:id="147"/>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9" w:name="_Toc74752334"/>
      <w:bookmarkStart w:id="150" w:name="_Toc217446093"/>
      <w:bookmarkStart w:id="151" w:name="_Toc321382057"/>
      <w:bookmarkStart w:id="152" w:name="_Toc316292231"/>
      <w:r>
        <w:rPr>
          <w:rFonts w:hint="eastAsia" w:ascii="宋体" w:hAnsi="宋体"/>
          <w:b/>
          <w:bCs/>
          <w:spacing w:val="-20"/>
          <w:kern w:val="44"/>
          <w:sz w:val="32"/>
          <w:szCs w:val="32"/>
        </w:rPr>
        <w:t>招标项目技术、服务、商务及其他要求</w:t>
      </w:r>
      <w:bookmarkEnd w:id="149"/>
      <w:bookmarkEnd w:id="150"/>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3" w:name="_Toc74752335"/>
      <w:r>
        <w:rPr>
          <w:rFonts w:hint="eastAsia" w:ascii="宋体" w:hAnsi="宋体"/>
          <w:b/>
          <w:bCs/>
          <w:sz w:val="32"/>
          <w:szCs w:val="32"/>
        </w:rPr>
        <w:t>项目概况</w:t>
      </w:r>
      <w:bookmarkEnd w:id="153"/>
    </w:p>
    <w:p>
      <w:pPr>
        <w:tabs>
          <w:tab w:val="left" w:pos="851"/>
        </w:tabs>
        <w:spacing w:line="360" w:lineRule="auto"/>
        <w:ind w:firstLine="565" w:firstLineChars="202"/>
        <w:rPr>
          <w:rFonts w:ascii="宋体" w:hAnsi="宋体"/>
          <w:sz w:val="28"/>
          <w:szCs w:val="28"/>
        </w:rPr>
      </w:pPr>
      <w:r>
        <w:rPr>
          <w:rFonts w:hint="eastAsia" w:ascii="宋体" w:hAnsi="宋体"/>
          <w:sz w:val="28"/>
          <w:szCs w:val="28"/>
        </w:rPr>
        <w:t>本项目拟采购龙泉驿区新建永丰家园</w:t>
      </w:r>
      <w:r>
        <w:rPr>
          <w:rFonts w:hint="eastAsia" w:ascii="宋体" w:hAnsi="宋体"/>
          <w:sz w:val="28"/>
          <w:szCs w:val="28"/>
          <w:lang w:eastAsia="zh-CN"/>
        </w:rPr>
        <w:t>和十陵</w:t>
      </w:r>
      <w:r>
        <w:rPr>
          <w:rFonts w:hint="eastAsia" w:ascii="宋体" w:hAnsi="宋体"/>
          <w:sz w:val="28"/>
          <w:szCs w:val="28"/>
        </w:rPr>
        <w:t>来龙</w:t>
      </w:r>
      <w:r>
        <w:rPr>
          <w:rFonts w:hint="eastAsia" w:ascii="宋体" w:hAnsi="宋体"/>
          <w:sz w:val="28"/>
          <w:szCs w:val="28"/>
          <w:lang w:eastAsia="zh-CN"/>
        </w:rPr>
        <w:t>小</w:t>
      </w:r>
      <w:r>
        <w:rPr>
          <w:rFonts w:hint="eastAsia" w:ascii="宋体" w:hAnsi="宋体"/>
          <w:sz w:val="28"/>
          <w:szCs w:val="28"/>
        </w:rPr>
        <w:t>学小学合班课桌椅</w:t>
      </w:r>
      <w:r>
        <w:rPr>
          <w:rFonts w:hint="eastAsia" w:ascii="宋体" w:hAnsi="宋体"/>
          <w:sz w:val="28"/>
          <w:szCs w:val="28"/>
          <w:lang w:eastAsia="zh-CN"/>
        </w:rPr>
        <w:t>、</w:t>
      </w:r>
      <w:r>
        <w:rPr>
          <w:rFonts w:hint="eastAsia" w:ascii="宋体" w:hAnsi="宋体"/>
          <w:sz w:val="28"/>
          <w:szCs w:val="28"/>
        </w:rPr>
        <w:t>办公家具</w:t>
      </w:r>
      <w:r>
        <w:rPr>
          <w:rFonts w:hint="eastAsia" w:ascii="宋体" w:hAnsi="宋体"/>
          <w:sz w:val="28"/>
          <w:szCs w:val="28"/>
          <w:lang w:eastAsia="zh-CN"/>
        </w:rPr>
        <w:t>和</w:t>
      </w:r>
      <w:r>
        <w:rPr>
          <w:rFonts w:hint="eastAsia" w:ascii="宋体" w:hAnsi="宋体"/>
          <w:sz w:val="28"/>
          <w:szCs w:val="28"/>
        </w:rPr>
        <w:t>办公室等所需办公家具，</w:t>
      </w:r>
      <w:r>
        <w:rPr>
          <w:rFonts w:hint="eastAsia" w:ascii="宋体" w:hAnsi="宋体"/>
          <w:sz w:val="28"/>
          <w:szCs w:val="28"/>
          <w:lang w:eastAsia="zh-CN"/>
        </w:rPr>
        <w:t>具体如下</w:t>
      </w:r>
      <w:r>
        <w:rPr>
          <w:rFonts w:hint="eastAsia" w:ascii="宋体" w:hAnsi="宋体"/>
          <w:sz w:val="28"/>
          <w:szCs w:val="28"/>
        </w:rPr>
        <w:t>。</w:t>
      </w:r>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4" w:name="_Toc74752336"/>
      <w:r>
        <w:rPr>
          <w:rFonts w:hint="eastAsia" w:ascii="宋体" w:hAnsi="宋体"/>
          <w:b/>
          <w:bCs/>
          <w:sz w:val="32"/>
          <w:szCs w:val="32"/>
        </w:rPr>
        <w:t>采购内容</w:t>
      </w:r>
      <w:bookmarkEnd w:id="154"/>
      <w:r>
        <w:rPr>
          <w:rFonts w:hint="eastAsia" w:ascii="宋体" w:hAnsi="宋体"/>
          <w:b/>
          <w:bCs/>
          <w:sz w:val="32"/>
          <w:szCs w:val="32"/>
          <w:lang w:val="en-US" w:eastAsia="zh-CN"/>
        </w:rPr>
        <w:t xml:space="preserve">  </w:t>
      </w:r>
    </w:p>
    <w:p>
      <w:pPr>
        <w:tabs>
          <w:tab w:val="left" w:pos="851"/>
        </w:tabs>
        <w:spacing w:line="360" w:lineRule="auto"/>
        <w:ind w:firstLine="565" w:firstLineChars="202"/>
        <w:rPr>
          <w:rFonts w:hint="eastAsia" w:ascii="宋体" w:hAnsi="宋体"/>
          <w:sz w:val="28"/>
          <w:szCs w:val="28"/>
          <w:lang w:eastAsia="zh-CN"/>
        </w:rPr>
      </w:pPr>
      <w:r>
        <w:rPr>
          <w:rFonts w:hint="eastAsia" w:ascii="宋体" w:hAnsi="宋体"/>
          <w:sz w:val="28"/>
          <w:szCs w:val="28"/>
          <w:lang w:eastAsia="zh-CN"/>
        </w:rPr>
        <w:t>本项目</w:t>
      </w:r>
      <w:r>
        <w:rPr>
          <w:rFonts w:hint="eastAsia" w:ascii="宋体" w:hAnsi="宋体"/>
          <w:sz w:val="28"/>
          <w:szCs w:val="28"/>
        </w:rPr>
        <w:t>核心产品为：合班课桌椅、木质涂饰办公桌、弓架网椅、</w:t>
      </w:r>
      <w:r>
        <w:rPr>
          <w:rFonts w:hint="eastAsia" w:ascii="宋体" w:hAnsi="宋体"/>
          <w:sz w:val="28"/>
          <w:szCs w:val="28"/>
          <w:lang w:eastAsia="zh-CN"/>
        </w:rPr>
        <w:t>屏风</w:t>
      </w:r>
      <w:r>
        <w:rPr>
          <w:rFonts w:hint="eastAsia" w:ascii="宋体" w:hAnsi="宋体"/>
          <w:sz w:val="28"/>
          <w:szCs w:val="28"/>
        </w:rPr>
        <w:t>工作位、钢制文件柜、礼堂椅</w:t>
      </w:r>
      <w:r>
        <w:rPr>
          <w:rFonts w:hint="eastAsia" w:ascii="宋体" w:hAnsi="宋体"/>
          <w:sz w:val="28"/>
          <w:szCs w:val="28"/>
          <w:lang w:eastAsia="zh-CN"/>
        </w:rPr>
        <w:t>。</w:t>
      </w:r>
    </w:p>
    <w:tbl>
      <w:tblPr>
        <w:tblStyle w:val="46"/>
        <w:tblW w:w="8522" w:type="dxa"/>
        <w:tblInd w:w="0" w:type="dxa"/>
        <w:tblLayout w:type="fixed"/>
        <w:tblCellMar>
          <w:top w:w="0" w:type="dxa"/>
          <w:left w:w="108" w:type="dxa"/>
          <w:bottom w:w="0" w:type="dxa"/>
          <w:right w:w="108" w:type="dxa"/>
        </w:tblCellMar>
      </w:tblPr>
      <w:tblGrid>
        <w:gridCol w:w="1925"/>
        <w:gridCol w:w="2899"/>
        <w:gridCol w:w="1510"/>
        <w:gridCol w:w="2188"/>
      </w:tblGrid>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b/>
                <w:color w:val="000000"/>
                <w:sz w:val="24"/>
                <w:szCs w:val="24"/>
              </w:rPr>
            </w:pPr>
            <w:r>
              <w:rPr>
                <w:rFonts w:ascii="宋体" w:hAnsi="宋体" w:eastAsia="宋体"/>
                <w:b/>
                <w:color w:val="000000"/>
                <w:sz w:val="24"/>
                <w:szCs w:val="24"/>
              </w:rPr>
              <w:t>序号</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b/>
                <w:color w:val="000000"/>
                <w:sz w:val="24"/>
                <w:szCs w:val="24"/>
              </w:rPr>
            </w:pPr>
            <w:r>
              <w:rPr>
                <w:rFonts w:ascii="宋体" w:hAnsi="宋体" w:eastAsia="宋体"/>
                <w:b/>
                <w:color w:val="000000"/>
                <w:sz w:val="24"/>
                <w:szCs w:val="24"/>
              </w:rPr>
              <w:t>品名</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b/>
                <w:color w:val="000000"/>
                <w:sz w:val="24"/>
                <w:szCs w:val="24"/>
              </w:rPr>
            </w:pPr>
            <w:r>
              <w:rPr>
                <w:rFonts w:ascii="宋体" w:hAnsi="宋体" w:eastAsia="宋体"/>
                <w:b/>
                <w:color w:val="000000"/>
                <w:sz w:val="24"/>
                <w:szCs w:val="24"/>
              </w:rPr>
              <w:t>单位</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b/>
                <w:color w:val="000000"/>
                <w:sz w:val="24"/>
                <w:szCs w:val="24"/>
              </w:rPr>
            </w:pPr>
            <w:r>
              <w:rPr>
                <w:rFonts w:ascii="宋体" w:hAnsi="宋体" w:eastAsia="宋体"/>
                <w:b/>
                <w:color w:val="000000"/>
                <w:sz w:val="24"/>
                <w:szCs w:val="24"/>
              </w:rPr>
              <w:t>数量</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木质涂饰办公桌</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张</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hint="eastAsia" w:ascii="宋体" w:hAnsi="宋体" w:eastAsia="宋体"/>
                <w:color w:val="000000"/>
                <w:sz w:val="24"/>
                <w:szCs w:val="24"/>
                <w:lang w:val="en-US" w:eastAsia="zh-CN"/>
              </w:rPr>
            </w:pPr>
            <w:r>
              <w:rPr>
                <w:rFonts w:ascii="宋体" w:hAnsi="宋体" w:eastAsia="宋体"/>
                <w:color w:val="000000"/>
                <w:sz w:val="24"/>
                <w:szCs w:val="24"/>
              </w:rPr>
              <w:t>定制柜</w:t>
            </w:r>
            <w:r>
              <w:rPr>
                <w:rFonts w:hint="eastAsia" w:ascii="宋体" w:hAnsi="宋体"/>
                <w:color w:val="000000"/>
                <w:sz w:val="24"/>
                <w:szCs w:val="24"/>
                <w:lang w:val="en-US" w:eastAsia="zh-CN"/>
              </w:rPr>
              <w:t>1</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组</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7</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hint="eastAsia" w:ascii="宋体" w:hAnsi="宋体" w:eastAsia="宋体"/>
                <w:color w:val="000000"/>
                <w:sz w:val="24"/>
                <w:szCs w:val="24"/>
                <w:lang w:val="en-US" w:eastAsia="zh-CN"/>
              </w:rPr>
            </w:pPr>
            <w:r>
              <w:rPr>
                <w:rFonts w:ascii="宋体" w:hAnsi="宋体" w:eastAsia="宋体"/>
                <w:color w:val="000000"/>
                <w:sz w:val="24"/>
                <w:szCs w:val="24"/>
              </w:rPr>
              <w:t>定制柜</w:t>
            </w:r>
            <w:r>
              <w:rPr>
                <w:rFonts w:hint="eastAsia" w:ascii="宋体" w:hAnsi="宋体"/>
                <w:color w:val="000000"/>
                <w:sz w:val="24"/>
                <w:szCs w:val="24"/>
                <w:lang w:val="en-US" w:eastAsia="zh-CN"/>
              </w:rPr>
              <w:t>2</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组</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7</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4</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皮转椅</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把</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5</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弓架网椅</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把</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4</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6</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木质涂饰书柜</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门</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37</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7</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木质涂饰茶水柜</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组</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8</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木质涂饰茶几</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张</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7</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9</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木质覆面办公桌</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张</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5</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10</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hint="eastAsia" w:ascii="宋体" w:hAnsi="宋体" w:eastAsia="宋体"/>
                <w:color w:val="000000"/>
                <w:sz w:val="24"/>
                <w:szCs w:val="24"/>
                <w:lang w:val="en-US" w:eastAsia="zh-CN"/>
              </w:rPr>
            </w:pPr>
            <w:r>
              <w:rPr>
                <w:rFonts w:ascii="宋体" w:hAnsi="宋体" w:eastAsia="宋体"/>
                <w:color w:val="000000"/>
                <w:sz w:val="24"/>
                <w:szCs w:val="24"/>
              </w:rPr>
              <w:t>皮沙发</w:t>
            </w:r>
            <w:r>
              <w:rPr>
                <w:rFonts w:hint="eastAsia" w:ascii="宋体" w:hAnsi="宋体"/>
                <w:color w:val="000000"/>
                <w:sz w:val="24"/>
                <w:szCs w:val="24"/>
                <w:lang w:val="en-US" w:eastAsia="zh-CN"/>
              </w:rPr>
              <w:t>1</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套</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11</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hint="eastAsia" w:ascii="宋体" w:hAnsi="宋体" w:eastAsia="宋体"/>
                <w:color w:val="000000"/>
                <w:sz w:val="24"/>
                <w:szCs w:val="24"/>
                <w:lang w:val="en-US" w:eastAsia="zh-CN"/>
              </w:rPr>
            </w:pPr>
            <w:r>
              <w:rPr>
                <w:rFonts w:ascii="宋体" w:hAnsi="宋体" w:eastAsia="宋体"/>
                <w:color w:val="000000"/>
                <w:sz w:val="24"/>
                <w:szCs w:val="24"/>
              </w:rPr>
              <w:t>皮沙发</w:t>
            </w:r>
            <w:r>
              <w:rPr>
                <w:rFonts w:hint="eastAsia" w:ascii="宋体" w:hAnsi="宋体"/>
                <w:color w:val="000000"/>
                <w:sz w:val="24"/>
                <w:szCs w:val="24"/>
                <w:lang w:val="en-US" w:eastAsia="zh-CN"/>
              </w:rPr>
              <w:t>2</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组</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21</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12</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网面转椅</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把</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5</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13</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书包柜</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组</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54</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14</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木质涂饰办公桌</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张</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100</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15</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弓架网椅</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把</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230</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16</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网面转椅</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把</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100</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17</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木质涂饰茶水柜</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组</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8</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18</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hint="eastAsia" w:ascii="宋体" w:hAnsi="宋体"/>
                <w:color w:val="000000"/>
                <w:sz w:val="24"/>
                <w:szCs w:val="24"/>
                <w:lang w:eastAsia="zh-CN"/>
              </w:rPr>
              <w:t>屏风</w:t>
            </w:r>
            <w:r>
              <w:rPr>
                <w:rFonts w:ascii="宋体" w:hAnsi="宋体" w:eastAsia="宋体"/>
                <w:color w:val="000000"/>
                <w:sz w:val="24"/>
                <w:szCs w:val="24"/>
              </w:rPr>
              <w:t>工作位</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位</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200</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19</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木质涂饰书柜</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组</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20</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保密柜</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套</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21</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保险柜</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组</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22</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钢制文件柜</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组</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174</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23</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会计凭证柜</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组</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14</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24</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密集架</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立方米</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52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25</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书梯</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部</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26</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书车</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部</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27</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干湿温度计</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支</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28</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除湿机</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台</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29</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防磁柜</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套</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30</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主席台</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米</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42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31</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实木架会议椅</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把</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18</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32</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木质涂饰演讲台</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组</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33</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木质涂饰条形桌</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张</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10</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34</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木质涂饰条形桌</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张</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18</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35</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木质涂饰会议桌</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张</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36</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会议椅</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把</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40</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37</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礼堂椅</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座</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362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38</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合班课桌椅</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位</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452</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39</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窗帘布</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米</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3850</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40</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窗帘纱</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米</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3850</w:t>
            </w:r>
          </w:p>
        </w:tc>
      </w:tr>
      <w:tr>
        <w:tblPrEx>
          <w:tblLayout w:type="fixed"/>
          <w:tblCellMar>
            <w:top w:w="0" w:type="dxa"/>
            <w:left w:w="108" w:type="dxa"/>
            <w:bottom w:w="0" w:type="dxa"/>
            <w:right w:w="108" w:type="dxa"/>
          </w:tblCellMar>
        </w:tblPrEx>
        <w:tc>
          <w:tcPr>
            <w:tcW w:w="19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41</w:t>
            </w:r>
          </w:p>
        </w:tc>
        <w:tc>
          <w:tcPr>
            <w:tcW w:w="2899"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轨道</w:t>
            </w:r>
          </w:p>
        </w:tc>
        <w:tc>
          <w:tcPr>
            <w:tcW w:w="151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米</w:t>
            </w:r>
          </w:p>
        </w:tc>
        <w:tc>
          <w:tcPr>
            <w:tcW w:w="2188"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jc w:val="center"/>
              <w:rPr>
                <w:rFonts w:ascii="宋体" w:hAnsi="宋体" w:eastAsia="宋体"/>
                <w:color w:val="000000"/>
                <w:sz w:val="24"/>
                <w:szCs w:val="24"/>
              </w:rPr>
            </w:pPr>
            <w:r>
              <w:rPr>
                <w:rFonts w:ascii="宋体" w:hAnsi="宋体" w:eastAsia="宋体"/>
                <w:color w:val="000000"/>
                <w:sz w:val="24"/>
                <w:szCs w:val="24"/>
              </w:rPr>
              <w:t>3850</w:t>
            </w:r>
          </w:p>
        </w:tc>
      </w:tr>
    </w:tbl>
    <w:p>
      <w:pPr>
        <w:tabs>
          <w:tab w:val="left" w:pos="851"/>
        </w:tabs>
        <w:spacing w:line="360" w:lineRule="auto"/>
        <w:ind w:firstLine="424" w:firstLineChars="202"/>
      </w:pPr>
    </w:p>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5" w:name="_Toc74752337"/>
      <w:r>
        <w:rPr>
          <w:rFonts w:hint="eastAsia" w:ascii="宋体" w:hAnsi="宋体"/>
          <w:b/>
          <w:bCs/>
          <w:sz w:val="32"/>
          <w:szCs w:val="32"/>
        </w:rPr>
        <w:t>技术参数及要求</w:t>
      </w:r>
      <w:bookmarkEnd w:id="155"/>
      <w:bookmarkStart w:id="156" w:name="_Toc529173741"/>
      <w:bookmarkStart w:id="157" w:name="_Toc533672602"/>
    </w:p>
    <w:p>
      <w:pPr>
        <w:pStyle w:val="2"/>
        <w:rPr>
          <w:rFonts w:hint="eastAsia" w:ascii="宋体" w:hAnsi="宋体"/>
          <w:b/>
          <w:bCs/>
          <w:sz w:val="32"/>
          <w:szCs w:val="32"/>
        </w:rPr>
        <w:sectPr>
          <w:footerReference r:id="rId3" w:type="default"/>
          <w:pgSz w:w="12240" w:h="15840"/>
          <w:pgMar w:top="1440" w:right="1800" w:bottom="1440" w:left="1800" w:header="708" w:footer="708" w:gutter="0"/>
          <w:cols w:space="708" w:num="1"/>
          <w:docGrid w:linePitch="360" w:charSpace="0"/>
        </w:sectPr>
      </w:pPr>
    </w:p>
    <w:p>
      <w:pPr>
        <w:rPr>
          <w:rFonts w:hint="eastAsia"/>
        </w:rPr>
      </w:pPr>
    </w:p>
    <w:tbl>
      <w:tblPr>
        <w:tblStyle w:val="4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9"/>
        <w:gridCol w:w="1028"/>
        <w:gridCol w:w="2316"/>
        <w:gridCol w:w="10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b/>
                <w:color w:val="000000"/>
              </w:rPr>
            </w:pPr>
            <w:r>
              <w:rPr>
                <w:rFonts w:ascii="宋体" w:hAnsi="宋体" w:eastAsia="宋体"/>
                <w:b/>
                <w:color w:val="000000"/>
              </w:rPr>
              <w:t>序号</w:t>
            </w:r>
          </w:p>
        </w:tc>
        <w:tc>
          <w:tcPr>
            <w:tcW w:w="1028" w:type="dxa"/>
            <w:vAlign w:val="center"/>
          </w:tcPr>
          <w:p>
            <w:pPr>
              <w:autoSpaceDE w:val="0"/>
              <w:autoSpaceDN w:val="0"/>
              <w:spacing w:line="360" w:lineRule="auto"/>
              <w:jc w:val="center"/>
              <w:rPr>
                <w:rFonts w:ascii="宋体" w:hAnsi="宋体" w:eastAsia="宋体"/>
                <w:b/>
                <w:color w:val="000000"/>
              </w:rPr>
            </w:pPr>
            <w:r>
              <w:rPr>
                <w:rFonts w:ascii="宋体" w:hAnsi="宋体" w:eastAsia="宋体"/>
                <w:b/>
                <w:color w:val="000000"/>
              </w:rPr>
              <w:t>品名</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b/>
                <w:color w:val="000000"/>
              </w:rPr>
              <w:t>规格（</w:t>
            </w:r>
            <w:r>
              <w:rPr>
                <w:rFonts w:ascii="宋体" w:hAnsi="宋体" w:eastAsia="宋体"/>
                <w:color w:val="000000"/>
              </w:rPr>
              <w:t>mm）</w:t>
            </w:r>
          </w:p>
        </w:tc>
        <w:tc>
          <w:tcPr>
            <w:tcW w:w="10221" w:type="dxa"/>
            <w:vAlign w:val="center"/>
          </w:tcPr>
          <w:p>
            <w:pPr>
              <w:autoSpaceDE w:val="0"/>
              <w:autoSpaceDN w:val="0"/>
              <w:spacing w:line="360" w:lineRule="auto"/>
              <w:jc w:val="center"/>
              <w:rPr>
                <w:rFonts w:ascii="宋体" w:hAnsi="宋体" w:eastAsia="宋体"/>
                <w:b/>
                <w:color w:val="000000"/>
              </w:rPr>
            </w:pPr>
            <w:r>
              <w:rPr>
                <w:rFonts w:ascii="宋体" w:hAnsi="宋体" w:eastAsia="宋体"/>
                <w:b/>
                <w:color w:val="000000"/>
              </w:rPr>
              <w:t>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木质涂饰办公桌</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2200*1050*760</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基材：采用E1级中密度纤维板，含水率≤6.3%，吸水膨胀率≥9.1%，甲醛释放量≤0.038mg/m³。</w:t>
            </w:r>
          </w:p>
          <w:p>
            <w:pPr>
              <w:autoSpaceDE w:val="0"/>
              <w:autoSpaceDN w:val="0"/>
              <w:spacing w:line="360" w:lineRule="auto"/>
              <w:jc w:val="left"/>
              <w:rPr>
                <w:rFonts w:ascii="宋体" w:hAnsi="宋体" w:eastAsia="宋体"/>
                <w:color w:val="000000"/>
              </w:rPr>
            </w:pPr>
            <w:r>
              <w:rPr>
                <w:rFonts w:ascii="宋体" w:hAnsi="宋体" w:eastAsia="宋体"/>
                <w:color w:val="000000"/>
              </w:rPr>
              <w:t>胶水：采用净味拼板胶，符合内装饰装修材料胶粘剂中有害物质限量，总挥发有机物≤22G/L,笨≤0.02g/kg，游离甲醛≤0.1g/kg。</w:t>
            </w:r>
          </w:p>
          <w:p>
            <w:pPr>
              <w:autoSpaceDE w:val="0"/>
              <w:autoSpaceDN w:val="0"/>
              <w:spacing w:line="360" w:lineRule="auto"/>
              <w:jc w:val="left"/>
              <w:rPr>
                <w:rFonts w:ascii="宋体" w:hAnsi="宋体" w:eastAsia="宋体"/>
                <w:color w:val="000000"/>
              </w:rPr>
            </w:pPr>
            <w:r>
              <w:rPr>
                <w:rFonts w:ascii="宋体" w:hAnsi="宋体" w:eastAsia="宋体"/>
                <w:color w:val="000000"/>
              </w:rPr>
              <w:t>表面：采用柏腊木皮贴面，厚度≥0.6mm：甲醛释放量≤0.11mg/L</w:t>
            </w:r>
          </w:p>
          <w:p>
            <w:pPr>
              <w:autoSpaceDE w:val="0"/>
              <w:autoSpaceDN w:val="0"/>
              <w:spacing w:line="360" w:lineRule="auto"/>
              <w:jc w:val="left"/>
              <w:rPr>
                <w:rFonts w:ascii="宋体" w:hAnsi="宋体" w:eastAsia="宋体"/>
                <w:color w:val="000000"/>
              </w:rPr>
            </w:pPr>
            <w:r>
              <w:rPr>
                <w:rFonts w:ascii="宋体" w:hAnsi="宋体" w:eastAsia="宋体"/>
                <w:color w:val="000000"/>
              </w:rPr>
              <w:t>底漆：采用水性高透明底漆，符合企业技术规范干燥时间表干30min 已干实干6h 已干。</w:t>
            </w:r>
          </w:p>
          <w:p>
            <w:pPr>
              <w:autoSpaceDE w:val="0"/>
              <w:autoSpaceDN w:val="0"/>
              <w:spacing w:line="360" w:lineRule="auto"/>
              <w:jc w:val="left"/>
              <w:rPr>
                <w:rFonts w:ascii="宋体" w:hAnsi="宋体" w:eastAsia="宋体"/>
                <w:color w:val="000000"/>
              </w:rPr>
            </w:pPr>
            <w:r>
              <w:rPr>
                <w:rFonts w:ascii="宋体" w:hAnsi="宋体" w:eastAsia="宋体"/>
                <w:color w:val="000000"/>
              </w:rPr>
              <w:t>面漆：采用水性UV X分哑清面漆，符合企业技术规范细度≤7UM 耐磨性≤0.007g</w:t>
            </w:r>
          </w:p>
          <w:p>
            <w:pPr>
              <w:autoSpaceDE w:val="0"/>
              <w:autoSpaceDN w:val="0"/>
              <w:spacing w:line="360" w:lineRule="auto"/>
              <w:jc w:val="left"/>
              <w:rPr>
                <w:rFonts w:ascii="宋体" w:hAnsi="宋体" w:eastAsia="宋体"/>
                <w:color w:val="000000"/>
              </w:rPr>
            </w:pPr>
            <w:r>
              <w:rPr>
                <w:rFonts w:ascii="宋体" w:hAnsi="宋体" w:eastAsia="宋体"/>
                <w:color w:val="000000"/>
              </w:rPr>
              <w:t>过线盒：采用优质的过线盒 金属电镀层抗盐雾检验 18h，无锈点。</w:t>
            </w:r>
          </w:p>
          <w:p>
            <w:pPr>
              <w:autoSpaceDE w:val="0"/>
              <w:autoSpaceDN w:val="0"/>
              <w:spacing w:line="360" w:lineRule="auto"/>
              <w:jc w:val="left"/>
              <w:rPr>
                <w:rFonts w:ascii="宋体" w:hAnsi="宋体" w:eastAsia="宋体"/>
                <w:color w:val="000000"/>
              </w:rPr>
            </w:pPr>
            <w:r>
              <w:rPr>
                <w:rFonts w:ascii="宋体" w:hAnsi="宋体" w:eastAsia="宋体"/>
                <w:color w:val="000000"/>
              </w:rPr>
              <w:t>三合一连接件：采用优质的三合一连接件 金属电镀层抗盐雾检验 18h，无锈点。</w:t>
            </w:r>
          </w:p>
          <w:p>
            <w:pPr>
              <w:autoSpaceDE w:val="0"/>
              <w:autoSpaceDN w:val="0"/>
              <w:spacing w:line="360" w:lineRule="auto"/>
              <w:jc w:val="left"/>
              <w:rPr>
                <w:rFonts w:ascii="宋体" w:hAnsi="宋体" w:eastAsia="宋体"/>
                <w:color w:val="000000"/>
              </w:rPr>
            </w:pPr>
            <w:r>
              <w:rPr>
                <w:rFonts w:ascii="宋体" w:hAnsi="宋体" w:eastAsia="宋体"/>
                <w:color w:val="000000"/>
              </w:rPr>
              <w:t>阻尼滑轨：采用阻尼滑轨 五金抽屉导轨 垂直向下静载荷、水平侧向静载荷、耐久性、耐腐蚀符合检测标准</w:t>
            </w:r>
          </w:p>
          <w:p>
            <w:pPr>
              <w:autoSpaceDE w:val="0"/>
              <w:autoSpaceDN w:val="0"/>
              <w:spacing w:line="360" w:lineRule="auto"/>
              <w:jc w:val="left"/>
              <w:rPr>
                <w:rFonts w:ascii="宋体" w:hAnsi="宋体" w:eastAsia="宋体"/>
                <w:color w:val="000000"/>
              </w:rPr>
            </w:pPr>
            <w:r>
              <w:rPr>
                <w:rFonts w:ascii="宋体" w:hAnsi="宋体" w:eastAsia="宋体"/>
                <w:color w:val="000000"/>
              </w:rPr>
              <w:t>阻尼铰链：采用优质的阻尼铰链 垂直向下静载荷、水平侧向静载荷、耐久性、耐腐蚀符合检测标准</w:t>
            </w:r>
          </w:p>
          <w:p>
            <w:pPr>
              <w:autoSpaceDE w:val="0"/>
              <w:autoSpaceDN w:val="0"/>
              <w:spacing w:line="360" w:lineRule="auto"/>
              <w:jc w:val="left"/>
              <w:rPr>
                <w:rFonts w:ascii="宋体" w:hAnsi="宋体" w:eastAsia="宋体"/>
                <w:color w:val="000000"/>
              </w:rPr>
            </w:pPr>
            <w:r>
              <w:rPr>
                <w:rFonts w:ascii="宋体" w:hAnsi="宋体" w:eastAsia="宋体"/>
                <w:color w:val="000000"/>
              </w:rPr>
              <w:t xml:space="preserve">锁具：采用优质的锁具 锁定到位开启灵活，金属电镀层抗盐雾18h，无锈点。 </w:t>
            </w:r>
          </w:p>
          <w:p>
            <w:pPr>
              <w:autoSpaceDE w:val="0"/>
              <w:autoSpaceDN w:val="0"/>
              <w:spacing w:line="360" w:lineRule="auto"/>
              <w:jc w:val="left"/>
              <w:rPr>
                <w:rFonts w:ascii="宋体" w:hAnsi="宋体" w:eastAsia="宋体"/>
                <w:color w:val="000000"/>
              </w:rPr>
            </w:pPr>
            <w:r>
              <w:rPr>
                <w:rFonts w:ascii="宋体" w:hAnsi="宋体" w:eastAsia="宋体"/>
                <w:color w:val="000000"/>
              </w:rPr>
              <w:t>不锈钢卡扣：采用优质的不锈钢卡扣，金属电镀层抗盐雾符合检测标准。</w:t>
            </w:r>
          </w:p>
          <w:p>
            <w:pPr>
              <w:autoSpaceDE w:val="0"/>
              <w:autoSpaceDN w:val="0"/>
              <w:spacing w:line="360" w:lineRule="auto"/>
              <w:jc w:val="left"/>
              <w:rPr>
                <w:rFonts w:ascii="宋体" w:hAnsi="宋体" w:eastAsia="宋体"/>
                <w:color w:val="000000"/>
              </w:rPr>
            </w:pPr>
            <w:r>
              <w:rPr>
                <w:rFonts w:ascii="宋体" w:hAnsi="宋体" w:eastAsia="宋体"/>
                <w:color w:val="000000"/>
              </w:rPr>
              <w:t>质量工艺要求：台面平整，木材拼接紧密，线条均匀，转角过渡自然，间隙细小且均匀等，误差不超过5mm；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w:t>
            </w:r>
          </w:p>
        </w:tc>
        <w:tc>
          <w:tcPr>
            <w:tcW w:w="1028" w:type="dxa"/>
            <w:vAlign w:val="center"/>
          </w:tcPr>
          <w:p>
            <w:pPr>
              <w:autoSpaceDE w:val="0"/>
              <w:autoSpaceDN w:val="0"/>
              <w:spacing w:line="360" w:lineRule="auto"/>
              <w:jc w:val="center"/>
              <w:rPr>
                <w:rFonts w:hint="eastAsia" w:ascii="宋体" w:hAnsi="宋体" w:eastAsia="宋体"/>
                <w:color w:val="000000"/>
                <w:lang w:val="en-US" w:eastAsia="zh-CN"/>
              </w:rPr>
            </w:pPr>
            <w:r>
              <w:rPr>
                <w:rFonts w:ascii="宋体" w:hAnsi="宋体" w:eastAsia="宋体"/>
                <w:color w:val="000000"/>
              </w:rPr>
              <w:t>定制柜</w:t>
            </w:r>
            <w:r>
              <w:rPr>
                <w:rFonts w:hint="eastAsia" w:ascii="宋体" w:hAnsi="宋体"/>
                <w:color w:val="000000"/>
                <w:lang w:val="en-US" w:eastAsia="zh-CN"/>
              </w:rPr>
              <w:t>1</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1200MM*400MM*580MM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基材：采用E1级中密度纤维板，含水率≤6.3%，吸水膨胀率≥9.1%，甲醛释放量≤0.038mg/m³。</w:t>
            </w:r>
          </w:p>
          <w:p>
            <w:pPr>
              <w:autoSpaceDE w:val="0"/>
              <w:autoSpaceDN w:val="0"/>
              <w:spacing w:line="360" w:lineRule="auto"/>
              <w:jc w:val="left"/>
              <w:rPr>
                <w:rFonts w:ascii="宋体" w:hAnsi="宋体" w:eastAsia="宋体"/>
                <w:color w:val="000000"/>
              </w:rPr>
            </w:pPr>
            <w:r>
              <w:rPr>
                <w:rFonts w:ascii="宋体" w:hAnsi="宋体" w:eastAsia="宋体"/>
                <w:color w:val="000000"/>
              </w:rPr>
              <w:t>胶水：采用净味拼板胶，符合内装饰装修材料胶粘剂中有害物质限量，总挥发有机物≤22G/L,笨≤0.02g/kg，游离甲醛≤0.1g/kg。</w:t>
            </w:r>
          </w:p>
          <w:p>
            <w:pPr>
              <w:autoSpaceDE w:val="0"/>
              <w:autoSpaceDN w:val="0"/>
              <w:spacing w:line="360" w:lineRule="auto"/>
              <w:jc w:val="left"/>
              <w:rPr>
                <w:rFonts w:ascii="宋体" w:hAnsi="宋体" w:eastAsia="宋体"/>
                <w:color w:val="000000"/>
              </w:rPr>
            </w:pPr>
            <w:r>
              <w:rPr>
                <w:rFonts w:ascii="宋体" w:hAnsi="宋体" w:eastAsia="宋体"/>
                <w:color w:val="000000"/>
              </w:rPr>
              <w:t>表面：采用柏腊木皮贴面，厚度≥0.6mm：甲醛释放量≤0.11mg/L</w:t>
            </w:r>
          </w:p>
          <w:p>
            <w:pPr>
              <w:autoSpaceDE w:val="0"/>
              <w:autoSpaceDN w:val="0"/>
              <w:spacing w:line="360" w:lineRule="auto"/>
              <w:jc w:val="left"/>
              <w:rPr>
                <w:rFonts w:ascii="宋体" w:hAnsi="宋体" w:eastAsia="宋体"/>
                <w:color w:val="000000"/>
              </w:rPr>
            </w:pPr>
            <w:r>
              <w:rPr>
                <w:rFonts w:ascii="宋体" w:hAnsi="宋体" w:eastAsia="宋体"/>
                <w:color w:val="000000"/>
              </w:rPr>
              <w:t>底漆：采用水性高透明底漆，符合企业技术规范干燥时间表干30min 已干实干6h 已干。</w:t>
            </w:r>
          </w:p>
          <w:p>
            <w:pPr>
              <w:autoSpaceDE w:val="0"/>
              <w:autoSpaceDN w:val="0"/>
              <w:spacing w:line="360" w:lineRule="auto"/>
              <w:jc w:val="left"/>
              <w:rPr>
                <w:rFonts w:ascii="宋体" w:hAnsi="宋体" w:eastAsia="宋体"/>
                <w:color w:val="000000"/>
              </w:rPr>
            </w:pPr>
            <w:r>
              <w:rPr>
                <w:rFonts w:ascii="宋体" w:hAnsi="宋体" w:eastAsia="宋体"/>
                <w:color w:val="000000"/>
              </w:rPr>
              <w:t>面漆：采用水性UV X分哑清面漆，符合企业技术规范细度≤7UM 耐磨性≤0.007g</w:t>
            </w:r>
          </w:p>
          <w:p>
            <w:pPr>
              <w:autoSpaceDE w:val="0"/>
              <w:autoSpaceDN w:val="0"/>
              <w:spacing w:line="360" w:lineRule="auto"/>
              <w:jc w:val="left"/>
              <w:rPr>
                <w:rFonts w:ascii="宋体" w:hAnsi="宋体" w:eastAsia="宋体"/>
                <w:color w:val="000000"/>
              </w:rPr>
            </w:pPr>
            <w:r>
              <w:rPr>
                <w:rFonts w:ascii="宋体" w:hAnsi="宋体" w:eastAsia="宋体"/>
                <w:color w:val="000000"/>
              </w:rPr>
              <w:t>三合一连接件：采用优质的三合一连接件 金属电镀层抗盐雾检验 18h，无锈点。</w:t>
            </w:r>
          </w:p>
          <w:p>
            <w:pPr>
              <w:autoSpaceDE w:val="0"/>
              <w:autoSpaceDN w:val="0"/>
              <w:spacing w:line="360" w:lineRule="auto"/>
              <w:jc w:val="left"/>
              <w:rPr>
                <w:rFonts w:ascii="宋体" w:hAnsi="宋体" w:eastAsia="宋体"/>
                <w:color w:val="000000"/>
              </w:rPr>
            </w:pPr>
            <w:r>
              <w:rPr>
                <w:rFonts w:ascii="宋体" w:hAnsi="宋体" w:eastAsia="宋体"/>
                <w:color w:val="000000"/>
              </w:rPr>
              <w:t>阻尼铰链：采用优质的阻尼铰链 垂直向下静载荷、水平侧向静载荷、耐久性、耐腐蚀符合检测标准</w:t>
            </w:r>
          </w:p>
          <w:p>
            <w:pPr>
              <w:autoSpaceDE w:val="0"/>
              <w:autoSpaceDN w:val="0"/>
              <w:spacing w:line="360" w:lineRule="auto"/>
              <w:jc w:val="left"/>
              <w:rPr>
                <w:rFonts w:ascii="宋体" w:hAnsi="宋体" w:eastAsia="宋体"/>
                <w:color w:val="000000"/>
              </w:rPr>
            </w:pPr>
            <w:r>
              <w:rPr>
                <w:rFonts w:ascii="宋体" w:hAnsi="宋体" w:eastAsia="宋体"/>
                <w:color w:val="000000"/>
              </w:rPr>
              <w:t xml:space="preserve">锁具：采用优质的锁具 锁定到位开启灵活，金属电镀层抗盐雾18h，无锈点。 </w:t>
            </w:r>
          </w:p>
          <w:p>
            <w:pPr>
              <w:autoSpaceDE w:val="0"/>
              <w:autoSpaceDN w:val="0"/>
              <w:spacing w:line="360" w:lineRule="auto"/>
              <w:jc w:val="left"/>
              <w:rPr>
                <w:rFonts w:ascii="宋体" w:hAnsi="宋体" w:eastAsia="宋体"/>
                <w:color w:val="000000"/>
              </w:rPr>
            </w:pPr>
            <w:r>
              <w:rPr>
                <w:rFonts w:ascii="宋体" w:hAnsi="宋体" w:eastAsia="宋体"/>
                <w:color w:val="000000"/>
              </w:rPr>
              <w:t>质量工艺要求：台面平整，木材拼接紧密，线条均匀，转角过渡自然，间隙细小且均匀等，误差不超过5mm。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3</w:t>
            </w:r>
          </w:p>
        </w:tc>
        <w:tc>
          <w:tcPr>
            <w:tcW w:w="1028" w:type="dxa"/>
            <w:vAlign w:val="center"/>
          </w:tcPr>
          <w:p>
            <w:pPr>
              <w:autoSpaceDE w:val="0"/>
              <w:autoSpaceDN w:val="0"/>
              <w:spacing w:line="360" w:lineRule="auto"/>
              <w:jc w:val="center"/>
              <w:rPr>
                <w:rFonts w:hint="eastAsia" w:ascii="宋体" w:hAnsi="宋体" w:eastAsia="宋体"/>
                <w:color w:val="000000"/>
                <w:lang w:val="en-US" w:eastAsia="zh-CN"/>
              </w:rPr>
            </w:pPr>
            <w:r>
              <w:rPr>
                <w:rFonts w:ascii="宋体" w:hAnsi="宋体" w:eastAsia="宋体"/>
                <w:color w:val="000000"/>
              </w:rPr>
              <w:t>定制柜</w:t>
            </w:r>
            <w:r>
              <w:rPr>
                <w:rFonts w:hint="eastAsia" w:ascii="宋体" w:hAnsi="宋体"/>
                <w:color w:val="000000"/>
                <w:lang w:val="en-US" w:eastAsia="zh-CN"/>
              </w:rPr>
              <w:t>2</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370MM*400MM*580MM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基材：采用E1级中密度纤维板，含水率≤6.3%，吸水膨胀率≥9.1%，甲醛释放量≤0.038mg/m³。</w:t>
            </w:r>
          </w:p>
          <w:p>
            <w:pPr>
              <w:autoSpaceDE w:val="0"/>
              <w:autoSpaceDN w:val="0"/>
              <w:spacing w:line="360" w:lineRule="auto"/>
              <w:jc w:val="left"/>
              <w:rPr>
                <w:rFonts w:ascii="宋体" w:hAnsi="宋体" w:eastAsia="宋体"/>
                <w:color w:val="000000"/>
              </w:rPr>
            </w:pPr>
            <w:r>
              <w:rPr>
                <w:rFonts w:ascii="宋体" w:hAnsi="宋体" w:eastAsia="宋体"/>
                <w:color w:val="000000"/>
              </w:rPr>
              <w:t>胶水：采用净味拼板胶，符合内装饰装修材料胶粘剂中有害物质限量，总挥发有机物≤22G/L,笨≤0.02g/kg，游离甲醛≤0.1g/kg。</w:t>
            </w:r>
          </w:p>
          <w:p>
            <w:pPr>
              <w:autoSpaceDE w:val="0"/>
              <w:autoSpaceDN w:val="0"/>
              <w:spacing w:line="360" w:lineRule="auto"/>
              <w:jc w:val="left"/>
              <w:rPr>
                <w:rFonts w:ascii="宋体" w:hAnsi="宋体" w:eastAsia="宋体"/>
                <w:color w:val="000000"/>
              </w:rPr>
            </w:pPr>
            <w:r>
              <w:rPr>
                <w:rFonts w:ascii="宋体" w:hAnsi="宋体" w:eastAsia="宋体"/>
                <w:color w:val="000000"/>
              </w:rPr>
              <w:t>表面：采用柏腊木皮贴面，厚度≥0.6mm：甲醛释放量≤0.11mg/L</w:t>
            </w:r>
          </w:p>
          <w:p>
            <w:pPr>
              <w:autoSpaceDE w:val="0"/>
              <w:autoSpaceDN w:val="0"/>
              <w:spacing w:line="360" w:lineRule="auto"/>
              <w:jc w:val="left"/>
              <w:rPr>
                <w:rFonts w:ascii="宋体" w:hAnsi="宋体" w:eastAsia="宋体"/>
                <w:color w:val="000000"/>
              </w:rPr>
            </w:pPr>
            <w:r>
              <w:rPr>
                <w:rFonts w:ascii="宋体" w:hAnsi="宋体" w:eastAsia="宋体"/>
                <w:color w:val="000000"/>
              </w:rPr>
              <w:t>底漆：采用水性高透明底漆，符合企业技术规范干燥时间表干30min 已干实干6h 已干。</w:t>
            </w:r>
          </w:p>
          <w:p>
            <w:pPr>
              <w:autoSpaceDE w:val="0"/>
              <w:autoSpaceDN w:val="0"/>
              <w:spacing w:line="360" w:lineRule="auto"/>
              <w:jc w:val="left"/>
              <w:rPr>
                <w:rFonts w:ascii="宋体" w:hAnsi="宋体" w:eastAsia="宋体"/>
                <w:color w:val="000000"/>
              </w:rPr>
            </w:pPr>
            <w:r>
              <w:rPr>
                <w:rFonts w:ascii="宋体" w:hAnsi="宋体" w:eastAsia="宋体"/>
                <w:color w:val="000000"/>
              </w:rPr>
              <w:t>面漆：采用水性UV X分哑清面漆，符合企业技术规范细度≤7UM 耐磨性≤0.007g</w:t>
            </w:r>
          </w:p>
          <w:p>
            <w:pPr>
              <w:autoSpaceDE w:val="0"/>
              <w:autoSpaceDN w:val="0"/>
              <w:spacing w:line="360" w:lineRule="auto"/>
              <w:jc w:val="left"/>
              <w:rPr>
                <w:rFonts w:ascii="宋体" w:hAnsi="宋体" w:eastAsia="宋体"/>
                <w:color w:val="000000"/>
              </w:rPr>
            </w:pPr>
            <w:r>
              <w:rPr>
                <w:rFonts w:ascii="宋体" w:hAnsi="宋体" w:eastAsia="宋体"/>
                <w:color w:val="000000"/>
              </w:rPr>
              <w:t>三合一连接件：采用优质的三合一连接件 金属电镀层抗盐雾检验 18h，无锈点。</w:t>
            </w:r>
          </w:p>
          <w:p>
            <w:pPr>
              <w:autoSpaceDE w:val="0"/>
              <w:autoSpaceDN w:val="0"/>
              <w:spacing w:line="360" w:lineRule="auto"/>
              <w:jc w:val="left"/>
              <w:rPr>
                <w:rFonts w:ascii="宋体" w:hAnsi="宋体" w:eastAsia="宋体"/>
                <w:color w:val="000000"/>
              </w:rPr>
            </w:pPr>
            <w:r>
              <w:rPr>
                <w:rFonts w:ascii="宋体" w:hAnsi="宋体" w:eastAsia="宋体"/>
                <w:color w:val="000000"/>
              </w:rPr>
              <w:t>阻尼铰链：采用优质的阻尼铰链 垂直向下静载荷、水平侧向静载荷、耐久性、耐腐蚀符合检测标准</w:t>
            </w:r>
          </w:p>
          <w:p>
            <w:pPr>
              <w:autoSpaceDE w:val="0"/>
              <w:autoSpaceDN w:val="0"/>
              <w:spacing w:line="360" w:lineRule="auto"/>
              <w:jc w:val="left"/>
              <w:rPr>
                <w:rFonts w:ascii="宋体" w:hAnsi="宋体" w:eastAsia="宋体"/>
                <w:color w:val="000000"/>
              </w:rPr>
            </w:pPr>
            <w:r>
              <w:rPr>
                <w:rFonts w:ascii="宋体" w:hAnsi="宋体" w:eastAsia="宋体"/>
                <w:color w:val="000000"/>
              </w:rPr>
              <w:t xml:space="preserve">锁具：采用优质的锁具 锁定到位开启灵活，金属电镀层抗盐雾18h，无锈点。 </w:t>
            </w:r>
          </w:p>
          <w:p>
            <w:pPr>
              <w:autoSpaceDE w:val="0"/>
              <w:autoSpaceDN w:val="0"/>
              <w:spacing w:line="360" w:lineRule="auto"/>
              <w:jc w:val="left"/>
              <w:rPr>
                <w:rFonts w:ascii="宋体" w:hAnsi="宋体" w:eastAsia="宋体"/>
                <w:color w:val="000000"/>
              </w:rPr>
            </w:pPr>
            <w:r>
              <w:rPr>
                <w:rFonts w:ascii="宋体" w:hAnsi="宋体" w:eastAsia="宋体"/>
                <w:color w:val="000000"/>
              </w:rPr>
              <w:t>质量工艺要求：台面平整，木材拼接紧密，线条均匀，转角过渡自然，间隙细小且均匀等，误差不超过5mm。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4</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皮转椅</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椅高；1170mm-1235mm              座高；440mm-505mm   背高：745mm      椅宽；660mm      背宽：490mm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一：脚轮采用PA+玻纤注塑而成，毂外套PU白色软边，不伤地板，美观耐磨，静音顺滑。</w:t>
            </w:r>
          </w:p>
          <w:p>
            <w:pPr>
              <w:autoSpaceDE w:val="0"/>
              <w:autoSpaceDN w:val="0"/>
              <w:spacing w:line="360" w:lineRule="auto"/>
              <w:jc w:val="left"/>
              <w:rPr>
                <w:rFonts w:ascii="宋体" w:hAnsi="宋体" w:eastAsia="宋体"/>
                <w:color w:val="000000"/>
              </w:rPr>
            </w:pPr>
            <w:r>
              <w:rPr>
                <w:rFonts w:ascii="宋体" w:hAnsi="宋体" w:eastAsia="宋体"/>
                <w:color w:val="000000"/>
              </w:rPr>
              <w:t>二：椅脚架采用黑色尼龙脚加电镀装饰盖设计，由PA+GF材质一体注塑而成，可通过测试；静压1360KG一分钟两次不变形，不断裂。</w:t>
            </w:r>
          </w:p>
          <w:p>
            <w:pPr>
              <w:autoSpaceDE w:val="0"/>
              <w:autoSpaceDN w:val="0"/>
              <w:spacing w:line="360" w:lineRule="auto"/>
              <w:jc w:val="left"/>
              <w:rPr>
                <w:rFonts w:ascii="宋体" w:hAnsi="宋体" w:eastAsia="宋体"/>
                <w:color w:val="000000"/>
              </w:rPr>
            </w:pPr>
            <w:r>
              <w:rPr>
                <w:rFonts w:ascii="宋体" w:hAnsi="宋体" w:eastAsia="宋体"/>
                <w:color w:val="000000"/>
              </w:rPr>
              <w:t>三：气杆内充氮气6.8MPA，管壁厚，镭射钢印，升降12万次功能正常，75kg重量38cm高度自由落体冲击10万次气压杆不拉坏；负重136kg，旋转10万次，气压杆无结构性破坏及功能性损失。</w:t>
            </w:r>
          </w:p>
          <w:p>
            <w:pPr>
              <w:autoSpaceDE w:val="0"/>
              <w:autoSpaceDN w:val="0"/>
              <w:spacing w:line="360" w:lineRule="auto"/>
              <w:jc w:val="left"/>
              <w:rPr>
                <w:rFonts w:ascii="宋体" w:hAnsi="宋体" w:eastAsia="宋体"/>
                <w:color w:val="000000"/>
              </w:rPr>
            </w:pPr>
            <w:r>
              <w:rPr>
                <w:rFonts w:ascii="宋体" w:hAnsi="宋体" w:eastAsia="宋体"/>
                <w:color w:val="000000"/>
              </w:rPr>
              <w:t>四：底盘大盘3.0mm厚钢板组合而成,通过测试，整椅可逍遥倾躺多功能锁定，大角度逍遥倾躺，角度125度，底盘四档锁定，放松和舒适。</w:t>
            </w:r>
          </w:p>
          <w:p>
            <w:pPr>
              <w:autoSpaceDE w:val="0"/>
              <w:autoSpaceDN w:val="0"/>
              <w:spacing w:line="360" w:lineRule="auto"/>
              <w:jc w:val="left"/>
              <w:rPr>
                <w:rFonts w:ascii="宋体" w:hAnsi="宋体" w:eastAsia="宋体"/>
                <w:color w:val="000000"/>
              </w:rPr>
            </w:pPr>
            <w:r>
              <w:rPr>
                <w:rFonts w:ascii="宋体" w:hAnsi="宋体" w:eastAsia="宋体"/>
                <w:color w:val="000000"/>
              </w:rPr>
              <w:t>五：座包内架用木板厚14MM，含水量≤12°，内衬高密度高弹性聚氨酯定型海绵，座面采用牛皮，柔韧透气耐磨；</w:t>
            </w:r>
          </w:p>
          <w:p>
            <w:pPr>
              <w:autoSpaceDE w:val="0"/>
              <w:autoSpaceDN w:val="0"/>
              <w:spacing w:line="360" w:lineRule="auto"/>
              <w:jc w:val="left"/>
              <w:rPr>
                <w:rFonts w:ascii="宋体" w:hAnsi="宋体" w:eastAsia="宋体"/>
                <w:color w:val="000000"/>
              </w:rPr>
            </w:pPr>
            <w:r>
              <w:rPr>
                <w:rFonts w:ascii="宋体" w:hAnsi="宋体" w:eastAsia="宋体"/>
                <w:color w:val="000000"/>
              </w:rPr>
              <w:t>六：多功能3D升降，前后移动和左右摆动扶手，扶手架由PA材质注塑组装而成，扶手面由PU材料，舒适支撑手臂。</w:t>
            </w:r>
          </w:p>
          <w:p>
            <w:pPr>
              <w:autoSpaceDE w:val="0"/>
              <w:autoSpaceDN w:val="0"/>
              <w:spacing w:line="360" w:lineRule="auto"/>
              <w:jc w:val="left"/>
              <w:rPr>
                <w:rFonts w:ascii="宋体" w:hAnsi="宋体" w:eastAsia="宋体"/>
                <w:color w:val="000000"/>
              </w:rPr>
            </w:pPr>
            <w:r>
              <w:rPr>
                <w:rFonts w:ascii="宋体" w:hAnsi="宋体" w:eastAsia="宋体"/>
                <w:color w:val="000000"/>
              </w:rPr>
              <w:t>七：隐藏式腿拖，安享午休，腿拖造型精巧不外露，拉出和收纳操作方便。</w:t>
            </w:r>
          </w:p>
          <w:p>
            <w:pPr>
              <w:autoSpaceDE w:val="0"/>
              <w:autoSpaceDN w:val="0"/>
              <w:spacing w:line="360" w:lineRule="auto"/>
              <w:jc w:val="left"/>
              <w:rPr>
                <w:rFonts w:ascii="宋体" w:hAnsi="宋体" w:eastAsia="宋体"/>
                <w:color w:val="000000"/>
              </w:rPr>
            </w:pPr>
            <w:r>
              <w:rPr>
                <w:rFonts w:ascii="宋体" w:hAnsi="宋体" w:eastAsia="宋体"/>
                <w:color w:val="000000"/>
              </w:rPr>
              <w:t>八；材质符合国家环保标准要求，椅子通过破坏性测试。整椅结构件质保十年。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5</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弓架网椅</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椅高：930mm    椅宽：590mm    座高：460mm    背高：545mm    背宽：480mm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一、靠背：采用多层面料，具有较强的延伸性和弹性，柔软耐磨，久坐舒适，透气性好，采用整块尼龙板结构，承载力强。</w:t>
            </w:r>
          </w:p>
          <w:p>
            <w:pPr>
              <w:autoSpaceDE w:val="0"/>
              <w:autoSpaceDN w:val="0"/>
              <w:spacing w:line="360" w:lineRule="auto"/>
              <w:jc w:val="left"/>
              <w:rPr>
                <w:rFonts w:ascii="宋体" w:hAnsi="宋体" w:eastAsia="宋体"/>
                <w:color w:val="000000"/>
              </w:rPr>
            </w:pPr>
            <w:r>
              <w:rPr>
                <w:rFonts w:ascii="宋体" w:hAnsi="宋体" w:eastAsia="宋体"/>
                <w:color w:val="000000"/>
              </w:rPr>
              <w:t>二、坐垫：座内架用木板厚16MM，含水量≤12%，座内由PU材料发泡而成定型绵，密度大于或等于75KG/M3.泡绵回弹性可达95%，座感舒软，立体饱满坐垫，采用多层面料，具有较强的延伸性和弹性，柔软舒适，亲肤透气。</w:t>
            </w:r>
          </w:p>
          <w:p>
            <w:pPr>
              <w:autoSpaceDE w:val="0"/>
              <w:autoSpaceDN w:val="0"/>
              <w:spacing w:line="360" w:lineRule="auto"/>
              <w:jc w:val="left"/>
              <w:rPr>
                <w:rFonts w:ascii="宋体" w:hAnsi="宋体" w:eastAsia="宋体"/>
                <w:color w:val="000000"/>
              </w:rPr>
            </w:pPr>
            <w:r>
              <w:rPr>
                <w:rFonts w:ascii="宋体" w:hAnsi="宋体" w:eastAsia="宋体"/>
                <w:color w:val="000000"/>
              </w:rPr>
              <w:t>三、弓形架：直径25mm,2.5mm厚管壁，A3钢管焊接，贯穿尾背后部设计，表面镀镍铬，所有焊接点采用二氧化碳保护焊焊接，承载力强。</w:t>
            </w:r>
          </w:p>
          <w:p>
            <w:pPr>
              <w:autoSpaceDE w:val="0"/>
              <w:autoSpaceDN w:val="0"/>
              <w:spacing w:line="360" w:lineRule="auto"/>
              <w:jc w:val="left"/>
              <w:rPr>
                <w:rFonts w:ascii="宋体" w:hAnsi="宋体" w:eastAsia="宋体"/>
                <w:color w:val="000000"/>
              </w:rPr>
            </w:pPr>
            <w:r>
              <w:rPr>
                <w:rFonts w:ascii="宋体" w:hAnsi="宋体" w:eastAsia="宋体"/>
                <w:color w:val="000000"/>
              </w:rPr>
              <w:t>四、扶手：由PP+GF材质注塑而成，耐磨性强，弧形折弯设计，手臂自然放松。</w:t>
            </w:r>
          </w:p>
          <w:p>
            <w:pPr>
              <w:autoSpaceDE w:val="0"/>
              <w:autoSpaceDN w:val="0"/>
              <w:spacing w:line="360" w:lineRule="auto"/>
              <w:jc w:val="left"/>
              <w:rPr>
                <w:rFonts w:ascii="宋体" w:hAnsi="宋体" w:eastAsia="宋体"/>
                <w:color w:val="000000"/>
              </w:rPr>
            </w:pPr>
            <w:r>
              <w:rPr>
                <w:rFonts w:ascii="宋体" w:hAnsi="宋体" w:eastAsia="宋体"/>
                <w:color w:val="000000"/>
              </w:rPr>
              <w:t>五、材质符合国家环保标准要求，椅子通过破坏性测试。整椅结构件质保十年。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6</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木质涂饰书柜</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1800mm*420mm*2000mm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基材：采用E1级中密度纤维板，含水率≤6.3%，吸水膨胀率≥9.1%，甲醛释放量≤0.038mg/m³。</w:t>
            </w:r>
          </w:p>
          <w:p>
            <w:pPr>
              <w:autoSpaceDE w:val="0"/>
              <w:autoSpaceDN w:val="0"/>
              <w:spacing w:line="360" w:lineRule="auto"/>
              <w:jc w:val="left"/>
              <w:rPr>
                <w:rFonts w:ascii="宋体" w:hAnsi="宋体" w:eastAsia="宋体"/>
                <w:color w:val="000000"/>
              </w:rPr>
            </w:pPr>
            <w:r>
              <w:rPr>
                <w:rFonts w:ascii="宋体" w:hAnsi="宋体" w:eastAsia="宋体"/>
                <w:color w:val="000000"/>
              </w:rPr>
              <w:t>胶水：采用净味拼板胶，符合内装饰装修材料胶粘剂中有害物质限量，总挥发有机物≤22G/L,笨≤0.02g/kg，游离甲醛≤0.1g/kg。</w:t>
            </w:r>
          </w:p>
          <w:p>
            <w:pPr>
              <w:autoSpaceDE w:val="0"/>
              <w:autoSpaceDN w:val="0"/>
              <w:spacing w:line="360" w:lineRule="auto"/>
              <w:jc w:val="left"/>
              <w:rPr>
                <w:rFonts w:ascii="宋体" w:hAnsi="宋体" w:eastAsia="宋体"/>
                <w:color w:val="000000"/>
              </w:rPr>
            </w:pPr>
            <w:r>
              <w:rPr>
                <w:rFonts w:ascii="宋体" w:hAnsi="宋体" w:eastAsia="宋体"/>
                <w:color w:val="000000"/>
              </w:rPr>
              <w:t>表面：采用柏腊木皮贴面，厚度≥0.6mm：甲醛释放量≤0.11mg/L</w:t>
            </w:r>
          </w:p>
          <w:p>
            <w:pPr>
              <w:autoSpaceDE w:val="0"/>
              <w:autoSpaceDN w:val="0"/>
              <w:spacing w:line="360" w:lineRule="auto"/>
              <w:jc w:val="left"/>
              <w:rPr>
                <w:rFonts w:ascii="宋体" w:hAnsi="宋体" w:eastAsia="宋体"/>
                <w:color w:val="000000"/>
              </w:rPr>
            </w:pPr>
            <w:r>
              <w:rPr>
                <w:rFonts w:ascii="宋体" w:hAnsi="宋体" w:eastAsia="宋体"/>
                <w:color w:val="000000"/>
              </w:rPr>
              <w:t>底漆：采用水性高透明底漆，符合企业技术规范干燥时间表干30min 已干实干6h 已干。</w:t>
            </w:r>
          </w:p>
          <w:p>
            <w:pPr>
              <w:autoSpaceDE w:val="0"/>
              <w:autoSpaceDN w:val="0"/>
              <w:spacing w:line="360" w:lineRule="auto"/>
              <w:jc w:val="left"/>
              <w:rPr>
                <w:rFonts w:ascii="宋体" w:hAnsi="宋体" w:eastAsia="宋体"/>
                <w:color w:val="000000"/>
              </w:rPr>
            </w:pPr>
            <w:r>
              <w:rPr>
                <w:rFonts w:ascii="宋体" w:hAnsi="宋体" w:eastAsia="宋体"/>
                <w:color w:val="000000"/>
              </w:rPr>
              <w:t>面漆：采用水性UV X分哑清面漆，符合企业技术规范细度≤7UM 耐磨性≤0.007g</w:t>
            </w:r>
          </w:p>
          <w:p>
            <w:pPr>
              <w:autoSpaceDE w:val="0"/>
              <w:autoSpaceDN w:val="0"/>
              <w:spacing w:line="360" w:lineRule="auto"/>
              <w:jc w:val="left"/>
              <w:rPr>
                <w:rFonts w:ascii="宋体" w:hAnsi="宋体" w:eastAsia="宋体"/>
                <w:color w:val="000000"/>
              </w:rPr>
            </w:pPr>
            <w:r>
              <w:rPr>
                <w:rFonts w:ascii="宋体" w:hAnsi="宋体" w:eastAsia="宋体"/>
                <w:color w:val="000000"/>
              </w:rPr>
              <w:t>三合一连接件：采用优质的三合一连接件 金属电镀层抗盐雾检验 18h，无锈点。</w:t>
            </w:r>
          </w:p>
          <w:p>
            <w:pPr>
              <w:autoSpaceDE w:val="0"/>
              <w:autoSpaceDN w:val="0"/>
              <w:spacing w:line="360" w:lineRule="auto"/>
              <w:jc w:val="left"/>
              <w:rPr>
                <w:rFonts w:ascii="宋体" w:hAnsi="宋体" w:eastAsia="宋体"/>
                <w:color w:val="000000"/>
              </w:rPr>
            </w:pPr>
            <w:r>
              <w:rPr>
                <w:rFonts w:ascii="宋体" w:hAnsi="宋体" w:eastAsia="宋体"/>
                <w:color w:val="000000"/>
              </w:rPr>
              <w:t>阻尼铰链：采用优质的阻尼铰链 垂直向下静载荷、水平侧向静载荷、耐久性、耐腐蚀符合检测标准</w:t>
            </w:r>
          </w:p>
          <w:p>
            <w:pPr>
              <w:autoSpaceDE w:val="0"/>
              <w:autoSpaceDN w:val="0"/>
              <w:spacing w:line="360" w:lineRule="auto"/>
              <w:jc w:val="left"/>
              <w:rPr>
                <w:rFonts w:ascii="宋体" w:hAnsi="宋体" w:eastAsia="宋体"/>
                <w:color w:val="000000"/>
              </w:rPr>
            </w:pPr>
            <w:r>
              <w:rPr>
                <w:rFonts w:ascii="宋体" w:hAnsi="宋体" w:eastAsia="宋体"/>
                <w:color w:val="000000"/>
              </w:rPr>
              <w:t xml:space="preserve">锁具：采用优质的锁具 锁定到位开启灵活，金属电镀层抗盐雾18h，无锈点。 </w:t>
            </w:r>
          </w:p>
          <w:p>
            <w:pPr>
              <w:autoSpaceDE w:val="0"/>
              <w:autoSpaceDN w:val="0"/>
              <w:spacing w:line="360" w:lineRule="auto"/>
              <w:jc w:val="left"/>
              <w:rPr>
                <w:rFonts w:ascii="宋体" w:hAnsi="宋体" w:eastAsia="宋体"/>
                <w:color w:val="000000"/>
              </w:rPr>
            </w:pPr>
            <w:r>
              <w:rPr>
                <w:rFonts w:ascii="宋体" w:hAnsi="宋体" w:eastAsia="宋体"/>
                <w:color w:val="000000"/>
              </w:rPr>
              <w:t xml:space="preserve">塑料脚钉：采用优质的塑料脚钉 符合GB 28481-2012 塑料家具中有害物质限量 可溶性铅≤2.1mg/kg,可溶性镉≤1.1mg/kg，可溶性汞≤1.1mg/kg，可溶性铬≤1.1mg/kg </w:t>
            </w:r>
          </w:p>
          <w:p>
            <w:pPr>
              <w:autoSpaceDE w:val="0"/>
              <w:autoSpaceDN w:val="0"/>
              <w:spacing w:line="360" w:lineRule="auto"/>
              <w:jc w:val="left"/>
              <w:rPr>
                <w:rFonts w:ascii="宋体" w:hAnsi="宋体" w:eastAsia="宋体"/>
                <w:color w:val="000000"/>
              </w:rPr>
            </w:pPr>
            <w:r>
              <w:rPr>
                <w:rFonts w:ascii="宋体" w:hAnsi="宋体" w:eastAsia="宋体"/>
                <w:color w:val="000000"/>
              </w:rPr>
              <w:t>门板磁碰：采用优质的门板磁碰，符合塑料家具通用技术条件 塑料外观 无裂纹、变形、缩水、针孔、凹陷、飞边、褶皱、疙瘩、无明显色差。</w:t>
            </w:r>
          </w:p>
          <w:p>
            <w:pPr>
              <w:autoSpaceDE w:val="0"/>
              <w:autoSpaceDN w:val="0"/>
              <w:spacing w:line="360" w:lineRule="auto"/>
              <w:jc w:val="left"/>
              <w:rPr>
                <w:rFonts w:ascii="宋体" w:hAnsi="宋体" w:eastAsia="宋体"/>
                <w:color w:val="000000"/>
              </w:rPr>
            </w:pPr>
            <w:r>
              <w:rPr>
                <w:rFonts w:ascii="宋体" w:hAnsi="宋体" w:eastAsia="宋体"/>
                <w:color w:val="000000"/>
              </w:rPr>
              <w:t>质量工艺要求：台面平整，木材拼接紧密，线条均匀，转角过渡自然，间隙细小且均匀等，误差不超过5mm；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31" w:hRule="atLeast"/>
        </w:trPr>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7</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木质涂饰茶水柜</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1200mm*400mm*880mm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基材：采用E1级中密度纤维板，含水率≤6.3%，吸水膨胀率≥9.1%，甲醛释放量≤0.038mg/m³。</w:t>
            </w:r>
          </w:p>
          <w:p>
            <w:pPr>
              <w:autoSpaceDE w:val="0"/>
              <w:autoSpaceDN w:val="0"/>
              <w:spacing w:line="360" w:lineRule="auto"/>
              <w:jc w:val="left"/>
              <w:rPr>
                <w:rFonts w:ascii="宋体" w:hAnsi="宋体" w:eastAsia="宋体"/>
                <w:color w:val="000000"/>
              </w:rPr>
            </w:pPr>
            <w:r>
              <w:rPr>
                <w:rFonts w:ascii="宋体" w:hAnsi="宋体" w:eastAsia="宋体"/>
                <w:color w:val="000000"/>
              </w:rPr>
              <w:t>胶水：采用净味拼板胶，符合内装饰装修材料胶粘剂中有害物质限量，总挥发有机物≤22G/L,笨≤0.02g/kg，游离甲醛≤0.1g/kg。</w:t>
            </w:r>
          </w:p>
          <w:p>
            <w:pPr>
              <w:autoSpaceDE w:val="0"/>
              <w:autoSpaceDN w:val="0"/>
              <w:spacing w:line="360" w:lineRule="auto"/>
              <w:jc w:val="left"/>
              <w:rPr>
                <w:rFonts w:ascii="宋体" w:hAnsi="宋体" w:eastAsia="宋体"/>
                <w:color w:val="000000"/>
              </w:rPr>
            </w:pPr>
            <w:r>
              <w:rPr>
                <w:rFonts w:ascii="宋体" w:hAnsi="宋体" w:eastAsia="宋体"/>
                <w:color w:val="000000"/>
              </w:rPr>
              <w:t>表面：采用柏腊木皮贴面，厚度≥0.6mm：甲醛释放量≤0.11mg/L</w:t>
            </w:r>
          </w:p>
          <w:p>
            <w:pPr>
              <w:autoSpaceDE w:val="0"/>
              <w:autoSpaceDN w:val="0"/>
              <w:spacing w:line="360" w:lineRule="auto"/>
              <w:jc w:val="left"/>
              <w:rPr>
                <w:rFonts w:ascii="宋体" w:hAnsi="宋体" w:eastAsia="宋体"/>
                <w:color w:val="000000"/>
              </w:rPr>
            </w:pPr>
            <w:r>
              <w:rPr>
                <w:rFonts w:ascii="宋体" w:hAnsi="宋体" w:eastAsia="宋体"/>
                <w:color w:val="000000"/>
              </w:rPr>
              <w:t>底漆：采用水性高透明底漆，符合企业技术规范干燥时间表干30min 已干实干6h 已干。</w:t>
            </w:r>
          </w:p>
          <w:p>
            <w:pPr>
              <w:autoSpaceDE w:val="0"/>
              <w:autoSpaceDN w:val="0"/>
              <w:spacing w:line="360" w:lineRule="auto"/>
              <w:jc w:val="left"/>
              <w:rPr>
                <w:rFonts w:ascii="宋体" w:hAnsi="宋体" w:eastAsia="宋体"/>
                <w:color w:val="000000"/>
              </w:rPr>
            </w:pPr>
            <w:r>
              <w:rPr>
                <w:rFonts w:ascii="宋体" w:hAnsi="宋体" w:eastAsia="宋体"/>
                <w:color w:val="000000"/>
              </w:rPr>
              <w:t>面漆：采用水性UV X分哑清面漆，符合企业技术规范细度≤7UM 耐磨性≤0.007g</w:t>
            </w:r>
          </w:p>
          <w:p>
            <w:pPr>
              <w:autoSpaceDE w:val="0"/>
              <w:autoSpaceDN w:val="0"/>
              <w:spacing w:line="360" w:lineRule="auto"/>
              <w:jc w:val="left"/>
              <w:rPr>
                <w:rFonts w:ascii="宋体" w:hAnsi="宋体" w:eastAsia="宋体"/>
                <w:color w:val="000000"/>
              </w:rPr>
            </w:pPr>
            <w:r>
              <w:rPr>
                <w:rFonts w:ascii="宋体" w:hAnsi="宋体" w:eastAsia="宋体"/>
                <w:color w:val="000000"/>
              </w:rPr>
              <w:t>三合一连接件：采用优质的三合一连接件 金属电镀层抗盐雾检验 18h，无锈点。</w:t>
            </w:r>
          </w:p>
          <w:p>
            <w:pPr>
              <w:autoSpaceDE w:val="0"/>
              <w:autoSpaceDN w:val="0"/>
              <w:spacing w:line="360" w:lineRule="auto"/>
              <w:jc w:val="left"/>
              <w:rPr>
                <w:rFonts w:ascii="宋体" w:hAnsi="宋体" w:eastAsia="宋体"/>
                <w:color w:val="000000"/>
              </w:rPr>
            </w:pPr>
            <w:r>
              <w:rPr>
                <w:rFonts w:ascii="宋体" w:hAnsi="宋体" w:eastAsia="宋体"/>
                <w:color w:val="000000"/>
              </w:rPr>
              <w:t>阻尼铰链：采用优质的阻尼铰链 垂直向下静载荷、水平侧向静载荷、耐久性、耐腐蚀符合检测标准</w:t>
            </w:r>
          </w:p>
          <w:p>
            <w:pPr>
              <w:autoSpaceDE w:val="0"/>
              <w:autoSpaceDN w:val="0"/>
              <w:spacing w:line="360" w:lineRule="auto"/>
              <w:jc w:val="left"/>
              <w:rPr>
                <w:rFonts w:ascii="宋体" w:hAnsi="宋体" w:eastAsia="宋体"/>
                <w:color w:val="000000"/>
              </w:rPr>
            </w:pPr>
            <w:r>
              <w:rPr>
                <w:rFonts w:ascii="宋体" w:hAnsi="宋体" w:eastAsia="宋体"/>
                <w:color w:val="000000"/>
              </w:rPr>
              <w:t xml:space="preserve">锁具：采用优质的锁具 锁定到位开启灵活，金属电镀层抗盐雾18h，无锈点。 </w:t>
            </w:r>
          </w:p>
          <w:p>
            <w:pPr>
              <w:autoSpaceDE w:val="0"/>
              <w:autoSpaceDN w:val="0"/>
              <w:spacing w:line="360" w:lineRule="auto"/>
              <w:jc w:val="left"/>
              <w:rPr>
                <w:rFonts w:ascii="宋体" w:hAnsi="宋体" w:eastAsia="宋体"/>
                <w:color w:val="000000"/>
              </w:rPr>
            </w:pPr>
            <w:r>
              <w:rPr>
                <w:rFonts w:ascii="宋体" w:hAnsi="宋体" w:eastAsia="宋体"/>
                <w:color w:val="000000"/>
              </w:rPr>
              <w:t xml:space="preserve">塑料脚钉：采用优质的塑料脚钉 符合GB 28481-2012 塑料家具中有害物质限量 可溶性铅≤2.1mg/kg,可溶性镉≤1.1mg/kg，可溶性汞≤1.1mg/kg，可溶性铬≤1.1mg/kg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8</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木质涂饰茶几</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1200mm*600mm*450mm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基材：采用E1级中密度纤维板，含水率≤6.3%，吸水膨胀率≥9.1%，甲醛释放量≤0.038mg/m³。</w:t>
            </w:r>
          </w:p>
          <w:p>
            <w:pPr>
              <w:autoSpaceDE w:val="0"/>
              <w:autoSpaceDN w:val="0"/>
              <w:spacing w:line="360" w:lineRule="auto"/>
              <w:jc w:val="left"/>
              <w:rPr>
                <w:rFonts w:ascii="宋体" w:hAnsi="宋体" w:eastAsia="宋体"/>
                <w:color w:val="000000"/>
              </w:rPr>
            </w:pPr>
            <w:r>
              <w:rPr>
                <w:rFonts w:ascii="宋体" w:hAnsi="宋体" w:eastAsia="宋体"/>
                <w:color w:val="000000"/>
              </w:rPr>
              <w:t>胶水：采用净味拼板胶，总挥发有机物≤22G/L,笨≤0.02g/kg，游离甲醛≤0.1g/kg</w:t>
            </w:r>
          </w:p>
          <w:p>
            <w:pPr>
              <w:autoSpaceDE w:val="0"/>
              <w:autoSpaceDN w:val="0"/>
              <w:spacing w:line="360" w:lineRule="auto"/>
              <w:jc w:val="left"/>
              <w:rPr>
                <w:rFonts w:ascii="宋体" w:hAnsi="宋体" w:eastAsia="宋体"/>
                <w:color w:val="000000"/>
              </w:rPr>
            </w:pPr>
            <w:r>
              <w:rPr>
                <w:rFonts w:ascii="宋体" w:hAnsi="宋体" w:eastAsia="宋体"/>
                <w:color w:val="000000"/>
              </w:rPr>
              <w:t>表面：采用柏腊木皮贴面，厚度≥0.6mm：甲醛释放量≤0.11mg/L</w:t>
            </w:r>
          </w:p>
          <w:p>
            <w:pPr>
              <w:autoSpaceDE w:val="0"/>
              <w:autoSpaceDN w:val="0"/>
              <w:spacing w:line="360" w:lineRule="auto"/>
              <w:jc w:val="left"/>
              <w:rPr>
                <w:rFonts w:ascii="宋体" w:hAnsi="宋体" w:eastAsia="宋体"/>
                <w:color w:val="000000"/>
              </w:rPr>
            </w:pPr>
            <w:r>
              <w:rPr>
                <w:rFonts w:ascii="宋体" w:hAnsi="宋体" w:eastAsia="宋体"/>
                <w:color w:val="000000"/>
              </w:rPr>
              <w:t>底漆：采用水性高透明底漆，符合企业技术规范干燥时间表干30min 已干实干6h 已干。</w:t>
            </w:r>
          </w:p>
          <w:p>
            <w:pPr>
              <w:autoSpaceDE w:val="0"/>
              <w:autoSpaceDN w:val="0"/>
              <w:spacing w:line="360" w:lineRule="auto"/>
              <w:jc w:val="left"/>
              <w:rPr>
                <w:rFonts w:ascii="宋体" w:hAnsi="宋体" w:eastAsia="宋体"/>
                <w:color w:val="000000"/>
              </w:rPr>
            </w:pPr>
            <w:r>
              <w:rPr>
                <w:rFonts w:ascii="宋体" w:hAnsi="宋体" w:eastAsia="宋体"/>
                <w:color w:val="000000"/>
              </w:rPr>
              <w:t>面漆：采用水性UV X分哑清面漆，符合企业技术规范细度≤7UM 耐磨性≤0.007g</w:t>
            </w:r>
          </w:p>
          <w:p>
            <w:pPr>
              <w:autoSpaceDE w:val="0"/>
              <w:autoSpaceDN w:val="0"/>
              <w:spacing w:line="360" w:lineRule="auto"/>
              <w:jc w:val="left"/>
              <w:rPr>
                <w:rFonts w:ascii="宋体" w:hAnsi="宋体" w:eastAsia="宋体"/>
                <w:color w:val="000000"/>
              </w:rPr>
            </w:pPr>
            <w:r>
              <w:rPr>
                <w:rFonts w:ascii="宋体" w:hAnsi="宋体" w:eastAsia="宋体"/>
                <w:color w:val="000000"/>
              </w:rPr>
              <w:t>质量工艺要求：台面平整，颜色均匀，木材拼接紧密，线条均匀，转角过渡自然，间隙细小且均匀等，误差不超过5mm；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9</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木质覆面办公桌</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2000mm*1050mm*760mm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基材：采用E1级实木颗粒板，静曲强度≥18MPa;内结合强度≥0.54MPa:吸水厚度膨胀率≥3.5%；板面握螺丝钉力≥1048N;板边握螺丝钉力≥822N；甲醛释放量≤0.033mg/m³。</w:t>
            </w:r>
          </w:p>
          <w:p>
            <w:pPr>
              <w:autoSpaceDE w:val="0"/>
              <w:autoSpaceDN w:val="0"/>
              <w:spacing w:line="360" w:lineRule="auto"/>
              <w:jc w:val="left"/>
              <w:rPr>
                <w:rFonts w:ascii="宋体" w:hAnsi="宋体" w:eastAsia="宋体"/>
                <w:color w:val="000000"/>
              </w:rPr>
            </w:pPr>
            <w:r>
              <w:rPr>
                <w:rFonts w:ascii="宋体" w:hAnsi="宋体" w:eastAsia="宋体"/>
                <w:color w:val="000000"/>
              </w:rPr>
              <w:t>封边条：采用PVC封边条符合QB/T 4463-2013 家具封边条技术要求标准，甲醛释放量≤0.11mg/L，可迁移元素可溶性铅≤2mg/kg，镉≤1mg/kg，铬≤1mg/kg，汞≤1mg/kg，砷≤1mg/kg,钡≤2mg/kg，锑≤1mg/kg，硒≤1mg/kg。</w:t>
            </w:r>
          </w:p>
          <w:p>
            <w:pPr>
              <w:autoSpaceDE w:val="0"/>
              <w:autoSpaceDN w:val="0"/>
              <w:spacing w:line="360" w:lineRule="auto"/>
              <w:jc w:val="left"/>
              <w:rPr>
                <w:rFonts w:ascii="宋体" w:hAnsi="宋体" w:eastAsia="宋体"/>
                <w:color w:val="000000"/>
              </w:rPr>
            </w:pPr>
            <w:r>
              <w:rPr>
                <w:rFonts w:ascii="宋体" w:hAnsi="宋体" w:eastAsia="宋体"/>
                <w:color w:val="000000"/>
              </w:rPr>
              <w:t>过线盒：采用优质的过线盒 金属电镀层抗盐雾检验 18h，无锈点。</w:t>
            </w:r>
          </w:p>
          <w:p>
            <w:pPr>
              <w:autoSpaceDE w:val="0"/>
              <w:autoSpaceDN w:val="0"/>
              <w:spacing w:line="360" w:lineRule="auto"/>
              <w:jc w:val="left"/>
              <w:rPr>
                <w:rFonts w:ascii="宋体" w:hAnsi="宋体" w:eastAsia="宋体"/>
                <w:color w:val="000000"/>
              </w:rPr>
            </w:pPr>
            <w:r>
              <w:rPr>
                <w:rFonts w:ascii="宋体" w:hAnsi="宋体" w:eastAsia="宋体"/>
                <w:color w:val="000000"/>
              </w:rPr>
              <w:t>三合一连接件：采用优质的三合一连接件 金属电镀层抗盐雾检验 18h，无锈点。</w:t>
            </w:r>
          </w:p>
          <w:p>
            <w:pPr>
              <w:autoSpaceDE w:val="0"/>
              <w:autoSpaceDN w:val="0"/>
              <w:spacing w:line="360" w:lineRule="auto"/>
              <w:jc w:val="left"/>
              <w:rPr>
                <w:rFonts w:ascii="宋体" w:hAnsi="宋体" w:eastAsia="宋体"/>
                <w:color w:val="000000"/>
              </w:rPr>
            </w:pPr>
            <w:r>
              <w:rPr>
                <w:rFonts w:ascii="宋体" w:hAnsi="宋体" w:eastAsia="宋体"/>
                <w:color w:val="000000"/>
              </w:rPr>
              <w:t>阻尼铰链：采用优质的阻尼铰链 垂直向下静载荷、水平侧向静载荷、耐久性、耐腐蚀符合检测标准</w:t>
            </w:r>
          </w:p>
          <w:p>
            <w:pPr>
              <w:autoSpaceDE w:val="0"/>
              <w:autoSpaceDN w:val="0"/>
              <w:spacing w:line="360" w:lineRule="auto"/>
              <w:jc w:val="left"/>
              <w:rPr>
                <w:rFonts w:ascii="宋体" w:hAnsi="宋体" w:eastAsia="宋体"/>
                <w:color w:val="000000"/>
              </w:rPr>
            </w:pPr>
            <w:r>
              <w:rPr>
                <w:rFonts w:ascii="宋体" w:hAnsi="宋体" w:eastAsia="宋体"/>
                <w:color w:val="000000"/>
              </w:rPr>
              <w:t xml:space="preserve">锁具：采用优质的锁具 锁定到位开启灵活，金属电镀层抗盐雾18h，无锈点。 </w:t>
            </w:r>
          </w:p>
          <w:p>
            <w:pPr>
              <w:autoSpaceDE w:val="0"/>
              <w:autoSpaceDN w:val="0"/>
              <w:spacing w:line="360" w:lineRule="auto"/>
              <w:jc w:val="left"/>
              <w:rPr>
                <w:rFonts w:ascii="宋体" w:hAnsi="宋体" w:eastAsia="宋体"/>
                <w:color w:val="000000"/>
              </w:rPr>
            </w:pPr>
            <w:r>
              <w:rPr>
                <w:rFonts w:ascii="宋体" w:hAnsi="宋体" w:eastAsia="宋体"/>
                <w:color w:val="000000"/>
              </w:rPr>
              <w:t>不锈钢卡扣：采用优质的不锈钢卡扣，金属电镀层抗盐雾符合检测标准。</w:t>
            </w:r>
          </w:p>
          <w:p>
            <w:pPr>
              <w:autoSpaceDE w:val="0"/>
              <w:autoSpaceDN w:val="0"/>
              <w:spacing w:line="360" w:lineRule="auto"/>
              <w:jc w:val="left"/>
              <w:rPr>
                <w:rFonts w:ascii="宋体" w:hAnsi="宋体" w:eastAsia="宋体"/>
                <w:color w:val="000000"/>
              </w:rPr>
            </w:pPr>
            <w:r>
              <w:rPr>
                <w:rFonts w:ascii="宋体" w:hAnsi="宋体" w:eastAsia="宋体"/>
                <w:color w:val="000000"/>
              </w:rPr>
              <w:t xml:space="preserve">塑料脚钉：采用优质的塑料脚钉 符合塑料家具中有害物质限量 可溶性铅≤2.1mg/kg,可溶性镉≤1.1mg/kg，可溶性汞≤1.1mg/kg，可溶性铬≤1.1mg/kg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10</w:t>
            </w:r>
          </w:p>
        </w:tc>
        <w:tc>
          <w:tcPr>
            <w:tcW w:w="1028" w:type="dxa"/>
            <w:vAlign w:val="center"/>
          </w:tcPr>
          <w:p>
            <w:pPr>
              <w:autoSpaceDE w:val="0"/>
              <w:autoSpaceDN w:val="0"/>
              <w:spacing w:line="360" w:lineRule="auto"/>
              <w:jc w:val="center"/>
              <w:rPr>
                <w:rFonts w:hint="eastAsia" w:ascii="宋体" w:hAnsi="宋体" w:eastAsia="宋体"/>
                <w:color w:val="000000"/>
                <w:lang w:val="en-US" w:eastAsia="zh-CN"/>
              </w:rPr>
            </w:pPr>
            <w:r>
              <w:rPr>
                <w:rFonts w:ascii="宋体" w:hAnsi="宋体" w:eastAsia="宋体"/>
                <w:color w:val="000000"/>
              </w:rPr>
              <w:t>皮沙发</w:t>
            </w:r>
            <w:r>
              <w:rPr>
                <w:rFonts w:hint="eastAsia" w:ascii="宋体" w:hAnsi="宋体"/>
                <w:color w:val="000000"/>
                <w:lang w:val="en-US" w:eastAsia="zh-CN"/>
              </w:rPr>
              <w:t>1</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单人位850*850*1000三人位2000*850*850</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表层：采用头层牛皮覆面，符合家具用皮革标准，摩擦色牢度≥4级，甲醛释放量≤21mg/kg</w:t>
            </w:r>
          </w:p>
          <w:p>
            <w:pPr>
              <w:autoSpaceDE w:val="0"/>
              <w:autoSpaceDN w:val="0"/>
              <w:spacing w:line="360" w:lineRule="auto"/>
              <w:jc w:val="left"/>
              <w:rPr>
                <w:rFonts w:ascii="宋体" w:hAnsi="宋体" w:eastAsia="宋体"/>
                <w:color w:val="000000"/>
              </w:rPr>
            </w:pPr>
            <w:r>
              <w:rPr>
                <w:rFonts w:ascii="宋体" w:hAnsi="宋体" w:eastAsia="宋体"/>
                <w:color w:val="000000"/>
              </w:rPr>
              <w:t>泡绵：</w:t>
            </w:r>
            <w:r>
              <w:rPr>
                <w:rFonts w:ascii="宋体" w:hAnsi="宋体" w:eastAsia="宋体" w:cs="宋体"/>
                <w:sz w:val="24"/>
                <w:szCs w:val="24"/>
              </w:rPr>
              <w:t>采用高密度定型海绵 符合GB/T 10802-2006《通用软质聚醚型聚氨酯泡沫塑料》标准，75%压缩永久变形≤3.0，回弹率≥42%，游离甲醛≤22mg/kg。</w:t>
            </w:r>
          </w:p>
          <w:p>
            <w:pPr>
              <w:autoSpaceDE w:val="0"/>
              <w:autoSpaceDN w:val="0"/>
              <w:spacing w:line="360" w:lineRule="auto"/>
              <w:jc w:val="left"/>
              <w:rPr>
                <w:rFonts w:ascii="宋体" w:hAnsi="宋体" w:eastAsia="宋体"/>
                <w:color w:val="000000"/>
              </w:rPr>
            </w:pPr>
            <w:r>
              <w:rPr>
                <w:rFonts w:ascii="宋体" w:hAnsi="宋体" w:eastAsia="宋体"/>
                <w:color w:val="000000"/>
              </w:rPr>
              <w:t>内架：采用实木框架 符合室内装饰装修材料木家具中有害物质限量 甲醛释放量≤0.11mg/L,木材含水率≤10%，全干密度≥0.54g/cm³</w:t>
            </w:r>
            <w:r>
              <w:rPr>
                <w:rFonts w:ascii="宋体" w:hAnsi="宋体" w:eastAsia="宋体"/>
                <w:color w:val="000000"/>
              </w:rPr>
              <w:br w:type="textWrapping" w:clear="all"/>
            </w:r>
            <w:r>
              <w:rPr>
                <w:rFonts w:ascii="宋体" w:hAnsi="宋体" w:eastAsia="宋体"/>
                <w:color w:val="000000"/>
              </w:rPr>
              <w:t>螺丝：采用优质的螺丝，符合轻工产品金属镀层腐蚀试验结果的评价和轻工产品金属镀层和化学处理层的耐腐蚀试验方法 中性盐雾试验（NSS）法企业技术条件 耐腐蚀等级18H中性盐雾试验≥8级</w:t>
            </w:r>
          </w:p>
          <w:p>
            <w:pPr>
              <w:autoSpaceDE w:val="0"/>
              <w:autoSpaceDN w:val="0"/>
              <w:spacing w:line="360" w:lineRule="auto"/>
              <w:jc w:val="left"/>
              <w:rPr>
                <w:rFonts w:ascii="宋体" w:hAnsi="宋体" w:eastAsia="宋体"/>
                <w:color w:val="000000"/>
              </w:rPr>
            </w:pPr>
            <w:r>
              <w:rPr>
                <w:rFonts w:ascii="宋体" w:hAnsi="宋体" w:eastAsia="宋体"/>
                <w:color w:val="000000"/>
              </w:rPr>
              <w:t>绷带：采用优质的绷带，符合国家纺织产品基本安全技术规范 甲醛释放量≤21mg/kg</w:t>
            </w:r>
          </w:p>
          <w:p>
            <w:pPr>
              <w:autoSpaceDE w:val="0"/>
              <w:autoSpaceDN w:val="0"/>
              <w:spacing w:line="360" w:lineRule="auto"/>
              <w:jc w:val="left"/>
              <w:rPr>
                <w:rFonts w:ascii="宋体" w:hAnsi="宋体" w:eastAsia="宋体"/>
                <w:color w:val="000000"/>
              </w:rPr>
            </w:pPr>
            <w:r>
              <w:rPr>
                <w:rFonts w:ascii="宋体" w:hAnsi="宋体" w:eastAsia="宋体"/>
                <w:color w:val="000000"/>
              </w:rPr>
              <w:t>弹簧：采用优质的弹簧符合 金属家具通用技术条件金属电镀层抗盐雾符合检测标准。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11</w:t>
            </w:r>
          </w:p>
        </w:tc>
        <w:tc>
          <w:tcPr>
            <w:tcW w:w="1028" w:type="dxa"/>
            <w:vAlign w:val="center"/>
          </w:tcPr>
          <w:p>
            <w:pPr>
              <w:autoSpaceDE w:val="0"/>
              <w:autoSpaceDN w:val="0"/>
              <w:spacing w:line="360" w:lineRule="auto"/>
              <w:jc w:val="center"/>
              <w:rPr>
                <w:rFonts w:hint="eastAsia" w:ascii="宋体" w:hAnsi="宋体" w:eastAsia="宋体"/>
                <w:color w:val="000000"/>
                <w:lang w:val="en-US" w:eastAsia="zh-CN"/>
              </w:rPr>
            </w:pPr>
            <w:r>
              <w:rPr>
                <w:rFonts w:ascii="宋体" w:hAnsi="宋体" w:eastAsia="宋体"/>
                <w:color w:val="000000"/>
              </w:rPr>
              <w:t>皮沙发</w:t>
            </w:r>
            <w:r>
              <w:rPr>
                <w:rFonts w:hint="eastAsia" w:ascii="宋体" w:hAnsi="宋体"/>
                <w:color w:val="000000"/>
                <w:lang w:val="en-US" w:eastAsia="zh-CN"/>
              </w:rPr>
              <w:t>2</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单人位850*850*1000</w:t>
            </w:r>
          </w:p>
          <w:p>
            <w:pPr>
              <w:autoSpaceDE w:val="0"/>
              <w:autoSpaceDN w:val="0"/>
              <w:spacing w:line="360" w:lineRule="auto"/>
              <w:jc w:val="center"/>
              <w:rPr>
                <w:rFonts w:ascii="宋体" w:hAnsi="宋体" w:eastAsia="宋体"/>
                <w:color w:val="000000"/>
              </w:rPr>
            </w:pPr>
            <w:r>
              <w:rPr>
                <w:rFonts w:ascii="宋体" w:hAnsi="宋体" w:eastAsia="宋体"/>
                <w:color w:val="000000"/>
              </w:rPr>
              <w:t>三人位2000*850*850</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表层：采用头层牛皮覆面，符合家具用皮革标准，摩擦色牢度≥4级，甲醛释放量≤21mg/kg</w:t>
            </w:r>
          </w:p>
          <w:p>
            <w:pPr>
              <w:autoSpaceDE w:val="0"/>
              <w:autoSpaceDN w:val="0"/>
              <w:spacing w:line="360" w:lineRule="auto"/>
              <w:jc w:val="left"/>
              <w:rPr>
                <w:rFonts w:ascii="宋体" w:hAnsi="宋体" w:eastAsia="宋体"/>
                <w:color w:val="000000"/>
              </w:rPr>
            </w:pPr>
            <w:r>
              <w:rPr>
                <w:rFonts w:ascii="宋体" w:hAnsi="宋体" w:eastAsia="宋体"/>
                <w:color w:val="000000"/>
              </w:rPr>
              <w:t>泡绵：</w:t>
            </w:r>
            <w:r>
              <w:rPr>
                <w:rFonts w:ascii="宋体" w:hAnsi="宋体" w:eastAsia="宋体" w:cs="宋体"/>
                <w:sz w:val="24"/>
                <w:szCs w:val="24"/>
              </w:rPr>
              <w:t>采用高密度定型海绵 符合GB/T 10802-2006《通用软质聚醚型聚氨酯泡沫塑料》标准，75%压缩永久变形≤3.0，回弹率≥42%，游离甲醛≤22mg/kg。</w:t>
            </w:r>
            <w:r>
              <w:rPr>
                <w:rFonts w:ascii="宋体" w:hAnsi="宋体" w:eastAsia="宋体"/>
                <w:color w:val="000000"/>
              </w:rPr>
              <w:t>。</w:t>
            </w:r>
          </w:p>
          <w:p>
            <w:pPr>
              <w:autoSpaceDE w:val="0"/>
              <w:autoSpaceDN w:val="0"/>
              <w:spacing w:line="360" w:lineRule="auto"/>
              <w:jc w:val="left"/>
              <w:rPr>
                <w:rFonts w:ascii="宋体" w:hAnsi="宋体" w:eastAsia="宋体"/>
                <w:color w:val="000000"/>
              </w:rPr>
            </w:pPr>
            <w:r>
              <w:rPr>
                <w:rFonts w:ascii="宋体" w:hAnsi="宋体" w:eastAsia="宋体"/>
                <w:color w:val="000000"/>
              </w:rPr>
              <w:t>内架：采用实木框架 符合室内装饰装修材料木家具中有害物质限量 甲醛释放量≤0.11mg/L,木材含水率≤10%，全干密度≥0.54g/cm³</w:t>
            </w:r>
            <w:r>
              <w:rPr>
                <w:rFonts w:ascii="宋体" w:hAnsi="宋体" w:eastAsia="宋体"/>
                <w:color w:val="000000"/>
              </w:rPr>
              <w:br w:type="textWrapping" w:clear="all"/>
            </w:r>
            <w:r>
              <w:rPr>
                <w:rFonts w:ascii="宋体" w:hAnsi="宋体" w:eastAsia="宋体"/>
                <w:color w:val="000000"/>
              </w:rPr>
              <w:t>螺丝：采用优质的螺丝，符合轻工产品金属镀层腐蚀试验结果的评价和轻工产品金属镀层和化学处理层的耐腐蚀试验方法 中性盐雾试验（NSS）法企业技术条件 耐腐蚀等级18H中性盐雾试验≥8级</w:t>
            </w:r>
          </w:p>
          <w:p>
            <w:pPr>
              <w:autoSpaceDE w:val="0"/>
              <w:autoSpaceDN w:val="0"/>
              <w:spacing w:line="360" w:lineRule="auto"/>
              <w:jc w:val="left"/>
              <w:rPr>
                <w:rFonts w:ascii="宋体" w:hAnsi="宋体" w:eastAsia="宋体"/>
                <w:color w:val="000000"/>
              </w:rPr>
            </w:pPr>
            <w:r>
              <w:rPr>
                <w:rFonts w:ascii="宋体" w:hAnsi="宋体" w:eastAsia="宋体"/>
                <w:color w:val="000000"/>
              </w:rPr>
              <w:t>绷带：采用优质的绷带，符合国家纺织产品基本安全技术规范 甲醛释放量≤21mg/kg</w:t>
            </w:r>
          </w:p>
          <w:p>
            <w:pPr>
              <w:autoSpaceDE w:val="0"/>
              <w:autoSpaceDN w:val="0"/>
              <w:spacing w:line="360" w:lineRule="auto"/>
              <w:jc w:val="left"/>
              <w:rPr>
                <w:rFonts w:ascii="宋体" w:hAnsi="宋体" w:eastAsia="宋体"/>
                <w:color w:val="000000"/>
              </w:rPr>
            </w:pPr>
            <w:r>
              <w:rPr>
                <w:rFonts w:ascii="宋体" w:hAnsi="宋体" w:eastAsia="宋体"/>
                <w:color w:val="000000"/>
              </w:rPr>
              <w:t>弹簧：采用优质的弹簧符合金属家具通用技术条件金属电镀层抗盐雾符合检测标准。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12</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网面转椅</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椅高；1110mm-1210mm          椅宽；610mm                         座高；420mm-520mm 背高：570mm     背宽：450mm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一、靠背/座板：头枕可上下前后调节，网布具有较强的延伸性和弹性，透气性好，手感好，结实，久座舒适.座内衬高密度高弹性聚氨酯定型海绵。</w:t>
            </w:r>
          </w:p>
          <w:p>
            <w:pPr>
              <w:autoSpaceDE w:val="0"/>
              <w:autoSpaceDN w:val="0"/>
              <w:spacing w:line="360" w:lineRule="auto"/>
              <w:jc w:val="left"/>
              <w:rPr>
                <w:rFonts w:ascii="宋体" w:hAnsi="宋体" w:eastAsia="宋体"/>
                <w:color w:val="000000"/>
              </w:rPr>
            </w:pPr>
            <w:r>
              <w:rPr>
                <w:rFonts w:ascii="宋体" w:hAnsi="宋体" w:eastAsia="宋体"/>
                <w:color w:val="000000"/>
              </w:rPr>
              <w:t>二、扶手：多功能3D升降扶手，扶手架由PA材质注塑组装而成，扶手面由PU材料注塑而成，舒适支撑手臂。</w:t>
            </w:r>
          </w:p>
          <w:p>
            <w:pPr>
              <w:autoSpaceDE w:val="0"/>
              <w:autoSpaceDN w:val="0"/>
              <w:spacing w:line="360" w:lineRule="auto"/>
              <w:jc w:val="left"/>
              <w:rPr>
                <w:rFonts w:ascii="宋体" w:hAnsi="宋体" w:eastAsia="宋体"/>
                <w:color w:val="000000"/>
              </w:rPr>
            </w:pPr>
            <w:r>
              <w:rPr>
                <w:rFonts w:ascii="宋体" w:hAnsi="宋体" w:eastAsia="宋体"/>
                <w:color w:val="000000"/>
              </w:rPr>
              <w:t>三：整椅底盘可逍遥和具有锁定功能，久座放松和舒适。</w:t>
            </w:r>
          </w:p>
          <w:p>
            <w:pPr>
              <w:autoSpaceDE w:val="0"/>
              <w:autoSpaceDN w:val="0"/>
              <w:spacing w:line="360" w:lineRule="auto"/>
              <w:jc w:val="left"/>
              <w:rPr>
                <w:rFonts w:ascii="宋体" w:hAnsi="宋体" w:eastAsia="宋体"/>
                <w:color w:val="000000"/>
              </w:rPr>
            </w:pPr>
            <w:r>
              <w:rPr>
                <w:rFonts w:ascii="宋体" w:hAnsi="宋体" w:eastAsia="宋体"/>
                <w:color w:val="000000"/>
              </w:rPr>
              <w:t>四：汽杆内充氮气6.8MPA，管壁厚，镭射钢印，升降12万次功能正常，75kg重量38cm高度自由落体冲击10万次气压杆不拉坏；负重136kg，旋转10万次，气压杆无结构性破坏及功能性损失。五：椅脚架采用黑色尼龙脚加电镀装饰盖设计，由PA+GF材质一体注塑而成，可通过测试；静压1360KG一分钟两次不变形，不断裂。六：脚轮采用PA+玻纤注塑而成，轮毂外套PU黑色软边，不伤地板，经久耐磨，静音顺滑，防滑防刮。</w:t>
            </w:r>
          </w:p>
          <w:p>
            <w:pPr>
              <w:autoSpaceDE w:val="0"/>
              <w:autoSpaceDN w:val="0"/>
              <w:spacing w:line="360" w:lineRule="auto"/>
              <w:jc w:val="left"/>
              <w:rPr>
                <w:rFonts w:ascii="宋体" w:hAnsi="宋体" w:eastAsia="宋体"/>
                <w:color w:val="000000"/>
              </w:rPr>
            </w:pPr>
            <w:r>
              <w:rPr>
                <w:rFonts w:ascii="宋体" w:hAnsi="宋体" w:eastAsia="宋体"/>
                <w:color w:val="000000"/>
              </w:rPr>
              <w:t>七：整椅边框采用黑色全新尼龙料，安全环保无气味，不易老化。八：材质符合国家环保标准要求，椅子通过破坏性测试。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13</w:t>
            </w:r>
          </w:p>
        </w:tc>
        <w:tc>
          <w:tcPr>
            <w:tcW w:w="1028" w:type="dxa"/>
            <w:shd w:val="clear" w:color="000000" w:fill="auto"/>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书包柜</w:t>
            </w:r>
          </w:p>
        </w:tc>
        <w:tc>
          <w:tcPr>
            <w:tcW w:w="2316" w:type="dxa"/>
            <w:shd w:val="clear" w:color="000000" w:fill="auto"/>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500mm*380mm*313mm（4层52格）</w:t>
            </w:r>
          </w:p>
        </w:tc>
        <w:tc>
          <w:tcPr>
            <w:tcW w:w="10221" w:type="dxa"/>
            <w:shd w:val="clear" w:color="000000" w:fill="auto"/>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1、材质：门板由ABS+HIPS+TPE工程塑料+PET膜，柜体采用高强度HIPS工程塑料制成，柜门与柜体连接采用自润滑赛钢铰链。</w:t>
            </w:r>
          </w:p>
          <w:p>
            <w:pPr>
              <w:autoSpaceDE w:val="0"/>
              <w:autoSpaceDN w:val="0"/>
              <w:spacing w:line="360" w:lineRule="auto"/>
              <w:jc w:val="left"/>
              <w:rPr>
                <w:rFonts w:ascii="宋体" w:hAnsi="宋体" w:eastAsia="宋体"/>
                <w:color w:val="000000"/>
              </w:rPr>
            </w:pPr>
            <w:r>
              <w:rPr>
                <w:rFonts w:ascii="宋体" w:hAnsi="宋体" w:eastAsia="宋体"/>
                <w:color w:val="000000"/>
              </w:rPr>
              <w:t>2、工艺：所有板材采用钢制模具一次注塑成型。</w:t>
            </w:r>
          </w:p>
          <w:p>
            <w:pPr>
              <w:autoSpaceDE w:val="0"/>
              <w:autoSpaceDN w:val="0"/>
              <w:spacing w:line="360" w:lineRule="auto"/>
              <w:jc w:val="left"/>
              <w:rPr>
                <w:rFonts w:ascii="宋体" w:hAnsi="宋体" w:eastAsia="宋体"/>
                <w:color w:val="000000"/>
              </w:rPr>
            </w:pPr>
            <w:r>
              <w:rPr>
                <w:rFonts w:ascii="宋体" w:hAnsi="宋体" w:eastAsia="宋体"/>
                <w:color w:val="000000"/>
              </w:rPr>
              <w:t>3、使用寿命：产品抗冲击、耐腐蚀、不生锈。</w:t>
            </w:r>
          </w:p>
          <w:p>
            <w:pPr>
              <w:autoSpaceDE w:val="0"/>
              <w:autoSpaceDN w:val="0"/>
              <w:spacing w:line="360" w:lineRule="auto"/>
              <w:jc w:val="left"/>
              <w:rPr>
                <w:rFonts w:ascii="宋体" w:hAnsi="宋体" w:eastAsia="宋体"/>
                <w:color w:val="000000"/>
              </w:rPr>
            </w:pPr>
            <w:r>
              <w:rPr>
                <w:rFonts w:ascii="宋体" w:hAnsi="宋体" w:eastAsia="宋体"/>
                <w:color w:val="000000"/>
              </w:rPr>
              <w:t>4、榫卯连接结构，DIY组装，不用胶水，不用金属螺丝，不易变形，可重复拆装使用。产品左右侧面筋采用最新的无筋条设计，即简洁大方又易于清理卫生，底座高度80mm，，抗压力强，可自行选配专用脚垫，可按需调整高度和水平，保证底座四个支撑点有效与地面接触，稳固、结实、耐用，整柜做工精细，无毛边毛刺等瑕疵。</w:t>
            </w:r>
          </w:p>
          <w:p>
            <w:pPr>
              <w:autoSpaceDE w:val="0"/>
              <w:autoSpaceDN w:val="0"/>
              <w:spacing w:line="360" w:lineRule="auto"/>
              <w:jc w:val="left"/>
              <w:rPr>
                <w:rFonts w:ascii="宋体" w:hAnsi="宋体" w:eastAsia="宋体"/>
                <w:color w:val="000000"/>
              </w:rPr>
            </w:pPr>
            <w:r>
              <w:rPr>
                <w:rFonts w:ascii="Arial" w:hAnsi="Arial" w:eastAsia="Arial"/>
                <w:color w:val="000000" w:themeColor="text1"/>
                <w14:textFill>
                  <w14:solidFill>
                    <w14:schemeClr w14:val="tx1"/>
                  </w14:solidFill>
                </w14:textFill>
              </w:rPr>
              <w:t>★</w:t>
            </w:r>
            <w:r>
              <w:rPr>
                <w:rFonts w:ascii="宋体" w:hAnsi="宋体" w:eastAsia="宋体"/>
                <w:color w:val="000000"/>
              </w:rPr>
              <w:t>5、门板表面为整体纯平面设计，无凸起的附加造型，外观简约，美观，并可根据用户的使用场景进行定制；门板上不能用嵌入式的号码牌（号码牌安装在门把手上）。门板铰链采用两个连接件分别钩住上下孔位，中间形成一个长方形导槽（连接件的一个面上设有一个导槽），另一个面上设有一个柱子，在导槽中间插处一个蝴蝶形插片，在安装过和中方便、简单、快捷,门板在厂内整体组装好出货，无需到现场再组装，即节省安装时间又节省运输成本；门板内侧配有水杯架，可放大水杯、钥匙、眼镜、笔等小件物品；门板外表面的硬度达3H以上；6、门副板与门板四周采用防脱开卡扣固定，稳定牢固；更换门板时，只需捏住蝴蝶插片抽出即可拆下门板。</w:t>
            </w:r>
          </w:p>
          <w:p>
            <w:pPr>
              <w:autoSpaceDE w:val="0"/>
              <w:autoSpaceDN w:val="0"/>
              <w:spacing w:line="360" w:lineRule="auto"/>
              <w:jc w:val="left"/>
              <w:rPr>
                <w:rFonts w:ascii="宋体" w:hAnsi="宋体" w:eastAsia="宋体"/>
                <w:color w:val="000000"/>
              </w:rPr>
            </w:pPr>
            <w:r>
              <w:rPr>
                <w:rFonts w:ascii="Arial" w:hAnsi="Arial" w:eastAsia="Arial"/>
                <w:color w:val="000000" w:themeColor="text1"/>
                <w14:textFill>
                  <w14:solidFill>
                    <w14:schemeClr w14:val="tx1"/>
                  </w14:solidFill>
                </w14:textFill>
              </w:rPr>
              <w:t>★</w:t>
            </w:r>
            <w:r>
              <w:rPr>
                <w:rFonts w:ascii="宋体" w:hAnsi="宋体" w:eastAsia="宋体"/>
                <w:color w:val="000000"/>
              </w:rPr>
              <w:t>7、门板与拉手安装方式采用全覆盖、多弯角防盗设计，拉手安装到位后，即于门板和门副板连接一个整体，大大的提高了其强度和安全性能，维修简单，易操作。8、柜门与柜体连接采用自润滑赛钢铰链连接设计，防水，无噪音。铰链由两个连接件分别钩住上下孔位，中间形成一个长方形导槽（连接件的一个面上设有一个导槽），另一个面上设有一个柱子，在导槽中间插处一个蝴蝶形插片三个部件组成，（其中有两个部件是一样的）拆卸时，只需捏住蝴蝶插片抽出即可，每门一套，不需要任何辅助螺丝连接，铰链自身具有限位功能。铰链易拆易装，方便售后维修。</w:t>
            </w:r>
            <w:r>
              <w:rPr>
                <w:rFonts w:ascii="Arial" w:hAnsi="Arial" w:eastAsia="Arial"/>
                <w:color w:val="000000" w:themeColor="text1"/>
                <w14:textFill>
                  <w14:solidFill>
                    <w14:schemeClr w14:val="tx1"/>
                  </w14:solidFill>
                </w14:textFill>
              </w:rPr>
              <w:t>★</w:t>
            </w:r>
            <w:r>
              <w:rPr>
                <w:rFonts w:ascii="宋体" w:hAnsi="宋体" w:eastAsia="宋体"/>
                <w:color w:val="000000"/>
              </w:rPr>
              <w:t>9、上下板高度40mm，采用隐藏帽檐设计，可将上下板隐藏于上下门板之间，正面无法观察到，达到柜子正面统一效果。</w:t>
            </w:r>
            <w:r>
              <w:rPr>
                <w:rFonts w:ascii="Arial" w:hAnsi="Arial" w:eastAsia="Arial"/>
                <w:color w:val="000000" w:themeColor="text1"/>
                <w14:textFill>
                  <w14:solidFill>
                    <w14:schemeClr w14:val="tx1"/>
                  </w14:solidFill>
                </w14:textFill>
              </w:rPr>
              <w:t>★</w:t>
            </w:r>
            <w:r>
              <w:rPr>
                <w:rFonts w:ascii="宋体" w:hAnsi="宋体" w:eastAsia="宋体"/>
                <w:color w:val="000000"/>
              </w:rPr>
              <w:t>10、整体后板由注塑机一次成型，无需增加其他配件即可使用。后板两个角上设有透气窗，透气窗采用百叶窗结构设计，90︒角投影透气孔最大宽度为0.17mm。实现即可防虫又能通风去异味的作用，后板两侧可顺利插入单、双侧板导向槽，并通过后板上端两侧的钩子固定在单、双侧板上，起到加固的作用。 11、整个柜体板材之间的连接完全不需要任何螺丝，采用拼接的方式，防止侧板变形，整体做到可重复拆装利用。</w:t>
            </w:r>
            <w:r>
              <w:rPr>
                <w:rFonts w:ascii="Arial" w:hAnsi="Arial" w:eastAsia="Arial"/>
                <w:color w:val="000000" w:themeColor="text1"/>
                <w14:textFill>
                  <w14:solidFill>
                    <w14:schemeClr w14:val="tx1"/>
                  </w14:solidFill>
                </w14:textFill>
              </w:rPr>
              <w:t>★</w:t>
            </w:r>
            <w:r>
              <w:rPr>
                <w:rFonts w:ascii="宋体" w:hAnsi="宋体" w:eastAsia="宋体"/>
                <w:color w:val="000000"/>
              </w:rPr>
              <w:t>12、门板采用PET模内成型技术、柜门颜色每个批次都很统一；可以根据客户的不同需求定制不同的颜色和图案，让自己的柜子与众不同，个性凸显！13、整柜尺寸：高396*宽382*厚500mm（单门含底座）； 14、配件外框厚度：单侧板厚25mm（±2mm）、双侧板宽50mm（±2mm）、上下板高40mm（±2mm）；门板厚25mm（±2mm）、底座高80mm（±2mm)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14</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木质涂饰办公桌</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1400mm*700mm*760mm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基材：采用E1级中密度纤维板，含水率≤6.3%，吸水膨胀率≥9.1%，甲醛释放量≤0.038mg/m³。</w:t>
            </w:r>
          </w:p>
          <w:p>
            <w:pPr>
              <w:autoSpaceDE w:val="0"/>
              <w:autoSpaceDN w:val="0"/>
              <w:spacing w:line="360" w:lineRule="auto"/>
              <w:jc w:val="left"/>
              <w:rPr>
                <w:rFonts w:ascii="宋体" w:hAnsi="宋体" w:eastAsia="宋体"/>
                <w:color w:val="000000"/>
              </w:rPr>
            </w:pPr>
            <w:r>
              <w:rPr>
                <w:rFonts w:ascii="宋体" w:hAnsi="宋体" w:eastAsia="宋体"/>
                <w:color w:val="000000"/>
              </w:rPr>
              <w:t>胶水：采用净味拼板胶，符合内装饰装修材料胶粘剂中有害物质限量，总挥发有机物≤22G/L,笨≤0.02g/kg，游离甲醛≤0.1g/kg。</w:t>
            </w:r>
          </w:p>
          <w:p>
            <w:pPr>
              <w:autoSpaceDE w:val="0"/>
              <w:autoSpaceDN w:val="0"/>
              <w:spacing w:line="360" w:lineRule="auto"/>
              <w:jc w:val="left"/>
              <w:rPr>
                <w:rFonts w:ascii="宋体" w:hAnsi="宋体" w:eastAsia="宋体"/>
                <w:color w:val="000000"/>
              </w:rPr>
            </w:pPr>
            <w:r>
              <w:rPr>
                <w:rFonts w:ascii="宋体" w:hAnsi="宋体" w:eastAsia="宋体"/>
                <w:color w:val="000000"/>
              </w:rPr>
              <w:t>表面：采用柏腊木皮贴面，厚度≥0.6mm：甲醛释放量≤0.11mg/L</w:t>
            </w:r>
          </w:p>
          <w:p>
            <w:pPr>
              <w:autoSpaceDE w:val="0"/>
              <w:autoSpaceDN w:val="0"/>
              <w:spacing w:line="360" w:lineRule="auto"/>
              <w:jc w:val="left"/>
              <w:rPr>
                <w:rFonts w:ascii="宋体" w:hAnsi="宋体" w:eastAsia="宋体"/>
                <w:color w:val="000000"/>
              </w:rPr>
            </w:pPr>
            <w:r>
              <w:rPr>
                <w:rFonts w:ascii="宋体" w:hAnsi="宋体" w:eastAsia="宋体"/>
                <w:color w:val="000000"/>
              </w:rPr>
              <w:t>底漆：采用水性高透明底漆，符合企业技术规范干燥时间表干30min 已干实干6h 已干。</w:t>
            </w:r>
          </w:p>
          <w:p>
            <w:pPr>
              <w:autoSpaceDE w:val="0"/>
              <w:autoSpaceDN w:val="0"/>
              <w:spacing w:line="360" w:lineRule="auto"/>
              <w:jc w:val="left"/>
              <w:rPr>
                <w:rFonts w:ascii="宋体" w:hAnsi="宋体" w:eastAsia="宋体"/>
                <w:color w:val="000000"/>
              </w:rPr>
            </w:pPr>
            <w:r>
              <w:rPr>
                <w:rFonts w:ascii="宋体" w:hAnsi="宋体" w:eastAsia="宋体"/>
                <w:color w:val="000000"/>
              </w:rPr>
              <w:t>面漆：采用水性UV X分哑清面漆，符合企业技术规范细度≤7UM 耐磨性≤0.007g</w:t>
            </w:r>
          </w:p>
          <w:p>
            <w:pPr>
              <w:autoSpaceDE w:val="0"/>
              <w:autoSpaceDN w:val="0"/>
              <w:spacing w:line="360" w:lineRule="auto"/>
              <w:jc w:val="left"/>
              <w:rPr>
                <w:rFonts w:ascii="宋体" w:hAnsi="宋体" w:eastAsia="宋体"/>
                <w:color w:val="000000"/>
              </w:rPr>
            </w:pPr>
            <w:r>
              <w:rPr>
                <w:rFonts w:ascii="宋体" w:hAnsi="宋体" w:eastAsia="宋体"/>
                <w:color w:val="000000"/>
              </w:rPr>
              <w:t>过线盒：采用优质的过线盒 金属电镀层抗盐雾检验 18h，无锈点。</w:t>
            </w:r>
          </w:p>
          <w:p>
            <w:pPr>
              <w:autoSpaceDE w:val="0"/>
              <w:autoSpaceDN w:val="0"/>
              <w:spacing w:line="360" w:lineRule="auto"/>
              <w:jc w:val="left"/>
              <w:rPr>
                <w:rFonts w:ascii="宋体" w:hAnsi="宋体" w:eastAsia="宋体"/>
                <w:color w:val="000000"/>
              </w:rPr>
            </w:pPr>
            <w:r>
              <w:rPr>
                <w:rFonts w:ascii="宋体" w:hAnsi="宋体" w:eastAsia="宋体"/>
                <w:color w:val="000000"/>
              </w:rPr>
              <w:t>三合一连接件：采用优质的三合一连接件 金属电镀层抗盐雾检验 18h，无锈点。</w:t>
            </w:r>
          </w:p>
          <w:p>
            <w:pPr>
              <w:autoSpaceDE w:val="0"/>
              <w:autoSpaceDN w:val="0"/>
              <w:spacing w:line="360" w:lineRule="auto"/>
              <w:jc w:val="left"/>
              <w:rPr>
                <w:rFonts w:ascii="宋体" w:hAnsi="宋体" w:eastAsia="宋体"/>
                <w:color w:val="000000"/>
              </w:rPr>
            </w:pPr>
            <w:r>
              <w:rPr>
                <w:rFonts w:ascii="宋体" w:hAnsi="宋体" w:eastAsia="宋体"/>
                <w:color w:val="000000"/>
              </w:rPr>
              <w:t>阻尼铰链：采用优质的阻尼铰链 垂直向下静载荷、水平侧向静载荷、耐久性、耐腐蚀符合检测标准</w:t>
            </w:r>
          </w:p>
          <w:p>
            <w:pPr>
              <w:autoSpaceDE w:val="0"/>
              <w:autoSpaceDN w:val="0"/>
              <w:spacing w:line="360" w:lineRule="auto"/>
              <w:jc w:val="left"/>
              <w:rPr>
                <w:rFonts w:ascii="宋体" w:hAnsi="宋体" w:eastAsia="宋体"/>
                <w:color w:val="000000"/>
              </w:rPr>
            </w:pPr>
            <w:r>
              <w:rPr>
                <w:rFonts w:ascii="宋体" w:hAnsi="宋体" w:eastAsia="宋体"/>
                <w:color w:val="000000"/>
              </w:rPr>
              <w:t xml:space="preserve">锁具：采用优质的锁具 锁定到位开启灵活，金属电镀层抗盐雾18h，无锈点。 </w:t>
            </w:r>
          </w:p>
          <w:p>
            <w:pPr>
              <w:autoSpaceDE w:val="0"/>
              <w:autoSpaceDN w:val="0"/>
              <w:spacing w:line="360" w:lineRule="auto"/>
              <w:jc w:val="left"/>
              <w:rPr>
                <w:rFonts w:ascii="宋体" w:hAnsi="宋体" w:eastAsia="宋体"/>
                <w:color w:val="000000"/>
              </w:rPr>
            </w:pPr>
            <w:r>
              <w:rPr>
                <w:rFonts w:ascii="宋体" w:hAnsi="宋体" w:eastAsia="宋体"/>
                <w:color w:val="000000"/>
              </w:rPr>
              <w:t>不锈钢卡扣：采用优质的不锈钢卡扣，金属电镀层抗盐雾符合检测标准。</w:t>
            </w:r>
          </w:p>
          <w:p>
            <w:pPr>
              <w:autoSpaceDE w:val="0"/>
              <w:autoSpaceDN w:val="0"/>
              <w:spacing w:line="360" w:lineRule="auto"/>
              <w:jc w:val="left"/>
              <w:rPr>
                <w:rFonts w:ascii="宋体" w:hAnsi="宋体" w:eastAsia="宋体"/>
                <w:color w:val="000000"/>
              </w:rPr>
            </w:pPr>
            <w:r>
              <w:rPr>
                <w:rFonts w:ascii="宋体" w:hAnsi="宋体" w:eastAsia="宋体"/>
                <w:color w:val="000000"/>
              </w:rPr>
              <w:t xml:space="preserve">塑料脚钉：采用优质的塑料脚钉 符合塑料家具中有害物质限量 可溶性铅≤2.1mg/kg,可溶性镉≤1.1mg/kg，可溶性汞≤1.1mg/kg，可溶性铬≤1.1mg/kg </w:t>
            </w:r>
          </w:p>
          <w:p>
            <w:pPr>
              <w:autoSpaceDE w:val="0"/>
              <w:autoSpaceDN w:val="0"/>
              <w:spacing w:line="360" w:lineRule="auto"/>
              <w:jc w:val="left"/>
              <w:rPr>
                <w:rFonts w:ascii="宋体" w:hAnsi="宋体" w:eastAsia="宋体"/>
                <w:color w:val="000000"/>
              </w:rPr>
            </w:pPr>
            <w:r>
              <w:rPr>
                <w:rFonts w:ascii="宋体" w:hAnsi="宋体" w:eastAsia="宋体"/>
                <w:color w:val="000000"/>
              </w:rPr>
              <w:t>质量工艺要求：台面平整，木材拼接紧密，线条均匀，转角过渡自然，间隙细小且均匀等，误差不超过5mm；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15</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弓架网椅</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椅高：940 mm    椅宽：570mm     椅深：550mm    座高：455mm    座深：480mm    扶手宽：46mm   椅重8.9KG.</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一、靠背/座板：椅背椅座采用同一种双层网布，具有较强的延伸性和弹性，透气性好，手感好，结实，座内衬高密度高弹性聚氨酯定型海绵。二、背外框和扶手架采用镶嵌式连接，使扶手与背框形成一个整体结构，不松动，结构稳固，立体感流线型强，粗壮的背外框腰部厚46mm,顶部厚26mm,强度高，不变形断裂。三：整椅边框采用白色尼龙料，安全环保无气味，不易老化。四：椅脚架采用直径28mm，厚2.5mm经CNC一将次弯制而成,表面黑色环保处理，稳固。五：钢脚脚垫采用pu软尼龙料，耐磨性强，韧性好，防滑防刮地板。六：材质符合国家环保标准要求，椅子通过BIFMA X5.1破坏性测试。整椅结构件质保十年。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shd w:val="clear" w:color="000000" w:fill="auto"/>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16</w:t>
            </w:r>
          </w:p>
        </w:tc>
        <w:tc>
          <w:tcPr>
            <w:tcW w:w="1028" w:type="dxa"/>
            <w:shd w:val="clear" w:color="000000" w:fill="auto"/>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网面转椅</w:t>
            </w:r>
          </w:p>
        </w:tc>
        <w:tc>
          <w:tcPr>
            <w:tcW w:w="2316" w:type="dxa"/>
            <w:shd w:val="clear" w:color="000000" w:fill="auto"/>
            <w:vAlign w:val="center"/>
          </w:tcPr>
          <w:p>
            <w:pPr>
              <w:autoSpaceDE w:val="0"/>
              <w:autoSpaceDN w:val="0"/>
              <w:spacing w:line="360" w:lineRule="auto"/>
              <w:rPr>
                <w:rFonts w:ascii="宋体" w:eastAsia="Calibri"/>
                <w:color w:val="000000"/>
              </w:rPr>
            </w:pPr>
            <w:r>
              <w:rPr>
                <w:rFonts w:ascii="宋体" w:hAnsi="宋体" w:eastAsia="宋体"/>
                <w:color w:val="000000"/>
              </w:rPr>
              <w:t xml:space="preserve">椅高：920-980mm    椅宽：610mm         背高：515mm    背宽：455mm 。  </w:t>
            </w:r>
          </w:p>
        </w:tc>
        <w:tc>
          <w:tcPr>
            <w:tcW w:w="10221" w:type="dxa"/>
            <w:shd w:val="clear" w:color="000000" w:fill="auto"/>
            <w:vAlign w:val="center"/>
          </w:tcPr>
          <w:p>
            <w:pPr>
              <w:autoSpaceDE w:val="0"/>
              <w:autoSpaceDN w:val="0"/>
              <w:spacing w:line="360" w:lineRule="auto"/>
              <w:rPr>
                <w:rFonts w:ascii="宋体" w:hAnsi="宋体" w:eastAsia="宋体"/>
                <w:sz w:val="20"/>
                <w:szCs w:val="20"/>
              </w:rPr>
            </w:pPr>
            <w:r>
              <w:rPr>
                <w:rFonts w:ascii="Arial" w:hAnsi="Arial" w:eastAsia="Arial"/>
                <w:color w:val="000000" w:themeColor="text1"/>
                <w:sz w:val="18"/>
                <w:szCs w:val="18"/>
                <w14:textFill>
                  <w14:solidFill>
                    <w14:schemeClr w14:val="tx1"/>
                  </w14:solidFill>
                </w14:textFill>
              </w:rPr>
              <w:t>★</w:t>
            </w:r>
            <w:r>
              <w:rPr>
                <w:rFonts w:ascii="宋体" w:hAnsi="宋体" w:eastAsia="宋体"/>
                <w:color w:val="000000"/>
                <w:sz w:val="20"/>
                <w:szCs w:val="20"/>
              </w:rPr>
              <w:t>1,脚轮采用PA+玻纤注塑而成，轮毂外套PU黑色软边，不伤地板，经久耐磨，静音顺滑，防滑防刮；脚由PA+GF材质一体注塑而成，可通过5.1静压1136KG一分钟两次不变形，不断裂，脚尖带踏脚防滑平面的尼龙脚。2，汽杆内充氮气6.8MPA，管壁厚，镭射钢印，升降12万次功能正常，75kg重量38cm高度自由落体冲击10万次气压杆不拉坏；负重136kg，旋转10万次，气压杆无结构性破坏及功能性损失。3，整椅带倾斜逍遥功能。</w:t>
            </w:r>
            <w:r>
              <w:rPr>
                <w:rFonts w:ascii="Arial" w:hAnsi="Arial" w:eastAsia="Arial"/>
                <w:color w:val="000000" w:themeColor="text1"/>
                <w:sz w:val="18"/>
                <w:szCs w:val="18"/>
                <w14:textFill>
                  <w14:solidFill>
                    <w14:schemeClr w14:val="tx1"/>
                  </w14:solidFill>
                </w14:textFill>
              </w:rPr>
              <w:t>★</w:t>
            </w:r>
            <w:r>
              <w:rPr>
                <w:rFonts w:ascii="宋体" w:hAnsi="宋体" w:eastAsia="宋体"/>
                <w:color w:val="000000"/>
                <w:sz w:val="20"/>
                <w:szCs w:val="20"/>
              </w:rPr>
              <w:t>4，扶手与背框和座框架采用尼龙材质一体注塑成型，无螺丝连接，成一整体结构。5，整椅座面和背面采用同一种优质玻纤尼龙弹力单层网布，横纵向撕裂强度大于或等于10KG/cm，具有较强的延伸性和弹性，轻薄，单层镂空透气性好，手感好。6，椅子整体结构件质保十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17</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木质涂饰茶水柜</w:t>
            </w:r>
          </w:p>
        </w:tc>
        <w:tc>
          <w:tcPr>
            <w:tcW w:w="2316" w:type="dxa"/>
            <w:vAlign w:val="center"/>
          </w:tcPr>
          <w:p>
            <w:pPr>
              <w:autoSpaceDE w:val="0"/>
              <w:autoSpaceDN w:val="0"/>
              <w:spacing w:line="360" w:lineRule="auto"/>
              <w:jc w:val="center"/>
              <w:rPr>
                <w:rFonts w:ascii="宋体" w:eastAsia="Calibri"/>
                <w:color w:val="000000"/>
              </w:rPr>
            </w:pPr>
            <w:r>
              <w:rPr>
                <w:rFonts w:ascii="宋体" w:eastAsia="Calibri"/>
                <w:color w:val="000000"/>
              </w:rPr>
              <w:t>800mm*400mm*850mm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基材：采用E1级中密度纤维板，含水率≤6.3%，吸水膨胀率≥9.1%，甲醛释放量≤0.038mg/m³。</w:t>
            </w:r>
          </w:p>
          <w:p>
            <w:pPr>
              <w:autoSpaceDE w:val="0"/>
              <w:autoSpaceDN w:val="0"/>
              <w:spacing w:line="360" w:lineRule="auto"/>
              <w:jc w:val="left"/>
              <w:rPr>
                <w:rFonts w:ascii="宋体" w:hAnsi="宋体" w:eastAsia="宋体"/>
                <w:color w:val="000000"/>
              </w:rPr>
            </w:pPr>
            <w:r>
              <w:rPr>
                <w:rFonts w:ascii="宋体" w:hAnsi="宋体" w:eastAsia="宋体"/>
                <w:color w:val="000000"/>
              </w:rPr>
              <w:t>胶水：采用净味拼板胶，符合内装饰装修材料胶粘剂中有害物质限量，总挥发有机物≤22G/L,笨≤0.02g/kg，游离甲醛≤0.1g/kg。</w:t>
            </w:r>
          </w:p>
          <w:p>
            <w:pPr>
              <w:autoSpaceDE w:val="0"/>
              <w:autoSpaceDN w:val="0"/>
              <w:spacing w:line="360" w:lineRule="auto"/>
              <w:jc w:val="left"/>
              <w:rPr>
                <w:rFonts w:ascii="宋体" w:hAnsi="宋体" w:eastAsia="宋体"/>
                <w:color w:val="000000"/>
              </w:rPr>
            </w:pPr>
            <w:r>
              <w:rPr>
                <w:rFonts w:ascii="宋体" w:hAnsi="宋体" w:eastAsia="宋体"/>
                <w:color w:val="000000"/>
              </w:rPr>
              <w:t>表面：采用柏腊木皮贴面，厚度≥0.6mm：甲醛释放量≤0.11mg/L</w:t>
            </w:r>
          </w:p>
          <w:p>
            <w:pPr>
              <w:autoSpaceDE w:val="0"/>
              <w:autoSpaceDN w:val="0"/>
              <w:spacing w:line="360" w:lineRule="auto"/>
              <w:jc w:val="left"/>
              <w:rPr>
                <w:rFonts w:ascii="宋体" w:hAnsi="宋体" w:eastAsia="宋体"/>
                <w:color w:val="000000"/>
              </w:rPr>
            </w:pPr>
            <w:r>
              <w:rPr>
                <w:rFonts w:ascii="宋体" w:hAnsi="宋体" w:eastAsia="宋体"/>
                <w:color w:val="000000"/>
              </w:rPr>
              <w:t>底漆：采用水性高透明底漆，符合企业技术规范干燥时间表干30min 已干实干6h 已干。</w:t>
            </w:r>
          </w:p>
          <w:p>
            <w:pPr>
              <w:autoSpaceDE w:val="0"/>
              <w:autoSpaceDN w:val="0"/>
              <w:spacing w:line="360" w:lineRule="auto"/>
              <w:jc w:val="left"/>
              <w:rPr>
                <w:rFonts w:ascii="宋体" w:hAnsi="宋体" w:eastAsia="宋体"/>
                <w:color w:val="000000"/>
              </w:rPr>
            </w:pPr>
            <w:r>
              <w:rPr>
                <w:rFonts w:ascii="宋体" w:hAnsi="宋体" w:eastAsia="宋体"/>
                <w:color w:val="000000"/>
              </w:rPr>
              <w:t>面漆：采用水性UV X分哑清面漆，符合企业技术规范细度≤7UM 耐磨性≤0.007g</w:t>
            </w:r>
          </w:p>
          <w:p>
            <w:pPr>
              <w:autoSpaceDE w:val="0"/>
              <w:autoSpaceDN w:val="0"/>
              <w:spacing w:line="360" w:lineRule="auto"/>
              <w:jc w:val="left"/>
              <w:rPr>
                <w:rFonts w:ascii="宋体" w:hAnsi="宋体" w:eastAsia="宋体"/>
                <w:color w:val="000000"/>
              </w:rPr>
            </w:pPr>
            <w:r>
              <w:rPr>
                <w:rFonts w:ascii="宋体" w:hAnsi="宋体" w:eastAsia="宋体"/>
                <w:color w:val="000000"/>
              </w:rPr>
              <w:t>三合一连接件：采用优质的三合一连接件 金属电镀层抗盐雾检验 18h，无锈点。</w:t>
            </w:r>
          </w:p>
          <w:p>
            <w:pPr>
              <w:autoSpaceDE w:val="0"/>
              <w:autoSpaceDN w:val="0"/>
              <w:spacing w:line="360" w:lineRule="auto"/>
              <w:jc w:val="left"/>
              <w:rPr>
                <w:rFonts w:ascii="宋体" w:hAnsi="宋体" w:eastAsia="宋体"/>
                <w:color w:val="000000"/>
              </w:rPr>
            </w:pPr>
            <w:r>
              <w:rPr>
                <w:rFonts w:ascii="宋体" w:hAnsi="宋体" w:eastAsia="宋体"/>
                <w:color w:val="000000"/>
              </w:rPr>
              <w:t>阻尼铰链：采用优质的阻尼铰链 垂直向下静载荷、水平侧向静载荷、耐久性、耐腐蚀符合检测标准</w:t>
            </w:r>
          </w:p>
          <w:p>
            <w:pPr>
              <w:autoSpaceDE w:val="0"/>
              <w:autoSpaceDN w:val="0"/>
              <w:spacing w:line="360" w:lineRule="auto"/>
              <w:jc w:val="left"/>
              <w:rPr>
                <w:rFonts w:ascii="宋体" w:hAnsi="宋体" w:eastAsia="宋体"/>
                <w:color w:val="000000"/>
              </w:rPr>
            </w:pPr>
            <w:r>
              <w:rPr>
                <w:rFonts w:ascii="宋体" w:hAnsi="宋体" w:eastAsia="宋体"/>
                <w:color w:val="000000"/>
              </w:rPr>
              <w:t xml:space="preserve"> 塑料脚钉：采用优质的塑料脚钉 符合GB 28481-2012 塑料家具中有害物质限量 可溶性铅≤2.1mg/kg,可溶性镉≤1.1mg/kg，可溶性汞≤1.1mg/kg，可溶性铬≤1.1mg/kg </w:t>
            </w:r>
          </w:p>
          <w:p>
            <w:pPr>
              <w:autoSpaceDE w:val="0"/>
              <w:autoSpaceDN w:val="0"/>
              <w:spacing w:line="360" w:lineRule="auto"/>
              <w:jc w:val="left"/>
              <w:rPr>
                <w:rFonts w:ascii="宋体" w:hAnsi="宋体" w:eastAsia="宋体"/>
                <w:color w:val="000000"/>
              </w:rPr>
            </w:pPr>
            <w:r>
              <w:rPr>
                <w:rFonts w:ascii="宋体" w:hAnsi="宋体" w:eastAsia="宋体"/>
                <w:color w:val="000000"/>
              </w:rPr>
              <w:t>质量工艺要求：台面平整，木材拼接紧密，线条均匀，转角过渡自然，间隙细小且均匀等，误差不超过5mm；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18</w:t>
            </w:r>
          </w:p>
        </w:tc>
        <w:tc>
          <w:tcPr>
            <w:tcW w:w="1028" w:type="dxa"/>
            <w:shd w:val="clear" w:color="000000" w:fill="auto"/>
            <w:vAlign w:val="center"/>
          </w:tcPr>
          <w:p>
            <w:pPr>
              <w:autoSpaceDE w:val="0"/>
              <w:autoSpaceDN w:val="0"/>
              <w:spacing w:line="360" w:lineRule="auto"/>
              <w:jc w:val="center"/>
              <w:rPr>
                <w:rFonts w:ascii="宋体" w:hAnsi="宋体" w:eastAsia="宋体"/>
                <w:color w:val="000000"/>
              </w:rPr>
            </w:pPr>
            <w:r>
              <w:rPr>
                <w:rFonts w:hint="eastAsia" w:ascii="宋体" w:hAnsi="宋体"/>
                <w:color w:val="000000"/>
                <w:lang w:eastAsia="zh-CN"/>
              </w:rPr>
              <w:t>屏风</w:t>
            </w:r>
            <w:r>
              <w:rPr>
                <w:rFonts w:ascii="宋体" w:hAnsi="宋体" w:eastAsia="宋体"/>
                <w:color w:val="000000"/>
              </w:rPr>
              <w:t>工作位</w:t>
            </w:r>
          </w:p>
        </w:tc>
        <w:tc>
          <w:tcPr>
            <w:tcW w:w="2316" w:type="dxa"/>
            <w:shd w:val="clear" w:color="000000" w:fill="auto"/>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1400mm*</w:t>
            </w:r>
            <w:r>
              <w:rPr>
                <w:rFonts w:hint="eastAsia" w:ascii="宋体" w:hAnsi="宋体"/>
                <w:color w:val="000000"/>
                <w:lang w:val="en-US" w:eastAsia="zh-CN"/>
              </w:rPr>
              <w:t>6</w:t>
            </w:r>
            <w:r>
              <w:rPr>
                <w:rFonts w:ascii="宋体" w:hAnsi="宋体" w:eastAsia="宋体"/>
                <w:color w:val="000000"/>
              </w:rPr>
              <w:t>00mm*1100mm</w:t>
            </w:r>
          </w:p>
        </w:tc>
        <w:tc>
          <w:tcPr>
            <w:tcW w:w="10221" w:type="dxa"/>
            <w:shd w:val="clear" w:color="000000" w:fill="auto"/>
            <w:vAlign w:val="center"/>
          </w:tcPr>
          <w:p>
            <w:pPr>
              <w:pStyle w:val="2"/>
              <w:rPr>
                <w:rFonts w:hint="eastAsia" w:ascii="宋体" w:hAnsi="宋体" w:eastAsia="宋体" w:cs="Times New Roman"/>
                <w:color w:val="000000"/>
                <w:kern w:val="2"/>
                <w:sz w:val="21"/>
                <w:szCs w:val="22"/>
                <w:lang w:val="en-US" w:eastAsia="zh-CN" w:bidi="ar-SA"/>
              </w:rPr>
            </w:pPr>
            <w:r>
              <w:rPr>
                <w:rFonts w:ascii="宋体" w:hAnsi="宋体" w:eastAsia="宋体" w:cs="Times New Roman"/>
                <w:color w:val="000000"/>
                <w:kern w:val="2"/>
                <w:sz w:val="21"/>
                <w:szCs w:val="22"/>
                <w:lang w:val="en-US" w:eastAsia="zh-CN" w:bidi="ar-SA"/>
              </w:rPr>
              <w:t>★1、桌面采用25mm中纤板，表面贴防火板，表面抛光电镀处理，桌面正面边框采用梯形铝合金封边，型材底部采用螺丝与桌面固定；桌面强度高，包边四周牢固，不易脱落，实用美观。桌架下与三抽柜支撑柱采用65*57*44*1.2mm闭口焊管型材，其立面为中空封闭口形状高频焊管，立柱正面为平面，有一圆弧凸槽加强筋，使纵向受力更好。与两侧面圆弧过渡，起到防撞作用，内部有一凹槽。桌下三抽钢柜，钢柜柜体采用0.8mm厚冷轧钢板，顶面柜边折边为20mm厚鸭嘴边型、两侧面柜边折边为12mm子弹头边型，侧板和背板采用呈4层扣式焊接，结构要求牢固，门采用冰箱活页，门张开最大时不低于90度，门在转动和关闭时不和柜体的任何一个部位直接接触，门闭合时与柜体正面完全嵌合，磁碰无异响，柜体正面整体平整度高。钢件采用CO2保护焊，焊点深无下缝，焊口平整光滑，承重良好，坚固耐用。</w:t>
            </w:r>
            <w:r>
              <w:rPr>
                <w:rFonts w:ascii="宋体" w:hAnsi="宋体" w:eastAsia="宋体" w:cs="Times New Roman"/>
                <w:color w:val="000000"/>
                <w:kern w:val="2"/>
                <w:sz w:val="21"/>
                <w:szCs w:val="22"/>
                <w:lang w:val="en-US" w:eastAsia="zh-CN" w:bidi="ar-SA"/>
              </w:rPr>
              <w:br w:type="textWrapping"/>
            </w:r>
            <w:r>
              <w:rPr>
                <w:rFonts w:ascii="宋体" w:hAnsi="宋体" w:eastAsia="宋体" w:cs="Times New Roman"/>
                <w:color w:val="000000"/>
                <w:kern w:val="2"/>
                <w:sz w:val="21"/>
                <w:szCs w:val="22"/>
                <w:lang w:val="en-US" w:eastAsia="zh-CN" w:bidi="ar-SA"/>
              </w:rPr>
              <w:t>2、桌面基材：采用E1级实木颗粒板，静曲强度≥18MPa;内结合强度≥0.54MPa:吸水厚度膨胀率≥3.5%；板面握螺丝钉力≥1048N;板边握螺丝钉力≥822N；甲醛释放量≤0.033mg/m³。</w:t>
            </w:r>
            <w:r>
              <w:rPr>
                <w:rFonts w:ascii="宋体" w:hAnsi="宋体" w:eastAsia="宋体" w:cs="Times New Roman"/>
                <w:color w:val="000000"/>
                <w:kern w:val="2"/>
                <w:sz w:val="21"/>
                <w:szCs w:val="22"/>
                <w:lang w:val="en-US" w:eastAsia="zh-CN" w:bidi="ar-SA"/>
              </w:rPr>
              <w:br w:type="textWrapping"/>
            </w:r>
            <w:r>
              <w:rPr>
                <w:rFonts w:ascii="宋体" w:hAnsi="宋体" w:eastAsia="宋体" w:cs="Times New Roman"/>
                <w:color w:val="000000"/>
                <w:kern w:val="2"/>
                <w:sz w:val="21"/>
                <w:szCs w:val="22"/>
                <w:lang w:val="en-US" w:eastAsia="zh-CN" w:bidi="ar-SA"/>
              </w:rPr>
              <w:t>3、封边条：采用PVC封边条符合 家具封边条技术要求标准，甲醛释放量≤0.11mg/L，可迁移元素可溶性铅≤2mg/kg，镉≤1mg/kg，铬≤1mg/kg，汞≤1mg/kg，砷≤1mg/kg,钡≤2mg/kg，锑≤1mg/kg，硒≤1mg/kg。</w:t>
            </w:r>
            <w:r>
              <w:rPr>
                <w:rFonts w:ascii="宋体" w:hAnsi="宋体" w:eastAsia="宋体" w:cs="Times New Roman"/>
                <w:color w:val="000000"/>
                <w:kern w:val="2"/>
                <w:sz w:val="21"/>
                <w:szCs w:val="22"/>
                <w:lang w:val="en-US" w:eastAsia="zh-CN" w:bidi="ar-SA"/>
              </w:rPr>
              <w:br w:type="textWrapping"/>
            </w:r>
            <w:r>
              <w:rPr>
                <w:rFonts w:ascii="宋体" w:hAnsi="宋体" w:eastAsia="宋体" w:cs="Times New Roman"/>
                <w:color w:val="000000"/>
                <w:kern w:val="2"/>
                <w:sz w:val="21"/>
                <w:szCs w:val="22"/>
                <w:lang w:val="en-US" w:eastAsia="zh-CN" w:bidi="ar-SA"/>
              </w:rPr>
              <w:t>4、铝材：采用优质的铝合金 符合金属家具通用技术条件标准，金属电镀层抗盐雾18h,1.5mm以下锈点≤20点/dm,直径≥1.0mm锈点不超过5点(距边缘棱角2MM以内的不计)</w:t>
            </w:r>
            <w:r>
              <w:rPr>
                <w:rFonts w:ascii="宋体" w:hAnsi="宋体" w:eastAsia="宋体" w:cs="Times New Roman"/>
                <w:color w:val="000000"/>
                <w:kern w:val="2"/>
                <w:sz w:val="21"/>
                <w:szCs w:val="22"/>
                <w:lang w:val="en-US" w:eastAsia="zh-CN" w:bidi="ar-SA"/>
              </w:rPr>
              <w:br w:type="textWrapping"/>
            </w:r>
            <w:r>
              <w:rPr>
                <w:rFonts w:ascii="宋体" w:hAnsi="宋体" w:eastAsia="宋体" w:cs="Times New Roman"/>
                <w:color w:val="000000"/>
                <w:kern w:val="2"/>
                <w:sz w:val="21"/>
                <w:szCs w:val="22"/>
                <w:lang w:val="en-US" w:eastAsia="zh-CN" w:bidi="ar-SA"/>
              </w:rPr>
              <w:t>5、不锈钢锁扣：采用优质的不锈钢锁扣，符合金属家具通用技术条件 金属电镀层抗盐雾 符合检测标准</w:t>
            </w:r>
            <w:r>
              <w:rPr>
                <w:rFonts w:ascii="宋体" w:hAnsi="宋体" w:eastAsia="宋体" w:cs="Times New Roman"/>
                <w:color w:val="000000"/>
                <w:kern w:val="2"/>
                <w:sz w:val="21"/>
                <w:szCs w:val="22"/>
                <w:lang w:val="en-US" w:eastAsia="zh-CN" w:bidi="ar-SA"/>
              </w:rPr>
              <w:br w:type="textWrapping"/>
            </w:r>
            <w:r>
              <w:rPr>
                <w:rFonts w:ascii="宋体" w:hAnsi="宋体" w:eastAsia="宋体" w:cs="Times New Roman"/>
                <w:color w:val="000000"/>
                <w:kern w:val="2"/>
                <w:sz w:val="21"/>
                <w:szCs w:val="22"/>
                <w:lang w:val="en-US" w:eastAsia="zh-CN" w:bidi="ar-SA"/>
              </w:rPr>
              <w:t>6、屏风卡件：采用优质的屏风卡件，符合 金属家具通用技术条件 金属电镀层抗盐雾 符合检测标准</w:t>
            </w:r>
            <w:r>
              <w:rPr>
                <w:rFonts w:ascii="宋体" w:hAnsi="宋体" w:eastAsia="宋体" w:cs="Times New Roman"/>
                <w:color w:val="000000"/>
                <w:kern w:val="2"/>
                <w:sz w:val="21"/>
                <w:szCs w:val="22"/>
                <w:lang w:val="en-US" w:eastAsia="zh-CN" w:bidi="ar-SA"/>
              </w:rPr>
              <w:br w:type="textWrapping"/>
            </w:r>
            <w:r>
              <w:rPr>
                <w:rFonts w:ascii="宋体" w:hAnsi="宋体" w:eastAsia="宋体" w:cs="Times New Roman"/>
                <w:color w:val="000000"/>
                <w:kern w:val="2"/>
                <w:sz w:val="21"/>
                <w:szCs w:val="22"/>
                <w:lang w:val="en-US" w:eastAsia="zh-CN" w:bidi="ar-SA"/>
              </w:rPr>
              <w:t>7、门板磁碰：采用优质的门板磁碰，符合 塑料家具通用技术条件 塑料外观 无裂纹、变形、缩水、针孔、凹陷、飞边、褶皱、疙瘩、无明显色差。</w:t>
            </w:r>
            <w:r>
              <w:rPr>
                <w:rFonts w:ascii="宋体" w:hAnsi="宋体" w:eastAsia="宋体" w:cs="Times New Roman"/>
                <w:color w:val="000000"/>
                <w:kern w:val="2"/>
                <w:sz w:val="21"/>
                <w:szCs w:val="22"/>
                <w:lang w:val="en-US" w:eastAsia="zh-CN" w:bidi="ar-SA"/>
              </w:rPr>
              <w:br w:type="textWrapping"/>
            </w:r>
            <w:r>
              <w:rPr>
                <w:rFonts w:ascii="宋体" w:hAnsi="宋体" w:eastAsia="宋体" w:cs="Times New Roman"/>
                <w:color w:val="000000"/>
                <w:kern w:val="2"/>
                <w:sz w:val="21"/>
                <w:szCs w:val="22"/>
                <w:lang w:val="en-US" w:eastAsia="zh-CN" w:bidi="ar-SA"/>
              </w:rPr>
              <w:t>投标时提供屏风工作位实物样品一位。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19</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木质涂饰书柜</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2250mm*400mm*2000mm</w:t>
            </w:r>
          </w:p>
        </w:tc>
        <w:tc>
          <w:tcPr>
            <w:tcW w:w="10221" w:type="dxa"/>
            <w:vAlign w:val="center"/>
          </w:tcPr>
          <w:p>
            <w:pPr>
              <w:autoSpaceDE w:val="0"/>
              <w:autoSpaceDN w:val="0"/>
              <w:spacing w:line="360" w:lineRule="auto"/>
              <w:jc w:val="left"/>
              <w:rPr>
                <w:rFonts w:ascii="宋体" w:hAnsi="宋体" w:eastAsia="宋体" w:cs="Times New Roman"/>
                <w:color w:val="000000"/>
                <w:kern w:val="2"/>
                <w:sz w:val="21"/>
                <w:szCs w:val="22"/>
                <w:lang w:val="en-US" w:eastAsia="zh-CN" w:bidi="ar-SA"/>
              </w:rPr>
            </w:pPr>
            <w:r>
              <w:rPr>
                <w:rFonts w:ascii="宋体" w:hAnsi="宋体" w:eastAsia="宋体" w:cs="Times New Roman"/>
                <w:color w:val="000000"/>
                <w:kern w:val="2"/>
                <w:sz w:val="21"/>
                <w:szCs w:val="22"/>
                <w:lang w:val="en-US" w:eastAsia="zh-CN" w:bidi="ar-SA"/>
              </w:rPr>
              <w:t>基材：采用E1级中密度纤维板，含水率≤6.3%，吸水膨胀率≥9.1%，甲醛释放量≤0.038mg/m³。</w:t>
            </w:r>
          </w:p>
          <w:p>
            <w:pPr>
              <w:autoSpaceDE w:val="0"/>
              <w:autoSpaceDN w:val="0"/>
              <w:spacing w:line="360" w:lineRule="auto"/>
              <w:jc w:val="left"/>
              <w:rPr>
                <w:rFonts w:ascii="宋体" w:hAnsi="宋体" w:eastAsia="宋体" w:cs="Times New Roman"/>
                <w:color w:val="000000"/>
                <w:kern w:val="2"/>
                <w:sz w:val="21"/>
                <w:szCs w:val="22"/>
                <w:lang w:val="en-US" w:eastAsia="zh-CN" w:bidi="ar-SA"/>
              </w:rPr>
            </w:pPr>
            <w:r>
              <w:rPr>
                <w:rFonts w:ascii="宋体" w:hAnsi="宋体" w:eastAsia="宋体" w:cs="Times New Roman"/>
                <w:color w:val="000000"/>
                <w:kern w:val="2"/>
                <w:sz w:val="21"/>
                <w:szCs w:val="22"/>
                <w:lang w:val="en-US" w:eastAsia="zh-CN" w:bidi="ar-SA"/>
              </w:rPr>
              <w:t>胶水：采用净味拼板胶，符合内装饰装修材料胶粘剂中有害物质限量，总挥发有机物≤22G/L,笨≤0.02g/kg，游离甲醛≤0.1g/kg。</w:t>
            </w:r>
          </w:p>
          <w:p>
            <w:pPr>
              <w:autoSpaceDE w:val="0"/>
              <w:autoSpaceDN w:val="0"/>
              <w:spacing w:line="360" w:lineRule="auto"/>
              <w:jc w:val="left"/>
              <w:rPr>
                <w:rFonts w:ascii="宋体" w:hAnsi="宋体" w:eastAsia="宋体" w:cs="Times New Roman"/>
                <w:color w:val="000000"/>
                <w:kern w:val="2"/>
                <w:sz w:val="21"/>
                <w:szCs w:val="22"/>
                <w:lang w:val="en-US" w:eastAsia="zh-CN" w:bidi="ar-SA"/>
              </w:rPr>
            </w:pPr>
            <w:r>
              <w:rPr>
                <w:rFonts w:ascii="宋体" w:hAnsi="宋体" w:eastAsia="宋体" w:cs="Times New Roman"/>
                <w:color w:val="000000"/>
                <w:kern w:val="2"/>
                <w:sz w:val="21"/>
                <w:szCs w:val="22"/>
                <w:lang w:val="en-US" w:eastAsia="zh-CN" w:bidi="ar-SA"/>
              </w:rPr>
              <w:t>表面：采用柏腊木皮贴面，厚度≥0.6mm：甲醛释放量≤0.11mg/L</w:t>
            </w:r>
          </w:p>
          <w:p>
            <w:pPr>
              <w:autoSpaceDE w:val="0"/>
              <w:autoSpaceDN w:val="0"/>
              <w:spacing w:line="360" w:lineRule="auto"/>
              <w:jc w:val="left"/>
              <w:rPr>
                <w:rFonts w:ascii="宋体" w:hAnsi="宋体" w:eastAsia="宋体" w:cs="Times New Roman"/>
                <w:color w:val="000000"/>
                <w:kern w:val="2"/>
                <w:sz w:val="21"/>
                <w:szCs w:val="22"/>
                <w:lang w:val="en-US" w:eastAsia="zh-CN" w:bidi="ar-SA"/>
              </w:rPr>
            </w:pPr>
            <w:r>
              <w:rPr>
                <w:rFonts w:ascii="宋体" w:hAnsi="宋体" w:eastAsia="宋体" w:cs="Times New Roman"/>
                <w:color w:val="000000"/>
                <w:kern w:val="2"/>
                <w:sz w:val="21"/>
                <w:szCs w:val="22"/>
                <w:lang w:val="en-US" w:eastAsia="zh-CN" w:bidi="ar-SA"/>
              </w:rPr>
              <w:t>底漆：采用水性高透明底漆，符合企业技术规范干燥时间表干30min 已干实干6h 已干。</w:t>
            </w:r>
          </w:p>
          <w:p>
            <w:pPr>
              <w:autoSpaceDE w:val="0"/>
              <w:autoSpaceDN w:val="0"/>
              <w:spacing w:line="360" w:lineRule="auto"/>
              <w:jc w:val="left"/>
              <w:rPr>
                <w:rFonts w:ascii="宋体" w:hAnsi="宋体" w:eastAsia="宋体" w:cs="Times New Roman"/>
                <w:color w:val="000000"/>
                <w:kern w:val="2"/>
                <w:sz w:val="21"/>
                <w:szCs w:val="22"/>
                <w:lang w:val="en-US" w:eastAsia="zh-CN" w:bidi="ar-SA"/>
              </w:rPr>
            </w:pPr>
            <w:r>
              <w:rPr>
                <w:rFonts w:ascii="宋体" w:hAnsi="宋体" w:eastAsia="宋体" w:cs="Times New Roman"/>
                <w:color w:val="000000"/>
                <w:kern w:val="2"/>
                <w:sz w:val="21"/>
                <w:szCs w:val="22"/>
                <w:lang w:val="en-US" w:eastAsia="zh-CN" w:bidi="ar-SA"/>
              </w:rPr>
              <w:t>面漆：采用水性UV X分哑清面漆，符合企业技术规范细度≤7UM 耐磨性≤0.007g</w:t>
            </w:r>
          </w:p>
          <w:p>
            <w:pPr>
              <w:autoSpaceDE w:val="0"/>
              <w:autoSpaceDN w:val="0"/>
              <w:spacing w:line="360" w:lineRule="auto"/>
              <w:jc w:val="left"/>
              <w:rPr>
                <w:rFonts w:ascii="宋体" w:hAnsi="宋体" w:eastAsia="宋体" w:cs="Times New Roman"/>
                <w:color w:val="000000"/>
                <w:kern w:val="2"/>
                <w:sz w:val="21"/>
                <w:szCs w:val="22"/>
                <w:lang w:val="en-US" w:eastAsia="zh-CN" w:bidi="ar-SA"/>
              </w:rPr>
            </w:pPr>
            <w:r>
              <w:rPr>
                <w:rFonts w:ascii="宋体" w:hAnsi="宋体" w:eastAsia="宋体" w:cs="Times New Roman"/>
                <w:color w:val="000000"/>
                <w:kern w:val="2"/>
                <w:sz w:val="21"/>
                <w:szCs w:val="22"/>
                <w:lang w:val="en-US" w:eastAsia="zh-CN" w:bidi="ar-SA"/>
              </w:rPr>
              <w:t>三合一连接件：采用优质的三合一连接件 金属电镀层抗盐雾检验 18h，无锈点。</w:t>
            </w:r>
          </w:p>
          <w:p>
            <w:pPr>
              <w:autoSpaceDE w:val="0"/>
              <w:autoSpaceDN w:val="0"/>
              <w:spacing w:line="360" w:lineRule="auto"/>
              <w:jc w:val="left"/>
              <w:rPr>
                <w:rFonts w:ascii="宋体" w:hAnsi="宋体" w:eastAsia="宋体" w:cs="Times New Roman"/>
                <w:color w:val="000000"/>
                <w:kern w:val="2"/>
                <w:sz w:val="21"/>
                <w:szCs w:val="22"/>
                <w:lang w:val="en-US" w:eastAsia="zh-CN" w:bidi="ar-SA"/>
              </w:rPr>
            </w:pPr>
            <w:r>
              <w:rPr>
                <w:rFonts w:ascii="宋体" w:hAnsi="宋体" w:eastAsia="宋体" w:cs="Times New Roman"/>
                <w:color w:val="000000"/>
                <w:kern w:val="2"/>
                <w:sz w:val="21"/>
                <w:szCs w:val="22"/>
                <w:lang w:val="en-US" w:eastAsia="zh-CN" w:bidi="ar-SA"/>
              </w:rPr>
              <w:t>阻尼铰链：采用优质的阻尼铰链 垂直向下静载荷、水平侧向静载荷、耐久性、耐腐蚀符合检测标准</w:t>
            </w:r>
          </w:p>
          <w:p>
            <w:pPr>
              <w:autoSpaceDE w:val="0"/>
              <w:autoSpaceDN w:val="0"/>
              <w:spacing w:line="360" w:lineRule="auto"/>
              <w:jc w:val="left"/>
              <w:rPr>
                <w:rFonts w:ascii="宋体" w:hAnsi="宋体" w:eastAsia="宋体" w:cs="Times New Roman"/>
                <w:color w:val="000000"/>
                <w:kern w:val="2"/>
                <w:sz w:val="21"/>
                <w:szCs w:val="22"/>
                <w:lang w:val="en-US" w:eastAsia="zh-CN" w:bidi="ar-SA"/>
              </w:rPr>
            </w:pPr>
            <w:r>
              <w:rPr>
                <w:rFonts w:ascii="宋体" w:hAnsi="宋体" w:eastAsia="宋体" w:cs="Times New Roman"/>
                <w:color w:val="000000"/>
                <w:kern w:val="2"/>
                <w:sz w:val="21"/>
                <w:szCs w:val="22"/>
                <w:lang w:val="en-US" w:eastAsia="zh-CN" w:bidi="ar-SA"/>
              </w:rPr>
              <w:t xml:space="preserve">锁具：采用优质的锁具 锁定到位开启灵活，金属电镀层抗盐雾18h，无锈点。 </w:t>
            </w:r>
          </w:p>
          <w:p>
            <w:pPr>
              <w:autoSpaceDE w:val="0"/>
              <w:autoSpaceDN w:val="0"/>
              <w:spacing w:line="360" w:lineRule="auto"/>
              <w:jc w:val="left"/>
              <w:rPr>
                <w:rFonts w:ascii="宋体" w:hAnsi="宋体" w:eastAsia="宋体" w:cs="Times New Roman"/>
                <w:color w:val="000000"/>
                <w:kern w:val="2"/>
                <w:sz w:val="21"/>
                <w:szCs w:val="22"/>
                <w:lang w:val="en-US" w:eastAsia="zh-CN" w:bidi="ar-SA"/>
              </w:rPr>
            </w:pPr>
            <w:r>
              <w:rPr>
                <w:rFonts w:ascii="宋体" w:hAnsi="宋体" w:eastAsia="宋体" w:cs="Times New Roman"/>
                <w:color w:val="000000"/>
                <w:kern w:val="2"/>
                <w:sz w:val="21"/>
                <w:szCs w:val="22"/>
                <w:lang w:val="en-US" w:eastAsia="zh-CN" w:bidi="ar-SA"/>
              </w:rPr>
              <w:t xml:space="preserve">塑料脚钉：采用优质的塑料脚钉 符合塑料家具中有害物质限量 可溶性铅≤2.1mg/kg,可溶性镉≤1.1mg/kg，可溶性汞≤1.1mg/kg，可溶性铬≤1.1mg/kg </w:t>
            </w:r>
          </w:p>
          <w:p>
            <w:pPr>
              <w:autoSpaceDE w:val="0"/>
              <w:autoSpaceDN w:val="0"/>
              <w:spacing w:line="360" w:lineRule="auto"/>
              <w:jc w:val="left"/>
              <w:rPr>
                <w:rFonts w:ascii="宋体" w:hAnsi="宋体" w:eastAsia="宋体" w:cs="Times New Roman"/>
                <w:color w:val="000000"/>
                <w:kern w:val="2"/>
                <w:sz w:val="21"/>
                <w:szCs w:val="22"/>
                <w:lang w:val="en-US" w:eastAsia="zh-CN" w:bidi="ar-SA"/>
              </w:rPr>
            </w:pPr>
            <w:r>
              <w:rPr>
                <w:rFonts w:ascii="宋体" w:hAnsi="宋体" w:eastAsia="宋体" w:cs="Times New Roman"/>
                <w:color w:val="000000"/>
                <w:kern w:val="2"/>
                <w:sz w:val="21"/>
                <w:szCs w:val="22"/>
                <w:lang w:val="en-US" w:eastAsia="zh-CN" w:bidi="ar-SA"/>
              </w:rPr>
              <w:t>质量工艺要求：台面平整，木材拼接紧密，线条均匀，转角过渡自然，间隙细小且均匀等，误差不超过5mm；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20</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保密柜</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1940mm*900mm*420mm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基材：使用优质的钢板符合金属家具通用技术条件标准，金属喷漆（塑）涂层冲击强度符合检测标准，金属喷漆（塑）涂层附着力≥2级</w:t>
            </w:r>
          </w:p>
          <w:p>
            <w:pPr>
              <w:autoSpaceDE w:val="0"/>
              <w:autoSpaceDN w:val="0"/>
              <w:spacing w:line="360" w:lineRule="auto"/>
              <w:jc w:val="left"/>
              <w:rPr>
                <w:rFonts w:ascii="宋体" w:hAnsi="宋体" w:eastAsia="宋体"/>
                <w:color w:val="000000"/>
              </w:rPr>
            </w:pPr>
            <w:r>
              <w:rPr>
                <w:rFonts w:ascii="宋体" w:hAnsi="宋体" w:eastAsia="宋体"/>
                <w:color w:val="000000"/>
              </w:rPr>
              <w:t>表面：采用静电粉末喷涂，符合室内装饰装修材料木家具中有害物质限量可溶性铅≤2mg/kg，镉≤1mg/kg，铬≤1mg/kg，汞≤1mg/kg。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21</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保险柜</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800mm*440mm*390mm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基材：使用优质的钢板符合金属家具通用技术条件标准，金属喷漆（塑）涂层冲击强度符合检测标准，金属喷漆（塑）涂层附着力≥2级</w:t>
            </w:r>
          </w:p>
          <w:p>
            <w:pPr>
              <w:autoSpaceDE w:val="0"/>
              <w:autoSpaceDN w:val="0"/>
              <w:spacing w:line="360" w:lineRule="auto"/>
              <w:jc w:val="left"/>
              <w:rPr>
                <w:rFonts w:ascii="宋体" w:hAnsi="宋体" w:eastAsia="宋体"/>
                <w:color w:val="000000"/>
              </w:rPr>
            </w:pPr>
            <w:r>
              <w:rPr>
                <w:rFonts w:ascii="宋体" w:hAnsi="宋体" w:eastAsia="宋体"/>
                <w:color w:val="000000"/>
              </w:rPr>
              <w:t>表面：采用静电粉末喷涂，符合室内装饰装修材料木家具中有害物质限量可溶性铅≤2mg/kg，镉≤1mg/kg，铬≤1mg/kg，汞≤1mg/kg。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22</w:t>
            </w:r>
          </w:p>
        </w:tc>
        <w:tc>
          <w:tcPr>
            <w:tcW w:w="1028" w:type="dxa"/>
            <w:shd w:val="clear" w:color="000000" w:fill="auto"/>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钢制文件柜</w:t>
            </w:r>
          </w:p>
        </w:tc>
        <w:tc>
          <w:tcPr>
            <w:tcW w:w="2316" w:type="dxa"/>
            <w:shd w:val="clear" w:color="000000" w:fill="auto"/>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1800mm*420mm*858mm</w:t>
            </w:r>
          </w:p>
        </w:tc>
        <w:tc>
          <w:tcPr>
            <w:tcW w:w="10221" w:type="dxa"/>
            <w:shd w:val="clear" w:color="000000" w:fill="auto"/>
            <w:vAlign w:val="center"/>
          </w:tcPr>
          <w:p>
            <w:pPr>
              <w:autoSpaceDE w:val="0"/>
              <w:autoSpaceDN w:val="0"/>
              <w:spacing w:line="360" w:lineRule="auto"/>
              <w:jc w:val="left"/>
              <w:rPr>
                <w:rFonts w:ascii="宋体" w:hAnsi="宋体" w:eastAsia="宋体"/>
                <w:color w:val="000000"/>
              </w:rPr>
            </w:pPr>
            <w:r>
              <w:rPr>
                <w:rFonts w:ascii="宋体" w:hAnsi="宋体" w:eastAsia="宋体" w:cs="宋体"/>
                <w:sz w:val="24"/>
                <w:szCs w:val="24"/>
              </w:rPr>
              <w:t>上节:</w:t>
            </w:r>
            <w:r>
              <w:rPr>
                <w:rFonts w:ascii="宋体" w:hAnsi="宋体" w:eastAsia="宋体"/>
                <w:color w:val="000000"/>
              </w:rPr>
              <w:t>高375mm*宽858mm*深420mm；围脚：高70mm*宽858mm*深420mm；★1、柜体采用0.6mm厚冷轧钢板，结构要求牢固，门闭合时与柜体正面完全嵌合，，柜体正面整体平整度高，铝合金拉手并开透气孔。2、下料尺寸精确，保证产品结构的牢固性、合理性。3、焊接：二氢化碳保护焊，镀铜焊丝，一级。4、所有金属表面处理：经酸洗陶化及抛丸机打砂除油除锈后，高压恒温环氧树脂固体粉末静电喷涂，喷塑温度达到195-205摄氏度，喷涂均匀，附着力强、耐腐蚀、耐擦挂、耐冲击，保证喷塑质量的稳定性和可靠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23</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会计凭证柜</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1950mm*350mm*900mm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基材：使用冷轧钢板钢材厚0.6mm,金属家具通用技术条件标准，金属电镀层抗盐雾（18h)1.5mm以下锈点≤20点/dm,≥1.0mm锈点不超过5点。</w:t>
            </w:r>
          </w:p>
          <w:p>
            <w:pPr>
              <w:autoSpaceDE w:val="0"/>
              <w:autoSpaceDN w:val="0"/>
              <w:spacing w:line="360" w:lineRule="auto"/>
              <w:jc w:val="left"/>
              <w:rPr>
                <w:rFonts w:ascii="宋体" w:hAnsi="宋体" w:eastAsia="宋体"/>
                <w:color w:val="000000"/>
              </w:rPr>
            </w:pPr>
            <w:r>
              <w:rPr>
                <w:rFonts w:ascii="宋体" w:hAnsi="宋体" w:eastAsia="宋体"/>
                <w:color w:val="000000"/>
              </w:rPr>
              <w:t>表面：采用静电粉末喷涂，采用静电粉末喷涂，符合室内装饰装修材料木家具中有害物质限量可溶性铅≤2mg/kg，镉≤1mg/kg，铬≤1mg/kg，汞≤1mg/kg。</w:t>
            </w:r>
          </w:p>
          <w:p>
            <w:pPr>
              <w:autoSpaceDE w:val="0"/>
              <w:autoSpaceDN w:val="0"/>
              <w:spacing w:line="360" w:lineRule="auto"/>
              <w:jc w:val="left"/>
              <w:rPr>
                <w:rFonts w:ascii="宋体" w:hAnsi="宋体" w:eastAsia="宋体"/>
                <w:color w:val="000000"/>
              </w:rPr>
            </w:pPr>
            <w:r>
              <w:rPr>
                <w:rFonts w:ascii="宋体" w:hAnsi="宋体" w:eastAsia="宋体"/>
                <w:color w:val="000000"/>
              </w:rPr>
              <w:t>锁具：采用优质的锁具，符合金属家具通用技术条件标准，电镀层抗盐雾（18h)1.5mm以下锈点≤20点/dm,≥1.0mm锈点不超过5点。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24</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密集架</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2400*1000*600</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一、密集架的组成：</w:t>
            </w:r>
          </w:p>
          <w:p>
            <w:pPr>
              <w:autoSpaceDE w:val="0"/>
              <w:autoSpaceDN w:val="0"/>
              <w:spacing w:line="360" w:lineRule="auto"/>
              <w:jc w:val="left"/>
              <w:rPr>
                <w:rFonts w:ascii="宋体" w:hAnsi="宋体" w:eastAsia="宋体"/>
                <w:color w:val="000000"/>
              </w:rPr>
            </w:pPr>
            <w:r>
              <w:rPr>
                <w:rFonts w:ascii="宋体" w:hAnsi="宋体" w:eastAsia="宋体"/>
                <w:color w:val="000000"/>
              </w:rPr>
              <w:t>1、档案架严格采用冷轧板，使用先进的数控机械设备锻压成型，表面喷涂是采用全自动九工位喷塑流水线环保型环氧聚脂静电粉末喷塑制成，有底盘系列、传动系统，安全防护装置，制动装置，防尘密封系统立柱、侧板、搁板、门板、摇臂，标准件全部采用镀锌件。</w:t>
            </w:r>
          </w:p>
          <w:p>
            <w:pPr>
              <w:autoSpaceDE w:val="0"/>
              <w:autoSpaceDN w:val="0"/>
              <w:spacing w:line="360" w:lineRule="auto"/>
              <w:jc w:val="left"/>
              <w:rPr>
                <w:rFonts w:ascii="宋体" w:hAnsi="宋体" w:eastAsia="宋体"/>
                <w:color w:val="000000"/>
              </w:rPr>
            </w:pPr>
            <w:r>
              <w:rPr>
                <w:rFonts w:ascii="宋体" w:hAnsi="宋体" w:eastAsia="宋体"/>
                <w:color w:val="000000"/>
              </w:rPr>
              <w:t>2、边列与中间列均可双面使用，边列可两头固定中间摇动也可中间固定两边分摇，摇臂采用盘式及多种式样，档案柜的上顶有防尘板，列与列之间装有磁性橡胶密封条起到缓冲作用，具有防火，防尘，防潮，防鼠，防盗功能。</w:t>
            </w:r>
          </w:p>
          <w:p>
            <w:pPr>
              <w:autoSpaceDE w:val="0"/>
              <w:autoSpaceDN w:val="0"/>
              <w:spacing w:line="360" w:lineRule="auto"/>
              <w:jc w:val="left"/>
              <w:rPr>
                <w:rFonts w:ascii="宋体" w:hAnsi="宋体" w:eastAsia="宋体"/>
                <w:color w:val="000000"/>
              </w:rPr>
            </w:pPr>
            <w:r>
              <w:rPr>
                <w:rFonts w:ascii="宋体" w:hAnsi="宋体" w:eastAsia="宋体"/>
                <w:color w:val="000000"/>
              </w:rPr>
              <w:t>二、底盘系统</w:t>
            </w:r>
          </w:p>
          <w:p>
            <w:pPr>
              <w:autoSpaceDE w:val="0"/>
              <w:autoSpaceDN w:val="0"/>
              <w:spacing w:line="360" w:lineRule="auto"/>
              <w:jc w:val="left"/>
              <w:rPr>
                <w:rFonts w:ascii="宋体" w:hAnsi="宋体" w:eastAsia="宋体"/>
                <w:color w:val="000000"/>
              </w:rPr>
            </w:pPr>
            <w:r>
              <w:rPr>
                <w:rFonts w:ascii="宋体" w:hAnsi="宋体" w:eastAsia="宋体"/>
                <w:color w:val="000000"/>
              </w:rPr>
              <w:t>底盘冷轧钢板冲压成型，采用高强度桥梁插接组合结构，加配焊加强型整体轮架，强度牢靠，且便于运输，安装，调试。</w:t>
            </w:r>
          </w:p>
          <w:p>
            <w:pPr>
              <w:autoSpaceDE w:val="0"/>
              <w:autoSpaceDN w:val="0"/>
              <w:spacing w:line="360" w:lineRule="auto"/>
              <w:jc w:val="left"/>
              <w:rPr>
                <w:rFonts w:ascii="宋体" w:hAnsi="宋体" w:eastAsia="宋体"/>
                <w:color w:val="000000"/>
              </w:rPr>
            </w:pPr>
            <w:r>
              <w:rPr>
                <w:rFonts w:ascii="宋体" w:hAnsi="宋体" w:eastAsia="宋体"/>
                <w:color w:val="000000"/>
              </w:rPr>
              <w:t>三、传动系统：</w:t>
            </w:r>
          </w:p>
          <w:p>
            <w:pPr>
              <w:autoSpaceDE w:val="0"/>
              <w:autoSpaceDN w:val="0"/>
              <w:spacing w:line="360" w:lineRule="auto"/>
              <w:jc w:val="left"/>
              <w:rPr>
                <w:rFonts w:ascii="宋体" w:hAnsi="宋体" w:eastAsia="宋体"/>
                <w:color w:val="000000"/>
              </w:rPr>
            </w:pPr>
            <w:r>
              <w:rPr>
                <w:rFonts w:ascii="宋体" w:hAnsi="宋体" w:eastAsia="宋体"/>
                <w:color w:val="000000"/>
              </w:rPr>
              <w:t>传动系统由：摇把、链条、传动轴承、行走轮组成，采用立式调心轴承，传动轴使用无缝钢管，双驱动双方向传动，行走轮采用铸铁强度可靠耐久，结构紧凑，变速机构使用破断力为摩托车链条，并增加了三级变速固定盘，配以齿轮自动离合方向盘，使密集架移动轻捷、灵活，消除了列端性不同步现象。设立防倾机构，使密集架在任何情况下不会倾倒伤人或损坏设施。</w:t>
            </w:r>
          </w:p>
          <w:p>
            <w:pPr>
              <w:autoSpaceDE w:val="0"/>
              <w:autoSpaceDN w:val="0"/>
              <w:spacing w:line="360" w:lineRule="auto"/>
              <w:jc w:val="left"/>
              <w:rPr>
                <w:rFonts w:ascii="宋体" w:hAnsi="宋体" w:eastAsia="宋体"/>
                <w:color w:val="000000"/>
              </w:rPr>
            </w:pPr>
            <w:r>
              <w:rPr>
                <w:rFonts w:ascii="宋体" w:hAnsi="宋体" w:eastAsia="宋体"/>
                <w:color w:val="000000"/>
              </w:rPr>
              <w:t>四、安全防护装置：</w:t>
            </w:r>
          </w:p>
          <w:p>
            <w:pPr>
              <w:autoSpaceDE w:val="0"/>
              <w:autoSpaceDN w:val="0"/>
              <w:spacing w:line="360" w:lineRule="auto"/>
              <w:jc w:val="left"/>
              <w:rPr>
                <w:rFonts w:ascii="宋体" w:hAnsi="宋体" w:eastAsia="宋体"/>
                <w:color w:val="000000"/>
              </w:rPr>
            </w:pPr>
            <w:r>
              <w:rPr>
                <w:rFonts w:ascii="宋体" w:hAnsi="宋体" w:eastAsia="宋体"/>
                <w:color w:val="000000"/>
              </w:rPr>
              <w:t>安全防护装置包括密封装置、防倾倒装置、限位装置、制动装置。</w:t>
            </w:r>
          </w:p>
          <w:p>
            <w:pPr>
              <w:autoSpaceDE w:val="0"/>
              <w:autoSpaceDN w:val="0"/>
              <w:spacing w:line="360" w:lineRule="auto"/>
              <w:jc w:val="left"/>
              <w:rPr>
                <w:rFonts w:ascii="宋体" w:hAnsi="宋体" w:eastAsia="宋体"/>
                <w:color w:val="000000"/>
              </w:rPr>
            </w:pPr>
            <w:r>
              <w:rPr>
                <w:rFonts w:ascii="宋体" w:hAnsi="宋体" w:eastAsia="宋体"/>
                <w:color w:val="000000"/>
              </w:rPr>
              <w:t>1、密封装置安装架体的两端与两架体之间接触而上以缓冲架体碰撞减低架体聚合时发出的响声且有防尘、防火、防潮、防鼠功能。</w:t>
            </w:r>
          </w:p>
          <w:p>
            <w:pPr>
              <w:autoSpaceDE w:val="0"/>
              <w:autoSpaceDN w:val="0"/>
              <w:spacing w:line="360" w:lineRule="auto"/>
              <w:jc w:val="left"/>
              <w:rPr>
                <w:rFonts w:ascii="宋体" w:hAnsi="宋体" w:eastAsia="宋体"/>
                <w:color w:val="000000"/>
              </w:rPr>
            </w:pPr>
            <w:r>
              <w:rPr>
                <w:rFonts w:ascii="宋体" w:hAnsi="宋体" w:eastAsia="宋体"/>
                <w:color w:val="000000"/>
              </w:rPr>
              <w:t>2、防倾倒装置在每列密集架的底盘上安装钢板安全钩，并与轨道相连，防止架体倾倒，达到安全可靠。</w:t>
            </w:r>
          </w:p>
          <w:p>
            <w:pPr>
              <w:autoSpaceDE w:val="0"/>
              <w:autoSpaceDN w:val="0"/>
              <w:spacing w:line="360" w:lineRule="auto"/>
              <w:jc w:val="left"/>
              <w:rPr>
                <w:rFonts w:ascii="宋体" w:hAnsi="宋体" w:eastAsia="宋体"/>
                <w:color w:val="000000"/>
              </w:rPr>
            </w:pPr>
            <w:r>
              <w:rPr>
                <w:rFonts w:ascii="宋体" w:hAnsi="宋体" w:eastAsia="宋体"/>
                <w:color w:val="000000"/>
              </w:rPr>
              <w:t>3、制动装置：制动装置安装于每列密集架的侧端，侧板的中部它可使密集架不被他人移动，有效地保证查阅人员的安全。</w:t>
            </w:r>
          </w:p>
          <w:p>
            <w:pPr>
              <w:autoSpaceDE w:val="0"/>
              <w:autoSpaceDN w:val="0"/>
              <w:spacing w:line="360" w:lineRule="auto"/>
              <w:jc w:val="left"/>
              <w:rPr>
                <w:rFonts w:ascii="宋体" w:hAnsi="宋体" w:eastAsia="宋体"/>
                <w:color w:val="000000"/>
              </w:rPr>
            </w:pPr>
            <w:r>
              <w:rPr>
                <w:rFonts w:ascii="宋体" w:hAnsi="宋体" w:eastAsia="宋体"/>
                <w:color w:val="000000"/>
              </w:rPr>
              <w:t>五、立架部件</w:t>
            </w:r>
          </w:p>
          <w:p>
            <w:pPr>
              <w:autoSpaceDE w:val="0"/>
              <w:autoSpaceDN w:val="0"/>
              <w:spacing w:line="360" w:lineRule="auto"/>
              <w:jc w:val="left"/>
              <w:rPr>
                <w:rFonts w:ascii="宋体" w:hAnsi="宋体" w:eastAsia="宋体"/>
                <w:color w:val="000000"/>
              </w:rPr>
            </w:pPr>
            <w:r>
              <w:rPr>
                <w:rFonts w:ascii="宋体" w:hAnsi="宋体" w:eastAsia="宋体"/>
                <w:color w:val="000000"/>
              </w:rPr>
              <w:t>立架部分由立柱、搁板、挂板、书档组成。</w:t>
            </w:r>
          </w:p>
          <w:p>
            <w:pPr>
              <w:autoSpaceDE w:val="0"/>
              <w:autoSpaceDN w:val="0"/>
              <w:spacing w:line="360" w:lineRule="auto"/>
              <w:jc w:val="left"/>
              <w:rPr>
                <w:rFonts w:ascii="宋体" w:hAnsi="宋体" w:eastAsia="宋体"/>
                <w:color w:val="000000"/>
              </w:rPr>
            </w:pPr>
            <w:r>
              <w:rPr>
                <w:rFonts w:ascii="宋体" w:hAnsi="宋体" w:eastAsia="宋体"/>
                <w:color w:val="000000"/>
              </w:rPr>
              <w:t>特点：承载大、强度好，且整体稳定，牢固，可靠。</w:t>
            </w:r>
          </w:p>
          <w:p>
            <w:pPr>
              <w:autoSpaceDE w:val="0"/>
              <w:autoSpaceDN w:val="0"/>
              <w:spacing w:line="360" w:lineRule="auto"/>
              <w:jc w:val="left"/>
              <w:rPr>
                <w:rFonts w:ascii="宋体" w:hAnsi="宋体" w:eastAsia="宋体"/>
                <w:color w:val="000000"/>
              </w:rPr>
            </w:pPr>
            <w:r>
              <w:rPr>
                <w:rFonts w:ascii="宋体" w:hAnsi="宋体" w:eastAsia="宋体"/>
                <w:color w:val="000000"/>
              </w:rPr>
              <w:t>六、侧板、立架、顶板组合方式</w:t>
            </w:r>
          </w:p>
          <w:p>
            <w:pPr>
              <w:autoSpaceDE w:val="0"/>
              <w:autoSpaceDN w:val="0"/>
              <w:spacing w:line="360" w:lineRule="auto"/>
              <w:jc w:val="left"/>
              <w:rPr>
                <w:rFonts w:ascii="宋体" w:hAnsi="宋体" w:eastAsia="宋体"/>
                <w:color w:val="000000"/>
              </w:rPr>
            </w:pPr>
            <w:r>
              <w:rPr>
                <w:rFonts w:ascii="宋体" w:hAnsi="宋体" w:eastAsia="宋体"/>
                <w:color w:val="000000"/>
              </w:rPr>
              <w:t>侧板采用冷轧钢板，每列侧板上装有两块录框，便于装捅档案目录，使用镀锌螺丝，把立柱，顶板，侧板紧密相连。</w:t>
            </w:r>
          </w:p>
          <w:p>
            <w:pPr>
              <w:autoSpaceDE w:val="0"/>
              <w:autoSpaceDN w:val="0"/>
              <w:spacing w:line="360" w:lineRule="auto"/>
              <w:jc w:val="left"/>
              <w:rPr>
                <w:rFonts w:ascii="宋体" w:hAnsi="宋体" w:eastAsia="宋体"/>
                <w:color w:val="000000"/>
              </w:rPr>
            </w:pPr>
            <w:r>
              <w:rPr>
                <w:rFonts w:ascii="宋体" w:hAnsi="宋体" w:eastAsia="宋体"/>
                <w:color w:val="000000"/>
              </w:rPr>
              <w:t>七、密集架工艺标准</w:t>
            </w:r>
          </w:p>
          <w:p>
            <w:pPr>
              <w:autoSpaceDE w:val="0"/>
              <w:autoSpaceDN w:val="0"/>
              <w:spacing w:line="360" w:lineRule="auto"/>
              <w:jc w:val="left"/>
              <w:rPr>
                <w:rFonts w:ascii="宋体" w:hAnsi="宋体" w:eastAsia="宋体"/>
                <w:color w:val="000000"/>
              </w:rPr>
            </w:pPr>
            <w:r>
              <w:rPr>
                <w:rFonts w:ascii="宋体" w:hAnsi="宋体" w:eastAsia="宋体"/>
                <w:color w:val="000000"/>
              </w:rPr>
              <w:t>密集架为框架结构，主要由轨道、底盘、传动机构、架体（包括立柱、搁板支撑板、搁板、门板、顶板、侧护板）等等（部）件组成。列与列之间装有特种抗老化PVC磁封条，形成两列间的全封闭，门面列和中间移动列分别装有锁具和制动装置，每组密集架闭合后可用总锁锁住，形成一个封闭的整体。各列移开后可单独制动。底须有防鼠、防倒装置，因而整个架体具有良好的防尘、防火、防鼠、防潮、防火、防盗和保密功能。</w:t>
            </w:r>
          </w:p>
          <w:p>
            <w:pPr>
              <w:autoSpaceDE w:val="0"/>
              <w:autoSpaceDN w:val="0"/>
              <w:spacing w:line="360" w:lineRule="auto"/>
              <w:jc w:val="left"/>
              <w:rPr>
                <w:rFonts w:ascii="宋体" w:hAnsi="宋体" w:eastAsia="宋体"/>
                <w:color w:val="000000"/>
              </w:rPr>
            </w:pPr>
            <w:r>
              <w:rPr>
                <w:rFonts w:ascii="宋体" w:hAnsi="宋体" w:eastAsia="宋体"/>
                <w:color w:val="000000"/>
              </w:rPr>
              <w:t>八、装配</w:t>
            </w:r>
          </w:p>
          <w:p>
            <w:pPr>
              <w:autoSpaceDE w:val="0"/>
              <w:autoSpaceDN w:val="0"/>
              <w:spacing w:line="360" w:lineRule="auto"/>
              <w:jc w:val="left"/>
              <w:rPr>
                <w:rFonts w:ascii="宋体" w:hAnsi="宋体" w:eastAsia="宋体"/>
                <w:color w:val="000000"/>
              </w:rPr>
            </w:pPr>
            <w:r>
              <w:rPr>
                <w:rFonts w:ascii="宋体" w:hAnsi="宋体" w:eastAsia="宋体"/>
                <w:color w:val="000000"/>
              </w:rPr>
              <w:t>1、每列组装后，上中下护板的对缝外间隙不大于1.5mm</w:t>
            </w:r>
          </w:p>
          <w:p>
            <w:pPr>
              <w:autoSpaceDE w:val="0"/>
              <w:autoSpaceDN w:val="0"/>
              <w:spacing w:line="360" w:lineRule="auto"/>
              <w:jc w:val="left"/>
              <w:rPr>
                <w:rFonts w:ascii="宋体" w:hAnsi="宋体" w:eastAsia="宋体"/>
                <w:color w:val="000000"/>
              </w:rPr>
            </w:pPr>
            <w:r>
              <w:rPr>
                <w:rFonts w:ascii="宋体" w:hAnsi="宋体" w:eastAsia="宋体"/>
                <w:color w:val="000000"/>
              </w:rPr>
              <w:t>2、传动机构应转动灵活，平衡，不得有失灵现象</w:t>
            </w:r>
          </w:p>
          <w:p>
            <w:pPr>
              <w:autoSpaceDE w:val="0"/>
              <w:autoSpaceDN w:val="0"/>
              <w:spacing w:line="360" w:lineRule="auto"/>
              <w:jc w:val="left"/>
              <w:rPr>
                <w:rFonts w:ascii="宋体" w:hAnsi="宋体" w:eastAsia="宋体"/>
                <w:color w:val="000000"/>
              </w:rPr>
            </w:pPr>
            <w:r>
              <w:rPr>
                <w:rFonts w:ascii="宋体" w:hAnsi="宋体" w:eastAsia="宋体"/>
                <w:color w:val="000000"/>
              </w:rPr>
              <w:t>3、各结构件和架体无明显变形，架体无倾斜现象。</w:t>
            </w:r>
          </w:p>
          <w:p>
            <w:pPr>
              <w:autoSpaceDE w:val="0"/>
              <w:autoSpaceDN w:val="0"/>
              <w:spacing w:line="360" w:lineRule="auto"/>
              <w:jc w:val="left"/>
              <w:rPr>
                <w:rFonts w:ascii="宋体" w:hAnsi="宋体" w:eastAsia="宋体"/>
                <w:color w:val="000000"/>
              </w:rPr>
            </w:pPr>
          </w:p>
          <w:p>
            <w:pPr>
              <w:autoSpaceDE w:val="0"/>
              <w:autoSpaceDN w:val="0"/>
              <w:spacing w:line="360" w:lineRule="auto"/>
              <w:jc w:val="left"/>
              <w:rPr>
                <w:rFonts w:ascii="宋体" w:hAnsi="宋体" w:eastAsia="宋体"/>
                <w:color w:val="000000"/>
              </w:rPr>
            </w:pPr>
            <w:r>
              <w:rPr>
                <w:rFonts w:ascii="宋体" w:hAnsi="宋体" w:eastAsia="宋体"/>
                <w:color w:val="000000"/>
              </w:rPr>
              <w:t>密集架使用说明</w:t>
            </w:r>
          </w:p>
          <w:p>
            <w:pPr>
              <w:autoSpaceDE w:val="0"/>
              <w:autoSpaceDN w:val="0"/>
              <w:spacing w:line="360" w:lineRule="auto"/>
              <w:jc w:val="left"/>
              <w:rPr>
                <w:rFonts w:ascii="宋体" w:hAnsi="宋体" w:eastAsia="宋体"/>
                <w:color w:val="000000"/>
              </w:rPr>
            </w:pPr>
            <w:r>
              <w:rPr>
                <w:rFonts w:ascii="宋体" w:hAnsi="宋体" w:eastAsia="宋体"/>
                <w:color w:val="000000"/>
              </w:rPr>
              <w:t>一、用途</w:t>
            </w:r>
          </w:p>
          <w:p>
            <w:pPr>
              <w:autoSpaceDE w:val="0"/>
              <w:autoSpaceDN w:val="0"/>
              <w:spacing w:line="360" w:lineRule="auto"/>
              <w:jc w:val="left"/>
              <w:rPr>
                <w:rFonts w:ascii="宋体" w:hAnsi="宋体" w:eastAsia="宋体"/>
                <w:color w:val="000000"/>
              </w:rPr>
            </w:pPr>
            <w:r>
              <w:rPr>
                <w:rFonts w:ascii="宋体" w:hAnsi="宋体" w:eastAsia="宋体"/>
                <w:color w:val="000000"/>
              </w:rPr>
              <w:t>档案密集架是存放图书、档案文件、证券凭证等的理想装具。也可当作货物存放架，外形美观，占地空间小，存取方便，可充分利用库房面积和空间，增加存储量2-3倍。</w:t>
            </w:r>
          </w:p>
          <w:p>
            <w:pPr>
              <w:autoSpaceDE w:val="0"/>
              <w:autoSpaceDN w:val="0"/>
              <w:spacing w:line="360" w:lineRule="auto"/>
              <w:jc w:val="left"/>
              <w:rPr>
                <w:rFonts w:ascii="宋体" w:hAnsi="宋体" w:eastAsia="宋体"/>
                <w:color w:val="000000"/>
              </w:rPr>
            </w:pPr>
            <w:r>
              <w:rPr>
                <w:rFonts w:ascii="宋体" w:hAnsi="宋体" w:eastAsia="宋体"/>
                <w:color w:val="000000"/>
              </w:rPr>
              <w:t>二、工作原理</w:t>
            </w:r>
          </w:p>
          <w:p>
            <w:pPr>
              <w:autoSpaceDE w:val="0"/>
              <w:autoSpaceDN w:val="0"/>
              <w:spacing w:line="360" w:lineRule="auto"/>
              <w:jc w:val="left"/>
              <w:rPr>
                <w:rFonts w:ascii="宋体" w:hAnsi="宋体" w:eastAsia="宋体"/>
                <w:color w:val="000000"/>
              </w:rPr>
            </w:pPr>
            <w:r>
              <w:rPr>
                <w:rFonts w:ascii="宋体" w:hAnsi="宋体" w:eastAsia="宋体"/>
                <w:color w:val="000000"/>
              </w:rPr>
              <w:t>1、密集架的移动</w:t>
            </w:r>
          </w:p>
          <w:p>
            <w:pPr>
              <w:autoSpaceDE w:val="0"/>
              <w:autoSpaceDN w:val="0"/>
              <w:spacing w:line="360" w:lineRule="auto"/>
              <w:jc w:val="left"/>
              <w:rPr>
                <w:rFonts w:ascii="宋体" w:hAnsi="宋体" w:eastAsia="宋体"/>
                <w:color w:val="000000"/>
              </w:rPr>
            </w:pPr>
            <w:r>
              <w:rPr>
                <w:rFonts w:ascii="宋体" w:hAnsi="宋体" w:eastAsia="宋体"/>
                <w:color w:val="000000"/>
              </w:rPr>
              <w:t>密集架可单列或多列在导轨上行走，每列具有手刹制动装置,(自锁柄)。自锁柄在ＯＦＦ位置时，架体不能移动，在ＯＮ位置时，架体可移动，每列架体的侧板上有标签框，移动列底盘上有防倒装置，移动边列侧板上有锁，导轨的端部有限位装置。</w:t>
            </w:r>
          </w:p>
          <w:p>
            <w:pPr>
              <w:autoSpaceDE w:val="0"/>
              <w:autoSpaceDN w:val="0"/>
              <w:spacing w:line="360" w:lineRule="auto"/>
              <w:jc w:val="left"/>
              <w:rPr>
                <w:rFonts w:ascii="宋体" w:hAnsi="宋体" w:eastAsia="宋体"/>
                <w:color w:val="000000"/>
              </w:rPr>
            </w:pPr>
            <w:r>
              <w:rPr>
                <w:rFonts w:ascii="宋体" w:hAnsi="宋体" w:eastAsia="宋体"/>
                <w:color w:val="000000"/>
              </w:rPr>
              <w:t>2、文档的存取</w:t>
            </w:r>
          </w:p>
          <w:p>
            <w:pPr>
              <w:autoSpaceDE w:val="0"/>
              <w:autoSpaceDN w:val="0"/>
              <w:spacing w:line="360" w:lineRule="auto"/>
              <w:jc w:val="left"/>
              <w:rPr>
                <w:rFonts w:ascii="宋体" w:hAnsi="宋体" w:eastAsia="宋体"/>
                <w:color w:val="000000"/>
              </w:rPr>
            </w:pPr>
            <w:r>
              <w:rPr>
                <w:rFonts w:ascii="宋体" w:hAnsi="宋体" w:eastAsia="宋体"/>
                <w:color w:val="000000"/>
              </w:rPr>
              <w:t>顺时针或逆时针摇动手柄，活动架将在轨道上行走，当相邻二架体间距移开到一定值，顺时针转动两列架体的自锁柄至OFF位置，此时再摇动手柄，二架体不能移动，然后可进入架体间存取文档（如转动自锁时不能锁定架体，可稍稍转动手轮致能拉动自锁柄）。</w:t>
            </w:r>
          </w:p>
          <w:p>
            <w:pPr>
              <w:autoSpaceDE w:val="0"/>
              <w:autoSpaceDN w:val="0"/>
              <w:spacing w:line="360" w:lineRule="auto"/>
              <w:jc w:val="left"/>
              <w:rPr>
                <w:rFonts w:ascii="宋体" w:hAnsi="宋体" w:eastAsia="宋体"/>
                <w:color w:val="000000"/>
              </w:rPr>
            </w:pPr>
            <w:r>
              <w:rPr>
                <w:rFonts w:ascii="宋体" w:hAnsi="宋体" w:eastAsia="宋体"/>
                <w:color w:val="000000"/>
              </w:rPr>
              <w:t>3、密集架的锁定</w:t>
            </w:r>
          </w:p>
          <w:p>
            <w:pPr>
              <w:autoSpaceDE w:val="0"/>
              <w:autoSpaceDN w:val="0"/>
              <w:spacing w:line="360" w:lineRule="auto"/>
              <w:jc w:val="left"/>
              <w:rPr>
                <w:rFonts w:ascii="宋体" w:hAnsi="宋体" w:eastAsia="宋体"/>
                <w:color w:val="000000"/>
              </w:rPr>
            </w:pPr>
            <w:r>
              <w:rPr>
                <w:rFonts w:ascii="宋体" w:hAnsi="宋体" w:eastAsia="宋体"/>
                <w:color w:val="000000"/>
              </w:rPr>
              <w:t>逆时针转动自锁柄至ON位置，架体自锁被解除。摇动手柄架体可行走，当所有架体与固定列紧靠在一起不能再移动时，转动边列的可行走，当所有架体与固定列紧靠在一起不能再移动时，转动边列的自锁柄使边列自锁，然后顺时针转动总锁钥匙，则将所有密集架锁定。</w:t>
            </w:r>
          </w:p>
          <w:p>
            <w:pPr>
              <w:autoSpaceDE w:val="0"/>
              <w:autoSpaceDN w:val="0"/>
              <w:spacing w:line="360" w:lineRule="auto"/>
              <w:jc w:val="left"/>
              <w:rPr>
                <w:rFonts w:ascii="宋体" w:hAnsi="宋体" w:eastAsia="宋体"/>
                <w:color w:val="000000"/>
              </w:rPr>
            </w:pPr>
            <w:r>
              <w:rPr>
                <w:rFonts w:ascii="宋体" w:hAnsi="宋体" w:eastAsia="宋体"/>
                <w:color w:val="000000"/>
              </w:rPr>
              <w:t>4、层高的调整</w:t>
            </w:r>
          </w:p>
          <w:p>
            <w:pPr>
              <w:autoSpaceDE w:val="0"/>
              <w:autoSpaceDN w:val="0"/>
              <w:spacing w:line="360" w:lineRule="auto"/>
              <w:jc w:val="left"/>
              <w:rPr>
                <w:rFonts w:ascii="宋体" w:hAnsi="宋体" w:eastAsia="宋体"/>
                <w:color w:val="000000"/>
              </w:rPr>
            </w:pPr>
            <w:r>
              <w:rPr>
                <w:rFonts w:ascii="宋体" w:hAnsi="宋体" w:eastAsia="宋体"/>
                <w:color w:val="000000"/>
              </w:rPr>
              <w:t>密集架每层按标准调试配置，当需调整层高时先取下层板，将层板二侧挂板上移，使之与立柱脱钩，再向上移或下移到所需要的调试，插入立柱孔中上与立柱挂上，然后放上层板即可。</w:t>
            </w:r>
          </w:p>
          <w:p>
            <w:pPr>
              <w:autoSpaceDE w:val="0"/>
              <w:autoSpaceDN w:val="0"/>
              <w:spacing w:line="360" w:lineRule="auto"/>
              <w:jc w:val="left"/>
              <w:rPr>
                <w:rFonts w:ascii="宋体" w:hAnsi="宋体" w:eastAsia="宋体"/>
                <w:color w:val="000000"/>
              </w:rPr>
            </w:pPr>
            <w:r>
              <w:rPr>
                <w:rFonts w:ascii="宋体" w:hAnsi="宋体" w:eastAsia="宋体"/>
                <w:color w:val="000000"/>
              </w:rPr>
              <w:t>三、安全</w:t>
            </w:r>
          </w:p>
          <w:p>
            <w:pPr>
              <w:autoSpaceDE w:val="0"/>
              <w:autoSpaceDN w:val="0"/>
              <w:spacing w:line="360" w:lineRule="auto"/>
              <w:jc w:val="left"/>
              <w:rPr>
                <w:rFonts w:ascii="宋体" w:hAnsi="宋体" w:eastAsia="宋体"/>
                <w:color w:val="000000"/>
              </w:rPr>
            </w:pPr>
            <w:r>
              <w:rPr>
                <w:rFonts w:ascii="宋体" w:hAnsi="宋体" w:eastAsia="宋体"/>
                <w:color w:val="000000"/>
              </w:rPr>
              <w:t>1、当人进入相邻二架体前，须预先用自锁柄锁定二架体，以防架体意外移动而伤人。</w:t>
            </w:r>
          </w:p>
          <w:p>
            <w:pPr>
              <w:autoSpaceDE w:val="0"/>
              <w:autoSpaceDN w:val="0"/>
              <w:spacing w:line="360" w:lineRule="auto"/>
              <w:jc w:val="left"/>
              <w:rPr>
                <w:rFonts w:ascii="宋体" w:hAnsi="宋体" w:eastAsia="宋体"/>
                <w:color w:val="000000"/>
              </w:rPr>
            </w:pPr>
            <w:r>
              <w:rPr>
                <w:rFonts w:ascii="宋体" w:hAnsi="宋体" w:eastAsia="宋体"/>
                <w:color w:val="000000"/>
              </w:rPr>
              <w:t>2、密集架工作物体存放之用，不可将架体和层板当作扶梯攀登。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25</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书梯</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1550*400*800</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基材：使用冷轧钢板钢材厚4mm,金属家具通用技术条件标准，金属电镀层抗盐雾（18h)1.5mm以下锈点≤20点/dm,≥1.0mm锈点不超过5点。</w:t>
            </w:r>
          </w:p>
          <w:p>
            <w:pPr>
              <w:autoSpaceDE w:val="0"/>
              <w:autoSpaceDN w:val="0"/>
              <w:spacing w:line="360" w:lineRule="auto"/>
              <w:jc w:val="left"/>
              <w:rPr>
                <w:rFonts w:ascii="宋体" w:hAnsi="宋体" w:eastAsia="宋体"/>
                <w:color w:val="000000"/>
              </w:rPr>
            </w:pPr>
            <w:r>
              <w:rPr>
                <w:rFonts w:ascii="宋体" w:hAnsi="宋体" w:eastAsia="宋体"/>
                <w:color w:val="000000"/>
              </w:rPr>
              <w:t>表面：采用静电粉末喷涂，采用静电粉末喷涂，符合室内装饰装修材料木家具中有害物质限量可溶性铅≤2mg/kg，镉≤1mg/kg，铬≤1mg/kg，汞≤1mg/kg。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26</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书车</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900*680*350</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基材：使用冷轧钢板钢材厚4mm,金属家具通用技术条件标准，金属电镀层抗盐雾（18h)1.5mm以下锈点≤20点/dm,≥1.0mm锈点不超过5点。</w:t>
            </w:r>
          </w:p>
          <w:p>
            <w:pPr>
              <w:autoSpaceDE w:val="0"/>
              <w:autoSpaceDN w:val="0"/>
              <w:spacing w:line="360" w:lineRule="auto"/>
              <w:jc w:val="left"/>
              <w:rPr>
                <w:rFonts w:ascii="宋体" w:hAnsi="宋体" w:eastAsia="宋体"/>
                <w:color w:val="000000"/>
              </w:rPr>
            </w:pPr>
            <w:r>
              <w:rPr>
                <w:rFonts w:ascii="宋体" w:hAnsi="宋体" w:eastAsia="宋体"/>
                <w:color w:val="000000"/>
              </w:rPr>
              <w:t>表面：采用静电粉末喷涂，采用静电粉末喷涂，符合室内装饰装修材料木家具中有害物质限量可溶性铅≤2mg/kg，镉≤1mg/kg，铬≤1mg/kg，汞≤1mg/kg。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27</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干湿温度计</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202*202</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全程温度-30至50度，误差小于1-1.5度。湿度20-100%RH,误差小于5-75%RH.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28</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除湿机</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370*250*630</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每天除湿机除湿量26升，适应面积15-50平方米。电源220V/50HZ,额定输入电流1.6A，额定输入功率350W,使用环境温度5-32%，循环风量300m/h,排水方式：商用型水箱式，毛重13Kg.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29</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防磁柜</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475*495*435</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整体抗震结构，采用冷轧钢板，外表环氧树脂静电喷塑。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30</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主席台</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1400mm*600mm*750mm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基材：E1级中密度纤维板，含水率在3%~7%之间，吸水膨胀率≥9.1%，甲醛释放量≤0.038mg/m³。</w:t>
            </w:r>
          </w:p>
          <w:p>
            <w:pPr>
              <w:autoSpaceDE w:val="0"/>
              <w:autoSpaceDN w:val="0"/>
              <w:spacing w:line="360" w:lineRule="auto"/>
              <w:jc w:val="left"/>
              <w:rPr>
                <w:rFonts w:ascii="宋体" w:hAnsi="宋体" w:eastAsia="宋体"/>
                <w:color w:val="000000"/>
              </w:rPr>
            </w:pPr>
            <w:r>
              <w:rPr>
                <w:rFonts w:ascii="宋体" w:hAnsi="宋体" w:eastAsia="宋体"/>
                <w:color w:val="000000"/>
              </w:rPr>
              <w:t>胶水：采用净味拼板胶，总挥发有机物21G/L,笨0.02g/kg，游离甲醛0.1g/kg</w:t>
            </w:r>
          </w:p>
          <w:p>
            <w:pPr>
              <w:autoSpaceDE w:val="0"/>
              <w:autoSpaceDN w:val="0"/>
              <w:spacing w:line="360" w:lineRule="auto"/>
              <w:jc w:val="left"/>
              <w:rPr>
                <w:rFonts w:ascii="宋体" w:hAnsi="宋体" w:eastAsia="宋体"/>
                <w:color w:val="000000"/>
              </w:rPr>
            </w:pPr>
            <w:r>
              <w:rPr>
                <w:rFonts w:ascii="宋体" w:hAnsi="宋体" w:eastAsia="宋体"/>
                <w:color w:val="000000"/>
              </w:rPr>
              <w:t>表面：采用柏腊木皮贴面，厚度≥0.6mm：甲醛释放量≤0.11mg/L</w:t>
            </w:r>
          </w:p>
          <w:p>
            <w:pPr>
              <w:autoSpaceDE w:val="0"/>
              <w:autoSpaceDN w:val="0"/>
              <w:spacing w:line="360" w:lineRule="auto"/>
              <w:jc w:val="left"/>
              <w:rPr>
                <w:rFonts w:ascii="宋体" w:hAnsi="宋体" w:eastAsia="宋体"/>
                <w:color w:val="000000"/>
              </w:rPr>
            </w:pPr>
            <w:r>
              <w:rPr>
                <w:rFonts w:ascii="宋体" w:hAnsi="宋体" w:eastAsia="宋体"/>
                <w:color w:val="000000"/>
              </w:rPr>
              <w:t>底漆：采用水性高透明底漆，符合企业技术规范干燥时间表干30min 已干实干6h 已干。</w:t>
            </w:r>
          </w:p>
          <w:p>
            <w:pPr>
              <w:autoSpaceDE w:val="0"/>
              <w:autoSpaceDN w:val="0"/>
              <w:spacing w:line="360" w:lineRule="auto"/>
              <w:jc w:val="left"/>
              <w:rPr>
                <w:rFonts w:ascii="宋体" w:hAnsi="宋体" w:eastAsia="宋体"/>
                <w:color w:val="000000"/>
              </w:rPr>
            </w:pPr>
            <w:r>
              <w:rPr>
                <w:rFonts w:ascii="宋体" w:hAnsi="宋体" w:eastAsia="宋体"/>
                <w:color w:val="000000"/>
              </w:rPr>
              <w:t>面漆：采用水性UV X分哑清面漆，符合企业技术规范细度≤7UM 耐磨性≤0.007g</w:t>
            </w:r>
          </w:p>
          <w:p>
            <w:pPr>
              <w:autoSpaceDE w:val="0"/>
              <w:autoSpaceDN w:val="0"/>
              <w:spacing w:line="360" w:lineRule="auto"/>
              <w:jc w:val="left"/>
              <w:rPr>
                <w:rFonts w:ascii="宋体" w:hAnsi="宋体" w:eastAsia="宋体"/>
                <w:color w:val="000000"/>
              </w:rPr>
            </w:pPr>
            <w:r>
              <w:rPr>
                <w:rFonts w:ascii="宋体" w:hAnsi="宋体" w:eastAsia="宋体"/>
                <w:color w:val="000000"/>
              </w:rPr>
              <w:t>质量工艺要求：台面平整，颜色均匀，木材拼接紧密，线条均匀，转角过渡自然，间隙细小且均匀等，误差不超过5mm；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31</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实木架会议椅</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高度1055mm，座深515mm，扶手长度580mm，前扶手距地面高度660mm，后扶手距地面高度645mm</w:t>
            </w:r>
          </w:p>
        </w:tc>
        <w:tc>
          <w:tcPr>
            <w:tcW w:w="10221" w:type="dxa"/>
            <w:vAlign w:val="center"/>
          </w:tcPr>
          <w:p>
            <w:pPr>
              <w:autoSpaceDE w:val="0"/>
              <w:autoSpaceDN w:val="0"/>
              <w:spacing w:line="360" w:lineRule="auto"/>
              <w:jc w:val="left"/>
              <w:rPr>
                <w:rFonts w:hAnsi="Times New Roman"/>
              </w:rPr>
            </w:pPr>
            <w:r>
              <w:rPr>
                <w:rFonts w:hAnsi="Times New Roman"/>
              </w:rPr>
              <w:t>表层：采用皮革覆面，摩擦色牢度≥4级，甲醛释放量≤9.1mg/kg</w:t>
            </w:r>
          </w:p>
          <w:p>
            <w:pPr>
              <w:spacing w:after="160"/>
              <w:jc w:val="left"/>
              <w:rPr>
                <w:rFonts w:hAnsi="Malgun Gothic" w:eastAsia="Malgun Gothic"/>
              </w:rPr>
            </w:pPr>
            <w:r>
              <w:rPr>
                <w:rFonts w:hAnsi="Times New Roman"/>
              </w:rPr>
              <w:t>内架：采用实木框架 符合室内装饰装修材料 木家具中有害物质限量 甲醛释放量≤0.11mg/L,木材含水率≤10%，全干密度≥0.54g/cm³</w:t>
            </w:r>
            <w:r>
              <w:rPr>
                <w:rFonts w:hAnsi="Times New Roman"/>
              </w:rPr>
              <w:br w:type="textWrapping" w:clear="all"/>
            </w:r>
            <w:r>
              <w:rPr>
                <w:rFonts w:hAnsi="Times New Roman"/>
              </w:rPr>
              <w:t>椅架：采用优质的实木为基材，符合木家具通用技术条件和室内装饰装修材料木家具中有害物质限量 含水率≤13%，甲醛释放量≤0.11mg/L</w:t>
            </w:r>
          </w:p>
          <w:p>
            <w:pPr>
              <w:spacing w:after="160"/>
              <w:jc w:val="left"/>
              <w:rPr>
                <w:rFonts w:eastAsia="Calibri"/>
              </w:rPr>
            </w:pPr>
            <w:r>
              <w:rPr>
                <w:rFonts w:eastAsia="Calibri"/>
              </w:rPr>
              <w:t>螺丝：采用优质的螺丝，符合轻工产品金属镀层腐蚀试验结果的评价和轻工产品金属镀层和化学处理层的耐腐蚀试验方法 中性盐雾试验（NSS）法企业技术条件 耐腐蚀等级18H中性盐雾试验≥8级</w:t>
            </w:r>
          </w:p>
          <w:p>
            <w:pPr>
              <w:spacing w:after="160"/>
              <w:jc w:val="left"/>
              <w:rPr>
                <w:rFonts w:eastAsia="Calibri"/>
              </w:rPr>
            </w:pPr>
            <w:r>
              <w:rPr>
                <w:rFonts w:eastAsia="Calibri"/>
              </w:rPr>
              <w:t>角铁：采用优质的角铁 符合金属家具通用技术条件 金属喷漆（塑）涂层冲击强度冲击高度400mm无剥落、裂纹、皱纹，耐腐蚀等级≥8级</w:t>
            </w:r>
          </w:p>
          <w:p>
            <w:pPr>
              <w:spacing w:after="160"/>
              <w:jc w:val="left"/>
              <w:rPr>
                <w:rFonts w:eastAsia="Calibri"/>
              </w:rPr>
            </w:pPr>
            <w:r>
              <w:rPr>
                <w:rFonts w:eastAsia="Calibri"/>
              </w:rPr>
              <w:t>塑料脚钉：采用优质的塑料脚钉，符合塑料家具中有害物质限量 可溶性铅≤2.1mg/kg,可溶性镉≤1.1mg/kg，可溶性汞≤1.1mg/kg，可溶性铬≤1.1mg/kg</w:t>
            </w:r>
          </w:p>
          <w:p>
            <w:pPr>
              <w:spacing w:after="160"/>
              <w:jc w:val="left"/>
              <w:rPr>
                <w:rFonts w:eastAsia="Calibri"/>
              </w:rPr>
            </w:pPr>
            <w:r>
              <w:rPr>
                <w:rFonts w:eastAsia="Calibri"/>
              </w:rPr>
              <w:t>底漆：采用水性高透明底漆，符合企业技术规范 干燥时间表干30min 已干 实干6h 已干。</w:t>
            </w:r>
          </w:p>
          <w:p>
            <w:pPr>
              <w:pStyle w:val="2"/>
              <w:spacing w:after="160"/>
              <w:rPr>
                <w:rFonts w:hAnsi="宋体" w:eastAsia="宋体"/>
              </w:rPr>
            </w:pPr>
            <w:r>
              <w:rPr>
                <w:rFonts w:hAnsi="Times New Roman"/>
              </w:rPr>
              <w:t>面漆：采用水性UV X分哑清面漆，符合企业技术规范 细度≤7um,耐磨性≤0.007g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32</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木质涂饰演讲台</w:t>
            </w:r>
          </w:p>
        </w:tc>
        <w:tc>
          <w:tcPr>
            <w:tcW w:w="2316" w:type="dxa"/>
            <w:vAlign w:val="center"/>
          </w:tcPr>
          <w:p>
            <w:pPr>
              <w:autoSpaceDE w:val="0"/>
              <w:autoSpaceDN w:val="0"/>
              <w:spacing w:line="360" w:lineRule="auto"/>
              <w:jc w:val="center"/>
              <w:rPr>
                <w:rFonts w:ascii="宋体" w:hAnsi="黑体" w:eastAsia="黑体"/>
                <w:color w:val="000000"/>
              </w:rPr>
            </w:pPr>
            <w:r>
              <w:rPr>
                <w:rFonts w:ascii="宋体" w:hAnsi="黑体" w:eastAsia="黑体"/>
                <w:color w:val="000000"/>
              </w:rPr>
              <w:t>770mm*500mm*1180mm</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基材：E1级中密度纤维板，含水率含水率≤6.3%，吸水膨胀率≥9.1%，甲醛释放量≤0.038mg/m³。</w:t>
            </w:r>
          </w:p>
          <w:p>
            <w:pPr>
              <w:autoSpaceDE w:val="0"/>
              <w:autoSpaceDN w:val="0"/>
              <w:spacing w:line="360" w:lineRule="auto"/>
              <w:jc w:val="left"/>
              <w:rPr>
                <w:rFonts w:ascii="宋体" w:hAnsi="宋体" w:eastAsia="宋体"/>
                <w:color w:val="000000"/>
              </w:rPr>
            </w:pPr>
            <w:r>
              <w:rPr>
                <w:rFonts w:ascii="宋体" w:hAnsi="宋体" w:eastAsia="宋体"/>
                <w:color w:val="000000"/>
              </w:rPr>
              <w:t>胶水：采用净味拼板胶，总挥发有机物≤22G/L,笨≤0.02g/kg，游离甲醛≤0.1g/kg</w:t>
            </w:r>
          </w:p>
          <w:p>
            <w:pPr>
              <w:autoSpaceDE w:val="0"/>
              <w:autoSpaceDN w:val="0"/>
              <w:spacing w:line="360" w:lineRule="auto"/>
              <w:jc w:val="left"/>
              <w:rPr>
                <w:rFonts w:ascii="宋体" w:hAnsi="宋体" w:eastAsia="宋体"/>
                <w:color w:val="000000"/>
              </w:rPr>
            </w:pPr>
            <w:r>
              <w:rPr>
                <w:rFonts w:ascii="宋体" w:hAnsi="宋体" w:eastAsia="宋体"/>
                <w:color w:val="000000"/>
              </w:rPr>
              <w:t>表面：采用柏腊木皮贴面，厚度≥0.6mm：甲醛释放量≤0.11mg/L</w:t>
            </w:r>
          </w:p>
          <w:p>
            <w:pPr>
              <w:autoSpaceDE w:val="0"/>
              <w:autoSpaceDN w:val="0"/>
              <w:spacing w:line="360" w:lineRule="auto"/>
              <w:jc w:val="left"/>
              <w:rPr>
                <w:rFonts w:ascii="宋体" w:hAnsi="宋体" w:eastAsia="宋体"/>
                <w:color w:val="000000"/>
              </w:rPr>
            </w:pPr>
            <w:r>
              <w:rPr>
                <w:rFonts w:ascii="宋体" w:hAnsi="宋体" w:eastAsia="宋体"/>
                <w:color w:val="000000"/>
              </w:rPr>
              <w:t>底漆：采用水性高透明底漆，符合企业技术规范干燥时间表干30min 已干实干6h 已干。</w:t>
            </w:r>
          </w:p>
          <w:p>
            <w:pPr>
              <w:autoSpaceDE w:val="0"/>
              <w:autoSpaceDN w:val="0"/>
              <w:spacing w:line="360" w:lineRule="auto"/>
              <w:jc w:val="left"/>
              <w:rPr>
                <w:rFonts w:ascii="宋体" w:hAnsi="宋体" w:eastAsia="宋体"/>
                <w:color w:val="000000"/>
              </w:rPr>
            </w:pPr>
            <w:r>
              <w:rPr>
                <w:rFonts w:ascii="宋体" w:hAnsi="宋体" w:eastAsia="宋体"/>
                <w:color w:val="000000"/>
              </w:rPr>
              <w:t>面漆：采用水性UV X分哑清面漆，符合企业技术规范细度≤7UM 耐磨性≤0.007g</w:t>
            </w:r>
          </w:p>
          <w:p>
            <w:pPr>
              <w:autoSpaceDE w:val="0"/>
              <w:autoSpaceDN w:val="0"/>
              <w:spacing w:line="360" w:lineRule="auto"/>
              <w:jc w:val="left"/>
              <w:rPr>
                <w:rFonts w:ascii="宋体" w:hAnsi="宋体" w:eastAsia="宋体"/>
                <w:color w:val="000000"/>
              </w:rPr>
            </w:pPr>
            <w:r>
              <w:rPr>
                <w:rFonts w:ascii="宋体" w:hAnsi="宋体" w:eastAsia="宋体"/>
                <w:color w:val="000000"/>
              </w:rPr>
              <w:t>质量工艺要求：台面平整，颜色均匀，木材拼接紧密，线条均匀，转角过渡自然，间隙细小且均匀等，误差不超过5mm；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33</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木质涂饰条形桌</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1800*400*760</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基材：E1级中密度纤维板，含水率含水率≤6.3%，吸水膨胀率≥9.1%，甲醛释放量≤0.038mg/m³。</w:t>
            </w:r>
          </w:p>
          <w:p>
            <w:pPr>
              <w:autoSpaceDE w:val="0"/>
              <w:autoSpaceDN w:val="0"/>
              <w:spacing w:line="360" w:lineRule="auto"/>
              <w:jc w:val="left"/>
              <w:rPr>
                <w:rFonts w:ascii="宋体" w:hAnsi="宋体" w:eastAsia="宋体"/>
                <w:color w:val="000000"/>
              </w:rPr>
            </w:pPr>
            <w:r>
              <w:rPr>
                <w:rFonts w:ascii="宋体" w:hAnsi="宋体" w:eastAsia="宋体"/>
                <w:color w:val="000000"/>
              </w:rPr>
              <w:t>胶水：采用净味拼板胶，总挥发有机物≤22G/L,笨≤0.02g/kg，游离甲醛≤0.1g/kg</w:t>
            </w:r>
          </w:p>
          <w:p>
            <w:pPr>
              <w:autoSpaceDE w:val="0"/>
              <w:autoSpaceDN w:val="0"/>
              <w:spacing w:line="360" w:lineRule="auto"/>
              <w:jc w:val="left"/>
              <w:rPr>
                <w:rFonts w:ascii="宋体" w:hAnsi="宋体" w:eastAsia="宋体"/>
                <w:color w:val="000000"/>
              </w:rPr>
            </w:pPr>
            <w:r>
              <w:rPr>
                <w:rFonts w:ascii="宋体" w:hAnsi="宋体" w:eastAsia="宋体"/>
                <w:color w:val="000000"/>
              </w:rPr>
              <w:t>表面：采用柏腊木皮贴面，厚度≥0.6mm：甲醛释放量≤0.11mg/L</w:t>
            </w:r>
          </w:p>
          <w:p>
            <w:pPr>
              <w:autoSpaceDE w:val="0"/>
              <w:autoSpaceDN w:val="0"/>
              <w:spacing w:line="360" w:lineRule="auto"/>
              <w:jc w:val="left"/>
              <w:rPr>
                <w:rFonts w:ascii="宋体" w:hAnsi="宋体" w:eastAsia="宋体"/>
                <w:color w:val="000000"/>
              </w:rPr>
            </w:pPr>
            <w:r>
              <w:rPr>
                <w:rFonts w:ascii="宋体" w:hAnsi="宋体" w:eastAsia="宋体"/>
                <w:color w:val="000000"/>
              </w:rPr>
              <w:t>底漆：采用水性高透明底漆，符合企业技术规范干燥时间表干30min 已干实干6h 已干。</w:t>
            </w:r>
          </w:p>
          <w:p>
            <w:pPr>
              <w:autoSpaceDE w:val="0"/>
              <w:autoSpaceDN w:val="0"/>
              <w:spacing w:line="360" w:lineRule="auto"/>
              <w:jc w:val="left"/>
              <w:rPr>
                <w:rFonts w:ascii="宋体" w:hAnsi="宋体" w:eastAsia="宋体"/>
                <w:color w:val="000000"/>
              </w:rPr>
            </w:pPr>
            <w:r>
              <w:rPr>
                <w:rFonts w:ascii="宋体" w:hAnsi="宋体" w:eastAsia="宋体"/>
                <w:color w:val="000000"/>
              </w:rPr>
              <w:t>面漆：采用水性UV X分哑清面漆，符合企业技术规范细度≤7UM 耐磨性≤0.007g</w:t>
            </w:r>
          </w:p>
          <w:p>
            <w:pPr>
              <w:autoSpaceDE w:val="0"/>
              <w:autoSpaceDN w:val="0"/>
              <w:spacing w:line="360" w:lineRule="auto"/>
              <w:jc w:val="left"/>
              <w:rPr>
                <w:rFonts w:ascii="宋体" w:hAnsi="宋体" w:eastAsia="宋体"/>
                <w:color w:val="000000"/>
              </w:rPr>
            </w:pPr>
            <w:r>
              <w:rPr>
                <w:rFonts w:ascii="宋体" w:hAnsi="宋体" w:eastAsia="宋体"/>
                <w:color w:val="000000"/>
              </w:rPr>
              <w:t>质量工艺要求：台面平整，颜色均匀，木材拼接紧密，线条均匀，转角过渡自然，间隙细小且均匀等，误差不超过5mm；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34</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木质涂饰条形桌</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1200*400*760</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基材：E1级中密度纤维板，含水率含水率≤6.3%，吸水膨胀率≥9.1%，甲醛释放量≤0.038mg/m³。</w:t>
            </w:r>
          </w:p>
          <w:p>
            <w:pPr>
              <w:autoSpaceDE w:val="0"/>
              <w:autoSpaceDN w:val="0"/>
              <w:spacing w:line="360" w:lineRule="auto"/>
              <w:jc w:val="left"/>
              <w:rPr>
                <w:rFonts w:ascii="宋体" w:hAnsi="宋体" w:eastAsia="宋体"/>
                <w:color w:val="000000"/>
              </w:rPr>
            </w:pPr>
            <w:r>
              <w:rPr>
                <w:rFonts w:ascii="宋体" w:hAnsi="宋体" w:eastAsia="宋体"/>
                <w:color w:val="000000"/>
              </w:rPr>
              <w:t>胶水：采用净味拼板胶，总挥发有机物≤22G/L,笨≤0.02g/kg，游离甲醛≤0.1g/kg</w:t>
            </w:r>
          </w:p>
          <w:p>
            <w:pPr>
              <w:autoSpaceDE w:val="0"/>
              <w:autoSpaceDN w:val="0"/>
              <w:spacing w:line="360" w:lineRule="auto"/>
              <w:jc w:val="left"/>
              <w:rPr>
                <w:rFonts w:ascii="宋体" w:hAnsi="宋体" w:eastAsia="宋体"/>
                <w:color w:val="000000"/>
              </w:rPr>
            </w:pPr>
            <w:r>
              <w:rPr>
                <w:rFonts w:ascii="宋体" w:hAnsi="宋体" w:eastAsia="宋体"/>
                <w:color w:val="000000"/>
              </w:rPr>
              <w:t>表面：采用柏腊木皮贴面，厚度≥0.6mm：甲醛释放量≤0.11mg/L</w:t>
            </w:r>
          </w:p>
          <w:p>
            <w:pPr>
              <w:autoSpaceDE w:val="0"/>
              <w:autoSpaceDN w:val="0"/>
              <w:spacing w:line="360" w:lineRule="auto"/>
              <w:jc w:val="left"/>
              <w:rPr>
                <w:rFonts w:ascii="宋体" w:hAnsi="宋体" w:eastAsia="宋体"/>
                <w:color w:val="000000"/>
              </w:rPr>
            </w:pPr>
            <w:r>
              <w:rPr>
                <w:rFonts w:ascii="宋体" w:hAnsi="宋体" w:eastAsia="宋体"/>
                <w:color w:val="000000"/>
              </w:rPr>
              <w:t>底漆：采用水性高透明底漆，符合企业技术规范干燥时间表干30min 已干实干6h 已干。</w:t>
            </w:r>
          </w:p>
          <w:p>
            <w:pPr>
              <w:autoSpaceDE w:val="0"/>
              <w:autoSpaceDN w:val="0"/>
              <w:spacing w:line="360" w:lineRule="auto"/>
              <w:jc w:val="left"/>
              <w:rPr>
                <w:rFonts w:ascii="宋体" w:hAnsi="宋体" w:eastAsia="宋体"/>
                <w:color w:val="000000"/>
              </w:rPr>
            </w:pPr>
            <w:r>
              <w:rPr>
                <w:rFonts w:ascii="宋体" w:hAnsi="宋体" w:eastAsia="宋体"/>
                <w:color w:val="000000"/>
              </w:rPr>
              <w:t>面漆：采用水性UV X分哑清面漆，符合企业技术规范细度≤7UM 耐磨性≤0.007g</w:t>
            </w:r>
          </w:p>
          <w:p>
            <w:pPr>
              <w:autoSpaceDE w:val="0"/>
              <w:autoSpaceDN w:val="0"/>
              <w:spacing w:line="360" w:lineRule="auto"/>
              <w:jc w:val="left"/>
              <w:rPr>
                <w:rFonts w:ascii="宋体" w:hAnsi="宋体" w:eastAsia="宋体"/>
                <w:color w:val="000000"/>
              </w:rPr>
            </w:pPr>
            <w:r>
              <w:rPr>
                <w:rFonts w:ascii="宋体" w:hAnsi="宋体" w:eastAsia="宋体"/>
                <w:color w:val="000000"/>
              </w:rPr>
              <w:t>质量工艺要求：台面平整，颜色均匀，木材拼接紧密，线条均匀，转角过渡自然，间隙细小且均匀等，误差不超过5mm；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35</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木质涂饰会议桌</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5400*1800*760</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基材：E1级中密度纤维板，含水率≤6.3%，吸水膨胀率≥9.1%，甲醛释放量≤0.038mg/m³。</w:t>
            </w:r>
          </w:p>
          <w:p>
            <w:pPr>
              <w:autoSpaceDE w:val="0"/>
              <w:autoSpaceDN w:val="0"/>
              <w:spacing w:line="360" w:lineRule="auto"/>
              <w:jc w:val="left"/>
              <w:rPr>
                <w:rFonts w:ascii="宋体" w:hAnsi="宋体" w:eastAsia="宋体"/>
                <w:color w:val="000000"/>
              </w:rPr>
            </w:pPr>
            <w:r>
              <w:rPr>
                <w:rFonts w:ascii="宋体" w:hAnsi="宋体" w:eastAsia="宋体"/>
                <w:color w:val="000000"/>
              </w:rPr>
              <w:t>胶水：采用净味拼板胶，总挥发有机物≤22G/L,笨≤0.02g/kg，游离甲醛≤0.1g/kg</w:t>
            </w:r>
          </w:p>
          <w:p>
            <w:pPr>
              <w:autoSpaceDE w:val="0"/>
              <w:autoSpaceDN w:val="0"/>
              <w:spacing w:line="360" w:lineRule="auto"/>
              <w:jc w:val="left"/>
              <w:rPr>
                <w:rFonts w:ascii="宋体" w:hAnsi="宋体" w:eastAsia="宋体"/>
                <w:color w:val="000000"/>
              </w:rPr>
            </w:pPr>
            <w:r>
              <w:rPr>
                <w:rFonts w:ascii="宋体" w:hAnsi="宋体" w:eastAsia="宋体"/>
                <w:color w:val="000000"/>
              </w:rPr>
              <w:t>表面：采用柏腊木皮贴面，厚度≥0.6mm：甲醛释放量≤0.11mg/L</w:t>
            </w:r>
          </w:p>
          <w:p>
            <w:pPr>
              <w:autoSpaceDE w:val="0"/>
              <w:autoSpaceDN w:val="0"/>
              <w:spacing w:line="360" w:lineRule="auto"/>
              <w:jc w:val="left"/>
              <w:rPr>
                <w:rFonts w:ascii="宋体" w:hAnsi="宋体" w:eastAsia="宋体"/>
                <w:color w:val="000000"/>
              </w:rPr>
            </w:pPr>
            <w:r>
              <w:rPr>
                <w:rFonts w:ascii="宋体" w:hAnsi="宋体" w:eastAsia="宋体"/>
                <w:color w:val="000000"/>
              </w:rPr>
              <w:t>底漆：采用水性高透明底漆，符合企业技术规范干燥时间表干30min 已干实干6h 已干。</w:t>
            </w:r>
          </w:p>
          <w:p>
            <w:pPr>
              <w:autoSpaceDE w:val="0"/>
              <w:autoSpaceDN w:val="0"/>
              <w:spacing w:line="360" w:lineRule="auto"/>
              <w:jc w:val="left"/>
              <w:rPr>
                <w:rFonts w:ascii="宋体" w:hAnsi="宋体" w:eastAsia="宋体"/>
                <w:color w:val="000000"/>
              </w:rPr>
            </w:pPr>
            <w:r>
              <w:rPr>
                <w:rFonts w:ascii="宋体" w:hAnsi="宋体" w:eastAsia="宋体"/>
                <w:color w:val="000000"/>
              </w:rPr>
              <w:t>面漆：采用水性UV X分哑清面漆，符合企业技术规范细度≤7UM 耐磨性≤0.007g</w:t>
            </w:r>
          </w:p>
          <w:p>
            <w:pPr>
              <w:autoSpaceDE w:val="0"/>
              <w:autoSpaceDN w:val="0"/>
              <w:spacing w:line="360" w:lineRule="auto"/>
              <w:jc w:val="left"/>
              <w:rPr>
                <w:rFonts w:ascii="宋体" w:hAnsi="宋体" w:eastAsia="宋体"/>
                <w:color w:val="000000"/>
              </w:rPr>
            </w:pPr>
            <w:r>
              <w:rPr>
                <w:rFonts w:ascii="宋体" w:hAnsi="宋体" w:eastAsia="宋体"/>
                <w:color w:val="000000"/>
              </w:rPr>
              <w:t>质量工艺要求：台面平整，颜色均匀，木材拼接紧密，线条均匀，转角过渡自然，间隙细小且均匀等，误差不超过5mm；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36</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会议椅</w:t>
            </w:r>
          </w:p>
        </w:tc>
        <w:tc>
          <w:tcPr>
            <w:tcW w:w="2316"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椅高：985    椅宽：645    座高：455    背高：590    背宽：445</w:t>
            </w: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一、靠背/座板：网布具有较强的延伸性和弹性，透气性好，手感好，结实，座内架用木板厚度为16mm左右，含水量≤12°，座内衬高密度高弹性聚氨酯定型海绵，密度大于或等于75KG/M3.泡绵回弹性可达95%，座面采用耐磨面料，座感舒软，久座舒适，外观线条轮角分明。二、椅背带可调节护腰装置三，独立式T字型扶手：，扶手架由PA材质注塑组装而成，扶手面由PU材料注塑而成，舒适支撑手臂。</w:t>
            </w:r>
          </w:p>
          <w:p>
            <w:pPr>
              <w:autoSpaceDE w:val="0"/>
              <w:autoSpaceDN w:val="0"/>
              <w:spacing w:line="360" w:lineRule="auto"/>
              <w:jc w:val="left"/>
              <w:rPr>
                <w:rFonts w:ascii="宋体" w:hAnsi="宋体" w:eastAsia="宋体"/>
                <w:color w:val="000000"/>
              </w:rPr>
            </w:pPr>
            <w:r>
              <w:rPr>
                <w:rFonts w:ascii="宋体" w:hAnsi="宋体" w:eastAsia="宋体"/>
                <w:color w:val="000000"/>
              </w:rPr>
              <w:t>三:底座采用可旋转转盘归位设计，可旋转左右各90度，卸力后自动回位。</w:t>
            </w:r>
          </w:p>
          <w:p>
            <w:pPr>
              <w:autoSpaceDE w:val="0"/>
              <w:autoSpaceDN w:val="0"/>
              <w:spacing w:line="360" w:lineRule="auto"/>
              <w:jc w:val="left"/>
              <w:rPr>
                <w:rFonts w:ascii="宋体" w:hAnsi="宋体" w:eastAsia="宋体"/>
                <w:color w:val="000000"/>
              </w:rPr>
            </w:pPr>
            <w:r>
              <w:rPr>
                <w:rFonts w:ascii="宋体" w:hAnsi="宋体" w:eastAsia="宋体"/>
                <w:color w:val="000000"/>
              </w:rPr>
              <w:t>四：脚架采用直径φ32*2.0，厚2.5加套管经CNC一将次弯制而成,外表精抛镀镍铬合金。</w:t>
            </w:r>
          </w:p>
          <w:p>
            <w:pPr>
              <w:autoSpaceDE w:val="0"/>
              <w:autoSpaceDN w:val="0"/>
              <w:spacing w:line="360" w:lineRule="auto"/>
              <w:jc w:val="left"/>
              <w:rPr>
                <w:rFonts w:ascii="宋体" w:hAnsi="宋体" w:eastAsia="宋体"/>
                <w:color w:val="000000"/>
              </w:rPr>
            </w:pPr>
            <w:r>
              <w:rPr>
                <w:rFonts w:ascii="宋体" w:hAnsi="宋体" w:eastAsia="宋体"/>
                <w:color w:val="000000"/>
              </w:rPr>
              <w:t>五：钢脚脚垫采用软尼龙料，耐磨性强，韧性好，防滑防刮地板。</w:t>
            </w:r>
          </w:p>
          <w:p>
            <w:pPr>
              <w:autoSpaceDE w:val="0"/>
              <w:autoSpaceDN w:val="0"/>
              <w:spacing w:line="360" w:lineRule="auto"/>
              <w:jc w:val="left"/>
              <w:rPr>
                <w:rFonts w:ascii="宋体" w:hAnsi="宋体" w:eastAsia="宋体"/>
                <w:color w:val="000000"/>
              </w:rPr>
            </w:pPr>
            <w:r>
              <w:rPr>
                <w:rFonts w:ascii="宋体" w:hAnsi="宋体" w:eastAsia="宋体"/>
                <w:color w:val="000000"/>
              </w:rPr>
              <w:t>六：材质符合国家环保标准要求，椅子通过BIFMA X5.1破坏性测试。整椅结构件质保十年。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37</w:t>
            </w:r>
          </w:p>
        </w:tc>
        <w:tc>
          <w:tcPr>
            <w:tcW w:w="1028" w:type="dxa"/>
            <w:shd w:val="clear" w:color="000000" w:fill="auto"/>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礼堂椅</w:t>
            </w:r>
          </w:p>
        </w:tc>
        <w:tc>
          <w:tcPr>
            <w:tcW w:w="2316" w:type="dxa"/>
            <w:shd w:val="clear" w:color="000000" w:fill="auto"/>
            <w:vAlign w:val="center"/>
          </w:tcPr>
          <w:p>
            <w:pPr>
              <w:autoSpaceDE w:val="0"/>
              <w:autoSpaceDN w:val="0"/>
              <w:spacing w:line="360" w:lineRule="auto"/>
              <w:rPr>
                <w:rFonts w:ascii="Times New Roman" w:hAnsi="宋体" w:eastAsia="宋体"/>
              </w:rPr>
            </w:pPr>
            <w:r>
              <w:rPr>
                <w:rFonts w:ascii="Times New Roman" w:hAnsi="宋体" w:eastAsia="宋体"/>
              </w:rPr>
              <w:t>中心距：570； 座内宽：505；座深：460；座高：450；扶手高：640；</w:t>
            </w:r>
          </w:p>
          <w:p>
            <w:pPr>
              <w:autoSpaceDE w:val="0"/>
              <w:autoSpaceDN w:val="0"/>
              <w:spacing w:line="360" w:lineRule="auto"/>
              <w:rPr>
                <w:rFonts w:ascii="宋体" w:hAnsi="宋体" w:eastAsia="宋体"/>
                <w:color w:val="000000"/>
              </w:rPr>
            </w:pPr>
            <w:r>
              <w:rPr>
                <w:rFonts w:ascii="Times New Roman" w:hAnsi="宋体" w:eastAsia="宋体"/>
              </w:rPr>
              <w:t>扶手宽：60；全高：1020；全深（展开写字板）：820；全深（展开写字板中途）：930；整体深度：720（座包打开），误差：±5-10</w:t>
            </w:r>
          </w:p>
        </w:tc>
        <w:tc>
          <w:tcPr>
            <w:tcW w:w="10221" w:type="dxa"/>
            <w:shd w:val="clear" w:color="000000" w:fill="auto"/>
            <w:vAlign w:val="center"/>
          </w:tcPr>
          <w:p>
            <w:pPr>
              <w:autoSpaceDE w:val="0"/>
              <w:autoSpaceDN w:val="0"/>
              <w:spacing w:line="360" w:lineRule="auto"/>
              <w:jc w:val="left"/>
              <w:rPr>
                <w:rFonts w:ascii="Times New Roman" w:hAnsi="宋体" w:eastAsia="宋体"/>
              </w:rPr>
            </w:pPr>
            <w:r>
              <w:rPr>
                <w:rFonts w:ascii="宋体" w:hAnsi="宋体" w:eastAsia="宋体"/>
                <w:color w:val="000000"/>
              </w:rPr>
              <w:t>1、</w:t>
            </w:r>
            <w:r>
              <w:rPr>
                <w:rFonts w:ascii="Times New Roman" w:hAnsi="宋体" w:eastAsia="宋体"/>
                <w:b/>
                <w:color w:val="000000" w:themeColor="text1"/>
                <w14:textFill>
                  <w14:solidFill>
                    <w14:schemeClr w14:val="tx1"/>
                  </w14:solidFill>
                </w14:textFill>
              </w:rPr>
              <w:t>背海绵：</w:t>
            </w:r>
            <w:r>
              <w:rPr>
                <w:rFonts w:ascii="Times New Roman" w:hAnsi="宋体" w:eastAsia="宋体"/>
              </w:rPr>
              <w:t>采用高密度冷发泡定型绵，舒适耐用，密度高达45 -60 kg/m</w:t>
            </w:r>
            <w:r>
              <w:rPr>
                <w:rFonts w:ascii="Times New Roman" w:hAnsi="宋体" w:eastAsia="宋体"/>
                <w:vertAlign w:val="superscript"/>
              </w:rPr>
              <w:t xml:space="preserve">3   </w:t>
            </w:r>
            <w:r>
              <w:rPr>
                <w:rFonts w:ascii="Times New Roman" w:hAnsi="宋体" w:eastAsia="宋体"/>
                <w:b/>
              </w:rPr>
              <w:t>背内板：</w:t>
            </w:r>
            <w:r>
              <w:rPr>
                <w:rFonts w:ascii="Times New Roman" w:hAnsi="宋体" w:eastAsia="宋体"/>
              </w:rPr>
              <w:t>采用优质多层板经模具成型，具有曲线，符合人体学原理。</w:t>
            </w:r>
            <w:r>
              <w:rPr>
                <w:rFonts w:ascii="Times New Roman" w:hAnsi="宋体" w:eastAsia="宋体"/>
                <w:b/>
              </w:rPr>
              <w:t>背外板：</w:t>
            </w:r>
            <w:r>
              <w:rPr>
                <w:rFonts w:ascii="Times New Roman" w:hAnsi="宋体" w:eastAsia="宋体"/>
              </w:rPr>
              <w:t>采用多层硬木成型板，常规厚度15mm，表面压木皮，经高周波，高压制成，承托力强，抗变形。油漆颜色可选择；</w:t>
            </w:r>
            <w:r>
              <w:rPr>
                <w:rFonts w:ascii="Times New Roman" w:hAnsi="宋体" w:eastAsia="宋体"/>
                <w:b/>
              </w:rPr>
              <w:t>座海绵：</w:t>
            </w:r>
            <w:r>
              <w:rPr>
                <w:rFonts w:ascii="Times New Roman" w:hAnsi="宋体" w:eastAsia="宋体"/>
              </w:rPr>
              <w:t>采用高密度冷发泡定型绵，舒适耐用，密度高达50-60 kg/m</w:t>
            </w:r>
            <w:r>
              <w:rPr>
                <w:rFonts w:ascii="Times New Roman" w:hAnsi="宋体" w:eastAsia="宋体"/>
                <w:vertAlign w:val="superscript"/>
              </w:rPr>
              <w:t>3</w:t>
            </w:r>
            <w:r>
              <w:rPr>
                <w:rFonts w:ascii="Times New Roman" w:hAnsi="宋体" w:eastAsia="宋体"/>
                <w:b/>
              </w:rPr>
              <w:t>座框架：</w:t>
            </w:r>
            <w:r>
              <w:rPr>
                <w:rFonts w:ascii="Times New Roman" w:hAnsi="宋体" w:eastAsia="宋体"/>
              </w:rPr>
              <w:t>采用（1.5mm厚）优质冷轧钢板，经模具冲压焊接组合成型，铁框+夹板结构，摒弃了市场上依然大范围使用的木框+夹板结构，承托力更强，不易变形断裂，更坚固耐用。</w:t>
            </w:r>
            <w:r>
              <w:rPr>
                <w:rFonts w:ascii="Times New Roman" w:hAnsi="宋体" w:eastAsia="宋体"/>
                <w:b/>
              </w:rPr>
              <w:t>座外板：</w:t>
            </w:r>
            <w:r>
              <w:rPr>
                <w:rFonts w:ascii="Times New Roman" w:hAnsi="宋体" w:eastAsia="宋体"/>
              </w:rPr>
              <w:t>采用多层硬木成型板，常规厚度15mm，表面压木皮，经高周波，高压制成，承托力强，抗变形。附独特蜂窝式吸音气孔，整体吸音率0.5，全场能在0.1秒内消除回音，保证座椅的良好透气性能和整个会场采用优质耐磨麻绒面料，软硬适中，手感舒适，长时间使用无断裂、不起球、不褪色。可根据客户要求进行3M(防潮、防尘、防污)处理，可做阻燃处理。有多种颜色可供选择。无噪音。油漆颜色可选择。采用优质铝合金材质，经模具压铸成型，表面喷专用金属漆并经高温烤锔。铝合金脚框造型新颖特别。宽60mm，上长360mm、下长425，高595mm。</w:t>
            </w:r>
          </w:p>
          <w:p>
            <w:pPr>
              <w:autoSpaceDE w:val="0"/>
              <w:autoSpaceDN w:val="0"/>
              <w:spacing w:line="360" w:lineRule="auto"/>
              <w:jc w:val="left"/>
              <w:rPr>
                <w:rFonts w:ascii="宋体" w:hAnsi="宋体" w:eastAsia="宋体"/>
                <w:color w:val="000000"/>
              </w:rPr>
            </w:pPr>
            <w:r>
              <w:rPr>
                <w:rFonts w:ascii="宋体" w:hAnsi="宋体" w:eastAsia="宋体"/>
              </w:rPr>
              <w:t>★</w:t>
            </w:r>
            <w:r>
              <w:rPr>
                <w:rFonts w:ascii="Times New Roman" w:hAnsi="宋体" w:eastAsia="宋体"/>
              </w:rPr>
              <w:t>脚架固定孔距160mm，藏于脚架内部，安装之后看不到固定螺丝，</w:t>
            </w:r>
            <w:r>
              <w:rPr>
                <w:rFonts w:ascii="宋体" w:hAnsi="宋体" w:eastAsia="宋体"/>
                <w:color w:val="000000" w:themeColor="text1"/>
                <w14:textFill>
                  <w14:solidFill>
                    <w14:schemeClr w14:val="tx1"/>
                  </w14:solidFill>
                </w14:textFill>
              </w:rPr>
              <w:t>★</w:t>
            </w:r>
            <w:r>
              <w:rPr>
                <w:rFonts w:ascii="Times New Roman" w:hAnsi="宋体" w:eastAsia="宋体"/>
              </w:rPr>
              <w:t>左右脚架两边各有30个长方形凹槽，美观大气。采用进口橡木或榉木，经6次油漆工艺精制而成采用黑色PP塑料写字板(长300x宽260x厚12mm)。独特的下插式写字板机构，写字板藏于铝合金扶手脚内部，美观方便。配置高档的铝合金旋转支架，旋转无声。采用优质木板，面覆海绵和麻绒，并采用活动式扣钉，易于拆装采用弹簧加阻尼器自动回复装置，使椅座能缓慢自动复位，回位轻盈，无杂音，零故障。投标时提供样品一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38</w:t>
            </w:r>
          </w:p>
        </w:tc>
        <w:tc>
          <w:tcPr>
            <w:tcW w:w="1028" w:type="dxa"/>
            <w:vAlign w:val="center"/>
          </w:tcPr>
          <w:p>
            <w:pPr>
              <w:autoSpaceDE w:val="0"/>
              <w:autoSpaceDN w:val="0"/>
              <w:spacing w:line="360" w:lineRule="auto"/>
              <w:jc w:val="left"/>
              <w:rPr>
                <w:rFonts w:ascii="宋体" w:hAnsi="宋体" w:eastAsia="宋体"/>
                <w:color w:val="000000"/>
              </w:rPr>
            </w:pPr>
            <w:r>
              <w:rPr>
                <w:rFonts w:ascii="宋体" w:hAnsi="Times New Roman"/>
              </w:rPr>
              <w:t>合班课桌椅</w:t>
            </w:r>
          </w:p>
        </w:tc>
        <w:tc>
          <w:tcPr>
            <w:tcW w:w="2316" w:type="dxa"/>
            <w:vAlign w:val="center"/>
          </w:tcPr>
          <w:p>
            <w:pPr>
              <w:autoSpaceDE w:val="0"/>
              <w:autoSpaceDN w:val="0"/>
              <w:spacing w:line="360" w:lineRule="auto"/>
              <w:jc w:val="center"/>
              <w:rPr>
                <w:rFonts w:ascii="宋体" w:hAnsi="宋体" w:eastAsia="宋体"/>
                <w:color w:val="000000"/>
              </w:rPr>
            </w:pPr>
            <w:r>
              <w:rPr>
                <w:rFonts w:ascii="Arial" w:hAnsi="Arial" w:eastAsia="Arial"/>
              </w:rPr>
              <w:t>中心距：520mm、座高：435mm、台面板：750mm。</w:t>
            </w:r>
          </w:p>
        </w:tc>
        <w:tc>
          <w:tcPr>
            <w:tcW w:w="10221" w:type="dxa"/>
            <w:vAlign w:val="center"/>
          </w:tcPr>
          <w:p>
            <w:pPr>
              <w:autoSpaceDE w:val="0"/>
              <w:autoSpaceDN w:val="0"/>
              <w:spacing w:line="360" w:lineRule="auto"/>
              <w:jc w:val="left"/>
              <w:rPr>
                <w:rFonts w:ascii="Arial" w:hAnsi="Arial" w:eastAsia="Arial"/>
              </w:rPr>
            </w:pPr>
            <w:r>
              <w:rPr>
                <w:rFonts w:ascii="Arial" w:hAnsi="Arial" w:eastAsia="Arial"/>
                <w:color w:val="000000" w:themeColor="text1"/>
                <w:sz w:val="18"/>
                <w:szCs w:val="18"/>
                <w14:textFill>
                  <w14:solidFill>
                    <w14:schemeClr w14:val="tx1"/>
                  </w14:solidFill>
                </w14:textFill>
              </w:rPr>
              <w:t>★</w:t>
            </w:r>
            <w:r>
              <w:rPr>
                <w:rFonts w:ascii="Arial" w:hAnsi="Arial" w:eastAsia="Arial"/>
              </w:rPr>
              <w:t>1.椅脚：采用铝合金一体压铸成型，带扶手，</w:t>
            </w:r>
            <w:r>
              <w:rPr>
                <w:rFonts w:ascii="宋体" w:hAnsi="宋体" w:eastAsia="宋体"/>
              </w:rPr>
              <w:t>站脚宽度50mm，</w:t>
            </w:r>
            <w:r>
              <w:rPr>
                <w:rFonts w:ascii="Arial" w:hAnsi="Arial" w:eastAsia="Arial"/>
              </w:rPr>
              <w:t>椅脚高度970mm，可适应于220mm以下的阶梯安装。</w:t>
            </w:r>
            <w:r>
              <w:rPr>
                <w:rFonts w:ascii="宋体" w:hAnsi="宋体" w:eastAsia="宋体"/>
              </w:rPr>
              <w:t>站脚</w:t>
            </w:r>
            <w:r>
              <w:rPr>
                <w:rFonts w:ascii="Arial" w:hAnsi="Arial" w:eastAsia="Arial"/>
              </w:rPr>
              <w:t>最薄处裸壁厚不小于4mm，</w:t>
            </w:r>
            <w:r>
              <w:rPr>
                <w:rFonts w:ascii="宋体" w:hAnsi="宋体" w:eastAsia="宋体"/>
              </w:rPr>
              <w:t>站脚表面作防氧化处理后高温</w:t>
            </w:r>
            <w:r>
              <w:rPr>
                <w:rFonts w:ascii="Arial" w:hAnsi="Arial" w:eastAsia="Arial"/>
              </w:rPr>
              <w:t>喷涂处理，重量不小于3.3kg/个。椅脚表面</w:t>
            </w:r>
            <w:r>
              <w:rPr>
                <w:rFonts w:ascii="宋体" w:hAnsi="宋体" w:eastAsia="宋体"/>
              </w:rPr>
              <w:t>作防氧化精抛处理后，</w:t>
            </w:r>
            <w:r>
              <w:rPr>
                <w:rFonts w:ascii="Arial" w:hAnsi="Arial" w:eastAsia="Arial"/>
              </w:rPr>
              <w:t>经</w:t>
            </w:r>
            <w:r>
              <w:rPr>
                <w:rFonts w:ascii="宋体" w:hAnsi="宋体" w:eastAsia="宋体"/>
              </w:rPr>
              <w:t>高温</w:t>
            </w:r>
            <w:r>
              <w:rPr>
                <w:rFonts w:ascii="Arial" w:hAnsi="Arial" w:eastAsia="Arial"/>
              </w:rPr>
              <w:t>喷涂处理。</w:t>
            </w:r>
            <w:r>
              <w:rPr>
                <w:rFonts w:ascii="宋体" w:hAnsi="宋体" w:eastAsia="宋体"/>
              </w:rPr>
              <w:t>全包围式地脚钉孔，</w:t>
            </w:r>
            <w:r>
              <w:rPr>
                <w:rFonts w:ascii="Arial" w:hAnsi="Arial" w:eastAsia="Arial"/>
              </w:rPr>
              <w:t>内藏式地脚螺丝，前后2个站脚安装孔与扶手在同一直线，</w:t>
            </w:r>
            <w:r>
              <w:rPr>
                <w:rFonts w:ascii="宋体" w:hAnsi="宋体" w:eastAsia="宋体"/>
              </w:rPr>
              <w:t>脚板长度不小于</w:t>
            </w:r>
            <w:r>
              <w:rPr>
                <w:rFonts w:ascii="Arial" w:hAnsi="Arial" w:eastAsia="Arial"/>
              </w:rPr>
              <w:t>395mm</w:t>
            </w:r>
            <w:r>
              <w:rPr>
                <w:rFonts w:ascii="宋体" w:hAnsi="宋体" w:eastAsia="宋体"/>
              </w:rPr>
              <w:t>，脚板厚度不低于</w:t>
            </w:r>
            <w:r>
              <w:rPr>
                <w:rFonts w:ascii="Arial" w:hAnsi="Arial" w:eastAsia="Arial"/>
              </w:rPr>
              <w:t>25mm</w:t>
            </w:r>
            <w:r>
              <w:rPr>
                <w:rFonts w:ascii="宋体" w:hAnsi="宋体" w:eastAsia="宋体"/>
              </w:rPr>
              <w:t>,</w:t>
            </w:r>
            <w:r>
              <w:rPr>
                <w:rFonts w:ascii="Arial" w:hAnsi="Arial" w:eastAsia="Arial"/>
              </w:rPr>
              <w:t>孔距不小于350mm，M8电镀防锈螺丝，外覆优质PP螺丝盖。椅脚后背到座垫回复中心距离不小于260mm,确保座椅的舒适度。</w:t>
            </w:r>
          </w:p>
          <w:p>
            <w:pPr>
              <w:autoSpaceDE w:val="0"/>
              <w:autoSpaceDN w:val="0"/>
              <w:spacing w:line="360" w:lineRule="auto"/>
              <w:jc w:val="left"/>
              <w:rPr>
                <w:rFonts w:ascii="Arial" w:hAnsi="Arial" w:eastAsia="Arial"/>
              </w:rPr>
            </w:pPr>
            <w:r>
              <w:rPr>
                <w:rFonts w:ascii="Arial" w:hAnsi="Arial" w:eastAsia="Arial"/>
              </w:rPr>
              <w:t>2.椅背：采用侧边2mm包边1.5mm厚度钢制框架，面板用10mm多层旋切木皮面压防火板，背板造型根据人体曲线设计顶腰处采用弧型设计，托背位置采用斜线设计，以确保人体坐姿的舒适度和贴合度。</w:t>
            </w:r>
          </w:p>
          <w:p>
            <w:pPr>
              <w:autoSpaceDE w:val="0"/>
              <w:autoSpaceDN w:val="0"/>
              <w:spacing w:line="360" w:lineRule="auto"/>
              <w:jc w:val="left"/>
              <w:rPr>
                <w:rFonts w:ascii="Arial" w:hAnsi="Arial" w:eastAsia="Arial"/>
              </w:rPr>
            </w:pPr>
            <w:r>
              <w:rPr>
                <w:rFonts w:ascii="Arial" w:hAnsi="Arial" w:eastAsia="Arial"/>
              </w:rPr>
              <w:t>3.椅座：采用15mm多层旋切木皮经模具热压成型并面压防火板，</w:t>
            </w:r>
            <w:r>
              <w:rPr>
                <w:rFonts w:ascii="宋体" w:hAnsi="宋体" w:eastAsia="宋体"/>
              </w:rPr>
              <w:t>采用环保油漆和环保胶粘接；</w:t>
            </w:r>
            <w:r>
              <w:rPr>
                <w:rFonts w:ascii="Arial" w:hAnsi="Arial" w:eastAsia="Arial"/>
              </w:rPr>
              <w:t>座板与角码采用穿透方式连接。</w:t>
            </w:r>
          </w:p>
          <w:p>
            <w:pPr>
              <w:autoSpaceDE w:val="0"/>
              <w:autoSpaceDN w:val="0"/>
              <w:spacing w:line="360" w:lineRule="auto"/>
              <w:jc w:val="left"/>
              <w:rPr>
                <w:rFonts w:ascii="Arial" w:hAnsi="Arial" w:eastAsia="Arial"/>
              </w:rPr>
            </w:pPr>
            <w:r>
              <w:rPr>
                <w:rFonts w:ascii="Arial" w:hAnsi="Arial" w:eastAsia="Arial"/>
              </w:rPr>
              <w:t>4. 活动桌面（写字板）：采用3mm厚度的铁制铰链式活动写字板机构，铰链机构翻转自如。面板采用榉木色</w:t>
            </w:r>
            <w:r>
              <w:rPr>
                <w:rFonts w:ascii="宋体" w:hAnsi="宋体" w:eastAsia="宋体"/>
              </w:rPr>
              <w:t>高密度中纤</w:t>
            </w:r>
            <w:r>
              <w:rPr>
                <w:rFonts w:ascii="Arial" w:hAnsi="Arial" w:eastAsia="Arial"/>
              </w:rPr>
              <w:t>板面压防火板，</w:t>
            </w:r>
            <w:r>
              <w:rPr>
                <w:rFonts w:ascii="宋体" w:hAnsi="宋体" w:eastAsia="宋体"/>
              </w:rPr>
              <w:t>正面半圆工艺封边处理，</w:t>
            </w:r>
            <w:r>
              <w:rPr>
                <w:rFonts w:ascii="Arial" w:hAnsi="Arial" w:eastAsia="Arial"/>
              </w:rPr>
              <w:t>宽度300mm，厚度16mm，两侧用铝合金一体压铸件封边处理，外形美观，牢固，无渣粒。</w:t>
            </w:r>
          </w:p>
          <w:p>
            <w:pPr>
              <w:autoSpaceDE w:val="0"/>
              <w:autoSpaceDN w:val="0"/>
              <w:spacing w:line="360" w:lineRule="auto"/>
              <w:jc w:val="left"/>
              <w:rPr>
                <w:rFonts w:ascii="Arial" w:hAnsi="Arial" w:eastAsia="Arial"/>
              </w:rPr>
            </w:pPr>
            <w:r>
              <w:rPr>
                <w:rFonts w:ascii="Arial" w:hAnsi="Arial" w:eastAsia="Arial"/>
              </w:rPr>
              <w:t>5.书网架：</w:t>
            </w:r>
            <w:r>
              <w:rPr>
                <w:rFonts w:ascii="宋体" w:hAnsi="宋体" w:eastAsia="宋体"/>
              </w:rPr>
              <w:t>与桌面板平行，</w:t>
            </w:r>
            <w:r>
              <w:rPr>
                <w:rFonts w:ascii="Arial" w:hAnsi="Arial" w:eastAsia="Arial"/>
              </w:rPr>
              <w:t>采用优质冷拉钢，</w:t>
            </w:r>
            <w:r>
              <w:rPr>
                <w:rFonts w:ascii="宋体" w:hAnsi="宋体" w:eastAsia="宋体"/>
              </w:rPr>
              <w:t>表面经喷涂处理</w:t>
            </w:r>
            <w:r>
              <w:rPr>
                <w:rFonts w:ascii="Arial" w:hAnsi="Arial" w:eastAsia="Arial"/>
              </w:rPr>
              <w:t>。</w:t>
            </w:r>
          </w:p>
          <w:p>
            <w:pPr>
              <w:autoSpaceDE w:val="0"/>
              <w:autoSpaceDN w:val="0"/>
              <w:spacing w:line="360" w:lineRule="auto"/>
              <w:jc w:val="left"/>
              <w:rPr>
                <w:rFonts w:ascii="宋体" w:hAnsi="宋体" w:eastAsia="宋体"/>
                <w:color w:val="000000"/>
              </w:rPr>
            </w:pPr>
            <w:r>
              <w:rPr>
                <w:rFonts w:ascii="Arial" w:hAnsi="Arial" w:eastAsia="Arial"/>
              </w:rPr>
              <w:t>6.回复机构：采用铝合金承重式重力回复机构，铝合金和受力精密车件一体压铸成型，确保外型美观，精细，内有超静音处理，回复效果好，且永不失效。投标时提供样品一套。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39</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窗帘布</w:t>
            </w:r>
          </w:p>
        </w:tc>
        <w:tc>
          <w:tcPr>
            <w:tcW w:w="2316" w:type="dxa"/>
            <w:vAlign w:val="center"/>
          </w:tcPr>
          <w:p>
            <w:pPr>
              <w:autoSpaceDE w:val="0"/>
              <w:autoSpaceDN w:val="0"/>
              <w:spacing w:line="360" w:lineRule="auto"/>
              <w:jc w:val="center"/>
              <w:rPr>
                <w:rFonts w:ascii="宋体" w:hAnsi="宋体" w:eastAsia="宋体"/>
                <w:color w:val="000000"/>
              </w:rPr>
            </w:pP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采用斜纹阻燃布料，经三防处理、抗静电、不起球，阻燃达到国家B1级标准。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40</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窗帘纱</w:t>
            </w:r>
          </w:p>
        </w:tc>
        <w:tc>
          <w:tcPr>
            <w:tcW w:w="2316" w:type="dxa"/>
            <w:vAlign w:val="center"/>
          </w:tcPr>
          <w:p>
            <w:pPr>
              <w:autoSpaceDE w:val="0"/>
              <w:autoSpaceDN w:val="0"/>
              <w:spacing w:line="360" w:lineRule="auto"/>
              <w:jc w:val="center"/>
              <w:rPr>
                <w:rFonts w:ascii="宋体" w:hAnsi="宋体" w:eastAsia="宋体"/>
                <w:color w:val="000000"/>
              </w:rPr>
            </w:pPr>
          </w:p>
        </w:tc>
        <w:tc>
          <w:tcPr>
            <w:tcW w:w="10221" w:type="dxa"/>
            <w:vAlign w:val="center"/>
          </w:tcPr>
          <w:p>
            <w:pPr>
              <w:autoSpaceDE w:val="0"/>
              <w:autoSpaceDN w:val="0"/>
              <w:spacing w:line="360" w:lineRule="auto"/>
              <w:jc w:val="left"/>
              <w:rPr>
                <w:rFonts w:ascii="宋体" w:hAnsi="宋体" w:eastAsia="宋体"/>
                <w:color w:val="000000"/>
              </w:rPr>
            </w:pPr>
            <w:r>
              <w:rPr>
                <w:rFonts w:ascii="宋体" w:hAnsi="宋体" w:eastAsia="宋体"/>
                <w:color w:val="000000"/>
              </w:rPr>
              <w:t>采用涤纶丝，经三防处理、抗静电、不起球，阻燃达到国家标准。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09"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41</w:t>
            </w:r>
          </w:p>
        </w:tc>
        <w:tc>
          <w:tcPr>
            <w:tcW w:w="1028" w:type="dxa"/>
            <w:vAlign w:val="center"/>
          </w:tcPr>
          <w:p>
            <w:pPr>
              <w:autoSpaceDE w:val="0"/>
              <w:autoSpaceDN w:val="0"/>
              <w:spacing w:line="360" w:lineRule="auto"/>
              <w:jc w:val="center"/>
              <w:rPr>
                <w:rFonts w:ascii="宋体" w:hAnsi="宋体" w:eastAsia="宋体"/>
                <w:color w:val="000000"/>
              </w:rPr>
            </w:pPr>
            <w:r>
              <w:rPr>
                <w:rFonts w:ascii="宋体" w:hAnsi="宋体" w:eastAsia="宋体"/>
                <w:color w:val="000000"/>
              </w:rPr>
              <w:t>轨道</w:t>
            </w:r>
          </w:p>
        </w:tc>
        <w:tc>
          <w:tcPr>
            <w:tcW w:w="2316" w:type="dxa"/>
            <w:vAlign w:val="center"/>
          </w:tcPr>
          <w:p>
            <w:pPr>
              <w:autoSpaceDE w:val="0"/>
              <w:autoSpaceDN w:val="0"/>
              <w:spacing w:line="360" w:lineRule="auto"/>
              <w:jc w:val="center"/>
              <w:rPr>
                <w:rFonts w:ascii="宋体" w:hAnsi="宋体" w:eastAsia="宋体"/>
                <w:color w:val="000000"/>
              </w:rPr>
            </w:pPr>
          </w:p>
        </w:tc>
        <w:tc>
          <w:tcPr>
            <w:tcW w:w="10221" w:type="dxa"/>
            <w:vAlign w:val="center"/>
          </w:tcPr>
          <w:p>
            <w:pPr>
              <w:autoSpaceDE w:val="0"/>
              <w:autoSpaceDN w:val="0"/>
              <w:spacing w:line="360" w:lineRule="auto"/>
              <w:jc w:val="left"/>
              <w:rPr>
                <w:rFonts w:ascii="宋体" w:hAnsi="黑体" w:eastAsia="黑体"/>
                <w:color w:val="000000"/>
              </w:rPr>
            </w:pPr>
            <w:r>
              <w:rPr>
                <w:rFonts w:ascii="宋体" w:hAnsi="宋体" w:eastAsia="宋体"/>
                <w:color w:val="000000"/>
              </w:rPr>
              <w:t>铝合金及配件</w:t>
            </w:r>
          </w:p>
        </w:tc>
      </w:tr>
    </w:tbl>
    <w:p>
      <w:pPr>
        <w:pStyle w:val="2"/>
        <w:rPr>
          <w:rFonts w:hint="eastAsia"/>
        </w:rPr>
      </w:pPr>
    </w:p>
    <w:p>
      <w:pPr>
        <w:pStyle w:val="2"/>
        <w:rPr>
          <w:rFonts w:hint="eastAsia" w:ascii="宋体" w:hAnsi="宋体"/>
          <w:b/>
          <w:bCs/>
          <w:sz w:val="24"/>
          <w:szCs w:val="24"/>
          <w:lang w:val="en-US" w:eastAsia="zh-CN"/>
        </w:rPr>
      </w:pPr>
      <w:r>
        <w:rPr>
          <w:rFonts w:hint="eastAsia" w:ascii="宋体" w:hAnsi="宋体"/>
          <w:b/>
          <w:bCs/>
          <w:sz w:val="24"/>
          <w:szCs w:val="24"/>
          <w:lang w:val="en-US" w:eastAsia="zh-CN"/>
        </w:rPr>
        <w:t>送样要求：</w:t>
      </w:r>
    </w:p>
    <w:p>
      <w:pPr>
        <w:pStyle w:val="16"/>
        <w:numPr>
          <w:ilvl w:val="0"/>
          <w:numId w:val="39"/>
        </w:numPr>
        <w:spacing w:line="400" w:lineRule="exact"/>
        <w:ind w:firstLine="480"/>
        <w:rPr>
          <w:rFonts w:ascii="宋体" w:hAnsi="宋体" w:eastAsia="宋体"/>
          <w:sz w:val="24"/>
          <w:szCs w:val="24"/>
        </w:rPr>
      </w:pPr>
      <w:r>
        <w:rPr>
          <w:rFonts w:hint="eastAsia" w:asciiTheme="minorEastAsia" w:hAnsiTheme="minorEastAsia" w:eastAsiaTheme="minorEastAsia"/>
          <w:sz w:val="24"/>
        </w:rPr>
        <w:t>基本要求：</w:t>
      </w:r>
    </w:p>
    <w:p>
      <w:pPr>
        <w:pStyle w:val="16"/>
        <w:spacing w:line="400" w:lineRule="exact"/>
        <w:ind w:firstLine="480"/>
        <w:rPr>
          <w:rFonts w:ascii="宋体" w:hAnsi="宋体" w:eastAsia="宋体"/>
          <w:sz w:val="24"/>
          <w:szCs w:val="24"/>
        </w:rPr>
      </w:pPr>
      <w:r>
        <w:rPr>
          <w:rFonts w:ascii="宋体" w:hAnsi="宋体" w:eastAsia="宋体"/>
          <w:sz w:val="24"/>
          <w:szCs w:val="24"/>
        </w:rPr>
        <w:t>1.1投标人的样品制作、搬运、安装、拆除等相关费用由投标人承担。投标人须自备样品封样的纸箱和封箱带等所需物品。</w:t>
      </w:r>
    </w:p>
    <w:p>
      <w:pPr>
        <w:pStyle w:val="16"/>
        <w:spacing w:line="400" w:lineRule="exact"/>
        <w:ind w:firstLine="480"/>
        <w:rPr>
          <w:rFonts w:ascii="宋体" w:hAnsi="宋体" w:eastAsia="宋体"/>
          <w:sz w:val="24"/>
          <w:szCs w:val="24"/>
        </w:rPr>
      </w:pPr>
      <w:r>
        <w:rPr>
          <w:rFonts w:ascii="宋体" w:hAnsi="宋体" w:eastAsia="宋体"/>
          <w:sz w:val="24"/>
          <w:szCs w:val="24"/>
        </w:rPr>
        <w:t>1.2样品作为响应文件的组成部分，于响应文件截止时间前送达开标地点，否则不予接收。</w:t>
      </w:r>
    </w:p>
    <w:p>
      <w:pPr>
        <w:pStyle w:val="16"/>
        <w:spacing w:line="400" w:lineRule="exact"/>
        <w:ind w:firstLine="480"/>
        <w:rPr>
          <w:rFonts w:ascii="宋体" w:hAnsi="宋体" w:eastAsia="宋体"/>
          <w:sz w:val="24"/>
          <w:szCs w:val="24"/>
        </w:rPr>
      </w:pPr>
      <w:r>
        <w:rPr>
          <w:rFonts w:ascii="宋体" w:hAnsi="宋体" w:eastAsia="宋体"/>
          <w:sz w:val="24"/>
          <w:szCs w:val="24"/>
        </w:rPr>
        <w:t>1.3送达样品时，必须提供样品清单，注明项目名称、项目编号、样品名称及数量、投标人名称，与样品摆放在一起。</w:t>
      </w:r>
    </w:p>
    <w:p>
      <w:pPr>
        <w:pStyle w:val="16"/>
        <w:spacing w:line="40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4</w:t>
      </w:r>
      <w:r>
        <w:rPr>
          <w:rFonts w:ascii="宋体" w:hAnsi="宋体" w:eastAsia="宋体"/>
          <w:sz w:val="24"/>
          <w:szCs w:val="24"/>
        </w:rPr>
        <w:t>样品封样结束后，由投标人保存。</w:t>
      </w:r>
    </w:p>
    <w:p>
      <w:pPr>
        <w:pStyle w:val="16"/>
        <w:spacing w:line="40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5</w:t>
      </w:r>
      <w:r>
        <w:rPr>
          <w:rFonts w:ascii="宋体" w:hAnsi="宋体" w:eastAsia="宋体"/>
          <w:sz w:val="24"/>
          <w:szCs w:val="24"/>
        </w:rPr>
        <w:t>中标结果公告后，中标人的封样样品移交采购人保存，用于验收比对；未中标的投标人在项目质疑投诉期结束后可自行处理封样样品。</w:t>
      </w:r>
    </w:p>
    <w:p>
      <w:pPr>
        <w:pStyle w:val="16"/>
        <w:spacing w:line="40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6</w:t>
      </w:r>
      <w:r>
        <w:rPr>
          <w:rFonts w:ascii="宋体" w:hAnsi="宋体" w:eastAsia="宋体"/>
          <w:sz w:val="24"/>
          <w:szCs w:val="24"/>
        </w:rPr>
        <w:t>本项目验收完成后，中标人收到采购人工作人员退还通知后，三个工作日内办理退还，移交后可自行处理样品。</w:t>
      </w:r>
    </w:p>
    <w:p>
      <w:pPr>
        <w:pStyle w:val="16"/>
        <w:spacing w:line="40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lang w:val="en-US" w:eastAsia="zh-CN"/>
        </w:rPr>
        <w:t>7</w:t>
      </w:r>
      <w:r>
        <w:rPr>
          <w:rFonts w:ascii="宋体" w:hAnsi="宋体" w:eastAsia="宋体"/>
          <w:sz w:val="24"/>
          <w:szCs w:val="24"/>
        </w:rPr>
        <w:t>样品移交、退还时，投标人按代理机构或采购人工作人员指定的时间、地点办理退还，因样品逾期未撤离而产生的废品处置费，由投标人承担。</w:t>
      </w:r>
    </w:p>
    <w:p>
      <w:pPr>
        <w:pStyle w:val="16"/>
        <w:spacing w:line="400" w:lineRule="exact"/>
        <w:ind w:firstLine="480"/>
        <w:rPr>
          <w:rFonts w:ascii="宋体" w:hAnsi="宋体" w:eastAsia="宋体"/>
          <w:sz w:val="24"/>
          <w:szCs w:val="24"/>
        </w:rPr>
      </w:pPr>
      <w:r>
        <w:rPr>
          <w:rFonts w:ascii="宋体" w:hAnsi="宋体" w:eastAsia="宋体"/>
          <w:sz w:val="24"/>
          <w:szCs w:val="24"/>
        </w:rPr>
        <w:t>2.特殊要求：</w:t>
      </w:r>
    </w:p>
    <w:p>
      <w:pPr>
        <w:pStyle w:val="16"/>
        <w:spacing w:line="400" w:lineRule="exact"/>
        <w:ind w:firstLine="480"/>
        <w:rPr>
          <w:rFonts w:ascii="宋体" w:hAnsi="宋体" w:eastAsia="宋体"/>
          <w:sz w:val="24"/>
          <w:szCs w:val="24"/>
        </w:rPr>
      </w:pPr>
      <w:r>
        <w:rPr>
          <w:rFonts w:ascii="宋体" w:hAnsi="宋体" w:eastAsia="宋体"/>
          <w:sz w:val="24"/>
          <w:szCs w:val="24"/>
        </w:rPr>
        <w:t>2.1本项目样品评审采用盲样，投标人递交的样品上不得看见可以识别投标人的任何标志或标识或具有暗示性的文字、图案、装饰等，否则样品分不得分。</w:t>
      </w:r>
    </w:p>
    <w:p>
      <w:pPr>
        <w:pStyle w:val="16"/>
        <w:spacing w:line="400" w:lineRule="exact"/>
        <w:ind w:firstLine="480"/>
        <w:rPr>
          <w:rFonts w:ascii="宋体" w:hAnsi="宋体" w:eastAsia="宋体"/>
          <w:sz w:val="24"/>
          <w:szCs w:val="24"/>
        </w:rPr>
      </w:pPr>
      <w:r>
        <w:rPr>
          <w:rFonts w:ascii="宋体" w:hAnsi="宋体" w:eastAsia="宋体"/>
          <w:sz w:val="24"/>
          <w:szCs w:val="24"/>
        </w:rPr>
        <w:t>2.2盲样评审前由现场监督人员进行随机编号后进入评审。</w:t>
      </w:r>
    </w:p>
    <w:p>
      <w:pPr>
        <w:pStyle w:val="16"/>
        <w:spacing w:line="400" w:lineRule="exact"/>
        <w:ind w:firstLine="480"/>
        <w:rPr>
          <w:rFonts w:ascii="宋体" w:hAnsi="宋体" w:eastAsia="宋体"/>
          <w:sz w:val="24"/>
          <w:szCs w:val="24"/>
        </w:rPr>
      </w:pPr>
      <w:r>
        <w:rPr>
          <w:rFonts w:ascii="宋体" w:hAnsi="宋体" w:eastAsia="宋体"/>
          <w:sz w:val="24"/>
          <w:szCs w:val="24"/>
        </w:rPr>
        <w:t>2.3本项目送样清单：见清单附件。</w:t>
      </w:r>
    </w:p>
    <w:p>
      <w:pPr>
        <w:pStyle w:val="16"/>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办理退还，因样品逾期未撤离而产生的废品处置费，由投标人承担。</w:t>
      </w:r>
    </w:p>
    <w:p>
      <w:pPr>
        <w:pStyle w:val="16"/>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2.3本项目送样清单：见清单附件。</w:t>
      </w:r>
    </w:p>
    <w:p>
      <w:pPr>
        <w:pStyle w:val="16"/>
        <w:numPr>
          <w:ilvl w:val="0"/>
          <w:numId w:val="40"/>
        </w:numPr>
        <w:spacing w:line="400" w:lineRule="exact"/>
        <w:ind w:firstLine="480"/>
        <w:rPr>
          <w:rFonts w:hint="eastAsia" w:asciiTheme="minorEastAsia" w:hAnsiTheme="minorEastAsia" w:eastAsiaTheme="minorEastAsia"/>
          <w:sz w:val="24"/>
        </w:rPr>
      </w:pPr>
      <w:r>
        <w:rPr>
          <w:rFonts w:hint="eastAsia" w:asciiTheme="minorEastAsia" w:hAnsiTheme="minorEastAsia" w:eastAsiaTheme="minorEastAsia"/>
          <w:sz w:val="24"/>
        </w:rPr>
        <w:t>送样清单：</w:t>
      </w:r>
    </w:p>
    <w:tbl>
      <w:tblPr>
        <w:tblStyle w:val="46"/>
        <w:tblpPr w:leftFromText="180" w:rightFromText="180" w:vertAnchor="text" w:horzAnchor="margin" w:tblpY="84"/>
        <w:tblW w:w="13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3"/>
        <w:gridCol w:w="2883"/>
        <w:gridCol w:w="2569"/>
        <w:gridCol w:w="2704"/>
        <w:gridCol w:w="3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3" w:type="dxa"/>
            <w:vAlign w:val="center"/>
          </w:tcPr>
          <w:p>
            <w:pPr>
              <w:keepNext/>
              <w:keepLines/>
              <w:autoSpaceDE w:val="0"/>
              <w:autoSpaceDN w:val="0"/>
              <w:jc w:val="center"/>
              <w:outlineLvl w:val="1"/>
              <w:rPr>
                <w:rFonts w:ascii="宋体" w:hAnsi="宋体" w:eastAsia="宋体" w:cs="Times New Roman"/>
                <w:b/>
                <w:color w:val="000000" w:themeColor="text1"/>
                <w:sz w:val="24"/>
                <w:szCs w:val="24"/>
                <w:lang w:val="en-US" w:eastAsia="zh-CN" w:bidi="ar-SA"/>
                <w14:textFill>
                  <w14:solidFill>
                    <w14:schemeClr w14:val="tx1"/>
                  </w14:solidFill>
                </w14:textFill>
              </w:rPr>
            </w:pPr>
            <w:r>
              <w:rPr>
                <w:rFonts w:ascii="宋体" w:hAnsi="宋体" w:eastAsia="宋体" w:cs="Times New Roman"/>
                <w:b/>
                <w:color w:val="000000" w:themeColor="text1"/>
                <w:sz w:val="24"/>
                <w:szCs w:val="24"/>
                <w:lang w:val="en-US" w:eastAsia="zh-CN" w:bidi="ar-SA"/>
                <w14:textFill>
                  <w14:solidFill>
                    <w14:schemeClr w14:val="tx1"/>
                  </w14:solidFill>
                </w14:textFill>
              </w:rPr>
              <w:t>序号</w:t>
            </w:r>
          </w:p>
        </w:tc>
        <w:tc>
          <w:tcPr>
            <w:tcW w:w="2883" w:type="dxa"/>
            <w:vAlign w:val="center"/>
          </w:tcPr>
          <w:p>
            <w:pPr>
              <w:keepNext/>
              <w:keepLines/>
              <w:autoSpaceDE w:val="0"/>
              <w:autoSpaceDN w:val="0"/>
              <w:jc w:val="center"/>
              <w:outlineLvl w:val="1"/>
              <w:rPr>
                <w:rFonts w:ascii="宋体" w:hAnsi="宋体" w:eastAsia="宋体" w:cs="Times New Roman"/>
                <w:b/>
                <w:color w:val="000000" w:themeColor="text1"/>
                <w:sz w:val="24"/>
                <w:szCs w:val="24"/>
                <w:lang w:val="en-US" w:eastAsia="zh-CN" w:bidi="ar-SA"/>
                <w14:textFill>
                  <w14:solidFill>
                    <w14:schemeClr w14:val="tx1"/>
                  </w14:solidFill>
                </w14:textFill>
              </w:rPr>
            </w:pPr>
            <w:r>
              <w:rPr>
                <w:rFonts w:ascii="宋体" w:hAnsi="宋体" w:eastAsia="宋体" w:cs="Times New Roman"/>
                <w:b/>
                <w:color w:val="000000" w:themeColor="text1"/>
                <w:sz w:val="24"/>
                <w:szCs w:val="24"/>
                <w:lang w:val="en-US" w:eastAsia="zh-CN" w:bidi="ar-SA"/>
                <w14:textFill>
                  <w14:solidFill>
                    <w14:schemeClr w14:val="tx1"/>
                  </w14:solidFill>
                </w14:textFill>
              </w:rPr>
              <w:t>样品名称</w:t>
            </w:r>
          </w:p>
        </w:tc>
        <w:tc>
          <w:tcPr>
            <w:tcW w:w="2569" w:type="dxa"/>
            <w:vAlign w:val="center"/>
          </w:tcPr>
          <w:p>
            <w:pPr>
              <w:spacing w:after="160" w:line="325" w:lineRule="exact"/>
              <w:ind w:left="227" w:right="220" w:firstLine="0"/>
              <w:jc w:val="center"/>
              <w:rPr>
                <w:rFonts w:ascii="宋体" w:hAnsi="宋体" w:eastAsia="宋体" w:cs="Times New Roman"/>
                <w:b/>
                <w:color w:val="000000" w:themeColor="text1"/>
                <w:sz w:val="24"/>
                <w:szCs w:val="24"/>
                <w:lang w:val="en-US" w:eastAsia="zh-CN" w:bidi="ar-SA"/>
                <w14:textFill>
                  <w14:solidFill>
                    <w14:schemeClr w14:val="tx1"/>
                  </w14:solidFill>
                </w14:textFill>
              </w:rPr>
            </w:pPr>
            <w:r>
              <w:rPr>
                <w:rFonts w:ascii="宋体" w:hAnsi="宋体" w:eastAsia="宋体" w:cs="Times New Roman"/>
                <w:b/>
                <w:color w:val="000000" w:themeColor="text1"/>
                <w:sz w:val="24"/>
                <w:szCs w:val="24"/>
                <w:lang w:val="en-US" w:eastAsia="zh-CN" w:bidi="ar-SA"/>
                <w14:textFill>
                  <w14:solidFill>
                    <w14:schemeClr w14:val="tx1"/>
                  </w14:solidFill>
                </w14:textFill>
              </w:rPr>
              <w:t>对应项目参</w:t>
            </w:r>
          </w:p>
          <w:p>
            <w:pPr>
              <w:keepNext/>
              <w:keepLines/>
              <w:autoSpaceDE w:val="0"/>
              <w:autoSpaceDN w:val="0"/>
              <w:jc w:val="center"/>
              <w:outlineLvl w:val="1"/>
              <w:rPr>
                <w:rFonts w:ascii="宋体" w:hAnsi="宋体" w:eastAsia="宋体" w:cs="Times New Roman"/>
                <w:b/>
                <w:color w:val="000000" w:themeColor="text1"/>
                <w:sz w:val="24"/>
                <w:szCs w:val="24"/>
                <w:lang w:val="en-US" w:eastAsia="zh-CN" w:bidi="ar-SA"/>
                <w14:textFill>
                  <w14:solidFill>
                    <w14:schemeClr w14:val="tx1"/>
                  </w14:solidFill>
                </w14:textFill>
              </w:rPr>
            </w:pPr>
            <w:r>
              <w:rPr>
                <w:rFonts w:ascii="宋体" w:hAnsi="宋体" w:eastAsia="宋体" w:cs="Times New Roman"/>
                <w:b/>
                <w:color w:val="000000" w:themeColor="text1"/>
                <w:sz w:val="24"/>
                <w:szCs w:val="24"/>
                <w:lang w:val="en-US" w:eastAsia="zh-CN" w:bidi="ar-SA"/>
                <w14:textFill>
                  <w14:solidFill>
                    <w14:schemeClr w14:val="tx1"/>
                  </w14:solidFill>
                </w14:textFill>
              </w:rPr>
              <w:t>数序号</w:t>
            </w:r>
          </w:p>
        </w:tc>
        <w:tc>
          <w:tcPr>
            <w:tcW w:w="2704" w:type="dxa"/>
            <w:vAlign w:val="center"/>
          </w:tcPr>
          <w:p>
            <w:pPr>
              <w:keepNext/>
              <w:keepLines/>
              <w:autoSpaceDE w:val="0"/>
              <w:autoSpaceDN w:val="0"/>
              <w:jc w:val="center"/>
              <w:outlineLvl w:val="1"/>
              <w:rPr>
                <w:rFonts w:ascii="宋体" w:hAnsi="宋体" w:eastAsia="宋体" w:cs="Times New Roman"/>
                <w:b/>
                <w:color w:val="000000" w:themeColor="text1"/>
                <w:sz w:val="24"/>
                <w:szCs w:val="24"/>
                <w:lang w:val="en-US" w:eastAsia="zh-CN" w:bidi="ar-SA"/>
                <w14:textFill>
                  <w14:solidFill>
                    <w14:schemeClr w14:val="tx1"/>
                  </w14:solidFill>
                </w14:textFill>
              </w:rPr>
            </w:pPr>
            <w:r>
              <w:rPr>
                <w:rFonts w:ascii="宋体" w:hAnsi="宋体" w:eastAsia="宋体" w:cs="Times New Roman"/>
                <w:b/>
                <w:color w:val="000000" w:themeColor="text1"/>
                <w:sz w:val="24"/>
                <w:szCs w:val="24"/>
                <w:lang w:val="en-US" w:eastAsia="zh-CN" w:bidi="ar-SA"/>
                <w14:textFill>
                  <w14:solidFill>
                    <w14:schemeClr w14:val="tx1"/>
                  </w14:solidFill>
                </w14:textFill>
              </w:rPr>
              <w:t>数量</w:t>
            </w:r>
          </w:p>
        </w:tc>
        <w:tc>
          <w:tcPr>
            <w:tcW w:w="3761" w:type="dxa"/>
            <w:vAlign w:val="center"/>
          </w:tcPr>
          <w:p>
            <w:pPr>
              <w:keepNext/>
              <w:keepLines/>
              <w:autoSpaceDE w:val="0"/>
              <w:autoSpaceDN w:val="0"/>
              <w:jc w:val="center"/>
              <w:outlineLvl w:val="1"/>
              <w:rPr>
                <w:rFonts w:ascii="宋体" w:hAnsi="宋体" w:eastAsia="宋体" w:cs="Times New Roman"/>
                <w:b/>
                <w:color w:val="FF0000"/>
                <w:sz w:val="24"/>
                <w:szCs w:val="24"/>
                <w:lang w:val="en-US" w:eastAsia="zh-CN" w:bidi="ar-SA"/>
              </w:rPr>
            </w:pPr>
            <w:r>
              <w:rPr>
                <w:rFonts w:ascii="宋体" w:hAnsi="宋体" w:eastAsia="宋体" w:cs="Times New Roman"/>
                <w:b/>
                <w:color w:val="000000" w:themeColor="text1"/>
                <w:sz w:val="24"/>
                <w:szCs w:val="24"/>
                <w:lang w:val="en-US" w:eastAsia="zh-CN" w:bidi="ar-SA"/>
                <w14:textFill>
                  <w14:solidFill>
                    <w14:schemeClr w14:val="tx1"/>
                  </w14:solidFill>
                </w14:textFill>
              </w:rPr>
              <w:t>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3" w:type="dxa"/>
            <w:vAlign w:val="center"/>
          </w:tcPr>
          <w:p>
            <w:pPr>
              <w:keepNext/>
              <w:keepLines/>
              <w:autoSpaceDE w:val="0"/>
              <w:autoSpaceDN w:val="0"/>
              <w:spacing w:line="360" w:lineRule="auto"/>
              <w:jc w:val="center"/>
              <w:outlineLvl w:val="1"/>
              <w:rPr>
                <w:rFonts w:ascii="宋体" w:hAnsi="宋体" w:eastAsia="宋体" w:cs="Times New Roman"/>
                <w:b w:val="0"/>
                <w:color w:val="000000" w:themeColor="text1"/>
                <w:sz w:val="24"/>
                <w:szCs w:val="24"/>
                <w:lang w:val="en-US" w:eastAsia="zh-CN" w:bidi="ar-SA"/>
                <w14:textFill>
                  <w14:solidFill>
                    <w14:schemeClr w14:val="tx1"/>
                  </w14:solidFill>
                </w14:textFill>
              </w:rPr>
            </w:pPr>
            <w:r>
              <w:rPr>
                <w:rFonts w:hint="eastAsia" w:ascii="宋体" w:hAnsi="宋体" w:cs="Times New Roman"/>
                <w:b w:val="0"/>
                <w:color w:val="000000" w:themeColor="text1"/>
                <w:sz w:val="24"/>
                <w:szCs w:val="24"/>
                <w:lang w:val="en-US" w:eastAsia="zh-CN" w:bidi="ar-SA"/>
                <w14:textFill>
                  <w14:solidFill>
                    <w14:schemeClr w14:val="tx1"/>
                  </w14:solidFill>
                </w14:textFill>
              </w:rPr>
              <w:t>1</w:t>
            </w:r>
          </w:p>
        </w:tc>
        <w:tc>
          <w:tcPr>
            <w:tcW w:w="2883" w:type="dxa"/>
            <w:vAlign w:val="center"/>
          </w:tcPr>
          <w:p>
            <w:pPr>
              <w:widowControl/>
              <w:autoSpaceDE w:val="0"/>
              <w:autoSpaceDN w:val="0"/>
              <w:spacing w:line="273" w:lineRule="auto"/>
              <w:jc w:val="center"/>
              <w:rPr>
                <w:rFonts w:ascii="宋体" w:hAnsi="宋体" w:eastAsia="宋体"/>
                <w:color w:val="000000" w:themeColor="text1"/>
                <w:kern w:val="0"/>
                <w:sz w:val="24"/>
                <w:szCs w:val="24"/>
                <w14:textFill>
                  <w14:solidFill>
                    <w14:schemeClr w14:val="tx1"/>
                  </w14:solidFill>
                </w14:textFill>
              </w:rPr>
            </w:pPr>
            <w:r>
              <w:rPr>
                <w:rFonts w:ascii="宋体" w:hAnsi="Times New Roman" w:eastAsia="Times New Roman"/>
                <w:color w:val="000000" w:themeColor="text1"/>
                <w:kern w:val="0"/>
                <w:szCs w:val="21"/>
                <w14:textFill>
                  <w14:solidFill>
                    <w14:schemeClr w14:val="tx1"/>
                  </w14:solidFill>
                </w14:textFill>
              </w:rPr>
              <w:t>网面转椅</w:t>
            </w:r>
          </w:p>
        </w:tc>
        <w:tc>
          <w:tcPr>
            <w:tcW w:w="2569" w:type="dxa"/>
            <w:vAlign w:val="center"/>
          </w:tcPr>
          <w:p>
            <w:pPr>
              <w:keepNext/>
              <w:keepLines/>
              <w:autoSpaceDE w:val="0"/>
              <w:autoSpaceDN w:val="0"/>
              <w:spacing w:line="360" w:lineRule="auto"/>
              <w:jc w:val="center"/>
              <w:outlineLvl w:val="1"/>
              <w:rPr>
                <w:rFonts w:ascii="宋体" w:hAnsi="宋体" w:eastAsia="宋体" w:cs="Times New Roman"/>
                <w:b w:val="0"/>
                <w:color w:val="000000" w:themeColor="text1"/>
                <w:sz w:val="24"/>
                <w:szCs w:val="24"/>
                <w:lang w:val="en-US" w:eastAsia="zh-CN" w:bidi="ar-SA"/>
                <w14:textFill>
                  <w14:solidFill>
                    <w14:schemeClr w14:val="tx1"/>
                  </w14:solidFill>
                </w14:textFill>
              </w:rPr>
            </w:pPr>
            <w:r>
              <w:rPr>
                <w:rFonts w:ascii="宋体" w:hAnsi="宋体" w:eastAsia="宋体" w:cs="Times New Roman"/>
                <w:b w:val="0"/>
                <w:color w:val="000000" w:themeColor="text1"/>
                <w:sz w:val="24"/>
                <w:szCs w:val="24"/>
                <w:lang w:val="en-US" w:eastAsia="zh-CN" w:bidi="ar-SA"/>
                <w14:textFill>
                  <w14:solidFill>
                    <w14:schemeClr w14:val="tx1"/>
                  </w14:solidFill>
                </w14:textFill>
              </w:rPr>
              <w:t>16</w:t>
            </w:r>
          </w:p>
        </w:tc>
        <w:tc>
          <w:tcPr>
            <w:tcW w:w="2704" w:type="dxa"/>
            <w:vAlign w:val="center"/>
          </w:tcPr>
          <w:p>
            <w:pPr>
              <w:keepNext/>
              <w:keepLines/>
              <w:autoSpaceDE w:val="0"/>
              <w:autoSpaceDN w:val="0"/>
              <w:jc w:val="center"/>
              <w:outlineLvl w:val="1"/>
              <w:rPr>
                <w:rFonts w:ascii="宋体" w:hAnsi="宋体" w:eastAsia="宋体" w:cs="Times New Roman"/>
                <w:b w:val="0"/>
                <w:color w:val="000000" w:themeColor="text1"/>
                <w:sz w:val="24"/>
                <w:szCs w:val="24"/>
                <w:lang w:val="en-US" w:eastAsia="zh-CN" w:bidi="ar-SA"/>
                <w14:textFill>
                  <w14:solidFill>
                    <w14:schemeClr w14:val="tx1"/>
                  </w14:solidFill>
                </w14:textFill>
              </w:rPr>
            </w:pPr>
            <w:r>
              <w:rPr>
                <w:rFonts w:ascii="宋体" w:hAnsi="宋体" w:eastAsia="宋体" w:cs="Times New Roman"/>
                <w:b w:val="0"/>
                <w:color w:val="000000" w:themeColor="text1"/>
                <w:sz w:val="24"/>
                <w:szCs w:val="24"/>
                <w:lang w:val="en-US" w:eastAsia="zh-CN" w:bidi="ar-SA"/>
                <w14:textFill>
                  <w14:solidFill>
                    <w14:schemeClr w14:val="tx1"/>
                  </w14:solidFill>
                </w14:textFill>
              </w:rPr>
              <w:t>1</w:t>
            </w:r>
            <w:r>
              <w:rPr>
                <w:rFonts w:hint="eastAsia" w:ascii="宋体" w:hAnsi="宋体" w:cs="Times New Roman"/>
                <w:b w:val="0"/>
                <w:color w:val="000000" w:themeColor="text1"/>
                <w:sz w:val="24"/>
                <w:szCs w:val="24"/>
                <w:lang w:val="en-US" w:eastAsia="zh-CN" w:bidi="ar-SA"/>
                <w14:textFill>
                  <w14:solidFill>
                    <w14:schemeClr w14:val="tx1"/>
                  </w14:solidFill>
                </w14:textFill>
              </w:rPr>
              <w:t>把</w:t>
            </w:r>
          </w:p>
        </w:tc>
        <w:tc>
          <w:tcPr>
            <w:tcW w:w="3761" w:type="dxa"/>
            <w:vMerge w:val="restart"/>
            <w:vAlign w:val="center"/>
          </w:tcPr>
          <w:p>
            <w:pPr>
              <w:widowControl/>
              <w:rPr>
                <w:rFonts w:eastAsia="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3" w:type="dxa"/>
            <w:vAlign w:val="center"/>
          </w:tcPr>
          <w:p>
            <w:pPr>
              <w:keepNext/>
              <w:keepLines/>
              <w:autoSpaceDE w:val="0"/>
              <w:autoSpaceDN w:val="0"/>
              <w:spacing w:line="360" w:lineRule="auto"/>
              <w:jc w:val="center"/>
              <w:outlineLvl w:val="1"/>
              <w:rPr>
                <w:rFonts w:ascii="宋体" w:hAnsi="宋体" w:eastAsia="宋体" w:cs="Times New Roman"/>
                <w:b w:val="0"/>
                <w:color w:val="000000" w:themeColor="text1"/>
                <w:sz w:val="24"/>
                <w:szCs w:val="24"/>
                <w:lang w:val="en-US" w:eastAsia="zh-CN" w:bidi="ar-SA"/>
                <w14:textFill>
                  <w14:solidFill>
                    <w14:schemeClr w14:val="tx1"/>
                  </w14:solidFill>
                </w14:textFill>
              </w:rPr>
            </w:pPr>
            <w:r>
              <w:rPr>
                <w:rFonts w:hint="eastAsia" w:ascii="宋体" w:hAnsi="宋体" w:cs="Times New Roman"/>
                <w:b w:val="0"/>
                <w:color w:val="000000" w:themeColor="text1"/>
                <w:sz w:val="24"/>
                <w:szCs w:val="24"/>
                <w:lang w:val="en-US" w:eastAsia="zh-CN" w:bidi="ar-SA"/>
                <w14:textFill>
                  <w14:solidFill>
                    <w14:schemeClr w14:val="tx1"/>
                  </w14:solidFill>
                </w14:textFill>
              </w:rPr>
              <w:t>2</w:t>
            </w:r>
          </w:p>
        </w:tc>
        <w:tc>
          <w:tcPr>
            <w:tcW w:w="2883" w:type="dxa"/>
            <w:vAlign w:val="center"/>
          </w:tcPr>
          <w:p>
            <w:pPr>
              <w:widowControl/>
              <w:jc w:val="center"/>
              <w:rPr>
                <w:rFonts w:hint="eastAsia" w:ascii="宋体" w:hAnsi="宋体" w:eastAsia="宋体"/>
                <w:color w:val="000000" w:themeColor="text1"/>
                <w:kern w:val="0"/>
                <w:sz w:val="24"/>
                <w:szCs w:val="24"/>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屏风</w:t>
            </w:r>
            <w:r>
              <w:rPr>
                <w:rFonts w:ascii="宋体" w:hAnsi="宋体" w:eastAsia="宋体"/>
                <w:color w:val="000000" w:themeColor="text1"/>
                <w:kern w:val="0"/>
                <w:szCs w:val="21"/>
                <w14:textFill>
                  <w14:solidFill>
                    <w14:schemeClr w14:val="tx1"/>
                  </w14:solidFill>
                </w14:textFill>
              </w:rPr>
              <w:t>工作位</w:t>
            </w:r>
          </w:p>
        </w:tc>
        <w:tc>
          <w:tcPr>
            <w:tcW w:w="2569" w:type="dxa"/>
            <w:vAlign w:val="center"/>
          </w:tcPr>
          <w:p>
            <w:pPr>
              <w:keepNext/>
              <w:keepLines/>
              <w:autoSpaceDE w:val="0"/>
              <w:autoSpaceDN w:val="0"/>
              <w:spacing w:line="360" w:lineRule="auto"/>
              <w:jc w:val="center"/>
              <w:outlineLvl w:val="1"/>
              <w:rPr>
                <w:rFonts w:ascii="宋体" w:hAnsi="宋体" w:eastAsia="宋体" w:cs="Times New Roman"/>
                <w:b w:val="0"/>
                <w:color w:val="000000" w:themeColor="text1"/>
                <w:sz w:val="24"/>
                <w:szCs w:val="24"/>
                <w:lang w:val="en-US" w:eastAsia="zh-CN" w:bidi="ar-SA"/>
                <w14:textFill>
                  <w14:solidFill>
                    <w14:schemeClr w14:val="tx1"/>
                  </w14:solidFill>
                </w14:textFill>
              </w:rPr>
            </w:pPr>
            <w:r>
              <w:rPr>
                <w:rFonts w:ascii="宋体" w:hAnsi="宋体" w:eastAsia="宋体" w:cs="Times New Roman"/>
                <w:b w:val="0"/>
                <w:color w:val="000000" w:themeColor="text1"/>
                <w:sz w:val="24"/>
                <w:szCs w:val="24"/>
                <w:lang w:val="en-US" w:eastAsia="zh-CN" w:bidi="ar-SA"/>
                <w14:textFill>
                  <w14:solidFill>
                    <w14:schemeClr w14:val="tx1"/>
                  </w14:solidFill>
                </w14:textFill>
              </w:rPr>
              <w:t>18</w:t>
            </w:r>
          </w:p>
        </w:tc>
        <w:tc>
          <w:tcPr>
            <w:tcW w:w="2704" w:type="dxa"/>
            <w:vAlign w:val="center"/>
          </w:tcPr>
          <w:p>
            <w:pPr>
              <w:keepNext/>
              <w:keepLines/>
              <w:autoSpaceDE w:val="0"/>
              <w:autoSpaceDN w:val="0"/>
              <w:jc w:val="center"/>
              <w:outlineLvl w:val="1"/>
              <w:rPr>
                <w:rFonts w:hint="default" w:ascii="宋体" w:hAnsi="宋体" w:eastAsia="宋体" w:cs="Times New Roman"/>
                <w:b w:val="0"/>
                <w:color w:val="000000" w:themeColor="text1"/>
                <w:sz w:val="24"/>
                <w:szCs w:val="24"/>
                <w:lang w:val="en-US" w:eastAsia="zh-CN" w:bidi="ar-SA"/>
                <w14:textFill>
                  <w14:solidFill>
                    <w14:schemeClr w14:val="tx1"/>
                  </w14:solidFill>
                </w14:textFill>
              </w:rPr>
            </w:pPr>
            <w:r>
              <w:rPr>
                <w:rFonts w:hint="eastAsia" w:ascii="宋体" w:hAnsi="宋体" w:cs="Times New Roman"/>
                <w:b w:val="0"/>
                <w:color w:val="000000" w:themeColor="text1"/>
                <w:sz w:val="24"/>
                <w:szCs w:val="24"/>
                <w:lang w:val="en-US" w:eastAsia="zh-CN" w:bidi="ar-SA"/>
                <w14:textFill>
                  <w14:solidFill>
                    <w14:schemeClr w14:val="tx1"/>
                  </w14:solidFill>
                </w14:textFill>
              </w:rPr>
              <w:t>1位</w:t>
            </w:r>
          </w:p>
        </w:tc>
        <w:tc>
          <w:tcPr>
            <w:tcW w:w="3761" w:type="dxa"/>
            <w:vMerge w:val="continue"/>
            <w:vAlign w:val="center"/>
          </w:tcPr>
          <w:p>
            <w:pPr>
              <w:widowControl/>
              <w:rPr>
                <w:rFonts w:eastAsia="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3" w:type="dxa"/>
            <w:vAlign w:val="center"/>
          </w:tcPr>
          <w:p>
            <w:pPr>
              <w:keepNext/>
              <w:keepLines/>
              <w:autoSpaceDE w:val="0"/>
              <w:autoSpaceDN w:val="0"/>
              <w:spacing w:line="360" w:lineRule="auto"/>
              <w:jc w:val="center"/>
              <w:outlineLvl w:val="1"/>
              <w:rPr>
                <w:rFonts w:ascii="宋体" w:hAnsi="宋体" w:eastAsia="宋体" w:cs="Times New Roman"/>
                <w:b w:val="0"/>
                <w:color w:val="000000" w:themeColor="text1"/>
                <w:sz w:val="24"/>
                <w:szCs w:val="24"/>
                <w:lang w:val="en-US" w:eastAsia="zh-CN" w:bidi="ar-SA"/>
                <w14:textFill>
                  <w14:solidFill>
                    <w14:schemeClr w14:val="tx1"/>
                  </w14:solidFill>
                </w14:textFill>
              </w:rPr>
            </w:pPr>
            <w:r>
              <w:rPr>
                <w:rFonts w:hint="eastAsia" w:ascii="宋体" w:hAnsi="Times New Roman" w:eastAsia="Times New Roman" w:cs="Times New Roman"/>
                <w:b w:val="0"/>
                <w:color w:val="000000" w:themeColor="text1"/>
                <w:sz w:val="21"/>
                <w:szCs w:val="21"/>
                <w:lang w:val="en-US" w:eastAsia="zh-CN" w:bidi="ar-SA"/>
                <w14:textFill>
                  <w14:solidFill>
                    <w14:schemeClr w14:val="tx1"/>
                  </w14:solidFill>
                </w14:textFill>
              </w:rPr>
              <w:t>3</w:t>
            </w:r>
          </w:p>
        </w:tc>
        <w:tc>
          <w:tcPr>
            <w:tcW w:w="2883" w:type="dxa"/>
            <w:vAlign w:val="center"/>
          </w:tcPr>
          <w:p>
            <w:pPr>
              <w:widowControl/>
              <w:jc w:val="center"/>
              <w:rPr>
                <w:rFonts w:ascii="宋体" w:hAnsi="宋体" w:eastAsia="宋体"/>
                <w:color w:val="000000" w:themeColor="text1"/>
                <w:kern w:val="0"/>
                <w:szCs w:val="21"/>
                <w14:textFill>
                  <w14:solidFill>
                    <w14:schemeClr w14:val="tx1"/>
                  </w14:solidFill>
                </w14:textFill>
              </w:rPr>
            </w:pPr>
            <w:r>
              <w:rPr>
                <w:rFonts w:ascii="宋体" w:hAnsi="Times New Roman" w:eastAsia="Times New Roman"/>
                <w:color w:val="000000" w:themeColor="text1"/>
                <w:kern w:val="0"/>
                <w:szCs w:val="21"/>
                <w14:textFill>
                  <w14:solidFill>
                    <w14:schemeClr w14:val="tx1"/>
                  </w14:solidFill>
                </w14:textFill>
              </w:rPr>
              <w:t>礼堂椅</w:t>
            </w:r>
          </w:p>
        </w:tc>
        <w:tc>
          <w:tcPr>
            <w:tcW w:w="2569" w:type="dxa"/>
            <w:vAlign w:val="center"/>
          </w:tcPr>
          <w:p>
            <w:pPr>
              <w:keepNext/>
              <w:keepLines/>
              <w:autoSpaceDE w:val="0"/>
              <w:autoSpaceDN w:val="0"/>
              <w:spacing w:line="360" w:lineRule="auto"/>
              <w:jc w:val="center"/>
              <w:outlineLvl w:val="1"/>
              <w:rPr>
                <w:rFonts w:ascii="宋体" w:hAnsi="宋体" w:eastAsia="宋体" w:cs="Times New Roman"/>
                <w:b w:val="0"/>
                <w:color w:val="000000" w:themeColor="text1"/>
                <w:sz w:val="24"/>
                <w:szCs w:val="24"/>
                <w:lang w:val="en-US" w:eastAsia="zh-CN" w:bidi="ar-SA"/>
                <w14:textFill>
                  <w14:solidFill>
                    <w14:schemeClr w14:val="tx1"/>
                  </w14:solidFill>
                </w14:textFill>
              </w:rPr>
            </w:pPr>
            <w:r>
              <w:rPr>
                <w:rFonts w:ascii="宋体" w:hAnsi="Times New Roman" w:eastAsia="Times New Roman" w:cs="Times New Roman"/>
                <w:b w:val="0"/>
                <w:color w:val="000000" w:themeColor="text1"/>
                <w:sz w:val="21"/>
                <w:szCs w:val="21"/>
                <w:lang w:val="en-US" w:eastAsia="zh-CN" w:bidi="ar-SA"/>
                <w14:textFill>
                  <w14:solidFill>
                    <w14:schemeClr w14:val="tx1"/>
                  </w14:solidFill>
                </w14:textFill>
              </w:rPr>
              <w:t>37</w:t>
            </w:r>
          </w:p>
        </w:tc>
        <w:tc>
          <w:tcPr>
            <w:tcW w:w="2704" w:type="dxa"/>
            <w:vAlign w:val="center"/>
          </w:tcPr>
          <w:p>
            <w:pPr>
              <w:keepNext/>
              <w:keepLines/>
              <w:autoSpaceDE w:val="0"/>
              <w:autoSpaceDN w:val="0"/>
              <w:jc w:val="center"/>
              <w:outlineLvl w:val="1"/>
              <w:rPr>
                <w:rFonts w:ascii="宋体" w:hAnsi="宋体" w:eastAsia="宋体" w:cs="Times New Roman"/>
                <w:b w:val="0"/>
                <w:color w:val="000000" w:themeColor="text1"/>
                <w:sz w:val="24"/>
                <w:szCs w:val="24"/>
                <w:lang w:val="en-US" w:eastAsia="zh-CN" w:bidi="ar-SA"/>
                <w14:textFill>
                  <w14:solidFill>
                    <w14:schemeClr w14:val="tx1"/>
                  </w14:solidFill>
                </w14:textFill>
              </w:rPr>
            </w:pPr>
            <w:r>
              <w:rPr>
                <w:rFonts w:ascii="宋体" w:hAnsi="宋体" w:eastAsia="宋体" w:cs="Times New Roman"/>
                <w:b w:val="0"/>
                <w:color w:val="000000" w:themeColor="text1"/>
                <w:sz w:val="24"/>
                <w:szCs w:val="24"/>
                <w:lang w:val="en-US" w:eastAsia="zh-CN" w:bidi="ar-SA"/>
                <w14:textFill>
                  <w14:solidFill>
                    <w14:schemeClr w14:val="tx1"/>
                  </w14:solidFill>
                </w14:textFill>
              </w:rPr>
              <w:t>1</w:t>
            </w:r>
            <w:r>
              <w:rPr>
                <w:rFonts w:hint="eastAsia" w:ascii="宋体" w:hAnsi="宋体" w:cs="Times New Roman"/>
                <w:b w:val="0"/>
                <w:color w:val="000000" w:themeColor="text1"/>
                <w:sz w:val="24"/>
                <w:szCs w:val="24"/>
                <w:lang w:val="en-US" w:eastAsia="zh-CN" w:bidi="ar-SA"/>
                <w14:textFill>
                  <w14:solidFill>
                    <w14:schemeClr w14:val="tx1"/>
                  </w14:solidFill>
                </w14:textFill>
              </w:rPr>
              <w:t>座</w:t>
            </w:r>
          </w:p>
        </w:tc>
        <w:tc>
          <w:tcPr>
            <w:tcW w:w="3761" w:type="dxa"/>
            <w:vMerge w:val="continue"/>
            <w:vAlign w:val="center"/>
          </w:tcPr>
          <w:p>
            <w:pPr>
              <w:widowControl/>
              <w:rPr>
                <w:rFonts w:eastAsia="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3" w:type="dxa"/>
            <w:vAlign w:val="center"/>
          </w:tcPr>
          <w:p>
            <w:pPr>
              <w:keepNext/>
              <w:keepLines/>
              <w:autoSpaceDE w:val="0"/>
              <w:autoSpaceDN w:val="0"/>
              <w:spacing w:line="360" w:lineRule="auto"/>
              <w:jc w:val="center"/>
              <w:outlineLvl w:val="1"/>
              <w:rPr>
                <w:rFonts w:ascii="宋体" w:hAnsi="宋体" w:eastAsia="宋体" w:cs="Times New Roman"/>
                <w:b w:val="0"/>
                <w:color w:val="000000" w:themeColor="text1"/>
                <w:sz w:val="24"/>
                <w:szCs w:val="24"/>
                <w:lang w:val="en-US" w:eastAsia="zh-CN" w:bidi="ar-SA"/>
                <w14:textFill>
                  <w14:solidFill>
                    <w14:schemeClr w14:val="tx1"/>
                  </w14:solidFill>
                </w14:textFill>
              </w:rPr>
            </w:pPr>
            <w:r>
              <w:rPr>
                <w:rFonts w:hint="eastAsia" w:ascii="宋体" w:hAnsi="Times New Roman" w:eastAsia="Times New Roman" w:cs="Times New Roman"/>
                <w:b w:val="0"/>
                <w:color w:val="000000" w:themeColor="text1"/>
                <w:sz w:val="21"/>
                <w:szCs w:val="21"/>
                <w:lang w:val="en-US" w:eastAsia="zh-CN" w:bidi="ar-SA"/>
                <w14:textFill>
                  <w14:solidFill>
                    <w14:schemeClr w14:val="tx1"/>
                  </w14:solidFill>
                </w14:textFill>
              </w:rPr>
              <w:t>4</w:t>
            </w:r>
          </w:p>
        </w:tc>
        <w:tc>
          <w:tcPr>
            <w:tcW w:w="2883" w:type="dxa"/>
            <w:vAlign w:val="center"/>
          </w:tcPr>
          <w:p>
            <w:pPr>
              <w:widowControl/>
              <w:jc w:val="center"/>
              <w:rPr>
                <w:rFonts w:ascii="宋体" w:hAnsi="宋体" w:eastAsia="宋体"/>
                <w:color w:val="000000" w:themeColor="text1"/>
                <w:kern w:val="0"/>
                <w:szCs w:val="21"/>
                <w14:textFill>
                  <w14:solidFill>
                    <w14:schemeClr w14:val="tx1"/>
                  </w14:solidFill>
                </w14:textFill>
              </w:rPr>
            </w:pPr>
            <w:r>
              <w:rPr>
                <w:rFonts w:ascii="宋体" w:hAnsi="Times New Roman" w:eastAsia="Times New Roman"/>
                <w:color w:val="000000" w:themeColor="text1"/>
                <w:kern w:val="0"/>
                <w:szCs w:val="21"/>
                <w14:textFill>
                  <w14:solidFill>
                    <w14:schemeClr w14:val="tx1"/>
                  </w14:solidFill>
                </w14:textFill>
              </w:rPr>
              <w:t>合班课桌椅</w:t>
            </w:r>
          </w:p>
        </w:tc>
        <w:tc>
          <w:tcPr>
            <w:tcW w:w="2569" w:type="dxa"/>
            <w:vAlign w:val="center"/>
          </w:tcPr>
          <w:p>
            <w:pPr>
              <w:keepNext/>
              <w:keepLines/>
              <w:autoSpaceDE w:val="0"/>
              <w:autoSpaceDN w:val="0"/>
              <w:spacing w:line="360" w:lineRule="auto"/>
              <w:jc w:val="center"/>
              <w:outlineLvl w:val="1"/>
              <w:rPr>
                <w:rFonts w:ascii="宋体" w:hAnsi="宋体" w:eastAsia="宋体" w:cs="Times New Roman"/>
                <w:b w:val="0"/>
                <w:color w:val="000000" w:themeColor="text1"/>
                <w:sz w:val="24"/>
                <w:szCs w:val="24"/>
                <w:lang w:val="en-US" w:eastAsia="zh-CN" w:bidi="ar-SA"/>
                <w14:textFill>
                  <w14:solidFill>
                    <w14:schemeClr w14:val="tx1"/>
                  </w14:solidFill>
                </w14:textFill>
              </w:rPr>
            </w:pPr>
            <w:r>
              <w:rPr>
                <w:rFonts w:ascii="宋体" w:hAnsi="Times New Roman" w:eastAsia="Times New Roman" w:cs="Times New Roman"/>
                <w:b w:val="0"/>
                <w:color w:val="000000" w:themeColor="text1"/>
                <w:sz w:val="21"/>
                <w:szCs w:val="21"/>
                <w:lang w:val="en-US" w:eastAsia="zh-CN" w:bidi="ar-SA"/>
                <w14:textFill>
                  <w14:solidFill>
                    <w14:schemeClr w14:val="tx1"/>
                  </w14:solidFill>
                </w14:textFill>
              </w:rPr>
              <w:t>38</w:t>
            </w:r>
          </w:p>
        </w:tc>
        <w:tc>
          <w:tcPr>
            <w:tcW w:w="2704" w:type="dxa"/>
            <w:vAlign w:val="center"/>
          </w:tcPr>
          <w:p>
            <w:pPr>
              <w:keepNext/>
              <w:keepLines/>
              <w:autoSpaceDE w:val="0"/>
              <w:autoSpaceDN w:val="0"/>
              <w:jc w:val="center"/>
              <w:outlineLvl w:val="1"/>
              <w:rPr>
                <w:rFonts w:ascii="宋体" w:hAnsi="宋体" w:eastAsia="宋体" w:cs="Times New Roman"/>
                <w:b w:val="0"/>
                <w:color w:val="000000" w:themeColor="text1"/>
                <w:sz w:val="24"/>
                <w:szCs w:val="24"/>
                <w:lang w:val="en-US" w:eastAsia="zh-CN" w:bidi="ar-SA"/>
                <w14:textFill>
                  <w14:solidFill>
                    <w14:schemeClr w14:val="tx1"/>
                  </w14:solidFill>
                </w14:textFill>
              </w:rPr>
            </w:pPr>
            <w:r>
              <w:rPr>
                <w:rFonts w:ascii="宋体" w:hAnsi="宋体" w:eastAsia="宋体" w:cs="Times New Roman"/>
                <w:b w:val="0"/>
                <w:color w:val="000000" w:themeColor="text1"/>
                <w:sz w:val="24"/>
                <w:szCs w:val="24"/>
                <w:lang w:val="en-US" w:eastAsia="zh-CN" w:bidi="ar-SA"/>
                <w14:textFill>
                  <w14:solidFill>
                    <w14:schemeClr w14:val="tx1"/>
                  </w14:solidFill>
                </w14:textFill>
              </w:rPr>
              <w:t>1</w:t>
            </w:r>
            <w:r>
              <w:rPr>
                <w:rFonts w:hint="eastAsia" w:ascii="宋体" w:hAnsi="宋体" w:cs="Times New Roman"/>
                <w:b w:val="0"/>
                <w:color w:val="000000" w:themeColor="text1"/>
                <w:sz w:val="24"/>
                <w:szCs w:val="24"/>
                <w:lang w:val="en-US" w:eastAsia="zh-CN" w:bidi="ar-SA"/>
                <w14:textFill>
                  <w14:solidFill>
                    <w14:schemeClr w14:val="tx1"/>
                  </w14:solidFill>
                </w14:textFill>
              </w:rPr>
              <w:t>套</w:t>
            </w:r>
          </w:p>
        </w:tc>
        <w:tc>
          <w:tcPr>
            <w:tcW w:w="3761" w:type="dxa"/>
            <w:vMerge w:val="continue"/>
            <w:vAlign w:val="center"/>
          </w:tcPr>
          <w:p>
            <w:pPr>
              <w:widowControl/>
              <w:rPr>
                <w:rFonts w:eastAsia="Times New Roman"/>
                <w:kern w:val="0"/>
                <w:szCs w:val="21"/>
              </w:rPr>
            </w:pPr>
          </w:p>
        </w:tc>
      </w:tr>
    </w:tbl>
    <w:p>
      <w:pPr>
        <w:pStyle w:val="16"/>
        <w:widowControl w:val="0"/>
        <w:numPr>
          <w:ilvl w:val="0"/>
          <w:numId w:val="0"/>
        </w:numPr>
        <w:spacing w:after="180" w:line="400" w:lineRule="exact"/>
        <w:ind w:firstLine="240" w:firstLineChars="100"/>
        <w:jc w:val="both"/>
        <w:rPr>
          <w:rFonts w:hint="eastAsia" w:asciiTheme="minorEastAsia" w:hAnsiTheme="minorEastAsia" w:eastAsiaTheme="minorEastAsia"/>
          <w:sz w:val="24"/>
        </w:rPr>
      </w:pPr>
      <w:r>
        <w:rPr>
          <w:rFonts w:hint="eastAsia" w:ascii="宋体" w:hAnsi="宋体" w:eastAsia="宋体" w:cs="宋体"/>
          <w:sz w:val="24"/>
          <w:szCs w:val="24"/>
          <w:lang w:val="en-US" w:eastAsia="zh-CN"/>
        </w:rPr>
        <w:t>4</w:t>
      </w:r>
      <w:r>
        <w:rPr>
          <w:rFonts w:ascii="宋体" w:hAnsi="宋体" w:eastAsia="宋体"/>
          <w:sz w:val="24"/>
          <w:szCs w:val="24"/>
        </w:rPr>
        <w:t>.</w:t>
      </w:r>
      <w:r>
        <w:rPr>
          <w:rFonts w:ascii="宋体" w:hAnsi="宋体" w:eastAsia="宋体" w:cs="宋体"/>
          <w:sz w:val="24"/>
          <w:szCs w:val="24"/>
        </w:rPr>
        <w:t>其他要求</w:t>
      </w:r>
      <w:r>
        <w:rPr>
          <w:rFonts w:ascii="宋体" w:hAnsi="宋体" w:eastAsia="宋体" w:cs="宋体"/>
          <w:sz w:val="24"/>
          <w:szCs w:val="24"/>
        </w:rPr>
        <w:br w:type="textWrapping"/>
      </w:r>
      <w:r>
        <w:rPr>
          <w:rFonts w:ascii="宋体" w:hAnsi="宋体" w:eastAsia="宋体" w:cs="宋体"/>
          <w:sz w:val="24"/>
          <w:szCs w:val="24"/>
        </w:rPr>
        <w:t>投标企业承诺，为落实大气污染防治相关要求，在家具生产过程汇总，全面使用低VOCs含量原辅材料。请供应商提供承诺函。</w:t>
      </w:r>
    </w:p>
    <w:p>
      <w:pPr>
        <w:pStyle w:val="16"/>
        <w:widowControl w:val="0"/>
        <w:numPr>
          <w:ilvl w:val="0"/>
          <w:numId w:val="0"/>
        </w:numPr>
        <w:spacing w:after="180" w:line="400" w:lineRule="exact"/>
        <w:jc w:val="both"/>
        <w:rPr>
          <w:rFonts w:hint="eastAsia" w:asciiTheme="minorEastAsia" w:hAnsiTheme="minorEastAsia" w:eastAsiaTheme="minorEastAsia"/>
          <w:sz w:val="24"/>
        </w:rPr>
      </w:pP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rPr>
          <w:rFonts w:hint="eastAsia" w:ascii="宋体" w:hAnsi="宋体"/>
          <w:sz w:val="24"/>
          <w:lang w:val="en-US" w:eastAsia="zh-CN"/>
        </w:rPr>
      </w:pPr>
    </w:p>
    <w:p>
      <w:pPr>
        <w:keepNext/>
        <w:keepLines/>
        <w:numPr>
          <w:ilvl w:val="0"/>
          <w:numId w:val="0"/>
        </w:numPr>
        <w:tabs>
          <w:tab w:val="left" w:pos="0"/>
          <w:tab w:val="left" w:pos="426"/>
          <w:tab w:val="left" w:pos="576"/>
          <w:tab w:val="left" w:pos="786"/>
        </w:tabs>
        <w:spacing w:line="360" w:lineRule="auto"/>
        <w:ind w:leftChars="0"/>
        <w:outlineLvl w:val="1"/>
        <w:rPr>
          <w:rFonts w:ascii="宋体" w:hAnsi="宋体"/>
          <w:b/>
          <w:bCs/>
          <w:sz w:val="28"/>
          <w:szCs w:val="28"/>
        </w:rPr>
        <w:sectPr>
          <w:pgSz w:w="15840" w:h="12240" w:orient="landscape"/>
          <w:pgMar w:top="1800" w:right="1440" w:bottom="1800" w:left="1440" w:header="708" w:footer="708" w:gutter="0"/>
          <w:cols w:space="708" w:num="1"/>
          <w:docGrid w:linePitch="360" w:charSpace="0"/>
        </w:sectPr>
      </w:pPr>
      <w:bookmarkStart w:id="158" w:name="_Toc74752338"/>
    </w:p>
    <w:p>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r>
        <w:rPr>
          <w:rFonts w:hint="eastAsia" w:ascii="宋体" w:hAnsi="宋体"/>
          <w:b/>
          <w:bCs/>
          <w:sz w:val="28"/>
          <w:szCs w:val="28"/>
        </w:rPr>
        <w:t>商务</w:t>
      </w:r>
      <w:r>
        <w:rPr>
          <w:rFonts w:ascii="宋体" w:hAnsi="宋体"/>
          <w:b/>
          <w:bCs/>
          <w:sz w:val="28"/>
          <w:szCs w:val="28"/>
        </w:rPr>
        <w:t>要求</w:t>
      </w:r>
      <w:bookmarkEnd w:id="158"/>
    </w:p>
    <w:p>
      <w:pPr>
        <w:spacing w:line="360" w:lineRule="auto"/>
        <w:ind w:firstLine="480"/>
        <w:rPr>
          <w:rFonts w:ascii="宋体" w:hAnsi="宋体"/>
          <w:sz w:val="24"/>
        </w:rPr>
      </w:pPr>
      <w:r>
        <w:rPr>
          <w:rFonts w:hint="eastAsia" w:ascii="宋体" w:hAnsi="宋体"/>
          <w:sz w:val="24"/>
        </w:rPr>
        <w:t>1、设备安装：中标人负责将设备送到成都市龙泉驿区教育局指定学校，并负责安装、调试、培训。</w:t>
      </w:r>
    </w:p>
    <w:p>
      <w:pPr>
        <w:spacing w:line="360" w:lineRule="auto"/>
        <w:ind w:firstLine="480"/>
        <w:rPr>
          <w:rFonts w:ascii="宋体" w:hAnsi="宋体"/>
          <w:sz w:val="24"/>
        </w:rPr>
      </w:pPr>
      <w:r>
        <w:rPr>
          <w:rFonts w:hint="eastAsia" w:ascii="宋体" w:hAnsi="宋体"/>
          <w:sz w:val="24"/>
        </w:rPr>
        <w:t>2、交货期限：中标人须在合同签订生效后</w:t>
      </w:r>
      <w:r>
        <w:rPr>
          <w:rFonts w:ascii="宋体" w:hAnsi="宋体"/>
          <w:sz w:val="24"/>
        </w:rPr>
        <w:t>3</w:t>
      </w:r>
      <w:r>
        <w:rPr>
          <w:rFonts w:hint="eastAsia" w:ascii="宋体" w:hAnsi="宋体"/>
          <w:sz w:val="24"/>
        </w:rPr>
        <w:t>0日内完成交付。</w:t>
      </w:r>
    </w:p>
    <w:p>
      <w:pPr>
        <w:spacing w:line="360" w:lineRule="auto"/>
        <w:ind w:firstLine="480"/>
        <w:rPr>
          <w:rFonts w:ascii="宋体" w:hAnsi="宋体"/>
          <w:sz w:val="24"/>
        </w:rPr>
      </w:pPr>
      <w:r>
        <w:rPr>
          <w:rFonts w:hint="eastAsia" w:ascii="宋体" w:hAnsi="宋体"/>
          <w:sz w:val="24"/>
        </w:rPr>
        <w:t>3、付款要求：</w:t>
      </w:r>
    </w:p>
    <w:p>
      <w:pPr>
        <w:spacing w:line="360" w:lineRule="auto"/>
        <w:ind w:firstLine="480"/>
        <w:rPr>
          <w:rFonts w:ascii="宋体" w:hAnsi="宋体"/>
          <w:sz w:val="24"/>
        </w:rPr>
      </w:pPr>
      <w:r>
        <w:rPr>
          <w:rFonts w:hint="eastAsia" w:ascii="宋体" w:hAnsi="宋体"/>
          <w:sz w:val="24"/>
        </w:rPr>
        <w:t>3.1、合同签订生效后后，中标人完成全部货物的运输、安装、调试等工作，经采购人验收合格结束后，采购人在收到中标人出具的正规发票</w:t>
      </w:r>
      <w:r>
        <w:rPr>
          <w:rFonts w:ascii="宋体" w:hAnsi="宋体"/>
          <w:sz w:val="24"/>
        </w:rPr>
        <w:t>15</w:t>
      </w:r>
      <w:r>
        <w:rPr>
          <w:rFonts w:hint="eastAsia" w:ascii="宋体" w:hAnsi="宋体"/>
          <w:sz w:val="24"/>
        </w:rPr>
        <w:t>日内，采购人支付合同金额的100%。</w:t>
      </w:r>
    </w:p>
    <w:p>
      <w:pPr>
        <w:spacing w:line="360" w:lineRule="auto"/>
        <w:ind w:firstLine="480"/>
        <w:rPr>
          <w:rFonts w:ascii="宋体" w:hAnsi="宋体"/>
          <w:sz w:val="24"/>
        </w:rPr>
      </w:pPr>
      <w:r>
        <w:rPr>
          <w:rFonts w:hint="eastAsia" w:ascii="宋体" w:hAnsi="宋体"/>
          <w:sz w:val="24"/>
        </w:rPr>
        <w:t>3.2、逾期支付责任：采购人不得以机构变动、人员更替、政策调整等为由延迟付款，不得将采购文件和合同中未规定的义务作为向供应商付款的条件。采购人逾期付款的，依据相关规定承担相关责任。</w:t>
      </w:r>
      <w:r>
        <w:rPr>
          <w:rFonts w:hint="eastAsia" w:ascii="宋体" w:hAnsi="宋体"/>
          <w:b/>
          <w:bCs/>
          <w:sz w:val="24"/>
        </w:rPr>
        <w:t>（注：此条款为采购人逾期支付责任的说明，投标人在投标文件中对此可不做应答）</w:t>
      </w:r>
    </w:p>
    <w:p>
      <w:pPr>
        <w:spacing w:line="360" w:lineRule="auto"/>
        <w:ind w:firstLine="480"/>
        <w:rPr>
          <w:rFonts w:ascii="宋体" w:hAnsi="宋体"/>
          <w:sz w:val="24"/>
        </w:rPr>
      </w:pPr>
      <w:r>
        <w:rPr>
          <w:rFonts w:hint="eastAsia" w:ascii="宋体" w:hAnsi="宋体"/>
          <w:sz w:val="24"/>
        </w:rPr>
        <w:t>4、履约验收要求：</w:t>
      </w:r>
    </w:p>
    <w:p>
      <w:pPr>
        <w:spacing w:line="360" w:lineRule="auto"/>
        <w:ind w:firstLine="480"/>
        <w:rPr>
          <w:rFonts w:ascii="宋体" w:hAnsi="宋体"/>
          <w:sz w:val="24"/>
        </w:rPr>
      </w:pPr>
      <w:r>
        <w:rPr>
          <w:rFonts w:hint="eastAsia" w:ascii="宋体" w:hAnsi="宋体"/>
          <w:sz w:val="24"/>
        </w:rPr>
        <w:t>4.1中标人与采购人应严格按照相关要求进行验收，采购方有权邀请第三方机构或质检部门共同验收。</w:t>
      </w:r>
    </w:p>
    <w:p>
      <w:pPr>
        <w:spacing w:line="360" w:lineRule="auto"/>
        <w:ind w:firstLine="480"/>
        <w:rPr>
          <w:rFonts w:ascii="宋体" w:hAnsi="宋体"/>
          <w:sz w:val="24"/>
        </w:rPr>
      </w:pPr>
      <w:r>
        <w:rPr>
          <w:rFonts w:hint="eastAsia" w:ascii="宋体" w:hAnsi="宋体"/>
          <w:sz w:val="24"/>
        </w:rPr>
        <w:t>4.2验收方法：验收时双方皆应派员参加，验收合格并安装完毕后需双方签署验收单；</w:t>
      </w:r>
    </w:p>
    <w:p>
      <w:pPr>
        <w:spacing w:line="360" w:lineRule="auto"/>
        <w:ind w:firstLine="480"/>
        <w:rPr>
          <w:rFonts w:ascii="宋体" w:hAnsi="宋体"/>
          <w:sz w:val="24"/>
        </w:rPr>
      </w:pPr>
      <w:r>
        <w:rPr>
          <w:rFonts w:hint="eastAsia" w:ascii="宋体" w:hAnsi="宋体"/>
          <w:sz w:val="24"/>
        </w:rPr>
        <w:t>4.3 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磋商响应文件中按质量要求和技术指标比较优胜的原则确定该项的约定标准进行验收；</w:t>
      </w:r>
    </w:p>
    <w:p>
      <w:pPr>
        <w:spacing w:line="360" w:lineRule="auto"/>
        <w:ind w:firstLine="480"/>
        <w:rPr>
          <w:rFonts w:ascii="宋体" w:hAnsi="宋体"/>
          <w:sz w:val="24"/>
        </w:rPr>
      </w:pPr>
      <w:r>
        <w:rPr>
          <w:rFonts w:hint="eastAsia" w:ascii="宋体" w:hAnsi="宋体"/>
          <w:sz w:val="24"/>
        </w:rPr>
        <w:t>4.4 验收时间要求：成交人按照合同要求完成全部工作后，采购人在收到书面的验收申请材料后30日内组织履约验收工作。</w:t>
      </w:r>
    </w:p>
    <w:p>
      <w:pPr>
        <w:spacing w:line="360" w:lineRule="auto"/>
        <w:ind w:firstLine="480"/>
        <w:rPr>
          <w:rFonts w:ascii="宋体" w:hAnsi="宋体"/>
          <w:sz w:val="24"/>
        </w:rPr>
      </w:pPr>
      <w:r>
        <w:rPr>
          <w:rFonts w:hint="eastAsia" w:ascii="宋体" w:hAnsi="宋体"/>
          <w:sz w:val="24"/>
        </w:rPr>
        <w:t>4.5 其他要求：</w:t>
      </w:r>
    </w:p>
    <w:p>
      <w:pPr>
        <w:spacing w:line="360" w:lineRule="auto"/>
        <w:ind w:firstLine="480"/>
        <w:rPr>
          <w:rFonts w:ascii="宋体" w:hAnsi="宋体"/>
          <w:sz w:val="24"/>
        </w:rPr>
      </w:pPr>
      <w:r>
        <w:rPr>
          <w:rFonts w:hint="eastAsia" w:ascii="宋体" w:hAnsi="宋体"/>
          <w:sz w:val="24"/>
        </w:rPr>
        <w:t>（1）验收时如发现所交付的货物有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pPr>
        <w:spacing w:line="360" w:lineRule="auto"/>
        <w:ind w:firstLine="480"/>
        <w:rPr>
          <w:rFonts w:ascii="宋体" w:hAnsi="宋体"/>
          <w:sz w:val="24"/>
        </w:rPr>
      </w:pPr>
      <w:r>
        <w:rPr>
          <w:rFonts w:hint="eastAsia" w:ascii="宋体" w:hAnsi="宋体"/>
          <w:sz w:val="24"/>
        </w:rPr>
        <w:t>（2）采购人无故不进行验收工作并已使用货物的，视同已完成履约并验收合格。</w:t>
      </w:r>
    </w:p>
    <w:p>
      <w:pPr>
        <w:spacing w:line="360" w:lineRule="auto"/>
        <w:ind w:firstLine="480"/>
        <w:rPr>
          <w:rFonts w:ascii="宋体" w:hAnsi="宋体"/>
          <w:sz w:val="24"/>
        </w:rPr>
      </w:pPr>
      <w:r>
        <w:rPr>
          <w:rFonts w:hint="eastAsia" w:ascii="宋体" w:hAnsi="宋体"/>
          <w:sz w:val="24"/>
        </w:rPr>
        <w:t>（3）如货物经供应商3次维修或更换仍不能达到合同约定的质量标准，采购人有权退货，并视作供应商不能交付货物而须支付违约赔偿金给采购人，采购人还可依法追究供应商的违约责任。</w:t>
      </w:r>
    </w:p>
    <w:p>
      <w:pPr>
        <w:spacing w:line="360" w:lineRule="auto"/>
        <w:ind w:firstLine="480"/>
        <w:rPr>
          <w:rFonts w:ascii="宋体" w:hAnsi="宋体"/>
          <w:sz w:val="24"/>
        </w:rPr>
      </w:pPr>
      <w:r>
        <w:rPr>
          <w:rFonts w:hint="eastAsia" w:ascii="宋体" w:hAnsi="宋体"/>
          <w:sz w:val="24"/>
        </w:rPr>
        <w:t>（4）项目验收结果合格的，供应商凭验收合格证明书至采购单位办理财政支付手续；验收结果不合格且拒不整改的，采购人有权拒绝支付采购资金，还可能上报本项目同级财政部门。</w:t>
      </w:r>
    </w:p>
    <w:p>
      <w:pPr>
        <w:spacing w:line="360" w:lineRule="auto"/>
        <w:ind w:firstLine="480"/>
        <w:rPr>
          <w:rFonts w:ascii="宋体" w:hAnsi="宋体"/>
          <w:sz w:val="24"/>
        </w:rPr>
      </w:pPr>
      <w:r>
        <w:rPr>
          <w:rFonts w:hint="eastAsia" w:ascii="宋体" w:hAnsi="宋体"/>
          <w:sz w:val="24"/>
        </w:rPr>
        <w:t>5、质保期要求</w:t>
      </w:r>
    </w:p>
    <w:p>
      <w:pPr>
        <w:spacing w:line="360" w:lineRule="auto"/>
        <w:ind w:firstLine="480"/>
        <w:rPr>
          <w:rFonts w:ascii="宋体" w:hAnsi="宋体"/>
          <w:sz w:val="24"/>
        </w:rPr>
      </w:pPr>
      <w:r>
        <w:rPr>
          <w:rFonts w:hint="eastAsia" w:ascii="宋体" w:hAnsi="宋体"/>
          <w:sz w:val="24"/>
        </w:rPr>
        <w:t>本项目所涉及产品质保期≥3年，质保期内负责维修，终身维护，质保期从项目通过验收出具发票之日起开始计算。</w:t>
      </w:r>
    </w:p>
    <w:p>
      <w:pPr>
        <w:spacing w:line="360" w:lineRule="auto"/>
        <w:ind w:firstLine="480"/>
        <w:rPr>
          <w:rFonts w:ascii="宋体" w:hAnsi="宋体"/>
          <w:sz w:val="24"/>
        </w:rPr>
      </w:pPr>
      <w:r>
        <w:rPr>
          <w:rFonts w:ascii="宋体" w:hAnsi="宋体"/>
          <w:sz w:val="24"/>
        </w:rPr>
        <w:t>6</w:t>
      </w:r>
      <w:r>
        <w:rPr>
          <w:rFonts w:hint="eastAsia" w:ascii="宋体" w:hAnsi="宋体"/>
          <w:sz w:val="24"/>
        </w:rPr>
        <w:t>、知识产权</w:t>
      </w:r>
    </w:p>
    <w:p>
      <w:pPr>
        <w:spacing w:line="360" w:lineRule="auto"/>
        <w:ind w:firstLine="480"/>
        <w:rPr>
          <w:rFonts w:ascii="宋体" w:hAnsi="宋体"/>
          <w:sz w:val="24"/>
        </w:rPr>
      </w:pPr>
      <w:r>
        <w:rPr>
          <w:rFonts w:hint="eastAsia" w:ascii="宋体" w:hAnsi="宋体"/>
          <w:sz w:val="24"/>
        </w:rPr>
        <w:t>6</w:t>
      </w:r>
      <w:r>
        <w:rPr>
          <w:rFonts w:ascii="宋体" w:hAnsi="宋体"/>
          <w:sz w:val="24"/>
        </w:rPr>
        <w:t xml:space="preserve">.1 </w:t>
      </w:r>
      <w:r>
        <w:rPr>
          <w:rFonts w:hint="eastAsia" w:ascii="宋体" w:hAnsi="宋体"/>
          <w:sz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rPr>
          <w:rFonts w:ascii="宋体" w:hAnsi="宋体"/>
          <w:sz w:val="24"/>
        </w:rPr>
      </w:pPr>
      <w:r>
        <w:rPr>
          <w:rFonts w:hint="eastAsia" w:ascii="宋体" w:hAnsi="宋体"/>
          <w:sz w:val="24"/>
        </w:rPr>
        <w:t>6</w:t>
      </w:r>
      <w:r>
        <w:rPr>
          <w:rFonts w:ascii="宋体" w:hAnsi="宋体"/>
          <w:sz w:val="24"/>
        </w:rPr>
        <w:t xml:space="preserve">.2 </w:t>
      </w:r>
      <w:r>
        <w:rPr>
          <w:rFonts w:hint="eastAsia" w:ascii="宋体" w:hAnsi="宋体"/>
          <w:sz w:val="24"/>
        </w:rPr>
        <w:t>采购人享有本项目实施过程中产生的知识成果及知识产权。</w:t>
      </w:r>
    </w:p>
    <w:p>
      <w:pPr>
        <w:spacing w:line="360" w:lineRule="auto"/>
        <w:ind w:firstLine="480"/>
        <w:rPr>
          <w:rFonts w:hint="eastAsia" w:ascii="宋体" w:hAnsi="宋体"/>
          <w:sz w:val="24"/>
        </w:rPr>
      </w:pPr>
      <w:r>
        <w:rPr>
          <w:rFonts w:hint="eastAsia" w:ascii="宋体" w:hAnsi="宋体"/>
          <w:sz w:val="24"/>
        </w:rPr>
        <w:t>6</w:t>
      </w:r>
      <w:r>
        <w:rPr>
          <w:rFonts w:ascii="宋体" w:hAnsi="宋体"/>
          <w:sz w:val="24"/>
        </w:rPr>
        <w:t xml:space="preserve">.3 </w:t>
      </w:r>
      <w:r>
        <w:rPr>
          <w:rFonts w:hint="eastAsia" w:ascii="宋体" w:hAnsi="宋体"/>
          <w:sz w:val="24"/>
        </w:rPr>
        <w:t>供应商如拟在项目实施过程中采用自有知识成果，需在响应文件中声明，并提供相关知识产权证明文件。使用该知识成果后，供应商需提供开发接口和开发手册等技术文档，并提供无限期技术支持，采购人享有永久使用权（含采购人委托第三方在该项目后续开发的使用权）。</w:t>
      </w:r>
    </w:p>
    <w:p>
      <w:pPr>
        <w:spacing w:line="360" w:lineRule="auto"/>
        <w:ind w:firstLine="480"/>
        <w:rPr>
          <w:rFonts w:hint="eastAsia" w:ascii="宋体" w:hAnsi="宋体"/>
          <w:sz w:val="24"/>
        </w:rPr>
      </w:pPr>
      <w:r>
        <w:rPr>
          <w:rFonts w:hint="eastAsia" w:ascii="宋体" w:hAnsi="宋体"/>
          <w:sz w:val="24"/>
        </w:rPr>
        <w:t>6.4 如采用供应商所不拥有的知识产权，则在报价中必须包括合法获取该知识产权的相关费用。</w:t>
      </w:r>
    </w:p>
    <w:p>
      <w:pPr>
        <w:pStyle w:val="2"/>
        <w:rPr>
          <w:rFonts w:hint="eastAsia" w:ascii="宋体" w:hAnsi="宋体"/>
          <w:sz w:val="24"/>
        </w:rPr>
      </w:pPr>
    </w:p>
    <w:p>
      <w:pPr>
        <w:rPr>
          <w:rFonts w:hint="eastAsia" w:ascii="宋体" w:hAnsi="宋体"/>
          <w:sz w:val="24"/>
        </w:rPr>
      </w:pPr>
    </w:p>
    <w:p>
      <w:pPr>
        <w:pStyle w:val="2"/>
        <w:rPr>
          <w:rFonts w:hint="eastAsia"/>
          <w:lang w:val="zh-CN"/>
        </w:rPr>
      </w:pPr>
    </w:p>
    <w:bookmarkEnd w:id="156"/>
    <w:bookmarkEnd w:id="157"/>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9" w:name="_Toc74752339"/>
      <w:r>
        <w:rPr>
          <w:rFonts w:hint="eastAsia" w:ascii="宋体" w:hAnsi="宋体"/>
          <w:b/>
          <w:bCs/>
          <w:spacing w:val="-20"/>
          <w:kern w:val="44"/>
          <w:sz w:val="32"/>
          <w:szCs w:val="32"/>
        </w:rPr>
        <w:t>资格性审查</w:t>
      </w:r>
      <w:bookmarkEnd w:id="159"/>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资格性审查由采购人组建的资格审查小组依据法律法规和招标文件的规定，对投标保证金(</w:t>
      </w:r>
      <w:r>
        <w:rPr>
          <w:rFonts w:hint="eastAsia" w:ascii="宋体" w:hAnsi="宋体"/>
          <w:sz w:val="28"/>
          <w:szCs w:val="28"/>
          <w:lang w:eastAsia="zh-CN"/>
        </w:rPr>
        <w:t>区公资交易中心</w:t>
      </w:r>
      <w:r>
        <w:rPr>
          <w:rFonts w:hint="eastAsia" w:ascii="宋体" w:hAnsi="宋体"/>
          <w:sz w:val="28"/>
          <w:szCs w:val="28"/>
        </w:rPr>
        <w:t>出具的</w:t>
      </w:r>
      <w:r>
        <w:rPr>
          <w:rFonts w:hint="eastAsia" w:ascii="宋体" w:hAnsi="宋体"/>
          <w:b/>
          <w:sz w:val="28"/>
          <w:szCs w:val="28"/>
        </w:rPr>
        <w:t>《</w:t>
      </w:r>
      <w:r>
        <w:rPr>
          <w:rFonts w:hint="eastAsia" w:ascii="宋体" w:hAnsi="宋体" w:cs="宋体"/>
          <w:b/>
          <w:sz w:val="28"/>
          <w:szCs w:val="28"/>
        </w:rPr>
        <w:t>成都市政府采购项目供应商参与及保证金交纳情况表》</w:t>
      </w:r>
      <w:r>
        <w:rPr>
          <w:rFonts w:hint="eastAsia" w:ascii="宋体" w:hAnsi="宋体"/>
          <w:b/>
          <w:sz w:val="28"/>
          <w:szCs w:val="28"/>
        </w:rPr>
        <w:t>或投标人递交的投标保函</w:t>
      </w:r>
      <w:r>
        <w:rPr>
          <w:rFonts w:hint="eastAsia" w:ascii="宋体" w:hAnsi="宋体"/>
          <w:sz w:val="28"/>
          <w:szCs w:val="28"/>
        </w:rPr>
        <w:t>)、投标文件中的资格证明等进行审查，以确定投标人是否具备投标资格，并出具资格性审查报告。</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w:t>
      </w:r>
      <w:r>
        <w:rPr>
          <w:rFonts w:hint="eastAsia" w:ascii="宋体" w:hAnsi="宋体"/>
          <w:sz w:val="28"/>
          <w:szCs w:val="28"/>
          <w:lang w:eastAsia="zh-CN"/>
        </w:rPr>
        <w:t>区公资交易中心</w:t>
      </w:r>
      <w:r>
        <w:rPr>
          <w:rFonts w:hint="eastAsia" w:ascii="宋体" w:hAnsi="宋体"/>
          <w:sz w:val="28"/>
          <w:szCs w:val="28"/>
        </w:rPr>
        <w:t>将以电子邮件形式通知各投标人。资格性审查标准见下表：</w:t>
      </w:r>
    </w:p>
    <w:tbl>
      <w:tblPr>
        <w:tblStyle w:val="4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非联合体投标。</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符合资格预审文件“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19</w:t>
            </w:r>
            <w:r>
              <w:rPr>
                <w:sz w:val="20"/>
              </w:rPr>
              <w:t>或20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eastAsia="宋体"/>
                <w:sz w:val="20"/>
                <w:lang w:val="en-US" w:eastAsia="zh-CN"/>
              </w:rPr>
            </w:pPr>
            <w:r>
              <w:rPr>
                <w:rFonts w:hint="eastAsia"/>
                <w:sz w:val="20"/>
                <w:lang w:val="en-US" w:eastAsia="zh-CN"/>
              </w:rPr>
              <w:t>8</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本项目专门面向中小企业（含残疾人福利性单位、监狱企业）采购</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b w:val="0"/>
                <w:sz w:val="20"/>
                <w:szCs w:val="24"/>
                <w:u w:val="none"/>
              </w:rPr>
              <w:t>中小企业应当提供中小企业声明函原件；残疾人福利性单位提供残疾人福利性单位声明函原件；监狱企业提供由省级以上监狱管理局、戒毒管理局（含新疆生产建设兵团）出具的属于监狱企业的证明文件复印件。</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三、投标人的投标文件资格性审查时被判定为无效的，</w:t>
      </w:r>
      <w:r>
        <w:rPr>
          <w:rFonts w:hint="eastAsia" w:ascii="宋体" w:hAnsi="宋体"/>
          <w:sz w:val="28"/>
          <w:szCs w:val="28"/>
          <w:lang w:eastAsia="zh-CN"/>
        </w:rPr>
        <w:t>区公资交易中心</w:t>
      </w:r>
      <w:r>
        <w:rPr>
          <w:rFonts w:hint="eastAsia" w:ascii="宋体" w:hAnsi="宋体"/>
          <w:sz w:val="28"/>
          <w:szCs w:val="28"/>
        </w:rPr>
        <w:t>将通知投标人（以现场公示、电话、短信、</w:t>
      </w:r>
      <w:r>
        <w:rPr>
          <w:rFonts w:hint="eastAsia" w:ascii="宋体" w:hAnsi="宋体"/>
          <w:sz w:val="28"/>
          <w:szCs w:val="28"/>
          <w:lang w:eastAsia="zh-CN"/>
        </w:rPr>
        <w:t>区公资交易中心</w:t>
      </w:r>
      <w:r>
        <w:rPr>
          <w:rFonts w:hint="eastAsia" w:ascii="宋体" w:hAnsi="宋体"/>
          <w:sz w:val="28"/>
          <w:szCs w:val="28"/>
        </w:rPr>
        <w:t>网站等任一方式）。投标人如对资格审查结论有异议的，应及时向</w:t>
      </w:r>
      <w:r>
        <w:rPr>
          <w:rFonts w:hint="eastAsia" w:ascii="宋体" w:hAnsi="宋体"/>
          <w:sz w:val="28"/>
          <w:szCs w:val="28"/>
          <w:lang w:eastAsia="zh-CN"/>
        </w:rPr>
        <w:t>区公资交易中心</w:t>
      </w:r>
      <w:r>
        <w:rPr>
          <w:rFonts w:hint="eastAsia" w:ascii="宋体" w:hAnsi="宋体"/>
          <w:sz w:val="28"/>
          <w:szCs w:val="28"/>
        </w:rPr>
        <w:t>反馈意见。</w:t>
      </w:r>
      <w:r>
        <w:rPr>
          <w:rFonts w:hint="eastAsia" w:ascii="宋体" w:hAnsi="宋体"/>
          <w:sz w:val="28"/>
          <w:szCs w:val="28"/>
          <w:lang w:eastAsia="zh-CN"/>
        </w:rPr>
        <w:t>区公资交易中心</w:t>
      </w:r>
      <w:r>
        <w:rPr>
          <w:rFonts w:hint="eastAsia" w:ascii="宋体" w:hAnsi="宋体"/>
          <w:sz w:val="28"/>
          <w:szCs w:val="28"/>
        </w:rPr>
        <w:t>将及时告知资格审查小组。（说明：无论投标人是否收到通知或提供反馈意见，均不影响资格审查和评标工作，且</w:t>
      </w:r>
      <w:r>
        <w:rPr>
          <w:rFonts w:hint="eastAsia" w:ascii="宋体" w:hAnsi="宋体"/>
          <w:sz w:val="28"/>
          <w:szCs w:val="28"/>
          <w:lang w:eastAsia="zh-CN"/>
        </w:rPr>
        <w:t>区公资交易中心</w:t>
      </w:r>
      <w:r>
        <w:rPr>
          <w:rFonts w:hint="eastAsia" w:ascii="宋体" w:hAnsi="宋体"/>
          <w:sz w:val="28"/>
          <w:szCs w:val="28"/>
        </w:rPr>
        <w:t>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60" w:name="_Toc74752340"/>
      <w:r>
        <w:rPr>
          <w:rFonts w:hint="eastAsia" w:ascii="宋体" w:hAnsi="宋体"/>
          <w:b/>
          <w:bCs/>
          <w:spacing w:val="-20"/>
          <w:kern w:val="44"/>
          <w:sz w:val="32"/>
          <w:szCs w:val="32"/>
        </w:rPr>
        <w:t>评标办法</w:t>
      </w:r>
      <w:bookmarkEnd w:id="160"/>
    </w:p>
    <w:p>
      <w:pPr>
        <w:keepNext/>
        <w:keepLines/>
        <w:numPr>
          <w:ilvl w:val="1"/>
          <w:numId w:val="5"/>
        </w:numPr>
        <w:spacing w:line="360" w:lineRule="auto"/>
        <w:jc w:val="left"/>
        <w:outlineLvl w:val="1"/>
        <w:rPr>
          <w:rFonts w:ascii="宋体" w:hAnsi="宋体"/>
          <w:b/>
          <w:bCs/>
          <w:sz w:val="28"/>
          <w:szCs w:val="28"/>
        </w:rPr>
      </w:pPr>
      <w:bookmarkStart w:id="161" w:name="_Toc74752341"/>
      <w:r>
        <w:rPr>
          <w:rFonts w:hint="eastAsia" w:ascii="宋体" w:hAnsi="宋体"/>
          <w:b/>
          <w:bCs/>
          <w:sz w:val="28"/>
          <w:szCs w:val="28"/>
        </w:rPr>
        <w:t>总则</w:t>
      </w:r>
      <w:bookmarkEnd w:id="161"/>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根据《中华人民共和国政府采购法》、《中华人民共和国政府采购法实施条例》和《政府采购货物和服务招标投标管理办法》等法律规章，结合采购项目特点制定本评标办法。</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评标工作由</w:t>
      </w:r>
      <w:r>
        <w:rPr>
          <w:rFonts w:hint="eastAsia" w:cs="Arial"/>
          <w:sz w:val="28"/>
          <w:szCs w:val="28"/>
          <w:lang w:eastAsia="zh-CN"/>
        </w:rPr>
        <w:t>区公资交易中心</w:t>
      </w:r>
      <w:r>
        <w:rPr>
          <w:rFonts w:hint="eastAsia" w:ascii="宋体" w:hAnsi="宋体"/>
          <w:sz w:val="28"/>
          <w:szCs w:val="28"/>
        </w:rPr>
        <w:t>负责组织，具体评标事务由采购人或</w:t>
      </w:r>
      <w:r>
        <w:rPr>
          <w:rFonts w:hint="eastAsia" w:cs="Arial"/>
          <w:sz w:val="28"/>
          <w:szCs w:val="28"/>
          <w:lang w:eastAsia="zh-CN"/>
        </w:rPr>
        <w:t>区公资交易中心</w:t>
      </w:r>
      <w:r>
        <w:rPr>
          <w:rFonts w:hint="eastAsia" w:ascii="宋体" w:hAnsi="宋体"/>
          <w:sz w:val="28"/>
          <w:szCs w:val="28"/>
        </w:rPr>
        <w:t>依法组建的评标委员会负责。评标委员会由采购人代表和评审专家组成。</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评标工作应遵循公平、公正、科学及择优的原则，并以相同的评标程序和标准对待所有的投标人。</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评标委员会按照招标文件规定的评标程序、评标方法和标准进行独立评审，并独立履行下列职责：</w:t>
      </w:r>
    </w:p>
    <w:p>
      <w:pPr>
        <w:numPr>
          <w:ilvl w:val="1"/>
          <w:numId w:val="42"/>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42"/>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42"/>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42"/>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42"/>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42"/>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42"/>
        </w:numPr>
        <w:spacing w:line="360" w:lineRule="auto"/>
        <w:ind w:left="0" w:firstLine="567"/>
        <w:rPr>
          <w:rFonts w:ascii="宋体" w:hAnsi="宋体"/>
          <w:sz w:val="28"/>
          <w:szCs w:val="28"/>
        </w:rPr>
      </w:pPr>
      <w:r>
        <w:rPr>
          <w:rFonts w:hint="eastAsia" w:ascii="宋体" w:hAnsi="宋体"/>
          <w:sz w:val="28"/>
          <w:szCs w:val="28"/>
        </w:rPr>
        <w:t>向采购人、</w:t>
      </w:r>
      <w:r>
        <w:rPr>
          <w:rFonts w:hint="eastAsia" w:ascii="宋体" w:hAnsi="宋体"/>
          <w:sz w:val="28"/>
          <w:szCs w:val="28"/>
          <w:lang w:eastAsia="zh-CN"/>
        </w:rPr>
        <w:t>区公资交易中心</w:t>
      </w:r>
      <w:r>
        <w:rPr>
          <w:rFonts w:hint="eastAsia" w:ascii="宋体" w:hAnsi="宋体"/>
          <w:sz w:val="28"/>
          <w:szCs w:val="28"/>
        </w:rPr>
        <w:t>构或者财政、监察等有关部门报告或举报非法干预评标工作的行为；</w:t>
      </w:r>
    </w:p>
    <w:p>
      <w:pPr>
        <w:numPr>
          <w:ilvl w:val="1"/>
          <w:numId w:val="42"/>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lang w:eastAsia="zh-CN"/>
        </w:rPr>
        <w:t>区公资交易中心</w:t>
      </w:r>
      <w:r>
        <w:rPr>
          <w:rFonts w:hint="eastAsia" w:ascii="宋体" w:hAnsi="宋体"/>
          <w:sz w:val="28"/>
          <w:szCs w:val="28"/>
        </w:rPr>
        <w:t>或者有关部门报告评标中发现的违法行为。</w:t>
      </w:r>
    </w:p>
    <w:p>
      <w:pPr>
        <w:numPr>
          <w:ilvl w:val="1"/>
          <w:numId w:val="42"/>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评标过程独立、保密。投标人非法干预评标过程的行为将导致其投标文件作为无效处理。</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评标委员会决定投标文件的响应性依据投标文件本身的内容，而不寻求外部的证据，招标文件有明确约定的除外。</w:t>
      </w:r>
    </w:p>
    <w:p>
      <w:pPr>
        <w:numPr>
          <w:ilvl w:val="0"/>
          <w:numId w:val="41"/>
        </w:numPr>
        <w:tabs>
          <w:tab w:val="left" w:pos="1134"/>
        </w:tabs>
        <w:spacing w:line="360" w:lineRule="auto"/>
        <w:ind w:left="0" w:firstLine="565" w:firstLineChars="202"/>
        <w:rPr>
          <w:rFonts w:ascii="宋体" w:hAnsi="宋体"/>
          <w:sz w:val="28"/>
          <w:szCs w:val="28"/>
        </w:rPr>
      </w:pPr>
      <w:r>
        <w:rPr>
          <w:rFonts w:hint="eastAsia" w:ascii="宋体" w:hAnsi="宋体"/>
          <w:sz w:val="28"/>
          <w:szCs w:val="28"/>
        </w:rPr>
        <w:t>评标委员会发现招标文件表述不明确或需要说明的事项，可提请采购人和</w:t>
      </w:r>
      <w:r>
        <w:rPr>
          <w:rFonts w:hint="eastAsia" w:ascii="宋体" w:hAnsi="宋体"/>
          <w:sz w:val="28"/>
          <w:szCs w:val="28"/>
          <w:lang w:eastAsia="zh-CN"/>
        </w:rPr>
        <w:t>区公资交易中心</w:t>
      </w:r>
      <w:r>
        <w:rPr>
          <w:rFonts w:hint="eastAsia" w:ascii="宋体" w:hAnsi="宋体"/>
          <w:sz w:val="28"/>
          <w:szCs w:val="28"/>
        </w:rPr>
        <w:t>书面解释说明。</w:t>
      </w:r>
    </w:p>
    <w:p>
      <w:pPr>
        <w:keepNext/>
        <w:keepLines/>
        <w:numPr>
          <w:ilvl w:val="1"/>
          <w:numId w:val="5"/>
        </w:numPr>
        <w:spacing w:line="360" w:lineRule="auto"/>
        <w:jc w:val="left"/>
        <w:outlineLvl w:val="1"/>
        <w:rPr>
          <w:rFonts w:ascii="宋体" w:hAnsi="宋体"/>
          <w:b/>
          <w:bCs/>
          <w:sz w:val="28"/>
          <w:szCs w:val="28"/>
        </w:rPr>
      </w:pPr>
      <w:bookmarkStart w:id="162" w:name="_Toc74752342"/>
      <w:r>
        <w:rPr>
          <w:rFonts w:hint="eastAsia" w:ascii="宋体" w:hAnsi="宋体"/>
          <w:b/>
          <w:bCs/>
          <w:sz w:val="28"/>
          <w:szCs w:val="28"/>
        </w:rPr>
        <w:t>评标方法</w:t>
      </w:r>
      <w:bookmarkEnd w:id="162"/>
    </w:p>
    <w:p>
      <w:pPr>
        <w:spacing w:line="360" w:lineRule="auto"/>
        <w:ind w:firstLine="565"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163" w:name="_Toc74752343"/>
      <w:r>
        <w:rPr>
          <w:rFonts w:hint="eastAsia" w:ascii="宋体" w:hAnsi="宋体"/>
          <w:b/>
          <w:bCs/>
          <w:sz w:val="28"/>
          <w:szCs w:val="28"/>
        </w:rPr>
        <w:t>评标程序</w:t>
      </w:r>
      <w:bookmarkEnd w:id="163"/>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符合性审查标准见下表（按以下顺序审查）：</w:t>
      </w:r>
    </w:p>
    <w:tbl>
      <w:tblPr>
        <w:tblStyle w:val="46"/>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组成</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商务</w:t>
            </w:r>
            <w:r>
              <w:rPr>
                <w:rFonts w:ascii="宋体" w:hAnsi="宋体"/>
                <w:sz w:val="24"/>
                <w:szCs w:val="28"/>
              </w:rPr>
              <w:t>技术响应文件和报价要求响应文件</w:t>
            </w:r>
            <w:r>
              <w:rPr>
                <w:rFonts w:hint="eastAsia" w:ascii="宋体" w:hAnsi="宋体"/>
                <w:sz w:val="24"/>
                <w:szCs w:val="28"/>
              </w:rPr>
              <w:t>的计量单位、语言、报价货币、投标有效期</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w:t>
            </w:r>
            <w:r>
              <w:rPr>
                <w:rFonts w:hint="eastAsia" w:ascii="宋体" w:hAnsi="宋体" w:eastAsia="宋体" w:cs="宋体"/>
                <w:sz w:val="24"/>
                <w:szCs w:val="28"/>
              </w:rPr>
              <w:t>▲</w:t>
            </w:r>
            <w:r>
              <w:rPr>
                <w:rFonts w:hint="eastAsia" w:ascii="宋体" w:hAnsi="宋体"/>
                <w:sz w:val="24"/>
                <w:szCs w:val="28"/>
              </w:rPr>
              <w:t>号的技术、服务、商务和其他要求</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w:t>
            </w:r>
            <w:r>
              <w:rPr>
                <w:rFonts w:hint="eastAsia" w:ascii="宋体" w:hAnsi="宋体" w:eastAsia="宋体" w:cs="宋体"/>
                <w:sz w:val="24"/>
                <w:szCs w:val="28"/>
              </w:rPr>
              <w:t>▲</w:t>
            </w:r>
            <w:r>
              <w:rPr>
                <w:rFonts w:hint="eastAsia" w:ascii="宋体" w:hAnsi="宋体"/>
                <w:sz w:val="24"/>
                <w:szCs w:val="28"/>
              </w:rPr>
              <w:t>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不属于禁止参加投标或投标无效的供应商</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（1）根据招标文件的要求不属于禁止参加投标或投标无效的供应商；</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除资格性审查要求的证明材料外，招标文件要求提供的其他证明材料</w:t>
            </w:r>
          </w:p>
        </w:tc>
        <w:tc>
          <w:tcPr>
            <w:tcW w:w="6275" w:type="dxa"/>
            <w:tcBorders>
              <w:top w:val="single" w:color="auto" w:sz="2" w:space="0"/>
              <w:left w:val="single" w:color="auto" w:sz="2" w:space="0"/>
              <w:bottom w:val="single" w:color="auto" w:sz="2" w:space="0"/>
              <w:right w:val="single" w:color="auto" w:sz="2" w:space="0"/>
            </w:tcBorders>
            <w:vAlign w:val="center"/>
          </w:tcPr>
          <w:p>
            <w:pPr>
              <w:pStyle w:val="152"/>
              <w:spacing w:line="360" w:lineRule="auto"/>
              <w:rPr>
                <w:sz w:val="24"/>
              </w:rPr>
            </w:pPr>
            <w:r>
              <w:rPr>
                <w:rFonts w:hAnsi="宋体" w:cs="Times New Roman"/>
                <w:color w:val="auto"/>
                <w:kern w:val="2"/>
                <w:szCs w:val="28"/>
              </w:rPr>
              <w:t>1.承诺函【注：①按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8</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报价</w:t>
            </w:r>
            <w:r>
              <w:rPr>
                <w:rFonts w:ascii="宋体" w:hAnsi="宋体"/>
                <w:sz w:val="24"/>
                <w:szCs w:val="28"/>
              </w:rPr>
              <w:t>要求响应文件的</w:t>
            </w:r>
            <w:r>
              <w:rPr>
                <w:rFonts w:hint="eastAsia" w:ascii="宋体" w:hAnsi="宋体"/>
                <w:sz w:val="24"/>
                <w:szCs w:val="28"/>
              </w:rPr>
              <w:t>投标报价</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4"/>
              </w:rPr>
            </w:pPr>
            <w:r>
              <w:rPr>
                <w:rFonts w:hint="eastAsia" w:ascii="宋体" w:hAnsi="宋体"/>
                <w:sz w:val="24"/>
                <w:szCs w:val="28"/>
              </w:rPr>
              <w:t>开标一览表、报价</w:t>
            </w:r>
            <w:r>
              <w:rPr>
                <w:rFonts w:ascii="宋体" w:hAnsi="宋体"/>
                <w:sz w:val="24"/>
                <w:szCs w:val="28"/>
              </w:rPr>
              <w:t>明细表</w:t>
            </w:r>
            <w:r>
              <w:rPr>
                <w:rFonts w:hint="eastAsia" w:ascii="宋体" w:hAnsi="宋体"/>
                <w:sz w:val="24"/>
                <w:szCs w:val="28"/>
              </w:rPr>
              <w:t>、</w:t>
            </w:r>
            <w:r>
              <w:rPr>
                <w:rFonts w:ascii="宋体" w:hAnsi="宋体"/>
                <w:sz w:val="24"/>
                <w:szCs w:val="28"/>
              </w:rPr>
              <w:t>投标文件</w:t>
            </w:r>
            <w:r>
              <w:rPr>
                <w:rFonts w:hint="eastAsia" w:ascii="宋体" w:hAnsi="宋体"/>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二、投标人的投标文件符合性审查时被判定为无效投标文件的，</w:t>
      </w:r>
      <w:r>
        <w:rPr>
          <w:rFonts w:hint="eastAsia" w:ascii="宋体" w:hAnsi="宋体"/>
          <w:sz w:val="28"/>
          <w:szCs w:val="28"/>
          <w:lang w:eastAsia="zh-CN"/>
        </w:rPr>
        <w:t>区公资交易中心</w:t>
      </w:r>
      <w:r>
        <w:rPr>
          <w:rFonts w:hint="eastAsia" w:ascii="宋体" w:hAnsi="宋体"/>
          <w:sz w:val="28"/>
          <w:szCs w:val="28"/>
        </w:rPr>
        <w:t>将通知投标人（以现场公示、电话、短信、</w:t>
      </w:r>
      <w:r>
        <w:rPr>
          <w:rFonts w:hint="eastAsia" w:ascii="宋体" w:hAnsi="宋体"/>
          <w:sz w:val="28"/>
          <w:szCs w:val="28"/>
          <w:lang w:eastAsia="zh-CN"/>
        </w:rPr>
        <w:t>区公资交易中心</w:t>
      </w:r>
      <w:r>
        <w:rPr>
          <w:rFonts w:hint="eastAsia" w:ascii="宋体" w:hAnsi="宋体"/>
          <w:sz w:val="28"/>
          <w:szCs w:val="28"/>
        </w:rPr>
        <w:t>网站等任一方式）。投标人如对评审结论有异议的，应及时向</w:t>
      </w:r>
      <w:r>
        <w:rPr>
          <w:rFonts w:hint="eastAsia" w:ascii="宋体" w:hAnsi="宋体"/>
          <w:sz w:val="28"/>
          <w:szCs w:val="28"/>
          <w:lang w:eastAsia="zh-CN"/>
        </w:rPr>
        <w:t>区公资交易中心</w:t>
      </w:r>
      <w:r>
        <w:rPr>
          <w:rFonts w:hint="eastAsia" w:ascii="宋体" w:hAnsi="宋体"/>
          <w:sz w:val="28"/>
          <w:szCs w:val="28"/>
        </w:rPr>
        <w:t>反馈意见。</w:t>
      </w:r>
      <w:r>
        <w:rPr>
          <w:rFonts w:hint="eastAsia" w:ascii="宋体" w:hAnsi="宋体"/>
          <w:sz w:val="28"/>
          <w:szCs w:val="28"/>
          <w:lang w:eastAsia="zh-CN"/>
        </w:rPr>
        <w:t>区公资交易中心</w:t>
      </w:r>
      <w:r>
        <w:rPr>
          <w:rFonts w:hint="eastAsia" w:ascii="宋体" w:hAnsi="宋体"/>
          <w:sz w:val="28"/>
          <w:szCs w:val="28"/>
        </w:rPr>
        <w:t>在评审结束前将收到的反馈意见及时告知评标委员会。（说明：无论投标人是否收到通知或提供反馈意见，均不影响评标委员会的评标工作，且</w:t>
      </w:r>
      <w:r>
        <w:rPr>
          <w:rFonts w:hint="eastAsia" w:ascii="宋体" w:hAnsi="宋体"/>
          <w:sz w:val="28"/>
          <w:szCs w:val="28"/>
          <w:lang w:eastAsia="zh-CN"/>
        </w:rPr>
        <w:t>区公资交易中心</w:t>
      </w:r>
      <w:r>
        <w:rPr>
          <w:rFonts w:hint="eastAsia" w:ascii="宋体" w:hAnsi="宋体"/>
          <w:sz w:val="28"/>
          <w:szCs w:val="28"/>
        </w:rPr>
        <w:t>对此将不承担任何的责任。投标人对评审结论有异议的，其反馈意见仅限于评标委员会对评审结论的正确性进行复核，避免出现评审错误。）</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43"/>
        </w:numPr>
        <w:tabs>
          <w:tab w:val="left" w:pos="1134"/>
        </w:tabs>
        <w:spacing w:line="360" w:lineRule="auto"/>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w:t>
      </w:r>
      <w:r>
        <w:rPr>
          <w:rFonts w:hint="eastAsia" w:ascii="宋体" w:hAnsi="宋体"/>
          <w:sz w:val="28"/>
          <w:szCs w:val="28"/>
          <w:lang w:eastAsia="zh-CN"/>
        </w:rPr>
        <w:t>区公资交易中心</w:t>
      </w:r>
      <w:r>
        <w:rPr>
          <w:rFonts w:hint="eastAsia" w:ascii="宋体" w:hAnsi="宋体"/>
          <w:sz w:val="28"/>
          <w:szCs w:val="28"/>
        </w:rPr>
        <w:t>书面解释。</w:t>
      </w:r>
      <w:r>
        <w:rPr>
          <w:rFonts w:hint="eastAsia" w:ascii="宋体" w:hAnsi="宋体"/>
          <w:sz w:val="28"/>
          <w:szCs w:val="28"/>
          <w:lang w:eastAsia="zh-CN"/>
        </w:rPr>
        <w:t>区公资交易中心</w:t>
      </w:r>
      <w:r>
        <w:rPr>
          <w:rFonts w:hint="eastAsia" w:ascii="宋体" w:hAnsi="宋体"/>
          <w:sz w:val="28"/>
          <w:szCs w:val="28"/>
        </w:rPr>
        <w:t>的解释不得改变招标文件的原义或者影响公平、公正，解释事项如果涉及投标人权益的以有利于投标人的原则进行解释。</w:t>
      </w:r>
    </w:p>
    <w:p>
      <w:pPr>
        <w:numPr>
          <w:ilvl w:val="0"/>
          <w:numId w:val="43"/>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3"/>
        </w:numPr>
        <w:tabs>
          <w:tab w:val="left" w:pos="1134"/>
        </w:tabs>
        <w:spacing w:line="360" w:lineRule="auto"/>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44"/>
        </w:numPr>
        <w:tabs>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44"/>
        </w:numPr>
        <w:tabs>
          <w:tab w:val="left" w:pos="1260"/>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44"/>
        </w:numPr>
        <w:tabs>
          <w:tab w:val="left" w:pos="993"/>
          <w:tab w:val="left" w:pos="1260"/>
          <w:tab w:val="clear" w:pos="846"/>
        </w:tabs>
        <w:spacing w:line="360" w:lineRule="auto"/>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43"/>
        </w:numPr>
        <w:tabs>
          <w:tab w:val="left" w:pos="1134"/>
        </w:tabs>
        <w:spacing w:line="360" w:lineRule="auto"/>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（一）开标现场宣读的投标报价与投标文件中的投标报价不一致的，以投标人</w:t>
      </w:r>
      <w:r>
        <w:rPr>
          <w:rFonts w:ascii="宋体" w:hAnsi="宋体"/>
          <w:sz w:val="28"/>
          <w:szCs w:val="28"/>
        </w:rPr>
        <w:t>在</w:t>
      </w:r>
      <w:r>
        <w:rPr>
          <w:rFonts w:hint="eastAsia" w:ascii="宋体" w:hAnsi="宋体"/>
          <w:sz w:val="28"/>
          <w:szCs w:val="28"/>
        </w:rPr>
        <w:t>政府采购</w:t>
      </w:r>
      <w:r>
        <w:rPr>
          <w:rFonts w:ascii="宋体" w:hAnsi="宋体"/>
          <w:sz w:val="28"/>
          <w:szCs w:val="28"/>
        </w:rPr>
        <w:t>云平台</w:t>
      </w:r>
      <w:r>
        <w:rPr>
          <w:rFonts w:hint="eastAsia" w:ascii="宋体" w:hAnsi="宋体"/>
          <w:sz w:val="28"/>
          <w:szCs w:val="28"/>
        </w:rPr>
        <w:t>开标</w:t>
      </w:r>
      <w:r>
        <w:rPr>
          <w:rFonts w:ascii="宋体" w:hAnsi="宋体"/>
          <w:sz w:val="28"/>
          <w:szCs w:val="28"/>
        </w:rPr>
        <w:t>一览表中填写的报价为准</w:t>
      </w:r>
      <w:r>
        <w:rPr>
          <w:rFonts w:hint="eastAsia" w:ascii="宋体" w:hAnsi="宋体"/>
          <w:sz w:val="28"/>
          <w:szCs w:val="28"/>
        </w:rPr>
        <w:t>；</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（二）大写金额和小写金额不一致的，以大写金额为准，但大写金额出现文字错误，导致金额无法判断的除外；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（三）单价金额小数点或者百分比有明显错位的，以总价为准，并修改单价；</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（四）总价金额与按单价汇总金额不一致的，以单价金额计算结果为准。</w:t>
      </w:r>
    </w:p>
    <w:p>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lang w:eastAsia="zh-CN"/>
        </w:rPr>
        <w:t>区公资交易中心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45"/>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45"/>
        </w:numPr>
        <w:tabs>
          <w:tab w:val="left" w:pos="851"/>
          <w:tab w:val="left" w:pos="1276"/>
        </w:tabs>
        <w:spacing w:line="360" w:lineRule="auto"/>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45"/>
        </w:numPr>
        <w:tabs>
          <w:tab w:val="left" w:pos="851"/>
          <w:tab w:val="left" w:pos="1276"/>
          <w:tab w:val="left" w:pos="1560"/>
        </w:tabs>
        <w:spacing w:line="360" w:lineRule="auto"/>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45"/>
        </w:numPr>
        <w:tabs>
          <w:tab w:val="left" w:pos="851"/>
          <w:tab w:val="left" w:pos="1276"/>
        </w:tabs>
        <w:spacing w:line="360" w:lineRule="auto"/>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360" w:lineRule="auto"/>
        <w:ind w:firstLine="565"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tabs>
          <w:tab w:val="left" w:pos="851"/>
        </w:tabs>
        <w:spacing w:line="360" w:lineRule="auto"/>
        <w:ind w:firstLine="565" w:firstLineChars="202"/>
        <w:rPr>
          <w:rFonts w:ascii="宋体" w:hAnsi="宋体"/>
          <w:sz w:val="28"/>
          <w:szCs w:val="28"/>
        </w:rPr>
      </w:pPr>
      <w:r>
        <w:rPr>
          <w:rFonts w:hint="eastAsia" w:ascii="宋体" w:hAnsi="宋体"/>
          <w:sz w:val="28"/>
          <w:szCs w:val="28"/>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360" w:lineRule="auto"/>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投标人名单和评标委员会成员名单；</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评标方法和标准；</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46"/>
        </w:numPr>
        <w:tabs>
          <w:tab w:val="left" w:pos="1155"/>
        </w:tabs>
        <w:spacing w:line="360" w:lineRule="auto"/>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64" w:name="_Toc74752344"/>
      <w:r>
        <w:rPr>
          <w:rFonts w:hint="eastAsia" w:ascii="宋体" w:hAnsi="宋体"/>
          <w:b/>
          <w:bCs/>
          <w:sz w:val="28"/>
          <w:szCs w:val="28"/>
        </w:rPr>
        <w:t>评标争议处理规则</w:t>
      </w:r>
      <w:bookmarkEnd w:id="164"/>
    </w:p>
    <w:p>
      <w:pPr>
        <w:tabs>
          <w:tab w:val="left" w:pos="1155"/>
        </w:tabs>
        <w:spacing w:line="360" w:lineRule="auto"/>
        <w:ind w:firstLine="523"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lang w:eastAsia="zh-CN"/>
        </w:rPr>
        <w:t>区公资交易中心</w:t>
      </w:r>
      <w:r>
        <w:rPr>
          <w:rFonts w:hint="eastAsia" w:ascii="宋体" w:hAnsi="宋体"/>
          <w:sz w:val="28"/>
          <w:szCs w:val="28"/>
        </w:rPr>
        <w:t>书面反映。采购人或</w:t>
      </w:r>
      <w:r>
        <w:rPr>
          <w:rFonts w:hint="eastAsia" w:cs="Arial"/>
          <w:sz w:val="28"/>
          <w:szCs w:val="28"/>
          <w:lang w:eastAsia="zh-CN"/>
        </w:rPr>
        <w:t>区公资交易中心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65" w:name="_Toc74752345"/>
      <w:r>
        <w:rPr>
          <w:rFonts w:hint="eastAsia" w:ascii="宋体" w:hAnsi="宋体"/>
          <w:b/>
          <w:bCs/>
          <w:sz w:val="28"/>
          <w:szCs w:val="28"/>
        </w:rPr>
        <w:t>评标细则及标准</w:t>
      </w:r>
      <w:bookmarkEnd w:id="165"/>
    </w:p>
    <w:p>
      <w:pPr>
        <w:numPr>
          <w:ilvl w:val="0"/>
          <w:numId w:val="47"/>
        </w:numPr>
        <w:tabs>
          <w:tab w:val="left" w:pos="1155"/>
        </w:tabs>
        <w:spacing w:after="200" w:line="360" w:lineRule="auto"/>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47"/>
        </w:numPr>
        <w:tabs>
          <w:tab w:val="left" w:pos="1155"/>
        </w:tabs>
        <w:spacing w:after="200" w:line="360" w:lineRule="auto"/>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47"/>
        </w:numPr>
        <w:tabs>
          <w:tab w:val="left" w:pos="1155"/>
        </w:tabs>
        <w:spacing w:after="200" w:line="360" w:lineRule="auto"/>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360" w:lineRule="auto"/>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360" w:lineRule="auto"/>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360" w:lineRule="auto"/>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评分标准</w:t>
      </w:r>
    </w:p>
    <w:tbl>
      <w:tblPr>
        <w:tblStyle w:val="46"/>
        <w:tblW w:w="9725" w:type="dxa"/>
        <w:jc w:val="center"/>
        <w:tblInd w:w="0" w:type="dxa"/>
        <w:tblLayout w:type="fixed"/>
        <w:tblCellMar>
          <w:top w:w="0" w:type="dxa"/>
          <w:left w:w="108" w:type="dxa"/>
          <w:bottom w:w="0" w:type="dxa"/>
          <w:right w:w="108" w:type="dxa"/>
        </w:tblCellMar>
      </w:tblPr>
      <w:tblGrid>
        <w:gridCol w:w="497"/>
        <w:gridCol w:w="1206"/>
        <w:gridCol w:w="708"/>
        <w:gridCol w:w="5670"/>
        <w:gridCol w:w="1644"/>
      </w:tblGrid>
      <w:tr>
        <w:tblPrEx>
          <w:tblLayout w:type="fixed"/>
          <w:tblCellMar>
            <w:top w:w="0" w:type="dxa"/>
            <w:left w:w="108" w:type="dxa"/>
            <w:bottom w:w="0" w:type="dxa"/>
            <w:right w:w="108" w:type="dxa"/>
          </w:tblCellMar>
        </w:tblPrEx>
        <w:trPr>
          <w:trHeight w:val="734"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b/>
              </w:rPr>
            </w:pPr>
            <w:r>
              <w:rPr>
                <w:rFonts w:ascii="宋体" w:hAnsi="宋体" w:eastAsia="宋体"/>
                <w:b/>
              </w:rPr>
              <w:t>序号</w:t>
            </w:r>
          </w:p>
        </w:tc>
        <w:tc>
          <w:tcPr>
            <w:tcW w:w="1206"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b/>
              </w:rPr>
            </w:pPr>
            <w:r>
              <w:rPr>
                <w:rFonts w:ascii="宋体" w:hAnsi="宋体" w:eastAsia="宋体"/>
                <w:b/>
              </w:rPr>
              <w:t>评分因素</w:t>
            </w:r>
          </w:p>
        </w:tc>
        <w:tc>
          <w:tcPr>
            <w:tcW w:w="708" w:type="dxa"/>
            <w:tcBorders>
              <w:top w:val="single" w:color="000000" w:sz="4" w:space="0"/>
              <w:bottom w:val="single" w:color="000000" w:sz="4" w:space="0"/>
              <w:right w:val="single" w:color="000000" w:sz="4" w:space="0"/>
            </w:tcBorders>
            <w:vAlign w:val="center"/>
          </w:tcPr>
          <w:p>
            <w:pPr>
              <w:autoSpaceDN w:val="0"/>
              <w:spacing w:line="360" w:lineRule="auto"/>
              <w:ind w:firstLine="28"/>
              <w:jc w:val="center"/>
              <w:rPr>
                <w:rFonts w:ascii="宋体" w:hAnsi="宋体" w:eastAsia="宋体"/>
                <w:b/>
              </w:rPr>
            </w:pPr>
            <w:r>
              <w:rPr>
                <w:rFonts w:ascii="宋体" w:hAnsi="宋体" w:eastAsia="宋体"/>
                <w:b/>
              </w:rPr>
              <w:t>分值</w:t>
            </w:r>
          </w:p>
        </w:tc>
        <w:tc>
          <w:tcPr>
            <w:tcW w:w="5670" w:type="dxa"/>
            <w:tcBorders>
              <w:top w:val="single" w:color="000000" w:sz="4" w:space="0"/>
              <w:bottom w:val="single" w:color="000000" w:sz="4" w:space="0"/>
              <w:right w:val="single" w:color="000000" w:sz="4" w:space="0"/>
            </w:tcBorders>
            <w:vAlign w:val="center"/>
          </w:tcPr>
          <w:p>
            <w:pPr>
              <w:autoSpaceDN w:val="0"/>
              <w:spacing w:line="360" w:lineRule="auto"/>
              <w:ind w:firstLine="28"/>
              <w:jc w:val="center"/>
              <w:rPr>
                <w:rFonts w:ascii="宋体" w:hAnsi="宋体" w:eastAsia="宋体"/>
                <w:b/>
              </w:rPr>
            </w:pPr>
            <w:r>
              <w:rPr>
                <w:rFonts w:ascii="宋体" w:hAnsi="宋体" w:eastAsia="宋体"/>
                <w:b/>
              </w:rPr>
              <w:t>评分标准</w:t>
            </w:r>
          </w:p>
        </w:tc>
        <w:tc>
          <w:tcPr>
            <w:tcW w:w="1644" w:type="dxa"/>
            <w:tcBorders>
              <w:top w:val="single" w:color="000000" w:sz="4" w:space="0"/>
              <w:bottom w:val="single" w:color="000000" w:sz="4" w:space="0"/>
              <w:right w:val="single" w:color="000000" w:sz="4" w:space="0"/>
            </w:tcBorders>
            <w:vAlign w:val="center"/>
          </w:tcPr>
          <w:p>
            <w:pPr>
              <w:autoSpaceDN w:val="0"/>
              <w:spacing w:line="360" w:lineRule="auto"/>
              <w:ind w:firstLine="28"/>
              <w:jc w:val="center"/>
              <w:rPr>
                <w:rFonts w:ascii="宋体" w:hAnsi="宋体" w:eastAsia="宋体"/>
                <w:b/>
              </w:rPr>
            </w:pPr>
            <w:r>
              <w:rPr>
                <w:rFonts w:ascii="宋体" w:hAnsi="Times New Roman"/>
                <w:b/>
              </w:rPr>
              <w:t>备注</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宋体" w:eastAsia="宋体"/>
              </w:rPr>
              <w:t>1</w:t>
            </w:r>
          </w:p>
        </w:tc>
        <w:tc>
          <w:tcPr>
            <w:tcW w:w="1206"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宋体" w:eastAsia="宋体"/>
              </w:rPr>
              <w:t>报价</w:t>
            </w:r>
          </w:p>
        </w:tc>
        <w:tc>
          <w:tcPr>
            <w:tcW w:w="708"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宋体" w:eastAsia="宋体"/>
              </w:rPr>
              <w:t>30</w:t>
            </w:r>
            <w:r>
              <w:rPr>
                <w:rFonts w:ascii="宋体" w:hAnsi="Times New Roman"/>
              </w:rPr>
              <w:t>分</w:t>
            </w:r>
          </w:p>
        </w:tc>
        <w:tc>
          <w:tcPr>
            <w:tcW w:w="5670" w:type="dxa"/>
            <w:tcBorders>
              <w:top w:val="single" w:color="000000" w:sz="4" w:space="0"/>
              <w:bottom w:val="single" w:color="000000" w:sz="4" w:space="0"/>
              <w:right w:val="single" w:color="000000" w:sz="4" w:space="0"/>
            </w:tcBorders>
          </w:tcPr>
          <w:p>
            <w:pPr>
              <w:autoSpaceDN w:val="0"/>
              <w:spacing w:line="360" w:lineRule="auto"/>
              <w:rPr>
                <w:rFonts w:ascii="宋体" w:hAnsi="宋体" w:eastAsia="宋体"/>
              </w:rPr>
            </w:pPr>
            <w:r>
              <w:rPr>
                <w:rFonts w:ascii="宋体" w:hAnsi="Times New Roman"/>
              </w:rPr>
              <w:t>以本次最低有效投标报价为基准价，投标报价得分=(基准价／投标报价)×</w:t>
            </w:r>
            <w:r>
              <w:rPr>
                <w:rFonts w:ascii="宋体" w:hAnsi="宋体" w:eastAsia="宋体"/>
              </w:rPr>
              <w:t>30</w:t>
            </w:r>
          </w:p>
        </w:tc>
        <w:tc>
          <w:tcPr>
            <w:tcW w:w="1644"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宋体" w:eastAsia="宋体"/>
              </w:rPr>
              <w:t>2</w:t>
            </w:r>
          </w:p>
        </w:tc>
        <w:tc>
          <w:tcPr>
            <w:tcW w:w="1206" w:type="dxa"/>
            <w:tcBorders>
              <w:top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宋体" w:eastAsia="宋体"/>
              </w:rPr>
              <w:t>技术指标和配置</w:t>
            </w:r>
          </w:p>
        </w:tc>
        <w:tc>
          <w:tcPr>
            <w:tcW w:w="708" w:type="dxa"/>
            <w:tcBorders>
              <w:top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宋体" w:eastAsia="宋体"/>
              </w:rPr>
              <w:t>34</w:t>
            </w:r>
            <w:r>
              <w:rPr>
                <w:rFonts w:ascii="宋体" w:hAnsi="Times New Roman"/>
              </w:rPr>
              <w:t>分</w:t>
            </w:r>
          </w:p>
        </w:tc>
        <w:tc>
          <w:tcPr>
            <w:tcW w:w="5670" w:type="dxa"/>
            <w:tcBorders>
              <w:top w:val="single" w:color="000000" w:sz="4" w:space="0"/>
              <w:bottom w:val="single" w:color="000000" w:sz="4" w:space="0"/>
              <w:right w:val="single" w:color="000000" w:sz="4" w:space="0"/>
            </w:tcBorders>
          </w:tcPr>
          <w:p>
            <w:pPr>
              <w:autoSpaceDN w:val="0"/>
              <w:spacing w:line="360" w:lineRule="auto"/>
              <w:rPr>
                <w:rFonts w:ascii="宋体" w:hAnsi="宋体" w:eastAsia="宋体"/>
              </w:rPr>
            </w:pPr>
            <w:r>
              <w:rPr>
                <w:rFonts w:ascii="宋体" w:hAnsi="Times New Roman"/>
              </w:rPr>
              <w:t>1、投标人针对一般技术参数条款的响应得分规则如下：（一般技术参数条款是指：以产品为计算单元，其所包含的所有技术参数条款逐项视为一条一般技术参数条款）</w:t>
            </w:r>
          </w:p>
          <w:p>
            <w:pPr>
              <w:autoSpaceDN w:val="0"/>
              <w:spacing w:line="360" w:lineRule="auto"/>
              <w:rPr>
                <w:rFonts w:ascii="宋体" w:hAnsi="宋体" w:eastAsia="宋体"/>
              </w:rPr>
            </w:pPr>
            <w:r>
              <w:rPr>
                <w:rFonts w:ascii="宋体" w:hAnsi="Times New Roman"/>
              </w:rPr>
              <w:t>一般技术参数条款响应得分=（投标人满足一般技术参数条款的数量÷对应包件中一般技术参数条款的总数量）×</w:t>
            </w:r>
            <w:r>
              <w:rPr>
                <w:rFonts w:ascii="宋体" w:hAnsi="宋体" w:eastAsia="宋体"/>
              </w:rPr>
              <w:t>10</w:t>
            </w:r>
            <w:r>
              <w:rPr>
                <w:rFonts w:ascii="宋体" w:hAnsi="Times New Roman"/>
              </w:rPr>
              <w:t>分。满足带</w:t>
            </w:r>
            <w:r>
              <w:rPr>
                <w:rFonts w:ascii="Arial" w:hAnsi="Arial" w:eastAsia="Arial"/>
                <w:color w:val="000000" w:themeColor="text1"/>
                <w:sz w:val="18"/>
                <w:szCs w:val="18"/>
                <w14:textFill>
                  <w14:solidFill>
                    <w14:schemeClr w14:val="tx1"/>
                  </w14:solidFill>
                </w14:textFill>
              </w:rPr>
              <w:t>★</w:t>
            </w:r>
            <w:r>
              <w:rPr>
                <w:rFonts w:ascii="Arial" w:hAnsi="Arial" w:eastAsia="Arial"/>
                <w:color w:val="000000" w:themeColor="text1"/>
                <w14:textFill>
                  <w14:solidFill>
                    <w14:schemeClr w14:val="tx1"/>
                  </w14:solidFill>
                </w14:textFill>
              </w:rPr>
              <w:t>的重要技术参数的，满分12分，每一项不满足扣一分。</w:t>
            </w:r>
          </w:p>
          <w:p>
            <w:pPr>
              <w:autoSpaceDN w:val="0"/>
              <w:spacing w:line="360" w:lineRule="auto"/>
              <w:rPr>
                <w:rFonts w:ascii="宋体" w:hAnsi="宋体" w:eastAsia="宋体"/>
              </w:rPr>
            </w:pPr>
            <w:r>
              <w:rPr>
                <w:rFonts w:ascii="宋体" w:hAnsi="Times New Roman"/>
              </w:rPr>
              <w:t>注：</w:t>
            </w:r>
          </w:p>
          <w:p>
            <w:pPr>
              <w:autoSpaceDN w:val="0"/>
              <w:spacing w:line="360" w:lineRule="auto"/>
              <w:rPr>
                <w:rFonts w:ascii="宋体" w:hAnsi="宋体" w:eastAsia="宋体"/>
              </w:rPr>
            </w:pPr>
            <w:r>
              <w:rPr>
                <w:rFonts w:ascii="宋体" w:hAnsi="Times New Roman"/>
              </w:rPr>
              <w:t>①针对一般技术参数条款的技术响应，如果技术条款对技术支撑材料有要求，应按要求提供，否则对应技术参数条款将视为不满足。针对一般技术参数条款的技术响应，产品中涉及技术参数为多项条款的，其中任意一条及以上技术参数条款的偏离的，视为此项一般技术参数条款偏离。</w:t>
            </w:r>
          </w:p>
          <w:p>
            <w:pPr>
              <w:autoSpaceDN w:val="0"/>
              <w:spacing w:line="360" w:lineRule="auto"/>
              <w:rPr>
                <w:rFonts w:ascii="宋体" w:hAnsi="Times New Roman"/>
              </w:rPr>
            </w:pPr>
            <w:r>
              <w:rPr>
                <w:rFonts w:ascii="宋体" w:hAnsi="Times New Roman"/>
              </w:rPr>
              <w:t>②得分保留小数点后两位小数，四舍五入。</w:t>
            </w:r>
          </w:p>
          <w:p>
            <w:pPr>
              <w:autoSpaceDN w:val="0"/>
              <w:spacing w:line="360" w:lineRule="auto"/>
              <w:rPr>
                <w:rFonts w:ascii="宋体" w:hAnsi="宋体" w:eastAsia="宋体"/>
              </w:rPr>
            </w:pPr>
            <w:r>
              <w:rPr>
                <w:rFonts w:ascii="宋体" w:hAnsi="Times New Roman"/>
              </w:rPr>
              <w:t>2、投标人或产品制造商提供2019年以来成品检验报告：木质涂饰办公桌、皮转椅、木质涂饰书柜、木质涂饰茶水柜、木质涂饰茶几、皮沙发、网面转椅、铝合金骨架工作位、钢制文件柜、主席台、实木架办公椅、木质涂饰演讲台、木质涂饰条形桌、木质涂饰会议桌、实木架会议椅、礼堂椅、木质覆面办公桌、布艺沙发、密集架、钢木茶几，缺一项扣</w:t>
            </w:r>
            <w:r>
              <w:rPr>
                <w:rFonts w:ascii="宋体" w:hAnsi="宋体" w:eastAsia="宋体"/>
              </w:rPr>
              <w:t>0.3</w:t>
            </w:r>
            <w:r>
              <w:rPr>
                <w:rFonts w:ascii="宋体" w:hAnsi="Times New Roman"/>
              </w:rPr>
              <w:t>分，扣完为止。（本项满分6分）</w:t>
            </w:r>
          </w:p>
          <w:p>
            <w:pPr>
              <w:autoSpaceDN w:val="0"/>
              <w:spacing w:line="360" w:lineRule="auto"/>
              <w:rPr>
                <w:rFonts w:ascii="宋体" w:hAnsi="宋体" w:eastAsia="宋体"/>
              </w:rPr>
            </w:pPr>
            <w:r>
              <w:rPr>
                <w:rFonts w:ascii="宋体" w:hAnsi="Times New Roman"/>
              </w:rPr>
              <w:t>3、投标人或产品制造商提供2019年以来原材料检验报告：柏腊木皮、水性高透明底漆、水性UV X分哑面漆、过线盒、三合一连接件、阻尼铰链、锁具、不锈钢锁扣、滑轮、实木框架、绷带、弹簧、实木、净味拼板胶、E1级实木颗粒板、高密度定型绵、E1级实木多层板、钢制垫片、麻面布料、门板磁碰，缺一项扣</w:t>
            </w:r>
            <w:r>
              <w:rPr>
                <w:rFonts w:ascii="宋体" w:hAnsi="宋体" w:eastAsia="宋体"/>
              </w:rPr>
              <w:t>0.3</w:t>
            </w:r>
            <w:r>
              <w:rPr>
                <w:rFonts w:ascii="宋体" w:hAnsi="Times New Roman"/>
              </w:rPr>
              <w:t>分，扣完为止。（本项满分6分）</w:t>
            </w:r>
          </w:p>
        </w:tc>
        <w:tc>
          <w:tcPr>
            <w:tcW w:w="1644" w:type="dxa"/>
            <w:tcBorders>
              <w:top w:val="single" w:color="000000" w:sz="4" w:space="0"/>
              <w:right w:val="single" w:color="000000" w:sz="4" w:space="0"/>
            </w:tcBorders>
            <w:vAlign w:val="center"/>
          </w:tcPr>
          <w:p>
            <w:pPr>
              <w:spacing w:line="360" w:lineRule="auto"/>
              <w:jc w:val="center"/>
              <w:rPr>
                <w:rFonts w:ascii="宋体" w:hAnsi="宋体" w:eastAsia="宋体"/>
              </w:rPr>
            </w:pPr>
            <w:r>
              <w:rPr>
                <w:rFonts w:ascii="宋体" w:hAnsi="Times New Roman"/>
              </w:rPr>
              <w:t>投标人须认真核实所有技术支持资料，并对其在投标文件中提供的技术支持资料的真实性负责，并承担由此带来的一切法律责任和后果。</w:t>
            </w:r>
          </w:p>
          <w:p>
            <w:pPr>
              <w:spacing w:line="360" w:lineRule="auto"/>
              <w:jc w:val="center"/>
              <w:rPr>
                <w:rFonts w:ascii="宋体" w:hAnsi="宋体" w:eastAsia="宋体"/>
              </w:rPr>
            </w:pPr>
            <w:r>
              <w:rPr>
                <w:rFonts w:ascii="宋体" w:hAnsi="Times New Roman"/>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auto" w:sz="4" w:space="0"/>
              <w:bottom w:val="single" w:color="auto"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shd w:val="clear" w:color="000000" w:fill="FFFFFF" w:themeFill="background1"/>
              </w:rPr>
              <w:t>3</w:t>
            </w:r>
          </w:p>
        </w:tc>
        <w:tc>
          <w:tcPr>
            <w:tcW w:w="1206" w:type="dxa"/>
            <w:tcBorders>
              <w:top w:val="single" w:color="000000" w:sz="4" w:space="0"/>
              <w:bottom w:val="single" w:color="auto"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rPr>
              <w:t>投标</w:t>
            </w:r>
          </w:p>
          <w:p>
            <w:pPr>
              <w:autoSpaceDN w:val="0"/>
              <w:spacing w:line="360" w:lineRule="auto"/>
              <w:jc w:val="center"/>
              <w:rPr>
                <w:rFonts w:ascii="宋体" w:hAnsi="宋体" w:eastAsia="宋体"/>
              </w:rPr>
            </w:pPr>
            <w:r>
              <w:rPr>
                <w:rFonts w:ascii="宋体" w:hAnsi="Times New Roman"/>
              </w:rPr>
              <w:t>样品</w:t>
            </w:r>
          </w:p>
        </w:tc>
        <w:tc>
          <w:tcPr>
            <w:tcW w:w="708" w:type="dxa"/>
            <w:tcBorders>
              <w:top w:val="single" w:color="000000" w:sz="4" w:space="0"/>
              <w:bottom w:val="single" w:color="auto" w:sz="4" w:space="0"/>
              <w:right w:val="single" w:color="000000" w:sz="4" w:space="0"/>
            </w:tcBorders>
            <w:vAlign w:val="center"/>
          </w:tcPr>
          <w:p>
            <w:pPr>
              <w:autoSpaceDN w:val="0"/>
              <w:spacing w:line="360" w:lineRule="auto"/>
              <w:jc w:val="center"/>
              <w:rPr>
                <w:rFonts w:ascii="宋体" w:hAnsi="宋体" w:eastAsia="宋体"/>
              </w:rPr>
            </w:pPr>
            <w:r>
              <w:rPr>
                <w:rFonts w:ascii="宋体" w:hAnsi="宋体" w:eastAsia="宋体"/>
              </w:rPr>
              <w:t>12</w:t>
            </w:r>
            <w:r>
              <w:rPr>
                <w:rFonts w:ascii="宋体" w:hAnsi="Times New Roman"/>
              </w:rPr>
              <w:t>分</w:t>
            </w:r>
          </w:p>
        </w:tc>
        <w:tc>
          <w:tcPr>
            <w:tcW w:w="5670" w:type="dxa"/>
            <w:tcBorders>
              <w:top w:val="single" w:color="000000" w:sz="4" w:space="0"/>
              <w:bottom w:val="single" w:color="000000" w:sz="4" w:space="0"/>
              <w:right w:val="single" w:color="000000" w:sz="4" w:space="0"/>
            </w:tcBorders>
            <w:vAlign w:val="center"/>
          </w:tcPr>
          <w:p>
            <w:pPr>
              <w:autoSpaceDN w:val="0"/>
              <w:spacing w:line="360" w:lineRule="auto"/>
              <w:rPr>
                <w:rFonts w:ascii="宋体" w:hAnsi="宋体" w:eastAsia="宋体"/>
              </w:rPr>
            </w:pPr>
            <w:r>
              <w:rPr>
                <w:rFonts w:ascii="宋体" w:hAnsi="宋体" w:eastAsia="宋体" w:cs="宋体"/>
                <w:sz w:val="24"/>
                <w:szCs w:val="24"/>
              </w:rPr>
              <w:t>按</w:t>
            </w:r>
            <w:r>
              <w:rPr>
                <w:rFonts w:ascii="宋体" w:hAnsi="Times New Roman"/>
              </w:rPr>
              <w:t>照招标文件中技术参数和规格要求提供实物样品：序号16网面转椅一把；序号18屏风工作位一位；序号37礼堂椅一座；序号38合班课桌椅一套。本项最多得12分；评标委员会现场查看样品，进行评分。</w:t>
            </w:r>
            <w:r>
              <w:rPr>
                <w:rFonts w:ascii="宋体" w:hAnsi="Times New Roman"/>
              </w:rPr>
              <w:br w:type="textWrapping"/>
            </w:r>
            <w:r>
              <w:rPr>
                <w:rFonts w:ascii="宋体" w:hAnsi="Times New Roman"/>
              </w:rPr>
              <w:t>1、尺寸、比例满足技术要求，无明显失衡；</w:t>
            </w:r>
            <w:r>
              <w:rPr>
                <w:rFonts w:ascii="宋体" w:hAnsi="Times New Roman"/>
              </w:rPr>
              <w:br w:type="textWrapping"/>
            </w:r>
            <w:r>
              <w:rPr>
                <w:rFonts w:ascii="宋体" w:hAnsi="Times New Roman"/>
              </w:rPr>
              <w:t>2、漆面平整光滑无起皮、聚点、起皱现象；</w:t>
            </w:r>
            <w:r>
              <w:rPr>
                <w:rFonts w:ascii="宋体" w:hAnsi="Times New Roman"/>
              </w:rPr>
              <w:br w:type="textWrapping"/>
            </w:r>
            <w:r>
              <w:rPr>
                <w:rFonts w:ascii="宋体" w:hAnsi="Times New Roman"/>
              </w:rPr>
              <w:t>3、皮面光亮、无起毛、损伤、不均匀现象；</w:t>
            </w:r>
            <w:r>
              <w:rPr>
                <w:rFonts w:ascii="宋体" w:hAnsi="Times New Roman"/>
              </w:rPr>
              <w:br w:type="textWrapping"/>
            </w:r>
            <w:r>
              <w:rPr>
                <w:rFonts w:ascii="宋体" w:hAnsi="Times New Roman"/>
              </w:rPr>
              <w:t>4、制作工艺（平整度、弯曲度、折线）满足采购技术要求。每有一项满足要求的得3分，每有一项不满足不得分，本</w:t>
            </w:r>
            <w:r>
              <w:rPr>
                <w:rFonts w:hint="eastAsia" w:ascii="宋体" w:hAnsi="Times New Roman"/>
                <w:lang w:eastAsia="zh-CN"/>
              </w:rPr>
              <w:t>项</w:t>
            </w:r>
            <w:r>
              <w:rPr>
                <w:rFonts w:ascii="宋体" w:hAnsi="Times New Roman"/>
              </w:rPr>
              <w:t>最高得12分。</w:t>
            </w:r>
            <w:r>
              <w:rPr>
                <w:rFonts w:ascii="宋体" w:hAnsi="Times New Roman"/>
              </w:rPr>
              <w:br w:type="textWrapping"/>
            </w:r>
            <w:r>
              <w:rPr>
                <w:rFonts w:ascii="宋体" w:hAnsi="Times New Roman"/>
              </w:rPr>
              <w:t>注：样品提供不符合要求或提供不齐全不得分，但不作为废标处理。</w:t>
            </w:r>
          </w:p>
        </w:tc>
        <w:tc>
          <w:tcPr>
            <w:tcW w:w="164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eastAsia="宋体"/>
              </w:rPr>
            </w:pPr>
            <w:r>
              <w:rPr>
                <w:rFonts w:ascii="宋体" w:hAnsi="Times New Roman"/>
              </w:rPr>
              <w:t>（共同评分因素</w:t>
            </w:r>
            <w:r>
              <w:rPr>
                <w:rFonts w:ascii="宋体" w:hAnsi="Times New Roman"/>
                <w:shd w:val="clear" w:color="000000" w:fill="FFFFFF" w:themeFill="background1"/>
              </w:rPr>
              <w:t>)　</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auto"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宋体" w:eastAsia="宋体"/>
              </w:rPr>
              <w:t>4</w:t>
            </w:r>
          </w:p>
        </w:tc>
        <w:tc>
          <w:tcPr>
            <w:tcW w:w="1206" w:type="dxa"/>
            <w:tcBorders>
              <w:top w:val="single" w:color="auto"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宋体" w:eastAsia="宋体"/>
              </w:rPr>
              <w:t>履约能力</w:t>
            </w:r>
          </w:p>
        </w:tc>
        <w:tc>
          <w:tcPr>
            <w:tcW w:w="708" w:type="dxa"/>
            <w:tcBorders>
              <w:top w:val="single" w:color="auto"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hint="eastAsia" w:ascii="宋体" w:hAnsi="宋体"/>
                <w:lang w:val="en-US" w:eastAsia="zh-CN"/>
              </w:rPr>
              <w:t>9</w:t>
            </w:r>
            <w:r>
              <w:rPr>
                <w:rFonts w:ascii="宋体" w:hAnsi="Times New Roman"/>
              </w:rPr>
              <w:t>分</w:t>
            </w:r>
          </w:p>
        </w:tc>
        <w:tc>
          <w:tcPr>
            <w:tcW w:w="5670" w:type="dxa"/>
            <w:tcBorders>
              <w:top w:val="single" w:color="000000" w:sz="4" w:space="0"/>
              <w:bottom w:val="single" w:color="000000" w:sz="4" w:space="0"/>
              <w:right w:val="single" w:color="000000" w:sz="4" w:space="0"/>
            </w:tcBorders>
          </w:tcPr>
          <w:p>
            <w:pPr>
              <w:autoSpaceDN w:val="0"/>
              <w:spacing w:line="360" w:lineRule="auto"/>
              <w:rPr>
                <w:rFonts w:ascii="宋体" w:hAnsi="宋体" w:eastAsia="宋体"/>
              </w:rPr>
            </w:pPr>
            <w:r>
              <w:rPr>
                <w:rFonts w:ascii="宋体" w:hAnsi="Times New Roman"/>
              </w:rPr>
              <w:t>1、</w:t>
            </w:r>
            <w:r>
              <w:rPr>
                <w:rFonts w:hint="eastAsia" w:ascii="宋体" w:hAnsi="Times New Roman"/>
                <w:lang w:eastAsia="zh-CN"/>
              </w:rPr>
              <w:t>投标人或</w:t>
            </w:r>
            <w:r>
              <w:rPr>
                <w:rFonts w:ascii="宋体" w:hAnsi="Times New Roman"/>
              </w:rPr>
              <w:t>产品制造商获得过家具制造业《绿色工厂》证书的得</w:t>
            </w:r>
            <w:r>
              <w:rPr>
                <w:rFonts w:hint="eastAsia" w:ascii="宋体" w:hAnsi="Times New Roman"/>
                <w:lang w:val="en-US" w:eastAsia="zh-CN"/>
              </w:rPr>
              <w:t>3</w:t>
            </w:r>
            <w:r>
              <w:rPr>
                <w:rFonts w:ascii="宋体" w:hAnsi="Times New Roman"/>
              </w:rPr>
              <w:t>分，不提供不得分，本项满分</w:t>
            </w:r>
            <w:r>
              <w:rPr>
                <w:rFonts w:hint="eastAsia" w:ascii="宋体" w:hAnsi="Times New Roman"/>
                <w:lang w:val="en-US" w:eastAsia="zh-CN"/>
              </w:rPr>
              <w:t>3</w:t>
            </w:r>
            <w:r>
              <w:rPr>
                <w:rFonts w:ascii="宋体" w:hAnsi="Times New Roman"/>
              </w:rPr>
              <w:t>分。</w:t>
            </w:r>
          </w:p>
          <w:p>
            <w:pPr>
              <w:autoSpaceDN w:val="0"/>
              <w:spacing w:line="360" w:lineRule="auto"/>
              <w:rPr>
                <w:rFonts w:ascii="宋体" w:hAnsi="宋体" w:eastAsia="宋体"/>
              </w:rPr>
            </w:pPr>
            <w:r>
              <w:rPr>
                <w:rFonts w:ascii="宋体" w:hAnsi="Times New Roman"/>
              </w:rPr>
              <w:t>2、</w:t>
            </w:r>
            <w:r>
              <w:rPr>
                <w:rFonts w:hint="eastAsia" w:ascii="宋体" w:hAnsi="Times New Roman"/>
                <w:lang w:eastAsia="zh-CN"/>
              </w:rPr>
              <w:t>投标人或</w:t>
            </w:r>
            <w:r>
              <w:rPr>
                <w:rFonts w:ascii="宋体" w:hAnsi="Times New Roman"/>
              </w:rPr>
              <w:t>产品制造商属于安全生产标准化企业：安全标准化二级及以上企业的得</w:t>
            </w:r>
            <w:r>
              <w:rPr>
                <w:rFonts w:hint="eastAsia" w:ascii="宋体" w:hAnsi="Times New Roman"/>
                <w:lang w:val="en-US" w:eastAsia="zh-CN"/>
              </w:rPr>
              <w:t>4</w:t>
            </w:r>
            <w:r>
              <w:rPr>
                <w:rFonts w:ascii="宋体" w:hAnsi="Times New Roman"/>
              </w:rPr>
              <w:t>分，三级企业的得</w:t>
            </w:r>
            <w:r>
              <w:rPr>
                <w:rFonts w:hint="eastAsia" w:ascii="宋体" w:hAnsi="Times New Roman"/>
                <w:lang w:val="en-US" w:eastAsia="zh-CN"/>
              </w:rPr>
              <w:t>2</w:t>
            </w:r>
            <w:r>
              <w:rPr>
                <w:rFonts w:ascii="宋体" w:hAnsi="Times New Roman"/>
              </w:rPr>
              <w:t>分，其他不得分，本项满分</w:t>
            </w:r>
            <w:r>
              <w:rPr>
                <w:rFonts w:hint="eastAsia" w:ascii="宋体" w:hAnsi="Times New Roman"/>
                <w:lang w:val="en-US" w:eastAsia="zh-CN"/>
              </w:rPr>
              <w:t>4</w:t>
            </w:r>
            <w:r>
              <w:rPr>
                <w:rFonts w:ascii="宋体" w:hAnsi="Times New Roman"/>
              </w:rPr>
              <w:t>分。</w:t>
            </w:r>
          </w:p>
          <w:p>
            <w:pPr>
              <w:autoSpaceDN w:val="0"/>
              <w:spacing w:line="360" w:lineRule="auto"/>
              <w:rPr>
                <w:rFonts w:ascii="宋体" w:hAnsi="宋体" w:eastAsia="宋体"/>
              </w:rPr>
            </w:pPr>
            <w:r>
              <w:rPr>
                <w:rFonts w:hint="eastAsia" w:ascii="宋体" w:hAnsi="Times New Roman"/>
                <w:lang w:val="en-US" w:eastAsia="zh-CN"/>
              </w:rPr>
              <w:t>3</w:t>
            </w:r>
            <w:r>
              <w:rPr>
                <w:rFonts w:ascii="宋体" w:hAnsi="Times New Roman"/>
              </w:rPr>
              <w:t>、</w:t>
            </w:r>
            <w:r>
              <w:rPr>
                <w:rFonts w:hint="eastAsia" w:ascii="宋体" w:hAnsi="Times New Roman"/>
                <w:lang w:eastAsia="zh-CN"/>
              </w:rPr>
              <w:t>投标人或</w:t>
            </w:r>
            <w:r>
              <w:rPr>
                <w:rFonts w:ascii="宋体" w:hAnsi="Times New Roman"/>
              </w:rPr>
              <w:t>产品制造商购买有效期内的《财产综合保险》的得</w:t>
            </w:r>
            <w:r>
              <w:rPr>
                <w:rFonts w:hint="eastAsia" w:ascii="宋体" w:hAnsi="Times New Roman"/>
                <w:lang w:val="en-US" w:eastAsia="zh-CN"/>
              </w:rPr>
              <w:t>2</w:t>
            </w:r>
            <w:r>
              <w:rPr>
                <w:rFonts w:ascii="宋体" w:hAnsi="Times New Roman"/>
              </w:rPr>
              <w:t>分，不提供得分，本项满分</w:t>
            </w:r>
            <w:r>
              <w:rPr>
                <w:rFonts w:hint="eastAsia" w:ascii="宋体" w:hAnsi="Times New Roman"/>
                <w:lang w:val="en-US" w:eastAsia="zh-CN"/>
              </w:rPr>
              <w:t>2</w:t>
            </w:r>
            <w:r>
              <w:rPr>
                <w:rFonts w:ascii="宋体" w:hAnsi="Times New Roman"/>
              </w:rPr>
              <w:t>分。（提供保单复印件加盖公司公章）。</w:t>
            </w:r>
          </w:p>
        </w:tc>
        <w:tc>
          <w:tcPr>
            <w:tcW w:w="164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eastAsia="宋体"/>
              </w:rPr>
            </w:pPr>
            <w:r>
              <w:rPr>
                <w:rFonts w:ascii="宋体" w:hAnsi="Times New Roman"/>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rPr>
              <w:t>5</w:t>
            </w:r>
          </w:p>
        </w:tc>
        <w:tc>
          <w:tcPr>
            <w:tcW w:w="1206"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rPr>
              <w:t>售后服务方案</w:t>
            </w:r>
          </w:p>
        </w:tc>
        <w:tc>
          <w:tcPr>
            <w:tcW w:w="708"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宋体" w:eastAsia="宋体"/>
              </w:rPr>
              <w:t>2</w:t>
            </w:r>
            <w:r>
              <w:rPr>
                <w:rFonts w:ascii="宋体" w:hAnsi="Times New Roman"/>
              </w:rPr>
              <w:t>分</w:t>
            </w:r>
          </w:p>
        </w:tc>
        <w:tc>
          <w:tcPr>
            <w:tcW w:w="5670" w:type="dxa"/>
            <w:tcBorders>
              <w:top w:val="single" w:color="000000" w:sz="4" w:space="0"/>
              <w:bottom w:val="single" w:color="000000" w:sz="4" w:space="0"/>
              <w:right w:val="single" w:color="000000" w:sz="4" w:space="0"/>
            </w:tcBorders>
          </w:tcPr>
          <w:p>
            <w:pPr>
              <w:autoSpaceDN w:val="0"/>
              <w:spacing w:line="360" w:lineRule="auto"/>
              <w:rPr>
                <w:rFonts w:ascii="宋体" w:hAnsi="宋体" w:eastAsia="宋体"/>
              </w:rPr>
            </w:pPr>
            <w:r>
              <w:rPr>
                <w:rFonts w:hint="eastAsia" w:ascii="宋体" w:hAnsi="Times New Roman"/>
                <w:lang w:val="en-US" w:eastAsia="zh-CN"/>
              </w:rPr>
              <w:t>1、</w:t>
            </w:r>
            <w:r>
              <w:rPr>
                <w:rFonts w:ascii="宋体" w:hAnsi="Times New Roman"/>
              </w:rPr>
              <w:t>投标人在投标文件中提供关于本项目的售后服务方案，该方案包括但不限于以下细分内容：a.服务标准，b.服务措施，c.售后服务人员名单；本单项最多得</w:t>
            </w:r>
            <w:r>
              <w:rPr>
                <w:rFonts w:ascii="宋体" w:hAnsi="宋体" w:eastAsia="宋体"/>
              </w:rPr>
              <w:t>2</w:t>
            </w:r>
            <w:r>
              <w:rPr>
                <w:rFonts w:ascii="宋体" w:hAnsi="Times New Roman"/>
              </w:rPr>
              <w:t>分；前述细分内容中，每有1目细分内容不完善或不满足采购需求的，扣1分，直至本单项不得分。</w:t>
            </w:r>
          </w:p>
        </w:tc>
        <w:tc>
          <w:tcPr>
            <w:tcW w:w="164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eastAsia="宋体"/>
              </w:rPr>
            </w:pPr>
            <w:r>
              <w:rPr>
                <w:rFonts w:ascii="宋体" w:hAnsi="Times New Roman"/>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rPr>
              <w:t>6</w:t>
            </w:r>
          </w:p>
        </w:tc>
        <w:tc>
          <w:tcPr>
            <w:tcW w:w="1206"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rPr>
              <w:t>服务水平</w:t>
            </w:r>
          </w:p>
        </w:tc>
        <w:tc>
          <w:tcPr>
            <w:tcW w:w="708"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宋体" w:eastAsia="宋体"/>
              </w:rPr>
              <w:t>5</w:t>
            </w:r>
            <w:r>
              <w:rPr>
                <w:rFonts w:ascii="宋体" w:hAnsi="Times New Roman"/>
              </w:rPr>
              <w:t>分</w:t>
            </w:r>
          </w:p>
        </w:tc>
        <w:tc>
          <w:tcPr>
            <w:tcW w:w="5670" w:type="dxa"/>
            <w:tcBorders>
              <w:top w:val="single" w:color="000000" w:sz="4" w:space="0"/>
              <w:bottom w:val="single" w:color="000000" w:sz="4" w:space="0"/>
              <w:right w:val="single" w:color="000000" w:sz="4" w:space="0"/>
            </w:tcBorders>
          </w:tcPr>
          <w:p>
            <w:pPr>
              <w:autoSpaceDN w:val="0"/>
              <w:spacing w:line="360" w:lineRule="auto"/>
              <w:rPr>
                <w:rFonts w:ascii="宋体" w:hAnsi="宋体" w:eastAsia="宋体"/>
                <w:color w:val="auto"/>
                <w:u w:val="none"/>
              </w:rPr>
            </w:pPr>
            <w:r>
              <w:rPr>
                <w:rFonts w:ascii="宋体" w:hAnsi="宋体" w:eastAsia="宋体"/>
                <w:u w:val="none"/>
              </w:rPr>
              <w:t>1</w:t>
            </w:r>
            <w:r>
              <w:rPr>
                <w:rFonts w:ascii="宋体" w:hAnsi="Times New Roman"/>
                <w:color w:val="auto"/>
                <w:u w:val="none"/>
              </w:rPr>
              <w:t>、</w:t>
            </w:r>
            <w:r>
              <w:rPr>
                <w:rFonts w:hint="eastAsia" w:ascii="宋体" w:hAnsi="Times New Roman"/>
                <w:lang w:eastAsia="zh-CN"/>
              </w:rPr>
              <w:t>投标人</w:t>
            </w:r>
            <w:r>
              <w:rPr>
                <w:rFonts w:ascii="宋体" w:hAnsi="Times New Roman"/>
              </w:rPr>
              <w:t>在</w:t>
            </w:r>
            <w:r>
              <w:rPr>
                <w:rFonts w:hint="eastAsia" w:ascii="宋体" w:hAnsi="Times New Roman"/>
                <w:lang w:eastAsia="zh-CN"/>
              </w:rPr>
              <w:t>项目所在地</w:t>
            </w:r>
            <w:r>
              <w:rPr>
                <w:rFonts w:ascii="宋体" w:hAnsi="Times New Roman"/>
              </w:rPr>
              <w:t>有售后服务网点</w:t>
            </w:r>
            <w:r>
              <w:rPr>
                <w:rFonts w:hint="eastAsia" w:ascii="宋体" w:hAnsi="Times New Roman"/>
                <w:lang w:eastAsia="zh-CN"/>
              </w:rPr>
              <w:t>或承诺中标后在项目所在地设立售后服务网点</w:t>
            </w:r>
            <w:r>
              <w:rPr>
                <w:rFonts w:ascii="宋体" w:hAnsi="Times New Roman"/>
              </w:rPr>
              <w:t>的</w:t>
            </w:r>
            <w:r>
              <w:rPr>
                <w:rFonts w:ascii="宋体" w:hAnsi="Times New Roman"/>
                <w:color w:val="auto"/>
                <w:u w:val="none"/>
              </w:rPr>
              <w:t>得1分。</w:t>
            </w:r>
          </w:p>
          <w:p>
            <w:pPr>
              <w:autoSpaceDN w:val="0"/>
              <w:spacing w:line="360" w:lineRule="auto"/>
              <w:rPr>
                <w:rFonts w:ascii="宋体" w:hAnsi="宋体" w:eastAsia="宋体"/>
              </w:rPr>
            </w:pPr>
            <w:r>
              <w:rPr>
                <w:rFonts w:ascii="宋体" w:hAnsi="Times New Roman"/>
                <w:color w:val="auto"/>
                <w:u w:val="none"/>
              </w:rPr>
              <w:t>说明：本项以</w:t>
            </w:r>
            <w:r>
              <w:rPr>
                <w:rFonts w:hint="eastAsia" w:ascii="宋体" w:hAnsi="Times New Roman"/>
                <w:color w:val="auto"/>
                <w:u w:val="none"/>
                <w:lang w:eastAsia="zh-CN"/>
              </w:rPr>
              <w:t>投标文件</w:t>
            </w:r>
            <w:r>
              <w:rPr>
                <w:rFonts w:ascii="宋体" w:hAnsi="Times New Roman"/>
                <w:color w:val="auto"/>
              </w:rPr>
              <w:t>中提供</w:t>
            </w:r>
            <w:r>
              <w:rPr>
                <w:rFonts w:ascii="宋体" w:hAnsi="Times New Roman"/>
              </w:rPr>
              <w:t>的售后服务网点营业执照影印件和服务电话为准。</w:t>
            </w:r>
          </w:p>
          <w:p>
            <w:pPr>
              <w:autoSpaceDN w:val="0"/>
              <w:spacing w:line="360" w:lineRule="auto"/>
              <w:rPr>
                <w:rFonts w:ascii="宋体" w:hAnsi="宋体" w:eastAsia="宋体"/>
              </w:rPr>
            </w:pPr>
            <w:r>
              <w:rPr>
                <w:rFonts w:ascii="宋体" w:hAnsi="宋体" w:eastAsia="宋体"/>
              </w:rPr>
              <w:t>2</w:t>
            </w:r>
            <w:r>
              <w:rPr>
                <w:rFonts w:ascii="宋体" w:hAnsi="Times New Roman"/>
              </w:rPr>
              <w:t>、产品质保期满足招标文件要求的基础上，每增加一年的质保期加0.5分，本项最多加2分。</w:t>
            </w:r>
          </w:p>
          <w:p>
            <w:pPr>
              <w:autoSpaceDN w:val="0"/>
              <w:spacing w:line="360" w:lineRule="auto"/>
              <w:rPr>
                <w:rFonts w:ascii="宋体" w:hAnsi="宋体" w:eastAsia="宋体"/>
              </w:rPr>
            </w:pPr>
            <w:r>
              <w:rPr>
                <w:rFonts w:ascii="宋体" w:hAnsi="Times New Roman"/>
              </w:rPr>
              <w:t>说明：本项以</w:t>
            </w:r>
            <w:r>
              <w:rPr>
                <w:rFonts w:hint="eastAsia" w:ascii="宋体" w:hAnsi="Times New Roman"/>
                <w:lang w:eastAsia="zh-CN"/>
              </w:rPr>
              <w:t>投标文件</w:t>
            </w:r>
            <w:r>
              <w:rPr>
                <w:rFonts w:ascii="宋体" w:hAnsi="Times New Roman"/>
              </w:rPr>
              <w:t>中提供的质保期承诺内容为准。</w:t>
            </w:r>
          </w:p>
          <w:p>
            <w:pPr>
              <w:autoSpaceDN w:val="0"/>
              <w:spacing w:line="360" w:lineRule="auto"/>
              <w:rPr>
                <w:rFonts w:ascii="宋体" w:hAnsi="宋体" w:eastAsia="宋体"/>
              </w:rPr>
            </w:pPr>
            <w:r>
              <w:rPr>
                <w:rFonts w:ascii="宋体" w:hAnsi="宋体" w:eastAsia="宋体"/>
              </w:rPr>
              <w:t>3</w:t>
            </w:r>
            <w:r>
              <w:rPr>
                <w:rFonts w:ascii="宋体" w:hAnsi="Times New Roman"/>
              </w:rPr>
              <w:t>、产品制造商获得《售后服务体系完善程度认证证书》，十星的得</w:t>
            </w:r>
            <w:r>
              <w:rPr>
                <w:rFonts w:ascii="宋体" w:hAnsi="宋体" w:eastAsia="宋体"/>
              </w:rPr>
              <w:t>2</w:t>
            </w:r>
            <w:r>
              <w:rPr>
                <w:rFonts w:ascii="宋体" w:hAnsi="Times New Roman"/>
              </w:rPr>
              <w:t>分，九星的得1分，其余不得分。</w:t>
            </w:r>
          </w:p>
          <w:p>
            <w:pPr>
              <w:autoSpaceDN w:val="0"/>
              <w:spacing w:line="360" w:lineRule="auto"/>
              <w:rPr>
                <w:rFonts w:ascii="宋体" w:hAnsi="宋体" w:eastAsia="宋体"/>
              </w:rPr>
            </w:pPr>
            <w:r>
              <w:rPr>
                <w:rFonts w:ascii="宋体" w:hAnsi="Times New Roman"/>
              </w:rPr>
              <w:t>说明：本项以</w:t>
            </w:r>
            <w:r>
              <w:rPr>
                <w:rFonts w:hint="eastAsia" w:ascii="宋体" w:hAnsi="Times New Roman"/>
                <w:lang w:eastAsia="zh-CN"/>
              </w:rPr>
              <w:t>投标文件</w:t>
            </w:r>
            <w:r>
              <w:rPr>
                <w:rFonts w:ascii="宋体" w:hAnsi="Times New Roman"/>
              </w:rPr>
              <w:t>中提供的响应产品制品商获得的服务认证证书影印件加盖</w:t>
            </w:r>
            <w:r>
              <w:rPr>
                <w:rFonts w:ascii="宋体" w:hAnsi="宋体" w:eastAsia="宋体"/>
              </w:rPr>
              <w:t>投标单位</w:t>
            </w:r>
            <w:r>
              <w:rPr>
                <w:rFonts w:ascii="宋体" w:hAnsi="Times New Roman"/>
              </w:rPr>
              <w:t>公章为准。</w:t>
            </w:r>
          </w:p>
        </w:tc>
        <w:tc>
          <w:tcPr>
            <w:tcW w:w="164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eastAsia="宋体"/>
              </w:rPr>
            </w:pPr>
            <w:r>
              <w:rPr>
                <w:rFonts w:ascii="宋体" w:hAnsi="Times New Roman"/>
              </w:rPr>
              <w:t>（共同评分因素）</w:t>
            </w:r>
          </w:p>
        </w:tc>
      </w:tr>
      <w:tr>
        <w:tblPrEx>
          <w:tblLayout w:type="fixed"/>
          <w:tblCellMar>
            <w:top w:w="0" w:type="dxa"/>
            <w:left w:w="108" w:type="dxa"/>
            <w:bottom w:w="0" w:type="dxa"/>
            <w:right w:w="108" w:type="dxa"/>
          </w:tblCellMar>
        </w:tblPrEx>
        <w:trPr>
          <w:trHeight w:val="558"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rPr>
              <w:t>7</w:t>
            </w:r>
          </w:p>
        </w:tc>
        <w:tc>
          <w:tcPr>
            <w:tcW w:w="1206"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rPr>
              <w:t>售后服务配置</w:t>
            </w:r>
          </w:p>
        </w:tc>
        <w:tc>
          <w:tcPr>
            <w:tcW w:w="708"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rPr>
              <w:t>5分</w:t>
            </w:r>
          </w:p>
        </w:tc>
        <w:tc>
          <w:tcPr>
            <w:tcW w:w="5670" w:type="dxa"/>
            <w:tcBorders>
              <w:top w:val="single" w:color="000000" w:sz="4" w:space="0"/>
              <w:bottom w:val="single" w:color="000000" w:sz="4" w:space="0"/>
              <w:right w:val="single" w:color="000000" w:sz="4" w:space="0"/>
            </w:tcBorders>
          </w:tcPr>
          <w:p>
            <w:pPr>
              <w:autoSpaceDN w:val="0"/>
              <w:spacing w:line="360" w:lineRule="auto"/>
              <w:rPr>
                <w:rFonts w:ascii="宋体" w:hAnsi="宋体" w:eastAsia="宋体"/>
              </w:rPr>
            </w:pPr>
            <w:r>
              <w:rPr>
                <w:rFonts w:ascii="宋体" w:hAnsi="Times New Roman"/>
              </w:rPr>
              <w:t>根据投标人提供的售后服务措施进行评审①服务承诺内容；②售后人员配置；③售后的工作流程规范；④售后保证措施及期限；⑤在采购人所在地设立售后服务机构。完全满足本项目售后服务要求的得5分，有缺项或遗漏的，扣1分，扣完为止。</w:t>
            </w:r>
          </w:p>
        </w:tc>
        <w:tc>
          <w:tcPr>
            <w:tcW w:w="164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eastAsia="宋体"/>
              </w:rPr>
            </w:pPr>
            <w:r>
              <w:rPr>
                <w:rFonts w:ascii="宋体" w:hAnsi="Times New Roman"/>
              </w:rPr>
              <w:t>（共同评分因素）</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hint="eastAsia" w:ascii="宋体" w:hAnsi="宋体" w:eastAsia="宋体"/>
                <w:lang w:eastAsia="zh-CN"/>
              </w:rPr>
            </w:pPr>
            <w:r>
              <w:rPr>
                <w:rFonts w:hint="eastAsia" w:ascii="宋体" w:hAnsi="宋体"/>
                <w:lang w:val="en-US" w:eastAsia="zh-CN"/>
              </w:rPr>
              <w:t>8</w:t>
            </w:r>
          </w:p>
        </w:tc>
        <w:tc>
          <w:tcPr>
            <w:tcW w:w="1206"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rPr>
              <w:t>节能、环境标志、无线局域网产品</w:t>
            </w:r>
          </w:p>
        </w:tc>
        <w:tc>
          <w:tcPr>
            <w:tcW w:w="708"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hint="eastAsia" w:ascii="宋体" w:hAnsi="宋体"/>
                <w:lang w:val="en-US" w:eastAsia="zh-CN"/>
              </w:rPr>
              <w:t>2</w:t>
            </w:r>
            <w:r>
              <w:rPr>
                <w:rFonts w:ascii="宋体" w:hAnsi="Times New Roman"/>
              </w:rPr>
              <w:t>分</w:t>
            </w:r>
          </w:p>
        </w:tc>
        <w:tc>
          <w:tcPr>
            <w:tcW w:w="5670" w:type="dxa"/>
            <w:tcBorders>
              <w:top w:val="single" w:color="000000" w:sz="4" w:space="0"/>
              <w:bottom w:val="single" w:color="000000" w:sz="4" w:space="0"/>
              <w:right w:val="single" w:color="000000" w:sz="4" w:space="0"/>
            </w:tcBorders>
            <w:vAlign w:val="center"/>
          </w:tcPr>
          <w:p>
            <w:pPr>
              <w:autoSpaceDN w:val="0"/>
              <w:spacing w:line="360" w:lineRule="auto"/>
              <w:rPr>
                <w:rFonts w:ascii="宋体" w:hAnsi="宋体" w:eastAsia="宋体"/>
              </w:rPr>
            </w:pPr>
            <w:r>
              <w:rPr>
                <w:rFonts w:ascii="宋体" w:hAnsi="Times New Roman"/>
              </w:rPr>
              <w:t>投标人所投产品中每有一项属于节能产品政府采购品目清单中优先采购范围的得0.5分；每有一项属于环境标志产品政府采购品目清单中优先采购范围的得0.5分；每有一项为无线局域网产品政府采购清单中的产品的得0.5分。本项</w:t>
            </w:r>
            <w:r>
              <w:rPr>
                <w:rFonts w:hint="eastAsia" w:ascii="宋体" w:hAnsi="Times New Roman"/>
                <w:lang w:eastAsia="zh-CN"/>
              </w:rPr>
              <w:t>最多得</w:t>
            </w:r>
            <w:r>
              <w:rPr>
                <w:rFonts w:hint="eastAsia" w:ascii="宋体" w:hAnsi="宋体"/>
                <w:lang w:val="en-US" w:eastAsia="zh-CN"/>
              </w:rPr>
              <w:t>2</w:t>
            </w:r>
            <w:r>
              <w:rPr>
                <w:rFonts w:ascii="宋体" w:hAnsi="Times New Roman"/>
              </w:rPr>
              <w:t>分。</w:t>
            </w:r>
          </w:p>
          <w:p>
            <w:pPr>
              <w:autoSpaceDN w:val="0"/>
              <w:spacing w:line="360" w:lineRule="auto"/>
              <w:rPr>
                <w:rFonts w:ascii="宋体" w:hAnsi="宋体" w:eastAsia="宋体"/>
              </w:rPr>
            </w:pPr>
            <w:r>
              <w:rPr>
                <w:rFonts w:ascii="宋体" w:hAnsi="Times New Roman"/>
              </w:rPr>
              <w:t>注：</w:t>
            </w:r>
          </w:p>
          <w:p>
            <w:pPr>
              <w:autoSpaceDN w:val="0"/>
              <w:spacing w:line="360" w:lineRule="auto"/>
              <w:rPr>
                <w:rFonts w:ascii="宋体" w:hAnsi="宋体" w:eastAsia="宋体"/>
              </w:rPr>
            </w:pPr>
            <w:r>
              <w:rPr>
                <w:rFonts w:ascii="宋体" w:hAnsi="Times New Roman"/>
              </w:rPr>
              <w:t>1、可重复计分；</w:t>
            </w:r>
          </w:p>
          <w:p>
            <w:pPr>
              <w:autoSpaceDN w:val="0"/>
              <w:spacing w:line="360" w:lineRule="auto"/>
              <w:rPr>
                <w:rFonts w:ascii="宋体" w:hAnsi="宋体" w:eastAsia="宋体"/>
              </w:rPr>
            </w:pPr>
            <w:r>
              <w:rPr>
                <w:rFonts w:ascii="宋体" w:hAnsi="Times New Roman"/>
              </w:rPr>
              <w:t>2、本项目采购的产品中属于节能产品或环境标志产品政府采购品目清单中强制采购范围的，不属于本项评分范围。</w:t>
            </w:r>
          </w:p>
          <w:p>
            <w:pPr>
              <w:autoSpaceDN w:val="0"/>
              <w:spacing w:line="360" w:lineRule="auto"/>
              <w:rPr>
                <w:rFonts w:ascii="宋体" w:hAnsi="宋体" w:eastAsia="宋体"/>
              </w:rPr>
            </w:pPr>
            <w:r>
              <w:rPr>
                <w:rFonts w:ascii="宋体" w:hAnsi="Times New Roman"/>
              </w:rPr>
              <w:t>3、投标人所投产品属于节能产品或环境标志产品政府采购品目清单中优先采购范围的，应当在投标文件中提供国家确定的认证机构出具的、处于有效期之内的节能产品或环境标志产品认证证书复印件并加盖供应商公章（鲜章），否则不予给分。</w:t>
            </w:r>
          </w:p>
          <w:p>
            <w:pPr>
              <w:autoSpaceDN w:val="0"/>
              <w:spacing w:line="360" w:lineRule="auto"/>
              <w:rPr>
                <w:rFonts w:ascii="宋体" w:hAnsi="宋体" w:eastAsia="宋体"/>
              </w:rPr>
            </w:pPr>
            <w:r>
              <w:rPr>
                <w:rFonts w:ascii="宋体" w:hAnsi="Times New Roman"/>
              </w:rPr>
              <w:t>4、投标人所投产品属于优先采购范围内的无线局域网产品的，需提供《中国政府采购网》公布的无线局域网产品政府采购清单封面及对应页并加盖供应商单位公章（鲜章）。</w:t>
            </w:r>
          </w:p>
          <w:p>
            <w:pPr>
              <w:autoSpaceDN w:val="0"/>
              <w:spacing w:line="360" w:lineRule="auto"/>
              <w:rPr>
                <w:rFonts w:ascii="宋体" w:hAnsi="宋体" w:eastAsia="宋体"/>
              </w:rPr>
            </w:pPr>
            <w:r>
              <w:rPr>
                <w:rFonts w:ascii="宋体" w:hAnsi="Times New Roman"/>
              </w:rPr>
              <w:t>5、如涉及招标文件其他部分对节能、环境标志、无线局域网产品相关证书有专门要求的，此处不再重复计分。</w:t>
            </w:r>
          </w:p>
          <w:p>
            <w:pPr>
              <w:autoSpaceDN w:val="0"/>
              <w:spacing w:line="360" w:lineRule="auto"/>
              <w:rPr>
                <w:rFonts w:ascii="宋体" w:hAnsi="宋体" w:eastAsia="宋体"/>
              </w:rPr>
            </w:pPr>
            <w:r>
              <w:rPr>
                <w:rFonts w:ascii="宋体" w:hAnsi="Times New Roman"/>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tc>
        <w:tc>
          <w:tcPr>
            <w:tcW w:w="1644"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rPr>
              <w:t>（共同评分因素）</w:t>
            </w:r>
          </w:p>
        </w:tc>
      </w:tr>
      <w:tr>
        <w:tblPrEx>
          <w:tblLayout w:type="fixed"/>
          <w:tblCellMar>
            <w:top w:w="0" w:type="dxa"/>
            <w:left w:w="108" w:type="dxa"/>
            <w:bottom w:w="0" w:type="dxa"/>
            <w:right w:w="108" w:type="dxa"/>
          </w:tblCellMar>
        </w:tblPrEx>
        <w:trPr>
          <w:trHeight w:val="350" w:hRule="atLeast"/>
          <w:jc w:val="center"/>
        </w:trPr>
        <w:tc>
          <w:tcPr>
            <w:tcW w:w="497"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hint="eastAsia" w:ascii="宋体" w:hAnsi="宋体" w:eastAsia="宋体"/>
                <w:lang w:eastAsia="zh-CN"/>
              </w:rPr>
            </w:pPr>
            <w:r>
              <w:rPr>
                <w:rFonts w:hint="eastAsia" w:ascii="宋体" w:hAnsi="Times New Roman"/>
                <w:lang w:val="en-US" w:eastAsia="zh-CN"/>
              </w:rPr>
              <w:t>9</w:t>
            </w:r>
          </w:p>
        </w:tc>
        <w:tc>
          <w:tcPr>
            <w:tcW w:w="1206"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rPr>
              <w:t>扶持不发达地区和少数民族地区</w:t>
            </w:r>
          </w:p>
        </w:tc>
        <w:tc>
          <w:tcPr>
            <w:tcW w:w="708"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rPr>
              <w:t>1分</w:t>
            </w:r>
          </w:p>
        </w:tc>
        <w:tc>
          <w:tcPr>
            <w:tcW w:w="5670" w:type="dxa"/>
            <w:tcBorders>
              <w:top w:val="single" w:color="000000" w:sz="4" w:space="0"/>
              <w:bottom w:val="single" w:color="000000" w:sz="4" w:space="0"/>
              <w:right w:val="single" w:color="000000" w:sz="4" w:space="0"/>
            </w:tcBorders>
            <w:vAlign w:val="center"/>
          </w:tcPr>
          <w:p>
            <w:pPr>
              <w:autoSpaceDN w:val="0"/>
              <w:spacing w:line="360" w:lineRule="auto"/>
              <w:rPr>
                <w:rFonts w:ascii="宋体" w:hAnsi="宋体" w:eastAsia="宋体"/>
              </w:rPr>
            </w:pPr>
            <w:r>
              <w:rPr>
                <w:rFonts w:ascii="宋体" w:hAnsi="Times New Roman"/>
              </w:rPr>
              <w:t>投标人为不发达地区或少数民族地区企业的得1分。</w:t>
            </w:r>
          </w:p>
          <w:p>
            <w:pPr>
              <w:autoSpaceDN w:val="0"/>
              <w:spacing w:line="360" w:lineRule="auto"/>
              <w:rPr>
                <w:rFonts w:ascii="宋体" w:hAnsi="宋体" w:eastAsia="宋体"/>
              </w:rPr>
            </w:pPr>
            <w:r>
              <w:rPr>
                <w:rFonts w:ascii="宋体" w:hAnsi="Times New Roman"/>
              </w:rPr>
              <w:t>注：提供不发达地区企业的相关证明材料或投标人注册地为少数民族地区。</w:t>
            </w:r>
          </w:p>
        </w:tc>
        <w:tc>
          <w:tcPr>
            <w:tcW w:w="1644" w:type="dxa"/>
            <w:tcBorders>
              <w:top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rPr>
            </w:pPr>
            <w:r>
              <w:rPr>
                <w:rFonts w:ascii="宋体" w:hAnsi="Times New Roman"/>
              </w:rPr>
              <w:t>（共同评分因素）</w:t>
            </w:r>
          </w:p>
        </w:tc>
      </w:tr>
      <w:tr>
        <w:tblPrEx>
          <w:tblLayout w:type="fixed"/>
          <w:tblCellMar>
            <w:top w:w="0" w:type="dxa"/>
            <w:left w:w="108" w:type="dxa"/>
            <w:bottom w:w="0" w:type="dxa"/>
            <w:right w:w="108" w:type="dxa"/>
          </w:tblCellMar>
        </w:tblPrEx>
        <w:trPr>
          <w:trHeight w:val="350" w:hRule="atLeast"/>
          <w:jc w:val="center"/>
        </w:trPr>
        <w:tc>
          <w:tcPr>
            <w:tcW w:w="9725"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rPr>
                <w:rFonts w:ascii="宋体" w:hAnsi="宋体" w:eastAsia="宋体"/>
                <w:b/>
              </w:rPr>
            </w:pPr>
            <w:r>
              <w:rPr>
                <w:rFonts w:ascii="宋体" w:hAnsi="Times New Roman"/>
                <w:b/>
              </w:rPr>
              <w:t>注：评标委员会在评标过程中计算得分分数时，如涉及小数的，四舍五入后保留小数点后两位。</w:t>
            </w:r>
          </w:p>
        </w:tc>
      </w:tr>
    </w:tbl>
    <w:tbl>
      <w:tblPr>
        <w:tblStyle w:val="47"/>
        <w:tblpPr w:leftFromText="180" w:rightFromText="180" w:vertAnchor="text" w:tblpX="-332" w:tblpY="25378"/>
        <w:tblOverlap w:val="never"/>
        <w:tblW w:w="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 w:hRule="atLeast"/>
        </w:trPr>
        <w:tc>
          <w:tcPr>
            <w:tcW w:w="944" w:type="dxa"/>
          </w:tcPr>
          <w:p>
            <w:pPr>
              <w:pStyle w:val="2"/>
              <w:rPr>
                <w:rFonts w:hint="eastAsia" w:ascii="宋体" w:hAnsi="宋体"/>
                <w:b/>
                <w:bCs/>
                <w:sz w:val="28"/>
                <w:szCs w:val="28"/>
                <w:vertAlign w:val="baseline"/>
              </w:rPr>
            </w:pPr>
          </w:p>
        </w:tc>
      </w:tr>
    </w:tbl>
    <w:p>
      <w:pPr>
        <w:pStyle w:val="2"/>
        <w:rPr>
          <w:rFonts w:hint="eastAsia" w:ascii="宋体" w:hAnsi="宋体"/>
          <w:b/>
          <w:bCs/>
          <w:sz w:val="28"/>
          <w:szCs w:val="28"/>
        </w:rPr>
      </w:pPr>
    </w:p>
    <w:p/>
    <w:p>
      <w:pPr>
        <w:ind w:firstLine="560" w:firstLineChars="200"/>
        <w:rPr>
          <w:rFonts w:ascii="宋体" w:hAnsi="宋体"/>
          <w:sz w:val="28"/>
        </w:rPr>
      </w:pPr>
      <w:r>
        <w:rPr>
          <w:rFonts w:hint="eastAsia" w:ascii="宋体" w:hAnsi="宋体"/>
          <w:sz w:val="28"/>
        </w:rPr>
        <w:t>说明：</w:t>
      </w:r>
    </w:p>
    <w:p>
      <w:pPr>
        <w:spacing w:line="360" w:lineRule="auto"/>
        <w:ind w:firstLine="560" w:firstLineChars="200"/>
        <w:rPr>
          <w:rFonts w:ascii="宋体" w:hAnsi="宋体"/>
          <w:sz w:val="28"/>
        </w:rPr>
      </w:pPr>
      <w:r>
        <w:rPr>
          <w:rFonts w:hint="eastAsia" w:ascii="宋体" w:hAnsi="宋体"/>
          <w:sz w:val="28"/>
        </w:rPr>
        <w:t>1、评分的取值按四舍五入法，保留小数点后两位；</w:t>
      </w:r>
    </w:p>
    <w:p>
      <w:pPr>
        <w:spacing w:line="360" w:lineRule="auto"/>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166" w:name="_Toc74752346"/>
      <w:r>
        <w:rPr>
          <w:rFonts w:hint="eastAsia" w:ascii="宋体" w:hAnsi="宋体"/>
          <w:b/>
          <w:bCs/>
          <w:sz w:val="28"/>
          <w:szCs w:val="28"/>
        </w:rPr>
        <w:t>废标</w:t>
      </w:r>
      <w:bookmarkEnd w:id="166"/>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48"/>
        </w:numPr>
        <w:tabs>
          <w:tab w:val="left" w:pos="1155"/>
        </w:tabs>
        <w:spacing w:line="360" w:lineRule="auto"/>
        <w:ind w:left="0" w:firstLine="525"/>
        <w:rPr>
          <w:rFonts w:ascii="宋体" w:hAnsi="宋体"/>
          <w:sz w:val="28"/>
          <w:szCs w:val="28"/>
        </w:rPr>
      </w:pPr>
      <w:r>
        <w:rPr>
          <w:rFonts w:hint="eastAsia" w:ascii="宋体" w:hAnsi="宋体"/>
          <w:sz w:val="28"/>
          <w:szCs w:val="28"/>
        </w:rPr>
        <w:t>废标后，</w:t>
      </w:r>
      <w:r>
        <w:rPr>
          <w:rFonts w:hint="eastAsia" w:ascii="宋体" w:hAnsi="宋体"/>
          <w:sz w:val="28"/>
          <w:szCs w:val="28"/>
          <w:lang w:eastAsia="zh-CN"/>
        </w:rPr>
        <w:t>区公资交易中心</w:t>
      </w:r>
      <w:r>
        <w:rPr>
          <w:rFonts w:hint="eastAsia" w:ascii="宋体" w:hAnsi="宋体"/>
          <w:sz w:val="28"/>
          <w:szCs w:val="28"/>
        </w:rPr>
        <w:t>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167" w:name="_Toc74752347"/>
      <w:r>
        <w:rPr>
          <w:rFonts w:hint="eastAsia" w:ascii="宋体" w:hAnsi="宋体"/>
          <w:b/>
          <w:bCs/>
          <w:sz w:val="28"/>
          <w:szCs w:val="28"/>
        </w:rPr>
        <w:t>定标</w:t>
      </w:r>
      <w:bookmarkEnd w:id="167"/>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560" w:lineRule="exact"/>
        <w:ind w:firstLine="560" w:firstLineChars="200"/>
        <w:rPr>
          <w:rFonts w:ascii="宋体" w:hAnsi="宋体"/>
          <w:sz w:val="28"/>
          <w:szCs w:val="28"/>
        </w:rPr>
      </w:pPr>
      <w:r>
        <w:rPr>
          <w:rFonts w:hint="eastAsia" w:ascii="宋体" w:hAnsi="宋体"/>
          <w:sz w:val="28"/>
          <w:szCs w:val="28"/>
        </w:rPr>
        <w:t>本项目根据评标委员会确定的中标候选人名单，采购人按顺序确定1名中标人。中标候选供应商并列的，</w:t>
      </w:r>
      <w:r>
        <w:rPr>
          <w:rFonts w:hint="eastAsia" w:ascii="宋体"/>
          <w:sz w:val="28"/>
          <w:szCs w:val="28"/>
        </w:rPr>
        <w:t>由采购人采取随机抽取的方式确定中标人</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cs="Helvetica" w:asciiTheme="minorEastAsia" w:hAnsiTheme="minorEastAsia" w:eastAsiaTheme="minorEastAsia"/>
          <w:kern w:val="0"/>
          <w:sz w:val="28"/>
          <w:szCs w:val="28"/>
        </w:rPr>
        <w:t>采购人在收到评标报告</w:t>
      </w:r>
      <w:r>
        <w:rPr>
          <w:rFonts w:hint="eastAsia" w:cs="宋体" w:asciiTheme="minorEastAsia" w:hAnsiTheme="minorEastAsia" w:eastAsiaTheme="minorEastAsia"/>
          <w:kern w:val="0"/>
          <w:sz w:val="28"/>
          <w:szCs w:val="28"/>
        </w:rPr>
        <w:t>5</w:t>
      </w:r>
      <w:r>
        <w:rPr>
          <w:rFonts w:hint="eastAsia" w:cs="Helvetica" w:asciiTheme="minorEastAsia" w:hAnsiTheme="minorEastAsia" w:eastAsiaTheme="minorEastAsi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w:t>
      </w:r>
      <w:r>
        <w:rPr>
          <w:rFonts w:hint="eastAsia" w:ascii="宋体" w:hAnsi="宋体" w:cs="Helvetica"/>
          <w:sz w:val="28"/>
          <w:szCs w:val="28"/>
          <w:lang w:eastAsia="zh-CN"/>
        </w:rPr>
        <w:t>区公资交易中心</w:t>
      </w:r>
      <w:r>
        <w:rPr>
          <w:rFonts w:hint="eastAsia" w:ascii="宋体" w:hAnsi="宋体" w:cs="Helvetica"/>
          <w:sz w:val="28"/>
          <w:szCs w:val="28"/>
        </w:rPr>
        <w:t>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w:t>
      </w:r>
      <w:r>
        <w:rPr>
          <w:rFonts w:hint="eastAsia" w:ascii="宋体" w:hAnsi="宋体" w:cs="Helvetica"/>
          <w:sz w:val="28"/>
          <w:szCs w:val="28"/>
          <w:lang w:eastAsia="zh-CN"/>
        </w:rPr>
        <w:t>区公资交易中心</w:t>
      </w:r>
      <w:r>
        <w:rPr>
          <w:rFonts w:hint="eastAsia" w:ascii="宋体" w:hAnsi="宋体" w:cs="Helvetica"/>
          <w:sz w:val="28"/>
          <w:szCs w:val="28"/>
        </w:rPr>
        <w:t>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w:t>
      </w:r>
      <w:r>
        <w:rPr>
          <w:rFonts w:hint="eastAsia" w:ascii="宋体" w:hAnsi="宋体" w:cs="Helvetica"/>
          <w:sz w:val="28"/>
          <w:szCs w:val="28"/>
          <w:lang w:eastAsia="zh-CN"/>
        </w:rPr>
        <w:t>区公资交易中心</w:t>
      </w:r>
      <w:r>
        <w:rPr>
          <w:rFonts w:hint="eastAsia" w:ascii="宋体" w:hAnsi="宋体" w:cs="Helvetica"/>
          <w:sz w:val="28"/>
          <w:szCs w:val="28"/>
        </w:rPr>
        <w:t>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68" w:name="_Toc74752348"/>
      <w:r>
        <w:rPr>
          <w:rFonts w:hint="eastAsia" w:ascii="宋体" w:hAnsi="宋体"/>
          <w:b/>
          <w:bCs/>
          <w:sz w:val="28"/>
          <w:szCs w:val="28"/>
        </w:rPr>
        <w:t>评标专家在政府采购活动中承担以下义务</w:t>
      </w:r>
      <w:bookmarkEnd w:id="168"/>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遵纪守法，客观、公正、廉洁地履行职责。</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保守秘密。不得泄漏投标人的投标文件及知悉的商业秘密，不得向投标人透露评审情况。</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发现投标人在政府采购活动中有不正当竞争或恶意串通等违规行为，及时向政府采购评审工作的组织者或财政部门报告并加以制止。</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发现采购人、</w:t>
      </w:r>
      <w:r>
        <w:rPr>
          <w:rFonts w:hint="eastAsia" w:ascii="宋体" w:hAnsi="宋体"/>
          <w:sz w:val="28"/>
          <w:szCs w:val="28"/>
          <w:lang w:eastAsia="zh-CN"/>
        </w:rPr>
        <w:t>区公资交易中心</w:t>
      </w:r>
      <w:r>
        <w:rPr>
          <w:rFonts w:hint="eastAsia" w:ascii="宋体" w:hAnsi="宋体"/>
          <w:sz w:val="28"/>
          <w:szCs w:val="28"/>
        </w:rPr>
        <w:t>及其工作人员在政府采购活动中有干预评审、发表倾向性和歧视性言论、受贿或者接受投标人的其他好处及其他违法违规行为，及时向财政部门报告。</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解答有关方面对政府采购评审工作中有关问题的询问，配合采购人或者</w:t>
      </w:r>
      <w:r>
        <w:rPr>
          <w:rFonts w:hint="eastAsia" w:ascii="宋体" w:hAnsi="宋体"/>
          <w:sz w:val="28"/>
          <w:szCs w:val="28"/>
          <w:lang w:eastAsia="zh-CN"/>
        </w:rPr>
        <w:t>区公资交易中心</w:t>
      </w:r>
      <w:r>
        <w:rPr>
          <w:rFonts w:hint="eastAsia" w:ascii="宋体" w:hAnsi="宋体"/>
          <w:sz w:val="28"/>
          <w:szCs w:val="28"/>
        </w:rPr>
        <w:t>答复投标人的询问、质疑，配合财政部门的投诉处理工作等事宜。</w:t>
      </w:r>
    </w:p>
    <w:p>
      <w:pPr>
        <w:numPr>
          <w:ilvl w:val="0"/>
          <w:numId w:val="49"/>
        </w:numPr>
        <w:tabs>
          <w:tab w:val="left" w:pos="1155"/>
        </w:tabs>
        <w:spacing w:line="360" w:lineRule="auto"/>
        <w:ind w:left="0" w:firstLine="525"/>
        <w:rPr>
          <w:rFonts w:ascii="宋体" w:hAnsi="宋体"/>
          <w:sz w:val="28"/>
          <w:szCs w:val="28"/>
        </w:rPr>
      </w:pPr>
      <w:r>
        <w:rPr>
          <w:rFonts w:hint="eastAsia" w:ascii="宋体" w:hAnsi="宋体"/>
          <w:sz w:val="28"/>
          <w:szCs w:val="28"/>
        </w:rPr>
        <w:t>法律、法规和规章规定的其他义务。</w:t>
      </w:r>
    </w:p>
    <w:p>
      <w:pPr>
        <w:keepNext/>
        <w:keepLines/>
        <w:numPr>
          <w:ilvl w:val="1"/>
          <w:numId w:val="5"/>
        </w:numPr>
        <w:spacing w:line="360" w:lineRule="auto"/>
        <w:jc w:val="left"/>
        <w:outlineLvl w:val="1"/>
        <w:rPr>
          <w:rFonts w:ascii="宋体" w:hAnsi="宋体"/>
          <w:b/>
          <w:bCs/>
          <w:sz w:val="28"/>
          <w:szCs w:val="28"/>
        </w:rPr>
      </w:pPr>
      <w:bookmarkStart w:id="169" w:name="_Toc74752349"/>
      <w:r>
        <w:rPr>
          <w:rFonts w:hint="eastAsia" w:ascii="宋体" w:hAnsi="宋体"/>
          <w:b/>
          <w:bCs/>
          <w:sz w:val="28"/>
          <w:szCs w:val="28"/>
        </w:rPr>
        <w:t>评标委员会及其成员不得有下列行为</w:t>
      </w:r>
      <w:bookmarkEnd w:id="169"/>
    </w:p>
    <w:p>
      <w:pPr>
        <w:numPr>
          <w:ilvl w:val="0"/>
          <w:numId w:val="50"/>
        </w:numPr>
        <w:tabs>
          <w:tab w:val="left" w:pos="1155"/>
        </w:tabs>
        <w:spacing w:line="360" w:lineRule="auto"/>
        <w:rPr>
          <w:rFonts w:ascii="宋体" w:hAnsi="宋体"/>
          <w:sz w:val="28"/>
          <w:szCs w:val="28"/>
        </w:rPr>
      </w:pPr>
      <w:r>
        <w:rPr>
          <w:rFonts w:hint="eastAsia" w:ascii="宋体" w:hAnsi="宋体"/>
          <w:sz w:val="28"/>
          <w:szCs w:val="28"/>
        </w:rPr>
        <w:t>确定参与评标至评标结束前私自接触投标人；</w:t>
      </w:r>
    </w:p>
    <w:p>
      <w:pPr>
        <w:numPr>
          <w:ilvl w:val="0"/>
          <w:numId w:val="50"/>
        </w:numPr>
        <w:tabs>
          <w:tab w:val="left" w:pos="1155"/>
        </w:tabs>
        <w:spacing w:line="360" w:lineRule="auto"/>
        <w:ind w:left="0" w:firstLine="567"/>
        <w:rPr>
          <w:rFonts w:ascii="宋体" w:hAnsi="宋体"/>
          <w:sz w:val="28"/>
          <w:szCs w:val="28"/>
        </w:rPr>
      </w:pPr>
      <w:r>
        <w:rPr>
          <w:rFonts w:hint="eastAsia" w:ascii="宋体" w:hAnsi="宋体"/>
          <w:sz w:val="28"/>
          <w:szCs w:val="28"/>
        </w:rPr>
        <w:t>接受投标人提出的与投标文件不一致的澄清或者说明，除招标文件明确可以澄清的除外；</w:t>
      </w:r>
    </w:p>
    <w:p>
      <w:pPr>
        <w:numPr>
          <w:ilvl w:val="0"/>
          <w:numId w:val="50"/>
        </w:numPr>
        <w:tabs>
          <w:tab w:val="left" w:pos="1155"/>
        </w:tabs>
        <w:spacing w:line="360" w:lineRule="auto"/>
        <w:ind w:left="0" w:firstLine="567"/>
        <w:rPr>
          <w:rFonts w:ascii="宋体" w:hAnsi="宋体"/>
          <w:sz w:val="28"/>
          <w:szCs w:val="28"/>
        </w:rPr>
      </w:pPr>
      <w:r>
        <w:rPr>
          <w:rFonts w:hint="eastAsia" w:ascii="宋体" w:hAnsi="宋体"/>
          <w:sz w:val="28"/>
          <w:szCs w:val="28"/>
        </w:rPr>
        <w:t>违反评标纪律发表倾向性意见或者征询采购人的倾向性意见；</w:t>
      </w:r>
    </w:p>
    <w:p>
      <w:pPr>
        <w:numPr>
          <w:ilvl w:val="0"/>
          <w:numId w:val="50"/>
        </w:numPr>
        <w:tabs>
          <w:tab w:val="left" w:pos="1155"/>
        </w:tabs>
        <w:spacing w:line="360" w:lineRule="auto"/>
        <w:rPr>
          <w:rFonts w:ascii="宋体" w:hAnsi="宋体"/>
          <w:sz w:val="28"/>
          <w:szCs w:val="28"/>
        </w:rPr>
      </w:pPr>
      <w:r>
        <w:rPr>
          <w:rFonts w:hint="eastAsia" w:ascii="宋体" w:hAnsi="宋体"/>
          <w:sz w:val="28"/>
          <w:szCs w:val="28"/>
        </w:rPr>
        <w:t>对需要专业判断的主观评审因素协商评分；</w:t>
      </w:r>
    </w:p>
    <w:p>
      <w:pPr>
        <w:numPr>
          <w:ilvl w:val="0"/>
          <w:numId w:val="50"/>
        </w:numPr>
        <w:tabs>
          <w:tab w:val="left" w:pos="1155"/>
        </w:tabs>
        <w:spacing w:line="360" w:lineRule="auto"/>
        <w:rPr>
          <w:rFonts w:ascii="宋体" w:hAnsi="宋体"/>
          <w:sz w:val="28"/>
          <w:szCs w:val="28"/>
        </w:rPr>
      </w:pPr>
      <w:r>
        <w:rPr>
          <w:rFonts w:hint="eastAsia" w:ascii="宋体" w:hAnsi="宋体"/>
          <w:sz w:val="28"/>
          <w:szCs w:val="28"/>
        </w:rPr>
        <w:t>在评标过程中擅离职守，影响评标程序正常进行的；</w:t>
      </w:r>
    </w:p>
    <w:p>
      <w:pPr>
        <w:numPr>
          <w:ilvl w:val="0"/>
          <w:numId w:val="50"/>
        </w:numPr>
        <w:tabs>
          <w:tab w:val="left" w:pos="1155"/>
        </w:tabs>
        <w:spacing w:line="360" w:lineRule="auto"/>
        <w:rPr>
          <w:rFonts w:ascii="宋体" w:hAnsi="宋体"/>
          <w:sz w:val="28"/>
          <w:szCs w:val="28"/>
        </w:rPr>
      </w:pPr>
      <w:r>
        <w:rPr>
          <w:rFonts w:hint="eastAsia" w:ascii="宋体" w:hAnsi="宋体"/>
          <w:sz w:val="28"/>
          <w:szCs w:val="28"/>
        </w:rPr>
        <w:t>记录、复制或者带走任何评标资料；</w:t>
      </w:r>
    </w:p>
    <w:p>
      <w:pPr>
        <w:numPr>
          <w:ilvl w:val="0"/>
          <w:numId w:val="50"/>
        </w:numPr>
        <w:tabs>
          <w:tab w:val="left" w:pos="1155"/>
        </w:tabs>
        <w:spacing w:line="360" w:lineRule="auto"/>
        <w:rPr>
          <w:rFonts w:ascii="宋体" w:hAnsi="宋体"/>
          <w:sz w:val="28"/>
          <w:szCs w:val="28"/>
        </w:rPr>
      </w:pPr>
      <w:r>
        <w:rPr>
          <w:rFonts w:hint="eastAsia" w:ascii="宋体" w:hAnsi="宋体"/>
          <w:sz w:val="28"/>
          <w:szCs w:val="28"/>
        </w:rPr>
        <w:t>其他不遵守评标纪律的行为。</w:t>
      </w:r>
    </w:p>
    <w:p>
      <w:pPr>
        <w:spacing w:line="360" w:lineRule="auto"/>
        <w:ind w:firstLine="560" w:firstLineChars="200"/>
        <w:rPr>
          <w:sz w:val="28"/>
          <w:szCs w:val="28"/>
        </w:rPr>
      </w:pPr>
      <w:r>
        <w:rPr>
          <w:rFonts w:hint="eastAsia"/>
          <w:sz w:val="28"/>
          <w:szCs w:val="28"/>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8"/>
          <w:szCs w:val="28"/>
        </w:rPr>
      </w:pPr>
      <w:bookmarkStart w:id="170" w:name="_Toc74752350"/>
      <w:r>
        <w:rPr>
          <w:rFonts w:hint="eastAsia" w:ascii="宋体" w:hAnsi="宋体"/>
          <w:b/>
          <w:bCs/>
          <w:sz w:val="28"/>
          <w:szCs w:val="28"/>
        </w:rPr>
        <w:t>评审专家在政府采购活动中应当遵守以下工作纪律</w:t>
      </w:r>
      <w:bookmarkEnd w:id="170"/>
    </w:p>
    <w:p>
      <w:pPr>
        <w:numPr>
          <w:ilvl w:val="0"/>
          <w:numId w:val="51"/>
        </w:numPr>
        <w:tabs>
          <w:tab w:val="left" w:pos="1155"/>
        </w:tabs>
        <w:spacing w:line="360" w:lineRule="auto"/>
        <w:ind w:left="0" w:firstLine="527"/>
        <w:rPr>
          <w:rFonts w:ascii="宋体" w:hAnsi="宋体"/>
          <w:sz w:val="28"/>
          <w:szCs w:val="28"/>
        </w:rPr>
      </w:pPr>
      <w:r>
        <w:rPr>
          <w:rFonts w:hint="eastAsia" w:ascii="宋体" w:hAnsi="宋体"/>
          <w:sz w:val="28"/>
          <w:szCs w:val="28"/>
        </w:rPr>
        <w:t>遵行《政府采购法》第十二条和《政府采购法实施条例》第九条及政府采购相关法律法规关于回避的规定。</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应邀按时参加评审和咨询活动，遵守评标区管理规定。</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进入评标区之前应将所有的通信设备存入公资交易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8"/>
          <w:szCs w:val="28"/>
          <w:lang w:eastAsia="zh-CN"/>
        </w:rPr>
        <w:t>区公资交易中心</w:t>
      </w:r>
      <w:r>
        <w:rPr>
          <w:rFonts w:hint="eastAsia" w:ascii="宋体" w:hAnsi="宋体"/>
          <w:sz w:val="28"/>
          <w:szCs w:val="28"/>
        </w:rPr>
        <w:t>，不得私自转托他人。</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不得参加与自己有利害关系的政府采购项目的评审活动。对与自己有利害关系的评审项目，如受到邀请，应主动提出回避。财政部门、采购人或</w:t>
      </w:r>
      <w:r>
        <w:rPr>
          <w:rFonts w:hint="eastAsia" w:cs="Arial"/>
          <w:sz w:val="28"/>
          <w:szCs w:val="28"/>
          <w:lang w:eastAsia="zh-CN"/>
        </w:rPr>
        <w:t>区公资交易中心</w:t>
      </w:r>
      <w:r>
        <w:rPr>
          <w:rFonts w:hint="eastAsia" w:ascii="宋体" w:hAnsi="宋体"/>
          <w:sz w:val="28"/>
          <w:szCs w:val="28"/>
        </w:rPr>
        <w:t>也可要求该评审专家回避。</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在评标过程中和评标结束后，不得记录、复制或带走任何评标资料，除因规定的义务外，不得向外界透露评标内容。</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服从评标现场</w:t>
      </w:r>
      <w:r>
        <w:rPr>
          <w:rFonts w:hint="eastAsia" w:cs="Arial"/>
          <w:sz w:val="28"/>
          <w:szCs w:val="28"/>
          <w:lang w:eastAsia="zh-CN"/>
        </w:rPr>
        <w:t>区公资交易中心</w:t>
      </w:r>
      <w:r>
        <w:rPr>
          <w:rFonts w:hint="eastAsia" w:ascii="宋体" w:hAnsi="宋体"/>
          <w:sz w:val="28"/>
          <w:szCs w:val="28"/>
        </w:rPr>
        <w:t>的现场秩序管理，接受评标现场监督人员的合法监督。</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遵守有关廉洁自律规定，不得私下接触投标人，不得收受投标人及有关业务单位和个人的财物或好处，不得接受采购组织单位的请托。</w:t>
      </w:r>
    </w:p>
    <w:p>
      <w:pPr>
        <w:numPr>
          <w:ilvl w:val="0"/>
          <w:numId w:val="51"/>
        </w:numPr>
        <w:tabs>
          <w:tab w:val="left" w:pos="1155"/>
        </w:tabs>
        <w:spacing w:line="580" w:lineRule="exact"/>
        <w:ind w:left="0" w:firstLine="527"/>
        <w:rPr>
          <w:rFonts w:ascii="宋体" w:hAnsi="宋体"/>
          <w:sz w:val="28"/>
          <w:szCs w:val="28"/>
        </w:rPr>
      </w:pPr>
      <w:r>
        <w:rPr>
          <w:rFonts w:hint="eastAsia" w:ascii="宋体" w:hAnsi="宋体"/>
          <w:sz w:val="28"/>
          <w:szCs w:val="28"/>
        </w:rPr>
        <w:t>在咨询工作中，严格执行国家产业政策和产品标准，认真听取咨询方的合理要求，提出科学合理的、无倾向性和歧视性的咨询方案，并对所提出的意见和建议承担个人责任。</w:t>
      </w:r>
    </w:p>
    <w:p>
      <w:pPr>
        <w:numPr>
          <w:ilvl w:val="0"/>
          <w:numId w:val="51"/>
        </w:numPr>
        <w:tabs>
          <w:tab w:val="left" w:pos="1155"/>
          <w:tab w:val="left" w:pos="1276"/>
          <w:tab w:val="left" w:pos="1418"/>
        </w:tabs>
        <w:spacing w:line="580" w:lineRule="exact"/>
        <w:ind w:left="527" w:firstLine="40"/>
        <w:rPr>
          <w:rFonts w:ascii="宋体" w:hAnsi="宋体"/>
          <w:sz w:val="28"/>
          <w:szCs w:val="28"/>
        </w:rPr>
      </w:pPr>
      <w:r>
        <w:rPr>
          <w:rFonts w:hint="eastAsia" w:ascii="宋体" w:hAnsi="宋体"/>
          <w:sz w:val="28"/>
          <w:szCs w:val="28"/>
        </w:rPr>
        <w:t>有关部门（机构）制定的其他评审工作纪律。</w:t>
      </w: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p>
      <w:pPr>
        <w:tabs>
          <w:tab w:val="left" w:pos="1155"/>
          <w:tab w:val="left" w:pos="1276"/>
          <w:tab w:val="left" w:pos="1418"/>
        </w:tabs>
        <w:spacing w:line="580" w:lineRule="exact"/>
        <w:rPr>
          <w:rFonts w:ascii="宋体" w:hAnsi="宋体"/>
          <w:sz w:val="28"/>
          <w:szCs w:val="28"/>
        </w:rPr>
      </w:pPr>
    </w:p>
    <w:bookmarkEnd w:id="151"/>
    <w:bookmarkEnd w:id="152"/>
    <w:p>
      <w:pPr>
        <w:keepNext/>
        <w:keepLines/>
        <w:numPr>
          <w:ilvl w:val="0"/>
          <w:numId w:val="0"/>
        </w:numPr>
        <w:spacing w:before="340" w:after="330" w:line="400" w:lineRule="exact"/>
        <w:jc w:val="both"/>
        <w:outlineLvl w:val="0"/>
        <w:rPr>
          <w:rFonts w:ascii="宋体" w:hAnsi="宋体"/>
          <w:b/>
          <w:bCs/>
          <w:spacing w:val="-20"/>
          <w:kern w:val="44"/>
          <w:szCs w:val="32"/>
        </w:rPr>
        <w:sectPr>
          <w:pgSz w:w="12240" w:h="15840"/>
          <w:pgMar w:top="1440" w:right="1800" w:bottom="1440" w:left="1800" w:header="708" w:footer="708" w:gutter="0"/>
          <w:cols w:space="708" w:num="1"/>
          <w:docGrid w:linePitch="360" w:charSpace="0"/>
        </w:sectPr>
      </w:pPr>
      <w:bookmarkStart w:id="171" w:name="_Toc74752351"/>
    </w:p>
    <w:p>
      <w:pPr>
        <w:keepNext/>
        <w:keepLines/>
        <w:numPr>
          <w:ilvl w:val="0"/>
          <w:numId w:val="5"/>
        </w:numPr>
        <w:spacing w:before="340" w:after="330" w:line="400" w:lineRule="exact"/>
        <w:jc w:val="center"/>
        <w:outlineLvl w:val="0"/>
        <w:rPr>
          <w:rFonts w:ascii="宋体" w:hAnsi="宋体"/>
          <w:b/>
          <w:bCs/>
          <w:spacing w:val="-20"/>
          <w:kern w:val="44"/>
          <w:szCs w:val="32"/>
        </w:rPr>
      </w:pPr>
      <w:r>
        <w:rPr>
          <w:rFonts w:hint="eastAsia" w:ascii="宋体" w:hAnsi="宋体"/>
          <w:b/>
          <w:bCs/>
          <w:spacing w:val="-20"/>
          <w:kern w:val="44"/>
          <w:sz w:val="32"/>
          <w:szCs w:val="32"/>
        </w:rPr>
        <w:t>拟签订合同</w:t>
      </w:r>
      <w:bookmarkEnd w:id="0"/>
      <w:bookmarkEnd w:id="1"/>
      <w:bookmarkEnd w:id="2"/>
      <w:bookmarkEnd w:id="3"/>
      <w:bookmarkStart w:id="172" w:name="_Toc316475664"/>
      <w:bookmarkEnd w:id="172"/>
      <w:bookmarkStart w:id="173" w:name="_Toc316475758"/>
      <w:bookmarkEnd w:id="173"/>
      <w:bookmarkStart w:id="174" w:name="_Toc316475764"/>
      <w:bookmarkEnd w:id="174"/>
      <w:bookmarkStart w:id="175" w:name="_Toc316475670"/>
      <w:bookmarkEnd w:id="175"/>
      <w:bookmarkStart w:id="176" w:name="_Toc316475763"/>
      <w:bookmarkEnd w:id="176"/>
      <w:bookmarkStart w:id="177" w:name="_Toc316475760"/>
      <w:bookmarkEnd w:id="177"/>
      <w:bookmarkStart w:id="178" w:name="_Toc316475669"/>
      <w:bookmarkEnd w:id="178"/>
      <w:bookmarkStart w:id="179" w:name="_Toc316475673"/>
      <w:bookmarkEnd w:id="179"/>
      <w:bookmarkStart w:id="180" w:name="_Toc316475754"/>
      <w:bookmarkEnd w:id="180"/>
      <w:bookmarkStart w:id="181" w:name="_Toc316475675"/>
      <w:bookmarkEnd w:id="181"/>
      <w:bookmarkStart w:id="182" w:name="_Toc316475667"/>
      <w:bookmarkEnd w:id="182"/>
      <w:bookmarkStart w:id="183" w:name="_Toc316475676"/>
      <w:bookmarkEnd w:id="183"/>
      <w:bookmarkStart w:id="184" w:name="_Toc316475677"/>
      <w:bookmarkEnd w:id="184"/>
      <w:bookmarkStart w:id="185" w:name="_Toc316475751"/>
      <w:bookmarkEnd w:id="185"/>
      <w:bookmarkStart w:id="186" w:name="_Toc316475666"/>
      <w:bookmarkEnd w:id="186"/>
      <w:bookmarkStart w:id="187" w:name="_Toc316475668"/>
      <w:bookmarkEnd w:id="187"/>
      <w:bookmarkStart w:id="188" w:name="_Toc316475753"/>
      <w:bookmarkEnd w:id="188"/>
      <w:bookmarkStart w:id="189" w:name="_Toc316475761"/>
      <w:bookmarkEnd w:id="189"/>
      <w:bookmarkStart w:id="190" w:name="_Toc316475756"/>
      <w:bookmarkEnd w:id="190"/>
      <w:bookmarkStart w:id="191" w:name="_Toc316475672"/>
      <w:bookmarkEnd w:id="191"/>
      <w:bookmarkStart w:id="192" w:name="_Toc316475757"/>
      <w:bookmarkEnd w:id="192"/>
      <w:bookmarkStart w:id="193" w:name="_Toc316475762"/>
      <w:bookmarkEnd w:id="193"/>
      <w:bookmarkStart w:id="194" w:name="_Toc316475759"/>
      <w:bookmarkEnd w:id="194"/>
      <w:bookmarkStart w:id="195" w:name="_Toc316475755"/>
      <w:bookmarkEnd w:id="195"/>
      <w:bookmarkStart w:id="196" w:name="_Toc316475752"/>
      <w:bookmarkEnd w:id="196"/>
      <w:bookmarkStart w:id="197" w:name="_Toc316475671"/>
      <w:bookmarkEnd w:id="197"/>
      <w:bookmarkStart w:id="198" w:name="_Toc316475665"/>
      <w:bookmarkEnd w:id="198"/>
      <w:bookmarkStart w:id="199" w:name="_Toc277152521"/>
      <w:bookmarkEnd w:id="199"/>
      <w:bookmarkStart w:id="200" w:name="_Toc277152523"/>
      <w:bookmarkEnd w:id="200"/>
      <w:bookmarkStart w:id="201" w:name="_Toc277152522"/>
      <w:bookmarkEnd w:id="201"/>
      <w:bookmarkStart w:id="202" w:name="_Toc214858832"/>
      <w:bookmarkEnd w:id="202"/>
      <w:bookmarkStart w:id="203" w:name="_Toc316475674"/>
      <w:bookmarkEnd w:id="203"/>
      <w:bookmarkStart w:id="204" w:name="_Toc299975392"/>
      <w:bookmarkEnd w:id="204"/>
      <w:bookmarkStart w:id="205" w:name="_Toc277152520"/>
      <w:bookmarkEnd w:id="205"/>
      <w:bookmarkStart w:id="206" w:name="_Toc299975364"/>
      <w:bookmarkEnd w:id="206"/>
      <w:bookmarkStart w:id="207" w:name="_Toc34729074"/>
      <w:bookmarkStart w:id="208" w:name="_Toc8573798"/>
      <w:bookmarkStart w:id="209" w:name="_Toc217446108"/>
      <w:r>
        <w:rPr>
          <w:rFonts w:hint="eastAsia" w:ascii="宋体" w:hAnsi="宋体"/>
          <w:b/>
          <w:bCs/>
          <w:spacing w:val="-20"/>
          <w:kern w:val="44"/>
          <w:sz w:val="32"/>
          <w:szCs w:val="32"/>
        </w:rPr>
        <w:t>文本</w:t>
      </w:r>
      <w:bookmarkEnd w:id="171"/>
      <w:bookmarkEnd w:id="207"/>
      <w:bookmarkEnd w:id="208"/>
      <w:bookmarkEnd w:id="209"/>
    </w:p>
    <w:p>
      <w:pPr>
        <w:spacing w:line="360" w:lineRule="auto"/>
        <w:jc w:val="center"/>
        <w:rPr>
          <w:rFonts w:ascii="宋体" w:hAnsi="宋体"/>
          <w:sz w:val="24"/>
          <w:szCs w:val="24"/>
        </w:rPr>
      </w:pPr>
      <w:r>
        <w:rPr>
          <w:rFonts w:hint="eastAsia" w:ascii="宋体" w:hAnsi="宋体"/>
          <w:sz w:val="28"/>
          <w:szCs w:val="28"/>
        </w:rPr>
        <w:t>（本部分内容仅供投标人参考，具体</w:t>
      </w:r>
      <w:r>
        <w:rPr>
          <w:rFonts w:hint="eastAsia" w:ascii="宋体" w:hAnsi="宋体"/>
          <w:sz w:val="24"/>
          <w:szCs w:val="24"/>
        </w:rPr>
        <w:t>条款以双方签订合同为准）</w:t>
      </w:r>
    </w:p>
    <w:p>
      <w:pPr>
        <w:spacing w:line="360" w:lineRule="auto"/>
        <w:ind w:firstLine="600"/>
        <w:jc w:val="center"/>
        <w:rPr>
          <w:rFonts w:ascii="宋体" w:hAnsi="宋体"/>
          <w:color w:val="000000"/>
          <w:sz w:val="24"/>
          <w:szCs w:val="24"/>
        </w:rPr>
      </w:pPr>
      <w:r>
        <w:rPr>
          <w:rFonts w:hint="eastAsia" w:ascii="宋体" w:hAnsi="宋体"/>
          <w:color w:val="000000"/>
          <w:sz w:val="24"/>
          <w:szCs w:val="24"/>
        </w:rPr>
        <w:t xml:space="preserve">                                 合同编号：</w:t>
      </w:r>
    </w:p>
    <w:p>
      <w:pPr>
        <w:spacing w:line="360" w:lineRule="auto"/>
        <w:ind w:firstLine="480" w:firstLineChars="200"/>
        <w:rPr>
          <w:rFonts w:ascii="宋体" w:hAnsi="宋体"/>
          <w:sz w:val="24"/>
          <w:szCs w:val="24"/>
        </w:rPr>
      </w:pPr>
      <w:bookmarkStart w:id="210" w:name="_Toc286993793"/>
      <w:bookmarkEnd w:id="210"/>
      <w:bookmarkStart w:id="211" w:name="_Toc247334847"/>
      <w:bookmarkEnd w:id="211"/>
      <w:bookmarkStart w:id="212" w:name="_Toc225654650"/>
      <w:bookmarkEnd w:id="212"/>
      <w:bookmarkStart w:id="213" w:name="_Toc212019600"/>
      <w:bookmarkEnd w:id="213"/>
      <w:bookmarkStart w:id="214" w:name="_Toc211854455"/>
      <w:bookmarkEnd w:id="214"/>
      <w:bookmarkStart w:id="215" w:name="_Toc282696231"/>
      <w:bookmarkEnd w:id="215"/>
      <w:bookmarkStart w:id="216" w:name="_Toc185395255"/>
      <w:bookmarkEnd w:id="216"/>
      <w:bookmarkStart w:id="217" w:name="_Toc225244858"/>
      <w:bookmarkEnd w:id="217"/>
      <w:bookmarkStart w:id="218" w:name="_Toc211911354"/>
      <w:bookmarkEnd w:id="218"/>
      <w:bookmarkStart w:id="219" w:name="_Toc232492934"/>
      <w:bookmarkEnd w:id="219"/>
      <w:bookmarkStart w:id="220" w:name="_Toc239568424"/>
      <w:bookmarkEnd w:id="220"/>
      <w:bookmarkStart w:id="221" w:name="_Toc237145412"/>
      <w:bookmarkEnd w:id="221"/>
      <w:bookmarkStart w:id="222" w:name="_Toc283019219"/>
      <w:bookmarkEnd w:id="222"/>
      <w:bookmarkStart w:id="223" w:name="_Toc239233920"/>
      <w:bookmarkEnd w:id="223"/>
      <w:bookmarkStart w:id="224" w:name="_Toc225670757"/>
      <w:bookmarkEnd w:id="224"/>
      <w:bookmarkStart w:id="225" w:name="_Toc238984981"/>
      <w:bookmarkEnd w:id="225"/>
      <w:bookmarkStart w:id="226" w:name="_Toc251768868"/>
      <w:bookmarkEnd w:id="226"/>
      <w:bookmarkStart w:id="227" w:name="_Toc241833909"/>
      <w:r>
        <w:rPr>
          <w:rFonts w:hint="eastAsia" w:ascii="宋体" w:hAnsi="宋体"/>
          <w:sz w:val="24"/>
          <w:szCs w:val="24"/>
        </w:rPr>
        <w:t>合同编号：</w:t>
      </w:r>
      <w:bookmarkEnd w:id="227"/>
      <w:r>
        <w:rPr>
          <w:rFonts w:hint="eastAsia" w:ascii="宋体" w:hAnsi="宋体"/>
        </w:rPr>
        <w:t>XXXX。</w:t>
      </w:r>
    </w:p>
    <w:p>
      <w:pPr>
        <w:spacing w:line="360" w:lineRule="auto"/>
        <w:ind w:firstLine="480" w:firstLineChars="200"/>
        <w:rPr>
          <w:rFonts w:ascii="宋体" w:hAnsi="宋体"/>
          <w:sz w:val="24"/>
          <w:szCs w:val="24"/>
        </w:rPr>
      </w:pPr>
      <w:r>
        <w:rPr>
          <w:rFonts w:hint="eastAsia" w:ascii="宋体" w:hAnsi="宋体"/>
          <w:sz w:val="24"/>
          <w:szCs w:val="24"/>
        </w:rPr>
        <w:t>签订地点：</w:t>
      </w:r>
      <w:r>
        <w:rPr>
          <w:rFonts w:hint="eastAsia" w:ascii="宋体" w:hAnsi="宋体"/>
        </w:rPr>
        <w:t>XXXX。</w:t>
      </w:r>
    </w:p>
    <w:p>
      <w:pPr>
        <w:spacing w:line="360" w:lineRule="auto"/>
        <w:ind w:firstLine="480" w:firstLineChars="200"/>
        <w:rPr>
          <w:rFonts w:ascii="宋体" w:hAnsi="宋体"/>
          <w:sz w:val="24"/>
          <w:szCs w:val="24"/>
        </w:rPr>
      </w:pPr>
      <w:r>
        <w:rPr>
          <w:rFonts w:hint="eastAsia" w:ascii="宋体" w:hAnsi="宋体"/>
          <w:sz w:val="24"/>
          <w:szCs w:val="24"/>
        </w:rPr>
        <w:t>签订时间：</w:t>
      </w:r>
      <w:r>
        <w:rPr>
          <w:rFonts w:hint="eastAsia" w:ascii="宋体" w:hAnsi="宋体"/>
        </w:rPr>
        <w:t>XXXX</w:t>
      </w:r>
      <w:r>
        <w:rPr>
          <w:rFonts w:hint="eastAsia" w:ascii="宋体" w:hAnsi="宋体"/>
          <w:sz w:val="24"/>
          <w:szCs w:val="24"/>
        </w:rPr>
        <w:t>年</w:t>
      </w:r>
      <w:r>
        <w:rPr>
          <w:rFonts w:hint="eastAsia" w:ascii="宋体" w:hAnsi="宋体"/>
        </w:rPr>
        <w:t>XX</w:t>
      </w:r>
      <w:r>
        <w:rPr>
          <w:rFonts w:hint="eastAsia" w:ascii="宋体" w:hAnsi="宋体"/>
          <w:sz w:val="24"/>
          <w:szCs w:val="24"/>
        </w:rPr>
        <w:t>月</w:t>
      </w:r>
      <w:r>
        <w:rPr>
          <w:rFonts w:hint="eastAsia" w:ascii="宋体" w:hAnsi="宋体"/>
        </w:rPr>
        <w:t>XX</w:t>
      </w:r>
      <w:r>
        <w:rPr>
          <w:rFonts w:hint="eastAsia"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采购人（甲方）：</w:t>
      </w:r>
    </w:p>
    <w:p>
      <w:pPr>
        <w:spacing w:line="360" w:lineRule="auto"/>
        <w:ind w:firstLine="480" w:firstLineChars="200"/>
        <w:rPr>
          <w:rFonts w:ascii="宋体" w:hAnsi="宋体"/>
          <w:sz w:val="24"/>
          <w:szCs w:val="24"/>
        </w:rPr>
      </w:pPr>
      <w:r>
        <w:rPr>
          <w:rFonts w:hint="eastAsia" w:ascii="宋体" w:hAnsi="宋体"/>
          <w:sz w:val="24"/>
          <w:szCs w:val="24"/>
        </w:rPr>
        <w:t>供应商（乙方）：</w:t>
      </w:r>
    </w:p>
    <w:p>
      <w:pPr>
        <w:pStyle w:val="100"/>
        <w:spacing w:line="360" w:lineRule="auto"/>
        <w:ind w:firstLine="480"/>
        <w:rPr>
          <w:rFonts w:ascii="宋体" w:hAnsi="宋体"/>
        </w:rPr>
      </w:pPr>
      <w:r>
        <w:rPr>
          <w:rFonts w:hint="eastAsia" w:ascii="宋体" w:hAnsi="宋体"/>
        </w:rPr>
        <w:t>根据《中华人民共和国政府采购法》、《中华人民共和国合同法》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114"/>
        <w:ind w:firstLine="0" w:firstLineChars="0"/>
        <w:rPr>
          <w:rFonts w:ascii="宋体" w:hAnsi="宋体"/>
          <w:b/>
          <w:bCs/>
        </w:rPr>
      </w:pPr>
      <w:bookmarkStart w:id="228" w:name="_Toc217446107"/>
      <w:bookmarkEnd w:id="228"/>
      <w:r>
        <w:rPr>
          <w:rFonts w:hint="eastAsia" w:ascii="宋体" w:hAnsi="宋体"/>
          <w:b/>
          <w:bCs/>
        </w:rPr>
        <w:t>一、合同货物</w:t>
      </w:r>
    </w:p>
    <w:tbl>
      <w:tblPr>
        <w:tblStyle w:val="46"/>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sz w:val="24"/>
                <w:szCs w:val="24"/>
              </w:rPr>
            </w:pPr>
            <w:r>
              <w:rPr>
                <w:rFonts w:hint="eastAsia" w:ascii="宋体" w:hAnsi="宋体"/>
                <w:sz w:val="24"/>
                <w:szCs w:val="24"/>
              </w:rPr>
              <w:t>货物品名</w:t>
            </w: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规格</w:t>
            </w:r>
          </w:p>
          <w:p>
            <w:pPr>
              <w:spacing w:line="360" w:lineRule="auto"/>
              <w:jc w:val="center"/>
              <w:rPr>
                <w:rFonts w:ascii="宋体" w:hAnsi="宋体"/>
                <w:sz w:val="24"/>
                <w:szCs w:val="24"/>
              </w:rPr>
            </w:pPr>
            <w:r>
              <w:rPr>
                <w:rFonts w:hint="eastAsia" w:ascii="宋体" w:hAnsi="宋体"/>
                <w:sz w:val="24"/>
                <w:szCs w:val="24"/>
              </w:rPr>
              <w:t>型号</w:t>
            </w:r>
          </w:p>
        </w:tc>
        <w:tc>
          <w:tcPr>
            <w:tcW w:w="720"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单位</w:t>
            </w:r>
          </w:p>
        </w:tc>
        <w:tc>
          <w:tcPr>
            <w:tcW w:w="900" w:type="dxa"/>
            <w:tcBorders>
              <w:top w:val="single" w:color="auto" w:sz="4" w:space="0"/>
              <w:left w:val="nil"/>
              <w:bottom w:val="single" w:color="auto" w:sz="4" w:space="0"/>
              <w:right w:val="single" w:color="auto" w:sz="4" w:space="0"/>
            </w:tcBorders>
            <w:vAlign w:val="center"/>
          </w:tcPr>
          <w:p>
            <w:pPr>
              <w:spacing w:line="360" w:lineRule="auto"/>
              <w:ind w:firstLine="120" w:firstLineChars="50"/>
              <w:rPr>
                <w:rFonts w:ascii="宋体" w:hAnsi="宋体"/>
                <w:sz w:val="24"/>
                <w:szCs w:val="24"/>
              </w:rPr>
            </w:pPr>
            <w:r>
              <w:rPr>
                <w:rFonts w:hint="eastAsia" w:ascii="宋体" w:hAnsi="宋体"/>
                <w:sz w:val="24"/>
                <w:szCs w:val="24"/>
              </w:rPr>
              <w:t>数量</w:t>
            </w:r>
          </w:p>
        </w:tc>
        <w:tc>
          <w:tcPr>
            <w:tcW w:w="1080" w:type="dxa"/>
            <w:tcBorders>
              <w:top w:val="single" w:color="auto" w:sz="4" w:space="0"/>
              <w:left w:val="nil"/>
              <w:bottom w:val="single" w:color="auto" w:sz="4" w:space="0"/>
              <w:right w:val="single" w:color="auto" w:sz="4" w:space="0"/>
            </w:tcBorders>
            <w:vAlign w:val="center"/>
          </w:tcPr>
          <w:p>
            <w:pPr>
              <w:spacing w:line="360" w:lineRule="auto"/>
              <w:ind w:firstLine="120" w:firstLineChars="50"/>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sz w:val="24"/>
                <w:szCs w:val="24"/>
              </w:rPr>
            </w:pPr>
            <w:r>
              <w:rPr>
                <w:rFonts w:hint="eastAsia" w:ascii="宋体" w:hAnsi="宋体"/>
                <w:sz w:val="24"/>
                <w:szCs w:val="24"/>
              </w:rPr>
              <w:t>（万元）</w:t>
            </w:r>
          </w:p>
        </w:tc>
        <w:tc>
          <w:tcPr>
            <w:tcW w:w="1185" w:type="dxa"/>
            <w:tcBorders>
              <w:top w:val="single" w:color="auto" w:sz="4" w:space="0"/>
              <w:left w:val="nil"/>
              <w:bottom w:val="single" w:color="auto" w:sz="4" w:space="0"/>
              <w:right w:val="single" w:color="auto" w:sz="4" w:space="0"/>
            </w:tcBorders>
            <w:vAlign w:val="center"/>
          </w:tcPr>
          <w:p>
            <w:pPr>
              <w:spacing w:line="360" w:lineRule="auto"/>
              <w:ind w:firstLine="240" w:firstLineChars="100"/>
              <w:rPr>
                <w:rFonts w:ascii="宋体" w:hAnsi="宋体"/>
                <w:sz w:val="24"/>
                <w:szCs w:val="24"/>
              </w:rPr>
            </w:pPr>
            <w:r>
              <w:rPr>
                <w:rFonts w:hint="eastAsia" w:ascii="宋体" w:hAnsi="宋体"/>
                <w:sz w:val="24"/>
                <w:szCs w:val="24"/>
              </w:rPr>
              <w:t>总价</w:t>
            </w:r>
          </w:p>
          <w:p>
            <w:pPr>
              <w:spacing w:line="360" w:lineRule="auto"/>
              <w:rPr>
                <w:rFonts w:ascii="宋体" w:hAnsi="宋体"/>
                <w:sz w:val="24"/>
                <w:szCs w:val="24"/>
              </w:rPr>
            </w:pPr>
            <w:r>
              <w:rPr>
                <w:rFonts w:hint="eastAsia" w:ascii="宋体" w:hAnsi="宋体"/>
                <w:sz w:val="24"/>
                <w:szCs w:val="24"/>
              </w:rPr>
              <w:t>（万元）</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随机</w:t>
            </w:r>
          </w:p>
          <w:p>
            <w:pPr>
              <w:spacing w:line="360" w:lineRule="auto"/>
              <w:jc w:val="center"/>
              <w:rPr>
                <w:rFonts w:ascii="宋体" w:hAnsi="宋体"/>
                <w:sz w:val="24"/>
                <w:szCs w:val="24"/>
              </w:rPr>
            </w:pPr>
            <w:r>
              <w:rPr>
                <w:rFonts w:hint="eastAsia" w:ascii="宋体" w:hAnsi="宋体"/>
                <w:sz w:val="24"/>
                <w:szCs w:val="24"/>
              </w:rPr>
              <w:t>配件</w:t>
            </w:r>
          </w:p>
        </w:tc>
        <w:tc>
          <w:tcPr>
            <w:tcW w:w="1260" w:type="dxa"/>
            <w:tcBorders>
              <w:top w:val="single" w:color="auto" w:sz="4" w:space="0"/>
              <w:left w:val="nil"/>
              <w:bottom w:val="single" w:color="auto" w:sz="4" w:space="0"/>
              <w:right w:val="single" w:color="auto" w:sz="4" w:space="0"/>
            </w:tcBorders>
            <w:vAlign w:val="center"/>
          </w:tcPr>
          <w:p>
            <w:pPr>
              <w:spacing w:line="360" w:lineRule="auto"/>
              <w:ind w:firstLine="120" w:firstLineChars="50"/>
              <w:rPr>
                <w:rFonts w:ascii="宋体" w:hAnsi="宋体"/>
                <w:sz w:val="24"/>
                <w:szCs w:val="24"/>
              </w:rPr>
            </w:pPr>
            <w:r>
              <w:rPr>
                <w:rFonts w:hint="eastAsia" w:ascii="宋体" w:hAnsi="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0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szCs w:val="24"/>
              </w:rPr>
            </w:pPr>
          </w:p>
        </w:tc>
      </w:tr>
    </w:tbl>
    <w:p>
      <w:pPr>
        <w:pStyle w:val="114"/>
        <w:ind w:firstLine="0" w:firstLineChars="0"/>
        <w:rPr>
          <w:rFonts w:ascii="宋体" w:hAnsi="宋体"/>
          <w:b/>
          <w:bCs/>
        </w:rPr>
      </w:pPr>
      <w:r>
        <w:rPr>
          <w:rFonts w:hint="eastAsia" w:ascii="宋体" w:hAnsi="宋体"/>
          <w:b/>
          <w:bCs/>
        </w:rPr>
        <w:t>二、合同总价</w:t>
      </w:r>
    </w:p>
    <w:p>
      <w:pPr>
        <w:pStyle w:val="16"/>
        <w:spacing w:line="360" w:lineRule="auto"/>
        <w:ind w:firstLine="420" w:firstLineChars="175"/>
        <w:rPr>
          <w:rFonts w:ascii="宋体" w:hAnsi="宋体"/>
          <w:sz w:val="24"/>
          <w:szCs w:val="24"/>
        </w:rPr>
      </w:pPr>
      <w:r>
        <w:rPr>
          <w:rFonts w:hint="eastAsia" w:ascii="宋体" w:hAnsi="宋体"/>
          <w:sz w:val="24"/>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114"/>
        <w:ind w:firstLine="0" w:firstLineChars="0"/>
        <w:rPr>
          <w:rFonts w:ascii="宋体" w:hAnsi="宋体"/>
          <w:b/>
          <w:bCs/>
        </w:rPr>
      </w:pPr>
      <w:bookmarkStart w:id="229" w:name="_Toc217446109"/>
      <w:bookmarkEnd w:id="229"/>
      <w:r>
        <w:rPr>
          <w:rFonts w:hint="eastAsia" w:ascii="宋体" w:hAnsi="宋体"/>
          <w:b/>
          <w:bCs/>
        </w:rPr>
        <w:t>三、质量要求</w:t>
      </w:r>
    </w:p>
    <w:p>
      <w:pPr>
        <w:pStyle w:val="100"/>
        <w:spacing w:line="360" w:lineRule="auto"/>
        <w:ind w:firstLine="480"/>
        <w:rPr>
          <w:rFonts w:ascii="宋体" w:hAnsi="宋体"/>
        </w:rPr>
      </w:pPr>
      <w:r>
        <w:rPr>
          <w:rFonts w:hint="eastAsia" w:ascii="宋体" w:hAnsi="宋体"/>
        </w:rPr>
        <w:t>1、乙方须提供全新的货物（含零部件、配件等），表面无划伤、无碰撞痕迹，且权属清楚，不得侵害他人的知识产权。</w:t>
      </w:r>
    </w:p>
    <w:p>
      <w:pPr>
        <w:pStyle w:val="100"/>
        <w:spacing w:line="360" w:lineRule="auto"/>
        <w:ind w:firstLine="480"/>
        <w:rPr>
          <w:rFonts w:ascii="宋体" w:hAnsi="宋体"/>
        </w:rPr>
      </w:pPr>
      <w:r>
        <w:rPr>
          <w:rFonts w:hint="eastAsia" w:ascii="宋体" w:hAnsi="宋体"/>
        </w:rPr>
        <w:t>2、货物必须符合或优于国家（行业）标准，以及本项目招标文件的质量要求和技术指标与出厂标准。</w:t>
      </w:r>
    </w:p>
    <w:p>
      <w:pPr>
        <w:pStyle w:val="100"/>
        <w:spacing w:line="360" w:lineRule="auto"/>
        <w:ind w:firstLine="480"/>
        <w:rPr>
          <w:rFonts w:ascii="宋体" w:hAnsi="宋体"/>
        </w:rPr>
      </w:pPr>
      <w:r>
        <w:rPr>
          <w:rFonts w:hint="eastAsia" w:ascii="宋体" w:hAnsi="宋体"/>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pPr>
        <w:pStyle w:val="100"/>
        <w:spacing w:line="360" w:lineRule="auto"/>
        <w:ind w:firstLine="480"/>
        <w:rPr>
          <w:rFonts w:ascii="宋体" w:hAnsi="宋体"/>
        </w:rPr>
      </w:pPr>
      <w:r>
        <w:rPr>
          <w:rFonts w:hint="eastAsia" w:ascii="宋体" w:hAnsi="宋体"/>
        </w:rPr>
        <w:t>4、货物制造质量出现问题，乙方应负责三包（包修、包换、包退），费用由乙方负担，甲方有权到乙方生产场地检查货物质量和生产进度。</w:t>
      </w:r>
    </w:p>
    <w:p>
      <w:pPr>
        <w:pStyle w:val="100"/>
        <w:spacing w:line="360" w:lineRule="auto"/>
        <w:ind w:firstLine="480"/>
        <w:rPr>
          <w:rFonts w:ascii="宋体" w:hAnsi="宋体"/>
        </w:rPr>
      </w:pPr>
      <w:r>
        <w:rPr>
          <w:rFonts w:hint="eastAsia" w:ascii="宋体" w:hAnsi="宋体"/>
        </w:rPr>
        <w:t>5、货到现场后由于甲方保管不当造成的质量问题，乙方亦应负责修理，但费用由甲方负担。</w:t>
      </w:r>
    </w:p>
    <w:p>
      <w:pPr>
        <w:pStyle w:val="114"/>
        <w:ind w:firstLine="0" w:firstLineChars="0"/>
        <w:rPr>
          <w:rFonts w:ascii="宋体" w:hAnsi="宋体"/>
          <w:b/>
          <w:bCs/>
        </w:rPr>
      </w:pPr>
      <w:bookmarkStart w:id="230" w:name="_Toc217446110"/>
      <w:bookmarkEnd w:id="230"/>
      <w:r>
        <w:rPr>
          <w:rFonts w:hint="eastAsia" w:ascii="宋体" w:hAnsi="宋体"/>
          <w:b/>
          <w:bCs/>
        </w:rPr>
        <w:t>四、交货及验收</w:t>
      </w:r>
    </w:p>
    <w:p>
      <w:pPr>
        <w:pStyle w:val="100"/>
        <w:spacing w:line="360" w:lineRule="auto"/>
        <w:ind w:firstLine="480"/>
        <w:rPr>
          <w:rFonts w:ascii="宋体" w:hAnsi="宋体"/>
        </w:rPr>
      </w:pPr>
      <w:r>
        <w:rPr>
          <w:rFonts w:hint="eastAsia" w:ascii="宋体" w:hAnsi="宋体"/>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100"/>
        <w:spacing w:line="360" w:lineRule="auto"/>
        <w:ind w:firstLine="480"/>
        <w:rPr>
          <w:rFonts w:ascii="宋体" w:hAnsi="宋体"/>
        </w:rPr>
      </w:pPr>
      <w:r>
        <w:rPr>
          <w:rFonts w:hint="eastAsia" w:ascii="宋体" w:hAnsi="宋体"/>
        </w:rPr>
        <w:t>2、验收由甲方组织，乙方配合进行：</w:t>
      </w:r>
    </w:p>
    <w:p>
      <w:pPr>
        <w:pStyle w:val="100"/>
        <w:spacing w:line="360" w:lineRule="auto"/>
        <w:ind w:firstLine="480"/>
        <w:rPr>
          <w:rFonts w:ascii="宋体" w:hAnsi="宋体"/>
        </w:rPr>
      </w:pPr>
      <w:r>
        <w:rPr>
          <w:rFonts w:hint="eastAsia" w:ascii="宋体" w:hAnsi="宋体"/>
        </w:rPr>
        <w:t>(1) 货物在乙方通知安装调试完毕后日内初步验收。初步验收合格后，进入试用期；试用期间发生重大质量问题，修复后试用相应顺延；试用期结束后日内完成最终验收；</w:t>
      </w:r>
    </w:p>
    <w:p>
      <w:pPr>
        <w:pStyle w:val="100"/>
        <w:spacing w:line="360" w:lineRule="auto"/>
        <w:ind w:firstLine="480"/>
        <w:rPr>
          <w:rFonts w:ascii="宋体" w:hAnsi="宋体"/>
        </w:rPr>
      </w:pPr>
      <w:r>
        <w:rPr>
          <w:rFonts w:hint="eastAsia" w:ascii="宋体" w:hAnsi="宋体"/>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00"/>
        <w:spacing w:line="360" w:lineRule="auto"/>
        <w:ind w:firstLine="480"/>
        <w:rPr>
          <w:rFonts w:ascii="宋体" w:hAnsi="宋体"/>
        </w:rPr>
      </w:pPr>
      <w:r>
        <w:rPr>
          <w:rFonts w:hint="eastAsia" w:ascii="宋体" w:hAnsi="宋体"/>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00"/>
        <w:spacing w:line="360" w:lineRule="auto"/>
        <w:ind w:firstLine="480"/>
        <w:rPr>
          <w:rFonts w:ascii="宋体" w:hAnsi="宋体"/>
        </w:rPr>
      </w:pPr>
      <w:r>
        <w:rPr>
          <w:rFonts w:hint="eastAsia" w:ascii="宋体" w:hAnsi="宋体"/>
        </w:rPr>
        <w:t>(4) 如质量验收合格，双方签署质量验收报告。</w:t>
      </w:r>
    </w:p>
    <w:p>
      <w:pPr>
        <w:pStyle w:val="100"/>
        <w:spacing w:line="360" w:lineRule="auto"/>
        <w:ind w:firstLine="480"/>
        <w:rPr>
          <w:rFonts w:ascii="宋体" w:hAnsi="宋体"/>
        </w:rPr>
      </w:pPr>
      <w:r>
        <w:rPr>
          <w:rFonts w:hint="eastAsia" w:ascii="宋体" w:hAnsi="宋体"/>
        </w:rPr>
        <w:t>3、货物安装完成后日内，甲方无故不进行验收工作并已使用货物的，视同已安装调试完成并验收合格。</w:t>
      </w:r>
    </w:p>
    <w:p>
      <w:pPr>
        <w:pStyle w:val="100"/>
        <w:spacing w:line="360" w:lineRule="auto"/>
        <w:ind w:firstLine="480"/>
        <w:rPr>
          <w:rFonts w:ascii="宋体" w:hAnsi="宋体"/>
        </w:rPr>
      </w:pPr>
      <w:r>
        <w:rPr>
          <w:rFonts w:hint="eastAsia" w:ascii="宋体" w:hAnsi="宋体"/>
        </w:rPr>
        <w:t>4、乙方应将所提供货物的装箱清单、配件、随机工具、用户使用手册、原厂保修卡等资料交付给甲方；乙方不能完整交付货物及本款规定的单证和工具的，必须负责补齐，否则视为未按合同约定交货。</w:t>
      </w:r>
    </w:p>
    <w:p>
      <w:pPr>
        <w:pStyle w:val="100"/>
        <w:spacing w:line="360" w:lineRule="auto"/>
        <w:ind w:firstLine="480"/>
        <w:rPr>
          <w:rFonts w:ascii="宋体" w:hAnsi="宋体"/>
        </w:rPr>
      </w:pPr>
      <w:r>
        <w:rPr>
          <w:rFonts w:hint="eastAsia" w:ascii="宋体" w:hAnsi="宋体"/>
        </w:rPr>
        <w:t xml:space="preserve">5、如货物经乙方次维修仍不能达到合同约定的质量标准，甲方有权退货，并视作乙方不能交付货物而须支付违约赔偿金给甲方，甲方还可依法追究乙方的违约责任。 </w:t>
      </w:r>
    </w:p>
    <w:p>
      <w:pPr>
        <w:pStyle w:val="100"/>
        <w:spacing w:line="360" w:lineRule="auto"/>
        <w:ind w:firstLine="480"/>
        <w:rPr>
          <w:rFonts w:ascii="宋体" w:hAnsi="宋体"/>
        </w:rPr>
      </w:pPr>
      <w:r>
        <w:rPr>
          <w:rFonts w:hint="eastAsia" w:ascii="宋体" w:hAnsi="宋体"/>
        </w:rPr>
        <w:t>6、其他未尽事宜应严格按照《四川省政府采购项目需求论证和履约验收管理办法》（川财采〔2015〕32号）的要求进行。</w:t>
      </w:r>
    </w:p>
    <w:p>
      <w:pPr>
        <w:pStyle w:val="114"/>
        <w:ind w:firstLine="0" w:firstLineChars="0"/>
        <w:rPr>
          <w:rFonts w:ascii="宋体" w:hAnsi="宋体"/>
          <w:b/>
          <w:bCs/>
        </w:rPr>
      </w:pPr>
      <w:bookmarkStart w:id="231" w:name="_Toc217446111"/>
      <w:bookmarkEnd w:id="231"/>
      <w:r>
        <w:rPr>
          <w:rFonts w:hint="eastAsia" w:ascii="宋体" w:hAnsi="宋体"/>
          <w:b/>
          <w:bCs/>
        </w:rPr>
        <w:t>五、付款方式</w:t>
      </w:r>
    </w:p>
    <w:p>
      <w:pPr>
        <w:pStyle w:val="100"/>
        <w:spacing w:line="360" w:lineRule="auto"/>
        <w:ind w:firstLine="480"/>
        <w:rPr>
          <w:rFonts w:ascii="宋体" w:hAnsi="宋体"/>
        </w:rPr>
      </w:pPr>
      <w:r>
        <w:rPr>
          <w:rFonts w:hint="eastAsia" w:ascii="宋体" w:hAnsi="宋体"/>
        </w:rPr>
        <w:t>（一）适用于无预付款采购项目</w:t>
      </w:r>
    </w:p>
    <w:p>
      <w:pPr>
        <w:pStyle w:val="100"/>
        <w:spacing w:line="360" w:lineRule="auto"/>
        <w:ind w:firstLine="480"/>
        <w:rPr>
          <w:rFonts w:ascii="宋体" w:hAnsi="宋体"/>
        </w:rPr>
      </w:pPr>
      <w:r>
        <w:rPr>
          <w:rFonts w:hint="eastAsia" w:ascii="宋体" w:hAnsi="宋体"/>
        </w:rPr>
        <w:t>1、全部货物安装调试完毕并验收合格之日起，甲方接到乙方通知与票据凭证资料以后的日内，按照财政性资金支付有关规定，向乙方支付合同价款￥元，人民币大写元整；</w:t>
      </w:r>
    </w:p>
    <w:p>
      <w:pPr>
        <w:pStyle w:val="100"/>
        <w:spacing w:line="360" w:lineRule="auto"/>
        <w:ind w:firstLine="480"/>
        <w:rPr>
          <w:rFonts w:ascii="宋体" w:hAnsi="宋体"/>
        </w:rPr>
      </w:pPr>
      <w:r>
        <w:rPr>
          <w:rFonts w:hint="eastAsia" w:ascii="宋体" w:hAnsi="宋体"/>
        </w:rPr>
        <w:t>2、乙方须向甲方出具合法有效完整的完税发票及凭证资料进行支付结算。</w:t>
      </w:r>
    </w:p>
    <w:p>
      <w:pPr>
        <w:pStyle w:val="100"/>
        <w:spacing w:line="360" w:lineRule="auto"/>
        <w:ind w:firstLine="480"/>
        <w:rPr>
          <w:rFonts w:ascii="宋体" w:hAnsi="宋体"/>
        </w:rPr>
      </w:pPr>
      <w:r>
        <w:rPr>
          <w:rFonts w:hint="eastAsia" w:ascii="宋体" w:hAnsi="宋体"/>
        </w:rPr>
        <w:t>（二）适用于有预付款采购项目</w:t>
      </w:r>
    </w:p>
    <w:p>
      <w:pPr>
        <w:pStyle w:val="100"/>
        <w:spacing w:line="360" w:lineRule="auto"/>
        <w:ind w:firstLine="480"/>
        <w:rPr>
          <w:rFonts w:ascii="宋体" w:hAnsi="宋体"/>
        </w:rPr>
      </w:pPr>
      <w:r>
        <w:rPr>
          <w:rFonts w:hint="eastAsia" w:ascii="宋体" w:hAnsi="宋体"/>
        </w:rPr>
        <w:t>1、全部货物安装调试完毕并验收合格之日起，甲方接到乙方通知与票据凭证资料以后的日内，提交支付凭证资料给财政国库支付执行机构办理财政国库支付手续，并由其向乙方核拨合同总价的百分之款项：￥元，人民币大写元整；</w:t>
      </w:r>
    </w:p>
    <w:p>
      <w:pPr>
        <w:pStyle w:val="100"/>
        <w:spacing w:line="360" w:lineRule="auto"/>
        <w:ind w:firstLine="480"/>
        <w:rPr>
          <w:rFonts w:ascii="宋体" w:hAnsi="宋体"/>
        </w:rPr>
      </w:pPr>
      <w:r>
        <w:rPr>
          <w:rFonts w:hint="eastAsia" w:ascii="宋体" w:hAnsi="宋体"/>
        </w:rPr>
        <w:t>2、乙方须向甲方出具合法有效完整的完税发票及凭证资料进行支付结算。</w:t>
      </w:r>
    </w:p>
    <w:p>
      <w:pPr>
        <w:pStyle w:val="114"/>
        <w:ind w:firstLine="0" w:firstLineChars="0"/>
        <w:rPr>
          <w:rFonts w:ascii="宋体" w:hAnsi="宋体"/>
          <w:b/>
          <w:bCs/>
        </w:rPr>
      </w:pPr>
      <w:bookmarkStart w:id="232" w:name="_Toc217446112"/>
      <w:bookmarkEnd w:id="232"/>
      <w:r>
        <w:rPr>
          <w:rFonts w:hint="eastAsia" w:ascii="宋体" w:hAnsi="宋体"/>
          <w:b/>
          <w:bCs/>
        </w:rPr>
        <w:t>六、售后服务</w:t>
      </w:r>
    </w:p>
    <w:p>
      <w:pPr>
        <w:pStyle w:val="100"/>
        <w:spacing w:line="360" w:lineRule="auto"/>
        <w:ind w:firstLine="480"/>
        <w:rPr>
          <w:rFonts w:ascii="宋体" w:hAnsi="宋体"/>
        </w:rPr>
      </w:pPr>
      <w:r>
        <w:rPr>
          <w:rFonts w:hint="eastAsia" w:ascii="宋体" w:hAnsi="宋体"/>
        </w:rPr>
        <w:t>1、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pPr>
        <w:pStyle w:val="100"/>
        <w:spacing w:line="360" w:lineRule="auto"/>
        <w:ind w:firstLine="480"/>
        <w:rPr>
          <w:rFonts w:ascii="宋体" w:hAnsi="宋体"/>
        </w:rPr>
      </w:pPr>
      <w:r>
        <w:rPr>
          <w:rFonts w:hint="eastAsia" w:ascii="宋体" w:hAnsi="宋体"/>
        </w:rPr>
        <w:t xml:space="preserve">2、乙方须指派专人负责与甲方联系售后服务事宜。 </w:t>
      </w:r>
    </w:p>
    <w:p>
      <w:pPr>
        <w:pStyle w:val="114"/>
        <w:ind w:firstLine="0" w:firstLineChars="0"/>
        <w:rPr>
          <w:rFonts w:ascii="宋体" w:hAnsi="宋体"/>
          <w:b/>
          <w:bCs/>
        </w:rPr>
      </w:pPr>
      <w:bookmarkStart w:id="233" w:name="_Toc217446113"/>
      <w:bookmarkEnd w:id="233"/>
      <w:r>
        <w:rPr>
          <w:rFonts w:hint="eastAsia" w:ascii="宋体" w:hAnsi="宋体"/>
          <w:b/>
          <w:bCs/>
        </w:rPr>
        <w:t>七、违约责任</w:t>
      </w:r>
    </w:p>
    <w:p>
      <w:pPr>
        <w:pStyle w:val="100"/>
        <w:spacing w:line="360" w:lineRule="auto"/>
        <w:ind w:firstLine="480"/>
        <w:rPr>
          <w:rFonts w:ascii="宋体" w:hAnsi="宋体"/>
        </w:rPr>
      </w:pPr>
      <w:r>
        <w:rPr>
          <w:rFonts w:hint="eastAsia" w:ascii="宋体" w:hAnsi="宋体"/>
        </w:rPr>
        <w:t>1、甲方违约责任</w:t>
      </w:r>
    </w:p>
    <w:p>
      <w:pPr>
        <w:pStyle w:val="100"/>
        <w:spacing w:line="360" w:lineRule="auto"/>
        <w:ind w:firstLine="480"/>
        <w:rPr>
          <w:rFonts w:ascii="宋体" w:hAnsi="宋体"/>
        </w:rPr>
      </w:pPr>
      <w:r>
        <w:rPr>
          <w:rFonts w:hint="eastAsia" w:ascii="宋体" w:hAnsi="宋体"/>
        </w:rPr>
        <w:t>（1） 甲方无正当理由拒收货物的，甲方应偿付合同总价百分之  的违约金；</w:t>
      </w:r>
    </w:p>
    <w:p>
      <w:pPr>
        <w:pStyle w:val="100"/>
        <w:spacing w:line="360" w:lineRule="auto"/>
        <w:ind w:firstLine="480"/>
        <w:rPr>
          <w:rFonts w:ascii="宋体" w:hAnsi="宋体"/>
        </w:rPr>
      </w:pPr>
      <w:r>
        <w:rPr>
          <w:rFonts w:hint="eastAsia" w:ascii="宋体" w:hAnsi="宋体"/>
        </w:rPr>
        <w:t>（2） 甲方逾期支付货款的，除应及时付足货款外，应向乙方偿付欠款总额万分之/天的违约金；逾期付款超过天的，乙方有权终止合同；</w:t>
      </w:r>
    </w:p>
    <w:p>
      <w:pPr>
        <w:pStyle w:val="100"/>
        <w:spacing w:line="360" w:lineRule="auto"/>
        <w:ind w:firstLine="480"/>
        <w:rPr>
          <w:rFonts w:ascii="宋体" w:hAnsi="宋体"/>
        </w:rPr>
      </w:pPr>
      <w:r>
        <w:rPr>
          <w:rFonts w:hint="eastAsia" w:ascii="宋体" w:hAnsi="宋体"/>
        </w:rPr>
        <w:t>（3） 甲方偿付的违约金不足以弥补乙方损失的，还应按乙方损失尚未弥补的部分，支付赔偿金给乙方。</w:t>
      </w:r>
    </w:p>
    <w:p>
      <w:pPr>
        <w:pStyle w:val="100"/>
        <w:spacing w:line="360" w:lineRule="auto"/>
        <w:ind w:firstLine="480"/>
        <w:rPr>
          <w:rFonts w:ascii="宋体" w:hAnsi="宋体"/>
        </w:rPr>
      </w:pPr>
      <w:r>
        <w:rPr>
          <w:rFonts w:hint="eastAsia" w:ascii="宋体" w:hAnsi="宋体"/>
        </w:rPr>
        <w:t>2、乙方违约责任</w:t>
      </w:r>
    </w:p>
    <w:p>
      <w:pPr>
        <w:pStyle w:val="100"/>
        <w:spacing w:line="360" w:lineRule="auto"/>
        <w:ind w:firstLine="480"/>
        <w:rPr>
          <w:rFonts w:ascii="宋体" w:hAnsi="宋体"/>
        </w:rPr>
      </w:pPr>
      <w:r>
        <w:rPr>
          <w:rFonts w:hint="eastAsia" w:ascii="宋体" w:hAnsi="宋体"/>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pPr>
        <w:pStyle w:val="100"/>
        <w:spacing w:line="360" w:lineRule="auto"/>
        <w:ind w:firstLine="480"/>
        <w:rPr>
          <w:rFonts w:ascii="宋体" w:hAnsi="宋体"/>
        </w:rPr>
      </w:pPr>
      <w:r>
        <w:rPr>
          <w:rFonts w:hint="eastAsia" w:ascii="宋体" w:hAnsi="宋体"/>
        </w:rPr>
        <w:t>（2）乙方不能交付货物或逾期交付货物而违约的，除应及时交足货物外，应向甲方偿付逾期交货部分货款总额的万分之/天的违约金；逾期交货超过XX天，甲方有权终止合同，乙方则应按合同总价的百分之的款额向甲方偿付赔偿金，并须全额退还甲方已经付给乙方的货款及其利息。</w:t>
      </w:r>
    </w:p>
    <w:p>
      <w:pPr>
        <w:pStyle w:val="100"/>
        <w:spacing w:line="360" w:lineRule="auto"/>
        <w:ind w:firstLine="480"/>
        <w:rPr>
          <w:rFonts w:ascii="宋体" w:hAnsi="宋体"/>
        </w:rPr>
      </w:pPr>
      <w:r>
        <w:rPr>
          <w:rFonts w:hint="eastAsia" w:ascii="宋体" w:hAnsi="宋体"/>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pPr>
        <w:pStyle w:val="100"/>
        <w:spacing w:line="360" w:lineRule="auto"/>
        <w:ind w:firstLine="480"/>
        <w:rPr>
          <w:rFonts w:ascii="宋体" w:hAnsi="宋体"/>
        </w:rPr>
      </w:pPr>
      <w:r>
        <w:rPr>
          <w:rFonts w:hint="eastAsia" w:ascii="宋体" w:hAnsi="宋体"/>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pPr>
        <w:pStyle w:val="100"/>
        <w:spacing w:line="360" w:lineRule="auto"/>
        <w:ind w:firstLine="480"/>
        <w:rPr>
          <w:rFonts w:ascii="宋体" w:hAnsi="宋体"/>
        </w:rPr>
      </w:pPr>
      <w:r>
        <w:rPr>
          <w:rFonts w:hint="eastAsia" w:ascii="宋体" w:hAnsi="宋体"/>
        </w:rPr>
        <w:t>（5）乙方偿付的违约金不足以弥补甲方损失的，还应按甲方损失尚未弥补的部分，支付赔偿金给甲方。</w:t>
      </w:r>
    </w:p>
    <w:p>
      <w:pPr>
        <w:pStyle w:val="114"/>
        <w:ind w:firstLine="0" w:firstLineChars="0"/>
        <w:rPr>
          <w:rFonts w:ascii="宋体" w:hAnsi="宋体"/>
          <w:b/>
          <w:bCs/>
        </w:rPr>
      </w:pPr>
      <w:bookmarkStart w:id="234" w:name="_Toc217446114"/>
      <w:bookmarkEnd w:id="234"/>
      <w:r>
        <w:rPr>
          <w:rFonts w:hint="eastAsia" w:ascii="宋体" w:hAnsi="宋体"/>
          <w:b/>
          <w:bCs/>
        </w:rPr>
        <w:t>八、争议解决办法</w:t>
      </w:r>
    </w:p>
    <w:p>
      <w:pPr>
        <w:pStyle w:val="100"/>
        <w:spacing w:line="360" w:lineRule="auto"/>
        <w:ind w:firstLine="480"/>
        <w:rPr>
          <w:rFonts w:ascii="宋体" w:hAnsi="宋体"/>
        </w:rPr>
      </w:pPr>
      <w:r>
        <w:rPr>
          <w:rFonts w:hint="eastAsia" w:ascii="宋体" w:hAnsi="宋体"/>
        </w:rPr>
        <w:t>1、因货物的质量问题发生争议，由质量技术监督部门或其指定的质量鉴定机构进行质量鉴定。货物符合标准的，鉴定费由甲方承担；货物不符合质量标准的，鉴定费由乙方承担。</w:t>
      </w:r>
    </w:p>
    <w:p>
      <w:pPr>
        <w:pStyle w:val="100"/>
        <w:spacing w:line="360" w:lineRule="auto"/>
        <w:ind w:firstLine="480"/>
        <w:rPr>
          <w:rFonts w:ascii="宋体" w:hAnsi="宋体"/>
        </w:rPr>
      </w:pPr>
      <w:r>
        <w:rPr>
          <w:rFonts w:hint="eastAsia" w:ascii="宋体" w:hAnsi="宋体"/>
        </w:rPr>
        <w:t>2、合同履行期间,若双方发生争议，可协商或由有关部门调解解决，协商或调解不成的，由当事人依法维护其合法权益。</w:t>
      </w:r>
    </w:p>
    <w:p>
      <w:pPr>
        <w:pStyle w:val="114"/>
        <w:ind w:firstLine="0" w:firstLineChars="0"/>
        <w:rPr>
          <w:rFonts w:ascii="宋体" w:hAnsi="宋体"/>
          <w:b/>
          <w:bCs/>
        </w:rPr>
      </w:pPr>
      <w:bookmarkStart w:id="235" w:name="_Toc217446115"/>
      <w:bookmarkEnd w:id="235"/>
      <w:r>
        <w:rPr>
          <w:rFonts w:hint="eastAsia" w:ascii="宋体" w:hAnsi="宋体"/>
          <w:b/>
          <w:bCs/>
        </w:rPr>
        <w:t>九、其他</w:t>
      </w:r>
    </w:p>
    <w:p>
      <w:pPr>
        <w:pStyle w:val="100"/>
        <w:spacing w:line="360" w:lineRule="auto"/>
        <w:ind w:firstLine="480"/>
        <w:rPr>
          <w:rFonts w:ascii="宋体" w:hAnsi="宋体"/>
        </w:rPr>
      </w:pPr>
      <w:r>
        <w:rPr>
          <w:rFonts w:hint="eastAsia" w:ascii="宋体" w:hAnsi="宋体"/>
        </w:rPr>
        <w:t>1、如有未尽事宜，由双方依法订立补充合同。</w:t>
      </w:r>
    </w:p>
    <w:p>
      <w:pPr>
        <w:pStyle w:val="100"/>
        <w:spacing w:line="360" w:lineRule="auto"/>
        <w:ind w:firstLine="480"/>
        <w:rPr>
          <w:rFonts w:ascii="宋体" w:hAnsi="宋体"/>
        </w:rPr>
      </w:pPr>
      <w:r>
        <w:rPr>
          <w:rFonts w:hint="eastAsia" w:ascii="宋体" w:hAnsi="宋体"/>
        </w:rPr>
        <w:t>2、本合同一式六份，自双方签章之日起生效。甲方三份，乙方、政府采购管理部门、采购代理机构各一份。</w:t>
      </w:r>
    </w:p>
    <w:p>
      <w:pPr>
        <w:spacing w:line="360" w:lineRule="auto"/>
        <w:ind w:firstLine="480" w:firstLineChars="200"/>
        <w:rPr>
          <w:rFonts w:ascii="宋体" w:hAnsi="宋体"/>
          <w:sz w:val="24"/>
          <w:szCs w:val="24"/>
        </w:rPr>
      </w:pPr>
      <w:r>
        <w:rPr>
          <w:rFonts w:hint="eastAsia" w:ascii="宋体" w:hAnsi="宋体"/>
          <w:sz w:val="24"/>
          <w:szCs w:val="24"/>
        </w:rPr>
        <w:t xml:space="preserve">甲方：   （盖章）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乙方：   （盖章）</w:t>
      </w:r>
    </w:p>
    <w:p>
      <w:pPr>
        <w:spacing w:line="360" w:lineRule="auto"/>
        <w:ind w:firstLine="480" w:firstLineChars="200"/>
        <w:rPr>
          <w:rFonts w:ascii="宋体" w:hAnsi="宋体"/>
          <w:sz w:val="24"/>
          <w:szCs w:val="24"/>
        </w:rPr>
      </w:pPr>
      <w:r>
        <w:rPr>
          <w:rFonts w:hint="eastAsia" w:ascii="宋体" w:hAnsi="宋体"/>
          <w:sz w:val="24"/>
          <w:szCs w:val="24"/>
        </w:rPr>
        <w:t>法定代表人/单位负责人（授权代表）：            法定代表人/单位负责人（授权代表）：</w:t>
      </w:r>
    </w:p>
    <w:p>
      <w:pPr>
        <w:spacing w:line="360" w:lineRule="auto"/>
        <w:ind w:firstLine="480" w:firstLineChars="200"/>
        <w:rPr>
          <w:rFonts w:ascii="宋体" w:hAnsi="宋体"/>
          <w:sz w:val="24"/>
          <w:szCs w:val="24"/>
        </w:rPr>
      </w:pPr>
      <w:r>
        <w:rPr>
          <w:rFonts w:hint="eastAsia" w:ascii="宋体" w:hAnsi="宋体"/>
          <w:sz w:val="24"/>
          <w:szCs w:val="24"/>
        </w:rPr>
        <w:t>地    址：                         地    址：</w:t>
      </w:r>
    </w:p>
    <w:p>
      <w:pPr>
        <w:spacing w:line="360" w:lineRule="auto"/>
        <w:ind w:firstLine="480" w:firstLineChars="200"/>
        <w:rPr>
          <w:rFonts w:ascii="宋体" w:hAnsi="宋体"/>
          <w:sz w:val="24"/>
          <w:szCs w:val="24"/>
        </w:rPr>
      </w:pPr>
      <w:r>
        <w:rPr>
          <w:rFonts w:hint="eastAsia" w:ascii="宋体" w:hAnsi="宋体"/>
          <w:sz w:val="24"/>
          <w:szCs w:val="24"/>
        </w:rPr>
        <w:t>开户银行：                         开户银行：</w:t>
      </w:r>
    </w:p>
    <w:p>
      <w:pPr>
        <w:spacing w:line="360" w:lineRule="auto"/>
        <w:ind w:firstLine="480" w:firstLineChars="200"/>
        <w:rPr>
          <w:rFonts w:ascii="宋体" w:hAnsi="宋体"/>
          <w:sz w:val="24"/>
          <w:szCs w:val="24"/>
        </w:rPr>
      </w:pPr>
      <w:r>
        <w:rPr>
          <w:rFonts w:hint="eastAsia" w:ascii="宋体" w:hAnsi="宋体"/>
          <w:sz w:val="24"/>
          <w:szCs w:val="24"/>
        </w:rPr>
        <w:t>账号：                             账号：</w:t>
      </w:r>
    </w:p>
    <w:p>
      <w:pPr>
        <w:spacing w:line="360" w:lineRule="auto"/>
        <w:ind w:firstLine="480" w:firstLineChars="200"/>
        <w:rPr>
          <w:rFonts w:ascii="宋体" w:hAnsi="宋体"/>
          <w:sz w:val="24"/>
          <w:szCs w:val="24"/>
        </w:rPr>
      </w:pPr>
      <w:r>
        <w:rPr>
          <w:rFonts w:hint="eastAsia" w:ascii="宋体" w:hAnsi="宋体"/>
          <w:sz w:val="24"/>
          <w:szCs w:val="24"/>
        </w:rPr>
        <w:t>电    话：                         电    话：</w:t>
      </w:r>
    </w:p>
    <w:p>
      <w:pPr>
        <w:spacing w:line="360" w:lineRule="auto"/>
        <w:ind w:firstLine="480" w:firstLineChars="200"/>
        <w:rPr>
          <w:rFonts w:ascii="宋体" w:hAnsi="宋体"/>
          <w:sz w:val="24"/>
          <w:szCs w:val="24"/>
        </w:rPr>
      </w:pPr>
      <w:r>
        <w:rPr>
          <w:rFonts w:hint="eastAsia" w:ascii="宋体" w:hAnsi="宋体"/>
          <w:sz w:val="24"/>
          <w:szCs w:val="24"/>
        </w:rPr>
        <w:t>传    真：                         传    真：</w:t>
      </w:r>
    </w:p>
    <w:p>
      <w:pPr>
        <w:spacing w:line="360" w:lineRule="auto"/>
        <w:ind w:firstLine="420" w:firstLineChars="200"/>
        <w:rPr>
          <w:rFonts w:ascii="宋体" w:hAnsi="宋体"/>
        </w:rPr>
      </w:pPr>
      <w:r>
        <w:rPr>
          <w:rFonts w:hint="eastAsia" w:ascii="宋体" w:hAnsi="宋体"/>
        </w:rPr>
        <w:t>签约日期：XX年XX月XX日</w:t>
      </w:r>
      <w:r>
        <w:rPr>
          <w:rFonts w:hint="eastAsia" w:ascii="宋体" w:hAnsi="宋体"/>
        </w:rPr>
        <w:tab/>
      </w:r>
      <w:r>
        <w:rPr>
          <w:rFonts w:hint="eastAsia" w:ascii="宋体" w:hAnsi="宋体"/>
        </w:rPr>
        <w:tab/>
      </w:r>
      <w:r>
        <w:rPr>
          <w:rFonts w:hint="eastAsia" w:ascii="宋体" w:hAnsi="宋体"/>
        </w:rPr>
        <w:tab/>
      </w:r>
      <w:r>
        <w:rPr>
          <w:rFonts w:hint="eastAsia" w:ascii="宋体" w:hAnsi="宋体"/>
        </w:rPr>
        <w:t>签约日期：XX年XX月XX日</w:t>
      </w:r>
    </w:p>
    <w:p/>
    <w:p>
      <w:pPr>
        <w:pStyle w:val="2"/>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docPartObj>
        <w:docPartGallery w:val="autotext"/>
      </w:docPartObj>
    </w:sdtPr>
    <w:sdtContent>
      <w:p>
        <w:pPr>
          <w:pStyle w:val="29"/>
          <w:ind w:firstLine="480"/>
          <w:jc w:val="center"/>
        </w:pPr>
        <w:r>
          <w:fldChar w:fldCharType="begin"/>
        </w:r>
        <w:r>
          <w:instrText xml:space="preserve">PAGE   \* MERGEFORMAT</w:instrText>
        </w:r>
        <w:r>
          <w:fldChar w:fldCharType="separate"/>
        </w:r>
        <w:r>
          <w:rPr>
            <w:lang w:val="zh-CN"/>
          </w:rPr>
          <w:t>2</w:t>
        </w:r>
        <w: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7">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1">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2">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4">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6">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43"/>
    <w:multiLevelType w:val="multilevel"/>
    <w:tmpl w:val="00000043"/>
    <w:lvl w:ilvl="0" w:tentative="0">
      <w:start w:val="1"/>
      <w:numFmt w:val="chineseCountingThousand"/>
      <w:lvlText w:val="%1、"/>
      <w:lvlJc w:val="left"/>
      <w:pPr>
        <w:ind w:left="1413" w:hanging="420"/>
      </w:pPr>
      <w:rPr>
        <w:color w:val="auto"/>
        <w:sz w:val="28"/>
        <w:szCs w:val="28"/>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8">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0">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1">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0EA05B87"/>
    <w:multiLevelType w:val="singleLevel"/>
    <w:tmpl w:val="0EA05B87"/>
    <w:lvl w:ilvl="0" w:tentative="0">
      <w:start w:val="1"/>
      <w:numFmt w:val="decimal"/>
      <w:lvlText w:val="%1."/>
      <w:lvlJc w:val="left"/>
      <w:pPr>
        <w:tabs>
          <w:tab w:val="left" w:pos="312"/>
        </w:tabs>
      </w:pPr>
    </w:lvl>
  </w:abstractNum>
  <w:abstractNum w:abstractNumId="23">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4">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5">
    <w:nsid w:val="27B0359A"/>
    <w:multiLevelType w:val="multilevel"/>
    <w:tmpl w:val="27B0359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7">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9">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0">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1">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3">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4">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5">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6">
    <w:nsid w:val="4F8094B6"/>
    <w:multiLevelType w:val="singleLevel"/>
    <w:tmpl w:val="4F8094B6"/>
    <w:lvl w:ilvl="0" w:tentative="0">
      <w:start w:val="3"/>
      <w:numFmt w:val="decimal"/>
      <w:suff w:val="nothing"/>
      <w:lvlText w:val="%1、"/>
      <w:lvlJc w:val="left"/>
    </w:lvl>
  </w:abstractNum>
  <w:abstractNum w:abstractNumId="37">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8">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1">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2">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3">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4">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5">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6">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7">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8">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9">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1"/>
  </w:num>
  <w:num w:numId="2">
    <w:abstractNumId w:val="6"/>
  </w:num>
  <w:num w:numId="3">
    <w:abstractNumId w:val="2"/>
  </w:num>
  <w:num w:numId="4">
    <w:abstractNumId w:val="2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5"/>
  </w:num>
  <w:num w:numId="39">
    <w:abstractNumId w:val="22"/>
  </w:num>
  <w:num w:numId="40">
    <w:abstractNumId w:val="36"/>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803F1"/>
    <w:rsid w:val="00E80555"/>
    <w:rsid w:val="00E83A59"/>
    <w:rsid w:val="00E879F0"/>
    <w:rsid w:val="00E9016E"/>
    <w:rsid w:val="00E91619"/>
    <w:rsid w:val="00E942EE"/>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12974F9"/>
    <w:rsid w:val="025A1558"/>
    <w:rsid w:val="02EF5314"/>
    <w:rsid w:val="085C47AA"/>
    <w:rsid w:val="090617CA"/>
    <w:rsid w:val="09BB458B"/>
    <w:rsid w:val="0A3D6332"/>
    <w:rsid w:val="0B812686"/>
    <w:rsid w:val="0D790042"/>
    <w:rsid w:val="0F61448E"/>
    <w:rsid w:val="0F725B2A"/>
    <w:rsid w:val="11E3661B"/>
    <w:rsid w:val="14595F09"/>
    <w:rsid w:val="148804D9"/>
    <w:rsid w:val="1C7E22CE"/>
    <w:rsid w:val="1D257E50"/>
    <w:rsid w:val="1D3800E5"/>
    <w:rsid w:val="1D403C48"/>
    <w:rsid w:val="1D452F25"/>
    <w:rsid w:val="1F9832F2"/>
    <w:rsid w:val="1FE01983"/>
    <w:rsid w:val="20044367"/>
    <w:rsid w:val="200E353D"/>
    <w:rsid w:val="20364BEF"/>
    <w:rsid w:val="20E30BCC"/>
    <w:rsid w:val="20E64162"/>
    <w:rsid w:val="25091FB5"/>
    <w:rsid w:val="256A42FE"/>
    <w:rsid w:val="28181BD6"/>
    <w:rsid w:val="290736F4"/>
    <w:rsid w:val="29721EDE"/>
    <w:rsid w:val="298D3E05"/>
    <w:rsid w:val="2A473FA1"/>
    <w:rsid w:val="2C5059A1"/>
    <w:rsid w:val="2D453A5B"/>
    <w:rsid w:val="33A55E69"/>
    <w:rsid w:val="38601536"/>
    <w:rsid w:val="397A571B"/>
    <w:rsid w:val="39AF0741"/>
    <w:rsid w:val="39D62B89"/>
    <w:rsid w:val="3B61768E"/>
    <w:rsid w:val="3B84694D"/>
    <w:rsid w:val="3E0969FA"/>
    <w:rsid w:val="3EDD2583"/>
    <w:rsid w:val="40650CB2"/>
    <w:rsid w:val="412E6881"/>
    <w:rsid w:val="41476E3A"/>
    <w:rsid w:val="415F6CF4"/>
    <w:rsid w:val="419F5106"/>
    <w:rsid w:val="43DC28F2"/>
    <w:rsid w:val="478D5C50"/>
    <w:rsid w:val="479A31A6"/>
    <w:rsid w:val="481562C8"/>
    <w:rsid w:val="485634D6"/>
    <w:rsid w:val="4B1F4488"/>
    <w:rsid w:val="4B5E0A53"/>
    <w:rsid w:val="4D0200A8"/>
    <w:rsid w:val="4F271BB1"/>
    <w:rsid w:val="4FA32719"/>
    <w:rsid w:val="51165660"/>
    <w:rsid w:val="51FF4425"/>
    <w:rsid w:val="53F531C3"/>
    <w:rsid w:val="582C6F70"/>
    <w:rsid w:val="5859401C"/>
    <w:rsid w:val="595766ED"/>
    <w:rsid w:val="59BC01DD"/>
    <w:rsid w:val="59DD3FE8"/>
    <w:rsid w:val="5A1422A6"/>
    <w:rsid w:val="5A2315F0"/>
    <w:rsid w:val="5A5B1B5E"/>
    <w:rsid w:val="5D4B04E4"/>
    <w:rsid w:val="5DDE4CE1"/>
    <w:rsid w:val="5EDD30EB"/>
    <w:rsid w:val="616921F2"/>
    <w:rsid w:val="61F96DBA"/>
    <w:rsid w:val="6349433D"/>
    <w:rsid w:val="63EB49E5"/>
    <w:rsid w:val="649C5D28"/>
    <w:rsid w:val="658B23DA"/>
    <w:rsid w:val="66242A78"/>
    <w:rsid w:val="664064B9"/>
    <w:rsid w:val="66563C11"/>
    <w:rsid w:val="689F2E7D"/>
    <w:rsid w:val="6CFD501E"/>
    <w:rsid w:val="6ED230D4"/>
    <w:rsid w:val="6F00019E"/>
    <w:rsid w:val="7476222D"/>
    <w:rsid w:val="74917FF7"/>
    <w:rsid w:val="757760A3"/>
    <w:rsid w:val="77487872"/>
    <w:rsid w:val="77BB7E1A"/>
    <w:rsid w:val="78903436"/>
    <w:rsid w:val="7ADA548E"/>
    <w:rsid w:val="7B925FB1"/>
    <w:rsid w:val="7D184D00"/>
    <w:rsid w:val="7D7E17DC"/>
    <w:rsid w:val="7F4D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0"/>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4"/>
    <w:semiHidden/>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5"/>
    <w:semiHidden/>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56"/>
    <w:semiHidden/>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1">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83"/>
    <w:unhideWhenUsed/>
    <w:qFormat/>
    <w:uiPriority w:val="99"/>
    <w:pPr>
      <w:spacing w:after="120"/>
    </w:pPr>
  </w:style>
  <w:style w:type="paragraph" w:styleId="12">
    <w:name w:val="annotation subject"/>
    <w:basedOn w:val="13"/>
    <w:next w:val="13"/>
    <w:link w:val="73"/>
    <w:unhideWhenUsed/>
    <w:qFormat/>
    <w:uiPriority w:val="99"/>
    <w:rPr>
      <w:rFonts w:ascii="Calibri" w:hAnsi="Calibri"/>
      <w:b/>
      <w:bCs/>
      <w:kern w:val="2"/>
      <w:sz w:val="21"/>
      <w:szCs w:val="22"/>
    </w:rPr>
  </w:style>
  <w:style w:type="paragraph" w:styleId="13">
    <w:name w:val="annotation text"/>
    <w:basedOn w:val="1"/>
    <w:link w:val="59"/>
    <w:unhideWhenUsed/>
    <w:qFormat/>
    <w:uiPriority w:val="0"/>
    <w:pPr>
      <w:jc w:val="left"/>
    </w:pPr>
    <w:rPr>
      <w:rFonts w:ascii="Times New Roman" w:hAnsi="Times New Roman"/>
      <w:kern w:val="0"/>
      <w:sz w:val="18"/>
      <w:szCs w:val="18"/>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2"/>
    <w:link w:val="66"/>
    <w:unhideWhenUsed/>
    <w:qFormat/>
    <w:uiPriority w:val="0"/>
    <w:pPr>
      <w:ind w:firstLine="420" w:firstLineChars="100"/>
    </w:pPr>
    <w:rPr>
      <w:rFonts w:ascii="Times New Roman" w:hAnsi="Times New Roman"/>
      <w:kern w:val="0"/>
      <w:sz w:val="18"/>
      <w:szCs w:val="18"/>
    </w:rPr>
  </w:style>
  <w:style w:type="paragraph" w:styleId="16">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7">
    <w:name w:val="caption"/>
    <w:basedOn w:val="1"/>
    <w:next w:val="1"/>
    <w:semiHidden/>
    <w:unhideWhenUsed/>
    <w:qFormat/>
    <w:uiPriority w:val="0"/>
    <w:pPr>
      <w:spacing w:before="152" w:after="160" w:line="360" w:lineRule="auto"/>
    </w:pPr>
    <w:rPr>
      <w:rFonts w:ascii="Arial" w:hAnsi="Arial" w:eastAsia="黑体" w:cs="Arial"/>
      <w:sz w:val="20"/>
      <w:szCs w:val="20"/>
    </w:rPr>
  </w:style>
  <w:style w:type="paragraph" w:styleId="18">
    <w:name w:val="Document Map"/>
    <w:basedOn w:val="1"/>
    <w:link w:val="71"/>
    <w:unhideWhenUsed/>
    <w:qFormat/>
    <w:uiPriority w:val="0"/>
    <w:pPr>
      <w:shd w:val="clear" w:color="auto" w:fill="000080"/>
    </w:pPr>
    <w:rPr>
      <w:rFonts w:ascii="Times New Roman" w:hAnsi="Times New Roman"/>
      <w:kern w:val="0"/>
      <w:sz w:val="18"/>
      <w:szCs w:val="18"/>
    </w:rPr>
  </w:style>
  <w:style w:type="paragraph" w:styleId="19">
    <w:name w:val="Body Text 3"/>
    <w:basedOn w:val="1"/>
    <w:link w:val="68"/>
    <w:unhideWhenUsed/>
    <w:qFormat/>
    <w:uiPriority w:val="0"/>
    <w:pPr>
      <w:jc w:val="center"/>
    </w:pPr>
    <w:rPr>
      <w:rFonts w:ascii="Times New Roman" w:hAnsi="Times New Roman" w:eastAsia="黑体"/>
      <w:sz w:val="44"/>
      <w:szCs w:val="24"/>
    </w:rPr>
  </w:style>
  <w:style w:type="paragraph" w:styleId="20">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21">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2">
    <w:name w:val="toc 5"/>
    <w:basedOn w:val="1"/>
    <w:next w:val="1"/>
    <w:unhideWhenUsed/>
    <w:qFormat/>
    <w:uiPriority w:val="0"/>
    <w:pPr>
      <w:ind w:left="1680" w:leftChars="800"/>
    </w:pPr>
    <w:rPr>
      <w:rFonts w:ascii="Times New Roman" w:hAnsi="Times New Roman"/>
      <w:sz w:val="18"/>
      <w:szCs w:val="18"/>
    </w:rPr>
  </w:style>
  <w:style w:type="paragraph" w:styleId="23">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4">
    <w:name w:val="Plain Text"/>
    <w:basedOn w:val="1"/>
    <w:link w:val="188"/>
    <w:unhideWhenUsed/>
    <w:qFormat/>
    <w:uiPriority w:val="0"/>
    <w:rPr>
      <w:rFonts w:ascii="宋体" w:hAnsi="Courier New"/>
      <w:kern w:val="0"/>
      <w:sz w:val="20"/>
      <w:szCs w:val="18"/>
    </w:rPr>
  </w:style>
  <w:style w:type="paragraph" w:styleId="25">
    <w:name w:val="toc 8"/>
    <w:basedOn w:val="1"/>
    <w:next w:val="1"/>
    <w:unhideWhenUsed/>
    <w:qFormat/>
    <w:uiPriority w:val="0"/>
    <w:pPr>
      <w:ind w:left="2940" w:leftChars="1400"/>
    </w:pPr>
    <w:rPr>
      <w:rFonts w:ascii="Times New Roman" w:hAnsi="Times New Roman"/>
      <w:szCs w:val="24"/>
    </w:rPr>
  </w:style>
  <w:style w:type="paragraph" w:styleId="26">
    <w:name w:val="Date"/>
    <w:basedOn w:val="1"/>
    <w:next w:val="1"/>
    <w:link w:val="65"/>
    <w:unhideWhenUsed/>
    <w:qFormat/>
    <w:uiPriority w:val="0"/>
    <w:pPr>
      <w:ind w:left="100" w:leftChars="2500"/>
    </w:pPr>
    <w:rPr>
      <w:rFonts w:ascii="Times New Roman" w:hAnsi="Times New Roman"/>
      <w:kern w:val="0"/>
      <w:sz w:val="24"/>
      <w:szCs w:val="24"/>
    </w:rPr>
  </w:style>
  <w:style w:type="paragraph" w:styleId="27">
    <w:name w:val="Body Text Indent 2"/>
    <w:basedOn w:val="1"/>
    <w:link w:val="69"/>
    <w:unhideWhenUsed/>
    <w:qFormat/>
    <w:uiPriority w:val="0"/>
    <w:pPr>
      <w:spacing w:after="120" w:line="480" w:lineRule="auto"/>
      <w:ind w:left="420" w:leftChars="200"/>
    </w:pPr>
  </w:style>
  <w:style w:type="paragraph" w:styleId="28">
    <w:name w:val="Balloon Text"/>
    <w:basedOn w:val="1"/>
    <w:link w:val="74"/>
    <w:unhideWhenUsed/>
    <w:qFormat/>
    <w:uiPriority w:val="99"/>
    <w:rPr>
      <w:rFonts w:ascii="Times New Roman" w:hAnsi="Times New Roman"/>
      <w:kern w:val="0"/>
      <w:sz w:val="18"/>
      <w:szCs w:val="18"/>
    </w:rPr>
  </w:style>
  <w:style w:type="paragraph" w:styleId="29">
    <w:name w:val="footer"/>
    <w:basedOn w:val="1"/>
    <w:link w:val="61"/>
    <w:unhideWhenUsed/>
    <w:qFormat/>
    <w:uiPriority w:val="99"/>
    <w:pPr>
      <w:tabs>
        <w:tab w:val="center" w:pos="4153"/>
        <w:tab w:val="right" w:pos="8306"/>
      </w:tabs>
      <w:snapToGrid w:val="0"/>
      <w:jc w:val="left"/>
    </w:pPr>
    <w:rPr>
      <w:kern w:val="0"/>
      <w:sz w:val="18"/>
      <w:szCs w:val="18"/>
    </w:rPr>
  </w:style>
  <w:style w:type="paragraph" w:styleId="30">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unhideWhenUsed/>
    <w:qFormat/>
    <w:uiPriority w:val="0"/>
    <w:pPr>
      <w:ind w:left="1260" w:leftChars="600"/>
    </w:pPr>
    <w:rPr>
      <w:rFonts w:ascii="Times New Roman" w:hAnsi="Times New Roman"/>
      <w:sz w:val="18"/>
      <w:szCs w:val="18"/>
    </w:rPr>
  </w:style>
  <w:style w:type="paragraph" w:styleId="33">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8"/>
    <w:unhideWhenUsed/>
    <w:qFormat/>
    <w:uiPriority w:val="0"/>
    <w:pPr>
      <w:snapToGrid w:val="0"/>
      <w:jc w:val="left"/>
    </w:pPr>
    <w:rPr>
      <w:sz w:val="18"/>
      <w:szCs w:val="18"/>
    </w:rPr>
  </w:style>
  <w:style w:type="paragraph" w:styleId="35">
    <w:name w:val="toc 6"/>
    <w:basedOn w:val="1"/>
    <w:next w:val="1"/>
    <w:unhideWhenUsed/>
    <w:qFormat/>
    <w:uiPriority w:val="0"/>
    <w:pPr>
      <w:ind w:left="2100" w:leftChars="1000"/>
    </w:pPr>
    <w:rPr>
      <w:rFonts w:ascii="Times New Roman" w:hAnsi="Times New Roman"/>
      <w:szCs w:val="24"/>
    </w:rPr>
  </w:style>
  <w:style w:type="paragraph" w:styleId="36">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unhideWhenUsed/>
    <w:qFormat/>
    <w:uiPriority w:val="0"/>
    <w:pPr>
      <w:ind w:left="3360" w:leftChars="1600"/>
    </w:pPr>
    <w:rPr>
      <w:rFonts w:ascii="Times New Roman" w:hAnsi="Times New Roman"/>
      <w:szCs w:val="24"/>
    </w:rPr>
  </w:style>
  <w:style w:type="paragraph" w:styleId="39">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40">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character" w:styleId="42">
    <w:name w:val="FollowedHyperlink"/>
    <w:basedOn w:val="41"/>
    <w:unhideWhenUsed/>
    <w:qFormat/>
    <w:uiPriority w:val="99"/>
    <w:rPr>
      <w:color w:val="44B9E8" w:themeColor="followedHyperlink"/>
      <w:u w:val="single"/>
      <w14:textFill>
        <w14:solidFill>
          <w14:schemeClr w14:val="folHlink"/>
        </w14:solidFill>
      </w14:textFill>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character" w:styleId="45">
    <w:name w:val="footnote reference"/>
    <w:unhideWhenUsed/>
    <w:qFormat/>
    <w:uiPriority w:val="0"/>
    <w:rPr>
      <w:vertAlign w:val="superscript"/>
    </w:rPr>
  </w:style>
  <w:style w:type="table" w:styleId="47">
    <w:name w:val="Table Grid"/>
    <w:basedOn w:val="4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8">
    <w:name w:val="标题 1 字符"/>
    <w:basedOn w:val="41"/>
    <w:link w:val="3"/>
    <w:qFormat/>
    <w:uiPriority w:val="9"/>
    <w:rPr>
      <w:rFonts w:ascii="宋体" w:hAnsi="宋体" w:eastAsia="宋体" w:cs="宋体"/>
      <w:b/>
      <w:bCs/>
      <w:spacing w:val="-20"/>
      <w:kern w:val="44"/>
      <w:sz w:val="32"/>
      <w:szCs w:val="32"/>
    </w:rPr>
  </w:style>
  <w:style w:type="character" w:customStyle="1" w:styleId="49">
    <w:name w:val="标题 2 字符"/>
    <w:basedOn w:val="41"/>
    <w:link w:val="4"/>
    <w:qFormat/>
    <w:uiPriority w:val="0"/>
    <w:rPr>
      <w:rFonts w:ascii="宋体" w:hAnsi="宋体" w:eastAsia="宋体" w:cs="宋体"/>
      <w:b/>
      <w:bCs/>
      <w:sz w:val="28"/>
      <w:szCs w:val="28"/>
    </w:rPr>
  </w:style>
  <w:style w:type="character" w:customStyle="1" w:styleId="50">
    <w:name w:val="标题 3 字符"/>
    <w:basedOn w:val="41"/>
    <w:link w:val="5"/>
    <w:qFormat/>
    <w:uiPriority w:val="0"/>
    <w:rPr>
      <w:rFonts w:ascii="宋体" w:hAnsi="宋体" w:eastAsia="宋体" w:cs="宋体"/>
      <w:b/>
      <w:bCs/>
      <w:color w:val="000000"/>
      <w:kern w:val="0"/>
      <w:sz w:val="28"/>
      <w:szCs w:val="28"/>
    </w:rPr>
  </w:style>
  <w:style w:type="character" w:customStyle="1" w:styleId="51">
    <w:name w:val="标题 4 字符"/>
    <w:basedOn w:val="41"/>
    <w:link w:val="6"/>
    <w:qFormat/>
    <w:uiPriority w:val="0"/>
    <w:rPr>
      <w:rFonts w:ascii="Arial" w:hAnsi="Arial" w:eastAsia="宋体" w:cs="Times New Roman"/>
      <w:b/>
      <w:bCs/>
      <w:kern w:val="0"/>
      <w:sz w:val="28"/>
      <w:szCs w:val="28"/>
    </w:rPr>
  </w:style>
  <w:style w:type="character" w:customStyle="1" w:styleId="52">
    <w:name w:val="标题 5 字符"/>
    <w:basedOn w:val="41"/>
    <w:link w:val="7"/>
    <w:qFormat/>
    <w:uiPriority w:val="0"/>
    <w:rPr>
      <w:rFonts w:ascii="Calibri" w:hAnsi="Calibri" w:eastAsia="宋体" w:cs="宋体"/>
      <w:b/>
      <w:bCs/>
      <w:kern w:val="0"/>
      <w:sz w:val="28"/>
      <w:szCs w:val="28"/>
    </w:rPr>
  </w:style>
  <w:style w:type="character" w:customStyle="1" w:styleId="53">
    <w:name w:val="标题 6 字符"/>
    <w:basedOn w:val="41"/>
    <w:link w:val="8"/>
    <w:qFormat/>
    <w:uiPriority w:val="0"/>
    <w:rPr>
      <w:rFonts w:ascii="Arial" w:hAnsi="Arial" w:eastAsia="宋体" w:cs="Times New Roman"/>
      <w:b/>
      <w:bCs/>
      <w:kern w:val="0"/>
      <w:sz w:val="28"/>
      <w:szCs w:val="18"/>
    </w:rPr>
  </w:style>
  <w:style w:type="character" w:customStyle="1" w:styleId="54">
    <w:name w:val="标题 7 字符"/>
    <w:basedOn w:val="41"/>
    <w:link w:val="9"/>
    <w:semiHidden/>
    <w:qFormat/>
    <w:uiPriority w:val="0"/>
    <w:rPr>
      <w:rFonts w:ascii="Arial Narrow" w:hAnsi="Arial Narrow" w:eastAsia="宋体" w:cs="Times New Roman"/>
      <w:b/>
      <w:bCs/>
      <w:iCs/>
      <w:kern w:val="0"/>
      <w:sz w:val="20"/>
      <w:szCs w:val="24"/>
      <w:lang w:eastAsia="en-US"/>
    </w:rPr>
  </w:style>
  <w:style w:type="character" w:customStyle="1" w:styleId="55">
    <w:name w:val="标题 8 字符"/>
    <w:basedOn w:val="41"/>
    <w:link w:val="10"/>
    <w:semiHidden/>
    <w:qFormat/>
    <w:uiPriority w:val="0"/>
    <w:rPr>
      <w:rFonts w:ascii="Arial" w:hAnsi="Arial" w:eastAsia="黑体" w:cs="Times New Roman"/>
      <w:kern w:val="0"/>
      <w:sz w:val="24"/>
      <w:szCs w:val="24"/>
    </w:rPr>
  </w:style>
  <w:style w:type="character" w:customStyle="1" w:styleId="56">
    <w:name w:val="标题 9 字符"/>
    <w:basedOn w:val="41"/>
    <w:link w:val="11"/>
    <w:semiHidden/>
    <w:qFormat/>
    <w:uiPriority w:val="0"/>
    <w:rPr>
      <w:rFonts w:ascii="Arial" w:hAnsi="Arial" w:eastAsia="黑体" w:cs="Times New Roman"/>
      <w:kern w:val="0"/>
      <w:sz w:val="20"/>
      <w:szCs w:val="21"/>
    </w:rPr>
  </w:style>
  <w:style w:type="character" w:customStyle="1" w:styleId="57">
    <w:name w:val="正文缩进 字符"/>
    <w:link w:val="16"/>
    <w:qFormat/>
    <w:locked/>
    <w:uiPriority w:val="0"/>
  </w:style>
  <w:style w:type="character" w:customStyle="1" w:styleId="58">
    <w:name w:val="脚注文本 字符"/>
    <w:basedOn w:val="41"/>
    <w:link w:val="34"/>
    <w:qFormat/>
    <w:uiPriority w:val="0"/>
    <w:rPr>
      <w:rFonts w:ascii="Calibri" w:hAnsi="Calibri" w:eastAsia="宋体" w:cs="Times New Roman"/>
      <w:sz w:val="18"/>
      <w:szCs w:val="18"/>
    </w:rPr>
  </w:style>
  <w:style w:type="character" w:customStyle="1" w:styleId="59">
    <w:name w:val="批注文字 字符"/>
    <w:basedOn w:val="41"/>
    <w:link w:val="13"/>
    <w:qFormat/>
    <w:uiPriority w:val="99"/>
    <w:rPr>
      <w:rFonts w:ascii="Times New Roman" w:hAnsi="Times New Roman" w:eastAsia="宋体" w:cs="Times New Roman"/>
      <w:kern w:val="0"/>
      <w:sz w:val="18"/>
      <w:szCs w:val="18"/>
    </w:rPr>
  </w:style>
  <w:style w:type="character" w:customStyle="1" w:styleId="60">
    <w:name w:val="页眉 字符"/>
    <w:basedOn w:val="41"/>
    <w:link w:val="30"/>
    <w:qFormat/>
    <w:uiPriority w:val="99"/>
    <w:rPr>
      <w:rFonts w:ascii="Calibri" w:hAnsi="Calibri" w:eastAsia="宋体" w:cs="Times New Roman"/>
      <w:kern w:val="0"/>
      <w:sz w:val="18"/>
      <w:szCs w:val="18"/>
    </w:rPr>
  </w:style>
  <w:style w:type="character" w:customStyle="1" w:styleId="61">
    <w:name w:val="页脚 字符"/>
    <w:basedOn w:val="41"/>
    <w:link w:val="29"/>
    <w:qFormat/>
    <w:uiPriority w:val="99"/>
    <w:rPr>
      <w:rFonts w:ascii="Calibri" w:hAnsi="Calibri" w:eastAsia="宋体" w:cs="Times New Roman"/>
      <w:kern w:val="0"/>
      <w:sz w:val="18"/>
      <w:szCs w:val="18"/>
    </w:rPr>
  </w:style>
  <w:style w:type="character" w:customStyle="1" w:styleId="62">
    <w:name w:val="正文文本 Char"/>
    <w:basedOn w:val="41"/>
    <w:qFormat/>
    <w:uiPriority w:val="0"/>
    <w:rPr>
      <w:rFonts w:ascii="Calibri" w:hAnsi="Calibri" w:eastAsia="宋体" w:cs="Times New Roman"/>
    </w:rPr>
  </w:style>
  <w:style w:type="character" w:customStyle="1" w:styleId="63">
    <w:name w:val="正文文本缩进 字符"/>
    <w:basedOn w:val="41"/>
    <w:link w:val="20"/>
    <w:qFormat/>
    <w:uiPriority w:val="0"/>
    <w:rPr>
      <w:rFonts w:ascii="Times New Roman" w:hAnsi="Times New Roman" w:eastAsia="宋体" w:cs="Times New Roman"/>
      <w:kern w:val="0"/>
      <w:sz w:val="20"/>
      <w:szCs w:val="24"/>
    </w:rPr>
  </w:style>
  <w:style w:type="character" w:customStyle="1" w:styleId="64">
    <w:name w:val="副标题 字符"/>
    <w:basedOn w:val="41"/>
    <w:link w:val="33"/>
    <w:qFormat/>
    <w:uiPriority w:val="0"/>
    <w:rPr>
      <w:rFonts w:ascii="Cambria" w:hAnsi="Cambria" w:eastAsia="宋体" w:cs="Times New Roman"/>
      <w:b/>
      <w:bCs/>
      <w:kern w:val="28"/>
      <w:sz w:val="32"/>
      <w:szCs w:val="32"/>
    </w:rPr>
  </w:style>
  <w:style w:type="character" w:customStyle="1" w:styleId="65">
    <w:name w:val="日期 字符"/>
    <w:basedOn w:val="41"/>
    <w:link w:val="26"/>
    <w:qFormat/>
    <w:uiPriority w:val="0"/>
    <w:rPr>
      <w:rFonts w:ascii="Times New Roman" w:hAnsi="Times New Roman" w:eastAsia="宋体" w:cs="Times New Roman"/>
      <w:kern w:val="0"/>
      <w:sz w:val="24"/>
      <w:szCs w:val="24"/>
    </w:rPr>
  </w:style>
  <w:style w:type="character" w:customStyle="1" w:styleId="66">
    <w:name w:val="正文首行缩进 字符"/>
    <w:basedOn w:val="62"/>
    <w:link w:val="15"/>
    <w:qFormat/>
    <w:uiPriority w:val="0"/>
    <w:rPr>
      <w:rFonts w:ascii="Times New Roman" w:hAnsi="Times New Roman" w:eastAsia="宋体" w:cs="Times New Roman"/>
      <w:kern w:val="0"/>
      <w:sz w:val="18"/>
      <w:szCs w:val="18"/>
    </w:rPr>
  </w:style>
  <w:style w:type="character" w:customStyle="1" w:styleId="67">
    <w:name w:val="正文文本 2 字符"/>
    <w:basedOn w:val="41"/>
    <w:link w:val="39"/>
    <w:qFormat/>
    <w:uiPriority w:val="0"/>
    <w:rPr>
      <w:rFonts w:ascii="Times New Roman" w:hAnsi="Times New Roman" w:eastAsia="宋体" w:cs="Times New Roman"/>
      <w:kern w:val="0"/>
      <w:sz w:val="18"/>
      <w:szCs w:val="18"/>
    </w:rPr>
  </w:style>
  <w:style w:type="character" w:customStyle="1" w:styleId="68">
    <w:name w:val="正文文本 3 字符"/>
    <w:basedOn w:val="41"/>
    <w:link w:val="19"/>
    <w:qFormat/>
    <w:uiPriority w:val="0"/>
    <w:rPr>
      <w:rFonts w:ascii="Times New Roman" w:hAnsi="Times New Roman" w:eastAsia="黑体" w:cs="Times New Roman"/>
      <w:sz w:val="44"/>
      <w:szCs w:val="24"/>
    </w:rPr>
  </w:style>
  <w:style w:type="character" w:customStyle="1" w:styleId="69">
    <w:name w:val="正文文本缩进 2 字符"/>
    <w:basedOn w:val="41"/>
    <w:link w:val="27"/>
    <w:qFormat/>
    <w:uiPriority w:val="0"/>
    <w:rPr>
      <w:rFonts w:ascii="Calibri" w:hAnsi="Calibri" w:eastAsia="宋体" w:cs="Times New Roman"/>
    </w:rPr>
  </w:style>
  <w:style w:type="character" w:customStyle="1" w:styleId="70">
    <w:name w:val="正文文本缩进 3 字符"/>
    <w:basedOn w:val="41"/>
    <w:link w:val="36"/>
    <w:qFormat/>
    <w:uiPriority w:val="0"/>
    <w:rPr>
      <w:rFonts w:ascii="宋体" w:hAnsi="宋体" w:eastAsia="宋体" w:cs="Times New Roman"/>
      <w:kern w:val="0"/>
      <w:sz w:val="28"/>
      <w:szCs w:val="28"/>
    </w:rPr>
  </w:style>
  <w:style w:type="character" w:customStyle="1" w:styleId="71">
    <w:name w:val="文档结构图 字符"/>
    <w:basedOn w:val="41"/>
    <w:link w:val="18"/>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1"/>
    <w:qFormat/>
    <w:uiPriority w:val="0"/>
    <w:rPr>
      <w:rFonts w:ascii="宋体" w:hAnsi="Courier New" w:eastAsia="宋体" w:cs="Courier New"/>
      <w:szCs w:val="21"/>
    </w:rPr>
  </w:style>
  <w:style w:type="character" w:customStyle="1" w:styleId="73">
    <w:name w:val="批注主题 字符"/>
    <w:basedOn w:val="59"/>
    <w:link w:val="12"/>
    <w:qFormat/>
    <w:uiPriority w:val="99"/>
    <w:rPr>
      <w:rFonts w:ascii="Calibri" w:hAnsi="Calibri" w:eastAsia="宋体" w:cs="Times New Roman"/>
      <w:b/>
      <w:bCs/>
      <w:kern w:val="0"/>
      <w:sz w:val="18"/>
      <w:szCs w:val="18"/>
    </w:rPr>
  </w:style>
  <w:style w:type="character" w:customStyle="1" w:styleId="74">
    <w:name w:val="批注框文本 字符"/>
    <w:basedOn w:val="41"/>
    <w:link w:val="28"/>
    <w:qFormat/>
    <w:uiPriority w:val="99"/>
    <w:rPr>
      <w:rFonts w:ascii="Times New Roman" w:hAnsi="Times New Roman" w:eastAsia="宋体" w:cs="Times New Roman"/>
      <w:kern w:val="0"/>
      <w:sz w:val="18"/>
      <w:szCs w:val="18"/>
    </w:rPr>
  </w:style>
  <w:style w:type="paragraph" w:styleId="7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出段落 字符"/>
    <w:link w:val="77"/>
    <w:qFormat/>
    <w:locked/>
    <w:uiPriority w:val="34"/>
    <w:rPr>
      <w:rFonts w:ascii="Calibri" w:hAnsi="Calibri"/>
    </w:rPr>
  </w:style>
  <w:style w:type="paragraph" w:styleId="77">
    <w:name w:val="List Paragraph"/>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6"/>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8"/>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7"/>
    <w:next w:val="20"/>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4"/>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0"/>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3"/>
    <w:qFormat/>
    <w:uiPriority w:val="0"/>
    <w:pPr>
      <w:tabs>
        <w:tab w:val="left" w:pos="425"/>
      </w:tabs>
    </w:pPr>
    <w:rPr>
      <w:rFonts w:cs="Times New Roman"/>
      <w:sz w:val="44"/>
    </w:rPr>
  </w:style>
  <w:style w:type="paragraph" w:customStyle="1" w:styleId="12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8"/>
    <w:qFormat/>
    <w:uiPriority w:val="0"/>
    <w:rPr>
      <w:rFonts w:ascii="Tahoma" w:hAnsi="Tahoma"/>
      <w:sz w:val="24"/>
      <w:szCs w:val="24"/>
    </w:rPr>
  </w:style>
  <w:style w:type="paragraph" w:customStyle="1" w:styleId="134">
    <w:name w:val="MM Topic 3"/>
    <w:basedOn w:val="5"/>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1"/>
    <w:qFormat/>
    <w:uiPriority w:val="0"/>
    <w:pPr>
      <w:tabs>
        <w:tab w:val="left" w:pos="5102"/>
      </w:tabs>
    </w:pPr>
  </w:style>
  <w:style w:type="paragraph" w:customStyle="1" w:styleId="140">
    <w:name w:val="MM Topic 5"/>
    <w:basedOn w:val="7"/>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6"/>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4"/>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kern w:val="0"/>
      <w:sz w:val="21"/>
      <w:szCs w:val="20"/>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1"/>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1"/>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1"/>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字符"/>
    <w:basedOn w:val="41"/>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字符"/>
    <w:link w:val="24"/>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1"/>
    <w:qFormat/>
    <w:uiPriority w:val="0"/>
    <w:rPr>
      <w:rFonts w:hint="eastAsia" w:ascii="宋体" w:hAnsi="宋体" w:eastAsia="宋体" w:cs="宋体"/>
      <w:b/>
      <w:color w:val="000000"/>
      <w:sz w:val="22"/>
      <w:szCs w:val="22"/>
      <w:u w:val="none"/>
    </w:rPr>
  </w:style>
  <w:style w:type="character" w:customStyle="1" w:styleId="193">
    <w:name w:val="font01"/>
    <w:basedOn w:val="41"/>
    <w:qFormat/>
    <w:uiPriority w:val="0"/>
    <w:rPr>
      <w:rFonts w:hint="eastAsia" w:ascii="宋体" w:hAnsi="宋体" w:eastAsia="宋体" w:cs="宋体"/>
      <w:color w:val="000000"/>
      <w:sz w:val="22"/>
      <w:szCs w:val="22"/>
      <w:u w:val="none"/>
    </w:rPr>
  </w:style>
  <w:style w:type="character" w:customStyle="1" w:styleId="194">
    <w:name w:val="页脚 Char1"/>
    <w:basedOn w:val="41"/>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Revision"/>
    <w:semiHidden/>
    <w:qFormat/>
    <w:uiPriority w:val="99"/>
    <w:rPr>
      <w:rFonts w:ascii="Calibri" w:hAnsi="Calibri" w:eastAsia="宋体" w:cs="Times New Roman"/>
      <w:kern w:val="2"/>
      <w:sz w:val="21"/>
      <w:szCs w:val="22"/>
      <w:lang w:val="en-US" w:eastAsia="zh-CN" w:bidi="ar-SA"/>
    </w:rPr>
  </w:style>
  <w:style w:type="paragraph" w:customStyle="1" w:styleId="200">
    <w:name w:val="修订2"/>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styleId="204">
    <w:name w:val="Placeholder Text"/>
    <w:basedOn w:val="41"/>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1"/>
    <w:semiHidden/>
    <w:qFormat/>
    <w:uiPriority w:val="99"/>
    <w:rPr>
      <w:rFonts w:hint="default" w:ascii="Calibri" w:hAnsi="Calibri" w:eastAsia="宋体" w:cs="Times New Roman"/>
    </w:rPr>
  </w:style>
  <w:style w:type="character" w:customStyle="1" w:styleId="207">
    <w:name w:val="副标题 Char2"/>
    <w:basedOn w:val="41"/>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1"/>
    <w:semiHidden/>
    <w:qFormat/>
    <w:uiPriority w:val="99"/>
    <w:rPr>
      <w:rFonts w:hint="default" w:ascii="Calibri" w:hAnsi="Calibri" w:eastAsia="宋体" w:cs="Times New Roman"/>
      <w:sz w:val="16"/>
      <w:szCs w:val="16"/>
    </w:rPr>
  </w:style>
  <w:style w:type="character" w:customStyle="1" w:styleId="209">
    <w:name w:val="批注框文本 Char1"/>
    <w:basedOn w:val="41"/>
    <w:semiHidden/>
    <w:qFormat/>
    <w:uiPriority w:val="99"/>
    <w:rPr>
      <w:rFonts w:hint="default" w:ascii="Calibri" w:hAnsi="Calibri" w:eastAsia="宋体" w:cs="Times New Roman"/>
      <w:sz w:val="18"/>
      <w:szCs w:val="18"/>
    </w:rPr>
  </w:style>
  <w:style w:type="character" w:customStyle="1" w:styleId="210">
    <w:name w:val="纯文本 Char2"/>
    <w:basedOn w:val="41"/>
    <w:qFormat/>
    <w:uiPriority w:val="99"/>
    <w:rPr>
      <w:rFonts w:hint="eastAsia" w:ascii="宋体" w:hAnsi="Courier New" w:eastAsia="宋体" w:cs="Courier New"/>
      <w:szCs w:val="21"/>
    </w:rPr>
  </w:style>
  <w:style w:type="character" w:customStyle="1" w:styleId="211">
    <w:name w:val="正文文本缩进 2 Char1"/>
    <w:basedOn w:val="41"/>
    <w:semiHidden/>
    <w:qFormat/>
    <w:uiPriority w:val="99"/>
    <w:rPr>
      <w:rFonts w:hint="default" w:ascii="Calibri" w:hAnsi="Calibri" w:eastAsia="宋体" w:cs="Times New Roman"/>
    </w:rPr>
  </w:style>
  <w:style w:type="character" w:customStyle="1" w:styleId="212">
    <w:name w:val="正文文本缩进 Char1"/>
    <w:basedOn w:val="41"/>
    <w:semiHidden/>
    <w:qFormat/>
    <w:uiPriority w:val="99"/>
    <w:rPr>
      <w:rFonts w:hint="default" w:ascii="Calibri" w:hAnsi="Calibri" w:eastAsia="宋体" w:cs="Times New Roman"/>
    </w:rPr>
  </w:style>
  <w:style w:type="character" w:customStyle="1" w:styleId="213">
    <w:name w:val="正文文本 2 Char1"/>
    <w:basedOn w:val="41"/>
    <w:semiHidden/>
    <w:qFormat/>
    <w:uiPriority w:val="99"/>
    <w:rPr>
      <w:rFonts w:hint="default" w:ascii="Calibri" w:hAnsi="Calibri" w:eastAsia="宋体" w:cs="Times New Roman"/>
    </w:rPr>
  </w:style>
  <w:style w:type="character" w:customStyle="1" w:styleId="214">
    <w:name w:val="正文文本 Char3"/>
    <w:basedOn w:val="41"/>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1"/>
    <w:semiHidden/>
    <w:qFormat/>
    <w:uiPriority w:val="0"/>
    <w:rPr>
      <w:rFonts w:hint="default" w:ascii="Calibri" w:hAnsi="Calibri" w:eastAsia="宋体" w:cs="Times New Roman"/>
    </w:rPr>
  </w:style>
  <w:style w:type="character" w:customStyle="1" w:styleId="217">
    <w:name w:val="正文文本 3 Char1"/>
    <w:basedOn w:val="41"/>
    <w:semiHidden/>
    <w:qFormat/>
    <w:uiPriority w:val="99"/>
    <w:rPr>
      <w:rFonts w:hint="default" w:ascii="Calibri" w:hAnsi="Calibri" w:eastAsia="宋体" w:cs="Times New Roman"/>
      <w:sz w:val="16"/>
      <w:szCs w:val="16"/>
    </w:rPr>
  </w:style>
  <w:style w:type="character" w:customStyle="1" w:styleId="218">
    <w:name w:val="文档结构图 Char1"/>
    <w:basedOn w:val="41"/>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样式 正文文本 + 四号 加粗 行距: 固定值 20 磅"/>
    <w:basedOn w:val="4"/>
    <w:qFormat/>
    <w:uiPriority w:val="0"/>
    <w:pPr>
      <w:autoSpaceDE w:val="0"/>
      <w:autoSpaceDN w:val="0"/>
      <w:spacing w:before="0" w:after="0" w:line="400" w:lineRule="exact"/>
      <w:jc w:val="both"/>
    </w:pPr>
    <w:rPr>
      <w:rFonts w:cs="宋体"/>
      <w:b w:val="0"/>
      <w:bCs w:val="0"/>
      <w:kern w:val="0"/>
      <w:sz w:val="28"/>
      <w:lang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9C5D8-23D2-4D58-9C24-1FF25CE35878}">
  <ds:schemaRefs/>
</ds:datastoreItem>
</file>

<file path=docProps/app.xml><?xml version="1.0" encoding="utf-8"?>
<Properties xmlns="http://schemas.openxmlformats.org/officeDocument/2006/extended-properties" xmlns:vt="http://schemas.openxmlformats.org/officeDocument/2006/docPropsVTypes">
  <Template>Normal</Template>
  <Pages>98</Pages>
  <Words>48294</Words>
  <Characters>52407</Characters>
  <Lines>319</Lines>
  <Paragraphs>89</Paragraphs>
  <TotalTime>75</TotalTime>
  <ScaleCrop>false</ScaleCrop>
  <LinksUpToDate>false</LinksUpToDate>
  <CharactersWithSpaces>53343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Administrator</cp:lastModifiedBy>
  <cp:lastPrinted>2021-06-16T08:13:00Z</cp:lastPrinted>
  <dcterms:modified xsi:type="dcterms:W3CDTF">2021-07-09T07:47:15Z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