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成都市龙泉驿区汽车总站保安保洁外包服务采购项目</w:t>
      </w:r>
    </w:p>
    <w:p>
      <w:pPr>
        <w:spacing w:line="360" w:lineRule="auto"/>
        <w:ind w:left="2409" w:leftChars="338" w:hanging="1699" w:hangingChars="531"/>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龙泉驿政采（2021）A0050号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lang w:eastAsia="zh-CN"/>
        </w:rPr>
        <w:t xml:space="preserve">成都市龙泉驿区汽车总站 </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成都市龙泉驿区公共资源交易服务中心共同编制</w:t>
      </w:r>
    </w:p>
    <w:p>
      <w:pPr>
        <w:pStyle w:val="2"/>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华文中宋" w:hAnsi="华文中宋" w:eastAsia="华文中宋"/>
          <w:sz w:val="32"/>
          <w:szCs w:val="32"/>
          <w:lang w:eastAsia="zh-CN"/>
        </w:rPr>
        <w:t>九</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pStyle w:val="2"/>
      </w:pPr>
    </w:p>
    <w:sdt>
      <w:sdtPr>
        <w:rPr>
          <w:rFonts w:ascii="宋体" w:hAnsi="宋体" w:eastAsia="宋体" w:cs="Times New Roman"/>
          <w:kern w:val="2"/>
          <w:sz w:val="21"/>
          <w:szCs w:val="22"/>
          <w:lang w:val="en-US" w:eastAsia="zh-CN" w:bidi="ar-SA"/>
        </w:rPr>
        <w:id w:val="147481557"/>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sz w:val="24"/>
              <w:szCs w:val="28"/>
            </w:rPr>
          </w:pPr>
          <w:bookmarkStart w:id="0" w:name="_Toc16189_WPSOffice_Type2"/>
          <w:r>
            <w:rPr>
              <w:rFonts w:ascii="宋体" w:hAnsi="宋体" w:eastAsia="宋体"/>
              <w:b/>
              <w:bCs/>
              <w:sz w:val="32"/>
              <w:szCs w:val="36"/>
            </w:rPr>
            <w:t>目录</w:t>
          </w:r>
        </w:p>
        <w:p>
          <w:pPr>
            <w:pStyle w:val="225"/>
            <w:tabs>
              <w:tab w:val="right" w:leader="dot" w:pos="8250"/>
            </w:tabs>
            <w:rPr>
              <w:sz w:val="22"/>
              <w:szCs w:val="22"/>
            </w:rPr>
          </w:pPr>
          <w:r>
            <w:rPr>
              <w:b/>
              <w:bCs/>
              <w:sz w:val="22"/>
              <w:szCs w:val="22"/>
            </w:rPr>
            <w:fldChar w:fldCharType="begin"/>
          </w:r>
          <w:r>
            <w:rPr>
              <w:sz w:val="22"/>
              <w:szCs w:val="22"/>
            </w:rPr>
            <w:instrText xml:space="preserve"> HYPERLINK \l _Toc30056_WPSOffice_Level1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3d130e0e-9084-4818-a289-44059ae0e830}"/>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第1章 </w:t>
              </w:r>
              <w:r>
                <w:rPr>
                  <w:rFonts w:hint="eastAsia" w:ascii="宋体" w:hAnsi="宋体" w:eastAsia="宋体" w:cs="Times New Roman"/>
                  <w:b/>
                  <w:bCs/>
                  <w:sz w:val="22"/>
                  <w:szCs w:val="22"/>
                </w:rPr>
                <w:t>投标邀请</w:t>
              </w:r>
            </w:sdtContent>
          </w:sdt>
          <w:r>
            <w:rPr>
              <w:b/>
              <w:bCs/>
              <w:sz w:val="22"/>
              <w:szCs w:val="22"/>
            </w:rPr>
            <w:tab/>
          </w:r>
          <w:bookmarkStart w:id="1" w:name="_Toc30056_WPSOffice_Level1Page"/>
          <w:r>
            <w:rPr>
              <w:b/>
              <w:bCs/>
              <w:sz w:val="22"/>
              <w:szCs w:val="22"/>
            </w:rPr>
            <w:t>3</w:t>
          </w:r>
          <w:bookmarkEnd w:id="1"/>
          <w:r>
            <w:rPr>
              <w:b/>
              <w:bCs/>
              <w:sz w:val="22"/>
              <w:szCs w:val="22"/>
            </w:rPr>
            <w:fldChar w:fldCharType="end"/>
          </w:r>
        </w:p>
        <w:p>
          <w:pPr>
            <w:pStyle w:val="225"/>
            <w:tabs>
              <w:tab w:val="right" w:leader="dot" w:pos="8250"/>
            </w:tabs>
            <w:rPr>
              <w:sz w:val="22"/>
              <w:szCs w:val="22"/>
            </w:rPr>
          </w:pPr>
          <w:r>
            <w:rPr>
              <w:b/>
              <w:bCs/>
              <w:sz w:val="22"/>
              <w:szCs w:val="22"/>
            </w:rPr>
            <w:fldChar w:fldCharType="begin"/>
          </w:r>
          <w:r>
            <w:rPr>
              <w:sz w:val="22"/>
              <w:szCs w:val="22"/>
            </w:rPr>
            <w:instrText xml:space="preserve"> HYPERLINK \l _Toc16189_WPSOffice_Level1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7b0a1431-8425-43e9-9a57-32b4a083a2a7}"/>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第2章 </w:t>
              </w:r>
              <w:r>
                <w:rPr>
                  <w:rFonts w:hint="eastAsia" w:ascii="宋体" w:hAnsi="宋体" w:eastAsia="宋体" w:cs="Times New Roman"/>
                  <w:b/>
                  <w:bCs/>
                  <w:sz w:val="22"/>
                  <w:szCs w:val="22"/>
                </w:rPr>
                <w:t>投标人须知</w:t>
              </w:r>
            </w:sdtContent>
          </w:sdt>
          <w:r>
            <w:rPr>
              <w:b/>
              <w:bCs/>
              <w:sz w:val="22"/>
              <w:szCs w:val="22"/>
            </w:rPr>
            <w:tab/>
          </w:r>
          <w:bookmarkStart w:id="2" w:name="_Toc16189_WPSOffice_Level1Page"/>
          <w:r>
            <w:rPr>
              <w:b/>
              <w:bCs/>
              <w:sz w:val="22"/>
              <w:szCs w:val="22"/>
            </w:rPr>
            <w:t>7</w:t>
          </w:r>
          <w:bookmarkEnd w:id="2"/>
          <w:r>
            <w:rPr>
              <w:b/>
              <w:bCs/>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_Toc16189_WPSOffice_Level2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92e31580-a07c-4140-b42a-e3a3abd66b9d}"/>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2.1 </w:t>
              </w:r>
              <w:r>
                <w:rPr>
                  <w:rFonts w:hint="eastAsia" w:ascii="宋体" w:hAnsi="宋体" w:eastAsia="宋体" w:cs="Times New Roman"/>
                  <w:sz w:val="22"/>
                  <w:szCs w:val="22"/>
                </w:rPr>
                <w:t>投标人须知前附表</w:t>
              </w:r>
            </w:sdtContent>
          </w:sdt>
          <w:r>
            <w:rPr>
              <w:sz w:val="22"/>
              <w:szCs w:val="22"/>
            </w:rPr>
            <w:tab/>
          </w:r>
          <w:bookmarkStart w:id="3" w:name="_Toc16189_WPSOffice_Level2Page"/>
          <w:r>
            <w:rPr>
              <w:sz w:val="22"/>
              <w:szCs w:val="22"/>
            </w:rPr>
            <w:t>7</w:t>
          </w:r>
          <w:bookmarkEnd w:id="3"/>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_Toc20218_WPSOffice_Level2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92875788-9d6d-4f31-9f55-0f3c445eb0b4}"/>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2.2 </w:t>
              </w:r>
              <w:r>
                <w:rPr>
                  <w:rFonts w:hint="eastAsia" w:ascii="宋体" w:hAnsi="宋体" w:eastAsia="宋体" w:cs="Times New Roman"/>
                  <w:sz w:val="22"/>
                  <w:szCs w:val="22"/>
                </w:rPr>
                <w:t>总则</w:t>
              </w:r>
            </w:sdtContent>
          </w:sdt>
          <w:r>
            <w:rPr>
              <w:sz w:val="22"/>
              <w:szCs w:val="22"/>
            </w:rPr>
            <w:tab/>
          </w:r>
          <w:bookmarkStart w:id="4" w:name="_Toc20218_WPSOffice_Level2Page"/>
          <w:r>
            <w:rPr>
              <w:sz w:val="22"/>
              <w:szCs w:val="22"/>
            </w:rPr>
            <w:t>10</w:t>
          </w:r>
          <w:bookmarkEnd w:id="4"/>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_Toc6034_WPSOffice_Level2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1270a1e1-2905-4d29-90e5-8f8e4cb6f432}"/>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2.3 </w:t>
              </w:r>
              <w:r>
                <w:rPr>
                  <w:rFonts w:hint="eastAsia" w:ascii="宋体" w:hAnsi="宋体" w:eastAsia="宋体" w:cs="Times New Roman"/>
                  <w:sz w:val="22"/>
                  <w:szCs w:val="22"/>
                </w:rPr>
                <w:t>招标文件</w:t>
              </w:r>
            </w:sdtContent>
          </w:sdt>
          <w:r>
            <w:rPr>
              <w:sz w:val="22"/>
              <w:szCs w:val="22"/>
            </w:rPr>
            <w:tab/>
          </w:r>
          <w:bookmarkStart w:id="5" w:name="_Toc6034_WPSOffice_Level2Page"/>
          <w:r>
            <w:rPr>
              <w:sz w:val="22"/>
              <w:szCs w:val="22"/>
            </w:rPr>
            <w:t>11</w:t>
          </w:r>
          <w:bookmarkEnd w:id="5"/>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_Toc21072_WPSOffice_Level2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0f74f1f4-662c-427e-9b2e-82ba23dc66be}"/>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2.4 </w:t>
              </w:r>
              <w:r>
                <w:rPr>
                  <w:rFonts w:hint="eastAsia" w:ascii="宋体" w:hAnsi="宋体" w:eastAsia="宋体" w:cs="Times New Roman"/>
                  <w:sz w:val="22"/>
                  <w:szCs w:val="22"/>
                </w:rPr>
                <w:t>投标文件</w:t>
              </w:r>
            </w:sdtContent>
          </w:sdt>
          <w:r>
            <w:rPr>
              <w:sz w:val="22"/>
              <w:szCs w:val="22"/>
            </w:rPr>
            <w:tab/>
          </w:r>
          <w:bookmarkStart w:id="6" w:name="_Toc21072_WPSOffice_Level2Page"/>
          <w:r>
            <w:rPr>
              <w:sz w:val="22"/>
              <w:szCs w:val="22"/>
            </w:rPr>
            <w:t>12</w:t>
          </w:r>
          <w:bookmarkEnd w:id="6"/>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_Toc17680_WPSOffice_Level2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fbab7cb7-4bf3-4872-8b54-12e61ed5c3f4}"/>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2.5 </w:t>
              </w:r>
              <w:r>
                <w:rPr>
                  <w:rFonts w:hint="eastAsia" w:ascii="宋体" w:hAnsi="宋体" w:eastAsia="宋体" w:cs="Times New Roman"/>
                  <w:sz w:val="22"/>
                  <w:szCs w:val="22"/>
                </w:rPr>
                <w:t>开标、资格审查、评标和中标</w:t>
              </w:r>
            </w:sdtContent>
          </w:sdt>
          <w:r>
            <w:rPr>
              <w:sz w:val="22"/>
              <w:szCs w:val="22"/>
            </w:rPr>
            <w:tab/>
          </w:r>
          <w:bookmarkStart w:id="7" w:name="_Toc17680_WPSOffice_Level2Page"/>
          <w:r>
            <w:rPr>
              <w:sz w:val="22"/>
              <w:szCs w:val="22"/>
            </w:rPr>
            <w:t>19</w:t>
          </w:r>
          <w:bookmarkEnd w:id="7"/>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_Toc9989_WPSOffice_Level2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18efcbd9-b516-4719-868c-f61e69b2b299}"/>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2.6 </w:t>
              </w:r>
              <w:r>
                <w:rPr>
                  <w:rFonts w:hint="eastAsia" w:ascii="宋体" w:hAnsi="宋体" w:eastAsia="宋体" w:cs="Times New Roman"/>
                  <w:sz w:val="22"/>
                  <w:szCs w:val="22"/>
                </w:rPr>
                <w:t>签订及履行合同和验收</w:t>
              </w:r>
            </w:sdtContent>
          </w:sdt>
          <w:r>
            <w:rPr>
              <w:sz w:val="22"/>
              <w:szCs w:val="22"/>
            </w:rPr>
            <w:tab/>
          </w:r>
          <w:bookmarkStart w:id="8" w:name="_Toc9989_WPSOffice_Level2Page"/>
          <w:r>
            <w:rPr>
              <w:sz w:val="22"/>
              <w:szCs w:val="22"/>
            </w:rPr>
            <w:t>21</w:t>
          </w:r>
          <w:bookmarkEnd w:id="8"/>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_Toc23316_WPSOffice_Level2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5086e849-f901-4d0c-9980-5b4f7f9ce9b7}"/>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2.7 </w:t>
              </w:r>
              <w:r>
                <w:rPr>
                  <w:rFonts w:hint="eastAsia" w:ascii="宋体" w:hAnsi="宋体" w:eastAsia="宋体" w:cs="Times New Roman"/>
                  <w:sz w:val="22"/>
                  <w:szCs w:val="22"/>
                </w:rPr>
                <w:t>投标纪律要求</w:t>
              </w:r>
            </w:sdtContent>
          </w:sdt>
          <w:r>
            <w:rPr>
              <w:sz w:val="22"/>
              <w:szCs w:val="22"/>
            </w:rPr>
            <w:tab/>
          </w:r>
          <w:bookmarkStart w:id="9" w:name="_Toc23316_WPSOffice_Level2Page"/>
          <w:r>
            <w:rPr>
              <w:sz w:val="22"/>
              <w:szCs w:val="22"/>
            </w:rPr>
            <w:t>23</w:t>
          </w:r>
          <w:bookmarkEnd w:id="9"/>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_Toc19536_WPSOffice_Level2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57ab8a17-4767-4718-94a2-f3b67a8c7b71}"/>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2.8 </w:t>
              </w:r>
              <w:r>
                <w:rPr>
                  <w:rFonts w:hint="eastAsia" w:ascii="宋体" w:hAnsi="宋体" w:eastAsia="宋体" w:cs="Times New Roman"/>
                  <w:sz w:val="22"/>
                  <w:szCs w:val="22"/>
                </w:rPr>
                <w:t>询问、质疑和投诉</w:t>
              </w:r>
            </w:sdtContent>
          </w:sdt>
          <w:r>
            <w:rPr>
              <w:sz w:val="22"/>
              <w:szCs w:val="22"/>
            </w:rPr>
            <w:tab/>
          </w:r>
          <w:bookmarkStart w:id="10" w:name="_Toc19536_WPSOffice_Level2Page"/>
          <w:r>
            <w:rPr>
              <w:sz w:val="22"/>
              <w:szCs w:val="22"/>
            </w:rPr>
            <w:t>25</w:t>
          </w:r>
          <w:bookmarkEnd w:id="10"/>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_Toc16083_WPSOffice_Level2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36cafdcd-119d-4d70-ae23-a291d4f70013}"/>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2.9 </w:t>
              </w:r>
              <w:r>
                <w:rPr>
                  <w:rFonts w:hint="eastAsia" w:ascii="宋体" w:hAnsi="宋体" w:eastAsia="宋体" w:cs="Times New Roman"/>
                  <w:sz w:val="22"/>
                  <w:szCs w:val="22"/>
                </w:rPr>
                <w:t>中小企业政府采购信用融资</w:t>
              </w:r>
            </w:sdtContent>
          </w:sdt>
          <w:r>
            <w:rPr>
              <w:sz w:val="22"/>
              <w:szCs w:val="22"/>
            </w:rPr>
            <w:tab/>
          </w:r>
          <w:bookmarkStart w:id="11" w:name="_Toc16083_WPSOffice_Level2Page"/>
          <w:r>
            <w:rPr>
              <w:sz w:val="22"/>
              <w:szCs w:val="22"/>
            </w:rPr>
            <w:t>26</w:t>
          </w:r>
          <w:bookmarkEnd w:id="11"/>
          <w:r>
            <w:rPr>
              <w:sz w:val="22"/>
              <w:szCs w:val="22"/>
            </w:rPr>
            <w:fldChar w:fldCharType="end"/>
          </w:r>
        </w:p>
        <w:p>
          <w:pPr>
            <w:pStyle w:val="225"/>
            <w:tabs>
              <w:tab w:val="right" w:leader="dot" w:pos="8250"/>
            </w:tabs>
            <w:rPr>
              <w:sz w:val="22"/>
              <w:szCs w:val="22"/>
            </w:rPr>
          </w:pPr>
          <w:r>
            <w:rPr>
              <w:b/>
              <w:bCs/>
              <w:sz w:val="22"/>
              <w:szCs w:val="22"/>
            </w:rPr>
            <w:fldChar w:fldCharType="begin"/>
          </w:r>
          <w:r>
            <w:rPr>
              <w:sz w:val="22"/>
              <w:szCs w:val="22"/>
            </w:rPr>
            <w:instrText xml:space="preserve"> HYPERLINK \l _Toc20218_WPSOffice_Level1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20a5612c-92e8-4070-8168-6f5d2b2138e8}"/>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第3章 </w:t>
              </w:r>
              <w:r>
                <w:rPr>
                  <w:rFonts w:hint="eastAsia" w:ascii="宋体" w:hAnsi="宋体" w:eastAsia="宋体" w:cs="Times New Roman"/>
                  <w:b/>
                  <w:bCs/>
                  <w:sz w:val="22"/>
                  <w:szCs w:val="22"/>
                </w:rPr>
                <w:t>投标文件格式</w:t>
              </w:r>
            </w:sdtContent>
          </w:sdt>
          <w:r>
            <w:rPr>
              <w:b/>
              <w:bCs/>
              <w:sz w:val="22"/>
              <w:szCs w:val="22"/>
            </w:rPr>
            <w:tab/>
          </w:r>
          <w:bookmarkStart w:id="12" w:name="_Toc20218_WPSOffice_Level1Page"/>
          <w:r>
            <w:rPr>
              <w:b/>
              <w:bCs/>
              <w:sz w:val="22"/>
              <w:szCs w:val="22"/>
            </w:rPr>
            <w:t>27</w:t>
          </w:r>
          <w:bookmarkEnd w:id="12"/>
          <w:r>
            <w:rPr>
              <w:b/>
              <w:bCs/>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_Toc2393_WPSOffice_Level2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d6197265-168c-42d9-85ba-bb0604ecc5fc}"/>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3.1 </w:t>
              </w:r>
              <w:r>
                <w:rPr>
                  <w:rFonts w:hint="eastAsia" w:ascii="宋体" w:hAnsi="宋体" w:eastAsia="宋体" w:cs="Times New Roman"/>
                  <w:sz w:val="22"/>
                  <w:szCs w:val="22"/>
                </w:rPr>
                <w:t>投标文件封面格式</w:t>
              </w:r>
            </w:sdtContent>
          </w:sdt>
          <w:r>
            <w:rPr>
              <w:sz w:val="22"/>
              <w:szCs w:val="22"/>
            </w:rPr>
            <w:tab/>
          </w:r>
          <w:bookmarkStart w:id="13" w:name="_Toc2393_WPSOffice_Level2Page"/>
          <w:r>
            <w:rPr>
              <w:sz w:val="22"/>
              <w:szCs w:val="22"/>
            </w:rPr>
            <w:t>27</w:t>
          </w:r>
          <w:bookmarkEnd w:id="13"/>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_Toc9609_WPSOffice_Level2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572374cc-7241-4f38-be76-01fc7bc6916f}"/>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3.2 </w:t>
              </w:r>
              <w:r>
                <w:rPr>
                  <w:rFonts w:hint="eastAsia" w:ascii="宋体" w:hAnsi="宋体" w:eastAsia="宋体" w:cs="Times New Roman"/>
                  <w:sz w:val="22"/>
                  <w:szCs w:val="22"/>
                </w:rPr>
                <w:t>资格响应文件</w:t>
              </w:r>
            </w:sdtContent>
          </w:sdt>
          <w:r>
            <w:rPr>
              <w:sz w:val="22"/>
              <w:szCs w:val="22"/>
            </w:rPr>
            <w:tab/>
          </w:r>
          <w:bookmarkStart w:id="14" w:name="_Toc9609_WPSOffice_Level2Page"/>
          <w:r>
            <w:rPr>
              <w:sz w:val="22"/>
              <w:szCs w:val="22"/>
            </w:rPr>
            <w:t>28</w:t>
          </w:r>
          <w:bookmarkEnd w:id="14"/>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_Toc30694_WPSOffice_Level2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38756e04-a901-4b12-b41e-e170d03f590a}"/>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3.3 </w:t>
              </w:r>
              <w:r>
                <w:rPr>
                  <w:rFonts w:hint="eastAsia" w:ascii="宋体" w:hAnsi="宋体" w:eastAsia="宋体" w:cs="Times New Roman"/>
                  <w:sz w:val="22"/>
                  <w:szCs w:val="22"/>
                </w:rPr>
                <w:t>商务技术</w:t>
              </w:r>
              <w:r>
                <w:rPr>
                  <w:rFonts w:ascii="宋体" w:hAnsi="宋体" w:eastAsia="宋体" w:cs="Times New Roman"/>
                  <w:sz w:val="22"/>
                  <w:szCs w:val="22"/>
                </w:rPr>
                <w:t>响应文件</w:t>
              </w:r>
            </w:sdtContent>
          </w:sdt>
          <w:r>
            <w:rPr>
              <w:sz w:val="22"/>
              <w:szCs w:val="22"/>
            </w:rPr>
            <w:tab/>
          </w:r>
          <w:bookmarkStart w:id="15" w:name="_Toc30694_WPSOffice_Level2Page"/>
          <w:r>
            <w:rPr>
              <w:sz w:val="22"/>
              <w:szCs w:val="22"/>
            </w:rPr>
            <w:t>35</w:t>
          </w:r>
          <w:bookmarkEnd w:id="15"/>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_Toc32118_WPSOffice_Level2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b9bb288a-c740-4c7a-996b-fc3a4849f47c}"/>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3.4 </w:t>
              </w:r>
              <w:r>
                <w:rPr>
                  <w:rFonts w:hint="eastAsia" w:ascii="宋体" w:hAnsi="宋体" w:eastAsia="宋体" w:cs="Times New Roman"/>
                  <w:sz w:val="22"/>
                  <w:szCs w:val="22"/>
                </w:rPr>
                <w:t>报价</w:t>
              </w:r>
              <w:r>
                <w:rPr>
                  <w:rFonts w:ascii="宋体" w:hAnsi="宋体" w:eastAsia="宋体" w:cs="Times New Roman"/>
                  <w:sz w:val="22"/>
                  <w:szCs w:val="22"/>
                </w:rPr>
                <w:t>要求响应文件</w:t>
              </w:r>
            </w:sdtContent>
          </w:sdt>
          <w:r>
            <w:rPr>
              <w:sz w:val="22"/>
              <w:szCs w:val="22"/>
            </w:rPr>
            <w:tab/>
          </w:r>
          <w:bookmarkStart w:id="16" w:name="_Toc32118_WPSOffice_Level2Page"/>
          <w:r>
            <w:rPr>
              <w:sz w:val="22"/>
              <w:szCs w:val="22"/>
            </w:rPr>
            <w:t>42</w:t>
          </w:r>
          <w:bookmarkEnd w:id="16"/>
          <w:r>
            <w:rPr>
              <w:sz w:val="22"/>
              <w:szCs w:val="22"/>
            </w:rPr>
            <w:fldChar w:fldCharType="end"/>
          </w:r>
        </w:p>
        <w:p>
          <w:pPr>
            <w:pStyle w:val="225"/>
            <w:tabs>
              <w:tab w:val="right" w:leader="dot" w:pos="8250"/>
            </w:tabs>
            <w:rPr>
              <w:sz w:val="22"/>
              <w:szCs w:val="22"/>
            </w:rPr>
          </w:pPr>
          <w:r>
            <w:rPr>
              <w:b/>
              <w:bCs/>
              <w:sz w:val="22"/>
              <w:szCs w:val="22"/>
            </w:rPr>
            <w:fldChar w:fldCharType="begin"/>
          </w:r>
          <w:r>
            <w:rPr>
              <w:sz w:val="22"/>
              <w:szCs w:val="22"/>
            </w:rPr>
            <w:instrText xml:space="preserve"> HYPERLINK \l _Toc6034_WPSOffice_Level1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5db8b0ac-95a0-462d-a22e-c33b4a22451a}"/>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第4章 </w:t>
              </w:r>
              <w:r>
                <w:rPr>
                  <w:rFonts w:hint="eastAsia" w:ascii="宋体" w:hAnsi="宋体" w:eastAsia="宋体" w:cs="Times New Roman"/>
                  <w:b/>
                  <w:bCs/>
                  <w:sz w:val="22"/>
                  <w:szCs w:val="22"/>
                </w:rPr>
                <w:t>招标项目技术、服务、商务及其他要求</w:t>
              </w:r>
            </w:sdtContent>
          </w:sdt>
          <w:r>
            <w:rPr>
              <w:b/>
              <w:bCs/>
              <w:sz w:val="22"/>
              <w:szCs w:val="22"/>
            </w:rPr>
            <w:tab/>
          </w:r>
          <w:bookmarkStart w:id="17" w:name="_Toc6034_WPSOffice_Level1Page"/>
          <w:r>
            <w:rPr>
              <w:b/>
              <w:bCs/>
              <w:sz w:val="22"/>
              <w:szCs w:val="22"/>
            </w:rPr>
            <w:t>44</w:t>
          </w:r>
          <w:bookmarkEnd w:id="17"/>
          <w:r>
            <w:rPr>
              <w:b/>
              <w:bCs/>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_Toc25214_WPSOffice_Level2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4864ea96-a480-4f0a-8051-42bdcaaf2449}"/>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4.1 </w:t>
              </w:r>
              <w:r>
                <w:rPr>
                  <w:rFonts w:hint="eastAsia" w:ascii="宋体" w:hAnsi="宋体" w:eastAsia="宋体" w:cs="Times New Roman"/>
                  <w:sz w:val="22"/>
                  <w:szCs w:val="22"/>
                </w:rPr>
                <w:t>项目概况</w:t>
              </w:r>
            </w:sdtContent>
          </w:sdt>
          <w:r>
            <w:rPr>
              <w:sz w:val="22"/>
              <w:szCs w:val="22"/>
            </w:rPr>
            <w:tab/>
          </w:r>
          <w:bookmarkStart w:id="18" w:name="_Toc25214_WPSOffice_Level2Page"/>
          <w:r>
            <w:rPr>
              <w:sz w:val="22"/>
              <w:szCs w:val="22"/>
            </w:rPr>
            <w:t>44</w:t>
          </w:r>
          <w:bookmarkEnd w:id="18"/>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_Toc20263_WPSOffice_Level2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ba6fa625-ea70-4177-815e-dcc4e1b136d0}"/>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4.2 </w:t>
              </w:r>
              <w:r>
                <w:rPr>
                  <w:rFonts w:hint="eastAsia" w:ascii="宋体" w:hAnsi="宋体" w:eastAsia="宋体" w:cs="Times New Roman"/>
                  <w:sz w:val="22"/>
                  <w:szCs w:val="22"/>
                </w:rPr>
                <w:t>服务地点及服务事项</w:t>
              </w:r>
            </w:sdtContent>
          </w:sdt>
          <w:r>
            <w:rPr>
              <w:sz w:val="22"/>
              <w:szCs w:val="22"/>
            </w:rPr>
            <w:tab/>
          </w:r>
          <w:bookmarkStart w:id="19" w:name="_Toc20263_WPSOffice_Level2Page"/>
          <w:r>
            <w:rPr>
              <w:sz w:val="22"/>
              <w:szCs w:val="22"/>
            </w:rPr>
            <w:t>44</w:t>
          </w:r>
          <w:bookmarkEnd w:id="19"/>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_Toc32540_WPSOffice_Level2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710838e5-d033-4b33-b38e-91b4caf0458c}"/>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4.3 </w:t>
              </w:r>
              <w:r>
                <w:rPr>
                  <w:rFonts w:hint="eastAsia" w:ascii="宋体" w:hAnsi="宋体" w:eastAsia="宋体" w:cs="宋体"/>
                  <w:sz w:val="22"/>
                  <w:szCs w:val="22"/>
                </w:rPr>
                <w:t>服务内容及要求</w:t>
              </w:r>
            </w:sdtContent>
          </w:sdt>
          <w:r>
            <w:rPr>
              <w:sz w:val="22"/>
              <w:szCs w:val="22"/>
            </w:rPr>
            <w:tab/>
          </w:r>
          <w:bookmarkStart w:id="20" w:name="_Toc32540_WPSOffice_Level2Page"/>
          <w:r>
            <w:rPr>
              <w:sz w:val="22"/>
              <w:szCs w:val="22"/>
            </w:rPr>
            <w:t>44</w:t>
          </w:r>
          <w:bookmarkEnd w:id="20"/>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_Toc29155_WPSOffice_Level2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e10b68b2-1d96-48f4-9c97-830b1d307895}"/>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4.4 </w:t>
              </w:r>
              <w:r>
                <w:rPr>
                  <w:rFonts w:hint="eastAsia" w:ascii="宋体" w:hAnsi="Times New Roman" w:eastAsia="宋体" w:cs="宋体"/>
                  <w:sz w:val="22"/>
                  <w:szCs w:val="22"/>
                </w:rPr>
                <w:t>考核</w:t>
              </w:r>
              <w:r>
                <w:rPr>
                  <w:rFonts w:hint="eastAsia" w:ascii="宋体" w:hAnsi="宋体" w:eastAsia="宋体" w:cs="宋体"/>
                  <w:sz w:val="22"/>
                  <w:szCs w:val="22"/>
                </w:rPr>
                <w:t>办法及标准：</w:t>
              </w:r>
            </w:sdtContent>
          </w:sdt>
          <w:r>
            <w:rPr>
              <w:sz w:val="22"/>
              <w:szCs w:val="22"/>
            </w:rPr>
            <w:tab/>
          </w:r>
          <w:bookmarkStart w:id="21" w:name="_Toc29155_WPSOffice_Level2Page"/>
          <w:r>
            <w:rPr>
              <w:sz w:val="22"/>
              <w:szCs w:val="22"/>
            </w:rPr>
            <w:t>52</w:t>
          </w:r>
          <w:bookmarkEnd w:id="21"/>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_Toc9295_WPSOffice_Level2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0affddb6-f796-4e34-b7c4-3fa9a320f497}"/>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4.5 </w:t>
              </w:r>
              <w:r>
                <w:rPr>
                  <w:rFonts w:hint="eastAsia" w:ascii="宋体" w:hAnsi="宋体" w:eastAsia="宋体" w:cs="Times New Roman"/>
                  <w:sz w:val="22"/>
                  <w:szCs w:val="22"/>
                </w:rPr>
                <w:t>其他要求</w:t>
              </w:r>
            </w:sdtContent>
          </w:sdt>
          <w:r>
            <w:rPr>
              <w:sz w:val="22"/>
              <w:szCs w:val="22"/>
            </w:rPr>
            <w:tab/>
          </w:r>
          <w:bookmarkStart w:id="22" w:name="_Toc9295_WPSOffice_Level2Page"/>
          <w:r>
            <w:rPr>
              <w:sz w:val="22"/>
              <w:szCs w:val="22"/>
            </w:rPr>
            <w:t>62</w:t>
          </w:r>
          <w:bookmarkEnd w:id="22"/>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_Toc29878_WPSOffice_Level2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d8b94cbf-0350-4416-b850-c4039389a068}"/>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4.6 </w:t>
              </w:r>
              <w:r>
                <w:rPr>
                  <w:rFonts w:hint="eastAsia" w:ascii="宋体" w:hAnsi="宋体" w:eastAsia="宋体" w:cs="Times New Roman"/>
                  <w:sz w:val="22"/>
                  <w:szCs w:val="22"/>
                </w:rPr>
                <w:t>商务</w:t>
              </w:r>
              <w:r>
                <w:rPr>
                  <w:rFonts w:ascii="宋体" w:hAnsi="宋体" w:eastAsia="宋体" w:cs="Times New Roman"/>
                  <w:sz w:val="22"/>
                  <w:szCs w:val="22"/>
                </w:rPr>
                <w:t>要求</w:t>
              </w:r>
            </w:sdtContent>
          </w:sdt>
          <w:r>
            <w:rPr>
              <w:sz w:val="22"/>
              <w:szCs w:val="22"/>
            </w:rPr>
            <w:tab/>
          </w:r>
          <w:bookmarkStart w:id="23" w:name="_Toc29878_WPSOffice_Level2Page"/>
          <w:r>
            <w:rPr>
              <w:sz w:val="22"/>
              <w:szCs w:val="22"/>
            </w:rPr>
            <w:t>62</w:t>
          </w:r>
          <w:bookmarkEnd w:id="23"/>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_Toc29869_WPSOffice_Level2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c881a18d-c0b2-4f82-8198-cc6131cb74a5}"/>
              </w:placeholder>
            </w:sdtPr>
            <w:sdtEndPr>
              <w:rPr>
                <w:rFonts w:ascii="Calibri" w:hAnsi="Calibri" w:eastAsia="宋体" w:cs="Times New Roman"/>
                <w:kern w:val="2"/>
                <w:sz w:val="24"/>
                <w:szCs w:val="28"/>
                <w:lang w:val="en-US" w:eastAsia="zh-CN" w:bidi="ar-SA"/>
              </w:rPr>
            </w:sdtEndPr>
            <w:sdtContent>
              <w:r>
                <w:rPr>
                  <w:rFonts w:hint="eastAsia" w:ascii="宋体" w:hAnsi="宋体" w:eastAsia="宋体" w:cs="宋体"/>
                  <w:sz w:val="22"/>
                  <w:szCs w:val="22"/>
                </w:rPr>
                <w:t>（一）服务期限：</w:t>
              </w:r>
            </w:sdtContent>
          </w:sdt>
          <w:r>
            <w:rPr>
              <w:sz w:val="22"/>
              <w:szCs w:val="22"/>
            </w:rPr>
            <w:tab/>
          </w:r>
          <w:bookmarkStart w:id="24" w:name="_Toc29869_WPSOffice_Level2Page"/>
          <w:r>
            <w:rPr>
              <w:sz w:val="22"/>
              <w:szCs w:val="22"/>
            </w:rPr>
            <w:t>62</w:t>
          </w:r>
          <w:bookmarkEnd w:id="24"/>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_Toc26807_WPSOffice_Level2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588e8ba0-7b63-4cf3-b6e1-41b8ee639432}"/>
              </w:placeholder>
            </w:sdtPr>
            <w:sdtEndPr>
              <w:rPr>
                <w:rFonts w:ascii="Calibri" w:hAnsi="Calibri" w:eastAsia="宋体" w:cs="Times New Roman"/>
                <w:kern w:val="2"/>
                <w:sz w:val="24"/>
                <w:szCs w:val="28"/>
                <w:lang w:val="en-US" w:eastAsia="zh-CN" w:bidi="ar-SA"/>
              </w:rPr>
            </w:sdtEndPr>
            <w:sdtContent>
              <w:r>
                <w:rPr>
                  <w:rFonts w:hint="eastAsia" w:ascii="宋体" w:hAnsi="宋体" w:eastAsia="宋体" w:cs="宋体"/>
                  <w:sz w:val="22"/>
                  <w:szCs w:val="22"/>
                </w:rPr>
                <w:t>（二） 服务地点：</w:t>
              </w:r>
            </w:sdtContent>
          </w:sdt>
          <w:r>
            <w:rPr>
              <w:sz w:val="22"/>
              <w:szCs w:val="22"/>
            </w:rPr>
            <w:tab/>
          </w:r>
          <w:bookmarkStart w:id="25" w:name="_Toc26807_WPSOffice_Level2Page"/>
          <w:r>
            <w:rPr>
              <w:sz w:val="22"/>
              <w:szCs w:val="22"/>
            </w:rPr>
            <w:t>62</w:t>
          </w:r>
          <w:bookmarkEnd w:id="25"/>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_Toc6781_WPSOffice_Level2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60c93292-32fc-4be3-9215-b440708b8bbc}"/>
              </w:placeholder>
            </w:sdtPr>
            <w:sdtEndPr>
              <w:rPr>
                <w:rFonts w:ascii="Calibri" w:hAnsi="Calibri" w:eastAsia="宋体" w:cs="Times New Roman"/>
                <w:kern w:val="2"/>
                <w:sz w:val="24"/>
                <w:szCs w:val="28"/>
                <w:lang w:val="en-US" w:eastAsia="zh-CN" w:bidi="ar-SA"/>
              </w:rPr>
            </w:sdtEndPr>
            <w:sdtContent>
              <w:r>
                <w:rPr>
                  <w:rFonts w:hint="eastAsia" w:ascii="宋体" w:hAnsi="宋体" w:eastAsia="宋体" w:cs="宋体"/>
                  <w:sz w:val="22"/>
                  <w:szCs w:val="22"/>
                </w:rPr>
                <w:t>（三）付款方法和条件：</w:t>
              </w:r>
            </w:sdtContent>
          </w:sdt>
          <w:r>
            <w:rPr>
              <w:sz w:val="22"/>
              <w:szCs w:val="22"/>
            </w:rPr>
            <w:tab/>
          </w:r>
          <w:bookmarkStart w:id="26" w:name="_Toc6781_WPSOffice_Level2Page"/>
          <w:r>
            <w:rPr>
              <w:sz w:val="22"/>
              <w:szCs w:val="22"/>
            </w:rPr>
            <w:t>62</w:t>
          </w:r>
          <w:bookmarkEnd w:id="26"/>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_Toc24174_WPSOffice_Level2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a6e2866c-a60e-4961-9500-1284efbc11f6}"/>
              </w:placeholder>
            </w:sdtPr>
            <w:sdtEndPr>
              <w:rPr>
                <w:rFonts w:ascii="Calibri" w:hAnsi="Calibri" w:eastAsia="宋体" w:cs="Times New Roman"/>
                <w:kern w:val="2"/>
                <w:sz w:val="24"/>
                <w:szCs w:val="28"/>
                <w:lang w:val="en-US" w:eastAsia="zh-CN" w:bidi="ar-SA"/>
              </w:rPr>
            </w:sdtEndPr>
            <w:sdtContent>
              <w:r>
                <w:rPr>
                  <w:rFonts w:hint="eastAsia" w:ascii="宋体" w:hAnsi="宋体" w:eastAsia="宋体" w:cs="宋体"/>
                  <w:sz w:val="22"/>
                  <w:szCs w:val="22"/>
                </w:rPr>
                <w:t>（四）验收标准：</w:t>
              </w:r>
            </w:sdtContent>
          </w:sdt>
          <w:r>
            <w:rPr>
              <w:sz w:val="22"/>
              <w:szCs w:val="22"/>
            </w:rPr>
            <w:tab/>
          </w:r>
          <w:bookmarkStart w:id="27" w:name="_Toc24174_WPSOffice_Level2Page"/>
          <w:r>
            <w:rPr>
              <w:sz w:val="22"/>
              <w:szCs w:val="22"/>
            </w:rPr>
            <w:t>62</w:t>
          </w:r>
          <w:bookmarkEnd w:id="27"/>
          <w:r>
            <w:rPr>
              <w:sz w:val="22"/>
              <w:szCs w:val="22"/>
            </w:rPr>
            <w:fldChar w:fldCharType="end"/>
          </w:r>
        </w:p>
        <w:p>
          <w:pPr>
            <w:pStyle w:val="225"/>
            <w:tabs>
              <w:tab w:val="right" w:leader="dot" w:pos="8250"/>
            </w:tabs>
            <w:rPr>
              <w:sz w:val="22"/>
              <w:szCs w:val="22"/>
            </w:rPr>
          </w:pPr>
          <w:r>
            <w:rPr>
              <w:b/>
              <w:bCs/>
              <w:sz w:val="22"/>
              <w:szCs w:val="22"/>
            </w:rPr>
            <w:fldChar w:fldCharType="begin"/>
          </w:r>
          <w:r>
            <w:rPr>
              <w:sz w:val="22"/>
              <w:szCs w:val="22"/>
            </w:rPr>
            <w:instrText xml:space="preserve"> HYPERLINK \l _Toc21072_WPSOffice_Level1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02ee9d17-8d4b-4d1d-a407-f36ce4903f02}"/>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第5章 </w:t>
              </w:r>
              <w:r>
                <w:rPr>
                  <w:rFonts w:hint="eastAsia" w:ascii="宋体" w:hAnsi="宋体" w:eastAsia="宋体" w:cs="Times New Roman"/>
                  <w:b/>
                  <w:bCs/>
                  <w:sz w:val="22"/>
                  <w:szCs w:val="22"/>
                </w:rPr>
                <w:t>资格性审查</w:t>
              </w:r>
            </w:sdtContent>
          </w:sdt>
          <w:r>
            <w:rPr>
              <w:b/>
              <w:bCs/>
              <w:sz w:val="22"/>
              <w:szCs w:val="22"/>
            </w:rPr>
            <w:tab/>
          </w:r>
          <w:bookmarkStart w:id="28" w:name="_Toc21072_WPSOffice_Level1Page"/>
          <w:r>
            <w:rPr>
              <w:b/>
              <w:bCs/>
              <w:sz w:val="22"/>
              <w:szCs w:val="22"/>
            </w:rPr>
            <w:t>64</w:t>
          </w:r>
          <w:bookmarkEnd w:id="28"/>
          <w:r>
            <w:rPr>
              <w:b/>
              <w:bCs/>
              <w:sz w:val="22"/>
              <w:szCs w:val="22"/>
            </w:rPr>
            <w:fldChar w:fldCharType="end"/>
          </w:r>
        </w:p>
        <w:p>
          <w:pPr>
            <w:pStyle w:val="225"/>
            <w:tabs>
              <w:tab w:val="right" w:leader="dot" w:pos="8250"/>
            </w:tabs>
            <w:rPr>
              <w:sz w:val="22"/>
              <w:szCs w:val="22"/>
            </w:rPr>
          </w:pPr>
          <w:r>
            <w:rPr>
              <w:b/>
              <w:bCs/>
              <w:sz w:val="22"/>
              <w:szCs w:val="22"/>
            </w:rPr>
            <w:fldChar w:fldCharType="begin"/>
          </w:r>
          <w:r>
            <w:rPr>
              <w:sz w:val="22"/>
              <w:szCs w:val="22"/>
            </w:rPr>
            <w:instrText xml:space="preserve"> HYPERLINK \l _Toc12471_WPSOffice_Level1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8fc3afa2-77f1-4541-9006-76e520f5304a}"/>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第6章 </w:t>
              </w:r>
              <w:r>
                <w:rPr>
                  <w:rFonts w:hint="eastAsia" w:ascii="宋体" w:hAnsi="宋体" w:eastAsia="宋体" w:cs="Times New Roman"/>
                  <w:b/>
                  <w:bCs/>
                  <w:sz w:val="22"/>
                  <w:szCs w:val="22"/>
                </w:rPr>
                <w:t>评标办法</w:t>
              </w:r>
            </w:sdtContent>
          </w:sdt>
          <w:r>
            <w:rPr>
              <w:b/>
              <w:bCs/>
              <w:sz w:val="22"/>
              <w:szCs w:val="22"/>
            </w:rPr>
            <w:tab/>
          </w:r>
          <w:bookmarkStart w:id="29" w:name="_Toc12471_WPSOffice_Level1Page"/>
          <w:r>
            <w:rPr>
              <w:b/>
              <w:bCs/>
              <w:sz w:val="22"/>
              <w:szCs w:val="22"/>
            </w:rPr>
            <w:t>68</w:t>
          </w:r>
          <w:bookmarkEnd w:id="29"/>
          <w:r>
            <w:rPr>
              <w:b/>
              <w:bCs/>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_Toc15872_WPSOffice_Level2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049aeb04-2db1-43c8-b568-4ca7ca86319a}"/>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6.1 </w:t>
              </w:r>
              <w:r>
                <w:rPr>
                  <w:rFonts w:hint="eastAsia" w:ascii="宋体" w:hAnsi="宋体" w:eastAsia="宋体" w:cs="Times New Roman"/>
                  <w:sz w:val="22"/>
                  <w:szCs w:val="22"/>
                </w:rPr>
                <w:t>总则</w:t>
              </w:r>
            </w:sdtContent>
          </w:sdt>
          <w:r>
            <w:rPr>
              <w:sz w:val="22"/>
              <w:szCs w:val="22"/>
            </w:rPr>
            <w:tab/>
          </w:r>
          <w:bookmarkStart w:id="30" w:name="_Toc15872_WPSOffice_Level2Page"/>
          <w:r>
            <w:rPr>
              <w:sz w:val="22"/>
              <w:szCs w:val="22"/>
            </w:rPr>
            <w:t>68</w:t>
          </w:r>
          <w:bookmarkEnd w:id="30"/>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_Toc14221_WPSOffice_Level2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c35d3701-146a-4731-b9c3-50724d71d1a4}"/>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6.2 </w:t>
              </w:r>
              <w:r>
                <w:rPr>
                  <w:rFonts w:hint="eastAsia" w:ascii="宋体" w:hAnsi="宋体" w:eastAsia="宋体" w:cs="Times New Roman"/>
                  <w:sz w:val="22"/>
                  <w:szCs w:val="22"/>
                </w:rPr>
                <w:t>评标方法</w:t>
              </w:r>
            </w:sdtContent>
          </w:sdt>
          <w:r>
            <w:rPr>
              <w:sz w:val="22"/>
              <w:szCs w:val="22"/>
            </w:rPr>
            <w:tab/>
          </w:r>
          <w:bookmarkStart w:id="31" w:name="_Toc14221_WPSOffice_Level2Page"/>
          <w:r>
            <w:rPr>
              <w:sz w:val="22"/>
              <w:szCs w:val="22"/>
            </w:rPr>
            <w:t>69</w:t>
          </w:r>
          <w:bookmarkEnd w:id="31"/>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_Toc29385_WPSOffice_Level2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6793ee70-3e9b-4a39-ab97-c28f08f02223}"/>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6.3 </w:t>
              </w:r>
              <w:r>
                <w:rPr>
                  <w:rFonts w:hint="eastAsia" w:ascii="宋体" w:hAnsi="宋体" w:eastAsia="宋体" w:cs="Times New Roman"/>
                  <w:sz w:val="22"/>
                  <w:szCs w:val="22"/>
                </w:rPr>
                <w:t>评标程序</w:t>
              </w:r>
            </w:sdtContent>
          </w:sdt>
          <w:r>
            <w:rPr>
              <w:sz w:val="22"/>
              <w:szCs w:val="22"/>
            </w:rPr>
            <w:tab/>
          </w:r>
          <w:bookmarkStart w:id="32" w:name="_Toc29385_WPSOffice_Level2Page"/>
          <w:r>
            <w:rPr>
              <w:sz w:val="22"/>
              <w:szCs w:val="22"/>
            </w:rPr>
            <w:t>69</w:t>
          </w:r>
          <w:bookmarkEnd w:id="32"/>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_Toc14172_WPSOffice_Level2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144e25cf-7161-4618-b101-442556079ba9}"/>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6.4 </w:t>
              </w:r>
              <w:r>
                <w:rPr>
                  <w:rFonts w:hint="eastAsia" w:ascii="宋体" w:hAnsi="宋体" w:eastAsia="宋体" w:cs="Times New Roman"/>
                  <w:sz w:val="22"/>
                  <w:szCs w:val="22"/>
                </w:rPr>
                <w:t>评标争议处理规则</w:t>
              </w:r>
            </w:sdtContent>
          </w:sdt>
          <w:r>
            <w:rPr>
              <w:sz w:val="22"/>
              <w:szCs w:val="22"/>
            </w:rPr>
            <w:tab/>
          </w:r>
          <w:bookmarkStart w:id="33" w:name="_Toc14172_WPSOffice_Level2Page"/>
          <w:r>
            <w:rPr>
              <w:sz w:val="22"/>
              <w:szCs w:val="22"/>
            </w:rPr>
            <w:t>75</w:t>
          </w:r>
          <w:bookmarkEnd w:id="33"/>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_Toc31997_WPSOffice_Level2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783ad283-3ff6-4d8f-9496-47e242e87e29}"/>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6.5 </w:t>
              </w:r>
              <w:r>
                <w:rPr>
                  <w:rFonts w:hint="eastAsia" w:ascii="宋体" w:hAnsi="宋体" w:eastAsia="宋体" w:cs="Times New Roman"/>
                  <w:sz w:val="22"/>
                  <w:szCs w:val="22"/>
                </w:rPr>
                <w:t>评标细则及标准</w:t>
              </w:r>
            </w:sdtContent>
          </w:sdt>
          <w:r>
            <w:rPr>
              <w:sz w:val="22"/>
              <w:szCs w:val="22"/>
            </w:rPr>
            <w:tab/>
          </w:r>
          <w:bookmarkStart w:id="34" w:name="_Toc31997_WPSOffice_Level2Page"/>
          <w:r>
            <w:rPr>
              <w:sz w:val="22"/>
              <w:szCs w:val="22"/>
            </w:rPr>
            <w:t>75</w:t>
          </w:r>
          <w:bookmarkEnd w:id="34"/>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_Toc20351_WPSOffice_Level2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8140d317-4618-4100-8a3b-3b6524f4f9a8}"/>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6.6 </w:t>
              </w:r>
              <w:r>
                <w:rPr>
                  <w:rFonts w:hint="eastAsia" w:ascii="宋体" w:hAnsi="宋体" w:eastAsia="宋体" w:cs="Times New Roman"/>
                  <w:sz w:val="22"/>
                  <w:szCs w:val="22"/>
                </w:rPr>
                <w:t>废标</w:t>
              </w:r>
            </w:sdtContent>
          </w:sdt>
          <w:r>
            <w:rPr>
              <w:sz w:val="22"/>
              <w:szCs w:val="22"/>
            </w:rPr>
            <w:tab/>
          </w:r>
          <w:bookmarkStart w:id="35" w:name="_Toc20351_WPSOffice_Level2Page"/>
          <w:r>
            <w:rPr>
              <w:sz w:val="22"/>
              <w:szCs w:val="22"/>
            </w:rPr>
            <w:t>79</w:t>
          </w:r>
          <w:bookmarkEnd w:id="35"/>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_Toc5495_WPSOffice_Level2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db137e29-3dbc-4a2c-a0bf-3dcb36602743}"/>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6.7 </w:t>
              </w:r>
              <w:r>
                <w:rPr>
                  <w:rFonts w:hint="eastAsia" w:ascii="宋体" w:hAnsi="宋体" w:eastAsia="宋体" w:cs="Times New Roman"/>
                  <w:sz w:val="22"/>
                  <w:szCs w:val="22"/>
                </w:rPr>
                <w:t>定标</w:t>
              </w:r>
            </w:sdtContent>
          </w:sdt>
          <w:r>
            <w:rPr>
              <w:sz w:val="22"/>
              <w:szCs w:val="22"/>
            </w:rPr>
            <w:tab/>
          </w:r>
          <w:bookmarkStart w:id="36" w:name="_Toc5495_WPSOffice_Level2Page"/>
          <w:r>
            <w:rPr>
              <w:sz w:val="22"/>
              <w:szCs w:val="22"/>
            </w:rPr>
            <w:t>79</w:t>
          </w:r>
          <w:bookmarkEnd w:id="36"/>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_Toc21511_WPSOffice_Level2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0bd47fc8-9991-4b04-808e-b129262aacec}"/>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6.8 </w:t>
              </w:r>
              <w:r>
                <w:rPr>
                  <w:rFonts w:hint="eastAsia" w:ascii="宋体" w:hAnsi="宋体" w:eastAsia="宋体" w:cs="Times New Roman"/>
                  <w:sz w:val="22"/>
                  <w:szCs w:val="22"/>
                </w:rPr>
                <w:t>评标专家在政府采购活动中承担以下义务</w:t>
              </w:r>
            </w:sdtContent>
          </w:sdt>
          <w:r>
            <w:rPr>
              <w:sz w:val="22"/>
              <w:szCs w:val="22"/>
            </w:rPr>
            <w:tab/>
          </w:r>
          <w:bookmarkStart w:id="37" w:name="_Toc21511_WPSOffice_Level2Page"/>
          <w:r>
            <w:rPr>
              <w:sz w:val="22"/>
              <w:szCs w:val="22"/>
            </w:rPr>
            <w:t>80</w:t>
          </w:r>
          <w:bookmarkEnd w:id="37"/>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_Toc19488_WPSOffice_Level2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9cce0626-f669-4904-9e6b-f27d25f69412}"/>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6.9 </w:t>
              </w:r>
              <w:r>
                <w:rPr>
                  <w:rFonts w:hint="eastAsia" w:ascii="宋体" w:hAnsi="宋体" w:eastAsia="宋体" w:cs="Times New Roman"/>
                  <w:sz w:val="22"/>
                  <w:szCs w:val="22"/>
                </w:rPr>
                <w:t>评标委员会及其成员不得有下列行为</w:t>
              </w:r>
            </w:sdtContent>
          </w:sdt>
          <w:r>
            <w:rPr>
              <w:sz w:val="22"/>
              <w:szCs w:val="22"/>
            </w:rPr>
            <w:tab/>
          </w:r>
          <w:bookmarkStart w:id="38" w:name="_Toc19488_WPSOffice_Level2Page"/>
          <w:r>
            <w:rPr>
              <w:sz w:val="22"/>
              <w:szCs w:val="22"/>
            </w:rPr>
            <w:t>81</w:t>
          </w:r>
          <w:bookmarkEnd w:id="38"/>
          <w:r>
            <w:rPr>
              <w:sz w:val="22"/>
              <w:szCs w:val="22"/>
            </w:rPr>
            <w:fldChar w:fldCharType="end"/>
          </w:r>
        </w:p>
        <w:p>
          <w:pPr>
            <w:pStyle w:val="226"/>
            <w:tabs>
              <w:tab w:val="right" w:leader="dot" w:pos="8250"/>
            </w:tabs>
            <w:rPr>
              <w:sz w:val="22"/>
              <w:szCs w:val="22"/>
            </w:rPr>
          </w:pPr>
          <w:r>
            <w:rPr>
              <w:sz w:val="22"/>
              <w:szCs w:val="22"/>
            </w:rPr>
            <w:fldChar w:fldCharType="begin"/>
          </w:r>
          <w:r>
            <w:rPr>
              <w:sz w:val="22"/>
              <w:szCs w:val="22"/>
            </w:rPr>
            <w:instrText xml:space="preserve"> HYPERLINK \l _Toc22762_WPSOffice_Level2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43bd0bec-8dc5-47be-9a3d-e96e35445de6}"/>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6.10 </w:t>
              </w:r>
              <w:r>
                <w:rPr>
                  <w:rFonts w:hint="eastAsia" w:ascii="宋体" w:hAnsi="宋体" w:eastAsia="宋体" w:cs="Times New Roman"/>
                  <w:sz w:val="22"/>
                  <w:szCs w:val="22"/>
                </w:rPr>
                <w:t>评审专家在政府采购活动中应当遵守以下工作纪律</w:t>
              </w:r>
            </w:sdtContent>
          </w:sdt>
          <w:r>
            <w:rPr>
              <w:sz w:val="22"/>
              <w:szCs w:val="22"/>
            </w:rPr>
            <w:tab/>
          </w:r>
          <w:bookmarkStart w:id="39" w:name="_Toc22762_WPSOffice_Level2Page"/>
          <w:r>
            <w:rPr>
              <w:sz w:val="22"/>
              <w:szCs w:val="22"/>
            </w:rPr>
            <w:t>81</w:t>
          </w:r>
          <w:bookmarkEnd w:id="39"/>
          <w:r>
            <w:rPr>
              <w:sz w:val="22"/>
              <w:szCs w:val="22"/>
            </w:rPr>
            <w:fldChar w:fldCharType="end"/>
          </w:r>
        </w:p>
        <w:p>
          <w:pPr>
            <w:pStyle w:val="225"/>
            <w:tabs>
              <w:tab w:val="right" w:leader="dot" w:pos="8250"/>
            </w:tabs>
          </w:pPr>
          <w:r>
            <w:rPr>
              <w:b/>
              <w:bCs/>
              <w:sz w:val="22"/>
              <w:szCs w:val="22"/>
            </w:rPr>
            <w:fldChar w:fldCharType="begin"/>
          </w:r>
          <w:r>
            <w:rPr>
              <w:sz w:val="22"/>
              <w:szCs w:val="22"/>
            </w:rPr>
            <w:instrText xml:space="preserve"> HYPERLINK \l _Toc17680_WPSOffice_Level1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4907b03e-5345-4873-8068-bb66e77db1b3}"/>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第7章 </w:t>
              </w:r>
              <w:r>
                <w:rPr>
                  <w:rFonts w:hint="eastAsia" w:ascii="宋体" w:hAnsi="宋体" w:eastAsia="宋体" w:cs="Times New Roman"/>
                  <w:b/>
                  <w:bCs/>
                  <w:sz w:val="22"/>
                  <w:szCs w:val="22"/>
                </w:rPr>
                <w:t>拟签订合同文本</w:t>
              </w:r>
            </w:sdtContent>
          </w:sdt>
          <w:r>
            <w:rPr>
              <w:b/>
              <w:bCs/>
              <w:sz w:val="22"/>
              <w:szCs w:val="22"/>
            </w:rPr>
            <w:tab/>
          </w:r>
          <w:bookmarkStart w:id="40" w:name="_Toc17680_WPSOffice_Level1Page"/>
          <w:r>
            <w:rPr>
              <w:b/>
              <w:bCs/>
              <w:sz w:val="22"/>
              <w:szCs w:val="22"/>
            </w:rPr>
            <w:t>84</w:t>
          </w:r>
          <w:bookmarkEnd w:id="40"/>
          <w:r>
            <w:rPr>
              <w:b/>
              <w:bCs/>
              <w:sz w:val="22"/>
              <w:szCs w:val="22"/>
            </w:rPr>
            <w:fldChar w:fldCharType="end"/>
          </w:r>
        </w:p>
        <w:bookmarkEnd w:id="0"/>
        <w:p>
          <w:pPr>
            <w:pStyle w:val="226"/>
            <w:tabs>
              <w:tab w:val="right" w:leader="dot" w:pos="8250"/>
            </w:tabs>
          </w:pPr>
        </w:p>
      </w:sdtContent>
    </w:sdt>
    <w:p>
      <w:pPr>
        <w:keepNext w:val="0"/>
        <w:keepLines w:val="0"/>
        <w:pageBreakBefore w:val="0"/>
        <w:tabs>
          <w:tab w:val="left" w:pos="620"/>
          <w:tab w:val="right" w:leader="dot" w:pos="8364"/>
        </w:tabs>
        <w:kinsoku/>
        <w:wordWrap/>
        <w:overflowPunct/>
        <w:topLinePunct w:val="0"/>
        <w:autoSpaceDE/>
        <w:autoSpaceDN/>
        <w:bidi w:val="0"/>
        <w:adjustRightInd/>
        <w:snapToGrid/>
        <w:spacing w:line="360" w:lineRule="auto"/>
        <w:textAlignment w:val="auto"/>
        <w:rPr>
          <w:sz w:val="32"/>
          <w:szCs w:val="36"/>
        </w:rPr>
      </w:pPr>
    </w:p>
    <w:p>
      <w:pPr>
        <w:pStyle w:val="2"/>
        <w:rPr>
          <w:sz w:val="32"/>
          <w:szCs w:val="36"/>
        </w:rPr>
      </w:pPr>
    </w:p>
    <w:p>
      <w:pPr>
        <w:pStyle w:val="2"/>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1" w:name="_Toc30056_WPSOffice_Level1"/>
      <w:bookmarkStart w:id="42" w:name="_Toc25634_WPSOffice_Level1"/>
      <w:bookmarkStart w:id="43" w:name="_Toc204575871"/>
      <w:bookmarkStart w:id="44" w:name="_Toc74752318"/>
      <w:bookmarkStart w:id="45" w:name="_Toc181610856"/>
      <w:bookmarkStart w:id="46" w:name="_Toc32086_WPSOffice_Level1"/>
      <w:bookmarkStart w:id="47" w:name="_Toc181591102"/>
      <w:r>
        <w:rPr>
          <w:rFonts w:hint="eastAsia" w:ascii="宋体" w:hAnsi="宋体"/>
          <w:b/>
          <w:bCs/>
          <w:spacing w:val="-20"/>
          <w:kern w:val="44"/>
          <w:sz w:val="32"/>
          <w:szCs w:val="32"/>
        </w:rPr>
        <w:t>投标邀请</w:t>
      </w:r>
      <w:bookmarkEnd w:id="41"/>
      <w:bookmarkEnd w:id="42"/>
      <w:bookmarkEnd w:id="43"/>
      <w:bookmarkEnd w:id="44"/>
      <w:bookmarkEnd w:id="45"/>
      <w:bookmarkEnd w:id="46"/>
      <w:bookmarkEnd w:id="47"/>
    </w:p>
    <w:p>
      <w:pPr>
        <w:spacing w:line="360" w:lineRule="auto"/>
        <w:ind w:firstLine="565" w:firstLineChars="202"/>
        <w:rPr>
          <w:rFonts w:ascii="宋体" w:hAnsi="宋体"/>
          <w:sz w:val="28"/>
          <w:szCs w:val="28"/>
        </w:rPr>
      </w:pPr>
      <w:r>
        <w:rPr>
          <w:rFonts w:hint="eastAsia" w:ascii="宋体" w:hAnsi="宋体"/>
          <w:sz w:val="28"/>
          <w:szCs w:val="28"/>
        </w:rPr>
        <w:t>成都市龙泉驿区公共资源交易服务中心(以下简称“区公资交易中心”)受</w:t>
      </w:r>
      <w:r>
        <w:rPr>
          <w:rFonts w:hint="eastAsia" w:ascii="宋体" w:hAnsi="宋体"/>
          <w:b/>
          <w:sz w:val="28"/>
          <w:szCs w:val="28"/>
          <w:u w:val="single"/>
          <w:lang w:eastAsia="zh-CN"/>
        </w:rPr>
        <w:t xml:space="preserve">成都市龙泉驿区汽车总站 </w:t>
      </w:r>
      <w:r>
        <w:rPr>
          <w:rFonts w:hint="eastAsia" w:ascii="宋体" w:hAnsi="宋体"/>
          <w:sz w:val="28"/>
          <w:szCs w:val="28"/>
        </w:rPr>
        <w:t>委托，拟对</w:t>
      </w:r>
      <w:r>
        <w:rPr>
          <w:rFonts w:hint="eastAsia" w:ascii="宋体" w:hAnsi="宋体"/>
          <w:b/>
          <w:sz w:val="28"/>
          <w:szCs w:val="28"/>
          <w:u w:val="single"/>
          <w:lang w:eastAsia="zh-CN"/>
        </w:rPr>
        <w:t>成都市龙泉驿区汽车总站保安保洁外包服务采购项目</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龙泉驿政采（2021）A0050号</w:t>
      </w:r>
    </w:p>
    <w:p>
      <w:pPr>
        <w:spacing w:line="360" w:lineRule="auto"/>
        <w:ind w:left="567" w:firstLine="281" w:firstLineChars="100"/>
        <w:rPr>
          <w:rFonts w:ascii="宋体" w:hAnsi="宋体"/>
          <w:b/>
          <w:sz w:val="28"/>
          <w:szCs w:val="28"/>
        </w:rPr>
      </w:pPr>
      <w:r>
        <w:rPr>
          <w:rFonts w:hint="eastAsia" w:ascii="宋体" w:hAnsi="宋体"/>
          <w:b/>
          <w:sz w:val="28"/>
          <w:szCs w:val="28"/>
        </w:rPr>
        <w:t>（采购项目编号：510112202100244）</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bCs/>
          <w:sz w:val="28"/>
          <w:szCs w:val="28"/>
          <w:lang w:eastAsia="zh-CN"/>
        </w:rPr>
        <w:t>成都市龙泉驿区汽车总站保安保洁外包服务采购项目</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财政性资金，政府采购实施计划备案表号：(2021)</w:t>
      </w:r>
      <w:r>
        <w:rPr>
          <w:rFonts w:hint="eastAsia" w:ascii="宋体" w:hAnsi="宋体"/>
          <w:sz w:val="28"/>
          <w:szCs w:val="28"/>
          <w:lang w:val="en-US" w:eastAsia="zh-CN"/>
        </w:rPr>
        <w:t>1140</w:t>
      </w:r>
      <w:r>
        <w:rPr>
          <w:rFonts w:hint="eastAsia" w:ascii="宋体" w:hAnsi="宋体"/>
          <w:sz w:val="28"/>
          <w:szCs w:val="28"/>
        </w:rPr>
        <w:t>号；预算品目：</w:t>
      </w:r>
      <w:r>
        <w:rPr>
          <w:rFonts w:hint="eastAsia" w:ascii="宋体" w:hAnsi="宋体"/>
          <w:sz w:val="28"/>
          <w:szCs w:val="28"/>
          <w:lang w:val="en-US" w:eastAsia="zh-CN"/>
        </w:rPr>
        <w:t>C</w:t>
      </w:r>
      <w:r>
        <w:rPr>
          <w:rFonts w:hint="eastAsia" w:ascii="宋体" w:hAnsi="宋体"/>
          <w:sz w:val="28"/>
          <w:szCs w:val="28"/>
        </w:rPr>
        <w:t>1</w:t>
      </w:r>
      <w:r>
        <w:rPr>
          <w:rFonts w:hint="eastAsia" w:ascii="宋体" w:hAnsi="宋体"/>
          <w:sz w:val="28"/>
          <w:szCs w:val="28"/>
          <w:lang w:val="en-US" w:eastAsia="zh-CN"/>
        </w:rPr>
        <w:t>204</w:t>
      </w:r>
      <w:r>
        <w:rPr>
          <w:rFonts w:hint="eastAsia" w:ascii="宋体" w:hAnsi="宋体"/>
          <w:sz w:val="28"/>
          <w:szCs w:val="28"/>
          <w:lang w:eastAsia="zh-CN"/>
        </w:rPr>
        <w:t>物业管理服务</w:t>
      </w:r>
      <w:r>
        <w:rPr>
          <w:rFonts w:hint="eastAsia" w:ascii="宋体" w:hAnsi="宋体"/>
          <w:sz w:val="28"/>
          <w:szCs w:val="28"/>
        </w:rPr>
        <w:t>；预算金额：</w:t>
      </w:r>
      <w:r>
        <w:rPr>
          <w:rFonts w:hint="eastAsia" w:ascii="宋体" w:hAnsi="宋体"/>
          <w:sz w:val="28"/>
          <w:szCs w:val="28"/>
          <w:lang w:val="en-US" w:eastAsia="zh-CN"/>
        </w:rPr>
        <w:t>192万元/年</w:t>
      </w:r>
      <w:r>
        <w:rPr>
          <w:rFonts w:hint="eastAsia" w:ascii="宋体" w:hAnsi="宋体"/>
          <w:sz w:val="28"/>
        </w:rPr>
        <w:t>；</w:t>
      </w:r>
      <w:r>
        <w:rPr>
          <w:rFonts w:hint="eastAsia" w:ascii="宋体" w:hAnsi="宋体"/>
          <w:sz w:val="28"/>
          <w:lang w:eastAsia="zh-CN"/>
        </w:rPr>
        <w:t>服务期限一年</w:t>
      </w:r>
      <w:r>
        <w:rPr>
          <w:rFonts w:hint="eastAsia" w:ascii="宋体" w:hAnsi="宋体"/>
          <w:sz w:val="28"/>
          <w:szCs w:val="28"/>
        </w:rPr>
        <w:t>。行业类别为：</w:t>
      </w:r>
      <w:r>
        <w:rPr>
          <w:rFonts w:hint="eastAsia" w:ascii="宋体" w:hAnsi="宋体"/>
          <w:sz w:val="28"/>
          <w:szCs w:val="28"/>
          <w:lang w:eastAsia="zh-CN"/>
        </w:rPr>
        <w:t>物业管理</w:t>
      </w:r>
      <w:r>
        <w:rPr>
          <w:rFonts w:hint="eastAsia" w:ascii="宋体" w:hAnsi="宋体"/>
          <w:sz w:val="28"/>
          <w:szCs w:val="28"/>
        </w:rPr>
        <w:t>业。</w:t>
      </w:r>
    </w:p>
    <w:p>
      <w:pPr>
        <w:numPr>
          <w:ilvl w:val="0"/>
          <w:numId w:val="6"/>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rPr>
        <w:t>本项目拟采购龙泉驿区</w:t>
      </w:r>
      <w:r>
        <w:rPr>
          <w:rFonts w:hint="eastAsia" w:ascii="宋体" w:hAnsi="宋体"/>
          <w:sz w:val="28"/>
          <w:szCs w:val="28"/>
          <w:lang w:eastAsia="zh-CN"/>
        </w:rPr>
        <w:t>汽车总站保安保洁外包服务</w:t>
      </w:r>
      <w:r>
        <w:rPr>
          <w:rFonts w:hint="eastAsia" w:ascii="宋体" w:hAnsi="宋体"/>
          <w:sz w:val="28"/>
          <w:szCs w:val="28"/>
        </w:rPr>
        <w:t>采购项目，详细的技术、服务、商务及其他要求见招标文件第4章。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7"/>
        </w:numPr>
        <w:tabs>
          <w:tab w:val="left" w:pos="1260"/>
        </w:tabs>
        <w:spacing w:line="360" w:lineRule="auto"/>
        <w:ind w:left="0" w:firstLine="630"/>
        <w:rPr>
          <w:rFonts w:ascii="宋体" w:hAnsi="宋体"/>
          <w:sz w:val="28"/>
          <w:szCs w:val="28"/>
          <w:u w:val="single"/>
        </w:rPr>
      </w:pPr>
      <w:r>
        <w:rPr>
          <w:rFonts w:hint="eastAsia" w:ascii="宋体" w:hAnsi="宋体"/>
          <w:sz w:val="28"/>
          <w:szCs w:val="28"/>
          <w:u w:val="single"/>
        </w:rPr>
        <w:t>本项目专门面向中小企业采购。</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numPr>
          <w:ilvl w:val="0"/>
          <w:numId w:val="6"/>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color w:val="0000FF"/>
          <w:sz w:val="28"/>
        </w:rPr>
      </w:pPr>
      <w:r>
        <w:rPr>
          <w:rFonts w:hint="eastAsia" w:ascii="宋体" w:hAnsi="宋体"/>
          <w:color w:val="0000FF"/>
          <w:sz w:val="28"/>
          <w:szCs w:val="28"/>
        </w:rPr>
        <w:t>招标文件获取时间：2021年</w:t>
      </w:r>
      <w:r>
        <w:rPr>
          <w:rFonts w:hint="eastAsia" w:ascii="宋体" w:hAnsi="宋体"/>
          <w:color w:val="0000FF"/>
          <w:sz w:val="28"/>
          <w:szCs w:val="28"/>
          <w:lang w:val="en-US" w:eastAsia="zh-CN"/>
        </w:rPr>
        <w:t>9</w:t>
      </w:r>
      <w:r>
        <w:rPr>
          <w:rFonts w:hint="eastAsia" w:ascii="宋体" w:hAnsi="宋体"/>
          <w:color w:val="0000FF"/>
          <w:sz w:val="28"/>
          <w:szCs w:val="28"/>
        </w:rPr>
        <w:t>月</w:t>
      </w:r>
      <w:r>
        <w:rPr>
          <w:rFonts w:hint="eastAsia" w:ascii="宋体" w:hAnsi="宋体"/>
          <w:color w:val="0000FF"/>
          <w:sz w:val="28"/>
          <w:szCs w:val="28"/>
          <w:lang w:val="en-US" w:eastAsia="zh-CN"/>
        </w:rPr>
        <w:t>22</w:t>
      </w:r>
      <w:r>
        <w:rPr>
          <w:rFonts w:hint="eastAsia" w:ascii="宋体" w:hAnsi="宋体"/>
          <w:color w:val="0000FF"/>
          <w:sz w:val="28"/>
          <w:szCs w:val="28"/>
        </w:rPr>
        <w:t>日至</w:t>
      </w:r>
      <w:r>
        <w:rPr>
          <w:rFonts w:hint="eastAsia" w:ascii="宋体" w:hAnsi="宋体"/>
          <w:color w:val="0000FF"/>
          <w:sz w:val="28"/>
          <w:szCs w:val="28"/>
          <w:lang w:val="en-US" w:eastAsia="zh-CN"/>
        </w:rPr>
        <w:t>9</w:t>
      </w:r>
      <w:r>
        <w:rPr>
          <w:rFonts w:hint="eastAsia" w:ascii="宋体" w:hAnsi="宋体"/>
          <w:color w:val="0000FF"/>
          <w:sz w:val="28"/>
          <w:szCs w:val="28"/>
        </w:rPr>
        <w:t>月</w:t>
      </w:r>
      <w:r>
        <w:rPr>
          <w:rFonts w:hint="eastAsia" w:ascii="宋体" w:hAnsi="宋体"/>
          <w:color w:val="0000FF"/>
          <w:sz w:val="28"/>
          <w:szCs w:val="28"/>
          <w:lang w:val="en-US" w:eastAsia="zh-CN"/>
        </w:rPr>
        <w:t>27</w:t>
      </w:r>
      <w:r>
        <w:rPr>
          <w:rFonts w:hint="eastAsia" w:ascii="宋体" w:hAnsi="宋体"/>
          <w:color w:val="0000FF"/>
          <w:sz w:val="28"/>
          <w:szCs w:val="28"/>
        </w:rPr>
        <w:t>日。</w:t>
      </w:r>
    </w:p>
    <w:p>
      <w:pPr>
        <w:numPr>
          <w:ilvl w:val="0"/>
          <w:numId w:val="8"/>
        </w:numPr>
        <w:spacing w:line="360" w:lineRule="auto"/>
        <w:ind w:left="0" w:firstLine="567"/>
        <w:rPr>
          <w:rFonts w:ascii="宋体" w:hAnsi="宋体"/>
          <w:color w:val="0000FF"/>
          <w:sz w:val="28"/>
          <w:szCs w:val="28"/>
        </w:rPr>
      </w:pPr>
      <w:r>
        <w:rPr>
          <w:rFonts w:hint="eastAsia" w:ascii="宋体" w:hAnsi="宋体"/>
          <w:color w:val="0000FF"/>
          <w:sz w:val="28"/>
          <w:szCs w:val="28"/>
        </w:rPr>
        <w:t>公告期限：2021年</w:t>
      </w:r>
      <w:r>
        <w:rPr>
          <w:rFonts w:hint="eastAsia" w:ascii="宋体" w:hAnsi="宋体"/>
          <w:color w:val="0000FF"/>
          <w:sz w:val="28"/>
          <w:szCs w:val="28"/>
          <w:lang w:val="en-US" w:eastAsia="zh-CN"/>
        </w:rPr>
        <w:t>9</w:t>
      </w:r>
      <w:r>
        <w:rPr>
          <w:rFonts w:hint="eastAsia" w:ascii="宋体" w:hAnsi="宋体"/>
          <w:color w:val="0000FF"/>
          <w:sz w:val="28"/>
          <w:szCs w:val="28"/>
        </w:rPr>
        <w:t>月</w:t>
      </w:r>
      <w:r>
        <w:rPr>
          <w:rFonts w:hint="eastAsia" w:ascii="宋体" w:hAnsi="宋体"/>
          <w:color w:val="0000FF"/>
          <w:sz w:val="28"/>
          <w:szCs w:val="28"/>
          <w:lang w:val="en-US" w:eastAsia="zh-CN"/>
        </w:rPr>
        <w:t>22</w:t>
      </w:r>
      <w:r>
        <w:rPr>
          <w:rFonts w:hint="eastAsia" w:ascii="宋体" w:hAnsi="宋体"/>
          <w:color w:val="0000FF"/>
          <w:sz w:val="28"/>
          <w:szCs w:val="28"/>
        </w:rPr>
        <w:t>日至</w:t>
      </w:r>
      <w:r>
        <w:rPr>
          <w:rFonts w:hint="eastAsia" w:ascii="宋体" w:hAnsi="宋体"/>
          <w:color w:val="0000FF"/>
          <w:sz w:val="28"/>
          <w:szCs w:val="28"/>
          <w:lang w:val="en-US" w:eastAsia="zh-CN"/>
        </w:rPr>
        <w:t>9</w:t>
      </w:r>
      <w:r>
        <w:rPr>
          <w:rFonts w:hint="eastAsia" w:ascii="宋体" w:hAnsi="宋体"/>
          <w:color w:val="0000FF"/>
          <w:sz w:val="28"/>
          <w:szCs w:val="28"/>
        </w:rPr>
        <w:t>月</w:t>
      </w:r>
      <w:r>
        <w:rPr>
          <w:rFonts w:hint="eastAsia" w:ascii="宋体" w:hAnsi="宋体"/>
          <w:color w:val="0000FF"/>
          <w:sz w:val="28"/>
          <w:szCs w:val="28"/>
          <w:lang w:val="en-US" w:eastAsia="zh-CN"/>
        </w:rPr>
        <w:t>27</w:t>
      </w:r>
      <w:r>
        <w:rPr>
          <w:rFonts w:hint="eastAsia" w:ascii="宋体" w:hAnsi="宋体"/>
          <w:color w:val="0000FF"/>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48" w:name="_Toc174185149"/>
      <w:bookmarkStart w:id="49" w:name="_Toc180051012"/>
      <w:bookmarkStart w:id="50" w:name="_Toc184023104"/>
      <w:bookmarkStart w:id="51" w:name="_Toc184013605"/>
      <w:bookmarkStart w:id="52" w:name="_Toc186274101"/>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6"/>
        </w:numPr>
        <w:spacing w:line="360" w:lineRule="auto"/>
        <w:ind w:left="0" w:firstLine="567"/>
        <w:rPr>
          <w:rFonts w:ascii="宋体" w:hAnsi="宋体"/>
          <w:b/>
          <w:color w:val="0000FF"/>
          <w:sz w:val="28"/>
          <w:szCs w:val="28"/>
        </w:rPr>
      </w:pPr>
      <w:r>
        <w:rPr>
          <w:rFonts w:hint="eastAsia" w:ascii="宋体" w:hAnsi="宋体"/>
          <w:b/>
          <w:sz w:val="28"/>
          <w:szCs w:val="28"/>
        </w:rPr>
        <w:t>投标文件递交截止时间及开标时间</w:t>
      </w:r>
      <w:bookmarkEnd w:id="48"/>
      <w:bookmarkEnd w:id="49"/>
      <w:bookmarkEnd w:id="50"/>
      <w:bookmarkEnd w:id="51"/>
      <w:bookmarkEnd w:id="52"/>
      <w:r>
        <w:rPr>
          <w:rFonts w:hint="eastAsia" w:ascii="宋体" w:hAnsi="宋体"/>
          <w:b/>
          <w:sz w:val="28"/>
          <w:szCs w:val="28"/>
        </w:rPr>
        <w:t>(北京时间)、地点、方式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5" w:firstLineChars="202"/>
        <w:textAlignment w:val="auto"/>
        <w:rPr>
          <w:rFonts w:ascii="宋体" w:hAnsi="宋体"/>
          <w:b/>
          <w:color w:val="0000FF"/>
          <w:sz w:val="28"/>
          <w:szCs w:val="28"/>
        </w:rPr>
      </w:pPr>
      <w:r>
        <w:rPr>
          <w:rFonts w:hint="eastAsia" w:ascii="宋体" w:hAnsi="宋体"/>
          <w:color w:val="0000FF"/>
          <w:sz w:val="28"/>
          <w:szCs w:val="28"/>
        </w:rPr>
        <w:t>（一）投标文件递交截止时间及开标时间：</w:t>
      </w:r>
      <w:r>
        <w:rPr>
          <w:rFonts w:hint="eastAsia" w:ascii="宋体" w:hAnsi="宋体"/>
          <w:b/>
          <w:color w:val="0000FF"/>
          <w:sz w:val="28"/>
          <w:szCs w:val="28"/>
        </w:rPr>
        <w:t>202</w:t>
      </w:r>
      <w:r>
        <w:rPr>
          <w:rFonts w:ascii="宋体" w:hAnsi="宋体"/>
          <w:b/>
          <w:color w:val="0000FF"/>
          <w:sz w:val="28"/>
          <w:szCs w:val="28"/>
        </w:rPr>
        <w:t>1</w:t>
      </w:r>
      <w:r>
        <w:rPr>
          <w:rFonts w:hint="eastAsia" w:ascii="宋体" w:hAnsi="宋体"/>
          <w:b/>
          <w:color w:val="0000FF"/>
          <w:sz w:val="28"/>
          <w:szCs w:val="28"/>
        </w:rPr>
        <w:t>年</w:t>
      </w:r>
      <w:r>
        <w:rPr>
          <w:rFonts w:hint="eastAsia" w:ascii="宋体" w:hAnsi="宋体"/>
          <w:b/>
          <w:color w:val="0000FF"/>
          <w:sz w:val="28"/>
          <w:szCs w:val="28"/>
          <w:lang w:val="en-US" w:eastAsia="zh-CN"/>
        </w:rPr>
        <w:t>10</w:t>
      </w:r>
      <w:r>
        <w:rPr>
          <w:rFonts w:hint="eastAsia" w:ascii="宋体" w:hAnsi="宋体"/>
          <w:b/>
          <w:color w:val="0000FF"/>
          <w:sz w:val="28"/>
          <w:szCs w:val="28"/>
        </w:rPr>
        <w:t>月</w:t>
      </w:r>
      <w:r>
        <w:rPr>
          <w:rFonts w:hint="eastAsia" w:ascii="宋体" w:hAnsi="宋体"/>
          <w:b/>
          <w:color w:val="0000FF"/>
          <w:sz w:val="28"/>
          <w:szCs w:val="28"/>
          <w:lang w:val="en-US" w:eastAsia="zh-CN"/>
        </w:rPr>
        <w:t>12</w:t>
      </w:r>
      <w:r>
        <w:rPr>
          <w:rFonts w:hint="eastAsia" w:ascii="宋体" w:hAnsi="宋体"/>
          <w:b/>
          <w:color w:val="0000FF"/>
          <w:sz w:val="28"/>
          <w:szCs w:val="28"/>
        </w:rPr>
        <w:t>日上午09:30。</w:t>
      </w:r>
      <w:bookmarkStart w:id="455" w:name="_GoBack"/>
      <w:bookmarkEnd w:id="455"/>
    </w:p>
    <w:p>
      <w:pPr>
        <w:keepNext w:val="0"/>
        <w:keepLines w:val="0"/>
        <w:pageBreakBefore w:val="0"/>
        <w:widowControl w:val="0"/>
        <w:kinsoku/>
        <w:wordWrap/>
        <w:overflowPunct/>
        <w:topLinePunct w:val="0"/>
        <w:autoSpaceDE/>
        <w:autoSpaceDN/>
        <w:bidi w:val="0"/>
        <w:adjustRightInd w:val="0"/>
        <w:snapToGrid w:val="0"/>
        <w:spacing w:line="360" w:lineRule="auto"/>
        <w:ind w:firstLine="565" w:firstLineChars="202"/>
        <w:textAlignment w:val="auto"/>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firstLine="567"/>
        <w:textAlignment w:val="auto"/>
        <w:rPr>
          <w:rFonts w:ascii="宋体" w:hAnsi="宋体"/>
          <w:b/>
          <w:sz w:val="28"/>
          <w:szCs w:val="28"/>
        </w:rPr>
      </w:pPr>
      <w:r>
        <w:rPr>
          <w:rFonts w:hint="eastAsia" w:ascii="宋体" w:hAnsi="宋体"/>
          <w:b/>
          <w:sz w:val="28"/>
          <w:szCs w:val="28"/>
        </w:rPr>
        <w:t>开标地点</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150"/>
        <w:jc w:val="left"/>
        <w:textAlignment w:val="auto"/>
        <w:rPr>
          <w:rFonts w:ascii="宋体" w:hAnsi="宋体"/>
          <w:b/>
          <w:sz w:val="28"/>
          <w:szCs w:val="28"/>
        </w:rPr>
      </w:pPr>
      <w:r>
        <w:rPr>
          <w:rFonts w:hint="eastAsia" w:ascii="宋体" w:hAnsi="宋体"/>
          <w:b/>
          <w:sz w:val="28"/>
          <w:szCs w:val="28"/>
        </w:rPr>
        <w:t>本项目为不见面开标项目。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50"/>
        <w:jc w:val="left"/>
        <w:textAlignment w:val="auto"/>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hint="eastAsia" w:ascii="宋体" w:hAnsi="宋体" w:eastAsia="宋体"/>
          <w:b/>
          <w:sz w:val="28"/>
          <w:szCs w:val="28"/>
          <w:lang w:eastAsia="zh-CN"/>
        </w:rPr>
      </w:pPr>
      <w:r>
        <w:rPr>
          <w:rFonts w:hint="eastAsia" w:ascii="宋体" w:hAnsi="宋体"/>
          <w:b/>
          <w:sz w:val="28"/>
          <w:szCs w:val="28"/>
        </w:rPr>
        <w:t xml:space="preserve">采购人： </w:t>
      </w:r>
      <w:r>
        <w:rPr>
          <w:rFonts w:hint="eastAsia" w:ascii="华文中宋" w:hAnsi="华文中宋" w:eastAsia="华文中宋"/>
          <w:sz w:val="28"/>
          <w:szCs w:val="28"/>
          <w:lang w:eastAsia="zh-CN"/>
        </w:rPr>
        <w:t xml:space="preserve">成都市龙泉驿区汽车总站 </w:t>
      </w:r>
    </w:p>
    <w:p>
      <w:pPr>
        <w:pStyle w:val="146"/>
        <w:ind w:firstLine="560"/>
        <w:rPr>
          <w:rFonts w:ascii="宋体" w:hAnsi="宋体"/>
          <w:kern w:val="0"/>
          <w:sz w:val="28"/>
          <w:szCs w:val="22"/>
        </w:rPr>
      </w:pPr>
      <w:r>
        <w:rPr>
          <w:rFonts w:hint="eastAsia" w:ascii="宋体" w:hAnsi="宋体"/>
          <w:sz w:val="28"/>
          <w:szCs w:val="28"/>
        </w:rPr>
        <w:t>地  址： 成都市龙泉驿区</w:t>
      </w:r>
      <w:r>
        <w:rPr>
          <w:rFonts w:hint="eastAsia" w:ascii="宋体" w:hAnsi="宋体"/>
          <w:sz w:val="28"/>
          <w:szCs w:val="28"/>
          <w:lang w:eastAsia="zh-CN"/>
        </w:rPr>
        <w:t>驿都中路</w:t>
      </w:r>
      <w:r>
        <w:rPr>
          <w:rFonts w:hint="eastAsia" w:ascii="宋体" w:hAnsi="宋体"/>
          <w:sz w:val="28"/>
          <w:szCs w:val="28"/>
          <w:lang w:val="en-US" w:eastAsia="zh-CN"/>
        </w:rPr>
        <w:t>126</w:t>
      </w:r>
      <w:r>
        <w:rPr>
          <w:rFonts w:hint="eastAsia" w:ascii="宋体" w:hAnsi="宋体"/>
          <w:sz w:val="28"/>
          <w:szCs w:val="28"/>
        </w:rPr>
        <w:t>号</w:t>
      </w:r>
    </w:p>
    <w:p>
      <w:pPr>
        <w:spacing w:line="360" w:lineRule="auto"/>
        <w:ind w:firstLine="565" w:firstLineChars="202"/>
        <w:rPr>
          <w:rFonts w:ascii="宋体" w:hAnsi="宋体"/>
          <w:sz w:val="28"/>
          <w:szCs w:val="28"/>
        </w:rPr>
      </w:pPr>
      <w:r>
        <w:rPr>
          <w:rFonts w:hint="eastAsia" w:ascii="宋体" w:hAnsi="宋体"/>
          <w:sz w:val="28"/>
          <w:szCs w:val="28"/>
        </w:rPr>
        <w:t xml:space="preserve">邮  编： </w:t>
      </w:r>
      <w:r>
        <w:rPr>
          <w:rFonts w:ascii="宋体" w:hAnsi="宋体"/>
          <w:sz w:val="28"/>
          <w:szCs w:val="28"/>
        </w:rPr>
        <w:t>610</w:t>
      </w:r>
      <w:r>
        <w:rPr>
          <w:rFonts w:hint="eastAsia" w:ascii="宋体" w:hAnsi="宋体"/>
          <w:sz w:val="28"/>
          <w:szCs w:val="28"/>
        </w:rPr>
        <w:t>100</w:t>
      </w:r>
    </w:p>
    <w:p>
      <w:pPr>
        <w:spacing w:line="360" w:lineRule="auto"/>
        <w:ind w:firstLine="565" w:firstLineChars="202"/>
        <w:rPr>
          <w:rFonts w:hint="eastAsia" w:ascii="宋体" w:hAnsi="宋体" w:eastAsia="宋体"/>
          <w:sz w:val="28"/>
          <w:szCs w:val="28"/>
          <w:lang w:eastAsia="zh-CN"/>
        </w:rPr>
      </w:pPr>
      <w:r>
        <w:rPr>
          <w:rFonts w:hint="eastAsia" w:ascii="宋体" w:hAnsi="宋体"/>
          <w:sz w:val="28"/>
          <w:szCs w:val="28"/>
        </w:rPr>
        <w:t>联系人：</w:t>
      </w:r>
      <w:r>
        <w:rPr>
          <w:rFonts w:hint="eastAsia" w:ascii="宋体" w:hAnsi="宋体"/>
          <w:sz w:val="28"/>
          <w:szCs w:val="28"/>
          <w:lang w:eastAsia="zh-CN"/>
        </w:rPr>
        <w:t>方杰</w:t>
      </w:r>
    </w:p>
    <w:p>
      <w:pPr>
        <w:spacing w:line="360" w:lineRule="auto"/>
        <w:ind w:firstLine="565" w:firstLineChars="202"/>
        <w:rPr>
          <w:rFonts w:hint="default" w:ascii="宋体" w:hAnsi="宋体" w:eastAsia="宋体"/>
          <w:sz w:val="28"/>
          <w:szCs w:val="28"/>
          <w:lang w:val="en-US" w:eastAsia="zh-CN"/>
        </w:rPr>
      </w:pPr>
      <w:r>
        <w:rPr>
          <w:rFonts w:hint="eastAsia" w:ascii="宋体" w:hAnsi="宋体"/>
          <w:sz w:val="28"/>
          <w:szCs w:val="28"/>
        </w:rPr>
        <w:t>联系电话：18180900150</w:t>
      </w:r>
    </w:p>
    <w:p>
      <w:pPr>
        <w:spacing w:line="600" w:lineRule="exact"/>
        <w:ind w:firstLine="708" w:firstLineChars="252"/>
        <w:rPr>
          <w:rFonts w:ascii="宋体" w:hAnsi="宋体"/>
          <w:b/>
          <w:sz w:val="28"/>
          <w:szCs w:val="28"/>
        </w:rPr>
      </w:pPr>
      <w:r>
        <w:rPr>
          <w:rFonts w:hint="eastAsia" w:ascii="宋体" w:hAnsi="宋体"/>
          <w:b/>
          <w:sz w:val="28"/>
          <w:szCs w:val="28"/>
        </w:rPr>
        <w:t>成都市龙泉驿区公共资源交易服务中心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址：成都市龙泉驿区北泉路777号</w:t>
      </w:r>
    </w:p>
    <w:p>
      <w:pPr>
        <w:spacing w:line="600" w:lineRule="exact"/>
        <w:ind w:firstLine="705" w:firstLineChars="252"/>
        <w:rPr>
          <w:rFonts w:ascii="宋体" w:hAnsi="宋体"/>
          <w:sz w:val="28"/>
          <w:szCs w:val="28"/>
        </w:rPr>
      </w:pPr>
      <w:r>
        <w:rPr>
          <w:rFonts w:hint="eastAsia" w:ascii="宋体" w:hAnsi="宋体"/>
          <w:sz w:val="28"/>
          <w:szCs w:val="28"/>
        </w:rPr>
        <w:t>邮  编：610100</w:t>
      </w:r>
    </w:p>
    <w:p>
      <w:pPr>
        <w:spacing w:line="600" w:lineRule="exact"/>
        <w:ind w:firstLine="705" w:firstLineChars="252"/>
        <w:rPr>
          <w:rFonts w:hint="eastAsia" w:ascii="宋体" w:hAnsi="宋体" w:eastAsia="宋体"/>
          <w:sz w:val="28"/>
          <w:szCs w:val="28"/>
          <w:lang w:eastAsia="zh-CN"/>
        </w:rPr>
      </w:pPr>
      <w:r>
        <w:rPr>
          <w:rFonts w:hint="eastAsia" w:ascii="宋体" w:hAnsi="宋体"/>
          <w:sz w:val="28"/>
          <w:szCs w:val="28"/>
        </w:rPr>
        <w:t>联系人：</w:t>
      </w:r>
      <w:r>
        <w:rPr>
          <w:rFonts w:hint="eastAsia" w:ascii="宋体" w:hAnsi="宋体"/>
          <w:sz w:val="28"/>
          <w:szCs w:val="28"/>
          <w:lang w:eastAsia="zh-CN"/>
        </w:rPr>
        <w:t>杨霞</w:t>
      </w:r>
    </w:p>
    <w:p>
      <w:pPr>
        <w:spacing w:line="600" w:lineRule="exact"/>
        <w:ind w:firstLine="705" w:firstLineChars="252"/>
        <w:rPr>
          <w:rFonts w:hint="default" w:ascii="宋体" w:hAnsi="宋体" w:eastAsia="宋体"/>
          <w:sz w:val="28"/>
          <w:szCs w:val="28"/>
          <w:lang w:val="en-US" w:eastAsia="zh-CN"/>
        </w:rPr>
      </w:pPr>
      <w:r>
        <w:rPr>
          <w:rFonts w:hint="eastAsia" w:ascii="宋体" w:hAnsi="宋体"/>
          <w:sz w:val="28"/>
          <w:szCs w:val="28"/>
        </w:rPr>
        <w:t>联系电话：028-614306</w:t>
      </w:r>
      <w:r>
        <w:rPr>
          <w:rFonts w:hint="eastAsia" w:ascii="宋体" w:hAnsi="宋体"/>
          <w:sz w:val="28"/>
          <w:szCs w:val="28"/>
          <w:lang w:val="en-US" w:eastAsia="zh-CN"/>
        </w:rPr>
        <w:t>13</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政府采购监督机构：成都市龙泉驿区财政局</w:t>
      </w:r>
    </w:p>
    <w:p>
      <w:pPr>
        <w:spacing w:line="600" w:lineRule="exact"/>
        <w:ind w:firstLine="705" w:firstLineChars="252"/>
        <w:rPr>
          <w:rFonts w:ascii="宋体" w:hAnsi="宋体"/>
          <w:sz w:val="28"/>
          <w:szCs w:val="28"/>
        </w:rPr>
      </w:pPr>
      <w:r>
        <w:rPr>
          <w:rFonts w:hint="eastAsia" w:ascii="宋体" w:hAnsi="宋体"/>
          <w:sz w:val="28"/>
          <w:szCs w:val="28"/>
        </w:rPr>
        <w:t>地 址：成都市龙泉驿区中街聚星楼6-7楼</w:t>
      </w:r>
    </w:p>
    <w:p>
      <w:pPr>
        <w:spacing w:line="600" w:lineRule="exact"/>
        <w:ind w:firstLine="705" w:firstLineChars="252"/>
        <w:rPr>
          <w:rFonts w:ascii="宋体" w:hAnsi="宋体"/>
          <w:sz w:val="28"/>
          <w:szCs w:val="28"/>
        </w:rPr>
      </w:pPr>
      <w:r>
        <w:rPr>
          <w:rFonts w:hint="eastAsia" w:ascii="宋体" w:hAnsi="宋体"/>
          <w:sz w:val="28"/>
          <w:szCs w:val="28"/>
        </w:rPr>
        <w:t>联系电话：028-84636986</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53" w:name="_Toc74752319"/>
      <w:bookmarkStart w:id="54" w:name="_Toc16189_WPSOffice_Level1"/>
      <w:bookmarkStart w:id="55" w:name="_Toc3637_WPSOffice_Level1"/>
      <w:bookmarkStart w:id="56" w:name="_Toc3930_WPSOffice_Level1"/>
      <w:r>
        <w:rPr>
          <w:rFonts w:hint="eastAsia" w:ascii="宋体" w:hAnsi="宋体"/>
          <w:b/>
          <w:bCs/>
          <w:spacing w:val="-20"/>
          <w:kern w:val="44"/>
          <w:sz w:val="32"/>
          <w:szCs w:val="32"/>
        </w:rPr>
        <w:t>投标人须知</w:t>
      </w:r>
      <w:bookmarkEnd w:id="53"/>
      <w:bookmarkEnd w:id="54"/>
      <w:bookmarkEnd w:id="55"/>
      <w:bookmarkEnd w:id="56"/>
    </w:p>
    <w:p>
      <w:pPr>
        <w:keepNext/>
        <w:keepLines/>
        <w:numPr>
          <w:ilvl w:val="1"/>
          <w:numId w:val="5"/>
        </w:numPr>
        <w:spacing w:before="260" w:after="260" w:line="360" w:lineRule="auto"/>
        <w:jc w:val="left"/>
        <w:outlineLvl w:val="1"/>
        <w:rPr>
          <w:rFonts w:ascii="宋体" w:hAnsi="宋体"/>
          <w:b/>
          <w:bCs/>
          <w:sz w:val="28"/>
          <w:szCs w:val="28"/>
        </w:rPr>
      </w:pPr>
      <w:bookmarkStart w:id="57" w:name="_Toc3930_WPSOffice_Level2"/>
      <w:bookmarkStart w:id="58" w:name="_Toc217446032"/>
      <w:bookmarkStart w:id="59" w:name="_Toc74752320"/>
      <w:bookmarkStart w:id="60" w:name="_Toc213496268"/>
      <w:bookmarkStart w:id="61" w:name="_Toc16189_WPSOffice_Level2"/>
      <w:bookmarkStart w:id="62" w:name="_Toc213396946"/>
      <w:bookmarkStart w:id="63" w:name="_Toc3637_WPSOffice_Level2"/>
      <w:bookmarkStart w:id="64" w:name="_Toc213396760"/>
      <w:bookmarkStart w:id="65" w:name="_Toc213397010"/>
      <w:bookmarkStart w:id="66" w:name="_Toc189727030"/>
      <w:bookmarkStart w:id="67" w:name="_Toc316462344"/>
      <w:r>
        <w:rPr>
          <w:rFonts w:hint="eastAsia" w:ascii="宋体" w:hAnsi="宋体"/>
          <w:b/>
          <w:bCs/>
          <w:sz w:val="28"/>
          <w:szCs w:val="28"/>
        </w:rPr>
        <w:t>投标人须知前附表</w:t>
      </w:r>
      <w:bookmarkEnd w:id="57"/>
      <w:bookmarkEnd w:id="58"/>
      <w:bookmarkEnd w:id="59"/>
      <w:bookmarkEnd w:id="60"/>
      <w:bookmarkEnd w:id="61"/>
      <w:bookmarkEnd w:id="62"/>
      <w:bookmarkEnd w:id="63"/>
      <w:bookmarkEnd w:id="64"/>
      <w:bookmarkEnd w:id="65"/>
      <w:bookmarkEnd w:id="66"/>
      <w:bookmarkEnd w:id="67"/>
    </w:p>
    <w:tbl>
      <w:tblPr>
        <w:tblStyle w:val="46"/>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w:t>
            </w:r>
            <w:r>
              <w:rPr>
                <w:rFonts w:hint="eastAsia" w:ascii="宋体" w:hAnsi="宋体"/>
                <w:b/>
                <w:lang w:val="en-US" w:eastAsia="zh-CN"/>
              </w:rPr>
              <w:t>192</w:t>
            </w:r>
            <w:r>
              <w:rPr>
                <w:rFonts w:hint="eastAsia" w:ascii="宋体" w:hAnsi="宋体"/>
                <w:b/>
              </w:rPr>
              <w:t>万元</w:t>
            </w:r>
            <w:r>
              <w:rPr>
                <w:rFonts w:hint="eastAsia" w:ascii="宋体" w:hAnsi="宋体"/>
                <w:b/>
                <w:lang w:val="en-US" w:eastAsia="zh-CN"/>
              </w:rPr>
              <w:t>/年</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w:t>
            </w:r>
            <w:r>
              <w:rPr>
                <w:rFonts w:hint="eastAsia" w:ascii="宋体" w:hAnsi="宋体" w:cs="宋体"/>
                <w:b/>
                <w:lang w:val="en-US" w:eastAsia="zh-CN"/>
              </w:rPr>
              <w:t>192</w:t>
            </w:r>
            <w:r>
              <w:rPr>
                <w:rFonts w:hint="eastAsia" w:ascii="宋体" w:hAnsi="宋体" w:cs="宋体"/>
                <w:b/>
                <w:lang w:val="zh-CN"/>
              </w:rPr>
              <w:t>万元</w:t>
            </w:r>
            <w:r>
              <w:rPr>
                <w:rFonts w:hint="eastAsia" w:ascii="宋体" w:hAnsi="宋体" w:cs="宋体"/>
                <w:b/>
                <w:lang w:val="en-US" w:eastAsia="zh-CN"/>
              </w:rPr>
              <w:t>/年</w:t>
            </w:r>
            <w:r>
              <w:rPr>
                <w:rFonts w:hint="eastAsia" w:ascii="宋体" w:hAnsi="宋体" w:cs="宋体"/>
                <w:b/>
                <w:lang w:val="zh-CN"/>
              </w:rPr>
              <w:t>，</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服务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向区公资交易中心提出，并由区公资交易中心按相关规定作出答复（详见投标人须知2.8）。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rPr>
            </w:pPr>
            <w:r>
              <w:rPr>
                <w:rFonts w:hint="eastAsia" w:ascii="宋体" w:hAnsi="宋体"/>
              </w:rPr>
              <w:t>投诉受理单位</w:t>
            </w:r>
          </w:p>
          <w:p>
            <w:pPr>
              <w:tabs>
                <w:tab w:val="left" w:pos="7665"/>
              </w:tabs>
              <w:snapToGrid w:val="0"/>
              <w:spacing w:line="360" w:lineRule="auto"/>
              <w:rPr>
                <w:rFonts w:ascii="宋体" w:hAnsi="宋体"/>
              </w:rPr>
            </w:pPr>
            <w:r>
              <w:rPr>
                <w:rFonts w:hint="eastAsia" w:ascii="宋体" w:hAnsi="宋体"/>
              </w:rPr>
              <w:t>政府采购监督管理部门：成都市龙泉驿区财政局</w:t>
            </w:r>
          </w:p>
          <w:p>
            <w:pPr>
              <w:tabs>
                <w:tab w:val="left" w:pos="7665"/>
              </w:tabs>
              <w:snapToGrid w:val="0"/>
              <w:spacing w:line="360" w:lineRule="auto"/>
              <w:rPr>
                <w:rFonts w:ascii="宋体" w:hAnsi="宋体"/>
              </w:rPr>
            </w:pPr>
            <w:r>
              <w:rPr>
                <w:rFonts w:hint="eastAsia" w:ascii="宋体" w:hAnsi="宋体"/>
              </w:rPr>
              <w:t>地 址：成都市龙泉驿区中街聚星楼6-7楼</w:t>
            </w:r>
          </w:p>
          <w:p>
            <w:pPr>
              <w:tabs>
                <w:tab w:val="left" w:pos="7665"/>
              </w:tabs>
              <w:snapToGrid w:val="0"/>
              <w:spacing w:line="360" w:lineRule="auto"/>
              <w:rPr>
                <w:rFonts w:ascii="宋体" w:hAnsi="宋体"/>
              </w:rPr>
            </w:pPr>
            <w:r>
              <w:rPr>
                <w:rFonts w:hint="eastAsia" w:ascii="宋体" w:hAnsi="宋体"/>
              </w:rPr>
              <w:t>联系人：李先生</w:t>
            </w:r>
          </w:p>
          <w:p>
            <w:pPr>
              <w:tabs>
                <w:tab w:val="left" w:pos="7665"/>
              </w:tabs>
              <w:snapToGrid w:val="0"/>
              <w:spacing w:line="360" w:lineRule="auto"/>
              <w:rPr>
                <w:rFonts w:ascii="宋体" w:hAnsi="宋体"/>
              </w:rPr>
            </w:pPr>
            <w:r>
              <w:rPr>
                <w:rFonts w:hint="eastAsia" w:ascii="宋体" w:hAnsi="宋体"/>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68" w:name="_Toc30686_WPSOffice_Level2"/>
      <w:bookmarkStart w:id="69" w:name="_Toc20218_WPSOffice_Level2"/>
      <w:bookmarkStart w:id="70" w:name="_Toc74752321"/>
      <w:bookmarkStart w:id="71" w:name="_Toc22316_WPSOffice_Level2"/>
      <w:r>
        <w:rPr>
          <w:rFonts w:hint="eastAsia" w:ascii="宋体" w:hAnsi="宋体"/>
          <w:b/>
          <w:bCs/>
          <w:sz w:val="28"/>
          <w:szCs w:val="28"/>
        </w:rPr>
        <w:t>总则</w:t>
      </w:r>
      <w:bookmarkEnd w:id="68"/>
      <w:bookmarkEnd w:id="69"/>
      <w:bookmarkEnd w:id="70"/>
      <w:bookmarkEnd w:id="71"/>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区公资交易中心享有。对招标文件中供应商参加本次政府采购活动应当具备的条件，招标项目技术、服务、商务及其他要求，评标细则及标准由采购人负责解释。除上述招标文件内容，其他内容由区公资交易中心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“采购人”和“甲方”系指依法进行政府采购的成都市级机关、事业单位、团体组织。本次招标的采购人是</w:t>
      </w:r>
      <w:r>
        <w:rPr>
          <w:rFonts w:hint="eastAsia" w:ascii="宋体" w:hAnsi="宋体"/>
          <w:b/>
          <w:bCs/>
          <w:sz w:val="28"/>
          <w:szCs w:val="28"/>
          <w:u w:val="single"/>
          <w:lang w:eastAsia="zh-CN"/>
        </w:rPr>
        <w:t xml:space="preserve">成都市龙泉驿区汽车总站 </w:t>
      </w:r>
      <w:r>
        <w:rPr>
          <w:rFonts w:hint="eastAsia" w:ascii="宋体" w:hAnsi="宋体"/>
          <w:sz w:val="28"/>
          <w:szCs w:val="28"/>
        </w:rPr>
        <w:t>。</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“投标人”系指在政采云系统里已成功获取采购文件的供应商，拟参加投标和向采购人提供货物及服务的供应商。</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不见面开标是指，区公资交易中心依托政府采购云平台组织开标活动，供应商在线参与开标的一种组织形式。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72" w:name="_Toc183682344"/>
      <w:bookmarkStart w:id="73" w:name="_Toc217390843"/>
      <w:bookmarkStart w:id="74" w:name="_Toc217446036"/>
      <w:bookmarkStart w:id="75" w:name="_Toc183582207"/>
      <w:r>
        <w:rPr>
          <w:rFonts w:hint="eastAsia" w:ascii="宋体" w:hAnsi="宋体"/>
          <w:b/>
          <w:bCs/>
          <w:sz w:val="28"/>
          <w:szCs w:val="28"/>
        </w:rPr>
        <w:t>合格的投标人</w:t>
      </w:r>
      <w:bookmarkEnd w:id="72"/>
      <w:bookmarkEnd w:id="73"/>
      <w:bookmarkEnd w:id="74"/>
      <w:bookmarkEnd w:id="75"/>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2"/>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3"/>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numPr>
          <w:ilvl w:val="0"/>
          <w:numId w:val="0"/>
        </w:numPr>
        <w:tabs>
          <w:tab w:val="left" w:pos="1134"/>
        </w:tabs>
        <w:adjustRightInd w:val="0"/>
        <w:spacing w:line="360" w:lineRule="auto"/>
        <w:ind w:left="567" w:leftChars="0"/>
        <w:rPr>
          <w:rFonts w:ascii="宋体" w:hAnsi="宋体"/>
          <w:b/>
          <w:sz w:val="28"/>
          <w:szCs w:val="28"/>
        </w:rPr>
      </w:pPr>
    </w:p>
    <w:p>
      <w:pPr>
        <w:keepNext/>
        <w:keepLines/>
        <w:numPr>
          <w:ilvl w:val="1"/>
          <w:numId w:val="5"/>
        </w:numPr>
        <w:spacing w:line="360" w:lineRule="auto"/>
        <w:jc w:val="left"/>
        <w:outlineLvl w:val="1"/>
        <w:rPr>
          <w:rFonts w:ascii="宋体" w:hAnsi="宋体"/>
          <w:b/>
          <w:bCs/>
          <w:sz w:val="28"/>
          <w:szCs w:val="28"/>
        </w:rPr>
      </w:pPr>
      <w:bookmarkStart w:id="76" w:name="_Toc74752322"/>
      <w:bookmarkStart w:id="77" w:name="_Toc6034_WPSOffice_Level2"/>
      <w:bookmarkStart w:id="78" w:name="_Toc10619_WPSOffice_Level2"/>
      <w:bookmarkStart w:id="79" w:name="_Toc217446039"/>
      <w:bookmarkStart w:id="80" w:name="_Toc17317_WPSOffice_Level2"/>
      <w:bookmarkStart w:id="81" w:name="_Toc183682347"/>
      <w:bookmarkStart w:id="82" w:name="_Toc183582210"/>
      <w:r>
        <w:rPr>
          <w:rFonts w:hint="eastAsia" w:ascii="宋体" w:hAnsi="宋体"/>
          <w:b/>
          <w:bCs/>
          <w:sz w:val="28"/>
          <w:szCs w:val="28"/>
        </w:rPr>
        <w:t>招标文件</w:t>
      </w:r>
      <w:bookmarkEnd w:id="76"/>
      <w:bookmarkEnd w:id="77"/>
      <w:bookmarkEnd w:id="78"/>
      <w:bookmarkEnd w:id="79"/>
      <w:bookmarkEnd w:id="80"/>
      <w:bookmarkEnd w:id="81"/>
      <w:bookmarkEnd w:id="82"/>
    </w:p>
    <w:p>
      <w:pPr>
        <w:keepNext/>
        <w:keepLines/>
        <w:numPr>
          <w:ilvl w:val="1"/>
          <w:numId w:val="5"/>
        </w:numPr>
        <w:spacing w:line="360" w:lineRule="auto"/>
        <w:jc w:val="left"/>
        <w:outlineLvl w:val="1"/>
        <w:rPr>
          <w:rFonts w:ascii="宋体" w:hAnsi="宋体"/>
          <w:b/>
          <w:bCs/>
          <w:sz w:val="28"/>
          <w:szCs w:val="28"/>
        </w:rPr>
      </w:pPr>
      <w:bookmarkStart w:id="83" w:name="_Toc183682351"/>
      <w:bookmarkStart w:id="84" w:name="_Toc28183_WPSOffice_Level2"/>
      <w:bookmarkStart w:id="85" w:name="_Toc21586_WPSOffice_Level2"/>
      <w:bookmarkStart w:id="86" w:name="_Toc21072_WPSOffice_Level2"/>
      <w:bookmarkStart w:id="87" w:name="_Toc89075876"/>
      <w:bookmarkStart w:id="88" w:name="_Toc77400780"/>
      <w:bookmarkStart w:id="89" w:name="_Toc74752323"/>
      <w:bookmarkStart w:id="90" w:name="_Toc217446042"/>
      <w:bookmarkStart w:id="91" w:name="_Toc183582214"/>
      <w:r>
        <w:rPr>
          <w:rFonts w:hint="eastAsia" w:ascii="宋体" w:hAnsi="宋体"/>
          <w:b/>
          <w:bCs/>
          <w:sz w:val="28"/>
          <w:szCs w:val="28"/>
        </w:rPr>
        <w:t>投标文件</w:t>
      </w:r>
      <w:bookmarkEnd w:id="83"/>
      <w:bookmarkEnd w:id="84"/>
      <w:bookmarkEnd w:id="85"/>
      <w:bookmarkEnd w:id="86"/>
      <w:bookmarkEnd w:id="87"/>
      <w:bookmarkEnd w:id="88"/>
      <w:bookmarkEnd w:id="89"/>
      <w:bookmarkEnd w:id="90"/>
      <w:bookmarkEnd w:id="91"/>
    </w:p>
    <w:p>
      <w:pPr>
        <w:keepNext/>
        <w:keepLines/>
        <w:numPr>
          <w:ilvl w:val="2"/>
          <w:numId w:val="5"/>
        </w:numPr>
        <w:spacing w:line="360" w:lineRule="auto"/>
        <w:ind w:left="0" w:firstLine="0"/>
        <w:outlineLvl w:val="2"/>
        <w:rPr>
          <w:rFonts w:ascii="宋体" w:hAnsi="宋体"/>
          <w:b/>
          <w:bCs/>
          <w:sz w:val="28"/>
          <w:szCs w:val="28"/>
        </w:rPr>
      </w:pPr>
      <w:bookmarkStart w:id="92" w:name="_Toc183682352"/>
      <w:bookmarkStart w:id="93" w:name="_Toc183582215"/>
      <w:bookmarkStart w:id="94" w:name="_Toc217446043"/>
      <w:r>
        <w:rPr>
          <w:rFonts w:hint="eastAsia" w:ascii="宋体" w:hAnsi="宋体"/>
          <w:b/>
          <w:bCs/>
          <w:sz w:val="28"/>
          <w:szCs w:val="28"/>
        </w:rPr>
        <w:t>投标文件的语言</w:t>
      </w:r>
      <w:bookmarkEnd w:id="92"/>
      <w:bookmarkEnd w:id="93"/>
      <w:bookmarkEnd w:id="94"/>
    </w:p>
    <w:p>
      <w:pPr>
        <w:numPr>
          <w:ilvl w:val="0"/>
          <w:numId w:val="14"/>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4"/>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95" w:name="_Toc183582216"/>
      <w:bookmarkStart w:id="96" w:name="_Toc217446044"/>
      <w:bookmarkStart w:id="97" w:name="_Toc183682353"/>
      <w:r>
        <w:rPr>
          <w:rFonts w:hint="eastAsia" w:ascii="宋体" w:hAnsi="宋体"/>
          <w:b/>
          <w:bCs/>
          <w:sz w:val="28"/>
          <w:szCs w:val="28"/>
        </w:rPr>
        <w:t>计量单位</w:t>
      </w:r>
      <w:bookmarkEnd w:id="95"/>
      <w:bookmarkEnd w:id="96"/>
      <w:bookmarkEnd w:id="97"/>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98" w:name="_Toc217446045"/>
      <w:r>
        <w:rPr>
          <w:rFonts w:hint="eastAsia" w:ascii="宋体" w:hAnsi="宋体"/>
          <w:b/>
          <w:bCs/>
          <w:sz w:val="28"/>
          <w:szCs w:val="28"/>
        </w:rPr>
        <w:t>投标货币</w:t>
      </w:r>
      <w:bookmarkEnd w:id="98"/>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99" w:name="_Toc217446046"/>
      <w:r>
        <w:rPr>
          <w:rFonts w:hint="eastAsia" w:ascii="宋体" w:hAnsi="宋体"/>
          <w:b/>
          <w:bCs/>
          <w:sz w:val="28"/>
          <w:szCs w:val="28"/>
        </w:rPr>
        <w:t>联合体投标</w:t>
      </w:r>
      <w:bookmarkEnd w:id="99"/>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100" w:name="_Toc217446047"/>
      <w:r>
        <w:rPr>
          <w:rFonts w:hint="eastAsia" w:ascii="宋体" w:hAnsi="宋体"/>
          <w:b/>
          <w:bCs/>
          <w:sz w:val="28"/>
          <w:szCs w:val="28"/>
        </w:rPr>
        <w:t>知识产权</w:t>
      </w:r>
      <w:bookmarkEnd w:id="100"/>
    </w:p>
    <w:p>
      <w:pPr>
        <w:numPr>
          <w:ilvl w:val="0"/>
          <w:numId w:val="15"/>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5"/>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5"/>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5"/>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101" w:name="_Toc183582217"/>
      <w:bookmarkStart w:id="102" w:name="_Toc183682354"/>
      <w:bookmarkStart w:id="103" w:name="_Toc217446048"/>
      <w:r>
        <w:rPr>
          <w:rFonts w:hint="eastAsia" w:ascii="宋体" w:hAnsi="宋体"/>
          <w:b/>
          <w:bCs/>
          <w:sz w:val="28"/>
          <w:szCs w:val="28"/>
        </w:rPr>
        <w:t>投标文件的组成</w:t>
      </w:r>
      <w:bookmarkEnd w:id="101"/>
      <w:bookmarkEnd w:id="102"/>
      <w:bookmarkEnd w:id="103"/>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rPr>
      </w:pPr>
      <w:r>
        <w:rPr>
          <w:rFonts w:hint="eastAsia" w:ascii="宋体" w:hAnsi="宋体"/>
        </w:rPr>
        <w:t>资格响应文件：</w:t>
      </w:r>
    </w:p>
    <w:p>
      <w:pPr>
        <w:numPr>
          <w:ilvl w:val="0"/>
          <w:numId w:val="16"/>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6"/>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6"/>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投标人应提交的相关资格证明材料：</w:t>
      </w:r>
    </w:p>
    <w:p>
      <w:pPr>
        <w:pStyle w:val="77"/>
        <w:numPr>
          <w:ilvl w:val="0"/>
          <w:numId w:val="17"/>
        </w:numPr>
        <w:spacing w:before="60" w:line="360" w:lineRule="auto"/>
        <w:ind w:left="0" w:firstLine="546" w:firstLineChars="0"/>
        <w:rPr>
          <w:rFonts w:ascii="宋体" w:hAnsi="宋体"/>
          <w:b/>
          <w:sz w:val="28"/>
          <w:szCs w:val="28"/>
        </w:rPr>
      </w:pPr>
      <w:r>
        <w:rPr>
          <w:rFonts w:hint="eastAsia" w:ascii="宋体" w:hAnsi="宋体"/>
          <w:b/>
          <w:sz w:val="28"/>
          <w:szCs w:val="28"/>
        </w:rPr>
        <w:t>营业执照复印件（正本或副本）或法人证书复印件（正本或副本）；</w:t>
      </w:r>
    </w:p>
    <w:p>
      <w:pPr>
        <w:pStyle w:val="77"/>
        <w:numPr>
          <w:ilvl w:val="0"/>
          <w:numId w:val="17"/>
        </w:numPr>
        <w:spacing w:before="60" w:line="360" w:lineRule="auto"/>
        <w:ind w:left="0" w:firstLine="546" w:firstLineChars="0"/>
        <w:rPr>
          <w:rFonts w:ascii="宋体" w:hAnsi="宋体"/>
          <w:b/>
          <w:sz w:val="28"/>
          <w:szCs w:val="28"/>
        </w:rPr>
      </w:pPr>
      <w:r>
        <w:rPr>
          <w:rFonts w:hint="eastAsia" w:ascii="宋体" w:hAnsi="宋体"/>
          <w:b/>
          <w:sz w:val="28"/>
          <w:szCs w:val="28"/>
        </w:rPr>
        <w:t>2019或2020会计年度资产负债表复印件（说明：投标人成立时间至递交投标文件截止时间止不足一年的，提供成立后任意时段的资产负债表复印件）；</w:t>
      </w:r>
    </w:p>
    <w:p>
      <w:pPr>
        <w:pStyle w:val="77"/>
        <w:numPr>
          <w:ilvl w:val="0"/>
          <w:numId w:val="17"/>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投标人缴纳2020或2021年任意时段的税收的银行电子回单或者行政部门出具的纳税证明或完税证明复印件；</w:t>
      </w:r>
    </w:p>
    <w:p>
      <w:pPr>
        <w:pStyle w:val="77"/>
        <w:numPr>
          <w:ilvl w:val="0"/>
          <w:numId w:val="17"/>
        </w:numPr>
        <w:spacing w:before="60" w:line="360" w:lineRule="auto"/>
        <w:ind w:left="0" w:firstLine="546" w:firstLineChars="0"/>
        <w:rPr>
          <w:rFonts w:ascii="宋体" w:hAnsi="宋体"/>
          <w:b/>
          <w:sz w:val="28"/>
          <w:szCs w:val="28"/>
        </w:rPr>
      </w:pPr>
      <w:r>
        <w:rPr>
          <w:rFonts w:hint="eastAsia" w:ascii="宋体" w:hAnsi="宋体"/>
          <w:b/>
          <w:sz w:val="28"/>
          <w:szCs w:val="28"/>
        </w:rPr>
        <w:t>采购人对投标人履行合同所必须的设备和专业技术能力无特殊要求，投标人具有有效的营业执照或法人证书，可不提供其他证明材料；</w:t>
      </w:r>
    </w:p>
    <w:p>
      <w:pPr>
        <w:pStyle w:val="77"/>
        <w:numPr>
          <w:ilvl w:val="0"/>
          <w:numId w:val="17"/>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投标人缴纳2020或2021年任意时段的社保的银行电子回单或行政部门出具的社保缴纳证明材料复印件；</w:t>
      </w:r>
    </w:p>
    <w:p>
      <w:pPr>
        <w:pStyle w:val="77"/>
        <w:numPr>
          <w:ilvl w:val="0"/>
          <w:numId w:val="17"/>
        </w:numPr>
        <w:spacing w:before="60" w:line="360" w:lineRule="auto"/>
        <w:ind w:left="0" w:firstLine="546" w:firstLineChars="0"/>
        <w:rPr>
          <w:rFonts w:ascii="宋体" w:hAnsi="宋体"/>
          <w:b/>
          <w:sz w:val="28"/>
          <w:szCs w:val="28"/>
        </w:rPr>
      </w:pPr>
      <w:r>
        <w:rPr>
          <w:rFonts w:hint="eastAsia" w:ascii="宋体" w:hAnsi="宋体"/>
          <w:b/>
          <w:sz w:val="28"/>
          <w:szCs w:val="28"/>
        </w:rPr>
        <w:t>采购人对法律、行政法规规定的其他条件无特殊要求，投标人具有有效的营业执照或法人证书，可不提供其他证明材料。</w:t>
      </w:r>
    </w:p>
    <w:p>
      <w:pPr>
        <w:pStyle w:val="77"/>
        <w:numPr>
          <w:ilvl w:val="0"/>
          <w:numId w:val="17"/>
        </w:numPr>
        <w:spacing w:before="60" w:line="360" w:lineRule="auto"/>
        <w:ind w:left="0" w:firstLine="546" w:firstLineChars="0"/>
        <w:rPr>
          <w:rFonts w:hint="eastAsia" w:ascii="宋体" w:hAnsi="宋体"/>
          <w:b/>
          <w:sz w:val="28"/>
          <w:szCs w:val="28"/>
        </w:rPr>
      </w:pPr>
      <w:r>
        <w:rPr>
          <w:rFonts w:hint="eastAsia" w:ascii="宋体" w:hAnsi="宋体"/>
          <w:b/>
          <w:sz w:val="28"/>
          <w:szCs w:val="28"/>
        </w:rPr>
        <w:t>中小企业声明函；</w:t>
      </w:r>
    </w:p>
    <w:p>
      <w:pPr>
        <w:pStyle w:val="77"/>
        <w:numPr>
          <w:ilvl w:val="0"/>
          <w:numId w:val="17"/>
        </w:numPr>
        <w:spacing w:before="60" w:line="360" w:lineRule="auto"/>
        <w:ind w:left="0" w:firstLine="546" w:firstLineChars="0"/>
        <w:rPr>
          <w:rFonts w:hint="eastAsia" w:ascii="宋体" w:hAnsi="宋体"/>
          <w:b/>
          <w:sz w:val="28"/>
          <w:szCs w:val="28"/>
        </w:rPr>
      </w:pPr>
      <w:r>
        <w:rPr>
          <w:rFonts w:hint="eastAsia" w:ascii="宋体" w:hAnsi="宋体"/>
          <w:b/>
          <w:sz w:val="28"/>
          <w:szCs w:val="28"/>
        </w:rPr>
        <w:t>残疾人福利性单位声明函；</w:t>
      </w:r>
    </w:p>
    <w:p>
      <w:pPr>
        <w:pStyle w:val="77"/>
        <w:numPr>
          <w:ilvl w:val="0"/>
          <w:numId w:val="17"/>
        </w:numPr>
        <w:spacing w:before="60" w:line="360" w:lineRule="auto"/>
        <w:ind w:left="0" w:firstLine="546" w:firstLineChars="0"/>
        <w:rPr>
          <w:rFonts w:ascii="宋体" w:hAnsi="宋体"/>
          <w:b/>
          <w:sz w:val="28"/>
          <w:szCs w:val="28"/>
        </w:rPr>
      </w:pPr>
      <w:r>
        <w:rPr>
          <w:rFonts w:hint="eastAsia" w:ascii="宋体" w:hAnsi="宋体"/>
          <w:b/>
          <w:sz w:val="28"/>
          <w:szCs w:val="28"/>
          <w:lang w:eastAsia="zh-CN"/>
        </w:rPr>
        <w:t>供应商</w:t>
      </w:r>
      <w:r>
        <w:rPr>
          <w:rFonts w:hint="eastAsia" w:ascii="宋体" w:hAnsi="宋体"/>
          <w:b/>
          <w:sz w:val="28"/>
          <w:szCs w:val="28"/>
        </w:rPr>
        <w:t>属于监狱企业的证明文件复印件。</w:t>
      </w:r>
    </w:p>
    <w:p>
      <w:pPr>
        <w:pStyle w:val="6"/>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服务方案及服务承诺；</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keepNext/>
        <w:keepLines/>
        <w:numPr>
          <w:ilvl w:val="2"/>
          <w:numId w:val="5"/>
        </w:numPr>
        <w:spacing w:line="360" w:lineRule="auto"/>
        <w:ind w:left="0" w:firstLine="0"/>
        <w:outlineLvl w:val="2"/>
        <w:rPr>
          <w:rFonts w:ascii="宋体" w:hAnsi="宋体"/>
          <w:b/>
          <w:bCs/>
          <w:sz w:val="28"/>
          <w:szCs w:val="28"/>
        </w:rPr>
      </w:pPr>
      <w:bookmarkStart w:id="104" w:name="_Toc183682348"/>
      <w:bookmarkStart w:id="105" w:name="_Toc183582211"/>
      <w:bookmarkStart w:id="106" w:name="_Toc217446040"/>
      <w:r>
        <w:rPr>
          <w:rFonts w:hint="eastAsia" w:ascii="宋体" w:hAnsi="宋体"/>
          <w:b/>
          <w:bCs/>
          <w:sz w:val="28"/>
          <w:szCs w:val="28"/>
        </w:rPr>
        <w:t>招标文件的构成</w:t>
      </w:r>
    </w:p>
    <w:p>
      <w:pPr>
        <w:numPr>
          <w:ilvl w:val="0"/>
          <w:numId w:val="19"/>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20"/>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20"/>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20"/>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20"/>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20"/>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20"/>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20"/>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9"/>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招标文件的澄清</w:t>
      </w:r>
      <w:bookmarkEnd w:id="104"/>
      <w:bookmarkEnd w:id="105"/>
      <w:r>
        <w:rPr>
          <w:rFonts w:hint="eastAsia" w:ascii="宋体" w:hAnsi="宋体"/>
          <w:b/>
          <w:bCs/>
          <w:sz w:val="28"/>
          <w:szCs w:val="28"/>
        </w:rPr>
        <w:t>和修改</w:t>
      </w:r>
      <w:bookmarkEnd w:id="106"/>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区公资交易中心应当在投标截止时间至少15日前，通过云平台通知所有获取招标文件的潜在投标人；不足15日的，采购人或区公资交易中心应当顺延提交投标文件的截止时间。</w:t>
      </w:r>
    </w:p>
    <w:p>
      <w:pPr>
        <w:pStyle w:val="6"/>
        <w:numPr>
          <w:ilvl w:val="3"/>
          <w:numId w:val="5"/>
        </w:numPr>
        <w:rPr>
          <w:rFonts w:ascii="宋体" w:hAnsi="宋体"/>
        </w:rPr>
      </w:pPr>
      <w:r>
        <w:rPr>
          <w:rFonts w:hint="eastAsia" w:ascii="宋体" w:hAnsi="宋体"/>
        </w:rPr>
        <w:t>报价</w:t>
      </w:r>
      <w:r>
        <w:rPr>
          <w:rFonts w:ascii="宋体" w:hAnsi="宋体"/>
        </w:rPr>
        <w:t>要求响应文件</w:t>
      </w:r>
    </w:p>
    <w:p>
      <w:pPr>
        <w:pStyle w:val="77"/>
        <w:numPr>
          <w:ilvl w:val="0"/>
          <w:numId w:val="22"/>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开标一览表（投标报价以投标人在政府采购云平台开标一览表中填写的报价为准。）；</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p>
    <w:p>
      <w:pPr>
        <w:keepNext/>
        <w:keepLines/>
        <w:numPr>
          <w:ilvl w:val="2"/>
          <w:numId w:val="5"/>
        </w:numPr>
        <w:spacing w:line="360" w:lineRule="auto"/>
        <w:ind w:left="0" w:firstLine="0"/>
        <w:outlineLvl w:val="2"/>
        <w:rPr>
          <w:rFonts w:ascii="宋体" w:hAnsi="宋体"/>
          <w:b/>
          <w:bCs/>
          <w:sz w:val="28"/>
          <w:szCs w:val="28"/>
        </w:rPr>
      </w:pPr>
      <w:bookmarkStart w:id="107" w:name="_Toc316291396"/>
      <w:bookmarkEnd w:id="107"/>
      <w:bookmarkStart w:id="108" w:name="_Toc316292019"/>
      <w:bookmarkEnd w:id="108"/>
      <w:bookmarkStart w:id="109" w:name="_Toc316291395"/>
      <w:bookmarkEnd w:id="109"/>
      <w:bookmarkStart w:id="110" w:name="_Toc316292020"/>
      <w:bookmarkEnd w:id="110"/>
      <w:bookmarkStart w:id="111" w:name="_Toc183582218"/>
      <w:bookmarkStart w:id="112" w:name="_Toc183682355"/>
      <w:bookmarkStart w:id="113" w:name="_Toc217446049"/>
      <w:r>
        <w:rPr>
          <w:rFonts w:hint="eastAsia" w:ascii="宋体" w:hAnsi="宋体"/>
          <w:b/>
          <w:bCs/>
          <w:sz w:val="28"/>
          <w:szCs w:val="28"/>
        </w:rPr>
        <w:t>投标文件格式</w:t>
      </w:r>
      <w:bookmarkEnd w:id="111"/>
      <w:bookmarkEnd w:id="112"/>
      <w:bookmarkEnd w:id="113"/>
      <w:r>
        <w:rPr>
          <w:rFonts w:hint="eastAsia" w:ascii="宋体" w:hAnsi="宋体"/>
          <w:b/>
          <w:bCs/>
          <w:sz w:val="28"/>
          <w:szCs w:val="28"/>
        </w:rPr>
        <w:tab/>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114" w:name="_Toc217446050"/>
      <w:bookmarkStart w:id="115" w:name="_Toc183682360"/>
      <w:bookmarkStart w:id="116" w:name="_Toc183582223"/>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114"/>
      <w:bookmarkEnd w:id="115"/>
      <w:bookmarkEnd w:id="116"/>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117" w:name="_Toc316291400"/>
      <w:bookmarkEnd w:id="117"/>
      <w:bookmarkStart w:id="118" w:name="_Toc316292024"/>
      <w:bookmarkEnd w:id="118"/>
      <w:bookmarkStart w:id="119" w:name="_Toc183582224"/>
      <w:bookmarkStart w:id="120" w:name="_Toc217446051"/>
      <w:bookmarkStart w:id="121" w:name="_Toc183682361"/>
      <w:r>
        <w:rPr>
          <w:rFonts w:hint="eastAsia" w:ascii="宋体" w:hAnsi="宋体"/>
          <w:b/>
          <w:bCs/>
          <w:sz w:val="28"/>
          <w:szCs w:val="28"/>
        </w:rPr>
        <w:t>投标有效期</w:t>
      </w:r>
      <w:bookmarkEnd w:id="119"/>
      <w:bookmarkEnd w:id="120"/>
      <w:bookmarkEnd w:id="121"/>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122" w:name="_Toc183682364"/>
      <w:bookmarkStart w:id="123" w:name="_Toc183582227"/>
      <w:bookmarkStart w:id="124"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122"/>
      <w:bookmarkEnd w:id="123"/>
      <w:r>
        <w:rPr>
          <w:rFonts w:hint="eastAsia"/>
          <w:color w:val="auto"/>
        </w:rPr>
        <w:t>递交</w:t>
      </w:r>
      <w:bookmarkEnd w:id="124"/>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125" w:name="_Toc316475587"/>
      <w:bookmarkEnd w:id="125"/>
      <w:bookmarkStart w:id="126" w:name="_Toc316475586"/>
      <w:bookmarkEnd w:id="126"/>
      <w:bookmarkStart w:id="127" w:name="_Toc183682365"/>
      <w:bookmarkStart w:id="128" w:name="_Toc183582228"/>
      <w:bookmarkStart w:id="129" w:name="_Toc217446055"/>
      <w:r>
        <w:rPr>
          <w:rFonts w:hint="eastAsia"/>
          <w:color w:val="auto"/>
        </w:rPr>
        <w:t>投标文件的</w:t>
      </w:r>
      <w:bookmarkEnd w:id="127"/>
      <w:bookmarkEnd w:id="128"/>
      <w:bookmarkEnd w:id="129"/>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130" w:name="_Toc797_WPSOffice_Level2"/>
      <w:bookmarkStart w:id="131" w:name="_Toc77400782"/>
      <w:bookmarkStart w:id="132" w:name="_Toc23411_WPSOffice_Level2"/>
      <w:bookmarkStart w:id="133" w:name="_Toc17680_WPSOffice_Level2"/>
      <w:bookmarkStart w:id="134" w:name="_Toc74752324"/>
      <w:bookmarkStart w:id="135" w:name="_Toc183682368"/>
      <w:bookmarkStart w:id="136" w:name="_Toc217446056"/>
      <w:bookmarkStart w:id="137" w:name="_Toc183582231"/>
      <w:bookmarkStart w:id="138" w:name="_Toc89075878"/>
      <w:r>
        <w:rPr>
          <w:rFonts w:hint="eastAsia" w:ascii="宋体" w:hAnsi="宋体"/>
          <w:b/>
          <w:bCs/>
          <w:sz w:val="28"/>
          <w:szCs w:val="28"/>
        </w:rPr>
        <w:t>开标、资格审查、评标和中标</w:t>
      </w:r>
      <w:bookmarkEnd w:id="130"/>
      <w:bookmarkEnd w:id="131"/>
      <w:bookmarkEnd w:id="132"/>
      <w:bookmarkEnd w:id="133"/>
      <w:bookmarkEnd w:id="134"/>
      <w:bookmarkEnd w:id="135"/>
      <w:bookmarkEnd w:id="136"/>
      <w:bookmarkEnd w:id="137"/>
      <w:bookmarkEnd w:id="138"/>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7"/>
        <w:numPr>
          <w:ilvl w:val="0"/>
          <w:numId w:val="27"/>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139" w:name="_Toc183682375"/>
      <w:bookmarkStart w:id="140" w:name="_Toc183582238"/>
      <w:bookmarkStart w:id="141" w:name="_Toc217446063"/>
      <w:r>
        <w:rPr>
          <w:rFonts w:hint="eastAsia" w:ascii="宋体" w:hAnsi="宋体"/>
          <w:b/>
          <w:bCs/>
          <w:sz w:val="28"/>
          <w:szCs w:val="28"/>
        </w:rPr>
        <w:t>中标通知</w:t>
      </w:r>
      <w:bookmarkEnd w:id="139"/>
      <w:bookmarkEnd w:id="140"/>
      <w:r>
        <w:rPr>
          <w:rFonts w:hint="eastAsia" w:ascii="宋体" w:hAnsi="宋体"/>
          <w:b/>
          <w:bCs/>
          <w:sz w:val="28"/>
          <w:szCs w:val="28"/>
        </w:rPr>
        <w:t>书</w:t>
      </w:r>
      <w:bookmarkEnd w:id="141"/>
    </w:p>
    <w:p>
      <w:pPr>
        <w:spacing w:line="360" w:lineRule="auto"/>
        <w:ind w:right="210" w:firstLine="560" w:firstLineChars="200"/>
        <w:rPr>
          <w:rFonts w:ascii="宋体" w:hAnsi="宋体"/>
          <w:sz w:val="28"/>
          <w:szCs w:val="28"/>
        </w:rPr>
      </w:pPr>
      <w:bookmarkStart w:id="142" w:name="_Toc217446064"/>
      <w:bookmarkStart w:id="143" w:name="_Toc183682377"/>
      <w:bookmarkStart w:id="144"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145" w:name="_Toc74752325"/>
      <w:bookmarkStart w:id="146" w:name="_Toc3564_WPSOffice_Level2"/>
      <w:bookmarkStart w:id="147" w:name="_Toc10313_WPSOffice_Level2"/>
      <w:bookmarkStart w:id="148" w:name="_Toc9989_WPSOffice_Level2"/>
      <w:r>
        <w:rPr>
          <w:rFonts w:hint="eastAsia" w:ascii="宋体" w:hAnsi="宋体"/>
          <w:b/>
          <w:bCs/>
          <w:sz w:val="28"/>
          <w:szCs w:val="28"/>
        </w:rPr>
        <w:t>签订及履行合同和验收</w:t>
      </w:r>
      <w:bookmarkEnd w:id="142"/>
      <w:bookmarkEnd w:id="145"/>
      <w:bookmarkEnd w:id="146"/>
      <w:bookmarkEnd w:id="147"/>
      <w:bookmarkEnd w:id="148"/>
    </w:p>
    <w:p>
      <w:pPr>
        <w:keepNext/>
        <w:keepLines/>
        <w:numPr>
          <w:ilvl w:val="2"/>
          <w:numId w:val="5"/>
        </w:numPr>
        <w:spacing w:line="360" w:lineRule="auto"/>
        <w:ind w:left="0" w:firstLine="0"/>
        <w:outlineLvl w:val="2"/>
        <w:rPr>
          <w:rFonts w:ascii="宋体" w:hAnsi="宋体"/>
          <w:b/>
          <w:bCs/>
          <w:sz w:val="28"/>
          <w:szCs w:val="28"/>
        </w:rPr>
      </w:pPr>
      <w:bookmarkStart w:id="149" w:name="_Toc217446065"/>
      <w:r>
        <w:rPr>
          <w:rFonts w:hint="eastAsia" w:ascii="宋体" w:hAnsi="宋体"/>
          <w:b/>
          <w:bCs/>
          <w:sz w:val="28"/>
          <w:szCs w:val="28"/>
        </w:rPr>
        <w:t>签订合同</w:t>
      </w:r>
      <w:bookmarkEnd w:id="149"/>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150" w:name="_Toc315871033"/>
      <w:bookmarkEnd w:id="150"/>
      <w:bookmarkStart w:id="151" w:name="_Toc217446066"/>
      <w:r>
        <w:rPr>
          <w:rFonts w:hint="eastAsia" w:ascii="宋体" w:hAnsi="宋体"/>
          <w:b/>
          <w:bCs/>
          <w:sz w:val="28"/>
          <w:szCs w:val="28"/>
        </w:rPr>
        <w:t>合同分包</w:t>
      </w:r>
      <w:bookmarkEnd w:id="151"/>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7"/>
        <w:spacing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152" w:name="_Toc217446067"/>
      <w:r>
        <w:rPr>
          <w:rFonts w:hint="eastAsia" w:ascii="宋体" w:hAnsi="宋体"/>
          <w:b/>
          <w:bCs/>
          <w:sz w:val="28"/>
          <w:szCs w:val="28"/>
        </w:rPr>
        <w:t>采购人增加合同标的的权</w:t>
      </w:r>
      <w:bookmarkEnd w:id="152"/>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153" w:name="_Toc217446068"/>
      <w:r>
        <w:rPr>
          <w:rFonts w:hint="eastAsia" w:ascii="宋体" w:hAnsi="宋体"/>
          <w:b/>
          <w:bCs/>
          <w:sz w:val="28"/>
          <w:szCs w:val="28"/>
        </w:rPr>
        <w:t>履约保证金</w:t>
      </w:r>
      <w:bookmarkEnd w:id="153"/>
    </w:p>
    <w:p>
      <w:pPr>
        <w:spacing w:after="180" w:line="360" w:lineRule="auto"/>
        <w:ind w:firstLine="562" w:firstLineChars="200"/>
        <w:rPr>
          <w:rFonts w:ascii="宋体" w:hAnsi="宋体"/>
          <w:b/>
          <w:sz w:val="28"/>
          <w:szCs w:val="28"/>
        </w:rPr>
      </w:pPr>
      <w:bookmarkStart w:id="154"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154"/>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155" w:name="_Toc217446070"/>
      <w:r>
        <w:rPr>
          <w:rFonts w:hint="eastAsia" w:ascii="宋体" w:hAnsi="宋体"/>
          <w:b/>
          <w:bCs/>
          <w:sz w:val="28"/>
          <w:szCs w:val="28"/>
        </w:rPr>
        <w:t>验收</w:t>
      </w:r>
      <w:bookmarkEnd w:id="155"/>
      <w:r>
        <w:rPr>
          <w:rFonts w:hint="eastAsia" w:ascii="宋体" w:hAnsi="宋体"/>
          <w:b/>
          <w:bCs/>
          <w:sz w:val="28"/>
          <w:szCs w:val="28"/>
        </w:rPr>
        <w:t>或考核</w:t>
      </w:r>
    </w:p>
    <w:bookmarkEnd w:id="143"/>
    <w:bookmarkEnd w:id="144"/>
    <w:p>
      <w:pPr>
        <w:spacing w:line="360" w:lineRule="auto"/>
        <w:ind w:firstLine="560" w:firstLineChars="200"/>
        <w:rPr>
          <w:rFonts w:ascii="宋体" w:hAnsi="宋体"/>
          <w:sz w:val="28"/>
          <w:szCs w:val="28"/>
        </w:rPr>
      </w:pPr>
      <w:bookmarkStart w:id="156" w:name="_Toc217446074"/>
      <w:bookmarkStart w:id="157" w:name="_Toc183582243"/>
      <w:bookmarkStart w:id="158" w:name="_Toc183682380"/>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159" w:name="_Toc30855_WPSOffice_Level2"/>
      <w:bookmarkStart w:id="160" w:name="_Toc12811_WPSOffice_Level2"/>
      <w:bookmarkStart w:id="161" w:name="_Toc23316_WPSOffice_Level2"/>
      <w:bookmarkStart w:id="162" w:name="_Toc74752326"/>
      <w:r>
        <w:rPr>
          <w:rFonts w:hint="eastAsia" w:ascii="宋体" w:hAnsi="宋体"/>
          <w:b/>
          <w:bCs/>
          <w:sz w:val="28"/>
          <w:szCs w:val="28"/>
        </w:rPr>
        <w:t>投标纪律要求</w:t>
      </w:r>
      <w:bookmarkEnd w:id="156"/>
      <w:bookmarkEnd w:id="159"/>
      <w:bookmarkEnd w:id="160"/>
      <w:bookmarkEnd w:id="161"/>
      <w:bookmarkEnd w:id="162"/>
    </w:p>
    <w:p>
      <w:pPr>
        <w:keepNext/>
        <w:keepLines/>
        <w:numPr>
          <w:ilvl w:val="2"/>
          <w:numId w:val="5"/>
        </w:numPr>
        <w:spacing w:line="360" w:lineRule="auto"/>
        <w:ind w:left="0" w:firstLine="0"/>
        <w:outlineLvl w:val="2"/>
        <w:rPr>
          <w:rFonts w:ascii="宋体" w:hAnsi="宋体"/>
          <w:b/>
          <w:bCs/>
          <w:sz w:val="28"/>
          <w:szCs w:val="28"/>
        </w:rPr>
      </w:pPr>
      <w:bookmarkStart w:id="163" w:name="_Toc217446075"/>
      <w:r>
        <w:rPr>
          <w:rFonts w:hint="eastAsia" w:ascii="宋体" w:hAnsi="宋体"/>
          <w:b/>
          <w:bCs/>
          <w:sz w:val="28"/>
          <w:szCs w:val="28"/>
        </w:rPr>
        <w:t>投标人不得具有的情形</w:t>
      </w:r>
      <w:bookmarkEnd w:id="163"/>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区公资交易中心</w:t>
      </w:r>
      <w:r>
        <w:rPr>
          <w:rFonts w:hint="eastAsia" w:ascii="宋体" w:hAnsi="宋体"/>
          <w:sz w:val="28"/>
          <w:szCs w:val="28"/>
        </w:rPr>
        <w:t>、其他投标人恶意串通；</w:t>
      </w:r>
    </w:p>
    <w:p>
      <w:pPr>
        <w:numPr>
          <w:ilvl w:val="1"/>
          <w:numId w:val="28"/>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区公资交易中心</w:t>
      </w:r>
      <w:r>
        <w:rPr>
          <w:rFonts w:hint="eastAsia" w:ascii="宋体" w:hAnsi="宋体"/>
          <w:sz w:val="28"/>
          <w:szCs w:val="28"/>
        </w:rPr>
        <w:t>、评标委员会成员行贿或者提供其他不正当利益；</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区公资交易中心</w:t>
      </w:r>
      <w:r>
        <w:rPr>
          <w:rFonts w:hint="eastAsia" w:ascii="宋体" w:hAnsi="宋体"/>
          <w:sz w:val="28"/>
          <w:szCs w:val="28"/>
        </w:rPr>
        <w:t>进行协商谈判；</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8"/>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64" w:name="_Toc314574786"/>
      <w:r>
        <w:rPr>
          <w:rFonts w:hint="eastAsia" w:ascii="宋体" w:hAnsi="宋体"/>
          <w:b/>
          <w:bCs/>
          <w:sz w:val="28"/>
          <w:szCs w:val="28"/>
        </w:rPr>
        <w:t>保密</w:t>
      </w:r>
      <w:bookmarkEnd w:id="164"/>
    </w:p>
    <w:p>
      <w:pPr>
        <w:numPr>
          <w:ilvl w:val="0"/>
          <w:numId w:val="29"/>
        </w:numPr>
        <w:tabs>
          <w:tab w:val="left" w:pos="0"/>
          <w:tab w:val="left" w:pos="1134"/>
        </w:tabs>
        <w:spacing w:line="360" w:lineRule="auto"/>
        <w:ind w:left="0" w:firstLine="567"/>
        <w:rPr>
          <w:sz w:val="28"/>
          <w:szCs w:val="28"/>
        </w:rPr>
      </w:pPr>
      <w:r>
        <w:rPr>
          <w:rFonts w:hint="eastAsia" w:ascii="宋体" w:hAnsi="宋体"/>
          <w:sz w:val="28"/>
          <w:szCs w:val="28"/>
        </w:rPr>
        <w:t>不</w:t>
      </w:r>
      <w:r>
        <w:rPr>
          <w:rFonts w:hint="eastAsia"/>
          <w:sz w:val="28"/>
          <w:szCs w:val="28"/>
        </w:rPr>
        <w:t>得透露有关在政采云系统里已成功获取采购文件的供应商的潜在投标人的任何情况。</w:t>
      </w:r>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65" w:name="_Toc7565_WPSOffice_Level2"/>
      <w:bookmarkStart w:id="166" w:name="_Toc217446078"/>
      <w:bookmarkStart w:id="167" w:name="_Toc74752327"/>
      <w:bookmarkStart w:id="168" w:name="_Toc19536_WPSOffice_Level2"/>
      <w:bookmarkStart w:id="169" w:name="_Toc16166_WPSOffice_Level2"/>
      <w:r>
        <w:rPr>
          <w:rFonts w:hint="eastAsia" w:ascii="宋体" w:hAnsi="宋体"/>
          <w:b/>
          <w:bCs/>
          <w:sz w:val="28"/>
          <w:szCs w:val="28"/>
        </w:rPr>
        <w:t>询问、质疑和投诉</w:t>
      </w:r>
      <w:bookmarkEnd w:id="165"/>
      <w:bookmarkEnd w:id="166"/>
      <w:bookmarkEnd w:id="167"/>
      <w:bookmarkEnd w:id="168"/>
      <w:bookmarkEnd w:id="169"/>
      <w:bookmarkStart w:id="170" w:name="_Toc217446079"/>
    </w:p>
    <w:bookmarkEnd w:id="157"/>
    <w:bookmarkEnd w:id="158"/>
    <w:bookmarkEnd w:id="170"/>
    <w:p>
      <w:pPr>
        <w:numPr>
          <w:ilvl w:val="0"/>
          <w:numId w:val="30"/>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0"/>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1"/>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1"/>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区公资交易中心</w:t>
      </w:r>
      <w:r>
        <w:rPr>
          <w:rFonts w:hint="eastAsia" w:ascii="宋体" w:hAnsi="宋体"/>
          <w:sz w:val="28"/>
          <w:szCs w:val="28"/>
        </w:rPr>
        <w:t>提出。</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0"/>
        </w:numPr>
        <w:tabs>
          <w:tab w:val="left" w:pos="1134"/>
        </w:tabs>
        <w:spacing w:line="360" w:lineRule="auto"/>
        <w:ind w:left="0" w:firstLine="567"/>
        <w:rPr>
          <w:rFonts w:ascii="宋体" w:hAnsi="宋体"/>
          <w:sz w:val="28"/>
          <w:szCs w:val="28"/>
        </w:rPr>
      </w:pPr>
      <w:r>
        <w:rPr>
          <w:rFonts w:hint="eastAsia" w:ascii="宋体" w:hAnsi="宋体"/>
          <w:sz w:val="28"/>
          <w:szCs w:val="28"/>
        </w:rPr>
        <w:t>供应商对区公资交易中心的质疑答复不满意，或者区公资交易中心未在规定期限内作出答复的，供应商可以在答复期满后15个工作日内向同级财政部门提起投诉。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71" w:name="_Toc16083_WPSOffice_Level2"/>
      <w:bookmarkStart w:id="172" w:name="_Toc74752328"/>
      <w:bookmarkStart w:id="173" w:name="_Toc26403_WPSOffice_Level2"/>
      <w:bookmarkStart w:id="174" w:name="_Toc11819_WPSOffice_Level2"/>
      <w:r>
        <w:rPr>
          <w:rFonts w:hint="eastAsia" w:ascii="宋体" w:hAnsi="宋体"/>
          <w:b/>
          <w:bCs/>
          <w:sz w:val="28"/>
          <w:szCs w:val="28"/>
        </w:rPr>
        <w:t>中小企业政府采购信用融资</w:t>
      </w:r>
      <w:bookmarkEnd w:id="171"/>
      <w:bookmarkEnd w:id="172"/>
      <w:bookmarkEnd w:id="173"/>
      <w:bookmarkEnd w:id="174"/>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75" w:name="_Toc316292050"/>
      <w:bookmarkEnd w:id="175"/>
      <w:bookmarkStart w:id="176" w:name="_Toc315871046"/>
      <w:bookmarkEnd w:id="176"/>
      <w:bookmarkStart w:id="177" w:name="_Toc315871049"/>
      <w:bookmarkEnd w:id="177"/>
      <w:bookmarkStart w:id="178" w:name="_Toc316292051"/>
      <w:bookmarkEnd w:id="178"/>
      <w:bookmarkStart w:id="179" w:name="_Toc315871048"/>
      <w:bookmarkEnd w:id="179"/>
      <w:bookmarkStart w:id="180" w:name="_Toc316292048"/>
      <w:bookmarkEnd w:id="180"/>
      <w:bookmarkStart w:id="181" w:name="_Toc316292049"/>
      <w:bookmarkEnd w:id="181"/>
      <w:bookmarkStart w:id="182" w:name="_Toc316292052"/>
      <w:bookmarkEnd w:id="182"/>
      <w:bookmarkStart w:id="183" w:name="_Toc315871047"/>
      <w:bookmarkEnd w:id="183"/>
      <w:bookmarkStart w:id="184" w:name="_Toc315871045"/>
      <w:bookmarkEnd w:id="184"/>
      <w:bookmarkStart w:id="185" w:name="_Toc315871050"/>
      <w:bookmarkEnd w:id="185"/>
      <w:bookmarkStart w:id="186" w:name="_Toc20218_WPSOffice_Level1"/>
      <w:bookmarkStart w:id="187" w:name="_Toc74752329"/>
      <w:bookmarkStart w:id="188" w:name="_Toc22316_WPSOffice_Level1"/>
      <w:bookmarkStart w:id="189" w:name="_Toc30686_WPSOffice_Level1"/>
      <w:r>
        <w:rPr>
          <w:rFonts w:hint="eastAsia" w:ascii="宋体" w:hAnsi="宋体"/>
          <w:b/>
          <w:bCs/>
          <w:spacing w:val="-20"/>
          <w:kern w:val="44"/>
          <w:sz w:val="32"/>
          <w:szCs w:val="32"/>
        </w:rPr>
        <w:t>投标文件格式</w:t>
      </w:r>
      <w:bookmarkEnd w:id="186"/>
      <w:bookmarkEnd w:id="187"/>
      <w:bookmarkEnd w:id="188"/>
      <w:bookmarkEnd w:id="189"/>
    </w:p>
    <w:p>
      <w:pPr>
        <w:keepNext/>
        <w:keepLines/>
        <w:numPr>
          <w:ilvl w:val="1"/>
          <w:numId w:val="5"/>
        </w:numPr>
        <w:spacing w:before="260" w:after="260" w:line="360" w:lineRule="auto"/>
        <w:jc w:val="left"/>
        <w:outlineLvl w:val="1"/>
        <w:rPr>
          <w:rFonts w:ascii="宋体" w:hAnsi="宋体"/>
          <w:b/>
          <w:bCs/>
          <w:sz w:val="28"/>
          <w:szCs w:val="28"/>
        </w:rPr>
      </w:pPr>
      <w:bookmarkStart w:id="190" w:name="_Toc2393_WPSOffice_Level2"/>
      <w:bookmarkStart w:id="191" w:name="_Toc22003_WPSOffice_Level2"/>
      <w:bookmarkStart w:id="192" w:name="_Toc12981_WPSOffice_Level2"/>
      <w:bookmarkStart w:id="193" w:name="_Toc74752330"/>
      <w:r>
        <w:rPr>
          <w:rFonts w:hint="eastAsia" w:ascii="宋体" w:hAnsi="宋体"/>
          <w:b/>
          <w:bCs/>
          <w:sz w:val="28"/>
          <w:szCs w:val="28"/>
        </w:rPr>
        <w:t>投标文件封面格式</w:t>
      </w:r>
      <w:bookmarkEnd w:id="190"/>
      <w:bookmarkEnd w:id="191"/>
      <w:bookmarkEnd w:id="192"/>
      <w:bookmarkEnd w:id="193"/>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lang w:eastAsia="zh-CN"/>
        </w:rPr>
        <w:t>成都市龙泉驿区汽车总站保安保洁外包服务采购项目</w:t>
      </w:r>
    </w:p>
    <w:p>
      <w:pPr>
        <w:spacing w:line="360" w:lineRule="auto"/>
        <w:rPr>
          <w:rFonts w:hint="eastAsia" w:ascii="宋体" w:hAnsi="宋体" w:eastAsia="宋体"/>
          <w:b/>
          <w:sz w:val="32"/>
          <w:szCs w:val="32"/>
          <w:u w:val="single"/>
          <w:lang w:eastAsia="zh-CN"/>
        </w:rPr>
      </w:pPr>
      <w:r>
        <w:rPr>
          <w:rFonts w:hint="eastAsia" w:ascii="宋体" w:hAnsi="宋体"/>
          <w:b/>
          <w:bCs/>
          <w:sz w:val="32"/>
          <w:szCs w:val="32"/>
        </w:rPr>
        <w:t>项目编号：</w:t>
      </w:r>
      <w:r>
        <w:rPr>
          <w:rFonts w:hint="eastAsia" w:ascii="宋体" w:hAnsi="宋体"/>
          <w:b/>
          <w:bCs/>
          <w:sz w:val="32"/>
          <w:szCs w:val="32"/>
          <w:lang w:eastAsia="zh-CN"/>
        </w:rPr>
        <w:t>龙泉驿政采（2021）A0050号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pStyle w:val="2"/>
      </w:pPr>
    </w:p>
    <w:p>
      <w:pPr>
        <w:pStyle w:val="2"/>
      </w:pPr>
    </w:p>
    <w:p>
      <w:pPr>
        <w:keepNext/>
        <w:keepLines/>
        <w:numPr>
          <w:ilvl w:val="1"/>
          <w:numId w:val="5"/>
        </w:numPr>
        <w:spacing w:before="260" w:after="260" w:line="360" w:lineRule="auto"/>
        <w:jc w:val="left"/>
        <w:outlineLvl w:val="1"/>
        <w:rPr>
          <w:rFonts w:ascii="宋体" w:hAnsi="宋体"/>
          <w:b/>
          <w:bCs/>
          <w:sz w:val="28"/>
          <w:szCs w:val="28"/>
        </w:rPr>
      </w:pPr>
      <w:bookmarkStart w:id="194" w:name="_Toc9609_WPSOffice_Level2"/>
      <w:bookmarkStart w:id="195" w:name="_Toc74752331"/>
      <w:bookmarkStart w:id="196" w:name="_Toc5915_WPSOffice_Level2"/>
      <w:bookmarkStart w:id="197" w:name="_Toc8602_WPSOffice_Level2"/>
      <w:r>
        <w:rPr>
          <w:rFonts w:hint="eastAsia" w:ascii="宋体" w:hAnsi="宋体"/>
          <w:b/>
          <w:bCs/>
          <w:sz w:val="28"/>
          <w:szCs w:val="28"/>
        </w:rPr>
        <w:t>资格响应文件</w:t>
      </w:r>
      <w:bookmarkEnd w:id="194"/>
      <w:bookmarkEnd w:id="195"/>
      <w:bookmarkEnd w:id="196"/>
      <w:bookmarkEnd w:id="197"/>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98" w:name="_Toc238581782"/>
      <w:bookmarkStart w:id="199" w:name="_Toc119296788"/>
      <w:bookmarkStart w:id="200" w:name="_Toc52184753"/>
      <w:bookmarkStart w:id="201" w:name="_Toc146903609"/>
      <w:bookmarkStart w:id="202" w:name="_Toc119295087"/>
      <w:bookmarkStart w:id="203" w:name="_Toc119203988"/>
      <w:r>
        <w:rPr>
          <w:rFonts w:hint="eastAsia" w:ascii="宋体" w:hAnsi="宋体"/>
          <w:sz w:val="28"/>
          <w:szCs w:val="28"/>
        </w:rPr>
        <w:t>致：</w:t>
      </w:r>
      <w:bookmarkEnd w:id="198"/>
      <w:r>
        <w:rPr>
          <w:rFonts w:hint="eastAsia" w:ascii="宋体" w:hAnsi="宋体"/>
          <w:sz w:val="28"/>
          <w:szCs w:val="28"/>
        </w:rPr>
        <w:t>成都市龙泉驿区公共资源交易服务中心</w:t>
      </w:r>
    </w:p>
    <w:p>
      <w:pPr>
        <w:spacing w:line="360" w:lineRule="auto"/>
        <w:ind w:firstLine="565" w:firstLineChars="202"/>
        <w:rPr>
          <w:rFonts w:ascii="宋体" w:hAnsi="宋体"/>
          <w:sz w:val="28"/>
          <w:szCs w:val="28"/>
        </w:rPr>
      </w:pPr>
      <w:bookmarkStart w:id="204" w:name="_Toc238581783"/>
      <w:r>
        <w:rPr>
          <w:rFonts w:hint="eastAsia" w:ascii="宋体" w:hAnsi="宋体"/>
          <w:sz w:val="28"/>
          <w:szCs w:val="28"/>
        </w:rPr>
        <w:t>关于我方对</w:t>
      </w:r>
      <w:r>
        <w:rPr>
          <w:rFonts w:hint="eastAsia" w:ascii="宋体" w:hAnsi="宋体"/>
          <w:b/>
          <w:sz w:val="28"/>
          <w:szCs w:val="28"/>
          <w:u w:val="single"/>
          <w:lang w:eastAsia="zh-CN"/>
        </w:rPr>
        <w:t>成都市龙泉驿区汽车总站保安保洁外包服务采购项目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龙泉驿政采（2021）A0050号</w:t>
      </w:r>
      <w:r>
        <w:rPr>
          <w:rFonts w:hint="eastAsia" w:ascii="宋体" w:hAnsi="宋体"/>
          <w:b/>
          <w:sz w:val="28"/>
          <w:szCs w:val="28"/>
          <w:u w:val="single"/>
        </w:rPr>
        <w:t>）</w:t>
      </w:r>
      <w:r>
        <w:rPr>
          <w:rFonts w:hint="eastAsia" w:ascii="宋体" w:hAnsi="宋体"/>
          <w:sz w:val="28"/>
          <w:szCs w:val="28"/>
        </w:rPr>
        <w:t>的公开招标，提交的下列文件和说明是准确的和真实的。</w:t>
      </w:r>
      <w:bookmarkEnd w:id="204"/>
    </w:p>
    <w:p>
      <w:pPr>
        <w:widowControl/>
        <w:numPr>
          <w:ilvl w:val="2"/>
          <w:numId w:val="33"/>
        </w:numPr>
        <w:spacing w:line="360" w:lineRule="auto"/>
        <w:ind w:left="0" w:firstLine="560" w:firstLineChars="200"/>
        <w:rPr>
          <w:rFonts w:ascii="宋体" w:hAnsi="宋体"/>
          <w:sz w:val="28"/>
          <w:szCs w:val="28"/>
        </w:rPr>
      </w:pPr>
      <w:bookmarkStart w:id="205" w:name="_Toc238581784"/>
      <w:r>
        <w:rPr>
          <w:rFonts w:hint="eastAsia" w:ascii="宋体" w:hAnsi="宋体"/>
          <w:sz w:val="28"/>
          <w:szCs w:val="28"/>
        </w:rPr>
        <w:t>投标人名称及概况：</w:t>
      </w:r>
      <w:bookmarkEnd w:id="199"/>
      <w:bookmarkEnd w:id="200"/>
      <w:bookmarkEnd w:id="201"/>
      <w:bookmarkEnd w:id="202"/>
      <w:bookmarkEnd w:id="203"/>
      <w:bookmarkEnd w:id="205"/>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rPr>
          <w:rFonts w:ascii="宋体" w:hAnsi="宋体"/>
          <w:bCs/>
          <w:sz w:val="28"/>
        </w:rPr>
      </w:pPr>
    </w:p>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致：成都市龙泉驿区公共资源交易服务中心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lang w:eastAsia="zh-CN"/>
        </w:rPr>
        <w:t>成都市龙泉驿区汽车总站保安保洁外包服务采购项目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龙泉驿政采（2021）A0050号</w:t>
      </w:r>
      <w:r>
        <w:rPr>
          <w:rFonts w:hint="eastAsia" w:ascii="宋体" w:hAnsi="宋体"/>
          <w:b/>
          <w:sz w:val="28"/>
          <w:szCs w:val="28"/>
          <w:u w:val="single"/>
        </w:rPr>
        <w:t>）</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pStyle w:val="2"/>
        <w:rPr>
          <w:rFonts w:ascii="宋体" w:hAnsi="宋体"/>
          <w:szCs w:val="28"/>
        </w:rPr>
      </w:pPr>
    </w:p>
    <w:p>
      <w:pPr>
        <w:rPr>
          <w:rFonts w:ascii="宋体" w:hAnsi="宋体"/>
          <w:szCs w:val="28"/>
        </w:rPr>
      </w:pPr>
    </w:p>
    <w:p>
      <w:pPr>
        <w:pStyle w:val="2"/>
      </w:pPr>
    </w:p>
    <w:p>
      <w:pPr>
        <w:tabs>
          <w:tab w:val="left" w:pos="1260"/>
        </w:tabs>
        <w:spacing w:line="560" w:lineRule="exact"/>
        <w:ind w:firstLine="420" w:firstLineChars="200"/>
        <w:rPr>
          <w:rFonts w:ascii="宋体" w:hAnsi="宋体"/>
          <w:szCs w:val="28"/>
        </w:rPr>
      </w:pPr>
    </w:p>
    <w:p>
      <w:pPr>
        <w:spacing w:line="360" w:lineRule="auto"/>
        <w:ind w:firstLine="560" w:firstLineChars="200"/>
        <w:rPr>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lang w:eastAsia="zh-CN"/>
        </w:rPr>
        <w:t xml:space="preserve">成都市龙泉驿区汽车总站 </w:t>
      </w:r>
      <w:r>
        <w:rPr>
          <w:rFonts w:hint="eastAsia" w:ascii="宋体" w:hAnsi="宋体"/>
          <w:sz w:val="28"/>
          <w:szCs w:val="28"/>
        </w:rPr>
        <w:t>（单位名称）的</w:t>
      </w:r>
      <w:r>
        <w:rPr>
          <w:rFonts w:hint="eastAsia" w:ascii="宋体" w:hAnsi="宋体"/>
          <w:b/>
          <w:sz w:val="28"/>
          <w:szCs w:val="28"/>
          <w:u w:val="single"/>
          <w:lang w:eastAsia="zh-CN"/>
        </w:rPr>
        <w:t>成都市龙泉驿区汽车总站保安保洁外包服务采购项目</w:t>
      </w:r>
      <w:r>
        <w:rPr>
          <w:rFonts w:hint="eastAsia" w:ascii="宋体" w:hAnsi="宋体"/>
          <w:sz w:val="28"/>
          <w:szCs w:val="28"/>
        </w:rPr>
        <w:t>（项目名称）采购活动，</w:t>
      </w:r>
      <w:r>
        <w:rPr>
          <w:rFonts w:hint="eastAsia" w:ascii="宋体" w:hAnsi="宋体"/>
          <w:b/>
          <w:sz w:val="28"/>
          <w:szCs w:val="28"/>
          <w:lang w:eastAsia="zh-CN"/>
        </w:rPr>
        <w:t>服务</w:t>
      </w:r>
      <w:r>
        <w:rPr>
          <w:rFonts w:hint="eastAsia" w:ascii="宋体" w:hAnsi="宋体"/>
          <w:b/>
          <w:sz w:val="28"/>
          <w:szCs w:val="28"/>
        </w:rPr>
        <w:t>全部由符合政策要求的中小企业</w:t>
      </w:r>
      <w:r>
        <w:rPr>
          <w:rFonts w:hint="eastAsia" w:ascii="宋体" w:hAnsi="宋体"/>
          <w:b/>
          <w:sz w:val="28"/>
          <w:szCs w:val="28"/>
          <w:lang w:eastAsia="zh-CN"/>
        </w:rPr>
        <w:t>承接</w:t>
      </w:r>
      <w:r>
        <w:rPr>
          <w:rFonts w:hint="eastAsia" w:ascii="宋体" w:hAnsi="宋体"/>
          <w:b/>
          <w:sz w:val="28"/>
          <w:szCs w:val="28"/>
        </w:rPr>
        <w:t>。</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360" w:lineRule="auto"/>
        <w:ind w:firstLine="584" w:firstLineChars="200"/>
        <w:rPr>
          <w:rFonts w:hint="eastAsia"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lang w:eastAsia="zh-CN"/>
        </w:rPr>
        <w:t xml:space="preserve">成都市龙泉驿区汽车总站 </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lang w:eastAsia="zh-CN"/>
        </w:rPr>
        <w:t>成都市龙泉驿区汽车总站保安保洁外包服务采购项目</w:t>
      </w:r>
      <w:r>
        <w:rPr>
          <w:rFonts w:hint="eastAsia" w:ascii="宋体" w:hAnsi="宋体"/>
          <w:spacing w:val="6"/>
          <w:sz w:val="28"/>
          <w:szCs w:val="28"/>
        </w:rPr>
        <w:t>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pStyle w:val="2"/>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sectPr>
          <w:pgSz w:w="11850" w:h="16783"/>
          <w:pgMar w:top="1440" w:right="1800" w:bottom="1440" w:left="1800" w:header="708" w:footer="708" w:gutter="0"/>
          <w:cols w:space="708" w:num="1"/>
          <w:docGrid w:linePitch="360" w:charSpace="0"/>
        </w:sect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lang w:eastAsia="zh-CN"/>
        </w:rPr>
        <w:t>供应商</w:t>
      </w:r>
      <w:r>
        <w:rPr>
          <w:rFonts w:ascii="宋体" w:hAnsi="宋体"/>
          <w:b/>
          <w:sz w:val="28"/>
          <w:szCs w:val="28"/>
        </w:rPr>
        <w:t>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供应商</w:t>
      </w:r>
      <w:r>
        <w:rPr>
          <w:sz w:val="28"/>
          <w:szCs w:val="28"/>
        </w:rPr>
        <w:t>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pStyle w:val="2"/>
      </w:pPr>
    </w:p>
    <w:p/>
    <w:p>
      <w:pPr>
        <w:pStyle w:val="2"/>
      </w:pPr>
    </w:p>
    <w:p/>
    <w:p>
      <w:pPr>
        <w:pStyle w:val="2"/>
      </w:pPr>
    </w:p>
    <w:p>
      <w:pPr>
        <w:pStyle w:val="2"/>
      </w:pPr>
    </w:p>
    <w:p>
      <w:pPr>
        <w:spacing w:line="440" w:lineRule="atLeast"/>
        <w:rPr>
          <w:rFonts w:ascii="宋体" w:hAnsi="宋体"/>
          <w:b/>
          <w:sz w:val="28"/>
          <w:szCs w:val="28"/>
        </w:rPr>
      </w:pPr>
    </w:p>
    <w:p>
      <w:pPr>
        <w:spacing w:line="360" w:lineRule="auto"/>
        <w:ind w:firstLine="560" w:firstLineChars="200"/>
        <w:rPr>
          <w:sz w:val="28"/>
          <w:szCs w:val="28"/>
        </w:rPr>
      </w:pPr>
    </w:p>
    <w:p>
      <w:pPr>
        <w:pStyle w:val="2"/>
        <w:rPr>
          <w:sz w:val="28"/>
          <w:szCs w:val="28"/>
        </w:rPr>
      </w:pPr>
    </w:p>
    <w:p>
      <w:pPr>
        <w:rPr>
          <w:sz w:val="28"/>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pStyle w:val="2"/>
        <w:rPr>
          <w:sz w:val="28"/>
          <w:szCs w:val="28"/>
        </w:rPr>
      </w:pPr>
    </w:p>
    <w:p>
      <w:pPr>
        <w:rPr>
          <w:sz w:val="28"/>
          <w:szCs w:val="28"/>
        </w:rPr>
      </w:pPr>
    </w:p>
    <w:p>
      <w:pPr>
        <w:pStyle w:val="2"/>
        <w:rPr>
          <w:sz w:val="28"/>
          <w:szCs w:val="28"/>
        </w:rPr>
      </w:pPr>
    </w:p>
    <w:p>
      <w:pPr>
        <w:rPr>
          <w:sz w:val="28"/>
          <w:szCs w:val="28"/>
        </w:rPr>
      </w:pPr>
    </w:p>
    <w:p>
      <w:pPr>
        <w:pStyle w:val="2"/>
        <w:rPr>
          <w:sz w:val="28"/>
          <w:szCs w:val="28"/>
        </w:rPr>
      </w:pPr>
    </w:p>
    <w:p/>
    <w:p>
      <w:pPr>
        <w:spacing w:line="360" w:lineRule="auto"/>
        <w:ind w:firstLine="560" w:firstLineChars="200"/>
        <w:rPr>
          <w:sz w:val="28"/>
          <w:szCs w:val="28"/>
        </w:rPr>
      </w:pPr>
    </w:p>
    <w:p>
      <w:pPr>
        <w:keepNext/>
        <w:keepLines/>
        <w:numPr>
          <w:ilvl w:val="1"/>
          <w:numId w:val="5"/>
        </w:numPr>
        <w:spacing w:line="520" w:lineRule="exact"/>
        <w:jc w:val="left"/>
        <w:outlineLvl w:val="1"/>
        <w:rPr>
          <w:rFonts w:ascii="宋体" w:hAnsi="宋体"/>
          <w:b/>
          <w:bCs/>
          <w:sz w:val="28"/>
          <w:szCs w:val="28"/>
        </w:rPr>
      </w:pPr>
      <w:bookmarkStart w:id="206" w:name="_Toc74752332"/>
      <w:bookmarkStart w:id="207" w:name="_Toc30694_WPSOffice_Level2"/>
      <w:bookmarkStart w:id="208" w:name="_Toc9480_WPSOffice_Level2"/>
      <w:bookmarkStart w:id="209" w:name="_Toc16463_WPSOffice_Level2"/>
      <w:r>
        <w:rPr>
          <w:rFonts w:hint="eastAsia" w:ascii="宋体" w:hAnsi="宋体"/>
          <w:b/>
          <w:bCs/>
          <w:sz w:val="28"/>
          <w:szCs w:val="28"/>
        </w:rPr>
        <w:t>商务技术</w:t>
      </w:r>
      <w:r>
        <w:rPr>
          <w:rFonts w:ascii="宋体" w:hAnsi="宋体"/>
          <w:b/>
          <w:bCs/>
          <w:sz w:val="28"/>
          <w:szCs w:val="28"/>
        </w:rPr>
        <w:t>响应文件</w:t>
      </w:r>
      <w:bookmarkEnd w:id="206"/>
      <w:bookmarkEnd w:id="207"/>
      <w:bookmarkEnd w:id="208"/>
      <w:bookmarkEnd w:id="209"/>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成都市龙泉驿区公共资源交易服务中心：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lang w:eastAsia="zh-CN"/>
        </w:rPr>
        <w:t>成都市龙泉驿区汽车总站保安保洁外包服务采购项目</w:t>
      </w:r>
      <w:r>
        <w:rPr>
          <w:rFonts w:hint="eastAsia" w:ascii="宋体" w:hAnsi="宋体"/>
          <w:b/>
          <w:bCs/>
          <w:sz w:val="28"/>
          <w:szCs w:val="28"/>
          <w:u w:val="single"/>
        </w:rPr>
        <w:t>”（项目编号：</w:t>
      </w:r>
      <w:r>
        <w:rPr>
          <w:rFonts w:hint="eastAsia" w:ascii="宋体" w:hAnsi="宋体"/>
          <w:b/>
          <w:bCs/>
          <w:sz w:val="28"/>
          <w:szCs w:val="28"/>
          <w:u w:val="single"/>
          <w:lang w:eastAsia="zh-CN"/>
        </w:rPr>
        <w:t>龙泉驿政采（2021）A0050号</w:t>
      </w:r>
      <w:r>
        <w:rPr>
          <w:rFonts w:hint="eastAsia" w:ascii="宋体" w:hAnsi="宋体"/>
          <w:b/>
          <w:bCs/>
          <w:sz w:val="28"/>
          <w:szCs w:val="28"/>
          <w:u w:val="single"/>
        </w:rPr>
        <w:t>）</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210" w:name="_Toc240367172"/>
      <w:bookmarkStart w:id="211" w:name="_Toc239846734"/>
      <w:bookmarkStart w:id="212" w:name="_Toc240865266"/>
      <w:bookmarkStart w:id="213" w:name="_Toc229802674"/>
      <w:bookmarkStart w:id="214" w:name="_Toc237145395"/>
      <w:bookmarkStart w:id="215" w:name="_Toc314574804"/>
      <w:bookmarkStart w:id="216" w:name="_Toc265494342"/>
      <w:bookmarkStart w:id="217" w:name="_Toc239849853"/>
      <w:bookmarkStart w:id="218" w:name="_Toc231030275"/>
    </w:p>
    <w:p>
      <w:pPr>
        <w:pStyle w:val="2"/>
        <w:rPr>
          <w:rFonts w:ascii="宋体" w:hAnsi="宋体"/>
          <w:bCs/>
          <w:sz w:val="28"/>
        </w:rPr>
      </w:pPr>
    </w:p>
    <w:p/>
    <w:p>
      <w:pPr>
        <w:keepNext/>
        <w:keepLines/>
        <w:numPr>
          <w:ilvl w:val="2"/>
          <w:numId w:val="5"/>
        </w:numPr>
        <w:spacing w:line="360" w:lineRule="auto"/>
        <w:ind w:left="3119" w:hanging="3119"/>
        <w:outlineLvl w:val="2"/>
        <w:rPr>
          <w:rFonts w:ascii="宋体" w:hAnsi="宋体"/>
          <w:b/>
          <w:bCs/>
          <w:sz w:val="28"/>
          <w:szCs w:val="28"/>
        </w:rPr>
        <w:sectPr>
          <w:footerReference r:id="rId3" w:type="default"/>
          <w:pgSz w:w="11850" w:h="16783"/>
          <w:pgMar w:top="1440" w:right="1800" w:bottom="1440" w:left="1800" w:header="708" w:footer="708" w:gutter="0"/>
          <w:cols w:space="708" w:num="1"/>
          <w:docGrid w:linePitch="360" w:charSpace="0"/>
        </w:sect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219" w:name="_Toc263768866"/>
      <w:r>
        <w:rPr>
          <w:rFonts w:hint="eastAsia" w:ascii="宋体" w:hAnsi="宋体"/>
          <w:sz w:val="28"/>
          <w:lang w:val="zh-CN"/>
        </w:rPr>
        <w:t>特此证明。</w:t>
      </w:r>
      <w:bookmarkEnd w:id="219"/>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210"/>
    <w:bookmarkEnd w:id="211"/>
    <w:bookmarkEnd w:id="212"/>
    <w:bookmarkEnd w:id="213"/>
    <w:bookmarkEnd w:id="214"/>
    <w:bookmarkEnd w:id="215"/>
    <w:bookmarkEnd w:id="216"/>
    <w:bookmarkEnd w:id="217"/>
    <w:bookmarkEnd w:id="218"/>
    <w:p>
      <w:pPr>
        <w:keepNext/>
        <w:keepLines/>
        <w:numPr>
          <w:ilvl w:val="2"/>
          <w:numId w:val="5"/>
        </w:numPr>
        <w:spacing w:line="360" w:lineRule="auto"/>
        <w:ind w:left="3119" w:hanging="3119"/>
        <w:outlineLvl w:val="2"/>
        <w:rPr>
          <w:rFonts w:ascii="宋体" w:hAnsi="宋体"/>
          <w:b/>
          <w:bCs/>
          <w:sz w:val="28"/>
          <w:szCs w:val="28"/>
        </w:rPr>
        <w:sectPr>
          <w:pgSz w:w="11850" w:h="16783"/>
          <w:pgMar w:top="1440" w:right="1800" w:bottom="1440" w:left="1800" w:header="708" w:footer="708" w:gutter="0"/>
          <w:cols w:space="708" w:num="1"/>
          <w:docGrid w:linePitch="360" w:charSpace="0"/>
        </w:sectPr>
      </w:pPr>
      <w:bookmarkStart w:id="220" w:name="_Toc315871054"/>
      <w:bookmarkEnd w:id="220"/>
      <w:bookmarkStart w:id="221" w:name="_Toc302997926"/>
      <w:bookmarkStart w:id="222" w:name="_Toc220299393"/>
      <w:bookmarkStart w:id="223" w:name="_Toc263753605"/>
      <w:bookmarkStart w:id="224" w:name="_Toc263768870"/>
      <w:bookmarkStart w:id="225" w:name="_Toc217446083"/>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投标人基本情况表</w:t>
      </w:r>
      <w:bookmarkEnd w:id="221"/>
    </w:p>
    <w:tbl>
      <w:tblPr>
        <w:tblStyle w:val="4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u w:val="single"/>
        </w:rPr>
      </w:pPr>
    </w:p>
    <w:p>
      <w:pPr>
        <w:pStyle w:val="2"/>
        <w:rPr>
          <w:rFonts w:ascii="宋体" w:hAnsi="宋体"/>
          <w:bCs/>
          <w:sz w:val="28"/>
          <w:u w:val="single"/>
        </w:rPr>
      </w:pPr>
    </w:p>
    <w:p/>
    <w:bookmarkEnd w:id="222"/>
    <w:bookmarkEnd w:id="223"/>
    <w:bookmarkEnd w:id="224"/>
    <w:p>
      <w:pPr>
        <w:pStyle w:val="5"/>
        <w:tabs>
          <w:tab w:val="left" w:pos="709"/>
        </w:tabs>
        <w:ind w:left="709" w:hanging="709"/>
        <w:rPr>
          <w:b/>
          <w:bCs w:val="0"/>
        </w:rPr>
      </w:pPr>
      <w:bookmarkStart w:id="226" w:name="_Toc263753619"/>
      <w:bookmarkStart w:id="227" w:name="_Toc302997928"/>
      <w:bookmarkStart w:id="228" w:name="_Toc263768877"/>
      <w:r>
        <w:rPr>
          <w:rFonts w:hint="eastAsia"/>
          <w:b/>
          <w:bCs w:val="0"/>
        </w:rPr>
        <w:t>服务方案及服务承诺</w:t>
      </w:r>
    </w:p>
    <w:p>
      <w:pPr>
        <w:snapToGrid w:val="0"/>
        <w:spacing w:line="360" w:lineRule="auto"/>
        <w:ind w:right="-624" w:rightChars="-297"/>
        <w:rPr>
          <w:rFonts w:ascii="宋体" w:hAnsi="宋体"/>
          <w:b/>
          <w:sz w:val="28"/>
        </w:rPr>
      </w:pPr>
      <w:r>
        <w:rPr>
          <w:rFonts w:hint="eastAsia" w:ascii="宋体" w:hAnsi="宋体"/>
          <w:b/>
          <w:sz w:val="28"/>
        </w:rPr>
        <w:t>项目名称：</w:t>
      </w:r>
      <w:r>
        <w:rPr>
          <w:rFonts w:hint="eastAsia" w:ascii="宋体" w:hAnsi="宋体"/>
          <w:b/>
          <w:sz w:val="28"/>
          <w:u w:val="single"/>
          <w:lang w:eastAsia="zh-CN"/>
        </w:rPr>
        <w:t>成都市龙泉驿区汽车总站保安保洁外包服务采购项目</w:t>
      </w:r>
    </w:p>
    <w:p>
      <w:pPr>
        <w:snapToGrid w:val="0"/>
        <w:spacing w:line="360" w:lineRule="auto"/>
        <w:ind w:right="-624" w:rightChars="-297"/>
        <w:rPr>
          <w:rFonts w:hint="eastAsia" w:ascii="宋体" w:hAnsi="宋体" w:eastAsia="宋体"/>
          <w:lang w:eastAsia="zh-CN"/>
        </w:rPr>
      </w:pPr>
      <w:r>
        <w:rPr>
          <w:rFonts w:hint="eastAsia" w:ascii="宋体" w:hAnsi="宋体"/>
          <w:b/>
          <w:sz w:val="28"/>
        </w:rPr>
        <w:t>项目编号：</w:t>
      </w:r>
      <w:r>
        <w:rPr>
          <w:rFonts w:hint="eastAsia" w:ascii="宋体" w:hAnsi="宋体"/>
          <w:b/>
          <w:sz w:val="28"/>
          <w:szCs w:val="28"/>
          <w:u w:val="single"/>
          <w:lang w:eastAsia="zh-CN"/>
        </w:rPr>
        <w:t>龙泉驿政采（2021）A0050号</w:t>
      </w:r>
    </w:p>
    <w:p>
      <w:pPr>
        <w:spacing w:line="360" w:lineRule="auto"/>
        <w:rPr>
          <w:rFonts w:ascii="宋体" w:hAnsi="宋体"/>
          <w:b/>
          <w:sz w:val="28"/>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P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226"/>
      <w:bookmarkEnd w:id="227"/>
      <w:bookmarkEnd w:id="228"/>
    </w:p>
    <w:p>
      <w:pPr>
        <w:snapToGrid w:val="0"/>
        <w:spacing w:line="360" w:lineRule="auto"/>
        <w:ind w:right="-624" w:rightChars="-297"/>
        <w:rPr>
          <w:rFonts w:hint="eastAsia" w:ascii="宋体" w:hAnsi="宋体"/>
          <w:b/>
          <w:sz w:val="28"/>
          <w:szCs w:val="28"/>
          <w:u w:val="single"/>
          <w:lang w:eastAsia="zh-CN"/>
        </w:rPr>
      </w:pPr>
      <w:r>
        <w:rPr>
          <w:rFonts w:hint="eastAsia" w:ascii="宋体" w:hAnsi="宋体"/>
          <w:b/>
          <w:sz w:val="28"/>
        </w:rPr>
        <w:t>项目名称：</w:t>
      </w:r>
      <w:r>
        <w:rPr>
          <w:rFonts w:hint="eastAsia" w:ascii="宋体" w:hAnsi="宋体"/>
          <w:b/>
          <w:sz w:val="28"/>
          <w:szCs w:val="28"/>
          <w:u w:val="single"/>
          <w:lang w:eastAsia="zh-CN"/>
        </w:rPr>
        <w:t>成都市龙泉驿区汽车总站保安保洁外包服务采购项目</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项目编号：</w:t>
      </w:r>
      <w:r>
        <w:rPr>
          <w:rFonts w:hint="eastAsia" w:ascii="宋体" w:hAnsi="宋体"/>
          <w:b/>
          <w:sz w:val="28"/>
          <w:u w:val="single"/>
          <w:lang w:eastAsia="zh-CN"/>
        </w:rPr>
        <w:t>龙泉驿政采（2021）A0050号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tabs>
          <w:tab w:val="left" w:pos="720"/>
        </w:tabs>
        <w:spacing w:line="360" w:lineRule="auto"/>
        <w:ind w:firstLine="560" w:firstLineChars="200"/>
        <w:rPr>
          <w:rFonts w:ascii="宋体" w:hAnsi="宋体"/>
          <w:sz w:val="28"/>
        </w:rPr>
      </w:pPr>
      <w:r>
        <w:rPr>
          <w:rFonts w:hint="eastAsia" w:ascii="宋体" w:hAnsi="宋体"/>
          <w:sz w:val="28"/>
          <w:lang w:eastAsia="zh-CN"/>
        </w:rPr>
        <w:t>二</w:t>
      </w:r>
      <w:r>
        <w:rPr>
          <w:rFonts w:hint="eastAsia" w:ascii="宋体" w:hAnsi="宋体"/>
          <w:sz w:val="28"/>
        </w:rPr>
        <w:t>、售后服务承诺</w:t>
      </w:r>
    </w:p>
    <w:p>
      <w:pPr>
        <w:tabs>
          <w:tab w:val="left" w:pos="720"/>
        </w:tabs>
        <w:ind w:firstLine="560" w:firstLineChars="200"/>
        <w:rPr>
          <w:rFonts w:ascii="宋体" w:hAnsi="宋体"/>
          <w:sz w:val="28"/>
        </w:rPr>
      </w:pPr>
      <w:r>
        <w:rPr>
          <w:rFonts w:hint="eastAsia" w:ascii="宋体" w:hAnsi="宋体"/>
          <w:sz w:val="28"/>
          <w:lang w:eastAsia="zh-CN"/>
        </w:rPr>
        <w:t>三</w:t>
      </w:r>
      <w:r>
        <w:rPr>
          <w:rFonts w:hint="eastAsia" w:ascii="宋体" w:hAnsi="宋体"/>
          <w:sz w:val="28"/>
        </w:rPr>
        <w:t>、其他说明的内容</w:t>
      </w:r>
      <w:bookmarkEnd w:id="225"/>
      <w:bookmarkStart w:id="229"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pStyle w:val="2"/>
      </w:pPr>
    </w:p>
    <w:p>
      <w:pPr>
        <w:ind w:firstLine="565" w:firstLineChars="202"/>
        <w:rPr>
          <w:rFonts w:ascii="宋体" w:hAnsi="宋体"/>
          <w:bCs/>
          <w:sz w:val="28"/>
          <w:szCs w:val="28"/>
        </w:rPr>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lang w:eastAsia="zh-CN"/>
        </w:rPr>
        <w:t>成都市龙泉驿区汽车总站保安保洁外包服务采购项目</w:t>
      </w:r>
    </w:p>
    <w:p>
      <w:pPr>
        <w:snapToGrid w:val="0"/>
        <w:spacing w:line="360" w:lineRule="auto"/>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u w:val="single"/>
          <w:lang w:eastAsia="zh-CN"/>
        </w:rPr>
        <w:t>龙泉驿政采（2021）A0050号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sectPr>
          <w:pgSz w:w="11850" w:h="16783"/>
          <w:pgMar w:top="1440" w:right="1800" w:bottom="1440" w:left="1800" w:header="708" w:footer="708" w:gutter="0"/>
          <w:cols w:space="708" w:num="1"/>
          <w:docGrid w:linePitch="360" w:charSpace="0"/>
        </w:sect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hint="eastAsia" w:ascii="宋体" w:hAnsi="宋体"/>
          <w:b/>
          <w:sz w:val="28"/>
          <w:szCs w:val="28"/>
          <w:u w:val="single"/>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成都市龙泉驿区汽车总站保安保洁外包服务采购项目</w:t>
      </w:r>
    </w:p>
    <w:p>
      <w:pPr>
        <w:snapToGrid w:val="0"/>
        <w:spacing w:line="560" w:lineRule="exact"/>
        <w:rPr>
          <w:rFonts w:hint="eastAsia" w:ascii="宋体" w:hAnsi="宋体" w:eastAsia="宋体"/>
          <w:b/>
          <w:sz w:val="28"/>
          <w:szCs w:val="28"/>
          <w:lang w:eastAsia="zh-CN"/>
        </w:rPr>
      </w:pPr>
      <w:r>
        <w:rPr>
          <w:rFonts w:hint="eastAsia" w:ascii="宋体" w:hAnsi="宋体"/>
          <w:b/>
          <w:bCs w:val="0"/>
          <w:sz w:val="28"/>
          <w:szCs w:val="28"/>
          <w:u w:val="none"/>
          <w:lang w:eastAsia="zh-CN"/>
        </w:rPr>
        <w:t>项目</w:t>
      </w:r>
      <w:r>
        <w:rPr>
          <w:rFonts w:hint="eastAsia" w:ascii="宋体" w:hAnsi="宋体"/>
          <w:b/>
          <w:bCs w:val="0"/>
          <w:sz w:val="28"/>
          <w:szCs w:val="28"/>
          <w:u w:val="none"/>
        </w:rPr>
        <w:t>编号</w:t>
      </w:r>
      <w:r>
        <w:rPr>
          <w:rFonts w:hint="eastAsia" w:ascii="宋体" w:hAnsi="宋体"/>
          <w:b/>
          <w:sz w:val="28"/>
          <w:szCs w:val="28"/>
        </w:rPr>
        <w:t>：</w:t>
      </w:r>
      <w:r>
        <w:rPr>
          <w:rFonts w:hint="eastAsia" w:ascii="宋体" w:hAnsi="宋体"/>
          <w:b/>
          <w:sz w:val="28"/>
          <w:szCs w:val="28"/>
          <w:u w:val="single"/>
          <w:lang w:eastAsia="zh-CN"/>
        </w:rPr>
        <w:t>龙泉驿政采（2021）A0050号</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numPr>
          <w:ilvl w:val="0"/>
          <w:numId w:val="0"/>
        </w:numPr>
        <w:tabs>
          <w:tab w:val="left" w:pos="1134"/>
        </w:tabs>
        <w:snapToGrid w:val="0"/>
        <w:spacing w:before="60" w:after="200" w:line="560" w:lineRule="exact"/>
        <w:ind w:left="567" w:leftChars="0" w:right="210" w:rightChars="0"/>
        <w:rPr>
          <w:rFonts w:hint="default" w:ascii="宋体" w:hAnsi="宋体" w:eastAsia="宋体"/>
          <w:sz w:val="28"/>
          <w:szCs w:val="28"/>
          <w:lang w:val="en-US" w:eastAsia="zh-CN"/>
        </w:rPr>
      </w:pPr>
      <w:r>
        <w:rPr>
          <w:rFonts w:hint="eastAsia" w:ascii="宋体" w:hAnsi="宋体"/>
          <w:sz w:val="28"/>
          <w:szCs w:val="28"/>
          <w:lang w:val="en-US" w:eastAsia="zh-CN"/>
        </w:rPr>
        <w:t>Xxxx(供应商自行承诺)</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sectPr>
          <w:pgSz w:w="11850" w:h="16783"/>
          <w:pgMar w:top="1440" w:right="1800" w:bottom="1440" w:left="1800" w:header="708" w:footer="708" w:gutter="0"/>
          <w:cols w:space="708" w:num="1"/>
          <w:docGrid w:linePitch="360" w:charSpace="0"/>
        </w:sectPr>
      </w:pPr>
      <w:bookmarkStart w:id="230" w:name="_Toc74752333"/>
    </w:p>
    <w:p>
      <w:pPr>
        <w:keepNext/>
        <w:keepLines/>
        <w:numPr>
          <w:ilvl w:val="1"/>
          <w:numId w:val="5"/>
        </w:numPr>
        <w:spacing w:line="360" w:lineRule="auto"/>
        <w:jc w:val="left"/>
        <w:outlineLvl w:val="1"/>
        <w:rPr>
          <w:rFonts w:ascii="宋体" w:hAnsi="宋体"/>
          <w:b/>
          <w:bCs/>
          <w:sz w:val="28"/>
          <w:szCs w:val="28"/>
        </w:rPr>
      </w:pPr>
      <w:bookmarkStart w:id="231" w:name="_Toc22659_WPSOffice_Level2"/>
      <w:bookmarkStart w:id="232" w:name="_Toc16176_WPSOffice_Level2"/>
      <w:bookmarkStart w:id="233" w:name="_Toc32118_WPSOffice_Level2"/>
      <w:r>
        <w:rPr>
          <w:rFonts w:hint="eastAsia" w:ascii="宋体" w:hAnsi="宋体"/>
          <w:b/>
          <w:bCs/>
          <w:sz w:val="28"/>
          <w:szCs w:val="28"/>
        </w:rPr>
        <w:t>报价</w:t>
      </w:r>
      <w:r>
        <w:rPr>
          <w:rFonts w:ascii="宋体" w:hAnsi="宋体"/>
          <w:b/>
          <w:bCs/>
          <w:sz w:val="28"/>
          <w:szCs w:val="28"/>
        </w:rPr>
        <w:t>要求响应文件</w:t>
      </w:r>
      <w:bookmarkEnd w:id="230"/>
      <w:bookmarkEnd w:id="231"/>
      <w:bookmarkEnd w:id="232"/>
      <w:bookmarkEnd w:id="233"/>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ascii="宋体" w:hAnsi="宋体"/>
          <w:b/>
          <w:bCs/>
          <w:sz w:val="28"/>
          <w:szCs w:val="28"/>
        </w:rPr>
      </w:pPr>
      <w:r>
        <w:rPr>
          <w:rFonts w:hint="eastAsia" w:ascii="宋体" w:hAnsi="宋体"/>
          <w:b/>
          <w:bCs/>
          <w:sz w:val="28"/>
          <w:szCs w:val="28"/>
        </w:rPr>
        <w:t>标项1：</w:t>
      </w:r>
      <w:r>
        <w:rPr>
          <w:rFonts w:hint="eastAsia" w:ascii="宋体" w:hAnsi="宋体"/>
          <w:b/>
          <w:bCs/>
          <w:sz w:val="28"/>
          <w:szCs w:val="28"/>
          <w:lang w:eastAsia="zh-CN"/>
        </w:rPr>
        <w:t>成都市龙泉驿区汽车总站保安保洁外包服务采购项目</w:t>
      </w:r>
    </w:p>
    <w:tbl>
      <w:tblPr>
        <w:tblStyle w:val="47"/>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pStyle w:val="2"/>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6"/>
        <w:tblpPr w:leftFromText="180" w:rightFromText="180" w:vertAnchor="text" w:horzAnchor="margin" w:tblpY="1"/>
        <w:tblOverlap w:val="never"/>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1699"/>
        <w:gridCol w:w="1558"/>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标的</w:t>
            </w:r>
            <w:r>
              <w:rPr>
                <w:rFonts w:ascii="宋体" w:hAnsi="宋体"/>
                <w:b/>
                <w:szCs w:val="28"/>
              </w:rPr>
              <w:t>名称</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szCs w:val="28"/>
                <w:lang w:eastAsia="zh-CN"/>
              </w:rPr>
            </w:pPr>
            <w:r>
              <w:rPr>
                <w:rFonts w:hint="eastAsia" w:ascii="宋体" w:hAnsi="宋体"/>
                <w:b/>
                <w:szCs w:val="28"/>
                <w:lang w:eastAsia="zh-CN"/>
              </w:rPr>
              <w:t>服务供应商</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szCs w:val="28"/>
                <w:lang w:eastAsia="zh-CN"/>
              </w:rPr>
            </w:pPr>
            <w:r>
              <w:rPr>
                <w:rFonts w:hint="eastAsia" w:ascii="宋体" w:hAnsi="宋体"/>
                <w:b/>
                <w:szCs w:val="28"/>
              </w:rPr>
              <w:t>总</w:t>
            </w:r>
            <w:r>
              <w:rPr>
                <w:rFonts w:hint="eastAsia" w:ascii="宋体" w:hAnsi="宋体"/>
                <w:b/>
                <w:szCs w:val="28"/>
                <w:lang w:eastAsia="zh-CN"/>
              </w:rPr>
              <w:t>价（万元</w:t>
            </w:r>
            <w:r>
              <w:rPr>
                <w:rFonts w:hint="eastAsia" w:ascii="宋体" w:hAnsi="宋体"/>
                <w:b/>
                <w:szCs w:val="28"/>
                <w:lang w:val="en-US" w:eastAsia="zh-CN"/>
              </w:rPr>
              <w:t>/年</w:t>
            </w:r>
            <w:r>
              <w:rPr>
                <w:rFonts w:hint="eastAsia" w:ascii="宋体" w:hAnsi="宋体"/>
                <w:b/>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hint="eastAsia" w:ascii="宋体" w:hAnsi="宋体" w:eastAsia="宋体" w:cs="Times New Roman"/>
                <w:szCs w:val="28"/>
                <w:lang w:eastAsia="zh-CN"/>
              </w:rPr>
            </w:pPr>
            <w:r>
              <w:rPr>
                <w:rFonts w:hint="eastAsia" w:ascii="宋体" w:hAnsi="宋体" w:eastAsia="宋体" w:cs="Times New Roman"/>
                <w:szCs w:val="28"/>
                <w:lang w:eastAsia="zh-CN"/>
              </w:rPr>
              <w:t>服务费</w:t>
            </w: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8"/>
                <w:lang w:eastAsia="zh-CN"/>
              </w:rPr>
            </w:pPr>
            <w:r>
              <w:rPr>
                <w:rFonts w:hint="eastAsia" w:ascii="宋体" w:hAnsi="宋体"/>
                <w:szCs w:val="28"/>
                <w:lang w:eastAsia="zh-CN"/>
              </w:rPr>
              <w:t>万元</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hint="eastAsia" w:ascii="宋体" w:hAnsi="宋体" w:eastAsia="宋体" w:cs="Times New Roman"/>
                <w:szCs w:val="28"/>
                <w:lang w:eastAsia="zh-CN"/>
              </w:rPr>
            </w:pPr>
            <w:r>
              <w:rPr>
                <w:rFonts w:hint="eastAsia" w:ascii="宋体" w:hAnsi="宋体" w:eastAsia="宋体" w:cs="Times New Roman"/>
                <w:szCs w:val="28"/>
                <w:lang w:eastAsia="zh-CN"/>
              </w:rPr>
              <w:t>税费</w:t>
            </w: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8"/>
                <w:lang w:val="en-US" w:eastAsia="zh-CN"/>
              </w:rPr>
            </w:pPr>
            <w:r>
              <w:rPr>
                <w:rFonts w:hint="eastAsia" w:ascii="宋体" w:hAnsi="宋体"/>
                <w:szCs w:val="28"/>
                <w:lang w:val="en-US" w:eastAsia="zh-CN"/>
              </w:rPr>
              <w:t>万元</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hint="eastAsia" w:ascii="宋体" w:hAnsi="宋体" w:eastAsia="宋体" w:cs="Times New Roman"/>
                <w:szCs w:val="28"/>
                <w:lang w:eastAsia="zh-CN"/>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361" w:firstLineChars="150"/>
        <w:rPr>
          <w:rFonts w:ascii="宋体" w:hAnsi="宋体"/>
          <w:b/>
          <w:sz w:val="24"/>
          <w:szCs w:val="24"/>
        </w:rPr>
      </w:pPr>
      <w:r>
        <w:rPr>
          <w:rFonts w:hint="eastAsia" w:ascii="宋体" w:hAnsi="宋体"/>
          <w:b/>
          <w:sz w:val="24"/>
          <w:szCs w:val="24"/>
        </w:rPr>
        <w:t>报价应是包括磋商文件规定的全部响应内容的报价。</w:t>
      </w:r>
    </w:p>
    <w:p>
      <w:pPr>
        <w:keepNext/>
        <w:keepLines/>
        <w:numPr>
          <w:ilvl w:val="0"/>
          <w:numId w:val="0"/>
        </w:numPr>
        <w:spacing w:line="360" w:lineRule="auto"/>
        <w:ind w:leftChars="0"/>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bookmarkEnd w:id="229"/>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234" w:name="_Toc217446093"/>
      <w:bookmarkStart w:id="235" w:name="_Toc74752334"/>
      <w:bookmarkStart w:id="236" w:name="_Toc10619_WPSOffice_Level1"/>
      <w:bookmarkStart w:id="237" w:name="_Toc17317_WPSOffice_Level1"/>
      <w:bookmarkStart w:id="238" w:name="_Toc6034_WPSOffice_Level1"/>
      <w:bookmarkStart w:id="239" w:name="_Toc321382057"/>
      <w:bookmarkStart w:id="240" w:name="_Toc316292231"/>
      <w:r>
        <w:rPr>
          <w:rFonts w:hint="eastAsia" w:ascii="宋体" w:hAnsi="宋体"/>
          <w:b/>
          <w:bCs/>
          <w:spacing w:val="-20"/>
          <w:kern w:val="44"/>
          <w:sz w:val="32"/>
          <w:szCs w:val="32"/>
        </w:rPr>
        <w:t>招标项目技术、服务、商务及其他要求</w:t>
      </w:r>
      <w:bookmarkEnd w:id="234"/>
      <w:bookmarkEnd w:id="235"/>
      <w:bookmarkEnd w:id="236"/>
      <w:bookmarkEnd w:id="237"/>
      <w:bookmarkEnd w:id="238"/>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bookmarkStart w:id="241" w:name="_Toc6654_WPSOffice_Level2"/>
      <w:bookmarkStart w:id="242" w:name="_Toc29188_WPSOffice_Level2"/>
      <w:bookmarkStart w:id="243" w:name="_Toc25214_WPSOffice_Level2"/>
      <w:bookmarkStart w:id="244" w:name="_Toc74752335"/>
      <w:r>
        <w:rPr>
          <w:rFonts w:hint="eastAsia" w:ascii="宋体" w:hAnsi="宋体"/>
          <w:b/>
          <w:bCs/>
          <w:sz w:val="28"/>
          <w:szCs w:val="28"/>
        </w:rPr>
        <w:t>项目概况</w:t>
      </w:r>
      <w:bookmarkEnd w:id="241"/>
      <w:bookmarkEnd w:id="242"/>
      <w:bookmarkEnd w:id="243"/>
      <w:bookmarkEnd w:id="244"/>
    </w:p>
    <w:p>
      <w:pPr>
        <w:pStyle w:val="24"/>
        <w:snapToGrid w:val="0"/>
        <w:spacing w:line="300" w:lineRule="auto"/>
        <w:rPr>
          <w:rFonts w:hint="eastAsia" w:ascii="Calibri" w:hAnsi="Calibri" w:eastAsia="宋体" w:cs="Times New Roman"/>
          <w:kern w:val="2"/>
          <w:sz w:val="28"/>
          <w:szCs w:val="28"/>
          <w:lang w:val="en-US" w:eastAsia="zh-CN" w:bidi="ar-SA"/>
        </w:rPr>
      </w:pPr>
      <w:r>
        <w:rPr>
          <w:rFonts w:hint="eastAsia" w:ascii="宋体" w:hAnsi="宋体"/>
          <w:b/>
          <w:bCs/>
          <w:sz w:val="32"/>
          <w:szCs w:val="32"/>
          <w:lang w:val="en-US" w:eastAsia="zh-CN"/>
        </w:rPr>
        <w:t xml:space="preserve"> </w:t>
      </w:r>
      <w:r>
        <w:rPr>
          <w:rFonts w:hint="eastAsia" w:ascii="Calibri" w:hAnsi="Calibri" w:eastAsia="宋体" w:cs="Times New Roman"/>
          <w:kern w:val="2"/>
          <w:sz w:val="28"/>
          <w:szCs w:val="28"/>
          <w:lang w:val="en-US" w:eastAsia="zh-CN" w:bidi="ar-SA"/>
        </w:rPr>
        <w:t>项目名称：</w:t>
      </w:r>
      <w:r>
        <w:rPr>
          <w:rFonts w:hint="eastAsia" w:ascii="Calibri" w:hAnsi="Calibri" w:cs="Times New Roman"/>
          <w:kern w:val="2"/>
          <w:sz w:val="28"/>
          <w:szCs w:val="28"/>
          <w:lang w:val="en-US" w:eastAsia="zh-CN" w:bidi="ar-SA"/>
        </w:rPr>
        <w:t>成都市龙泉驿区汽车总站</w:t>
      </w:r>
      <w:r>
        <w:rPr>
          <w:rFonts w:hint="eastAsia" w:ascii="Calibri" w:hAnsi="Calibri" w:eastAsia="宋体" w:cs="Times New Roman"/>
          <w:kern w:val="2"/>
          <w:sz w:val="28"/>
          <w:szCs w:val="28"/>
          <w:lang w:val="en-US" w:eastAsia="zh-CN" w:bidi="ar-SA"/>
        </w:rPr>
        <w:t>物业采购项目</w:t>
      </w:r>
      <w:r>
        <w:rPr>
          <w:rFonts w:hint="eastAsia" w:ascii="Calibri" w:hAnsi="Calibri" w:cs="Times New Roman"/>
          <w:kern w:val="2"/>
          <w:sz w:val="28"/>
          <w:szCs w:val="28"/>
          <w:lang w:val="en-US" w:eastAsia="zh-CN" w:bidi="ar-SA"/>
        </w:rPr>
        <w:t>。</w:t>
      </w:r>
    </w:p>
    <w:p>
      <w:pPr>
        <w:pStyle w:val="2"/>
        <w:rPr>
          <w:rFonts w:hint="default" w:eastAsia="宋体"/>
          <w:lang w:val="en-US" w:eastAsia="zh-CN"/>
        </w:rPr>
      </w:pP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bookmarkStart w:id="245" w:name="_Toc26264_WPSOffice_Level2"/>
      <w:bookmarkStart w:id="246" w:name="_Toc2544_WPSOffice_Level2"/>
      <w:bookmarkStart w:id="247" w:name="_Toc20263_WPSOffice_Level2"/>
      <w:r>
        <w:rPr>
          <w:rFonts w:hint="eastAsia" w:ascii="宋体" w:hAnsi="宋体"/>
          <w:b/>
          <w:bCs/>
          <w:sz w:val="28"/>
          <w:szCs w:val="28"/>
          <w:lang w:eastAsia="zh-CN"/>
        </w:rPr>
        <w:t>服务地点</w:t>
      </w:r>
      <w:bookmarkEnd w:id="245"/>
      <w:bookmarkEnd w:id="246"/>
      <w:r>
        <w:rPr>
          <w:rFonts w:hint="eastAsia" w:ascii="宋体" w:hAnsi="宋体"/>
          <w:b/>
          <w:bCs/>
          <w:sz w:val="28"/>
          <w:szCs w:val="28"/>
          <w:lang w:eastAsia="zh-CN"/>
        </w:rPr>
        <w:t>及服务事项</w:t>
      </w:r>
      <w:bookmarkEnd w:id="247"/>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zh-CN" w:eastAsia="zh-CN" w:bidi="ar-SA"/>
        </w:rPr>
        <w:t>成都市龙泉驿区汽车总站位于成都市龙泉驿区驿都大道126号，承担龙泉驿区经济技术开发区旅客运输组织任务。为保证旅客安全便捷出行和整洁优美的站场环境，现面向社会购买安保、保洁、站务等服务项目。汽车总站按照考核细则，定期对服务单位工作情况进行考核，考核结果与服务费用挂钩。</w:t>
      </w:r>
    </w:p>
    <w:p>
      <w:pPr>
        <w:pStyle w:val="4"/>
        <w:tabs>
          <w:tab w:val="left" w:pos="426"/>
          <w:tab w:val="left" w:pos="567"/>
        </w:tabs>
        <w:spacing w:line="240" w:lineRule="auto"/>
        <w:ind w:left="2" w:leftChars="-95" w:hanging="201" w:firstLineChars="0"/>
        <w:rPr>
          <w:rFonts w:hint="eastAsia"/>
          <w:color w:val="000000"/>
          <w:sz w:val="28"/>
          <w:szCs w:val="28"/>
          <w:lang w:val="en-US" w:eastAsia="zh-CN"/>
        </w:rPr>
      </w:pPr>
      <w:r>
        <w:rPr>
          <w:rFonts w:hint="eastAsia"/>
          <w:color w:val="000000"/>
          <w:sz w:val="28"/>
          <w:szCs w:val="28"/>
          <w:lang w:val="en-US" w:eastAsia="zh-CN"/>
        </w:rPr>
        <w:t xml:space="preserve"> </w:t>
      </w:r>
      <w:bookmarkStart w:id="248" w:name="_Toc17808"/>
      <w:bookmarkStart w:id="249" w:name="_Toc25852_WPSOffice_Level2"/>
      <w:bookmarkStart w:id="250" w:name="_Toc32540_WPSOffice_Level2"/>
      <w:bookmarkStart w:id="251" w:name="_Toc28354_WPSOffice_Level2"/>
      <w:r>
        <w:rPr>
          <w:rFonts w:hint="eastAsia"/>
          <w:color w:val="000000"/>
          <w:sz w:val="28"/>
          <w:szCs w:val="28"/>
          <w:lang w:val="en-US" w:eastAsia="zh-CN"/>
        </w:rPr>
        <w:t>服务内容及要求</w:t>
      </w:r>
      <w:bookmarkEnd w:id="248"/>
      <w:bookmarkEnd w:id="249"/>
      <w:bookmarkEnd w:id="250"/>
      <w:bookmarkEnd w:id="251"/>
    </w:p>
    <w:p>
      <w:pPr>
        <w:rPr>
          <w:rFonts w:hint="eastAsia"/>
          <w:sz w:val="28"/>
          <w:szCs w:val="28"/>
          <w:lang w:val="en-US" w:eastAsia="zh-CN"/>
        </w:rPr>
      </w:pPr>
      <w:r>
        <w:rPr>
          <w:rFonts w:hint="eastAsia" w:cs="Helvetica"/>
          <w:b/>
          <w:bCs/>
          <w:color w:val="000000"/>
          <w:sz w:val="28"/>
          <w:szCs w:val="28"/>
          <w:lang w:eastAsia="zh-CN"/>
        </w:rPr>
        <w:t>一、</w:t>
      </w:r>
      <w:r>
        <w:rPr>
          <w:rFonts w:hint="eastAsia" w:cs="Helvetica"/>
          <w:b/>
          <w:bCs/>
          <w:color w:val="000000"/>
          <w:sz w:val="28"/>
          <w:szCs w:val="28"/>
        </w:rPr>
        <w:t>服务</w:t>
      </w:r>
      <w:r>
        <w:rPr>
          <w:rFonts w:hint="eastAsia" w:cs="Helvetica"/>
          <w:b/>
          <w:bCs/>
          <w:color w:val="000000"/>
          <w:sz w:val="28"/>
          <w:szCs w:val="28"/>
          <w:lang w:eastAsia="zh-CN"/>
        </w:rPr>
        <w:t>主要</w:t>
      </w:r>
      <w:r>
        <w:rPr>
          <w:rFonts w:hint="eastAsia" w:cs="Helvetica"/>
          <w:b/>
          <w:bCs/>
          <w:color w:val="000000"/>
          <w:sz w:val="28"/>
          <w:szCs w:val="28"/>
        </w:rPr>
        <w:t>内容</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hAnsi="Calibri" w:cs="Times New Roman"/>
          <w:color w:val="000000" w:themeColor="text1"/>
          <w:kern w:val="2"/>
          <w:sz w:val="28"/>
          <w:szCs w:val="28"/>
          <w:lang w:val="en-US" w:eastAsia="zh-CN" w:bidi="ar-SA"/>
        </w:rPr>
      </w:pPr>
      <w:r>
        <w:rPr>
          <w:rFonts w:hint="eastAsia" w:hAnsi="Calibri" w:cs="Times New Roman"/>
          <w:color w:val="000000" w:themeColor="text1"/>
          <w:kern w:val="2"/>
          <w:sz w:val="28"/>
          <w:szCs w:val="28"/>
          <w:lang w:val="en-US" w:eastAsia="zh-CN" w:bidi="ar-SA"/>
        </w:rPr>
        <w:t>（一）项目经理</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hAnsi="Calibri" w:cs="Times New Roman"/>
          <w:color w:val="000000" w:themeColor="text1"/>
          <w:kern w:val="2"/>
          <w:sz w:val="28"/>
          <w:szCs w:val="28"/>
          <w:lang w:val="en-US" w:eastAsia="zh-CN" w:bidi="ar-SA"/>
        </w:rPr>
      </w:pPr>
      <w:r>
        <w:rPr>
          <w:rFonts w:hint="eastAsia" w:hAnsi="Calibri" w:cs="Times New Roman"/>
          <w:color w:val="000000" w:themeColor="text1"/>
          <w:kern w:val="2"/>
          <w:sz w:val="28"/>
          <w:szCs w:val="28"/>
          <w:lang w:val="en-US" w:eastAsia="zh-CN" w:bidi="ar-SA"/>
        </w:rPr>
        <w:t>1、服务要求：服从总站监督管理，能及时协调解决总站各项需求。</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hAnsi="Calibri" w:cs="Times New Roman"/>
          <w:color w:val="000000" w:themeColor="text1"/>
          <w:kern w:val="2"/>
          <w:sz w:val="28"/>
          <w:szCs w:val="28"/>
          <w:lang w:val="en-US" w:eastAsia="zh-CN" w:bidi="ar-SA"/>
        </w:rPr>
      </w:pPr>
      <w:r>
        <w:rPr>
          <w:rFonts w:hint="eastAsia" w:hAnsi="Calibri" w:cs="Times New Roman"/>
          <w:b/>
          <w:bCs/>
          <w:color w:val="000000" w:themeColor="text1"/>
          <w:kern w:val="2"/>
          <w:sz w:val="28"/>
          <w:szCs w:val="28"/>
          <w:lang w:val="en-US" w:eastAsia="zh-CN" w:bidi="ar-SA"/>
        </w:rPr>
        <w:t>2、人员要求：1名。</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w:t>
      </w:r>
      <w:r>
        <w:rPr>
          <w:rFonts w:hint="eastAsia" w:hAnsi="Calibri" w:cs="Times New Roman"/>
          <w:color w:val="000000" w:themeColor="text1"/>
          <w:kern w:val="2"/>
          <w:sz w:val="28"/>
          <w:szCs w:val="28"/>
          <w:lang w:val="en-US" w:eastAsia="zh-CN" w:bidi="ar-SA"/>
        </w:rPr>
        <w:t>二</w:t>
      </w:r>
      <w:r>
        <w:rPr>
          <w:rFonts w:hint="default" w:hAnsi="Calibri" w:cs="Times New Roman"/>
          <w:color w:val="000000" w:themeColor="text1"/>
          <w:kern w:val="2"/>
          <w:sz w:val="28"/>
          <w:szCs w:val="28"/>
          <w:lang w:val="en-US" w:eastAsia="zh-CN" w:bidi="ar-SA"/>
        </w:rPr>
        <w:t>）安保服务</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1、服务内容：投标人为龙泉汽车总站提供安全保卫巡逻、车辆安检、行包检查、站场管理、夜间值守等安保服务。负责招标人指定区域的安全保卫工作，预防和制止侵害总站安全的行为发生。</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2、服务要求</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（1）基本要求：</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投标人按规定自行为安保人员配备安保器材（包括电警棍、警用橡胶棍、防暴盾、防暴钢叉、防暴棍等用品）。并统一着制式服装，精神饱满，仪表整洁端庄，标志佩戴齐全，站场管理、行包检查、夜间安全值守人员须持保安证；投标人指派的安保人员在总站服务期间，除接受投标人主管人员的领导，还应服从总站方的管理；总站属人员密集的公共场所，出现突发性或严重暴恐等事件的可能性较大，投标人在向总站提供安保人员的同时应有一定安保人员的储备（为数在100人以内），在发生突发或暴恐事件时，便于配合公安部门及总站方进行事件处置；安保人员须遵守汽车总站各项管理制度，在工作中不准擅离岗位，不做与工作无关的事，服务热情，用语文明，动作规范，耐心向旅客和群众解疑答惑。</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（2）安保人员岗位相对固定，总站可以根据工作需要，经双方协商一致后灵活调整安保人员岗位。</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（3）工作要求：</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投标人负责汽车总站治安和夜间安全保卫，协助总站做好行包检查、站场秩序、车辆安检、安全管理等工作。采取守护、巡逻等方式对站场各区域及重点岗位进行治安防范；维护总站的正常秩序，及时制止发生在总站的违法犯罪行为；按要求做好各项工作及记录，发现问题及时汇报，并落实防范措施，避免和最大限度减少给旅客生命财产和汽车总站造成不良后果；对站场发生的刑事、治安事件可采取一定的紧急措施，并及时向总站方或当地派出所报告；制定龙泉汽车总站突发事件的紧急处置预案，当遇突发事件或暴恐事件时，严格按照紧急处置预案流程快速、准确、有效处置突发情况；在总站发生突发或暴恐事件时，投标人应在20分钟内根据事件大小调集项目外备的保安人员赶往现场进行处置（一般情况需调派10人、重大突发事件需调派20—30人、特大暴恐事件需调配50人及其以上人员）。</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投标人派到行包检查、车辆安检、站场管理、夜间值守等岗位人员，必须按岗位工作职责和操作规程履行职责，接受股室及班组长管理，按要求认真完成各项工作及记录。总站发生突发或暴恐事件时，积极参与紧急处置。</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(4)主要工作职责</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行包检查：认真落实“逢包必检、逢液必查、逢疑必查”要求，防止“三品”进站上车。负责行包检查通道的秩序维护，引导指挥进站旅客按规定进行行包检查；根据监视器上受检物品形状、颜色，辨别可疑物品；开包查验可疑物品，妥善收缴处理危险物品。</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车辆安检：负责对参营车辆技术状况、随车安全设施、车辆及驾驶员证照进行检查，发现故障和安全隐患，防止不合格车辆及驾驶员投入营运。</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夜间值守：负责总站财产和停放车辆的守护。不定时巡逻，夜间关闭大门后清场检查，制止非工作人员在站内逗留，统计停放车辆数量，检查停放车辆安全情况，防止侵害总站财产安全的行为发生。</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站场管理：负责场内秩序和车辆管理。严格执行“三不进站”（无关人员不进站；无关车辆不进站；易燃、易爆、易腐蚀等危险物品不进站）规定，严禁行人、驾乘人员在场内随意行走、逗留、横穿，及时疏导旅客有序进出站；维护好场内营运及旅客乘车秩序；负责站前广场秩序管理（包括进站旅客、出租车、社会车辆、非机动车及三轮车指挥）；负责站内治安巡查及安全保卫工作。</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安全管理：负责巡查站内安全生产情况，纠正制止“违章指挥、违章作业、违反劳动纪律”行为；收集整理安全生产资料，分析总站安全生产情况；提出改进提高安全生产质量建议及措施。</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（5）人员要求及工作时间</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b/>
          <w:bCs/>
          <w:color w:val="000000" w:themeColor="text1"/>
          <w:kern w:val="2"/>
          <w:sz w:val="28"/>
          <w:szCs w:val="28"/>
          <w:lang w:val="en-US" w:eastAsia="zh-CN" w:bidi="ar-SA"/>
        </w:rPr>
      </w:pPr>
      <w:r>
        <w:rPr>
          <w:rFonts w:hint="default" w:hAnsi="Calibri" w:cs="Times New Roman"/>
          <w:b/>
          <w:bCs/>
          <w:color w:val="000000" w:themeColor="text1"/>
          <w:kern w:val="2"/>
          <w:sz w:val="28"/>
          <w:szCs w:val="28"/>
          <w:lang w:val="en-US" w:eastAsia="zh-CN" w:bidi="ar-SA"/>
        </w:rPr>
        <w:t>安保主管1名。</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b/>
          <w:bCs/>
          <w:color w:val="000000" w:themeColor="text1"/>
          <w:kern w:val="2"/>
          <w:sz w:val="28"/>
          <w:szCs w:val="28"/>
          <w:lang w:val="en-US" w:eastAsia="zh-CN" w:bidi="ar-SA"/>
        </w:rPr>
        <w:t>行包检查：岗位5个，需求人员15人。</w:t>
      </w:r>
      <w:r>
        <w:rPr>
          <w:rFonts w:hint="default" w:hAnsi="Calibri" w:cs="Times New Roman"/>
          <w:color w:val="000000" w:themeColor="text1"/>
          <w:kern w:val="2"/>
          <w:sz w:val="28"/>
          <w:szCs w:val="28"/>
          <w:lang w:val="en-US" w:eastAsia="zh-CN" w:bidi="ar-SA"/>
        </w:rPr>
        <w:t>女45岁以下身高1.58米以上、男50岁以下身高1.7米以上，身体健康、思想端正、语言表达清楚、有较强工作责任心、亲和力良好，高中及以上文化水平，具备敏锐观察力和突发事件处置能力，有危险品检查相关工作经验优先。工作时间6：00—20：00，三班倒。</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b/>
          <w:bCs/>
          <w:color w:val="000000" w:themeColor="text1"/>
          <w:kern w:val="2"/>
          <w:sz w:val="28"/>
          <w:szCs w:val="28"/>
          <w:lang w:val="en-US" w:eastAsia="zh-CN" w:bidi="ar-SA"/>
        </w:rPr>
        <w:t>车辆安检：岗位2个，需求人员2人。</w:t>
      </w:r>
      <w:r>
        <w:rPr>
          <w:rFonts w:hint="default" w:hAnsi="Calibri" w:cs="Times New Roman"/>
          <w:color w:val="000000" w:themeColor="text1"/>
          <w:kern w:val="2"/>
          <w:sz w:val="28"/>
          <w:szCs w:val="28"/>
          <w:lang w:val="en-US" w:eastAsia="zh-CN" w:bidi="ar-SA"/>
        </w:rPr>
        <w:t>限男性，30—50岁，身高1.65米以上，身体健康，不怕吃苦，具有高中以上文化，有驾驶执照，了解车辆结构，能熟练操作电脑，工作责任心强。工作时间6：00—21：00，三班倒。</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b/>
          <w:bCs/>
          <w:color w:val="000000" w:themeColor="text1"/>
          <w:kern w:val="2"/>
          <w:sz w:val="28"/>
          <w:szCs w:val="28"/>
          <w:lang w:val="en-US" w:eastAsia="zh-CN" w:bidi="ar-SA"/>
        </w:rPr>
        <w:t>夜间值守：岗位2个，需求人员2人。</w:t>
      </w:r>
      <w:r>
        <w:rPr>
          <w:rFonts w:hint="default" w:hAnsi="Calibri" w:cs="Times New Roman"/>
          <w:color w:val="000000" w:themeColor="text1"/>
          <w:kern w:val="2"/>
          <w:sz w:val="28"/>
          <w:szCs w:val="28"/>
          <w:lang w:val="en-US" w:eastAsia="zh-CN" w:bidi="ar-SA"/>
        </w:rPr>
        <w:t>限男性，45—55岁，身高1.65米以上，身体健康，工作责任心强，初中以上文化，有驾驶执照者优先。工作时间18：30—6：30。</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b/>
          <w:bCs/>
          <w:color w:val="000000" w:themeColor="text1"/>
          <w:kern w:val="2"/>
          <w:sz w:val="28"/>
          <w:szCs w:val="28"/>
          <w:lang w:val="en-US" w:eastAsia="zh-CN" w:bidi="ar-SA"/>
        </w:rPr>
        <w:t>站场管理：岗位2个，需求人员4人。</w:t>
      </w:r>
      <w:r>
        <w:rPr>
          <w:rFonts w:hint="default" w:hAnsi="Calibri" w:cs="Times New Roman"/>
          <w:color w:val="000000" w:themeColor="text1"/>
          <w:kern w:val="2"/>
          <w:sz w:val="28"/>
          <w:szCs w:val="28"/>
          <w:lang w:val="en-US" w:eastAsia="zh-CN" w:bidi="ar-SA"/>
        </w:rPr>
        <w:t>限男性，55岁以下，身高1.65米以上，初中及以上文化，身体健康、思想端正、语言表达清楚、具有敏锐观察力和突发事件处置能力、有良好服务和工作责任意识，有驾驶执照者优先。工作时间6：30—18：30，两班倒。</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w:t>
      </w:r>
      <w:r>
        <w:rPr>
          <w:rFonts w:hint="eastAsia" w:hAnsi="Calibri" w:cs="Times New Roman"/>
          <w:color w:val="000000" w:themeColor="text1"/>
          <w:kern w:val="2"/>
          <w:sz w:val="28"/>
          <w:szCs w:val="28"/>
          <w:lang w:val="en-US" w:eastAsia="zh-CN" w:bidi="ar-SA"/>
        </w:rPr>
        <w:t>三</w:t>
      </w:r>
      <w:r>
        <w:rPr>
          <w:rFonts w:hint="default" w:hAnsi="Calibri" w:cs="Times New Roman"/>
          <w:color w:val="000000" w:themeColor="text1"/>
          <w:kern w:val="2"/>
          <w:sz w:val="28"/>
          <w:szCs w:val="28"/>
          <w:lang w:val="en-US" w:eastAsia="zh-CN" w:bidi="ar-SA"/>
        </w:rPr>
        <w:t>）保洁服务</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1、服务内容：总站清扫保洁面积约14640㎡，包括站前广场、候车厅、车辆营运区、卫生间、绿化带以及相关区域、基础设施等清扫保洁工作（详见附件）。</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2、基本要求：</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（1）保洁人员岗位相对固定，总站可以根据工作需要，经双方协商一致后灵活调整保洁人员岗位。</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（2）统一着装，衣着规范整洁。</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3）地面整洁、无乱张贴、乱涂画，无明显污渍，无果皮、纸屑、烟头、塑料袋等垃圾。绿化带内无烟头、纸屑、塑料袋、瓜皮果核、宠物粪便、砖头、渣土。垃圾桶、果皮箱干净完好，无垃圾溢出，垃圾及时收运，无积存垃圾。</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4）卫生间地面干净整洁、便器清洁、无蝇蛆，立面无乱贴乱画、无蜘蛛网，通风良好、无明显臭味。桌柜整齐无杂物，门窗干净、墙无蛛网，设备干净。垃圾桶、果皮箱干净完好，无垃圾溢出，垃圾及时收运，无积存垃圾。卫生纸保证旅客正常使用。卫生间消毒每天不少于三次。</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（5）每周一次大扫除（包括地面、绿化带、排水沟、玻璃、候车厅墙面及顶棚）；卫生间便器、地面、墙面每周彻底冲洗擦拭一次。</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（6）清洁耗材（包括扫把、拖帕、撮箕、垃圾框、垃圾袋、卫生纸、洁厕精、洗洁精、消毒剂、洗手液、空气清新剂、手套、口罩、毛巾等所有用品）由投标人自行采购。</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（7）发现可燃物品须及时清除，防止留下火种存在安全隐患。</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（8）严禁焚烧垃圾、树叶等杂物。</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3、人员要求及工作时间</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b/>
          <w:bCs/>
          <w:color w:val="000000" w:themeColor="text1"/>
          <w:kern w:val="2"/>
          <w:sz w:val="28"/>
          <w:szCs w:val="28"/>
          <w:lang w:val="en-US" w:eastAsia="zh-CN" w:bidi="ar-SA"/>
        </w:rPr>
      </w:pPr>
      <w:r>
        <w:rPr>
          <w:rFonts w:hint="default" w:hAnsi="Calibri" w:cs="Times New Roman"/>
          <w:b/>
          <w:bCs/>
          <w:color w:val="000000" w:themeColor="text1"/>
          <w:kern w:val="2"/>
          <w:sz w:val="28"/>
          <w:szCs w:val="28"/>
          <w:lang w:val="en-US" w:eastAsia="zh-CN" w:bidi="ar-SA"/>
        </w:rPr>
        <w:t>保洁主管1名。</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b/>
          <w:bCs/>
          <w:color w:val="000000" w:themeColor="text1"/>
          <w:kern w:val="2"/>
          <w:sz w:val="28"/>
          <w:szCs w:val="28"/>
          <w:lang w:val="en-US" w:eastAsia="zh-CN" w:bidi="ar-SA"/>
        </w:rPr>
        <w:t>站场保洁：岗位6个，需求人员12人。</w:t>
      </w:r>
      <w:r>
        <w:rPr>
          <w:rFonts w:hint="default" w:hAnsi="Calibri" w:cs="Times New Roman"/>
          <w:color w:val="000000" w:themeColor="text1"/>
          <w:kern w:val="2"/>
          <w:sz w:val="28"/>
          <w:szCs w:val="28"/>
          <w:lang w:val="en-US" w:eastAsia="zh-CN" w:bidi="ar-SA"/>
        </w:rPr>
        <w:t>男女不限，男60岁以下、女50岁以下。服从安排，身体健康、思想端正、勤劳肯干。工作时间07：00—18：00，两班倒。</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b/>
          <w:bCs/>
          <w:color w:val="000000" w:themeColor="text1"/>
          <w:kern w:val="2"/>
          <w:sz w:val="28"/>
          <w:szCs w:val="28"/>
          <w:lang w:val="en-US" w:eastAsia="zh-CN" w:bidi="ar-SA"/>
        </w:rPr>
        <w:t>厕所保洁：岗位3个，需求人员4人。</w:t>
      </w:r>
      <w:r>
        <w:rPr>
          <w:rFonts w:hint="default" w:hAnsi="Calibri" w:cs="Times New Roman"/>
          <w:color w:val="000000" w:themeColor="text1"/>
          <w:kern w:val="2"/>
          <w:sz w:val="28"/>
          <w:szCs w:val="28"/>
          <w:lang w:val="en-US" w:eastAsia="zh-CN" w:bidi="ar-SA"/>
        </w:rPr>
        <w:t>男60岁以下、女50岁以下。服从安排，身体健康、思想端正、勤劳肯干。工作时间07：00—17：30，上3天休1天。</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w:t>
      </w:r>
      <w:r>
        <w:rPr>
          <w:rFonts w:hint="eastAsia" w:hAnsi="Calibri" w:cs="Times New Roman"/>
          <w:color w:val="000000" w:themeColor="text1"/>
          <w:kern w:val="2"/>
          <w:sz w:val="28"/>
          <w:szCs w:val="28"/>
          <w:lang w:val="en-US" w:eastAsia="zh-CN" w:bidi="ar-SA"/>
        </w:rPr>
        <w:t>四</w:t>
      </w:r>
      <w:r>
        <w:rPr>
          <w:rFonts w:hint="default" w:hAnsi="Calibri" w:cs="Times New Roman"/>
          <w:color w:val="000000" w:themeColor="text1"/>
          <w:kern w:val="2"/>
          <w:sz w:val="28"/>
          <w:szCs w:val="28"/>
          <w:lang w:val="en-US" w:eastAsia="zh-CN" w:bidi="ar-SA"/>
        </w:rPr>
        <w:t>）站务服务</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1、服务内容</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为旅客和进站车辆提供咨询、调度、广播、检票、小件快运、小件寄存、站场管理等服务以及出站检查、监控管理工作。</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2、服务要求</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（1）基本要求</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服从总站监督管理，统一着装佩证，精神饱满，仪表端庄，态度和蔼，用语文明，动作规范，服务热情耐心。各项工作记录填写真实完整。</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（2）主要工作职责</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调度（广播）：依据上级下达的安班通知，编制车辆调度计划，如实记录车辆应班及报（停）班情况。根据现场旅客流量和加班运力储备情况，合理调度车辆及时安全输送旅客。为旅客提供乘车安全、卫生、旅行常识广播等宣传，适时播报班车路况信息、线路、车次、售票、检票通知及变更通知，疏导旅客购票、托运行包和检票上车。</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咨询（快运、寄存）：为旅客提供购票、乘车、转换乘等交通出行咨询服务。收集旅客意见，受理旅客投诉。严格按“三个100%”（收寄验视100%、实名收寄100%、过机安检100%）规定办理小件快运和小件物品寄存手续。负责候车厅秩序管理。</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检票：负责检票口秩序管理，有序组织旅客乘车。按规定程序认真查验旅客所持客票的班次、线路、时刻、身份证件，严禁无当次客车车票及无关人员进入发车站台。</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站场管理：按程序指挥车辆进入站台应班，组织旅客有序上车。负责公路客运场地秩序和安全管理。</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监控：运用监控设备，监视站内各部位工作及安全生产，发现岗位人员缺失和履职不到位、安全生产异常和危险情况，及时报告领导、通知相关股室妥善处置。总站发生突发或紧急险情时，利用技术手段报告险情变化及处置状况，为领导决策提供依据。</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出站检查：严格执行“六不出站”（客车超载不出站；安全例检不合格车辆不出站；驾驶员资格不符不出站；客车证件不齐全不出站；出站登记表未经审核签字不出站；乘客、驾驶员未系安全带和驾驶员不作安全承诺不出站）规定，按操作规程认真对出站客车的安检、报班、载客（货）、安全带佩系、安全承诺、酒精检测等逐项进行检查。对出站车辆进行发车前安全告知，提醒驾驶员安全行车。</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color w:val="000000" w:themeColor="text1"/>
          <w:kern w:val="2"/>
          <w:sz w:val="28"/>
          <w:szCs w:val="28"/>
          <w:lang w:val="en-US" w:eastAsia="zh-CN" w:bidi="ar-SA"/>
        </w:rPr>
        <w:t>（3）人员要求及工作时间：</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b/>
          <w:bCs/>
          <w:color w:val="000000" w:themeColor="text1"/>
          <w:kern w:val="2"/>
          <w:sz w:val="28"/>
          <w:szCs w:val="28"/>
          <w:lang w:val="en-US" w:eastAsia="zh-CN" w:bidi="ar-SA"/>
        </w:rPr>
        <w:t>咨询岗位：岗位1个，需求人员2人。</w:t>
      </w:r>
      <w:r>
        <w:rPr>
          <w:rFonts w:hint="default" w:hAnsi="Calibri" w:cs="Times New Roman"/>
          <w:color w:val="000000" w:themeColor="text1"/>
          <w:kern w:val="2"/>
          <w:sz w:val="28"/>
          <w:szCs w:val="28"/>
          <w:lang w:val="en-US" w:eastAsia="zh-CN" w:bidi="ar-SA"/>
        </w:rPr>
        <w:t>限女性，25—35岁，身高1.6米以上，高中以上文化，身体健康、思想端正、语言表达清楚、能熟练使用普通话、有良好服务意识和工作责任意识，有客运服务工作经验及外语服务技能优先。工作时间06：30—18：30，两班倒。</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hAnsi="Calibri" w:cs="Times New Roman"/>
          <w:color w:val="000000" w:themeColor="text1"/>
          <w:kern w:val="2"/>
          <w:sz w:val="28"/>
          <w:szCs w:val="28"/>
          <w:lang w:val="en-US" w:eastAsia="zh-CN" w:bidi="ar-SA"/>
        </w:rPr>
      </w:pPr>
      <w:r>
        <w:rPr>
          <w:rFonts w:hint="default" w:hAnsi="Calibri" w:cs="Times New Roman"/>
          <w:b/>
          <w:bCs/>
          <w:color w:val="000000" w:themeColor="text1"/>
          <w:kern w:val="2"/>
          <w:sz w:val="28"/>
          <w:szCs w:val="28"/>
          <w:lang w:val="en-US" w:eastAsia="zh-CN" w:bidi="ar-SA"/>
        </w:rPr>
        <w:t>调度、广播、检票岗位：岗位3个，需求人员3人。</w:t>
      </w:r>
      <w:r>
        <w:rPr>
          <w:rFonts w:hint="default" w:hAnsi="Calibri" w:cs="Times New Roman"/>
          <w:color w:val="000000" w:themeColor="text1"/>
          <w:kern w:val="2"/>
          <w:sz w:val="28"/>
          <w:szCs w:val="28"/>
          <w:lang w:val="en-US" w:eastAsia="zh-CN" w:bidi="ar-SA"/>
        </w:rPr>
        <w:t>限女性，25—45岁，身高1.55米以上，初中及以上文化，身体健康、思想端正、语言表达清楚、能熟练使用普通话和电脑、有良好服务和工作责任意识。工作时间06：30—18：30，两班倒。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Helvetica"/>
          <w:b/>
          <w:bCs/>
          <w:color w:val="000000"/>
          <w:sz w:val="28"/>
          <w:szCs w:val="28"/>
          <w:lang w:val="en-US" w:eastAsia="zh-CN"/>
        </w:rPr>
      </w:pPr>
      <w:bookmarkStart w:id="252" w:name="_Toc529173741"/>
      <w:bookmarkStart w:id="253" w:name="_Toc533672602"/>
      <w:r>
        <w:rPr>
          <w:rFonts w:hint="eastAsia" w:cs="Helvetica"/>
          <w:b/>
          <w:bCs/>
          <w:color w:val="000000"/>
          <w:sz w:val="28"/>
          <w:szCs w:val="28"/>
          <w:lang w:val="en-US" w:eastAsia="zh-CN"/>
        </w:rPr>
        <w:t>二、服务主要项目清单</w:t>
      </w:r>
    </w:p>
    <w:tbl>
      <w:tblPr>
        <w:tblStyle w:val="46"/>
        <w:tblW w:w="8837" w:type="dxa"/>
        <w:jc w:val="center"/>
        <w:tblInd w:w="435" w:type="dxa"/>
        <w:tblLayout w:type="fixed"/>
        <w:tblCellMar>
          <w:top w:w="15" w:type="dxa"/>
          <w:left w:w="15" w:type="dxa"/>
          <w:bottom w:w="15" w:type="dxa"/>
          <w:right w:w="15" w:type="dxa"/>
        </w:tblCellMar>
      </w:tblPr>
      <w:tblGrid>
        <w:gridCol w:w="641"/>
        <w:gridCol w:w="996"/>
        <w:gridCol w:w="3136"/>
        <w:gridCol w:w="2482"/>
        <w:gridCol w:w="1582"/>
      </w:tblGrid>
      <w:tr>
        <w:tblPrEx>
          <w:tblLayout w:type="fixed"/>
          <w:tblCellMar>
            <w:top w:w="15" w:type="dxa"/>
            <w:left w:w="15" w:type="dxa"/>
            <w:bottom w:w="15" w:type="dxa"/>
            <w:right w:w="15" w:type="dxa"/>
          </w:tblCellMar>
        </w:tblPrEx>
        <w:trPr>
          <w:trHeight w:val="851" w:hRule="atLeast"/>
          <w:jc w:val="center"/>
        </w:trPr>
        <w:tc>
          <w:tcPr>
            <w:tcW w:w="641" w:type="dxa"/>
            <w:tcBorders>
              <w:top w:val="single" w:color="auto" w:sz="4" w:space="0"/>
              <w:left w:val="single" w:color="auto" w:sz="4" w:space="0"/>
              <w:bottom w:val="single" w:color="auto" w:sz="4" w:space="0"/>
            </w:tcBorders>
            <w:noWrap w:val="0"/>
            <w:vAlign w:val="center"/>
          </w:tcPr>
          <w:p>
            <w:pPr>
              <w:widowControl/>
              <w:jc w:val="center"/>
              <w:rPr>
                <w:rFonts w:hint="eastAsia" w:ascii="宋体" w:hAnsi="宋体"/>
                <w:sz w:val="24"/>
                <w:szCs w:val="24"/>
              </w:rPr>
            </w:pPr>
            <w:r>
              <w:rPr>
                <w:rFonts w:hint="eastAsia" w:ascii="宋体" w:hAnsi="宋体"/>
                <w:sz w:val="24"/>
                <w:szCs w:val="24"/>
              </w:rPr>
              <w:t>序号</w:t>
            </w:r>
          </w:p>
        </w:tc>
        <w:tc>
          <w:tcPr>
            <w:tcW w:w="99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类别</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基本情况</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服务要求</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sz w:val="24"/>
                <w:szCs w:val="24"/>
              </w:rPr>
            </w:pPr>
            <w:r>
              <w:rPr>
                <w:rFonts w:hint="eastAsia" w:ascii="宋体" w:hAnsi="宋体"/>
                <w:sz w:val="24"/>
                <w:szCs w:val="24"/>
              </w:rPr>
              <w:t>预计交付或维保时间</w:t>
            </w:r>
          </w:p>
        </w:tc>
      </w:tr>
      <w:tr>
        <w:tblPrEx>
          <w:tblLayout w:type="fixed"/>
          <w:tblCellMar>
            <w:top w:w="15" w:type="dxa"/>
            <w:left w:w="15" w:type="dxa"/>
            <w:bottom w:w="15" w:type="dxa"/>
            <w:right w:w="15" w:type="dxa"/>
          </w:tblCellMar>
        </w:tblPrEx>
        <w:trPr>
          <w:trHeight w:val="880" w:hRule="atLeast"/>
          <w:jc w:val="center"/>
        </w:trPr>
        <w:tc>
          <w:tcPr>
            <w:tcW w:w="641" w:type="dxa"/>
            <w:vMerge w:val="restart"/>
            <w:tcBorders>
              <w:top w:val="single" w:color="auto" w:sz="4" w:space="0"/>
              <w:left w:val="single" w:color="auto" w:sz="4" w:space="0"/>
            </w:tcBorders>
            <w:noWrap w:val="0"/>
            <w:vAlign w:val="center"/>
          </w:tcPr>
          <w:p>
            <w:pPr>
              <w:widowControl/>
              <w:jc w:val="center"/>
              <w:rPr>
                <w:rFonts w:hint="eastAsia" w:ascii="宋体" w:hAnsi="宋体"/>
                <w:sz w:val="24"/>
                <w:szCs w:val="24"/>
              </w:rPr>
            </w:pPr>
          </w:p>
          <w:p>
            <w:pPr>
              <w:widowControl/>
              <w:jc w:val="center"/>
              <w:rPr>
                <w:rFonts w:hint="eastAsia" w:ascii="宋体" w:hAnsi="宋体"/>
                <w:sz w:val="24"/>
                <w:szCs w:val="24"/>
              </w:rPr>
            </w:pPr>
            <w:r>
              <w:rPr>
                <w:rFonts w:hint="eastAsia" w:ascii="宋体" w:hAnsi="宋体"/>
                <w:sz w:val="24"/>
                <w:szCs w:val="24"/>
              </w:rPr>
              <w:t>1</w:t>
            </w:r>
          </w:p>
        </w:tc>
        <w:tc>
          <w:tcPr>
            <w:tcW w:w="996" w:type="dxa"/>
            <w:vMerge w:val="restart"/>
            <w:tcBorders>
              <w:top w:val="single" w:color="auto" w:sz="4" w:space="0"/>
              <w:left w:val="single" w:color="000000"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清扫</w:t>
            </w:r>
          </w:p>
          <w:p>
            <w:pPr>
              <w:widowControl/>
              <w:jc w:val="center"/>
              <w:rPr>
                <w:rFonts w:hint="eastAsia" w:ascii="宋体" w:hAnsi="宋体"/>
                <w:sz w:val="24"/>
                <w:szCs w:val="24"/>
              </w:rPr>
            </w:pPr>
            <w:r>
              <w:rPr>
                <w:rFonts w:hint="eastAsia" w:ascii="宋体" w:hAnsi="宋体"/>
                <w:sz w:val="24"/>
                <w:szCs w:val="24"/>
              </w:rPr>
              <w:t>保洁</w:t>
            </w:r>
          </w:p>
          <w:p>
            <w:pPr>
              <w:widowControl/>
              <w:jc w:val="center"/>
              <w:rPr>
                <w:rFonts w:hint="eastAsia" w:ascii="宋体" w:hAnsi="宋体"/>
                <w:sz w:val="24"/>
                <w:szCs w:val="24"/>
              </w:rPr>
            </w:pPr>
            <w:r>
              <w:rPr>
                <w:rFonts w:hint="eastAsia" w:ascii="宋体" w:hAnsi="宋体"/>
                <w:sz w:val="24"/>
                <w:szCs w:val="24"/>
              </w:rPr>
              <w:t>服务</w:t>
            </w:r>
          </w:p>
        </w:tc>
        <w:tc>
          <w:tcPr>
            <w:tcW w:w="313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1、地面清扫面积约13070㎡。(其中：站前广场2420㎡、公路客运发车区2100㎡、后场公交发车区4150㎡、巴士公交发车区2980㎡、出站通道1420㎡)</w:t>
            </w:r>
          </w:p>
        </w:tc>
        <w:tc>
          <w:tcPr>
            <w:tcW w:w="2482" w:type="dxa"/>
            <w:tcBorders>
              <w:top w:val="single" w:color="000000" w:sz="4" w:space="0"/>
              <w:left w:val="single" w:color="000000" w:sz="4" w:space="0"/>
              <w:bottom w:val="single" w:color="auto" w:sz="4" w:space="0"/>
              <w:right w:val="single" w:color="000000" w:sz="4" w:space="0"/>
            </w:tcBorders>
            <w:noWrap w:val="0"/>
            <w:vAlign w:val="top"/>
          </w:tcPr>
          <w:p>
            <w:pPr>
              <w:widowControl/>
              <w:jc w:val="center"/>
              <w:rPr>
                <w:rFonts w:hint="eastAsia" w:ascii="宋体" w:hAnsi="宋体"/>
                <w:sz w:val="24"/>
                <w:szCs w:val="24"/>
              </w:rPr>
            </w:pPr>
            <w:r>
              <w:rPr>
                <w:rFonts w:hint="eastAsia" w:ascii="宋体" w:hAnsi="宋体"/>
                <w:sz w:val="24"/>
                <w:szCs w:val="24"/>
              </w:rPr>
              <w:t>随脏随扫，每周一次大扫除。</w:t>
            </w:r>
          </w:p>
        </w:tc>
        <w:tc>
          <w:tcPr>
            <w:tcW w:w="1582" w:type="dxa"/>
            <w:vMerge w:val="restart"/>
            <w:tcBorders>
              <w:top w:val="single" w:color="000000" w:sz="4" w:space="0"/>
              <w:left w:val="single" w:color="000000" w:sz="4" w:space="0"/>
              <w:right w:val="single" w:color="000000" w:sz="4" w:space="0"/>
            </w:tcBorders>
            <w:noWrap w:val="0"/>
            <w:vAlign w:val="center"/>
          </w:tcPr>
          <w:p>
            <w:pPr>
              <w:widowControl/>
              <w:jc w:val="left"/>
              <w:rPr>
                <w:rFonts w:hint="eastAsia" w:ascii="宋体" w:hAnsi="宋体"/>
                <w:sz w:val="24"/>
                <w:szCs w:val="24"/>
              </w:rPr>
            </w:pPr>
            <w:r>
              <w:rPr>
                <w:rFonts w:hint="eastAsia" w:ascii="宋体" w:hAnsi="宋体"/>
                <w:sz w:val="24"/>
                <w:szCs w:val="24"/>
              </w:rPr>
              <w:t>以实际进场进行清扫保洁之日起，计算服务费用。</w:t>
            </w:r>
          </w:p>
        </w:tc>
      </w:tr>
      <w:tr>
        <w:tblPrEx>
          <w:tblLayout w:type="fixed"/>
          <w:tblCellMar>
            <w:top w:w="15" w:type="dxa"/>
            <w:left w:w="15" w:type="dxa"/>
            <w:bottom w:w="15" w:type="dxa"/>
            <w:right w:w="15" w:type="dxa"/>
          </w:tblCellMar>
        </w:tblPrEx>
        <w:trPr>
          <w:trHeight w:val="690" w:hRule="atLeast"/>
          <w:jc w:val="center"/>
        </w:trPr>
        <w:tc>
          <w:tcPr>
            <w:tcW w:w="641" w:type="dxa"/>
            <w:vMerge w:val="continue"/>
            <w:tcBorders>
              <w:left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2、候车厅面积约 1280㎡。（其中：地面面积约1000㎡，站台约200㎡，玻璃面积约80㎡）</w:t>
            </w:r>
          </w:p>
        </w:tc>
        <w:tc>
          <w:tcPr>
            <w:tcW w:w="2482" w:type="dxa"/>
            <w:tcBorders>
              <w:top w:val="single" w:color="auto" w:sz="4" w:space="0"/>
              <w:left w:val="single" w:color="000000" w:sz="4" w:space="0"/>
              <w:bottom w:val="single" w:color="auto" w:sz="4" w:space="0"/>
              <w:right w:val="single" w:color="000000" w:sz="4" w:space="0"/>
            </w:tcBorders>
            <w:noWrap w:val="0"/>
            <w:vAlign w:val="top"/>
          </w:tcPr>
          <w:p>
            <w:pPr>
              <w:widowControl/>
              <w:jc w:val="center"/>
              <w:rPr>
                <w:rFonts w:hint="eastAsia" w:ascii="宋体" w:hAnsi="宋体"/>
                <w:sz w:val="24"/>
                <w:szCs w:val="24"/>
              </w:rPr>
            </w:pPr>
            <w:r>
              <w:rPr>
                <w:rFonts w:hint="eastAsia" w:ascii="宋体" w:hAnsi="宋体"/>
                <w:sz w:val="24"/>
                <w:szCs w:val="24"/>
              </w:rPr>
              <w:t>地面随脏随扫，每天至少湿式清扫一次；厅内座椅、垃圾桶、标牌等设施确保无积尘、无污物；玻璃、墙面、顶棚每周大扫除一次。</w:t>
            </w:r>
          </w:p>
        </w:tc>
        <w:tc>
          <w:tcPr>
            <w:tcW w:w="1582" w:type="dxa"/>
            <w:vMerge w:val="continue"/>
            <w:tcBorders>
              <w:left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1568" w:hRule="atLeast"/>
          <w:jc w:val="center"/>
        </w:trPr>
        <w:tc>
          <w:tcPr>
            <w:tcW w:w="641" w:type="dxa"/>
            <w:vMerge w:val="continue"/>
            <w:tcBorders>
              <w:left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3、卫生间面积约170㎡。（其中候车厅卫生间约116㎡、后场卫生间约44㎡、办公楼卫生间约10㎡）。</w:t>
            </w:r>
          </w:p>
          <w:p>
            <w:pPr>
              <w:widowControl/>
              <w:jc w:val="center"/>
              <w:rPr>
                <w:rFonts w:hint="eastAsia" w:ascii="宋体" w:hAnsi="宋体"/>
                <w:sz w:val="24"/>
                <w:szCs w:val="24"/>
              </w:rPr>
            </w:pPr>
          </w:p>
        </w:tc>
        <w:tc>
          <w:tcPr>
            <w:tcW w:w="2482" w:type="dxa"/>
            <w:tcBorders>
              <w:top w:val="single" w:color="auto" w:sz="4" w:space="0"/>
              <w:left w:val="single" w:color="000000" w:sz="4" w:space="0"/>
              <w:bottom w:val="single" w:color="auto"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候车厅和后场卫生间随脏随扫，确保地面干净、无异味、便器清洁无垢、无垃圾溢出、墙面无积尘，一客一清扫，卫生纸及洗手液保证供应；办公楼卫生间每天清扫不少于两次。每周一次大扫除。</w:t>
            </w:r>
          </w:p>
        </w:tc>
        <w:tc>
          <w:tcPr>
            <w:tcW w:w="1582" w:type="dxa"/>
            <w:vMerge w:val="continue"/>
            <w:tcBorders>
              <w:left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630" w:hRule="atLeast"/>
          <w:jc w:val="center"/>
        </w:trPr>
        <w:tc>
          <w:tcPr>
            <w:tcW w:w="641" w:type="dxa"/>
            <w:vMerge w:val="continue"/>
            <w:tcBorders>
              <w:left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4、绿化带、排水沟保洁面积约120㎡</w:t>
            </w:r>
          </w:p>
        </w:tc>
        <w:tc>
          <w:tcPr>
            <w:tcW w:w="2482" w:type="dxa"/>
            <w:tcBorders>
              <w:top w:val="single" w:color="auto" w:sz="4" w:space="0"/>
              <w:left w:val="single" w:color="000000" w:sz="4" w:space="0"/>
              <w:bottom w:val="single" w:color="auto"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绿化带、排水沟内无烟头、纸屑、塑料袋、瓜皮果核、宠物粪便、砖头、渣土。每周大扫除一次。</w:t>
            </w:r>
          </w:p>
        </w:tc>
        <w:tc>
          <w:tcPr>
            <w:tcW w:w="1582" w:type="dxa"/>
            <w:vMerge w:val="continue"/>
            <w:tcBorders>
              <w:left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397" w:hRule="atLeast"/>
          <w:jc w:val="center"/>
        </w:trPr>
        <w:tc>
          <w:tcPr>
            <w:tcW w:w="641" w:type="dxa"/>
            <w:vMerge w:val="continue"/>
            <w:tcBorders>
              <w:left w:val="single" w:color="auto" w:sz="4" w:space="0"/>
              <w:bottom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5、办公用房、会议室玻璃窗户</w:t>
            </w:r>
          </w:p>
        </w:tc>
        <w:tc>
          <w:tcPr>
            <w:tcW w:w="2482" w:type="dxa"/>
            <w:tcBorders>
              <w:top w:val="single" w:color="auto" w:sz="4" w:space="0"/>
              <w:left w:val="single" w:color="000000" w:sz="4" w:space="0"/>
              <w:bottom w:val="single" w:color="000000"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每半年大扫除一次。</w:t>
            </w:r>
          </w:p>
        </w:tc>
        <w:tc>
          <w:tcPr>
            <w:tcW w:w="158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250" w:hRule="atLeast"/>
          <w:jc w:val="center"/>
        </w:trPr>
        <w:tc>
          <w:tcPr>
            <w:tcW w:w="6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szCs w:val="24"/>
              </w:rPr>
            </w:pPr>
            <w:r>
              <w:rPr>
                <w:rFonts w:hint="eastAsia" w:ascii="宋体" w:hAnsi="宋体"/>
                <w:sz w:val="24"/>
                <w:szCs w:val="24"/>
              </w:rPr>
              <w:t>2</w:t>
            </w:r>
          </w:p>
        </w:tc>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szCs w:val="24"/>
              </w:rPr>
            </w:pPr>
            <w:r>
              <w:rPr>
                <w:rFonts w:hint="eastAsia" w:ascii="宋体" w:hAnsi="宋体"/>
                <w:sz w:val="24"/>
                <w:szCs w:val="24"/>
              </w:rPr>
              <w:t>安保服务</w:t>
            </w:r>
          </w:p>
        </w:tc>
        <w:tc>
          <w:tcPr>
            <w:tcW w:w="31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szCs w:val="24"/>
              </w:rPr>
            </w:pPr>
            <w:r>
              <w:rPr>
                <w:rFonts w:hint="eastAsia" w:ascii="宋体" w:hAnsi="宋体"/>
                <w:sz w:val="24"/>
                <w:szCs w:val="24"/>
              </w:rPr>
              <w:t>1、安全保卫；</w:t>
            </w:r>
          </w:p>
        </w:tc>
        <w:tc>
          <w:tcPr>
            <w:tcW w:w="2482" w:type="dxa"/>
            <w:tcBorders>
              <w:top w:val="single" w:color="000000" w:sz="4" w:space="0"/>
              <w:left w:val="single" w:color="auto" w:sz="4" w:space="0"/>
              <w:bottom w:val="single" w:color="auto"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坚持不定时巡查，站内无治安事件发生。妥善处置突发紧急情况或暴恐事件。工作记录完整。</w:t>
            </w:r>
          </w:p>
        </w:tc>
        <w:tc>
          <w:tcPr>
            <w:tcW w:w="1582"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以实际进场开展服务之日起，计算服务费用。</w:t>
            </w:r>
          </w:p>
        </w:tc>
      </w:tr>
      <w:tr>
        <w:tblPrEx>
          <w:tblLayout w:type="fixed"/>
          <w:tblCellMar>
            <w:top w:w="15" w:type="dxa"/>
            <w:left w:w="15" w:type="dxa"/>
            <w:bottom w:w="15" w:type="dxa"/>
            <w:right w:w="15" w:type="dxa"/>
          </w:tblCellMar>
        </w:tblPrEx>
        <w:trPr>
          <w:trHeight w:val="360" w:hRule="atLeast"/>
          <w:jc w:val="center"/>
        </w:trPr>
        <w:tc>
          <w:tcPr>
            <w:tcW w:w="641" w:type="dxa"/>
            <w:vMerge w:val="continue"/>
            <w:tcBorders>
              <w:top w:val="single" w:color="auto" w:sz="4" w:space="0"/>
              <w:left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top w:val="single" w:color="auto" w:sz="4" w:space="0"/>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2、行包检查；</w:t>
            </w:r>
          </w:p>
        </w:tc>
        <w:tc>
          <w:tcPr>
            <w:tcW w:w="2482" w:type="dxa"/>
            <w:tcBorders>
              <w:top w:val="single" w:color="auto" w:sz="4" w:space="0"/>
              <w:left w:val="single" w:color="000000" w:sz="4" w:space="0"/>
              <w:bottom w:val="single" w:color="auto"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秩序良好，无行包漏检情况，无“易燃、易爆、易腐蚀”等危险品进站，妥善收缴处置违禁物品，检查记录完整。</w:t>
            </w:r>
          </w:p>
        </w:tc>
        <w:tc>
          <w:tcPr>
            <w:tcW w:w="1582" w:type="dxa"/>
            <w:vMerge w:val="continue"/>
            <w:tcBorders>
              <w:left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210" w:hRule="atLeast"/>
          <w:jc w:val="center"/>
        </w:trPr>
        <w:tc>
          <w:tcPr>
            <w:tcW w:w="641" w:type="dxa"/>
            <w:vMerge w:val="continue"/>
            <w:tcBorders>
              <w:left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3、站场管理；</w:t>
            </w:r>
          </w:p>
        </w:tc>
        <w:tc>
          <w:tcPr>
            <w:tcW w:w="2482" w:type="dxa"/>
            <w:tcBorders>
              <w:top w:val="single" w:color="auto" w:sz="4" w:space="0"/>
              <w:left w:val="single" w:color="000000" w:sz="4" w:space="0"/>
              <w:bottom w:val="single" w:color="auto"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秩序良好，无无关车辆进入，不发生旅客伤亡责任事故。</w:t>
            </w:r>
          </w:p>
        </w:tc>
        <w:tc>
          <w:tcPr>
            <w:tcW w:w="1582" w:type="dxa"/>
            <w:vMerge w:val="continue"/>
            <w:tcBorders>
              <w:left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280" w:hRule="atLeast"/>
          <w:jc w:val="center"/>
        </w:trPr>
        <w:tc>
          <w:tcPr>
            <w:tcW w:w="641" w:type="dxa"/>
            <w:vMerge w:val="continue"/>
            <w:tcBorders>
              <w:left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4、夜间值守；</w:t>
            </w:r>
          </w:p>
        </w:tc>
        <w:tc>
          <w:tcPr>
            <w:tcW w:w="2482" w:type="dxa"/>
            <w:tcBorders>
              <w:top w:val="single" w:color="auto" w:sz="4" w:space="0"/>
              <w:left w:val="single" w:color="000000" w:sz="4" w:space="0"/>
              <w:bottom w:val="single" w:color="auto"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值班人员不得睡觉，不定时巡查站内情况，巡查时间间隔不得超过60分钟，保证站内财产及停放车辆安全。</w:t>
            </w:r>
          </w:p>
        </w:tc>
        <w:tc>
          <w:tcPr>
            <w:tcW w:w="1582" w:type="dxa"/>
            <w:vMerge w:val="continue"/>
            <w:tcBorders>
              <w:left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1850" w:hRule="atLeast"/>
          <w:jc w:val="center"/>
        </w:trPr>
        <w:tc>
          <w:tcPr>
            <w:tcW w:w="641" w:type="dxa"/>
            <w:vMerge w:val="continue"/>
            <w:tcBorders>
              <w:left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5、安全管理；</w:t>
            </w:r>
          </w:p>
        </w:tc>
        <w:tc>
          <w:tcPr>
            <w:tcW w:w="2482" w:type="dxa"/>
            <w:tcBorders>
              <w:top w:val="single" w:color="auto" w:sz="4" w:space="0"/>
              <w:left w:val="single" w:color="000000" w:sz="4" w:space="0"/>
              <w:bottom w:val="single" w:color="auto"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坚持开展安全巡查，及时发现制止“三违”行为；资料收集完整，整理规范；分析安全生产状况，提出改进提高安全工作建议和措施。</w:t>
            </w:r>
          </w:p>
        </w:tc>
        <w:tc>
          <w:tcPr>
            <w:tcW w:w="1582" w:type="dxa"/>
            <w:vMerge w:val="continue"/>
            <w:tcBorders>
              <w:left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710" w:hRule="atLeast"/>
          <w:jc w:val="center"/>
        </w:trPr>
        <w:tc>
          <w:tcPr>
            <w:tcW w:w="641" w:type="dxa"/>
            <w:vMerge w:val="continue"/>
            <w:tcBorders>
              <w:left w:val="single" w:color="auto" w:sz="4" w:space="0"/>
              <w:bottom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6、车辆安检。</w:t>
            </w:r>
          </w:p>
        </w:tc>
        <w:tc>
          <w:tcPr>
            <w:tcW w:w="2482" w:type="dxa"/>
            <w:tcBorders>
              <w:top w:val="single" w:color="auto" w:sz="4" w:space="0"/>
              <w:left w:val="single" w:color="000000" w:sz="4" w:space="0"/>
              <w:bottom w:val="single" w:color="000000"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无漏检项目，无不合格车辆投入营运。检查记录真实完整。</w:t>
            </w:r>
          </w:p>
        </w:tc>
        <w:tc>
          <w:tcPr>
            <w:tcW w:w="158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320" w:hRule="atLeast"/>
          <w:jc w:val="center"/>
        </w:trPr>
        <w:tc>
          <w:tcPr>
            <w:tcW w:w="641" w:type="dxa"/>
            <w:vMerge w:val="restart"/>
            <w:tcBorders>
              <w:top w:val="single" w:color="auto" w:sz="4" w:space="0"/>
              <w:left w:val="single" w:color="auto" w:sz="4" w:space="0"/>
            </w:tcBorders>
            <w:noWrap w:val="0"/>
            <w:vAlign w:val="center"/>
          </w:tcPr>
          <w:p>
            <w:pPr>
              <w:widowControl/>
              <w:jc w:val="center"/>
              <w:rPr>
                <w:rFonts w:hint="eastAsia" w:ascii="宋体" w:hAnsi="宋体"/>
                <w:sz w:val="24"/>
                <w:szCs w:val="24"/>
              </w:rPr>
            </w:pPr>
            <w:r>
              <w:rPr>
                <w:rFonts w:hint="eastAsia" w:ascii="宋体" w:hAnsi="宋体"/>
                <w:sz w:val="24"/>
                <w:szCs w:val="24"/>
              </w:rPr>
              <w:t>3</w:t>
            </w:r>
          </w:p>
        </w:tc>
        <w:tc>
          <w:tcPr>
            <w:tcW w:w="996" w:type="dxa"/>
            <w:vMerge w:val="restart"/>
            <w:tcBorders>
              <w:top w:val="single" w:color="auto" w:sz="4" w:space="0"/>
              <w:left w:val="single" w:color="000000"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站务服务</w:t>
            </w:r>
          </w:p>
        </w:tc>
        <w:tc>
          <w:tcPr>
            <w:tcW w:w="313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1、站场管理;</w:t>
            </w:r>
          </w:p>
        </w:tc>
        <w:tc>
          <w:tcPr>
            <w:tcW w:w="2482" w:type="dxa"/>
            <w:tcBorders>
              <w:top w:val="single" w:color="000000" w:sz="4" w:space="0"/>
              <w:left w:val="single" w:color="000000" w:sz="4" w:space="0"/>
              <w:bottom w:val="single" w:color="auto"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严格“三不进站”管理，站台内无非应班车辆，场内无无关车辆，旅客上车秩序良好，公路客运营运场内秩序良好，不发生人员伤亡责任事故。</w:t>
            </w:r>
          </w:p>
        </w:tc>
        <w:tc>
          <w:tcPr>
            <w:tcW w:w="1582" w:type="dxa"/>
            <w:vMerge w:val="restart"/>
            <w:tcBorders>
              <w:top w:val="single" w:color="000000" w:sz="4" w:space="0"/>
              <w:left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236" w:hRule="atLeast"/>
          <w:jc w:val="center"/>
        </w:trPr>
        <w:tc>
          <w:tcPr>
            <w:tcW w:w="641" w:type="dxa"/>
            <w:vMerge w:val="continue"/>
            <w:tcBorders>
              <w:left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2、咨询（快运、寄存）；</w:t>
            </w:r>
          </w:p>
        </w:tc>
        <w:tc>
          <w:tcPr>
            <w:tcW w:w="2482" w:type="dxa"/>
            <w:tcBorders>
              <w:top w:val="single" w:color="auto" w:sz="4" w:space="0"/>
              <w:left w:val="single" w:color="000000" w:sz="4" w:space="0"/>
              <w:bottom w:val="single" w:color="auto"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用语文明，热情耐心，讲解详细。严格按“三个100%”规定办理快运和寄存手续，无漏运错运错取情况发生。候车厅秩序良好。</w:t>
            </w:r>
          </w:p>
        </w:tc>
        <w:tc>
          <w:tcPr>
            <w:tcW w:w="1582" w:type="dxa"/>
            <w:vMerge w:val="continue"/>
            <w:tcBorders>
              <w:left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300" w:hRule="atLeast"/>
          <w:jc w:val="center"/>
        </w:trPr>
        <w:tc>
          <w:tcPr>
            <w:tcW w:w="641" w:type="dxa"/>
            <w:vMerge w:val="continue"/>
            <w:tcBorders>
              <w:left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3、检票；</w:t>
            </w:r>
          </w:p>
        </w:tc>
        <w:tc>
          <w:tcPr>
            <w:tcW w:w="2482" w:type="dxa"/>
            <w:tcBorders>
              <w:top w:val="single" w:color="auto" w:sz="4" w:space="0"/>
              <w:left w:val="single" w:color="000000" w:sz="4" w:space="0"/>
              <w:bottom w:val="single" w:color="auto"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检票秩序良好，无非当次班车旅客和无关人员进入发车站台。</w:t>
            </w:r>
          </w:p>
        </w:tc>
        <w:tc>
          <w:tcPr>
            <w:tcW w:w="1582" w:type="dxa"/>
            <w:vMerge w:val="continue"/>
            <w:tcBorders>
              <w:left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390" w:hRule="atLeast"/>
          <w:jc w:val="center"/>
        </w:trPr>
        <w:tc>
          <w:tcPr>
            <w:tcW w:w="641" w:type="dxa"/>
            <w:vMerge w:val="continue"/>
            <w:tcBorders>
              <w:left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4、调度（广播）；</w:t>
            </w:r>
          </w:p>
        </w:tc>
        <w:tc>
          <w:tcPr>
            <w:tcW w:w="2482" w:type="dxa"/>
            <w:tcBorders>
              <w:top w:val="single" w:color="auto" w:sz="4" w:space="0"/>
              <w:left w:val="single" w:color="000000" w:sz="4" w:space="0"/>
              <w:bottom w:val="single" w:color="auto"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调度计划编制合理。广播内容丰富完整，班车路况信息及发车信息播报全面及时。</w:t>
            </w:r>
          </w:p>
        </w:tc>
        <w:tc>
          <w:tcPr>
            <w:tcW w:w="1582" w:type="dxa"/>
            <w:vMerge w:val="continue"/>
            <w:tcBorders>
              <w:left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270" w:hRule="atLeast"/>
          <w:jc w:val="center"/>
        </w:trPr>
        <w:tc>
          <w:tcPr>
            <w:tcW w:w="641" w:type="dxa"/>
            <w:vMerge w:val="continue"/>
            <w:tcBorders>
              <w:left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left w:val="single" w:color="000000"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5、监控；</w:t>
            </w:r>
          </w:p>
        </w:tc>
        <w:tc>
          <w:tcPr>
            <w:tcW w:w="2482" w:type="dxa"/>
            <w:tcBorders>
              <w:top w:val="single" w:color="auto" w:sz="4" w:space="0"/>
              <w:left w:val="single" w:color="000000" w:sz="4" w:space="0"/>
              <w:bottom w:val="single" w:color="auto"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运用技术手段不定时查看站内情况，及时发现报告安全隐患、服务纠纷、各岗位履职情况，监控记录完整。</w:t>
            </w:r>
          </w:p>
        </w:tc>
        <w:tc>
          <w:tcPr>
            <w:tcW w:w="1582" w:type="dxa"/>
            <w:vMerge w:val="continue"/>
            <w:tcBorders>
              <w:left w:val="single" w:color="000000" w:sz="4" w:space="0"/>
              <w:right w:val="single" w:color="000000" w:sz="4" w:space="0"/>
            </w:tcBorders>
            <w:noWrap w:val="0"/>
            <w:vAlign w:val="center"/>
          </w:tcPr>
          <w:p>
            <w:pPr>
              <w:widowControl/>
              <w:jc w:val="left"/>
              <w:rPr>
                <w:rFonts w:hint="eastAsia" w:ascii="宋体" w:hAnsi="宋体"/>
                <w:sz w:val="24"/>
                <w:szCs w:val="24"/>
              </w:rPr>
            </w:pPr>
          </w:p>
        </w:tc>
      </w:tr>
      <w:tr>
        <w:tblPrEx>
          <w:tblLayout w:type="fixed"/>
          <w:tblCellMar>
            <w:top w:w="15" w:type="dxa"/>
            <w:left w:w="15" w:type="dxa"/>
            <w:bottom w:w="15" w:type="dxa"/>
            <w:right w:w="15" w:type="dxa"/>
          </w:tblCellMar>
        </w:tblPrEx>
        <w:trPr>
          <w:trHeight w:val="314" w:hRule="atLeast"/>
          <w:jc w:val="center"/>
        </w:trPr>
        <w:tc>
          <w:tcPr>
            <w:tcW w:w="641" w:type="dxa"/>
            <w:vMerge w:val="continue"/>
            <w:tcBorders>
              <w:left w:val="single" w:color="auto" w:sz="4" w:space="0"/>
              <w:bottom w:val="single" w:color="auto" w:sz="4" w:space="0"/>
            </w:tcBorders>
            <w:noWrap w:val="0"/>
            <w:vAlign w:val="center"/>
          </w:tcPr>
          <w:p>
            <w:pPr>
              <w:widowControl/>
              <w:jc w:val="center"/>
              <w:rPr>
                <w:rFonts w:hint="eastAsia" w:ascii="宋体" w:hAnsi="宋体"/>
                <w:sz w:val="24"/>
                <w:szCs w:val="24"/>
              </w:rPr>
            </w:pPr>
          </w:p>
        </w:tc>
        <w:tc>
          <w:tcPr>
            <w:tcW w:w="996" w:type="dxa"/>
            <w:vMerge w:val="continue"/>
            <w:tcBorders>
              <w:left w:val="single" w:color="000000" w:sz="4" w:space="0"/>
              <w:bottom w:val="single" w:color="auto" w:sz="4" w:space="0"/>
              <w:right w:val="single" w:color="000000" w:sz="4" w:space="0"/>
            </w:tcBorders>
            <w:noWrap w:val="0"/>
            <w:vAlign w:val="center"/>
          </w:tcPr>
          <w:p>
            <w:pPr>
              <w:widowControl/>
              <w:jc w:val="center"/>
              <w:rPr>
                <w:rFonts w:hint="eastAsia" w:ascii="宋体" w:hAnsi="宋体"/>
                <w:sz w:val="24"/>
                <w:szCs w:val="24"/>
              </w:rPr>
            </w:pPr>
          </w:p>
        </w:tc>
        <w:tc>
          <w:tcPr>
            <w:tcW w:w="31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sz w:val="24"/>
                <w:szCs w:val="24"/>
              </w:rPr>
            </w:pPr>
            <w:r>
              <w:rPr>
                <w:rFonts w:hint="eastAsia" w:ascii="宋体" w:hAnsi="宋体"/>
                <w:sz w:val="24"/>
                <w:szCs w:val="24"/>
              </w:rPr>
              <w:t>6、出站检查</w:t>
            </w:r>
          </w:p>
        </w:tc>
        <w:tc>
          <w:tcPr>
            <w:tcW w:w="2482" w:type="dxa"/>
            <w:tcBorders>
              <w:top w:val="single" w:color="auto" w:sz="4" w:space="0"/>
              <w:left w:val="single" w:color="000000" w:sz="4" w:space="0"/>
              <w:bottom w:val="single" w:color="000000" w:sz="4" w:space="0"/>
              <w:right w:val="single" w:color="000000" w:sz="4" w:space="0"/>
            </w:tcBorders>
            <w:noWrap w:val="0"/>
            <w:vAlign w:val="top"/>
          </w:tcPr>
          <w:p>
            <w:pPr>
              <w:widowControl/>
              <w:jc w:val="left"/>
              <w:rPr>
                <w:rFonts w:hint="eastAsia" w:ascii="宋体" w:hAnsi="宋体"/>
                <w:sz w:val="24"/>
                <w:szCs w:val="24"/>
              </w:rPr>
            </w:pPr>
            <w:r>
              <w:rPr>
                <w:rFonts w:hint="eastAsia" w:ascii="宋体" w:hAnsi="宋体"/>
                <w:sz w:val="24"/>
                <w:szCs w:val="24"/>
              </w:rPr>
              <w:t>检查项目无漏项，检查记录完整，没有违反“六不出站”规定车辆发车出站。出站检查通道秩序良好。</w:t>
            </w:r>
          </w:p>
        </w:tc>
        <w:tc>
          <w:tcPr>
            <w:tcW w:w="158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sz w:val="24"/>
                <w:szCs w:val="24"/>
              </w:rPr>
            </w:pPr>
          </w:p>
        </w:tc>
      </w:tr>
    </w:tbl>
    <w:p>
      <w:pPr>
        <w:pStyle w:val="24"/>
        <w:snapToGrid w:val="0"/>
        <w:spacing w:line="300" w:lineRule="auto"/>
        <w:ind w:firstLine="480"/>
        <w:rPr>
          <w:rFonts w:hint="eastAsia" w:hAnsi="宋体" w:cs="宋体"/>
          <w:color w:val="000000" w:themeColor="text1"/>
          <w:kern w:val="0"/>
          <w:sz w:val="24"/>
          <w:szCs w:val="24"/>
        </w:rPr>
      </w:pPr>
    </w:p>
    <w:p>
      <w:pPr>
        <w:pStyle w:val="4"/>
        <w:bidi w:val="0"/>
        <w:rPr>
          <w:rFonts w:hint="eastAsia"/>
          <w:sz w:val="28"/>
          <w:szCs w:val="32"/>
          <w:lang w:val="en-US" w:eastAsia="zh-CN"/>
        </w:rPr>
      </w:pPr>
      <w:bookmarkStart w:id="254" w:name="_Toc3940_WPSOffice_Level2"/>
      <w:bookmarkStart w:id="255" w:name="_Toc29155_WPSOffice_Level2"/>
      <w:bookmarkStart w:id="256" w:name="_Toc26881_WPSOffice_Level2"/>
      <w:r>
        <w:rPr>
          <w:rFonts w:hint="eastAsia" w:hAnsi="Times New Roman"/>
          <w:b/>
          <w:color w:val="000000" w:themeColor="text1"/>
          <w:sz w:val="28"/>
          <w:szCs w:val="28"/>
          <w:lang w:eastAsia="zh-CN"/>
        </w:rPr>
        <w:t>考核</w:t>
      </w:r>
      <w:r>
        <w:rPr>
          <w:rFonts w:hint="eastAsia"/>
          <w:lang w:val="en-US" w:eastAsia="zh-CN"/>
        </w:rPr>
        <w:t>办法及标准：</w:t>
      </w:r>
      <w:bookmarkEnd w:id="254"/>
      <w:bookmarkEnd w:id="255"/>
      <w:bookmarkEnd w:id="256"/>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2"/>
        </w:rPr>
      </w:pPr>
      <w:r>
        <w:rPr>
          <w:rFonts w:hint="eastAsia"/>
          <w:sz w:val="28"/>
          <w:szCs w:val="32"/>
        </w:rPr>
        <w:t>1、汽车总站每月按照考核表（详见附件），对安保、站务及清扫保洁等日常项目进行考核。</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2"/>
        </w:rPr>
      </w:pPr>
      <w:r>
        <w:rPr>
          <w:rFonts w:hint="eastAsia"/>
          <w:sz w:val="28"/>
          <w:szCs w:val="32"/>
        </w:rPr>
        <w:t>2、考核项目含安保（100分）、站务服务（100分）、卫生保洁（100分）三大项，考核分值为3大项考核后分数平均值，总分300分，合格总分为270分；考核分值低于270分，每低一分扣当月合同金额的1%（如遇考核分数为非整数，就低取整）；低于240分，汽车总站可单方面拒付当月服务费用，连续两月低于240分，汽车总站可无条件解除合同，并由投标人赔偿由此所引起汽车总站所受损失相等金额，直至汽车总站按照政府相关程序招到新的服务商为止。</w:t>
      </w:r>
    </w:p>
    <w:p>
      <w:pPr>
        <w:rPr>
          <w:rFonts w:hint="eastAsia"/>
          <w:sz w:val="28"/>
          <w:szCs w:val="32"/>
        </w:rPr>
      </w:pPr>
    </w:p>
    <w:p>
      <w:pPr>
        <w:pStyle w:val="2"/>
        <w:jc w:val="center"/>
        <w:rPr>
          <w:rFonts w:hint="eastAsia" w:ascii="宋体" w:hAnsi="宋体" w:eastAsia="宋体" w:cs="宋体"/>
          <w:b/>
          <w:bCs/>
          <w:color w:val="0D0D0D"/>
          <w:kern w:val="0"/>
          <w:sz w:val="28"/>
          <w:szCs w:val="28"/>
          <w:lang w:val="en-US" w:eastAsia="zh-CN"/>
        </w:rPr>
      </w:pPr>
      <w:r>
        <w:rPr>
          <w:rFonts w:hint="eastAsia" w:ascii="宋体" w:hAnsi="宋体" w:eastAsia="宋体" w:cs="宋体"/>
          <w:b/>
          <w:bCs/>
          <w:color w:val="0D0D0D"/>
          <w:kern w:val="0"/>
          <w:sz w:val="28"/>
          <w:szCs w:val="28"/>
          <w:lang w:val="en-US" w:eastAsia="zh-CN"/>
        </w:rPr>
        <w:t>（一）清扫保洁服务标准及考核细则</w:t>
      </w:r>
    </w:p>
    <w:p>
      <w:pPr>
        <w:pStyle w:val="152"/>
        <w:rPr>
          <w:rFonts w:hint="eastAsia" w:ascii="宋体" w:hAnsi="宋体" w:eastAsia="宋体" w:cs="宋体"/>
          <w:b/>
          <w:bCs/>
          <w:color w:val="0D0D0D"/>
          <w:kern w:val="0"/>
          <w:sz w:val="24"/>
          <w:lang w:val="en-US" w:eastAsia="zh-CN"/>
        </w:rPr>
      </w:pPr>
    </w:p>
    <w:tbl>
      <w:tblPr>
        <w:tblStyle w:val="46"/>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900"/>
        <w:gridCol w:w="3240"/>
        <w:gridCol w:w="109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429" w:type="dxa"/>
            <w:noWrap w:val="0"/>
            <w:vAlign w:val="center"/>
          </w:tcPr>
          <w:p>
            <w:pPr>
              <w:widowControl/>
              <w:jc w:val="center"/>
              <w:rPr>
                <w:rFonts w:hint="eastAsia" w:ascii="宋体" w:hAnsi="宋体"/>
                <w:b/>
                <w:sz w:val="28"/>
                <w:szCs w:val="28"/>
              </w:rPr>
            </w:pPr>
            <w:r>
              <w:rPr>
                <w:rFonts w:hint="eastAsia" w:ascii="宋体" w:hAnsi="宋体"/>
                <w:b/>
                <w:sz w:val="28"/>
                <w:szCs w:val="28"/>
              </w:rPr>
              <w:t>服务项目</w:t>
            </w:r>
          </w:p>
        </w:tc>
        <w:tc>
          <w:tcPr>
            <w:tcW w:w="900" w:type="dxa"/>
            <w:noWrap w:val="0"/>
            <w:vAlign w:val="center"/>
          </w:tcPr>
          <w:p>
            <w:pPr>
              <w:widowControl/>
              <w:spacing w:line="300" w:lineRule="exact"/>
              <w:jc w:val="center"/>
              <w:rPr>
                <w:rFonts w:hint="eastAsia" w:ascii="宋体" w:hAnsi="宋体"/>
                <w:b/>
                <w:sz w:val="28"/>
                <w:szCs w:val="28"/>
              </w:rPr>
            </w:pPr>
            <w:r>
              <w:rPr>
                <w:rFonts w:hint="eastAsia" w:ascii="宋体" w:hAnsi="宋体"/>
                <w:b/>
                <w:sz w:val="28"/>
                <w:szCs w:val="28"/>
              </w:rPr>
              <w:t>项目</w:t>
            </w:r>
          </w:p>
          <w:p>
            <w:pPr>
              <w:widowControl/>
              <w:spacing w:line="300" w:lineRule="exact"/>
              <w:jc w:val="center"/>
              <w:rPr>
                <w:rFonts w:hint="eastAsia" w:ascii="宋体" w:hAnsi="宋体"/>
                <w:b/>
                <w:sz w:val="28"/>
                <w:szCs w:val="28"/>
              </w:rPr>
            </w:pPr>
            <w:r>
              <w:rPr>
                <w:rFonts w:hint="eastAsia" w:ascii="宋体" w:hAnsi="宋体"/>
                <w:b/>
                <w:sz w:val="28"/>
                <w:szCs w:val="28"/>
              </w:rPr>
              <w:t>分类</w:t>
            </w:r>
          </w:p>
        </w:tc>
        <w:tc>
          <w:tcPr>
            <w:tcW w:w="3240" w:type="dxa"/>
            <w:noWrap w:val="0"/>
            <w:vAlign w:val="center"/>
          </w:tcPr>
          <w:p>
            <w:pPr>
              <w:widowControl/>
              <w:jc w:val="center"/>
              <w:rPr>
                <w:rFonts w:hint="eastAsia" w:ascii="宋体" w:hAnsi="宋体"/>
                <w:b/>
                <w:sz w:val="28"/>
                <w:szCs w:val="28"/>
              </w:rPr>
            </w:pPr>
            <w:r>
              <w:rPr>
                <w:rFonts w:hint="eastAsia" w:ascii="宋体" w:hAnsi="宋体"/>
                <w:b/>
                <w:sz w:val="28"/>
                <w:szCs w:val="28"/>
              </w:rPr>
              <w:t>服务清单及标准</w:t>
            </w:r>
          </w:p>
        </w:tc>
        <w:tc>
          <w:tcPr>
            <w:tcW w:w="1094" w:type="dxa"/>
            <w:noWrap w:val="0"/>
            <w:vAlign w:val="center"/>
          </w:tcPr>
          <w:p>
            <w:pPr>
              <w:widowControl/>
              <w:jc w:val="center"/>
              <w:rPr>
                <w:rFonts w:hint="eastAsia" w:ascii="宋体" w:hAnsi="宋体"/>
                <w:b/>
                <w:sz w:val="28"/>
                <w:szCs w:val="28"/>
              </w:rPr>
            </w:pPr>
            <w:r>
              <w:rPr>
                <w:rFonts w:hint="eastAsia" w:ascii="宋体" w:hAnsi="宋体"/>
                <w:b/>
                <w:sz w:val="28"/>
                <w:szCs w:val="28"/>
              </w:rPr>
              <w:t>分值</w:t>
            </w:r>
          </w:p>
        </w:tc>
        <w:tc>
          <w:tcPr>
            <w:tcW w:w="3260" w:type="dxa"/>
            <w:noWrap w:val="0"/>
            <w:vAlign w:val="center"/>
          </w:tcPr>
          <w:p>
            <w:pPr>
              <w:widowControl/>
              <w:jc w:val="center"/>
              <w:rPr>
                <w:rFonts w:hint="eastAsia" w:ascii="宋体" w:hAnsi="宋体"/>
                <w:b/>
                <w:sz w:val="28"/>
                <w:szCs w:val="28"/>
              </w:rPr>
            </w:pPr>
            <w:r>
              <w:rPr>
                <w:rFonts w:hint="eastAsia" w:ascii="宋体" w:hAnsi="宋体"/>
                <w:b/>
                <w:sz w:val="28"/>
                <w:szCs w:val="28"/>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429" w:type="dxa"/>
            <w:vMerge w:val="restart"/>
            <w:noWrap w:val="0"/>
            <w:vAlign w:val="center"/>
          </w:tcPr>
          <w:p>
            <w:pPr>
              <w:widowControl/>
              <w:jc w:val="left"/>
              <w:rPr>
                <w:rFonts w:hint="eastAsia" w:ascii="宋体" w:hAnsi="宋体"/>
                <w:sz w:val="24"/>
                <w:szCs w:val="24"/>
              </w:rPr>
            </w:pPr>
            <w:r>
              <w:rPr>
                <w:rFonts w:hint="eastAsia" w:ascii="宋体" w:hAnsi="宋体"/>
                <w:sz w:val="24"/>
                <w:szCs w:val="24"/>
              </w:rPr>
              <w:t>清扫保洁（100分）</w:t>
            </w:r>
          </w:p>
        </w:tc>
        <w:tc>
          <w:tcPr>
            <w:tcW w:w="900" w:type="dxa"/>
            <w:vMerge w:val="restart"/>
            <w:noWrap w:val="0"/>
            <w:vAlign w:val="center"/>
          </w:tcPr>
          <w:p>
            <w:pPr>
              <w:widowControl/>
              <w:jc w:val="center"/>
              <w:rPr>
                <w:rFonts w:hint="eastAsia" w:ascii="宋体" w:hAnsi="宋体"/>
                <w:sz w:val="24"/>
                <w:szCs w:val="24"/>
              </w:rPr>
            </w:pPr>
            <w:r>
              <w:rPr>
                <w:rFonts w:hint="eastAsia" w:ascii="宋体" w:hAnsi="宋体"/>
                <w:sz w:val="24"/>
                <w:szCs w:val="24"/>
              </w:rPr>
              <w:t>保</w:t>
            </w:r>
          </w:p>
          <w:p>
            <w:pPr>
              <w:widowControl/>
              <w:jc w:val="center"/>
              <w:rPr>
                <w:rFonts w:hint="eastAsia" w:ascii="宋体" w:hAnsi="宋体"/>
                <w:sz w:val="24"/>
                <w:szCs w:val="24"/>
              </w:rPr>
            </w:pPr>
            <w:r>
              <w:rPr>
                <w:rFonts w:hint="eastAsia" w:ascii="宋体" w:hAnsi="宋体"/>
                <w:sz w:val="24"/>
                <w:szCs w:val="24"/>
              </w:rPr>
              <w:t>洁</w:t>
            </w:r>
          </w:p>
          <w:p>
            <w:pPr>
              <w:widowControl/>
              <w:jc w:val="center"/>
              <w:rPr>
                <w:rFonts w:hint="eastAsia" w:ascii="宋体" w:hAnsi="宋体"/>
                <w:sz w:val="24"/>
                <w:szCs w:val="24"/>
              </w:rPr>
            </w:pPr>
            <w:r>
              <w:rPr>
                <w:rFonts w:hint="eastAsia" w:ascii="宋体" w:hAnsi="宋体"/>
                <w:sz w:val="24"/>
                <w:szCs w:val="24"/>
              </w:rPr>
              <w:t>人</w:t>
            </w:r>
          </w:p>
          <w:p>
            <w:pPr>
              <w:widowControl/>
              <w:jc w:val="center"/>
              <w:rPr>
                <w:rFonts w:hint="eastAsia" w:ascii="宋体" w:hAnsi="宋体"/>
                <w:sz w:val="24"/>
                <w:szCs w:val="24"/>
              </w:rPr>
            </w:pPr>
            <w:r>
              <w:rPr>
                <w:rFonts w:hint="eastAsia" w:ascii="宋体" w:hAnsi="宋体"/>
                <w:sz w:val="24"/>
                <w:szCs w:val="24"/>
              </w:rPr>
              <w:t>员</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1.服从总站监督管理，按规定着装上岗；</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2</w:t>
            </w:r>
          </w:p>
        </w:tc>
        <w:tc>
          <w:tcPr>
            <w:tcW w:w="3260" w:type="dxa"/>
            <w:noWrap w:val="0"/>
            <w:vAlign w:val="center"/>
          </w:tcPr>
          <w:p>
            <w:pPr>
              <w:widowControl/>
              <w:jc w:val="left"/>
              <w:rPr>
                <w:rFonts w:hint="eastAsia" w:ascii="宋体" w:hAnsi="宋体"/>
                <w:sz w:val="24"/>
                <w:szCs w:val="24"/>
              </w:rPr>
            </w:pPr>
            <w:r>
              <w:rPr>
                <w:rFonts w:hint="eastAsia" w:ascii="宋体" w:hAnsi="宋体"/>
                <w:sz w:val="24"/>
                <w:szCs w:val="24"/>
              </w:rPr>
              <w:t>不服从总站监督管理，不按规定着装每人每次扣0.5分；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center"/>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2.无酒后上岗情况；</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2</w:t>
            </w:r>
          </w:p>
        </w:tc>
        <w:tc>
          <w:tcPr>
            <w:tcW w:w="3260" w:type="dxa"/>
            <w:noWrap w:val="0"/>
            <w:vAlign w:val="center"/>
          </w:tcPr>
          <w:p>
            <w:pPr>
              <w:widowControl/>
              <w:jc w:val="left"/>
              <w:rPr>
                <w:rFonts w:hint="eastAsia" w:ascii="宋体" w:hAnsi="宋体"/>
                <w:sz w:val="24"/>
                <w:szCs w:val="24"/>
              </w:rPr>
            </w:pPr>
            <w:r>
              <w:rPr>
                <w:rFonts w:hint="eastAsia" w:ascii="宋体" w:hAnsi="宋体"/>
                <w:sz w:val="24"/>
                <w:szCs w:val="24"/>
              </w:rPr>
              <w:t>保洁人员酒后上岗每人每次扣1分；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center"/>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3.岗位保洁人员，无空缺，无扎堆聊天；</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10</w:t>
            </w:r>
          </w:p>
        </w:tc>
        <w:tc>
          <w:tcPr>
            <w:tcW w:w="3260" w:type="dxa"/>
            <w:noWrap w:val="0"/>
            <w:vAlign w:val="center"/>
          </w:tcPr>
          <w:p>
            <w:pPr>
              <w:widowControl/>
              <w:jc w:val="left"/>
              <w:rPr>
                <w:rFonts w:hint="eastAsia" w:ascii="宋体" w:hAnsi="宋体"/>
                <w:sz w:val="24"/>
                <w:szCs w:val="24"/>
              </w:rPr>
            </w:pPr>
            <w:r>
              <w:rPr>
                <w:rFonts w:hint="eastAsia" w:ascii="宋体" w:hAnsi="宋体"/>
                <w:sz w:val="24"/>
                <w:szCs w:val="24"/>
              </w:rPr>
              <w:t>清扫保洁空缺现象的，每次扣2分；扎堆聊天每次每人扣1分；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center"/>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4.发现公共设施、设备等损坏，及时上报相关管理人员；</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2</w:t>
            </w:r>
          </w:p>
        </w:tc>
        <w:tc>
          <w:tcPr>
            <w:tcW w:w="3260" w:type="dxa"/>
            <w:noWrap w:val="0"/>
            <w:vAlign w:val="center"/>
          </w:tcPr>
          <w:p>
            <w:pPr>
              <w:widowControl/>
              <w:jc w:val="left"/>
              <w:rPr>
                <w:rFonts w:hint="eastAsia" w:ascii="宋体" w:hAnsi="宋体"/>
                <w:sz w:val="24"/>
                <w:szCs w:val="24"/>
              </w:rPr>
            </w:pPr>
            <w:r>
              <w:rPr>
                <w:rFonts w:hint="eastAsia" w:ascii="宋体" w:hAnsi="宋体"/>
                <w:sz w:val="24"/>
                <w:szCs w:val="24"/>
              </w:rPr>
              <w:t>未及时上报，造成影响的每次扣2分；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center"/>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5.不能在总站堆放垃圾，不能私自带走公用物品；</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2</w:t>
            </w:r>
          </w:p>
        </w:tc>
        <w:tc>
          <w:tcPr>
            <w:tcW w:w="3260" w:type="dxa"/>
            <w:noWrap w:val="0"/>
            <w:vAlign w:val="center"/>
          </w:tcPr>
          <w:p>
            <w:pPr>
              <w:widowControl/>
              <w:jc w:val="left"/>
              <w:rPr>
                <w:rFonts w:hint="eastAsia" w:ascii="宋体" w:hAnsi="宋体"/>
                <w:sz w:val="24"/>
                <w:szCs w:val="24"/>
              </w:rPr>
            </w:pPr>
            <w:r>
              <w:rPr>
                <w:rFonts w:hint="eastAsia" w:ascii="宋体" w:hAnsi="宋体"/>
                <w:sz w:val="24"/>
                <w:szCs w:val="24"/>
              </w:rPr>
              <w:t>在总站随意堆放垃圾、放置环卫工具、车辆的扣1分；私自带走公用物品扣2分；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center"/>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6.配合文明指数测评、城乡综合环境整治、“厕所革命”等相关检查；</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10</w:t>
            </w:r>
          </w:p>
        </w:tc>
        <w:tc>
          <w:tcPr>
            <w:tcW w:w="3260" w:type="dxa"/>
            <w:noWrap w:val="0"/>
            <w:vAlign w:val="center"/>
          </w:tcPr>
          <w:p>
            <w:pPr>
              <w:widowControl/>
              <w:jc w:val="left"/>
              <w:rPr>
                <w:rFonts w:hint="eastAsia" w:ascii="宋体" w:hAnsi="宋体"/>
                <w:sz w:val="24"/>
                <w:szCs w:val="24"/>
              </w:rPr>
            </w:pPr>
            <w:r>
              <w:rPr>
                <w:rFonts w:hint="eastAsia" w:ascii="宋体" w:hAnsi="宋体"/>
                <w:sz w:val="24"/>
                <w:szCs w:val="24"/>
              </w:rPr>
              <w:t>不积极配合检查每次扣2分，因保洁质量影响检查，造成总站被相关部门通报的每次扣3分、被处罚的每次扣5分；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center"/>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7.保洁工作时需要放置、撤离警示牌放置；</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2</w:t>
            </w:r>
          </w:p>
        </w:tc>
        <w:tc>
          <w:tcPr>
            <w:tcW w:w="3260" w:type="dxa"/>
            <w:noWrap w:val="0"/>
            <w:vAlign w:val="center"/>
          </w:tcPr>
          <w:p>
            <w:pPr>
              <w:widowControl/>
              <w:jc w:val="left"/>
              <w:rPr>
                <w:rFonts w:hint="eastAsia" w:ascii="宋体" w:hAnsi="宋体"/>
                <w:sz w:val="24"/>
                <w:szCs w:val="24"/>
              </w:rPr>
            </w:pPr>
            <w:r>
              <w:rPr>
                <w:rFonts w:hint="eastAsia" w:ascii="宋体" w:hAnsi="宋体"/>
                <w:sz w:val="24"/>
                <w:szCs w:val="24"/>
              </w:rPr>
              <w:t>未正确放置警示牌每次扣1分；导致人员伤害的</w:t>
            </w:r>
            <w:r>
              <w:rPr>
                <w:rFonts w:hint="eastAsia" w:ascii="宋体" w:hAnsi="宋体"/>
                <w:sz w:val="24"/>
                <w:szCs w:val="24"/>
                <w:lang w:eastAsia="zh-CN"/>
              </w:rPr>
              <w:t>投标人</w:t>
            </w:r>
            <w:r>
              <w:rPr>
                <w:rFonts w:hint="eastAsia" w:ascii="宋体" w:hAnsi="宋体"/>
                <w:sz w:val="24"/>
                <w:szCs w:val="24"/>
              </w:rPr>
              <w:t>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center"/>
              <w:rPr>
                <w:rFonts w:hint="eastAsia" w:ascii="宋体" w:hAnsi="宋体"/>
                <w:sz w:val="24"/>
                <w:szCs w:val="24"/>
              </w:rPr>
            </w:pPr>
            <w:r>
              <w:rPr>
                <w:rFonts w:hint="eastAsia" w:ascii="宋体" w:hAnsi="宋体"/>
                <w:sz w:val="24"/>
                <w:szCs w:val="24"/>
              </w:rPr>
              <w:t>地面</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站房内公共区域地面干净整洁，无堆积物、果皮、纸屑、烟蒂、痰迹、污渍、积尘、积土、积水，无人畜粪便；</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20</w:t>
            </w:r>
          </w:p>
        </w:tc>
        <w:tc>
          <w:tcPr>
            <w:tcW w:w="3260" w:type="dxa"/>
            <w:noWrap w:val="0"/>
            <w:vAlign w:val="top"/>
          </w:tcPr>
          <w:p>
            <w:pPr>
              <w:widowControl/>
              <w:rPr>
                <w:rFonts w:hint="eastAsia" w:ascii="宋体" w:hAnsi="宋体"/>
                <w:sz w:val="24"/>
                <w:szCs w:val="24"/>
              </w:rPr>
            </w:pPr>
            <w:r>
              <w:rPr>
                <w:rFonts w:hint="eastAsia" w:ascii="宋体" w:hAnsi="宋体"/>
                <w:sz w:val="24"/>
                <w:szCs w:val="24"/>
              </w:rPr>
              <w:t>有堆积物、果皮、纸屑、烟蒂、痰迹、污渍、积尘、积土、积水、人畜粪便等每处扣0.5分；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center"/>
              <w:rPr>
                <w:rFonts w:hint="eastAsia" w:ascii="宋体" w:hAnsi="宋体"/>
                <w:sz w:val="24"/>
                <w:szCs w:val="24"/>
              </w:rPr>
            </w:pPr>
            <w:r>
              <w:rPr>
                <w:rFonts w:hint="eastAsia" w:ascii="宋体" w:hAnsi="宋体"/>
                <w:sz w:val="24"/>
                <w:szCs w:val="24"/>
              </w:rPr>
              <w:t>绿</w:t>
            </w:r>
            <w:r>
              <w:rPr>
                <w:rFonts w:hint="eastAsia" w:ascii="宋体" w:hAnsi="宋体"/>
                <w:sz w:val="24"/>
                <w:szCs w:val="24"/>
                <w:lang w:eastAsia="zh-CN"/>
              </w:rPr>
              <w:t>化</w:t>
            </w:r>
            <w:r>
              <w:rPr>
                <w:rFonts w:hint="eastAsia" w:ascii="宋体" w:hAnsi="宋体"/>
                <w:sz w:val="24"/>
                <w:szCs w:val="24"/>
              </w:rPr>
              <w:t>带</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绿化带、排水沟内无烟头、纸屑、塑料袋、瓜皮果核、宠物粪便、砖头、渣土。每周大扫除一次。</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5</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有烟头、纸屑、塑料袋、瓜皮果核、宠物粪便、砖头、渣土，每处每次扣0.5分。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center"/>
              <w:rPr>
                <w:rFonts w:hint="eastAsia" w:ascii="宋体" w:hAnsi="宋体"/>
                <w:sz w:val="24"/>
                <w:szCs w:val="24"/>
              </w:rPr>
            </w:pPr>
            <w:r>
              <w:rPr>
                <w:rFonts w:hint="eastAsia" w:ascii="宋体" w:hAnsi="宋体"/>
                <w:sz w:val="24"/>
                <w:szCs w:val="24"/>
              </w:rPr>
              <w:t>墙面</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墙面内外（3米以下），无污渍、蜘蛛网，无乱涂画、乱张贴；</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3</w:t>
            </w:r>
          </w:p>
        </w:tc>
        <w:tc>
          <w:tcPr>
            <w:tcW w:w="3260" w:type="dxa"/>
            <w:noWrap w:val="0"/>
            <w:vAlign w:val="center"/>
          </w:tcPr>
          <w:p>
            <w:pPr>
              <w:widowControl/>
              <w:jc w:val="left"/>
              <w:rPr>
                <w:rFonts w:hint="eastAsia" w:ascii="宋体" w:hAnsi="宋体"/>
                <w:sz w:val="24"/>
                <w:szCs w:val="24"/>
              </w:rPr>
            </w:pPr>
            <w:r>
              <w:rPr>
                <w:rFonts w:hint="eastAsia" w:ascii="宋体" w:hAnsi="宋体"/>
                <w:sz w:val="24"/>
                <w:szCs w:val="24"/>
              </w:rPr>
              <w:t>墙面、天花板有水渍、污渍、蜘蛛网的每次扣0.5分；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center"/>
              <w:rPr>
                <w:rFonts w:hint="eastAsia" w:ascii="宋体" w:hAnsi="宋体"/>
                <w:sz w:val="24"/>
                <w:szCs w:val="24"/>
              </w:rPr>
            </w:pPr>
            <w:r>
              <w:rPr>
                <w:rFonts w:hint="eastAsia" w:ascii="宋体" w:hAnsi="宋体"/>
                <w:sz w:val="24"/>
                <w:szCs w:val="24"/>
              </w:rPr>
              <w:t>座椅</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候车厅座椅干净整洁，无果皮、纸屑等杂物、灰尘、污渍；</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4</w:t>
            </w:r>
          </w:p>
        </w:tc>
        <w:tc>
          <w:tcPr>
            <w:tcW w:w="3260" w:type="dxa"/>
            <w:noWrap w:val="0"/>
            <w:vAlign w:val="center"/>
          </w:tcPr>
          <w:p>
            <w:pPr>
              <w:widowControl/>
              <w:jc w:val="left"/>
              <w:rPr>
                <w:rFonts w:hint="eastAsia" w:ascii="宋体" w:hAnsi="宋体"/>
                <w:sz w:val="24"/>
                <w:szCs w:val="24"/>
              </w:rPr>
            </w:pPr>
            <w:r>
              <w:rPr>
                <w:rFonts w:hint="eastAsia" w:ascii="宋体" w:hAnsi="宋体"/>
                <w:sz w:val="24"/>
                <w:szCs w:val="24"/>
              </w:rPr>
              <w:t>候车厅座椅上有果皮纸屑不及时处理的每处扣0.5分；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center"/>
              <w:rPr>
                <w:rFonts w:hint="eastAsia" w:ascii="宋体" w:hAnsi="宋体"/>
                <w:sz w:val="24"/>
                <w:szCs w:val="24"/>
              </w:rPr>
            </w:pPr>
            <w:r>
              <w:rPr>
                <w:rFonts w:hint="eastAsia" w:ascii="宋体" w:hAnsi="宋体"/>
                <w:sz w:val="24"/>
                <w:szCs w:val="24"/>
              </w:rPr>
              <w:t>门窗</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玻璃墙、门窗无胶质、污渍、水渍、灰尘，无乱涂画、乱张贴、蜘蛛网；</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5</w:t>
            </w:r>
          </w:p>
        </w:tc>
        <w:tc>
          <w:tcPr>
            <w:tcW w:w="3260" w:type="dxa"/>
            <w:noWrap w:val="0"/>
            <w:vAlign w:val="center"/>
          </w:tcPr>
          <w:p>
            <w:pPr>
              <w:widowControl/>
              <w:jc w:val="left"/>
              <w:rPr>
                <w:rFonts w:hint="eastAsia" w:ascii="宋体" w:hAnsi="宋体"/>
                <w:sz w:val="24"/>
                <w:szCs w:val="24"/>
              </w:rPr>
            </w:pPr>
            <w:r>
              <w:rPr>
                <w:rFonts w:hint="eastAsia" w:ascii="宋体" w:hAnsi="宋体"/>
                <w:sz w:val="24"/>
                <w:szCs w:val="24"/>
              </w:rPr>
              <w:t>玻璃门窗模糊不清，门框和窗框目视有污渍和蜘蛛网的，每次扣0.5分；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center"/>
              <w:rPr>
                <w:rFonts w:hint="eastAsia" w:ascii="宋体" w:hAnsi="宋体"/>
                <w:sz w:val="24"/>
                <w:szCs w:val="24"/>
              </w:rPr>
            </w:pPr>
            <w:r>
              <w:rPr>
                <w:rFonts w:hint="eastAsia" w:ascii="宋体" w:hAnsi="宋体"/>
                <w:sz w:val="24"/>
                <w:szCs w:val="24"/>
              </w:rPr>
              <w:t>设施设备</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公共设施消防器材、栏杆、饮水机、取票机、显示屏、宣传栏、公告牌、标志牌、等干净整洁，无灰尘、杂物、污渍、无乱涂画、乱张贴、蜘蛛网；</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8</w:t>
            </w:r>
          </w:p>
        </w:tc>
        <w:tc>
          <w:tcPr>
            <w:tcW w:w="3260" w:type="dxa"/>
            <w:noWrap w:val="0"/>
            <w:vAlign w:val="center"/>
          </w:tcPr>
          <w:p>
            <w:pPr>
              <w:widowControl/>
              <w:jc w:val="left"/>
              <w:rPr>
                <w:rFonts w:hint="eastAsia" w:ascii="宋体" w:hAnsi="宋体"/>
                <w:sz w:val="24"/>
                <w:szCs w:val="24"/>
              </w:rPr>
            </w:pPr>
            <w:r>
              <w:rPr>
                <w:rFonts w:hint="eastAsia" w:ascii="宋体" w:hAnsi="宋体"/>
                <w:sz w:val="24"/>
                <w:szCs w:val="24"/>
              </w:rPr>
              <w:t>公共设施有灰尘和杂物、乱涂画、乱张贴、蜘蛛网等每处扣0.5分；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3" w:hRule="atLeast"/>
        </w:trPr>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center"/>
              <w:rPr>
                <w:rFonts w:hint="eastAsia" w:ascii="宋体" w:hAnsi="宋体"/>
                <w:sz w:val="24"/>
                <w:szCs w:val="24"/>
              </w:rPr>
            </w:pPr>
            <w:r>
              <w:rPr>
                <w:rFonts w:hint="eastAsia" w:ascii="宋体" w:hAnsi="宋体"/>
                <w:sz w:val="24"/>
                <w:szCs w:val="24"/>
              </w:rPr>
              <w:t>卫生间</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1.地面、墙面、天花板、门窗玻璃、隔断围板、坐便器、蹲便位、小便器干净整洁，无乱涂画、乱张贴，无蝇蛆、积垢、尿迹，无残留粪便、积尘、积水、污渍、痰迹、烟蒂、纸屑垃圾等，无蜘蛛网，室内无异味、臭味。镜面、洗手池台面干净整洁；检查卫生间水龙头、烘手器、水箱等设施的完好，发现损坏及时报修。按要求对厕纸及洗手液进行更换管理；</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20</w:t>
            </w:r>
          </w:p>
        </w:tc>
        <w:tc>
          <w:tcPr>
            <w:tcW w:w="3260" w:type="dxa"/>
            <w:noWrap w:val="0"/>
            <w:vAlign w:val="center"/>
          </w:tcPr>
          <w:p>
            <w:pPr>
              <w:widowControl/>
              <w:jc w:val="left"/>
              <w:rPr>
                <w:rFonts w:hint="eastAsia" w:ascii="宋体" w:hAnsi="宋体"/>
                <w:sz w:val="24"/>
                <w:szCs w:val="24"/>
              </w:rPr>
            </w:pPr>
            <w:r>
              <w:rPr>
                <w:rFonts w:hint="eastAsia" w:ascii="宋体" w:hAnsi="宋体"/>
                <w:sz w:val="24"/>
                <w:szCs w:val="24"/>
              </w:rPr>
              <w:t>卫生用品有黄渍、残留粪便，地面15分钟内未清扫，卫生间有异味，臭味，杂物的，每处扣1分；卫生间水龙头、烘手器、水箱等设施发现损坏未及时报修每次扣1分；有污渍、水渍扣0.5分。未按要求对厕纸及洗手液进行更换管理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center"/>
              <w:rPr>
                <w:rFonts w:hint="eastAsia" w:ascii="宋体" w:hAnsi="宋体"/>
                <w:sz w:val="24"/>
                <w:szCs w:val="24"/>
              </w:rPr>
            </w:pPr>
            <w:r>
              <w:rPr>
                <w:rFonts w:hint="eastAsia" w:ascii="宋体" w:hAnsi="宋体"/>
                <w:sz w:val="24"/>
                <w:szCs w:val="24"/>
              </w:rPr>
              <w:t>垃圾桶</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1.垃圾桶表面光洁干净，周边无垃圾、污水，无明显异味，无溢出物；垃圾桶垃圾每天清理2-3次，确保垃圾不超过垃圾桶的2/3；</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5</w:t>
            </w:r>
          </w:p>
        </w:tc>
        <w:tc>
          <w:tcPr>
            <w:tcW w:w="3260" w:type="dxa"/>
            <w:noWrap w:val="0"/>
            <w:vAlign w:val="center"/>
          </w:tcPr>
          <w:p>
            <w:pPr>
              <w:widowControl/>
              <w:jc w:val="left"/>
              <w:rPr>
                <w:rFonts w:hint="eastAsia" w:ascii="宋体" w:hAnsi="宋体"/>
                <w:sz w:val="24"/>
                <w:szCs w:val="24"/>
              </w:rPr>
            </w:pPr>
            <w:r>
              <w:rPr>
                <w:rFonts w:hint="eastAsia" w:ascii="宋体" w:hAnsi="宋体"/>
                <w:sz w:val="24"/>
                <w:szCs w:val="24"/>
              </w:rPr>
              <w:t>垃圾桶和垃圾箱的垃圾不及时处理干净的，每次扣0.5分；超过2/3，每处扣0.5分；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1429" w:type="dxa"/>
            <w:noWrap w:val="0"/>
            <w:vAlign w:val="center"/>
          </w:tcPr>
          <w:p>
            <w:pPr>
              <w:widowControl/>
              <w:jc w:val="center"/>
              <w:rPr>
                <w:rFonts w:hint="eastAsia" w:ascii="宋体" w:hAnsi="宋体"/>
                <w:sz w:val="24"/>
                <w:szCs w:val="24"/>
              </w:rPr>
            </w:pPr>
            <w:r>
              <w:rPr>
                <w:rFonts w:hint="eastAsia" w:ascii="宋体" w:hAnsi="宋体"/>
                <w:sz w:val="24"/>
                <w:szCs w:val="24"/>
              </w:rPr>
              <w:t>小计</w:t>
            </w:r>
          </w:p>
        </w:tc>
        <w:tc>
          <w:tcPr>
            <w:tcW w:w="900" w:type="dxa"/>
            <w:noWrap w:val="0"/>
            <w:vAlign w:val="center"/>
          </w:tcPr>
          <w:p>
            <w:pPr>
              <w:widowControl/>
              <w:jc w:val="center"/>
              <w:rPr>
                <w:rFonts w:hint="eastAsia" w:ascii="宋体" w:hAnsi="宋体"/>
                <w:sz w:val="24"/>
                <w:szCs w:val="24"/>
              </w:rPr>
            </w:pPr>
          </w:p>
        </w:tc>
        <w:tc>
          <w:tcPr>
            <w:tcW w:w="3240" w:type="dxa"/>
            <w:noWrap w:val="0"/>
            <w:vAlign w:val="center"/>
          </w:tcPr>
          <w:p>
            <w:pPr>
              <w:widowControl/>
              <w:jc w:val="center"/>
              <w:rPr>
                <w:rFonts w:hint="eastAsia" w:ascii="宋体" w:hAnsi="宋体"/>
                <w:sz w:val="24"/>
                <w:szCs w:val="24"/>
              </w:rPr>
            </w:pP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100</w:t>
            </w:r>
          </w:p>
        </w:tc>
        <w:tc>
          <w:tcPr>
            <w:tcW w:w="3260" w:type="dxa"/>
            <w:noWrap w:val="0"/>
            <w:vAlign w:val="center"/>
          </w:tcPr>
          <w:p>
            <w:pPr>
              <w:widowControl/>
              <w:jc w:val="center"/>
              <w:rPr>
                <w:rFonts w:hint="eastAsia" w:ascii="宋体" w:hAnsi="宋体"/>
                <w:sz w:val="24"/>
                <w:szCs w:val="24"/>
              </w:rPr>
            </w:pPr>
          </w:p>
        </w:tc>
      </w:tr>
    </w:tbl>
    <w:p>
      <w:pPr>
        <w:pStyle w:val="152"/>
        <w:jc w:val="both"/>
        <w:rPr>
          <w:rFonts w:hint="eastAsia" w:ascii="宋体" w:hAnsi="宋体" w:eastAsia="宋体" w:cs="宋体"/>
          <w:b/>
          <w:bCs/>
          <w:color w:val="0D0D0D"/>
          <w:kern w:val="0"/>
          <w:sz w:val="24"/>
          <w:lang w:val="en-US" w:eastAsia="zh-CN"/>
        </w:rPr>
      </w:pPr>
      <w:r>
        <w:rPr>
          <w:rFonts w:hint="eastAsia" w:ascii="宋体" w:hAnsi="宋体" w:cs="宋体"/>
          <w:b/>
          <w:color w:val="000000"/>
          <w:sz w:val="32"/>
          <w:szCs w:val="32"/>
        </w:rPr>
        <w:br w:type="page"/>
      </w:r>
    </w:p>
    <w:p>
      <w:pPr>
        <w:pStyle w:val="152"/>
        <w:jc w:val="center"/>
        <w:rPr>
          <w:rFonts w:hint="eastAsia" w:ascii="宋体" w:hAnsi="宋体" w:eastAsia="宋体" w:cs="宋体"/>
          <w:b/>
          <w:bCs/>
          <w:color w:val="0D0D0D"/>
          <w:kern w:val="0"/>
          <w:sz w:val="30"/>
          <w:szCs w:val="30"/>
          <w:lang w:val="en-US" w:eastAsia="zh-CN"/>
        </w:rPr>
      </w:pPr>
      <w:r>
        <w:rPr>
          <w:rFonts w:hint="eastAsia" w:ascii="宋体" w:hAnsi="宋体" w:eastAsia="宋体" w:cs="宋体"/>
          <w:b/>
          <w:bCs/>
          <w:color w:val="0D0D0D"/>
          <w:kern w:val="0"/>
          <w:sz w:val="28"/>
          <w:szCs w:val="28"/>
          <w:lang w:val="en-US" w:eastAsia="zh-CN"/>
        </w:rPr>
        <w:t>（二）安保服务标准及考核细则</w:t>
      </w:r>
    </w:p>
    <w:p>
      <w:pPr>
        <w:numPr>
          <w:ilvl w:val="0"/>
          <w:numId w:val="0"/>
        </w:numPr>
        <w:spacing w:line="400" w:lineRule="exact"/>
        <w:jc w:val="left"/>
        <w:outlineLvl w:val="0"/>
        <w:rPr>
          <w:rFonts w:hint="eastAsia" w:ascii="宋体" w:hAnsi="宋体" w:cs="宋体"/>
          <w:b/>
          <w:color w:val="000000"/>
          <w:sz w:val="32"/>
          <w:szCs w:val="32"/>
        </w:rPr>
      </w:pPr>
    </w:p>
    <w:tbl>
      <w:tblPr>
        <w:tblStyle w:val="46"/>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900"/>
        <w:gridCol w:w="3240"/>
        <w:gridCol w:w="109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29" w:type="dxa"/>
            <w:noWrap w:val="0"/>
            <w:vAlign w:val="center"/>
          </w:tcPr>
          <w:p>
            <w:pPr>
              <w:widowControl/>
              <w:spacing w:line="300" w:lineRule="exact"/>
              <w:jc w:val="center"/>
              <w:rPr>
                <w:rFonts w:hint="eastAsia" w:ascii="宋体" w:hAnsi="宋体"/>
                <w:b/>
                <w:sz w:val="28"/>
                <w:szCs w:val="28"/>
              </w:rPr>
            </w:pPr>
            <w:r>
              <w:rPr>
                <w:rFonts w:hint="eastAsia" w:ascii="宋体" w:hAnsi="宋体"/>
                <w:b/>
                <w:sz w:val="28"/>
                <w:szCs w:val="28"/>
              </w:rPr>
              <w:t>服务项目</w:t>
            </w:r>
          </w:p>
        </w:tc>
        <w:tc>
          <w:tcPr>
            <w:tcW w:w="900" w:type="dxa"/>
            <w:noWrap w:val="0"/>
            <w:vAlign w:val="center"/>
          </w:tcPr>
          <w:p>
            <w:pPr>
              <w:widowControl/>
              <w:spacing w:line="300" w:lineRule="exact"/>
              <w:jc w:val="center"/>
              <w:rPr>
                <w:rFonts w:hint="eastAsia" w:ascii="宋体" w:hAnsi="宋体"/>
                <w:b/>
                <w:sz w:val="28"/>
                <w:szCs w:val="28"/>
              </w:rPr>
            </w:pPr>
            <w:r>
              <w:rPr>
                <w:rFonts w:hint="eastAsia" w:ascii="宋体" w:hAnsi="宋体"/>
                <w:b/>
                <w:sz w:val="28"/>
                <w:szCs w:val="28"/>
              </w:rPr>
              <w:t>项目</w:t>
            </w:r>
          </w:p>
          <w:p>
            <w:pPr>
              <w:widowControl/>
              <w:spacing w:line="300" w:lineRule="exact"/>
              <w:jc w:val="center"/>
              <w:rPr>
                <w:rFonts w:hint="eastAsia" w:ascii="宋体" w:hAnsi="宋体"/>
                <w:b/>
                <w:sz w:val="28"/>
                <w:szCs w:val="28"/>
              </w:rPr>
            </w:pPr>
            <w:r>
              <w:rPr>
                <w:rFonts w:hint="eastAsia" w:ascii="宋体" w:hAnsi="宋体"/>
                <w:b/>
                <w:sz w:val="28"/>
                <w:szCs w:val="28"/>
              </w:rPr>
              <w:t>分类</w:t>
            </w:r>
          </w:p>
        </w:tc>
        <w:tc>
          <w:tcPr>
            <w:tcW w:w="3240" w:type="dxa"/>
            <w:noWrap w:val="0"/>
            <w:vAlign w:val="center"/>
          </w:tcPr>
          <w:p>
            <w:pPr>
              <w:widowControl/>
              <w:spacing w:line="300" w:lineRule="exact"/>
              <w:jc w:val="center"/>
              <w:rPr>
                <w:rFonts w:hint="eastAsia" w:ascii="宋体" w:hAnsi="宋体"/>
                <w:b/>
                <w:sz w:val="28"/>
                <w:szCs w:val="28"/>
              </w:rPr>
            </w:pPr>
            <w:r>
              <w:rPr>
                <w:rFonts w:hint="eastAsia" w:ascii="宋体" w:hAnsi="宋体"/>
                <w:b/>
                <w:sz w:val="28"/>
                <w:szCs w:val="28"/>
              </w:rPr>
              <w:t>服务清单及标准</w:t>
            </w:r>
          </w:p>
        </w:tc>
        <w:tc>
          <w:tcPr>
            <w:tcW w:w="1094" w:type="dxa"/>
            <w:noWrap w:val="0"/>
            <w:vAlign w:val="center"/>
          </w:tcPr>
          <w:p>
            <w:pPr>
              <w:widowControl/>
              <w:spacing w:line="300" w:lineRule="exact"/>
              <w:jc w:val="center"/>
              <w:rPr>
                <w:rFonts w:hint="eastAsia" w:ascii="宋体" w:hAnsi="宋体"/>
                <w:b/>
                <w:sz w:val="28"/>
                <w:szCs w:val="28"/>
              </w:rPr>
            </w:pPr>
            <w:r>
              <w:rPr>
                <w:rFonts w:hint="eastAsia" w:ascii="宋体" w:hAnsi="宋体"/>
                <w:b/>
                <w:sz w:val="28"/>
                <w:szCs w:val="28"/>
              </w:rPr>
              <w:t>分值</w:t>
            </w:r>
          </w:p>
        </w:tc>
        <w:tc>
          <w:tcPr>
            <w:tcW w:w="3260" w:type="dxa"/>
            <w:noWrap w:val="0"/>
            <w:vAlign w:val="center"/>
          </w:tcPr>
          <w:p>
            <w:pPr>
              <w:widowControl/>
              <w:spacing w:line="300" w:lineRule="exact"/>
              <w:jc w:val="center"/>
              <w:rPr>
                <w:rFonts w:hint="eastAsia" w:ascii="宋体" w:hAnsi="宋体"/>
                <w:b/>
                <w:sz w:val="28"/>
                <w:szCs w:val="28"/>
              </w:rPr>
            </w:pPr>
            <w:r>
              <w:rPr>
                <w:rFonts w:hint="eastAsia" w:ascii="宋体" w:hAnsi="宋体"/>
                <w:b/>
                <w:sz w:val="28"/>
                <w:szCs w:val="28"/>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restart"/>
            <w:noWrap w:val="0"/>
            <w:vAlign w:val="center"/>
          </w:tcPr>
          <w:p>
            <w:pPr>
              <w:widowControl/>
              <w:jc w:val="center"/>
              <w:rPr>
                <w:rFonts w:hint="eastAsia" w:ascii="宋体" w:hAnsi="宋体"/>
                <w:sz w:val="24"/>
                <w:szCs w:val="24"/>
              </w:rPr>
            </w:pPr>
            <w:r>
              <w:rPr>
                <w:rFonts w:hint="eastAsia" w:ascii="宋体" w:hAnsi="宋体"/>
                <w:sz w:val="24"/>
                <w:szCs w:val="24"/>
              </w:rPr>
              <w:t>安保服务</w:t>
            </w:r>
          </w:p>
          <w:p>
            <w:pPr>
              <w:widowControl/>
              <w:jc w:val="center"/>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100分</w:t>
            </w:r>
            <w:r>
              <w:rPr>
                <w:rFonts w:hint="eastAsia" w:ascii="宋体" w:hAnsi="宋体"/>
                <w:sz w:val="24"/>
                <w:szCs w:val="24"/>
                <w:lang w:eastAsia="zh-CN"/>
              </w:rPr>
              <w:t>）</w:t>
            </w:r>
          </w:p>
        </w:tc>
        <w:tc>
          <w:tcPr>
            <w:tcW w:w="900" w:type="dxa"/>
            <w:vMerge w:val="restart"/>
            <w:noWrap w:val="0"/>
            <w:vAlign w:val="center"/>
          </w:tcPr>
          <w:p>
            <w:pPr>
              <w:widowControl/>
              <w:jc w:val="center"/>
              <w:rPr>
                <w:rFonts w:hint="eastAsia" w:ascii="宋体" w:hAnsi="宋体"/>
                <w:sz w:val="24"/>
                <w:szCs w:val="24"/>
              </w:rPr>
            </w:pPr>
            <w:r>
              <w:rPr>
                <w:rFonts w:hint="eastAsia" w:ascii="宋体" w:hAnsi="宋体"/>
                <w:sz w:val="24"/>
                <w:szCs w:val="24"/>
              </w:rPr>
              <w:t>安</w:t>
            </w:r>
          </w:p>
          <w:p>
            <w:pPr>
              <w:widowControl/>
              <w:jc w:val="center"/>
              <w:rPr>
                <w:rFonts w:hint="eastAsia" w:ascii="宋体" w:hAnsi="宋体"/>
                <w:sz w:val="24"/>
                <w:szCs w:val="24"/>
              </w:rPr>
            </w:pPr>
            <w:r>
              <w:rPr>
                <w:rFonts w:hint="eastAsia" w:ascii="宋体" w:hAnsi="宋体"/>
                <w:sz w:val="24"/>
                <w:szCs w:val="24"/>
              </w:rPr>
              <w:t>保</w:t>
            </w:r>
          </w:p>
          <w:p>
            <w:pPr>
              <w:widowControl/>
              <w:jc w:val="center"/>
              <w:rPr>
                <w:rFonts w:hint="eastAsia" w:ascii="宋体" w:hAnsi="宋体"/>
                <w:sz w:val="24"/>
                <w:szCs w:val="24"/>
              </w:rPr>
            </w:pPr>
            <w:r>
              <w:rPr>
                <w:rFonts w:hint="eastAsia" w:ascii="宋体" w:hAnsi="宋体"/>
                <w:sz w:val="24"/>
                <w:szCs w:val="24"/>
              </w:rPr>
              <w:t>人</w:t>
            </w:r>
          </w:p>
          <w:p>
            <w:pPr>
              <w:widowControl/>
              <w:jc w:val="center"/>
              <w:rPr>
                <w:rFonts w:hint="eastAsia" w:ascii="宋体" w:hAnsi="宋体"/>
                <w:sz w:val="24"/>
                <w:szCs w:val="24"/>
              </w:rPr>
            </w:pPr>
            <w:r>
              <w:rPr>
                <w:rFonts w:hint="eastAsia" w:ascii="宋体" w:hAnsi="宋体"/>
                <w:sz w:val="24"/>
                <w:szCs w:val="24"/>
              </w:rPr>
              <w:t>员</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服从总站监督管理和业务指导。</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5</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不服从总站管理，不听从业务指导，每人次扣1分。造成不良影响和经济损失的，视情节和后果每人次扣2—5分。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仪容端庄，着装规范整洁；头发干净、整齐，不留怪异发型，不染怪异发色。修饰：规范、得体、大方，不戴外型怪异饰物；不穿拖鞋；佩证（标志）上岗，</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3</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仪容不整、着装不规范、发型怪异、饰物夸张、不按规定佩证（标志）、穿拖鞋的每人次扣1分。</w:t>
            </w:r>
          </w:p>
          <w:p>
            <w:pPr>
              <w:widowControl/>
              <w:jc w:val="left"/>
              <w:rPr>
                <w:rFonts w:hint="eastAsia" w:ascii="宋体" w:hAnsi="宋体"/>
                <w:sz w:val="24"/>
                <w:szCs w:val="24"/>
              </w:rPr>
            </w:pPr>
          </w:p>
          <w:p>
            <w:pPr>
              <w:widowControl/>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1、工作时间不得擅离岗位，特殊情况除报</w:t>
            </w:r>
            <w:r>
              <w:rPr>
                <w:rFonts w:hint="eastAsia" w:ascii="宋体" w:hAnsi="宋体"/>
                <w:sz w:val="24"/>
                <w:szCs w:val="24"/>
                <w:lang w:eastAsia="zh-CN"/>
              </w:rPr>
              <w:t>投标人</w:t>
            </w:r>
            <w:r>
              <w:rPr>
                <w:rFonts w:hint="eastAsia" w:ascii="宋体" w:hAnsi="宋体"/>
                <w:sz w:val="24"/>
                <w:szCs w:val="24"/>
              </w:rPr>
              <w:t>主管领导同意，还须报总站股室负责人同意方可离开。</w:t>
            </w:r>
            <w:r>
              <w:rPr>
                <w:rFonts w:hint="eastAsia" w:ascii="宋体" w:hAnsi="宋体"/>
                <w:sz w:val="24"/>
                <w:szCs w:val="24"/>
                <w:lang w:eastAsia="zh-CN"/>
              </w:rPr>
              <w:t>投标人</w:t>
            </w:r>
            <w:r>
              <w:rPr>
                <w:rFonts w:hint="eastAsia" w:ascii="宋体" w:hAnsi="宋体"/>
                <w:sz w:val="24"/>
                <w:szCs w:val="24"/>
              </w:rPr>
              <w:t>须安排补充岗位人员缺失。</w:t>
            </w:r>
          </w:p>
          <w:p>
            <w:pPr>
              <w:widowControl/>
              <w:jc w:val="left"/>
              <w:rPr>
                <w:rFonts w:hint="eastAsia" w:ascii="宋体" w:hAnsi="宋体"/>
                <w:sz w:val="24"/>
                <w:szCs w:val="24"/>
              </w:rPr>
            </w:pPr>
            <w:r>
              <w:rPr>
                <w:rFonts w:hint="eastAsia" w:ascii="宋体" w:hAnsi="宋体"/>
                <w:sz w:val="24"/>
                <w:szCs w:val="24"/>
              </w:rPr>
              <w:t>2、服务热情，用语文明，动作规范、耐心向旅客和群众解疑答惑。克制情绪礼让旅客，尽力避免与旅客发生矛盾纠纷。</w:t>
            </w:r>
          </w:p>
          <w:p>
            <w:pPr>
              <w:widowControl/>
              <w:jc w:val="left"/>
              <w:rPr>
                <w:rFonts w:hint="eastAsia" w:ascii="宋体" w:hAnsi="宋体"/>
                <w:sz w:val="24"/>
                <w:szCs w:val="24"/>
              </w:rPr>
            </w:pPr>
            <w:r>
              <w:rPr>
                <w:rFonts w:hint="eastAsia" w:ascii="宋体" w:hAnsi="宋体"/>
                <w:sz w:val="24"/>
                <w:szCs w:val="24"/>
              </w:rPr>
              <w:t>3、工作中不做与工作无关的事；不与任何人闲聊。严禁溜岗、串岗、脱岗。</w:t>
            </w:r>
          </w:p>
          <w:p>
            <w:pPr>
              <w:widowControl/>
              <w:jc w:val="left"/>
              <w:rPr>
                <w:rFonts w:hint="eastAsia" w:ascii="宋体" w:hAnsi="宋体"/>
                <w:sz w:val="24"/>
                <w:szCs w:val="24"/>
              </w:rPr>
            </w:pPr>
            <w:r>
              <w:rPr>
                <w:rFonts w:hint="eastAsia" w:ascii="宋体" w:hAnsi="宋体"/>
                <w:sz w:val="24"/>
                <w:szCs w:val="24"/>
              </w:rPr>
              <w:t>4、禁止酒后上岗和在岗位上饮酒抽烟。</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15</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1、未经股室负责人同意离岗每人次扣3分；</w:t>
            </w:r>
            <w:r>
              <w:rPr>
                <w:rFonts w:hint="eastAsia" w:ascii="宋体" w:hAnsi="宋体"/>
                <w:sz w:val="24"/>
                <w:szCs w:val="24"/>
                <w:lang w:eastAsia="zh-CN"/>
              </w:rPr>
              <w:t>投标人</w:t>
            </w:r>
            <w:r>
              <w:rPr>
                <w:rFonts w:hint="eastAsia" w:ascii="宋体" w:hAnsi="宋体"/>
                <w:sz w:val="24"/>
                <w:szCs w:val="24"/>
              </w:rPr>
              <w:t>未补足岗位人员缺失，每缺一个岗位扣5分。</w:t>
            </w: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2、态度生硬、用语不文明、动作不规范、解释不耐心，每人次扣2—5分；被旅客投诉经查属实的每人次扣5—10分。</w:t>
            </w:r>
          </w:p>
          <w:p>
            <w:pPr>
              <w:widowControl/>
              <w:jc w:val="left"/>
              <w:rPr>
                <w:rFonts w:hint="eastAsia" w:ascii="宋体" w:hAnsi="宋体"/>
                <w:sz w:val="24"/>
                <w:szCs w:val="24"/>
              </w:rPr>
            </w:pPr>
            <w:r>
              <w:rPr>
                <w:rFonts w:hint="eastAsia" w:ascii="宋体" w:hAnsi="宋体"/>
                <w:sz w:val="24"/>
                <w:szCs w:val="24"/>
              </w:rPr>
              <w:t>3、做与工作无关的事；溜岗、串岗、脱岗、与人闲聊每人次扣2—5分。</w:t>
            </w: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4、酒后上岗、在岗位饮酒抽烟的每人次扣5分。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自觉遵守岗位作息时间，不迟到、不早退。严格交接班制度，接班人未到交班人未经总站当班班长同意不得离岗。超出30分钟未到岗的</w:t>
            </w:r>
            <w:r>
              <w:rPr>
                <w:rFonts w:hint="eastAsia" w:ascii="宋体" w:hAnsi="宋体"/>
                <w:sz w:val="24"/>
                <w:szCs w:val="24"/>
                <w:lang w:eastAsia="zh-CN"/>
              </w:rPr>
              <w:t>投标人</w:t>
            </w:r>
            <w:r>
              <w:rPr>
                <w:rFonts w:hint="eastAsia" w:ascii="宋体" w:hAnsi="宋体"/>
                <w:sz w:val="24"/>
                <w:szCs w:val="24"/>
              </w:rPr>
              <w:t>应另外派人补充岗位缺失人员。</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5</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迟到、早退一人次扣1分；未按时接班、未经班长同意交班人离开岗位每人次扣2—5分。超出30分钟到岗的每人次扣5分。</w:t>
            </w:r>
          </w:p>
          <w:p>
            <w:pPr>
              <w:widowControl/>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1、自觉参加总站及股室组织的各种政治、业务学习及活动。</w:t>
            </w: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2、按要求做好各项工作，工作记录真实完整。</w:t>
            </w: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3、负责工作区域卫生管理，物品陈放有序、环境整洁卫生。</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8</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1、无故不参加总站及股室组织的各种政治、业务学习及活动，每人次扣2分。</w:t>
            </w:r>
          </w:p>
          <w:p>
            <w:pPr>
              <w:widowControl/>
              <w:jc w:val="left"/>
              <w:rPr>
                <w:rFonts w:hint="eastAsia" w:ascii="宋体" w:hAnsi="宋体"/>
                <w:sz w:val="24"/>
                <w:szCs w:val="24"/>
              </w:rPr>
            </w:pPr>
            <w:r>
              <w:rPr>
                <w:rFonts w:hint="eastAsia" w:ascii="宋体" w:hAnsi="宋体"/>
                <w:sz w:val="24"/>
                <w:szCs w:val="24"/>
              </w:rPr>
              <w:t>2、不按要求完成工作，工作记录不真实不完整，每人次扣2—5分。</w:t>
            </w:r>
          </w:p>
          <w:p>
            <w:pPr>
              <w:widowControl/>
              <w:jc w:val="left"/>
              <w:rPr>
                <w:rFonts w:hint="eastAsia" w:ascii="宋体" w:hAnsi="宋体"/>
                <w:sz w:val="24"/>
                <w:szCs w:val="24"/>
              </w:rPr>
            </w:pPr>
            <w:r>
              <w:rPr>
                <w:rFonts w:hint="eastAsia" w:ascii="宋体" w:hAnsi="宋体"/>
                <w:sz w:val="24"/>
                <w:szCs w:val="24"/>
              </w:rPr>
              <w:t>3、工作区域卫生差，每人次扣1—2分；被上级检查通报给总站造成不良影响的每人次扣5分。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1、负责工作区域的安全保卫工作，熟练掌握“总站突发事件紧急处置预案”，发现险情及时报告妥善处置。</w:t>
            </w:r>
          </w:p>
          <w:p>
            <w:pPr>
              <w:widowControl/>
              <w:jc w:val="left"/>
              <w:rPr>
                <w:rFonts w:hint="eastAsia" w:ascii="宋体" w:hAnsi="宋体"/>
                <w:sz w:val="24"/>
                <w:szCs w:val="24"/>
              </w:rPr>
            </w:pPr>
            <w:r>
              <w:rPr>
                <w:rFonts w:hint="eastAsia" w:ascii="宋体" w:hAnsi="宋体"/>
                <w:sz w:val="24"/>
                <w:szCs w:val="24"/>
              </w:rPr>
              <w:t>2、熟悉总站防暴、消防、防汛等应急救援器材存放位置及使用方法，发生险情积极参与应急处置。</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10</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1、安全保卫工作不力，每人次扣1分；不熟悉“总站突发事件紧急处置预案”，发现险情不报告不处置，每人次扣5分。</w:t>
            </w:r>
          </w:p>
          <w:p>
            <w:pPr>
              <w:widowControl/>
              <w:jc w:val="left"/>
              <w:rPr>
                <w:rFonts w:hint="eastAsia" w:ascii="宋体" w:hAnsi="宋体"/>
                <w:sz w:val="24"/>
                <w:szCs w:val="24"/>
              </w:rPr>
            </w:pPr>
            <w:r>
              <w:rPr>
                <w:rFonts w:hint="eastAsia" w:ascii="宋体" w:hAnsi="宋体"/>
                <w:sz w:val="24"/>
                <w:szCs w:val="24"/>
              </w:rPr>
              <w:t>2、不熟悉总站防暴、消防、防汛等应急救援器材存放位置及使用方法，不积极参与各项应急处置，每人次扣5分。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爱护并看管好总站设施设备。</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4</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设施设备损坏，每人次扣0.5—1分；设施设备丢失每人次扣2分。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服务热情，用语文明，动作规范、耐心向旅客和群众解疑答惑。</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10</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态度生硬、用语不文明、动作不规范、解释不耐心，每人次扣1—2分；被旅客投诉经查属实的每人次扣5分。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center"/>
              <w:rPr>
                <w:rFonts w:hint="eastAsia" w:ascii="宋体" w:hAnsi="宋体"/>
                <w:sz w:val="24"/>
                <w:szCs w:val="24"/>
              </w:rPr>
            </w:pPr>
            <w:r>
              <w:rPr>
                <w:rFonts w:hint="eastAsia" w:ascii="宋体" w:hAnsi="宋体"/>
                <w:sz w:val="24"/>
                <w:szCs w:val="24"/>
              </w:rPr>
              <w:t>车辆安检</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1、严格执行“三不进站、六不出站”管理制度，对与安全生产相违背的人和事要坚决予以制止。</w:t>
            </w:r>
          </w:p>
          <w:p>
            <w:pPr>
              <w:widowControl/>
              <w:jc w:val="left"/>
              <w:rPr>
                <w:rFonts w:hint="eastAsia" w:ascii="宋体" w:hAnsi="宋体"/>
                <w:sz w:val="24"/>
                <w:szCs w:val="24"/>
              </w:rPr>
            </w:pPr>
            <w:r>
              <w:rPr>
                <w:rFonts w:hint="eastAsia" w:ascii="宋体" w:hAnsi="宋体"/>
                <w:sz w:val="24"/>
                <w:szCs w:val="24"/>
              </w:rPr>
              <w:t>2、掌握车辆 例检内容、方法、程序、要求，正确使用检查器材、佩戴劳动防护用品。</w:t>
            </w:r>
          </w:p>
          <w:p>
            <w:pPr>
              <w:widowControl/>
              <w:jc w:val="left"/>
              <w:rPr>
                <w:rFonts w:hint="eastAsia" w:ascii="宋体" w:hAnsi="宋体"/>
                <w:sz w:val="24"/>
                <w:szCs w:val="24"/>
              </w:rPr>
            </w:pPr>
            <w:r>
              <w:rPr>
                <w:rFonts w:hint="eastAsia" w:ascii="宋体" w:hAnsi="宋体"/>
                <w:sz w:val="24"/>
                <w:szCs w:val="24"/>
              </w:rPr>
              <w:t>3、认真对参营车辆技术状况进行检查，发现故障和安全隐患，督促及时维修整改，复检合格后方可营运，做好安检原始记录，坚决制止不合格车辆投入营运。</w:t>
            </w:r>
          </w:p>
          <w:p>
            <w:pPr>
              <w:widowControl/>
              <w:jc w:val="left"/>
              <w:rPr>
                <w:rFonts w:hint="eastAsia" w:ascii="宋体" w:hAnsi="宋体"/>
                <w:sz w:val="24"/>
                <w:szCs w:val="24"/>
              </w:rPr>
            </w:pPr>
            <w:r>
              <w:rPr>
                <w:rFonts w:hint="eastAsia" w:ascii="宋体" w:hAnsi="宋体"/>
                <w:sz w:val="24"/>
                <w:szCs w:val="24"/>
              </w:rPr>
              <w:t>4、做好防火防盗及其他安全防范工作，发现异常及时报告处置。</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10</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1、未按程序操作扣2分/次；2、未佩戴安全劳动防护用品扣1分/次；</w:t>
            </w:r>
          </w:p>
          <w:p>
            <w:pPr>
              <w:widowControl/>
              <w:jc w:val="left"/>
              <w:rPr>
                <w:rFonts w:hint="eastAsia" w:ascii="宋体" w:hAnsi="宋体"/>
                <w:sz w:val="24"/>
                <w:szCs w:val="24"/>
              </w:rPr>
            </w:pPr>
            <w:r>
              <w:rPr>
                <w:rFonts w:hint="eastAsia" w:ascii="宋体" w:hAnsi="宋体"/>
                <w:sz w:val="24"/>
                <w:szCs w:val="24"/>
              </w:rPr>
              <w:t>3、记录不齐全或记录与实际不符扣1分/次；</w:t>
            </w:r>
          </w:p>
          <w:p>
            <w:pPr>
              <w:widowControl/>
              <w:jc w:val="left"/>
              <w:rPr>
                <w:rFonts w:hint="eastAsia" w:ascii="宋体" w:hAnsi="宋体"/>
                <w:sz w:val="24"/>
                <w:szCs w:val="24"/>
              </w:rPr>
            </w:pPr>
            <w:r>
              <w:rPr>
                <w:rFonts w:hint="eastAsia" w:ascii="宋体" w:hAnsi="宋体"/>
                <w:sz w:val="24"/>
                <w:szCs w:val="24"/>
              </w:rPr>
              <w:t>4、放行不合格车辆扣5分/次。</w:t>
            </w:r>
          </w:p>
          <w:p>
            <w:pPr>
              <w:pStyle w:val="2"/>
              <w:rPr>
                <w:rFonts w:hint="eastAsia" w:hAnsi="宋体"/>
                <w:sz w:val="24"/>
                <w:szCs w:val="24"/>
              </w:rPr>
            </w:pPr>
            <w:r>
              <w:rPr>
                <w:rFonts w:hint="eastAsia" w:hAnsi="宋体"/>
                <w:sz w:val="24"/>
                <w:szCs w:val="24"/>
              </w:rPr>
              <w:t>5、发现安全防范异常情况不及时报告的扣3分/次。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center"/>
              <w:rPr>
                <w:rFonts w:hint="eastAsia" w:ascii="宋体" w:hAnsi="宋体"/>
                <w:sz w:val="24"/>
                <w:szCs w:val="24"/>
              </w:rPr>
            </w:pPr>
            <w:r>
              <w:rPr>
                <w:rFonts w:hint="eastAsia" w:ascii="宋体" w:hAnsi="宋体"/>
                <w:sz w:val="24"/>
                <w:szCs w:val="24"/>
              </w:rPr>
              <w:t>站场管理</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严格执行“三不进站”规定，阻止未经许可的人、车进入车场。负责场内秩序和车辆管理。严格执行《汽车总站进站车辆管理制度》，对责任范围内车辆逆行、超速、鸣号等违规行为进行制止。严禁行人、驾乘人员在场内行走、逗留、横穿，及时疏导旅客有序进出站。协助汽车总站工作人员做好对旅客的导乘服务和劝烟工作。</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10</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未严格执行“三不进站”规定或未阻止无许可的人、车穿场扣1分/次，场内秩序混乱扣1分/次，未制止站内车辆违规行为扣1分/次，未做好旅客引导疏散工作扣0.5。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center"/>
              <w:rPr>
                <w:rFonts w:hint="eastAsia" w:ascii="宋体" w:hAnsi="宋体"/>
                <w:sz w:val="24"/>
                <w:szCs w:val="24"/>
              </w:rPr>
            </w:pPr>
            <w:r>
              <w:rPr>
                <w:rFonts w:hint="eastAsia" w:ascii="宋体" w:hAnsi="宋体"/>
                <w:sz w:val="24"/>
                <w:szCs w:val="24"/>
              </w:rPr>
              <w:t>行包检查</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认真落实“逢包必检、逢液必查、逢疑必查”要求，严禁“三品”进站，对查出的“三品”记录在“三品”检查登记簿，同时对旅客或托运方做好宣传解释工作；负责认真观察、辨识显示屏物品图像，将需要开包检查的物品及重点检查部位通知开包员；熟悉“三品”识别及处理方法，负责“三品”收缴工作，认真做好收缴记录。</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10</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未认真落实三项要求、漏检扣2分/次，未做好记录扣0.5分/次，未做好宣传解释工作扣0.5分/次。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center"/>
              <w:rPr>
                <w:rFonts w:hint="eastAsia" w:ascii="宋体" w:hAnsi="宋体"/>
                <w:sz w:val="24"/>
                <w:szCs w:val="24"/>
              </w:rPr>
            </w:pPr>
            <w:r>
              <w:rPr>
                <w:rFonts w:hint="eastAsia" w:ascii="宋体" w:hAnsi="宋体"/>
                <w:sz w:val="24"/>
                <w:szCs w:val="24"/>
              </w:rPr>
              <w:t>夜间值守</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负责收班后的清场工作，晚上8点10分关闭候车大厅大门和出站口大门，严禁非工作人员入内；指挥车辆停放在指定位置，并预留安全位置，防止擦挂碰撞、堵塞通道；负责停放车辆统计、登记；晚上10点后关闭进站大门，进行清场检查，夜间不定时巡查场内安全及站区设施设备情况，发现情况及时处置报告。</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10</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放行非工作人员入内扣0.5分/次，未做好清场工作扣1分/次，发现问题未及时上报造成损失视情况扣1-3分/次，未做好记录工作扣0.5分/次。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429" w:type="dxa"/>
            <w:noWrap w:val="0"/>
            <w:vAlign w:val="center"/>
          </w:tcPr>
          <w:p>
            <w:pPr>
              <w:widowControl/>
              <w:jc w:val="left"/>
              <w:rPr>
                <w:rFonts w:hint="eastAsia" w:ascii="宋体" w:hAnsi="宋体"/>
                <w:sz w:val="24"/>
                <w:szCs w:val="24"/>
              </w:rPr>
            </w:pPr>
            <w:r>
              <w:rPr>
                <w:rFonts w:hint="eastAsia" w:ascii="宋体" w:hAnsi="宋体"/>
                <w:sz w:val="24"/>
                <w:szCs w:val="24"/>
              </w:rPr>
              <w:t>小计</w:t>
            </w:r>
          </w:p>
        </w:tc>
        <w:tc>
          <w:tcPr>
            <w:tcW w:w="900" w:type="dxa"/>
            <w:noWrap w:val="0"/>
            <w:vAlign w:val="center"/>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100</w:t>
            </w:r>
          </w:p>
        </w:tc>
        <w:tc>
          <w:tcPr>
            <w:tcW w:w="3260" w:type="dxa"/>
            <w:noWrap w:val="0"/>
            <w:vAlign w:val="top"/>
          </w:tcPr>
          <w:p>
            <w:pPr>
              <w:widowControl/>
              <w:jc w:val="left"/>
              <w:rPr>
                <w:rFonts w:hint="eastAsia" w:ascii="宋体" w:hAnsi="宋体"/>
                <w:sz w:val="24"/>
                <w:szCs w:val="24"/>
              </w:rPr>
            </w:pPr>
          </w:p>
        </w:tc>
      </w:tr>
    </w:tbl>
    <w:p>
      <w:pPr>
        <w:pStyle w:val="152"/>
        <w:jc w:val="both"/>
        <w:rPr>
          <w:rFonts w:hint="eastAsia" w:ascii="宋体" w:hAnsi="宋体" w:eastAsia="宋体" w:cs="宋体"/>
          <w:b/>
          <w:bCs/>
          <w:color w:val="0D0D0D"/>
          <w:kern w:val="0"/>
          <w:sz w:val="24"/>
          <w:lang w:val="en-US" w:eastAsia="zh-CN"/>
        </w:rPr>
      </w:pPr>
      <w:r>
        <w:rPr>
          <w:rFonts w:hint="eastAsia" w:ascii="宋体" w:hAnsi="宋体" w:cs="宋体"/>
          <w:b/>
          <w:color w:val="000000"/>
          <w:sz w:val="32"/>
          <w:szCs w:val="32"/>
        </w:rPr>
        <w:br w:type="page"/>
      </w:r>
    </w:p>
    <w:p>
      <w:pPr>
        <w:pStyle w:val="152"/>
        <w:jc w:val="center"/>
        <w:rPr>
          <w:rFonts w:hint="eastAsia" w:ascii="宋体" w:hAnsi="宋体" w:eastAsia="宋体" w:cs="宋体"/>
          <w:b/>
          <w:bCs/>
          <w:color w:val="0D0D0D"/>
          <w:kern w:val="0"/>
          <w:sz w:val="28"/>
          <w:szCs w:val="28"/>
          <w:lang w:val="en-US" w:eastAsia="zh-CN"/>
        </w:rPr>
      </w:pPr>
      <w:r>
        <w:rPr>
          <w:rFonts w:hint="eastAsia" w:ascii="宋体" w:hAnsi="宋体" w:eastAsia="宋体" w:cs="宋体"/>
          <w:b/>
          <w:bCs/>
          <w:color w:val="0D0D0D"/>
          <w:kern w:val="0"/>
          <w:sz w:val="28"/>
          <w:szCs w:val="28"/>
          <w:lang w:val="en-US" w:eastAsia="zh-CN"/>
        </w:rPr>
        <w:t>（三）站务服务标准及考核细则</w:t>
      </w:r>
    </w:p>
    <w:p>
      <w:pPr>
        <w:pStyle w:val="152"/>
        <w:jc w:val="center"/>
        <w:rPr>
          <w:rFonts w:hint="eastAsia" w:ascii="宋体" w:hAnsi="宋体" w:eastAsia="宋体" w:cs="宋体"/>
          <w:b/>
          <w:bCs/>
          <w:color w:val="0D0D0D"/>
          <w:kern w:val="0"/>
          <w:sz w:val="30"/>
          <w:szCs w:val="30"/>
          <w:lang w:val="en-US" w:eastAsia="zh-CN"/>
        </w:rPr>
      </w:pPr>
    </w:p>
    <w:tbl>
      <w:tblPr>
        <w:tblStyle w:val="46"/>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900"/>
        <w:gridCol w:w="3240"/>
        <w:gridCol w:w="109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429" w:type="dxa"/>
            <w:noWrap w:val="0"/>
            <w:vAlign w:val="center"/>
          </w:tcPr>
          <w:p>
            <w:pPr>
              <w:widowControl/>
              <w:jc w:val="center"/>
              <w:rPr>
                <w:rFonts w:hint="eastAsia" w:ascii="宋体" w:hAnsi="宋体"/>
                <w:b/>
                <w:sz w:val="28"/>
                <w:szCs w:val="28"/>
              </w:rPr>
            </w:pPr>
            <w:r>
              <w:rPr>
                <w:rFonts w:hint="eastAsia" w:ascii="宋体" w:hAnsi="宋体"/>
                <w:b/>
                <w:sz w:val="28"/>
                <w:szCs w:val="28"/>
              </w:rPr>
              <w:t>服务项目</w:t>
            </w:r>
          </w:p>
        </w:tc>
        <w:tc>
          <w:tcPr>
            <w:tcW w:w="900" w:type="dxa"/>
            <w:noWrap w:val="0"/>
            <w:vAlign w:val="center"/>
          </w:tcPr>
          <w:p>
            <w:pPr>
              <w:widowControl/>
              <w:spacing w:line="300" w:lineRule="exact"/>
              <w:jc w:val="center"/>
              <w:rPr>
                <w:rFonts w:hint="eastAsia" w:ascii="宋体" w:hAnsi="宋体"/>
                <w:b/>
                <w:sz w:val="28"/>
                <w:szCs w:val="28"/>
              </w:rPr>
            </w:pPr>
            <w:r>
              <w:rPr>
                <w:rFonts w:hint="eastAsia" w:ascii="宋体" w:hAnsi="宋体"/>
                <w:b/>
                <w:sz w:val="28"/>
                <w:szCs w:val="28"/>
              </w:rPr>
              <w:t>项目</w:t>
            </w:r>
          </w:p>
          <w:p>
            <w:pPr>
              <w:widowControl/>
              <w:spacing w:line="300" w:lineRule="exact"/>
              <w:jc w:val="center"/>
              <w:rPr>
                <w:rFonts w:hint="eastAsia" w:ascii="宋体" w:hAnsi="宋体"/>
                <w:b/>
                <w:sz w:val="28"/>
                <w:szCs w:val="28"/>
              </w:rPr>
            </w:pPr>
            <w:r>
              <w:rPr>
                <w:rFonts w:hint="eastAsia" w:ascii="宋体" w:hAnsi="宋体"/>
                <w:b/>
                <w:sz w:val="28"/>
                <w:szCs w:val="28"/>
              </w:rPr>
              <w:t>分类</w:t>
            </w:r>
          </w:p>
        </w:tc>
        <w:tc>
          <w:tcPr>
            <w:tcW w:w="3240" w:type="dxa"/>
            <w:noWrap w:val="0"/>
            <w:vAlign w:val="center"/>
          </w:tcPr>
          <w:p>
            <w:pPr>
              <w:widowControl/>
              <w:jc w:val="center"/>
              <w:rPr>
                <w:rFonts w:hint="eastAsia" w:ascii="宋体" w:hAnsi="宋体"/>
                <w:b/>
                <w:sz w:val="28"/>
                <w:szCs w:val="28"/>
              </w:rPr>
            </w:pPr>
            <w:r>
              <w:rPr>
                <w:rFonts w:hint="eastAsia" w:ascii="宋体" w:hAnsi="宋体"/>
                <w:b/>
                <w:sz w:val="28"/>
                <w:szCs w:val="28"/>
              </w:rPr>
              <w:t>服务清单及标准</w:t>
            </w:r>
          </w:p>
        </w:tc>
        <w:tc>
          <w:tcPr>
            <w:tcW w:w="1094" w:type="dxa"/>
            <w:noWrap w:val="0"/>
            <w:vAlign w:val="center"/>
          </w:tcPr>
          <w:p>
            <w:pPr>
              <w:widowControl/>
              <w:jc w:val="center"/>
              <w:rPr>
                <w:rFonts w:hint="eastAsia" w:ascii="宋体" w:hAnsi="宋体"/>
                <w:b/>
                <w:sz w:val="28"/>
                <w:szCs w:val="28"/>
              </w:rPr>
            </w:pPr>
            <w:r>
              <w:rPr>
                <w:rFonts w:hint="eastAsia" w:ascii="宋体" w:hAnsi="宋体"/>
                <w:b/>
                <w:sz w:val="28"/>
                <w:szCs w:val="28"/>
              </w:rPr>
              <w:t>分值</w:t>
            </w:r>
          </w:p>
        </w:tc>
        <w:tc>
          <w:tcPr>
            <w:tcW w:w="3260" w:type="dxa"/>
            <w:noWrap w:val="0"/>
            <w:vAlign w:val="center"/>
          </w:tcPr>
          <w:p>
            <w:pPr>
              <w:widowControl/>
              <w:jc w:val="center"/>
              <w:rPr>
                <w:rFonts w:hint="eastAsia" w:ascii="宋体" w:hAnsi="宋体"/>
                <w:b/>
                <w:sz w:val="28"/>
                <w:szCs w:val="28"/>
              </w:rPr>
            </w:pPr>
            <w:r>
              <w:rPr>
                <w:rFonts w:hint="eastAsia" w:ascii="宋体" w:hAnsi="宋体"/>
                <w:b/>
                <w:sz w:val="28"/>
                <w:szCs w:val="28"/>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restart"/>
            <w:noWrap w:val="0"/>
            <w:vAlign w:val="center"/>
          </w:tcPr>
          <w:p>
            <w:pPr>
              <w:widowControl/>
              <w:jc w:val="center"/>
              <w:rPr>
                <w:rFonts w:hint="eastAsia" w:ascii="宋体" w:hAnsi="宋体"/>
                <w:sz w:val="24"/>
                <w:szCs w:val="24"/>
              </w:rPr>
            </w:pPr>
          </w:p>
          <w:p>
            <w:pPr>
              <w:widowControl/>
              <w:jc w:val="center"/>
              <w:rPr>
                <w:rFonts w:hint="eastAsia" w:ascii="宋体" w:hAnsi="宋体"/>
                <w:sz w:val="24"/>
                <w:szCs w:val="24"/>
              </w:rPr>
            </w:pPr>
            <w:r>
              <w:rPr>
                <w:rFonts w:hint="eastAsia" w:ascii="宋体" w:hAnsi="宋体"/>
                <w:sz w:val="24"/>
                <w:szCs w:val="24"/>
              </w:rPr>
              <w:t>站务服务</w:t>
            </w:r>
            <w:r>
              <w:rPr>
                <w:rFonts w:hint="eastAsia" w:ascii="宋体" w:hAnsi="宋体"/>
                <w:sz w:val="24"/>
                <w:szCs w:val="24"/>
                <w:lang w:eastAsia="zh-CN"/>
              </w:rPr>
              <w:t>（</w:t>
            </w:r>
            <w:r>
              <w:rPr>
                <w:rFonts w:hint="eastAsia" w:ascii="宋体" w:hAnsi="宋体"/>
                <w:sz w:val="24"/>
                <w:szCs w:val="24"/>
                <w:lang w:val="en-US" w:eastAsia="zh-CN"/>
              </w:rPr>
              <w:t>100分</w:t>
            </w:r>
            <w:r>
              <w:rPr>
                <w:rFonts w:hint="eastAsia" w:ascii="宋体" w:hAnsi="宋体"/>
                <w:sz w:val="24"/>
                <w:szCs w:val="24"/>
                <w:lang w:eastAsia="zh-CN"/>
              </w:rPr>
              <w:t>）</w:t>
            </w: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hint="eastAsia" w:ascii="宋体" w:hAnsi="宋体"/>
                <w:sz w:val="24"/>
                <w:szCs w:val="24"/>
              </w:rPr>
            </w:pPr>
          </w:p>
        </w:tc>
        <w:tc>
          <w:tcPr>
            <w:tcW w:w="900" w:type="dxa"/>
            <w:vMerge w:val="restart"/>
            <w:noWrap w:val="0"/>
            <w:vAlign w:val="center"/>
          </w:tcPr>
          <w:p>
            <w:pPr>
              <w:widowControl/>
              <w:jc w:val="center"/>
              <w:rPr>
                <w:rFonts w:hint="eastAsia" w:ascii="宋体" w:hAnsi="宋体"/>
                <w:sz w:val="24"/>
                <w:szCs w:val="24"/>
              </w:rPr>
            </w:pPr>
          </w:p>
          <w:p>
            <w:pPr>
              <w:widowControl/>
              <w:jc w:val="center"/>
              <w:rPr>
                <w:rFonts w:hint="eastAsia" w:ascii="宋体" w:hAnsi="宋体"/>
                <w:sz w:val="24"/>
                <w:szCs w:val="24"/>
              </w:rPr>
            </w:pPr>
            <w:r>
              <w:rPr>
                <w:rFonts w:hint="eastAsia" w:ascii="宋体" w:hAnsi="宋体"/>
                <w:sz w:val="24"/>
                <w:szCs w:val="24"/>
              </w:rPr>
              <w:t>站</w:t>
            </w:r>
          </w:p>
          <w:p>
            <w:pPr>
              <w:widowControl/>
              <w:jc w:val="center"/>
              <w:rPr>
                <w:rFonts w:hint="eastAsia" w:ascii="宋体" w:hAnsi="宋体"/>
                <w:sz w:val="24"/>
                <w:szCs w:val="24"/>
              </w:rPr>
            </w:pPr>
            <w:r>
              <w:rPr>
                <w:rFonts w:hint="eastAsia" w:ascii="宋体" w:hAnsi="宋体"/>
                <w:sz w:val="24"/>
                <w:szCs w:val="24"/>
              </w:rPr>
              <w:t>务</w:t>
            </w:r>
          </w:p>
          <w:p>
            <w:pPr>
              <w:widowControl/>
              <w:jc w:val="center"/>
              <w:rPr>
                <w:rFonts w:hint="eastAsia" w:ascii="宋体" w:hAnsi="宋体"/>
                <w:sz w:val="24"/>
                <w:szCs w:val="24"/>
              </w:rPr>
            </w:pPr>
            <w:r>
              <w:rPr>
                <w:rFonts w:hint="eastAsia" w:ascii="宋体" w:hAnsi="宋体"/>
                <w:sz w:val="24"/>
                <w:szCs w:val="24"/>
              </w:rPr>
              <w:t>人</w:t>
            </w:r>
          </w:p>
          <w:p>
            <w:pPr>
              <w:widowControl/>
              <w:jc w:val="center"/>
              <w:rPr>
                <w:rFonts w:hint="eastAsia" w:ascii="宋体" w:hAnsi="宋体"/>
                <w:sz w:val="24"/>
                <w:szCs w:val="24"/>
              </w:rPr>
            </w:pPr>
            <w:r>
              <w:rPr>
                <w:rFonts w:hint="eastAsia" w:ascii="宋体" w:hAnsi="宋体"/>
                <w:sz w:val="24"/>
                <w:szCs w:val="24"/>
              </w:rPr>
              <w:t>员</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服从总站监督管理和业务指导。</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5</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不服从总站管理，不听从业务指导，每人次扣1分。造成不良影响和经济损失的，视情节和后果每人次扣2—5分。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仪容端庄，着装规范整洁；头发干净、整齐，不留怪异发型，不染怪异发色。修饰：规范、得体、大方，不戴外型怪异饰物；不穿拖鞋；佩证（标志）上岗，</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3</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仪容不整、着装不规范、发型怪异、饰物夸张、不按规定佩证（标志）、穿拖鞋的每人次扣1分。</w:t>
            </w:r>
          </w:p>
          <w:p>
            <w:pPr>
              <w:widowControl/>
              <w:jc w:val="left"/>
              <w:rPr>
                <w:rFonts w:hint="eastAsia" w:ascii="宋体" w:hAnsi="宋体"/>
                <w:sz w:val="24"/>
                <w:szCs w:val="24"/>
              </w:rPr>
            </w:pPr>
          </w:p>
          <w:p>
            <w:pPr>
              <w:widowControl/>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1、工作时间不得擅离岗位，特殊情况除报</w:t>
            </w:r>
            <w:r>
              <w:rPr>
                <w:rFonts w:hint="eastAsia" w:ascii="宋体" w:hAnsi="宋体"/>
                <w:sz w:val="24"/>
                <w:szCs w:val="24"/>
                <w:lang w:eastAsia="zh-CN"/>
              </w:rPr>
              <w:t>投标人</w:t>
            </w:r>
            <w:r>
              <w:rPr>
                <w:rFonts w:hint="eastAsia" w:ascii="宋体" w:hAnsi="宋体"/>
                <w:sz w:val="24"/>
                <w:szCs w:val="24"/>
              </w:rPr>
              <w:t>主管领导同意，还须报总站股室负责人同意方可离开。</w:t>
            </w:r>
            <w:r>
              <w:rPr>
                <w:rFonts w:hint="eastAsia" w:ascii="宋体" w:hAnsi="宋体"/>
                <w:sz w:val="24"/>
                <w:szCs w:val="24"/>
                <w:lang w:eastAsia="zh-CN"/>
              </w:rPr>
              <w:t>投标人</w:t>
            </w:r>
            <w:r>
              <w:rPr>
                <w:rFonts w:hint="eastAsia" w:ascii="宋体" w:hAnsi="宋体"/>
                <w:sz w:val="24"/>
                <w:szCs w:val="24"/>
              </w:rPr>
              <w:t>须安排补充岗位人员缺失。</w:t>
            </w:r>
          </w:p>
          <w:p>
            <w:pPr>
              <w:widowControl/>
              <w:jc w:val="left"/>
              <w:rPr>
                <w:rFonts w:hint="eastAsia" w:ascii="宋体" w:hAnsi="宋体"/>
                <w:sz w:val="24"/>
                <w:szCs w:val="24"/>
              </w:rPr>
            </w:pPr>
            <w:r>
              <w:rPr>
                <w:rFonts w:hint="eastAsia" w:ascii="宋体" w:hAnsi="宋体"/>
                <w:sz w:val="24"/>
                <w:szCs w:val="24"/>
              </w:rPr>
              <w:t>2、服务热情，用语文明，动作规范、耐心向旅客和群众解疑答惑。克制情绪礼让旅客，尽力避免与旅客发生矛盾纠纷。</w:t>
            </w:r>
          </w:p>
          <w:p>
            <w:pPr>
              <w:widowControl/>
              <w:jc w:val="left"/>
              <w:rPr>
                <w:rFonts w:hint="eastAsia" w:ascii="宋体" w:hAnsi="宋体"/>
                <w:sz w:val="24"/>
                <w:szCs w:val="24"/>
              </w:rPr>
            </w:pPr>
            <w:r>
              <w:rPr>
                <w:rFonts w:hint="eastAsia" w:ascii="宋体" w:hAnsi="宋体"/>
                <w:sz w:val="24"/>
                <w:szCs w:val="24"/>
              </w:rPr>
              <w:t>3、工作中不做与工作无关的事；不与任何人闲聊。严禁溜岗、串岗、脱岗。</w:t>
            </w:r>
          </w:p>
          <w:p>
            <w:pPr>
              <w:widowControl/>
              <w:jc w:val="left"/>
              <w:rPr>
                <w:rFonts w:hint="eastAsia" w:ascii="宋体" w:hAnsi="宋体"/>
                <w:sz w:val="24"/>
                <w:szCs w:val="24"/>
              </w:rPr>
            </w:pPr>
            <w:r>
              <w:rPr>
                <w:rFonts w:hint="eastAsia" w:ascii="宋体" w:hAnsi="宋体"/>
                <w:sz w:val="24"/>
                <w:szCs w:val="24"/>
              </w:rPr>
              <w:t>4、禁止酒后上岗和在岗位上饮酒抽烟。</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15</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1、未经股室负责人同意离岗每人次扣3分；</w:t>
            </w:r>
            <w:r>
              <w:rPr>
                <w:rFonts w:hint="eastAsia" w:ascii="宋体" w:hAnsi="宋体"/>
                <w:sz w:val="24"/>
                <w:szCs w:val="24"/>
                <w:lang w:eastAsia="zh-CN"/>
              </w:rPr>
              <w:t>投标人</w:t>
            </w:r>
            <w:r>
              <w:rPr>
                <w:rFonts w:hint="eastAsia" w:ascii="宋体" w:hAnsi="宋体"/>
                <w:sz w:val="24"/>
                <w:szCs w:val="24"/>
              </w:rPr>
              <w:t>未补足岗位人员缺失，每缺一个岗位扣5分。</w:t>
            </w:r>
          </w:p>
          <w:p>
            <w:pPr>
              <w:widowControl/>
              <w:jc w:val="left"/>
              <w:rPr>
                <w:rFonts w:hint="eastAsia" w:ascii="宋体" w:hAnsi="宋体"/>
                <w:sz w:val="24"/>
                <w:szCs w:val="24"/>
              </w:rPr>
            </w:pPr>
            <w:r>
              <w:rPr>
                <w:rFonts w:hint="eastAsia" w:ascii="宋体" w:hAnsi="宋体"/>
                <w:sz w:val="24"/>
                <w:szCs w:val="24"/>
              </w:rPr>
              <w:t>2、态度生硬、用语不文明、动作不规范、解释不耐心，每人次扣2—5分；被旅客投诉经查属实的每人次扣5—10分。</w:t>
            </w:r>
          </w:p>
          <w:p>
            <w:pPr>
              <w:widowControl/>
              <w:jc w:val="left"/>
              <w:rPr>
                <w:rFonts w:hint="eastAsia" w:ascii="宋体" w:hAnsi="宋体"/>
                <w:sz w:val="24"/>
                <w:szCs w:val="24"/>
              </w:rPr>
            </w:pPr>
            <w:r>
              <w:rPr>
                <w:rFonts w:hint="eastAsia" w:ascii="宋体" w:hAnsi="宋体"/>
                <w:sz w:val="24"/>
                <w:szCs w:val="24"/>
              </w:rPr>
              <w:t>3、做与工作无关的事；溜岗、串岗、脱岗、与人闲聊每人次扣2—5分。</w:t>
            </w: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4、酒后上岗、在岗位上饮酒抽烟的每人次扣5分。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自觉遵守岗位作息时间，不迟到、不早退。严格交接班制度，接班人未到交班人未经班长同意不得离岗。超出30分钟未到岗的</w:t>
            </w:r>
            <w:r>
              <w:rPr>
                <w:rFonts w:hint="eastAsia" w:ascii="宋体" w:hAnsi="宋体"/>
                <w:sz w:val="24"/>
                <w:szCs w:val="24"/>
                <w:lang w:eastAsia="zh-CN"/>
              </w:rPr>
              <w:t>投标人</w:t>
            </w:r>
            <w:r>
              <w:rPr>
                <w:rFonts w:hint="eastAsia" w:ascii="宋体" w:hAnsi="宋体"/>
                <w:sz w:val="24"/>
                <w:szCs w:val="24"/>
              </w:rPr>
              <w:t>应另外派人补充岗位缺失人员。</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5</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迟到、早退一人次扣1分；未按时接班、未经班长同意交班人离开岗位每人次扣2—5分。超出30分钟到岗的每人次扣5分。</w:t>
            </w:r>
          </w:p>
          <w:p>
            <w:pPr>
              <w:widowControl/>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center"/>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学习掌握总站应急救援程序和方法，熟悉总站防暴、消防、防汛等应急救援器材存放位置及使用方法，发生险情积极参与应急处置。</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5</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不了解总站应急救援程序和方法、不熟悉总站防暴、消防、防汛等应急救援器材存放位置及使用方法，不积极参与应急处置，每人次扣5分。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top"/>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1、自觉参加总站及股室组织的各种政治、业务学习及活动。</w:t>
            </w:r>
          </w:p>
          <w:p>
            <w:pPr>
              <w:widowControl/>
              <w:jc w:val="left"/>
              <w:rPr>
                <w:rFonts w:hint="eastAsia" w:ascii="宋体" w:hAnsi="宋体"/>
                <w:sz w:val="24"/>
                <w:szCs w:val="24"/>
              </w:rPr>
            </w:pPr>
            <w:r>
              <w:rPr>
                <w:rFonts w:hint="eastAsia" w:ascii="宋体" w:hAnsi="宋体"/>
                <w:sz w:val="24"/>
                <w:szCs w:val="24"/>
              </w:rPr>
              <w:t>2、按要求做好各项工作，工作记录真实完整。</w:t>
            </w:r>
          </w:p>
          <w:p>
            <w:pPr>
              <w:widowControl/>
              <w:jc w:val="left"/>
              <w:rPr>
                <w:rFonts w:hint="eastAsia" w:ascii="宋体" w:hAnsi="宋体"/>
                <w:sz w:val="24"/>
                <w:szCs w:val="24"/>
              </w:rPr>
            </w:pPr>
            <w:r>
              <w:rPr>
                <w:rFonts w:hint="eastAsia" w:ascii="宋体" w:hAnsi="宋体"/>
                <w:sz w:val="24"/>
                <w:szCs w:val="24"/>
              </w:rPr>
              <w:t>3、负责工作区域卫生管理，物品陈放有序、环境整洁卫生。</w:t>
            </w:r>
          </w:p>
          <w:p>
            <w:pPr>
              <w:widowControl/>
              <w:jc w:val="left"/>
              <w:rPr>
                <w:rFonts w:hint="eastAsia" w:ascii="宋体" w:hAnsi="宋体"/>
                <w:sz w:val="24"/>
                <w:szCs w:val="24"/>
              </w:rPr>
            </w:pP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8</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1、不参加总站及股室组织的各种政治、业务学习及活动，每人次扣2分。</w:t>
            </w:r>
          </w:p>
          <w:p>
            <w:pPr>
              <w:widowControl/>
              <w:jc w:val="left"/>
              <w:rPr>
                <w:rFonts w:hint="eastAsia" w:ascii="宋体" w:hAnsi="宋体"/>
                <w:sz w:val="24"/>
                <w:szCs w:val="24"/>
              </w:rPr>
            </w:pPr>
            <w:r>
              <w:rPr>
                <w:rFonts w:hint="eastAsia" w:ascii="宋体" w:hAnsi="宋体"/>
                <w:sz w:val="24"/>
                <w:szCs w:val="24"/>
              </w:rPr>
              <w:t>2、不按要求完成工作，工作记录不真实不完整，每人次扣2—5分。</w:t>
            </w:r>
          </w:p>
          <w:p>
            <w:pPr>
              <w:widowControl/>
              <w:jc w:val="left"/>
              <w:rPr>
                <w:rFonts w:hint="eastAsia" w:ascii="宋体" w:hAnsi="宋体"/>
                <w:sz w:val="24"/>
                <w:szCs w:val="24"/>
              </w:rPr>
            </w:pPr>
            <w:r>
              <w:rPr>
                <w:rFonts w:hint="eastAsia" w:ascii="宋体" w:hAnsi="宋体"/>
                <w:sz w:val="24"/>
                <w:szCs w:val="24"/>
              </w:rPr>
              <w:t>3、工作区域卫生差，每人次扣1—2分；被上级检查通报给总站造成不良影响的每人次扣5分。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vMerge w:val="continue"/>
            <w:noWrap w:val="0"/>
            <w:vAlign w:val="top"/>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爱护并看管好总站设施设备。</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4</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设施设备损坏，每人次扣0.5—1分；设施设备丢失每人次扣2分。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5" w:hRule="atLeast"/>
        </w:trPr>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left"/>
              <w:rPr>
                <w:rFonts w:hint="eastAsia" w:ascii="宋体" w:hAnsi="宋体"/>
                <w:sz w:val="24"/>
                <w:szCs w:val="24"/>
              </w:rPr>
            </w:pPr>
            <w:r>
              <w:rPr>
                <w:rFonts w:hint="eastAsia" w:ascii="宋体" w:hAnsi="宋体"/>
                <w:sz w:val="24"/>
                <w:szCs w:val="24"/>
              </w:rPr>
              <w:t>咨询</w:t>
            </w:r>
          </w:p>
          <w:p>
            <w:pPr>
              <w:widowControl/>
              <w:jc w:val="left"/>
              <w:rPr>
                <w:rFonts w:hint="eastAsia" w:ascii="宋体" w:hAnsi="宋体"/>
                <w:sz w:val="24"/>
                <w:szCs w:val="24"/>
              </w:rPr>
            </w:pPr>
            <w:r>
              <w:rPr>
                <w:rFonts w:hint="eastAsia" w:ascii="宋体" w:hAnsi="宋体"/>
                <w:sz w:val="24"/>
                <w:szCs w:val="24"/>
              </w:rPr>
              <w:t>快运寄存</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1、严格按岗位工作职责为旅客提供购票、乘车、转换乘等交通出行咨询；主动为旅客特别是老弱病残孕等特殊旅客提供服务；收集旅客意见，受理旅客投诉。</w:t>
            </w:r>
          </w:p>
          <w:p>
            <w:pPr>
              <w:widowControl/>
              <w:jc w:val="left"/>
              <w:rPr>
                <w:rFonts w:hint="eastAsia" w:ascii="宋体" w:hAnsi="宋体"/>
                <w:sz w:val="24"/>
                <w:szCs w:val="24"/>
              </w:rPr>
            </w:pPr>
            <w:r>
              <w:rPr>
                <w:rFonts w:hint="eastAsia" w:ascii="宋体" w:hAnsi="宋体"/>
                <w:sz w:val="24"/>
                <w:szCs w:val="24"/>
              </w:rPr>
              <w:t>2、严格执行三个100%规定，认真填写托运单，与驾驶员仔细办理交接手续，避免错发、漏发。</w:t>
            </w:r>
          </w:p>
          <w:p>
            <w:pPr>
              <w:widowControl/>
              <w:jc w:val="left"/>
              <w:rPr>
                <w:rFonts w:hint="eastAsia" w:ascii="宋体" w:hAnsi="宋体"/>
                <w:sz w:val="24"/>
                <w:szCs w:val="24"/>
              </w:rPr>
            </w:pPr>
            <w:r>
              <w:rPr>
                <w:rFonts w:hint="eastAsia" w:ascii="宋体" w:hAnsi="宋体"/>
                <w:sz w:val="24"/>
                <w:szCs w:val="24"/>
              </w:rPr>
              <w:t>3、严格按操作规程办理小件物品存取业务，严禁夹带有（三品）的物品寄存，避免火灾、水损、鼠损等事故发生，不发生漏取错取情况。</w:t>
            </w:r>
          </w:p>
          <w:p>
            <w:pPr>
              <w:widowControl/>
              <w:jc w:val="left"/>
              <w:rPr>
                <w:rFonts w:hint="eastAsia" w:ascii="宋体" w:hAnsi="宋体"/>
                <w:sz w:val="24"/>
                <w:szCs w:val="24"/>
              </w:rPr>
            </w:pPr>
            <w:r>
              <w:rPr>
                <w:rFonts w:hint="eastAsia" w:ascii="宋体" w:hAnsi="宋体"/>
                <w:sz w:val="24"/>
                <w:szCs w:val="24"/>
              </w:rPr>
              <w:t>4、巡查候车厅安全情况，发现可疑情况（人员）及时汇报；积极参与突发事件应急处置，出现险情指挥厅内人员撤离危险区域。</w:t>
            </w:r>
          </w:p>
          <w:p>
            <w:pPr>
              <w:widowControl/>
              <w:jc w:val="left"/>
              <w:rPr>
                <w:rFonts w:hint="eastAsia" w:ascii="宋体" w:hAnsi="宋体"/>
                <w:sz w:val="24"/>
                <w:szCs w:val="24"/>
              </w:rPr>
            </w:pPr>
            <w:r>
              <w:rPr>
                <w:rFonts w:hint="eastAsia" w:ascii="宋体" w:hAnsi="宋体"/>
                <w:sz w:val="24"/>
                <w:szCs w:val="24"/>
              </w:rPr>
              <w:t>5、负责候车厅秩序和卫生管理，及时制止大厅内乞讨、喊拉乘客、吸烟、乱扔垃圾、高声喧哗、损坏设施等不文明行为行为。</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15</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1、为旅客提供购票、乘车、转换乘等交通出行咨询有误或不详细；不主动为旅客提供服务；收集旅客意见不耐心，不受理旅客投诉。每人次扣1—5分。</w:t>
            </w:r>
          </w:p>
          <w:p>
            <w:pPr>
              <w:widowControl/>
              <w:jc w:val="left"/>
              <w:rPr>
                <w:rFonts w:hint="eastAsia" w:ascii="宋体" w:hAnsi="宋体"/>
                <w:sz w:val="24"/>
                <w:szCs w:val="24"/>
              </w:rPr>
            </w:pPr>
            <w:r>
              <w:rPr>
                <w:rFonts w:hint="eastAsia" w:ascii="宋体" w:hAnsi="宋体"/>
                <w:sz w:val="24"/>
                <w:szCs w:val="24"/>
              </w:rPr>
              <w:t xml:space="preserve">2、不执行三个100%规定；快运物品夹带违禁物品；交接手续不仔细，发生错发漏发，每人次扣5—10分。 </w:t>
            </w: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3、寄存手续不全；收存违禁物品；物品存放处发生火灾、水损、鼠损等事故；漏取错取物品，每人次扣2—10分。</w:t>
            </w: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4、发现可疑情况不汇报；不参与突发事件应急处置，每人次扣5分。</w:t>
            </w: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5、不制止不文明行为、候车厅秩序混乱、卫生差、设施损坏，每人次扣1—5分。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left"/>
              <w:rPr>
                <w:rFonts w:hint="eastAsia" w:ascii="宋体" w:hAnsi="宋体"/>
                <w:sz w:val="24"/>
                <w:szCs w:val="24"/>
              </w:rPr>
            </w:pPr>
            <w:r>
              <w:rPr>
                <w:rFonts w:hint="eastAsia" w:ascii="宋体" w:hAnsi="宋体"/>
                <w:sz w:val="24"/>
                <w:szCs w:val="24"/>
              </w:rPr>
              <w:t>调度</w:t>
            </w:r>
          </w:p>
          <w:p>
            <w:pPr>
              <w:widowControl/>
              <w:jc w:val="left"/>
              <w:rPr>
                <w:rFonts w:hint="eastAsia" w:ascii="宋体" w:hAnsi="宋体"/>
                <w:sz w:val="24"/>
                <w:szCs w:val="24"/>
              </w:rPr>
            </w:pPr>
            <w:r>
              <w:rPr>
                <w:rFonts w:hint="eastAsia" w:ascii="宋体" w:hAnsi="宋体"/>
                <w:sz w:val="24"/>
                <w:szCs w:val="24"/>
              </w:rPr>
              <w:t>广播</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1、严格按下班通知编制车辆调度计划，根据旅客流量报请股室领导审核后安排储备运力运送旅客。</w:t>
            </w:r>
          </w:p>
          <w:p>
            <w:pPr>
              <w:widowControl/>
              <w:jc w:val="left"/>
              <w:rPr>
                <w:rFonts w:hint="eastAsia" w:ascii="宋体" w:hAnsi="宋体"/>
                <w:sz w:val="24"/>
                <w:szCs w:val="24"/>
              </w:rPr>
            </w:pPr>
            <w:r>
              <w:rPr>
                <w:rFonts w:hint="eastAsia" w:ascii="宋体" w:hAnsi="宋体"/>
                <w:sz w:val="24"/>
                <w:szCs w:val="24"/>
              </w:rPr>
              <w:t>2、严格执行“六不出站”规定，不得为安检不合格车辆办理报班手续，如遇恶劣天气需缓（停）班，立即请示股室负责人。如实填写车辆报停班及应班记录。</w:t>
            </w:r>
          </w:p>
          <w:p>
            <w:pPr>
              <w:widowControl/>
              <w:jc w:val="left"/>
              <w:rPr>
                <w:rFonts w:hint="eastAsia" w:ascii="宋体" w:hAnsi="宋体"/>
                <w:sz w:val="24"/>
                <w:szCs w:val="24"/>
              </w:rPr>
            </w:pPr>
            <w:r>
              <w:rPr>
                <w:rFonts w:hint="eastAsia" w:ascii="宋体" w:hAnsi="宋体"/>
                <w:sz w:val="24"/>
                <w:szCs w:val="24"/>
              </w:rPr>
              <w:t>3、广播内容丰富完整，班车路况信息及发车信息播报全面及时。如遇班次变化，需反复播报通知。</w:t>
            </w:r>
          </w:p>
          <w:p>
            <w:pPr>
              <w:widowControl/>
              <w:jc w:val="left"/>
              <w:rPr>
                <w:rFonts w:hint="eastAsia" w:ascii="宋体" w:hAnsi="宋体"/>
                <w:sz w:val="24"/>
                <w:szCs w:val="24"/>
              </w:rPr>
            </w:pPr>
            <w:r>
              <w:rPr>
                <w:rFonts w:hint="eastAsia" w:ascii="宋体" w:hAnsi="宋体"/>
                <w:sz w:val="24"/>
                <w:szCs w:val="24"/>
              </w:rPr>
              <w:t>4、掌握突发事件处置程序，及时播报领导指令，指挥现场人员处置、安全疏散。</w:t>
            </w:r>
          </w:p>
          <w:p>
            <w:pPr>
              <w:widowControl/>
              <w:jc w:val="left"/>
              <w:rPr>
                <w:rFonts w:hint="eastAsia" w:ascii="宋体" w:hAnsi="宋体"/>
                <w:sz w:val="24"/>
                <w:szCs w:val="24"/>
              </w:rPr>
            </w:pPr>
            <w:r>
              <w:rPr>
                <w:rFonts w:hint="eastAsia" w:ascii="宋体" w:hAnsi="宋体"/>
                <w:sz w:val="24"/>
                <w:szCs w:val="24"/>
              </w:rPr>
              <w:t>5、使用普通话接听咨询电话，耐心、热情为旅客答疑解惑。</w:t>
            </w: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6、严格按程序操作微机。下班前检查办公室门窗、电源是否关好，做好防火防盗工作。</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10</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1、调度计划编制不合理，未经领导同意安排车辆加班，每人次扣1—5分。</w:t>
            </w: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2、安排安检不合格车辆应班；缓停班不请示领导；车辆报停班及应班资料不真实不完整，每人次扣2—5分。</w:t>
            </w: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3、广播内容单一、班车信息播报不及时，每人次扣1—5分。如因播报不及时造成旅客漏乘、错乘的每人次扣5—10分。</w:t>
            </w: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4、发生突发事件时不播报领导指令，不参与应急处置，每人次扣10分。</w:t>
            </w: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5、接听电话不耐心，不使用普通话，每人次扣1—5分。因态度不好造成投诉的每人次扣5—10分。</w:t>
            </w:r>
          </w:p>
          <w:p>
            <w:pPr>
              <w:widowControl/>
              <w:jc w:val="left"/>
              <w:rPr>
                <w:rFonts w:hint="eastAsia" w:ascii="宋体" w:hAnsi="宋体"/>
                <w:sz w:val="24"/>
                <w:szCs w:val="24"/>
              </w:rPr>
            </w:pPr>
            <w:r>
              <w:rPr>
                <w:rFonts w:hint="eastAsia" w:ascii="宋体" w:hAnsi="宋体"/>
                <w:sz w:val="24"/>
                <w:szCs w:val="24"/>
              </w:rPr>
              <w:t>6、违规操作微机，下班前不进行安全检查，每人次扣1—2分，如果造成严重后果，每人次扣10分。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left"/>
              <w:rPr>
                <w:rFonts w:hint="eastAsia" w:ascii="宋体" w:hAnsi="宋体"/>
                <w:sz w:val="24"/>
                <w:szCs w:val="24"/>
              </w:rPr>
            </w:pPr>
            <w:r>
              <w:rPr>
                <w:rFonts w:hint="eastAsia" w:ascii="宋体" w:hAnsi="宋体"/>
                <w:sz w:val="24"/>
                <w:szCs w:val="24"/>
              </w:rPr>
              <w:t>站场管理</w:t>
            </w: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检票</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1、负责公路客运场地秩序和安全管理。纠正处理场内违规行为。</w:t>
            </w:r>
          </w:p>
          <w:p>
            <w:pPr>
              <w:widowControl/>
              <w:jc w:val="left"/>
              <w:rPr>
                <w:rFonts w:hint="eastAsia" w:ascii="宋体" w:hAnsi="宋体"/>
                <w:sz w:val="24"/>
                <w:szCs w:val="24"/>
              </w:rPr>
            </w:pPr>
            <w:r>
              <w:rPr>
                <w:rFonts w:hint="eastAsia" w:ascii="宋体" w:hAnsi="宋体"/>
                <w:sz w:val="24"/>
                <w:szCs w:val="24"/>
              </w:rPr>
              <w:t>2、按程序指挥车辆进入站台应班，组织旅客有序上车。抽检旅客行包有无携带“三品”情况。</w:t>
            </w:r>
          </w:p>
          <w:p>
            <w:pPr>
              <w:widowControl/>
              <w:jc w:val="left"/>
              <w:rPr>
                <w:rFonts w:hint="eastAsia" w:ascii="宋体" w:hAnsi="宋体"/>
                <w:sz w:val="24"/>
                <w:szCs w:val="24"/>
              </w:rPr>
            </w:pPr>
            <w:r>
              <w:rPr>
                <w:rFonts w:hint="eastAsia" w:ascii="宋体" w:hAnsi="宋体"/>
                <w:sz w:val="24"/>
                <w:szCs w:val="24"/>
              </w:rPr>
              <w:t>3、检票口秩序良好，旅客乘车有序。严格执行跨省市客车实名制乘车规定，旅客所持客票的班次、线路、时刻、身份证件无误，严禁无当次客车车票及无关人员进入发车站台。</w:t>
            </w:r>
          </w:p>
          <w:p>
            <w:pPr>
              <w:widowControl/>
              <w:jc w:val="left"/>
              <w:rPr>
                <w:rFonts w:hint="eastAsia" w:ascii="宋体" w:hAnsi="宋体"/>
                <w:sz w:val="24"/>
                <w:szCs w:val="24"/>
              </w:rPr>
            </w:pPr>
            <w:r>
              <w:rPr>
                <w:rFonts w:hint="eastAsia" w:ascii="宋体" w:hAnsi="宋体"/>
                <w:sz w:val="24"/>
                <w:szCs w:val="24"/>
              </w:rPr>
              <w:t>4、制止喊拉乘客、吸烟等不文明行为。</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15</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1、公路客运秩序混乱，有无关人员进入场地；发现违章不制止不纠正不处罚，每人次扣1—5分。发生场内安全事故，每人次扣15分。</w:t>
            </w:r>
          </w:p>
          <w:p>
            <w:pPr>
              <w:widowControl/>
              <w:jc w:val="left"/>
              <w:rPr>
                <w:rFonts w:hint="eastAsia" w:ascii="宋体" w:hAnsi="宋体"/>
                <w:sz w:val="24"/>
                <w:szCs w:val="24"/>
              </w:rPr>
            </w:pPr>
            <w:r>
              <w:rPr>
                <w:rFonts w:hint="eastAsia" w:ascii="宋体" w:hAnsi="宋体"/>
                <w:sz w:val="24"/>
                <w:szCs w:val="24"/>
              </w:rPr>
              <w:t>2、有非应班车进入站台、旅客上车无序，有违禁物品进入站台，每人次扣1—5分。</w:t>
            </w:r>
          </w:p>
          <w:p>
            <w:pPr>
              <w:widowControl/>
              <w:jc w:val="left"/>
              <w:rPr>
                <w:rFonts w:hint="eastAsia" w:ascii="宋体" w:hAnsi="宋体"/>
                <w:sz w:val="24"/>
                <w:szCs w:val="24"/>
              </w:rPr>
            </w:pPr>
            <w:r>
              <w:rPr>
                <w:rFonts w:hint="eastAsia" w:ascii="宋体" w:hAnsi="宋体"/>
                <w:sz w:val="24"/>
                <w:szCs w:val="24"/>
              </w:rPr>
              <w:t>3、检票秩序混乱，有无票乘客、无关人员、非当次班车乘客及身份证件不符人员进入站台，每人次扣1—5分。</w:t>
            </w:r>
          </w:p>
          <w:p>
            <w:pPr>
              <w:widowControl/>
              <w:jc w:val="left"/>
              <w:rPr>
                <w:rFonts w:hint="eastAsia" w:ascii="宋体" w:hAnsi="宋体"/>
                <w:sz w:val="24"/>
                <w:szCs w:val="24"/>
              </w:rPr>
            </w:pPr>
            <w:r>
              <w:rPr>
                <w:rFonts w:hint="eastAsia" w:ascii="宋体" w:hAnsi="宋体"/>
                <w:sz w:val="24"/>
                <w:szCs w:val="24"/>
              </w:rPr>
              <w:t>4、不制止不文明行为，每人次扣0.5分。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Merge w:val="continue"/>
            <w:noWrap w:val="0"/>
            <w:vAlign w:val="center"/>
          </w:tcPr>
          <w:p>
            <w:pPr>
              <w:widowControl/>
              <w:jc w:val="left"/>
              <w:rPr>
                <w:rFonts w:hint="eastAsia" w:ascii="宋体" w:hAnsi="宋体"/>
                <w:sz w:val="24"/>
                <w:szCs w:val="24"/>
              </w:rPr>
            </w:pPr>
          </w:p>
        </w:tc>
        <w:tc>
          <w:tcPr>
            <w:tcW w:w="900" w:type="dxa"/>
            <w:noWrap w:val="0"/>
            <w:vAlign w:val="center"/>
          </w:tcPr>
          <w:p>
            <w:pPr>
              <w:widowControl/>
              <w:jc w:val="left"/>
              <w:rPr>
                <w:rFonts w:hint="eastAsia" w:ascii="宋体" w:hAnsi="宋体"/>
                <w:sz w:val="24"/>
                <w:szCs w:val="24"/>
              </w:rPr>
            </w:pPr>
            <w:r>
              <w:rPr>
                <w:rFonts w:hint="eastAsia" w:ascii="宋体" w:hAnsi="宋体"/>
                <w:sz w:val="24"/>
                <w:szCs w:val="24"/>
              </w:rPr>
              <w:t>监控</w:t>
            </w: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出站检查</w:t>
            </w:r>
          </w:p>
        </w:tc>
        <w:tc>
          <w:tcPr>
            <w:tcW w:w="3240" w:type="dxa"/>
            <w:noWrap w:val="0"/>
            <w:vAlign w:val="top"/>
          </w:tcPr>
          <w:p>
            <w:pPr>
              <w:widowControl/>
              <w:jc w:val="left"/>
              <w:rPr>
                <w:rFonts w:hint="eastAsia" w:ascii="宋体" w:hAnsi="宋体"/>
                <w:sz w:val="24"/>
                <w:szCs w:val="24"/>
              </w:rPr>
            </w:pPr>
            <w:r>
              <w:rPr>
                <w:rFonts w:hint="eastAsia" w:ascii="宋体" w:hAnsi="宋体"/>
                <w:sz w:val="24"/>
                <w:szCs w:val="24"/>
              </w:rPr>
              <w:t>1、运用监控设备，监视站内各部位工作及安全生产。发现岗位人员缺失和履职不到位、安全生产异常和危险情况，及时报告领导、通知相关股室妥善处置。</w:t>
            </w:r>
          </w:p>
          <w:p>
            <w:pPr>
              <w:widowControl/>
              <w:jc w:val="left"/>
              <w:rPr>
                <w:rFonts w:hint="eastAsia" w:ascii="宋体" w:hAnsi="宋体"/>
                <w:sz w:val="24"/>
                <w:szCs w:val="24"/>
              </w:rPr>
            </w:pPr>
            <w:r>
              <w:rPr>
                <w:rFonts w:hint="eastAsia" w:ascii="宋体" w:hAnsi="宋体"/>
                <w:sz w:val="24"/>
                <w:szCs w:val="24"/>
              </w:rPr>
              <w:t>2、发生突发或紧急险情时，利用技术手段跟踪报告险情变化及处置状况，为领导决策提供依据。</w:t>
            </w:r>
          </w:p>
          <w:p>
            <w:pPr>
              <w:widowControl/>
              <w:jc w:val="left"/>
              <w:rPr>
                <w:rFonts w:hint="eastAsia" w:ascii="宋体" w:hAnsi="宋体"/>
                <w:sz w:val="24"/>
                <w:szCs w:val="24"/>
              </w:rPr>
            </w:pPr>
            <w:r>
              <w:rPr>
                <w:rFonts w:hint="eastAsia" w:ascii="宋体" w:hAnsi="宋体"/>
                <w:sz w:val="24"/>
                <w:szCs w:val="24"/>
              </w:rPr>
              <w:t>3、按操作规程认真对出站客车的安检、报班、载客（货）、安全带佩系、安全承诺、酒精检测等逐项进行检查。对出站车辆进行发车前安全告知，提醒驾驶员安全行车。</w:t>
            </w:r>
          </w:p>
          <w:p>
            <w:pPr>
              <w:widowControl/>
              <w:jc w:val="left"/>
              <w:rPr>
                <w:rFonts w:hint="eastAsia" w:ascii="宋体" w:hAnsi="宋体"/>
                <w:sz w:val="24"/>
                <w:szCs w:val="24"/>
              </w:rPr>
            </w:pPr>
            <w:r>
              <w:rPr>
                <w:rFonts w:hint="eastAsia" w:ascii="宋体" w:hAnsi="宋体"/>
                <w:sz w:val="24"/>
                <w:szCs w:val="24"/>
              </w:rPr>
              <w:t>4、制止行人及无关人员在出站通道穿行逗留。</w:t>
            </w: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15</w:t>
            </w:r>
          </w:p>
        </w:tc>
        <w:tc>
          <w:tcPr>
            <w:tcW w:w="3260" w:type="dxa"/>
            <w:noWrap w:val="0"/>
            <w:vAlign w:val="top"/>
          </w:tcPr>
          <w:p>
            <w:pPr>
              <w:widowControl/>
              <w:jc w:val="left"/>
              <w:rPr>
                <w:rFonts w:hint="eastAsia" w:ascii="宋体" w:hAnsi="宋体"/>
                <w:sz w:val="24"/>
                <w:szCs w:val="24"/>
              </w:rPr>
            </w:pPr>
            <w:r>
              <w:rPr>
                <w:rFonts w:hint="eastAsia" w:ascii="宋体" w:hAnsi="宋体"/>
                <w:sz w:val="24"/>
                <w:szCs w:val="24"/>
              </w:rPr>
              <w:t>1、不按规定监控站内工作情况，每人次扣5分。发现岗位人员缺失和履职不到位、安全生产异常和危险情况，不报告不通知，每人次扣1—5分。</w:t>
            </w:r>
          </w:p>
          <w:p>
            <w:pPr>
              <w:widowControl/>
              <w:jc w:val="left"/>
              <w:rPr>
                <w:rFonts w:hint="eastAsia" w:ascii="宋体" w:hAnsi="宋体"/>
                <w:sz w:val="24"/>
                <w:szCs w:val="24"/>
              </w:rPr>
            </w:pPr>
          </w:p>
          <w:p>
            <w:pPr>
              <w:widowControl/>
              <w:jc w:val="left"/>
              <w:rPr>
                <w:rFonts w:hint="eastAsia" w:ascii="宋体" w:hAnsi="宋体"/>
                <w:sz w:val="24"/>
                <w:szCs w:val="24"/>
              </w:rPr>
            </w:pPr>
            <w:r>
              <w:rPr>
                <w:rFonts w:hint="eastAsia" w:ascii="宋体" w:hAnsi="宋体"/>
                <w:sz w:val="24"/>
                <w:szCs w:val="24"/>
              </w:rPr>
              <w:t>2、不跟踪报告险情及变化情况，每人次5分。</w:t>
            </w:r>
          </w:p>
          <w:p>
            <w:pPr>
              <w:widowControl/>
              <w:jc w:val="left"/>
              <w:rPr>
                <w:rFonts w:hint="eastAsia" w:ascii="宋体" w:hAnsi="宋体"/>
                <w:sz w:val="24"/>
                <w:szCs w:val="24"/>
              </w:rPr>
            </w:pPr>
            <w:r>
              <w:rPr>
                <w:rFonts w:hint="eastAsia" w:ascii="宋体" w:hAnsi="宋体"/>
                <w:sz w:val="24"/>
                <w:szCs w:val="24"/>
              </w:rPr>
              <w:t>3、不按程序逐项检查出站车辆情况，不进行安全告知，不提醒驾驶员安全行车，每人次扣1—5分。放行手续不齐或安检不合格车辆出站的每人次扣10分。</w:t>
            </w:r>
          </w:p>
          <w:p>
            <w:pPr>
              <w:widowControl/>
              <w:jc w:val="left"/>
              <w:rPr>
                <w:rFonts w:hint="eastAsia" w:ascii="宋体" w:hAnsi="宋体"/>
                <w:sz w:val="24"/>
                <w:szCs w:val="24"/>
              </w:rPr>
            </w:pPr>
            <w:r>
              <w:rPr>
                <w:rFonts w:hint="eastAsia" w:ascii="宋体" w:hAnsi="宋体"/>
                <w:sz w:val="24"/>
                <w:szCs w:val="24"/>
              </w:rPr>
              <w:t>4、不制止行人及无关人员在出站通道穿行逗留，每人次扣1—2分。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429" w:type="dxa"/>
            <w:noWrap w:val="0"/>
            <w:vAlign w:val="center"/>
          </w:tcPr>
          <w:p>
            <w:pPr>
              <w:widowControl/>
              <w:jc w:val="left"/>
              <w:rPr>
                <w:rFonts w:hint="eastAsia" w:ascii="宋体" w:hAnsi="宋体"/>
                <w:sz w:val="24"/>
                <w:szCs w:val="24"/>
              </w:rPr>
            </w:pPr>
            <w:r>
              <w:rPr>
                <w:rFonts w:hint="eastAsia" w:ascii="宋体" w:hAnsi="宋体"/>
                <w:sz w:val="24"/>
                <w:szCs w:val="24"/>
              </w:rPr>
              <w:t>小计</w:t>
            </w:r>
          </w:p>
        </w:tc>
        <w:tc>
          <w:tcPr>
            <w:tcW w:w="900" w:type="dxa"/>
            <w:noWrap w:val="0"/>
            <w:vAlign w:val="center"/>
          </w:tcPr>
          <w:p>
            <w:pPr>
              <w:widowControl/>
              <w:jc w:val="left"/>
              <w:rPr>
                <w:rFonts w:hint="eastAsia" w:ascii="宋体" w:hAnsi="宋体"/>
                <w:sz w:val="24"/>
                <w:szCs w:val="24"/>
              </w:rPr>
            </w:pPr>
          </w:p>
        </w:tc>
        <w:tc>
          <w:tcPr>
            <w:tcW w:w="3240" w:type="dxa"/>
            <w:noWrap w:val="0"/>
            <w:vAlign w:val="top"/>
          </w:tcPr>
          <w:p>
            <w:pPr>
              <w:widowControl/>
              <w:jc w:val="left"/>
              <w:rPr>
                <w:rFonts w:hint="eastAsia" w:ascii="宋体" w:hAnsi="宋体"/>
                <w:sz w:val="24"/>
                <w:szCs w:val="24"/>
              </w:rPr>
            </w:pPr>
          </w:p>
        </w:tc>
        <w:tc>
          <w:tcPr>
            <w:tcW w:w="1094" w:type="dxa"/>
            <w:noWrap w:val="0"/>
            <w:vAlign w:val="center"/>
          </w:tcPr>
          <w:p>
            <w:pPr>
              <w:widowControl/>
              <w:jc w:val="center"/>
              <w:rPr>
                <w:rFonts w:hint="eastAsia" w:ascii="宋体" w:hAnsi="宋体"/>
                <w:sz w:val="24"/>
                <w:szCs w:val="24"/>
              </w:rPr>
            </w:pPr>
            <w:r>
              <w:rPr>
                <w:rFonts w:hint="eastAsia" w:ascii="宋体" w:hAnsi="宋体"/>
                <w:sz w:val="24"/>
                <w:szCs w:val="24"/>
              </w:rPr>
              <w:t>100</w:t>
            </w:r>
          </w:p>
        </w:tc>
        <w:tc>
          <w:tcPr>
            <w:tcW w:w="3260" w:type="dxa"/>
            <w:noWrap w:val="0"/>
            <w:vAlign w:val="top"/>
          </w:tcPr>
          <w:p>
            <w:pPr>
              <w:widowControl/>
              <w:jc w:val="left"/>
              <w:rPr>
                <w:rFonts w:hint="eastAsia" w:ascii="宋体" w:hAnsi="宋体"/>
                <w:sz w:val="24"/>
                <w:szCs w:val="24"/>
              </w:rPr>
            </w:pPr>
          </w:p>
        </w:tc>
      </w:tr>
    </w:tbl>
    <w:p>
      <w:pPr>
        <w:pStyle w:val="2"/>
        <w:sectPr>
          <w:pgSz w:w="11850" w:h="16783"/>
          <w:pgMar w:top="1440" w:right="1800" w:bottom="1440" w:left="1800" w:header="708" w:footer="708" w:gutter="0"/>
          <w:cols w:space="708" w:num="1"/>
          <w:docGrid w:linePitch="360" w:charSpace="0"/>
        </w:sectPr>
      </w:pP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bookmarkStart w:id="257" w:name="_Toc9295_WPSOffice_Level2"/>
      <w:bookmarkStart w:id="258" w:name="_Toc26870_WPSOffice_Level2"/>
      <w:bookmarkStart w:id="259" w:name="_Toc74752338"/>
      <w:bookmarkStart w:id="260" w:name="_Toc13500_WPSOffice_Level2"/>
      <w:r>
        <w:rPr>
          <w:rFonts w:hint="eastAsia" w:ascii="宋体" w:hAnsi="宋体"/>
          <w:b/>
          <w:bCs/>
          <w:sz w:val="28"/>
          <w:szCs w:val="28"/>
          <w:lang w:eastAsia="zh-CN"/>
        </w:rPr>
        <w:t>其他要求</w:t>
      </w:r>
      <w:bookmarkEnd w:id="257"/>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sz w:val="28"/>
          <w:szCs w:val="28"/>
        </w:rPr>
      </w:pPr>
      <w:r>
        <w:rPr>
          <w:rFonts w:hint="eastAsia" w:ascii="宋体" w:hAnsi="宋体"/>
          <w:sz w:val="28"/>
          <w:szCs w:val="28"/>
        </w:rPr>
        <w:t>1、运行中显现的与实际不符的各样问题，双方可协商一致后对服务要求进行修改、增减。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sz w:val="28"/>
          <w:szCs w:val="28"/>
        </w:rPr>
      </w:pPr>
      <w:r>
        <w:rPr>
          <w:rFonts w:hint="eastAsia" w:ascii="宋体" w:hAnsi="宋体"/>
          <w:sz w:val="28"/>
          <w:szCs w:val="28"/>
        </w:rPr>
        <w:t>2、未尽事宜，可由汽车总站、</w:t>
      </w:r>
      <w:r>
        <w:rPr>
          <w:rFonts w:hint="eastAsia" w:ascii="宋体" w:hAnsi="宋体"/>
          <w:sz w:val="28"/>
          <w:szCs w:val="28"/>
          <w:lang w:eastAsia="zh-CN"/>
        </w:rPr>
        <w:t>投标人</w:t>
      </w:r>
      <w:r>
        <w:rPr>
          <w:rFonts w:hint="eastAsia" w:ascii="宋体" w:hAnsi="宋体"/>
          <w:sz w:val="28"/>
          <w:szCs w:val="28"/>
        </w:rPr>
        <w:t>本着互利互惠的原则，友好协商签订补充协议。</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sz w:val="28"/>
          <w:szCs w:val="28"/>
        </w:rPr>
      </w:pPr>
      <w:r>
        <w:rPr>
          <w:rFonts w:hint="eastAsia" w:ascii="宋体" w:hAnsi="宋体"/>
          <w:sz w:val="28"/>
          <w:szCs w:val="28"/>
        </w:rPr>
        <w:t>3、在服务期内，若因不可抗拒力原因（如自然灾害、单位体制机制改革等政府行为及其他重大变故等），致使本项目服务合同不能继续执行的，则合同终止，按已服务时间计算并支付服务费用，</w:t>
      </w:r>
      <w:r>
        <w:rPr>
          <w:rFonts w:hint="eastAsia" w:ascii="宋体" w:hAnsi="宋体"/>
          <w:sz w:val="28"/>
          <w:szCs w:val="28"/>
          <w:lang w:eastAsia="zh-CN"/>
        </w:rPr>
        <w:t>投标人</w:t>
      </w:r>
      <w:r>
        <w:rPr>
          <w:rFonts w:hint="eastAsia" w:ascii="宋体" w:hAnsi="宋体"/>
          <w:sz w:val="28"/>
          <w:szCs w:val="28"/>
        </w:rPr>
        <w:t>不得以任何理由向汽车总站提出补偿。</w:t>
      </w:r>
    </w:p>
    <w:p>
      <w:pPr>
        <w:pStyle w:val="2"/>
      </w:pP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bookmarkStart w:id="261" w:name="_Toc29878_WPSOffice_Level2"/>
      <w:r>
        <w:rPr>
          <w:rFonts w:hint="eastAsia" w:ascii="宋体" w:hAnsi="宋体"/>
          <w:b/>
          <w:bCs/>
          <w:sz w:val="28"/>
          <w:szCs w:val="28"/>
        </w:rPr>
        <w:t>商务</w:t>
      </w:r>
      <w:r>
        <w:rPr>
          <w:rFonts w:ascii="宋体" w:hAnsi="宋体"/>
          <w:b/>
          <w:bCs/>
          <w:sz w:val="28"/>
          <w:szCs w:val="28"/>
        </w:rPr>
        <w:t>要求</w:t>
      </w:r>
      <w:bookmarkEnd w:id="258"/>
      <w:bookmarkEnd w:id="259"/>
      <w:bookmarkEnd w:id="260"/>
      <w:bookmarkEnd w:id="261"/>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cs="宋体"/>
          <w:b/>
          <w:bCs/>
          <w:color w:val="000000"/>
          <w:sz w:val="28"/>
          <w:szCs w:val="28"/>
          <w:lang w:eastAsia="zh-CN"/>
        </w:rPr>
      </w:pPr>
      <w:bookmarkStart w:id="262" w:name="_Toc2576_WPSOffice_Level2"/>
      <w:bookmarkStart w:id="263" w:name="_Toc28557_WPSOffice_Level2"/>
      <w:bookmarkStart w:id="264" w:name="_Toc29869_WPSOffice_Level2"/>
      <w:r>
        <w:rPr>
          <w:rFonts w:hint="eastAsia" w:ascii="宋体" w:hAnsi="宋体" w:cs="宋体"/>
          <w:b/>
          <w:bCs/>
          <w:color w:val="000000"/>
          <w:sz w:val="28"/>
          <w:szCs w:val="28"/>
          <w:lang w:eastAsia="zh-CN"/>
        </w:rPr>
        <w:t>（一）</w:t>
      </w:r>
      <w:r>
        <w:rPr>
          <w:rFonts w:hint="eastAsia" w:ascii="宋体" w:hAnsi="宋体" w:cs="宋体"/>
          <w:b/>
          <w:bCs/>
          <w:color w:val="000000"/>
          <w:sz w:val="28"/>
          <w:szCs w:val="28"/>
        </w:rPr>
        <w:t>服务</w:t>
      </w:r>
      <w:r>
        <w:rPr>
          <w:rFonts w:hint="eastAsia" w:ascii="宋体" w:hAnsi="宋体" w:cs="宋体"/>
          <w:b/>
          <w:bCs/>
          <w:color w:val="000000"/>
          <w:sz w:val="28"/>
          <w:szCs w:val="28"/>
          <w:lang w:eastAsia="zh-CN"/>
        </w:rPr>
        <w:t>期限：</w:t>
      </w:r>
      <w:bookmarkEnd w:id="262"/>
      <w:bookmarkEnd w:id="263"/>
      <w:bookmarkEnd w:id="264"/>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rPr>
        <w:t>服务期限为一年；时间：202X年XX月XX日至202X年XX月XX日（具体起止时间以双方协商签订的相关合同约定为准）。服务费预算192万元，费用按实际需求计算。</w:t>
      </w:r>
    </w:p>
    <w:p>
      <w:pPr>
        <w:pStyle w:val="2"/>
        <w:keepNext w:val="0"/>
        <w:keepLines w:val="0"/>
        <w:pageBreakBefore w:val="0"/>
        <w:widowControl w:val="0"/>
        <w:numPr>
          <w:ilvl w:val="0"/>
          <w:numId w:val="37"/>
        </w:numPr>
        <w:kinsoku/>
        <w:wordWrap/>
        <w:overflowPunct/>
        <w:topLinePunct w:val="0"/>
        <w:autoSpaceDE/>
        <w:autoSpaceDN/>
        <w:bidi w:val="0"/>
        <w:spacing w:line="360" w:lineRule="auto"/>
        <w:ind w:firstLine="562" w:firstLineChars="200"/>
        <w:textAlignment w:val="auto"/>
        <w:rPr>
          <w:rFonts w:hint="eastAsia" w:ascii="宋体" w:hAnsi="宋体" w:eastAsia="宋体" w:cs="宋体"/>
          <w:b/>
          <w:bCs/>
          <w:color w:val="000000"/>
          <w:kern w:val="2"/>
          <w:sz w:val="28"/>
          <w:szCs w:val="28"/>
          <w:lang w:val="en-US" w:eastAsia="zh-CN" w:bidi="ar-SA"/>
        </w:rPr>
      </w:pPr>
      <w:bookmarkStart w:id="265" w:name="_Toc26808_WPSOffice_Level2"/>
      <w:bookmarkStart w:id="266" w:name="_Toc2258_WPSOffice_Level2"/>
      <w:bookmarkStart w:id="267" w:name="_Toc26807_WPSOffice_Level2"/>
      <w:r>
        <w:rPr>
          <w:rFonts w:hint="eastAsia" w:ascii="宋体" w:hAnsi="宋体" w:eastAsia="宋体" w:cs="宋体"/>
          <w:b/>
          <w:bCs/>
          <w:color w:val="000000"/>
          <w:kern w:val="2"/>
          <w:sz w:val="28"/>
          <w:szCs w:val="28"/>
          <w:lang w:val="en-US" w:eastAsia="zh-CN" w:bidi="ar-SA"/>
        </w:rPr>
        <w:t>服务地点：</w:t>
      </w:r>
      <w:bookmarkEnd w:id="265"/>
      <w:bookmarkEnd w:id="266"/>
      <w:bookmarkEnd w:id="267"/>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成都市龙泉驿区</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cs="宋体"/>
          <w:color w:val="000000"/>
          <w:sz w:val="28"/>
          <w:szCs w:val="28"/>
          <w:lang w:eastAsia="zh-CN"/>
        </w:rPr>
      </w:pPr>
      <w:bookmarkStart w:id="268" w:name="_Toc22599_WPSOffice_Level2"/>
      <w:bookmarkStart w:id="269" w:name="_Toc16664_WPSOffice_Level2"/>
      <w:bookmarkStart w:id="270" w:name="_Toc6781_WPSOffice_Level2"/>
      <w:r>
        <w:rPr>
          <w:rFonts w:hint="eastAsia" w:ascii="宋体" w:hAnsi="宋体" w:cs="宋体"/>
          <w:b/>
          <w:bCs/>
          <w:color w:val="000000"/>
          <w:sz w:val="28"/>
          <w:szCs w:val="28"/>
          <w:lang w:eastAsia="zh-CN"/>
        </w:rPr>
        <w:t>（</w:t>
      </w:r>
      <w:r>
        <w:rPr>
          <w:rFonts w:hint="eastAsia" w:ascii="宋体" w:hAnsi="宋体" w:cs="宋体"/>
          <w:b/>
          <w:bCs/>
          <w:color w:val="000000"/>
          <w:sz w:val="28"/>
          <w:szCs w:val="28"/>
          <w:lang w:val="en-US" w:eastAsia="zh-CN"/>
        </w:rPr>
        <w:t>三</w:t>
      </w:r>
      <w:r>
        <w:rPr>
          <w:rFonts w:hint="eastAsia" w:ascii="宋体" w:hAnsi="宋体" w:cs="宋体"/>
          <w:b/>
          <w:bCs/>
          <w:color w:val="000000"/>
          <w:sz w:val="28"/>
          <w:szCs w:val="28"/>
          <w:lang w:eastAsia="zh-CN"/>
        </w:rPr>
        <w:t>）付款方法和条件</w:t>
      </w:r>
      <w:r>
        <w:rPr>
          <w:rFonts w:hint="eastAsia" w:ascii="宋体" w:hAnsi="宋体" w:cs="宋体"/>
          <w:color w:val="000000"/>
          <w:sz w:val="28"/>
          <w:szCs w:val="28"/>
          <w:lang w:eastAsia="zh-CN"/>
        </w:rPr>
        <w:t>：</w:t>
      </w:r>
      <w:bookmarkEnd w:id="268"/>
      <w:bookmarkEnd w:id="269"/>
      <w:bookmarkEnd w:id="270"/>
    </w:p>
    <w:p>
      <w:pPr>
        <w:pStyle w:val="24"/>
        <w:keepNext w:val="0"/>
        <w:keepLines w:val="0"/>
        <w:pageBreakBefore w:val="0"/>
        <w:widowControl w:val="0"/>
        <w:kinsoku/>
        <w:wordWrap/>
        <w:overflowPunct/>
        <w:topLinePunct w:val="0"/>
        <w:autoSpaceDE/>
        <w:autoSpaceDN/>
        <w:bidi w:val="0"/>
        <w:snapToGrid w:val="0"/>
        <w:spacing w:line="360" w:lineRule="auto"/>
        <w:ind w:firstLine="480"/>
        <w:textAlignment w:val="auto"/>
        <w:rPr>
          <w:rFonts w:hAnsi="Times New Roman"/>
          <w:b/>
          <w:color w:val="000000" w:themeColor="text1"/>
          <w:sz w:val="28"/>
          <w:szCs w:val="28"/>
        </w:rPr>
      </w:pPr>
      <w:r>
        <w:rPr>
          <w:rFonts w:hint="eastAsia" w:hAnsi="宋体"/>
          <w:color w:val="000000" w:themeColor="text1"/>
          <w:sz w:val="28"/>
          <w:szCs w:val="28"/>
        </w:rPr>
        <w:t>本项目服务费用每月结算,招标人于次月内按考核分值，根据合法、有效、等额增值税发票结算具体金额。</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cs="宋体"/>
          <w:b/>
          <w:bCs/>
          <w:color w:val="000000"/>
          <w:sz w:val="28"/>
          <w:szCs w:val="28"/>
        </w:rPr>
      </w:pPr>
      <w:bookmarkStart w:id="271" w:name="_Toc10871_WPSOffice_Level2"/>
      <w:bookmarkStart w:id="272" w:name="_Toc24174_WPSOffice_Level2"/>
      <w:bookmarkStart w:id="273" w:name="_Toc12471_WPSOffice_Level2"/>
      <w:r>
        <w:rPr>
          <w:rFonts w:hint="eastAsia" w:ascii="宋体" w:hAnsi="宋体" w:cs="宋体"/>
          <w:b/>
          <w:bCs/>
          <w:color w:val="000000"/>
          <w:sz w:val="28"/>
          <w:szCs w:val="28"/>
          <w:lang w:eastAsia="zh-CN"/>
        </w:rPr>
        <w:t>（四）</w:t>
      </w:r>
      <w:r>
        <w:rPr>
          <w:rFonts w:hint="eastAsia" w:ascii="宋体" w:hAnsi="宋体" w:cs="宋体"/>
          <w:b/>
          <w:bCs/>
          <w:color w:val="000000"/>
          <w:sz w:val="28"/>
          <w:szCs w:val="28"/>
        </w:rPr>
        <w:t>验收标准：</w:t>
      </w:r>
      <w:bookmarkEnd w:id="271"/>
      <w:bookmarkEnd w:id="272"/>
      <w:bookmarkEnd w:id="27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本项目招标人及其委托的招标代理机构将严格按照《财政部关于进一步加强政府采购需求和履约验收管理的指导意见》(财库〔2016〕205 号)、《四川省政府采购项目需求论证和履约验收管理办法》（川财采〔2015〕32号）的要求进行验收。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验收结果合格的，中标人凭验收报告办理相关手续；验收结果不合格的，招标人将不予支付采购资金，对于已支付的采购资金将予追回，同时还可能会报告本项目同级财政部门按照政府采购法律法规及《四川省政府采购当事人诚信管理办法》（川财采〔2015〕33号）等有关规定给予行政处罚或者以失信行为记入诚信档案。</w:t>
      </w:r>
    </w:p>
    <w:p>
      <w:pPr>
        <w:pStyle w:val="2"/>
        <w:outlineLvl w:val="9"/>
      </w:pPr>
    </w:p>
    <w:p>
      <w:pPr>
        <w:outlineLvl w:val="9"/>
      </w:pPr>
    </w:p>
    <w:p>
      <w:pPr>
        <w:outlineLvl w:val="9"/>
        <w:rPr>
          <w:rFonts w:ascii="宋体" w:hAnsi="宋体"/>
          <w:sz w:val="24"/>
        </w:rPr>
      </w:pPr>
    </w:p>
    <w:p>
      <w:pPr>
        <w:numPr>
          <w:ilvl w:val="3"/>
          <w:numId w:val="0"/>
        </w:numPr>
        <w:ind w:leftChars="0"/>
        <w:outlineLvl w:val="9"/>
        <w:rPr>
          <w:rFonts w:hint="eastAsia"/>
          <w:lang w:val="en-US" w:eastAsia="zh-CN"/>
        </w:rPr>
      </w:pPr>
      <w:r>
        <w:rPr>
          <w:rFonts w:hint="eastAsia"/>
          <w:lang w:val="en-US" w:eastAsia="zh-CN"/>
        </w:rPr>
        <w:t xml:space="preserve"> </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rPr>
          <w:rFonts w:hint="eastAsia"/>
          <w:lang w:val="en-US" w:eastAsia="zh-CN"/>
        </w:rPr>
      </w:pPr>
    </w:p>
    <w:p>
      <w:pPr>
        <w:rPr>
          <w:rFonts w:hint="eastAsia"/>
          <w:lang w:val="en-US" w:eastAsia="zh-CN"/>
        </w:rPr>
      </w:pPr>
    </w:p>
    <w:p/>
    <w:p>
      <w:pPr>
        <w:pStyle w:val="2"/>
        <w:rPr>
          <w:lang w:val="zh-CN"/>
        </w:rPr>
      </w:pPr>
    </w:p>
    <w:bookmarkEnd w:id="252"/>
    <w:bookmarkEnd w:id="253"/>
    <w:p>
      <w:pPr>
        <w:keepNext/>
        <w:keepLines/>
        <w:numPr>
          <w:ilvl w:val="0"/>
          <w:numId w:val="5"/>
        </w:numPr>
        <w:spacing w:before="340" w:after="330" w:line="400" w:lineRule="exact"/>
        <w:jc w:val="center"/>
        <w:outlineLvl w:val="0"/>
        <w:rPr>
          <w:rFonts w:ascii="宋体" w:hAnsi="宋体"/>
          <w:b/>
          <w:bCs/>
          <w:spacing w:val="-20"/>
          <w:kern w:val="44"/>
          <w:sz w:val="32"/>
          <w:szCs w:val="32"/>
        </w:rPr>
        <w:sectPr>
          <w:pgSz w:w="11850" w:h="16783"/>
          <w:pgMar w:top="1440" w:right="1800" w:bottom="1440" w:left="1800" w:header="708" w:footer="708" w:gutter="0"/>
          <w:cols w:space="708" w:num="1"/>
          <w:docGrid w:linePitch="360" w:charSpace="0"/>
        </w:sectPr>
      </w:pPr>
      <w:bookmarkStart w:id="274" w:name="_Toc74752339"/>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275" w:name="_Toc28183_WPSOffice_Level1"/>
      <w:bookmarkStart w:id="276" w:name="_Toc21072_WPSOffice_Level1"/>
      <w:bookmarkStart w:id="277" w:name="_Toc21586_WPSOffice_Level1"/>
      <w:r>
        <w:rPr>
          <w:rFonts w:hint="eastAsia" w:ascii="宋体" w:hAnsi="宋体"/>
          <w:b/>
          <w:bCs/>
          <w:spacing w:val="-20"/>
          <w:kern w:val="44"/>
          <w:sz w:val="32"/>
          <w:szCs w:val="32"/>
        </w:rPr>
        <w:t>资格性审查</w:t>
      </w:r>
      <w:bookmarkEnd w:id="274"/>
      <w:bookmarkEnd w:id="275"/>
      <w:bookmarkEnd w:id="276"/>
      <w:bookmarkEnd w:id="277"/>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投标人。资格性审查标准见下表：</w:t>
      </w:r>
    </w:p>
    <w:tbl>
      <w:tblPr>
        <w:tblStyle w:val="4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w:t>
            </w:r>
            <w:r>
              <w:rPr>
                <w:rFonts w:hint="eastAsia" w:ascii="宋体" w:hAnsi="宋体"/>
                <w:sz w:val="20"/>
                <w:szCs w:val="28"/>
                <w:lang w:eastAsia="zh-CN"/>
              </w:rPr>
              <w:t>响应</w:t>
            </w:r>
            <w:r>
              <w:rPr>
                <w:rFonts w:hint="eastAsia" w:ascii="宋体" w:hAnsi="宋体"/>
                <w:sz w:val="20"/>
                <w:szCs w:val="28"/>
              </w:rPr>
              <w:t>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本项目专门面向中小企业（含残疾人福利性单位、监狱企业）采购</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4"/>
              </w:rPr>
              <w:t>中小企业应当提供中小企业声明函原件；残疾人福利性单位提供残疾人福利性单位声明函原件；监狱企业提供由省级以上监狱管理局、戒毒管理局（含新疆生产建设兵团）出具的属于监狱企业的证明文件复印件。</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区公资交易中心将通知投标人（以现场公示、电话、短信、区公资交易中心网站等任一方式）。投标人如对资格审查结论有异议的，应及时向区公资交易中心反馈意见。区公资交易中心将及时告知资格审查小组。（说明：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278" w:name="_Toc74752340"/>
      <w:bookmarkStart w:id="279" w:name="_Toc23411_WPSOffice_Level1"/>
      <w:bookmarkStart w:id="280" w:name="_Toc797_WPSOffice_Level1"/>
      <w:bookmarkStart w:id="281" w:name="_Toc12471_WPSOffice_Level1"/>
      <w:r>
        <w:rPr>
          <w:rFonts w:hint="eastAsia" w:ascii="宋体" w:hAnsi="宋体"/>
          <w:b/>
          <w:bCs/>
          <w:spacing w:val="-20"/>
          <w:kern w:val="44"/>
          <w:sz w:val="32"/>
          <w:szCs w:val="32"/>
        </w:rPr>
        <w:t>评标办法</w:t>
      </w:r>
      <w:bookmarkEnd w:id="278"/>
      <w:bookmarkEnd w:id="279"/>
      <w:bookmarkEnd w:id="280"/>
      <w:bookmarkEnd w:id="281"/>
    </w:p>
    <w:p>
      <w:pPr>
        <w:keepNext/>
        <w:keepLines/>
        <w:numPr>
          <w:ilvl w:val="1"/>
          <w:numId w:val="5"/>
        </w:numPr>
        <w:spacing w:line="360" w:lineRule="auto"/>
        <w:jc w:val="left"/>
        <w:outlineLvl w:val="1"/>
        <w:rPr>
          <w:rFonts w:ascii="宋体" w:hAnsi="宋体"/>
          <w:b/>
          <w:bCs/>
          <w:sz w:val="28"/>
          <w:szCs w:val="28"/>
        </w:rPr>
      </w:pPr>
      <w:bookmarkStart w:id="282" w:name="_Toc7286_WPSOffice_Level2"/>
      <w:bookmarkStart w:id="283" w:name="_Toc74752341"/>
      <w:bookmarkStart w:id="284" w:name="_Toc5379_WPSOffice_Level2"/>
      <w:bookmarkStart w:id="285" w:name="_Toc15872_WPSOffice_Level2"/>
      <w:r>
        <w:rPr>
          <w:rFonts w:hint="eastAsia" w:ascii="宋体" w:hAnsi="宋体"/>
          <w:b/>
          <w:bCs/>
          <w:sz w:val="28"/>
          <w:szCs w:val="28"/>
        </w:rPr>
        <w:t>总则</w:t>
      </w:r>
      <w:bookmarkEnd w:id="282"/>
      <w:bookmarkEnd w:id="283"/>
      <w:bookmarkEnd w:id="284"/>
      <w:bookmarkEnd w:id="285"/>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区公资交易中心</w:t>
      </w:r>
      <w:r>
        <w:rPr>
          <w:rFonts w:hint="eastAsia" w:ascii="宋体" w:hAnsi="宋体"/>
          <w:sz w:val="28"/>
          <w:szCs w:val="28"/>
        </w:rPr>
        <w:t>负责组织，具体评标事务由采购人或</w:t>
      </w:r>
      <w:r>
        <w:rPr>
          <w:rFonts w:hint="eastAsia" w:cs="Arial"/>
          <w:sz w:val="28"/>
          <w:szCs w:val="28"/>
        </w:rPr>
        <w:t>区公资交易中心</w:t>
      </w:r>
      <w:r>
        <w:rPr>
          <w:rFonts w:hint="eastAsia" w:ascii="宋体" w:hAnsi="宋体"/>
          <w:sz w:val="28"/>
          <w:szCs w:val="28"/>
        </w:rPr>
        <w:t>依法组建的评标委员会负责。评标委员会由采购人代表和评审专家组成。</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39"/>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39"/>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39"/>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39"/>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39"/>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39"/>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39"/>
        </w:numPr>
        <w:spacing w:line="360" w:lineRule="auto"/>
        <w:ind w:left="0" w:firstLine="567"/>
        <w:rPr>
          <w:rFonts w:ascii="宋体" w:hAnsi="宋体"/>
          <w:sz w:val="28"/>
          <w:szCs w:val="28"/>
        </w:rPr>
      </w:pPr>
      <w:r>
        <w:rPr>
          <w:rFonts w:hint="eastAsia" w:ascii="宋体" w:hAnsi="宋体"/>
          <w:sz w:val="28"/>
          <w:szCs w:val="28"/>
        </w:rPr>
        <w:t>向采购人、区公资交易中心构或者财政、监察等有关部门报告或举报非法干预评标工作的行为；</w:t>
      </w:r>
    </w:p>
    <w:p>
      <w:pPr>
        <w:numPr>
          <w:ilvl w:val="1"/>
          <w:numId w:val="39"/>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区公资交易中心</w:t>
      </w:r>
      <w:r>
        <w:rPr>
          <w:rFonts w:hint="eastAsia" w:ascii="宋体" w:hAnsi="宋体"/>
          <w:sz w:val="28"/>
          <w:szCs w:val="28"/>
        </w:rPr>
        <w:t>或者有关部门报告评标中发现的违法行为。</w:t>
      </w:r>
    </w:p>
    <w:p>
      <w:pPr>
        <w:numPr>
          <w:ilvl w:val="1"/>
          <w:numId w:val="39"/>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评标委员会发现招标文件表述不明确或需要说明的事项，可提请采购人和区公资交易中心书面解释说明。</w:t>
      </w:r>
    </w:p>
    <w:p>
      <w:pPr>
        <w:keepNext/>
        <w:keepLines/>
        <w:numPr>
          <w:ilvl w:val="1"/>
          <w:numId w:val="5"/>
        </w:numPr>
        <w:spacing w:line="360" w:lineRule="auto"/>
        <w:jc w:val="left"/>
        <w:outlineLvl w:val="1"/>
        <w:rPr>
          <w:rFonts w:ascii="宋体" w:hAnsi="宋体"/>
          <w:b/>
          <w:bCs/>
          <w:sz w:val="28"/>
          <w:szCs w:val="28"/>
        </w:rPr>
      </w:pPr>
      <w:bookmarkStart w:id="286" w:name="_Toc74752342"/>
      <w:bookmarkStart w:id="287" w:name="_Toc14221_WPSOffice_Level2"/>
      <w:bookmarkStart w:id="288" w:name="_Toc13945_WPSOffice_Level2"/>
      <w:bookmarkStart w:id="289" w:name="_Toc19990_WPSOffice_Level2"/>
      <w:r>
        <w:rPr>
          <w:rFonts w:hint="eastAsia" w:ascii="宋体" w:hAnsi="宋体"/>
          <w:b/>
          <w:bCs/>
          <w:sz w:val="28"/>
          <w:szCs w:val="28"/>
        </w:rPr>
        <w:t>评标方法</w:t>
      </w:r>
      <w:bookmarkEnd w:id="286"/>
      <w:bookmarkEnd w:id="287"/>
      <w:bookmarkEnd w:id="288"/>
      <w:bookmarkEnd w:id="289"/>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290" w:name="_Toc11406_WPSOffice_Level2"/>
      <w:bookmarkStart w:id="291" w:name="_Toc24949_WPSOffice_Level2"/>
      <w:bookmarkStart w:id="292" w:name="_Toc74752343"/>
      <w:bookmarkStart w:id="293" w:name="_Toc29385_WPSOffice_Level2"/>
      <w:r>
        <w:rPr>
          <w:rFonts w:hint="eastAsia" w:ascii="宋体" w:hAnsi="宋体"/>
          <w:b/>
          <w:bCs/>
          <w:sz w:val="28"/>
          <w:szCs w:val="28"/>
        </w:rPr>
        <w:t>评标程序</w:t>
      </w:r>
      <w:bookmarkEnd w:id="290"/>
      <w:bookmarkEnd w:id="291"/>
      <w:bookmarkEnd w:id="292"/>
      <w:bookmarkEnd w:id="293"/>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6"/>
        <w:tblW w:w="874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w:t>
            </w:r>
            <w:r>
              <w:rPr>
                <w:rFonts w:hint="eastAsia" w:ascii="宋体" w:hAnsi="宋体" w:cs="宋体"/>
                <w:sz w:val="24"/>
                <w:szCs w:val="28"/>
              </w:rPr>
              <w:t>▲</w:t>
            </w:r>
            <w:r>
              <w:rPr>
                <w:rFonts w:hint="eastAsia" w:ascii="宋体" w:hAnsi="宋体"/>
                <w:sz w:val="24"/>
                <w:szCs w:val="28"/>
              </w:rPr>
              <w:t>号的技术、服务、商务和其他要求</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w:t>
            </w:r>
            <w:r>
              <w:rPr>
                <w:rFonts w:hint="eastAsia" w:ascii="宋体" w:hAnsi="宋体" w:cs="宋体"/>
                <w:sz w:val="24"/>
                <w:szCs w:val="28"/>
              </w:rPr>
              <w:t>▲</w:t>
            </w:r>
            <w:r>
              <w:rPr>
                <w:rFonts w:hint="eastAsia" w:ascii="宋体" w:hAnsi="宋体"/>
                <w:sz w:val="24"/>
                <w:szCs w:val="28"/>
              </w:rPr>
              <w:t>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5846"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rPr>
                <w:rFonts w:ascii="宋体" w:hAnsi="宋体"/>
                <w:sz w:val="24"/>
                <w:szCs w:val="28"/>
              </w:rPr>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w:t>
            </w:r>
            <w:r>
              <w:rPr>
                <w:rFonts w:hint="eastAsia" w:ascii="宋体" w:hAnsi="宋体"/>
                <w:sz w:val="24"/>
                <w:szCs w:val="28"/>
                <w:lang w:eastAsia="zh-CN"/>
              </w:rPr>
              <w:t>（服务）</w:t>
            </w:r>
            <w:r>
              <w:rPr>
                <w:rFonts w:hint="eastAsia" w:ascii="宋体" w:hAnsi="宋体"/>
                <w:sz w:val="24"/>
                <w:szCs w:val="28"/>
              </w:rPr>
              <w:t>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区公资交易中心将通知投标人（以现场公示、电话、短信、区公资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0"/>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w:t>
      </w:r>
    </w:p>
    <w:p>
      <w:pPr>
        <w:numPr>
          <w:ilvl w:val="0"/>
          <w:numId w:val="40"/>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0"/>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1"/>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1"/>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1"/>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0"/>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2"/>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2"/>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2"/>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2"/>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294" w:name="_Toc14172_WPSOffice_Level2"/>
      <w:bookmarkStart w:id="295" w:name="_Toc795_WPSOffice_Level2"/>
      <w:bookmarkStart w:id="296" w:name="_Toc22665_WPSOffice_Level2"/>
      <w:bookmarkStart w:id="297" w:name="_Toc74752344"/>
      <w:r>
        <w:rPr>
          <w:rFonts w:hint="eastAsia" w:ascii="宋体" w:hAnsi="宋体"/>
          <w:b/>
          <w:bCs/>
          <w:sz w:val="28"/>
          <w:szCs w:val="28"/>
        </w:rPr>
        <w:t>评标争议处理规则</w:t>
      </w:r>
      <w:bookmarkEnd w:id="294"/>
      <w:bookmarkEnd w:id="295"/>
      <w:bookmarkEnd w:id="296"/>
      <w:bookmarkEnd w:id="297"/>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区公资交易中心</w:t>
      </w:r>
      <w:r>
        <w:rPr>
          <w:rFonts w:hint="eastAsia" w:ascii="宋体" w:hAnsi="宋体"/>
          <w:sz w:val="28"/>
          <w:szCs w:val="28"/>
        </w:rPr>
        <w:t>书面反映。采购人或</w:t>
      </w:r>
      <w:r>
        <w:rPr>
          <w:rFonts w:hint="eastAsia" w:cs="Arial"/>
          <w:sz w:val="28"/>
          <w:szCs w:val="28"/>
        </w:rPr>
        <w:t>区公资交易中心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298" w:name="_Toc31997_WPSOffice_Level2"/>
      <w:bookmarkStart w:id="299" w:name="_Toc1096_WPSOffice_Level2"/>
      <w:bookmarkStart w:id="300" w:name="_Toc74752345"/>
      <w:bookmarkStart w:id="301" w:name="_Toc23072_WPSOffice_Level2"/>
      <w:r>
        <w:rPr>
          <w:rFonts w:hint="eastAsia" w:ascii="宋体" w:hAnsi="宋体"/>
          <w:b/>
          <w:bCs/>
          <w:sz w:val="28"/>
          <w:szCs w:val="28"/>
        </w:rPr>
        <w:t>评标细则及标准</w:t>
      </w:r>
      <w:bookmarkEnd w:id="298"/>
      <w:bookmarkEnd w:id="299"/>
      <w:bookmarkEnd w:id="300"/>
      <w:bookmarkEnd w:id="301"/>
    </w:p>
    <w:p>
      <w:pPr>
        <w:numPr>
          <w:ilvl w:val="0"/>
          <w:numId w:val="44"/>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4"/>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44"/>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p>
      <w:pPr>
        <w:pStyle w:val="2"/>
        <w:rPr>
          <w:rFonts w:hint="eastAsia" w:ascii="宋体" w:hAnsi="宋体"/>
          <w:b/>
          <w:bCs/>
          <w:sz w:val="28"/>
          <w:szCs w:val="28"/>
        </w:rPr>
      </w:pPr>
    </w:p>
    <w:p>
      <w:pPr>
        <w:pStyle w:val="15"/>
        <w:rPr>
          <w:rFonts w:hint="eastAsia" w:ascii="宋体" w:hAnsi="宋体"/>
          <w:b/>
          <w:bCs/>
          <w:sz w:val="28"/>
          <w:szCs w:val="28"/>
        </w:rPr>
      </w:pPr>
    </w:p>
    <w:p>
      <w:pPr>
        <w:pStyle w:val="15"/>
        <w:rPr>
          <w:rFonts w:hint="eastAsia" w:ascii="宋体" w:hAnsi="宋体"/>
          <w:b/>
          <w:bCs/>
          <w:sz w:val="28"/>
          <w:szCs w:val="28"/>
        </w:rPr>
      </w:pPr>
    </w:p>
    <w:p>
      <w:pPr>
        <w:pStyle w:val="15"/>
        <w:rPr>
          <w:rFonts w:hint="eastAsia" w:ascii="宋体" w:hAnsi="宋体"/>
          <w:b/>
          <w:bCs/>
          <w:sz w:val="28"/>
          <w:szCs w:val="28"/>
        </w:rPr>
      </w:pPr>
    </w:p>
    <w:p>
      <w:pPr>
        <w:pStyle w:val="15"/>
        <w:rPr>
          <w:rFonts w:hint="eastAsia" w:ascii="宋体" w:hAnsi="宋体"/>
          <w:b/>
          <w:bCs/>
          <w:sz w:val="28"/>
          <w:szCs w:val="28"/>
        </w:rPr>
      </w:pPr>
    </w:p>
    <w:p>
      <w:pPr>
        <w:pStyle w:val="15"/>
        <w:rPr>
          <w:rFonts w:hint="eastAsia" w:ascii="宋体" w:hAnsi="宋体"/>
          <w:b/>
          <w:bCs/>
          <w:sz w:val="28"/>
          <w:szCs w:val="28"/>
        </w:rPr>
      </w:pPr>
    </w:p>
    <w:p>
      <w:pPr>
        <w:pStyle w:val="15"/>
        <w:rPr>
          <w:rFonts w:hint="eastAsia" w:ascii="宋体" w:hAnsi="宋体"/>
          <w:b/>
          <w:bCs/>
          <w:sz w:val="28"/>
          <w:szCs w:val="28"/>
        </w:rPr>
      </w:pPr>
    </w:p>
    <w:p>
      <w:pPr>
        <w:pStyle w:val="15"/>
        <w:rPr>
          <w:rFonts w:hint="eastAsia" w:ascii="宋体" w:hAnsi="宋体"/>
          <w:b/>
          <w:bCs/>
          <w:sz w:val="28"/>
          <w:szCs w:val="28"/>
        </w:rPr>
      </w:pPr>
    </w:p>
    <w:p>
      <w:pPr>
        <w:pStyle w:val="15"/>
        <w:rPr>
          <w:rFonts w:hint="eastAsia" w:ascii="宋体" w:hAnsi="宋体"/>
          <w:b/>
          <w:bCs/>
          <w:sz w:val="28"/>
          <w:szCs w:val="28"/>
        </w:rPr>
      </w:pPr>
    </w:p>
    <w:p>
      <w:pPr>
        <w:pStyle w:val="15"/>
        <w:rPr>
          <w:rFonts w:hint="eastAsia" w:ascii="宋体" w:hAnsi="宋体"/>
          <w:b/>
          <w:bCs/>
          <w:sz w:val="28"/>
          <w:szCs w:val="28"/>
        </w:rPr>
      </w:pPr>
    </w:p>
    <w:p>
      <w:pPr>
        <w:pStyle w:val="15"/>
        <w:rPr>
          <w:rFonts w:hint="eastAsia" w:ascii="宋体" w:hAnsi="宋体"/>
          <w:b/>
          <w:bCs/>
          <w:sz w:val="28"/>
          <w:szCs w:val="28"/>
        </w:rPr>
      </w:pPr>
    </w:p>
    <w:p>
      <w:pPr>
        <w:pStyle w:val="15"/>
        <w:rPr>
          <w:rFonts w:hint="eastAsia" w:ascii="宋体" w:hAnsi="宋体"/>
          <w:b/>
          <w:bCs/>
          <w:sz w:val="28"/>
          <w:szCs w:val="28"/>
        </w:rPr>
      </w:pPr>
    </w:p>
    <w:p>
      <w:pPr>
        <w:pStyle w:val="15"/>
        <w:rPr>
          <w:rFonts w:hint="eastAsia" w:ascii="宋体" w:hAnsi="宋体"/>
          <w:b/>
          <w:bCs/>
          <w:sz w:val="28"/>
          <w:szCs w:val="28"/>
        </w:rPr>
      </w:pPr>
    </w:p>
    <w:tbl>
      <w:tblPr>
        <w:tblStyle w:val="46"/>
        <w:tblW w:w="10600" w:type="dxa"/>
        <w:jc w:val="center"/>
        <w:tblInd w:w="0" w:type="dxa"/>
        <w:tblLayout w:type="fixed"/>
        <w:tblCellMar>
          <w:top w:w="0" w:type="dxa"/>
          <w:left w:w="108" w:type="dxa"/>
          <w:bottom w:w="0" w:type="dxa"/>
          <w:right w:w="108" w:type="dxa"/>
        </w:tblCellMar>
      </w:tblPr>
      <w:tblGrid>
        <w:gridCol w:w="640"/>
        <w:gridCol w:w="1513"/>
        <w:gridCol w:w="1591"/>
        <w:gridCol w:w="5762"/>
        <w:gridCol w:w="1094"/>
      </w:tblGrid>
      <w:tr>
        <w:tblPrEx>
          <w:tblLayout w:type="fixed"/>
          <w:tblCellMar>
            <w:top w:w="0" w:type="dxa"/>
            <w:left w:w="108" w:type="dxa"/>
            <w:bottom w:w="0" w:type="dxa"/>
            <w:right w:w="108" w:type="dxa"/>
          </w:tblCellMar>
        </w:tblPrEx>
        <w:trPr>
          <w:cantSplit/>
          <w:trHeight w:val="806"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 xml:space="preserve">序号       </w:t>
            </w:r>
          </w:p>
        </w:tc>
        <w:tc>
          <w:tcPr>
            <w:tcW w:w="1513"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评分因素及权重</w:t>
            </w:r>
          </w:p>
        </w:tc>
        <w:tc>
          <w:tcPr>
            <w:tcW w:w="159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分值</w:t>
            </w:r>
          </w:p>
        </w:tc>
        <w:tc>
          <w:tcPr>
            <w:tcW w:w="5762" w:type="dxa"/>
            <w:tcBorders>
              <w:top w:val="single" w:color="auto" w:sz="4" w:space="0"/>
              <w:left w:val="nil"/>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评分标准</w:t>
            </w:r>
          </w:p>
        </w:tc>
        <w:tc>
          <w:tcPr>
            <w:tcW w:w="1094" w:type="dxa"/>
            <w:tcBorders>
              <w:top w:val="single" w:color="auto" w:sz="4" w:space="0"/>
              <w:left w:val="nil"/>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备注</w:t>
            </w:r>
          </w:p>
        </w:tc>
      </w:tr>
      <w:tr>
        <w:tblPrEx>
          <w:tblLayout w:type="fixed"/>
          <w:tblCellMar>
            <w:top w:w="0" w:type="dxa"/>
            <w:left w:w="108" w:type="dxa"/>
            <w:bottom w:w="0" w:type="dxa"/>
            <w:right w:w="108" w:type="dxa"/>
          </w:tblCellMar>
        </w:tblPrEx>
        <w:trPr>
          <w:cantSplit/>
          <w:trHeight w:val="1246"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1</w:t>
            </w:r>
          </w:p>
        </w:tc>
        <w:tc>
          <w:tcPr>
            <w:tcW w:w="1513"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报价</w:t>
            </w:r>
          </w:p>
          <w:p>
            <w:pPr>
              <w:jc w:val="center"/>
              <w:rPr>
                <w:rFonts w:hAnsi="宋体" w:cs="宋体"/>
                <w:sz w:val="24"/>
                <w:szCs w:val="24"/>
              </w:rPr>
            </w:pPr>
            <w:r>
              <w:rPr>
                <w:rFonts w:hint="eastAsia" w:hAnsi="宋体" w:cs="宋体"/>
                <w:sz w:val="24"/>
                <w:szCs w:val="24"/>
                <w:lang w:val="en-US" w:eastAsia="zh-CN"/>
              </w:rPr>
              <w:t>20</w:t>
            </w:r>
            <w:r>
              <w:rPr>
                <w:rFonts w:hint="eastAsia" w:hAnsi="宋体" w:cs="宋体"/>
                <w:sz w:val="24"/>
                <w:szCs w:val="24"/>
              </w:rPr>
              <w:t>%</w:t>
            </w:r>
          </w:p>
        </w:tc>
        <w:tc>
          <w:tcPr>
            <w:tcW w:w="159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lang w:val="en-US" w:eastAsia="zh-CN"/>
              </w:rPr>
              <w:t>20</w:t>
            </w:r>
            <w:r>
              <w:rPr>
                <w:rFonts w:hint="eastAsia" w:hAnsi="宋体" w:cs="宋体"/>
                <w:sz w:val="24"/>
                <w:szCs w:val="24"/>
              </w:rPr>
              <w:t>分</w:t>
            </w:r>
          </w:p>
        </w:tc>
        <w:tc>
          <w:tcPr>
            <w:tcW w:w="5762" w:type="dxa"/>
            <w:tcBorders>
              <w:top w:val="single" w:color="auto" w:sz="4" w:space="0"/>
              <w:left w:val="nil"/>
              <w:bottom w:val="single" w:color="auto" w:sz="4" w:space="0"/>
              <w:right w:val="single" w:color="auto" w:sz="4" w:space="0"/>
            </w:tcBorders>
            <w:noWrap/>
            <w:vAlign w:val="center"/>
          </w:tcPr>
          <w:p>
            <w:pPr>
              <w:rPr>
                <w:rFonts w:hint="eastAsia" w:ascii="宋体" w:hAnsi="宋体" w:eastAsia="宋体" w:cs="宋体"/>
                <w:kern w:val="2"/>
                <w:sz w:val="24"/>
                <w:szCs w:val="24"/>
              </w:rPr>
            </w:pPr>
            <w:r>
              <w:rPr>
                <w:rFonts w:hint="eastAsia" w:ascii="宋体" w:hAnsi="宋体" w:eastAsia="宋体" w:cs="宋体"/>
                <w:kern w:val="2"/>
                <w:sz w:val="24"/>
                <w:szCs w:val="24"/>
              </w:rPr>
              <w:t>1、经专家评审，通过资格性和符合性审查，且最后报价最低的供应商的最后报价作为评审基准价；</w:t>
            </w:r>
          </w:p>
          <w:p>
            <w:pPr>
              <w:rPr>
                <w:rFonts w:hAnsi="宋体" w:cs="宋体"/>
                <w:sz w:val="24"/>
                <w:szCs w:val="24"/>
              </w:rPr>
            </w:pPr>
            <w:r>
              <w:rPr>
                <w:rFonts w:hint="eastAsia" w:ascii="宋体" w:hAnsi="宋体" w:eastAsia="宋体" w:cs="宋体"/>
                <w:kern w:val="2"/>
                <w:sz w:val="24"/>
                <w:szCs w:val="24"/>
              </w:rPr>
              <w:t>2、投标报价得分=(评标基准价／投标报价)×</w:t>
            </w:r>
            <w:r>
              <w:rPr>
                <w:rFonts w:hint="eastAsia" w:ascii="宋体" w:hAnsi="宋体" w:cs="宋体"/>
                <w:kern w:val="2"/>
                <w:sz w:val="24"/>
                <w:szCs w:val="24"/>
                <w:lang w:val="en-US" w:eastAsia="zh-CN"/>
              </w:rPr>
              <w:t>2</w:t>
            </w:r>
            <w:r>
              <w:rPr>
                <w:rFonts w:hint="eastAsia" w:ascii="宋体" w:hAnsi="宋体" w:eastAsia="宋体" w:cs="宋体"/>
                <w:kern w:val="2"/>
                <w:sz w:val="24"/>
                <w:szCs w:val="24"/>
              </w:rPr>
              <w:t>0。</w:t>
            </w:r>
          </w:p>
        </w:tc>
        <w:tc>
          <w:tcPr>
            <w:tcW w:w="1094" w:type="dxa"/>
            <w:tcBorders>
              <w:top w:val="single" w:color="auto" w:sz="4" w:space="0"/>
              <w:left w:val="nil"/>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共同评分因素</w:t>
            </w:r>
          </w:p>
        </w:tc>
      </w:tr>
      <w:tr>
        <w:tblPrEx>
          <w:tblLayout w:type="fixed"/>
          <w:tblCellMar>
            <w:top w:w="0" w:type="dxa"/>
            <w:left w:w="108" w:type="dxa"/>
            <w:bottom w:w="0" w:type="dxa"/>
            <w:right w:w="108" w:type="dxa"/>
          </w:tblCellMar>
        </w:tblPrEx>
        <w:trPr>
          <w:cantSplit/>
          <w:trHeight w:val="3110"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2</w:t>
            </w:r>
          </w:p>
        </w:tc>
        <w:tc>
          <w:tcPr>
            <w:tcW w:w="1513"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服务团队实力</w:t>
            </w:r>
            <w:r>
              <w:rPr>
                <w:rFonts w:hint="eastAsia" w:hAnsi="宋体" w:cs="宋体"/>
                <w:sz w:val="24"/>
                <w:szCs w:val="24"/>
                <w:lang w:val="en-US" w:eastAsia="zh-CN"/>
              </w:rPr>
              <w:t>1</w:t>
            </w:r>
            <w:r>
              <w:rPr>
                <w:rFonts w:hint="eastAsia" w:hAnsi="宋体" w:cs="宋体"/>
                <w:sz w:val="24"/>
                <w:szCs w:val="24"/>
              </w:rPr>
              <w:t>6%</w:t>
            </w:r>
          </w:p>
        </w:tc>
        <w:tc>
          <w:tcPr>
            <w:tcW w:w="159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lang w:val="en-US" w:eastAsia="zh-CN"/>
              </w:rPr>
              <w:t>1</w:t>
            </w:r>
            <w:r>
              <w:rPr>
                <w:rFonts w:hint="eastAsia" w:hAnsi="宋体" w:cs="宋体"/>
                <w:sz w:val="24"/>
                <w:szCs w:val="24"/>
              </w:rPr>
              <w:t>6分</w:t>
            </w:r>
          </w:p>
        </w:tc>
        <w:tc>
          <w:tcPr>
            <w:tcW w:w="5762" w:type="dxa"/>
            <w:tcBorders>
              <w:top w:val="single" w:color="auto" w:sz="4" w:space="0"/>
              <w:left w:val="nil"/>
              <w:bottom w:val="single" w:color="auto" w:sz="4" w:space="0"/>
              <w:right w:val="single" w:color="auto" w:sz="4" w:space="0"/>
            </w:tcBorders>
            <w:noWrap/>
            <w:vAlign w:val="center"/>
          </w:tcPr>
          <w:p>
            <w:pPr>
              <w:rPr>
                <w:rFonts w:hint="eastAsia" w:hAnsi="宋体" w:cs="宋体"/>
                <w:color w:val="000000"/>
                <w:sz w:val="24"/>
                <w:szCs w:val="24"/>
              </w:rPr>
            </w:pPr>
            <w:r>
              <w:rPr>
                <w:rFonts w:hint="eastAsia" w:hAnsi="宋体" w:cs="宋体"/>
                <w:color w:val="000000"/>
                <w:sz w:val="24"/>
                <w:szCs w:val="24"/>
              </w:rPr>
              <w:t>1、拟派的项目经理具有中级职称证书得1分，具有高级职称证书得2分；具有本科及以上学历得1分。本项最多得3分。</w:t>
            </w:r>
          </w:p>
          <w:p>
            <w:pPr>
              <w:rPr>
                <w:rFonts w:hint="eastAsia" w:hAnsi="宋体" w:cs="宋体"/>
                <w:color w:val="000000"/>
                <w:sz w:val="24"/>
                <w:szCs w:val="24"/>
              </w:rPr>
            </w:pPr>
            <w:r>
              <w:rPr>
                <w:rFonts w:hint="eastAsia" w:hAnsi="宋体" w:cs="宋体"/>
                <w:color w:val="000000"/>
                <w:sz w:val="24"/>
                <w:szCs w:val="24"/>
              </w:rPr>
              <w:t>2、拟派的安保主管具有大专及以上学历得0.5分，持红十字救护员证得0.5分，持保安证得1分。本项最多得2分。</w:t>
            </w:r>
          </w:p>
          <w:p>
            <w:pPr>
              <w:rPr>
                <w:rFonts w:hint="eastAsia" w:hAnsi="宋体" w:cs="宋体"/>
                <w:color w:val="000000"/>
                <w:sz w:val="24"/>
                <w:szCs w:val="24"/>
              </w:rPr>
            </w:pPr>
            <w:r>
              <w:rPr>
                <w:rFonts w:hint="eastAsia" w:hAnsi="宋体" w:cs="宋体"/>
                <w:color w:val="000000"/>
                <w:sz w:val="24"/>
                <w:szCs w:val="24"/>
              </w:rPr>
              <w:t>3、拟派的保洁主管具有大专及以上学历得0.5分，具有中级（含）及以上职称得1分，具有有害生物防制员证（高级）得0.5分。本项最多得2分。</w:t>
            </w:r>
          </w:p>
          <w:p>
            <w:pPr>
              <w:rPr>
                <w:rFonts w:hint="eastAsia" w:hAnsi="宋体" w:cs="宋体"/>
                <w:color w:val="000000"/>
                <w:sz w:val="24"/>
                <w:szCs w:val="24"/>
              </w:rPr>
            </w:pPr>
            <w:r>
              <w:rPr>
                <w:rFonts w:hint="eastAsia" w:hAnsi="宋体" w:cs="宋体"/>
                <w:color w:val="000000"/>
                <w:sz w:val="24"/>
                <w:szCs w:val="24"/>
              </w:rPr>
              <w:t>4、拟派的站务咨询人员中具有大专及以上学历得1分，具有普通话二甲及以上等级证书得0.5分，具有全国英语六级及以上证书得0.5分，具有商务礼仪师三级及以上证书得0.5分，具有心理咨询师三级及以上证书得0.5分。本项最多得3分。</w:t>
            </w:r>
          </w:p>
          <w:p>
            <w:pPr>
              <w:rPr>
                <w:rFonts w:hint="eastAsia" w:hAnsi="宋体" w:cs="宋体"/>
                <w:color w:val="000000"/>
                <w:sz w:val="24"/>
                <w:szCs w:val="24"/>
              </w:rPr>
            </w:pPr>
            <w:r>
              <w:rPr>
                <w:rFonts w:hint="eastAsia" w:hAnsi="宋体" w:cs="宋体"/>
                <w:color w:val="000000"/>
                <w:sz w:val="24"/>
                <w:szCs w:val="24"/>
              </w:rPr>
              <w:t>5、拟派的安保人员每具有1个保安员证得0.5分，本项最多得6分。</w:t>
            </w:r>
          </w:p>
          <w:p>
            <w:pPr>
              <w:rPr>
                <w:rFonts w:hAnsi="宋体" w:cs="宋体"/>
                <w:sz w:val="24"/>
                <w:szCs w:val="24"/>
              </w:rPr>
            </w:pPr>
            <w:r>
              <w:rPr>
                <w:rFonts w:hint="eastAsia" w:hAnsi="宋体" w:cs="宋体"/>
                <w:color w:val="000000"/>
                <w:sz w:val="24"/>
                <w:szCs w:val="24"/>
              </w:rPr>
              <w:t>注：1.提供相关证明材料复印件或扫描件并加盖投标人鲜章。2.以上人员须提供本单位劳动合同证明材料并加盖鲜章，投标人不得提供虚假证明材料承诺上述人员材料真实性，中标后招标人对中标人材料核实，投标人提供虚假材料承担责任。</w:t>
            </w:r>
          </w:p>
        </w:tc>
        <w:tc>
          <w:tcPr>
            <w:tcW w:w="1094" w:type="dxa"/>
            <w:tcBorders>
              <w:top w:val="single" w:color="auto" w:sz="4" w:space="0"/>
              <w:left w:val="nil"/>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共同评分因素</w:t>
            </w:r>
          </w:p>
        </w:tc>
      </w:tr>
      <w:tr>
        <w:tblPrEx>
          <w:tblLayout w:type="fixed"/>
          <w:tblCellMar>
            <w:top w:w="0" w:type="dxa"/>
            <w:left w:w="108" w:type="dxa"/>
            <w:bottom w:w="0" w:type="dxa"/>
            <w:right w:w="108" w:type="dxa"/>
          </w:tblCellMar>
        </w:tblPrEx>
        <w:trPr>
          <w:cantSplit/>
          <w:trHeight w:val="521"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3</w:t>
            </w:r>
          </w:p>
        </w:tc>
        <w:tc>
          <w:tcPr>
            <w:tcW w:w="15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hAnsi="宋体" w:eastAsia="宋体" w:cs="宋体"/>
                <w:sz w:val="24"/>
                <w:szCs w:val="24"/>
                <w:lang w:val="en-US" w:eastAsia="zh-CN"/>
              </w:rPr>
            </w:pPr>
            <w:r>
              <w:rPr>
                <w:rFonts w:hint="eastAsia" w:hAnsi="宋体" w:cs="宋体"/>
                <w:sz w:val="24"/>
                <w:szCs w:val="24"/>
              </w:rPr>
              <w:t>服务管理总体服务方案10</w:t>
            </w:r>
            <w:r>
              <w:rPr>
                <w:rFonts w:hint="eastAsia" w:hAnsi="宋体" w:cs="宋体"/>
                <w:sz w:val="24"/>
                <w:szCs w:val="24"/>
                <w:lang w:val="en-US" w:eastAsia="zh-CN"/>
              </w:rPr>
              <w:t>%</w:t>
            </w:r>
          </w:p>
          <w:p>
            <w:pPr>
              <w:jc w:val="center"/>
              <w:rPr>
                <w:rFonts w:hAnsi="宋体" w:cs="宋体"/>
                <w:sz w:val="24"/>
                <w:szCs w:val="24"/>
              </w:rPr>
            </w:pPr>
          </w:p>
        </w:tc>
        <w:tc>
          <w:tcPr>
            <w:tcW w:w="159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p>
          <w:p>
            <w:pPr>
              <w:jc w:val="center"/>
              <w:rPr>
                <w:rFonts w:hAnsi="宋体" w:cs="宋体"/>
                <w:sz w:val="24"/>
                <w:szCs w:val="24"/>
              </w:rPr>
            </w:pPr>
            <w:r>
              <w:rPr>
                <w:rFonts w:hint="eastAsia" w:hAnsi="宋体" w:cs="宋体"/>
                <w:sz w:val="24"/>
                <w:szCs w:val="24"/>
              </w:rPr>
              <w:t>10分</w:t>
            </w:r>
          </w:p>
        </w:tc>
        <w:tc>
          <w:tcPr>
            <w:tcW w:w="5762" w:type="dxa"/>
            <w:tcBorders>
              <w:top w:val="single" w:color="auto" w:sz="4" w:space="0"/>
              <w:left w:val="single" w:color="auto" w:sz="4" w:space="0"/>
              <w:bottom w:val="single" w:color="auto" w:sz="4" w:space="0"/>
              <w:right w:val="single" w:color="auto" w:sz="4" w:space="0"/>
            </w:tcBorders>
            <w:noWrap/>
            <w:vAlign w:val="center"/>
          </w:tcPr>
          <w:p>
            <w:pPr>
              <w:rPr>
                <w:rFonts w:hAnsi="宋体" w:cs="宋体"/>
                <w:sz w:val="24"/>
                <w:szCs w:val="24"/>
              </w:rPr>
            </w:pPr>
            <w:r>
              <w:rPr>
                <w:rFonts w:hint="eastAsia"/>
                <w:sz w:val="24"/>
                <w:szCs w:val="24"/>
                <w:lang w:eastAsia="zh-CN"/>
              </w:rPr>
              <w:t>投标人</w:t>
            </w:r>
            <w:r>
              <w:rPr>
                <w:rFonts w:hint="eastAsia" w:hAnsi="宋体" w:cs="宋体"/>
                <w:sz w:val="24"/>
                <w:szCs w:val="24"/>
              </w:rPr>
              <w:t>针对本项目提供的服务管理总体方案，应包括但不限于：</w:t>
            </w:r>
            <w:r>
              <w:rPr>
                <w:rFonts w:hint="eastAsia" w:ascii="宋体" w:hAnsi="宋体" w:cs="宋体"/>
                <w:sz w:val="24"/>
                <w:szCs w:val="24"/>
              </w:rPr>
              <w:t>①</w:t>
            </w:r>
            <w:r>
              <w:rPr>
                <w:rFonts w:hint="eastAsia" w:hAnsi="宋体" w:cs="宋体"/>
                <w:sz w:val="24"/>
                <w:szCs w:val="24"/>
              </w:rPr>
              <w:t>服务内容及总体服务要求；</w:t>
            </w:r>
            <w:r>
              <w:rPr>
                <w:rFonts w:ascii="宋体" w:hAnsi="宋体" w:cs="宋体"/>
                <w:sz w:val="24"/>
                <w:szCs w:val="24"/>
              </w:rPr>
              <w:t>②</w:t>
            </w:r>
            <w:r>
              <w:rPr>
                <w:rFonts w:hint="eastAsia" w:hAnsi="宋体" w:cs="宋体"/>
                <w:sz w:val="24"/>
                <w:szCs w:val="24"/>
              </w:rPr>
              <w:t>管理理念、管理目标、管理制度和工作职能运行；</w:t>
            </w:r>
            <w:r>
              <w:rPr>
                <w:rFonts w:ascii="宋体" w:hAnsi="宋体" w:cs="宋体"/>
                <w:sz w:val="24"/>
                <w:szCs w:val="24"/>
              </w:rPr>
              <w:t>③</w:t>
            </w:r>
            <w:r>
              <w:rPr>
                <w:rFonts w:hint="eastAsia" w:hAnsi="宋体" w:cs="宋体"/>
                <w:sz w:val="24"/>
                <w:szCs w:val="24"/>
              </w:rPr>
              <w:t>项目经理和专职管理制度和考核方式；</w:t>
            </w:r>
            <w:r>
              <w:rPr>
                <w:rFonts w:hint="eastAsia" w:ascii="宋体" w:hAnsi="宋体" w:cs="宋体"/>
                <w:sz w:val="24"/>
                <w:szCs w:val="24"/>
              </w:rPr>
              <w:t>④</w:t>
            </w:r>
            <w:r>
              <w:rPr>
                <w:rFonts w:hint="eastAsia" w:hAnsi="宋体" w:cs="宋体"/>
                <w:sz w:val="24"/>
                <w:szCs w:val="24"/>
              </w:rPr>
              <w:t>人员培训；</w:t>
            </w:r>
            <w:r>
              <w:rPr>
                <w:rFonts w:hint="eastAsia" w:ascii="宋体" w:hAnsi="宋体" w:cs="宋体"/>
                <w:sz w:val="24"/>
                <w:szCs w:val="24"/>
              </w:rPr>
              <w:t>⑤</w:t>
            </w:r>
            <w:r>
              <w:rPr>
                <w:rFonts w:hint="eastAsia" w:hAnsi="宋体" w:cs="宋体"/>
                <w:sz w:val="24"/>
                <w:szCs w:val="24"/>
              </w:rPr>
              <w:t>员工行为规范要求。</w:t>
            </w:r>
          </w:p>
          <w:p>
            <w:pPr>
              <w:rPr>
                <w:rFonts w:hAnsi="宋体" w:cs="宋体"/>
                <w:sz w:val="24"/>
                <w:szCs w:val="24"/>
              </w:rPr>
            </w:pPr>
            <w:r>
              <w:rPr>
                <w:rFonts w:hint="eastAsia" w:hAnsi="宋体" w:cs="宋体"/>
                <w:sz w:val="24"/>
                <w:szCs w:val="24"/>
              </w:rPr>
              <w:t>内容完整、逻辑清晰且满足项目需求的得 10分；每缺少一项扣2分；每有一处不满足或阐述不清晰或描述不详尽扣 1分，扣完为止。</w:t>
            </w:r>
          </w:p>
        </w:tc>
        <w:tc>
          <w:tcPr>
            <w:tcW w:w="1094" w:type="dxa"/>
            <w:vMerge w:val="restart"/>
            <w:tcBorders>
              <w:top w:val="single" w:color="auto" w:sz="4" w:space="0"/>
              <w:left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共同评分因素</w:t>
            </w:r>
          </w:p>
        </w:tc>
      </w:tr>
      <w:tr>
        <w:tblPrEx>
          <w:tblLayout w:type="fixed"/>
          <w:tblCellMar>
            <w:top w:w="0" w:type="dxa"/>
            <w:left w:w="108" w:type="dxa"/>
            <w:bottom w:w="0" w:type="dxa"/>
            <w:right w:w="108" w:type="dxa"/>
          </w:tblCellMar>
        </w:tblPrEx>
        <w:trPr>
          <w:cantSplit/>
          <w:trHeight w:val="521"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sz w:val="24"/>
                <w:szCs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4"/>
                <w:szCs w:val="24"/>
                <w:lang w:val="en-US" w:eastAsia="zh-CN"/>
              </w:rPr>
            </w:pPr>
            <w:r>
              <w:rPr>
                <w:rFonts w:hint="eastAsia" w:hAnsi="宋体" w:cs="宋体"/>
                <w:sz w:val="24"/>
                <w:szCs w:val="24"/>
              </w:rPr>
              <w:t>安保服务方案</w:t>
            </w:r>
            <w:r>
              <w:rPr>
                <w:rFonts w:hint="eastAsia" w:hAnsi="宋体" w:cs="宋体"/>
                <w:sz w:val="24"/>
                <w:szCs w:val="24"/>
                <w:lang w:val="en-US" w:eastAsia="zh-CN"/>
              </w:rPr>
              <w:t>10%</w:t>
            </w:r>
          </w:p>
        </w:tc>
        <w:tc>
          <w:tcPr>
            <w:tcW w:w="159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lang w:val="en-US" w:eastAsia="zh-CN"/>
              </w:rPr>
              <w:t>10</w:t>
            </w:r>
            <w:r>
              <w:rPr>
                <w:rFonts w:hint="eastAsia" w:hAnsi="宋体" w:cs="宋体"/>
                <w:sz w:val="24"/>
                <w:szCs w:val="24"/>
              </w:rPr>
              <w:t>分</w:t>
            </w:r>
          </w:p>
        </w:tc>
        <w:tc>
          <w:tcPr>
            <w:tcW w:w="5762" w:type="dxa"/>
            <w:tcBorders>
              <w:top w:val="single" w:color="auto" w:sz="4" w:space="0"/>
              <w:left w:val="single" w:color="auto" w:sz="4" w:space="0"/>
              <w:bottom w:val="single" w:color="auto" w:sz="4" w:space="0"/>
              <w:right w:val="single" w:color="auto" w:sz="4" w:space="0"/>
            </w:tcBorders>
            <w:noWrap/>
            <w:vAlign w:val="center"/>
          </w:tcPr>
          <w:p>
            <w:pPr>
              <w:jc w:val="left"/>
              <w:rPr>
                <w:rFonts w:hAnsi="宋体" w:cs="宋体"/>
                <w:sz w:val="24"/>
                <w:szCs w:val="24"/>
              </w:rPr>
            </w:pPr>
            <w:r>
              <w:rPr>
                <w:rFonts w:hint="eastAsia"/>
                <w:sz w:val="24"/>
                <w:szCs w:val="24"/>
                <w:lang w:eastAsia="zh-CN"/>
              </w:rPr>
              <w:t>投标人</w:t>
            </w:r>
            <w:r>
              <w:rPr>
                <w:rFonts w:hAnsi="宋体" w:cs="宋体"/>
                <w:sz w:val="24"/>
                <w:szCs w:val="24"/>
              </w:rPr>
              <w:t>针对本项目提供的安保服务方案，应包括但不限于</w:t>
            </w:r>
            <w:r>
              <w:rPr>
                <w:rFonts w:hint="eastAsia" w:hAnsi="宋体" w:cs="宋体"/>
                <w:sz w:val="24"/>
                <w:szCs w:val="24"/>
              </w:rPr>
              <w:t>：</w:t>
            </w:r>
            <w:r>
              <w:rPr>
                <w:rFonts w:hint="eastAsia" w:ascii="宋体" w:hAnsi="宋体" w:cs="宋体"/>
                <w:sz w:val="24"/>
                <w:szCs w:val="24"/>
              </w:rPr>
              <w:t>①</w:t>
            </w:r>
            <w:r>
              <w:rPr>
                <w:rFonts w:hAnsi="宋体" w:cs="宋体"/>
                <w:sz w:val="24"/>
                <w:szCs w:val="24"/>
              </w:rPr>
              <w:t>综合管理；</w:t>
            </w:r>
            <w:r>
              <w:rPr>
                <w:rFonts w:ascii="宋体" w:hAnsi="宋体" w:cs="宋体"/>
                <w:sz w:val="24"/>
                <w:szCs w:val="24"/>
              </w:rPr>
              <w:t>②</w:t>
            </w:r>
            <w:r>
              <w:rPr>
                <w:rFonts w:hAnsi="宋体" w:cs="宋体"/>
                <w:sz w:val="24"/>
                <w:szCs w:val="24"/>
              </w:rPr>
              <w:t>办公秩序维护与门岗管理；</w:t>
            </w:r>
            <w:r>
              <w:rPr>
                <w:rFonts w:ascii="宋体" w:hAnsi="宋体" w:cs="宋体"/>
                <w:sz w:val="24"/>
                <w:szCs w:val="24"/>
              </w:rPr>
              <w:t>③</w:t>
            </w:r>
            <w:r>
              <w:rPr>
                <w:rFonts w:hAnsi="宋体" w:cs="宋体"/>
                <w:sz w:val="24"/>
                <w:szCs w:val="24"/>
              </w:rPr>
              <w:t>车辆秩序管理；</w:t>
            </w:r>
            <w:r>
              <w:rPr>
                <w:rFonts w:hint="eastAsia" w:ascii="宋体" w:hAnsi="宋体" w:cs="宋体"/>
                <w:sz w:val="24"/>
                <w:szCs w:val="24"/>
              </w:rPr>
              <w:t>④</w:t>
            </w:r>
            <w:r>
              <w:rPr>
                <w:rFonts w:hAnsi="宋体" w:cs="宋体"/>
                <w:sz w:val="24"/>
                <w:szCs w:val="24"/>
              </w:rPr>
              <w:t>监控值守管理</w:t>
            </w:r>
            <w:r>
              <w:rPr>
                <w:rFonts w:hint="eastAsia" w:hAnsi="宋体" w:cs="宋体"/>
                <w:sz w:val="24"/>
                <w:szCs w:val="24"/>
              </w:rPr>
              <w:t>、</w:t>
            </w:r>
            <w:r>
              <w:rPr>
                <w:rFonts w:hAnsi="宋体" w:cs="宋体"/>
                <w:sz w:val="24"/>
                <w:szCs w:val="24"/>
              </w:rPr>
              <w:t>安全内容管理等内容。</w:t>
            </w:r>
          </w:p>
          <w:p>
            <w:pPr>
              <w:jc w:val="left"/>
              <w:rPr>
                <w:rFonts w:hAnsi="宋体" w:cs="宋体"/>
                <w:sz w:val="24"/>
                <w:szCs w:val="24"/>
              </w:rPr>
            </w:pPr>
            <w:r>
              <w:rPr>
                <w:rFonts w:hint="eastAsia" w:hAnsi="宋体" w:cs="宋体"/>
                <w:sz w:val="24"/>
                <w:szCs w:val="24"/>
              </w:rPr>
              <w:t>内容完整、逻辑清晰且满足项目需求的得</w:t>
            </w:r>
            <w:r>
              <w:rPr>
                <w:rFonts w:hint="eastAsia" w:hAnsi="宋体" w:cs="宋体"/>
                <w:sz w:val="24"/>
                <w:szCs w:val="24"/>
                <w:lang w:val="en-US" w:eastAsia="zh-CN"/>
              </w:rPr>
              <w:t>10</w:t>
            </w:r>
            <w:r>
              <w:rPr>
                <w:rFonts w:hint="eastAsia" w:hAnsi="宋体" w:cs="宋体"/>
                <w:sz w:val="24"/>
                <w:szCs w:val="24"/>
              </w:rPr>
              <w:t xml:space="preserve"> 分；每缺少一项扣2</w:t>
            </w:r>
            <w:r>
              <w:rPr>
                <w:rFonts w:hint="eastAsia" w:hAnsi="宋体" w:cs="宋体"/>
                <w:sz w:val="24"/>
                <w:szCs w:val="24"/>
                <w:lang w:val="en-US" w:eastAsia="zh-CN"/>
              </w:rPr>
              <w:t>.5</w:t>
            </w:r>
            <w:r>
              <w:rPr>
                <w:rFonts w:hint="eastAsia" w:hAnsi="宋体" w:cs="宋体"/>
                <w:sz w:val="24"/>
                <w:szCs w:val="24"/>
              </w:rPr>
              <w:t>分；每有一处不满足或阐述不清晰或描述不详尽扣 1</w:t>
            </w:r>
            <w:r>
              <w:rPr>
                <w:rFonts w:hint="eastAsia" w:hAnsi="宋体" w:cs="宋体"/>
                <w:sz w:val="24"/>
                <w:szCs w:val="24"/>
                <w:lang w:val="en-US" w:eastAsia="zh-CN"/>
              </w:rPr>
              <w:t>.5</w:t>
            </w:r>
            <w:r>
              <w:rPr>
                <w:rFonts w:hint="eastAsia" w:hAnsi="宋体" w:cs="宋体"/>
                <w:sz w:val="24"/>
                <w:szCs w:val="24"/>
              </w:rPr>
              <w:t>分，扣完为止。</w:t>
            </w:r>
          </w:p>
          <w:p>
            <w:pPr>
              <w:jc w:val="center"/>
              <w:rPr>
                <w:rFonts w:hAnsi="宋体" w:cs="宋体"/>
                <w:sz w:val="24"/>
                <w:szCs w:val="24"/>
              </w:rPr>
            </w:pPr>
          </w:p>
        </w:tc>
        <w:tc>
          <w:tcPr>
            <w:tcW w:w="1094" w:type="dxa"/>
            <w:vMerge w:val="continue"/>
            <w:tcBorders>
              <w:left w:val="single" w:color="auto" w:sz="4" w:space="0"/>
              <w:right w:val="single" w:color="auto" w:sz="4" w:space="0"/>
            </w:tcBorders>
            <w:noWrap/>
            <w:vAlign w:val="center"/>
          </w:tcPr>
          <w:p>
            <w:pPr>
              <w:jc w:val="center"/>
              <w:rPr>
                <w:rFonts w:hAnsi="宋体" w:cs="宋体"/>
                <w:sz w:val="24"/>
                <w:szCs w:val="24"/>
              </w:rPr>
            </w:pPr>
          </w:p>
        </w:tc>
      </w:tr>
      <w:tr>
        <w:tblPrEx>
          <w:tblLayout w:type="fixed"/>
          <w:tblCellMar>
            <w:top w:w="0" w:type="dxa"/>
            <w:left w:w="108" w:type="dxa"/>
            <w:bottom w:w="0" w:type="dxa"/>
            <w:right w:w="108" w:type="dxa"/>
          </w:tblCellMar>
        </w:tblPrEx>
        <w:trPr>
          <w:cantSplit/>
          <w:trHeight w:val="1033"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sz w:val="24"/>
                <w:szCs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4"/>
                <w:szCs w:val="24"/>
                <w:lang w:val="en-US" w:eastAsia="zh-CN"/>
              </w:rPr>
            </w:pPr>
            <w:r>
              <w:rPr>
                <w:rFonts w:hint="eastAsia" w:hAnsi="宋体" w:cs="宋体"/>
                <w:sz w:val="24"/>
                <w:szCs w:val="24"/>
              </w:rPr>
              <w:t>保洁服务方案6</w:t>
            </w:r>
            <w:r>
              <w:rPr>
                <w:rFonts w:hint="eastAsia" w:hAnsi="宋体" w:cs="宋体"/>
                <w:sz w:val="24"/>
                <w:szCs w:val="24"/>
                <w:lang w:val="en-US" w:eastAsia="zh-CN"/>
              </w:rPr>
              <w:t>%</w:t>
            </w:r>
          </w:p>
        </w:tc>
        <w:tc>
          <w:tcPr>
            <w:tcW w:w="159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6分</w:t>
            </w:r>
          </w:p>
        </w:tc>
        <w:tc>
          <w:tcPr>
            <w:tcW w:w="5762" w:type="dxa"/>
            <w:tcBorders>
              <w:top w:val="single" w:color="auto" w:sz="4" w:space="0"/>
              <w:left w:val="single" w:color="auto" w:sz="4" w:space="0"/>
              <w:bottom w:val="single" w:color="auto" w:sz="4" w:space="0"/>
              <w:right w:val="single" w:color="auto" w:sz="4" w:space="0"/>
            </w:tcBorders>
            <w:noWrap/>
            <w:vAlign w:val="center"/>
          </w:tcPr>
          <w:p>
            <w:pPr>
              <w:jc w:val="left"/>
              <w:rPr>
                <w:rFonts w:hAnsi="宋体" w:cs="宋体"/>
                <w:sz w:val="24"/>
                <w:szCs w:val="24"/>
              </w:rPr>
            </w:pPr>
            <w:r>
              <w:rPr>
                <w:rFonts w:hint="eastAsia"/>
                <w:sz w:val="24"/>
                <w:szCs w:val="24"/>
                <w:lang w:eastAsia="zh-CN"/>
              </w:rPr>
              <w:t>投标人</w:t>
            </w:r>
            <w:r>
              <w:rPr>
                <w:rFonts w:hint="eastAsia" w:hAnsi="宋体" w:cs="宋体"/>
                <w:sz w:val="24"/>
                <w:szCs w:val="24"/>
              </w:rPr>
              <w:t>针对本项目提供的保洁服务方案，应包括但不限于：</w:t>
            </w:r>
            <w:r>
              <w:rPr>
                <w:rFonts w:hint="eastAsia" w:ascii="宋体" w:hAnsi="宋体" w:cs="宋体"/>
                <w:sz w:val="24"/>
                <w:szCs w:val="24"/>
              </w:rPr>
              <w:t>①</w:t>
            </w:r>
            <w:r>
              <w:rPr>
                <w:rFonts w:hint="eastAsia" w:hAnsi="宋体" w:cs="宋体"/>
                <w:sz w:val="24"/>
                <w:szCs w:val="24"/>
              </w:rPr>
              <w:t>办公区域环境维护；</w:t>
            </w:r>
            <w:r>
              <w:rPr>
                <w:rFonts w:ascii="宋体" w:hAnsi="宋体" w:cs="宋体"/>
                <w:sz w:val="24"/>
                <w:szCs w:val="24"/>
              </w:rPr>
              <w:t>②</w:t>
            </w:r>
            <w:r>
              <w:rPr>
                <w:rFonts w:hint="eastAsia" w:hAnsi="宋体" w:cs="宋体"/>
                <w:sz w:val="24"/>
                <w:szCs w:val="24"/>
              </w:rPr>
              <w:t>公共区域环境维护；</w:t>
            </w:r>
            <w:r>
              <w:rPr>
                <w:rFonts w:ascii="宋体" w:hAnsi="宋体" w:cs="宋体"/>
                <w:sz w:val="24"/>
                <w:szCs w:val="24"/>
              </w:rPr>
              <w:t>③</w:t>
            </w:r>
            <w:r>
              <w:rPr>
                <w:rFonts w:hint="eastAsia" w:hAnsi="宋体" w:cs="宋体"/>
                <w:sz w:val="24"/>
                <w:szCs w:val="24"/>
              </w:rPr>
              <w:t>卫生消杀及垃圾处理。</w:t>
            </w:r>
          </w:p>
          <w:p>
            <w:pPr>
              <w:jc w:val="left"/>
              <w:rPr>
                <w:rFonts w:hAnsi="宋体" w:cs="宋体"/>
                <w:sz w:val="24"/>
                <w:szCs w:val="24"/>
              </w:rPr>
            </w:pPr>
            <w:r>
              <w:rPr>
                <w:rFonts w:hint="eastAsia" w:hAnsi="宋体" w:cs="宋体"/>
                <w:sz w:val="24"/>
                <w:szCs w:val="24"/>
              </w:rPr>
              <w:t>内容完整、逻辑清晰且满足项目需求的得6分；每缺少一项扣2分；每有一处不满足或阐述不清晰或描述不详尽扣 1分，扣完为止。</w:t>
            </w:r>
          </w:p>
        </w:tc>
        <w:tc>
          <w:tcPr>
            <w:tcW w:w="1094" w:type="dxa"/>
            <w:vMerge w:val="continue"/>
            <w:tcBorders>
              <w:left w:val="single" w:color="auto" w:sz="4" w:space="0"/>
              <w:right w:val="single" w:color="auto" w:sz="4" w:space="0"/>
            </w:tcBorders>
            <w:noWrap/>
            <w:vAlign w:val="center"/>
          </w:tcPr>
          <w:p>
            <w:pPr>
              <w:jc w:val="center"/>
              <w:rPr>
                <w:rFonts w:hAnsi="宋体" w:cs="宋体"/>
                <w:sz w:val="24"/>
                <w:szCs w:val="24"/>
              </w:rPr>
            </w:pPr>
          </w:p>
        </w:tc>
      </w:tr>
      <w:tr>
        <w:tblPrEx>
          <w:tblLayout w:type="fixed"/>
          <w:tblCellMar>
            <w:top w:w="0" w:type="dxa"/>
            <w:left w:w="108" w:type="dxa"/>
            <w:bottom w:w="0" w:type="dxa"/>
            <w:right w:w="108" w:type="dxa"/>
          </w:tblCellMar>
        </w:tblPrEx>
        <w:trPr>
          <w:cantSplit/>
          <w:trHeight w:val="1097"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hAnsi="宋体" w:eastAsia="宋体" w:cs="宋体"/>
                <w:sz w:val="24"/>
                <w:szCs w:val="24"/>
                <w:lang w:val="en-US" w:eastAsia="zh-CN"/>
              </w:rPr>
            </w:pPr>
            <w:r>
              <w:rPr>
                <w:rFonts w:hint="eastAsia" w:hAnsi="宋体" w:cs="宋体"/>
                <w:sz w:val="24"/>
                <w:szCs w:val="24"/>
              </w:rPr>
              <w:t>站务服务方案6</w:t>
            </w:r>
            <w:r>
              <w:rPr>
                <w:rFonts w:hint="eastAsia" w:hAnsi="宋体" w:cs="宋体"/>
                <w:sz w:val="24"/>
                <w:szCs w:val="24"/>
                <w:lang w:val="en-US" w:eastAsia="zh-CN"/>
              </w:rPr>
              <w:t>%</w:t>
            </w:r>
          </w:p>
        </w:tc>
        <w:tc>
          <w:tcPr>
            <w:tcW w:w="159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6分</w:t>
            </w:r>
          </w:p>
        </w:tc>
        <w:tc>
          <w:tcPr>
            <w:tcW w:w="5762" w:type="dxa"/>
            <w:tcBorders>
              <w:top w:val="single" w:color="auto" w:sz="4" w:space="0"/>
              <w:left w:val="single" w:color="auto" w:sz="4" w:space="0"/>
              <w:bottom w:val="single" w:color="auto" w:sz="4" w:space="0"/>
              <w:right w:val="single" w:color="auto" w:sz="4" w:space="0"/>
            </w:tcBorders>
            <w:noWrap/>
            <w:vAlign w:val="center"/>
          </w:tcPr>
          <w:p>
            <w:pPr>
              <w:jc w:val="left"/>
              <w:rPr>
                <w:rFonts w:hAnsi="宋体" w:cs="宋体"/>
                <w:sz w:val="24"/>
                <w:szCs w:val="24"/>
              </w:rPr>
            </w:pPr>
            <w:r>
              <w:rPr>
                <w:rFonts w:hint="eastAsia"/>
                <w:sz w:val="24"/>
                <w:szCs w:val="24"/>
                <w:lang w:eastAsia="zh-CN"/>
              </w:rPr>
              <w:t>投标人</w:t>
            </w:r>
            <w:r>
              <w:rPr>
                <w:rFonts w:hint="eastAsia" w:hAnsi="宋体" w:cs="宋体"/>
                <w:sz w:val="24"/>
                <w:szCs w:val="24"/>
              </w:rPr>
              <w:t>针对本项目提供的站务服务方案，应包括但不限于：</w:t>
            </w:r>
            <w:r>
              <w:rPr>
                <w:rFonts w:hint="eastAsia" w:ascii="宋体" w:hAnsi="宋体" w:cs="宋体"/>
                <w:sz w:val="24"/>
                <w:szCs w:val="24"/>
              </w:rPr>
              <w:t>①</w:t>
            </w:r>
            <w:r>
              <w:rPr>
                <w:rFonts w:hint="eastAsia" w:hAnsi="宋体" w:cs="宋体"/>
                <w:sz w:val="24"/>
                <w:szCs w:val="24"/>
              </w:rPr>
              <w:t>站务服务人员配置；</w:t>
            </w:r>
            <w:r>
              <w:rPr>
                <w:rFonts w:ascii="宋体" w:hAnsi="宋体" w:cs="宋体"/>
                <w:sz w:val="24"/>
                <w:szCs w:val="24"/>
              </w:rPr>
              <w:t>②</w:t>
            </w:r>
            <w:r>
              <w:rPr>
                <w:rFonts w:hint="eastAsia" w:hAnsi="宋体" w:cs="宋体"/>
                <w:sz w:val="24"/>
                <w:szCs w:val="24"/>
              </w:rPr>
              <w:t>服务内容；</w:t>
            </w:r>
            <w:r>
              <w:rPr>
                <w:rFonts w:ascii="宋体" w:hAnsi="宋体" w:cs="宋体"/>
                <w:sz w:val="24"/>
                <w:szCs w:val="24"/>
              </w:rPr>
              <w:t>③</w:t>
            </w:r>
            <w:r>
              <w:rPr>
                <w:rFonts w:hint="eastAsia" w:hAnsi="宋体" w:cs="宋体"/>
                <w:sz w:val="24"/>
                <w:szCs w:val="24"/>
              </w:rPr>
              <w:t>岗位职责及考核办法。</w:t>
            </w:r>
          </w:p>
          <w:p>
            <w:pPr>
              <w:jc w:val="left"/>
              <w:rPr>
                <w:rFonts w:hAnsi="宋体" w:cs="宋体"/>
                <w:sz w:val="24"/>
                <w:szCs w:val="24"/>
              </w:rPr>
            </w:pPr>
            <w:r>
              <w:rPr>
                <w:rFonts w:hint="eastAsia" w:hAnsi="宋体" w:cs="宋体"/>
                <w:sz w:val="24"/>
                <w:szCs w:val="24"/>
              </w:rPr>
              <w:t>内容完整、逻辑清晰且满足项目需求的得 6 分；每缺少一项扣2分；每有一处不满足或阐述不清晰或描述不详尽扣 1分，扣完为止。</w:t>
            </w:r>
          </w:p>
        </w:tc>
        <w:tc>
          <w:tcPr>
            <w:tcW w:w="1094" w:type="dxa"/>
            <w:vMerge w:val="continue"/>
            <w:tcBorders>
              <w:left w:val="single" w:color="auto" w:sz="4" w:space="0"/>
              <w:bottom w:val="single" w:color="auto" w:sz="4" w:space="0"/>
              <w:right w:val="single" w:color="auto" w:sz="4" w:space="0"/>
            </w:tcBorders>
            <w:noWrap/>
            <w:vAlign w:val="center"/>
          </w:tcPr>
          <w:p>
            <w:pPr>
              <w:jc w:val="center"/>
              <w:rPr>
                <w:rFonts w:hAnsi="宋体" w:cs="宋体"/>
                <w:sz w:val="24"/>
                <w:szCs w:val="24"/>
              </w:rPr>
            </w:pPr>
          </w:p>
        </w:tc>
      </w:tr>
      <w:tr>
        <w:tblPrEx>
          <w:tblLayout w:type="fixed"/>
          <w:tblCellMar>
            <w:top w:w="0" w:type="dxa"/>
            <w:left w:w="108" w:type="dxa"/>
            <w:bottom w:w="0" w:type="dxa"/>
            <w:right w:w="108" w:type="dxa"/>
          </w:tblCellMar>
        </w:tblPrEx>
        <w:trPr>
          <w:cantSplit/>
          <w:trHeight w:val="1097"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sz w:val="24"/>
                <w:szCs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4"/>
                <w:szCs w:val="24"/>
                <w:lang w:val="en-US" w:eastAsia="zh-CN"/>
              </w:rPr>
            </w:pPr>
            <w:r>
              <w:rPr>
                <w:rFonts w:hint="eastAsia" w:hAnsi="宋体" w:cs="宋体"/>
                <w:sz w:val="24"/>
                <w:szCs w:val="24"/>
              </w:rPr>
              <w:t>应急处置方案10</w:t>
            </w:r>
            <w:r>
              <w:rPr>
                <w:rFonts w:hint="eastAsia" w:hAnsi="宋体" w:cs="宋体"/>
                <w:sz w:val="24"/>
                <w:szCs w:val="24"/>
                <w:lang w:val="en-US" w:eastAsia="zh-CN"/>
              </w:rPr>
              <w:t>%</w:t>
            </w:r>
          </w:p>
        </w:tc>
        <w:tc>
          <w:tcPr>
            <w:tcW w:w="159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10分</w:t>
            </w:r>
          </w:p>
        </w:tc>
        <w:tc>
          <w:tcPr>
            <w:tcW w:w="5762" w:type="dxa"/>
            <w:tcBorders>
              <w:top w:val="single" w:color="auto" w:sz="4" w:space="0"/>
              <w:left w:val="single" w:color="auto" w:sz="4" w:space="0"/>
              <w:bottom w:val="single" w:color="auto" w:sz="4" w:space="0"/>
              <w:right w:val="single" w:color="auto" w:sz="4" w:space="0"/>
            </w:tcBorders>
            <w:noWrap/>
            <w:vAlign w:val="center"/>
          </w:tcPr>
          <w:p>
            <w:pPr>
              <w:jc w:val="left"/>
              <w:rPr>
                <w:rFonts w:hAnsi="宋体" w:cs="宋体"/>
                <w:sz w:val="24"/>
                <w:szCs w:val="24"/>
              </w:rPr>
            </w:pPr>
            <w:r>
              <w:rPr>
                <w:rFonts w:hint="eastAsia"/>
                <w:sz w:val="24"/>
                <w:szCs w:val="24"/>
                <w:lang w:eastAsia="zh-CN"/>
              </w:rPr>
              <w:t>投标人</w:t>
            </w:r>
            <w:r>
              <w:rPr>
                <w:rFonts w:hint="eastAsia" w:hAnsi="宋体" w:cs="宋体"/>
                <w:sz w:val="24"/>
                <w:szCs w:val="24"/>
              </w:rPr>
              <w:t>针对本项目提供的应急措施，应包括但不限于：</w:t>
            </w:r>
            <w:r>
              <w:rPr>
                <w:rFonts w:hint="eastAsia" w:ascii="宋体" w:hAnsi="宋体" w:cs="宋体"/>
                <w:sz w:val="24"/>
                <w:szCs w:val="24"/>
              </w:rPr>
              <w:t>①</w:t>
            </w:r>
            <w:r>
              <w:rPr>
                <w:rFonts w:hint="eastAsia" w:hAnsi="宋体" w:cs="宋体"/>
                <w:sz w:val="24"/>
                <w:szCs w:val="24"/>
              </w:rPr>
              <w:t>自然灾害应急措施；</w:t>
            </w:r>
            <w:r>
              <w:rPr>
                <w:rFonts w:ascii="宋体" w:hAnsi="宋体" w:cs="宋体"/>
                <w:sz w:val="24"/>
                <w:szCs w:val="24"/>
              </w:rPr>
              <w:t>②</w:t>
            </w:r>
            <w:r>
              <w:rPr>
                <w:rFonts w:hint="eastAsia" w:hAnsi="宋体" w:cs="宋体"/>
                <w:sz w:val="24"/>
                <w:szCs w:val="24"/>
              </w:rPr>
              <w:t>事故灾难应急措施；</w:t>
            </w:r>
            <w:r>
              <w:rPr>
                <w:rFonts w:ascii="宋体" w:hAnsi="宋体" w:cs="宋体"/>
                <w:sz w:val="24"/>
                <w:szCs w:val="24"/>
              </w:rPr>
              <w:t>③</w:t>
            </w:r>
            <w:r>
              <w:rPr>
                <w:rFonts w:hint="eastAsia" w:hAnsi="宋体" w:cs="宋体"/>
                <w:sz w:val="24"/>
                <w:szCs w:val="24"/>
              </w:rPr>
              <w:t>公共卫生事件应急措施；</w:t>
            </w:r>
            <w:r>
              <w:rPr>
                <w:rFonts w:hint="eastAsia" w:ascii="宋体" w:hAnsi="宋体" w:cs="宋体"/>
                <w:sz w:val="24"/>
                <w:szCs w:val="24"/>
              </w:rPr>
              <w:t>④</w:t>
            </w:r>
            <w:r>
              <w:rPr>
                <w:rFonts w:hint="eastAsia" w:hAnsi="宋体" w:cs="宋体"/>
                <w:sz w:val="24"/>
                <w:szCs w:val="24"/>
              </w:rPr>
              <w:t>社会安全事件应急措施；</w:t>
            </w:r>
            <w:r>
              <w:rPr>
                <w:rFonts w:hint="eastAsia" w:ascii="宋体" w:hAnsi="宋体" w:cs="宋体"/>
                <w:sz w:val="24"/>
                <w:szCs w:val="24"/>
              </w:rPr>
              <w:t>⑤</w:t>
            </w:r>
            <w:r>
              <w:rPr>
                <w:rFonts w:hint="eastAsia" w:hAnsi="宋体" w:cs="宋体"/>
                <w:sz w:val="24"/>
                <w:szCs w:val="24"/>
              </w:rPr>
              <w:t>公共治安事件应急措施。</w:t>
            </w:r>
          </w:p>
          <w:p>
            <w:pPr>
              <w:jc w:val="left"/>
              <w:rPr>
                <w:rFonts w:hAnsi="宋体" w:cs="宋体"/>
                <w:sz w:val="24"/>
                <w:szCs w:val="24"/>
              </w:rPr>
            </w:pPr>
            <w:r>
              <w:rPr>
                <w:rFonts w:hint="eastAsia" w:hAnsi="宋体" w:cs="宋体"/>
                <w:sz w:val="24"/>
                <w:szCs w:val="24"/>
              </w:rPr>
              <w:t>内容完整、逻辑清晰且满足项目需求的得 10分；每缺少一项扣2分；每有一处不满足或阐述不清晰或描述不详尽扣 1分，扣完为止。</w:t>
            </w:r>
          </w:p>
        </w:tc>
        <w:tc>
          <w:tcPr>
            <w:tcW w:w="1094" w:type="dxa"/>
            <w:vMerge w:val="continue"/>
            <w:tcBorders>
              <w:left w:val="single" w:color="auto" w:sz="4" w:space="0"/>
              <w:bottom w:val="single" w:color="auto" w:sz="4" w:space="0"/>
              <w:right w:val="single" w:color="auto" w:sz="4" w:space="0"/>
            </w:tcBorders>
            <w:noWrap/>
            <w:vAlign w:val="center"/>
          </w:tcPr>
          <w:p>
            <w:pPr>
              <w:jc w:val="center"/>
              <w:rPr>
                <w:rFonts w:hAnsi="宋体" w:cs="宋体"/>
                <w:sz w:val="24"/>
                <w:szCs w:val="24"/>
              </w:rPr>
            </w:pPr>
          </w:p>
        </w:tc>
      </w:tr>
      <w:tr>
        <w:tblPrEx>
          <w:tblLayout w:type="fixed"/>
          <w:tblCellMar>
            <w:top w:w="0" w:type="dxa"/>
            <w:left w:w="108" w:type="dxa"/>
            <w:bottom w:w="0" w:type="dxa"/>
            <w:right w:w="108" w:type="dxa"/>
          </w:tblCellMar>
        </w:tblPrEx>
        <w:trPr>
          <w:cantSplit/>
          <w:trHeight w:val="1353"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4</w:t>
            </w:r>
          </w:p>
        </w:tc>
        <w:tc>
          <w:tcPr>
            <w:tcW w:w="1513"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业绩</w:t>
            </w:r>
          </w:p>
          <w:p>
            <w:pPr>
              <w:jc w:val="center"/>
              <w:rPr>
                <w:rFonts w:hAnsi="宋体" w:cs="宋体"/>
                <w:sz w:val="24"/>
                <w:szCs w:val="24"/>
              </w:rPr>
            </w:pPr>
            <w:r>
              <w:rPr>
                <w:rFonts w:hint="eastAsia" w:hAnsi="宋体" w:cs="宋体"/>
                <w:sz w:val="24"/>
                <w:szCs w:val="24"/>
              </w:rPr>
              <w:t>12%</w:t>
            </w:r>
          </w:p>
        </w:tc>
        <w:tc>
          <w:tcPr>
            <w:tcW w:w="159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12分</w:t>
            </w:r>
          </w:p>
        </w:tc>
        <w:tc>
          <w:tcPr>
            <w:tcW w:w="5762" w:type="dxa"/>
            <w:tcBorders>
              <w:top w:val="single" w:color="auto" w:sz="4" w:space="0"/>
              <w:left w:val="nil"/>
              <w:bottom w:val="single" w:color="auto" w:sz="4" w:space="0"/>
              <w:right w:val="single" w:color="auto" w:sz="4" w:space="0"/>
            </w:tcBorders>
            <w:noWrap/>
            <w:vAlign w:val="center"/>
          </w:tcPr>
          <w:p>
            <w:pPr>
              <w:rPr>
                <w:rFonts w:hAnsi="宋体" w:cs="宋体"/>
                <w:color w:val="000000"/>
                <w:sz w:val="24"/>
                <w:szCs w:val="24"/>
              </w:rPr>
            </w:pPr>
            <w:r>
              <w:rPr>
                <w:rFonts w:hint="eastAsia"/>
                <w:sz w:val="24"/>
                <w:szCs w:val="24"/>
                <w:lang w:eastAsia="zh-CN"/>
              </w:rPr>
              <w:t>投标人</w:t>
            </w:r>
            <w:r>
              <w:rPr>
                <w:rFonts w:hint="eastAsia" w:ascii="宋体" w:hAnsi="宋体" w:cs="宋体"/>
                <w:color w:val="000000"/>
                <w:sz w:val="24"/>
                <w:szCs w:val="24"/>
              </w:rPr>
              <w:t>201</w:t>
            </w:r>
            <w:r>
              <w:rPr>
                <w:rFonts w:hint="eastAsia" w:ascii="宋体" w:hAnsi="宋体" w:cs="宋体"/>
                <w:color w:val="000000"/>
                <w:sz w:val="24"/>
                <w:szCs w:val="24"/>
                <w:lang w:val="en-US" w:eastAsia="zh-CN"/>
              </w:rPr>
              <w:t>8</w:t>
            </w:r>
            <w:r>
              <w:rPr>
                <w:rFonts w:hint="eastAsia" w:ascii="宋体" w:hAnsi="宋体" w:cs="宋体"/>
                <w:color w:val="000000"/>
                <w:sz w:val="24"/>
                <w:szCs w:val="24"/>
              </w:rPr>
              <w:t>年1月1日（含1日）以来，每具有1个非住宅物业管理服务项目业绩且业主单位出具的书面综合评价为满意或优秀或相同语意内容证明得</w:t>
            </w:r>
            <w:r>
              <w:rPr>
                <w:rFonts w:hint="eastAsia" w:ascii="宋体" w:hAnsi="宋体" w:cs="宋体"/>
                <w:color w:val="000000"/>
                <w:sz w:val="24"/>
                <w:szCs w:val="24"/>
                <w:lang w:val="en-US" w:eastAsia="zh-CN"/>
              </w:rPr>
              <w:t>2</w:t>
            </w:r>
            <w:r>
              <w:rPr>
                <w:rFonts w:hint="eastAsia" w:ascii="宋体" w:hAnsi="宋体" w:cs="宋体"/>
                <w:color w:val="000000"/>
                <w:sz w:val="24"/>
                <w:szCs w:val="24"/>
              </w:rPr>
              <w:t>分，此项最高得12分。</w:t>
            </w:r>
          </w:p>
          <w:p>
            <w:pPr>
              <w:rPr>
                <w:rFonts w:hAnsi="宋体" w:cs="宋体"/>
                <w:sz w:val="24"/>
                <w:szCs w:val="24"/>
              </w:rPr>
            </w:pPr>
            <w:r>
              <w:rPr>
                <w:rFonts w:hint="eastAsia" w:hAnsi="宋体" w:cs="宋体"/>
                <w:color w:val="000000"/>
                <w:sz w:val="24"/>
                <w:szCs w:val="24"/>
              </w:rPr>
              <w:t>注：</w:t>
            </w:r>
            <w:r>
              <w:rPr>
                <w:rFonts w:hint="eastAsia" w:ascii="宋体" w:hAnsi="宋体" w:cs="宋体"/>
                <w:color w:val="000000"/>
                <w:sz w:val="24"/>
                <w:szCs w:val="24"/>
              </w:rPr>
              <w:t>1、提供中标</w:t>
            </w:r>
            <w:r>
              <w:rPr>
                <w:rFonts w:hint="eastAsia" w:ascii="宋体" w:hAnsi="宋体" w:cs="宋体"/>
                <w:color w:val="000000"/>
                <w:sz w:val="24"/>
                <w:szCs w:val="24"/>
                <w:lang w:eastAsia="zh-CN"/>
              </w:rPr>
              <w:t>（成交）</w:t>
            </w:r>
            <w:r>
              <w:rPr>
                <w:rFonts w:hint="eastAsia" w:ascii="宋体" w:hAnsi="宋体" w:cs="宋体"/>
                <w:color w:val="000000"/>
                <w:sz w:val="24"/>
                <w:szCs w:val="24"/>
              </w:rPr>
              <w:t>通知书或合同复印件2、提供对应业绩项目合同资金支付凭证（如为分期付款的，至少提供一次支付凭证）3、项目业主单位盖公章书面评价证明材料复印件加盖</w:t>
            </w:r>
            <w:r>
              <w:rPr>
                <w:rFonts w:hint="eastAsia" w:hAnsi="宋体" w:cs="宋体"/>
                <w:color w:val="000000"/>
                <w:sz w:val="24"/>
                <w:szCs w:val="24"/>
                <w:lang w:eastAsia="zh-CN"/>
              </w:rPr>
              <w:t>投标人</w:t>
            </w:r>
            <w:r>
              <w:rPr>
                <w:rFonts w:hint="eastAsia" w:ascii="宋体" w:hAnsi="宋体" w:cs="宋体"/>
                <w:color w:val="000000"/>
                <w:sz w:val="24"/>
                <w:szCs w:val="24"/>
              </w:rPr>
              <w:t>鲜章。</w:t>
            </w:r>
          </w:p>
        </w:tc>
        <w:tc>
          <w:tcPr>
            <w:tcW w:w="1094" w:type="dxa"/>
            <w:tcBorders>
              <w:top w:val="single" w:color="auto" w:sz="4" w:space="0"/>
              <w:left w:val="nil"/>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共同评分因素</w:t>
            </w:r>
          </w:p>
        </w:tc>
      </w:tr>
      <w:tr>
        <w:tblPrEx>
          <w:tblLayout w:type="fixed"/>
          <w:tblCellMar>
            <w:top w:w="0" w:type="dxa"/>
            <w:left w:w="108" w:type="dxa"/>
            <w:bottom w:w="0" w:type="dxa"/>
            <w:right w:w="108" w:type="dxa"/>
          </w:tblCellMar>
        </w:tblPrEx>
        <w:trPr>
          <w:cantSplit/>
          <w:trHeight w:val="1353"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hAnsi="宋体" w:cs="宋体"/>
                <w:sz w:val="24"/>
                <w:szCs w:val="24"/>
              </w:rPr>
            </w:pPr>
            <w:r>
              <w:rPr>
                <w:rFonts w:hint="eastAsia" w:hAnsi="宋体" w:cs="宋体"/>
                <w:sz w:val="24"/>
                <w:szCs w:val="24"/>
              </w:rPr>
              <w:t>5</w:t>
            </w:r>
          </w:p>
        </w:tc>
        <w:tc>
          <w:tcPr>
            <w:tcW w:w="1513"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hAnsi="宋体" w:cs="宋体"/>
                <w:sz w:val="24"/>
                <w:szCs w:val="24"/>
                <w:lang w:val="en-US"/>
              </w:rPr>
            </w:pPr>
            <w:r>
              <w:rPr>
                <w:rFonts w:hint="eastAsia" w:hAnsi="宋体" w:cs="宋体"/>
                <w:sz w:val="24"/>
                <w:szCs w:val="24"/>
              </w:rPr>
              <w:t>履约能力</w:t>
            </w:r>
            <w:r>
              <w:rPr>
                <w:rFonts w:hint="eastAsia" w:hAnsi="宋体" w:cs="宋体"/>
                <w:sz w:val="24"/>
                <w:szCs w:val="24"/>
                <w:lang w:val="en-US" w:eastAsia="zh-CN"/>
              </w:rPr>
              <w:t>8%</w:t>
            </w:r>
          </w:p>
        </w:tc>
        <w:tc>
          <w:tcPr>
            <w:tcW w:w="15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hAnsi="宋体" w:cs="宋体"/>
                <w:sz w:val="24"/>
                <w:szCs w:val="24"/>
              </w:rPr>
            </w:pPr>
            <w:r>
              <w:rPr>
                <w:rFonts w:hint="eastAsia" w:hAnsi="宋体" w:cs="宋体"/>
                <w:sz w:val="24"/>
                <w:szCs w:val="24"/>
                <w:lang w:val="en-US" w:eastAsia="zh-CN"/>
              </w:rPr>
              <w:t>8</w:t>
            </w:r>
            <w:r>
              <w:rPr>
                <w:rFonts w:hint="eastAsia" w:hAnsi="宋体" w:cs="宋体"/>
                <w:sz w:val="24"/>
                <w:szCs w:val="24"/>
              </w:rPr>
              <w:t>分</w:t>
            </w:r>
          </w:p>
        </w:tc>
        <w:tc>
          <w:tcPr>
            <w:tcW w:w="5762" w:type="dxa"/>
            <w:tcBorders>
              <w:top w:val="single" w:color="auto" w:sz="4" w:space="0"/>
              <w:left w:val="nil"/>
              <w:bottom w:val="single" w:color="auto" w:sz="4" w:space="0"/>
              <w:right w:val="single" w:color="auto" w:sz="4" w:space="0"/>
            </w:tcBorders>
            <w:noWrap/>
            <w:vAlign w:val="center"/>
          </w:tcPr>
          <w:p>
            <w:pPr>
              <w:rPr>
                <w:rFonts w:hint="eastAsia" w:hAnsi="宋体" w:cs="宋体"/>
                <w:sz w:val="24"/>
                <w:szCs w:val="24"/>
              </w:rPr>
            </w:pPr>
            <w:r>
              <w:rPr>
                <w:rFonts w:hint="eastAsia" w:hAnsi="宋体" w:cs="宋体"/>
                <w:sz w:val="24"/>
                <w:szCs w:val="24"/>
              </w:rPr>
              <w:t>1</w:t>
            </w:r>
            <w:r>
              <w:rPr>
                <w:rFonts w:hint="eastAsia" w:hAnsi="宋体" w:cs="宋体"/>
                <w:sz w:val="24"/>
                <w:szCs w:val="24"/>
                <w:lang w:eastAsia="zh-CN"/>
              </w:rPr>
              <w:t>、</w:t>
            </w:r>
            <w:r>
              <w:rPr>
                <w:rFonts w:hint="eastAsia"/>
                <w:sz w:val="24"/>
                <w:szCs w:val="24"/>
                <w:lang w:eastAsia="zh-CN"/>
              </w:rPr>
              <w:t>投标人</w:t>
            </w:r>
            <w:r>
              <w:rPr>
                <w:rFonts w:hint="eastAsia" w:hAnsi="宋体" w:cs="宋体"/>
                <w:sz w:val="24"/>
                <w:szCs w:val="24"/>
              </w:rPr>
              <w:t>具有在有效期内的质量管理体系认证证书的，得2分；</w:t>
            </w:r>
          </w:p>
          <w:p>
            <w:pPr>
              <w:rPr>
                <w:rFonts w:hint="eastAsia" w:hAnsi="宋体" w:cs="宋体"/>
                <w:sz w:val="24"/>
                <w:szCs w:val="24"/>
              </w:rPr>
            </w:pPr>
            <w:r>
              <w:rPr>
                <w:rFonts w:hint="eastAsia" w:hAnsi="宋体" w:cs="宋体"/>
                <w:sz w:val="24"/>
                <w:szCs w:val="24"/>
              </w:rPr>
              <w:t>2</w:t>
            </w:r>
            <w:r>
              <w:rPr>
                <w:rFonts w:hint="eastAsia" w:hAnsi="宋体" w:cs="宋体"/>
                <w:sz w:val="24"/>
                <w:szCs w:val="24"/>
                <w:lang w:eastAsia="zh-CN"/>
              </w:rPr>
              <w:t>、</w:t>
            </w:r>
            <w:r>
              <w:rPr>
                <w:rFonts w:hint="eastAsia"/>
                <w:sz w:val="24"/>
                <w:szCs w:val="24"/>
                <w:lang w:eastAsia="zh-CN"/>
              </w:rPr>
              <w:t>投标人</w:t>
            </w:r>
            <w:r>
              <w:rPr>
                <w:rFonts w:hint="eastAsia" w:hAnsi="宋体" w:cs="宋体"/>
                <w:sz w:val="24"/>
                <w:szCs w:val="24"/>
              </w:rPr>
              <w:t>具有在有效期内的环境管理体系认证证书的，得2分；</w:t>
            </w:r>
          </w:p>
          <w:p>
            <w:pPr>
              <w:rPr>
                <w:rFonts w:hint="eastAsia" w:hAnsi="宋体" w:cs="宋体"/>
                <w:color w:val="auto"/>
                <w:sz w:val="24"/>
                <w:szCs w:val="24"/>
              </w:rPr>
            </w:pPr>
            <w:r>
              <w:rPr>
                <w:rFonts w:hint="eastAsia" w:hAnsi="宋体" w:cs="宋体"/>
                <w:sz w:val="24"/>
                <w:szCs w:val="24"/>
              </w:rPr>
              <w:t>3</w:t>
            </w:r>
            <w:r>
              <w:rPr>
                <w:rFonts w:hint="eastAsia" w:hAnsi="宋体" w:cs="宋体"/>
                <w:sz w:val="24"/>
                <w:szCs w:val="24"/>
                <w:lang w:eastAsia="zh-CN"/>
              </w:rPr>
              <w:t>、</w:t>
            </w:r>
            <w:r>
              <w:rPr>
                <w:rFonts w:hint="eastAsia"/>
                <w:sz w:val="24"/>
                <w:szCs w:val="24"/>
                <w:lang w:eastAsia="zh-CN"/>
              </w:rPr>
              <w:t>投</w:t>
            </w:r>
            <w:r>
              <w:rPr>
                <w:rFonts w:hint="eastAsia"/>
                <w:color w:val="auto"/>
                <w:sz w:val="24"/>
                <w:szCs w:val="24"/>
                <w:lang w:eastAsia="zh-CN"/>
              </w:rPr>
              <w:t>标人</w:t>
            </w:r>
            <w:r>
              <w:rPr>
                <w:rFonts w:hint="eastAsia" w:hAnsi="宋体" w:cs="宋体"/>
                <w:color w:val="auto"/>
                <w:sz w:val="24"/>
                <w:szCs w:val="24"/>
              </w:rPr>
              <w:t>具有在有效期内的职业健康安全管理体系认证证书的，得2分。</w:t>
            </w:r>
          </w:p>
          <w:p>
            <w:pPr>
              <w:rPr>
                <w:rFonts w:hint="eastAsia" w:hAnsi="宋体" w:cs="宋体"/>
                <w:color w:val="auto"/>
                <w:sz w:val="24"/>
                <w:szCs w:val="24"/>
              </w:rPr>
            </w:pPr>
            <w:r>
              <w:rPr>
                <w:rFonts w:hint="eastAsia" w:hAnsi="宋体" w:cs="宋体"/>
                <w:color w:val="auto"/>
                <w:sz w:val="24"/>
                <w:szCs w:val="24"/>
              </w:rPr>
              <w:t>4</w:t>
            </w:r>
            <w:r>
              <w:rPr>
                <w:rFonts w:hint="eastAsia" w:hAnsi="宋体" w:cs="宋体"/>
                <w:color w:val="auto"/>
                <w:sz w:val="24"/>
                <w:szCs w:val="24"/>
                <w:lang w:eastAsia="zh-CN"/>
              </w:rPr>
              <w:t>、</w:t>
            </w:r>
            <w:r>
              <w:rPr>
                <w:rFonts w:hint="eastAsia"/>
                <w:color w:val="auto"/>
                <w:sz w:val="24"/>
                <w:szCs w:val="24"/>
                <w:lang w:eastAsia="zh-CN"/>
              </w:rPr>
              <w:t>投标人</w:t>
            </w:r>
            <w:r>
              <w:rPr>
                <w:rFonts w:hint="eastAsia" w:hAnsi="宋体" w:cs="宋体"/>
                <w:color w:val="auto"/>
                <w:sz w:val="24"/>
                <w:szCs w:val="24"/>
              </w:rPr>
              <w:t>具有在有效期内的企业诚信管理体系认证证书的，得</w:t>
            </w:r>
            <w:r>
              <w:rPr>
                <w:rFonts w:hint="eastAsia" w:hAnsi="宋体" w:cs="宋体"/>
                <w:color w:val="auto"/>
                <w:sz w:val="24"/>
                <w:szCs w:val="24"/>
                <w:lang w:val="en-US" w:eastAsia="zh-CN"/>
              </w:rPr>
              <w:t>1</w:t>
            </w:r>
            <w:r>
              <w:rPr>
                <w:rFonts w:hint="eastAsia" w:hAnsi="宋体" w:cs="宋体"/>
                <w:color w:val="auto"/>
                <w:sz w:val="24"/>
                <w:szCs w:val="24"/>
              </w:rPr>
              <w:t>分。</w:t>
            </w:r>
          </w:p>
          <w:p>
            <w:pPr>
              <w:rPr>
                <w:rFonts w:hint="eastAsia" w:hAnsi="宋体" w:cs="宋体"/>
                <w:color w:val="auto"/>
                <w:sz w:val="24"/>
                <w:szCs w:val="24"/>
              </w:rPr>
            </w:pPr>
            <w:r>
              <w:rPr>
                <w:rFonts w:hint="eastAsia" w:hAnsi="宋体" w:cs="宋体"/>
                <w:color w:val="auto"/>
                <w:sz w:val="24"/>
                <w:szCs w:val="24"/>
              </w:rPr>
              <w:t>5</w:t>
            </w:r>
            <w:r>
              <w:rPr>
                <w:rFonts w:hint="eastAsia" w:hAnsi="宋体" w:cs="宋体"/>
                <w:color w:val="auto"/>
                <w:sz w:val="24"/>
                <w:szCs w:val="24"/>
                <w:lang w:eastAsia="zh-CN"/>
              </w:rPr>
              <w:t>、</w:t>
            </w:r>
            <w:r>
              <w:rPr>
                <w:rFonts w:hint="eastAsia"/>
                <w:color w:val="auto"/>
                <w:sz w:val="24"/>
                <w:szCs w:val="24"/>
                <w:lang w:eastAsia="zh-CN"/>
              </w:rPr>
              <w:t>投标人</w:t>
            </w:r>
            <w:r>
              <w:rPr>
                <w:rFonts w:hint="eastAsia" w:hAnsi="宋体" w:cs="宋体"/>
                <w:color w:val="auto"/>
                <w:sz w:val="24"/>
                <w:szCs w:val="24"/>
              </w:rPr>
              <w:t>具有在有效期内的社会责任体系认证证书的，得</w:t>
            </w:r>
            <w:r>
              <w:rPr>
                <w:rFonts w:hint="eastAsia" w:hAnsi="宋体" w:cs="宋体"/>
                <w:color w:val="auto"/>
                <w:sz w:val="24"/>
                <w:szCs w:val="24"/>
                <w:lang w:val="en-US" w:eastAsia="zh-CN"/>
              </w:rPr>
              <w:t>1</w:t>
            </w:r>
            <w:r>
              <w:rPr>
                <w:rFonts w:hint="eastAsia" w:hAnsi="宋体" w:cs="宋体"/>
                <w:color w:val="auto"/>
                <w:sz w:val="24"/>
                <w:szCs w:val="24"/>
              </w:rPr>
              <w:t xml:space="preserve">分。 </w:t>
            </w:r>
          </w:p>
          <w:p>
            <w:pPr>
              <w:rPr>
                <w:rFonts w:hint="eastAsia" w:hAnsi="宋体" w:cs="宋体"/>
                <w:sz w:val="24"/>
                <w:szCs w:val="24"/>
              </w:rPr>
            </w:pPr>
            <w:r>
              <w:rPr>
                <w:rFonts w:hint="eastAsia" w:hAnsi="宋体" w:cs="宋体"/>
                <w:color w:val="auto"/>
                <w:sz w:val="24"/>
                <w:szCs w:val="24"/>
              </w:rPr>
              <w:t>（说明：提供</w:t>
            </w:r>
            <w:r>
              <w:rPr>
                <w:rFonts w:hint="eastAsia" w:hAnsi="宋体" w:cs="宋体"/>
                <w:sz w:val="24"/>
                <w:szCs w:val="24"/>
              </w:rPr>
              <w:t>有效的证书复印件）</w:t>
            </w:r>
          </w:p>
        </w:tc>
        <w:tc>
          <w:tcPr>
            <w:tcW w:w="1094" w:type="dxa"/>
            <w:tcBorders>
              <w:top w:val="single" w:color="auto" w:sz="4" w:space="0"/>
              <w:left w:val="nil"/>
              <w:bottom w:val="single" w:color="auto" w:sz="4" w:space="0"/>
              <w:right w:val="single" w:color="auto" w:sz="4" w:space="0"/>
            </w:tcBorders>
            <w:noWrap/>
            <w:vAlign w:val="center"/>
          </w:tcPr>
          <w:p>
            <w:pPr>
              <w:jc w:val="center"/>
              <w:rPr>
                <w:rFonts w:hint="eastAsia" w:hAnsi="宋体" w:cs="宋体"/>
                <w:sz w:val="24"/>
                <w:szCs w:val="24"/>
              </w:rPr>
            </w:pPr>
            <w:r>
              <w:rPr>
                <w:rFonts w:hint="eastAsia" w:hAnsi="宋体" w:cs="宋体"/>
                <w:sz w:val="24"/>
                <w:szCs w:val="24"/>
              </w:rPr>
              <w:t>共同评分因素</w:t>
            </w:r>
          </w:p>
        </w:tc>
      </w:tr>
      <w:tr>
        <w:tblPrEx>
          <w:tblLayout w:type="fixed"/>
          <w:tblCellMar>
            <w:top w:w="0" w:type="dxa"/>
            <w:left w:w="108" w:type="dxa"/>
            <w:bottom w:w="0" w:type="dxa"/>
            <w:right w:w="108" w:type="dxa"/>
          </w:tblCellMar>
        </w:tblPrEx>
        <w:trPr>
          <w:cantSplit/>
          <w:trHeight w:val="1200"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hAnsi="宋体" w:eastAsia="宋体" w:cs="宋体"/>
                <w:sz w:val="24"/>
                <w:szCs w:val="24"/>
                <w:lang w:eastAsia="zh-CN"/>
              </w:rPr>
            </w:pPr>
            <w:r>
              <w:rPr>
                <w:rFonts w:hint="eastAsia" w:hAnsi="宋体" w:cs="宋体"/>
                <w:sz w:val="24"/>
                <w:szCs w:val="24"/>
                <w:lang w:val="en-US" w:eastAsia="zh-CN"/>
              </w:rPr>
              <w:t>6</w:t>
            </w:r>
          </w:p>
        </w:tc>
        <w:tc>
          <w:tcPr>
            <w:tcW w:w="1513"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lang w:eastAsia="zh-CN"/>
              </w:rPr>
              <w:t>投标</w:t>
            </w:r>
            <w:r>
              <w:rPr>
                <w:rFonts w:hint="eastAsia" w:hAnsi="宋体" w:cs="宋体"/>
                <w:sz w:val="24"/>
                <w:szCs w:val="24"/>
              </w:rPr>
              <w:t>文件的规范性</w:t>
            </w:r>
          </w:p>
          <w:p>
            <w:pPr>
              <w:jc w:val="center"/>
              <w:rPr>
                <w:rFonts w:hAnsi="宋体" w:cs="宋体"/>
                <w:sz w:val="24"/>
                <w:szCs w:val="24"/>
              </w:rPr>
            </w:pPr>
            <w:r>
              <w:rPr>
                <w:rFonts w:hint="eastAsia" w:hAnsi="宋体" w:cs="宋体"/>
                <w:sz w:val="24"/>
                <w:szCs w:val="24"/>
                <w:lang w:val="en-US" w:eastAsia="zh-CN"/>
              </w:rPr>
              <w:t>2</w:t>
            </w:r>
            <w:r>
              <w:rPr>
                <w:rFonts w:hint="eastAsia" w:hAnsi="宋体" w:cs="宋体"/>
                <w:sz w:val="24"/>
                <w:szCs w:val="24"/>
              </w:rPr>
              <w:t>%</w:t>
            </w:r>
          </w:p>
        </w:tc>
        <w:tc>
          <w:tcPr>
            <w:tcW w:w="1591"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lang w:val="en-US" w:eastAsia="zh-CN"/>
              </w:rPr>
              <w:t>2</w:t>
            </w:r>
            <w:r>
              <w:rPr>
                <w:rFonts w:hint="eastAsia" w:hAnsi="宋体" w:cs="宋体"/>
                <w:sz w:val="24"/>
                <w:szCs w:val="24"/>
              </w:rPr>
              <w:t>分</w:t>
            </w:r>
          </w:p>
        </w:tc>
        <w:tc>
          <w:tcPr>
            <w:tcW w:w="5762" w:type="dxa"/>
            <w:tcBorders>
              <w:top w:val="single" w:color="auto" w:sz="4" w:space="0"/>
              <w:left w:val="nil"/>
              <w:bottom w:val="single" w:color="auto" w:sz="4" w:space="0"/>
              <w:right w:val="single" w:color="auto" w:sz="4" w:space="0"/>
            </w:tcBorders>
            <w:noWrap/>
            <w:vAlign w:val="center"/>
          </w:tcPr>
          <w:p>
            <w:pPr>
              <w:rPr>
                <w:rFonts w:hAnsi="宋体" w:cs="宋体"/>
                <w:sz w:val="24"/>
                <w:szCs w:val="24"/>
              </w:rPr>
            </w:pPr>
            <w:r>
              <w:rPr>
                <w:rFonts w:hint="eastAsia" w:hAnsi="宋体" w:cs="宋体"/>
                <w:sz w:val="24"/>
                <w:szCs w:val="24"/>
                <w:lang w:eastAsia="zh-CN"/>
              </w:rPr>
              <w:t>投标</w:t>
            </w:r>
            <w:r>
              <w:rPr>
                <w:rFonts w:hint="eastAsia" w:hAnsi="宋体" w:cs="宋体"/>
                <w:sz w:val="24"/>
                <w:szCs w:val="24"/>
              </w:rPr>
              <w:t>文件制作规范，没有细微偏差情形的得</w:t>
            </w:r>
            <w:r>
              <w:rPr>
                <w:rFonts w:hint="eastAsia" w:hAnsi="宋体" w:cs="宋体"/>
                <w:sz w:val="24"/>
                <w:szCs w:val="24"/>
                <w:lang w:val="en-US" w:eastAsia="zh-CN"/>
              </w:rPr>
              <w:t>2</w:t>
            </w:r>
            <w:r>
              <w:rPr>
                <w:rFonts w:hint="eastAsia" w:hAnsi="宋体" w:cs="宋体"/>
                <w:sz w:val="24"/>
                <w:szCs w:val="24"/>
              </w:rPr>
              <w:t>分；有一项细微偏差扣0.</w:t>
            </w:r>
            <w:r>
              <w:rPr>
                <w:rFonts w:hint="eastAsia" w:hAnsi="宋体" w:cs="宋体"/>
                <w:sz w:val="24"/>
                <w:szCs w:val="24"/>
                <w:lang w:val="en-US" w:eastAsia="zh-CN"/>
              </w:rPr>
              <w:t>5</w:t>
            </w:r>
            <w:r>
              <w:rPr>
                <w:rFonts w:hint="eastAsia" w:hAnsi="宋体" w:cs="宋体"/>
                <w:sz w:val="24"/>
                <w:szCs w:val="24"/>
              </w:rPr>
              <w:t>分，直至该项分值扣完为止。</w:t>
            </w:r>
          </w:p>
        </w:tc>
        <w:tc>
          <w:tcPr>
            <w:tcW w:w="1094" w:type="dxa"/>
            <w:tcBorders>
              <w:top w:val="single" w:color="auto" w:sz="4" w:space="0"/>
              <w:left w:val="nil"/>
              <w:bottom w:val="single" w:color="auto" w:sz="4" w:space="0"/>
              <w:right w:val="single" w:color="auto" w:sz="4" w:space="0"/>
            </w:tcBorders>
            <w:noWrap/>
            <w:vAlign w:val="center"/>
          </w:tcPr>
          <w:p>
            <w:pPr>
              <w:jc w:val="center"/>
              <w:rPr>
                <w:rFonts w:hAnsi="宋体" w:cs="宋体"/>
                <w:sz w:val="24"/>
                <w:szCs w:val="24"/>
              </w:rPr>
            </w:pPr>
            <w:r>
              <w:rPr>
                <w:rFonts w:hint="eastAsia" w:hAnsi="宋体" w:cs="宋体"/>
                <w:sz w:val="24"/>
                <w:szCs w:val="24"/>
              </w:rPr>
              <w:t>共同评分因素</w:t>
            </w:r>
          </w:p>
        </w:tc>
      </w:tr>
    </w:tbl>
    <w:p>
      <w:pPr>
        <w:pStyle w:val="2"/>
        <w:rPr>
          <w:rFonts w:ascii="宋体" w:hAnsi="宋体"/>
          <w:b/>
          <w:bCs/>
          <w:sz w:val="28"/>
          <w:szCs w:val="28"/>
        </w:rPr>
      </w:pPr>
    </w:p>
    <w:p/>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302" w:name="_Toc74752346"/>
      <w:bookmarkStart w:id="303" w:name="_Toc9364_WPSOffice_Level2"/>
      <w:bookmarkStart w:id="304" w:name="_Toc20351_WPSOffice_Level2"/>
      <w:bookmarkStart w:id="305" w:name="_Toc29110_WPSOffice_Level2"/>
      <w:r>
        <w:rPr>
          <w:rFonts w:hint="eastAsia" w:ascii="宋体" w:hAnsi="宋体"/>
          <w:b/>
          <w:bCs/>
          <w:sz w:val="28"/>
          <w:szCs w:val="28"/>
        </w:rPr>
        <w:t>废标</w:t>
      </w:r>
      <w:bookmarkEnd w:id="302"/>
      <w:bookmarkEnd w:id="303"/>
      <w:bookmarkEnd w:id="304"/>
      <w:bookmarkEnd w:id="305"/>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废标后，区公资交易中心将在“四川政府采购网”和“成都市公共资源交易服务中心”网站上公告。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306" w:name="_Toc3854_WPSOffice_Level2"/>
      <w:bookmarkStart w:id="307" w:name="_Toc5495_WPSOffice_Level2"/>
      <w:bookmarkStart w:id="308" w:name="_Toc5549_WPSOffice_Level2"/>
      <w:bookmarkStart w:id="309" w:name="_Toc74752347"/>
      <w:r>
        <w:rPr>
          <w:rFonts w:hint="eastAsia" w:ascii="宋体" w:hAnsi="宋体"/>
          <w:b/>
          <w:bCs/>
          <w:sz w:val="28"/>
          <w:szCs w:val="28"/>
        </w:rPr>
        <w:t>定标</w:t>
      </w:r>
      <w:bookmarkEnd w:id="306"/>
      <w:bookmarkEnd w:id="307"/>
      <w:bookmarkEnd w:id="308"/>
      <w:bookmarkEnd w:id="309"/>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成交候选供应商并列的，则在排名并列的投标人中优先选择不发达地区或少数民族地区或国家级贫困地区的供应商为中标候选人，如并列供应商无不发达地区或少数民族地区或国家级贫困地区的供应商，则采购人采取随机抽取的方式确定。</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二、区公资交易中心在评审结束之日起2个工作日内将评审报告送采购人。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四、根据采购人确定的中标（成交）人，区公资交易中心在“四川政府采购网”和“成都市公共资源交易服务中心”网站上发布中标（成交）公告，同时向中标（成交）人发出中标（成交）通知书。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五、采购人、区公资交易中心不解释中标（成交）或未中标（成交）原因，不退回投标文件和其他投标资料。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310" w:name="_Toc7976_WPSOffice_Level2"/>
      <w:bookmarkStart w:id="311" w:name="_Toc21511_WPSOffice_Level2"/>
      <w:bookmarkStart w:id="312" w:name="_Toc21526_WPSOffice_Level2"/>
      <w:bookmarkStart w:id="313" w:name="_Toc74752348"/>
      <w:r>
        <w:rPr>
          <w:rFonts w:hint="eastAsia" w:ascii="宋体" w:hAnsi="宋体"/>
          <w:b/>
          <w:bCs/>
          <w:sz w:val="28"/>
          <w:szCs w:val="28"/>
        </w:rPr>
        <w:t>评标专家在政府采购活动中承担以下义务</w:t>
      </w:r>
      <w:bookmarkEnd w:id="310"/>
      <w:bookmarkEnd w:id="311"/>
      <w:bookmarkEnd w:id="312"/>
      <w:bookmarkEnd w:id="313"/>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发现采购人、区公资交易中心及其工作人员在政府采购活动中有干预评审、发表倾向性和歧视性言论、受贿或者接受投标人的其他好处及其他违法违规行为，及时向财政部门报告。</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解答有关方面对政府采购评审工作中有关问题的询问，配合采购人或者区公资交易中心答复投标人的询问、质疑，配合财政部门的投诉处理工作等事宜。</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314" w:name="_Toc19488_WPSOffice_Level2"/>
      <w:bookmarkStart w:id="315" w:name="_Toc14633_WPSOffice_Level2"/>
      <w:bookmarkStart w:id="316" w:name="_Toc3243_WPSOffice_Level2"/>
      <w:bookmarkStart w:id="317" w:name="_Toc74752349"/>
      <w:r>
        <w:rPr>
          <w:rFonts w:hint="eastAsia" w:ascii="宋体" w:hAnsi="宋体"/>
          <w:b/>
          <w:bCs/>
          <w:sz w:val="28"/>
          <w:szCs w:val="28"/>
        </w:rPr>
        <w:t>评标委员会及其成员不得有下列行为</w:t>
      </w:r>
      <w:bookmarkEnd w:id="314"/>
      <w:bookmarkEnd w:id="315"/>
      <w:bookmarkEnd w:id="316"/>
      <w:bookmarkEnd w:id="317"/>
    </w:p>
    <w:p>
      <w:pPr>
        <w:numPr>
          <w:ilvl w:val="0"/>
          <w:numId w:val="47"/>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47"/>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47"/>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318" w:name="_Toc17454_WPSOffice_Level2"/>
      <w:bookmarkStart w:id="319" w:name="_Toc22762_WPSOffice_Level2"/>
      <w:bookmarkStart w:id="320" w:name="_Toc74752350"/>
      <w:bookmarkStart w:id="321" w:name="_Toc19629_WPSOffice_Level2"/>
      <w:r>
        <w:rPr>
          <w:rFonts w:hint="eastAsia" w:ascii="宋体" w:hAnsi="宋体"/>
          <w:b/>
          <w:bCs/>
          <w:sz w:val="28"/>
          <w:szCs w:val="28"/>
        </w:rPr>
        <w:t>评审专家在政府采购活动中应当遵守以下工作纪律</w:t>
      </w:r>
      <w:bookmarkEnd w:id="318"/>
      <w:bookmarkEnd w:id="319"/>
      <w:bookmarkEnd w:id="320"/>
      <w:bookmarkEnd w:id="321"/>
    </w:p>
    <w:p>
      <w:pPr>
        <w:numPr>
          <w:ilvl w:val="0"/>
          <w:numId w:val="48"/>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区公资交易中心</w:t>
      </w:r>
      <w:r>
        <w:rPr>
          <w:rFonts w:hint="eastAsia" w:ascii="宋体" w:hAnsi="宋体"/>
          <w:sz w:val="28"/>
          <w:szCs w:val="28"/>
        </w:rPr>
        <w:t>，不得私自转托他人。</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区公资交易中心</w:t>
      </w:r>
      <w:r>
        <w:rPr>
          <w:rFonts w:hint="eastAsia" w:ascii="宋体" w:hAnsi="宋体"/>
          <w:sz w:val="28"/>
          <w:szCs w:val="28"/>
        </w:rPr>
        <w:t>也可要求该评审专家回避。</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区公资交易中心</w:t>
      </w:r>
      <w:r>
        <w:rPr>
          <w:rFonts w:hint="eastAsia" w:ascii="宋体" w:hAnsi="宋体"/>
          <w:sz w:val="28"/>
          <w:szCs w:val="28"/>
        </w:rPr>
        <w:t>的现场秩序管理，接受评标现场监督人员的合法监督。</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48"/>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bookmarkEnd w:id="239"/>
    <w:bookmarkEnd w:id="240"/>
    <w:p>
      <w:pPr>
        <w:keepNext/>
        <w:keepLines/>
        <w:spacing w:before="340" w:after="330" w:line="400" w:lineRule="exact"/>
        <w:outlineLvl w:val="0"/>
        <w:rPr>
          <w:rFonts w:ascii="宋体" w:hAnsi="宋体"/>
          <w:b/>
          <w:bCs/>
          <w:spacing w:val="-20"/>
          <w:kern w:val="44"/>
          <w:szCs w:val="32"/>
        </w:rPr>
        <w:sectPr>
          <w:pgSz w:w="11850" w:h="16783"/>
          <w:pgMar w:top="1440" w:right="1800" w:bottom="1440" w:left="1800" w:header="708" w:footer="708" w:gutter="0"/>
          <w:cols w:space="708" w:num="1"/>
          <w:docGrid w:linePitch="360" w:charSpace="0"/>
        </w:sectPr>
      </w:pPr>
      <w:bookmarkStart w:id="322" w:name="_Toc74752351"/>
    </w:p>
    <w:p>
      <w:pPr>
        <w:keepNext/>
        <w:keepLines/>
        <w:numPr>
          <w:ilvl w:val="0"/>
          <w:numId w:val="5"/>
        </w:numPr>
        <w:spacing w:before="340" w:after="330" w:line="400" w:lineRule="exact"/>
        <w:jc w:val="center"/>
        <w:outlineLvl w:val="9"/>
        <w:rPr>
          <w:rFonts w:ascii="宋体" w:hAnsi="宋体"/>
          <w:b/>
          <w:bCs/>
          <w:spacing w:val="-20"/>
          <w:kern w:val="44"/>
          <w:szCs w:val="32"/>
        </w:rPr>
      </w:pPr>
      <w:bookmarkStart w:id="323" w:name="_Toc10313_WPSOffice_Level1"/>
      <w:bookmarkStart w:id="324" w:name="_Toc3564_WPSOffice_Level1"/>
      <w:bookmarkStart w:id="325" w:name="_Toc17680_WPSOffice_Level1"/>
      <w:r>
        <w:rPr>
          <w:rFonts w:hint="eastAsia" w:ascii="宋体" w:hAnsi="宋体"/>
          <w:b/>
          <w:bCs/>
          <w:spacing w:val="-20"/>
          <w:kern w:val="44"/>
          <w:sz w:val="32"/>
          <w:szCs w:val="32"/>
        </w:rPr>
        <w:t>拟签订合同</w:t>
      </w:r>
      <w:bookmarkStart w:id="326" w:name="_Toc316475754"/>
      <w:bookmarkEnd w:id="326"/>
      <w:bookmarkStart w:id="327" w:name="_Toc299975364"/>
      <w:bookmarkEnd w:id="327"/>
      <w:bookmarkStart w:id="328" w:name="_Toc277152520"/>
      <w:bookmarkEnd w:id="328"/>
      <w:bookmarkStart w:id="329" w:name="_Toc316475752"/>
      <w:bookmarkEnd w:id="329"/>
      <w:bookmarkStart w:id="330" w:name="_Toc316475751"/>
      <w:bookmarkEnd w:id="330"/>
      <w:bookmarkStart w:id="331" w:name="_Toc277152523"/>
      <w:bookmarkEnd w:id="331"/>
      <w:bookmarkStart w:id="332" w:name="_Toc316475762"/>
      <w:bookmarkEnd w:id="332"/>
      <w:bookmarkStart w:id="333" w:name="_Toc316475753"/>
      <w:bookmarkEnd w:id="333"/>
      <w:bookmarkStart w:id="334" w:name="_Toc299975392"/>
      <w:bookmarkEnd w:id="334"/>
      <w:bookmarkStart w:id="335" w:name="_Toc316475671"/>
      <w:bookmarkEnd w:id="335"/>
      <w:bookmarkStart w:id="336" w:name="_Toc316475761"/>
      <w:bookmarkEnd w:id="336"/>
      <w:bookmarkStart w:id="337" w:name="_Toc316475676"/>
      <w:bookmarkEnd w:id="337"/>
      <w:bookmarkStart w:id="338" w:name="_Toc316475757"/>
      <w:bookmarkEnd w:id="338"/>
      <w:bookmarkStart w:id="339" w:name="_Toc277152521"/>
      <w:bookmarkEnd w:id="339"/>
      <w:bookmarkStart w:id="340" w:name="_Toc316475674"/>
      <w:bookmarkEnd w:id="340"/>
      <w:bookmarkStart w:id="341" w:name="_Toc316475666"/>
      <w:bookmarkEnd w:id="341"/>
      <w:bookmarkStart w:id="342" w:name="_Toc316475664"/>
      <w:bookmarkEnd w:id="342"/>
      <w:bookmarkStart w:id="343" w:name="_Toc316475755"/>
      <w:bookmarkEnd w:id="343"/>
      <w:bookmarkStart w:id="344" w:name="_Toc316475760"/>
      <w:bookmarkEnd w:id="344"/>
      <w:bookmarkStart w:id="345" w:name="_Toc316475668"/>
      <w:bookmarkEnd w:id="345"/>
      <w:bookmarkStart w:id="346" w:name="_Toc316475764"/>
      <w:bookmarkEnd w:id="346"/>
      <w:bookmarkStart w:id="347" w:name="_Toc316475673"/>
      <w:bookmarkEnd w:id="347"/>
      <w:bookmarkStart w:id="348" w:name="_Toc316475675"/>
      <w:bookmarkEnd w:id="348"/>
      <w:bookmarkStart w:id="349" w:name="_Toc316475670"/>
      <w:bookmarkEnd w:id="349"/>
      <w:bookmarkStart w:id="350" w:name="_Toc214858832"/>
      <w:bookmarkEnd w:id="350"/>
      <w:bookmarkStart w:id="351" w:name="_Toc277152522"/>
      <w:bookmarkEnd w:id="351"/>
      <w:bookmarkStart w:id="352" w:name="_Toc316475669"/>
      <w:bookmarkEnd w:id="352"/>
      <w:bookmarkStart w:id="353" w:name="_Toc316475665"/>
      <w:bookmarkEnd w:id="353"/>
      <w:bookmarkStart w:id="354" w:name="_Toc316475758"/>
      <w:bookmarkEnd w:id="354"/>
      <w:bookmarkStart w:id="355" w:name="_Toc316475667"/>
      <w:bookmarkEnd w:id="355"/>
      <w:bookmarkStart w:id="356" w:name="_Toc316475677"/>
      <w:bookmarkEnd w:id="356"/>
      <w:bookmarkStart w:id="357" w:name="_Toc316475672"/>
      <w:bookmarkEnd w:id="357"/>
      <w:bookmarkStart w:id="358" w:name="_Toc316475756"/>
      <w:bookmarkEnd w:id="358"/>
      <w:bookmarkStart w:id="359" w:name="_Toc316475763"/>
      <w:bookmarkEnd w:id="359"/>
      <w:bookmarkStart w:id="360" w:name="_Toc316475759"/>
      <w:bookmarkEnd w:id="360"/>
      <w:bookmarkStart w:id="361" w:name="_Toc8573798"/>
      <w:bookmarkStart w:id="362" w:name="_Toc217446108"/>
      <w:bookmarkStart w:id="363" w:name="_Toc34729074"/>
      <w:r>
        <w:rPr>
          <w:rFonts w:hint="eastAsia" w:ascii="宋体" w:hAnsi="宋体"/>
          <w:b/>
          <w:bCs/>
          <w:spacing w:val="-20"/>
          <w:kern w:val="44"/>
          <w:sz w:val="32"/>
          <w:szCs w:val="32"/>
        </w:rPr>
        <w:t>文本</w:t>
      </w:r>
      <w:bookmarkEnd w:id="322"/>
      <w:bookmarkEnd w:id="323"/>
      <w:bookmarkEnd w:id="324"/>
      <w:bookmarkEnd w:id="325"/>
      <w:bookmarkEnd w:id="361"/>
      <w:bookmarkEnd w:id="362"/>
      <w:bookmarkEnd w:id="363"/>
    </w:p>
    <w:p>
      <w:pPr>
        <w:spacing w:line="360" w:lineRule="auto"/>
        <w:jc w:val="center"/>
        <w:outlineLvl w:val="9"/>
        <w:rPr>
          <w:rFonts w:ascii="宋体" w:hAnsi="宋体"/>
          <w:color w:val="auto"/>
          <w:sz w:val="24"/>
          <w:szCs w:val="24"/>
        </w:rPr>
      </w:pPr>
      <w:bookmarkStart w:id="364" w:name="_Toc225244858"/>
      <w:bookmarkEnd w:id="364"/>
      <w:bookmarkStart w:id="365" w:name="_Toc212019600"/>
      <w:bookmarkEnd w:id="365"/>
      <w:bookmarkStart w:id="366" w:name="_Toc247334847"/>
      <w:bookmarkEnd w:id="366"/>
      <w:bookmarkStart w:id="367" w:name="_Toc211911354"/>
      <w:bookmarkEnd w:id="367"/>
      <w:bookmarkStart w:id="368" w:name="_Toc283019219"/>
      <w:bookmarkEnd w:id="368"/>
      <w:bookmarkStart w:id="369" w:name="_Toc211854455"/>
      <w:bookmarkEnd w:id="369"/>
      <w:bookmarkStart w:id="370" w:name="_Toc225654650"/>
      <w:bookmarkEnd w:id="370"/>
      <w:bookmarkStart w:id="371" w:name="_Toc185395255"/>
      <w:bookmarkEnd w:id="371"/>
      <w:bookmarkStart w:id="372" w:name="_Toc239568424"/>
      <w:bookmarkEnd w:id="372"/>
      <w:bookmarkStart w:id="373" w:name="_Toc239233920"/>
      <w:bookmarkEnd w:id="373"/>
      <w:bookmarkStart w:id="374" w:name="_Toc232492934"/>
      <w:bookmarkEnd w:id="374"/>
      <w:bookmarkStart w:id="375" w:name="_Toc251768868"/>
      <w:bookmarkEnd w:id="375"/>
      <w:bookmarkStart w:id="376" w:name="_Toc238984981"/>
      <w:bookmarkEnd w:id="376"/>
      <w:bookmarkStart w:id="377" w:name="_Toc225670757"/>
      <w:bookmarkEnd w:id="377"/>
      <w:bookmarkStart w:id="378" w:name="_Toc286993793"/>
      <w:bookmarkEnd w:id="378"/>
      <w:bookmarkStart w:id="379" w:name="_Toc237145412"/>
      <w:bookmarkEnd w:id="379"/>
      <w:bookmarkStart w:id="380" w:name="_Toc282696231"/>
      <w:bookmarkEnd w:id="380"/>
      <w:bookmarkStart w:id="381" w:name="_Toc9989_WPSOffice_Level1"/>
      <w:r>
        <w:rPr>
          <w:rFonts w:hint="eastAsia" w:ascii="宋体" w:hAnsi="宋体"/>
          <w:color w:val="auto"/>
          <w:sz w:val="24"/>
          <w:szCs w:val="24"/>
        </w:rPr>
        <w:t>（本部分内容仅供投标人参考，具体条款以双方签订合同为准）</w:t>
      </w:r>
      <w:bookmarkEnd w:id="381"/>
    </w:p>
    <w:p>
      <w:pPr>
        <w:spacing w:line="360" w:lineRule="auto"/>
        <w:outlineLvl w:val="9"/>
        <w:rPr>
          <w:rFonts w:hint="eastAsia" w:ascii="宋体" w:hAnsi="宋体" w:cs="宋体"/>
          <w:sz w:val="24"/>
        </w:rPr>
      </w:pPr>
      <w:r>
        <w:rPr>
          <w:rFonts w:hint="eastAsia" w:ascii="宋体" w:hAnsi="宋体" w:cs="宋体"/>
          <w:sz w:val="24"/>
        </w:rPr>
        <w:t>合同编号：</w:t>
      </w:r>
    </w:p>
    <w:p>
      <w:pPr>
        <w:spacing w:line="360" w:lineRule="auto"/>
        <w:outlineLvl w:val="9"/>
        <w:rPr>
          <w:rFonts w:hint="eastAsia" w:ascii="宋体" w:hAnsi="宋体" w:cs="宋体"/>
          <w:sz w:val="24"/>
        </w:rPr>
      </w:pPr>
      <w:r>
        <w:rPr>
          <w:rFonts w:hint="eastAsia" w:ascii="宋体" w:hAnsi="宋体" w:cs="宋体"/>
          <w:sz w:val="24"/>
        </w:rPr>
        <w:t>签订地点：</w:t>
      </w:r>
    </w:p>
    <w:p>
      <w:pPr>
        <w:spacing w:line="360" w:lineRule="auto"/>
        <w:outlineLvl w:val="9"/>
        <w:rPr>
          <w:rFonts w:hint="eastAsia" w:ascii="宋体" w:hAnsi="宋体" w:cs="宋体"/>
          <w:sz w:val="24"/>
        </w:rPr>
      </w:pPr>
      <w:r>
        <w:rPr>
          <w:rFonts w:hint="eastAsia" w:ascii="宋体" w:hAnsi="宋体" w:cs="宋体"/>
          <w:sz w:val="24"/>
        </w:rPr>
        <w:t>签订时间：    年   月   日</w:t>
      </w:r>
    </w:p>
    <w:p>
      <w:pPr>
        <w:spacing w:line="360" w:lineRule="auto"/>
        <w:outlineLvl w:val="9"/>
        <w:rPr>
          <w:rFonts w:hint="eastAsia" w:ascii="宋体" w:hAnsi="宋体" w:cs="宋体"/>
          <w:sz w:val="24"/>
        </w:rPr>
      </w:pPr>
      <w:r>
        <w:rPr>
          <w:rFonts w:hint="eastAsia" w:ascii="宋体" w:hAnsi="宋体" w:cs="宋体"/>
          <w:sz w:val="24"/>
        </w:rPr>
        <w:t xml:space="preserve">    </w:t>
      </w:r>
      <w:bookmarkStart w:id="382" w:name="_Toc23316_WPSOffice_Level1"/>
      <w:r>
        <w:rPr>
          <w:rFonts w:hint="eastAsia" w:ascii="宋体" w:hAnsi="宋体" w:cs="宋体"/>
          <w:sz w:val="24"/>
        </w:rPr>
        <w:t>甲　方：</w:t>
      </w:r>
      <w:bookmarkEnd w:id="382"/>
      <w:r>
        <w:rPr>
          <w:rFonts w:hint="eastAsia" w:ascii="宋体" w:hAnsi="宋体" w:cs="宋体"/>
          <w:sz w:val="24"/>
          <w:u w:val="single"/>
        </w:rPr>
        <w:t xml:space="preserve">                              </w:t>
      </w:r>
    </w:p>
    <w:p>
      <w:pPr>
        <w:spacing w:line="360" w:lineRule="auto"/>
        <w:outlineLvl w:val="9"/>
        <w:rPr>
          <w:rFonts w:hint="eastAsia" w:ascii="宋体" w:hAnsi="宋体" w:cs="宋体"/>
          <w:sz w:val="24"/>
        </w:rPr>
      </w:pPr>
      <w:r>
        <w:rPr>
          <w:rFonts w:hint="eastAsia" w:ascii="宋体" w:hAnsi="宋体" w:cs="宋体"/>
          <w:sz w:val="24"/>
        </w:rPr>
        <w:t xml:space="preserve">    </w:t>
      </w:r>
      <w:bookmarkStart w:id="383" w:name="_Toc19536_WPSOffice_Level1"/>
      <w:r>
        <w:rPr>
          <w:rFonts w:hint="eastAsia" w:ascii="宋体" w:hAnsi="宋体" w:cs="宋体"/>
          <w:sz w:val="24"/>
        </w:rPr>
        <w:t>乙  方：</w:t>
      </w:r>
      <w:bookmarkEnd w:id="383"/>
      <w:r>
        <w:rPr>
          <w:rFonts w:hint="eastAsia" w:ascii="宋体" w:hAnsi="宋体" w:cs="宋体"/>
          <w:sz w:val="24"/>
          <w:u w:val="single"/>
        </w:rPr>
        <w:t xml:space="preserve">                              </w:t>
      </w:r>
    </w:p>
    <w:p>
      <w:pPr>
        <w:spacing w:line="360" w:lineRule="auto"/>
        <w:ind w:firstLine="630"/>
        <w:outlineLvl w:val="9"/>
        <w:rPr>
          <w:rFonts w:hint="eastAsia" w:ascii="宋体" w:hAnsi="宋体" w:cs="宋体"/>
          <w:sz w:val="24"/>
        </w:rPr>
      </w:pPr>
      <w:r>
        <w:rPr>
          <w:rFonts w:hint="eastAsia" w:ascii="宋体" w:hAnsi="宋体" w:cs="宋体"/>
          <w:sz w:val="24"/>
        </w:rPr>
        <w:t>依据《</w:t>
      </w:r>
      <w:r>
        <w:rPr>
          <w:rFonts w:hint="eastAsia" w:ascii="宋体" w:hAnsi="宋体" w:cs="宋体"/>
          <w:sz w:val="24"/>
          <w:lang w:eastAsia="zh-CN"/>
        </w:rPr>
        <w:t>中华人民共和国民法典</w:t>
      </w:r>
      <w:r>
        <w:rPr>
          <w:rFonts w:hint="eastAsia" w:ascii="宋体" w:hAnsi="宋体" w:cs="宋体"/>
          <w:sz w:val="24"/>
        </w:rPr>
        <w:t>》、《中华人民共和国政府采购法》与项目行业有关的法律法规，以及XXXX采购项目（项目编号：XX）的《</w:t>
      </w:r>
      <w:r>
        <w:rPr>
          <w:rFonts w:hint="eastAsia" w:ascii="宋体" w:hAnsi="宋体" w:cs="宋体"/>
          <w:sz w:val="24"/>
          <w:lang w:eastAsia="zh-CN"/>
        </w:rPr>
        <w:t>招标文件</w:t>
      </w:r>
      <w:r>
        <w:rPr>
          <w:rFonts w:hint="eastAsia" w:ascii="宋体" w:hAnsi="宋体" w:cs="宋体"/>
          <w:sz w:val="24"/>
        </w:rPr>
        <w:t>》，乙方的《</w:t>
      </w:r>
      <w:r>
        <w:rPr>
          <w:rFonts w:hint="eastAsia" w:ascii="宋体" w:hAnsi="宋体" w:cs="宋体"/>
          <w:sz w:val="24"/>
          <w:lang w:eastAsia="zh-CN"/>
        </w:rPr>
        <w:t>投标文件</w:t>
      </w:r>
      <w:r>
        <w:rPr>
          <w:rFonts w:hint="eastAsia" w:ascii="宋体" w:hAnsi="宋体" w:cs="宋体"/>
          <w:sz w:val="24"/>
        </w:rPr>
        <w:t>》及《成交通知书》，甲、乙双方同意签订本合同。详细技术说明及其他有关合同项目的特定信息由合同附件予以说明，合同附件及本项目的《</w:t>
      </w:r>
      <w:r>
        <w:rPr>
          <w:rFonts w:hint="eastAsia" w:ascii="宋体" w:hAnsi="宋体" w:cs="宋体"/>
          <w:sz w:val="24"/>
          <w:lang w:eastAsia="zh-CN"/>
        </w:rPr>
        <w:t>招标文件</w:t>
      </w:r>
      <w:r>
        <w:rPr>
          <w:rFonts w:hint="eastAsia" w:ascii="宋体" w:hAnsi="宋体" w:cs="宋体"/>
          <w:sz w:val="24"/>
        </w:rPr>
        <w:t>》、《</w:t>
      </w:r>
      <w:r>
        <w:rPr>
          <w:rFonts w:hint="eastAsia" w:ascii="宋体" w:hAnsi="宋体" w:cs="宋体"/>
          <w:sz w:val="24"/>
          <w:lang w:eastAsia="zh-CN"/>
        </w:rPr>
        <w:t>投标文件</w:t>
      </w:r>
      <w:r>
        <w:rPr>
          <w:rFonts w:hint="eastAsia" w:ascii="宋体" w:hAnsi="宋体" w:cs="宋体"/>
          <w:sz w:val="24"/>
        </w:rPr>
        <w:t xml:space="preserve">》、《成交通知书》等均为本合同的组成部分。 </w:t>
      </w:r>
    </w:p>
    <w:p>
      <w:pPr>
        <w:numPr>
          <w:ilvl w:val="0"/>
          <w:numId w:val="49"/>
        </w:numPr>
        <w:spacing w:line="360" w:lineRule="auto"/>
        <w:outlineLvl w:val="9"/>
        <w:rPr>
          <w:rFonts w:hint="eastAsia" w:ascii="宋体" w:hAnsi="宋体" w:cs="宋体"/>
          <w:b/>
          <w:sz w:val="24"/>
        </w:rPr>
      </w:pPr>
      <w:bookmarkStart w:id="384" w:name="_Toc16083_WPSOffice_Level1"/>
      <w:bookmarkStart w:id="385" w:name="_Toc12160"/>
      <w:r>
        <w:rPr>
          <w:rFonts w:hint="eastAsia" w:ascii="宋体" w:hAnsi="宋体" w:cs="宋体"/>
          <w:b/>
          <w:sz w:val="24"/>
        </w:rPr>
        <w:t>项目基本情况</w:t>
      </w:r>
      <w:bookmarkEnd w:id="384"/>
      <w:bookmarkEnd w:id="385"/>
    </w:p>
    <w:p>
      <w:pPr>
        <w:spacing w:line="360" w:lineRule="auto"/>
        <w:ind w:firstLine="630"/>
        <w:outlineLvl w:val="9"/>
        <w:rPr>
          <w:rFonts w:hint="eastAsia" w:ascii="宋体" w:hAnsi="宋体" w:cs="宋体"/>
          <w:b/>
          <w:sz w:val="24"/>
        </w:rPr>
      </w:pPr>
    </w:p>
    <w:p>
      <w:pPr>
        <w:numPr>
          <w:ilvl w:val="0"/>
          <w:numId w:val="49"/>
        </w:numPr>
        <w:spacing w:line="360" w:lineRule="auto"/>
        <w:outlineLvl w:val="9"/>
        <w:rPr>
          <w:rFonts w:hint="eastAsia" w:ascii="宋体" w:hAnsi="宋体" w:cs="宋体"/>
          <w:b/>
          <w:sz w:val="24"/>
        </w:rPr>
      </w:pPr>
      <w:bookmarkStart w:id="386" w:name="_Toc2393_WPSOffice_Level1"/>
      <w:bookmarkStart w:id="387" w:name="_Toc25616"/>
      <w:r>
        <w:rPr>
          <w:rFonts w:hint="eastAsia" w:ascii="宋体" w:hAnsi="宋体" w:cs="宋体"/>
          <w:b/>
          <w:sz w:val="24"/>
        </w:rPr>
        <w:t>服务期限</w:t>
      </w:r>
      <w:bookmarkEnd w:id="386"/>
      <w:bookmarkEnd w:id="387"/>
    </w:p>
    <w:p>
      <w:pPr>
        <w:spacing w:line="360" w:lineRule="auto"/>
        <w:ind w:firstLine="480" w:firstLineChars="200"/>
        <w:outlineLvl w:val="9"/>
        <w:rPr>
          <w:rFonts w:hint="eastAsia" w:ascii="宋体" w:hAnsi="宋体" w:cs="宋体"/>
          <w:sz w:val="24"/>
        </w:rPr>
      </w:pPr>
    </w:p>
    <w:p>
      <w:pPr>
        <w:numPr>
          <w:ilvl w:val="0"/>
          <w:numId w:val="49"/>
        </w:numPr>
        <w:spacing w:line="360" w:lineRule="auto"/>
        <w:outlineLvl w:val="9"/>
        <w:rPr>
          <w:rFonts w:hint="eastAsia" w:ascii="宋体" w:hAnsi="宋体" w:cs="宋体"/>
          <w:b/>
          <w:sz w:val="24"/>
        </w:rPr>
      </w:pPr>
      <w:bookmarkStart w:id="388" w:name="_Toc23925"/>
      <w:bookmarkStart w:id="389" w:name="_Toc9609_WPSOffice_Level1"/>
      <w:bookmarkStart w:id="390" w:name="_Toc286993786"/>
      <w:bookmarkStart w:id="391" w:name="_Toc232492928"/>
      <w:bookmarkStart w:id="392" w:name="_Toc225670751"/>
      <w:bookmarkStart w:id="393" w:name="_Toc239233914"/>
      <w:bookmarkStart w:id="394" w:name="_Toc237145406"/>
      <w:bookmarkStart w:id="395" w:name="_Toc225244852"/>
      <w:bookmarkStart w:id="396" w:name="_Toc239568418"/>
      <w:bookmarkStart w:id="397" w:name="_Toc211854449"/>
      <w:bookmarkStart w:id="398" w:name="_Toc241833903"/>
      <w:bookmarkStart w:id="399" w:name="_Toc185395249"/>
      <w:bookmarkStart w:id="400" w:name="_Toc238984975"/>
      <w:bookmarkStart w:id="401" w:name="_Toc247334841"/>
      <w:bookmarkStart w:id="402" w:name="_Toc225654644"/>
      <w:bookmarkStart w:id="403" w:name="_Toc211911348"/>
      <w:bookmarkStart w:id="404" w:name="_Toc282696226"/>
      <w:bookmarkStart w:id="405" w:name="_Toc283019214"/>
      <w:bookmarkStart w:id="406" w:name="_Toc212019594"/>
      <w:bookmarkStart w:id="407" w:name="_Toc251768862"/>
      <w:r>
        <w:rPr>
          <w:rFonts w:hint="eastAsia" w:ascii="宋体" w:hAnsi="宋体" w:cs="宋体"/>
          <w:b/>
          <w:sz w:val="24"/>
        </w:rPr>
        <w:t>服务内容与质量标准</w:t>
      </w:r>
      <w:bookmarkEnd w:id="388"/>
      <w:bookmarkEnd w:id="389"/>
    </w:p>
    <w:p>
      <w:pPr>
        <w:numPr>
          <w:ilvl w:val="0"/>
          <w:numId w:val="50"/>
        </w:numPr>
        <w:spacing w:line="360" w:lineRule="auto"/>
        <w:ind w:left="0" w:firstLine="567"/>
        <w:outlineLvl w:val="9"/>
        <w:rPr>
          <w:rFonts w:hint="eastAsia" w:ascii="宋体" w:hAnsi="宋体" w:cs="宋体"/>
          <w:sz w:val="24"/>
        </w:rPr>
      </w:pPr>
    </w:p>
    <w:p>
      <w:pPr>
        <w:numPr>
          <w:ilvl w:val="0"/>
          <w:numId w:val="50"/>
        </w:numPr>
        <w:spacing w:line="360" w:lineRule="auto"/>
        <w:ind w:left="0" w:firstLine="567"/>
        <w:outlineLvl w:val="9"/>
        <w:rPr>
          <w:rFonts w:hint="eastAsia" w:ascii="宋体" w:hAnsi="宋体" w:cs="宋体"/>
          <w:sz w:val="24"/>
        </w:rPr>
      </w:pPr>
    </w:p>
    <w:p>
      <w:pPr>
        <w:numPr>
          <w:ilvl w:val="0"/>
          <w:numId w:val="50"/>
        </w:numPr>
        <w:spacing w:line="360" w:lineRule="auto"/>
        <w:ind w:left="0" w:firstLine="567"/>
        <w:outlineLvl w:val="9"/>
        <w:rPr>
          <w:rFonts w:hint="eastAsia" w:ascii="宋体" w:hAnsi="宋体" w:cs="宋体"/>
          <w:sz w:val="24"/>
        </w:rPr>
      </w:pPr>
    </w:p>
    <w:p>
      <w:pPr>
        <w:numPr>
          <w:ilvl w:val="0"/>
          <w:numId w:val="50"/>
        </w:numPr>
        <w:spacing w:line="360" w:lineRule="auto"/>
        <w:ind w:left="0" w:firstLine="567"/>
        <w:outlineLvl w:val="9"/>
        <w:rPr>
          <w:rFonts w:hint="eastAsia" w:ascii="宋体" w:hAnsi="宋体" w:cs="宋体"/>
          <w:sz w:val="24"/>
        </w:rPr>
      </w:pPr>
    </w:p>
    <w:p>
      <w:pPr>
        <w:numPr>
          <w:ilvl w:val="0"/>
          <w:numId w:val="50"/>
        </w:numPr>
        <w:spacing w:line="360" w:lineRule="auto"/>
        <w:ind w:left="0" w:firstLine="567"/>
        <w:outlineLvl w:val="9"/>
        <w:rPr>
          <w:rFonts w:hint="eastAsia" w:ascii="宋体" w:hAnsi="宋体" w:cs="宋体"/>
          <w:sz w:val="24"/>
        </w:rPr>
      </w:pPr>
    </w:p>
    <w:p>
      <w:pPr>
        <w:spacing w:line="360" w:lineRule="auto"/>
        <w:ind w:firstLine="630"/>
        <w:outlineLvl w:val="9"/>
        <w:rPr>
          <w:rFonts w:hint="eastAsia" w:ascii="宋体" w:hAnsi="宋体" w:cs="宋体"/>
          <w:sz w:val="24"/>
        </w:rPr>
      </w:pPr>
      <w:r>
        <w:rPr>
          <w:rFonts w:hint="eastAsia" w:ascii="宋体" w:hAnsi="宋体" w:cs="宋体"/>
          <w:sz w:val="24"/>
        </w:rPr>
        <w:t>…</w:t>
      </w:r>
    </w:p>
    <w:p>
      <w:pPr>
        <w:numPr>
          <w:ilvl w:val="0"/>
          <w:numId w:val="49"/>
        </w:numPr>
        <w:spacing w:line="360" w:lineRule="auto"/>
        <w:outlineLvl w:val="9"/>
        <w:rPr>
          <w:rFonts w:hint="eastAsia" w:ascii="宋体" w:hAnsi="宋体" w:cs="宋体"/>
          <w:b/>
          <w:sz w:val="24"/>
        </w:rPr>
      </w:pPr>
      <w:bookmarkStart w:id="408" w:name="_Toc19706"/>
      <w:bookmarkStart w:id="409" w:name="_Toc30694_WPSOffice_Level1"/>
      <w:r>
        <w:rPr>
          <w:rFonts w:hint="eastAsia" w:ascii="宋体" w:hAnsi="宋体" w:cs="宋体"/>
          <w:b/>
          <w:sz w:val="24"/>
        </w:rPr>
        <w:t>服务费用及支付方式</w:t>
      </w:r>
      <w:bookmarkEnd w:id="408"/>
      <w:bookmarkEnd w:id="409"/>
    </w:p>
    <w:p>
      <w:pPr>
        <w:numPr>
          <w:ilvl w:val="0"/>
          <w:numId w:val="51"/>
        </w:numPr>
        <w:spacing w:line="360" w:lineRule="auto"/>
        <w:ind w:left="0" w:firstLine="567"/>
        <w:outlineLvl w:val="9"/>
        <w:rPr>
          <w:rFonts w:hint="eastAsia" w:ascii="宋体" w:hAnsi="宋体" w:cs="宋体"/>
          <w:b/>
          <w:sz w:val="24"/>
        </w:rPr>
      </w:pPr>
      <w:bookmarkStart w:id="410" w:name="_Toc25087_WPSOffice_Level2"/>
      <w:r>
        <w:rPr>
          <w:rFonts w:hint="eastAsia" w:ascii="宋体" w:hAnsi="宋体" w:cs="宋体"/>
          <w:b/>
          <w:sz w:val="24"/>
        </w:rPr>
        <w:t>本项目服务费用由以下组成：</w:t>
      </w:r>
      <w:bookmarkEnd w:id="410"/>
    </w:p>
    <w:p>
      <w:pPr>
        <w:numPr>
          <w:ilvl w:val="0"/>
          <w:numId w:val="52"/>
        </w:numPr>
        <w:spacing w:line="360" w:lineRule="auto"/>
        <w:outlineLvl w:val="9"/>
        <w:rPr>
          <w:rFonts w:hint="eastAsia" w:ascii="宋体" w:hAnsi="宋体" w:cs="宋体"/>
          <w:sz w:val="24"/>
        </w:rPr>
      </w:pPr>
      <w:r>
        <w:rPr>
          <w:rFonts w:hint="eastAsia" w:ascii="宋体" w:hAnsi="宋体" w:cs="宋体"/>
          <w:sz w:val="24"/>
        </w:rPr>
        <w:t>　　　　万元；</w:t>
      </w:r>
    </w:p>
    <w:p>
      <w:pPr>
        <w:numPr>
          <w:ilvl w:val="0"/>
          <w:numId w:val="52"/>
        </w:numPr>
        <w:spacing w:line="360" w:lineRule="auto"/>
        <w:outlineLvl w:val="9"/>
        <w:rPr>
          <w:rFonts w:hint="eastAsia" w:ascii="宋体" w:hAnsi="宋体" w:cs="宋体"/>
          <w:sz w:val="24"/>
        </w:rPr>
      </w:pPr>
      <w:r>
        <w:rPr>
          <w:rFonts w:hint="eastAsia" w:ascii="宋体" w:hAnsi="宋体" w:cs="宋体"/>
          <w:sz w:val="24"/>
        </w:rPr>
        <w:t xml:space="preserve">        万元；</w:t>
      </w:r>
    </w:p>
    <w:p>
      <w:pPr>
        <w:numPr>
          <w:ilvl w:val="0"/>
          <w:numId w:val="52"/>
        </w:numPr>
        <w:spacing w:line="360" w:lineRule="auto"/>
        <w:outlineLvl w:val="9"/>
        <w:rPr>
          <w:rFonts w:hint="eastAsia" w:ascii="宋体" w:hAnsi="宋体" w:cs="宋体"/>
          <w:sz w:val="24"/>
        </w:rPr>
      </w:pPr>
      <w:r>
        <w:rPr>
          <w:rFonts w:hint="eastAsia" w:ascii="宋体" w:hAnsi="宋体" w:cs="宋体"/>
          <w:sz w:val="24"/>
        </w:rPr>
        <w:t xml:space="preserve">        万元。</w:t>
      </w:r>
    </w:p>
    <w:p>
      <w:pPr>
        <w:numPr>
          <w:ilvl w:val="0"/>
          <w:numId w:val="51"/>
        </w:numPr>
        <w:tabs>
          <w:tab w:val="left" w:pos="780"/>
        </w:tabs>
        <w:spacing w:line="360" w:lineRule="auto"/>
        <w:ind w:left="0" w:firstLine="567"/>
        <w:outlineLvl w:val="9"/>
        <w:rPr>
          <w:rFonts w:hint="eastAsia" w:ascii="宋体" w:hAnsi="宋体" w:cs="宋体"/>
          <w:b/>
          <w:sz w:val="24"/>
        </w:rPr>
      </w:pPr>
      <w:bookmarkStart w:id="411" w:name="_Toc19540_WPSOffice_Level2"/>
      <w:r>
        <w:rPr>
          <w:rFonts w:hint="eastAsia" w:ascii="宋体" w:hAnsi="宋体" w:cs="宋体"/>
          <w:b/>
          <w:sz w:val="24"/>
        </w:rPr>
        <w:t>服务费支付方式：</w:t>
      </w:r>
      <w:bookmarkEnd w:id="411"/>
      <w:r>
        <w:rPr>
          <w:rFonts w:hint="eastAsia" w:ascii="宋体" w:hAnsi="宋体" w:cs="宋体"/>
          <w:b/>
          <w:sz w:val="24"/>
        </w:rPr>
        <w:t xml:space="preserve"> </w:t>
      </w:r>
    </w:p>
    <w:p>
      <w:pPr>
        <w:numPr>
          <w:ilvl w:val="0"/>
          <w:numId w:val="49"/>
        </w:numPr>
        <w:spacing w:line="360" w:lineRule="auto"/>
        <w:outlineLvl w:val="9"/>
        <w:rPr>
          <w:rFonts w:hint="eastAsia" w:ascii="宋体" w:hAnsi="宋体" w:cs="宋体"/>
          <w:b/>
          <w:sz w:val="24"/>
        </w:rPr>
      </w:pPr>
      <w:bookmarkStart w:id="412" w:name="_Toc18554"/>
      <w:bookmarkStart w:id="413" w:name="_Toc32118_WPSOffice_Level1"/>
      <w:r>
        <w:rPr>
          <w:rFonts w:hint="eastAsia" w:ascii="宋体" w:hAnsi="宋体" w:cs="宋体"/>
          <w:b/>
          <w:sz w:val="24"/>
        </w:rPr>
        <w:t>知识产权</w:t>
      </w:r>
      <w:bookmarkEnd w:id="412"/>
      <w:bookmarkEnd w:id="413"/>
    </w:p>
    <w:p>
      <w:pPr>
        <w:tabs>
          <w:tab w:val="left" w:pos="1440"/>
        </w:tabs>
        <w:spacing w:line="360" w:lineRule="auto"/>
        <w:ind w:firstLine="480" w:firstLineChars="200"/>
        <w:outlineLvl w:val="9"/>
        <w:rPr>
          <w:rFonts w:hint="eastAsia" w:ascii="宋体" w:hAnsi="宋体" w:cs="宋体"/>
          <w:sz w:val="24"/>
        </w:rPr>
      </w:pPr>
      <w:r>
        <w:rPr>
          <w:rFonts w:hint="eastAsia" w:ascii="宋体" w:hAnsi="宋体" w:cs="宋体"/>
          <w:sz w:val="24"/>
        </w:rPr>
        <w:t>乙方应保证所提供的服务或其任何一部分均不会侵犯任何第三方的专利权、商标权或著作权。</w:t>
      </w:r>
    </w:p>
    <w:p>
      <w:pPr>
        <w:numPr>
          <w:ilvl w:val="0"/>
          <w:numId w:val="49"/>
        </w:numPr>
        <w:spacing w:line="360" w:lineRule="auto"/>
        <w:outlineLvl w:val="9"/>
        <w:rPr>
          <w:rFonts w:hint="eastAsia" w:ascii="宋体" w:hAnsi="宋体" w:cs="宋体"/>
          <w:b/>
          <w:sz w:val="24"/>
        </w:rPr>
      </w:pPr>
      <w:bookmarkStart w:id="414" w:name="_Toc8252"/>
      <w:bookmarkStart w:id="415" w:name="_Toc25214_WPSOffice_Level1"/>
      <w:r>
        <w:rPr>
          <w:rFonts w:hint="eastAsia" w:ascii="宋体" w:hAnsi="宋体" w:cs="宋体"/>
          <w:b/>
          <w:sz w:val="24"/>
        </w:rPr>
        <w:t>无产权瑕疵条款</w:t>
      </w:r>
      <w:bookmarkEnd w:id="414"/>
      <w:bookmarkEnd w:id="415"/>
    </w:p>
    <w:p>
      <w:pPr>
        <w:tabs>
          <w:tab w:val="left" w:pos="1440"/>
        </w:tabs>
        <w:spacing w:line="360" w:lineRule="auto"/>
        <w:ind w:firstLine="480" w:firstLineChars="200"/>
        <w:outlineLvl w:val="9"/>
        <w:rPr>
          <w:rFonts w:hint="eastAsia" w:ascii="宋体" w:hAnsi="宋体" w:cs="宋体"/>
          <w:sz w:val="24"/>
        </w:rPr>
      </w:pPr>
      <w:r>
        <w:rPr>
          <w:rFonts w:hint="eastAsia" w:ascii="宋体" w:hAnsi="宋体" w:cs="宋体"/>
          <w:sz w:val="24"/>
        </w:rPr>
        <w:t>乙方保证所提供的服务的所有权完全属于乙方且无任何抵押、查封等产权瑕疵。如有产权瑕疵的，视为乙方违约。乙方应负担由此而产生的一切损失。</w:t>
      </w:r>
    </w:p>
    <w:p>
      <w:pPr>
        <w:numPr>
          <w:ilvl w:val="0"/>
          <w:numId w:val="49"/>
        </w:numPr>
        <w:spacing w:line="360" w:lineRule="auto"/>
        <w:outlineLvl w:val="9"/>
        <w:rPr>
          <w:rFonts w:hint="eastAsia" w:ascii="宋体" w:hAnsi="宋体" w:cs="宋体"/>
          <w:b/>
          <w:sz w:val="24"/>
        </w:rPr>
      </w:pPr>
      <w:bookmarkStart w:id="416" w:name="_Toc224"/>
      <w:bookmarkStart w:id="417" w:name="_Toc20263_WPSOffice_Level1"/>
      <w:r>
        <w:rPr>
          <w:rFonts w:hint="eastAsia" w:ascii="宋体" w:hAnsi="宋体" w:cs="宋体"/>
          <w:b/>
          <w:sz w:val="24"/>
        </w:rPr>
        <w:t>履约验收</w:t>
      </w:r>
      <w:bookmarkEnd w:id="416"/>
      <w:bookmarkEnd w:id="417"/>
    </w:p>
    <w:p>
      <w:pPr>
        <w:tabs>
          <w:tab w:val="left" w:pos="1440"/>
        </w:tabs>
        <w:spacing w:line="360" w:lineRule="auto"/>
        <w:ind w:firstLine="480" w:firstLineChars="200"/>
        <w:outlineLvl w:val="9"/>
        <w:rPr>
          <w:rFonts w:hint="eastAsia" w:ascii="宋体" w:hAnsi="宋体" w:cs="宋体"/>
          <w:sz w:val="24"/>
        </w:rPr>
      </w:pPr>
      <w:r>
        <w:rPr>
          <w:rFonts w:hint="eastAsia" w:ascii="宋体" w:hAnsi="宋体" w:cs="宋体"/>
          <w:sz w:val="24"/>
        </w:rPr>
        <w:t>本项目</w:t>
      </w:r>
      <w:r>
        <w:rPr>
          <w:rFonts w:hint="eastAsia" w:ascii="宋体" w:hAnsi="宋体" w:cs="宋体"/>
          <w:sz w:val="24"/>
          <w:lang w:eastAsia="zh-CN"/>
        </w:rPr>
        <w:t>招标人</w:t>
      </w:r>
      <w:r>
        <w:rPr>
          <w:rFonts w:hint="eastAsia" w:ascii="宋体" w:hAnsi="宋体" w:cs="宋体"/>
          <w:sz w:val="24"/>
        </w:rPr>
        <w:t>及其委托的</w:t>
      </w:r>
      <w:r>
        <w:rPr>
          <w:rFonts w:hint="eastAsia" w:ascii="宋体" w:hAnsi="宋体" w:cs="宋体"/>
          <w:sz w:val="24"/>
          <w:lang w:eastAsia="zh-CN"/>
        </w:rPr>
        <w:t>招标</w:t>
      </w:r>
      <w:r>
        <w:rPr>
          <w:rFonts w:hint="eastAsia" w:ascii="宋体" w:hAnsi="宋体" w:cs="宋体"/>
          <w:sz w:val="24"/>
        </w:rPr>
        <w:t>代理机构将严格按照政府采购相关法律法规以及《</w:t>
      </w:r>
      <w:r>
        <w:rPr>
          <w:rFonts w:hint="eastAsia" w:ascii="宋体" w:hAnsi="宋体" w:cs="宋体"/>
          <w:sz w:val="24"/>
          <w:lang w:eastAsia="zh-CN"/>
        </w:rPr>
        <w:t>财政部关于进一步加强政府采购需求和履约验收管理的指导意见</w:t>
      </w:r>
      <w:r>
        <w:rPr>
          <w:rFonts w:hint="eastAsia" w:ascii="宋体" w:hAnsi="宋体" w:cs="宋体"/>
          <w:sz w:val="24"/>
        </w:rPr>
        <w:t>》（</w:t>
      </w:r>
      <w:r>
        <w:rPr>
          <w:rFonts w:hint="eastAsia" w:ascii="宋体" w:hAnsi="宋体" w:cs="宋体"/>
          <w:sz w:val="24"/>
          <w:lang w:eastAsia="zh-CN"/>
        </w:rPr>
        <w:t>财库</w:t>
      </w:r>
      <w:r>
        <w:rPr>
          <w:rFonts w:hint="eastAsia" w:ascii="宋体" w:hAnsi="宋体" w:cs="宋体"/>
          <w:sz w:val="24"/>
        </w:rPr>
        <w:t>〔201</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205</w:t>
      </w:r>
      <w:r>
        <w:rPr>
          <w:rFonts w:hint="eastAsia" w:ascii="宋体" w:hAnsi="宋体" w:cs="宋体"/>
          <w:sz w:val="24"/>
        </w:rPr>
        <w:t>号）的要求进行验收。</w:t>
      </w:r>
    </w:p>
    <w:p>
      <w:pPr>
        <w:spacing w:line="360" w:lineRule="auto"/>
        <w:ind w:firstLine="480" w:firstLineChars="200"/>
        <w:outlineLvl w:val="9"/>
        <w:rPr>
          <w:rFonts w:hint="eastAsia" w:ascii="宋体" w:hAnsi="宋体" w:cs="宋体"/>
          <w:b/>
          <w:sz w:val="24"/>
        </w:rPr>
      </w:pPr>
      <w:bookmarkStart w:id="418" w:name="_Toc4902"/>
      <w:r>
        <w:rPr>
          <w:rFonts w:hint="eastAsia" w:ascii="宋体" w:hAnsi="宋体" w:cs="宋体"/>
          <w:sz w:val="24"/>
        </w:rPr>
        <w:t>验收结果合格的，</w:t>
      </w:r>
      <w:r>
        <w:rPr>
          <w:rFonts w:hint="eastAsia" w:ascii="宋体" w:hAnsi="宋体" w:cs="宋体"/>
          <w:sz w:val="24"/>
          <w:lang w:eastAsia="zh-CN"/>
        </w:rPr>
        <w:t>中标人</w:t>
      </w:r>
      <w:r>
        <w:rPr>
          <w:rFonts w:hint="eastAsia" w:ascii="宋体" w:hAnsi="宋体" w:cs="宋体"/>
          <w:sz w:val="24"/>
        </w:rPr>
        <w:t>凭验收报告到</w:t>
      </w:r>
      <w:r>
        <w:rPr>
          <w:rFonts w:hint="eastAsia" w:ascii="宋体" w:hAnsi="宋体" w:cs="宋体"/>
          <w:sz w:val="24"/>
          <w:lang w:eastAsia="zh-CN"/>
        </w:rPr>
        <w:t>招标人</w:t>
      </w:r>
      <w:r>
        <w:rPr>
          <w:rFonts w:hint="eastAsia" w:ascii="宋体" w:hAnsi="宋体" w:cs="宋体"/>
          <w:sz w:val="24"/>
        </w:rPr>
        <w:t>处办理履约保证金的退付手续；验收结果不合格的，履约保证金将不予退还，也将不予支付采购资金，还可能会报本项目同级财政部门按照政府采购法律法规及</w:t>
      </w:r>
      <w:r>
        <w:rPr>
          <w:rFonts w:hint="eastAsia" w:ascii="宋体" w:hAnsi="宋体" w:cs="宋体"/>
          <w:sz w:val="24"/>
          <w:lang w:eastAsia="zh-CN"/>
        </w:rPr>
        <w:t>参照</w:t>
      </w:r>
      <w:r>
        <w:rPr>
          <w:rFonts w:hint="eastAsia" w:ascii="宋体" w:hAnsi="宋体" w:cs="宋体"/>
          <w:sz w:val="24"/>
        </w:rPr>
        <w:t>《四川省政府采购当事人诚信管理办法》（川财采〔2015〕33号）等有关规定给予行政处罚或者以失信行为记入诚信档案。</w:t>
      </w:r>
      <w:bookmarkEnd w:id="418"/>
    </w:p>
    <w:p>
      <w:pPr>
        <w:spacing w:line="360" w:lineRule="auto"/>
        <w:ind w:left="426"/>
        <w:outlineLvl w:val="9"/>
        <w:rPr>
          <w:rFonts w:hint="eastAsia" w:ascii="宋体" w:hAnsi="宋体" w:cs="宋体"/>
          <w:b/>
          <w:sz w:val="24"/>
        </w:rPr>
      </w:pPr>
      <w:bookmarkStart w:id="419" w:name="_Toc15345"/>
      <w:bookmarkStart w:id="420" w:name="_Toc203_WPSOffice_Level2"/>
      <w:r>
        <w:rPr>
          <w:rFonts w:hint="eastAsia" w:ascii="宋体" w:hAnsi="宋体" w:cs="宋体"/>
          <w:b/>
          <w:sz w:val="24"/>
        </w:rPr>
        <w:t>第八条  甲方的权利和义务</w:t>
      </w:r>
      <w:bookmarkEnd w:id="419"/>
      <w:bookmarkEnd w:id="420"/>
    </w:p>
    <w:p>
      <w:pPr>
        <w:numPr>
          <w:ilvl w:val="0"/>
          <w:numId w:val="53"/>
        </w:numPr>
        <w:tabs>
          <w:tab w:val="left" w:pos="1440"/>
        </w:tabs>
        <w:adjustRightInd w:val="0"/>
        <w:spacing w:line="360" w:lineRule="auto"/>
        <w:ind w:left="0" w:firstLine="420"/>
        <w:jc w:val="left"/>
        <w:textAlignment w:val="baseline"/>
        <w:outlineLvl w:val="9"/>
        <w:rPr>
          <w:rFonts w:hint="eastAsia" w:ascii="宋体" w:hAnsi="宋体" w:cs="宋体"/>
          <w:bCs/>
          <w:sz w:val="24"/>
        </w:rPr>
      </w:pPr>
      <w:r>
        <w:rPr>
          <w:rFonts w:hint="eastAsia" w:ascii="宋体" w:hAnsi="宋体" w:cs="宋体"/>
          <w:bCs/>
          <w:sz w:val="24"/>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53"/>
        </w:numPr>
        <w:tabs>
          <w:tab w:val="left" w:pos="1440"/>
        </w:tabs>
        <w:adjustRightInd w:val="0"/>
        <w:spacing w:line="360" w:lineRule="auto"/>
        <w:ind w:left="0" w:firstLine="420"/>
        <w:jc w:val="left"/>
        <w:textAlignment w:val="baseline"/>
        <w:outlineLvl w:val="9"/>
        <w:rPr>
          <w:rFonts w:hint="eastAsia" w:ascii="宋体" w:hAnsi="宋体" w:cs="宋体"/>
          <w:bCs/>
          <w:sz w:val="24"/>
        </w:rPr>
      </w:pPr>
      <w:r>
        <w:rPr>
          <w:rFonts w:hint="eastAsia" w:ascii="宋体" w:hAnsi="宋体" w:cs="宋体"/>
          <w:bCs/>
          <w:sz w:val="24"/>
        </w:rPr>
        <w:t>甲方有权依据双方签订的考评办法对乙方提供的服务进行定期考评。当考评结果未达到标准时，有权依据考评办法约定的数额扣除履约保证金。</w:t>
      </w:r>
    </w:p>
    <w:p>
      <w:pPr>
        <w:numPr>
          <w:ilvl w:val="0"/>
          <w:numId w:val="53"/>
        </w:numPr>
        <w:tabs>
          <w:tab w:val="left" w:pos="1440"/>
        </w:tabs>
        <w:adjustRightInd w:val="0"/>
        <w:spacing w:line="360" w:lineRule="auto"/>
        <w:ind w:left="0" w:firstLine="420"/>
        <w:jc w:val="left"/>
        <w:textAlignment w:val="baseline"/>
        <w:outlineLvl w:val="9"/>
        <w:rPr>
          <w:rFonts w:hint="eastAsia" w:ascii="宋体" w:hAnsi="宋体" w:cs="宋体"/>
          <w:bCs/>
          <w:sz w:val="24"/>
        </w:rPr>
      </w:pPr>
      <w:r>
        <w:rPr>
          <w:rFonts w:hint="eastAsia" w:ascii="宋体" w:hAnsi="宋体" w:cs="宋体"/>
          <w:bCs/>
          <w:sz w:val="24"/>
        </w:rPr>
        <w:t>负责检查监督乙方管理工作的实施及制度的执行情况。</w:t>
      </w:r>
    </w:p>
    <w:p>
      <w:pPr>
        <w:numPr>
          <w:ilvl w:val="0"/>
          <w:numId w:val="53"/>
        </w:numPr>
        <w:tabs>
          <w:tab w:val="left" w:pos="1440"/>
        </w:tabs>
        <w:adjustRightInd w:val="0"/>
        <w:spacing w:line="360" w:lineRule="auto"/>
        <w:ind w:left="0" w:firstLine="420"/>
        <w:jc w:val="left"/>
        <w:textAlignment w:val="baseline"/>
        <w:outlineLvl w:val="9"/>
        <w:rPr>
          <w:rFonts w:hint="eastAsia" w:ascii="宋体" w:hAnsi="宋体" w:cs="宋体"/>
          <w:bCs/>
          <w:sz w:val="24"/>
        </w:rPr>
      </w:pPr>
      <w:r>
        <w:rPr>
          <w:rFonts w:hint="eastAsia" w:ascii="宋体" w:hAnsi="宋体" w:cs="宋体"/>
          <w:bCs/>
          <w:sz w:val="24"/>
        </w:rPr>
        <w:t>根据本合同规定，按时向乙方支付应付服务费用。</w:t>
      </w:r>
    </w:p>
    <w:p>
      <w:pPr>
        <w:numPr>
          <w:ilvl w:val="0"/>
          <w:numId w:val="53"/>
        </w:numPr>
        <w:tabs>
          <w:tab w:val="left" w:pos="1440"/>
        </w:tabs>
        <w:adjustRightInd w:val="0"/>
        <w:spacing w:line="360" w:lineRule="auto"/>
        <w:ind w:left="0" w:firstLine="420"/>
        <w:jc w:val="left"/>
        <w:textAlignment w:val="baseline"/>
        <w:outlineLvl w:val="9"/>
        <w:rPr>
          <w:rFonts w:hint="eastAsia" w:ascii="宋体" w:hAnsi="宋体" w:cs="宋体"/>
          <w:bCs/>
          <w:sz w:val="24"/>
        </w:rPr>
      </w:pPr>
      <w:r>
        <w:rPr>
          <w:rFonts w:hint="eastAsia" w:ascii="宋体" w:hAnsi="宋体" w:cs="宋体"/>
          <w:bCs/>
          <w:sz w:val="24"/>
        </w:rPr>
        <w:t>国家法律、法规所规定由甲方承担的其它责任。</w:t>
      </w:r>
    </w:p>
    <w:p>
      <w:pPr>
        <w:numPr>
          <w:ilvl w:val="0"/>
          <w:numId w:val="49"/>
        </w:numPr>
        <w:spacing w:line="360" w:lineRule="auto"/>
        <w:outlineLvl w:val="9"/>
        <w:rPr>
          <w:rFonts w:hint="eastAsia" w:ascii="宋体" w:hAnsi="宋体" w:cs="宋体"/>
          <w:b/>
          <w:sz w:val="24"/>
        </w:rPr>
      </w:pPr>
      <w:bookmarkStart w:id="421" w:name="_Toc28203"/>
      <w:bookmarkStart w:id="422" w:name="_Toc32540_WPSOffice_Level1"/>
      <w:r>
        <w:rPr>
          <w:rFonts w:hint="eastAsia" w:ascii="宋体" w:hAnsi="宋体" w:cs="宋体"/>
          <w:b/>
          <w:sz w:val="24"/>
        </w:rPr>
        <w:t>乙方的权利和义务</w:t>
      </w:r>
      <w:bookmarkEnd w:id="421"/>
      <w:bookmarkEnd w:id="422"/>
    </w:p>
    <w:p>
      <w:pPr>
        <w:numPr>
          <w:ilvl w:val="0"/>
          <w:numId w:val="54"/>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bCs/>
          <w:sz w:val="24"/>
        </w:rPr>
        <w:t>对本合同规定的委托服务范围内的项目享有管理权及服务义务。</w:t>
      </w:r>
    </w:p>
    <w:p>
      <w:pPr>
        <w:numPr>
          <w:ilvl w:val="0"/>
          <w:numId w:val="54"/>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bCs/>
          <w:sz w:val="24"/>
        </w:rPr>
        <w:t>根据本合同的规定向甲方收取相关服务费用，并有权在本项目管理范围内管理及合理使用。</w:t>
      </w:r>
    </w:p>
    <w:p>
      <w:pPr>
        <w:numPr>
          <w:ilvl w:val="0"/>
          <w:numId w:val="54"/>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sz w:val="24"/>
        </w:rPr>
        <w:t>及时向甲方通告本项目服务范围内有关服务的重大事项，及时配合处理投诉。</w:t>
      </w:r>
    </w:p>
    <w:p>
      <w:pPr>
        <w:numPr>
          <w:ilvl w:val="0"/>
          <w:numId w:val="54"/>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bCs/>
          <w:sz w:val="24"/>
        </w:rPr>
        <w:t>接受项目行业管理部门及政府有关部门的指导，接受甲方的监督。</w:t>
      </w:r>
    </w:p>
    <w:p>
      <w:pPr>
        <w:numPr>
          <w:ilvl w:val="0"/>
          <w:numId w:val="54"/>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bCs/>
          <w:sz w:val="24"/>
        </w:rPr>
        <w:t>国家法律、法规所规定由乙方承担的其它责任。</w:t>
      </w:r>
    </w:p>
    <w:p>
      <w:pPr>
        <w:numPr>
          <w:ilvl w:val="0"/>
          <w:numId w:val="49"/>
        </w:numPr>
        <w:spacing w:line="360" w:lineRule="auto"/>
        <w:outlineLvl w:val="9"/>
        <w:rPr>
          <w:rFonts w:hint="eastAsia" w:ascii="宋体" w:hAnsi="宋体" w:cs="宋体"/>
          <w:b/>
          <w:sz w:val="24"/>
        </w:rPr>
      </w:pPr>
      <w:bookmarkStart w:id="423" w:name="_Toc12122"/>
      <w:bookmarkStart w:id="424" w:name="_Toc29155_WPSOffice_Level1"/>
      <w:r>
        <w:rPr>
          <w:rFonts w:hint="eastAsia" w:ascii="宋体" w:hAnsi="宋体" w:cs="宋体"/>
          <w:b/>
          <w:sz w:val="24"/>
        </w:rPr>
        <w:t>违约责任</w:t>
      </w:r>
      <w:bookmarkEnd w:id="423"/>
      <w:bookmarkEnd w:id="424"/>
    </w:p>
    <w:p>
      <w:pPr>
        <w:numPr>
          <w:ilvl w:val="0"/>
          <w:numId w:val="55"/>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bCs/>
          <w:sz w:val="24"/>
        </w:rPr>
        <w:t>甲乙双方必须遵守本合同并执行合同中的各项规定，保证本合同的正常履行。</w:t>
      </w:r>
    </w:p>
    <w:p>
      <w:pPr>
        <w:numPr>
          <w:ilvl w:val="0"/>
          <w:numId w:val="55"/>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bCs/>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49"/>
        </w:numPr>
        <w:spacing w:line="360" w:lineRule="auto"/>
        <w:outlineLvl w:val="9"/>
        <w:rPr>
          <w:rFonts w:hint="eastAsia" w:ascii="宋体" w:hAnsi="宋体" w:cs="宋体"/>
          <w:b/>
          <w:sz w:val="24"/>
        </w:rPr>
      </w:pPr>
      <w:bookmarkStart w:id="425" w:name="_Toc2854"/>
      <w:bookmarkStart w:id="426" w:name="_Toc9295_WPSOffice_Level1"/>
      <w:r>
        <w:rPr>
          <w:rFonts w:hint="eastAsia" w:ascii="宋体" w:hAnsi="宋体" w:cs="宋体"/>
          <w:b/>
          <w:sz w:val="24"/>
        </w:rPr>
        <w:t>不可抗力事件处理</w:t>
      </w:r>
      <w:bookmarkEnd w:id="425"/>
      <w:bookmarkEnd w:id="426"/>
    </w:p>
    <w:p>
      <w:pPr>
        <w:numPr>
          <w:ilvl w:val="0"/>
          <w:numId w:val="56"/>
        </w:numPr>
        <w:tabs>
          <w:tab w:val="left" w:pos="0"/>
        </w:tabs>
        <w:spacing w:line="360" w:lineRule="auto"/>
        <w:ind w:left="0" w:firstLine="567"/>
        <w:outlineLvl w:val="9"/>
        <w:rPr>
          <w:rFonts w:hint="eastAsia" w:ascii="宋体" w:hAnsi="宋体" w:cs="宋体"/>
          <w:sz w:val="24"/>
        </w:rPr>
      </w:pPr>
      <w:r>
        <w:rPr>
          <w:rFonts w:hint="eastAsia" w:ascii="宋体" w:hAnsi="宋体" w:cs="宋体"/>
          <w:sz w:val="24"/>
        </w:rPr>
        <w:t>在合同有效期内，任何一方因不可抗力事件导致不能履行合同，则合同履行期可延长，其延长期与不可抗力影响期相同。</w:t>
      </w:r>
    </w:p>
    <w:p>
      <w:pPr>
        <w:numPr>
          <w:ilvl w:val="0"/>
          <w:numId w:val="56"/>
        </w:numPr>
        <w:tabs>
          <w:tab w:val="left" w:pos="0"/>
        </w:tabs>
        <w:spacing w:line="360" w:lineRule="auto"/>
        <w:ind w:left="0" w:firstLine="567"/>
        <w:outlineLvl w:val="9"/>
        <w:rPr>
          <w:rFonts w:hint="eastAsia" w:ascii="宋体" w:hAnsi="宋体" w:cs="宋体"/>
          <w:sz w:val="24"/>
        </w:rPr>
      </w:pPr>
      <w:r>
        <w:rPr>
          <w:rFonts w:hint="eastAsia" w:ascii="宋体" w:hAnsi="宋体" w:cs="宋体"/>
          <w:sz w:val="24"/>
        </w:rPr>
        <w:t>不可抗力事件发生后，应立即通知对方，并寄送有关权威机构出具的证明。</w:t>
      </w:r>
    </w:p>
    <w:p>
      <w:pPr>
        <w:numPr>
          <w:ilvl w:val="0"/>
          <w:numId w:val="56"/>
        </w:numPr>
        <w:tabs>
          <w:tab w:val="left" w:pos="0"/>
        </w:tabs>
        <w:spacing w:line="360" w:lineRule="auto"/>
        <w:ind w:left="0" w:firstLine="567"/>
        <w:outlineLvl w:val="9"/>
        <w:rPr>
          <w:rFonts w:hint="eastAsia" w:ascii="宋体" w:hAnsi="宋体" w:cs="宋体"/>
          <w:sz w:val="24"/>
        </w:rPr>
      </w:pPr>
      <w:r>
        <w:rPr>
          <w:rFonts w:hint="eastAsia" w:ascii="宋体" w:hAnsi="宋体" w:cs="宋体"/>
          <w:sz w:val="24"/>
        </w:rPr>
        <w:t>不可抗力事件延续120天以上，双方应通过友好协商，确定是否继续履行合同。</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Pr>
        <w:numPr>
          <w:ilvl w:val="0"/>
          <w:numId w:val="49"/>
        </w:numPr>
        <w:spacing w:line="360" w:lineRule="auto"/>
        <w:outlineLvl w:val="9"/>
        <w:rPr>
          <w:rFonts w:hint="eastAsia" w:ascii="宋体" w:hAnsi="宋体" w:cs="宋体"/>
          <w:b/>
          <w:sz w:val="24"/>
        </w:rPr>
      </w:pPr>
      <w:bookmarkStart w:id="427" w:name="_Toc247334846"/>
      <w:bookmarkStart w:id="428" w:name="_Toc239568423"/>
      <w:bookmarkStart w:id="429" w:name="_Toc239233919"/>
      <w:bookmarkStart w:id="430" w:name="_Toc211911353"/>
      <w:bookmarkStart w:id="431" w:name="_Toc185395254"/>
      <w:bookmarkStart w:id="432" w:name="_Toc241833908"/>
      <w:bookmarkStart w:id="433" w:name="_Toc232492933"/>
      <w:bookmarkStart w:id="434" w:name="_Toc225244857"/>
      <w:bookmarkStart w:id="435" w:name="_Toc286993792"/>
      <w:bookmarkStart w:id="436" w:name="_Toc212019599"/>
      <w:bookmarkStart w:id="437" w:name="_Toc251768867"/>
      <w:bookmarkStart w:id="438" w:name="_Toc238984980"/>
      <w:bookmarkStart w:id="439" w:name="_Toc225654649"/>
      <w:bookmarkStart w:id="440" w:name="_Toc25831"/>
      <w:bookmarkStart w:id="441" w:name="_Toc237145411"/>
      <w:bookmarkStart w:id="442" w:name="_Toc211854454"/>
      <w:bookmarkStart w:id="443" w:name="_Toc225670756"/>
      <w:bookmarkStart w:id="444" w:name="_Toc29878_WPSOffice_Level1"/>
      <w:r>
        <w:rPr>
          <w:rFonts w:hint="eastAsia" w:ascii="宋体" w:hAnsi="宋体" w:cs="宋体"/>
          <w:b/>
          <w:sz w:val="24"/>
        </w:rPr>
        <w:t>解决合同纠纷的方式</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numPr>
          <w:ilvl w:val="0"/>
          <w:numId w:val="57"/>
        </w:numPr>
        <w:tabs>
          <w:tab w:val="left" w:pos="0"/>
        </w:tabs>
        <w:spacing w:line="360" w:lineRule="auto"/>
        <w:ind w:left="0" w:firstLine="560"/>
        <w:outlineLvl w:val="9"/>
        <w:rPr>
          <w:rFonts w:hint="eastAsia" w:ascii="宋体" w:hAnsi="宋体" w:cs="宋体"/>
          <w:sz w:val="24"/>
        </w:rPr>
      </w:pPr>
      <w:r>
        <w:rPr>
          <w:rFonts w:hint="eastAsia" w:ascii="宋体" w:hAnsi="宋体" w:cs="宋体"/>
          <w:sz w:val="24"/>
        </w:rPr>
        <w:t>在执行本合同中发生的或与本合同有关的争端，双方应通过友好协商解决，经协商在60天内不能达成协议时，应提交成都仲裁委员会仲裁。</w:t>
      </w:r>
    </w:p>
    <w:p>
      <w:pPr>
        <w:numPr>
          <w:ilvl w:val="0"/>
          <w:numId w:val="57"/>
        </w:numPr>
        <w:tabs>
          <w:tab w:val="left" w:pos="0"/>
        </w:tabs>
        <w:spacing w:line="360" w:lineRule="auto"/>
        <w:ind w:left="0" w:firstLine="560"/>
        <w:outlineLvl w:val="9"/>
        <w:rPr>
          <w:rFonts w:hint="eastAsia" w:ascii="宋体" w:hAnsi="宋体" w:cs="宋体"/>
          <w:sz w:val="24"/>
        </w:rPr>
      </w:pPr>
      <w:r>
        <w:rPr>
          <w:rFonts w:hint="eastAsia" w:ascii="宋体" w:hAnsi="宋体" w:cs="宋体"/>
          <w:sz w:val="24"/>
        </w:rPr>
        <w:t>仲裁裁决应为最终决定，并对双方具有约束力。</w:t>
      </w:r>
    </w:p>
    <w:p>
      <w:pPr>
        <w:numPr>
          <w:ilvl w:val="0"/>
          <w:numId w:val="57"/>
        </w:numPr>
        <w:tabs>
          <w:tab w:val="left" w:pos="0"/>
        </w:tabs>
        <w:spacing w:line="360" w:lineRule="auto"/>
        <w:ind w:left="0" w:firstLine="560"/>
        <w:outlineLvl w:val="9"/>
        <w:rPr>
          <w:rFonts w:hint="eastAsia" w:ascii="宋体" w:hAnsi="宋体" w:cs="宋体"/>
          <w:sz w:val="24"/>
        </w:rPr>
      </w:pPr>
      <w:r>
        <w:rPr>
          <w:rFonts w:hint="eastAsia" w:ascii="宋体" w:hAnsi="宋体" w:cs="宋体"/>
          <w:sz w:val="24"/>
        </w:rPr>
        <w:t xml:space="preserve">除另有裁决外，仲裁费应由败诉方负担。 </w:t>
      </w:r>
    </w:p>
    <w:p>
      <w:pPr>
        <w:numPr>
          <w:ilvl w:val="0"/>
          <w:numId w:val="57"/>
        </w:numPr>
        <w:tabs>
          <w:tab w:val="left" w:pos="0"/>
        </w:tabs>
        <w:spacing w:line="360" w:lineRule="auto"/>
        <w:ind w:left="0" w:firstLine="560"/>
        <w:outlineLvl w:val="9"/>
        <w:rPr>
          <w:rFonts w:hint="eastAsia" w:ascii="宋体" w:hAnsi="宋体" w:cs="宋体"/>
          <w:sz w:val="24"/>
        </w:rPr>
      </w:pPr>
      <w:r>
        <w:rPr>
          <w:rFonts w:hint="eastAsia" w:ascii="宋体" w:hAnsi="宋体" w:cs="宋体"/>
          <w:sz w:val="24"/>
        </w:rPr>
        <w:t xml:space="preserve">在仲裁期间，除正在进行仲裁部分外，合同其他部分继续执行。  </w:t>
      </w:r>
    </w:p>
    <w:p>
      <w:pPr>
        <w:numPr>
          <w:ilvl w:val="0"/>
          <w:numId w:val="49"/>
        </w:numPr>
        <w:spacing w:line="360" w:lineRule="auto"/>
        <w:outlineLvl w:val="9"/>
        <w:rPr>
          <w:rFonts w:hint="eastAsia" w:ascii="宋体" w:hAnsi="宋体" w:cs="宋体"/>
          <w:b/>
          <w:sz w:val="24"/>
        </w:rPr>
      </w:pPr>
      <w:bookmarkStart w:id="445" w:name="_Toc241833909"/>
      <w:bookmarkStart w:id="446" w:name="_Toc28325"/>
      <w:bookmarkStart w:id="447" w:name="_Toc29869_WPSOffice_Level1"/>
      <w:r>
        <w:rPr>
          <w:rFonts w:hint="eastAsia" w:ascii="宋体" w:hAnsi="宋体" w:cs="宋体"/>
          <w:b/>
          <w:sz w:val="24"/>
        </w:rPr>
        <w:t>合同</w:t>
      </w:r>
      <w:bookmarkEnd w:id="445"/>
      <w:r>
        <w:rPr>
          <w:rFonts w:hint="eastAsia" w:ascii="宋体" w:hAnsi="宋体" w:cs="宋体"/>
          <w:b/>
          <w:sz w:val="24"/>
        </w:rPr>
        <w:t>生效及其他</w:t>
      </w:r>
      <w:bookmarkEnd w:id="446"/>
      <w:bookmarkEnd w:id="447"/>
    </w:p>
    <w:p>
      <w:pPr>
        <w:pStyle w:val="77"/>
        <w:numPr>
          <w:ilvl w:val="0"/>
          <w:numId w:val="58"/>
        </w:numPr>
        <w:spacing w:line="360" w:lineRule="auto"/>
        <w:ind w:left="0" w:firstLine="630" w:firstLineChars="0"/>
        <w:outlineLvl w:val="9"/>
        <w:rPr>
          <w:rFonts w:hint="eastAsia" w:ascii="宋体" w:hAnsi="宋体" w:cs="宋体"/>
          <w:sz w:val="24"/>
        </w:rPr>
      </w:pPr>
      <w:r>
        <w:rPr>
          <w:rFonts w:hint="eastAsia" w:ascii="宋体" w:hAnsi="宋体" w:cs="宋体"/>
          <w:sz w:val="24"/>
        </w:rPr>
        <w:t>合同经双方法定代表人或授权委托代理人签字并加盖单位公章后生效。</w:t>
      </w:r>
    </w:p>
    <w:p>
      <w:pPr>
        <w:pStyle w:val="77"/>
        <w:numPr>
          <w:ilvl w:val="0"/>
          <w:numId w:val="58"/>
        </w:numPr>
        <w:spacing w:line="360" w:lineRule="auto"/>
        <w:ind w:left="0" w:firstLine="630" w:firstLineChars="0"/>
        <w:outlineLvl w:val="9"/>
        <w:rPr>
          <w:rFonts w:hint="eastAsia" w:ascii="宋体" w:hAnsi="宋体" w:cs="宋体"/>
          <w:sz w:val="24"/>
        </w:rPr>
      </w:pPr>
      <w:r>
        <w:rPr>
          <w:rFonts w:hint="eastAsia" w:ascii="宋体" w:hAnsi="宋体" w:cs="宋体"/>
          <w:sz w:val="24"/>
        </w:rPr>
        <w:t>合同执行中涉及采购资金和采购内容修改或补充的，须经政府采购监管部门审批，并签书面补充协议报政府采购监督管理部门备案，方可作为主合同不可分割的一部分。</w:t>
      </w:r>
    </w:p>
    <w:p>
      <w:pPr>
        <w:pStyle w:val="77"/>
        <w:numPr>
          <w:ilvl w:val="0"/>
          <w:numId w:val="58"/>
        </w:numPr>
        <w:spacing w:line="360" w:lineRule="auto"/>
        <w:ind w:left="0" w:firstLine="630" w:firstLineChars="0"/>
        <w:outlineLvl w:val="9"/>
        <w:rPr>
          <w:rFonts w:hint="eastAsia"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份，自双方签章之日起起效。甲方</w:t>
      </w:r>
      <w:r>
        <w:rPr>
          <w:rFonts w:hint="eastAsia" w:ascii="宋体" w:hAnsi="宋体" w:cs="宋体"/>
          <w:sz w:val="24"/>
          <w:u w:val="single"/>
        </w:rPr>
        <w:t xml:space="preserve">  </w:t>
      </w:r>
      <w:r>
        <w:rPr>
          <w:rFonts w:hint="eastAsia" w:ascii="宋体" w:hAnsi="宋体" w:cs="宋体"/>
          <w:sz w:val="24"/>
        </w:rPr>
        <w:t>份，乙方</w:t>
      </w:r>
      <w:r>
        <w:rPr>
          <w:rFonts w:hint="eastAsia" w:ascii="宋体" w:hAnsi="宋体" w:cs="宋体"/>
          <w:sz w:val="24"/>
          <w:u w:val="single"/>
        </w:rPr>
        <w:t xml:space="preserve">  </w:t>
      </w:r>
      <w:r>
        <w:rPr>
          <w:rFonts w:hint="eastAsia" w:ascii="宋体" w:hAnsi="宋体" w:cs="宋体"/>
          <w:sz w:val="24"/>
        </w:rPr>
        <w:t>份，政府采购代理机构</w:t>
      </w:r>
      <w:r>
        <w:rPr>
          <w:rFonts w:hint="eastAsia" w:ascii="宋体" w:hAnsi="宋体" w:cs="宋体"/>
          <w:sz w:val="24"/>
          <w:u w:val="single"/>
        </w:rPr>
        <w:t xml:space="preserve">  </w:t>
      </w:r>
      <w:r>
        <w:rPr>
          <w:rFonts w:hint="eastAsia" w:ascii="宋体" w:hAnsi="宋体" w:cs="宋体"/>
          <w:sz w:val="24"/>
        </w:rPr>
        <w:t>份，同级财政部门备案</w:t>
      </w:r>
      <w:r>
        <w:rPr>
          <w:rFonts w:hint="eastAsia" w:ascii="宋体" w:hAnsi="宋体" w:cs="宋体"/>
          <w:sz w:val="24"/>
          <w:u w:val="single"/>
        </w:rPr>
        <w:t xml:space="preserve">  </w:t>
      </w:r>
      <w:r>
        <w:rPr>
          <w:rFonts w:hint="eastAsia" w:ascii="宋体" w:hAnsi="宋体" w:cs="宋体"/>
          <w:sz w:val="24"/>
        </w:rPr>
        <w:t>份，具有同等法律效力。</w:t>
      </w:r>
    </w:p>
    <w:p>
      <w:pPr>
        <w:numPr>
          <w:ilvl w:val="0"/>
          <w:numId w:val="49"/>
        </w:numPr>
        <w:spacing w:line="360" w:lineRule="auto"/>
        <w:outlineLvl w:val="9"/>
        <w:rPr>
          <w:rFonts w:hint="eastAsia" w:ascii="宋体" w:hAnsi="宋体" w:cs="宋体"/>
          <w:b/>
          <w:sz w:val="24"/>
        </w:rPr>
      </w:pPr>
      <w:bookmarkStart w:id="448" w:name="_Toc12567"/>
      <w:bookmarkStart w:id="449" w:name="_Toc26807_WPSOffice_Level1"/>
      <w:r>
        <w:rPr>
          <w:rFonts w:hint="eastAsia" w:ascii="宋体" w:hAnsi="宋体" w:cs="宋体"/>
          <w:b/>
          <w:sz w:val="24"/>
        </w:rPr>
        <w:t>附件</w:t>
      </w:r>
      <w:bookmarkEnd w:id="448"/>
      <w:bookmarkEnd w:id="449"/>
    </w:p>
    <w:p>
      <w:pPr>
        <w:pStyle w:val="77"/>
        <w:numPr>
          <w:ilvl w:val="0"/>
          <w:numId w:val="3"/>
        </w:numPr>
        <w:spacing w:line="360" w:lineRule="auto"/>
        <w:ind w:firstLineChars="0"/>
        <w:outlineLvl w:val="9"/>
        <w:rPr>
          <w:rFonts w:hint="eastAsia" w:ascii="宋体" w:hAnsi="宋体" w:cs="宋体"/>
          <w:sz w:val="24"/>
        </w:rPr>
      </w:pPr>
      <w:bookmarkStart w:id="450" w:name="_Toc15474_WPSOffice_Level2"/>
      <w:r>
        <w:rPr>
          <w:rFonts w:hint="eastAsia" w:ascii="宋体" w:hAnsi="宋体" w:cs="宋体"/>
          <w:sz w:val="24"/>
        </w:rPr>
        <w:t>项目</w:t>
      </w:r>
      <w:r>
        <w:rPr>
          <w:rFonts w:hint="eastAsia" w:ascii="宋体" w:hAnsi="宋体" w:cs="宋体"/>
          <w:sz w:val="24"/>
          <w:lang w:eastAsia="zh-CN"/>
        </w:rPr>
        <w:t>招标</w:t>
      </w:r>
      <w:r>
        <w:rPr>
          <w:rFonts w:hint="eastAsia" w:ascii="宋体" w:hAnsi="宋体" w:cs="宋体"/>
          <w:sz w:val="24"/>
        </w:rPr>
        <w:t>文件</w:t>
      </w:r>
      <w:bookmarkEnd w:id="450"/>
    </w:p>
    <w:p>
      <w:pPr>
        <w:pStyle w:val="77"/>
        <w:numPr>
          <w:ilvl w:val="0"/>
          <w:numId w:val="3"/>
        </w:numPr>
        <w:spacing w:line="360" w:lineRule="auto"/>
        <w:ind w:firstLineChars="0"/>
        <w:outlineLvl w:val="9"/>
        <w:rPr>
          <w:rFonts w:hint="eastAsia" w:ascii="宋体" w:hAnsi="宋体" w:cs="宋体"/>
          <w:sz w:val="24"/>
        </w:rPr>
      </w:pPr>
      <w:bookmarkStart w:id="451" w:name="_Toc9221_WPSOffice_Level2"/>
      <w:r>
        <w:rPr>
          <w:rFonts w:hint="eastAsia" w:ascii="宋体" w:hAnsi="宋体" w:cs="宋体"/>
          <w:sz w:val="24"/>
        </w:rPr>
        <w:t>项目修改澄清文件</w:t>
      </w:r>
      <w:bookmarkEnd w:id="451"/>
    </w:p>
    <w:p>
      <w:pPr>
        <w:pStyle w:val="77"/>
        <w:numPr>
          <w:ilvl w:val="0"/>
          <w:numId w:val="3"/>
        </w:numPr>
        <w:spacing w:line="360" w:lineRule="auto"/>
        <w:ind w:firstLineChars="0"/>
        <w:outlineLvl w:val="9"/>
        <w:rPr>
          <w:rFonts w:hint="eastAsia" w:ascii="宋体" w:hAnsi="宋体" w:cs="宋体"/>
          <w:sz w:val="24"/>
        </w:rPr>
      </w:pPr>
      <w:bookmarkStart w:id="452" w:name="_Toc27815_WPSOffice_Level2"/>
      <w:r>
        <w:rPr>
          <w:rFonts w:hint="eastAsia" w:ascii="宋体" w:hAnsi="宋体" w:cs="宋体"/>
          <w:sz w:val="24"/>
        </w:rPr>
        <w:t>项目</w:t>
      </w:r>
      <w:r>
        <w:rPr>
          <w:rFonts w:hint="eastAsia" w:ascii="宋体" w:hAnsi="宋体" w:cs="宋体"/>
          <w:sz w:val="24"/>
          <w:lang w:eastAsia="zh-CN"/>
        </w:rPr>
        <w:t>投标文件</w:t>
      </w:r>
      <w:bookmarkEnd w:id="452"/>
    </w:p>
    <w:p>
      <w:pPr>
        <w:pStyle w:val="77"/>
        <w:numPr>
          <w:ilvl w:val="0"/>
          <w:numId w:val="3"/>
        </w:numPr>
        <w:spacing w:line="360" w:lineRule="auto"/>
        <w:ind w:firstLineChars="0"/>
        <w:outlineLvl w:val="9"/>
        <w:rPr>
          <w:rFonts w:hint="eastAsia" w:ascii="宋体" w:hAnsi="宋体" w:cs="宋体"/>
          <w:sz w:val="24"/>
        </w:rPr>
      </w:pPr>
      <w:bookmarkStart w:id="453" w:name="_Toc26593_WPSOffice_Level2"/>
      <w:r>
        <w:rPr>
          <w:rFonts w:hint="eastAsia" w:ascii="宋体" w:hAnsi="宋体" w:cs="宋体"/>
          <w:sz w:val="24"/>
        </w:rPr>
        <w:t>成交通知书</w:t>
      </w:r>
      <w:bookmarkEnd w:id="453"/>
    </w:p>
    <w:p>
      <w:pPr>
        <w:pStyle w:val="77"/>
        <w:numPr>
          <w:ilvl w:val="0"/>
          <w:numId w:val="3"/>
        </w:numPr>
        <w:spacing w:line="360" w:lineRule="auto"/>
        <w:ind w:firstLineChars="0"/>
        <w:outlineLvl w:val="9"/>
        <w:rPr>
          <w:rFonts w:hint="eastAsia" w:ascii="宋体" w:hAnsi="宋体" w:cs="宋体"/>
          <w:sz w:val="24"/>
        </w:rPr>
      </w:pPr>
      <w:bookmarkStart w:id="454" w:name="_Toc15686_WPSOffice_Level2"/>
      <w:r>
        <w:rPr>
          <w:rFonts w:hint="eastAsia" w:ascii="宋体" w:hAnsi="宋体" w:cs="宋体"/>
          <w:sz w:val="24"/>
        </w:rPr>
        <w:t>其他</w:t>
      </w:r>
      <w:bookmarkEnd w:id="454"/>
    </w:p>
    <w:p>
      <w:pPr>
        <w:spacing w:line="360" w:lineRule="auto"/>
        <w:outlineLvl w:val="9"/>
        <w:rPr>
          <w:rFonts w:hint="eastAsia" w:ascii="宋体" w:hAnsi="宋体" w:cs="宋体"/>
          <w:sz w:val="24"/>
        </w:rPr>
      </w:pPr>
    </w:p>
    <w:p>
      <w:pPr>
        <w:spacing w:line="400" w:lineRule="exact"/>
        <w:ind w:firstLine="480" w:firstLineChars="200"/>
        <w:outlineLvl w:val="9"/>
        <w:rPr>
          <w:rFonts w:hint="eastAsia"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乙方：   （盖章）</w:t>
      </w:r>
    </w:p>
    <w:p>
      <w:pPr>
        <w:spacing w:line="400" w:lineRule="exact"/>
        <w:ind w:firstLine="480" w:firstLineChars="200"/>
        <w:outlineLvl w:val="9"/>
        <w:rPr>
          <w:rFonts w:hint="eastAsia" w:ascii="宋体" w:hAnsi="宋体" w:cs="宋体"/>
          <w:sz w:val="24"/>
        </w:rPr>
      </w:pPr>
      <w:r>
        <w:rPr>
          <w:rFonts w:hint="eastAsia" w:ascii="宋体" w:hAnsi="宋体" w:cs="宋体"/>
          <w:sz w:val="24"/>
        </w:rPr>
        <w:t>法定代表人（授权代表）：           法定代表人（授权代表）：</w:t>
      </w:r>
    </w:p>
    <w:p>
      <w:pPr>
        <w:spacing w:line="400" w:lineRule="exact"/>
        <w:ind w:firstLine="480" w:firstLineChars="200"/>
        <w:outlineLvl w:val="9"/>
        <w:rPr>
          <w:rFonts w:hint="eastAsia" w:ascii="宋体" w:hAnsi="宋体" w:cs="宋体"/>
          <w:sz w:val="24"/>
        </w:rPr>
      </w:pPr>
      <w:r>
        <w:rPr>
          <w:rFonts w:hint="eastAsia" w:ascii="宋体" w:hAnsi="宋体" w:cs="宋体"/>
          <w:sz w:val="24"/>
        </w:rPr>
        <w:t>地    址：                         地    址：</w:t>
      </w:r>
    </w:p>
    <w:p>
      <w:pPr>
        <w:spacing w:line="400" w:lineRule="exact"/>
        <w:ind w:firstLine="480" w:firstLineChars="200"/>
        <w:outlineLvl w:val="9"/>
        <w:rPr>
          <w:rFonts w:hint="eastAsia" w:ascii="宋体" w:hAnsi="宋体" w:cs="宋体"/>
          <w:sz w:val="24"/>
        </w:rPr>
      </w:pPr>
      <w:r>
        <w:rPr>
          <w:rFonts w:hint="eastAsia" w:ascii="宋体" w:hAnsi="宋体" w:cs="宋体"/>
          <w:sz w:val="24"/>
        </w:rPr>
        <w:t>开户银行：                         开户银行：</w:t>
      </w:r>
    </w:p>
    <w:p>
      <w:pPr>
        <w:spacing w:line="400" w:lineRule="exact"/>
        <w:ind w:firstLine="480" w:firstLineChars="200"/>
        <w:outlineLvl w:val="9"/>
        <w:rPr>
          <w:rFonts w:hint="eastAsia" w:ascii="宋体" w:hAnsi="宋体" w:cs="宋体"/>
          <w:sz w:val="24"/>
        </w:rPr>
      </w:pPr>
      <w:r>
        <w:rPr>
          <w:rFonts w:hint="eastAsia" w:ascii="宋体" w:hAnsi="宋体" w:cs="宋体"/>
          <w:sz w:val="24"/>
        </w:rPr>
        <w:t>账号：                             账号：</w:t>
      </w:r>
    </w:p>
    <w:p>
      <w:pPr>
        <w:spacing w:line="400" w:lineRule="exact"/>
        <w:ind w:firstLine="480" w:firstLineChars="200"/>
        <w:outlineLvl w:val="9"/>
        <w:rPr>
          <w:rFonts w:hint="eastAsia" w:ascii="宋体" w:hAnsi="宋体" w:cs="宋体"/>
          <w:sz w:val="24"/>
        </w:rPr>
      </w:pPr>
      <w:r>
        <w:rPr>
          <w:rFonts w:hint="eastAsia" w:ascii="宋体" w:hAnsi="宋体" w:cs="宋体"/>
          <w:sz w:val="24"/>
        </w:rPr>
        <w:t>电    话：                         电    话：</w:t>
      </w:r>
    </w:p>
    <w:p>
      <w:pPr>
        <w:spacing w:line="400" w:lineRule="exact"/>
        <w:ind w:firstLine="480" w:firstLineChars="200"/>
        <w:outlineLvl w:val="9"/>
        <w:rPr>
          <w:rFonts w:hint="eastAsia" w:ascii="宋体" w:hAnsi="宋体" w:cs="宋体"/>
          <w:sz w:val="24"/>
        </w:rPr>
      </w:pPr>
      <w:r>
        <w:rPr>
          <w:rFonts w:hint="eastAsia" w:ascii="宋体" w:hAnsi="宋体" w:cs="宋体"/>
          <w:sz w:val="24"/>
        </w:rPr>
        <w:t>传    真：                         传    真：</w:t>
      </w:r>
    </w:p>
    <w:p>
      <w:pPr>
        <w:spacing w:line="400" w:lineRule="exact"/>
        <w:ind w:firstLine="480" w:firstLineChars="200"/>
        <w:outlineLvl w:val="9"/>
        <w:rPr>
          <w:rFonts w:hint="eastAsia" w:ascii="宋体" w:hAnsi="宋体" w:cs="宋体"/>
          <w:sz w:val="24"/>
        </w:rPr>
      </w:pPr>
      <w:r>
        <w:rPr>
          <w:rFonts w:hint="eastAsia" w:ascii="宋体" w:hAnsi="宋体" w:cs="宋体"/>
          <w:sz w:val="24"/>
        </w:rPr>
        <w:t xml:space="preserve">签约日期：XX年XX月XX日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签约日期：XX年XX月XX日</w:t>
      </w:r>
    </w:p>
    <w:p>
      <w:pPr>
        <w:spacing w:line="400" w:lineRule="exact"/>
        <w:ind w:firstLine="420" w:firstLineChars="200"/>
        <w:outlineLvl w:val="9"/>
        <w:rPr>
          <w:rFonts w:hint="eastAsia" w:ascii="宋体" w:hAnsi="宋体" w:cs="宋体"/>
        </w:rPr>
      </w:pPr>
    </w:p>
    <w:p>
      <w:pPr>
        <w:spacing w:after="160" w:line="400" w:lineRule="exact"/>
        <w:outlineLvl w:val="9"/>
        <w:rPr>
          <w:rFonts w:hint="eastAsia" w:ascii="宋体" w:hAnsi="宋体" w:eastAsia="宋体" w:cs="宋体"/>
          <w:color w:val="auto"/>
          <w:kern w:val="2"/>
          <w:sz w:val="21"/>
          <w:szCs w:val="24"/>
          <w:highlight w:val="none"/>
        </w:rPr>
      </w:pPr>
    </w:p>
    <w:p>
      <w:pPr>
        <w:spacing w:line="400" w:lineRule="exact"/>
        <w:outlineLvl w:val="9"/>
        <w:rPr>
          <w:rFonts w:ascii="宋体" w:hAnsi="宋体"/>
          <w:color w:val="auto"/>
          <w:sz w:val="20"/>
          <w:szCs w:val="21"/>
        </w:rPr>
      </w:pPr>
    </w:p>
    <w:p>
      <w:pPr>
        <w:pStyle w:val="2"/>
        <w:outlineLvl w:val="9"/>
      </w:pPr>
    </w:p>
    <w:sectPr>
      <w:pgSz w:w="11850" w:h="16783"/>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29"/>
          <w:ind w:firstLine="480"/>
          <w:jc w:val="center"/>
        </w:pPr>
        <w:r>
          <w:fldChar w:fldCharType="begin"/>
        </w:r>
        <w:r>
          <w:instrText xml:space="preserve">PAGE   \* MERGEFORMAT</w:instrText>
        </w:r>
        <w:r>
          <w:fldChar w:fldCharType="separate"/>
        </w:r>
        <w:r>
          <w:rPr>
            <w:lang w:val="zh-CN"/>
          </w:rPr>
          <w:t>46</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2457E"/>
    <w:multiLevelType w:val="singleLevel"/>
    <w:tmpl w:val="B192457E"/>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2"/>
    <w:multiLevelType w:val="multilevel"/>
    <w:tmpl w:val="0000000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7"/>
    <w:multiLevelType w:val="multilevel"/>
    <w:tmpl w:val="00000007"/>
    <w:lvl w:ilvl="0" w:tentative="0">
      <w:start w:val="1"/>
      <w:numFmt w:val="decimal"/>
      <w:suff w:val="nothing"/>
      <w:lvlText w:val="%1."/>
      <w:lvlJc w:val="left"/>
      <w:pPr>
        <w:ind w:left="1406"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0000000D"/>
    <w:multiLevelType w:val="multilevel"/>
    <w:tmpl w:val="0000000D"/>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11"/>
    <w:multiLevelType w:val="multilevel"/>
    <w:tmpl w:val="00000011"/>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0">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12">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3">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6">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7">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0">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21">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2">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3">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5">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7">
    <w:nsid w:val="0053208E"/>
    <w:multiLevelType w:val="multilevel"/>
    <w:tmpl w:val="0053208E"/>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8">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9">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30">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2">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33">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4">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7">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8">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9">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1">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2">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3">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4">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7">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8">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9">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0">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51">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2">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3">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4">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55">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20"/>
  </w:num>
  <w:num w:numId="2">
    <w:abstractNumId w:val="15"/>
  </w:num>
  <w:num w:numId="3">
    <w:abstractNumId w:val="11"/>
  </w:num>
  <w:num w:numId="4">
    <w:abstractNumId w:val="3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7"/>
  </w:num>
  <w:num w:numId="51">
    <w:abstractNumId w:val="10"/>
  </w:num>
  <w:num w:numId="52">
    <w:abstractNumId w:val="9"/>
  </w:num>
  <w:num w:numId="53">
    <w:abstractNumId w:val="1"/>
  </w:num>
  <w:num w:numId="54">
    <w:abstractNumId w:val="6"/>
  </w:num>
  <w:num w:numId="55">
    <w:abstractNumId w:val="3"/>
  </w:num>
  <w:num w:numId="56">
    <w:abstractNumId w:val="4"/>
  </w:num>
  <w:num w:numId="57">
    <w:abstractNumId w:val="2"/>
  </w:num>
  <w:num w:numId="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05F22"/>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D791A"/>
    <w:rsid w:val="001E2114"/>
    <w:rsid w:val="001E369C"/>
    <w:rsid w:val="001E3E2B"/>
    <w:rsid w:val="001F412D"/>
    <w:rsid w:val="001F5DE0"/>
    <w:rsid w:val="00200370"/>
    <w:rsid w:val="00201F03"/>
    <w:rsid w:val="002023C7"/>
    <w:rsid w:val="0020244C"/>
    <w:rsid w:val="00211279"/>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397A"/>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64BF"/>
    <w:rsid w:val="00437153"/>
    <w:rsid w:val="004417D5"/>
    <w:rsid w:val="00444A4E"/>
    <w:rsid w:val="00450758"/>
    <w:rsid w:val="00451D9F"/>
    <w:rsid w:val="00452F16"/>
    <w:rsid w:val="004539B0"/>
    <w:rsid w:val="00453E3D"/>
    <w:rsid w:val="00454540"/>
    <w:rsid w:val="00454B38"/>
    <w:rsid w:val="00455E6A"/>
    <w:rsid w:val="00455ED6"/>
    <w:rsid w:val="00461D47"/>
    <w:rsid w:val="004642AB"/>
    <w:rsid w:val="00473B52"/>
    <w:rsid w:val="00480E1E"/>
    <w:rsid w:val="00481271"/>
    <w:rsid w:val="00482461"/>
    <w:rsid w:val="00485D6A"/>
    <w:rsid w:val="00486C7F"/>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46AB"/>
    <w:rsid w:val="00A1574E"/>
    <w:rsid w:val="00A16AA7"/>
    <w:rsid w:val="00A17799"/>
    <w:rsid w:val="00A2013E"/>
    <w:rsid w:val="00A21399"/>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24"/>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4F14"/>
    <w:rsid w:val="00D65C74"/>
    <w:rsid w:val="00D66060"/>
    <w:rsid w:val="00D67E2D"/>
    <w:rsid w:val="00D73F77"/>
    <w:rsid w:val="00D75236"/>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77CEA"/>
    <w:rsid w:val="00E803F1"/>
    <w:rsid w:val="00E80555"/>
    <w:rsid w:val="00E83A59"/>
    <w:rsid w:val="00E879F0"/>
    <w:rsid w:val="00E9016E"/>
    <w:rsid w:val="00E91619"/>
    <w:rsid w:val="00E942EE"/>
    <w:rsid w:val="00E95DED"/>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49D8"/>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0E08"/>
    <w:rsid w:val="00FC27FC"/>
    <w:rsid w:val="00FC3E65"/>
    <w:rsid w:val="00FC554B"/>
    <w:rsid w:val="00FC6936"/>
    <w:rsid w:val="00FC6C3D"/>
    <w:rsid w:val="00FD3A4B"/>
    <w:rsid w:val="00FD4714"/>
    <w:rsid w:val="00FD5FB7"/>
    <w:rsid w:val="00FD6888"/>
    <w:rsid w:val="00FD74A2"/>
    <w:rsid w:val="00FE02F4"/>
    <w:rsid w:val="00FE47B2"/>
    <w:rsid w:val="00FF72E9"/>
    <w:rsid w:val="00FF75D6"/>
    <w:rsid w:val="012974F9"/>
    <w:rsid w:val="01510107"/>
    <w:rsid w:val="01A3462D"/>
    <w:rsid w:val="025A1558"/>
    <w:rsid w:val="02C80A75"/>
    <w:rsid w:val="02D00294"/>
    <w:rsid w:val="02EF5314"/>
    <w:rsid w:val="0307764D"/>
    <w:rsid w:val="032618EE"/>
    <w:rsid w:val="03A3137C"/>
    <w:rsid w:val="04782EAE"/>
    <w:rsid w:val="04EC5C80"/>
    <w:rsid w:val="05AF2ACA"/>
    <w:rsid w:val="05DE044A"/>
    <w:rsid w:val="06185A63"/>
    <w:rsid w:val="07112FE3"/>
    <w:rsid w:val="071601F4"/>
    <w:rsid w:val="07790C43"/>
    <w:rsid w:val="07807AE4"/>
    <w:rsid w:val="085C47AA"/>
    <w:rsid w:val="090617CA"/>
    <w:rsid w:val="0942071D"/>
    <w:rsid w:val="095B6B36"/>
    <w:rsid w:val="09BB458B"/>
    <w:rsid w:val="0A3D6332"/>
    <w:rsid w:val="0A437065"/>
    <w:rsid w:val="0A861419"/>
    <w:rsid w:val="0A925A6B"/>
    <w:rsid w:val="0AB028A8"/>
    <w:rsid w:val="0B517666"/>
    <w:rsid w:val="0B7C6A78"/>
    <w:rsid w:val="0B812686"/>
    <w:rsid w:val="0C4C4EF5"/>
    <w:rsid w:val="0C4D08FA"/>
    <w:rsid w:val="0CC3219B"/>
    <w:rsid w:val="0D551279"/>
    <w:rsid w:val="0D571992"/>
    <w:rsid w:val="0D790042"/>
    <w:rsid w:val="0E524049"/>
    <w:rsid w:val="0F052A46"/>
    <w:rsid w:val="0F372316"/>
    <w:rsid w:val="0F4D7585"/>
    <w:rsid w:val="0F61448E"/>
    <w:rsid w:val="0F725B2A"/>
    <w:rsid w:val="0FB55B87"/>
    <w:rsid w:val="112C2BC4"/>
    <w:rsid w:val="11CB744A"/>
    <w:rsid w:val="11D43417"/>
    <w:rsid w:val="11E3661B"/>
    <w:rsid w:val="12DD05E9"/>
    <w:rsid w:val="13171902"/>
    <w:rsid w:val="13D5775E"/>
    <w:rsid w:val="141A18C2"/>
    <w:rsid w:val="14595F09"/>
    <w:rsid w:val="148804D9"/>
    <w:rsid w:val="14C71D9E"/>
    <w:rsid w:val="1557579A"/>
    <w:rsid w:val="15DF7533"/>
    <w:rsid w:val="160D6230"/>
    <w:rsid w:val="1629786C"/>
    <w:rsid w:val="16C1427F"/>
    <w:rsid w:val="16EB2051"/>
    <w:rsid w:val="16FA502F"/>
    <w:rsid w:val="185F4DA3"/>
    <w:rsid w:val="1890497B"/>
    <w:rsid w:val="18CF4609"/>
    <w:rsid w:val="1A226432"/>
    <w:rsid w:val="1BE611A3"/>
    <w:rsid w:val="1C2D664A"/>
    <w:rsid w:val="1C7E22CE"/>
    <w:rsid w:val="1D257E50"/>
    <w:rsid w:val="1D3800E5"/>
    <w:rsid w:val="1D403C48"/>
    <w:rsid w:val="1D452F25"/>
    <w:rsid w:val="1D7A6A81"/>
    <w:rsid w:val="1DAA6120"/>
    <w:rsid w:val="1DDF2FFF"/>
    <w:rsid w:val="1DEF4C56"/>
    <w:rsid w:val="1E387C25"/>
    <w:rsid w:val="1EF6435A"/>
    <w:rsid w:val="1F1E5F5E"/>
    <w:rsid w:val="1F9832F2"/>
    <w:rsid w:val="1FE01983"/>
    <w:rsid w:val="1FFA4FC1"/>
    <w:rsid w:val="20044367"/>
    <w:rsid w:val="200E353D"/>
    <w:rsid w:val="20364BEF"/>
    <w:rsid w:val="20582906"/>
    <w:rsid w:val="2088035E"/>
    <w:rsid w:val="20E30BCC"/>
    <w:rsid w:val="20E64162"/>
    <w:rsid w:val="20F9719D"/>
    <w:rsid w:val="21351420"/>
    <w:rsid w:val="229437B8"/>
    <w:rsid w:val="22B80418"/>
    <w:rsid w:val="23423E47"/>
    <w:rsid w:val="2354174D"/>
    <w:rsid w:val="23543BEC"/>
    <w:rsid w:val="237117AF"/>
    <w:rsid w:val="238B421A"/>
    <w:rsid w:val="23B919F7"/>
    <w:rsid w:val="24145213"/>
    <w:rsid w:val="24960018"/>
    <w:rsid w:val="25091FB5"/>
    <w:rsid w:val="256A42FE"/>
    <w:rsid w:val="256C7E2D"/>
    <w:rsid w:val="25A56EBD"/>
    <w:rsid w:val="262527C8"/>
    <w:rsid w:val="263B28AE"/>
    <w:rsid w:val="264E6A0B"/>
    <w:rsid w:val="268D7491"/>
    <w:rsid w:val="26B87B7F"/>
    <w:rsid w:val="28181BD6"/>
    <w:rsid w:val="28193344"/>
    <w:rsid w:val="28E5009D"/>
    <w:rsid w:val="290736F4"/>
    <w:rsid w:val="29136292"/>
    <w:rsid w:val="29721EDE"/>
    <w:rsid w:val="29877E40"/>
    <w:rsid w:val="298D3E05"/>
    <w:rsid w:val="299670EE"/>
    <w:rsid w:val="29BE2903"/>
    <w:rsid w:val="2A473FA1"/>
    <w:rsid w:val="2AF44AF1"/>
    <w:rsid w:val="2BC9338B"/>
    <w:rsid w:val="2C4A65D1"/>
    <w:rsid w:val="2C5059A1"/>
    <w:rsid w:val="2D453A5B"/>
    <w:rsid w:val="2FA62539"/>
    <w:rsid w:val="2FEA7D72"/>
    <w:rsid w:val="313E24FD"/>
    <w:rsid w:val="31D91630"/>
    <w:rsid w:val="32B24E34"/>
    <w:rsid w:val="32D8461F"/>
    <w:rsid w:val="33A55E69"/>
    <w:rsid w:val="33ED2441"/>
    <w:rsid w:val="34F142DD"/>
    <w:rsid w:val="35CA7E96"/>
    <w:rsid w:val="36180A94"/>
    <w:rsid w:val="361E5607"/>
    <w:rsid w:val="37937A8E"/>
    <w:rsid w:val="385746C0"/>
    <w:rsid w:val="38601536"/>
    <w:rsid w:val="38720B73"/>
    <w:rsid w:val="38B74DEF"/>
    <w:rsid w:val="38C639A9"/>
    <w:rsid w:val="39037EDA"/>
    <w:rsid w:val="397A571B"/>
    <w:rsid w:val="39AF0741"/>
    <w:rsid w:val="39BD4814"/>
    <w:rsid w:val="39D62B89"/>
    <w:rsid w:val="39DD1A15"/>
    <w:rsid w:val="3A1A462C"/>
    <w:rsid w:val="3A9577F1"/>
    <w:rsid w:val="3AE141CF"/>
    <w:rsid w:val="3B024314"/>
    <w:rsid w:val="3B61768E"/>
    <w:rsid w:val="3B84694D"/>
    <w:rsid w:val="3C2D538F"/>
    <w:rsid w:val="3C6F585C"/>
    <w:rsid w:val="3CE16F6F"/>
    <w:rsid w:val="3D014545"/>
    <w:rsid w:val="3E0969FA"/>
    <w:rsid w:val="3E6D7E3C"/>
    <w:rsid w:val="3EDD2583"/>
    <w:rsid w:val="3F3604AB"/>
    <w:rsid w:val="3FBF4D0A"/>
    <w:rsid w:val="40650CB2"/>
    <w:rsid w:val="40995E46"/>
    <w:rsid w:val="40C36DE4"/>
    <w:rsid w:val="412E6881"/>
    <w:rsid w:val="41370AAF"/>
    <w:rsid w:val="41476E3A"/>
    <w:rsid w:val="415F6CF4"/>
    <w:rsid w:val="419F5106"/>
    <w:rsid w:val="41FD7722"/>
    <w:rsid w:val="42D01E9C"/>
    <w:rsid w:val="431F1E11"/>
    <w:rsid w:val="433F12C9"/>
    <w:rsid w:val="43DC28F2"/>
    <w:rsid w:val="44A5589C"/>
    <w:rsid w:val="44C74FA1"/>
    <w:rsid w:val="451D09E8"/>
    <w:rsid w:val="455334A0"/>
    <w:rsid w:val="45B923A0"/>
    <w:rsid w:val="46611308"/>
    <w:rsid w:val="46887868"/>
    <w:rsid w:val="46A96339"/>
    <w:rsid w:val="478D5C50"/>
    <w:rsid w:val="479A31A6"/>
    <w:rsid w:val="480D5033"/>
    <w:rsid w:val="481562C8"/>
    <w:rsid w:val="485634D6"/>
    <w:rsid w:val="48F346C7"/>
    <w:rsid w:val="495F0769"/>
    <w:rsid w:val="49E80465"/>
    <w:rsid w:val="4B1F4488"/>
    <w:rsid w:val="4B2231F6"/>
    <w:rsid w:val="4B374269"/>
    <w:rsid w:val="4B5E0A53"/>
    <w:rsid w:val="4B6742DE"/>
    <w:rsid w:val="4C0869CB"/>
    <w:rsid w:val="4C0D6DFC"/>
    <w:rsid w:val="4C2B7B24"/>
    <w:rsid w:val="4CBE6908"/>
    <w:rsid w:val="4CC60AEB"/>
    <w:rsid w:val="4D0200A8"/>
    <w:rsid w:val="4EEA6B79"/>
    <w:rsid w:val="4F271BB1"/>
    <w:rsid w:val="4F451C3A"/>
    <w:rsid w:val="4FA32719"/>
    <w:rsid w:val="506F7F50"/>
    <w:rsid w:val="50783714"/>
    <w:rsid w:val="5087461C"/>
    <w:rsid w:val="51165660"/>
    <w:rsid w:val="5136200B"/>
    <w:rsid w:val="518A1511"/>
    <w:rsid w:val="51FF4425"/>
    <w:rsid w:val="52AA1031"/>
    <w:rsid w:val="52E53D7A"/>
    <w:rsid w:val="53537EE4"/>
    <w:rsid w:val="53CE4DBB"/>
    <w:rsid w:val="53F531C3"/>
    <w:rsid w:val="54E657EC"/>
    <w:rsid w:val="56757E07"/>
    <w:rsid w:val="56F54B17"/>
    <w:rsid w:val="577065DF"/>
    <w:rsid w:val="5817319D"/>
    <w:rsid w:val="582C6F70"/>
    <w:rsid w:val="5859401C"/>
    <w:rsid w:val="587D57C7"/>
    <w:rsid w:val="58CB49AF"/>
    <w:rsid w:val="58DA0675"/>
    <w:rsid w:val="594F5FD9"/>
    <w:rsid w:val="595766ED"/>
    <w:rsid w:val="596D433A"/>
    <w:rsid w:val="59BC01DD"/>
    <w:rsid w:val="59DD3FE8"/>
    <w:rsid w:val="59FC594A"/>
    <w:rsid w:val="5A1422A6"/>
    <w:rsid w:val="5A2315F0"/>
    <w:rsid w:val="5A25397F"/>
    <w:rsid w:val="5A29118E"/>
    <w:rsid w:val="5A5A542E"/>
    <w:rsid w:val="5A5B1B5E"/>
    <w:rsid w:val="5AA9382E"/>
    <w:rsid w:val="5B704328"/>
    <w:rsid w:val="5C036DA3"/>
    <w:rsid w:val="5CC91BE5"/>
    <w:rsid w:val="5D4B04E4"/>
    <w:rsid w:val="5DDE4CE1"/>
    <w:rsid w:val="5E3120FD"/>
    <w:rsid w:val="5E8B734D"/>
    <w:rsid w:val="5ED1160D"/>
    <w:rsid w:val="5EDD30EB"/>
    <w:rsid w:val="5EF1773E"/>
    <w:rsid w:val="60726849"/>
    <w:rsid w:val="60FD699C"/>
    <w:rsid w:val="613028BB"/>
    <w:rsid w:val="616921F2"/>
    <w:rsid w:val="61AA6B36"/>
    <w:rsid w:val="61F96DBA"/>
    <w:rsid w:val="6349433D"/>
    <w:rsid w:val="63EB49E5"/>
    <w:rsid w:val="643C0FC3"/>
    <w:rsid w:val="649C5D28"/>
    <w:rsid w:val="64A81520"/>
    <w:rsid w:val="64AA7D25"/>
    <w:rsid w:val="64E64341"/>
    <w:rsid w:val="65410A0F"/>
    <w:rsid w:val="658B23DA"/>
    <w:rsid w:val="65AD2E12"/>
    <w:rsid w:val="65BA491F"/>
    <w:rsid w:val="66242A78"/>
    <w:rsid w:val="66336BDA"/>
    <w:rsid w:val="664064B9"/>
    <w:rsid w:val="66563C11"/>
    <w:rsid w:val="66CE05FC"/>
    <w:rsid w:val="670951B1"/>
    <w:rsid w:val="670B0E1A"/>
    <w:rsid w:val="67512AAD"/>
    <w:rsid w:val="68393EA4"/>
    <w:rsid w:val="68526254"/>
    <w:rsid w:val="689E697E"/>
    <w:rsid w:val="689F2E7D"/>
    <w:rsid w:val="68EC3A77"/>
    <w:rsid w:val="69396744"/>
    <w:rsid w:val="6A020857"/>
    <w:rsid w:val="6A6013FF"/>
    <w:rsid w:val="6A68112B"/>
    <w:rsid w:val="6A9F77E2"/>
    <w:rsid w:val="6B0E47D0"/>
    <w:rsid w:val="6B4C6789"/>
    <w:rsid w:val="6C284192"/>
    <w:rsid w:val="6CFD501E"/>
    <w:rsid w:val="6DF539D5"/>
    <w:rsid w:val="6E3D45A7"/>
    <w:rsid w:val="6ED230D4"/>
    <w:rsid w:val="6EE0393E"/>
    <w:rsid w:val="6EF53FB2"/>
    <w:rsid w:val="6F00019E"/>
    <w:rsid w:val="6FFB1566"/>
    <w:rsid w:val="70476740"/>
    <w:rsid w:val="704D0DB7"/>
    <w:rsid w:val="706A6661"/>
    <w:rsid w:val="70CA4467"/>
    <w:rsid w:val="70E42EA3"/>
    <w:rsid w:val="71D71B60"/>
    <w:rsid w:val="72315C78"/>
    <w:rsid w:val="72A10BD3"/>
    <w:rsid w:val="7308273E"/>
    <w:rsid w:val="73E12A16"/>
    <w:rsid w:val="7476222D"/>
    <w:rsid w:val="74917FF7"/>
    <w:rsid w:val="74A53587"/>
    <w:rsid w:val="751D2C06"/>
    <w:rsid w:val="757760A3"/>
    <w:rsid w:val="761C33A6"/>
    <w:rsid w:val="77487872"/>
    <w:rsid w:val="77553DC6"/>
    <w:rsid w:val="77BB7E1A"/>
    <w:rsid w:val="77F61571"/>
    <w:rsid w:val="78903436"/>
    <w:rsid w:val="79D15ABE"/>
    <w:rsid w:val="79DC6D34"/>
    <w:rsid w:val="7AA2309E"/>
    <w:rsid w:val="7ADA548E"/>
    <w:rsid w:val="7B195A4B"/>
    <w:rsid w:val="7B5320F0"/>
    <w:rsid w:val="7B7215C3"/>
    <w:rsid w:val="7B925FB1"/>
    <w:rsid w:val="7BB607CA"/>
    <w:rsid w:val="7C1612EB"/>
    <w:rsid w:val="7C1A3B9D"/>
    <w:rsid w:val="7CE73923"/>
    <w:rsid w:val="7D184D00"/>
    <w:rsid w:val="7D5116F8"/>
    <w:rsid w:val="7D7E17DC"/>
    <w:rsid w:val="7E1B22B1"/>
    <w:rsid w:val="7E646E8E"/>
    <w:rsid w:val="7EE01986"/>
    <w:rsid w:val="7F4D4519"/>
    <w:rsid w:val="7F95698A"/>
    <w:rsid w:val="7FBB6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1">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annotation subject"/>
    <w:basedOn w:val="13"/>
    <w:next w:val="13"/>
    <w:link w:val="73"/>
    <w:unhideWhenUsed/>
    <w:qFormat/>
    <w:uiPriority w:val="99"/>
    <w:rPr>
      <w:rFonts w:ascii="Calibri" w:hAnsi="Calibri"/>
      <w:b/>
      <w:bCs/>
      <w:kern w:val="2"/>
      <w:sz w:val="21"/>
      <w:szCs w:val="22"/>
    </w:rPr>
  </w:style>
  <w:style w:type="paragraph" w:styleId="13">
    <w:name w:val="annotation text"/>
    <w:basedOn w:val="1"/>
    <w:link w:val="59"/>
    <w:unhideWhenUsed/>
    <w:qFormat/>
    <w:uiPriority w:val="0"/>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2"/>
    <w:link w:val="66"/>
    <w:unhideWhenUsed/>
    <w:qFormat/>
    <w:uiPriority w:val="0"/>
    <w:pPr>
      <w:ind w:firstLine="420" w:firstLineChars="100"/>
    </w:pPr>
    <w:rPr>
      <w:rFonts w:ascii="Times New Roman" w:hAnsi="Times New Roman"/>
      <w:kern w:val="0"/>
      <w:sz w:val="18"/>
      <w:szCs w:val="18"/>
    </w:rPr>
  </w:style>
  <w:style w:type="paragraph" w:styleId="16">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1"/>
    <w:unhideWhenUsed/>
    <w:qFormat/>
    <w:uiPriority w:val="0"/>
    <w:pPr>
      <w:shd w:val="clear" w:color="auto" w:fill="000080"/>
    </w:pPr>
    <w:rPr>
      <w:rFonts w:ascii="Times New Roman" w:hAnsi="Times New Roman"/>
      <w:kern w:val="0"/>
      <w:sz w:val="18"/>
      <w:szCs w:val="18"/>
    </w:rPr>
  </w:style>
  <w:style w:type="paragraph" w:styleId="19">
    <w:name w:val="Body Text 3"/>
    <w:basedOn w:val="1"/>
    <w:link w:val="68"/>
    <w:unhideWhenUsed/>
    <w:qFormat/>
    <w:uiPriority w:val="0"/>
    <w:pPr>
      <w:jc w:val="center"/>
    </w:pPr>
    <w:rPr>
      <w:rFonts w:ascii="Times New Roman" w:hAnsi="Times New Roman" w:eastAsia="黑体"/>
      <w:sz w:val="44"/>
      <w:szCs w:val="24"/>
    </w:rPr>
  </w:style>
  <w:style w:type="paragraph" w:styleId="20">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5"/>
    <w:unhideWhenUsed/>
    <w:qFormat/>
    <w:uiPriority w:val="0"/>
    <w:pPr>
      <w:ind w:left="100" w:leftChars="2500"/>
    </w:pPr>
    <w:rPr>
      <w:rFonts w:ascii="Times New Roman" w:hAnsi="Times New Roman"/>
      <w:kern w:val="0"/>
      <w:sz w:val="24"/>
      <w:szCs w:val="24"/>
    </w:rPr>
  </w:style>
  <w:style w:type="paragraph" w:styleId="27">
    <w:name w:val="Body Text Indent 2"/>
    <w:basedOn w:val="1"/>
    <w:link w:val="69"/>
    <w:unhideWhenUsed/>
    <w:qFormat/>
    <w:uiPriority w:val="0"/>
    <w:pPr>
      <w:spacing w:after="120" w:line="480" w:lineRule="auto"/>
      <w:ind w:left="420" w:leftChars="200"/>
    </w:pPr>
  </w:style>
  <w:style w:type="paragraph" w:styleId="28">
    <w:name w:val="Balloon Text"/>
    <w:basedOn w:val="1"/>
    <w:link w:val="74"/>
    <w:unhideWhenUsed/>
    <w:qFormat/>
    <w:uiPriority w:val="99"/>
    <w:rPr>
      <w:rFonts w:ascii="Times New Roman" w:hAnsi="Times New Roman"/>
      <w:kern w:val="0"/>
      <w:sz w:val="18"/>
      <w:szCs w:val="18"/>
    </w:rPr>
  </w:style>
  <w:style w:type="paragraph" w:styleId="29">
    <w:name w:val="footer"/>
    <w:basedOn w:val="1"/>
    <w:link w:val="61"/>
    <w:unhideWhenUsed/>
    <w:qFormat/>
    <w:uiPriority w:val="99"/>
    <w:pPr>
      <w:tabs>
        <w:tab w:val="center" w:pos="4153"/>
        <w:tab w:val="right" w:pos="8306"/>
      </w:tabs>
      <w:snapToGrid w:val="0"/>
      <w:jc w:val="left"/>
    </w:pPr>
    <w:rPr>
      <w:kern w:val="0"/>
      <w:sz w:val="18"/>
      <w:szCs w:val="18"/>
    </w:rPr>
  </w:style>
  <w:style w:type="paragraph" w:styleId="30">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8"/>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2">
    <w:name w:val="FollowedHyperlink"/>
    <w:basedOn w:val="41"/>
    <w:unhideWhenUsed/>
    <w:qFormat/>
    <w:uiPriority w:val="99"/>
    <w:rPr>
      <w:color w:val="44B9E8" w:themeColor="followedHyperlink"/>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character" w:styleId="45">
    <w:name w:val="footnote reference"/>
    <w:unhideWhenUsed/>
    <w:qFormat/>
    <w:uiPriority w:val="0"/>
    <w:rPr>
      <w:vertAlign w:val="superscript"/>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8">
    <w:name w:val="标题 1 Char"/>
    <w:basedOn w:val="41"/>
    <w:link w:val="3"/>
    <w:qFormat/>
    <w:uiPriority w:val="9"/>
    <w:rPr>
      <w:rFonts w:ascii="宋体" w:hAnsi="宋体" w:eastAsia="宋体" w:cs="宋体"/>
      <w:b/>
      <w:bCs/>
      <w:spacing w:val="-20"/>
      <w:kern w:val="44"/>
      <w:sz w:val="32"/>
      <w:szCs w:val="32"/>
    </w:rPr>
  </w:style>
  <w:style w:type="character" w:customStyle="1" w:styleId="49">
    <w:name w:val="标题 2 Char"/>
    <w:basedOn w:val="41"/>
    <w:link w:val="4"/>
    <w:qFormat/>
    <w:uiPriority w:val="0"/>
    <w:rPr>
      <w:rFonts w:ascii="宋体" w:hAnsi="宋体" w:eastAsia="宋体" w:cs="宋体"/>
      <w:b/>
      <w:bCs/>
      <w:sz w:val="28"/>
      <w:szCs w:val="28"/>
    </w:rPr>
  </w:style>
  <w:style w:type="character" w:customStyle="1" w:styleId="50">
    <w:name w:val="标题 3 Char"/>
    <w:basedOn w:val="41"/>
    <w:link w:val="5"/>
    <w:qFormat/>
    <w:uiPriority w:val="0"/>
    <w:rPr>
      <w:rFonts w:ascii="宋体" w:hAnsi="宋体" w:eastAsia="宋体" w:cs="宋体"/>
      <w:b/>
      <w:bCs/>
      <w:color w:val="000000"/>
      <w:kern w:val="0"/>
      <w:sz w:val="28"/>
      <w:szCs w:val="28"/>
    </w:rPr>
  </w:style>
  <w:style w:type="character" w:customStyle="1" w:styleId="51">
    <w:name w:val="标题 4 Char"/>
    <w:basedOn w:val="41"/>
    <w:link w:val="6"/>
    <w:qFormat/>
    <w:uiPriority w:val="0"/>
    <w:rPr>
      <w:rFonts w:ascii="Arial" w:hAnsi="Arial" w:eastAsia="宋体" w:cs="Times New Roman"/>
      <w:b/>
      <w:bCs/>
      <w:kern w:val="0"/>
      <w:sz w:val="28"/>
      <w:szCs w:val="28"/>
    </w:rPr>
  </w:style>
  <w:style w:type="character" w:customStyle="1" w:styleId="52">
    <w:name w:val="标题 5 Char"/>
    <w:basedOn w:val="41"/>
    <w:link w:val="7"/>
    <w:qFormat/>
    <w:uiPriority w:val="0"/>
    <w:rPr>
      <w:rFonts w:ascii="Calibri" w:hAnsi="Calibri" w:eastAsia="宋体" w:cs="宋体"/>
      <w:b/>
      <w:bCs/>
      <w:kern w:val="0"/>
      <w:sz w:val="28"/>
      <w:szCs w:val="28"/>
    </w:rPr>
  </w:style>
  <w:style w:type="character" w:customStyle="1" w:styleId="53">
    <w:name w:val="标题 6 Char"/>
    <w:basedOn w:val="41"/>
    <w:link w:val="8"/>
    <w:qFormat/>
    <w:uiPriority w:val="0"/>
    <w:rPr>
      <w:rFonts w:ascii="Arial" w:hAnsi="Arial" w:eastAsia="宋体" w:cs="Times New Roman"/>
      <w:b/>
      <w:bCs/>
      <w:kern w:val="0"/>
      <w:sz w:val="28"/>
      <w:szCs w:val="18"/>
    </w:rPr>
  </w:style>
  <w:style w:type="character" w:customStyle="1" w:styleId="54">
    <w:name w:val="标题 7 Char"/>
    <w:basedOn w:val="41"/>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Char"/>
    <w:basedOn w:val="41"/>
    <w:link w:val="10"/>
    <w:semiHidden/>
    <w:qFormat/>
    <w:uiPriority w:val="0"/>
    <w:rPr>
      <w:rFonts w:ascii="Arial" w:hAnsi="Arial" w:eastAsia="黑体" w:cs="Times New Roman"/>
      <w:kern w:val="0"/>
      <w:sz w:val="24"/>
      <w:szCs w:val="24"/>
    </w:rPr>
  </w:style>
  <w:style w:type="character" w:customStyle="1" w:styleId="56">
    <w:name w:val="标题 9 Char"/>
    <w:basedOn w:val="41"/>
    <w:link w:val="11"/>
    <w:semiHidden/>
    <w:qFormat/>
    <w:uiPriority w:val="0"/>
    <w:rPr>
      <w:rFonts w:ascii="Arial" w:hAnsi="Arial" w:eastAsia="黑体" w:cs="Times New Roman"/>
      <w:kern w:val="0"/>
      <w:sz w:val="20"/>
      <w:szCs w:val="21"/>
    </w:rPr>
  </w:style>
  <w:style w:type="character" w:customStyle="1" w:styleId="57">
    <w:name w:val="正文缩进 Char1"/>
    <w:link w:val="16"/>
    <w:qFormat/>
    <w:locked/>
    <w:uiPriority w:val="0"/>
  </w:style>
  <w:style w:type="character" w:customStyle="1" w:styleId="58">
    <w:name w:val="脚注文本 Char"/>
    <w:basedOn w:val="41"/>
    <w:link w:val="34"/>
    <w:qFormat/>
    <w:uiPriority w:val="0"/>
    <w:rPr>
      <w:rFonts w:ascii="Calibri" w:hAnsi="Calibri" w:eastAsia="宋体" w:cs="Times New Roman"/>
      <w:sz w:val="18"/>
      <w:szCs w:val="18"/>
    </w:rPr>
  </w:style>
  <w:style w:type="character" w:customStyle="1" w:styleId="59">
    <w:name w:val="批注文字 Char"/>
    <w:basedOn w:val="41"/>
    <w:link w:val="13"/>
    <w:qFormat/>
    <w:uiPriority w:val="99"/>
    <w:rPr>
      <w:rFonts w:ascii="Times New Roman" w:hAnsi="Times New Roman" w:eastAsia="宋体" w:cs="Times New Roman"/>
      <w:kern w:val="0"/>
      <w:sz w:val="18"/>
      <w:szCs w:val="18"/>
    </w:rPr>
  </w:style>
  <w:style w:type="character" w:customStyle="1" w:styleId="60">
    <w:name w:val="页眉 Char"/>
    <w:basedOn w:val="41"/>
    <w:link w:val="30"/>
    <w:qFormat/>
    <w:uiPriority w:val="99"/>
    <w:rPr>
      <w:rFonts w:ascii="Calibri" w:hAnsi="Calibri" w:eastAsia="宋体" w:cs="Times New Roman"/>
      <w:kern w:val="0"/>
      <w:sz w:val="18"/>
      <w:szCs w:val="18"/>
    </w:rPr>
  </w:style>
  <w:style w:type="character" w:customStyle="1" w:styleId="61">
    <w:name w:val="页脚 Char"/>
    <w:basedOn w:val="41"/>
    <w:link w:val="29"/>
    <w:qFormat/>
    <w:uiPriority w:val="99"/>
    <w:rPr>
      <w:rFonts w:ascii="Calibri" w:hAnsi="Calibri" w:eastAsia="宋体" w:cs="Times New Roman"/>
      <w:kern w:val="0"/>
      <w:sz w:val="18"/>
      <w:szCs w:val="18"/>
    </w:rPr>
  </w:style>
  <w:style w:type="character" w:customStyle="1" w:styleId="62">
    <w:name w:val="正文文本 Char"/>
    <w:basedOn w:val="41"/>
    <w:qFormat/>
    <w:uiPriority w:val="0"/>
    <w:rPr>
      <w:rFonts w:ascii="Calibri" w:hAnsi="Calibri" w:eastAsia="宋体" w:cs="Times New Roman"/>
    </w:rPr>
  </w:style>
  <w:style w:type="character" w:customStyle="1" w:styleId="63">
    <w:name w:val="正文文本缩进 Char"/>
    <w:basedOn w:val="41"/>
    <w:link w:val="20"/>
    <w:qFormat/>
    <w:uiPriority w:val="0"/>
    <w:rPr>
      <w:rFonts w:ascii="Times New Roman" w:hAnsi="Times New Roman" w:eastAsia="宋体" w:cs="Times New Roman"/>
      <w:kern w:val="0"/>
      <w:sz w:val="20"/>
      <w:szCs w:val="24"/>
    </w:rPr>
  </w:style>
  <w:style w:type="character" w:customStyle="1" w:styleId="64">
    <w:name w:val="副标题 Char"/>
    <w:basedOn w:val="41"/>
    <w:link w:val="33"/>
    <w:qFormat/>
    <w:uiPriority w:val="0"/>
    <w:rPr>
      <w:rFonts w:ascii="Cambria" w:hAnsi="Cambria" w:eastAsia="宋体" w:cs="Times New Roman"/>
      <w:b/>
      <w:bCs/>
      <w:kern w:val="28"/>
      <w:sz w:val="32"/>
      <w:szCs w:val="32"/>
    </w:rPr>
  </w:style>
  <w:style w:type="character" w:customStyle="1" w:styleId="65">
    <w:name w:val="日期 Char"/>
    <w:basedOn w:val="41"/>
    <w:link w:val="26"/>
    <w:qFormat/>
    <w:uiPriority w:val="0"/>
    <w:rPr>
      <w:rFonts w:ascii="Times New Roman" w:hAnsi="Times New Roman" w:eastAsia="宋体" w:cs="Times New Roman"/>
      <w:kern w:val="0"/>
      <w:sz w:val="24"/>
      <w:szCs w:val="24"/>
    </w:rPr>
  </w:style>
  <w:style w:type="character" w:customStyle="1" w:styleId="66">
    <w:name w:val="正文首行缩进 Char"/>
    <w:basedOn w:val="62"/>
    <w:link w:val="15"/>
    <w:qFormat/>
    <w:uiPriority w:val="0"/>
    <w:rPr>
      <w:rFonts w:ascii="Times New Roman" w:hAnsi="Times New Roman" w:eastAsia="宋体" w:cs="Times New Roman"/>
      <w:kern w:val="0"/>
      <w:sz w:val="18"/>
      <w:szCs w:val="18"/>
    </w:rPr>
  </w:style>
  <w:style w:type="character" w:customStyle="1" w:styleId="67">
    <w:name w:val="正文文本 2 Char"/>
    <w:basedOn w:val="41"/>
    <w:link w:val="39"/>
    <w:qFormat/>
    <w:uiPriority w:val="0"/>
    <w:rPr>
      <w:rFonts w:ascii="Times New Roman" w:hAnsi="Times New Roman" w:eastAsia="宋体" w:cs="Times New Roman"/>
      <w:kern w:val="0"/>
      <w:sz w:val="18"/>
      <w:szCs w:val="18"/>
    </w:rPr>
  </w:style>
  <w:style w:type="character" w:customStyle="1" w:styleId="68">
    <w:name w:val="正文文本 3 Char"/>
    <w:basedOn w:val="41"/>
    <w:link w:val="19"/>
    <w:qFormat/>
    <w:uiPriority w:val="0"/>
    <w:rPr>
      <w:rFonts w:ascii="Times New Roman" w:hAnsi="Times New Roman" w:eastAsia="黑体" w:cs="Times New Roman"/>
      <w:sz w:val="44"/>
      <w:szCs w:val="24"/>
    </w:rPr>
  </w:style>
  <w:style w:type="character" w:customStyle="1" w:styleId="69">
    <w:name w:val="正文文本缩进 2 Char"/>
    <w:basedOn w:val="41"/>
    <w:link w:val="27"/>
    <w:qFormat/>
    <w:uiPriority w:val="0"/>
    <w:rPr>
      <w:rFonts w:ascii="Calibri" w:hAnsi="Calibri" w:eastAsia="宋体" w:cs="Times New Roman"/>
    </w:rPr>
  </w:style>
  <w:style w:type="character" w:customStyle="1" w:styleId="70">
    <w:name w:val="正文文本缩进 3 Char"/>
    <w:basedOn w:val="41"/>
    <w:link w:val="36"/>
    <w:qFormat/>
    <w:uiPriority w:val="0"/>
    <w:rPr>
      <w:rFonts w:ascii="宋体" w:hAnsi="宋体" w:eastAsia="宋体" w:cs="Times New Roman"/>
      <w:kern w:val="0"/>
      <w:sz w:val="28"/>
      <w:szCs w:val="28"/>
    </w:rPr>
  </w:style>
  <w:style w:type="character" w:customStyle="1" w:styleId="71">
    <w:name w:val="文档结构图 Char"/>
    <w:basedOn w:val="41"/>
    <w:link w:val="18"/>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1"/>
    <w:qFormat/>
    <w:uiPriority w:val="0"/>
    <w:rPr>
      <w:rFonts w:ascii="宋体" w:hAnsi="Courier New" w:eastAsia="宋体" w:cs="Courier New"/>
      <w:szCs w:val="21"/>
    </w:rPr>
  </w:style>
  <w:style w:type="character" w:customStyle="1" w:styleId="73">
    <w:name w:val="批注主题 Char"/>
    <w:basedOn w:val="59"/>
    <w:link w:val="12"/>
    <w:qFormat/>
    <w:uiPriority w:val="99"/>
    <w:rPr>
      <w:rFonts w:ascii="Calibri" w:hAnsi="Calibri" w:eastAsia="宋体" w:cs="Times New Roman"/>
      <w:b/>
      <w:bCs/>
      <w:kern w:val="0"/>
      <w:sz w:val="18"/>
      <w:szCs w:val="18"/>
    </w:rPr>
  </w:style>
  <w:style w:type="character" w:customStyle="1" w:styleId="74">
    <w:name w:val="批注框文本 Char"/>
    <w:basedOn w:val="41"/>
    <w:link w:val="28"/>
    <w:qFormat/>
    <w:uiPriority w:val="99"/>
    <w:rPr>
      <w:rFonts w:ascii="Times New Roman" w:hAnsi="Times New Roman" w:eastAsia="宋体" w:cs="Times New Roman"/>
      <w:kern w:val="0"/>
      <w:sz w:val="18"/>
      <w:szCs w:val="18"/>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Char"/>
    <w:link w:val="77"/>
    <w:qFormat/>
    <w:locked/>
    <w:uiPriority w:val="34"/>
    <w:rPr>
      <w:rFonts w:ascii="Calibri" w:hAnsi="Calibri"/>
    </w:rPr>
  </w:style>
  <w:style w:type="paragraph" w:styleId="77">
    <w:name w:val="List Paragraph"/>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20"/>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8"/>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1"/>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1"/>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1"/>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Char2"/>
    <w:basedOn w:val="41"/>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Char1"/>
    <w:link w:val="24"/>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1"/>
    <w:qFormat/>
    <w:uiPriority w:val="0"/>
    <w:rPr>
      <w:rFonts w:hint="eastAsia" w:ascii="宋体" w:hAnsi="宋体" w:eastAsia="宋体" w:cs="宋体"/>
      <w:b/>
      <w:color w:val="000000"/>
      <w:sz w:val="22"/>
      <w:szCs w:val="22"/>
      <w:u w:val="none"/>
    </w:rPr>
  </w:style>
  <w:style w:type="character" w:customStyle="1" w:styleId="193">
    <w:name w:val="font01"/>
    <w:basedOn w:val="41"/>
    <w:qFormat/>
    <w:uiPriority w:val="0"/>
    <w:rPr>
      <w:rFonts w:hint="eastAsia" w:ascii="宋体" w:hAnsi="宋体" w:eastAsia="宋体" w:cs="宋体"/>
      <w:color w:val="000000"/>
      <w:sz w:val="22"/>
      <w:szCs w:val="22"/>
      <w:u w:val="none"/>
    </w:rPr>
  </w:style>
  <w:style w:type="character" w:customStyle="1" w:styleId="194">
    <w:name w:val="页脚 Char1"/>
    <w:basedOn w:val="41"/>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修订2"/>
    <w:semiHidden/>
    <w:qFormat/>
    <w:uiPriority w:val="99"/>
    <w:rPr>
      <w:rFonts w:ascii="Calibri" w:hAnsi="Calibri" w:eastAsia="宋体" w:cs="Times New Roman"/>
      <w:kern w:val="2"/>
      <w:sz w:val="21"/>
      <w:szCs w:val="22"/>
      <w:lang w:val="en-US" w:eastAsia="zh-CN" w:bidi="ar-SA"/>
    </w:rPr>
  </w:style>
  <w:style w:type="paragraph" w:customStyle="1" w:styleId="200">
    <w:name w:val="修订21"/>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styleId="204">
    <w:name w:val="Placeholder Text"/>
    <w:basedOn w:val="41"/>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1"/>
    <w:semiHidden/>
    <w:qFormat/>
    <w:uiPriority w:val="99"/>
    <w:rPr>
      <w:rFonts w:hint="default" w:ascii="Calibri" w:hAnsi="Calibri" w:eastAsia="宋体" w:cs="Times New Roman"/>
    </w:rPr>
  </w:style>
  <w:style w:type="character" w:customStyle="1" w:styleId="207">
    <w:name w:val="副标题 Char2"/>
    <w:basedOn w:val="41"/>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1"/>
    <w:semiHidden/>
    <w:qFormat/>
    <w:uiPriority w:val="99"/>
    <w:rPr>
      <w:rFonts w:hint="default" w:ascii="Calibri" w:hAnsi="Calibri" w:eastAsia="宋体" w:cs="Times New Roman"/>
      <w:sz w:val="16"/>
      <w:szCs w:val="16"/>
    </w:rPr>
  </w:style>
  <w:style w:type="character" w:customStyle="1" w:styleId="209">
    <w:name w:val="批注框文本 Char1"/>
    <w:basedOn w:val="41"/>
    <w:semiHidden/>
    <w:qFormat/>
    <w:uiPriority w:val="99"/>
    <w:rPr>
      <w:rFonts w:hint="default" w:ascii="Calibri" w:hAnsi="Calibri" w:eastAsia="宋体" w:cs="Times New Roman"/>
      <w:sz w:val="18"/>
      <w:szCs w:val="18"/>
    </w:rPr>
  </w:style>
  <w:style w:type="character" w:customStyle="1" w:styleId="210">
    <w:name w:val="纯文本 Char2"/>
    <w:basedOn w:val="41"/>
    <w:qFormat/>
    <w:uiPriority w:val="99"/>
    <w:rPr>
      <w:rFonts w:hint="eastAsia" w:ascii="宋体" w:hAnsi="Courier New" w:eastAsia="宋体" w:cs="Courier New"/>
      <w:szCs w:val="21"/>
    </w:rPr>
  </w:style>
  <w:style w:type="character" w:customStyle="1" w:styleId="211">
    <w:name w:val="正文文本缩进 2 Char1"/>
    <w:basedOn w:val="41"/>
    <w:semiHidden/>
    <w:qFormat/>
    <w:uiPriority w:val="99"/>
    <w:rPr>
      <w:rFonts w:hint="default" w:ascii="Calibri" w:hAnsi="Calibri" w:eastAsia="宋体" w:cs="Times New Roman"/>
    </w:rPr>
  </w:style>
  <w:style w:type="character" w:customStyle="1" w:styleId="212">
    <w:name w:val="正文文本缩进 Char1"/>
    <w:basedOn w:val="41"/>
    <w:semiHidden/>
    <w:qFormat/>
    <w:uiPriority w:val="99"/>
    <w:rPr>
      <w:rFonts w:hint="default" w:ascii="Calibri" w:hAnsi="Calibri" w:eastAsia="宋体" w:cs="Times New Roman"/>
    </w:rPr>
  </w:style>
  <w:style w:type="character" w:customStyle="1" w:styleId="213">
    <w:name w:val="正文文本 2 Char1"/>
    <w:basedOn w:val="41"/>
    <w:semiHidden/>
    <w:qFormat/>
    <w:uiPriority w:val="99"/>
    <w:rPr>
      <w:rFonts w:hint="default" w:ascii="Calibri" w:hAnsi="Calibri" w:eastAsia="宋体" w:cs="Times New Roman"/>
    </w:rPr>
  </w:style>
  <w:style w:type="character" w:customStyle="1" w:styleId="214">
    <w:name w:val="正文文本 Char3"/>
    <w:basedOn w:val="41"/>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1"/>
    <w:semiHidden/>
    <w:qFormat/>
    <w:uiPriority w:val="0"/>
    <w:rPr>
      <w:rFonts w:hint="default" w:ascii="Calibri" w:hAnsi="Calibri" w:eastAsia="宋体" w:cs="Times New Roman"/>
    </w:rPr>
  </w:style>
  <w:style w:type="character" w:customStyle="1" w:styleId="217">
    <w:name w:val="正文文本 3 Char1"/>
    <w:basedOn w:val="41"/>
    <w:semiHidden/>
    <w:qFormat/>
    <w:uiPriority w:val="99"/>
    <w:rPr>
      <w:rFonts w:hint="default" w:ascii="Calibri" w:hAnsi="Calibri" w:eastAsia="宋体" w:cs="Times New Roman"/>
      <w:sz w:val="16"/>
      <w:szCs w:val="16"/>
    </w:rPr>
  </w:style>
  <w:style w:type="character" w:customStyle="1" w:styleId="218">
    <w:name w:val="文档结构图 Char1"/>
    <w:basedOn w:val="41"/>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样式 正文文本 + 四号 加粗 行距: 固定值 20 磅"/>
    <w:basedOn w:val="4"/>
    <w:qFormat/>
    <w:uiPriority w:val="0"/>
    <w:pPr>
      <w:autoSpaceDE w:val="0"/>
      <w:autoSpaceDN w:val="0"/>
      <w:spacing w:before="0" w:after="0" w:line="400" w:lineRule="exact"/>
      <w:jc w:val="both"/>
    </w:pPr>
    <w:rPr>
      <w:b w:val="0"/>
      <w:bCs w:val="0"/>
      <w:kern w:val="0"/>
      <w:lang w:bidi="zh-CN"/>
    </w:rPr>
  </w:style>
  <w:style w:type="paragraph" w:customStyle="1" w:styleId="225">
    <w:name w:val="WPSOffice手动目录 1"/>
    <w:qFormat/>
    <w:uiPriority w:val="0"/>
    <w:pPr>
      <w:ind w:leftChars="0"/>
    </w:pPr>
    <w:rPr>
      <w:rFonts w:ascii="Times New Roman" w:hAnsi="Times New Roman" w:eastAsia="宋体" w:cs="Times New Roman"/>
      <w:sz w:val="20"/>
      <w:szCs w:val="20"/>
    </w:rPr>
  </w:style>
  <w:style w:type="paragraph" w:customStyle="1" w:styleId="2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130e0e-9084-4818-a289-44059ae0e830}"/>
        <w:style w:val=""/>
        <w:category>
          <w:name w:val="常规"/>
          <w:gallery w:val="placeholder"/>
        </w:category>
        <w:types>
          <w:type w:val="bbPlcHdr"/>
        </w:types>
        <w:behaviors>
          <w:behavior w:val="content"/>
        </w:behaviors>
        <w:description w:val=""/>
        <w:guid w:val="{3d130e0e-9084-4818-a289-44059ae0e830}"/>
      </w:docPartPr>
      <w:docPartBody>
        <w:p>
          <w:r>
            <w:rPr>
              <w:color w:val="808080"/>
            </w:rPr>
            <w:t>单击此处输入文字。</w:t>
          </w:r>
        </w:p>
      </w:docPartBody>
    </w:docPart>
    <w:docPart>
      <w:docPartPr>
        <w:name w:val="{7b0a1431-8425-43e9-9a57-32b4a083a2a7}"/>
        <w:style w:val=""/>
        <w:category>
          <w:name w:val="常规"/>
          <w:gallery w:val="placeholder"/>
        </w:category>
        <w:types>
          <w:type w:val="bbPlcHdr"/>
        </w:types>
        <w:behaviors>
          <w:behavior w:val="content"/>
        </w:behaviors>
        <w:description w:val=""/>
        <w:guid w:val="{7b0a1431-8425-43e9-9a57-32b4a083a2a7}"/>
      </w:docPartPr>
      <w:docPartBody>
        <w:p>
          <w:r>
            <w:rPr>
              <w:color w:val="808080"/>
            </w:rPr>
            <w:t>单击此处输入文字。</w:t>
          </w:r>
        </w:p>
      </w:docPartBody>
    </w:docPart>
    <w:docPart>
      <w:docPartPr>
        <w:name w:val="{92e31580-a07c-4140-b42a-e3a3abd66b9d}"/>
        <w:style w:val=""/>
        <w:category>
          <w:name w:val="常规"/>
          <w:gallery w:val="placeholder"/>
        </w:category>
        <w:types>
          <w:type w:val="bbPlcHdr"/>
        </w:types>
        <w:behaviors>
          <w:behavior w:val="content"/>
        </w:behaviors>
        <w:description w:val=""/>
        <w:guid w:val="{92e31580-a07c-4140-b42a-e3a3abd66b9d}"/>
      </w:docPartPr>
      <w:docPartBody>
        <w:p>
          <w:r>
            <w:rPr>
              <w:color w:val="808080"/>
            </w:rPr>
            <w:t>单击此处输入文字。</w:t>
          </w:r>
        </w:p>
      </w:docPartBody>
    </w:docPart>
    <w:docPart>
      <w:docPartPr>
        <w:name w:val="{92875788-9d6d-4f31-9f55-0f3c445eb0b4}"/>
        <w:style w:val=""/>
        <w:category>
          <w:name w:val="常规"/>
          <w:gallery w:val="placeholder"/>
        </w:category>
        <w:types>
          <w:type w:val="bbPlcHdr"/>
        </w:types>
        <w:behaviors>
          <w:behavior w:val="content"/>
        </w:behaviors>
        <w:description w:val=""/>
        <w:guid w:val="{92875788-9d6d-4f31-9f55-0f3c445eb0b4}"/>
      </w:docPartPr>
      <w:docPartBody>
        <w:p>
          <w:r>
            <w:rPr>
              <w:color w:val="808080"/>
            </w:rPr>
            <w:t>单击此处输入文字。</w:t>
          </w:r>
        </w:p>
      </w:docPartBody>
    </w:docPart>
    <w:docPart>
      <w:docPartPr>
        <w:name w:val="{1270a1e1-2905-4d29-90e5-8f8e4cb6f432}"/>
        <w:style w:val=""/>
        <w:category>
          <w:name w:val="常规"/>
          <w:gallery w:val="placeholder"/>
        </w:category>
        <w:types>
          <w:type w:val="bbPlcHdr"/>
        </w:types>
        <w:behaviors>
          <w:behavior w:val="content"/>
        </w:behaviors>
        <w:description w:val=""/>
        <w:guid w:val="{1270a1e1-2905-4d29-90e5-8f8e4cb6f432}"/>
      </w:docPartPr>
      <w:docPartBody>
        <w:p>
          <w:r>
            <w:rPr>
              <w:color w:val="808080"/>
            </w:rPr>
            <w:t>单击此处输入文字。</w:t>
          </w:r>
        </w:p>
      </w:docPartBody>
    </w:docPart>
    <w:docPart>
      <w:docPartPr>
        <w:name w:val="{0f74f1f4-662c-427e-9b2e-82ba23dc66be}"/>
        <w:style w:val=""/>
        <w:category>
          <w:name w:val="常规"/>
          <w:gallery w:val="placeholder"/>
        </w:category>
        <w:types>
          <w:type w:val="bbPlcHdr"/>
        </w:types>
        <w:behaviors>
          <w:behavior w:val="content"/>
        </w:behaviors>
        <w:description w:val=""/>
        <w:guid w:val="{0f74f1f4-662c-427e-9b2e-82ba23dc66be}"/>
      </w:docPartPr>
      <w:docPartBody>
        <w:p>
          <w:r>
            <w:rPr>
              <w:color w:val="808080"/>
            </w:rPr>
            <w:t>单击此处输入文字。</w:t>
          </w:r>
        </w:p>
      </w:docPartBody>
    </w:docPart>
    <w:docPart>
      <w:docPartPr>
        <w:name w:val="{fbab7cb7-4bf3-4872-8b54-12e61ed5c3f4}"/>
        <w:style w:val=""/>
        <w:category>
          <w:name w:val="常规"/>
          <w:gallery w:val="placeholder"/>
        </w:category>
        <w:types>
          <w:type w:val="bbPlcHdr"/>
        </w:types>
        <w:behaviors>
          <w:behavior w:val="content"/>
        </w:behaviors>
        <w:description w:val=""/>
        <w:guid w:val="{fbab7cb7-4bf3-4872-8b54-12e61ed5c3f4}"/>
      </w:docPartPr>
      <w:docPartBody>
        <w:p>
          <w:r>
            <w:rPr>
              <w:color w:val="808080"/>
            </w:rPr>
            <w:t>单击此处输入文字。</w:t>
          </w:r>
        </w:p>
      </w:docPartBody>
    </w:docPart>
    <w:docPart>
      <w:docPartPr>
        <w:name w:val="{18efcbd9-b516-4719-868c-f61e69b2b299}"/>
        <w:style w:val=""/>
        <w:category>
          <w:name w:val="常规"/>
          <w:gallery w:val="placeholder"/>
        </w:category>
        <w:types>
          <w:type w:val="bbPlcHdr"/>
        </w:types>
        <w:behaviors>
          <w:behavior w:val="content"/>
        </w:behaviors>
        <w:description w:val=""/>
        <w:guid w:val="{18efcbd9-b516-4719-868c-f61e69b2b299}"/>
      </w:docPartPr>
      <w:docPartBody>
        <w:p>
          <w:r>
            <w:rPr>
              <w:color w:val="808080"/>
            </w:rPr>
            <w:t>单击此处输入文字。</w:t>
          </w:r>
        </w:p>
      </w:docPartBody>
    </w:docPart>
    <w:docPart>
      <w:docPartPr>
        <w:name w:val="{5086e849-f901-4d0c-9980-5b4f7f9ce9b7}"/>
        <w:style w:val=""/>
        <w:category>
          <w:name w:val="常规"/>
          <w:gallery w:val="placeholder"/>
        </w:category>
        <w:types>
          <w:type w:val="bbPlcHdr"/>
        </w:types>
        <w:behaviors>
          <w:behavior w:val="content"/>
        </w:behaviors>
        <w:description w:val=""/>
        <w:guid w:val="{5086e849-f901-4d0c-9980-5b4f7f9ce9b7}"/>
      </w:docPartPr>
      <w:docPartBody>
        <w:p>
          <w:r>
            <w:rPr>
              <w:color w:val="808080"/>
            </w:rPr>
            <w:t>单击此处输入文字。</w:t>
          </w:r>
        </w:p>
      </w:docPartBody>
    </w:docPart>
    <w:docPart>
      <w:docPartPr>
        <w:name w:val="{57ab8a17-4767-4718-94a2-f3b67a8c7b71}"/>
        <w:style w:val=""/>
        <w:category>
          <w:name w:val="常规"/>
          <w:gallery w:val="placeholder"/>
        </w:category>
        <w:types>
          <w:type w:val="bbPlcHdr"/>
        </w:types>
        <w:behaviors>
          <w:behavior w:val="content"/>
        </w:behaviors>
        <w:description w:val=""/>
        <w:guid w:val="{57ab8a17-4767-4718-94a2-f3b67a8c7b71}"/>
      </w:docPartPr>
      <w:docPartBody>
        <w:p>
          <w:r>
            <w:rPr>
              <w:color w:val="808080"/>
            </w:rPr>
            <w:t>单击此处输入文字。</w:t>
          </w:r>
        </w:p>
      </w:docPartBody>
    </w:docPart>
    <w:docPart>
      <w:docPartPr>
        <w:name w:val="{36cafdcd-119d-4d70-ae23-a291d4f70013}"/>
        <w:style w:val=""/>
        <w:category>
          <w:name w:val="常规"/>
          <w:gallery w:val="placeholder"/>
        </w:category>
        <w:types>
          <w:type w:val="bbPlcHdr"/>
        </w:types>
        <w:behaviors>
          <w:behavior w:val="content"/>
        </w:behaviors>
        <w:description w:val=""/>
        <w:guid w:val="{36cafdcd-119d-4d70-ae23-a291d4f70013}"/>
      </w:docPartPr>
      <w:docPartBody>
        <w:p>
          <w:r>
            <w:rPr>
              <w:color w:val="808080"/>
            </w:rPr>
            <w:t>单击此处输入文字。</w:t>
          </w:r>
        </w:p>
      </w:docPartBody>
    </w:docPart>
    <w:docPart>
      <w:docPartPr>
        <w:name w:val="{20a5612c-92e8-4070-8168-6f5d2b2138e8}"/>
        <w:style w:val=""/>
        <w:category>
          <w:name w:val="常规"/>
          <w:gallery w:val="placeholder"/>
        </w:category>
        <w:types>
          <w:type w:val="bbPlcHdr"/>
        </w:types>
        <w:behaviors>
          <w:behavior w:val="content"/>
        </w:behaviors>
        <w:description w:val=""/>
        <w:guid w:val="{20a5612c-92e8-4070-8168-6f5d2b2138e8}"/>
      </w:docPartPr>
      <w:docPartBody>
        <w:p>
          <w:r>
            <w:rPr>
              <w:color w:val="808080"/>
            </w:rPr>
            <w:t>单击此处输入文字。</w:t>
          </w:r>
        </w:p>
      </w:docPartBody>
    </w:docPart>
    <w:docPart>
      <w:docPartPr>
        <w:name w:val="{d6197265-168c-42d9-85ba-bb0604ecc5fc}"/>
        <w:style w:val=""/>
        <w:category>
          <w:name w:val="常规"/>
          <w:gallery w:val="placeholder"/>
        </w:category>
        <w:types>
          <w:type w:val="bbPlcHdr"/>
        </w:types>
        <w:behaviors>
          <w:behavior w:val="content"/>
        </w:behaviors>
        <w:description w:val=""/>
        <w:guid w:val="{d6197265-168c-42d9-85ba-bb0604ecc5fc}"/>
      </w:docPartPr>
      <w:docPartBody>
        <w:p>
          <w:r>
            <w:rPr>
              <w:color w:val="808080"/>
            </w:rPr>
            <w:t>单击此处输入文字。</w:t>
          </w:r>
        </w:p>
      </w:docPartBody>
    </w:docPart>
    <w:docPart>
      <w:docPartPr>
        <w:name w:val="{572374cc-7241-4f38-be76-01fc7bc6916f}"/>
        <w:style w:val=""/>
        <w:category>
          <w:name w:val="常规"/>
          <w:gallery w:val="placeholder"/>
        </w:category>
        <w:types>
          <w:type w:val="bbPlcHdr"/>
        </w:types>
        <w:behaviors>
          <w:behavior w:val="content"/>
        </w:behaviors>
        <w:description w:val=""/>
        <w:guid w:val="{572374cc-7241-4f38-be76-01fc7bc6916f}"/>
      </w:docPartPr>
      <w:docPartBody>
        <w:p>
          <w:r>
            <w:rPr>
              <w:color w:val="808080"/>
            </w:rPr>
            <w:t>单击此处输入文字。</w:t>
          </w:r>
        </w:p>
      </w:docPartBody>
    </w:docPart>
    <w:docPart>
      <w:docPartPr>
        <w:name w:val="{38756e04-a901-4b12-b41e-e170d03f590a}"/>
        <w:style w:val=""/>
        <w:category>
          <w:name w:val="常规"/>
          <w:gallery w:val="placeholder"/>
        </w:category>
        <w:types>
          <w:type w:val="bbPlcHdr"/>
        </w:types>
        <w:behaviors>
          <w:behavior w:val="content"/>
        </w:behaviors>
        <w:description w:val=""/>
        <w:guid w:val="{38756e04-a901-4b12-b41e-e170d03f590a}"/>
      </w:docPartPr>
      <w:docPartBody>
        <w:p>
          <w:r>
            <w:rPr>
              <w:color w:val="808080"/>
            </w:rPr>
            <w:t>单击此处输入文字。</w:t>
          </w:r>
        </w:p>
      </w:docPartBody>
    </w:docPart>
    <w:docPart>
      <w:docPartPr>
        <w:name w:val="{b9bb288a-c740-4c7a-996b-fc3a4849f47c}"/>
        <w:style w:val=""/>
        <w:category>
          <w:name w:val="常规"/>
          <w:gallery w:val="placeholder"/>
        </w:category>
        <w:types>
          <w:type w:val="bbPlcHdr"/>
        </w:types>
        <w:behaviors>
          <w:behavior w:val="content"/>
        </w:behaviors>
        <w:description w:val=""/>
        <w:guid w:val="{b9bb288a-c740-4c7a-996b-fc3a4849f47c}"/>
      </w:docPartPr>
      <w:docPartBody>
        <w:p>
          <w:r>
            <w:rPr>
              <w:color w:val="808080"/>
            </w:rPr>
            <w:t>单击此处输入文字。</w:t>
          </w:r>
        </w:p>
      </w:docPartBody>
    </w:docPart>
    <w:docPart>
      <w:docPartPr>
        <w:name w:val="{5db8b0ac-95a0-462d-a22e-c33b4a22451a}"/>
        <w:style w:val=""/>
        <w:category>
          <w:name w:val="常规"/>
          <w:gallery w:val="placeholder"/>
        </w:category>
        <w:types>
          <w:type w:val="bbPlcHdr"/>
        </w:types>
        <w:behaviors>
          <w:behavior w:val="content"/>
        </w:behaviors>
        <w:description w:val=""/>
        <w:guid w:val="{5db8b0ac-95a0-462d-a22e-c33b4a22451a}"/>
      </w:docPartPr>
      <w:docPartBody>
        <w:p>
          <w:r>
            <w:rPr>
              <w:color w:val="808080"/>
            </w:rPr>
            <w:t>单击此处输入文字。</w:t>
          </w:r>
        </w:p>
      </w:docPartBody>
    </w:docPart>
    <w:docPart>
      <w:docPartPr>
        <w:name w:val="{4864ea96-a480-4f0a-8051-42bdcaaf2449}"/>
        <w:style w:val=""/>
        <w:category>
          <w:name w:val="常规"/>
          <w:gallery w:val="placeholder"/>
        </w:category>
        <w:types>
          <w:type w:val="bbPlcHdr"/>
        </w:types>
        <w:behaviors>
          <w:behavior w:val="content"/>
        </w:behaviors>
        <w:description w:val=""/>
        <w:guid w:val="{4864ea96-a480-4f0a-8051-42bdcaaf2449}"/>
      </w:docPartPr>
      <w:docPartBody>
        <w:p>
          <w:r>
            <w:rPr>
              <w:color w:val="808080"/>
            </w:rPr>
            <w:t>单击此处输入文字。</w:t>
          </w:r>
        </w:p>
      </w:docPartBody>
    </w:docPart>
    <w:docPart>
      <w:docPartPr>
        <w:name w:val="{ba6fa625-ea70-4177-815e-dcc4e1b136d0}"/>
        <w:style w:val=""/>
        <w:category>
          <w:name w:val="常规"/>
          <w:gallery w:val="placeholder"/>
        </w:category>
        <w:types>
          <w:type w:val="bbPlcHdr"/>
        </w:types>
        <w:behaviors>
          <w:behavior w:val="content"/>
        </w:behaviors>
        <w:description w:val=""/>
        <w:guid w:val="{ba6fa625-ea70-4177-815e-dcc4e1b136d0}"/>
      </w:docPartPr>
      <w:docPartBody>
        <w:p>
          <w:r>
            <w:rPr>
              <w:color w:val="808080"/>
            </w:rPr>
            <w:t>单击此处输入文字。</w:t>
          </w:r>
        </w:p>
      </w:docPartBody>
    </w:docPart>
    <w:docPart>
      <w:docPartPr>
        <w:name w:val="{710838e5-d033-4b33-b38e-91b4caf0458c}"/>
        <w:style w:val=""/>
        <w:category>
          <w:name w:val="常规"/>
          <w:gallery w:val="placeholder"/>
        </w:category>
        <w:types>
          <w:type w:val="bbPlcHdr"/>
        </w:types>
        <w:behaviors>
          <w:behavior w:val="content"/>
        </w:behaviors>
        <w:description w:val=""/>
        <w:guid w:val="{710838e5-d033-4b33-b38e-91b4caf0458c}"/>
      </w:docPartPr>
      <w:docPartBody>
        <w:p>
          <w:r>
            <w:rPr>
              <w:color w:val="808080"/>
            </w:rPr>
            <w:t>单击此处输入文字。</w:t>
          </w:r>
        </w:p>
      </w:docPartBody>
    </w:docPart>
    <w:docPart>
      <w:docPartPr>
        <w:name w:val="{e10b68b2-1d96-48f4-9c97-830b1d307895}"/>
        <w:style w:val=""/>
        <w:category>
          <w:name w:val="常规"/>
          <w:gallery w:val="placeholder"/>
        </w:category>
        <w:types>
          <w:type w:val="bbPlcHdr"/>
        </w:types>
        <w:behaviors>
          <w:behavior w:val="content"/>
        </w:behaviors>
        <w:description w:val=""/>
        <w:guid w:val="{e10b68b2-1d96-48f4-9c97-830b1d307895}"/>
      </w:docPartPr>
      <w:docPartBody>
        <w:p>
          <w:r>
            <w:rPr>
              <w:color w:val="808080"/>
            </w:rPr>
            <w:t>单击此处输入文字。</w:t>
          </w:r>
        </w:p>
      </w:docPartBody>
    </w:docPart>
    <w:docPart>
      <w:docPartPr>
        <w:name w:val="{0affddb6-f796-4e34-b7c4-3fa9a320f497}"/>
        <w:style w:val=""/>
        <w:category>
          <w:name w:val="常规"/>
          <w:gallery w:val="placeholder"/>
        </w:category>
        <w:types>
          <w:type w:val="bbPlcHdr"/>
        </w:types>
        <w:behaviors>
          <w:behavior w:val="content"/>
        </w:behaviors>
        <w:description w:val=""/>
        <w:guid w:val="{0affddb6-f796-4e34-b7c4-3fa9a320f497}"/>
      </w:docPartPr>
      <w:docPartBody>
        <w:p>
          <w:r>
            <w:rPr>
              <w:color w:val="808080"/>
            </w:rPr>
            <w:t>单击此处输入文字。</w:t>
          </w:r>
        </w:p>
      </w:docPartBody>
    </w:docPart>
    <w:docPart>
      <w:docPartPr>
        <w:name w:val="{d8b94cbf-0350-4416-b850-c4039389a068}"/>
        <w:style w:val=""/>
        <w:category>
          <w:name w:val="常规"/>
          <w:gallery w:val="placeholder"/>
        </w:category>
        <w:types>
          <w:type w:val="bbPlcHdr"/>
        </w:types>
        <w:behaviors>
          <w:behavior w:val="content"/>
        </w:behaviors>
        <w:description w:val=""/>
        <w:guid w:val="{d8b94cbf-0350-4416-b850-c4039389a068}"/>
      </w:docPartPr>
      <w:docPartBody>
        <w:p>
          <w:r>
            <w:rPr>
              <w:color w:val="808080"/>
            </w:rPr>
            <w:t>单击此处输入文字。</w:t>
          </w:r>
        </w:p>
      </w:docPartBody>
    </w:docPart>
    <w:docPart>
      <w:docPartPr>
        <w:name w:val="{c881a18d-c0b2-4f82-8198-cc6131cb74a5}"/>
        <w:style w:val=""/>
        <w:category>
          <w:name w:val="常规"/>
          <w:gallery w:val="placeholder"/>
        </w:category>
        <w:types>
          <w:type w:val="bbPlcHdr"/>
        </w:types>
        <w:behaviors>
          <w:behavior w:val="content"/>
        </w:behaviors>
        <w:description w:val=""/>
        <w:guid w:val="{c881a18d-c0b2-4f82-8198-cc6131cb74a5}"/>
      </w:docPartPr>
      <w:docPartBody>
        <w:p>
          <w:r>
            <w:rPr>
              <w:color w:val="808080"/>
            </w:rPr>
            <w:t>单击此处输入文字。</w:t>
          </w:r>
        </w:p>
      </w:docPartBody>
    </w:docPart>
    <w:docPart>
      <w:docPartPr>
        <w:name w:val="{588e8ba0-7b63-4cf3-b6e1-41b8ee639432}"/>
        <w:style w:val=""/>
        <w:category>
          <w:name w:val="常规"/>
          <w:gallery w:val="placeholder"/>
        </w:category>
        <w:types>
          <w:type w:val="bbPlcHdr"/>
        </w:types>
        <w:behaviors>
          <w:behavior w:val="content"/>
        </w:behaviors>
        <w:description w:val=""/>
        <w:guid w:val="{588e8ba0-7b63-4cf3-b6e1-41b8ee639432}"/>
      </w:docPartPr>
      <w:docPartBody>
        <w:p>
          <w:r>
            <w:rPr>
              <w:color w:val="808080"/>
            </w:rPr>
            <w:t>单击此处输入文字。</w:t>
          </w:r>
        </w:p>
      </w:docPartBody>
    </w:docPart>
    <w:docPart>
      <w:docPartPr>
        <w:name w:val="{60c93292-32fc-4be3-9215-b440708b8bbc}"/>
        <w:style w:val=""/>
        <w:category>
          <w:name w:val="常规"/>
          <w:gallery w:val="placeholder"/>
        </w:category>
        <w:types>
          <w:type w:val="bbPlcHdr"/>
        </w:types>
        <w:behaviors>
          <w:behavior w:val="content"/>
        </w:behaviors>
        <w:description w:val=""/>
        <w:guid w:val="{60c93292-32fc-4be3-9215-b440708b8bbc}"/>
      </w:docPartPr>
      <w:docPartBody>
        <w:p>
          <w:r>
            <w:rPr>
              <w:color w:val="808080"/>
            </w:rPr>
            <w:t>单击此处输入文字。</w:t>
          </w:r>
        </w:p>
      </w:docPartBody>
    </w:docPart>
    <w:docPart>
      <w:docPartPr>
        <w:name w:val="{a6e2866c-a60e-4961-9500-1284efbc11f6}"/>
        <w:style w:val=""/>
        <w:category>
          <w:name w:val="常规"/>
          <w:gallery w:val="placeholder"/>
        </w:category>
        <w:types>
          <w:type w:val="bbPlcHdr"/>
        </w:types>
        <w:behaviors>
          <w:behavior w:val="content"/>
        </w:behaviors>
        <w:description w:val=""/>
        <w:guid w:val="{a6e2866c-a60e-4961-9500-1284efbc11f6}"/>
      </w:docPartPr>
      <w:docPartBody>
        <w:p>
          <w:r>
            <w:rPr>
              <w:color w:val="808080"/>
            </w:rPr>
            <w:t>单击此处输入文字。</w:t>
          </w:r>
        </w:p>
      </w:docPartBody>
    </w:docPart>
    <w:docPart>
      <w:docPartPr>
        <w:name w:val="{02ee9d17-8d4b-4d1d-a407-f36ce4903f02}"/>
        <w:style w:val=""/>
        <w:category>
          <w:name w:val="常规"/>
          <w:gallery w:val="placeholder"/>
        </w:category>
        <w:types>
          <w:type w:val="bbPlcHdr"/>
        </w:types>
        <w:behaviors>
          <w:behavior w:val="content"/>
        </w:behaviors>
        <w:description w:val=""/>
        <w:guid w:val="{02ee9d17-8d4b-4d1d-a407-f36ce4903f02}"/>
      </w:docPartPr>
      <w:docPartBody>
        <w:p>
          <w:r>
            <w:rPr>
              <w:color w:val="808080"/>
            </w:rPr>
            <w:t>单击此处输入文字。</w:t>
          </w:r>
        </w:p>
      </w:docPartBody>
    </w:docPart>
    <w:docPart>
      <w:docPartPr>
        <w:name w:val="{8fc3afa2-77f1-4541-9006-76e520f5304a}"/>
        <w:style w:val=""/>
        <w:category>
          <w:name w:val="常规"/>
          <w:gallery w:val="placeholder"/>
        </w:category>
        <w:types>
          <w:type w:val="bbPlcHdr"/>
        </w:types>
        <w:behaviors>
          <w:behavior w:val="content"/>
        </w:behaviors>
        <w:description w:val=""/>
        <w:guid w:val="{8fc3afa2-77f1-4541-9006-76e520f5304a}"/>
      </w:docPartPr>
      <w:docPartBody>
        <w:p>
          <w:r>
            <w:rPr>
              <w:color w:val="808080"/>
            </w:rPr>
            <w:t>单击此处输入文字。</w:t>
          </w:r>
        </w:p>
      </w:docPartBody>
    </w:docPart>
    <w:docPart>
      <w:docPartPr>
        <w:name w:val="{049aeb04-2db1-43c8-b568-4ca7ca86319a}"/>
        <w:style w:val=""/>
        <w:category>
          <w:name w:val="常规"/>
          <w:gallery w:val="placeholder"/>
        </w:category>
        <w:types>
          <w:type w:val="bbPlcHdr"/>
        </w:types>
        <w:behaviors>
          <w:behavior w:val="content"/>
        </w:behaviors>
        <w:description w:val=""/>
        <w:guid w:val="{049aeb04-2db1-43c8-b568-4ca7ca86319a}"/>
      </w:docPartPr>
      <w:docPartBody>
        <w:p>
          <w:r>
            <w:rPr>
              <w:color w:val="808080"/>
            </w:rPr>
            <w:t>单击此处输入文字。</w:t>
          </w:r>
        </w:p>
      </w:docPartBody>
    </w:docPart>
    <w:docPart>
      <w:docPartPr>
        <w:name w:val="{c35d3701-146a-4731-b9c3-50724d71d1a4}"/>
        <w:style w:val=""/>
        <w:category>
          <w:name w:val="常规"/>
          <w:gallery w:val="placeholder"/>
        </w:category>
        <w:types>
          <w:type w:val="bbPlcHdr"/>
        </w:types>
        <w:behaviors>
          <w:behavior w:val="content"/>
        </w:behaviors>
        <w:description w:val=""/>
        <w:guid w:val="{c35d3701-146a-4731-b9c3-50724d71d1a4}"/>
      </w:docPartPr>
      <w:docPartBody>
        <w:p>
          <w:r>
            <w:rPr>
              <w:color w:val="808080"/>
            </w:rPr>
            <w:t>单击此处输入文字。</w:t>
          </w:r>
        </w:p>
      </w:docPartBody>
    </w:docPart>
    <w:docPart>
      <w:docPartPr>
        <w:name w:val="{6793ee70-3e9b-4a39-ab97-c28f08f02223}"/>
        <w:style w:val=""/>
        <w:category>
          <w:name w:val="常规"/>
          <w:gallery w:val="placeholder"/>
        </w:category>
        <w:types>
          <w:type w:val="bbPlcHdr"/>
        </w:types>
        <w:behaviors>
          <w:behavior w:val="content"/>
        </w:behaviors>
        <w:description w:val=""/>
        <w:guid w:val="{6793ee70-3e9b-4a39-ab97-c28f08f02223}"/>
      </w:docPartPr>
      <w:docPartBody>
        <w:p>
          <w:r>
            <w:rPr>
              <w:color w:val="808080"/>
            </w:rPr>
            <w:t>单击此处输入文字。</w:t>
          </w:r>
        </w:p>
      </w:docPartBody>
    </w:docPart>
    <w:docPart>
      <w:docPartPr>
        <w:name w:val="{144e25cf-7161-4618-b101-442556079ba9}"/>
        <w:style w:val=""/>
        <w:category>
          <w:name w:val="常规"/>
          <w:gallery w:val="placeholder"/>
        </w:category>
        <w:types>
          <w:type w:val="bbPlcHdr"/>
        </w:types>
        <w:behaviors>
          <w:behavior w:val="content"/>
        </w:behaviors>
        <w:description w:val=""/>
        <w:guid w:val="{144e25cf-7161-4618-b101-442556079ba9}"/>
      </w:docPartPr>
      <w:docPartBody>
        <w:p>
          <w:r>
            <w:rPr>
              <w:color w:val="808080"/>
            </w:rPr>
            <w:t>单击此处输入文字。</w:t>
          </w:r>
        </w:p>
      </w:docPartBody>
    </w:docPart>
    <w:docPart>
      <w:docPartPr>
        <w:name w:val="{783ad283-3ff6-4d8f-9496-47e242e87e29}"/>
        <w:style w:val=""/>
        <w:category>
          <w:name w:val="常规"/>
          <w:gallery w:val="placeholder"/>
        </w:category>
        <w:types>
          <w:type w:val="bbPlcHdr"/>
        </w:types>
        <w:behaviors>
          <w:behavior w:val="content"/>
        </w:behaviors>
        <w:description w:val=""/>
        <w:guid w:val="{783ad283-3ff6-4d8f-9496-47e242e87e29}"/>
      </w:docPartPr>
      <w:docPartBody>
        <w:p>
          <w:r>
            <w:rPr>
              <w:color w:val="808080"/>
            </w:rPr>
            <w:t>单击此处输入文字。</w:t>
          </w:r>
        </w:p>
      </w:docPartBody>
    </w:docPart>
    <w:docPart>
      <w:docPartPr>
        <w:name w:val="{8140d317-4618-4100-8a3b-3b6524f4f9a8}"/>
        <w:style w:val=""/>
        <w:category>
          <w:name w:val="常规"/>
          <w:gallery w:val="placeholder"/>
        </w:category>
        <w:types>
          <w:type w:val="bbPlcHdr"/>
        </w:types>
        <w:behaviors>
          <w:behavior w:val="content"/>
        </w:behaviors>
        <w:description w:val=""/>
        <w:guid w:val="{8140d317-4618-4100-8a3b-3b6524f4f9a8}"/>
      </w:docPartPr>
      <w:docPartBody>
        <w:p>
          <w:r>
            <w:rPr>
              <w:color w:val="808080"/>
            </w:rPr>
            <w:t>单击此处输入文字。</w:t>
          </w:r>
        </w:p>
      </w:docPartBody>
    </w:docPart>
    <w:docPart>
      <w:docPartPr>
        <w:name w:val="{db137e29-3dbc-4a2c-a0bf-3dcb36602743}"/>
        <w:style w:val=""/>
        <w:category>
          <w:name w:val="常规"/>
          <w:gallery w:val="placeholder"/>
        </w:category>
        <w:types>
          <w:type w:val="bbPlcHdr"/>
        </w:types>
        <w:behaviors>
          <w:behavior w:val="content"/>
        </w:behaviors>
        <w:description w:val=""/>
        <w:guid w:val="{db137e29-3dbc-4a2c-a0bf-3dcb36602743}"/>
      </w:docPartPr>
      <w:docPartBody>
        <w:p>
          <w:r>
            <w:rPr>
              <w:color w:val="808080"/>
            </w:rPr>
            <w:t>单击此处输入文字。</w:t>
          </w:r>
        </w:p>
      </w:docPartBody>
    </w:docPart>
    <w:docPart>
      <w:docPartPr>
        <w:name w:val="{0bd47fc8-9991-4b04-808e-b129262aacec}"/>
        <w:style w:val=""/>
        <w:category>
          <w:name w:val="常规"/>
          <w:gallery w:val="placeholder"/>
        </w:category>
        <w:types>
          <w:type w:val="bbPlcHdr"/>
        </w:types>
        <w:behaviors>
          <w:behavior w:val="content"/>
        </w:behaviors>
        <w:description w:val=""/>
        <w:guid w:val="{0bd47fc8-9991-4b04-808e-b129262aacec}"/>
      </w:docPartPr>
      <w:docPartBody>
        <w:p>
          <w:r>
            <w:rPr>
              <w:color w:val="808080"/>
            </w:rPr>
            <w:t>单击此处输入文字。</w:t>
          </w:r>
        </w:p>
      </w:docPartBody>
    </w:docPart>
    <w:docPart>
      <w:docPartPr>
        <w:name w:val="{9cce0626-f669-4904-9e6b-f27d25f69412}"/>
        <w:style w:val=""/>
        <w:category>
          <w:name w:val="常规"/>
          <w:gallery w:val="placeholder"/>
        </w:category>
        <w:types>
          <w:type w:val="bbPlcHdr"/>
        </w:types>
        <w:behaviors>
          <w:behavior w:val="content"/>
        </w:behaviors>
        <w:description w:val=""/>
        <w:guid w:val="{9cce0626-f669-4904-9e6b-f27d25f69412}"/>
      </w:docPartPr>
      <w:docPartBody>
        <w:p>
          <w:r>
            <w:rPr>
              <w:color w:val="808080"/>
            </w:rPr>
            <w:t>单击此处输入文字。</w:t>
          </w:r>
        </w:p>
      </w:docPartBody>
    </w:docPart>
    <w:docPart>
      <w:docPartPr>
        <w:name w:val="{43bd0bec-8dc5-47be-9a3d-e96e35445de6}"/>
        <w:style w:val=""/>
        <w:category>
          <w:name w:val="常规"/>
          <w:gallery w:val="placeholder"/>
        </w:category>
        <w:types>
          <w:type w:val="bbPlcHdr"/>
        </w:types>
        <w:behaviors>
          <w:behavior w:val="content"/>
        </w:behaviors>
        <w:description w:val=""/>
        <w:guid w:val="{43bd0bec-8dc5-47be-9a3d-e96e35445de6}"/>
      </w:docPartPr>
      <w:docPartBody>
        <w:p>
          <w:r>
            <w:rPr>
              <w:color w:val="808080"/>
            </w:rPr>
            <w:t>单击此处输入文字。</w:t>
          </w:r>
        </w:p>
      </w:docPartBody>
    </w:docPart>
    <w:docPart>
      <w:docPartPr>
        <w:name w:val="{4907b03e-5345-4873-8068-bb66e77db1b3}"/>
        <w:style w:val=""/>
        <w:category>
          <w:name w:val="常规"/>
          <w:gallery w:val="placeholder"/>
        </w:category>
        <w:types>
          <w:type w:val="bbPlcHdr"/>
        </w:types>
        <w:behaviors>
          <w:behavior w:val="content"/>
        </w:behaviors>
        <w:description w:val=""/>
        <w:guid w:val="{4907b03e-5345-4873-8068-bb66e77db1b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9C5D8-23D2-4D58-9C24-1FF25CE3587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92</Pages>
  <Words>7911</Words>
  <Characters>45097</Characters>
  <Lines>375</Lines>
  <Paragraphs>105</Paragraphs>
  <TotalTime>4</TotalTime>
  <ScaleCrop>false</ScaleCrop>
  <LinksUpToDate>false</LinksUpToDate>
  <CharactersWithSpaces>52903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Administrator</cp:lastModifiedBy>
  <cp:lastPrinted>2021-06-16T08:13:00Z</cp:lastPrinted>
  <dcterms:modified xsi:type="dcterms:W3CDTF">2021-09-16T06:54:45Z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