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项目名称：成都市龙泉驿区人民政府柏合街道办事处办公区域物业管理服务项目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项目编号：龙泉驿政采（2021）A0082号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 xml:space="preserve">成都市龙泉驿区人民政府柏合街道办事处 </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pStyle w:val="2"/>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二〇二一年十一月</w:t>
      </w:r>
    </w:p>
    <w:p>
      <w:pPr>
        <w:spacing w:line="360" w:lineRule="auto"/>
        <w:jc w:val="center"/>
        <w:rPr>
          <w:rFonts w:ascii="华文中宋" w:hAnsi="华文中宋" w:eastAsia="华文中宋"/>
          <w:sz w:val="32"/>
          <w:szCs w:val="32"/>
        </w:rPr>
      </w:pPr>
    </w:p>
    <w:p>
      <w:pPr>
        <w:pStyle w:val="2"/>
      </w:pPr>
    </w:p>
    <w:p/>
    <w:sdt>
      <w:sdtPr>
        <w:rPr>
          <w:rFonts w:ascii="宋体" w:hAnsi="宋体"/>
          <w:kern w:val="0"/>
          <w:sz w:val="20"/>
          <w:szCs w:val="20"/>
        </w:rPr>
        <w:id w:val="147460185"/>
        <w:docPartObj>
          <w:docPartGallery w:val="Table of Contents"/>
          <w:docPartUnique/>
        </w:docPartObj>
      </w:sdtPr>
      <w:sdtEndPr>
        <w:rPr>
          <w:rFonts w:ascii="Times New Roman" w:hAnsi="Times New Roman"/>
          <w:b/>
          <w:bCs/>
          <w:kern w:val="0"/>
          <w:sz w:val="20"/>
          <w:szCs w:val="20"/>
        </w:rPr>
      </w:sdtEndPr>
      <w:sdtContent>
        <w:p>
          <w:pPr>
            <w:jc w:val="center"/>
          </w:pPr>
          <w:bookmarkStart w:id="0" w:name="_Toc6849_WPSOffice_Type2"/>
          <w:r>
            <w:rPr>
              <w:rFonts w:ascii="宋体" w:hAnsi="宋体"/>
            </w:rPr>
            <w:t>目录</w:t>
          </w:r>
        </w:p>
        <w:p>
          <w:pPr>
            <w:pStyle w:val="225"/>
            <w:tabs>
              <w:tab w:val="right" w:leader="dot" w:pos="8250"/>
            </w:tabs>
          </w:pPr>
          <w:r>
            <w:fldChar w:fldCharType="begin"/>
          </w:r>
          <w:r>
            <w:instrText xml:space="preserve"> HYPERLINK \l "_Toc30600_WPSOffice_Level1" </w:instrText>
          </w:r>
          <w:r>
            <w:fldChar w:fldCharType="separate"/>
          </w:r>
          <w:r>
            <w:rPr>
              <w:b/>
              <w:bCs/>
            </w:rPr>
            <w:t xml:space="preserve">第1章 </w:t>
          </w:r>
          <w:r>
            <w:rPr>
              <w:rFonts w:hint="eastAsia" w:ascii="宋体" w:hAnsi="宋体"/>
              <w:b/>
              <w:bCs/>
            </w:rPr>
            <w:t>投标邀请</w:t>
          </w:r>
          <w:r>
            <w:rPr>
              <w:b/>
              <w:bCs/>
            </w:rPr>
            <w:tab/>
          </w:r>
          <w:bookmarkStart w:id="1" w:name="_Toc30600_WPSOffice_Level1Page"/>
          <w:r>
            <w:rPr>
              <w:b/>
              <w:bCs/>
            </w:rPr>
            <w:t>2</w:t>
          </w:r>
          <w:bookmarkEnd w:id="1"/>
          <w:r>
            <w:rPr>
              <w:b/>
              <w:bCs/>
            </w:rPr>
            <w:fldChar w:fldCharType="end"/>
          </w:r>
        </w:p>
        <w:p>
          <w:pPr>
            <w:pStyle w:val="225"/>
            <w:tabs>
              <w:tab w:val="right" w:leader="dot" w:pos="8250"/>
            </w:tabs>
          </w:pPr>
          <w:r>
            <w:fldChar w:fldCharType="begin"/>
          </w:r>
          <w:r>
            <w:instrText xml:space="preserve"> HYPERLINK \l "_Toc6849_WPSOffice_Level1" </w:instrText>
          </w:r>
          <w:r>
            <w:fldChar w:fldCharType="separate"/>
          </w:r>
          <w:r>
            <w:rPr>
              <w:b/>
              <w:bCs/>
            </w:rPr>
            <w:t xml:space="preserve">第2章 </w:t>
          </w:r>
          <w:r>
            <w:rPr>
              <w:rFonts w:hint="eastAsia" w:ascii="宋体" w:hAnsi="宋体"/>
              <w:b/>
              <w:bCs/>
            </w:rPr>
            <w:t>投标人须知</w:t>
          </w:r>
          <w:r>
            <w:rPr>
              <w:b/>
              <w:bCs/>
            </w:rPr>
            <w:tab/>
          </w:r>
          <w:bookmarkStart w:id="2" w:name="_Toc6849_WPSOffice_Level1Page"/>
          <w:r>
            <w:rPr>
              <w:b/>
              <w:bCs/>
            </w:rPr>
            <w:t>6</w:t>
          </w:r>
          <w:bookmarkEnd w:id="2"/>
          <w:r>
            <w:rPr>
              <w:b/>
              <w:bCs/>
            </w:rPr>
            <w:fldChar w:fldCharType="end"/>
          </w:r>
        </w:p>
        <w:p>
          <w:pPr>
            <w:pStyle w:val="226"/>
            <w:tabs>
              <w:tab w:val="right" w:leader="dot" w:pos="8250"/>
            </w:tabs>
            <w:ind w:left="420"/>
          </w:pPr>
          <w:r>
            <w:fldChar w:fldCharType="begin"/>
          </w:r>
          <w:r>
            <w:instrText xml:space="preserve"> HYPERLINK \l "_Toc6849_WPSOffice_Level2" </w:instrText>
          </w:r>
          <w:r>
            <w:fldChar w:fldCharType="separate"/>
          </w:r>
          <w:r>
            <w:t xml:space="preserve">2.1 </w:t>
          </w:r>
          <w:r>
            <w:rPr>
              <w:rFonts w:hint="eastAsia" w:ascii="宋体" w:hAnsi="宋体"/>
            </w:rPr>
            <w:t>投标人须知前附表</w:t>
          </w:r>
          <w:r>
            <w:tab/>
          </w:r>
          <w:bookmarkStart w:id="3" w:name="_Toc6849_WPSOffice_Level2Page"/>
          <w:r>
            <w:t>6</w:t>
          </w:r>
          <w:bookmarkEnd w:id="3"/>
          <w:r>
            <w:fldChar w:fldCharType="end"/>
          </w:r>
        </w:p>
        <w:p>
          <w:pPr>
            <w:pStyle w:val="226"/>
            <w:tabs>
              <w:tab w:val="right" w:leader="dot" w:pos="8250"/>
            </w:tabs>
            <w:ind w:left="420"/>
          </w:pPr>
          <w:r>
            <w:fldChar w:fldCharType="begin"/>
          </w:r>
          <w:r>
            <w:instrText xml:space="preserve"> HYPERLINK \l "_Toc16783_WPSOffice_Level2" </w:instrText>
          </w:r>
          <w:r>
            <w:fldChar w:fldCharType="separate"/>
          </w:r>
          <w:r>
            <w:t xml:space="preserve">2.2 </w:t>
          </w:r>
          <w:r>
            <w:rPr>
              <w:rFonts w:hint="eastAsia" w:ascii="宋体" w:hAnsi="宋体"/>
            </w:rPr>
            <w:t>总则</w:t>
          </w:r>
          <w:r>
            <w:tab/>
          </w:r>
          <w:bookmarkStart w:id="4" w:name="_Toc16783_WPSOffice_Level2Page"/>
          <w:r>
            <w:t>9</w:t>
          </w:r>
          <w:bookmarkEnd w:id="4"/>
          <w:r>
            <w:fldChar w:fldCharType="end"/>
          </w:r>
        </w:p>
        <w:p>
          <w:pPr>
            <w:pStyle w:val="226"/>
            <w:tabs>
              <w:tab w:val="right" w:leader="dot" w:pos="8250"/>
            </w:tabs>
            <w:ind w:left="420"/>
          </w:pPr>
          <w:r>
            <w:fldChar w:fldCharType="begin"/>
          </w:r>
          <w:r>
            <w:instrText xml:space="preserve"> HYPERLINK \l "_Toc7031_WPSOffice_Level2" </w:instrText>
          </w:r>
          <w:r>
            <w:fldChar w:fldCharType="separate"/>
          </w:r>
          <w:r>
            <w:t xml:space="preserve">2.3 </w:t>
          </w:r>
          <w:r>
            <w:rPr>
              <w:rFonts w:hint="eastAsia" w:ascii="宋体" w:hAnsi="宋体"/>
            </w:rPr>
            <w:t>招标文件</w:t>
          </w:r>
          <w:r>
            <w:tab/>
          </w:r>
          <w:bookmarkStart w:id="5" w:name="_Toc7031_WPSOffice_Level2Page"/>
          <w:r>
            <w:t>11</w:t>
          </w:r>
          <w:bookmarkEnd w:id="5"/>
          <w:r>
            <w:fldChar w:fldCharType="end"/>
          </w:r>
        </w:p>
        <w:p>
          <w:pPr>
            <w:pStyle w:val="226"/>
            <w:tabs>
              <w:tab w:val="right" w:leader="dot" w:pos="8250"/>
            </w:tabs>
            <w:ind w:left="420"/>
          </w:pPr>
          <w:r>
            <w:fldChar w:fldCharType="begin"/>
          </w:r>
          <w:r>
            <w:instrText xml:space="preserve"> HYPERLINK \l "_Toc29367_WPSOffice_Level2" </w:instrText>
          </w:r>
          <w:r>
            <w:fldChar w:fldCharType="separate"/>
          </w:r>
          <w:r>
            <w:t xml:space="preserve">2.4 </w:t>
          </w:r>
          <w:r>
            <w:rPr>
              <w:rFonts w:hint="eastAsia" w:ascii="宋体" w:hAnsi="宋体"/>
            </w:rPr>
            <w:t>投标文件</w:t>
          </w:r>
          <w:r>
            <w:tab/>
          </w:r>
          <w:bookmarkStart w:id="6" w:name="_Toc29367_WPSOffice_Level2Page"/>
          <w:r>
            <w:t>12</w:t>
          </w:r>
          <w:bookmarkEnd w:id="6"/>
          <w:r>
            <w:fldChar w:fldCharType="end"/>
          </w:r>
        </w:p>
        <w:p>
          <w:pPr>
            <w:pStyle w:val="226"/>
            <w:tabs>
              <w:tab w:val="right" w:leader="dot" w:pos="8250"/>
            </w:tabs>
            <w:ind w:left="420"/>
          </w:pPr>
          <w:r>
            <w:fldChar w:fldCharType="begin"/>
          </w:r>
          <w:r>
            <w:instrText xml:space="preserve"> HYPERLINK \l "_Toc3651_WPSOffice_Level2" </w:instrText>
          </w:r>
          <w:r>
            <w:fldChar w:fldCharType="separate"/>
          </w:r>
          <w:r>
            <w:t xml:space="preserve">2.5 </w:t>
          </w:r>
          <w:r>
            <w:rPr>
              <w:rFonts w:hint="eastAsia" w:ascii="宋体" w:hAnsi="宋体"/>
            </w:rPr>
            <w:t>开标、资格审查、评标和中标</w:t>
          </w:r>
          <w:r>
            <w:tab/>
          </w:r>
          <w:bookmarkStart w:id="7" w:name="_Toc3651_WPSOffice_Level2Page"/>
          <w:r>
            <w:t>18</w:t>
          </w:r>
          <w:bookmarkEnd w:id="7"/>
          <w:r>
            <w:fldChar w:fldCharType="end"/>
          </w:r>
        </w:p>
        <w:p>
          <w:pPr>
            <w:pStyle w:val="226"/>
            <w:tabs>
              <w:tab w:val="right" w:leader="dot" w:pos="8250"/>
            </w:tabs>
            <w:ind w:left="420"/>
          </w:pPr>
          <w:r>
            <w:fldChar w:fldCharType="begin"/>
          </w:r>
          <w:r>
            <w:instrText xml:space="preserve"> HYPERLINK \l "_Toc10023_WPSOffice_Level2" </w:instrText>
          </w:r>
          <w:r>
            <w:fldChar w:fldCharType="separate"/>
          </w:r>
          <w:r>
            <w:t xml:space="preserve">2.6 </w:t>
          </w:r>
          <w:r>
            <w:rPr>
              <w:rFonts w:hint="eastAsia" w:ascii="宋体" w:hAnsi="宋体"/>
            </w:rPr>
            <w:t>签订及履行合同和验收</w:t>
          </w:r>
          <w:r>
            <w:tab/>
          </w:r>
          <w:bookmarkStart w:id="8" w:name="_Toc10023_WPSOffice_Level2Page"/>
          <w:r>
            <w:t>20</w:t>
          </w:r>
          <w:bookmarkEnd w:id="8"/>
          <w:r>
            <w:fldChar w:fldCharType="end"/>
          </w:r>
        </w:p>
        <w:p>
          <w:pPr>
            <w:pStyle w:val="226"/>
            <w:tabs>
              <w:tab w:val="right" w:leader="dot" w:pos="8250"/>
            </w:tabs>
            <w:ind w:left="420"/>
          </w:pPr>
          <w:r>
            <w:fldChar w:fldCharType="begin"/>
          </w:r>
          <w:r>
            <w:instrText xml:space="preserve"> HYPERLINK \l "_Toc27536_WPSOffice_Level2" </w:instrText>
          </w:r>
          <w:r>
            <w:fldChar w:fldCharType="separate"/>
          </w:r>
          <w:r>
            <w:t xml:space="preserve">2.7 </w:t>
          </w:r>
          <w:r>
            <w:rPr>
              <w:rFonts w:hint="eastAsia" w:ascii="宋体" w:hAnsi="宋体"/>
            </w:rPr>
            <w:t>投标纪律要求</w:t>
          </w:r>
          <w:r>
            <w:tab/>
          </w:r>
          <w:bookmarkStart w:id="9" w:name="_Toc27536_WPSOffice_Level2Page"/>
          <w:r>
            <w:t>22</w:t>
          </w:r>
          <w:bookmarkEnd w:id="9"/>
          <w:r>
            <w:fldChar w:fldCharType="end"/>
          </w:r>
        </w:p>
        <w:p>
          <w:pPr>
            <w:pStyle w:val="226"/>
            <w:tabs>
              <w:tab w:val="right" w:leader="dot" w:pos="8250"/>
            </w:tabs>
            <w:ind w:left="420"/>
          </w:pPr>
          <w:r>
            <w:fldChar w:fldCharType="begin"/>
          </w:r>
          <w:r>
            <w:instrText xml:space="preserve"> HYPERLINK \l "_Toc15364_WPSOffice_Level2" </w:instrText>
          </w:r>
          <w:r>
            <w:fldChar w:fldCharType="separate"/>
          </w:r>
          <w:r>
            <w:t xml:space="preserve">2.8 </w:t>
          </w:r>
          <w:r>
            <w:rPr>
              <w:rFonts w:hint="eastAsia" w:ascii="宋体" w:hAnsi="宋体"/>
            </w:rPr>
            <w:t>询问、质疑和投诉</w:t>
          </w:r>
          <w:r>
            <w:tab/>
          </w:r>
          <w:bookmarkStart w:id="10" w:name="_Toc15364_WPSOffice_Level2Page"/>
          <w:r>
            <w:t>24</w:t>
          </w:r>
          <w:bookmarkEnd w:id="10"/>
          <w:r>
            <w:fldChar w:fldCharType="end"/>
          </w:r>
        </w:p>
        <w:p>
          <w:pPr>
            <w:pStyle w:val="226"/>
            <w:tabs>
              <w:tab w:val="right" w:leader="dot" w:pos="8250"/>
            </w:tabs>
            <w:ind w:left="420"/>
          </w:pPr>
          <w:r>
            <w:fldChar w:fldCharType="begin"/>
          </w:r>
          <w:r>
            <w:instrText xml:space="preserve"> HYPERLINK \l "_Toc20685_WPSOffice_Level2" </w:instrText>
          </w:r>
          <w:r>
            <w:fldChar w:fldCharType="separate"/>
          </w:r>
          <w:r>
            <w:t xml:space="preserve">2.9 </w:t>
          </w:r>
          <w:r>
            <w:rPr>
              <w:rFonts w:hint="eastAsia" w:ascii="宋体" w:hAnsi="宋体"/>
            </w:rPr>
            <w:t>中小企业政府采购信用融资</w:t>
          </w:r>
          <w:r>
            <w:tab/>
          </w:r>
          <w:bookmarkStart w:id="11" w:name="_Toc20685_WPSOffice_Level2Page"/>
          <w:r>
            <w:t>26</w:t>
          </w:r>
          <w:bookmarkEnd w:id="11"/>
          <w:r>
            <w:fldChar w:fldCharType="end"/>
          </w:r>
        </w:p>
        <w:p>
          <w:pPr>
            <w:pStyle w:val="225"/>
            <w:tabs>
              <w:tab w:val="right" w:leader="dot" w:pos="8250"/>
            </w:tabs>
          </w:pPr>
          <w:r>
            <w:fldChar w:fldCharType="begin"/>
          </w:r>
          <w:r>
            <w:instrText xml:space="preserve"> HYPERLINK \l "_Toc16783_WPSOffice_Level1" </w:instrText>
          </w:r>
          <w:r>
            <w:fldChar w:fldCharType="separate"/>
          </w:r>
          <w:r>
            <w:rPr>
              <w:b/>
              <w:bCs/>
            </w:rPr>
            <w:t xml:space="preserve">第3章 </w:t>
          </w:r>
          <w:r>
            <w:rPr>
              <w:rFonts w:hint="eastAsia" w:ascii="宋体" w:hAnsi="宋体"/>
              <w:b/>
              <w:bCs/>
            </w:rPr>
            <w:t>投标文件格式</w:t>
          </w:r>
          <w:r>
            <w:rPr>
              <w:b/>
              <w:bCs/>
            </w:rPr>
            <w:tab/>
          </w:r>
          <w:bookmarkStart w:id="12" w:name="_Toc16783_WPSOffice_Level1Page"/>
          <w:r>
            <w:rPr>
              <w:b/>
              <w:bCs/>
            </w:rPr>
            <w:t>26</w:t>
          </w:r>
          <w:bookmarkEnd w:id="12"/>
          <w:r>
            <w:rPr>
              <w:b/>
              <w:bCs/>
            </w:rPr>
            <w:fldChar w:fldCharType="end"/>
          </w:r>
        </w:p>
        <w:p>
          <w:pPr>
            <w:pStyle w:val="226"/>
            <w:tabs>
              <w:tab w:val="right" w:leader="dot" w:pos="8250"/>
            </w:tabs>
            <w:ind w:left="420"/>
          </w:pPr>
          <w:r>
            <w:fldChar w:fldCharType="begin"/>
          </w:r>
          <w:r>
            <w:instrText xml:space="preserve"> HYPERLINK \l "_Toc8816_WPSOffice_Level2" </w:instrText>
          </w:r>
          <w:r>
            <w:fldChar w:fldCharType="separate"/>
          </w:r>
          <w:r>
            <w:t xml:space="preserve">3.1 </w:t>
          </w:r>
          <w:r>
            <w:rPr>
              <w:rFonts w:hint="eastAsia" w:ascii="宋体" w:hAnsi="宋体"/>
            </w:rPr>
            <w:t>投标文件封面格式</w:t>
          </w:r>
          <w:r>
            <w:tab/>
          </w:r>
          <w:bookmarkStart w:id="13" w:name="_Toc8816_WPSOffice_Level2Page"/>
          <w:r>
            <w:t>26</w:t>
          </w:r>
          <w:bookmarkEnd w:id="13"/>
          <w:r>
            <w:fldChar w:fldCharType="end"/>
          </w:r>
        </w:p>
        <w:p>
          <w:pPr>
            <w:pStyle w:val="226"/>
            <w:tabs>
              <w:tab w:val="right" w:leader="dot" w:pos="8250"/>
            </w:tabs>
            <w:ind w:left="420"/>
          </w:pPr>
          <w:r>
            <w:fldChar w:fldCharType="begin"/>
          </w:r>
          <w:r>
            <w:instrText xml:space="preserve"> HYPERLINK \l "_Toc22077_WPSOffice_Level2" </w:instrText>
          </w:r>
          <w:r>
            <w:fldChar w:fldCharType="separate"/>
          </w:r>
          <w:r>
            <w:t xml:space="preserve">3.2 </w:t>
          </w:r>
          <w:r>
            <w:rPr>
              <w:rFonts w:hint="eastAsia" w:ascii="宋体" w:hAnsi="宋体"/>
            </w:rPr>
            <w:t>资格响应文件</w:t>
          </w:r>
          <w:r>
            <w:tab/>
          </w:r>
          <w:bookmarkStart w:id="14" w:name="_Toc22077_WPSOffice_Level2Page"/>
          <w:r>
            <w:t>27</w:t>
          </w:r>
          <w:bookmarkEnd w:id="14"/>
          <w:r>
            <w:fldChar w:fldCharType="end"/>
          </w:r>
        </w:p>
        <w:p>
          <w:pPr>
            <w:pStyle w:val="226"/>
            <w:tabs>
              <w:tab w:val="right" w:leader="dot" w:pos="8250"/>
            </w:tabs>
            <w:ind w:left="420"/>
          </w:pPr>
          <w:r>
            <w:fldChar w:fldCharType="begin"/>
          </w:r>
          <w:r>
            <w:instrText xml:space="preserve"> HYPERLINK \l "_Toc30377_WPSOffice_Level2" </w:instrText>
          </w:r>
          <w:r>
            <w:fldChar w:fldCharType="separate"/>
          </w:r>
          <w:r>
            <w:t xml:space="preserve">3.3 </w:t>
          </w:r>
          <w:r>
            <w:rPr>
              <w:rFonts w:hint="eastAsia" w:ascii="宋体" w:hAnsi="宋体"/>
            </w:rPr>
            <w:t>商务技术</w:t>
          </w:r>
          <w:r>
            <w:rPr>
              <w:rFonts w:ascii="宋体" w:hAnsi="宋体"/>
            </w:rPr>
            <w:t>响应文件</w:t>
          </w:r>
          <w:r>
            <w:tab/>
          </w:r>
          <w:bookmarkStart w:id="15" w:name="_Toc30377_WPSOffice_Level2Page"/>
          <w:r>
            <w:t>35</w:t>
          </w:r>
          <w:bookmarkEnd w:id="15"/>
          <w:r>
            <w:fldChar w:fldCharType="end"/>
          </w:r>
        </w:p>
        <w:p>
          <w:pPr>
            <w:pStyle w:val="226"/>
            <w:tabs>
              <w:tab w:val="right" w:leader="dot" w:pos="8250"/>
            </w:tabs>
            <w:ind w:left="420"/>
          </w:pPr>
          <w:r>
            <w:fldChar w:fldCharType="begin"/>
          </w:r>
          <w:r>
            <w:instrText xml:space="preserve"> HYPERLINK \l "_Toc30_WPSOffice_Level2" </w:instrText>
          </w:r>
          <w:r>
            <w:fldChar w:fldCharType="separate"/>
          </w:r>
          <w:r>
            <w:t xml:space="preserve">3.4 </w:t>
          </w:r>
          <w:r>
            <w:rPr>
              <w:rFonts w:hint="eastAsia" w:ascii="宋体" w:hAnsi="宋体"/>
            </w:rPr>
            <w:t>报价</w:t>
          </w:r>
          <w:r>
            <w:rPr>
              <w:rFonts w:ascii="宋体" w:hAnsi="宋体"/>
            </w:rPr>
            <w:t>要求响应文件</w:t>
          </w:r>
          <w:r>
            <w:tab/>
          </w:r>
          <w:bookmarkStart w:id="16" w:name="_Toc30_WPSOffice_Level2Page"/>
          <w:r>
            <w:t>42</w:t>
          </w:r>
          <w:bookmarkEnd w:id="16"/>
          <w:r>
            <w:fldChar w:fldCharType="end"/>
          </w:r>
        </w:p>
        <w:p>
          <w:pPr>
            <w:pStyle w:val="226"/>
            <w:tabs>
              <w:tab w:val="right" w:leader="dot" w:pos="8250"/>
            </w:tabs>
            <w:ind w:left="420"/>
          </w:pPr>
          <w:r>
            <w:fldChar w:fldCharType="begin"/>
          </w:r>
          <w:r>
            <w:instrText xml:space="preserve"> HYPERLINK \l "_Toc2305_WPSOffice_Level2" </w:instrText>
          </w:r>
          <w:r>
            <w:fldChar w:fldCharType="separate"/>
          </w:r>
          <w:r>
            <w:rPr>
              <w:rFonts w:hint="eastAsia" w:ascii="宋体" w:hAnsi="宋体"/>
            </w:rPr>
            <w:t>报价应是包括磋商文件规定的全部响应内容的报价。</w:t>
          </w:r>
          <w:r>
            <w:tab/>
          </w:r>
          <w:bookmarkStart w:id="17" w:name="_Toc2305_WPSOffice_Level2Page"/>
          <w:r>
            <w:t>43</w:t>
          </w:r>
          <w:bookmarkEnd w:id="17"/>
          <w:r>
            <w:fldChar w:fldCharType="end"/>
          </w:r>
        </w:p>
        <w:p>
          <w:pPr>
            <w:pStyle w:val="225"/>
            <w:tabs>
              <w:tab w:val="right" w:leader="dot" w:pos="8250"/>
            </w:tabs>
          </w:pPr>
          <w:r>
            <w:fldChar w:fldCharType="begin"/>
          </w:r>
          <w:r>
            <w:instrText xml:space="preserve"> HYPERLINK \l "_Toc7031_WPSOffice_Level1" </w:instrText>
          </w:r>
          <w:r>
            <w:fldChar w:fldCharType="separate"/>
          </w:r>
          <w:r>
            <w:rPr>
              <w:b/>
              <w:bCs/>
            </w:rPr>
            <w:t xml:space="preserve">第4章 </w:t>
          </w:r>
          <w:r>
            <w:rPr>
              <w:rFonts w:hint="eastAsia" w:ascii="宋体" w:hAnsi="宋体"/>
              <w:b/>
              <w:bCs/>
            </w:rPr>
            <w:t>招标项目技术、服务、商务及其他要求</w:t>
          </w:r>
          <w:r>
            <w:rPr>
              <w:b/>
              <w:bCs/>
            </w:rPr>
            <w:tab/>
          </w:r>
          <w:bookmarkStart w:id="18" w:name="_Toc7031_WPSOffice_Level1Page"/>
          <w:r>
            <w:rPr>
              <w:b/>
              <w:bCs/>
            </w:rPr>
            <w:t>44</w:t>
          </w:r>
          <w:bookmarkEnd w:id="18"/>
          <w:r>
            <w:rPr>
              <w:b/>
              <w:bCs/>
            </w:rPr>
            <w:fldChar w:fldCharType="end"/>
          </w:r>
        </w:p>
        <w:p>
          <w:pPr>
            <w:pStyle w:val="226"/>
            <w:tabs>
              <w:tab w:val="right" w:leader="dot" w:pos="8250"/>
            </w:tabs>
            <w:ind w:left="420"/>
          </w:pPr>
          <w:r>
            <w:fldChar w:fldCharType="begin"/>
          </w:r>
          <w:r>
            <w:instrText xml:space="preserve"> HYPERLINK \l "_Toc3653_WPSOffice_Level2" </w:instrText>
          </w:r>
          <w:r>
            <w:fldChar w:fldCharType="separate"/>
          </w:r>
          <w:r>
            <w:t xml:space="preserve">4.1 </w:t>
          </w:r>
          <w:r>
            <w:rPr>
              <w:rFonts w:hint="eastAsia" w:ascii="宋体" w:hAnsi="宋体"/>
            </w:rPr>
            <w:t>项目概况</w:t>
          </w:r>
          <w:r>
            <w:tab/>
          </w:r>
          <w:bookmarkStart w:id="19" w:name="_Toc3653_WPSOffice_Level2Page"/>
          <w:r>
            <w:t>44</w:t>
          </w:r>
          <w:bookmarkEnd w:id="19"/>
          <w:r>
            <w:fldChar w:fldCharType="end"/>
          </w:r>
        </w:p>
        <w:p>
          <w:pPr>
            <w:pStyle w:val="226"/>
            <w:tabs>
              <w:tab w:val="right" w:leader="dot" w:pos="8250"/>
            </w:tabs>
            <w:ind w:left="420"/>
          </w:pPr>
          <w:r>
            <w:fldChar w:fldCharType="begin"/>
          </w:r>
          <w:r>
            <w:instrText xml:space="preserve"> HYPERLINK \l "_Toc12187_WPSOffice_Level2" </w:instrText>
          </w:r>
          <w:r>
            <w:fldChar w:fldCharType="separate"/>
          </w:r>
          <w:r>
            <w:t xml:space="preserve">4.2 </w:t>
          </w:r>
          <w:r>
            <w:rPr>
              <w:rFonts w:hint="eastAsia" w:ascii="宋体" w:hAnsi="宋体"/>
            </w:rPr>
            <w:t>服务地点及范围</w:t>
          </w:r>
          <w:r>
            <w:tab/>
          </w:r>
          <w:bookmarkStart w:id="20" w:name="_Toc12187_WPSOffice_Level2Page"/>
          <w:r>
            <w:t>44</w:t>
          </w:r>
          <w:bookmarkEnd w:id="20"/>
          <w:r>
            <w:fldChar w:fldCharType="end"/>
          </w:r>
        </w:p>
        <w:p>
          <w:pPr>
            <w:pStyle w:val="226"/>
            <w:tabs>
              <w:tab w:val="right" w:leader="dot" w:pos="8250"/>
            </w:tabs>
            <w:ind w:left="420"/>
          </w:pPr>
          <w:r>
            <w:fldChar w:fldCharType="begin"/>
          </w:r>
          <w:r>
            <w:instrText xml:space="preserve"> HYPERLINK \l "_Toc17765_WPSOffice_Level2" </w:instrText>
          </w:r>
          <w:r>
            <w:fldChar w:fldCharType="separate"/>
          </w:r>
          <w:r>
            <w:t xml:space="preserve">4.3 </w:t>
          </w:r>
          <w:r>
            <w:rPr>
              <w:rFonts w:hint="eastAsia" w:ascii="宋体" w:hAnsi="宋体" w:cs="宋体"/>
            </w:rPr>
            <w:t>服务内容及要求</w:t>
          </w:r>
          <w:r>
            <w:tab/>
          </w:r>
          <w:bookmarkStart w:id="21" w:name="_Toc17765_WPSOffice_Level2Page"/>
          <w:r>
            <w:t>44</w:t>
          </w:r>
          <w:bookmarkEnd w:id="21"/>
          <w:r>
            <w:fldChar w:fldCharType="end"/>
          </w:r>
        </w:p>
        <w:p>
          <w:pPr>
            <w:pStyle w:val="226"/>
            <w:tabs>
              <w:tab w:val="right" w:leader="dot" w:pos="8250"/>
            </w:tabs>
            <w:ind w:left="420"/>
          </w:pPr>
          <w:r>
            <w:fldChar w:fldCharType="begin"/>
          </w:r>
          <w:r>
            <w:instrText xml:space="preserve"> HYPERLINK \l "_Toc12054_WPSOffice_Level2" </w:instrText>
          </w:r>
          <w:r>
            <w:fldChar w:fldCharType="separate"/>
          </w:r>
          <w:r>
            <w:t xml:space="preserve">4.4 </w:t>
          </w:r>
          <w:r>
            <w:rPr>
              <w:rFonts w:hint="eastAsia" w:ascii="宋体" w:hAnsi="宋体" w:cs="宋体"/>
            </w:rPr>
            <w:t>考核标准</w:t>
          </w:r>
          <w:r>
            <w:tab/>
          </w:r>
          <w:bookmarkStart w:id="22" w:name="_Toc12054_WPSOffice_Level2Page"/>
          <w:r>
            <w:t>48</w:t>
          </w:r>
          <w:bookmarkEnd w:id="22"/>
          <w:r>
            <w:fldChar w:fldCharType="end"/>
          </w:r>
        </w:p>
        <w:p>
          <w:pPr>
            <w:pStyle w:val="226"/>
            <w:tabs>
              <w:tab w:val="right" w:leader="dot" w:pos="8250"/>
            </w:tabs>
            <w:ind w:left="420"/>
          </w:pPr>
          <w:r>
            <w:fldChar w:fldCharType="begin"/>
          </w:r>
          <w:r>
            <w:instrText xml:space="preserve"> HYPERLINK \l "_Toc26505_WPSOffice_Level2" </w:instrText>
          </w:r>
          <w:r>
            <w:fldChar w:fldCharType="separate"/>
          </w:r>
          <w:r>
            <w:t xml:space="preserve">4.5 </w:t>
          </w:r>
          <w:r>
            <w:rPr>
              <w:rFonts w:hint="eastAsia" w:ascii="宋体" w:hAnsi="宋体" w:cs="宋体"/>
            </w:rPr>
            <w:t>商务</w:t>
          </w:r>
          <w:r>
            <w:rPr>
              <w:rFonts w:ascii="宋体" w:hAnsi="宋体" w:cs="宋体"/>
            </w:rPr>
            <w:t>要求</w:t>
          </w:r>
          <w:r>
            <w:tab/>
          </w:r>
          <w:bookmarkStart w:id="23" w:name="_Toc26505_WPSOffice_Level2Page"/>
          <w:r>
            <w:t>54</w:t>
          </w:r>
          <w:bookmarkEnd w:id="23"/>
          <w:r>
            <w:fldChar w:fldCharType="end"/>
          </w:r>
        </w:p>
        <w:p>
          <w:pPr>
            <w:pStyle w:val="226"/>
            <w:tabs>
              <w:tab w:val="right" w:leader="dot" w:pos="8250"/>
            </w:tabs>
            <w:ind w:left="420"/>
          </w:pPr>
          <w:r>
            <w:fldChar w:fldCharType="begin"/>
          </w:r>
          <w:r>
            <w:instrText xml:space="preserve"> HYPERLINK \l "_Toc14731_WPSOffice_Level2" </w:instrText>
          </w:r>
          <w:r>
            <w:fldChar w:fldCharType="separate"/>
          </w:r>
          <w:r>
            <w:rPr>
              <w:rFonts w:hint="eastAsia" w:ascii="宋体" w:hAnsi="宋体" w:cs="宋体"/>
            </w:rPr>
            <w:t>（一）服务时间：</w:t>
          </w:r>
          <w:r>
            <w:tab/>
          </w:r>
          <w:bookmarkStart w:id="24" w:name="_Toc14731_WPSOffice_Level2Page"/>
          <w:r>
            <w:t>54</w:t>
          </w:r>
          <w:bookmarkEnd w:id="24"/>
          <w:r>
            <w:fldChar w:fldCharType="end"/>
          </w:r>
        </w:p>
        <w:p>
          <w:pPr>
            <w:pStyle w:val="226"/>
            <w:tabs>
              <w:tab w:val="right" w:leader="dot" w:pos="8250"/>
            </w:tabs>
            <w:ind w:left="420"/>
          </w:pPr>
          <w:r>
            <w:fldChar w:fldCharType="begin"/>
          </w:r>
          <w:r>
            <w:instrText xml:space="preserve"> HYPERLINK \l "_Toc32157_WPSOffice_Level2" </w:instrText>
          </w:r>
          <w:r>
            <w:fldChar w:fldCharType="separate"/>
          </w:r>
          <w:r>
            <w:rPr>
              <w:rFonts w:hint="eastAsia" w:ascii="宋体" w:hAnsi="宋体" w:cs="宋体"/>
            </w:rPr>
            <w:t>（二）付费方式：</w:t>
          </w:r>
          <w:r>
            <w:tab/>
          </w:r>
          <w:bookmarkStart w:id="25" w:name="_Toc32157_WPSOffice_Level2Page"/>
          <w:r>
            <w:t>54</w:t>
          </w:r>
          <w:bookmarkEnd w:id="25"/>
          <w:r>
            <w:fldChar w:fldCharType="end"/>
          </w:r>
        </w:p>
        <w:p>
          <w:pPr>
            <w:pStyle w:val="226"/>
            <w:tabs>
              <w:tab w:val="right" w:leader="dot" w:pos="8250"/>
            </w:tabs>
            <w:ind w:left="420"/>
          </w:pPr>
          <w:r>
            <w:fldChar w:fldCharType="begin"/>
          </w:r>
          <w:r>
            <w:instrText xml:space="preserve"> HYPERLINK \l "_Toc16015_WPSOffice_Level2" </w:instrText>
          </w:r>
          <w:r>
            <w:fldChar w:fldCharType="separate"/>
          </w:r>
          <w:r>
            <w:rPr>
              <w:rFonts w:hint="eastAsia" w:ascii="宋体" w:hAnsi="宋体" w:cs="宋体"/>
            </w:rPr>
            <w:t>（三）验收标准：</w:t>
          </w:r>
          <w:r>
            <w:tab/>
          </w:r>
          <w:bookmarkStart w:id="26" w:name="_Toc16015_WPSOffice_Level2Page"/>
          <w:r>
            <w:t>54</w:t>
          </w:r>
          <w:bookmarkEnd w:id="26"/>
          <w:r>
            <w:fldChar w:fldCharType="end"/>
          </w:r>
        </w:p>
        <w:p>
          <w:pPr>
            <w:pStyle w:val="225"/>
            <w:tabs>
              <w:tab w:val="right" w:leader="dot" w:pos="8250"/>
            </w:tabs>
          </w:pPr>
          <w:r>
            <w:fldChar w:fldCharType="begin"/>
          </w:r>
          <w:r>
            <w:instrText xml:space="preserve"> HYPERLINK \l "_Toc29367_WPSOffice_Level1" </w:instrText>
          </w:r>
          <w:r>
            <w:fldChar w:fldCharType="separate"/>
          </w:r>
          <w:r>
            <w:rPr>
              <w:b/>
              <w:bCs/>
            </w:rPr>
            <w:t xml:space="preserve">第5章 </w:t>
          </w:r>
          <w:r>
            <w:rPr>
              <w:rFonts w:hint="eastAsia" w:ascii="宋体" w:hAnsi="宋体"/>
              <w:b/>
              <w:bCs/>
            </w:rPr>
            <w:t>资格性审查</w:t>
          </w:r>
          <w:r>
            <w:rPr>
              <w:b/>
              <w:bCs/>
            </w:rPr>
            <w:tab/>
          </w:r>
          <w:bookmarkStart w:id="27" w:name="_Toc29367_WPSOffice_Level1Page"/>
          <w:r>
            <w:rPr>
              <w:b/>
              <w:bCs/>
            </w:rPr>
            <w:t>55</w:t>
          </w:r>
          <w:bookmarkEnd w:id="27"/>
          <w:r>
            <w:rPr>
              <w:b/>
              <w:bCs/>
            </w:rPr>
            <w:fldChar w:fldCharType="end"/>
          </w:r>
        </w:p>
        <w:p>
          <w:pPr>
            <w:pStyle w:val="225"/>
            <w:tabs>
              <w:tab w:val="right" w:leader="dot" w:pos="8250"/>
            </w:tabs>
          </w:pPr>
          <w:r>
            <w:fldChar w:fldCharType="begin"/>
          </w:r>
          <w:r>
            <w:instrText xml:space="preserve"> HYPERLINK \l "_Toc3651_WPSOffice_Level1" </w:instrText>
          </w:r>
          <w:r>
            <w:fldChar w:fldCharType="separate"/>
          </w:r>
          <w:r>
            <w:rPr>
              <w:b/>
              <w:bCs/>
            </w:rPr>
            <w:t xml:space="preserve">第6章 </w:t>
          </w:r>
          <w:r>
            <w:rPr>
              <w:rFonts w:hint="eastAsia" w:ascii="宋体" w:hAnsi="宋体"/>
              <w:b/>
              <w:bCs/>
            </w:rPr>
            <w:t>评标办法</w:t>
          </w:r>
          <w:r>
            <w:rPr>
              <w:b/>
              <w:bCs/>
            </w:rPr>
            <w:tab/>
          </w:r>
          <w:bookmarkStart w:id="28" w:name="_Toc3651_WPSOffice_Level1Page"/>
          <w:r>
            <w:rPr>
              <w:b/>
              <w:bCs/>
            </w:rPr>
            <w:t>59</w:t>
          </w:r>
          <w:bookmarkEnd w:id="28"/>
          <w:r>
            <w:rPr>
              <w:b/>
              <w:bCs/>
            </w:rPr>
            <w:fldChar w:fldCharType="end"/>
          </w:r>
        </w:p>
        <w:p>
          <w:pPr>
            <w:pStyle w:val="226"/>
            <w:tabs>
              <w:tab w:val="right" w:leader="dot" w:pos="8250"/>
            </w:tabs>
            <w:ind w:left="420"/>
          </w:pPr>
          <w:r>
            <w:fldChar w:fldCharType="begin"/>
          </w:r>
          <w:r>
            <w:instrText xml:space="preserve"> HYPERLINK \l "_Toc25075_WPSOffice_Level2" </w:instrText>
          </w:r>
          <w:r>
            <w:fldChar w:fldCharType="separate"/>
          </w:r>
          <w:r>
            <w:t xml:space="preserve">6.1 </w:t>
          </w:r>
          <w:r>
            <w:rPr>
              <w:rFonts w:hint="eastAsia" w:ascii="宋体" w:hAnsi="宋体"/>
            </w:rPr>
            <w:t>总则</w:t>
          </w:r>
          <w:r>
            <w:tab/>
          </w:r>
          <w:bookmarkStart w:id="29" w:name="_Toc25075_WPSOffice_Level2Page"/>
          <w:r>
            <w:t>59</w:t>
          </w:r>
          <w:bookmarkEnd w:id="29"/>
          <w:r>
            <w:fldChar w:fldCharType="end"/>
          </w:r>
        </w:p>
        <w:p>
          <w:pPr>
            <w:pStyle w:val="226"/>
            <w:tabs>
              <w:tab w:val="right" w:leader="dot" w:pos="8250"/>
            </w:tabs>
            <w:ind w:left="420"/>
          </w:pPr>
          <w:r>
            <w:fldChar w:fldCharType="begin"/>
          </w:r>
          <w:r>
            <w:instrText xml:space="preserve"> HYPERLINK \l "_Toc23566_WPSOffice_Level2" </w:instrText>
          </w:r>
          <w:r>
            <w:fldChar w:fldCharType="separate"/>
          </w:r>
          <w:r>
            <w:t xml:space="preserve">6.2 </w:t>
          </w:r>
          <w:r>
            <w:rPr>
              <w:rFonts w:hint="eastAsia" w:ascii="宋体" w:hAnsi="宋体"/>
            </w:rPr>
            <w:t>评标方法</w:t>
          </w:r>
          <w:r>
            <w:tab/>
          </w:r>
          <w:bookmarkStart w:id="30" w:name="_Toc23566_WPSOffice_Level2Page"/>
          <w:r>
            <w:t>60</w:t>
          </w:r>
          <w:bookmarkEnd w:id="30"/>
          <w:r>
            <w:fldChar w:fldCharType="end"/>
          </w:r>
        </w:p>
        <w:p>
          <w:pPr>
            <w:pStyle w:val="226"/>
            <w:tabs>
              <w:tab w:val="right" w:leader="dot" w:pos="8250"/>
            </w:tabs>
            <w:ind w:left="420"/>
          </w:pPr>
          <w:r>
            <w:fldChar w:fldCharType="begin"/>
          </w:r>
          <w:r>
            <w:instrText xml:space="preserve"> HYPERLINK \l "_Toc15389_WPSOffice_Level2" </w:instrText>
          </w:r>
          <w:r>
            <w:fldChar w:fldCharType="separate"/>
          </w:r>
          <w:r>
            <w:t xml:space="preserve">6.3 </w:t>
          </w:r>
          <w:r>
            <w:rPr>
              <w:rFonts w:hint="eastAsia" w:ascii="宋体" w:hAnsi="宋体"/>
            </w:rPr>
            <w:t>评标程序</w:t>
          </w:r>
          <w:r>
            <w:tab/>
          </w:r>
          <w:bookmarkStart w:id="31" w:name="_Toc15389_WPSOffice_Level2Page"/>
          <w:r>
            <w:t>60</w:t>
          </w:r>
          <w:bookmarkEnd w:id="31"/>
          <w:r>
            <w:fldChar w:fldCharType="end"/>
          </w:r>
        </w:p>
        <w:p>
          <w:pPr>
            <w:pStyle w:val="226"/>
            <w:tabs>
              <w:tab w:val="right" w:leader="dot" w:pos="8250"/>
            </w:tabs>
            <w:ind w:left="420"/>
          </w:pPr>
          <w:r>
            <w:fldChar w:fldCharType="begin"/>
          </w:r>
          <w:r>
            <w:instrText xml:space="preserve"> HYPERLINK \l "_Toc32572_WPSOffice_Level2" </w:instrText>
          </w:r>
          <w:r>
            <w:fldChar w:fldCharType="separate"/>
          </w:r>
          <w:r>
            <w:t xml:space="preserve">6.4 </w:t>
          </w:r>
          <w:r>
            <w:rPr>
              <w:rFonts w:hint="eastAsia" w:ascii="宋体" w:hAnsi="宋体"/>
            </w:rPr>
            <w:t>评标争议处理规则</w:t>
          </w:r>
          <w:r>
            <w:tab/>
          </w:r>
          <w:bookmarkStart w:id="32" w:name="_Toc32572_WPSOffice_Level2Page"/>
          <w:r>
            <w:t>66</w:t>
          </w:r>
          <w:bookmarkEnd w:id="32"/>
          <w:r>
            <w:fldChar w:fldCharType="end"/>
          </w:r>
        </w:p>
        <w:p>
          <w:pPr>
            <w:pStyle w:val="226"/>
            <w:tabs>
              <w:tab w:val="right" w:leader="dot" w:pos="8250"/>
            </w:tabs>
            <w:ind w:left="420"/>
          </w:pPr>
          <w:r>
            <w:fldChar w:fldCharType="begin"/>
          </w:r>
          <w:r>
            <w:instrText xml:space="preserve"> HYPERLINK \l "_Toc24745_WPSOffice_Level2" </w:instrText>
          </w:r>
          <w:r>
            <w:fldChar w:fldCharType="separate"/>
          </w:r>
          <w:r>
            <w:t xml:space="preserve">6.5 </w:t>
          </w:r>
          <w:r>
            <w:rPr>
              <w:rFonts w:hint="eastAsia" w:ascii="宋体" w:hAnsi="宋体"/>
            </w:rPr>
            <w:t>评标细则及标准</w:t>
          </w:r>
          <w:r>
            <w:tab/>
          </w:r>
          <w:bookmarkStart w:id="33" w:name="_Toc24745_WPSOffice_Level2Page"/>
          <w:r>
            <w:t>66</w:t>
          </w:r>
          <w:bookmarkEnd w:id="33"/>
          <w:r>
            <w:fldChar w:fldCharType="end"/>
          </w:r>
        </w:p>
        <w:p>
          <w:pPr>
            <w:pStyle w:val="226"/>
            <w:tabs>
              <w:tab w:val="right" w:leader="dot" w:pos="8250"/>
            </w:tabs>
            <w:ind w:left="420"/>
          </w:pPr>
          <w:r>
            <w:fldChar w:fldCharType="begin"/>
          </w:r>
          <w:r>
            <w:instrText xml:space="preserve"> HYPERLINK \l "_Toc32250_WPSOffice_Level2" </w:instrText>
          </w:r>
          <w:r>
            <w:fldChar w:fldCharType="separate"/>
          </w:r>
          <w:r>
            <w:t xml:space="preserve">6.6 </w:t>
          </w:r>
          <w:r>
            <w:rPr>
              <w:rFonts w:hint="eastAsia" w:ascii="宋体" w:hAnsi="宋体"/>
            </w:rPr>
            <w:t>废标</w:t>
          </w:r>
          <w:r>
            <w:tab/>
          </w:r>
          <w:bookmarkStart w:id="34" w:name="_Toc32250_WPSOffice_Level2Page"/>
          <w:r>
            <w:t>70</w:t>
          </w:r>
          <w:bookmarkEnd w:id="34"/>
          <w:r>
            <w:fldChar w:fldCharType="end"/>
          </w:r>
        </w:p>
        <w:p>
          <w:pPr>
            <w:pStyle w:val="226"/>
            <w:tabs>
              <w:tab w:val="right" w:leader="dot" w:pos="8250"/>
            </w:tabs>
            <w:ind w:left="420"/>
          </w:pPr>
          <w:r>
            <w:fldChar w:fldCharType="begin"/>
          </w:r>
          <w:r>
            <w:instrText xml:space="preserve"> HYPERLINK \l "_Toc23403_WPSOffice_Level2" </w:instrText>
          </w:r>
          <w:r>
            <w:fldChar w:fldCharType="separate"/>
          </w:r>
          <w:r>
            <w:t xml:space="preserve">6.7 </w:t>
          </w:r>
          <w:r>
            <w:rPr>
              <w:rFonts w:hint="eastAsia" w:ascii="宋体" w:hAnsi="宋体"/>
            </w:rPr>
            <w:t>定标</w:t>
          </w:r>
          <w:r>
            <w:tab/>
          </w:r>
          <w:bookmarkStart w:id="35" w:name="_Toc23403_WPSOffice_Level2Page"/>
          <w:r>
            <w:t>70</w:t>
          </w:r>
          <w:bookmarkEnd w:id="35"/>
          <w:r>
            <w:fldChar w:fldCharType="end"/>
          </w:r>
        </w:p>
        <w:p>
          <w:pPr>
            <w:pStyle w:val="226"/>
            <w:tabs>
              <w:tab w:val="right" w:leader="dot" w:pos="8250"/>
            </w:tabs>
            <w:ind w:left="420"/>
          </w:pPr>
          <w:r>
            <w:fldChar w:fldCharType="begin"/>
          </w:r>
          <w:r>
            <w:instrText xml:space="preserve"> HYPERLINK \l "_Toc29783_WPSOffice_Level2" </w:instrText>
          </w:r>
          <w:r>
            <w:fldChar w:fldCharType="separate"/>
          </w:r>
          <w:r>
            <w:t xml:space="preserve">6.8 </w:t>
          </w:r>
          <w:r>
            <w:rPr>
              <w:rFonts w:hint="eastAsia" w:ascii="宋体" w:hAnsi="宋体"/>
            </w:rPr>
            <w:t>评标专家在政府采购活动中承担以下义务</w:t>
          </w:r>
          <w:r>
            <w:tab/>
          </w:r>
          <w:bookmarkStart w:id="36" w:name="_Toc29783_WPSOffice_Level2Page"/>
          <w:r>
            <w:t>71</w:t>
          </w:r>
          <w:bookmarkEnd w:id="36"/>
          <w:r>
            <w:fldChar w:fldCharType="end"/>
          </w:r>
        </w:p>
        <w:p>
          <w:pPr>
            <w:pStyle w:val="226"/>
            <w:tabs>
              <w:tab w:val="right" w:leader="dot" w:pos="8250"/>
            </w:tabs>
            <w:ind w:left="420"/>
          </w:pPr>
          <w:r>
            <w:fldChar w:fldCharType="begin"/>
          </w:r>
          <w:r>
            <w:instrText xml:space="preserve"> HYPERLINK \l "_Toc24966_WPSOffice_Level2" </w:instrText>
          </w:r>
          <w:r>
            <w:fldChar w:fldCharType="separate"/>
          </w:r>
          <w:r>
            <w:t xml:space="preserve">6.9 </w:t>
          </w:r>
          <w:r>
            <w:rPr>
              <w:rFonts w:hint="eastAsia" w:ascii="宋体" w:hAnsi="宋体"/>
            </w:rPr>
            <w:t>评标委员会及其成员不得有下列行为</w:t>
          </w:r>
          <w:r>
            <w:tab/>
          </w:r>
          <w:bookmarkStart w:id="37" w:name="_Toc24966_WPSOffice_Level2Page"/>
          <w:r>
            <w:t>72</w:t>
          </w:r>
          <w:bookmarkEnd w:id="37"/>
          <w:r>
            <w:fldChar w:fldCharType="end"/>
          </w:r>
        </w:p>
        <w:p>
          <w:pPr>
            <w:pStyle w:val="226"/>
            <w:tabs>
              <w:tab w:val="right" w:leader="dot" w:pos="8250"/>
            </w:tabs>
            <w:ind w:left="420"/>
          </w:pPr>
          <w:r>
            <w:fldChar w:fldCharType="begin"/>
          </w:r>
          <w:r>
            <w:instrText xml:space="preserve"> HYPERLINK \l "_Toc20243_WPSOffice_Level2" </w:instrText>
          </w:r>
          <w:r>
            <w:fldChar w:fldCharType="separate"/>
          </w:r>
          <w:r>
            <w:t xml:space="preserve">6.10 </w:t>
          </w:r>
          <w:r>
            <w:rPr>
              <w:rFonts w:hint="eastAsia" w:ascii="宋体" w:hAnsi="宋体"/>
            </w:rPr>
            <w:t>评审专家在政府采购活动中应当遵守以下工作纪律</w:t>
          </w:r>
          <w:r>
            <w:tab/>
          </w:r>
          <w:bookmarkStart w:id="38" w:name="_Toc20243_WPSOffice_Level2Page"/>
          <w:r>
            <w:t>73</w:t>
          </w:r>
          <w:bookmarkEnd w:id="38"/>
          <w:r>
            <w:fldChar w:fldCharType="end"/>
          </w:r>
        </w:p>
        <w:p>
          <w:pPr>
            <w:pStyle w:val="225"/>
            <w:tabs>
              <w:tab w:val="right" w:leader="dot" w:pos="8250"/>
            </w:tabs>
          </w:pPr>
          <w:r>
            <w:fldChar w:fldCharType="begin"/>
          </w:r>
          <w:r>
            <w:instrText xml:space="preserve"> HYPERLINK \l "_Toc10023_WPSOffice_Level1" </w:instrText>
          </w:r>
          <w:r>
            <w:fldChar w:fldCharType="separate"/>
          </w:r>
          <w:r>
            <w:rPr>
              <w:b/>
              <w:bCs/>
            </w:rPr>
            <w:t xml:space="preserve">第7章 </w:t>
          </w:r>
          <w:r>
            <w:rPr>
              <w:rFonts w:hint="eastAsia" w:ascii="宋体" w:hAnsi="宋体"/>
              <w:b/>
              <w:bCs/>
            </w:rPr>
            <w:t>拟签订合同文本</w:t>
          </w:r>
          <w:r>
            <w:rPr>
              <w:b/>
              <w:bCs/>
            </w:rPr>
            <w:tab/>
          </w:r>
          <w:bookmarkStart w:id="39" w:name="_Toc10023_WPSOffice_Level1Page"/>
          <w:r>
            <w:rPr>
              <w:b/>
              <w:bCs/>
            </w:rPr>
            <w:t>75</w:t>
          </w:r>
          <w:bookmarkEnd w:id="39"/>
          <w:r>
            <w:rPr>
              <w:b/>
              <w:bCs/>
            </w:rPr>
            <w:fldChar w:fldCharType="end"/>
          </w:r>
        </w:p>
      </w:sdtContent>
    </w:sdt>
    <w:bookmarkEnd w:id="0"/>
    <w:p>
      <w:pPr>
        <w:tabs>
          <w:tab w:val="left" w:pos="620"/>
          <w:tab w:val="right" w:leader="dot" w:pos="8364"/>
        </w:tabs>
        <w:spacing w:line="360" w:lineRule="auto"/>
        <w:rPr>
          <w:sz w:val="32"/>
          <w:szCs w:val="36"/>
        </w:rPr>
      </w:pPr>
    </w:p>
    <w:p>
      <w:pPr>
        <w:keepNext/>
        <w:keepLines/>
        <w:numPr>
          <w:ilvl w:val="0"/>
          <w:numId w:val="5"/>
        </w:numPr>
        <w:spacing w:before="340" w:after="330" w:line="400" w:lineRule="exact"/>
        <w:jc w:val="center"/>
        <w:outlineLvl w:val="0"/>
        <w:rPr>
          <w:rFonts w:ascii="宋体" w:hAnsi="宋体"/>
          <w:b/>
          <w:bCs/>
          <w:spacing w:val="-20"/>
          <w:kern w:val="44"/>
          <w:sz w:val="32"/>
          <w:szCs w:val="32"/>
        </w:rPr>
        <w:sectPr>
          <w:footerReference r:id="rId3" w:type="default"/>
          <w:pgSz w:w="11850" w:h="16783"/>
          <w:pgMar w:top="1440" w:right="1800" w:bottom="1440" w:left="1800" w:header="708" w:footer="708" w:gutter="0"/>
          <w:cols w:space="708" w:num="1"/>
          <w:docGrid w:linePitch="360" w:charSpace="0"/>
        </w:sectPr>
      </w:pPr>
      <w:bookmarkStart w:id="40" w:name="_Toc74752318"/>
      <w:bookmarkStart w:id="41" w:name="_Toc181591102"/>
      <w:bookmarkStart w:id="42" w:name="_Toc32086_WPSOffice_Level1"/>
      <w:bookmarkStart w:id="43" w:name="_Toc30600_WPSOffice_Level1"/>
      <w:bookmarkStart w:id="44" w:name="_Toc204575871"/>
      <w:bookmarkStart w:id="45" w:name="_Toc25634_WPSOffice_Level1"/>
      <w:bookmarkStart w:id="46" w:name="_Toc181610856"/>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投标邀请</w:t>
      </w:r>
      <w:bookmarkEnd w:id="40"/>
      <w:bookmarkEnd w:id="41"/>
      <w:bookmarkEnd w:id="42"/>
      <w:bookmarkEnd w:id="43"/>
      <w:bookmarkEnd w:id="44"/>
      <w:bookmarkEnd w:id="45"/>
      <w:bookmarkEnd w:id="46"/>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rPr>
        <w:t xml:space="preserve">成都市龙泉驿区人民政府柏合街道办事处 </w:t>
      </w:r>
      <w:r>
        <w:rPr>
          <w:rFonts w:hint="eastAsia" w:ascii="宋体" w:hAnsi="宋体"/>
          <w:sz w:val="28"/>
          <w:szCs w:val="28"/>
        </w:rPr>
        <w:t>委托，拟对</w:t>
      </w:r>
      <w:r>
        <w:rPr>
          <w:rFonts w:hint="eastAsia" w:ascii="宋体" w:hAnsi="宋体"/>
          <w:b/>
          <w:sz w:val="28"/>
          <w:szCs w:val="28"/>
          <w:u w:val="single"/>
        </w:rPr>
        <w:t>成都市龙泉驿区人民政府柏合街道办事处办公区域物业管理服务项目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项目编号：龙泉驿政采（2021）A0082号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（采购项目编号：510112202100384）</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rPr>
        <w:t>成都市龙泉驿区人民政府柏合街道办事处办公区域物业管理服务项目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财政性资金，政府采购实施计划备案表号：(2021)1388号；预算品目：C1204物业管理服务；预算金额：600000元/年</w:t>
      </w:r>
      <w:r>
        <w:rPr>
          <w:rFonts w:hint="eastAsia" w:ascii="宋体" w:hAnsi="宋体"/>
          <w:sz w:val="28"/>
        </w:rPr>
        <w:t>；服务期限：合同签订后三年</w:t>
      </w:r>
      <w:r>
        <w:rPr>
          <w:rFonts w:hint="eastAsia" w:ascii="宋体" w:hAnsi="宋体"/>
          <w:sz w:val="28"/>
          <w:szCs w:val="28"/>
        </w:rPr>
        <w:t>。行业类别为：物业管理业。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本项目拟采购成都市龙泉驿区人民政府柏合街道办事处办公区域物业管理服务项目，详细的技术、服务、商务及其他要求见招标文件第4章。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招标文件获取时间：2021年11月</w:t>
      </w:r>
      <w:r>
        <w:rPr>
          <w:rFonts w:hint="eastAsia" w:ascii="宋体" w:hAnsi="宋体"/>
          <w:sz w:val="28"/>
          <w:szCs w:val="28"/>
          <w:lang w:val="en-US" w:eastAsia="zh-CN"/>
        </w:rPr>
        <w:t>11</w:t>
      </w:r>
      <w:r>
        <w:rPr>
          <w:rFonts w:hint="eastAsia" w:ascii="宋体" w:hAnsi="宋体"/>
          <w:sz w:val="28"/>
          <w:szCs w:val="28"/>
        </w:rPr>
        <w:t>日至11月</w:t>
      </w:r>
      <w:r>
        <w:rPr>
          <w:rFonts w:hint="eastAsia" w:ascii="宋体" w:hAnsi="宋体"/>
          <w:sz w:val="28"/>
          <w:szCs w:val="28"/>
          <w:lang w:val="en-US" w:eastAsia="zh-CN"/>
        </w:rPr>
        <w:t>17</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公告期限：2021年11月</w:t>
      </w:r>
      <w:r>
        <w:rPr>
          <w:rFonts w:hint="eastAsia" w:ascii="宋体" w:hAnsi="宋体"/>
          <w:sz w:val="28"/>
          <w:szCs w:val="28"/>
          <w:lang w:val="en-US" w:eastAsia="zh-CN"/>
        </w:rPr>
        <w:t>11</w:t>
      </w:r>
      <w:r>
        <w:rPr>
          <w:rFonts w:hint="eastAsia" w:ascii="宋体" w:hAnsi="宋体"/>
          <w:sz w:val="28"/>
          <w:szCs w:val="28"/>
        </w:rPr>
        <w:t>日至11月</w:t>
      </w:r>
      <w:r>
        <w:rPr>
          <w:rFonts w:hint="eastAsia" w:ascii="宋体" w:hAnsi="宋体"/>
          <w:sz w:val="28"/>
          <w:szCs w:val="28"/>
          <w:lang w:val="en-US" w:eastAsia="zh-CN"/>
        </w:rPr>
        <w:t>17</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47" w:name="_Toc184013605"/>
      <w:bookmarkStart w:id="48" w:name="_Toc184023104"/>
      <w:bookmarkStart w:id="49" w:name="_Toc174185149"/>
      <w:bookmarkStart w:id="50" w:name="_Toc186274101"/>
      <w:bookmarkStart w:id="51" w:name="_Toc180051012"/>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47"/>
      <w:bookmarkEnd w:id="48"/>
      <w:bookmarkEnd w:id="49"/>
      <w:bookmarkEnd w:id="50"/>
      <w:bookmarkEnd w:id="51"/>
      <w:r>
        <w:rPr>
          <w:rFonts w:hint="eastAsia" w:ascii="宋体" w:hAnsi="宋体"/>
          <w:b/>
          <w:sz w:val="28"/>
          <w:szCs w:val="28"/>
        </w:rPr>
        <w:t>(北京时间)、地点、方式</w:t>
      </w:r>
    </w:p>
    <w:p>
      <w:pPr>
        <w:adjustRightInd w:val="0"/>
        <w:snapToGrid w:val="0"/>
        <w:spacing w:line="360" w:lineRule="auto"/>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w:t>
      </w:r>
      <w:bookmarkStart w:id="375" w:name="_GoBack"/>
      <w:bookmarkEnd w:id="375"/>
      <w:r>
        <w:rPr>
          <w:rFonts w:hint="eastAsia" w:ascii="宋体" w:hAnsi="宋体"/>
          <w:b/>
          <w:sz w:val="28"/>
          <w:szCs w:val="28"/>
        </w:rPr>
        <w:t>日上午09:30。</w:t>
      </w:r>
    </w:p>
    <w:p>
      <w:pPr>
        <w:adjustRightInd w:val="0"/>
        <w:snapToGrid w:val="0"/>
        <w:spacing w:line="360" w:lineRule="auto"/>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adjustRightInd w:val="0"/>
        <w:snapToGrid w:val="0"/>
        <w:spacing w:line="360" w:lineRule="auto"/>
        <w:ind w:left="0" w:firstLine="567"/>
        <w:rPr>
          <w:rFonts w:ascii="宋体" w:hAnsi="宋体"/>
          <w:b/>
          <w:sz w:val="28"/>
          <w:szCs w:val="28"/>
        </w:rPr>
      </w:pPr>
      <w:r>
        <w:rPr>
          <w:rFonts w:hint="eastAsia" w:ascii="宋体" w:hAnsi="宋体"/>
          <w:b/>
          <w:sz w:val="28"/>
          <w:szCs w:val="28"/>
        </w:rPr>
        <w:t>开标地点</w:t>
      </w:r>
    </w:p>
    <w:p>
      <w:pPr>
        <w:adjustRightInd w:val="0"/>
        <w:snapToGrid w:val="0"/>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adjustRightInd w:val="0"/>
        <w:snapToGrid w:val="0"/>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 xml:space="preserve">成都市龙泉驿区人民政府柏合街道办事处 </w:t>
      </w:r>
    </w:p>
    <w:p>
      <w:pPr>
        <w:pStyle w:val="146"/>
        <w:ind w:firstLine="560"/>
        <w:rPr>
          <w:rFonts w:ascii="宋体" w:hAnsi="宋体"/>
          <w:kern w:val="0"/>
          <w:sz w:val="28"/>
          <w:szCs w:val="22"/>
        </w:rPr>
      </w:pPr>
      <w:r>
        <w:rPr>
          <w:rFonts w:hint="eastAsia" w:ascii="宋体" w:hAnsi="宋体"/>
          <w:sz w:val="28"/>
          <w:szCs w:val="28"/>
        </w:rPr>
        <w:t>地  址： 成都市龙泉驿区鲸龙路451</w:t>
      </w:r>
    </w:p>
    <w:p>
      <w:pPr>
        <w:spacing w:line="360" w:lineRule="auto"/>
        <w:ind w:firstLine="565" w:firstLineChars="202"/>
        <w:rPr>
          <w:rFonts w:ascii="宋体" w:hAnsi="宋体"/>
          <w:sz w:val="28"/>
          <w:szCs w:val="28"/>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rPr>
        <w:t>100</w:t>
      </w:r>
    </w:p>
    <w:p>
      <w:pPr>
        <w:spacing w:line="360" w:lineRule="auto"/>
        <w:ind w:firstLine="565" w:firstLineChars="202"/>
        <w:rPr>
          <w:rFonts w:ascii="宋体" w:hAnsi="宋体"/>
          <w:sz w:val="28"/>
          <w:szCs w:val="28"/>
        </w:rPr>
      </w:pPr>
      <w:r>
        <w:rPr>
          <w:rFonts w:hint="eastAsia" w:ascii="宋体" w:hAnsi="宋体"/>
          <w:sz w:val="28"/>
          <w:szCs w:val="28"/>
        </w:rPr>
        <w:t>联系人：班丽晓</w:t>
      </w:r>
    </w:p>
    <w:p>
      <w:pPr>
        <w:spacing w:line="360" w:lineRule="auto"/>
        <w:ind w:firstLine="565" w:firstLineChars="202"/>
        <w:rPr>
          <w:rFonts w:ascii="宋体" w:hAnsi="宋体"/>
          <w:sz w:val="28"/>
          <w:szCs w:val="28"/>
        </w:rPr>
      </w:pPr>
      <w:r>
        <w:rPr>
          <w:rFonts w:hint="eastAsia" w:ascii="宋体" w:hAnsi="宋体"/>
          <w:sz w:val="28"/>
          <w:szCs w:val="28"/>
        </w:rPr>
        <w:t>联系电话：15198189125</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ascii="宋体" w:hAnsi="宋体"/>
          <w:sz w:val="28"/>
          <w:szCs w:val="28"/>
        </w:rPr>
      </w:pPr>
      <w:r>
        <w:rPr>
          <w:rFonts w:hint="eastAsia" w:ascii="宋体" w:hAnsi="宋体"/>
          <w:sz w:val="28"/>
          <w:szCs w:val="28"/>
        </w:rPr>
        <w:t>联系人：黄志平</w:t>
      </w:r>
    </w:p>
    <w:p>
      <w:pPr>
        <w:spacing w:line="600" w:lineRule="exact"/>
        <w:ind w:firstLine="705" w:firstLineChars="252"/>
        <w:rPr>
          <w:rFonts w:ascii="宋体" w:hAnsi="宋体"/>
          <w:sz w:val="28"/>
          <w:szCs w:val="28"/>
        </w:rPr>
      </w:pPr>
      <w:r>
        <w:rPr>
          <w:rFonts w:hint="eastAsia" w:ascii="宋体" w:hAnsi="宋体"/>
          <w:sz w:val="28"/>
          <w:szCs w:val="28"/>
        </w:rPr>
        <w:t>联系电话：028-61430621</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52" w:name="_Toc3637_WPSOffice_Level1"/>
      <w:bookmarkStart w:id="53" w:name="_Toc6849_WPSOffice_Level1"/>
      <w:bookmarkStart w:id="54" w:name="_Toc74752319"/>
      <w:bookmarkStart w:id="55" w:name="_Toc3930_WPSOffice_Level1"/>
      <w:r>
        <w:rPr>
          <w:rFonts w:hint="eastAsia" w:ascii="宋体" w:hAnsi="宋体"/>
          <w:b/>
          <w:bCs/>
          <w:spacing w:val="-20"/>
          <w:kern w:val="44"/>
          <w:sz w:val="32"/>
          <w:szCs w:val="32"/>
        </w:rPr>
        <w:t>投标人须知</w:t>
      </w:r>
      <w:bookmarkEnd w:id="52"/>
      <w:bookmarkEnd w:id="53"/>
      <w:bookmarkEnd w:id="54"/>
      <w:bookmarkEnd w:id="55"/>
    </w:p>
    <w:p>
      <w:pPr>
        <w:keepNext/>
        <w:keepLines/>
        <w:numPr>
          <w:ilvl w:val="1"/>
          <w:numId w:val="5"/>
        </w:numPr>
        <w:spacing w:before="260" w:after="260" w:line="360" w:lineRule="auto"/>
        <w:jc w:val="left"/>
        <w:outlineLvl w:val="1"/>
        <w:rPr>
          <w:rFonts w:ascii="宋体" w:hAnsi="宋体"/>
          <w:b/>
          <w:bCs/>
          <w:sz w:val="28"/>
          <w:szCs w:val="28"/>
        </w:rPr>
      </w:pPr>
      <w:bookmarkStart w:id="56" w:name="_Toc213397010"/>
      <w:bookmarkStart w:id="57" w:name="_Toc189727030"/>
      <w:bookmarkStart w:id="58" w:name="_Toc213396760"/>
      <w:bookmarkStart w:id="59" w:name="_Toc316462344"/>
      <w:bookmarkStart w:id="60" w:name="_Toc3637_WPSOffice_Level2"/>
      <w:bookmarkStart w:id="61" w:name="_Toc6849_WPSOffice_Level2"/>
      <w:bookmarkStart w:id="62" w:name="_Toc3930_WPSOffice_Level2"/>
      <w:bookmarkStart w:id="63" w:name="_Toc74752320"/>
      <w:bookmarkStart w:id="64" w:name="_Toc213496268"/>
      <w:bookmarkStart w:id="65" w:name="_Toc213396946"/>
      <w:bookmarkStart w:id="66" w:name="_Toc217446032"/>
      <w:r>
        <w:rPr>
          <w:rFonts w:hint="eastAsia" w:ascii="宋体" w:hAnsi="宋体"/>
          <w:b/>
          <w:bCs/>
          <w:sz w:val="28"/>
          <w:szCs w:val="28"/>
        </w:rPr>
        <w:t>投标人须知前附表</w:t>
      </w:r>
      <w:bookmarkEnd w:id="56"/>
      <w:bookmarkEnd w:id="57"/>
      <w:bookmarkEnd w:id="58"/>
      <w:bookmarkEnd w:id="59"/>
      <w:bookmarkEnd w:id="60"/>
      <w:bookmarkEnd w:id="61"/>
      <w:bookmarkEnd w:id="62"/>
      <w:bookmarkEnd w:id="63"/>
      <w:bookmarkEnd w:id="64"/>
      <w:bookmarkEnd w:id="65"/>
      <w:bookmarkEnd w:id="66"/>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人民币600000元/年</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b/>
              </w:rPr>
              <w:t>600000</w:t>
            </w:r>
            <w:r>
              <w:rPr>
                <w:rFonts w:hint="eastAsia" w:ascii="宋体" w:hAnsi="宋体" w:cs="宋体"/>
                <w:b/>
                <w:lang w:val="zh-CN"/>
              </w:rPr>
              <w:t>元</w:t>
            </w:r>
            <w:r>
              <w:rPr>
                <w:rFonts w:hint="eastAsia" w:ascii="宋体" w:hAnsi="宋体" w:cs="宋体"/>
                <w:b/>
              </w:rPr>
              <w:t>/年</w:t>
            </w:r>
            <w:r>
              <w:rPr>
                <w:rFonts w:hint="eastAsia" w:ascii="宋体" w:hAnsi="宋体" w:cs="宋体"/>
                <w:b/>
                <w:lang w:val="zh-CN"/>
              </w:rPr>
              <w:t>，</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服务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联系人：李峰、李强</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67" w:name="_Toc16783_WPSOffice_Level2"/>
      <w:bookmarkStart w:id="68" w:name="_Toc74752321"/>
      <w:bookmarkStart w:id="69" w:name="_Toc22316_WPSOffice_Level2"/>
      <w:bookmarkStart w:id="70" w:name="_Toc30686_WPSOffice_Level2"/>
      <w:r>
        <w:rPr>
          <w:rFonts w:hint="eastAsia" w:ascii="宋体" w:hAnsi="宋体"/>
          <w:b/>
          <w:bCs/>
          <w:sz w:val="28"/>
          <w:szCs w:val="28"/>
        </w:rPr>
        <w:t>总则</w:t>
      </w:r>
      <w:bookmarkEnd w:id="67"/>
      <w:bookmarkEnd w:id="68"/>
      <w:bookmarkEnd w:id="69"/>
      <w:bookmarkEnd w:id="7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 xml:space="preserve">成都市龙泉驿区人民政府柏合街道办事处 </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“投标人”系指在政采云系统里已成功获取采购文件的供应商，拟参加投标和向采购人提供货物及服务的供应商。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71" w:name="_Toc217390843"/>
      <w:bookmarkStart w:id="72" w:name="_Toc183582207"/>
      <w:bookmarkStart w:id="73" w:name="_Toc183682344"/>
      <w:bookmarkStart w:id="74" w:name="_Toc217446036"/>
      <w:r>
        <w:rPr>
          <w:rFonts w:hint="eastAsia" w:ascii="宋体" w:hAnsi="宋体"/>
          <w:b/>
          <w:bCs/>
          <w:sz w:val="28"/>
          <w:szCs w:val="28"/>
        </w:rPr>
        <w:t>合格的投标人</w:t>
      </w:r>
      <w:bookmarkEnd w:id="71"/>
      <w:bookmarkEnd w:id="72"/>
      <w:bookmarkEnd w:id="73"/>
      <w:bookmarkEnd w:id="74"/>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tabs>
          <w:tab w:val="left" w:pos="1134"/>
        </w:tabs>
        <w:adjustRightInd w:val="0"/>
        <w:spacing w:line="360" w:lineRule="auto"/>
        <w:ind w:left="567"/>
        <w:rPr>
          <w:rFonts w:ascii="宋体" w:hAnsi="宋体"/>
          <w:b/>
          <w:sz w:val="28"/>
          <w:szCs w:val="28"/>
        </w:rPr>
      </w:pPr>
    </w:p>
    <w:p>
      <w:pPr>
        <w:keepNext/>
        <w:keepLines/>
        <w:numPr>
          <w:ilvl w:val="1"/>
          <w:numId w:val="5"/>
        </w:numPr>
        <w:spacing w:line="360" w:lineRule="auto"/>
        <w:jc w:val="left"/>
        <w:outlineLvl w:val="1"/>
        <w:rPr>
          <w:rFonts w:ascii="宋体" w:hAnsi="宋体"/>
          <w:b/>
          <w:bCs/>
          <w:sz w:val="28"/>
          <w:szCs w:val="28"/>
        </w:rPr>
      </w:pPr>
      <w:bookmarkStart w:id="75" w:name="_Toc7031_WPSOffice_Level2"/>
      <w:bookmarkStart w:id="76" w:name="_Toc74752322"/>
      <w:bookmarkStart w:id="77" w:name="_Toc183682347"/>
      <w:bookmarkStart w:id="78" w:name="_Toc183582210"/>
      <w:bookmarkStart w:id="79" w:name="_Toc10619_WPSOffice_Level2"/>
      <w:bookmarkStart w:id="80" w:name="_Toc17317_WPSOffice_Level2"/>
      <w:bookmarkStart w:id="81" w:name="_Toc217446039"/>
      <w:r>
        <w:rPr>
          <w:rFonts w:hint="eastAsia" w:ascii="宋体" w:hAnsi="宋体"/>
          <w:b/>
          <w:bCs/>
          <w:sz w:val="28"/>
          <w:szCs w:val="28"/>
        </w:rPr>
        <w:t>招标文件</w:t>
      </w:r>
      <w:bookmarkEnd w:id="75"/>
      <w:bookmarkEnd w:id="76"/>
      <w:bookmarkEnd w:id="77"/>
      <w:bookmarkEnd w:id="78"/>
      <w:bookmarkEnd w:id="79"/>
      <w:bookmarkEnd w:id="80"/>
      <w:bookmarkEnd w:id="81"/>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82" w:name="_Toc29367_WPSOffice_Level2"/>
      <w:bookmarkStart w:id="83" w:name="_Toc77400780"/>
      <w:bookmarkStart w:id="84" w:name="_Toc217446042"/>
      <w:bookmarkStart w:id="85" w:name="_Toc183582214"/>
      <w:bookmarkStart w:id="86" w:name="_Toc183682351"/>
      <w:bookmarkStart w:id="87" w:name="_Toc21586_WPSOffice_Level2"/>
      <w:bookmarkStart w:id="88" w:name="_Toc74752323"/>
      <w:bookmarkStart w:id="89" w:name="_Toc89075876"/>
      <w:bookmarkStart w:id="90" w:name="_Toc28183_WPSOffice_Level2"/>
      <w:r>
        <w:rPr>
          <w:rFonts w:hint="eastAsia" w:ascii="宋体" w:hAnsi="宋体"/>
          <w:b/>
          <w:bCs/>
          <w:sz w:val="28"/>
          <w:szCs w:val="28"/>
        </w:rPr>
        <w:t>投标文件</w:t>
      </w:r>
      <w:bookmarkEnd w:id="82"/>
      <w:bookmarkEnd w:id="83"/>
      <w:bookmarkEnd w:id="84"/>
      <w:bookmarkEnd w:id="85"/>
      <w:bookmarkEnd w:id="86"/>
      <w:bookmarkEnd w:id="87"/>
      <w:bookmarkEnd w:id="88"/>
      <w:bookmarkEnd w:id="89"/>
      <w:bookmarkEnd w:id="90"/>
    </w:p>
    <w:p>
      <w:pPr>
        <w:keepNext/>
        <w:keepLines/>
        <w:numPr>
          <w:ilvl w:val="2"/>
          <w:numId w:val="5"/>
        </w:numPr>
        <w:spacing w:line="360" w:lineRule="auto"/>
        <w:ind w:left="0" w:firstLine="0"/>
        <w:outlineLvl w:val="2"/>
        <w:rPr>
          <w:rFonts w:ascii="宋体" w:hAnsi="宋体"/>
          <w:b/>
          <w:bCs/>
          <w:sz w:val="28"/>
          <w:szCs w:val="28"/>
        </w:rPr>
      </w:pPr>
      <w:bookmarkStart w:id="91" w:name="_Toc183582215"/>
      <w:bookmarkStart w:id="92" w:name="_Toc217446043"/>
      <w:bookmarkStart w:id="93" w:name="_Toc183682352"/>
      <w:r>
        <w:rPr>
          <w:rFonts w:hint="eastAsia" w:ascii="宋体" w:hAnsi="宋体"/>
          <w:b/>
          <w:bCs/>
          <w:sz w:val="28"/>
          <w:szCs w:val="28"/>
        </w:rPr>
        <w:t>投标文件的语言</w:t>
      </w:r>
      <w:bookmarkEnd w:id="91"/>
      <w:bookmarkEnd w:id="92"/>
      <w:bookmarkEnd w:id="93"/>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94" w:name="_Toc183582216"/>
      <w:bookmarkStart w:id="95" w:name="_Toc183682353"/>
      <w:bookmarkStart w:id="96" w:name="_Toc217446044"/>
      <w:r>
        <w:rPr>
          <w:rFonts w:hint="eastAsia" w:ascii="宋体" w:hAnsi="宋体"/>
          <w:b/>
          <w:bCs/>
          <w:sz w:val="28"/>
          <w:szCs w:val="28"/>
        </w:rPr>
        <w:t>计量单位</w:t>
      </w:r>
      <w:bookmarkEnd w:id="94"/>
      <w:bookmarkEnd w:id="95"/>
      <w:bookmarkEnd w:id="96"/>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97" w:name="_Toc217446045"/>
      <w:r>
        <w:rPr>
          <w:rFonts w:hint="eastAsia" w:ascii="宋体" w:hAnsi="宋体"/>
          <w:b/>
          <w:bCs/>
          <w:sz w:val="28"/>
          <w:szCs w:val="28"/>
        </w:rPr>
        <w:t>投标货币</w:t>
      </w:r>
      <w:bookmarkEnd w:id="97"/>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98" w:name="_Toc217446046"/>
      <w:r>
        <w:rPr>
          <w:rFonts w:hint="eastAsia" w:ascii="宋体" w:hAnsi="宋体"/>
          <w:b/>
          <w:bCs/>
          <w:sz w:val="28"/>
          <w:szCs w:val="28"/>
        </w:rPr>
        <w:t>联合体投标</w:t>
      </w:r>
      <w:bookmarkEnd w:id="98"/>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99" w:name="_Toc217446047"/>
      <w:r>
        <w:rPr>
          <w:rFonts w:hint="eastAsia" w:ascii="宋体" w:hAnsi="宋体"/>
          <w:b/>
          <w:bCs/>
          <w:sz w:val="28"/>
          <w:szCs w:val="28"/>
        </w:rPr>
        <w:t>知识产权</w:t>
      </w:r>
      <w:bookmarkEnd w:id="99"/>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100" w:name="_Toc183682354"/>
      <w:bookmarkStart w:id="101" w:name="_Toc217446048"/>
      <w:bookmarkStart w:id="102" w:name="_Toc183582217"/>
      <w:r>
        <w:rPr>
          <w:rFonts w:hint="eastAsia" w:ascii="宋体" w:hAnsi="宋体"/>
          <w:b/>
          <w:bCs/>
          <w:sz w:val="28"/>
          <w:szCs w:val="28"/>
        </w:rPr>
        <w:t>投标文件的组成</w:t>
      </w:r>
      <w:bookmarkEnd w:id="100"/>
      <w:bookmarkEnd w:id="101"/>
      <w:bookmarkEnd w:id="102"/>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中小企业声明函；</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残疾人福利性单位声明函；</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供应商属于监狱企业的证明文件复印件。</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服务方案及服务承诺；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103" w:name="_Toc183582211"/>
      <w:bookmarkStart w:id="104" w:name="_Toc183682348"/>
      <w:bookmarkStart w:id="105" w:name="_Toc217446040"/>
      <w:r>
        <w:rPr>
          <w:rFonts w:hint="eastAsia" w:ascii="宋体" w:hAnsi="宋体"/>
          <w:b/>
          <w:bCs/>
          <w:sz w:val="28"/>
          <w:szCs w:val="28"/>
        </w:rPr>
        <w:t>招标文件的澄清</w:t>
      </w:r>
      <w:bookmarkEnd w:id="103"/>
      <w:bookmarkEnd w:id="104"/>
      <w:r>
        <w:rPr>
          <w:rFonts w:hint="eastAsia" w:ascii="宋体" w:hAnsi="宋体"/>
          <w:b/>
          <w:bCs/>
          <w:sz w:val="28"/>
          <w:szCs w:val="28"/>
        </w:rPr>
        <w:t>和修改</w:t>
      </w:r>
      <w:bookmarkEnd w:id="105"/>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p>
    <w:p>
      <w:pPr>
        <w:keepNext/>
        <w:keepLines/>
        <w:numPr>
          <w:ilvl w:val="2"/>
          <w:numId w:val="5"/>
        </w:numPr>
        <w:spacing w:line="360" w:lineRule="auto"/>
        <w:ind w:left="0" w:firstLine="0"/>
        <w:outlineLvl w:val="2"/>
        <w:rPr>
          <w:rFonts w:ascii="宋体" w:hAnsi="宋体"/>
          <w:b/>
          <w:bCs/>
          <w:sz w:val="28"/>
          <w:szCs w:val="28"/>
        </w:rPr>
      </w:pPr>
      <w:bookmarkStart w:id="106" w:name="_Toc316292020"/>
      <w:bookmarkEnd w:id="106"/>
      <w:bookmarkStart w:id="107" w:name="_Toc316291395"/>
      <w:bookmarkEnd w:id="107"/>
      <w:bookmarkStart w:id="108" w:name="_Toc316291396"/>
      <w:bookmarkEnd w:id="108"/>
      <w:bookmarkStart w:id="109" w:name="_Toc316292019"/>
      <w:bookmarkEnd w:id="109"/>
      <w:bookmarkStart w:id="110" w:name="_Toc183582218"/>
      <w:bookmarkStart w:id="111" w:name="_Toc183682355"/>
      <w:bookmarkStart w:id="112" w:name="_Toc217446049"/>
      <w:r>
        <w:rPr>
          <w:rFonts w:hint="eastAsia" w:ascii="宋体" w:hAnsi="宋体"/>
          <w:b/>
          <w:bCs/>
          <w:sz w:val="28"/>
          <w:szCs w:val="28"/>
        </w:rPr>
        <w:t>投标文件格式</w:t>
      </w:r>
      <w:bookmarkEnd w:id="110"/>
      <w:bookmarkEnd w:id="111"/>
      <w:bookmarkEnd w:id="112"/>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113" w:name="_Toc183682360"/>
      <w:bookmarkStart w:id="114" w:name="_Toc183582223"/>
      <w:bookmarkStart w:id="115"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113"/>
      <w:bookmarkEnd w:id="114"/>
      <w:bookmarkEnd w:id="115"/>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116" w:name="_Toc316292024"/>
      <w:bookmarkEnd w:id="116"/>
      <w:bookmarkStart w:id="117" w:name="_Toc316291400"/>
      <w:bookmarkEnd w:id="117"/>
      <w:bookmarkStart w:id="118" w:name="_Toc217446051"/>
      <w:bookmarkStart w:id="119" w:name="_Toc183682361"/>
      <w:bookmarkStart w:id="120" w:name="_Toc183582224"/>
      <w:r>
        <w:rPr>
          <w:rFonts w:hint="eastAsia" w:ascii="宋体" w:hAnsi="宋体"/>
          <w:b/>
          <w:bCs/>
          <w:sz w:val="28"/>
          <w:szCs w:val="28"/>
        </w:rPr>
        <w:t>投标有效期</w:t>
      </w:r>
      <w:bookmarkEnd w:id="118"/>
      <w:bookmarkEnd w:id="119"/>
      <w:bookmarkEnd w:id="120"/>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121" w:name="_Toc183682364"/>
      <w:bookmarkStart w:id="122" w:name="_Toc183582227"/>
      <w:bookmarkStart w:id="123"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121"/>
      <w:bookmarkEnd w:id="122"/>
      <w:r>
        <w:rPr>
          <w:rFonts w:hint="eastAsia"/>
          <w:color w:val="auto"/>
        </w:rPr>
        <w:t>递交</w:t>
      </w:r>
      <w:bookmarkEnd w:id="123"/>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124" w:name="_Toc316475587"/>
      <w:bookmarkEnd w:id="124"/>
      <w:bookmarkStart w:id="125" w:name="_Toc316475586"/>
      <w:bookmarkEnd w:id="125"/>
      <w:bookmarkStart w:id="126" w:name="_Toc183582228"/>
      <w:bookmarkStart w:id="127" w:name="_Toc183682365"/>
      <w:bookmarkStart w:id="128" w:name="_Toc217446055"/>
      <w:r>
        <w:rPr>
          <w:rFonts w:hint="eastAsia"/>
          <w:color w:val="auto"/>
        </w:rPr>
        <w:t>投标文件的</w:t>
      </w:r>
      <w:bookmarkEnd w:id="126"/>
      <w:bookmarkEnd w:id="127"/>
      <w:bookmarkEnd w:id="128"/>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129" w:name="_Toc74752324"/>
      <w:bookmarkStart w:id="130" w:name="_Toc183582231"/>
      <w:bookmarkStart w:id="131" w:name="_Toc217446056"/>
      <w:bookmarkStart w:id="132" w:name="_Toc89075878"/>
      <w:bookmarkStart w:id="133" w:name="_Toc183682368"/>
      <w:bookmarkStart w:id="134" w:name="_Toc77400782"/>
      <w:bookmarkStart w:id="135" w:name="_Toc23411_WPSOffice_Level2"/>
      <w:bookmarkStart w:id="136" w:name="_Toc797_WPSOffice_Level2"/>
      <w:bookmarkStart w:id="137" w:name="_Toc3651_WPSOffice_Level2"/>
      <w:r>
        <w:rPr>
          <w:rFonts w:hint="eastAsia" w:ascii="宋体" w:hAnsi="宋体"/>
          <w:b/>
          <w:bCs/>
          <w:sz w:val="28"/>
          <w:szCs w:val="28"/>
        </w:rPr>
        <w:t>开标、资格审查、评标和中标</w:t>
      </w:r>
      <w:bookmarkEnd w:id="129"/>
      <w:bookmarkEnd w:id="130"/>
      <w:bookmarkEnd w:id="131"/>
      <w:bookmarkEnd w:id="132"/>
      <w:bookmarkEnd w:id="133"/>
      <w:bookmarkEnd w:id="134"/>
      <w:bookmarkEnd w:id="135"/>
      <w:bookmarkEnd w:id="136"/>
      <w:bookmarkEnd w:id="137"/>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138" w:name="_Toc183682375"/>
      <w:bookmarkStart w:id="139" w:name="_Toc183582238"/>
      <w:bookmarkStart w:id="140" w:name="_Toc217446063"/>
      <w:r>
        <w:rPr>
          <w:rFonts w:hint="eastAsia" w:ascii="宋体" w:hAnsi="宋体"/>
          <w:b/>
          <w:bCs/>
          <w:sz w:val="28"/>
          <w:szCs w:val="28"/>
        </w:rPr>
        <w:t>中标通知</w:t>
      </w:r>
      <w:bookmarkEnd w:id="138"/>
      <w:bookmarkEnd w:id="139"/>
      <w:r>
        <w:rPr>
          <w:rFonts w:hint="eastAsia" w:ascii="宋体" w:hAnsi="宋体"/>
          <w:b/>
          <w:bCs/>
          <w:sz w:val="28"/>
          <w:szCs w:val="28"/>
        </w:rPr>
        <w:t>书</w:t>
      </w:r>
      <w:bookmarkEnd w:id="140"/>
    </w:p>
    <w:p>
      <w:pPr>
        <w:spacing w:line="360" w:lineRule="auto"/>
        <w:ind w:right="210" w:firstLine="560" w:firstLineChars="200"/>
        <w:rPr>
          <w:rFonts w:ascii="宋体" w:hAnsi="宋体"/>
          <w:sz w:val="28"/>
          <w:szCs w:val="28"/>
        </w:rPr>
      </w:pPr>
      <w:bookmarkStart w:id="141" w:name="_Toc217446064"/>
      <w:bookmarkStart w:id="142" w:name="_Toc183682377"/>
      <w:bookmarkStart w:id="143"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144" w:name="_Toc74752325"/>
      <w:bookmarkStart w:id="145" w:name="_Toc10313_WPSOffice_Level2"/>
      <w:bookmarkStart w:id="146" w:name="_Toc3564_WPSOffice_Level2"/>
      <w:bookmarkStart w:id="147" w:name="_Toc10023_WPSOffice_Level2"/>
      <w:r>
        <w:rPr>
          <w:rFonts w:hint="eastAsia" w:ascii="宋体" w:hAnsi="宋体"/>
          <w:b/>
          <w:bCs/>
          <w:sz w:val="28"/>
          <w:szCs w:val="28"/>
        </w:rPr>
        <w:t>签订及履行合同和验收</w:t>
      </w:r>
      <w:bookmarkEnd w:id="141"/>
      <w:bookmarkEnd w:id="144"/>
      <w:bookmarkEnd w:id="145"/>
      <w:bookmarkEnd w:id="146"/>
      <w:bookmarkEnd w:id="147"/>
    </w:p>
    <w:p>
      <w:pPr>
        <w:keepNext/>
        <w:keepLines/>
        <w:numPr>
          <w:ilvl w:val="2"/>
          <w:numId w:val="5"/>
        </w:numPr>
        <w:spacing w:line="360" w:lineRule="auto"/>
        <w:ind w:left="0" w:firstLine="0"/>
        <w:outlineLvl w:val="2"/>
        <w:rPr>
          <w:rFonts w:ascii="宋体" w:hAnsi="宋体"/>
          <w:b/>
          <w:bCs/>
          <w:sz w:val="28"/>
          <w:szCs w:val="28"/>
        </w:rPr>
      </w:pPr>
      <w:bookmarkStart w:id="148" w:name="_Toc217446065"/>
      <w:r>
        <w:rPr>
          <w:rFonts w:hint="eastAsia" w:ascii="宋体" w:hAnsi="宋体"/>
          <w:b/>
          <w:bCs/>
          <w:sz w:val="28"/>
          <w:szCs w:val="28"/>
        </w:rPr>
        <w:t>签订合同</w:t>
      </w:r>
      <w:bookmarkEnd w:id="14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149" w:name="_Toc315871033"/>
      <w:bookmarkEnd w:id="149"/>
      <w:bookmarkStart w:id="150" w:name="_Toc217446066"/>
      <w:r>
        <w:rPr>
          <w:rFonts w:hint="eastAsia" w:ascii="宋体" w:hAnsi="宋体"/>
          <w:b/>
          <w:bCs/>
          <w:sz w:val="28"/>
          <w:szCs w:val="28"/>
        </w:rPr>
        <w:t>合同分包</w:t>
      </w:r>
      <w:bookmarkEnd w:id="15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151" w:name="_Toc217446067"/>
      <w:r>
        <w:rPr>
          <w:rFonts w:hint="eastAsia" w:ascii="宋体" w:hAnsi="宋体"/>
          <w:b/>
          <w:bCs/>
          <w:sz w:val="28"/>
          <w:szCs w:val="28"/>
        </w:rPr>
        <w:t>采购人增加合同标的的权</w:t>
      </w:r>
      <w:bookmarkEnd w:id="15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152" w:name="_Toc217446068"/>
      <w:r>
        <w:rPr>
          <w:rFonts w:hint="eastAsia" w:ascii="宋体" w:hAnsi="宋体"/>
          <w:b/>
          <w:bCs/>
          <w:sz w:val="28"/>
          <w:szCs w:val="28"/>
        </w:rPr>
        <w:t>履约保证金</w:t>
      </w:r>
      <w:bookmarkEnd w:id="152"/>
    </w:p>
    <w:p>
      <w:pPr>
        <w:spacing w:after="180" w:line="360" w:lineRule="auto"/>
        <w:ind w:firstLine="562" w:firstLineChars="200"/>
        <w:rPr>
          <w:rFonts w:ascii="宋体" w:hAnsi="宋体"/>
          <w:b/>
          <w:sz w:val="28"/>
          <w:szCs w:val="28"/>
        </w:rPr>
      </w:pPr>
      <w:bookmarkStart w:id="15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15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154" w:name="_Toc217446070"/>
      <w:r>
        <w:rPr>
          <w:rFonts w:hint="eastAsia" w:ascii="宋体" w:hAnsi="宋体"/>
          <w:b/>
          <w:bCs/>
          <w:sz w:val="28"/>
          <w:szCs w:val="28"/>
        </w:rPr>
        <w:t>验收</w:t>
      </w:r>
      <w:bookmarkEnd w:id="154"/>
      <w:r>
        <w:rPr>
          <w:rFonts w:hint="eastAsia" w:ascii="宋体" w:hAnsi="宋体"/>
          <w:b/>
          <w:bCs/>
          <w:sz w:val="28"/>
          <w:szCs w:val="28"/>
        </w:rPr>
        <w:t>或考核</w:t>
      </w:r>
    </w:p>
    <w:bookmarkEnd w:id="142"/>
    <w:bookmarkEnd w:id="143"/>
    <w:p>
      <w:pPr>
        <w:spacing w:line="360" w:lineRule="auto"/>
        <w:ind w:firstLine="560" w:firstLineChars="200"/>
        <w:rPr>
          <w:rFonts w:ascii="宋体" w:hAnsi="宋体"/>
          <w:sz w:val="28"/>
          <w:szCs w:val="28"/>
        </w:rPr>
      </w:pPr>
      <w:bookmarkStart w:id="155" w:name="_Toc217446074"/>
      <w:bookmarkStart w:id="156" w:name="_Toc183682380"/>
      <w:bookmarkStart w:id="15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58" w:name="_Toc74752326"/>
      <w:bookmarkStart w:id="159" w:name="_Toc12811_WPSOffice_Level2"/>
      <w:bookmarkStart w:id="160" w:name="_Toc30855_WPSOffice_Level2"/>
      <w:bookmarkStart w:id="161" w:name="_Toc27536_WPSOffice_Level2"/>
      <w:r>
        <w:rPr>
          <w:rFonts w:hint="eastAsia" w:ascii="宋体" w:hAnsi="宋体"/>
          <w:b/>
          <w:bCs/>
          <w:sz w:val="28"/>
          <w:szCs w:val="28"/>
        </w:rPr>
        <w:t>投标纪律要求</w:t>
      </w:r>
      <w:bookmarkEnd w:id="155"/>
      <w:bookmarkEnd w:id="158"/>
      <w:bookmarkEnd w:id="159"/>
      <w:bookmarkEnd w:id="160"/>
      <w:bookmarkEnd w:id="161"/>
    </w:p>
    <w:p>
      <w:pPr>
        <w:keepNext/>
        <w:keepLines/>
        <w:numPr>
          <w:ilvl w:val="2"/>
          <w:numId w:val="5"/>
        </w:numPr>
        <w:spacing w:line="360" w:lineRule="auto"/>
        <w:ind w:left="0" w:firstLine="0"/>
        <w:outlineLvl w:val="2"/>
        <w:rPr>
          <w:rFonts w:ascii="宋体" w:hAnsi="宋体"/>
          <w:b/>
          <w:bCs/>
          <w:sz w:val="28"/>
          <w:szCs w:val="28"/>
        </w:rPr>
      </w:pPr>
      <w:bookmarkStart w:id="162" w:name="_Toc217446075"/>
      <w:r>
        <w:rPr>
          <w:rFonts w:hint="eastAsia" w:ascii="宋体" w:hAnsi="宋体"/>
          <w:b/>
          <w:bCs/>
          <w:sz w:val="28"/>
          <w:szCs w:val="28"/>
        </w:rPr>
        <w:t>投标人不得具有的情形</w:t>
      </w:r>
      <w:bookmarkEnd w:id="162"/>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63" w:name="_Toc314574786"/>
      <w:r>
        <w:rPr>
          <w:rFonts w:hint="eastAsia" w:ascii="宋体" w:hAnsi="宋体"/>
          <w:b/>
          <w:bCs/>
          <w:sz w:val="28"/>
          <w:szCs w:val="28"/>
        </w:rPr>
        <w:t>保密</w:t>
      </w:r>
      <w:bookmarkEnd w:id="163"/>
    </w:p>
    <w:p>
      <w:pPr>
        <w:numPr>
          <w:ilvl w:val="0"/>
          <w:numId w:val="29"/>
        </w:numPr>
        <w:tabs>
          <w:tab w:val="left" w:pos="0"/>
          <w:tab w:val="left" w:pos="1134"/>
        </w:tabs>
        <w:spacing w:line="360" w:lineRule="auto"/>
        <w:ind w:left="0" w:firstLine="567"/>
        <w:rPr>
          <w:sz w:val="28"/>
          <w:szCs w:val="28"/>
        </w:rPr>
      </w:pPr>
      <w:r>
        <w:rPr>
          <w:rFonts w:hint="eastAsia" w:ascii="宋体" w:hAnsi="宋体"/>
          <w:sz w:val="28"/>
          <w:szCs w:val="28"/>
        </w:rPr>
        <w:t>不</w:t>
      </w:r>
      <w:r>
        <w:rPr>
          <w:rFonts w:hint="eastAsia"/>
          <w:sz w:val="28"/>
          <w:szCs w:val="28"/>
        </w:rPr>
        <w:t>得透露有关在政采云系统里已成功获取采购文件的供应商的潜在投标人的任何情况。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64" w:name="_Toc16166_WPSOffice_Level2"/>
      <w:bookmarkStart w:id="165" w:name="_Toc15364_WPSOffice_Level2"/>
      <w:bookmarkStart w:id="166" w:name="_Toc74752327"/>
      <w:bookmarkStart w:id="167" w:name="_Toc7565_WPSOffice_Level2"/>
      <w:bookmarkStart w:id="168" w:name="_Toc217446078"/>
      <w:r>
        <w:rPr>
          <w:rFonts w:hint="eastAsia" w:ascii="宋体" w:hAnsi="宋体"/>
          <w:b/>
          <w:bCs/>
          <w:sz w:val="28"/>
          <w:szCs w:val="28"/>
        </w:rPr>
        <w:t>询问、质疑和投诉</w:t>
      </w:r>
      <w:bookmarkEnd w:id="164"/>
      <w:bookmarkEnd w:id="165"/>
      <w:bookmarkEnd w:id="166"/>
      <w:bookmarkEnd w:id="167"/>
      <w:bookmarkEnd w:id="168"/>
      <w:bookmarkStart w:id="169" w:name="_Toc217446079"/>
    </w:p>
    <w:bookmarkEnd w:id="156"/>
    <w:bookmarkEnd w:id="157"/>
    <w:bookmarkEnd w:id="169"/>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70" w:name="_Toc74752328"/>
      <w:bookmarkStart w:id="171" w:name="_Toc26403_WPSOffice_Level2"/>
      <w:bookmarkStart w:id="172" w:name="_Toc11819_WPSOffice_Level2"/>
      <w:bookmarkStart w:id="173" w:name="_Toc20685_WPSOffice_Level2"/>
      <w:r>
        <w:rPr>
          <w:rFonts w:hint="eastAsia" w:ascii="宋体" w:hAnsi="宋体"/>
          <w:b/>
          <w:bCs/>
          <w:sz w:val="28"/>
          <w:szCs w:val="28"/>
        </w:rPr>
        <w:t>中小企业政府采购信用融资</w:t>
      </w:r>
      <w:bookmarkEnd w:id="170"/>
      <w:bookmarkEnd w:id="171"/>
      <w:bookmarkEnd w:id="172"/>
      <w:bookmarkEnd w:id="173"/>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74" w:name="_Toc316292050"/>
      <w:bookmarkEnd w:id="174"/>
      <w:bookmarkStart w:id="175" w:name="_Toc315871046"/>
      <w:bookmarkEnd w:id="175"/>
      <w:bookmarkStart w:id="176" w:name="_Toc315871049"/>
      <w:bookmarkEnd w:id="176"/>
      <w:bookmarkStart w:id="177" w:name="_Toc316292051"/>
      <w:bookmarkEnd w:id="177"/>
      <w:bookmarkStart w:id="178" w:name="_Toc315871048"/>
      <w:bookmarkEnd w:id="178"/>
      <w:bookmarkStart w:id="179" w:name="_Toc316292048"/>
      <w:bookmarkEnd w:id="179"/>
      <w:bookmarkStart w:id="180" w:name="_Toc316292052"/>
      <w:bookmarkEnd w:id="180"/>
      <w:bookmarkStart w:id="181" w:name="_Toc315871047"/>
      <w:bookmarkEnd w:id="181"/>
      <w:bookmarkStart w:id="182" w:name="_Toc316292049"/>
      <w:bookmarkEnd w:id="182"/>
      <w:bookmarkStart w:id="183" w:name="_Toc315871045"/>
      <w:bookmarkEnd w:id="183"/>
      <w:bookmarkStart w:id="184" w:name="_Toc315871050"/>
      <w:bookmarkEnd w:id="184"/>
      <w:bookmarkStart w:id="185" w:name="_Toc74752329"/>
      <w:bookmarkStart w:id="186" w:name="_Toc22316_WPSOffice_Level1"/>
      <w:bookmarkStart w:id="187" w:name="_Toc30686_WPSOffice_Level1"/>
      <w:bookmarkStart w:id="188" w:name="_Toc16783_WPSOffice_Level1"/>
      <w:r>
        <w:rPr>
          <w:rFonts w:hint="eastAsia" w:ascii="宋体" w:hAnsi="宋体"/>
          <w:b/>
          <w:bCs/>
          <w:spacing w:val="-20"/>
          <w:kern w:val="44"/>
          <w:sz w:val="32"/>
          <w:szCs w:val="32"/>
        </w:rPr>
        <w:t>投标文件格式</w:t>
      </w:r>
      <w:bookmarkEnd w:id="185"/>
      <w:bookmarkEnd w:id="186"/>
      <w:bookmarkEnd w:id="187"/>
      <w:bookmarkEnd w:id="188"/>
    </w:p>
    <w:p>
      <w:pPr>
        <w:keepNext/>
        <w:keepLines/>
        <w:numPr>
          <w:ilvl w:val="1"/>
          <w:numId w:val="5"/>
        </w:numPr>
        <w:spacing w:before="260" w:after="260" w:line="360" w:lineRule="auto"/>
        <w:jc w:val="left"/>
        <w:outlineLvl w:val="1"/>
        <w:rPr>
          <w:rFonts w:ascii="宋体" w:hAnsi="宋体"/>
          <w:b/>
          <w:bCs/>
          <w:sz w:val="28"/>
          <w:szCs w:val="28"/>
        </w:rPr>
      </w:pPr>
      <w:bookmarkStart w:id="189" w:name="_Toc12981_WPSOffice_Level2"/>
      <w:bookmarkStart w:id="190" w:name="_Toc22003_WPSOffice_Level2"/>
      <w:bookmarkStart w:id="191" w:name="_Toc8816_WPSOffice_Level2"/>
      <w:bookmarkStart w:id="192" w:name="_Toc74752330"/>
      <w:r>
        <w:rPr>
          <w:rFonts w:hint="eastAsia" w:ascii="宋体" w:hAnsi="宋体"/>
          <w:b/>
          <w:bCs/>
          <w:sz w:val="28"/>
          <w:szCs w:val="28"/>
        </w:rPr>
        <w:t>投标文件封面格式</w:t>
      </w:r>
      <w:bookmarkEnd w:id="189"/>
      <w:bookmarkEnd w:id="190"/>
      <w:bookmarkEnd w:id="191"/>
      <w:bookmarkEnd w:id="192"/>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项目名称：成都市龙泉驿区人民政府柏合街道办事处办公区域物业管理服务项目</w:t>
      </w:r>
    </w:p>
    <w:p>
      <w:pPr>
        <w:spacing w:line="360" w:lineRule="auto"/>
        <w:rPr>
          <w:rFonts w:ascii="宋体" w:hAnsi="宋体"/>
          <w:b/>
          <w:sz w:val="32"/>
          <w:szCs w:val="32"/>
          <w:u w:val="single"/>
        </w:rPr>
      </w:pPr>
      <w:r>
        <w:rPr>
          <w:rFonts w:hint="eastAsia" w:ascii="宋体" w:hAnsi="宋体"/>
          <w:b/>
          <w:bCs/>
          <w:sz w:val="32"/>
          <w:szCs w:val="32"/>
        </w:rPr>
        <w:t>项目编号：龙泉驿政采（2021）A0082号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93" w:name="_Toc74752331"/>
      <w:bookmarkStart w:id="194" w:name="_Toc5915_WPSOffice_Level2"/>
      <w:bookmarkStart w:id="195" w:name="_Toc8602_WPSOffice_Level2"/>
      <w:bookmarkStart w:id="196" w:name="_Toc22077_WPSOffice_Level2"/>
      <w:r>
        <w:rPr>
          <w:rFonts w:hint="eastAsia" w:ascii="宋体" w:hAnsi="宋体"/>
          <w:b/>
          <w:bCs/>
          <w:sz w:val="28"/>
          <w:szCs w:val="28"/>
        </w:rPr>
        <w:t>资格响应文件</w:t>
      </w:r>
      <w:bookmarkEnd w:id="193"/>
      <w:bookmarkEnd w:id="194"/>
      <w:bookmarkEnd w:id="195"/>
      <w:bookmarkEnd w:id="196"/>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97" w:name="_Toc238581782"/>
      <w:bookmarkStart w:id="198" w:name="_Toc119296788"/>
      <w:bookmarkStart w:id="199" w:name="_Toc52184753"/>
      <w:bookmarkStart w:id="200" w:name="_Toc146903609"/>
      <w:bookmarkStart w:id="201" w:name="_Toc119295087"/>
      <w:bookmarkStart w:id="202" w:name="_Toc119203988"/>
      <w:r>
        <w:rPr>
          <w:rFonts w:hint="eastAsia" w:ascii="宋体" w:hAnsi="宋体"/>
          <w:sz w:val="28"/>
          <w:szCs w:val="28"/>
        </w:rPr>
        <w:t>致：</w:t>
      </w:r>
      <w:bookmarkEnd w:id="197"/>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203" w:name="_Toc238581783"/>
      <w:r>
        <w:rPr>
          <w:rFonts w:hint="eastAsia" w:ascii="宋体" w:hAnsi="宋体"/>
          <w:sz w:val="28"/>
          <w:szCs w:val="28"/>
        </w:rPr>
        <w:t>关于我方对</w:t>
      </w:r>
      <w:r>
        <w:rPr>
          <w:rFonts w:hint="eastAsia" w:ascii="宋体" w:hAnsi="宋体"/>
          <w:b/>
          <w:sz w:val="28"/>
          <w:szCs w:val="28"/>
          <w:u w:val="single"/>
        </w:rPr>
        <w:t>成都市龙泉驿区人民政府柏合街道办事处办公区域物业管理服务项目（项目编号：龙泉驿政采（2021）A0082号）</w:t>
      </w:r>
      <w:r>
        <w:rPr>
          <w:rFonts w:hint="eastAsia" w:ascii="宋体" w:hAnsi="宋体"/>
          <w:sz w:val="28"/>
          <w:szCs w:val="28"/>
        </w:rPr>
        <w:t>的公开招标，提交的下列文件和说明是准确的和真实的。</w:t>
      </w:r>
      <w:bookmarkEnd w:id="203"/>
    </w:p>
    <w:p>
      <w:pPr>
        <w:widowControl/>
        <w:numPr>
          <w:ilvl w:val="2"/>
          <w:numId w:val="33"/>
        </w:numPr>
        <w:spacing w:line="360" w:lineRule="auto"/>
        <w:ind w:left="0" w:firstLine="560" w:firstLineChars="200"/>
        <w:rPr>
          <w:rFonts w:ascii="宋体" w:hAnsi="宋体"/>
          <w:sz w:val="28"/>
          <w:szCs w:val="28"/>
        </w:rPr>
      </w:pPr>
      <w:bookmarkStart w:id="204" w:name="_Toc238581784"/>
      <w:r>
        <w:rPr>
          <w:rFonts w:hint="eastAsia" w:ascii="宋体" w:hAnsi="宋体"/>
          <w:sz w:val="28"/>
          <w:szCs w:val="28"/>
        </w:rPr>
        <w:t>投标人名称及概况：</w:t>
      </w:r>
      <w:bookmarkEnd w:id="198"/>
      <w:bookmarkEnd w:id="199"/>
      <w:bookmarkEnd w:id="200"/>
      <w:bookmarkEnd w:id="201"/>
      <w:bookmarkEnd w:id="202"/>
      <w:bookmarkEnd w:id="204"/>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rPr>
          <w:rFonts w:ascii="宋体" w:hAnsi="宋体"/>
          <w:bCs/>
          <w:sz w:val="28"/>
        </w:rPr>
      </w:pPr>
    </w:p>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成都市龙泉驿区人民政府柏合街道办事处办公区域物业管理服务项目（项目编号：龙泉驿政采（2021）A0082号）</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2"/>
        <w:rPr>
          <w:rFonts w:ascii="宋体" w:hAnsi="宋体"/>
          <w:szCs w:val="28"/>
        </w:rPr>
      </w:pPr>
    </w:p>
    <w:p>
      <w:pPr>
        <w:rPr>
          <w:rFonts w:ascii="宋体" w:hAnsi="宋体"/>
          <w:szCs w:val="28"/>
        </w:rPr>
      </w:pPr>
    </w:p>
    <w:p>
      <w:pPr>
        <w:pStyle w:val="2"/>
      </w:pPr>
    </w:p>
    <w:p>
      <w:pPr>
        <w:tabs>
          <w:tab w:val="left" w:pos="1260"/>
        </w:tabs>
        <w:spacing w:line="560" w:lineRule="exact"/>
        <w:ind w:firstLine="420" w:firstLineChars="200"/>
        <w:rPr>
          <w:rFonts w:ascii="宋体" w:hAnsi="宋体"/>
          <w:szCs w:val="28"/>
        </w:rPr>
      </w:pPr>
    </w:p>
    <w:p>
      <w:pPr>
        <w:spacing w:line="360" w:lineRule="auto"/>
        <w:ind w:firstLine="560" w:firstLineChars="200"/>
        <w:rPr>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adjustRightInd w:val="0"/>
        <w:snapToGrid w:val="0"/>
        <w:spacing w:line="360" w:lineRule="auto"/>
        <w:ind w:firstLine="560" w:firstLineChars="200"/>
        <w:jc w:val="left"/>
        <w:rPr>
          <w:sz w:val="28"/>
          <w:szCs w:val="28"/>
        </w:rPr>
      </w:pPr>
      <w:r>
        <w:rPr>
          <w:rFonts w:hint="eastAsia"/>
          <w:sz w:val="28"/>
          <w:szCs w:val="28"/>
        </w:rPr>
        <w:t>本公司（联合体）郑重声明，根据《政府采购促进中小企业发展管理办法》（财库﹝2020﹞46 号）的规定，本公司（联合体）参加</w:t>
      </w:r>
      <w:r>
        <w:rPr>
          <w:rFonts w:hint="eastAsia"/>
          <w:i/>
          <w:iCs/>
          <w:sz w:val="28"/>
          <w:szCs w:val="28"/>
          <w:u w:val="single"/>
        </w:rPr>
        <w:t>（单位名称）</w:t>
      </w:r>
      <w:r>
        <w:rPr>
          <w:rFonts w:hint="eastAsia"/>
          <w:sz w:val="28"/>
          <w:szCs w:val="28"/>
        </w:rPr>
        <w:t>的</w:t>
      </w:r>
      <w:r>
        <w:rPr>
          <w:rFonts w:hint="eastAsia"/>
          <w:i/>
          <w:iCs/>
          <w:sz w:val="28"/>
          <w:szCs w:val="28"/>
          <w:u w:val="single"/>
        </w:rPr>
        <w:t>（项目名称）</w:t>
      </w:r>
      <w:r>
        <w:rPr>
          <w:rFonts w:hint="eastAsia"/>
          <w:sz w:val="28"/>
          <w:szCs w:val="28"/>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560" w:firstLineChars="200"/>
        <w:jc w:val="left"/>
        <w:rPr>
          <w:sz w:val="28"/>
          <w:szCs w:val="28"/>
        </w:rPr>
      </w:pPr>
      <w:r>
        <w:rPr>
          <w:rFonts w:hint="eastAsia"/>
          <w:sz w:val="28"/>
          <w:szCs w:val="28"/>
        </w:rPr>
        <w:t xml:space="preserve">1. </w:t>
      </w:r>
      <w:r>
        <w:rPr>
          <w:rFonts w:hint="eastAsia"/>
          <w:i/>
          <w:iCs/>
          <w:sz w:val="28"/>
          <w:szCs w:val="28"/>
          <w:u w:val="single"/>
        </w:rPr>
        <w:t xml:space="preserve">（标的名称） </w:t>
      </w:r>
      <w:r>
        <w:rPr>
          <w:rFonts w:hint="eastAsia"/>
          <w:sz w:val="28"/>
          <w:szCs w:val="28"/>
        </w:rPr>
        <w:t>，属于</w:t>
      </w:r>
      <w:r>
        <w:rPr>
          <w:rFonts w:hint="eastAsia"/>
          <w:i/>
          <w:iCs/>
          <w:sz w:val="28"/>
          <w:szCs w:val="28"/>
          <w:u w:val="single"/>
        </w:rPr>
        <w:t>（采购文件中明确的所属行业）</w:t>
      </w:r>
      <w:r>
        <w:rPr>
          <w:rFonts w:hint="eastAsia"/>
          <w:sz w:val="28"/>
          <w:szCs w:val="28"/>
        </w:rPr>
        <w:t>；承接企业为</w:t>
      </w:r>
      <w:r>
        <w:rPr>
          <w:rFonts w:hint="eastAsia"/>
          <w:i/>
          <w:iCs/>
          <w:sz w:val="28"/>
          <w:szCs w:val="28"/>
          <w:u w:val="single"/>
        </w:rPr>
        <w:t>（企业名称）</w:t>
      </w:r>
      <w:r>
        <w:rPr>
          <w:rFonts w:hint="eastAsia"/>
          <w:sz w:val="28"/>
          <w:szCs w:val="28"/>
        </w:rPr>
        <w:t>，从业人员</w:t>
      </w:r>
      <w:r>
        <w:rPr>
          <w:rFonts w:hint="eastAsia"/>
          <w:sz w:val="28"/>
          <w:szCs w:val="28"/>
          <w:u w:val="single"/>
        </w:rPr>
        <w:t xml:space="preserve">    </w:t>
      </w:r>
      <w:r>
        <w:rPr>
          <w:rFonts w:hint="eastAsia"/>
          <w:sz w:val="28"/>
          <w:szCs w:val="28"/>
        </w:rPr>
        <w:t>人，营业收入为</w:t>
      </w:r>
      <w:r>
        <w:rPr>
          <w:rFonts w:hint="eastAsia"/>
          <w:sz w:val="28"/>
          <w:szCs w:val="28"/>
          <w:u w:val="single"/>
        </w:rPr>
        <w:t xml:space="preserve">      </w:t>
      </w:r>
      <w:r>
        <w:rPr>
          <w:rFonts w:hint="eastAsia"/>
          <w:sz w:val="28"/>
          <w:szCs w:val="28"/>
        </w:rPr>
        <w:t>万元，资产总额为</w:t>
      </w:r>
      <w:r>
        <w:rPr>
          <w:rFonts w:hint="eastAsia"/>
          <w:sz w:val="28"/>
          <w:szCs w:val="28"/>
          <w:u w:val="single"/>
        </w:rPr>
        <w:t xml:space="preserve">     </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pPr>
        <w:adjustRightInd w:val="0"/>
        <w:snapToGrid w:val="0"/>
        <w:spacing w:line="360" w:lineRule="auto"/>
        <w:ind w:firstLine="560" w:firstLineChars="200"/>
        <w:jc w:val="left"/>
        <w:rPr>
          <w:i/>
          <w:iCs/>
          <w:sz w:val="28"/>
          <w:szCs w:val="28"/>
          <w:u w:val="single"/>
        </w:rPr>
      </w:pPr>
      <w:r>
        <w:rPr>
          <w:rFonts w:hint="eastAsia"/>
          <w:sz w:val="28"/>
          <w:szCs w:val="28"/>
        </w:rPr>
        <w:t xml:space="preserve">2. </w:t>
      </w:r>
      <w:r>
        <w:rPr>
          <w:rFonts w:hint="eastAsia"/>
          <w:i/>
          <w:iCs/>
          <w:sz w:val="28"/>
          <w:szCs w:val="28"/>
          <w:u w:val="single"/>
        </w:rPr>
        <w:t>（标的名称）</w:t>
      </w:r>
      <w:r>
        <w:rPr>
          <w:rFonts w:hint="eastAsia"/>
          <w:sz w:val="28"/>
          <w:szCs w:val="28"/>
        </w:rPr>
        <w:t xml:space="preserve"> ，属于</w:t>
      </w:r>
      <w:r>
        <w:rPr>
          <w:rFonts w:hint="eastAsia"/>
          <w:i/>
          <w:iCs/>
          <w:sz w:val="28"/>
          <w:szCs w:val="28"/>
          <w:u w:val="single"/>
        </w:rPr>
        <w:t>（采购文件中明确的所属行业）；</w:t>
      </w:r>
    </w:p>
    <w:p>
      <w:pPr>
        <w:adjustRightInd w:val="0"/>
        <w:snapToGrid w:val="0"/>
        <w:spacing w:line="360" w:lineRule="auto"/>
        <w:jc w:val="left"/>
        <w:rPr>
          <w:sz w:val="28"/>
          <w:szCs w:val="28"/>
        </w:rPr>
      </w:pPr>
      <w:r>
        <w:rPr>
          <w:rFonts w:hint="eastAsia"/>
          <w:sz w:val="28"/>
          <w:szCs w:val="28"/>
        </w:rPr>
        <w:t>承接企业为</w:t>
      </w:r>
      <w:r>
        <w:rPr>
          <w:rFonts w:hint="eastAsia"/>
          <w:i/>
          <w:iCs/>
          <w:sz w:val="28"/>
          <w:szCs w:val="28"/>
          <w:u w:val="single"/>
        </w:rPr>
        <w:t>（企业名称）</w:t>
      </w:r>
      <w:r>
        <w:rPr>
          <w:rFonts w:hint="eastAsia"/>
          <w:sz w:val="28"/>
          <w:szCs w:val="28"/>
        </w:rPr>
        <w:t>，从业人员</w:t>
      </w:r>
      <w:r>
        <w:rPr>
          <w:rFonts w:hint="eastAsia"/>
          <w:sz w:val="28"/>
          <w:szCs w:val="28"/>
          <w:u w:val="single"/>
        </w:rPr>
        <w:t xml:space="preserve">     </w:t>
      </w:r>
      <w:r>
        <w:rPr>
          <w:rFonts w:hint="eastAsia"/>
          <w:sz w:val="28"/>
          <w:szCs w:val="28"/>
        </w:rPr>
        <w:t>人，营业收入为</w:t>
      </w:r>
      <w:r>
        <w:rPr>
          <w:rFonts w:hint="eastAsia"/>
          <w:sz w:val="28"/>
          <w:szCs w:val="28"/>
          <w:u w:val="single"/>
        </w:rPr>
        <w:t xml:space="preserve">      </w:t>
      </w:r>
      <w:r>
        <w:rPr>
          <w:rFonts w:hint="eastAsia"/>
          <w:sz w:val="28"/>
          <w:szCs w:val="28"/>
        </w:rPr>
        <w:t>万元，资产总额为</w:t>
      </w:r>
      <w:r>
        <w:rPr>
          <w:rFonts w:hint="eastAsia"/>
          <w:sz w:val="28"/>
          <w:szCs w:val="28"/>
          <w:u w:val="single"/>
        </w:rPr>
        <w:t xml:space="preserve">      </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pPr>
        <w:adjustRightInd w:val="0"/>
        <w:snapToGrid w:val="0"/>
        <w:spacing w:line="360" w:lineRule="auto"/>
        <w:ind w:firstLine="560" w:firstLineChars="200"/>
        <w:jc w:val="left"/>
        <w:rPr>
          <w:sz w:val="28"/>
          <w:szCs w:val="28"/>
        </w:rPr>
      </w:pPr>
      <w:r>
        <w:rPr>
          <w:rFonts w:hint="eastAsia"/>
          <w:sz w:val="28"/>
          <w:szCs w:val="28"/>
        </w:rPr>
        <w:t>……</w:t>
      </w:r>
    </w:p>
    <w:p>
      <w:pPr>
        <w:adjustRightInd w:val="0"/>
        <w:snapToGrid w:val="0"/>
        <w:spacing w:line="360" w:lineRule="auto"/>
        <w:ind w:firstLine="560" w:firstLineChars="200"/>
        <w:jc w:val="left"/>
        <w:rPr>
          <w:sz w:val="28"/>
          <w:szCs w:val="28"/>
        </w:rPr>
      </w:pPr>
      <w:r>
        <w:rPr>
          <w:sz w:val="28"/>
          <w:szCs w:val="28"/>
        </w:rPr>
        <w:t>以上企业，不属于大企业的分支机构，不存在控股股东</w:t>
      </w:r>
    </w:p>
    <w:p>
      <w:pPr>
        <w:adjustRightInd w:val="0"/>
        <w:snapToGrid w:val="0"/>
        <w:spacing w:line="360" w:lineRule="auto"/>
        <w:jc w:val="left"/>
        <w:rPr>
          <w:sz w:val="28"/>
          <w:szCs w:val="28"/>
        </w:rPr>
      </w:pPr>
      <w:r>
        <w:rPr>
          <w:sz w:val="28"/>
          <w:szCs w:val="28"/>
        </w:rPr>
        <w:t>为大企业的情形，也不存在与大企业的负责人为同一人的情形。</w:t>
      </w:r>
    </w:p>
    <w:p>
      <w:pPr>
        <w:adjustRightInd w:val="0"/>
        <w:snapToGrid w:val="0"/>
        <w:spacing w:line="360" w:lineRule="auto"/>
        <w:ind w:firstLine="560" w:firstLineChars="200"/>
        <w:jc w:val="left"/>
        <w:rPr>
          <w:sz w:val="28"/>
          <w:szCs w:val="28"/>
        </w:rPr>
      </w:pPr>
      <w:r>
        <w:rPr>
          <w:sz w:val="28"/>
          <w:szCs w:val="28"/>
        </w:rPr>
        <w:t>本企业对上述声明内容的真实性负责。如有虚假，将依法承担相应责任。</w:t>
      </w:r>
    </w:p>
    <w:p>
      <w:pPr>
        <w:adjustRightInd w:val="0"/>
        <w:snapToGrid w:val="0"/>
        <w:spacing w:line="360" w:lineRule="auto"/>
        <w:jc w:val="center"/>
        <w:rPr>
          <w:sz w:val="28"/>
          <w:szCs w:val="28"/>
        </w:rPr>
      </w:pPr>
      <w:r>
        <w:rPr>
          <w:rFonts w:hint="eastAsia"/>
          <w:sz w:val="28"/>
          <w:szCs w:val="28"/>
        </w:rPr>
        <w:t xml:space="preserve">               </w:t>
      </w:r>
      <w:r>
        <w:rPr>
          <w:sz w:val="28"/>
          <w:szCs w:val="28"/>
        </w:rPr>
        <w:t>企业名称（盖章）：</w:t>
      </w:r>
    </w:p>
    <w:p>
      <w:pPr>
        <w:spacing w:line="480" w:lineRule="exact"/>
        <w:ind w:firstLine="561"/>
        <w:rPr>
          <w:rFonts w:ascii="宋体" w:hAnsi="宋体"/>
          <w:sz w:val="28"/>
          <w:szCs w:val="28"/>
        </w:rPr>
      </w:pPr>
      <w:r>
        <w:rPr>
          <w:rFonts w:hint="eastAsia"/>
          <w:sz w:val="28"/>
          <w:szCs w:val="28"/>
        </w:rPr>
        <w:t xml:space="preserve">        </w:t>
      </w:r>
      <w:r>
        <w:rPr>
          <w:sz w:val="28"/>
          <w:szCs w:val="28"/>
        </w:rPr>
        <w:t xml:space="preserve">日 </w:t>
      </w:r>
      <w:r>
        <w:rPr>
          <w:rFonts w:hint="eastAsia"/>
          <w:sz w:val="28"/>
          <w:szCs w:val="28"/>
        </w:rPr>
        <w:t xml:space="preserve">   </w:t>
      </w:r>
      <w:r>
        <w:rPr>
          <w:sz w:val="28"/>
          <w:szCs w:val="28"/>
        </w:rPr>
        <w:t>期：</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4"/>
          <w:szCs w:val="24"/>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 xml:space="preserve">成都市龙泉驿区人民政府柏合街道办事处 </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成都市龙泉驿区人民政府柏合街道办事处办公区域物业管理服务项目</w:t>
      </w:r>
      <w:r>
        <w:rPr>
          <w:rFonts w:hint="eastAsia" w:ascii="宋体" w:hAnsi="宋体"/>
          <w:spacing w:val="6"/>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spacing w:line="360" w:lineRule="auto"/>
        <w:outlineLvl w:val="2"/>
        <w:rPr>
          <w:rFonts w:ascii="宋体" w:hAnsi="宋体"/>
          <w:sz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供应商</w:t>
      </w:r>
      <w:r>
        <w:rPr>
          <w:rFonts w:ascii="宋体" w:hAnsi="宋体"/>
          <w:b/>
          <w:sz w:val="28"/>
          <w:szCs w:val="28"/>
        </w:rPr>
        <w:t>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供应商</w:t>
      </w:r>
      <w:r>
        <w:rPr>
          <w:sz w:val="28"/>
          <w:szCs w:val="28"/>
        </w:rPr>
        <w:t>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pStyle w:val="2"/>
      </w:pPr>
    </w:p>
    <w:p/>
    <w:p>
      <w:pPr>
        <w:pStyle w:val="2"/>
      </w:pPr>
    </w:p>
    <w:p/>
    <w:p>
      <w:pPr>
        <w:pStyle w:val="2"/>
      </w:pPr>
    </w:p>
    <w:p>
      <w:pPr>
        <w:pStyle w:val="2"/>
      </w:pPr>
    </w:p>
    <w:p>
      <w:pPr>
        <w:spacing w:line="440" w:lineRule="atLeast"/>
        <w:rPr>
          <w:rFonts w:ascii="宋体" w:hAnsi="宋体"/>
          <w:b/>
          <w:sz w:val="28"/>
          <w:szCs w:val="28"/>
        </w:rPr>
      </w:pPr>
    </w:p>
    <w:p>
      <w:pPr>
        <w:spacing w:line="360" w:lineRule="auto"/>
        <w:ind w:firstLine="560" w:firstLineChars="200"/>
        <w:rPr>
          <w:sz w:val="28"/>
          <w:szCs w:val="28"/>
        </w:rPr>
      </w:pPr>
    </w:p>
    <w:p>
      <w:pPr>
        <w:pStyle w:val="2"/>
        <w:rPr>
          <w:sz w:val="28"/>
          <w:szCs w:val="28"/>
        </w:rPr>
      </w:pPr>
    </w:p>
    <w:p>
      <w:pPr>
        <w:rPr>
          <w:sz w:val="28"/>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205" w:name="_Toc16463_WPSOffice_Level2"/>
      <w:bookmarkStart w:id="206" w:name="_Toc9480_WPSOffice_Level2"/>
      <w:bookmarkStart w:id="207" w:name="_Toc74752332"/>
      <w:bookmarkStart w:id="208" w:name="_Toc30377_WPSOffice_Level2"/>
      <w:r>
        <w:rPr>
          <w:rFonts w:hint="eastAsia" w:ascii="宋体" w:hAnsi="宋体"/>
          <w:b/>
          <w:bCs/>
          <w:sz w:val="28"/>
          <w:szCs w:val="28"/>
        </w:rPr>
        <w:t>商务技术</w:t>
      </w:r>
      <w:r>
        <w:rPr>
          <w:rFonts w:ascii="宋体" w:hAnsi="宋体"/>
          <w:b/>
          <w:bCs/>
          <w:sz w:val="28"/>
          <w:szCs w:val="28"/>
        </w:rPr>
        <w:t>响应文件</w:t>
      </w:r>
      <w:bookmarkEnd w:id="205"/>
      <w:bookmarkEnd w:id="206"/>
      <w:bookmarkEnd w:id="207"/>
      <w:bookmarkEnd w:id="208"/>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成都市龙泉驿区人民政府柏合街道办事处办公区域物业管理服务项目</w:t>
      </w:r>
      <w:r>
        <w:rPr>
          <w:rFonts w:hint="eastAsia" w:ascii="宋体" w:hAnsi="宋体"/>
          <w:b/>
          <w:bCs/>
          <w:sz w:val="28"/>
          <w:szCs w:val="28"/>
          <w:u w:val="single"/>
        </w:rPr>
        <w:t>”（项目编号：龙泉驿政采（2021）A0082号）</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209" w:name="_Toc314574804"/>
      <w:bookmarkStart w:id="210" w:name="_Toc240367172"/>
      <w:bookmarkStart w:id="211" w:name="_Toc237145395"/>
      <w:bookmarkStart w:id="212" w:name="_Toc231030275"/>
      <w:bookmarkStart w:id="213" w:name="_Toc239849853"/>
      <w:bookmarkStart w:id="214" w:name="_Toc265494342"/>
      <w:bookmarkStart w:id="215" w:name="_Toc229802674"/>
      <w:bookmarkStart w:id="216" w:name="_Toc240865266"/>
      <w:bookmarkStart w:id="217" w:name="_Toc239846734"/>
    </w:p>
    <w:p>
      <w:pPr>
        <w:pStyle w:val="2"/>
        <w:rPr>
          <w:rFonts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sectPr>
          <w:footerReference r:id="rId4" w:type="default"/>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218" w:name="_Toc263768866"/>
      <w:r>
        <w:rPr>
          <w:rFonts w:hint="eastAsia" w:ascii="宋体" w:hAnsi="宋体"/>
          <w:sz w:val="28"/>
          <w:lang w:val="zh-CN"/>
        </w:rPr>
        <w:t>特此证明。</w:t>
      </w:r>
      <w:bookmarkEnd w:id="218"/>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209"/>
    <w:bookmarkEnd w:id="210"/>
    <w:bookmarkEnd w:id="211"/>
    <w:bookmarkEnd w:id="212"/>
    <w:bookmarkEnd w:id="213"/>
    <w:bookmarkEnd w:id="214"/>
    <w:bookmarkEnd w:id="215"/>
    <w:bookmarkEnd w:id="216"/>
    <w:bookmarkEnd w:id="217"/>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bookmarkStart w:id="219" w:name="_Toc315871054"/>
      <w:bookmarkEnd w:id="219"/>
      <w:bookmarkStart w:id="220" w:name="_Toc302997926"/>
      <w:bookmarkStart w:id="221" w:name="_Toc263753605"/>
      <w:bookmarkStart w:id="222" w:name="_Toc220299393"/>
      <w:bookmarkStart w:id="223" w:name="_Toc263768870"/>
      <w:bookmarkStart w:id="224" w:name="_Toc21744608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220"/>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p>
      <w:pPr>
        <w:pStyle w:val="2"/>
        <w:rPr>
          <w:rFonts w:ascii="宋体" w:hAnsi="宋体"/>
          <w:bCs/>
          <w:sz w:val="28"/>
          <w:u w:val="single"/>
        </w:rPr>
      </w:pPr>
    </w:p>
    <w:p/>
    <w:bookmarkEnd w:id="221"/>
    <w:bookmarkEnd w:id="222"/>
    <w:bookmarkEnd w:id="223"/>
    <w:p>
      <w:pPr>
        <w:pStyle w:val="5"/>
        <w:tabs>
          <w:tab w:val="left" w:pos="709"/>
        </w:tabs>
        <w:ind w:left="709" w:hanging="709"/>
        <w:rPr>
          <w:bCs w:val="0"/>
        </w:rPr>
      </w:pPr>
      <w:bookmarkStart w:id="225" w:name="_Toc302997928"/>
      <w:bookmarkStart w:id="226" w:name="_Toc263768877"/>
      <w:bookmarkStart w:id="227" w:name="_Toc263753619"/>
      <w:r>
        <w:rPr>
          <w:rFonts w:hint="eastAsia"/>
          <w:bCs w:val="0"/>
        </w:rPr>
        <w:t>服务方案及服务承诺</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成都市龙泉驿区人民政府柏合街道办事处办公区域物业管理服务项目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龙泉驿政采（2021）A0082号</w:t>
      </w:r>
    </w:p>
    <w:p>
      <w:pPr>
        <w:spacing w:line="360" w:lineRule="auto"/>
        <w:rPr>
          <w:rFonts w:ascii="宋体" w:hAnsi="宋体"/>
          <w:b/>
          <w:sz w:val="28"/>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P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225"/>
      <w:bookmarkEnd w:id="226"/>
      <w:bookmarkEnd w:id="227"/>
    </w:p>
    <w:p>
      <w:pPr>
        <w:snapToGrid w:val="0"/>
        <w:spacing w:line="360" w:lineRule="auto"/>
        <w:ind w:right="-624" w:rightChars="-297"/>
        <w:rPr>
          <w:rFonts w:ascii="宋体" w:hAnsi="宋体"/>
          <w:b/>
          <w:sz w:val="28"/>
          <w:szCs w:val="28"/>
          <w:u w:val="single"/>
        </w:rPr>
      </w:pPr>
      <w:r>
        <w:rPr>
          <w:rFonts w:hint="eastAsia" w:ascii="宋体" w:hAnsi="宋体"/>
          <w:b/>
          <w:sz w:val="28"/>
        </w:rPr>
        <w:t>项目名称：</w:t>
      </w:r>
      <w:r>
        <w:rPr>
          <w:rFonts w:hint="eastAsia" w:ascii="宋体" w:hAnsi="宋体"/>
          <w:b/>
          <w:sz w:val="28"/>
          <w:szCs w:val="28"/>
          <w:u w:val="single"/>
        </w:rPr>
        <w:t>成都市龙泉驿区人民政府柏合街道办事处办公区域物业管理服务项目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龙泉驿政采（2021）A0082号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tabs>
          <w:tab w:val="left" w:pos="720"/>
        </w:tabs>
        <w:spacing w:line="360" w:lineRule="auto"/>
        <w:ind w:firstLine="560" w:firstLineChars="200"/>
        <w:rPr>
          <w:rFonts w:ascii="宋体" w:hAnsi="宋体"/>
          <w:sz w:val="28"/>
        </w:rPr>
      </w:pPr>
      <w:r>
        <w:rPr>
          <w:rFonts w:hint="eastAsia" w:ascii="宋体" w:hAnsi="宋体"/>
          <w:sz w:val="28"/>
        </w:rPr>
        <w:t>二、售后服务承诺</w:t>
      </w:r>
    </w:p>
    <w:p>
      <w:pPr>
        <w:tabs>
          <w:tab w:val="left" w:pos="720"/>
        </w:tabs>
        <w:ind w:firstLine="560" w:firstLineChars="200"/>
        <w:rPr>
          <w:rFonts w:ascii="宋体" w:hAnsi="宋体"/>
          <w:sz w:val="28"/>
        </w:rPr>
      </w:pPr>
      <w:r>
        <w:rPr>
          <w:rFonts w:hint="eastAsia" w:ascii="宋体" w:hAnsi="宋体"/>
          <w:sz w:val="28"/>
        </w:rPr>
        <w:t>三、其他说明的内容</w:t>
      </w:r>
      <w:bookmarkEnd w:id="224"/>
      <w:bookmarkStart w:id="228"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2"/>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成都市龙泉驿区人民政府柏合街道办事处办公区域物业管理服务项目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龙泉驿政采（2021）A0082号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成都市龙泉驿区人民政府柏合街道办事处办公区域物业管理服务项目</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龙泉驿政采（2021）A0082号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tabs>
          <w:tab w:val="left" w:pos="1134"/>
        </w:tabs>
        <w:snapToGrid w:val="0"/>
        <w:spacing w:before="60" w:after="200" w:line="560" w:lineRule="exact"/>
        <w:ind w:left="567" w:right="210" w:firstLine="0" w:firstLineChars="0"/>
        <w:rPr>
          <w:rFonts w:ascii="宋体" w:hAnsi="宋体"/>
          <w:sz w:val="28"/>
          <w:szCs w:val="28"/>
        </w:rPr>
      </w:pPr>
      <w:r>
        <w:rPr>
          <w:rFonts w:hint="eastAsia" w:ascii="宋体" w:hAnsi="宋体"/>
          <w:sz w:val="28"/>
          <w:szCs w:val="28"/>
        </w:rPr>
        <w:t>Xxxx(供应商自行承诺)</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sectPr>
          <w:pgSz w:w="11850" w:h="16783"/>
          <w:pgMar w:top="1440" w:right="1800" w:bottom="1440" w:left="1800" w:header="708" w:footer="708" w:gutter="0"/>
          <w:cols w:space="708" w:num="1"/>
          <w:docGrid w:linePitch="360" w:charSpace="0"/>
        </w:sectPr>
      </w:pPr>
      <w:bookmarkStart w:id="229" w:name="_Toc74752333"/>
    </w:p>
    <w:p>
      <w:pPr>
        <w:keepNext/>
        <w:keepLines/>
        <w:numPr>
          <w:ilvl w:val="1"/>
          <w:numId w:val="5"/>
        </w:numPr>
        <w:spacing w:line="360" w:lineRule="auto"/>
        <w:jc w:val="left"/>
        <w:outlineLvl w:val="1"/>
        <w:rPr>
          <w:rFonts w:ascii="宋体" w:hAnsi="宋体"/>
          <w:b/>
          <w:bCs/>
          <w:sz w:val="28"/>
          <w:szCs w:val="28"/>
        </w:rPr>
      </w:pPr>
      <w:bookmarkStart w:id="230" w:name="_Toc30_WPSOffice_Level2"/>
      <w:bookmarkStart w:id="231" w:name="_Toc16176_WPSOffice_Level2"/>
      <w:bookmarkStart w:id="232" w:name="_Toc22659_WPSOffice_Level2"/>
      <w:r>
        <w:rPr>
          <w:rFonts w:hint="eastAsia" w:ascii="宋体" w:hAnsi="宋体"/>
          <w:b/>
          <w:bCs/>
          <w:sz w:val="28"/>
          <w:szCs w:val="28"/>
        </w:rPr>
        <w:t>报价</w:t>
      </w:r>
      <w:r>
        <w:rPr>
          <w:rFonts w:ascii="宋体" w:hAnsi="宋体"/>
          <w:b/>
          <w:bCs/>
          <w:sz w:val="28"/>
          <w:szCs w:val="28"/>
        </w:rPr>
        <w:t>要求响应文件</w:t>
      </w:r>
      <w:bookmarkEnd w:id="229"/>
      <w:bookmarkEnd w:id="230"/>
      <w:bookmarkEnd w:id="231"/>
      <w:bookmarkEnd w:id="232"/>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标项1：成都市龙泉驿区人民政府柏合街道办事处办公区域物业管理服务项目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pStyle w:val="2"/>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1699"/>
        <w:gridCol w:w="155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标的</w:t>
            </w:r>
            <w:r>
              <w:rPr>
                <w:rFonts w:ascii="宋体" w:hAnsi="宋体"/>
                <w:b/>
                <w:szCs w:val="28"/>
              </w:rPr>
              <w:t>名称</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服务供应商</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服务费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税费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p>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361" w:firstLineChars="150"/>
        <w:rPr>
          <w:rFonts w:ascii="宋体" w:hAnsi="宋体"/>
          <w:b/>
          <w:sz w:val="24"/>
          <w:szCs w:val="24"/>
        </w:rPr>
      </w:pPr>
      <w:bookmarkStart w:id="233" w:name="_Toc2305_WPSOffice_Level2"/>
      <w:r>
        <w:rPr>
          <w:rFonts w:hint="eastAsia" w:ascii="宋体" w:hAnsi="宋体"/>
          <w:b/>
          <w:sz w:val="24"/>
          <w:szCs w:val="24"/>
        </w:rPr>
        <w:t>报价应是包括磋商文件规定的全部响应内容的报价。</w:t>
      </w:r>
      <w:bookmarkEnd w:id="233"/>
    </w:p>
    <w:p>
      <w:pPr>
        <w:keepNext/>
        <w:keepLines/>
        <w:spacing w:line="360" w:lineRule="auto"/>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bookmarkEnd w:id="228"/>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234" w:name="_Toc17317_WPSOffice_Level1"/>
      <w:bookmarkStart w:id="235" w:name="_Toc217446093"/>
      <w:bookmarkStart w:id="236" w:name="_Toc74752334"/>
      <w:bookmarkStart w:id="237" w:name="_Toc10619_WPSOffice_Level1"/>
      <w:bookmarkStart w:id="238" w:name="_Toc7031_WPSOffice_Level1"/>
      <w:bookmarkStart w:id="239" w:name="_Toc316292231"/>
      <w:bookmarkStart w:id="240" w:name="_Toc321382057"/>
      <w:r>
        <w:rPr>
          <w:rFonts w:hint="eastAsia" w:ascii="宋体" w:hAnsi="宋体"/>
          <w:b/>
          <w:bCs/>
          <w:spacing w:val="-20"/>
          <w:kern w:val="44"/>
          <w:sz w:val="32"/>
          <w:szCs w:val="32"/>
        </w:rPr>
        <w:t>招标项目技术、服务、商务及其他要求</w:t>
      </w:r>
      <w:bookmarkEnd w:id="234"/>
      <w:bookmarkEnd w:id="235"/>
      <w:bookmarkEnd w:id="236"/>
      <w:bookmarkEnd w:id="237"/>
      <w:bookmarkEnd w:id="238"/>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1" w:name="_Toc74752335"/>
      <w:bookmarkStart w:id="242" w:name="_Toc29188_WPSOffice_Level2"/>
      <w:bookmarkStart w:id="243" w:name="_Toc6654_WPSOffice_Level2"/>
      <w:bookmarkStart w:id="244" w:name="_Toc3653_WPSOffice_Level2"/>
      <w:r>
        <w:rPr>
          <w:rFonts w:hint="eastAsia" w:ascii="宋体" w:hAnsi="宋体"/>
          <w:b/>
          <w:bCs/>
          <w:sz w:val="28"/>
          <w:szCs w:val="28"/>
        </w:rPr>
        <w:t>项目概况</w:t>
      </w:r>
      <w:bookmarkEnd w:id="241"/>
      <w:bookmarkEnd w:id="242"/>
      <w:bookmarkEnd w:id="243"/>
      <w:bookmarkEnd w:id="244"/>
    </w:p>
    <w:p>
      <w:pPr>
        <w:pStyle w:val="24"/>
        <w:snapToGrid w:val="0"/>
        <w:spacing w:line="360" w:lineRule="auto"/>
        <w:rPr>
          <w:sz w:val="24"/>
          <w:szCs w:val="24"/>
        </w:rPr>
      </w:pPr>
      <w:r>
        <w:rPr>
          <w:rFonts w:hint="eastAsia" w:hAnsi="宋体"/>
          <w:b/>
          <w:bCs/>
          <w:sz w:val="32"/>
          <w:szCs w:val="32"/>
        </w:rPr>
        <w:t xml:space="preserve">   </w:t>
      </w:r>
      <w:r>
        <w:rPr>
          <w:rFonts w:hint="eastAsia" w:ascii="Calibri" w:hAnsi="Calibri"/>
          <w:kern w:val="2"/>
          <w:sz w:val="24"/>
          <w:szCs w:val="24"/>
        </w:rPr>
        <w:t>项目名称：成都市龙泉驿区人民政府柏合街道办事处办公区域物业管理服务项目。</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45" w:name="_Toc26264_WPSOffice_Level2"/>
      <w:bookmarkStart w:id="246" w:name="_Toc2544_WPSOffice_Level2"/>
      <w:bookmarkStart w:id="247" w:name="_Toc12187_WPSOffice_Level2"/>
      <w:r>
        <w:rPr>
          <w:rFonts w:hint="eastAsia" w:ascii="宋体" w:hAnsi="宋体"/>
          <w:b/>
          <w:bCs/>
          <w:sz w:val="28"/>
          <w:szCs w:val="28"/>
        </w:rPr>
        <w:t>服务地点及范围</w:t>
      </w:r>
      <w:bookmarkEnd w:id="245"/>
      <w:bookmarkEnd w:id="246"/>
      <w:bookmarkEnd w:id="247"/>
    </w:p>
    <w:p>
      <w:pPr>
        <w:pStyle w:val="24"/>
        <w:adjustRightInd w:val="0"/>
        <w:snapToGrid w:val="0"/>
        <w:spacing w:line="360" w:lineRule="auto"/>
        <w:ind w:firstLine="480" w:firstLineChars="200"/>
        <w:rPr>
          <w:rFonts w:ascii="Calibri" w:hAnsi="Calibri"/>
          <w:kern w:val="2"/>
          <w:sz w:val="24"/>
          <w:szCs w:val="24"/>
          <w:lang w:val="zh-CN"/>
        </w:rPr>
      </w:pPr>
      <w:r>
        <w:rPr>
          <w:rFonts w:hint="eastAsia" w:ascii="Calibri" w:hAnsi="Calibri"/>
          <w:kern w:val="2"/>
          <w:sz w:val="24"/>
          <w:szCs w:val="24"/>
        </w:rPr>
        <w:t>1</w:t>
      </w:r>
      <w:r>
        <w:rPr>
          <w:rFonts w:hint="eastAsia" w:ascii="Calibri" w:hAnsi="Calibri"/>
          <w:kern w:val="2"/>
          <w:sz w:val="24"/>
          <w:szCs w:val="24"/>
          <w:lang w:val="zh-CN"/>
        </w:rPr>
        <w:t>、本项目物业管理区域位于成都市龙泉驿区柏合街道，包含：（1）机关一办办公楼1幢（共4层），副楼一2层，副楼二2层；（2）黎明三期，便民服务中心1幢（共2层）；（3）黎明三期10栋，柏合街办二办，含食堂及大会议室1幢（共2层）。建筑面积共 6000m2，房屋结构为框架和砖混结构。</w:t>
      </w:r>
    </w:p>
    <w:p>
      <w:pPr>
        <w:pStyle w:val="24"/>
        <w:adjustRightInd w:val="0"/>
        <w:snapToGrid w:val="0"/>
        <w:spacing w:line="360" w:lineRule="auto"/>
        <w:ind w:firstLine="480" w:firstLineChars="200"/>
        <w:rPr>
          <w:rFonts w:ascii="Calibri" w:hAnsi="Calibri"/>
          <w:kern w:val="2"/>
          <w:sz w:val="24"/>
          <w:szCs w:val="24"/>
        </w:rPr>
      </w:pPr>
      <w:r>
        <w:rPr>
          <w:rFonts w:hint="eastAsia" w:ascii="Calibri" w:hAnsi="Calibri"/>
          <w:kern w:val="2"/>
          <w:sz w:val="24"/>
          <w:szCs w:val="24"/>
        </w:rPr>
        <w:t>2</w:t>
      </w:r>
      <w:r>
        <w:rPr>
          <w:rFonts w:hint="eastAsia" w:ascii="Calibri" w:hAnsi="Calibri"/>
          <w:kern w:val="2"/>
          <w:sz w:val="24"/>
          <w:szCs w:val="24"/>
          <w:lang w:val="zh-CN"/>
        </w:rPr>
        <w:t>、本项目安全保卫系统现状：（1）办公大楼周边和大楼主入口均设有监控设施，监控能覆盖院内出入口、通道及角落，监控室设在大门门卫室；（2）办公大楼2个进出口设有门禁管理系统。</w:t>
      </w:r>
    </w:p>
    <w:p>
      <w:pPr>
        <w:pStyle w:val="4"/>
        <w:tabs>
          <w:tab w:val="left" w:pos="426"/>
          <w:tab w:val="left" w:pos="567"/>
        </w:tabs>
        <w:spacing w:line="240" w:lineRule="auto"/>
        <w:ind w:left="2" w:leftChars="-95" w:hanging="201"/>
        <w:rPr>
          <w:color w:val="000000"/>
        </w:rPr>
      </w:pPr>
      <w:bookmarkStart w:id="248" w:name="_Toc25852_WPSOffice_Level2"/>
      <w:bookmarkStart w:id="249" w:name="_Toc28354_WPSOffice_Level2"/>
      <w:bookmarkStart w:id="250" w:name="_Toc17808"/>
      <w:bookmarkStart w:id="251" w:name="_Toc17765_WPSOffice_Level2"/>
      <w:r>
        <w:rPr>
          <w:rFonts w:hint="eastAsia"/>
          <w:color w:val="000000"/>
        </w:rPr>
        <w:t>服务内容及要求</w:t>
      </w:r>
      <w:bookmarkEnd w:id="248"/>
      <w:bookmarkEnd w:id="249"/>
      <w:bookmarkEnd w:id="250"/>
      <w:bookmarkEnd w:id="251"/>
    </w:p>
    <w:p>
      <w:pPr>
        <w:pStyle w:val="85"/>
        <w:widowControl w:val="0"/>
        <w:adjustRightInd w:val="0"/>
        <w:snapToGrid w:val="0"/>
        <w:spacing w:beforeLines="100" w:beforeAutospacing="0" w:afterAutospacing="0" w:line="240" w:lineRule="atLeast"/>
        <w:ind w:right="-105" w:rightChars="-50" w:firstLine="480" w:firstLineChars="200"/>
        <w:rPr>
          <w:rFonts w:ascii="黑体" w:hAnsi="黑体" w:eastAsia="黑体" w:cs="黑体"/>
          <w:color w:val="000000"/>
        </w:rPr>
      </w:pPr>
      <w:r>
        <w:rPr>
          <w:rFonts w:hint="eastAsia" w:ascii="黑体" w:hAnsi="黑体" w:eastAsia="黑体" w:cs="黑体"/>
          <w:color w:val="000000"/>
        </w:rPr>
        <w:t>（一）</w:t>
      </w:r>
      <w:r>
        <w:rPr>
          <w:rFonts w:hint="eastAsia" w:ascii="黑体" w:hAnsi="黑体" w:eastAsia="黑体" w:cs="黑体"/>
          <w:color w:val="000000"/>
          <w:lang w:val="zh-CN"/>
        </w:rPr>
        <w:t>本项目服务内容包括：秩序维护、保洁服务。</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33"/>
        <w:gridCol w:w="622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rPr>
                <w:rFonts w:ascii="宋体" w:hAnsi="宋体" w:cs="宋体"/>
                <w:bCs/>
                <w:kern w:val="44"/>
                <w:szCs w:val="21"/>
              </w:rPr>
            </w:pPr>
            <w:r>
              <w:rPr>
                <w:rFonts w:hint="eastAsia" w:ascii="宋体" w:hAnsi="宋体" w:cs="宋体"/>
                <w:bCs/>
                <w:kern w:val="44"/>
                <w:szCs w:val="21"/>
              </w:rPr>
              <w:t>序号</w:t>
            </w:r>
          </w:p>
        </w:tc>
        <w:tc>
          <w:tcPr>
            <w:tcW w:w="1133" w:type="dxa"/>
            <w:vAlign w:val="center"/>
          </w:tcPr>
          <w:p>
            <w:pPr>
              <w:rPr>
                <w:rFonts w:ascii="宋体" w:hAnsi="宋体" w:cs="宋体"/>
                <w:bCs/>
                <w:kern w:val="44"/>
                <w:szCs w:val="21"/>
              </w:rPr>
            </w:pPr>
            <w:r>
              <w:rPr>
                <w:rFonts w:hint="eastAsia" w:ascii="宋体" w:hAnsi="宋体" w:cs="宋体"/>
                <w:bCs/>
                <w:kern w:val="44"/>
                <w:szCs w:val="21"/>
              </w:rPr>
              <w:t>项目</w:t>
            </w:r>
          </w:p>
        </w:tc>
        <w:tc>
          <w:tcPr>
            <w:tcW w:w="6225" w:type="dxa"/>
            <w:vAlign w:val="center"/>
          </w:tcPr>
          <w:p>
            <w:pPr>
              <w:rPr>
                <w:rFonts w:ascii="宋体" w:hAnsi="宋体" w:cs="宋体"/>
                <w:bCs/>
                <w:kern w:val="44"/>
                <w:szCs w:val="21"/>
              </w:rPr>
            </w:pPr>
            <w:r>
              <w:rPr>
                <w:rFonts w:hint="eastAsia" w:ascii="宋体" w:hAnsi="宋体" w:cs="宋体"/>
                <w:bCs/>
                <w:kern w:val="44"/>
                <w:szCs w:val="21"/>
              </w:rPr>
              <w:t>服务范围和服务内容</w:t>
            </w:r>
          </w:p>
        </w:tc>
        <w:tc>
          <w:tcPr>
            <w:tcW w:w="708" w:type="dxa"/>
            <w:vAlign w:val="center"/>
          </w:tcPr>
          <w:p>
            <w:pPr>
              <w:rPr>
                <w:rFonts w:ascii="宋体" w:hAnsi="宋体" w:cs="宋体"/>
                <w:bCs/>
                <w:kern w:val="44"/>
                <w:szCs w:val="21"/>
              </w:rPr>
            </w:pPr>
            <w:r>
              <w:rPr>
                <w:rFonts w:hint="eastAsia" w:ascii="宋体" w:hAnsi="宋体" w:cs="宋体"/>
                <w:bCs/>
                <w:kern w:val="4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rPr>
                <w:rFonts w:ascii="宋体" w:hAnsi="宋体" w:cs="宋体"/>
                <w:bCs/>
                <w:kern w:val="44"/>
                <w:szCs w:val="21"/>
              </w:rPr>
            </w:pPr>
            <w:r>
              <w:rPr>
                <w:rFonts w:hint="eastAsia" w:ascii="宋体" w:hAnsi="宋体" w:cs="宋体"/>
                <w:bCs/>
                <w:kern w:val="44"/>
                <w:szCs w:val="21"/>
              </w:rPr>
              <w:t>1</w:t>
            </w:r>
          </w:p>
        </w:tc>
        <w:tc>
          <w:tcPr>
            <w:tcW w:w="1133" w:type="dxa"/>
            <w:vAlign w:val="center"/>
          </w:tcPr>
          <w:p>
            <w:pPr>
              <w:rPr>
                <w:rFonts w:ascii="宋体" w:hAnsi="宋体" w:cs="宋体"/>
                <w:bCs/>
                <w:kern w:val="44"/>
                <w:szCs w:val="21"/>
              </w:rPr>
            </w:pPr>
            <w:r>
              <w:rPr>
                <w:rFonts w:hint="eastAsia" w:ascii="宋体" w:hAnsi="宋体" w:cs="宋体"/>
                <w:bCs/>
                <w:kern w:val="44"/>
                <w:szCs w:val="21"/>
              </w:rPr>
              <w:t>秩序维护要求</w:t>
            </w:r>
          </w:p>
        </w:tc>
        <w:tc>
          <w:tcPr>
            <w:tcW w:w="6225" w:type="dxa"/>
            <w:vAlign w:val="center"/>
          </w:tcPr>
          <w:p>
            <w:pPr>
              <w:rPr>
                <w:rFonts w:ascii="宋体" w:hAnsi="宋体" w:cs="宋体"/>
                <w:bCs/>
                <w:kern w:val="44"/>
                <w:szCs w:val="21"/>
              </w:rPr>
            </w:pPr>
            <w:r>
              <w:rPr>
                <w:rFonts w:hint="eastAsia" w:ascii="宋体" w:hAnsi="宋体" w:cs="宋体"/>
                <w:bCs/>
                <w:kern w:val="44"/>
                <w:szCs w:val="21"/>
              </w:rPr>
              <w:t>1、秩序维护人员配置及岗位设置：</w:t>
            </w:r>
          </w:p>
          <w:p>
            <w:pPr>
              <w:rPr>
                <w:rFonts w:ascii="宋体" w:hAnsi="宋体" w:cs="宋体"/>
                <w:bCs/>
                <w:kern w:val="44"/>
                <w:szCs w:val="21"/>
              </w:rPr>
            </w:pPr>
            <w:r>
              <w:rPr>
                <w:rFonts w:hint="eastAsia" w:ascii="宋体" w:hAnsi="宋体" w:cs="宋体"/>
                <w:bCs/>
                <w:kern w:val="44"/>
                <w:szCs w:val="21"/>
              </w:rPr>
              <w:t>（1）秩序维护人员持成都市物业管理专业服务人员执业名册证或保安证上岗率达100%，中标人在签订物业管理服务合同前应提供相关的证明材料。</w:t>
            </w:r>
          </w:p>
          <w:p>
            <w:pPr>
              <w:rPr>
                <w:rFonts w:ascii="宋体" w:hAnsi="宋体" w:cs="宋体"/>
                <w:bCs/>
                <w:kern w:val="44"/>
                <w:szCs w:val="21"/>
              </w:rPr>
            </w:pPr>
            <w:r>
              <w:rPr>
                <w:rFonts w:hint="eastAsia" w:ascii="宋体" w:hAnsi="宋体" w:cs="宋体"/>
                <w:bCs/>
                <w:kern w:val="44"/>
                <w:szCs w:val="21"/>
              </w:rPr>
              <w:t>（2）秩序维护员要求：男性，身高1.6米以上，年龄20-55岁之间（机关一办不超过50岁），无明显身体缺陷。</w:t>
            </w:r>
          </w:p>
          <w:p>
            <w:pPr>
              <w:rPr>
                <w:rFonts w:ascii="宋体" w:hAnsi="宋体" w:cs="宋体"/>
                <w:bCs/>
                <w:kern w:val="44"/>
                <w:szCs w:val="21"/>
              </w:rPr>
            </w:pPr>
            <w:r>
              <w:rPr>
                <w:rFonts w:hint="eastAsia" w:ascii="宋体" w:hAnsi="宋体" w:cs="宋体"/>
                <w:bCs/>
                <w:kern w:val="44"/>
                <w:szCs w:val="21"/>
              </w:rPr>
              <w:t>（3）秩序维护人员共配置8人，其中主管1人，队员7人。</w:t>
            </w:r>
          </w:p>
          <w:p>
            <w:pPr>
              <w:rPr>
                <w:rFonts w:ascii="宋体" w:hAnsi="宋体" w:cs="宋体"/>
                <w:bCs/>
                <w:kern w:val="44"/>
                <w:szCs w:val="21"/>
              </w:rPr>
            </w:pPr>
            <w:r>
              <w:rPr>
                <w:rFonts w:hint="eastAsia" w:ascii="宋体" w:hAnsi="宋体" w:cs="宋体"/>
                <w:bCs/>
                <w:kern w:val="44"/>
                <w:szCs w:val="21"/>
              </w:rPr>
              <w:t>（4）秩序维护主管：负责对秩序维护人员的管理工作及日常班次安排、突发事件前期处置；巡检、记录各班每日工作情况，及时向上级汇报；定期对秩序维护人员工作进行训练、培训考核；</w:t>
            </w:r>
          </w:p>
          <w:p>
            <w:pPr>
              <w:rPr>
                <w:rFonts w:ascii="宋体" w:hAnsi="宋体" w:cs="宋体"/>
                <w:bCs/>
                <w:kern w:val="44"/>
                <w:szCs w:val="21"/>
              </w:rPr>
            </w:pPr>
            <w:r>
              <w:rPr>
                <w:rFonts w:hint="eastAsia" w:ascii="宋体" w:hAnsi="宋体" w:cs="宋体"/>
                <w:bCs/>
                <w:kern w:val="44"/>
                <w:szCs w:val="21"/>
              </w:rPr>
              <w:t>（5）门岗：负责该通道车辆进出，出入口管理，24小时治安防范工作；</w:t>
            </w:r>
          </w:p>
          <w:p>
            <w:pPr>
              <w:rPr>
                <w:rFonts w:ascii="宋体" w:hAnsi="宋体" w:cs="宋体"/>
                <w:bCs/>
                <w:kern w:val="44"/>
                <w:szCs w:val="21"/>
              </w:rPr>
            </w:pPr>
            <w:r>
              <w:rPr>
                <w:rFonts w:hint="eastAsia" w:ascii="宋体" w:hAnsi="宋体" w:cs="宋体"/>
                <w:bCs/>
                <w:kern w:val="44"/>
                <w:szCs w:val="21"/>
              </w:rPr>
              <w:t>（6）露天停车场车辆指挥岗：负责指挥工作时间进入院内车辆的有序停放。</w:t>
            </w:r>
          </w:p>
          <w:p>
            <w:pPr>
              <w:rPr>
                <w:rFonts w:ascii="宋体" w:hAnsi="宋体" w:cs="宋体"/>
                <w:bCs/>
                <w:kern w:val="44"/>
                <w:szCs w:val="21"/>
              </w:rPr>
            </w:pPr>
            <w:r>
              <w:rPr>
                <w:rFonts w:hint="eastAsia" w:ascii="宋体" w:hAnsi="宋体" w:cs="宋体"/>
                <w:bCs/>
                <w:kern w:val="44"/>
                <w:szCs w:val="21"/>
              </w:rPr>
              <w:t>（7）巡逻岗：按照要求的巡逻频次负责大楼内巡逻防范工作，服从上级在处理突发事件时的紧急调动，协助各岗位的工作，替换其他人员休息。</w:t>
            </w:r>
          </w:p>
          <w:p>
            <w:pPr>
              <w:rPr>
                <w:rFonts w:ascii="宋体" w:hAnsi="宋体" w:cs="宋体"/>
                <w:bCs/>
                <w:kern w:val="44"/>
                <w:szCs w:val="21"/>
              </w:rPr>
            </w:pPr>
            <w:r>
              <w:rPr>
                <w:rFonts w:hint="eastAsia" w:ascii="宋体" w:hAnsi="宋体" w:cs="宋体"/>
                <w:bCs/>
                <w:kern w:val="44"/>
                <w:szCs w:val="21"/>
              </w:rPr>
              <w:t>2、服务内容：</w:t>
            </w:r>
          </w:p>
          <w:p>
            <w:pPr>
              <w:rPr>
                <w:rFonts w:ascii="宋体" w:hAnsi="宋体" w:cs="宋体"/>
                <w:bCs/>
                <w:kern w:val="44"/>
                <w:szCs w:val="21"/>
              </w:rPr>
            </w:pPr>
            <w:r>
              <w:rPr>
                <w:rFonts w:hint="eastAsia" w:ascii="宋体" w:hAnsi="宋体" w:cs="宋体"/>
                <w:bCs/>
                <w:kern w:val="44"/>
                <w:szCs w:val="21"/>
              </w:rPr>
              <w:t>（1）守护现有安全保卫系统：</w:t>
            </w:r>
          </w:p>
          <w:p>
            <w:pPr>
              <w:rPr>
                <w:rFonts w:ascii="宋体" w:hAnsi="宋体" w:cs="宋体"/>
                <w:bCs/>
                <w:kern w:val="44"/>
                <w:szCs w:val="21"/>
              </w:rPr>
            </w:pPr>
            <w:r>
              <w:rPr>
                <w:rFonts w:hint="eastAsia" w:ascii="宋体" w:hAnsi="宋体" w:cs="宋体"/>
                <w:bCs/>
                <w:kern w:val="44"/>
                <w:szCs w:val="21"/>
              </w:rPr>
              <w:t>①监控系统。</w:t>
            </w:r>
          </w:p>
          <w:p>
            <w:pPr>
              <w:rPr>
                <w:rFonts w:ascii="宋体" w:hAnsi="宋体" w:cs="宋体"/>
                <w:bCs/>
                <w:kern w:val="44"/>
                <w:szCs w:val="21"/>
              </w:rPr>
            </w:pPr>
            <w:r>
              <w:rPr>
                <w:rFonts w:hint="eastAsia" w:ascii="宋体" w:hAnsi="宋体" w:cs="宋体"/>
                <w:bCs/>
                <w:kern w:val="44"/>
                <w:szCs w:val="21"/>
              </w:rPr>
              <w:t>②门禁管理系统。</w:t>
            </w:r>
          </w:p>
          <w:p>
            <w:pPr>
              <w:rPr>
                <w:rFonts w:ascii="宋体" w:hAnsi="宋体" w:cs="宋体"/>
                <w:bCs/>
                <w:kern w:val="44"/>
                <w:szCs w:val="21"/>
              </w:rPr>
            </w:pPr>
            <w:r>
              <w:rPr>
                <w:rFonts w:hint="eastAsia" w:ascii="宋体" w:hAnsi="宋体" w:cs="宋体"/>
                <w:bCs/>
                <w:kern w:val="44"/>
                <w:szCs w:val="21"/>
              </w:rPr>
              <w:t>（2）安全防范和秩序维护，车辆停放工作作业要求：</w:t>
            </w:r>
          </w:p>
          <w:p>
            <w:pPr>
              <w:rPr>
                <w:rFonts w:ascii="宋体" w:hAnsi="宋体" w:cs="宋体"/>
                <w:bCs/>
                <w:kern w:val="44"/>
                <w:szCs w:val="21"/>
              </w:rPr>
            </w:pPr>
            <w:r>
              <w:rPr>
                <w:rFonts w:hint="eastAsia" w:ascii="宋体" w:hAnsi="宋体" w:cs="宋体"/>
                <w:bCs/>
                <w:kern w:val="44"/>
                <w:szCs w:val="21"/>
              </w:rPr>
              <w:t>①人流控制：按管理要求，做好机关工作人员进出、外来办事人员、上访人员的进出登记、疏导管理工作，确保大楼正常办公秩序。</w:t>
            </w:r>
          </w:p>
          <w:p>
            <w:pPr>
              <w:rPr>
                <w:rFonts w:ascii="宋体" w:hAnsi="宋体" w:cs="宋体"/>
                <w:bCs/>
                <w:kern w:val="44"/>
                <w:szCs w:val="21"/>
              </w:rPr>
            </w:pPr>
            <w:r>
              <w:rPr>
                <w:rFonts w:hint="eastAsia" w:ascii="宋体" w:hAnsi="宋体" w:cs="宋体"/>
                <w:bCs/>
                <w:kern w:val="44"/>
                <w:szCs w:val="21"/>
              </w:rPr>
              <w:t>②物流控制：对出入大楼的大件物品实施申报、核查和登记制度，以有效手段控制物流。物资的搬出、装修单位的进入必须提前申报，秩序维护人员有责任和义务对物资和人员的出入进行正常盘问检查；所有的物资流动实行登记放行手续。</w:t>
            </w:r>
          </w:p>
          <w:p>
            <w:pPr>
              <w:rPr>
                <w:rFonts w:ascii="宋体" w:hAnsi="宋体" w:cs="宋体"/>
                <w:bCs/>
                <w:kern w:val="44"/>
                <w:szCs w:val="21"/>
              </w:rPr>
            </w:pPr>
            <w:r>
              <w:rPr>
                <w:rFonts w:hint="eastAsia" w:ascii="宋体" w:hAnsi="宋体" w:cs="宋体"/>
                <w:bCs/>
                <w:kern w:val="44"/>
                <w:szCs w:val="21"/>
              </w:rPr>
              <w:t>③车流控制：对车流组织合理，停放有序。</w:t>
            </w:r>
          </w:p>
          <w:p>
            <w:pPr>
              <w:rPr>
                <w:rFonts w:ascii="宋体" w:hAnsi="宋体" w:cs="宋体"/>
                <w:bCs/>
                <w:kern w:val="44"/>
                <w:szCs w:val="21"/>
              </w:rPr>
            </w:pPr>
            <w:r>
              <w:rPr>
                <w:rFonts w:hint="eastAsia" w:ascii="宋体" w:hAnsi="宋体" w:cs="宋体"/>
                <w:bCs/>
                <w:kern w:val="44"/>
                <w:szCs w:val="21"/>
              </w:rPr>
              <w:t>④对重点区域、重点部位每2小时巡查1次；配有安全监控设施的，实施24小时监控。</w:t>
            </w:r>
          </w:p>
          <w:p>
            <w:pPr>
              <w:rPr>
                <w:rFonts w:ascii="宋体" w:hAnsi="宋体" w:cs="宋体"/>
                <w:bCs/>
                <w:kern w:val="44"/>
                <w:szCs w:val="21"/>
              </w:rPr>
            </w:pPr>
            <w:r>
              <w:rPr>
                <w:rFonts w:hint="eastAsia" w:ascii="宋体" w:hAnsi="宋体" w:cs="宋体"/>
                <w:bCs/>
                <w:kern w:val="44"/>
                <w:szCs w:val="21"/>
              </w:rPr>
              <w:t>⑤对火灾、治安、公共卫生等突发事件、自然灾害有应急预案，事发时及时报告综合办，并协助采取相应措施。定期（每月一次）和不定期对消防设施进行检查，作好检查记录和检查报告。</w:t>
            </w:r>
          </w:p>
          <w:p>
            <w:pPr>
              <w:rPr>
                <w:rFonts w:ascii="宋体" w:hAnsi="宋体" w:cs="宋体"/>
                <w:bCs/>
                <w:kern w:val="44"/>
                <w:szCs w:val="21"/>
              </w:rPr>
            </w:pPr>
            <w:r>
              <w:rPr>
                <w:rFonts w:hint="eastAsia" w:ascii="宋体" w:hAnsi="宋体" w:cs="宋体"/>
                <w:bCs/>
                <w:kern w:val="44"/>
                <w:szCs w:val="21"/>
              </w:rPr>
              <w:t>⑥遇治安刑事案件发生，应采取下列步骤协助破案：</w:t>
            </w:r>
          </w:p>
          <w:p>
            <w:pPr>
              <w:rPr>
                <w:rFonts w:ascii="宋体" w:hAnsi="宋体" w:cs="宋体"/>
                <w:bCs/>
                <w:kern w:val="44"/>
                <w:szCs w:val="21"/>
              </w:rPr>
            </w:pPr>
            <w:r>
              <w:rPr>
                <w:rFonts w:hint="eastAsia" w:ascii="宋体" w:hAnsi="宋体" w:cs="宋体"/>
                <w:bCs/>
                <w:kern w:val="44"/>
                <w:szCs w:val="21"/>
              </w:rPr>
              <w:t>a、立即报案并保护现场直至公安机关侦查人员到达。</w:t>
            </w:r>
          </w:p>
          <w:p>
            <w:pPr>
              <w:rPr>
                <w:rFonts w:ascii="宋体" w:hAnsi="宋体" w:cs="宋体"/>
                <w:bCs/>
                <w:kern w:val="44"/>
                <w:szCs w:val="21"/>
              </w:rPr>
            </w:pPr>
            <w:r>
              <w:rPr>
                <w:rFonts w:hint="eastAsia" w:ascii="宋体" w:hAnsi="宋体" w:cs="宋体"/>
                <w:bCs/>
                <w:kern w:val="44"/>
                <w:szCs w:val="21"/>
              </w:rPr>
              <w:t>b、切勿移动和容许他人移动、触摸现场物品，保留现场证据，方便公安机关侦查人员取证工作。</w:t>
            </w:r>
          </w:p>
          <w:p>
            <w:pPr>
              <w:rPr>
                <w:rFonts w:ascii="宋体" w:hAnsi="宋体" w:cs="宋体"/>
                <w:bCs/>
                <w:kern w:val="44"/>
                <w:szCs w:val="21"/>
              </w:rPr>
            </w:pPr>
            <w:r>
              <w:rPr>
                <w:rFonts w:hint="eastAsia" w:ascii="宋体" w:hAnsi="宋体" w:cs="宋体"/>
                <w:bCs/>
                <w:kern w:val="44"/>
                <w:szCs w:val="21"/>
              </w:rPr>
              <w:t>c、禁止任何人在现场走动，防止非相关人员进入现场，以方便公安机关侦查人员现场调查。</w:t>
            </w:r>
          </w:p>
          <w:p>
            <w:pPr>
              <w:rPr>
                <w:rFonts w:ascii="宋体" w:hAnsi="宋体" w:cs="宋体"/>
                <w:bCs/>
                <w:kern w:val="44"/>
                <w:szCs w:val="21"/>
              </w:rPr>
            </w:pPr>
            <w:r>
              <w:rPr>
                <w:rFonts w:hint="eastAsia" w:ascii="宋体" w:hAnsi="宋体" w:cs="宋体"/>
                <w:bCs/>
                <w:kern w:val="44"/>
                <w:szCs w:val="21"/>
              </w:rPr>
              <w:t>d、向公安机关侦查人员提供有关案件的情况。</w:t>
            </w:r>
          </w:p>
          <w:p>
            <w:pPr>
              <w:rPr>
                <w:rFonts w:ascii="宋体" w:hAnsi="宋体" w:cs="宋体"/>
                <w:bCs/>
                <w:kern w:val="44"/>
                <w:szCs w:val="21"/>
              </w:rPr>
            </w:pPr>
            <w:r>
              <w:rPr>
                <w:rFonts w:hint="eastAsia" w:ascii="宋体" w:hAnsi="宋体" w:cs="宋体"/>
                <w:bCs/>
                <w:kern w:val="44"/>
                <w:szCs w:val="21"/>
              </w:rPr>
              <w:t>⑦室内发生盗窃情况：非正常途径入室盗窃由乙方负责；若门窗锁完好无损，乙方协助调查。</w:t>
            </w:r>
          </w:p>
          <w:p>
            <w:pPr>
              <w:rPr>
                <w:rFonts w:ascii="宋体" w:hAnsi="宋体" w:cs="宋体"/>
                <w:bCs/>
                <w:kern w:val="44"/>
                <w:szCs w:val="21"/>
              </w:rPr>
            </w:pPr>
            <w:r>
              <w:rPr>
                <w:rFonts w:hint="eastAsia" w:ascii="宋体" w:hAnsi="宋体" w:cs="宋体"/>
                <w:bCs/>
                <w:kern w:val="44"/>
                <w:szCs w:val="21"/>
              </w:rPr>
              <w:t>⑧负责正门及院内正常秩序维护，及时制止乱停、乱放、营利性宣传活动等行为发生。</w:t>
            </w:r>
          </w:p>
          <w:p>
            <w:pPr>
              <w:rPr>
                <w:rFonts w:ascii="宋体" w:hAnsi="宋体" w:cs="宋体"/>
                <w:bCs/>
                <w:kern w:val="44"/>
                <w:szCs w:val="21"/>
              </w:rPr>
            </w:pPr>
            <w:r>
              <w:rPr>
                <w:rFonts w:hint="eastAsia" w:ascii="宋体" w:hAnsi="宋体" w:cs="宋体"/>
                <w:bCs/>
                <w:kern w:val="44"/>
                <w:szCs w:val="21"/>
              </w:rPr>
              <w:t>⑨完成成都市龙泉驿区柏合街道综合办交办的临时外派秩序维护、车辆指挥等工作。</w:t>
            </w:r>
          </w:p>
        </w:tc>
        <w:tc>
          <w:tcPr>
            <w:tcW w:w="708" w:type="dxa"/>
            <w:vAlign w:val="center"/>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rPr>
                <w:rFonts w:ascii="宋体" w:hAnsi="宋体" w:cs="宋体"/>
                <w:bCs/>
                <w:kern w:val="44"/>
                <w:szCs w:val="21"/>
              </w:rPr>
            </w:pPr>
            <w:r>
              <w:rPr>
                <w:rFonts w:hint="eastAsia" w:ascii="宋体" w:hAnsi="宋体" w:cs="宋体"/>
                <w:bCs/>
                <w:kern w:val="44"/>
                <w:szCs w:val="21"/>
              </w:rPr>
              <w:t>2</w:t>
            </w:r>
          </w:p>
        </w:tc>
        <w:tc>
          <w:tcPr>
            <w:tcW w:w="1133" w:type="dxa"/>
            <w:vAlign w:val="center"/>
          </w:tcPr>
          <w:p>
            <w:pPr>
              <w:rPr>
                <w:rFonts w:ascii="宋体" w:hAnsi="宋体" w:cs="宋体"/>
                <w:bCs/>
                <w:kern w:val="44"/>
                <w:szCs w:val="21"/>
              </w:rPr>
            </w:pPr>
            <w:r>
              <w:rPr>
                <w:rFonts w:hint="eastAsia" w:ascii="宋体" w:hAnsi="宋体" w:cs="宋体"/>
                <w:bCs/>
                <w:kern w:val="44"/>
                <w:szCs w:val="21"/>
              </w:rPr>
              <w:t>保洁服务要求</w:t>
            </w:r>
          </w:p>
        </w:tc>
        <w:tc>
          <w:tcPr>
            <w:tcW w:w="6225" w:type="dxa"/>
            <w:vAlign w:val="center"/>
          </w:tcPr>
          <w:p>
            <w:pPr>
              <w:rPr>
                <w:rFonts w:ascii="宋体" w:hAnsi="宋体" w:cs="宋体"/>
                <w:bCs/>
                <w:kern w:val="44"/>
                <w:szCs w:val="21"/>
              </w:rPr>
            </w:pPr>
            <w:r>
              <w:rPr>
                <w:rFonts w:hint="eastAsia" w:ascii="宋体" w:hAnsi="宋体" w:cs="宋体"/>
                <w:bCs/>
                <w:kern w:val="44"/>
                <w:szCs w:val="21"/>
              </w:rPr>
              <w:t>保洁人员配置及岗位设置：</w:t>
            </w:r>
          </w:p>
          <w:p>
            <w:pPr>
              <w:rPr>
                <w:rFonts w:ascii="宋体" w:hAnsi="宋体" w:cs="宋体"/>
                <w:bCs/>
                <w:kern w:val="44"/>
                <w:szCs w:val="21"/>
              </w:rPr>
            </w:pPr>
            <w:r>
              <w:rPr>
                <w:rFonts w:hint="eastAsia" w:ascii="宋体" w:hAnsi="宋体" w:cs="宋体"/>
                <w:bCs/>
                <w:kern w:val="44"/>
                <w:szCs w:val="21"/>
              </w:rPr>
              <w:t>（1）保洁服务共配置保洁员4人（年龄50岁以下）。</w:t>
            </w:r>
          </w:p>
          <w:p>
            <w:pPr>
              <w:rPr>
                <w:rFonts w:ascii="宋体" w:hAnsi="宋体" w:cs="宋体"/>
                <w:bCs/>
                <w:kern w:val="44"/>
                <w:szCs w:val="21"/>
              </w:rPr>
            </w:pPr>
            <w:r>
              <w:rPr>
                <w:rFonts w:hint="eastAsia" w:ascii="宋体" w:hAnsi="宋体" w:cs="宋体"/>
                <w:bCs/>
                <w:kern w:val="44"/>
                <w:szCs w:val="21"/>
              </w:rPr>
              <w:t>（1）保洁服务主管：负责对保洁服务人员的管理工作及日常班次安排；巡检、记录各班每日工作情况，及时向上级汇报；定期对保洁服务人员工作进行考核培训。</w:t>
            </w:r>
          </w:p>
          <w:p>
            <w:pPr>
              <w:rPr>
                <w:rFonts w:ascii="宋体" w:hAnsi="宋体" w:cs="宋体"/>
                <w:bCs/>
                <w:kern w:val="44"/>
                <w:szCs w:val="21"/>
              </w:rPr>
            </w:pPr>
            <w:r>
              <w:rPr>
                <w:rFonts w:hint="eastAsia" w:ascii="宋体" w:hAnsi="宋体" w:cs="宋体"/>
                <w:bCs/>
                <w:kern w:val="44"/>
                <w:szCs w:val="21"/>
              </w:rPr>
              <w:t>（2）保洁员：负责做好对所辖区域的清洁卫生保洁工作。</w:t>
            </w:r>
          </w:p>
          <w:p>
            <w:pPr>
              <w:rPr>
                <w:rFonts w:ascii="宋体" w:hAnsi="宋体" w:cs="宋体"/>
                <w:bCs/>
                <w:kern w:val="44"/>
                <w:szCs w:val="21"/>
              </w:rPr>
            </w:pPr>
            <w:r>
              <w:rPr>
                <w:rFonts w:hint="eastAsia" w:ascii="宋体" w:hAnsi="宋体" w:cs="宋体"/>
                <w:bCs/>
                <w:kern w:val="44"/>
                <w:szCs w:val="21"/>
              </w:rPr>
              <w:t>2、服务内容：</w:t>
            </w:r>
          </w:p>
          <w:p>
            <w:pPr>
              <w:rPr>
                <w:rFonts w:ascii="宋体" w:hAnsi="宋体" w:cs="宋体"/>
                <w:bCs/>
                <w:kern w:val="44"/>
                <w:szCs w:val="21"/>
              </w:rPr>
            </w:pPr>
            <w:r>
              <w:rPr>
                <w:rFonts w:hint="eastAsia" w:ascii="宋体" w:hAnsi="宋体" w:cs="宋体"/>
                <w:bCs/>
                <w:kern w:val="44"/>
                <w:szCs w:val="21"/>
              </w:rPr>
              <w:t>（1）地面停车场、车辆行人通道等楼宇外公共部位卫生维护。</w:t>
            </w:r>
          </w:p>
          <w:p>
            <w:pPr>
              <w:rPr>
                <w:rFonts w:ascii="宋体" w:hAnsi="宋体" w:cs="宋体"/>
                <w:bCs/>
                <w:kern w:val="44"/>
                <w:szCs w:val="21"/>
              </w:rPr>
            </w:pPr>
            <w:r>
              <w:rPr>
                <w:rFonts w:hint="eastAsia" w:ascii="宋体" w:hAnsi="宋体" w:cs="宋体"/>
                <w:bCs/>
                <w:kern w:val="44"/>
                <w:szCs w:val="21"/>
              </w:rPr>
              <w:t>（2）办公大楼内（含附属楼）保洁服务范围：自行车库、楼梯（含扶手）、楼内通道、大厅、过厅、卫生间、开水间、电梯间等除各部门办公区域外的楼内公共区域的卫生保洁（含通道房间门窗外侧）。</w:t>
            </w:r>
          </w:p>
          <w:p>
            <w:pPr>
              <w:rPr>
                <w:rFonts w:ascii="宋体" w:hAnsi="宋体" w:cs="宋体"/>
                <w:bCs/>
                <w:kern w:val="44"/>
                <w:szCs w:val="21"/>
              </w:rPr>
            </w:pPr>
            <w:r>
              <w:rPr>
                <w:rFonts w:hint="eastAsia" w:ascii="宋体" w:hAnsi="宋体" w:cs="宋体"/>
                <w:bCs/>
                <w:kern w:val="44"/>
                <w:szCs w:val="21"/>
              </w:rPr>
              <w:t>（3）门框、窗台、消防栓、指示牌、通风井格栏、垃圾桶、玻璃窗的清洁。</w:t>
            </w:r>
          </w:p>
          <w:p>
            <w:pPr>
              <w:rPr>
                <w:rFonts w:ascii="宋体" w:hAnsi="宋体" w:cs="宋体"/>
                <w:bCs/>
                <w:kern w:val="44"/>
                <w:szCs w:val="21"/>
              </w:rPr>
            </w:pPr>
            <w:r>
              <w:rPr>
                <w:rFonts w:hint="eastAsia" w:ascii="宋体" w:hAnsi="宋体" w:cs="宋体"/>
                <w:bCs/>
                <w:kern w:val="44"/>
                <w:szCs w:val="21"/>
              </w:rPr>
              <w:t>（4）垃圾处理：垃圾分类处置。生活垃圾进垃圾房每天及时清运；危险废弃物按政府相关规定及时处置；建筑装修废料联系施工方及时清理清运。</w:t>
            </w:r>
          </w:p>
          <w:p>
            <w:pPr>
              <w:rPr>
                <w:rFonts w:ascii="宋体" w:hAnsi="宋体" w:cs="宋体"/>
                <w:bCs/>
                <w:kern w:val="44"/>
                <w:szCs w:val="21"/>
              </w:rPr>
            </w:pPr>
            <w:r>
              <w:rPr>
                <w:rFonts w:hint="eastAsia" w:ascii="宋体" w:hAnsi="宋体" w:cs="宋体"/>
                <w:bCs/>
                <w:kern w:val="44"/>
                <w:szCs w:val="21"/>
              </w:rPr>
              <w:t>（5）定期清除绿化带杂草，保证绿化带干净整洁，定期对院内绿植进行养护、修剪，保持院内绿植整洁美观。</w:t>
            </w:r>
          </w:p>
          <w:p>
            <w:pPr>
              <w:rPr>
                <w:rFonts w:ascii="宋体" w:hAnsi="宋体" w:cs="宋体"/>
                <w:bCs/>
                <w:kern w:val="44"/>
                <w:szCs w:val="21"/>
              </w:rPr>
            </w:pPr>
            <w:r>
              <w:rPr>
                <w:rFonts w:hint="eastAsia" w:ascii="宋体" w:hAnsi="宋体" w:cs="宋体"/>
                <w:bCs/>
                <w:kern w:val="44"/>
                <w:szCs w:val="21"/>
              </w:rPr>
              <w:t>（6）按辖区街道和综合办安排进行灭鼠、防疫、消毒等卫生工作。</w:t>
            </w:r>
          </w:p>
          <w:p>
            <w:pPr>
              <w:rPr>
                <w:rFonts w:ascii="宋体" w:hAnsi="宋体" w:cs="宋体"/>
                <w:bCs/>
                <w:kern w:val="44"/>
                <w:szCs w:val="21"/>
              </w:rPr>
            </w:pPr>
            <w:r>
              <w:rPr>
                <w:rFonts w:hint="eastAsia" w:ascii="宋体" w:hAnsi="宋体" w:cs="宋体"/>
                <w:bCs/>
                <w:kern w:val="44"/>
                <w:szCs w:val="21"/>
              </w:rPr>
              <w:t>3、保洁作业要求：</w:t>
            </w:r>
          </w:p>
          <w:p>
            <w:pPr>
              <w:rPr>
                <w:rFonts w:ascii="宋体" w:hAnsi="宋体" w:cs="宋体"/>
                <w:bCs/>
                <w:kern w:val="44"/>
                <w:szCs w:val="21"/>
              </w:rPr>
            </w:pPr>
            <w:r>
              <w:rPr>
                <w:rFonts w:hint="eastAsia" w:ascii="宋体" w:hAnsi="宋体" w:cs="宋体"/>
                <w:bCs/>
                <w:kern w:val="44"/>
                <w:szCs w:val="21"/>
              </w:rPr>
              <w:t>（1）楼外区域卫生保洁要求：</w:t>
            </w:r>
          </w:p>
          <w:p>
            <w:pPr>
              <w:rPr>
                <w:rFonts w:ascii="宋体" w:hAnsi="宋体" w:cs="宋体"/>
                <w:bCs/>
                <w:kern w:val="44"/>
                <w:szCs w:val="21"/>
              </w:rPr>
            </w:pPr>
            <w:r>
              <w:rPr>
                <w:rFonts w:hint="eastAsia" w:ascii="宋体" w:hAnsi="宋体" w:cs="宋体"/>
                <w:bCs/>
                <w:kern w:val="44"/>
                <w:szCs w:val="21"/>
              </w:rPr>
              <w:t>①院内和道路：无泥沙、污垢、附着物等杂物。无烟头、纸屑等杂物，无直径1cm以上石子。</w:t>
            </w:r>
          </w:p>
          <w:p>
            <w:pPr>
              <w:rPr>
                <w:rFonts w:ascii="宋体" w:hAnsi="宋体" w:cs="宋体"/>
                <w:bCs/>
                <w:kern w:val="44"/>
                <w:szCs w:val="21"/>
              </w:rPr>
            </w:pPr>
            <w:r>
              <w:rPr>
                <w:rFonts w:hint="eastAsia" w:ascii="宋体" w:hAnsi="宋体" w:cs="宋体"/>
                <w:bCs/>
                <w:kern w:val="44"/>
                <w:szCs w:val="21"/>
              </w:rPr>
              <w:t>②绿化带：无纸屑、垃圾袋等杂物。无烟头、纸屑等杂物，无直径3cm以上的石子。树池、石材表面无积尘、污垢。</w:t>
            </w:r>
          </w:p>
          <w:p>
            <w:pPr>
              <w:rPr>
                <w:rFonts w:ascii="宋体" w:hAnsi="宋体" w:cs="宋体"/>
                <w:bCs/>
                <w:kern w:val="44"/>
                <w:szCs w:val="21"/>
              </w:rPr>
            </w:pPr>
            <w:r>
              <w:rPr>
                <w:rFonts w:hint="eastAsia" w:ascii="宋体" w:hAnsi="宋体" w:cs="宋体"/>
                <w:bCs/>
                <w:kern w:val="44"/>
                <w:szCs w:val="21"/>
              </w:rPr>
              <w:t>③垃圾中转桶：每天清洁；中转桶有序摆放，地面无散落垃圾、桶表面无污渍。</w:t>
            </w:r>
          </w:p>
          <w:p>
            <w:pPr>
              <w:rPr>
                <w:rFonts w:ascii="宋体" w:hAnsi="宋体" w:cs="宋体"/>
                <w:bCs/>
                <w:kern w:val="44"/>
                <w:szCs w:val="21"/>
              </w:rPr>
            </w:pPr>
            <w:r>
              <w:rPr>
                <w:rFonts w:hint="eastAsia" w:ascii="宋体" w:hAnsi="宋体" w:cs="宋体"/>
                <w:bCs/>
                <w:kern w:val="44"/>
                <w:szCs w:val="21"/>
              </w:rPr>
              <w:t>④各类标识、宣传牌、大门护栏、灯具等：无积尘、无污渍、无乱张贴。</w:t>
            </w:r>
          </w:p>
          <w:p>
            <w:pPr>
              <w:rPr>
                <w:rFonts w:ascii="宋体" w:hAnsi="宋体" w:cs="宋体"/>
                <w:bCs/>
                <w:kern w:val="44"/>
                <w:szCs w:val="21"/>
              </w:rPr>
            </w:pPr>
            <w:r>
              <w:rPr>
                <w:rFonts w:hint="eastAsia" w:ascii="宋体" w:hAnsi="宋体" w:cs="宋体"/>
                <w:bCs/>
                <w:kern w:val="44"/>
                <w:szCs w:val="21"/>
              </w:rPr>
              <w:t>⑤喷水池：定期清洗，无纸屑、杂物、青苔、水垢等。</w:t>
            </w:r>
          </w:p>
          <w:p>
            <w:pPr>
              <w:rPr>
                <w:rFonts w:ascii="宋体" w:hAnsi="宋体" w:cs="宋体"/>
                <w:bCs/>
                <w:kern w:val="44"/>
                <w:szCs w:val="21"/>
              </w:rPr>
            </w:pPr>
            <w:r>
              <w:rPr>
                <w:rFonts w:hint="eastAsia" w:ascii="宋体" w:hAnsi="宋体" w:cs="宋体"/>
                <w:bCs/>
                <w:kern w:val="44"/>
                <w:szCs w:val="21"/>
              </w:rPr>
              <w:t>（2）停车场、自行车库保洁服务要求：</w:t>
            </w:r>
          </w:p>
          <w:p>
            <w:pPr>
              <w:rPr>
                <w:rFonts w:ascii="宋体" w:hAnsi="宋体" w:cs="宋体"/>
                <w:bCs/>
                <w:kern w:val="44"/>
                <w:szCs w:val="21"/>
              </w:rPr>
            </w:pPr>
            <w:r>
              <w:rPr>
                <w:rFonts w:hint="eastAsia" w:ascii="宋体" w:hAnsi="宋体" w:cs="宋体"/>
                <w:bCs/>
                <w:kern w:val="44"/>
                <w:szCs w:val="21"/>
              </w:rPr>
              <w:t>地面无垃圾、杂物、积水、泥沙、油迹；墙面无污渍、积尘、蛛网；标识牌、消防栓、门等设施无污渍、积尘。</w:t>
            </w:r>
          </w:p>
          <w:p>
            <w:pPr>
              <w:rPr>
                <w:rFonts w:ascii="宋体" w:hAnsi="宋体" w:cs="宋体"/>
                <w:bCs/>
                <w:kern w:val="44"/>
                <w:szCs w:val="21"/>
              </w:rPr>
            </w:pPr>
            <w:r>
              <w:rPr>
                <w:rFonts w:hint="eastAsia" w:ascii="宋体" w:hAnsi="宋体" w:cs="宋体"/>
                <w:bCs/>
                <w:kern w:val="44"/>
                <w:szCs w:val="21"/>
              </w:rPr>
              <w:t>（3）大厅保洁服务要求：</w:t>
            </w:r>
          </w:p>
          <w:p>
            <w:pPr>
              <w:rPr>
                <w:rFonts w:ascii="宋体" w:hAnsi="宋体" w:cs="宋体"/>
                <w:bCs/>
                <w:kern w:val="44"/>
                <w:szCs w:val="21"/>
              </w:rPr>
            </w:pPr>
            <w:r>
              <w:rPr>
                <w:rFonts w:hint="eastAsia" w:ascii="宋体" w:hAnsi="宋体" w:cs="宋体"/>
                <w:bCs/>
                <w:kern w:val="44"/>
                <w:szCs w:val="21"/>
              </w:rPr>
              <w:t>①大理石地面无污渍、无垃圾，玻璃门无手印、积尘，保持光亮、干净；大厅的墙面、灯具及其他便民设施保持整洁、无积尘、无蛛网；垃圾桶上不得有烟头，垃圾桶内垃圾不能超过一半。</w:t>
            </w:r>
          </w:p>
          <w:p>
            <w:pPr>
              <w:rPr>
                <w:rFonts w:ascii="宋体" w:hAnsi="宋体" w:cs="宋体"/>
                <w:bCs/>
                <w:kern w:val="44"/>
                <w:szCs w:val="21"/>
              </w:rPr>
            </w:pPr>
            <w:r>
              <w:rPr>
                <w:rFonts w:hint="eastAsia" w:ascii="宋体" w:hAnsi="宋体" w:cs="宋体"/>
                <w:bCs/>
                <w:kern w:val="44"/>
                <w:szCs w:val="21"/>
              </w:rPr>
              <w:t>②保持空气清新无异味。</w:t>
            </w:r>
          </w:p>
          <w:p>
            <w:pPr>
              <w:rPr>
                <w:rFonts w:ascii="宋体" w:hAnsi="宋体" w:cs="宋体"/>
                <w:bCs/>
                <w:kern w:val="44"/>
                <w:szCs w:val="21"/>
              </w:rPr>
            </w:pPr>
            <w:r>
              <w:rPr>
                <w:rFonts w:hint="eastAsia" w:ascii="宋体" w:hAnsi="宋体" w:cs="宋体"/>
                <w:bCs/>
                <w:kern w:val="44"/>
                <w:szCs w:val="21"/>
              </w:rPr>
              <w:t>（4）楼道、楼梯间、走廊保洁服务要求：</w:t>
            </w:r>
          </w:p>
          <w:p>
            <w:pPr>
              <w:rPr>
                <w:rFonts w:ascii="宋体" w:hAnsi="宋体" w:cs="宋体"/>
                <w:bCs/>
                <w:kern w:val="44"/>
                <w:szCs w:val="21"/>
              </w:rPr>
            </w:pPr>
            <w:r>
              <w:rPr>
                <w:rFonts w:hint="eastAsia" w:ascii="宋体" w:hAnsi="宋体" w:cs="宋体"/>
                <w:bCs/>
                <w:kern w:val="44"/>
                <w:szCs w:val="21"/>
              </w:rPr>
              <w:t>地面无纸屑、杂物、污渍，走廊内不得有烟头杂物，天花板、墙面无积尘、无污渍、无蛛网，无乱贴、乱画；门窗、扶手、消防栓、电表箱、宣传栏、开关、灯具等处清洁无积尘、无污渍，金属制品光亮；垃圾桶上烟头需及时清理（不得超过15分钟），垃圾桶内垃圾不能超过一半。</w:t>
            </w:r>
          </w:p>
          <w:p>
            <w:pPr>
              <w:rPr>
                <w:rFonts w:ascii="宋体" w:hAnsi="宋体" w:cs="宋体"/>
                <w:bCs/>
                <w:kern w:val="44"/>
                <w:szCs w:val="21"/>
              </w:rPr>
            </w:pPr>
            <w:r>
              <w:rPr>
                <w:rFonts w:hint="eastAsia" w:ascii="宋体" w:hAnsi="宋体" w:cs="宋体"/>
                <w:bCs/>
                <w:kern w:val="44"/>
                <w:szCs w:val="21"/>
              </w:rPr>
              <w:t>（5）开水间保洁服务要求：</w:t>
            </w:r>
          </w:p>
          <w:p>
            <w:pPr>
              <w:rPr>
                <w:rFonts w:ascii="宋体" w:hAnsi="宋体" w:cs="宋体"/>
                <w:bCs/>
                <w:kern w:val="44"/>
                <w:szCs w:val="21"/>
              </w:rPr>
            </w:pPr>
            <w:r>
              <w:rPr>
                <w:rFonts w:hint="eastAsia" w:ascii="宋体" w:hAnsi="宋体" w:cs="宋体"/>
                <w:bCs/>
                <w:kern w:val="44"/>
                <w:szCs w:val="21"/>
              </w:rPr>
              <w:t>①开水间墙面、墙面瓷砖、门、窗、玻璃、管道无积尘，无涂画；地面干净、无积水、无杂物；</w:t>
            </w:r>
          </w:p>
          <w:p>
            <w:pPr>
              <w:rPr>
                <w:rFonts w:ascii="宋体" w:hAnsi="宋体" w:cs="宋体"/>
                <w:bCs/>
                <w:kern w:val="44"/>
                <w:szCs w:val="21"/>
              </w:rPr>
            </w:pPr>
            <w:r>
              <w:rPr>
                <w:rFonts w:hint="eastAsia" w:ascii="宋体" w:hAnsi="宋体" w:cs="宋体"/>
                <w:bCs/>
                <w:kern w:val="44"/>
                <w:szCs w:val="21"/>
              </w:rPr>
              <w:t>②设施、设备摆放整齐、有序，表面无积尘、污渍。</w:t>
            </w:r>
          </w:p>
          <w:p>
            <w:pPr>
              <w:rPr>
                <w:rFonts w:ascii="宋体" w:hAnsi="宋体" w:cs="宋体"/>
                <w:bCs/>
                <w:kern w:val="44"/>
                <w:szCs w:val="21"/>
              </w:rPr>
            </w:pPr>
            <w:r>
              <w:rPr>
                <w:rFonts w:hint="eastAsia" w:ascii="宋体" w:hAnsi="宋体" w:cs="宋体"/>
                <w:bCs/>
                <w:kern w:val="44"/>
                <w:szCs w:val="21"/>
              </w:rPr>
              <w:t>③保持空气清新无异味。</w:t>
            </w:r>
          </w:p>
          <w:p>
            <w:pPr>
              <w:rPr>
                <w:rFonts w:ascii="宋体" w:hAnsi="宋体" w:cs="宋体"/>
                <w:bCs/>
                <w:kern w:val="44"/>
                <w:szCs w:val="21"/>
              </w:rPr>
            </w:pPr>
            <w:r>
              <w:rPr>
                <w:rFonts w:hint="eastAsia" w:ascii="宋体" w:hAnsi="宋体" w:cs="宋体"/>
                <w:bCs/>
                <w:kern w:val="44"/>
                <w:szCs w:val="21"/>
              </w:rPr>
              <w:t>（6）卫生间保洁服务要求：</w:t>
            </w:r>
          </w:p>
          <w:p>
            <w:pPr>
              <w:rPr>
                <w:rFonts w:ascii="宋体" w:hAnsi="宋体" w:cs="宋体"/>
                <w:bCs/>
                <w:kern w:val="44"/>
                <w:szCs w:val="21"/>
              </w:rPr>
            </w:pPr>
            <w:r>
              <w:rPr>
                <w:rFonts w:hint="eastAsia" w:ascii="宋体" w:hAnsi="宋体" w:cs="宋体"/>
                <w:bCs/>
                <w:kern w:val="44"/>
                <w:szCs w:val="21"/>
              </w:rPr>
              <w:t>①卫生间保持擦手纸、便纸、洗手液和三楼熏香，足量供应。物资供应由综合办负责。</w:t>
            </w:r>
          </w:p>
          <w:p>
            <w:pPr>
              <w:rPr>
                <w:rFonts w:ascii="宋体" w:hAnsi="宋体" w:cs="宋体"/>
                <w:bCs/>
                <w:kern w:val="44"/>
                <w:szCs w:val="21"/>
              </w:rPr>
            </w:pPr>
            <w:r>
              <w:rPr>
                <w:rFonts w:hint="eastAsia" w:ascii="宋体" w:hAnsi="宋体" w:cs="宋体"/>
                <w:bCs/>
                <w:kern w:val="44"/>
                <w:szCs w:val="21"/>
              </w:rPr>
              <w:t>②墙面瓷砖、门、窗无积尘、无涂画；地面干净、无积水、无杂物；便器无污渍、无水锈、设施完好；玻璃、镜面无积尘、无污渍、无手印、水迹停留不超过10分钟。</w:t>
            </w:r>
          </w:p>
          <w:p>
            <w:pPr>
              <w:rPr>
                <w:rFonts w:ascii="宋体" w:hAnsi="宋体" w:cs="宋体"/>
                <w:bCs/>
                <w:kern w:val="44"/>
                <w:szCs w:val="21"/>
              </w:rPr>
            </w:pPr>
            <w:r>
              <w:rPr>
                <w:rFonts w:hint="eastAsia" w:ascii="宋体" w:hAnsi="宋体" w:cs="宋体"/>
                <w:bCs/>
                <w:kern w:val="44"/>
                <w:szCs w:val="21"/>
              </w:rPr>
              <w:t>③洗手台面、面盆内外无毛发、无污渍、无堵塞、水迹停留不超过30分钟。</w:t>
            </w:r>
          </w:p>
          <w:p>
            <w:pPr>
              <w:rPr>
                <w:rFonts w:ascii="宋体" w:hAnsi="宋体" w:cs="宋体"/>
                <w:bCs/>
                <w:kern w:val="44"/>
                <w:szCs w:val="21"/>
              </w:rPr>
            </w:pPr>
            <w:r>
              <w:rPr>
                <w:rFonts w:hint="eastAsia" w:ascii="宋体" w:hAnsi="宋体" w:cs="宋体"/>
                <w:bCs/>
                <w:kern w:val="44"/>
                <w:szCs w:val="21"/>
              </w:rPr>
              <w:t>④五金件清洁光亮、无水迹；天花板、灯具无积尘、蜘蛛网；垃圾桶内外清洁、无污渍，桶内垃圾日产日清。</w:t>
            </w:r>
          </w:p>
          <w:p>
            <w:pPr>
              <w:rPr>
                <w:rFonts w:ascii="宋体" w:hAnsi="宋体" w:cs="宋体"/>
                <w:bCs/>
                <w:kern w:val="44"/>
                <w:szCs w:val="21"/>
              </w:rPr>
            </w:pPr>
            <w:r>
              <w:rPr>
                <w:rFonts w:hint="eastAsia" w:ascii="宋体" w:hAnsi="宋体" w:cs="宋体"/>
                <w:bCs/>
                <w:kern w:val="44"/>
                <w:szCs w:val="21"/>
              </w:rPr>
              <w:t>⑤卫生间内附属设施、设备干净整齐，无积尘。</w:t>
            </w:r>
          </w:p>
          <w:p>
            <w:pPr>
              <w:rPr>
                <w:rFonts w:ascii="宋体" w:hAnsi="宋体" w:cs="宋体"/>
                <w:bCs/>
                <w:kern w:val="44"/>
                <w:szCs w:val="21"/>
              </w:rPr>
            </w:pPr>
            <w:r>
              <w:rPr>
                <w:rFonts w:hint="eastAsia" w:ascii="宋体" w:hAnsi="宋体" w:cs="宋体"/>
                <w:bCs/>
                <w:kern w:val="44"/>
                <w:szCs w:val="21"/>
              </w:rPr>
              <w:t>⑥保持空气清新无异味。</w:t>
            </w:r>
          </w:p>
          <w:p>
            <w:pPr>
              <w:rPr>
                <w:rFonts w:ascii="宋体" w:hAnsi="宋体" w:cs="宋体"/>
                <w:bCs/>
                <w:kern w:val="44"/>
                <w:szCs w:val="21"/>
              </w:rPr>
            </w:pPr>
            <w:r>
              <w:rPr>
                <w:rFonts w:hint="eastAsia" w:ascii="宋体" w:hAnsi="宋体" w:cs="宋体"/>
                <w:bCs/>
                <w:kern w:val="44"/>
                <w:szCs w:val="21"/>
              </w:rPr>
              <w:t>其他公共区域保洁服务要求：</w:t>
            </w:r>
          </w:p>
          <w:p>
            <w:pPr>
              <w:rPr>
                <w:rFonts w:ascii="宋体" w:hAnsi="宋体" w:cs="宋体"/>
                <w:bCs/>
                <w:kern w:val="44"/>
                <w:szCs w:val="21"/>
              </w:rPr>
            </w:pPr>
            <w:r>
              <w:rPr>
                <w:rFonts w:hint="eastAsia" w:ascii="宋体" w:hAnsi="宋体" w:cs="宋体"/>
                <w:bCs/>
                <w:kern w:val="44"/>
                <w:szCs w:val="21"/>
              </w:rPr>
              <w:t>门框、窗台、消防栓、指示牌、通风井格栏、垃圾桶、玻璃窗无积尘，无涂画、无污渍；</w:t>
            </w:r>
          </w:p>
          <w:p>
            <w:pPr>
              <w:rPr>
                <w:rFonts w:ascii="宋体" w:hAnsi="宋体" w:cs="宋体"/>
                <w:bCs/>
                <w:kern w:val="44"/>
                <w:szCs w:val="21"/>
              </w:rPr>
            </w:pPr>
            <w:r>
              <w:rPr>
                <w:rFonts w:hint="eastAsia" w:ascii="宋体" w:hAnsi="宋体" w:cs="宋体"/>
                <w:bCs/>
                <w:kern w:val="44"/>
                <w:szCs w:val="21"/>
              </w:rPr>
              <w:t>垃圾处理要求</w:t>
            </w:r>
          </w:p>
          <w:p>
            <w:pPr>
              <w:rPr>
                <w:rFonts w:ascii="宋体" w:hAnsi="宋体" w:cs="宋体"/>
                <w:bCs/>
                <w:kern w:val="44"/>
                <w:szCs w:val="21"/>
              </w:rPr>
            </w:pPr>
            <w:r>
              <w:rPr>
                <w:rFonts w:hint="eastAsia" w:ascii="宋体" w:hAnsi="宋体" w:cs="宋体"/>
                <w:bCs/>
                <w:kern w:val="44"/>
                <w:szCs w:val="21"/>
              </w:rPr>
              <w:t>垃圾要求分类放置、处理，垃圾日产日清。</w:t>
            </w:r>
          </w:p>
        </w:tc>
        <w:tc>
          <w:tcPr>
            <w:tcW w:w="708" w:type="dxa"/>
            <w:vAlign w:val="center"/>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rPr>
                <w:rFonts w:ascii="宋体" w:hAnsi="宋体" w:cs="宋体"/>
                <w:bCs/>
                <w:kern w:val="44"/>
                <w:szCs w:val="21"/>
              </w:rPr>
            </w:pPr>
            <w:r>
              <w:rPr>
                <w:rFonts w:hint="eastAsia" w:ascii="宋体" w:hAnsi="宋体" w:cs="宋体"/>
                <w:bCs/>
                <w:kern w:val="44"/>
                <w:szCs w:val="21"/>
              </w:rPr>
              <w:t>3</w:t>
            </w:r>
          </w:p>
        </w:tc>
        <w:tc>
          <w:tcPr>
            <w:tcW w:w="1133" w:type="dxa"/>
            <w:vAlign w:val="center"/>
          </w:tcPr>
          <w:p>
            <w:pPr>
              <w:rPr>
                <w:rFonts w:ascii="宋体" w:hAnsi="宋体" w:cs="宋体"/>
                <w:bCs/>
                <w:kern w:val="44"/>
                <w:szCs w:val="21"/>
              </w:rPr>
            </w:pPr>
            <w:r>
              <w:rPr>
                <w:rFonts w:hint="eastAsia" w:ascii="宋体" w:hAnsi="宋体" w:cs="宋体"/>
                <w:bCs/>
                <w:kern w:val="44"/>
                <w:szCs w:val="21"/>
              </w:rPr>
              <w:t>其他</w:t>
            </w:r>
          </w:p>
        </w:tc>
        <w:tc>
          <w:tcPr>
            <w:tcW w:w="6225" w:type="dxa"/>
            <w:vAlign w:val="center"/>
          </w:tcPr>
          <w:p>
            <w:pPr>
              <w:rPr>
                <w:rFonts w:ascii="宋体" w:hAnsi="宋体" w:cs="宋体"/>
                <w:bCs/>
                <w:kern w:val="44"/>
                <w:szCs w:val="21"/>
              </w:rPr>
            </w:pPr>
            <w:r>
              <w:rPr>
                <w:rFonts w:hint="eastAsia" w:ascii="宋体" w:hAnsi="宋体" w:cs="宋体"/>
                <w:bCs/>
                <w:kern w:val="44"/>
                <w:szCs w:val="21"/>
              </w:rPr>
              <w:t>完成成都市龙泉驿区柏合街道政府综合办临时交办的其他任务。</w:t>
            </w:r>
          </w:p>
        </w:tc>
        <w:tc>
          <w:tcPr>
            <w:tcW w:w="708" w:type="dxa"/>
            <w:vAlign w:val="center"/>
          </w:tcPr>
          <w:p>
            <w:pPr>
              <w:rPr>
                <w:rFonts w:ascii="宋体" w:hAnsi="宋体" w:cs="宋体"/>
                <w:bCs/>
                <w:kern w:val="44"/>
                <w:szCs w:val="21"/>
              </w:rPr>
            </w:pPr>
          </w:p>
        </w:tc>
      </w:tr>
    </w:tbl>
    <w:p>
      <w:pPr>
        <w:pStyle w:val="85"/>
        <w:widowControl w:val="0"/>
        <w:adjustRightInd w:val="0"/>
        <w:snapToGrid w:val="0"/>
        <w:spacing w:beforeLines="100" w:beforeAutospacing="0" w:afterAutospacing="0" w:line="240" w:lineRule="atLeast"/>
        <w:ind w:right="-105" w:rightChars="-50" w:firstLine="480" w:firstLineChars="200"/>
        <w:rPr>
          <w:color w:val="000000"/>
        </w:rPr>
      </w:pPr>
    </w:p>
    <w:p>
      <w:pPr>
        <w:pStyle w:val="24"/>
        <w:adjustRightInd w:val="0"/>
        <w:snapToGrid w:val="0"/>
        <w:spacing w:line="360" w:lineRule="auto"/>
        <w:ind w:firstLine="480" w:firstLineChars="200"/>
        <w:rPr>
          <w:rFonts w:hAnsi="宋体" w:cs="宋体"/>
          <w:color w:val="000000"/>
          <w:sz w:val="24"/>
          <w:szCs w:val="24"/>
        </w:rPr>
      </w:pPr>
      <w:r>
        <w:rPr>
          <w:rFonts w:hint="eastAsia" w:hAnsi="宋体" w:cs="宋体"/>
          <w:color w:val="000000"/>
          <w:sz w:val="24"/>
          <w:szCs w:val="24"/>
        </w:rPr>
        <w:t>（</w:t>
      </w:r>
      <w:r>
        <w:rPr>
          <w:rFonts w:hint="eastAsia" w:cs="宋体"/>
          <w:color w:val="000000"/>
          <w:sz w:val="24"/>
          <w:szCs w:val="24"/>
        </w:rPr>
        <w:t>二</w:t>
      </w:r>
      <w:r>
        <w:rPr>
          <w:rFonts w:hint="eastAsia" w:hAnsi="宋体" w:cs="宋体"/>
          <w:color w:val="000000"/>
          <w:sz w:val="24"/>
          <w:szCs w:val="24"/>
        </w:rPr>
        <w:t>）服务人员基本要求（实质性要求）</w:t>
      </w:r>
    </w:p>
    <w:p>
      <w:pPr>
        <w:pStyle w:val="24"/>
        <w:adjustRightInd w:val="0"/>
        <w:snapToGrid w:val="0"/>
        <w:spacing w:line="360" w:lineRule="auto"/>
        <w:ind w:firstLine="480" w:firstLineChars="200"/>
        <w:rPr>
          <w:rFonts w:hAnsi="宋体" w:cs="宋体"/>
          <w:color w:val="000000"/>
          <w:sz w:val="24"/>
          <w:szCs w:val="24"/>
        </w:rPr>
      </w:pPr>
      <w:r>
        <w:rPr>
          <w:rFonts w:hint="eastAsia" w:hAnsi="宋体" w:cs="宋体"/>
          <w:color w:val="000000"/>
          <w:sz w:val="24"/>
          <w:szCs w:val="24"/>
        </w:rPr>
        <w:t>1、本项目物业服务人员须按规定统一着装。着装要求干净整洁，表面、衣领、袖口没有明显污渍。</w:t>
      </w:r>
    </w:p>
    <w:p>
      <w:pPr>
        <w:pStyle w:val="24"/>
        <w:adjustRightInd w:val="0"/>
        <w:snapToGrid w:val="0"/>
        <w:spacing w:line="360" w:lineRule="auto"/>
        <w:ind w:firstLine="480" w:firstLineChars="200"/>
        <w:rPr>
          <w:rFonts w:ascii="Calibri" w:hAnsi="Calibri"/>
          <w:kern w:val="2"/>
          <w:sz w:val="24"/>
          <w:szCs w:val="24"/>
          <w:lang w:val="zh-CN"/>
        </w:rPr>
      </w:pPr>
      <w:r>
        <w:rPr>
          <w:rFonts w:hint="eastAsia" w:hAnsi="宋体" w:cs="宋体"/>
          <w:color w:val="000000"/>
          <w:sz w:val="24"/>
          <w:szCs w:val="24"/>
        </w:rPr>
        <w:t>2、工作</w:t>
      </w:r>
      <w:r>
        <w:rPr>
          <w:rFonts w:hint="eastAsia" w:ascii="Calibri" w:hAnsi="Calibri"/>
          <w:kern w:val="2"/>
          <w:sz w:val="24"/>
          <w:szCs w:val="24"/>
          <w:lang w:val="zh-CN"/>
        </w:rPr>
        <w:t>中物业服务人员不准擅离岗位，不准嬉笑打闹，不准看书报杂志，吃东西、睡觉或做其他与工作无关的事。</w:t>
      </w:r>
    </w:p>
    <w:p>
      <w:pPr>
        <w:pStyle w:val="24"/>
        <w:adjustRightInd w:val="0"/>
        <w:snapToGrid w:val="0"/>
        <w:spacing w:line="360" w:lineRule="auto"/>
        <w:ind w:firstLine="480" w:firstLineChars="200"/>
        <w:rPr>
          <w:rFonts w:ascii="Calibri" w:hAnsi="Calibri"/>
          <w:kern w:val="2"/>
          <w:sz w:val="24"/>
          <w:szCs w:val="24"/>
          <w:lang w:val="zh-CN"/>
        </w:rPr>
      </w:pPr>
      <w:r>
        <w:rPr>
          <w:rFonts w:hint="eastAsia" w:ascii="Calibri" w:hAnsi="Calibri"/>
          <w:kern w:val="2"/>
          <w:sz w:val="24"/>
          <w:szCs w:val="24"/>
          <w:lang w:val="zh-CN"/>
        </w:rPr>
        <w:t>3、物业服务人员须做到文明礼貌、讲礼节，不在大楼内乱串和高声喧哗。</w:t>
      </w:r>
    </w:p>
    <w:p>
      <w:pPr>
        <w:pStyle w:val="24"/>
        <w:adjustRightInd w:val="0"/>
        <w:snapToGrid w:val="0"/>
        <w:spacing w:line="360" w:lineRule="auto"/>
        <w:ind w:firstLine="480" w:firstLineChars="200"/>
        <w:rPr>
          <w:rFonts w:ascii="Calibri" w:hAnsi="Calibri"/>
          <w:kern w:val="2"/>
          <w:sz w:val="24"/>
          <w:szCs w:val="24"/>
          <w:lang w:val="zh-CN"/>
        </w:rPr>
      </w:pPr>
      <w:r>
        <w:rPr>
          <w:rFonts w:hint="eastAsia" w:ascii="Calibri" w:hAnsi="Calibri"/>
          <w:kern w:val="2"/>
          <w:sz w:val="24"/>
          <w:szCs w:val="24"/>
          <w:lang w:val="zh-CN"/>
        </w:rPr>
        <w:t>4、物业服务人员须讲究礼节礼貌，遇有办事群众问事，应热情回答，不得态度冷漠，语言不文明，更不得发生争吵和肢体冲突。</w:t>
      </w:r>
    </w:p>
    <w:p>
      <w:pPr>
        <w:pStyle w:val="24"/>
        <w:adjustRightInd w:val="0"/>
        <w:snapToGrid w:val="0"/>
        <w:spacing w:line="360" w:lineRule="auto"/>
        <w:ind w:firstLine="480" w:firstLineChars="200"/>
        <w:rPr>
          <w:rFonts w:ascii="Calibri" w:hAnsi="Calibri"/>
          <w:kern w:val="2"/>
          <w:sz w:val="24"/>
          <w:szCs w:val="24"/>
          <w:lang w:val="zh-CN"/>
        </w:rPr>
      </w:pPr>
      <w:r>
        <w:rPr>
          <w:rFonts w:hint="eastAsia" w:ascii="Calibri" w:hAnsi="Calibri"/>
          <w:kern w:val="2"/>
          <w:sz w:val="24"/>
          <w:szCs w:val="24"/>
          <w:lang w:val="zh-CN"/>
        </w:rPr>
        <w:t>5、物业服务人员不得随地吐痰，乱扔纸屑和乱写乱画，物品摆放有序。</w:t>
      </w:r>
    </w:p>
    <w:p>
      <w:pPr>
        <w:pStyle w:val="24"/>
        <w:adjustRightInd w:val="0"/>
        <w:snapToGrid w:val="0"/>
        <w:spacing w:line="360" w:lineRule="auto"/>
        <w:ind w:firstLine="480" w:firstLineChars="200"/>
        <w:rPr>
          <w:rFonts w:ascii="Calibri" w:hAnsi="Calibri"/>
          <w:kern w:val="2"/>
          <w:sz w:val="24"/>
          <w:szCs w:val="24"/>
          <w:lang w:val="zh-CN"/>
        </w:rPr>
      </w:pPr>
      <w:r>
        <w:rPr>
          <w:rFonts w:hint="eastAsia" w:ascii="Calibri" w:hAnsi="Calibri"/>
          <w:kern w:val="2"/>
          <w:sz w:val="24"/>
          <w:szCs w:val="24"/>
          <w:lang w:val="zh-CN"/>
        </w:rPr>
        <w:t>6、物业服务人员上岗前须具备县级以上医院的体检合格证明，须定期检查身体，无带病上岗，个人卫生达标。</w:t>
      </w:r>
    </w:p>
    <w:p>
      <w:pPr>
        <w:pStyle w:val="24"/>
        <w:adjustRightInd w:val="0"/>
        <w:snapToGrid w:val="0"/>
        <w:spacing w:line="360" w:lineRule="auto"/>
        <w:ind w:firstLine="480" w:firstLineChars="200"/>
        <w:rPr>
          <w:rFonts w:ascii="Calibri" w:hAnsi="Calibri"/>
          <w:kern w:val="2"/>
          <w:sz w:val="24"/>
          <w:szCs w:val="24"/>
          <w:lang w:val="zh-CN"/>
        </w:rPr>
      </w:pPr>
      <w:r>
        <w:rPr>
          <w:rFonts w:hint="eastAsia" w:ascii="Calibri" w:hAnsi="Calibri"/>
          <w:kern w:val="2"/>
          <w:sz w:val="24"/>
          <w:szCs w:val="24"/>
          <w:lang w:val="zh-CN"/>
        </w:rPr>
        <w:t>7、物业服务人员在岗位操作时应使用“您好，请，对不起，不客气，谢谢”等礼貌用语。</w:t>
      </w:r>
    </w:p>
    <w:p>
      <w:pPr>
        <w:pStyle w:val="24"/>
        <w:adjustRightInd w:val="0"/>
        <w:snapToGrid w:val="0"/>
        <w:spacing w:line="360" w:lineRule="auto"/>
        <w:ind w:firstLine="480" w:firstLineChars="200"/>
        <w:rPr>
          <w:rFonts w:hAnsi="宋体" w:cs="宋体"/>
          <w:color w:val="000000"/>
          <w:sz w:val="24"/>
          <w:szCs w:val="24"/>
        </w:rPr>
      </w:pPr>
      <w:r>
        <w:rPr>
          <w:rFonts w:hint="eastAsia" w:ascii="Calibri" w:hAnsi="Calibri"/>
          <w:kern w:val="2"/>
          <w:sz w:val="24"/>
          <w:szCs w:val="24"/>
          <w:lang w:val="zh-CN"/>
        </w:rPr>
        <w:t>8、所有物业服务人员</w:t>
      </w:r>
      <w:r>
        <w:rPr>
          <w:rFonts w:hint="eastAsia" w:hAnsi="宋体" w:cs="宋体"/>
          <w:color w:val="000000"/>
          <w:sz w:val="24"/>
          <w:szCs w:val="24"/>
        </w:rPr>
        <w:t>均需持证上岗，身体素质好，无不良行为记录。</w:t>
      </w:r>
    </w:p>
    <w:p>
      <w:pPr>
        <w:pStyle w:val="4"/>
        <w:spacing w:beforeLines="100" w:line="240" w:lineRule="atLeast"/>
        <w:ind w:left="0"/>
      </w:pPr>
      <w:bookmarkStart w:id="252" w:name="_Toc12054_WPSOffice_Level2"/>
      <w:r>
        <w:rPr>
          <w:rFonts w:hint="eastAsia"/>
        </w:rPr>
        <w:t>考核标准</w:t>
      </w:r>
      <w:bookmarkEnd w:id="252"/>
    </w:p>
    <w:p>
      <w:pPr>
        <w:pStyle w:val="24"/>
        <w:adjustRightInd w:val="0"/>
        <w:snapToGrid w:val="0"/>
        <w:spacing w:line="360" w:lineRule="auto"/>
        <w:ind w:firstLine="480" w:firstLineChars="200"/>
        <w:rPr>
          <w:rFonts w:ascii="Calibri" w:hAnsi="Calibri"/>
          <w:kern w:val="2"/>
          <w:sz w:val="24"/>
          <w:szCs w:val="24"/>
          <w:lang w:val="zh-CN"/>
        </w:rPr>
      </w:pPr>
      <w:r>
        <w:rPr>
          <w:rFonts w:hint="eastAsia" w:hAnsi="宋体" w:cs="宋体"/>
          <w:color w:val="000000"/>
          <w:sz w:val="24"/>
          <w:szCs w:val="24"/>
        </w:rPr>
        <w:t>1、验</w:t>
      </w:r>
      <w:r>
        <w:rPr>
          <w:rFonts w:hint="eastAsia" w:ascii="Calibri" w:hAnsi="Calibri"/>
          <w:kern w:val="2"/>
          <w:sz w:val="24"/>
          <w:szCs w:val="24"/>
          <w:lang w:val="zh-CN"/>
        </w:rPr>
        <w:t>收标准按照《中华人民共和国政府采购法实施条例》《财政部关于进一步加强政府采购需求和履约验收管理的指导意见》（财库〔2016〕205 号）《政府采购需求管理办法》（财库〔2021〕22 号）的规定执行。</w:t>
      </w:r>
    </w:p>
    <w:p>
      <w:pPr>
        <w:pStyle w:val="24"/>
        <w:adjustRightInd w:val="0"/>
        <w:snapToGrid w:val="0"/>
        <w:spacing w:line="360" w:lineRule="auto"/>
        <w:ind w:firstLine="480" w:firstLineChars="200"/>
        <w:rPr>
          <w:rFonts w:hAnsi="宋体" w:cs="宋体"/>
          <w:color w:val="000000"/>
          <w:sz w:val="24"/>
          <w:szCs w:val="24"/>
        </w:rPr>
      </w:pPr>
      <w:r>
        <w:rPr>
          <w:rFonts w:hint="eastAsia" w:ascii="Calibri" w:hAnsi="Calibri"/>
          <w:kern w:val="2"/>
          <w:sz w:val="24"/>
          <w:szCs w:val="24"/>
          <w:lang w:val="zh-CN"/>
        </w:rPr>
        <w:t>2、验收内容按《成都市龙泉驿区人民政府柏合街道办公区物业服务合同》及《龙泉驿区人民政府政府柏合</w:t>
      </w:r>
      <w:r>
        <w:rPr>
          <w:rFonts w:hint="eastAsia" w:hAnsi="宋体" w:cs="宋体"/>
          <w:color w:val="000000"/>
          <w:sz w:val="24"/>
          <w:szCs w:val="24"/>
        </w:rPr>
        <w:t>街道办公区物业服务工作考核办法》的要求执行。</w:t>
      </w:r>
    </w:p>
    <w:p>
      <w:pPr>
        <w:spacing w:line="480" w:lineRule="exact"/>
        <w:jc w:val="center"/>
        <w:rPr>
          <w:rFonts w:ascii="宋体" w:hAnsi="宋体" w:cs="宋体"/>
          <w:bCs/>
          <w:kern w:val="44"/>
          <w:sz w:val="24"/>
        </w:rPr>
      </w:pPr>
      <w:r>
        <w:rPr>
          <w:rFonts w:hint="eastAsia" w:ascii="宋体" w:hAnsi="宋体" w:cs="宋体"/>
          <w:bCs/>
          <w:kern w:val="44"/>
          <w:sz w:val="24"/>
        </w:rPr>
        <w:t>成都市龙泉驿区人民政府柏合街道办事处</w:t>
      </w:r>
    </w:p>
    <w:p>
      <w:pPr>
        <w:spacing w:line="480" w:lineRule="exact"/>
        <w:jc w:val="center"/>
        <w:rPr>
          <w:rFonts w:ascii="宋体" w:hAnsi="宋体" w:cs="宋体"/>
          <w:bCs/>
          <w:kern w:val="44"/>
          <w:sz w:val="24"/>
        </w:rPr>
      </w:pPr>
      <w:r>
        <w:rPr>
          <w:rFonts w:hint="eastAsia" w:ascii="宋体" w:hAnsi="宋体" w:cs="宋体"/>
          <w:bCs/>
          <w:kern w:val="44"/>
          <w:sz w:val="24"/>
        </w:rPr>
        <w:t>物业管理服务满意度考核评分表</w:t>
      </w:r>
    </w:p>
    <w:tbl>
      <w:tblPr>
        <w:tblStyle w:val="4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39"/>
        <w:gridCol w:w="709"/>
        <w:gridCol w:w="679"/>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781" w:type="dxa"/>
            <w:vAlign w:val="center"/>
          </w:tcPr>
          <w:p>
            <w:pPr>
              <w:rPr>
                <w:rFonts w:ascii="宋体" w:hAnsi="宋体" w:cs="宋体"/>
                <w:bCs/>
                <w:kern w:val="44"/>
                <w:szCs w:val="21"/>
              </w:rPr>
            </w:pPr>
            <w:r>
              <w:rPr>
                <w:rFonts w:hint="eastAsia" w:ascii="宋体" w:hAnsi="宋体" w:cs="宋体"/>
                <w:bCs/>
                <w:kern w:val="44"/>
                <w:szCs w:val="21"/>
              </w:rPr>
              <w:t>考核</w:t>
            </w:r>
          </w:p>
          <w:p>
            <w:pPr>
              <w:rPr>
                <w:rFonts w:ascii="宋体" w:hAnsi="宋体" w:cs="宋体"/>
                <w:bCs/>
                <w:kern w:val="44"/>
                <w:szCs w:val="21"/>
              </w:rPr>
            </w:pPr>
            <w:r>
              <w:rPr>
                <w:rFonts w:hint="eastAsia" w:ascii="宋体" w:hAnsi="宋体" w:cs="宋体"/>
                <w:bCs/>
                <w:kern w:val="44"/>
                <w:szCs w:val="21"/>
              </w:rPr>
              <w:t>分类</w:t>
            </w:r>
          </w:p>
        </w:tc>
        <w:tc>
          <w:tcPr>
            <w:tcW w:w="5139" w:type="dxa"/>
            <w:vAlign w:val="center"/>
          </w:tcPr>
          <w:p>
            <w:pPr>
              <w:rPr>
                <w:rFonts w:ascii="宋体" w:hAnsi="宋体" w:cs="宋体"/>
                <w:bCs/>
                <w:kern w:val="44"/>
                <w:szCs w:val="21"/>
              </w:rPr>
            </w:pPr>
            <w:r>
              <w:rPr>
                <w:rFonts w:hint="eastAsia" w:ascii="宋体" w:hAnsi="宋体" w:cs="宋体"/>
                <w:bCs/>
                <w:kern w:val="44"/>
                <w:szCs w:val="21"/>
              </w:rPr>
              <w:t>考核内容及评分标准</w:t>
            </w:r>
          </w:p>
        </w:tc>
        <w:tc>
          <w:tcPr>
            <w:tcW w:w="709" w:type="dxa"/>
            <w:vAlign w:val="center"/>
          </w:tcPr>
          <w:p>
            <w:pPr>
              <w:rPr>
                <w:rFonts w:ascii="宋体" w:hAnsi="宋体" w:cs="宋体"/>
                <w:bCs/>
                <w:kern w:val="44"/>
                <w:szCs w:val="21"/>
              </w:rPr>
            </w:pPr>
            <w:r>
              <w:rPr>
                <w:rFonts w:hint="eastAsia" w:ascii="宋体" w:hAnsi="宋体" w:cs="宋体"/>
                <w:bCs/>
                <w:kern w:val="44"/>
                <w:szCs w:val="21"/>
              </w:rPr>
              <w:t>考核分值</w:t>
            </w:r>
          </w:p>
        </w:tc>
        <w:tc>
          <w:tcPr>
            <w:tcW w:w="679" w:type="dxa"/>
            <w:vAlign w:val="center"/>
          </w:tcPr>
          <w:p>
            <w:pPr>
              <w:rPr>
                <w:rFonts w:ascii="宋体" w:hAnsi="宋体" w:cs="宋体"/>
                <w:bCs/>
                <w:kern w:val="44"/>
                <w:szCs w:val="21"/>
              </w:rPr>
            </w:pPr>
            <w:r>
              <w:rPr>
                <w:rFonts w:hint="eastAsia" w:ascii="宋体" w:hAnsi="宋体" w:cs="宋体"/>
                <w:bCs/>
                <w:kern w:val="44"/>
                <w:szCs w:val="21"/>
              </w:rPr>
              <w:t>扣分</w:t>
            </w:r>
          </w:p>
        </w:tc>
        <w:tc>
          <w:tcPr>
            <w:tcW w:w="720" w:type="dxa"/>
            <w:vAlign w:val="center"/>
          </w:tcPr>
          <w:p>
            <w:pPr>
              <w:rPr>
                <w:rFonts w:ascii="宋体" w:hAnsi="宋体" w:cs="宋体"/>
                <w:bCs/>
                <w:kern w:val="44"/>
                <w:szCs w:val="21"/>
              </w:rPr>
            </w:pPr>
            <w:r>
              <w:rPr>
                <w:rFonts w:hint="eastAsia" w:ascii="宋体" w:hAnsi="宋体" w:cs="宋体"/>
                <w:bCs/>
                <w:kern w:val="44"/>
                <w:szCs w:val="21"/>
              </w:rPr>
              <w:t>扣分事由</w:t>
            </w:r>
          </w:p>
        </w:tc>
        <w:tc>
          <w:tcPr>
            <w:tcW w:w="720" w:type="dxa"/>
            <w:vAlign w:val="center"/>
          </w:tcPr>
          <w:p>
            <w:pPr>
              <w:rPr>
                <w:rFonts w:ascii="宋体" w:hAnsi="宋体" w:cs="宋体"/>
                <w:bCs/>
                <w:kern w:val="44"/>
                <w:szCs w:val="21"/>
              </w:rPr>
            </w:pPr>
            <w:r>
              <w:rPr>
                <w:rFonts w:hint="eastAsia" w:ascii="宋体" w:hAnsi="宋体" w:cs="宋体"/>
                <w:bCs/>
                <w:kern w:val="44"/>
                <w:szCs w:val="21"/>
              </w:rPr>
              <w:t>考核得分</w:t>
            </w:r>
          </w:p>
        </w:tc>
        <w:tc>
          <w:tcPr>
            <w:tcW w:w="720" w:type="dxa"/>
            <w:vAlign w:val="center"/>
          </w:tcPr>
          <w:p>
            <w:pPr>
              <w:rPr>
                <w:rFonts w:ascii="宋体" w:hAnsi="宋体" w:cs="宋体"/>
                <w:bCs/>
                <w:kern w:val="44"/>
                <w:szCs w:val="21"/>
              </w:rPr>
            </w:pPr>
            <w:r>
              <w:rPr>
                <w:rFonts w:hint="eastAsia" w:ascii="宋体" w:hAnsi="宋体" w:cs="宋体"/>
                <w:bCs/>
                <w:kern w:val="4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restart"/>
          </w:tcPr>
          <w:p>
            <w:pPr>
              <w:rPr>
                <w:rFonts w:ascii="宋体" w:hAnsi="宋体" w:cs="宋体"/>
                <w:bCs/>
                <w:kern w:val="44"/>
                <w:szCs w:val="21"/>
              </w:rPr>
            </w:pPr>
            <w:r>
              <w:rPr>
                <w:rFonts w:hint="eastAsia" w:ascii="宋体" w:hAnsi="宋体" w:cs="宋体"/>
                <w:bCs/>
                <w:kern w:val="44"/>
                <w:szCs w:val="21"/>
              </w:rPr>
              <w:t>一、物业服务机构建设考核（30分）</w:t>
            </w:r>
          </w:p>
        </w:tc>
        <w:tc>
          <w:tcPr>
            <w:tcW w:w="5139" w:type="dxa"/>
          </w:tcPr>
          <w:p>
            <w:pPr>
              <w:rPr>
                <w:rFonts w:ascii="宋体" w:hAnsi="宋体" w:cs="宋体"/>
                <w:bCs/>
                <w:kern w:val="44"/>
                <w:szCs w:val="21"/>
              </w:rPr>
            </w:pPr>
            <w:r>
              <w:rPr>
                <w:rFonts w:hint="eastAsia" w:ascii="宋体" w:hAnsi="宋体" w:cs="宋体"/>
                <w:bCs/>
                <w:kern w:val="44"/>
                <w:szCs w:val="21"/>
              </w:rPr>
              <w:t>1.设有专门的物管服务中心，并配备兼职主管。上一级物管公司应保持本项目管理人员的相对稳定</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2.物管服务中心相关制度齐全。每缺一项扣1分。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3.物管服务中心应按照物业服务合同的要求制定相应的物业服务岗位作业规范要求及考核办法 。每缺一项扣1分。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4.物管中心应认真执行《劳动合同法》，避免员工劳资纠纷的发生。如发生，并影响正常的物业服务工作，每人次扣1分。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5.物管中心应按照物业服务合同的约定合理配备相应数量的物业服务人员。未达到双方约定的人数，每少一人扣2分。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6.物管服务中心应制定员工培训计划，定期（每月至少一次）对相关物业服务人员进行业务培训或思想教育。每少一次扣1分。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restart"/>
          </w:tcPr>
          <w:p>
            <w:pPr>
              <w:rPr>
                <w:rFonts w:ascii="宋体" w:hAnsi="宋体" w:cs="宋体"/>
                <w:bCs/>
                <w:kern w:val="44"/>
                <w:szCs w:val="21"/>
              </w:rPr>
            </w:pPr>
            <w:r>
              <w:rPr>
                <w:rFonts w:hint="eastAsia" w:ascii="宋体" w:hAnsi="宋体" w:cs="宋体"/>
                <w:bCs/>
                <w:kern w:val="44"/>
                <w:szCs w:val="21"/>
              </w:rPr>
              <w:t>二、物业服务实施过程考核（40分）</w:t>
            </w:r>
          </w:p>
        </w:tc>
        <w:tc>
          <w:tcPr>
            <w:tcW w:w="5139" w:type="dxa"/>
          </w:tcPr>
          <w:p>
            <w:pPr>
              <w:rPr>
                <w:rFonts w:ascii="宋体" w:hAnsi="宋体" w:cs="宋体"/>
                <w:bCs/>
                <w:kern w:val="44"/>
                <w:szCs w:val="21"/>
              </w:rPr>
            </w:pPr>
            <w:r>
              <w:rPr>
                <w:rFonts w:hint="eastAsia" w:ascii="宋体" w:hAnsi="宋体" w:cs="宋体"/>
                <w:bCs/>
                <w:kern w:val="44"/>
                <w:szCs w:val="21"/>
              </w:rPr>
              <w:t>7.物管服务中心聘用的服务人员必须着物业公司配发的统一服装，并佩带胸牌。不按要求着装，每人次扣1分。</w:t>
            </w:r>
          </w:p>
        </w:tc>
        <w:tc>
          <w:tcPr>
            <w:tcW w:w="709" w:type="dxa"/>
          </w:tcPr>
          <w:p>
            <w:pPr>
              <w:rPr>
                <w:rFonts w:ascii="宋体" w:hAnsi="宋体" w:cs="宋体"/>
                <w:bCs/>
                <w:kern w:val="44"/>
                <w:szCs w:val="21"/>
              </w:rPr>
            </w:pPr>
            <w:r>
              <w:rPr>
                <w:rFonts w:hint="eastAsia" w:ascii="宋体" w:hAnsi="宋体" w:cs="宋体"/>
                <w:bCs/>
                <w:kern w:val="44"/>
                <w:szCs w:val="21"/>
              </w:rPr>
              <w:t>6分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8.物管服务中心应合理调配好各岗位的人数及工作时间，规范交接班程序，严禁出现脱岗、缺岗。每发现一人次扣2分。</w:t>
            </w:r>
          </w:p>
        </w:tc>
        <w:tc>
          <w:tcPr>
            <w:tcW w:w="709" w:type="dxa"/>
          </w:tcPr>
          <w:p>
            <w:pPr>
              <w:rPr>
                <w:rFonts w:ascii="宋体" w:hAnsi="宋体" w:cs="宋体"/>
                <w:bCs/>
                <w:kern w:val="44"/>
                <w:szCs w:val="21"/>
              </w:rPr>
            </w:pPr>
            <w:r>
              <w:rPr>
                <w:rFonts w:hint="eastAsia" w:ascii="宋体" w:hAnsi="宋体" w:cs="宋体"/>
                <w:bCs/>
                <w:kern w:val="44"/>
                <w:szCs w:val="21"/>
              </w:rPr>
              <w:t>6分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9.物管服务中心聘用的服务人员必须严格遵守各项规章制度的要求，强化服务理念和本领，文明用语、文明服务，严禁与服务对象发生打架或争吵。发生打架，每人次扣3分；发生争吵，每人次扣1分。</w:t>
            </w:r>
          </w:p>
        </w:tc>
        <w:tc>
          <w:tcPr>
            <w:tcW w:w="709" w:type="dxa"/>
          </w:tcPr>
          <w:p>
            <w:pPr>
              <w:rPr>
                <w:rFonts w:ascii="宋体" w:hAnsi="宋体" w:cs="宋体"/>
                <w:bCs/>
                <w:kern w:val="44"/>
                <w:szCs w:val="21"/>
              </w:rPr>
            </w:pPr>
            <w:r>
              <w:rPr>
                <w:rFonts w:hint="eastAsia" w:ascii="宋体" w:hAnsi="宋体" w:cs="宋体"/>
                <w:bCs/>
                <w:kern w:val="44"/>
                <w:szCs w:val="21"/>
              </w:rPr>
              <w:t>10分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10.物管服务中心应加强对进出办公大楼人员的询问、登记管理，严禁无关人员、破坏份子随意出入。如发生公共财产被盗，按次扣3分。</w:t>
            </w:r>
          </w:p>
        </w:tc>
        <w:tc>
          <w:tcPr>
            <w:tcW w:w="709" w:type="dxa"/>
          </w:tcPr>
          <w:p>
            <w:pPr>
              <w:rPr>
                <w:rFonts w:ascii="宋体" w:hAnsi="宋体" w:cs="宋体"/>
                <w:bCs/>
                <w:kern w:val="44"/>
                <w:szCs w:val="21"/>
              </w:rPr>
            </w:pPr>
            <w:r>
              <w:rPr>
                <w:rFonts w:hint="eastAsia" w:ascii="宋体" w:hAnsi="宋体" w:cs="宋体"/>
                <w:bCs/>
                <w:kern w:val="44"/>
                <w:szCs w:val="21"/>
              </w:rPr>
              <w:t>6分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11.物管服务中心应加强对进入办公区域的机动车辆进行登记、指挥、停放管理，杜绝无关车辆进入、车辆乱停乱放等现象。每发现一台次乱停乱放扣1分，发生交通堵塞每1次扣1分。</w:t>
            </w:r>
          </w:p>
        </w:tc>
        <w:tc>
          <w:tcPr>
            <w:tcW w:w="709" w:type="dxa"/>
          </w:tcPr>
          <w:p>
            <w:pPr>
              <w:rPr>
                <w:rFonts w:ascii="宋体" w:hAnsi="宋体" w:cs="宋体"/>
                <w:bCs/>
                <w:kern w:val="44"/>
                <w:szCs w:val="21"/>
              </w:rPr>
            </w:pPr>
            <w:r>
              <w:rPr>
                <w:rFonts w:hint="eastAsia" w:ascii="宋体" w:hAnsi="宋体" w:cs="宋体"/>
                <w:bCs/>
                <w:kern w:val="44"/>
                <w:szCs w:val="21"/>
              </w:rPr>
              <w:t>6分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12.物管服务中心应按合同约定作业要求，加强对公共区域环境卫生的清扫和保洁。每发现一处不合格，扣1分</w:t>
            </w:r>
          </w:p>
        </w:tc>
        <w:tc>
          <w:tcPr>
            <w:tcW w:w="709" w:type="dxa"/>
          </w:tcPr>
          <w:p>
            <w:pPr>
              <w:rPr>
                <w:rFonts w:ascii="宋体" w:hAnsi="宋体" w:cs="宋体"/>
                <w:bCs/>
                <w:kern w:val="44"/>
                <w:szCs w:val="21"/>
              </w:rPr>
            </w:pPr>
            <w:r>
              <w:rPr>
                <w:rFonts w:hint="eastAsia" w:ascii="宋体" w:hAnsi="宋体" w:cs="宋体"/>
                <w:bCs/>
                <w:kern w:val="44"/>
                <w:szCs w:val="21"/>
              </w:rPr>
              <w:t>6分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restart"/>
          </w:tcPr>
          <w:p>
            <w:pPr>
              <w:rPr>
                <w:rFonts w:ascii="宋体" w:hAnsi="宋体" w:cs="宋体"/>
                <w:bCs/>
                <w:kern w:val="44"/>
                <w:szCs w:val="21"/>
              </w:rPr>
            </w:pPr>
            <w:r>
              <w:rPr>
                <w:rFonts w:hint="eastAsia" w:ascii="宋体" w:hAnsi="宋体" w:cs="宋体"/>
                <w:bCs/>
                <w:kern w:val="44"/>
                <w:szCs w:val="21"/>
              </w:rPr>
              <w:t>三、物业服务实施效果考核（25分）</w:t>
            </w:r>
          </w:p>
        </w:tc>
        <w:tc>
          <w:tcPr>
            <w:tcW w:w="5139" w:type="dxa"/>
          </w:tcPr>
          <w:p>
            <w:pPr>
              <w:rPr>
                <w:rFonts w:ascii="宋体" w:hAnsi="宋体" w:cs="宋体"/>
                <w:bCs/>
                <w:kern w:val="44"/>
                <w:szCs w:val="21"/>
              </w:rPr>
            </w:pPr>
            <w:r>
              <w:rPr>
                <w:rFonts w:hint="eastAsia" w:ascii="宋体" w:hAnsi="宋体" w:cs="宋体"/>
                <w:bCs/>
                <w:kern w:val="44"/>
                <w:szCs w:val="21"/>
              </w:rPr>
              <w:t>13.物管服务中心季度应至少向7个物业服务对象，发放征求意见单，服务满意率达到90%以上。低于90%，每低于1%扣1分。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14.物管服务中心应认真对待并积极处理服务对象的意见和投诉，处理及时率达100%。同一事由被第二次投诉，每件扣2分。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15.物管服务中心应经常教育员工认真对待和处理新闻媒体、社会舆论的监督，避免造成媒体曝光。如发生，每件扣5分。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Merge w:val="continue"/>
          </w:tcPr>
          <w:p>
            <w:pPr>
              <w:rPr>
                <w:rFonts w:ascii="宋体" w:hAnsi="宋体" w:cs="宋体"/>
                <w:bCs/>
                <w:kern w:val="44"/>
                <w:szCs w:val="21"/>
              </w:rPr>
            </w:pPr>
          </w:p>
        </w:tc>
        <w:tc>
          <w:tcPr>
            <w:tcW w:w="5139" w:type="dxa"/>
          </w:tcPr>
          <w:p>
            <w:pPr>
              <w:rPr>
                <w:rFonts w:ascii="宋体" w:hAnsi="宋体" w:cs="宋体"/>
                <w:bCs/>
                <w:kern w:val="44"/>
                <w:szCs w:val="21"/>
              </w:rPr>
            </w:pPr>
            <w:r>
              <w:rPr>
                <w:rFonts w:hint="eastAsia" w:ascii="宋体" w:hAnsi="宋体" w:cs="宋体"/>
                <w:bCs/>
                <w:kern w:val="44"/>
                <w:szCs w:val="21"/>
              </w:rPr>
              <w:t>16.物管服务中心各项安全防范措施到位，杜绝安全责任事故的发生。因管理不善造成重大消防、安全事故，扣10分。</w:t>
            </w:r>
          </w:p>
        </w:tc>
        <w:tc>
          <w:tcPr>
            <w:tcW w:w="709" w:type="dxa"/>
          </w:tcPr>
          <w:p>
            <w:pPr>
              <w:rPr>
                <w:rFonts w:ascii="宋体" w:hAnsi="宋体" w:cs="宋体"/>
                <w:bCs/>
                <w:kern w:val="44"/>
                <w:szCs w:val="21"/>
              </w:rPr>
            </w:pPr>
            <w:r>
              <w:rPr>
                <w:rFonts w:hint="eastAsia" w:ascii="宋体" w:hAnsi="宋体" w:cs="宋体"/>
                <w:bCs/>
                <w:kern w:val="44"/>
                <w:szCs w:val="21"/>
              </w:rPr>
              <w:t>10分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rPr>
                <w:rFonts w:ascii="宋体" w:hAnsi="宋体" w:cs="宋体"/>
                <w:bCs/>
                <w:kern w:val="44"/>
                <w:szCs w:val="21"/>
              </w:rPr>
            </w:pPr>
            <w:r>
              <w:rPr>
                <w:rFonts w:hint="eastAsia" w:ascii="宋体" w:hAnsi="宋体" w:cs="宋体"/>
                <w:bCs/>
                <w:kern w:val="44"/>
                <w:szCs w:val="21"/>
              </w:rPr>
              <w:t>四、其他（5分）</w:t>
            </w:r>
          </w:p>
        </w:tc>
        <w:tc>
          <w:tcPr>
            <w:tcW w:w="5139" w:type="dxa"/>
          </w:tcPr>
          <w:p>
            <w:pPr>
              <w:rPr>
                <w:rFonts w:ascii="宋体" w:hAnsi="宋体" w:cs="宋体"/>
                <w:bCs/>
                <w:kern w:val="44"/>
                <w:szCs w:val="21"/>
              </w:rPr>
            </w:pPr>
            <w:r>
              <w:rPr>
                <w:rFonts w:hint="eastAsia" w:ascii="宋体" w:hAnsi="宋体" w:cs="宋体"/>
                <w:bCs/>
                <w:kern w:val="44"/>
                <w:szCs w:val="21"/>
              </w:rPr>
              <w:t>17.物管服务中心应尽力调集人力、物力，满足服务对象的特殊要求或临时工作安排。无特殊理由未完成工作的，发生一次扣1分。</w:t>
            </w:r>
          </w:p>
        </w:tc>
        <w:tc>
          <w:tcPr>
            <w:tcW w:w="709" w:type="dxa"/>
          </w:tcPr>
          <w:p>
            <w:pPr>
              <w:rPr>
                <w:rFonts w:ascii="宋体" w:hAnsi="宋体" w:cs="宋体"/>
                <w:bCs/>
                <w:kern w:val="44"/>
                <w:szCs w:val="21"/>
              </w:rPr>
            </w:pPr>
            <w:r>
              <w:rPr>
                <w:rFonts w:hint="eastAsia" w:ascii="宋体" w:hAnsi="宋体" w:cs="宋体"/>
                <w:bCs/>
                <w:kern w:val="44"/>
                <w:szCs w:val="21"/>
              </w:rPr>
              <w:t>5分</w:t>
            </w:r>
          </w:p>
        </w:tc>
        <w:tc>
          <w:tcPr>
            <w:tcW w:w="679"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c>
          <w:tcPr>
            <w:tcW w:w="720" w:type="dxa"/>
          </w:tcPr>
          <w:p>
            <w:pPr>
              <w:rPr>
                <w:rFonts w:ascii="宋体" w:hAnsi="宋体" w:cs="宋体"/>
                <w:bCs/>
                <w:kern w:val="44"/>
                <w:szCs w:val="21"/>
              </w:rPr>
            </w:pPr>
          </w:p>
        </w:tc>
      </w:tr>
    </w:tbl>
    <w:p>
      <w:pPr>
        <w:spacing w:line="480" w:lineRule="exact"/>
        <w:rPr>
          <w:rFonts w:ascii="宋体" w:hAnsi="宋体" w:cs="宋体"/>
          <w:bCs/>
          <w:kern w:val="44"/>
          <w:sz w:val="24"/>
        </w:rPr>
      </w:pPr>
    </w:p>
    <w:p>
      <w:pPr>
        <w:spacing w:line="480" w:lineRule="exact"/>
        <w:rPr>
          <w:rFonts w:ascii="宋体" w:hAnsi="宋体" w:cs="宋体"/>
          <w:bCs/>
          <w:kern w:val="44"/>
          <w:sz w:val="24"/>
        </w:rPr>
      </w:pPr>
      <w:r>
        <w:rPr>
          <w:rFonts w:hint="eastAsia" w:ascii="宋体" w:hAnsi="宋体" w:cs="宋体"/>
          <w:bCs/>
          <w:kern w:val="44"/>
          <w:sz w:val="24"/>
        </w:rPr>
        <w:t>每季度考核一次</w:t>
      </w:r>
      <w:r>
        <w:rPr>
          <w:rFonts w:ascii="宋体" w:hAnsi="宋体" w:cs="宋体"/>
          <w:bCs/>
          <w:kern w:val="44"/>
          <w:sz w:val="24"/>
        </w:rPr>
        <w:t>，</w:t>
      </w:r>
      <w:r>
        <w:rPr>
          <w:rFonts w:hint="eastAsia" w:ascii="宋体" w:hAnsi="宋体" w:cs="宋体"/>
          <w:bCs/>
          <w:kern w:val="44"/>
          <w:sz w:val="24"/>
        </w:rPr>
        <w:t>每季度综合考核得分与当季物业服务费用挂钩，具体如下：</w:t>
      </w:r>
    </w:p>
    <w:p>
      <w:pPr>
        <w:numPr>
          <w:ilvl w:val="0"/>
          <w:numId w:val="37"/>
        </w:numPr>
        <w:spacing w:line="480" w:lineRule="exact"/>
        <w:rPr>
          <w:rFonts w:ascii="宋体" w:hAnsi="宋体" w:cs="宋体"/>
          <w:bCs/>
          <w:kern w:val="44"/>
          <w:sz w:val="24"/>
        </w:rPr>
      </w:pPr>
      <w:r>
        <w:rPr>
          <w:rFonts w:hint="eastAsia" w:ascii="宋体" w:hAnsi="宋体" w:cs="宋体"/>
          <w:bCs/>
          <w:kern w:val="44"/>
          <w:sz w:val="24"/>
        </w:rPr>
        <w:t>每季度考核综合得分在85分（不含85分）以上90分（含90分）以下，从当期季度进度款中扣除1000元作为违约金；</w:t>
      </w:r>
    </w:p>
    <w:p>
      <w:pPr>
        <w:numPr>
          <w:ilvl w:val="0"/>
          <w:numId w:val="37"/>
        </w:numPr>
        <w:spacing w:line="480" w:lineRule="exact"/>
        <w:rPr>
          <w:rFonts w:ascii="宋体" w:hAnsi="宋体" w:cs="宋体"/>
          <w:bCs/>
          <w:kern w:val="44"/>
          <w:sz w:val="24"/>
        </w:rPr>
      </w:pPr>
      <w:r>
        <w:rPr>
          <w:rFonts w:hint="eastAsia" w:ascii="宋体" w:hAnsi="宋体" w:cs="宋体"/>
          <w:bCs/>
          <w:kern w:val="44"/>
          <w:sz w:val="24"/>
        </w:rPr>
        <w:t>每季度考核综合得分在80分（含80分）以上85分（含85分）以下，从当期季度进度款中扣除2000元作为违约金；</w:t>
      </w:r>
    </w:p>
    <w:p>
      <w:pPr>
        <w:numPr>
          <w:ilvl w:val="0"/>
          <w:numId w:val="37"/>
        </w:numPr>
        <w:spacing w:line="480" w:lineRule="exact"/>
        <w:rPr>
          <w:rFonts w:ascii="宋体" w:hAnsi="宋体" w:cs="宋体"/>
          <w:bCs/>
          <w:kern w:val="44"/>
          <w:sz w:val="24"/>
        </w:rPr>
      </w:pPr>
      <w:r>
        <w:rPr>
          <w:rFonts w:hint="eastAsia" w:ascii="宋体" w:hAnsi="宋体" w:cs="宋体"/>
          <w:bCs/>
          <w:kern w:val="44"/>
          <w:sz w:val="24"/>
        </w:rPr>
        <w:t>每季度考核综合得分在80分（不含80分）以下，从当期季度进度款中扣除3000元作为违约金；</w:t>
      </w:r>
    </w:p>
    <w:p>
      <w:pPr>
        <w:numPr>
          <w:ilvl w:val="0"/>
          <w:numId w:val="37"/>
        </w:numPr>
        <w:adjustRightInd w:val="0"/>
        <w:snapToGrid w:val="0"/>
        <w:spacing w:line="480" w:lineRule="exact"/>
        <w:ind w:left="210" w:leftChars="100"/>
        <w:rPr>
          <w:rFonts w:ascii="宋体" w:hAnsi="宋体" w:cs="宋体"/>
          <w:bCs/>
          <w:kern w:val="44"/>
          <w:sz w:val="24"/>
        </w:rPr>
      </w:pPr>
      <w:r>
        <w:rPr>
          <w:rFonts w:hint="eastAsia" w:ascii="宋体" w:hAnsi="宋体" w:cs="宋体"/>
          <w:bCs/>
          <w:kern w:val="44"/>
          <w:sz w:val="24"/>
        </w:rPr>
        <w:t>连续2季度考核综合得分低于80分，甲方可以单方面终止合同。</w:t>
      </w:r>
    </w:p>
    <w:p>
      <w:pPr>
        <w:adjustRightInd w:val="0"/>
        <w:snapToGrid w:val="0"/>
        <w:spacing w:line="480" w:lineRule="exact"/>
        <w:ind w:left="210" w:leftChars="100"/>
        <w:rPr>
          <w:rFonts w:ascii="宋体" w:hAnsi="宋体" w:cs="宋体"/>
          <w:bCs/>
          <w:kern w:val="44"/>
          <w:sz w:val="24"/>
        </w:rPr>
      </w:pPr>
      <w:r>
        <w:rPr>
          <w:rFonts w:hint="eastAsia" w:ascii="宋体" w:hAnsi="宋体" w:cs="宋体"/>
          <w:bCs/>
          <w:kern w:val="44"/>
          <w:sz w:val="24"/>
        </w:rPr>
        <w:t>3、验收总体目标为：</w:t>
      </w:r>
    </w:p>
    <w:p>
      <w:pPr>
        <w:adjustRightInd w:val="0"/>
        <w:snapToGrid w:val="0"/>
        <w:spacing w:line="480" w:lineRule="exact"/>
        <w:ind w:left="210" w:leftChars="100"/>
        <w:rPr>
          <w:rFonts w:ascii="宋体" w:hAnsi="宋体" w:cs="宋体"/>
          <w:bCs/>
          <w:kern w:val="44"/>
          <w:sz w:val="24"/>
        </w:rPr>
      </w:pPr>
      <w:r>
        <w:rPr>
          <w:rFonts w:hint="eastAsia" w:ascii="宋体" w:hAnsi="宋体" w:cs="宋体"/>
          <w:bCs/>
          <w:kern w:val="44"/>
          <w:sz w:val="24"/>
        </w:rPr>
        <w:t>（1）物业服务满意率达90%以上；</w:t>
      </w:r>
    </w:p>
    <w:p>
      <w:pPr>
        <w:adjustRightInd w:val="0"/>
        <w:snapToGrid w:val="0"/>
        <w:spacing w:line="480" w:lineRule="exact"/>
        <w:ind w:left="210" w:leftChars="100"/>
        <w:rPr>
          <w:rFonts w:ascii="宋体" w:hAnsi="宋体" w:cs="宋体"/>
          <w:bCs/>
          <w:kern w:val="44"/>
          <w:sz w:val="24"/>
        </w:rPr>
      </w:pPr>
      <w:r>
        <w:rPr>
          <w:rFonts w:hint="eastAsia" w:ascii="宋体" w:hAnsi="宋体" w:cs="宋体"/>
          <w:bCs/>
          <w:kern w:val="44"/>
          <w:sz w:val="24"/>
        </w:rPr>
        <w:t>（2）工作投诉处理及时率达100%；</w:t>
      </w:r>
    </w:p>
    <w:p>
      <w:pPr>
        <w:adjustRightInd w:val="0"/>
        <w:snapToGrid w:val="0"/>
        <w:spacing w:line="480" w:lineRule="exact"/>
        <w:ind w:left="210" w:leftChars="100"/>
        <w:rPr>
          <w:rFonts w:ascii="宋体" w:hAnsi="宋体" w:cs="宋体"/>
          <w:bCs/>
          <w:kern w:val="44"/>
          <w:sz w:val="24"/>
        </w:rPr>
      </w:pPr>
      <w:r>
        <w:rPr>
          <w:rFonts w:hint="eastAsia" w:ascii="宋体" w:hAnsi="宋体" w:cs="宋体"/>
          <w:bCs/>
          <w:kern w:val="44"/>
          <w:sz w:val="24"/>
        </w:rPr>
        <w:t>（3）员工持证上岗率达100%；</w:t>
      </w:r>
    </w:p>
    <w:p>
      <w:pPr>
        <w:adjustRightInd w:val="0"/>
        <w:snapToGrid w:val="0"/>
        <w:spacing w:line="480" w:lineRule="exact"/>
        <w:ind w:left="210" w:leftChars="100"/>
        <w:rPr>
          <w:rFonts w:ascii="宋体" w:hAnsi="宋体" w:cs="宋体"/>
          <w:bCs/>
          <w:kern w:val="44"/>
          <w:sz w:val="24"/>
        </w:rPr>
      </w:pPr>
      <w:r>
        <w:rPr>
          <w:rFonts w:hint="eastAsia" w:ascii="宋体" w:hAnsi="宋体" w:cs="宋体"/>
          <w:bCs/>
          <w:kern w:val="44"/>
          <w:sz w:val="24"/>
        </w:rPr>
        <w:t>（4）员工岗前培训合格率达100%；</w:t>
      </w:r>
    </w:p>
    <w:p>
      <w:pPr>
        <w:adjustRightInd w:val="0"/>
        <w:snapToGrid w:val="0"/>
        <w:spacing w:line="360" w:lineRule="auto"/>
        <w:ind w:left="210" w:leftChars="100"/>
        <w:rPr>
          <w:rFonts w:ascii="宋体" w:hAnsi="宋体" w:cs="宋体"/>
          <w:bCs/>
          <w:kern w:val="44"/>
          <w:sz w:val="24"/>
        </w:rPr>
      </w:pPr>
      <w:r>
        <w:rPr>
          <w:rFonts w:hint="eastAsia" w:ascii="宋体" w:hAnsi="宋体" w:cs="宋体"/>
          <w:bCs/>
          <w:kern w:val="44"/>
          <w:sz w:val="24"/>
        </w:rPr>
        <w:t>（5）环境卫生、清洁率达95%；</w:t>
      </w:r>
    </w:p>
    <w:p>
      <w:pPr>
        <w:adjustRightInd w:val="0"/>
        <w:snapToGrid w:val="0"/>
        <w:spacing w:line="360" w:lineRule="auto"/>
        <w:ind w:left="210" w:leftChars="100"/>
        <w:rPr>
          <w:rFonts w:ascii="宋体" w:hAnsi="宋体" w:cs="宋体"/>
          <w:bCs/>
          <w:kern w:val="44"/>
          <w:sz w:val="24"/>
        </w:rPr>
      </w:pPr>
      <w:r>
        <w:rPr>
          <w:rFonts w:hint="eastAsia" w:ascii="宋体" w:hAnsi="宋体" w:cs="宋体"/>
          <w:bCs/>
          <w:kern w:val="44"/>
          <w:sz w:val="24"/>
        </w:rPr>
        <w:t>（6）服务有效投诉率少于1%；</w:t>
      </w:r>
    </w:p>
    <w:p>
      <w:pPr>
        <w:adjustRightInd w:val="0"/>
        <w:snapToGrid w:val="0"/>
        <w:spacing w:line="360" w:lineRule="auto"/>
        <w:ind w:left="210" w:leftChars="100"/>
        <w:rPr>
          <w:rFonts w:ascii="宋体" w:hAnsi="宋体" w:cs="宋体"/>
          <w:bCs/>
          <w:kern w:val="44"/>
          <w:sz w:val="24"/>
        </w:rPr>
      </w:pPr>
      <w:r>
        <w:rPr>
          <w:rFonts w:hint="eastAsia" w:ascii="宋体" w:hAnsi="宋体" w:cs="宋体"/>
          <w:bCs/>
          <w:kern w:val="44"/>
          <w:sz w:val="24"/>
        </w:rPr>
        <w:t>（7）安全防范措施到位，不因失职造成火灾、刑事等重大安全责任事故</w:t>
      </w:r>
    </w:p>
    <w:p>
      <w:pPr>
        <w:pStyle w:val="4"/>
        <w:spacing w:beforeLines="100" w:line="240" w:lineRule="atLeast"/>
        <w:ind w:left="0"/>
      </w:pPr>
      <w:bookmarkStart w:id="253" w:name="_Toc26505_WPSOffice_Level2"/>
      <w:bookmarkStart w:id="254" w:name="_Toc74752338"/>
      <w:bookmarkStart w:id="255" w:name="_Toc13500_WPSOffice_Level2"/>
      <w:bookmarkStart w:id="256" w:name="_Toc26870_WPSOffice_Level2"/>
      <w:bookmarkStart w:id="257" w:name="_Toc533672602"/>
      <w:bookmarkStart w:id="258" w:name="_Toc529173741"/>
      <w:r>
        <w:rPr>
          <w:rFonts w:hint="eastAsia"/>
        </w:rPr>
        <w:t>商务</w:t>
      </w:r>
      <w:r>
        <w:t>要求</w:t>
      </w:r>
      <w:bookmarkEnd w:id="253"/>
      <w:bookmarkEnd w:id="254"/>
      <w:bookmarkEnd w:id="255"/>
      <w:bookmarkEnd w:id="256"/>
    </w:p>
    <w:p>
      <w:pPr>
        <w:adjustRightInd w:val="0"/>
        <w:snapToGrid w:val="0"/>
        <w:spacing w:line="360" w:lineRule="auto"/>
        <w:rPr>
          <w:rFonts w:ascii="宋体" w:hAnsi="宋体" w:cs="宋体"/>
          <w:b/>
          <w:bCs/>
          <w:color w:val="000000"/>
          <w:sz w:val="24"/>
          <w:szCs w:val="24"/>
        </w:rPr>
      </w:pPr>
      <w:bookmarkStart w:id="259" w:name="_Toc28557_WPSOffice_Level2"/>
      <w:bookmarkStart w:id="260" w:name="_Toc2576_WPSOffice_Level2"/>
      <w:bookmarkStart w:id="261" w:name="_Toc14731_WPSOffice_Level2"/>
      <w:r>
        <w:rPr>
          <w:rFonts w:hint="eastAsia" w:ascii="宋体" w:hAnsi="宋体" w:cs="宋体"/>
          <w:b/>
          <w:bCs/>
          <w:color w:val="000000"/>
          <w:sz w:val="24"/>
          <w:szCs w:val="24"/>
        </w:rPr>
        <w:t>（一）服务时间：</w:t>
      </w:r>
      <w:bookmarkEnd w:id="259"/>
      <w:bookmarkEnd w:id="260"/>
      <w:bookmarkEnd w:id="261"/>
    </w:p>
    <w:p>
      <w:pPr>
        <w:adjustRightInd w:val="0"/>
        <w:snapToGrid w:val="0"/>
        <w:spacing w:line="360" w:lineRule="auto"/>
        <w:ind w:firstLine="480" w:firstLineChars="200"/>
        <w:rPr>
          <w:rFonts w:ascii="宋体"/>
          <w:color w:val="000000" w:themeColor="text1"/>
          <w:sz w:val="24"/>
          <w:szCs w:val="24"/>
        </w:rPr>
      </w:pPr>
      <w:r>
        <w:rPr>
          <w:rFonts w:hint="eastAsia" w:ascii="宋体" w:hAnsi="宋体" w:cs="宋体"/>
          <w:color w:val="000000"/>
          <w:sz w:val="24"/>
          <w:szCs w:val="24"/>
        </w:rPr>
        <w:t>三年，自2022年 1月3日至2025年 1 月2日（具体起止时间以采购合同约定为准），合同一年一签。</w:t>
      </w:r>
    </w:p>
    <w:p>
      <w:pPr>
        <w:adjustRightInd w:val="0"/>
        <w:snapToGrid w:val="0"/>
        <w:spacing w:line="360" w:lineRule="auto"/>
        <w:rPr>
          <w:rFonts w:ascii="宋体" w:hAnsi="宋体" w:cs="宋体"/>
          <w:color w:val="000000"/>
          <w:sz w:val="24"/>
          <w:szCs w:val="24"/>
        </w:rPr>
      </w:pPr>
      <w:bookmarkStart w:id="262" w:name="_Toc22599_WPSOffice_Level2"/>
      <w:bookmarkStart w:id="263" w:name="_Toc16664_WPSOffice_Level2"/>
      <w:bookmarkStart w:id="264" w:name="_Toc32157_WPSOffice_Level2"/>
      <w:r>
        <w:rPr>
          <w:rFonts w:hint="eastAsia" w:ascii="宋体" w:hAnsi="宋体" w:cs="宋体"/>
          <w:b/>
          <w:bCs/>
          <w:color w:val="000000"/>
          <w:sz w:val="24"/>
          <w:szCs w:val="24"/>
        </w:rPr>
        <w:t>（二）付费方式</w:t>
      </w:r>
      <w:r>
        <w:rPr>
          <w:rFonts w:hint="eastAsia" w:ascii="宋体" w:hAnsi="宋体" w:cs="宋体"/>
          <w:color w:val="000000"/>
          <w:sz w:val="24"/>
          <w:szCs w:val="24"/>
        </w:rPr>
        <w:t>：</w:t>
      </w:r>
      <w:bookmarkEnd w:id="262"/>
      <w:bookmarkEnd w:id="263"/>
      <w:bookmarkEnd w:id="264"/>
    </w:p>
    <w:p>
      <w:pPr>
        <w:adjustRightInd w:val="0"/>
        <w:snapToGrid w:val="0"/>
        <w:spacing w:line="360" w:lineRule="auto"/>
        <w:ind w:firstLine="480" w:firstLineChars="200"/>
        <w:rPr>
          <w:rFonts w:hAnsi="宋体" w:cs="宋体"/>
          <w:sz w:val="24"/>
          <w:szCs w:val="24"/>
        </w:rPr>
      </w:pPr>
      <w:r>
        <w:rPr>
          <w:rFonts w:hint="eastAsia" w:hAnsi="宋体" w:cs="宋体"/>
          <w:sz w:val="24"/>
          <w:szCs w:val="24"/>
        </w:rPr>
        <w:t>1、本项目报价包含本项目全部服务人员的工资、补助、延时和法定节假日加班费和依法应缴纳的五险，税金及其他运营费用。</w:t>
      </w:r>
    </w:p>
    <w:p>
      <w:pPr>
        <w:pStyle w:val="2"/>
        <w:adjustRightInd w:val="0"/>
        <w:snapToGrid w:val="0"/>
        <w:spacing w:after="0" w:line="360" w:lineRule="auto"/>
        <w:ind w:firstLine="480"/>
        <w:rPr>
          <w:rFonts w:hAnsi="宋体" w:cs="宋体"/>
          <w:sz w:val="24"/>
          <w:szCs w:val="24"/>
        </w:rPr>
      </w:pPr>
      <w:r>
        <w:rPr>
          <w:rFonts w:hint="eastAsia" w:hAnsi="宋体" w:cs="宋体"/>
          <w:sz w:val="24"/>
          <w:szCs w:val="24"/>
        </w:rPr>
        <w:t>2、本项目物业服务所需清洁用具、卫生间用品（包括大卷纸、擦手纸、卫生球、熏香等）及相应物品由龙泉驿区柏合街道提供。</w:t>
      </w:r>
    </w:p>
    <w:p>
      <w:pPr>
        <w:pStyle w:val="2"/>
        <w:adjustRightInd w:val="0"/>
        <w:snapToGrid w:val="0"/>
        <w:spacing w:after="0" w:line="360" w:lineRule="auto"/>
        <w:ind w:firstLine="480"/>
        <w:rPr>
          <w:rFonts w:hAnsi="宋体" w:cs="宋体"/>
          <w:sz w:val="24"/>
          <w:szCs w:val="24"/>
        </w:rPr>
      </w:pPr>
      <w:r>
        <w:rPr>
          <w:rFonts w:hint="eastAsia" w:hAnsi="宋体" w:cs="宋体"/>
          <w:sz w:val="24"/>
          <w:szCs w:val="24"/>
        </w:rPr>
        <w:t>3、本项目物业服务人员服装费由中标人承担。</w:t>
      </w:r>
    </w:p>
    <w:p>
      <w:pPr>
        <w:pStyle w:val="2"/>
        <w:adjustRightInd w:val="0"/>
        <w:snapToGrid w:val="0"/>
        <w:spacing w:after="0" w:line="360" w:lineRule="auto"/>
        <w:ind w:firstLine="480"/>
        <w:rPr>
          <w:rFonts w:ascii="宋体" w:hAnsi="宋体" w:cs="宋体"/>
          <w:sz w:val="24"/>
          <w:szCs w:val="24"/>
        </w:rPr>
      </w:pPr>
      <w:r>
        <w:rPr>
          <w:rFonts w:hint="eastAsia" w:hAnsi="宋体" w:cs="宋体"/>
          <w:sz w:val="24"/>
          <w:szCs w:val="24"/>
        </w:rPr>
        <w:t>4、付款方式：按季度支付物业管理费，支付方式：根据考评结果如实支付当季度物业管理费用。费用拨付前，中标人须开具有效的增值税发票，请款申请递交后30个工作日内拨付当期物业管理费。</w:t>
      </w:r>
      <w:bookmarkStart w:id="265" w:name="_Toc12471_WPSOffice_Level2"/>
      <w:bookmarkStart w:id="266" w:name="_Toc10871_WPSOffice_Level2"/>
    </w:p>
    <w:p>
      <w:pPr>
        <w:pStyle w:val="2"/>
        <w:adjustRightInd w:val="0"/>
        <w:snapToGrid w:val="0"/>
        <w:spacing w:after="0" w:line="360" w:lineRule="auto"/>
        <w:ind w:firstLine="480"/>
        <w:rPr>
          <w:rFonts w:ascii="宋体" w:hAnsi="宋体" w:cs="宋体"/>
          <w:b/>
          <w:bCs/>
          <w:color w:val="000000"/>
          <w:sz w:val="24"/>
          <w:szCs w:val="24"/>
        </w:rPr>
      </w:pPr>
      <w:bookmarkStart w:id="267" w:name="_Toc16015_WPSOffice_Level2"/>
      <w:r>
        <w:rPr>
          <w:rFonts w:hint="eastAsia" w:ascii="宋体" w:hAnsi="宋体" w:cs="宋体"/>
          <w:b/>
          <w:bCs/>
          <w:color w:val="000000"/>
          <w:sz w:val="24"/>
          <w:szCs w:val="24"/>
        </w:rPr>
        <w:t>（三）验收标准：</w:t>
      </w:r>
      <w:bookmarkEnd w:id="265"/>
      <w:bookmarkEnd w:id="266"/>
      <w:bookmarkEnd w:id="267"/>
    </w:p>
    <w:p>
      <w:pPr>
        <w:pStyle w:val="2"/>
        <w:adjustRightInd w:val="0"/>
        <w:snapToGrid w:val="0"/>
        <w:spacing w:after="0" w:line="360" w:lineRule="auto"/>
        <w:ind w:firstLine="480"/>
      </w:pPr>
      <w:r>
        <w:rPr>
          <w:rFonts w:hint="eastAsia" w:ascii="宋体" w:hAnsi="宋体" w:cs="宋体"/>
          <w:sz w:val="24"/>
          <w:szCs w:val="24"/>
        </w:rPr>
        <w:t>本项目采购人将严格按照政府采购相关法律法规以及《财政部关于进一步加强政府采购需求和履约验收管理的指导意见》（财库〔2016〕205号）的要求进行验收。</w:t>
      </w:r>
    </w:p>
    <w:bookmarkEnd w:id="257"/>
    <w:bookmarkEnd w:id="258"/>
    <w:p>
      <w:pPr>
        <w:keepNext/>
        <w:keepLines/>
        <w:adjustRightInd w:val="0"/>
        <w:snapToGrid w:val="0"/>
        <w:spacing w:line="360" w:lineRule="auto"/>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268" w:name="_Toc74752339"/>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269" w:name="_Toc29367_WPSOffice_Level1"/>
      <w:bookmarkStart w:id="270" w:name="_Toc21586_WPSOffice_Level1"/>
      <w:bookmarkStart w:id="271" w:name="_Toc28183_WPSOffice_Level1"/>
      <w:r>
        <w:rPr>
          <w:rFonts w:hint="eastAsia" w:ascii="宋体" w:hAnsi="宋体"/>
          <w:b/>
          <w:bCs/>
          <w:spacing w:val="-20"/>
          <w:kern w:val="44"/>
          <w:sz w:val="32"/>
          <w:szCs w:val="32"/>
        </w:rPr>
        <w:t>资格性审查</w:t>
      </w:r>
      <w:bookmarkEnd w:id="268"/>
      <w:bookmarkEnd w:id="269"/>
      <w:bookmarkEnd w:id="270"/>
      <w:bookmarkEnd w:id="271"/>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符合资格响应文件“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4"/>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272" w:name="_Toc3651_WPSOffice_Level1"/>
      <w:bookmarkStart w:id="273" w:name="_Toc74752340"/>
      <w:bookmarkStart w:id="274" w:name="_Toc23411_WPSOffice_Level1"/>
      <w:bookmarkStart w:id="275" w:name="_Toc797_WPSOffice_Level1"/>
      <w:r>
        <w:rPr>
          <w:rFonts w:hint="eastAsia" w:ascii="宋体" w:hAnsi="宋体"/>
          <w:b/>
          <w:bCs/>
          <w:spacing w:val="-20"/>
          <w:kern w:val="44"/>
          <w:sz w:val="32"/>
          <w:szCs w:val="32"/>
        </w:rPr>
        <w:t>评标办法</w:t>
      </w:r>
      <w:bookmarkEnd w:id="272"/>
      <w:bookmarkEnd w:id="273"/>
      <w:bookmarkEnd w:id="274"/>
      <w:bookmarkEnd w:id="275"/>
    </w:p>
    <w:p>
      <w:pPr>
        <w:keepNext/>
        <w:keepLines/>
        <w:numPr>
          <w:ilvl w:val="1"/>
          <w:numId w:val="5"/>
        </w:numPr>
        <w:spacing w:line="360" w:lineRule="auto"/>
        <w:jc w:val="left"/>
        <w:outlineLvl w:val="1"/>
        <w:rPr>
          <w:rFonts w:ascii="宋体" w:hAnsi="宋体"/>
          <w:b/>
          <w:bCs/>
          <w:sz w:val="28"/>
          <w:szCs w:val="28"/>
        </w:rPr>
      </w:pPr>
      <w:bookmarkStart w:id="276" w:name="_Toc25075_WPSOffice_Level2"/>
      <w:bookmarkStart w:id="277" w:name="_Toc74752341"/>
      <w:bookmarkStart w:id="278" w:name="_Toc5379_WPSOffice_Level2"/>
      <w:bookmarkStart w:id="279" w:name="_Toc7286_WPSOffice_Level2"/>
      <w:r>
        <w:rPr>
          <w:rFonts w:hint="eastAsia" w:ascii="宋体" w:hAnsi="宋体"/>
          <w:b/>
          <w:bCs/>
          <w:sz w:val="28"/>
          <w:szCs w:val="28"/>
        </w:rPr>
        <w:t>总则</w:t>
      </w:r>
      <w:bookmarkEnd w:id="276"/>
      <w:bookmarkEnd w:id="277"/>
      <w:bookmarkEnd w:id="278"/>
      <w:bookmarkEnd w:id="279"/>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9"/>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9"/>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9"/>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9"/>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9"/>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9"/>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5"/>
        </w:numPr>
        <w:spacing w:line="360" w:lineRule="auto"/>
        <w:jc w:val="left"/>
        <w:outlineLvl w:val="1"/>
        <w:rPr>
          <w:rFonts w:ascii="宋体" w:hAnsi="宋体"/>
          <w:b/>
          <w:bCs/>
          <w:sz w:val="28"/>
          <w:szCs w:val="28"/>
        </w:rPr>
      </w:pPr>
      <w:bookmarkStart w:id="280" w:name="_Toc19990_WPSOffice_Level2"/>
      <w:bookmarkStart w:id="281" w:name="_Toc13945_WPSOffice_Level2"/>
      <w:bookmarkStart w:id="282" w:name="_Toc74752342"/>
      <w:bookmarkStart w:id="283" w:name="_Toc23566_WPSOffice_Level2"/>
      <w:r>
        <w:rPr>
          <w:rFonts w:hint="eastAsia" w:ascii="宋体" w:hAnsi="宋体"/>
          <w:b/>
          <w:bCs/>
          <w:sz w:val="28"/>
          <w:szCs w:val="28"/>
        </w:rPr>
        <w:t>评标方法</w:t>
      </w:r>
      <w:bookmarkEnd w:id="280"/>
      <w:bookmarkEnd w:id="281"/>
      <w:bookmarkEnd w:id="282"/>
      <w:bookmarkEnd w:id="283"/>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284" w:name="_Toc15389_WPSOffice_Level2"/>
      <w:bookmarkStart w:id="285" w:name="_Toc11406_WPSOffice_Level2"/>
      <w:bookmarkStart w:id="286" w:name="_Toc74752343"/>
      <w:bookmarkStart w:id="287" w:name="_Toc24949_WPSOffice_Level2"/>
      <w:r>
        <w:rPr>
          <w:rFonts w:hint="eastAsia" w:ascii="宋体" w:hAnsi="宋体"/>
          <w:b/>
          <w:bCs/>
          <w:sz w:val="28"/>
          <w:szCs w:val="28"/>
        </w:rPr>
        <w:t>评标程序</w:t>
      </w:r>
      <w:bookmarkEnd w:id="284"/>
      <w:bookmarkEnd w:id="285"/>
      <w:bookmarkEnd w:id="286"/>
      <w:bookmarkEnd w:id="287"/>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87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5846"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rFonts w:hAnsi="宋体"/>
                <w:szCs w:val="28"/>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服务）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0"/>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1"/>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1"/>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1"/>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2"/>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2"/>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288" w:name="_Toc795_WPSOffice_Level2"/>
      <w:bookmarkStart w:id="289" w:name="_Toc32572_WPSOffice_Level2"/>
      <w:bookmarkStart w:id="290" w:name="_Toc74752344"/>
      <w:bookmarkStart w:id="291" w:name="_Toc22665_WPSOffice_Level2"/>
      <w:r>
        <w:rPr>
          <w:rFonts w:hint="eastAsia" w:ascii="宋体" w:hAnsi="宋体"/>
          <w:b/>
          <w:bCs/>
          <w:sz w:val="28"/>
          <w:szCs w:val="28"/>
        </w:rPr>
        <w:t>评标争议处理规则</w:t>
      </w:r>
      <w:bookmarkEnd w:id="288"/>
      <w:bookmarkEnd w:id="289"/>
      <w:bookmarkEnd w:id="290"/>
      <w:bookmarkEnd w:id="291"/>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292" w:name="_Toc1096_WPSOffice_Level2"/>
      <w:bookmarkStart w:id="293" w:name="_Toc24745_WPSOffice_Level2"/>
      <w:bookmarkStart w:id="294" w:name="_Toc74752345"/>
      <w:bookmarkStart w:id="295" w:name="_Toc23072_WPSOffice_Level2"/>
      <w:r>
        <w:rPr>
          <w:rFonts w:hint="eastAsia" w:ascii="宋体" w:hAnsi="宋体"/>
          <w:b/>
          <w:bCs/>
          <w:sz w:val="28"/>
          <w:szCs w:val="28"/>
        </w:rPr>
        <w:t>评标细则及标准</w:t>
      </w:r>
      <w:bookmarkEnd w:id="292"/>
      <w:bookmarkEnd w:id="293"/>
      <w:bookmarkEnd w:id="294"/>
      <w:bookmarkEnd w:id="295"/>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4"/>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pPr w:leftFromText="180" w:rightFromText="180" w:vertAnchor="text" w:horzAnchor="page" w:tblpX="1775" w:tblpY="468"/>
        <w:tblOverlap w:val="never"/>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20"/>
        <w:gridCol w:w="1157"/>
        <w:gridCol w:w="473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706"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b/>
                <w:bCs/>
                <w:sz w:val="24"/>
                <w:szCs w:val="24"/>
              </w:rPr>
            </w:pPr>
            <w:r>
              <w:rPr>
                <w:rFonts w:hint="eastAsia" w:ascii="宋体" w:hAnsi="宋体" w:cs="宋体"/>
                <w:b/>
                <w:bCs/>
                <w:sz w:val="24"/>
                <w:szCs w:val="24"/>
              </w:rPr>
              <w:t>序号</w:t>
            </w:r>
          </w:p>
        </w:tc>
        <w:tc>
          <w:tcPr>
            <w:tcW w:w="102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b/>
                <w:bCs/>
                <w:sz w:val="24"/>
                <w:szCs w:val="24"/>
              </w:rPr>
            </w:pPr>
            <w:r>
              <w:rPr>
                <w:rFonts w:hint="eastAsia" w:ascii="宋体" w:hAnsi="宋体" w:cs="宋体"/>
                <w:b/>
                <w:bCs/>
                <w:sz w:val="24"/>
                <w:szCs w:val="24"/>
              </w:rPr>
              <w:t>评分</w:t>
            </w:r>
          </w:p>
          <w:p>
            <w:pPr>
              <w:wordWrap w:val="0"/>
              <w:topLinePunct/>
              <w:adjustRightInd w:val="0"/>
              <w:snapToGrid w:val="0"/>
              <w:jc w:val="center"/>
              <w:rPr>
                <w:rFonts w:ascii="宋体" w:hAnsi="宋体" w:cs="宋体"/>
                <w:b/>
                <w:bCs/>
                <w:sz w:val="24"/>
                <w:szCs w:val="24"/>
              </w:rPr>
            </w:pPr>
            <w:r>
              <w:rPr>
                <w:rFonts w:hint="eastAsia" w:ascii="宋体" w:hAnsi="宋体" w:cs="宋体"/>
                <w:b/>
                <w:bCs/>
                <w:sz w:val="24"/>
                <w:szCs w:val="24"/>
              </w:rPr>
              <w:t>因素</w:t>
            </w:r>
          </w:p>
        </w:tc>
        <w:tc>
          <w:tcPr>
            <w:tcW w:w="115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b/>
                <w:bCs/>
                <w:sz w:val="24"/>
                <w:szCs w:val="24"/>
              </w:rPr>
            </w:pPr>
            <w:r>
              <w:rPr>
                <w:rFonts w:hint="eastAsia" w:ascii="宋体" w:hAnsi="宋体" w:cs="宋体"/>
                <w:b/>
                <w:bCs/>
                <w:sz w:val="24"/>
                <w:szCs w:val="24"/>
              </w:rPr>
              <w:t>分值</w:t>
            </w:r>
          </w:p>
        </w:tc>
        <w:tc>
          <w:tcPr>
            <w:tcW w:w="4735"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b/>
                <w:bCs/>
                <w:sz w:val="24"/>
                <w:szCs w:val="24"/>
              </w:rPr>
            </w:pPr>
            <w:r>
              <w:rPr>
                <w:rFonts w:hint="eastAsia" w:ascii="宋体" w:hAnsi="宋体" w:cs="宋体"/>
                <w:b/>
                <w:bCs/>
                <w:sz w:val="24"/>
                <w:szCs w:val="24"/>
              </w:rPr>
              <w:t>评分标准</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cs="宋体"/>
                <w:sz w:val="24"/>
                <w:szCs w:val="24"/>
              </w:rPr>
              <w:t>1</w:t>
            </w:r>
          </w:p>
        </w:tc>
        <w:tc>
          <w:tcPr>
            <w:tcW w:w="1020"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ind w:firstLine="120" w:firstLineChars="50"/>
              <w:jc w:val="center"/>
              <w:rPr>
                <w:rFonts w:ascii="宋体" w:hAnsi="宋体" w:cs="宋体"/>
                <w:sz w:val="24"/>
                <w:szCs w:val="24"/>
              </w:rPr>
            </w:pPr>
            <w:r>
              <w:rPr>
                <w:rFonts w:hint="eastAsia" w:ascii="宋体" w:hAnsi="宋体" w:cs="宋体"/>
                <w:sz w:val="24"/>
                <w:szCs w:val="24"/>
              </w:rPr>
              <w:t>报价</w:t>
            </w:r>
          </w:p>
        </w:tc>
        <w:tc>
          <w:tcPr>
            <w:tcW w:w="1157"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cs="宋体"/>
                <w:sz w:val="24"/>
                <w:szCs w:val="24"/>
              </w:rPr>
              <w:t>20分</w:t>
            </w:r>
          </w:p>
        </w:tc>
        <w:tc>
          <w:tcPr>
            <w:tcW w:w="4735"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rPr>
                <w:rFonts w:ascii="宋体" w:hAnsi="宋体" w:cs="宋体"/>
                <w:sz w:val="24"/>
                <w:szCs w:val="24"/>
              </w:rPr>
            </w:pPr>
            <w:r>
              <w:rPr>
                <w:rFonts w:hint="eastAsia" w:ascii="宋体" w:hAnsi="宋体" w:cs="宋体"/>
                <w:sz w:val="24"/>
                <w:szCs w:val="24"/>
              </w:rPr>
              <w:t>1、经专家评审，通过资格性和符合性审查，且最后报价最低的供应商的最后报价作为评审基准价；</w:t>
            </w:r>
          </w:p>
          <w:p>
            <w:pPr>
              <w:wordWrap w:val="0"/>
              <w:topLinePunct/>
              <w:adjustRightInd w:val="0"/>
              <w:snapToGrid w:val="0"/>
              <w:rPr>
                <w:rFonts w:ascii="宋体" w:hAnsi="宋体" w:cs="宋体"/>
                <w:sz w:val="24"/>
                <w:szCs w:val="24"/>
              </w:rPr>
            </w:pPr>
            <w:r>
              <w:rPr>
                <w:rFonts w:hint="eastAsia" w:ascii="宋体" w:hAnsi="宋体" w:cs="宋体"/>
                <w:sz w:val="24"/>
                <w:szCs w:val="24"/>
              </w:rPr>
              <w:t>2、投标报价得分=(评标基准价／投标报价)×20</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trPr>
        <w:tc>
          <w:tcPr>
            <w:tcW w:w="706" w:type="dxa"/>
            <w:vMerge w:val="restart"/>
            <w:tcBorders>
              <w:top w:val="single" w:color="auto" w:sz="4" w:space="0"/>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cs="宋体"/>
                <w:sz w:val="24"/>
                <w:szCs w:val="24"/>
              </w:rPr>
              <w:t>2</w:t>
            </w:r>
          </w:p>
        </w:tc>
        <w:tc>
          <w:tcPr>
            <w:tcW w:w="102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投标人</w:t>
            </w:r>
            <w:r>
              <w:rPr>
                <w:rFonts w:hint="eastAsia" w:cs="仿宋" w:asciiTheme="minorEastAsia" w:hAnsiTheme="minorEastAsia"/>
                <w:sz w:val="24"/>
                <w:szCs w:val="24"/>
              </w:rPr>
              <w:t>实力</w:t>
            </w:r>
          </w:p>
          <w:p>
            <w:pPr>
              <w:wordWrap w:val="0"/>
              <w:topLinePunct/>
              <w:adjustRightInd w:val="0"/>
              <w:snapToGrid w:val="0"/>
              <w:ind w:firstLine="480"/>
              <w:jc w:val="left"/>
              <w:rPr>
                <w:rFonts w:ascii="宋体" w:hAnsi="宋体" w:cs="宋体"/>
                <w:sz w:val="24"/>
                <w:szCs w:val="24"/>
              </w:rPr>
            </w:pPr>
          </w:p>
        </w:tc>
        <w:tc>
          <w:tcPr>
            <w:tcW w:w="1157"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cs="仿宋" w:asciiTheme="minorEastAsia" w:hAnsiTheme="minorEastAsia"/>
                <w:sz w:val="24"/>
                <w:szCs w:val="24"/>
              </w:rPr>
              <w:t>业绩（15分）</w:t>
            </w:r>
          </w:p>
        </w:tc>
        <w:tc>
          <w:tcPr>
            <w:tcW w:w="4735" w:type="dxa"/>
            <w:tcBorders>
              <w:top w:val="single" w:color="auto" w:sz="4" w:space="0"/>
              <w:left w:val="single" w:color="auto" w:sz="4" w:space="0"/>
              <w:right w:val="single" w:color="auto" w:sz="4" w:space="0"/>
            </w:tcBorders>
          </w:tcPr>
          <w:p>
            <w:pPr>
              <w:adjustRightInd w:val="0"/>
              <w:snapToGrid w:val="0"/>
              <w:rPr>
                <w:rFonts w:cs="仿宋" w:asciiTheme="minorEastAsia" w:hAnsiTheme="minorEastAsia"/>
                <w:sz w:val="24"/>
                <w:szCs w:val="24"/>
              </w:rPr>
            </w:pPr>
            <w:r>
              <w:rPr>
                <w:rFonts w:hint="eastAsia" w:cs="仿宋" w:asciiTheme="minorEastAsia" w:hAnsiTheme="minorEastAsia"/>
                <w:sz w:val="24"/>
                <w:szCs w:val="24"/>
              </w:rPr>
              <w:t>（1）投标人自2018年1月1日（含）以来，具有</w:t>
            </w:r>
            <w:r>
              <w:rPr>
                <w:rFonts w:cs="仿宋" w:asciiTheme="minorEastAsia" w:hAnsiTheme="minorEastAsia"/>
                <w:sz w:val="24"/>
                <w:szCs w:val="24"/>
              </w:rPr>
              <w:t>物业管理服务</w:t>
            </w:r>
            <w:r>
              <w:rPr>
                <w:rFonts w:hint="eastAsia" w:cs="仿宋" w:asciiTheme="minorEastAsia" w:hAnsiTheme="minorEastAsia"/>
                <w:sz w:val="24"/>
                <w:szCs w:val="24"/>
              </w:rPr>
              <w:t>项目业绩的，每具有1个，得</w:t>
            </w:r>
            <w:r>
              <w:rPr>
                <w:rFonts w:hint="eastAsia" w:cs="仿宋" w:asciiTheme="minorEastAsia" w:hAnsiTheme="minorEastAsia"/>
                <w:sz w:val="24"/>
                <w:szCs w:val="24"/>
                <w:lang w:val="en-US" w:eastAsia="zh-CN"/>
              </w:rPr>
              <w:t>2</w:t>
            </w:r>
            <w:r>
              <w:rPr>
                <w:rFonts w:hint="eastAsia" w:cs="仿宋" w:asciiTheme="minorEastAsia" w:hAnsiTheme="minorEastAsia"/>
                <w:sz w:val="24"/>
                <w:szCs w:val="24"/>
              </w:rPr>
              <w:t>分，最多得</w:t>
            </w:r>
            <w:r>
              <w:rPr>
                <w:rFonts w:hint="eastAsia" w:cs="仿宋" w:asciiTheme="minorEastAsia" w:hAnsiTheme="minorEastAsia"/>
                <w:sz w:val="24"/>
                <w:szCs w:val="24"/>
                <w:lang w:val="en-US" w:eastAsia="zh-CN"/>
              </w:rPr>
              <w:t>10</w:t>
            </w:r>
            <w:r>
              <w:rPr>
                <w:rFonts w:hint="eastAsia" w:cs="仿宋" w:asciiTheme="minorEastAsia" w:hAnsiTheme="minorEastAsia"/>
                <w:sz w:val="24"/>
                <w:szCs w:val="24"/>
              </w:rPr>
              <w:t>分；</w:t>
            </w:r>
            <w:r>
              <w:rPr>
                <w:rFonts w:hint="eastAsia" w:cs="仿宋" w:asciiTheme="minorEastAsia" w:hAnsiTheme="minorEastAsia"/>
                <w:b/>
                <w:bCs/>
                <w:sz w:val="24"/>
                <w:szCs w:val="24"/>
              </w:rPr>
              <w:t>（提供中标（成交）通知书或合同复印件）</w:t>
            </w:r>
          </w:p>
          <w:p>
            <w:pPr>
              <w:pStyle w:val="152"/>
              <w:snapToGrid w:val="0"/>
              <w:rPr>
                <w:rFonts w:hAnsi="宋体"/>
                <w:b/>
                <w:bCs/>
              </w:rPr>
            </w:pPr>
            <w:r>
              <w:rPr>
                <w:rFonts w:hint="eastAsia" w:cs="仿宋" w:asciiTheme="minorEastAsia" w:hAnsiTheme="minorEastAsia" w:eastAsiaTheme="minorEastAsia"/>
                <w:color w:val="auto"/>
                <w:kern w:val="2"/>
              </w:rPr>
              <w:t>（2）以上项目业绩中，每具有一个业主单位出具的书面满意度好评的，得</w:t>
            </w:r>
            <w:r>
              <w:rPr>
                <w:rFonts w:hint="eastAsia" w:cs="仿宋" w:asciiTheme="minorEastAsia" w:hAnsiTheme="minorEastAsia" w:eastAsiaTheme="minorEastAsia"/>
                <w:color w:val="auto"/>
                <w:kern w:val="2"/>
                <w:lang w:val="en-US" w:eastAsia="zh-CN"/>
              </w:rPr>
              <w:t>1</w:t>
            </w:r>
            <w:r>
              <w:rPr>
                <w:rFonts w:hint="eastAsia" w:cs="仿宋" w:asciiTheme="minorEastAsia" w:hAnsiTheme="minorEastAsia" w:eastAsiaTheme="minorEastAsia"/>
                <w:color w:val="auto"/>
                <w:kern w:val="2"/>
              </w:rPr>
              <w:t>分，最多得</w:t>
            </w:r>
            <w:r>
              <w:rPr>
                <w:rFonts w:hint="eastAsia" w:cs="仿宋" w:asciiTheme="minorEastAsia" w:hAnsiTheme="minorEastAsia" w:eastAsiaTheme="minorEastAsia"/>
                <w:color w:val="auto"/>
                <w:kern w:val="2"/>
                <w:lang w:val="en-US" w:eastAsia="zh-CN"/>
              </w:rPr>
              <w:t>5</w:t>
            </w:r>
            <w:r>
              <w:rPr>
                <w:rFonts w:hint="eastAsia" w:cs="仿宋" w:asciiTheme="minorEastAsia" w:hAnsiTheme="minorEastAsia" w:eastAsiaTheme="minorEastAsia"/>
                <w:color w:val="auto"/>
                <w:kern w:val="2"/>
              </w:rPr>
              <w:t>分。</w:t>
            </w:r>
            <w:r>
              <w:rPr>
                <w:rFonts w:hint="eastAsia" w:cs="仿宋" w:asciiTheme="minorEastAsia" w:hAnsiTheme="minorEastAsia" w:eastAsiaTheme="minorEastAsia"/>
                <w:b/>
                <w:bCs/>
                <w:color w:val="auto"/>
                <w:kern w:val="2"/>
              </w:rPr>
              <w:t>（提供业主盖章出具的书面评价）</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706" w:type="dxa"/>
            <w:vMerge w:val="continue"/>
            <w:tcBorders>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020" w:type="dxa"/>
            <w:vMerge w:val="continue"/>
            <w:tcBorders>
              <w:left w:val="single" w:color="auto" w:sz="4" w:space="0"/>
              <w:right w:val="single" w:color="auto" w:sz="4" w:space="0"/>
            </w:tcBorders>
            <w:vAlign w:val="center"/>
          </w:tcPr>
          <w:p>
            <w:pPr>
              <w:wordWrap w:val="0"/>
              <w:topLinePunct/>
              <w:adjustRightInd w:val="0"/>
              <w:snapToGrid w:val="0"/>
              <w:ind w:firstLine="480"/>
              <w:jc w:val="left"/>
              <w:rPr>
                <w:rFonts w:ascii="宋体" w:hAnsi="宋体" w:cs="宋体"/>
                <w:sz w:val="24"/>
                <w:szCs w:val="24"/>
              </w:rPr>
            </w:pPr>
          </w:p>
        </w:tc>
        <w:tc>
          <w:tcPr>
            <w:tcW w:w="1157" w:type="dxa"/>
            <w:tcBorders>
              <w:top w:val="single" w:color="auto" w:sz="4" w:space="0"/>
              <w:left w:val="single" w:color="auto" w:sz="4" w:space="0"/>
              <w:right w:val="single" w:color="auto" w:sz="4" w:space="0"/>
            </w:tcBorders>
            <w:vAlign w:val="center"/>
          </w:tcPr>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人员</w:t>
            </w:r>
          </w:p>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配置</w:t>
            </w:r>
          </w:p>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（12分）</w:t>
            </w:r>
          </w:p>
        </w:tc>
        <w:tc>
          <w:tcPr>
            <w:tcW w:w="4735" w:type="dxa"/>
            <w:tcBorders>
              <w:top w:val="single" w:color="auto" w:sz="4" w:space="0"/>
              <w:left w:val="single" w:color="auto" w:sz="4" w:space="0"/>
              <w:right w:val="single" w:color="auto" w:sz="4" w:space="0"/>
            </w:tcBorders>
          </w:tcPr>
          <w:p>
            <w:pPr>
              <w:adjustRightInd w:val="0"/>
              <w:snapToGrid w:val="0"/>
              <w:rPr>
                <w:rFonts w:asciiTheme="minorEastAsia" w:hAnsiTheme="minorEastAsia"/>
                <w:sz w:val="24"/>
                <w:szCs w:val="24"/>
              </w:rPr>
            </w:pPr>
            <w:r>
              <w:rPr>
                <w:rFonts w:asciiTheme="minorEastAsia" w:hAnsiTheme="minorEastAsia"/>
                <w:sz w:val="24"/>
                <w:szCs w:val="24"/>
              </w:rPr>
              <w:t>投标人拟派本项目的项目经理</w:t>
            </w:r>
            <w:r>
              <w:rPr>
                <w:rFonts w:hint="eastAsia" w:asciiTheme="minorEastAsia" w:hAnsiTheme="minorEastAsia"/>
                <w:sz w:val="24"/>
                <w:szCs w:val="24"/>
              </w:rPr>
              <w:t>具有本科以上学历的</w:t>
            </w:r>
            <w:r>
              <w:rPr>
                <w:rFonts w:asciiTheme="minorEastAsia" w:hAnsiTheme="minorEastAsia"/>
                <w:sz w:val="24"/>
                <w:szCs w:val="24"/>
              </w:rPr>
              <w:t>，得2分</w:t>
            </w:r>
            <w:r>
              <w:rPr>
                <w:rFonts w:hint="eastAsia" w:asciiTheme="minorEastAsia" w:hAnsiTheme="minorEastAsia"/>
                <w:sz w:val="24"/>
                <w:szCs w:val="24"/>
              </w:rPr>
              <w:t>；拟</w:t>
            </w:r>
            <w:r>
              <w:rPr>
                <w:rFonts w:asciiTheme="minorEastAsia" w:hAnsiTheme="minorEastAsia"/>
                <w:sz w:val="24"/>
                <w:szCs w:val="24"/>
              </w:rPr>
              <w:t>派</w:t>
            </w:r>
            <w:r>
              <w:rPr>
                <w:rFonts w:hint="eastAsia" w:asciiTheme="minorEastAsia" w:hAnsiTheme="minorEastAsia"/>
                <w:sz w:val="24"/>
                <w:szCs w:val="24"/>
              </w:rPr>
              <w:t>安保人员具有保安证得2分，最高得4分；拟派工作人员具有大专及以上学历证明得2分</w:t>
            </w:r>
            <w:r>
              <w:rPr>
                <w:rFonts w:hint="eastAsia" w:asciiTheme="minorEastAsia" w:hAnsiTheme="minorEastAsia"/>
                <w:sz w:val="24"/>
                <w:szCs w:val="24"/>
                <w:lang w:val="en-US" w:eastAsia="zh-CN"/>
              </w:rPr>
              <w:t>，最高得6分</w:t>
            </w:r>
            <w:r>
              <w:rPr>
                <w:rFonts w:hint="eastAsia" w:asciiTheme="minorEastAsia" w:hAnsiTheme="minorEastAsia"/>
                <w:sz w:val="24"/>
                <w:szCs w:val="24"/>
              </w:rPr>
              <w:t>。本项最多得12分。</w:t>
            </w:r>
          </w:p>
          <w:p>
            <w:pPr>
              <w:adjustRightInd w:val="0"/>
              <w:snapToGrid w:val="0"/>
              <w:rPr>
                <w:rFonts w:cs="仿宋" w:asciiTheme="minorEastAsia" w:hAnsiTheme="minorEastAsia" w:eastAsiaTheme="minorEastAsia"/>
                <w:sz w:val="24"/>
                <w:szCs w:val="24"/>
              </w:rPr>
            </w:pPr>
            <w:r>
              <w:rPr>
                <w:rFonts w:hint="eastAsia" w:asciiTheme="minorEastAsia" w:hAnsiTheme="minorEastAsia"/>
                <w:sz w:val="24"/>
                <w:szCs w:val="24"/>
              </w:rPr>
              <w:t>（说明：提供证书复印件并加盖公章。）</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706" w:type="dxa"/>
            <w:vMerge w:val="continue"/>
            <w:tcBorders>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020" w:type="dxa"/>
            <w:vMerge w:val="continue"/>
            <w:tcBorders>
              <w:left w:val="single" w:color="auto" w:sz="4" w:space="0"/>
              <w:right w:val="single" w:color="auto" w:sz="4" w:space="0"/>
            </w:tcBorders>
            <w:vAlign w:val="center"/>
          </w:tcPr>
          <w:p>
            <w:pPr>
              <w:wordWrap w:val="0"/>
              <w:topLinePunct/>
              <w:adjustRightInd w:val="0"/>
              <w:snapToGrid w:val="0"/>
              <w:ind w:firstLine="480"/>
              <w:jc w:val="left"/>
              <w:rPr>
                <w:rFonts w:ascii="宋体" w:hAnsi="宋体" w:cs="宋体"/>
                <w:sz w:val="24"/>
                <w:szCs w:val="24"/>
              </w:rPr>
            </w:pPr>
          </w:p>
        </w:tc>
        <w:tc>
          <w:tcPr>
            <w:tcW w:w="1157" w:type="dxa"/>
            <w:tcBorders>
              <w:top w:val="single" w:color="auto" w:sz="4" w:space="0"/>
              <w:left w:val="single" w:color="auto" w:sz="4" w:space="0"/>
              <w:right w:val="single" w:color="auto" w:sz="4" w:space="0"/>
            </w:tcBorders>
            <w:vAlign w:val="center"/>
          </w:tcPr>
          <w:p>
            <w:pPr>
              <w:adjustRightInd w:val="0"/>
              <w:snapToGrid w:val="0"/>
              <w:rPr>
                <w:rFonts w:cs="仿宋" w:asciiTheme="minorEastAsia" w:hAnsiTheme="minorEastAsia"/>
                <w:sz w:val="24"/>
                <w:szCs w:val="24"/>
              </w:rPr>
            </w:pPr>
            <w:r>
              <w:rPr>
                <w:rFonts w:hint="eastAsia" w:cs="仿宋" w:asciiTheme="minorEastAsia" w:hAnsiTheme="minorEastAsia"/>
                <w:sz w:val="24"/>
                <w:szCs w:val="24"/>
              </w:rPr>
              <w:t>管理体系（6分）</w:t>
            </w:r>
          </w:p>
        </w:tc>
        <w:tc>
          <w:tcPr>
            <w:tcW w:w="4735" w:type="dxa"/>
            <w:tcBorders>
              <w:top w:val="single" w:color="auto" w:sz="4" w:space="0"/>
              <w:left w:val="single" w:color="auto" w:sz="4" w:space="0"/>
              <w:right w:val="single" w:color="auto" w:sz="4" w:space="0"/>
            </w:tcBorders>
          </w:tcPr>
          <w:p>
            <w:pPr>
              <w:adjustRightInd w:val="0"/>
              <w:snapToGrid w:val="0"/>
              <w:rPr>
                <w:rFonts w:cs="仿宋" w:asciiTheme="minorEastAsia" w:hAnsiTheme="minorEastAsia"/>
                <w:sz w:val="24"/>
                <w:szCs w:val="24"/>
              </w:rPr>
            </w:pPr>
            <w:r>
              <w:rPr>
                <w:rFonts w:hint="eastAsia" w:cs="仿宋" w:asciiTheme="minorEastAsia" w:hAnsiTheme="minorEastAsia"/>
                <w:sz w:val="24"/>
                <w:szCs w:val="24"/>
              </w:rPr>
              <w:t>1、具有在有效期内的质量管理体系认证证书得2分；</w:t>
            </w:r>
          </w:p>
          <w:p>
            <w:pPr>
              <w:adjustRightInd w:val="0"/>
              <w:snapToGrid w:val="0"/>
              <w:rPr>
                <w:rFonts w:cs="仿宋" w:asciiTheme="minorEastAsia" w:hAnsiTheme="minorEastAsia"/>
                <w:sz w:val="24"/>
                <w:szCs w:val="24"/>
              </w:rPr>
            </w:pPr>
            <w:r>
              <w:rPr>
                <w:rFonts w:hint="eastAsia" w:cs="仿宋" w:asciiTheme="minorEastAsia" w:hAnsiTheme="minorEastAsia"/>
                <w:sz w:val="24"/>
                <w:szCs w:val="24"/>
              </w:rPr>
              <w:t>2、具有在有效期内的环境管理体系认证证书得2分；</w:t>
            </w:r>
          </w:p>
          <w:p>
            <w:pPr>
              <w:adjustRightInd w:val="0"/>
              <w:snapToGrid w:val="0"/>
              <w:rPr>
                <w:rFonts w:cs="仿宋" w:asciiTheme="minorEastAsia" w:hAnsiTheme="minorEastAsia"/>
                <w:sz w:val="24"/>
                <w:szCs w:val="24"/>
              </w:rPr>
            </w:pPr>
            <w:r>
              <w:rPr>
                <w:rFonts w:hint="eastAsia" w:cs="仿宋" w:asciiTheme="minorEastAsia" w:hAnsiTheme="minorEastAsia"/>
                <w:sz w:val="24"/>
                <w:szCs w:val="24"/>
              </w:rPr>
              <w:t>3、具有在有效期内的职业健康安全管理体系认证证书得2分；</w:t>
            </w:r>
          </w:p>
          <w:p>
            <w:pPr>
              <w:pStyle w:val="152"/>
              <w:snapToGrid w:val="0"/>
              <w:rPr>
                <w:rFonts w:cs="仿宋" w:asciiTheme="minorEastAsia" w:hAnsiTheme="minorEastAsia" w:eastAsiaTheme="minorEastAsia"/>
                <w:color w:val="auto"/>
                <w:kern w:val="2"/>
              </w:rPr>
            </w:pPr>
            <w:r>
              <w:rPr>
                <w:rFonts w:cs="仿宋" w:asciiTheme="minorEastAsia" w:hAnsiTheme="minorEastAsia" w:eastAsiaTheme="minorEastAsia"/>
                <w:color w:val="auto"/>
                <w:kern w:val="2"/>
              </w:rPr>
              <w:t>注：提供证书复印件加盖</w:t>
            </w:r>
            <w:r>
              <w:rPr>
                <w:rFonts w:hint="eastAsia" w:cs="仿宋" w:asciiTheme="minorEastAsia" w:hAnsiTheme="minorEastAsia" w:eastAsiaTheme="minorEastAsia"/>
                <w:color w:val="auto"/>
                <w:kern w:val="2"/>
              </w:rPr>
              <w:t>投标人公章。</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706" w:type="dxa"/>
            <w:vMerge w:val="restart"/>
            <w:tcBorders>
              <w:top w:val="single" w:color="auto" w:sz="4" w:space="0"/>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cs="宋体"/>
                <w:sz w:val="24"/>
                <w:szCs w:val="24"/>
              </w:rPr>
              <w:t>3</w:t>
            </w:r>
          </w:p>
        </w:tc>
        <w:tc>
          <w:tcPr>
            <w:tcW w:w="102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服务</w:t>
            </w:r>
          </w:p>
          <w:p>
            <w:pPr>
              <w:adjustRightInd w:val="0"/>
              <w:snapToGrid w:val="0"/>
              <w:jc w:val="center"/>
              <w:rPr>
                <w:rFonts w:ascii="宋体" w:hAnsi="宋体" w:cs="宋体"/>
                <w:sz w:val="24"/>
                <w:szCs w:val="24"/>
              </w:rPr>
            </w:pPr>
            <w:r>
              <w:rPr>
                <w:rFonts w:hint="eastAsia" w:ascii="宋体" w:hAnsi="宋体" w:cs="宋体"/>
                <w:sz w:val="24"/>
                <w:szCs w:val="24"/>
              </w:rPr>
              <w:t>方案</w:t>
            </w:r>
          </w:p>
          <w:p>
            <w:pPr>
              <w:adjustRightInd w:val="0"/>
              <w:snapToGrid w:val="0"/>
              <w:jc w:val="center"/>
              <w:rPr>
                <w:rFonts w:ascii="宋体" w:hAnsi="宋体" w:cs="宋体"/>
                <w:sz w:val="24"/>
                <w:szCs w:val="24"/>
              </w:rPr>
            </w:pPr>
            <w:r>
              <w:rPr>
                <w:rFonts w:hint="eastAsia" w:ascii="宋体" w:hAnsi="宋体" w:cs="宋体"/>
                <w:sz w:val="24"/>
                <w:szCs w:val="24"/>
              </w:rPr>
              <w:t>评审</w:t>
            </w:r>
          </w:p>
        </w:tc>
        <w:tc>
          <w:tcPr>
            <w:tcW w:w="1157" w:type="dxa"/>
            <w:tcBorders>
              <w:top w:val="single" w:color="auto" w:sz="4" w:space="0"/>
              <w:left w:val="single" w:color="auto" w:sz="4" w:space="0"/>
              <w:right w:val="single" w:color="auto" w:sz="4" w:space="0"/>
            </w:tcBorders>
            <w:vAlign w:val="center"/>
          </w:tcPr>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管理服务理念和目标</w:t>
            </w:r>
          </w:p>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（5分）</w:t>
            </w:r>
          </w:p>
        </w:tc>
        <w:tc>
          <w:tcPr>
            <w:tcW w:w="4735" w:type="dxa"/>
            <w:tcBorders>
              <w:top w:val="single" w:color="auto" w:sz="4" w:space="0"/>
              <w:left w:val="single" w:color="auto" w:sz="4" w:space="0"/>
              <w:right w:val="single" w:color="auto" w:sz="4" w:space="0"/>
            </w:tcBorders>
          </w:tcPr>
          <w:p>
            <w:pPr>
              <w:adjustRightInd w:val="0"/>
              <w:snapToGrid w:val="0"/>
              <w:ind w:firstLine="480" w:firstLineChars="200"/>
              <w:jc w:val="left"/>
              <w:rPr>
                <w:rFonts w:cs="宋体" w:asciiTheme="minorEastAsia" w:hAnsiTheme="minorEastAsia"/>
                <w:sz w:val="24"/>
                <w:szCs w:val="24"/>
              </w:rPr>
            </w:pPr>
            <w:r>
              <w:rPr>
                <w:rFonts w:hint="eastAsia" w:asciiTheme="minorEastAsia" w:hAnsiTheme="minorEastAsia"/>
                <w:sz w:val="24"/>
                <w:szCs w:val="24"/>
              </w:rPr>
              <w:t>根</w:t>
            </w:r>
            <w:r>
              <w:rPr>
                <w:rFonts w:hint="eastAsia" w:cs="宋体" w:asciiTheme="minorEastAsia" w:hAnsiTheme="minorEastAsia"/>
                <w:sz w:val="24"/>
                <w:szCs w:val="24"/>
              </w:rPr>
              <w:t>据投标人针对本项目提供的物业管理服务的理念</w:t>
            </w:r>
            <w:r>
              <w:rPr>
                <w:rFonts w:cs="宋体" w:asciiTheme="minorEastAsia" w:hAnsiTheme="minorEastAsia"/>
                <w:sz w:val="24"/>
                <w:szCs w:val="24"/>
              </w:rPr>
              <w:t>和目标</w:t>
            </w:r>
            <w:r>
              <w:rPr>
                <w:rFonts w:hint="eastAsia" w:cs="宋体" w:asciiTheme="minorEastAsia" w:hAnsiTheme="minorEastAsia"/>
                <w:sz w:val="24"/>
                <w:szCs w:val="24"/>
              </w:rPr>
              <w:t>进行综合评分：</w:t>
            </w:r>
          </w:p>
          <w:p>
            <w:pPr>
              <w:adjustRightInd w:val="0"/>
              <w:snapToGrid w:val="0"/>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1.提供整体服务方案的，得1分；在此基础上方案中体现</w:t>
            </w:r>
            <w:r>
              <w:rPr>
                <w:rFonts w:hint="eastAsia" w:cs="宋体" w:asciiTheme="minorEastAsia" w:hAnsiTheme="minorEastAsia"/>
                <w:b/>
                <w:bCs/>
                <w:sz w:val="24"/>
                <w:szCs w:val="24"/>
              </w:rPr>
              <w:t>“物业管理服务</w:t>
            </w:r>
            <w:r>
              <w:rPr>
                <w:rFonts w:cs="宋体" w:asciiTheme="minorEastAsia" w:hAnsiTheme="minorEastAsia"/>
                <w:b/>
                <w:bCs/>
                <w:sz w:val="24"/>
                <w:szCs w:val="24"/>
              </w:rPr>
              <w:t>理念</w:t>
            </w:r>
            <w:r>
              <w:rPr>
                <w:rFonts w:hint="eastAsia" w:cs="宋体" w:asciiTheme="minorEastAsia" w:hAnsiTheme="minorEastAsia"/>
                <w:b/>
                <w:bCs/>
                <w:sz w:val="24"/>
                <w:szCs w:val="24"/>
              </w:rPr>
              <w:t>”、“物业</w:t>
            </w:r>
            <w:r>
              <w:rPr>
                <w:rFonts w:cs="宋体" w:asciiTheme="minorEastAsia" w:hAnsiTheme="minorEastAsia"/>
                <w:b/>
                <w:bCs/>
                <w:sz w:val="24"/>
                <w:szCs w:val="24"/>
              </w:rPr>
              <w:t>管理服务目标</w:t>
            </w:r>
            <w:r>
              <w:rPr>
                <w:rFonts w:hint="eastAsia" w:cs="宋体" w:asciiTheme="minorEastAsia" w:hAnsiTheme="minorEastAsia"/>
                <w:b/>
                <w:bCs/>
                <w:sz w:val="24"/>
                <w:szCs w:val="24"/>
              </w:rPr>
              <w:t>”</w:t>
            </w:r>
            <w:r>
              <w:rPr>
                <w:rFonts w:hint="eastAsia" w:cs="宋体" w:asciiTheme="minorEastAsia" w:hAnsiTheme="minorEastAsia"/>
                <w:sz w:val="24"/>
                <w:szCs w:val="24"/>
              </w:rPr>
              <w:t>两个要素的，每具备一个要素</w:t>
            </w:r>
            <w:r>
              <w:rPr>
                <w:rFonts w:cs="宋体" w:asciiTheme="minorEastAsia" w:hAnsiTheme="minorEastAsia"/>
                <w:sz w:val="24"/>
                <w:szCs w:val="24"/>
              </w:rPr>
              <w:t>，</w:t>
            </w:r>
            <w:r>
              <w:rPr>
                <w:rFonts w:hint="eastAsia" w:cs="宋体" w:asciiTheme="minorEastAsia" w:hAnsiTheme="minorEastAsia"/>
                <w:sz w:val="24"/>
                <w:szCs w:val="24"/>
              </w:rPr>
              <w:t>加1分，本项最多得3分；</w:t>
            </w:r>
          </w:p>
          <w:p>
            <w:pPr>
              <w:adjustRightInd w:val="0"/>
              <w:snapToGrid w:val="0"/>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2.在第1项基础上，投标人认真分析本项目采购需求，能准确描述项目特点、重难点，并提供相应的落实方案的，每提供1项加1分，最多加2分。</w:t>
            </w:r>
          </w:p>
          <w:p>
            <w:pPr>
              <w:adjustRightInd w:val="0"/>
              <w:snapToGrid w:val="0"/>
              <w:rPr>
                <w:rFonts w:cs="仿宋" w:asciiTheme="minorEastAsia" w:hAnsiTheme="minorEastAsia" w:eastAsiaTheme="minorEastAsia"/>
                <w:sz w:val="24"/>
                <w:szCs w:val="24"/>
              </w:rPr>
            </w:pPr>
            <w:r>
              <w:rPr>
                <w:rFonts w:hint="eastAsia" w:cs="宋体" w:asciiTheme="minorEastAsia" w:hAnsiTheme="minorEastAsia"/>
                <w:sz w:val="24"/>
                <w:szCs w:val="24"/>
              </w:rPr>
              <w:t>本</w:t>
            </w:r>
            <w:r>
              <w:rPr>
                <w:rFonts w:cs="宋体" w:asciiTheme="minorEastAsia" w:hAnsiTheme="minorEastAsia"/>
                <w:sz w:val="24"/>
                <w:szCs w:val="24"/>
              </w:rPr>
              <w:t>项最多</w:t>
            </w:r>
            <w:r>
              <w:rPr>
                <w:rFonts w:hint="eastAsia" w:cs="宋体" w:asciiTheme="minorEastAsia" w:hAnsiTheme="minorEastAsia"/>
                <w:sz w:val="24"/>
                <w:szCs w:val="24"/>
              </w:rPr>
              <w:t>得5分</w:t>
            </w:r>
            <w:r>
              <w:rPr>
                <w:rFonts w:cs="宋体" w:asciiTheme="minorEastAsia" w:hAnsiTheme="minorEastAsia"/>
                <w:sz w:val="24"/>
                <w:szCs w:val="24"/>
              </w:rPr>
              <w:t>。</w:t>
            </w:r>
            <w:r>
              <w:rPr>
                <w:rFonts w:hint="eastAsia" w:cs="仿宋" w:asciiTheme="minorEastAsia" w:hAnsiTheme="minorEastAsia"/>
                <w:sz w:val="24"/>
                <w:szCs w:val="24"/>
              </w:rPr>
              <w:t xml:space="preserve"> </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706" w:type="dxa"/>
            <w:vMerge w:val="continue"/>
            <w:tcBorders>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020" w:type="dxa"/>
            <w:vMerge w:val="continue"/>
            <w:tcBorders>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157" w:type="dxa"/>
            <w:tcBorders>
              <w:top w:val="single" w:color="auto" w:sz="4" w:space="0"/>
              <w:left w:val="single" w:color="auto" w:sz="4" w:space="0"/>
              <w:right w:val="single" w:color="auto" w:sz="4" w:space="0"/>
            </w:tcBorders>
            <w:vAlign w:val="center"/>
          </w:tcPr>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项目管理机构设置及职责分工</w:t>
            </w:r>
          </w:p>
          <w:p>
            <w:pPr>
              <w:adjustRightInd w:val="0"/>
              <w:snapToGrid w:val="0"/>
              <w:jc w:val="center"/>
              <w:rPr>
                <w:rFonts w:ascii="宋体" w:hAnsi="宋体" w:cs="宋体"/>
                <w:sz w:val="24"/>
                <w:szCs w:val="24"/>
              </w:rPr>
            </w:pPr>
            <w:r>
              <w:rPr>
                <w:rFonts w:hint="eastAsia" w:cs="仿宋" w:asciiTheme="minorEastAsia" w:hAnsiTheme="minorEastAsia"/>
                <w:sz w:val="24"/>
                <w:szCs w:val="24"/>
              </w:rPr>
              <w:t>（8分）</w:t>
            </w:r>
          </w:p>
        </w:tc>
        <w:tc>
          <w:tcPr>
            <w:tcW w:w="4735" w:type="dxa"/>
            <w:tcBorders>
              <w:top w:val="single" w:color="auto" w:sz="4" w:space="0"/>
              <w:left w:val="single" w:color="auto" w:sz="4" w:space="0"/>
              <w:right w:val="single" w:color="auto" w:sz="4" w:space="0"/>
            </w:tcBorders>
            <w:vAlign w:val="center"/>
          </w:tcPr>
          <w:p>
            <w:pPr>
              <w:adjustRightInd w:val="0"/>
              <w:snapToGrid w:val="0"/>
              <w:ind w:firstLine="480" w:firstLineChars="200"/>
              <w:rPr>
                <w:rFonts w:ascii="宋体" w:hAnsi="宋体" w:cs="宋体"/>
                <w:sz w:val="24"/>
                <w:szCs w:val="24"/>
              </w:rPr>
            </w:pPr>
            <w:r>
              <w:rPr>
                <w:rFonts w:hint="eastAsia" w:asciiTheme="minorEastAsia" w:hAnsiTheme="minorEastAsia"/>
                <w:sz w:val="24"/>
                <w:szCs w:val="24"/>
              </w:rPr>
              <w:t>根据投标人针对</w:t>
            </w:r>
            <w:r>
              <w:rPr>
                <w:rFonts w:asciiTheme="minorEastAsia" w:hAnsiTheme="minorEastAsia"/>
                <w:sz w:val="24"/>
                <w:szCs w:val="24"/>
              </w:rPr>
              <w:t>本项目</w:t>
            </w:r>
            <w:r>
              <w:rPr>
                <w:rFonts w:hint="eastAsia" w:asciiTheme="minorEastAsia" w:hAnsiTheme="minorEastAsia"/>
                <w:sz w:val="24"/>
                <w:szCs w:val="24"/>
              </w:rPr>
              <w:t>提供的</w:t>
            </w:r>
            <w:r>
              <w:rPr>
                <w:rFonts w:hint="eastAsia" w:cs="仿宋" w:asciiTheme="minorEastAsia" w:hAnsiTheme="minorEastAsia"/>
                <w:sz w:val="24"/>
                <w:szCs w:val="24"/>
              </w:rPr>
              <w:t>项目管理机构设置及职责分工</w:t>
            </w:r>
            <w:r>
              <w:rPr>
                <w:rFonts w:hint="eastAsia" w:asciiTheme="minorEastAsia" w:hAnsiTheme="minorEastAsia"/>
                <w:sz w:val="24"/>
                <w:szCs w:val="24"/>
              </w:rPr>
              <w:t>方案进行综合</w:t>
            </w:r>
            <w:r>
              <w:rPr>
                <w:rFonts w:asciiTheme="minorEastAsia" w:hAnsiTheme="minorEastAsia"/>
                <w:sz w:val="24"/>
                <w:szCs w:val="24"/>
              </w:rPr>
              <w:t>评分</w:t>
            </w:r>
            <w:r>
              <w:rPr>
                <w:rFonts w:hint="eastAsia" w:asciiTheme="minorEastAsia" w:hAnsiTheme="minorEastAsia"/>
                <w:sz w:val="24"/>
                <w:szCs w:val="24"/>
              </w:rPr>
              <w:t>：方案中体现</w:t>
            </w:r>
            <w:r>
              <w:rPr>
                <w:rFonts w:hint="eastAsia" w:asciiTheme="minorEastAsia" w:hAnsiTheme="minorEastAsia"/>
                <w:b/>
                <w:sz w:val="24"/>
                <w:szCs w:val="24"/>
              </w:rPr>
              <w:t>“机构设置</w:t>
            </w:r>
            <w:r>
              <w:rPr>
                <w:rFonts w:asciiTheme="minorEastAsia" w:hAnsiTheme="minorEastAsia"/>
                <w:b/>
                <w:sz w:val="24"/>
                <w:szCs w:val="24"/>
              </w:rPr>
              <w:t>”</w:t>
            </w:r>
            <w:r>
              <w:rPr>
                <w:rFonts w:hint="eastAsia" w:asciiTheme="minorEastAsia" w:hAnsiTheme="minorEastAsia"/>
                <w:b/>
                <w:sz w:val="24"/>
                <w:szCs w:val="24"/>
              </w:rPr>
              <w:t>“职责分工”“管理制度”“员工考核”4</w:t>
            </w:r>
            <w:r>
              <w:rPr>
                <w:rFonts w:hint="eastAsia" w:asciiTheme="minorEastAsia" w:hAnsiTheme="minorEastAsia"/>
                <w:sz w:val="24"/>
                <w:szCs w:val="24"/>
              </w:rPr>
              <w:t>个方面要素，所有要素阐述清晰、逻辑合理的得8分，每有一项缺失的扣2分，每有一项缺陷或不足的扣1分，本项最多扣8分。</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6" w:hRule="atLeast"/>
        </w:trPr>
        <w:tc>
          <w:tcPr>
            <w:tcW w:w="706" w:type="dxa"/>
            <w:vMerge w:val="continue"/>
            <w:tcBorders>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020" w:type="dxa"/>
            <w:vMerge w:val="continue"/>
            <w:tcBorders>
              <w:left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157" w:type="dxa"/>
            <w:tcBorders>
              <w:top w:val="single" w:color="auto" w:sz="4" w:space="0"/>
              <w:left w:val="single" w:color="auto" w:sz="4" w:space="0"/>
              <w:right w:val="single" w:color="auto" w:sz="4" w:space="0"/>
            </w:tcBorders>
            <w:vAlign w:val="center"/>
          </w:tcPr>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环境卫生管理方案</w:t>
            </w:r>
          </w:p>
          <w:p>
            <w:pPr>
              <w:adjustRightInd w:val="0"/>
              <w:snapToGrid w:val="0"/>
              <w:jc w:val="center"/>
              <w:rPr>
                <w:rFonts w:ascii="宋体" w:hAnsi="宋体" w:cs="宋体"/>
                <w:sz w:val="24"/>
                <w:szCs w:val="24"/>
              </w:rPr>
            </w:pPr>
            <w:r>
              <w:rPr>
                <w:rFonts w:hint="eastAsia" w:cs="仿宋" w:asciiTheme="minorEastAsia" w:hAnsiTheme="minorEastAsia"/>
                <w:sz w:val="24"/>
                <w:szCs w:val="24"/>
              </w:rPr>
              <w:t>（6分）</w:t>
            </w:r>
          </w:p>
        </w:tc>
        <w:tc>
          <w:tcPr>
            <w:tcW w:w="4735"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 w:val="24"/>
                <w:szCs w:val="24"/>
              </w:rPr>
            </w:pPr>
            <w:r>
              <w:rPr>
                <w:rFonts w:hint="eastAsia" w:cs="仿宋" w:asciiTheme="minorEastAsia" w:hAnsiTheme="minorEastAsia"/>
                <w:sz w:val="24"/>
                <w:szCs w:val="24"/>
              </w:rPr>
              <w:t>根据投标人针对本项目提供的环境卫生管理方案进行综合</w:t>
            </w:r>
            <w:r>
              <w:rPr>
                <w:rFonts w:cs="仿宋" w:asciiTheme="minorEastAsia" w:hAnsiTheme="minorEastAsia"/>
                <w:sz w:val="24"/>
                <w:szCs w:val="24"/>
              </w:rPr>
              <w:t>评分</w:t>
            </w:r>
            <w:r>
              <w:rPr>
                <w:rFonts w:hint="eastAsia" w:cs="仿宋" w:asciiTheme="minorEastAsia" w:hAnsiTheme="minorEastAsia"/>
                <w:sz w:val="24"/>
                <w:szCs w:val="24"/>
              </w:rPr>
              <w:t>：方案</w:t>
            </w:r>
            <w:r>
              <w:rPr>
                <w:rFonts w:cs="仿宋" w:asciiTheme="minorEastAsia" w:hAnsiTheme="minorEastAsia"/>
                <w:sz w:val="24"/>
                <w:szCs w:val="24"/>
              </w:rPr>
              <w:t>中体现“</w:t>
            </w:r>
            <w:r>
              <w:rPr>
                <w:rFonts w:hint="eastAsia" w:cs="仿宋" w:asciiTheme="minorEastAsia" w:hAnsiTheme="minorEastAsia"/>
                <w:b/>
                <w:sz w:val="24"/>
                <w:szCs w:val="24"/>
              </w:rPr>
              <w:t>保洁人员岗位职责”、“保洁服务工作内容及标准”、</w:t>
            </w:r>
            <w:r>
              <w:rPr>
                <w:rFonts w:cs="仿宋" w:asciiTheme="minorEastAsia" w:hAnsiTheme="minorEastAsia"/>
                <w:b/>
                <w:sz w:val="24"/>
                <w:szCs w:val="24"/>
              </w:rPr>
              <w:t>“</w:t>
            </w:r>
            <w:r>
              <w:rPr>
                <w:rFonts w:hint="eastAsia" w:cs="仿宋" w:asciiTheme="minorEastAsia" w:hAnsiTheme="minorEastAsia"/>
                <w:b/>
                <w:sz w:val="24"/>
                <w:szCs w:val="24"/>
              </w:rPr>
              <w:t>垃圾分类及杀虫灭害与消毒”</w:t>
            </w:r>
            <w:r>
              <w:rPr>
                <w:rFonts w:hint="eastAsia" w:asciiTheme="minorEastAsia" w:hAnsiTheme="minorEastAsia"/>
                <w:b/>
                <w:sz w:val="24"/>
                <w:szCs w:val="24"/>
              </w:rPr>
              <w:t xml:space="preserve"> 3</w:t>
            </w:r>
            <w:r>
              <w:rPr>
                <w:rFonts w:hint="eastAsia" w:asciiTheme="minorEastAsia" w:hAnsiTheme="minorEastAsia"/>
                <w:sz w:val="24"/>
                <w:szCs w:val="24"/>
              </w:rPr>
              <w:t>个方面要素。所有要素阐述清晰、逻辑合理的得6分，每有一项缺失的扣2分，每有一项缺陷或不足的扣1分，本项最多扣6分。</w:t>
            </w:r>
            <w:r>
              <w:rPr>
                <w:rFonts w:cs="仿宋" w:asciiTheme="minorEastAsia" w:hAnsiTheme="minorEastAsia"/>
                <w:sz w:val="24"/>
                <w:szCs w:val="24"/>
              </w:rPr>
              <w:t xml:space="preserve"> </w:t>
            </w:r>
            <w:r>
              <w:rPr>
                <w:rFonts w:hint="eastAsia" w:cs="仿宋" w:asciiTheme="minorEastAsia" w:hAnsiTheme="minorEastAsia"/>
                <w:sz w:val="24"/>
                <w:szCs w:val="24"/>
              </w:rPr>
              <w:t xml:space="preserve"> </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trPr>
        <w:tc>
          <w:tcPr>
            <w:tcW w:w="706" w:type="dxa"/>
            <w:vMerge w:val="continue"/>
            <w:tcBorders>
              <w:left w:val="single" w:color="auto" w:sz="4" w:space="0"/>
              <w:right w:val="single" w:color="auto" w:sz="4" w:space="0"/>
            </w:tcBorders>
            <w:vAlign w:val="center"/>
          </w:tcPr>
          <w:p>
            <w:pPr>
              <w:topLinePunct/>
              <w:adjustRightInd w:val="0"/>
              <w:snapToGrid w:val="0"/>
              <w:jc w:val="center"/>
              <w:rPr>
                <w:rFonts w:ascii="宋体" w:hAnsi="宋体" w:cs="宋体"/>
                <w:sz w:val="24"/>
                <w:szCs w:val="24"/>
              </w:rPr>
            </w:pPr>
          </w:p>
        </w:tc>
        <w:tc>
          <w:tcPr>
            <w:tcW w:w="1020" w:type="dxa"/>
            <w:vMerge w:val="continue"/>
            <w:tcBorders>
              <w:left w:val="single" w:color="auto" w:sz="4" w:space="0"/>
              <w:right w:val="single" w:color="auto" w:sz="4" w:space="0"/>
            </w:tcBorders>
            <w:vAlign w:val="center"/>
          </w:tcPr>
          <w:p>
            <w:pPr>
              <w:topLinePunct/>
              <w:adjustRightInd w:val="0"/>
              <w:snapToGrid w:val="0"/>
              <w:jc w:val="center"/>
              <w:rPr>
                <w:rFonts w:hAnsi="宋体" w:cs="宋体"/>
                <w:color w:val="000000"/>
                <w:sz w:val="24"/>
                <w:szCs w:val="24"/>
              </w:rPr>
            </w:pPr>
          </w:p>
        </w:tc>
        <w:tc>
          <w:tcPr>
            <w:tcW w:w="1157"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cs="仿宋" w:asciiTheme="minorEastAsia" w:hAnsiTheme="minorEastAsia"/>
                <w:sz w:val="24"/>
                <w:szCs w:val="24"/>
              </w:rPr>
              <w:t>物业管理方案（12分）</w:t>
            </w:r>
          </w:p>
        </w:tc>
        <w:tc>
          <w:tcPr>
            <w:tcW w:w="4735" w:type="dxa"/>
            <w:tcBorders>
              <w:top w:val="single" w:color="auto" w:sz="4" w:space="0"/>
              <w:left w:val="single" w:color="auto" w:sz="4" w:space="0"/>
              <w:right w:val="single" w:color="auto" w:sz="4" w:space="0"/>
            </w:tcBorders>
          </w:tcPr>
          <w:p>
            <w:pPr>
              <w:adjustRightInd w:val="0"/>
              <w:snapToGrid w:val="0"/>
              <w:rPr>
                <w:rFonts w:cs="仿宋" w:asciiTheme="minorEastAsia" w:hAnsiTheme="minorEastAsia"/>
                <w:sz w:val="24"/>
                <w:szCs w:val="24"/>
              </w:rPr>
            </w:pPr>
            <w:r>
              <w:rPr>
                <w:rFonts w:hint="eastAsia" w:cs="仿宋" w:asciiTheme="minorEastAsia" w:hAnsiTheme="minorEastAsia"/>
                <w:sz w:val="24"/>
                <w:szCs w:val="24"/>
              </w:rPr>
              <w:t>根据投标人提供的物业管理方案进行</w:t>
            </w:r>
            <w:r>
              <w:rPr>
                <w:rFonts w:cs="仿宋" w:asciiTheme="minorEastAsia" w:hAnsiTheme="minorEastAsia"/>
                <w:sz w:val="24"/>
                <w:szCs w:val="24"/>
              </w:rPr>
              <w:t>综合评分</w:t>
            </w:r>
            <w:r>
              <w:rPr>
                <w:rFonts w:hint="eastAsia" w:cs="仿宋" w:asciiTheme="minorEastAsia" w:hAnsiTheme="minorEastAsia"/>
                <w:sz w:val="24"/>
                <w:szCs w:val="24"/>
              </w:rPr>
              <w:t>：</w:t>
            </w:r>
          </w:p>
          <w:p>
            <w:pPr>
              <w:adjustRightInd w:val="0"/>
              <w:snapToGrid w:val="0"/>
              <w:rPr>
                <w:rFonts w:hAnsi="宋体" w:cs="宋体"/>
                <w:color w:val="000000"/>
                <w:sz w:val="24"/>
                <w:szCs w:val="24"/>
              </w:rPr>
            </w:pPr>
            <w:r>
              <w:rPr>
                <w:rFonts w:hint="eastAsia" w:cs="仿宋" w:asciiTheme="minorEastAsia" w:hAnsiTheme="minorEastAsia"/>
                <w:sz w:val="24"/>
                <w:szCs w:val="24"/>
              </w:rPr>
              <w:t>方案中</w:t>
            </w:r>
            <w:r>
              <w:rPr>
                <w:rFonts w:cs="仿宋" w:asciiTheme="minorEastAsia" w:hAnsiTheme="minorEastAsia"/>
                <w:sz w:val="24"/>
                <w:szCs w:val="24"/>
              </w:rPr>
              <w:t>体现</w:t>
            </w:r>
            <w:r>
              <w:rPr>
                <w:rFonts w:cs="仿宋" w:asciiTheme="minorEastAsia" w:hAnsiTheme="minorEastAsia"/>
                <w:b/>
                <w:bCs/>
                <w:sz w:val="24"/>
                <w:szCs w:val="24"/>
              </w:rPr>
              <w:t>“</w:t>
            </w:r>
            <w:r>
              <w:rPr>
                <w:rFonts w:hint="eastAsia" w:cs="仿宋" w:asciiTheme="minorEastAsia" w:hAnsiTheme="minorEastAsia"/>
                <w:b/>
                <w:bCs/>
                <w:sz w:val="24"/>
                <w:szCs w:val="24"/>
              </w:rPr>
              <w:t>设施设备运行维护方案</w:t>
            </w:r>
            <w:r>
              <w:rPr>
                <w:rFonts w:hint="eastAsia" w:cs="仿宋" w:asciiTheme="minorEastAsia" w:hAnsiTheme="minorEastAsia"/>
                <w:b/>
                <w:sz w:val="24"/>
                <w:szCs w:val="24"/>
              </w:rPr>
              <w:t>”、</w:t>
            </w:r>
            <w:r>
              <w:rPr>
                <w:rFonts w:cs="仿宋" w:asciiTheme="minorEastAsia" w:hAnsiTheme="minorEastAsia"/>
                <w:b/>
                <w:sz w:val="24"/>
                <w:szCs w:val="24"/>
              </w:rPr>
              <w:t>“</w:t>
            </w:r>
            <w:r>
              <w:rPr>
                <w:rFonts w:hint="eastAsia" w:cs="仿宋" w:asciiTheme="minorEastAsia" w:hAnsiTheme="minorEastAsia"/>
                <w:b/>
                <w:sz w:val="24"/>
                <w:szCs w:val="24"/>
              </w:rPr>
              <w:t>秩序维护方案”、</w:t>
            </w:r>
            <w:r>
              <w:rPr>
                <w:rFonts w:cs="仿宋" w:asciiTheme="minorEastAsia" w:hAnsiTheme="minorEastAsia"/>
                <w:b/>
                <w:sz w:val="24"/>
                <w:szCs w:val="24"/>
              </w:rPr>
              <w:t>“</w:t>
            </w:r>
            <w:r>
              <w:rPr>
                <w:rFonts w:hint="eastAsia" w:cs="仿宋" w:asciiTheme="minorEastAsia" w:hAnsiTheme="minorEastAsia"/>
                <w:b/>
                <w:sz w:val="24"/>
                <w:szCs w:val="24"/>
              </w:rPr>
              <w:t>车辆停放管理服务方案</w:t>
            </w:r>
            <w:r>
              <w:rPr>
                <w:rFonts w:hint="eastAsia" w:cs="仿宋" w:asciiTheme="minorEastAsia" w:hAnsiTheme="minorEastAsia"/>
                <w:sz w:val="24"/>
                <w:szCs w:val="24"/>
              </w:rPr>
              <w:t>”</w:t>
            </w:r>
            <w:r>
              <w:rPr>
                <w:rFonts w:hint="eastAsia" w:asciiTheme="minorEastAsia" w:hAnsiTheme="minorEastAsia"/>
                <w:b/>
                <w:sz w:val="24"/>
                <w:szCs w:val="24"/>
              </w:rPr>
              <w:t>3</w:t>
            </w:r>
            <w:r>
              <w:rPr>
                <w:rFonts w:hint="eastAsia" w:asciiTheme="minorEastAsia" w:hAnsiTheme="minorEastAsia"/>
                <w:sz w:val="24"/>
                <w:szCs w:val="24"/>
              </w:rPr>
              <w:t>个方面要素，所有要素阐述清晰、逻辑合理的得</w:t>
            </w:r>
            <w:r>
              <w:rPr>
                <w:rFonts w:hint="eastAsia" w:asciiTheme="minorEastAsia" w:hAnsiTheme="minorEastAsia"/>
                <w:sz w:val="24"/>
                <w:szCs w:val="24"/>
                <w:lang w:val="en-US" w:eastAsia="zh-CN"/>
              </w:rPr>
              <w:t>12</w:t>
            </w:r>
            <w:r>
              <w:rPr>
                <w:rFonts w:hint="eastAsia" w:asciiTheme="minorEastAsia" w:hAnsiTheme="minorEastAsia"/>
                <w:sz w:val="24"/>
                <w:szCs w:val="24"/>
              </w:rPr>
              <w:t>分，每有一项缺失的扣</w:t>
            </w:r>
            <w:r>
              <w:rPr>
                <w:rFonts w:hint="eastAsia" w:asciiTheme="minorEastAsia" w:hAnsiTheme="minorEastAsia"/>
                <w:sz w:val="24"/>
                <w:szCs w:val="24"/>
                <w:lang w:val="en-US" w:eastAsia="zh-CN"/>
              </w:rPr>
              <w:t>4</w:t>
            </w:r>
            <w:r>
              <w:rPr>
                <w:rFonts w:hint="eastAsia" w:asciiTheme="minorEastAsia" w:hAnsiTheme="minorEastAsia"/>
                <w:sz w:val="24"/>
                <w:szCs w:val="24"/>
              </w:rPr>
              <w:t>分，每有一项缺陷或不足的扣</w:t>
            </w:r>
            <w:r>
              <w:rPr>
                <w:rFonts w:hint="eastAsia" w:asciiTheme="minorEastAsia" w:hAnsiTheme="minorEastAsia"/>
                <w:sz w:val="24"/>
                <w:szCs w:val="24"/>
                <w:lang w:val="en-US" w:eastAsia="zh-CN"/>
              </w:rPr>
              <w:t>2</w:t>
            </w:r>
            <w:r>
              <w:rPr>
                <w:rFonts w:hint="eastAsia" w:asciiTheme="minorEastAsia" w:hAnsiTheme="minorEastAsia"/>
                <w:sz w:val="24"/>
                <w:szCs w:val="24"/>
              </w:rPr>
              <w:t>分，本项最多扣12分。</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706" w:type="dxa"/>
            <w:vMerge w:val="continue"/>
            <w:tcBorders>
              <w:left w:val="single" w:color="auto" w:sz="4" w:space="0"/>
              <w:right w:val="single" w:color="auto" w:sz="4" w:space="0"/>
            </w:tcBorders>
            <w:vAlign w:val="center"/>
          </w:tcPr>
          <w:p>
            <w:pPr>
              <w:wordWrap w:val="0"/>
              <w:topLinePunct/>
              <w:adjustRightInd w:val="0"/>
              <w:snapToGrid w:val="0"/>
              <w:jc w:val="center"/>
              <w:rPr>
                <w:sz w:val="24"/>
                <w:szCs w:val="24"/>
              </w:rPr>
            </w:pPr>
          </w:p>
        </w:tc>
        <w:tc>
          <w:tcPr>
            <w:tcW w:w="1020" w:type="dxa"/>
            <w:vMerge w:val="continue"/>
            <w:tcBorders>
              <w:left w:val="single" w:color="auto" w:sz="4" w:space="0"/>
              <w:right w:val="single" w:color="auto" w:sz="4" w:space="0"/>
            </w:tcBorders>
            <w:vAlign w:val="center"/>
          </w:tcPr>
          <w:p>
            <w:pPr>
              <w:wordWrap w:val="0"/>
              <w:topLinePunct/>
              <w:adjustRightInd w:val="0"/>
              <w:snapToGrid w:val="0"/>
              <w:jc w:val="center"/>
              <w:rPr>
                <w:sz w:val="24"/>
                <w:szCs w:val="24"/>
              </w:rPr>
            </w:pPr>
          </w:p>
        </w:tc>
        <w:tc>
          <w:tcPr>
            <w:tcW w:w="11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应急处理方案</w:t>
            </w:r>
          </w:p>
          <w:p>
            <w:pPr>
              <w:adjustRightInd w:val="0"/>
              <w:snapToGrid w:val="0"/>
              <w:jc w:val="center"/>
              <w:rPr>
                <w:rFonts w:ascii="宋体" w:hAnsi="宋体" w:cs="宋体"/>
                <w:sz w:val="24"/>
                <w:szCs w:val="24"/>
              </w:rPr>
            </w:pPr>
            <w:r>
              <w:rPr>
                <w:rFonts w:hint="eastAsia" w:cs="仿宋" w:asciiTheme="minorEastAsia" w:hAnsiTheme="minorEastAsia"/>
                <w:sz w:val="24"/>
                <w:szCs w:val="24"/>
              </w:rPr>
              <w:t>(12分)</w:t>
            </w:r>
          </w:p>
        </w:tc>
        <w:tc>
          <w:tcPr>
            <w:tcW w:w="47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szCs w:val="24"/>
              </w:rPr>
            </w:pPr>
            <w:r>
              <w:rPr>
                <w:rFonts w:hint="eastAsia" w:cs="仿宋" w:asciiTheme="minorEastAsia" w:hAnsiTheme="minorEastAsia"/>
                <w:sz w:val="24"/>
                <w:szCs w:val="24"/>
              </w:rPr>
              <w:t>根据投标人针对本项目提供的应急处理方案进行</w:t>
            </w:r>
            <w:r>
              <w:rPr>
                <w:rFonts w:cs="仿宋" w:asciiTheme="minorEastAsia" w:hAnsiTheme="minorEastAsia"/>
                <w:sz w:val="24"/>
                <w:szCs w:val="24"/>
              </w:rPr>
              <w:t>综合评分</w:t>
            </w:r>
            <w:r>
              <w:rPr>
                <w:rFonts w:hint="eastAsia" w:cs="仿宋" w:asciiTheme="minorEastAsia" w:hAnsiTheme="minorEastAsia"/>
                <w:sz w:val="24"/>
                <w:szCs w:val="24"/>
              </w:rPr>
              <w:t>：方案中</w:t>
            </w:r>
            <w:r>
              <w:rPr>
                <w:rFonts w:cs="仿宋" w:asciiTheme="minorEastAsia" w:hAnsiTheme="minorEastAsia"/>
                <w:sz w:val="24"/>
                <w:szCs w:val="24"/>
              </w:rPr>
              <w:t>体现“</w:t>
            </w:r>
            <w:r>
              <w:rPr>
                <w:rFonts w:hint="eastAsia" w:cs="仿宋" w:asciiTheme="minorEastAsia" w:hAnsiTheme="minorEastAsia"/>
                <w:b/>
                <w:sz w:val="24"/>
                <w:szCs w:val="24"/>
              </w:rPr>
              <w:t>火灾、自然灾害、水电气系统、雨污管网系统等故障”、</w:t>
            </w:r>
            <w:r>
              <w:rPr>
                <w:rFonts w:cs="仿宋" w:asciiTheme="minorEastAsia" w:hAnsiTheme="minorEastAsia"/>
                <w:b/>
                <w:sz w:val="24"/>
                <w:szCs w:val="24"/>
              </w:rPr>
              <w:t>“</w:t>
            </w:r>
            <w:r>
              <w:rPr>
                <w:rFonts w:hint="eastAsia" w:cs="仿宋" w:asciiTheme="minorEastAsia" w:hAnsiTheme="minorEastAsia"/>
                <w:b/>
                <w:sz w:val="24"/>
                <w:szCs w:val="24"/>
              </w:rPr>
              <w:t>治安安全事件”、</w:t>
            </w:r>
            <w:r>
              <w:rPr>
                <w:rFonts w:cs="仿宋" w:asciiTheme="minorEastAsia" w:hAnsiTheme="minorEastAsia"/>
                <w:b/>
                <w:sz w:val="24"/>
                <w:szCs w:val="24"/>
              </w:rPr>
              <w:t>“</w:t>
            </w:r>
            <w:r>
              <w:rPr>
                <w:rFonts w:hint="eastAsia" w:cs="仿宋" w:asciiTheme="minorEastAsia" w:hAnsiTheme="minorEastAsia"/>
                <w:b/>
                <w:sz w:val="24"/>
                <w:szCs w:val="24"/>
              </w:rPr>
              <w:t>突发性公共事件”、</w:t>
            </w:r>
            <w:r>
              <w:rPr>
                <w:rFonts w:cs="仿宋" w:asciiTheme="minorEastAsia" w:hAnsiTheme="minorEastAsia"/>
                <w:b/>
                <w:sz w:val="24"/>
                <w:szCs w:val="24"/>
              </w:rPr>
              <w:t>“</w:t>
            </w:r>
            <w:r>
              <w:rPr>
                <w:rFonts w:hint="eastAsia" w:cs="仿宋" w:asciiTheme="minorEastAsia" w:hAnsiTheme="minorEastAsia"/>
                <w:b/>
                <w:sz w:val="24"/>
                <w:szCs w:val="24"/>
              </w:rPr>
              <w:t>其他安全突发事件</w:t>
            </w:r>
            <w:r>
              <w:rPr>
                <w:rFonts w:hint="eastAsia" w:cs="仿宋" w:asciiTheme="minorEastAsia" w:hAnsiTheme="minorEastAsia"/>
                <w:sz w:val="24"/>
                <w:szCs w:val="24"/>
              </w:rPr>
              <w:t>”</w:t>
            </w:r>
            <w:r>
              <w:rPr>
                <w:rFonts w:hint="eastAsia" w:asciiTheme="minorEastAsia" w:hAnsiTheme="minorEastAsia"/>
                <w:b/>
                <w:sz w:val="24"/>
                <w:szCs w:val="24"/>
              </w:rPr>
              <w:t xml:space="preserve"> 4</w:t>
            </w:r>
            <w:r>
              <w:rPr>
                <w:rFonts w:hint="eastAsia" w:asciiTheme="minorEastAsia" w:hAnsiTheme="minorEastAsia"/>
                <w:sz w:val="24"/>
                <w:szCs w:val="24"/>
              </w:rPr>
              <w:t>个方面要素，所有要素阐述清晰、逻辑合理的得12分，每有一项缺失的扣3分，每有一项缺陷或不足的扣1.5分，本项最多扣12分。</w:t>
            </w:r>
            <w:r>
              <w:rPr>
                <w:rFonts w:cs="仿宋" w:asciiTheme="minorEastAsia" w:hAnsiTheme="minorEastAsia"/>
                <w:sz w:val="24"/>
                <w:szCs w:val="24"/>
              </w:rPr>
              <w:t xml:space="preserve"> </w:t>
            </w:r>
            <w:r>
              <w:rPr>
                <w:rFonts w:hint="eastAsia" w:cs="仿宋" w:asciiTheme="minorEastAsia" w:hAnsiTheme="minorEastAsia"/>
                <w:sz w:val="24"/>
                <w:szCs w:val="24"/>
              </w:rPr>
              <w:t xml:space="preserve"> </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rPr>
                <w:rFonts w:ascii="宋体" w:hAnsi="宋体" w:cs="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trPr>
        <w:tc>
          <w:tcPr>
            <w:tcW w:w="706" w:type="dxa"/>
            <w:vMerge w:val="continue"/>
            <w:tcBorders>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020" w:type="dxa"/>
            <w:vMerge w:val="continue"/>
            <w:tcBorders>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p>
        </w:tc>
        <w:tc>
          <w:tcPr>
            <w:tcW w:w="11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 xml:space="preserve">培训方案 </w:t>
            </w:r>
          </w:p>
          <w:p>
            <w:pPr>
              <w:adjustRightInd w:val="0"/>
              <w:snapToGrid w:val="0"/>
              <w:jc w:val="center"/>
              <w:rPr>
                <w:rFonts w:ascii="宋体" w:hAnsi="宋体" w:cs="宋体"/>
                <w:sz w:val="24"/>
                <w:szCs w:val="24"/>
              </w:rPr>
            </w:pPr>
            <w:r>
              <w:rPr>
                <w:rFonts w:hint="eastAsia" w:cs="仿宋" w:asciiTheme="minorEastAsia" w:hAnsiTheme="minorEastAsia"/>
                <w:sz w:val="24"/>
                <w:szCs w:val="24"/>
              </w:rPr>
              <w:t>(4分)</w:t>
            </w:r>
          </w:p>
        </w:tc>
        <w:tc>
          <w:tcPr>
            <w:tcW w:w="47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sz w:val="24"/>
                <w:szCs w:val="24"/>
              </w:rPr>
            </w:pPr>
            <w:r>
              <w:rPr>
                <w:rFonts w:hint="eastAsia" w:cs="仿宋" w:asciiTheme="minorEastAsia" w:hAnsiTheme="minorEastAsia"/>
                <w:sz w:val="24"/>
                <w:szCs w:val="24"/>
              </w:rPr>
              <w:t>根据投标人提供的人员培训方案进行</w:t>
            </w:r>
            <w:r>
              <w:rPr>
                <w:rFonts w:cs="仿宋" w:asciiTheme="minorEastAsia" w:hAnsiTheme="minorEastAsia"/>
                <w:sz w:val="24"/>
                <w:szCs w:val="24"/>
              </w:rPr>
              <w:t>综合评分：</w:t>
            </w:r>
            <w:r>
              <w:rPr>
                <w:rFonts w:hint="eastAsia" w:cs="仿宋" w:asciiTheme="minorEastAsia" w:hAnsiTheme="minorEastAsia"/>
                <w:sz w:val="24"/>
                <w:szCs w:val="24"/>
              </w:rPr>
              <w:t>方案中</w:t>
            </w:r>
            <w:r>
              <w:rPr>
                <w:rFonts w:cs="仿宋" w:asciiTheme="minorEastAsia" w:hAnsiTheme="minorEastAsia"/>
                <w:sz w:val="24"/>
                <w:szCs w:val="24"/>
              </w:rPr>
              <w:t>体现</w:t>
            </w:r>
            <w:r>
              <w:rPr>
                <w:rFonts w:hint="eastAsia" w:cs="仿宋" w:asciiTheme="minorEastAsia" w:hAnsiTheme="minorEastAsia"/>
                <w:b/>
                <w:bCs/>
                <w:sz w:val="24"/>
                <w:szCs w:val="24"/>
              </w:rPr>
              <w:t>“培训内容</w:t>
            </w:r>
            <w:r>
              <w:rPr>
                <w:rFonts w:cs="仿宋" w:asciiTheme="minorEastAsia" w:hAnsiTheme="minorEastAsia"/>
                <w:b/>
                <w:bCs/>
                <w:sz w:val="24"/>
                <w:szCs w:val="24"/>
              </w:rPr>
              <w:t>和范围</w:t>
            </w:r>
            <w:r>
              <w:rPr>
                <w:rFonts w:hint="eastAsia" w:cs="仿宋" w:asciiTheme="minorEastAsia" w:hAnsiTheme="minorEastAsia"/>
                <w:b/>
                <w:bCs/>
                <w:sz w:val="24"/>
                <w:szCs w:val="24"/>
              </w:rPr>
              <w:t>”、“培训方式</w:t>
            </w:r>
            <w:r>
              <w:rPr>
                <w:rFonts w:cs="仿宋" w:asciiTheme="minorEastAsia" w:hAnsiTheme="minorEastAsia"/>
                <w:b/>
                <w:bCs/>
                <w:sz w:val="24"/>
                <w:szCs w:val="24"/>
              </w:rPr>
              <w:t>和周期”</w:t>
            </w:r>
            <w:r>
              <w:rPr>
                <w:rFonts w:hint="eastAsia" w:asciiTheme="minorEastAsia" w:hAnsiTheme="minorEastAsia"/>
                <w:b/>
                <w:sz w:val="24"/>
                <w:szCs w:val="24"/>
              </w:rPr>
              <w:t xml:space="preserve"> 2</w:t>
            </w:r>
            <w:r>
              <w:rPr>
                <w:rFonts w:hint="eastAsia" w:asciiTheme="minorEastAsia" w:hAnsiTheme="minorEastAsia"/>
                <w:sz w:val="24"/>
                <w:szCs w:val="24"/>
              </w:rPr>
              <w:t>个方面要素，所有要素阐述清晰、逻辑合理的得4分，每有一项缺失的扣2分，每有一项缺陷或不足的扣1分，本项最多扣4分。</w:t>
            </w:r>
            <w:r>
              <w:rPr>
                <w:rFonts w:cs="仿宋" w:asciiTheme="minorEastAsia" w:hAnsiTheme="minorEastAsia"/>
                <w:sz w:val="24"/>
                <w:szCs w:val="24"/>
              </w:rPr>
              <w:t xml:space="preserve"> </w:t>
            </w:r>
            <w:r>
              <w:rPr>
                <w:rFonts w:hint="eastAsia" w:cs="仿宋" w:asciiTheme="minorEastAsia" w:hAnsiTheme="minorEastAsia"/>
                <w:sz w:val="24"/>
                <w:szCs w:val="24"/>
              </w:rPr>
              <w:t xml:space="preserve"> </w:t>
            </w:r>
          </w:p>
        </w:tc>
        <w:tc>
          <w:tcPr>
            <w:tcW w:w="869"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snapToGrid w:val="0"/>
              <w:jc w:val="center"/>
              <w:rPr>
                <w:rFonts w:ascii="宋体" w:hAnsi="宋体" w:cs="宋体"/>
                <w:sz w:val="24"/>
                <w:szCs w:val="24"/>
              </w:rPr>
            </w:pPr>
            <w:r>
              <w:rPr>
                <w:rFonts w:hint="eastAsia" w:ascii="宋体" w:hAnsi="宋体"/>
                <w:sz w:val="24"/>
                <w:szCs w:val="24"/>
              </w:rPr>
              <w:t>共同评分因素</w:t>
            </w:r>
          </w:p>
        </w:tc>
      </w:tr>
    </w:tbl>
    <w:p>
      <w:pPr>
        <w:pStyle w:val="2"/>
        <w:rPr>
          <w:rFonts w:ascii="宋体" w:hAnsi="宋体"/>
          <w:b/>
          <w:bCs/>
          <w:sz w:val="28"/>
          <w:szCs w:val="28"/>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296" w:name="_Toc32250_WPSOffice_Level2"/>
      <w:bookmarkStart w:id="297" w:name="_Toc29110_WPSOffice_Level2"/>
      <w:bookmarkStart w:id="298" w:name="_Toc9364_WPSOffice_Level2"/>
      <w:bookmarkStart w:id="299" w:name="_Toc74752346"/>
      <w:r>
        <w:rPr>
          <w:rFonts w:hint="eastAsia" w:ascii="宋体" w:hAnsi="宋体"/>
          <w:b/>
          <w:bCs/>
          <w:sz w:val="28"/>
          <w:szCs w:val="28"/>
        </w:rPr>
        <w:t>废标</w:t>
      </w:r>
      <w:bookmarkEnd w:id="296"/>
      <w:bookmarkEnd w:id="297"/>
      <w:bookmarkEnd w:id="298"/>
      <w:bookmarkEnd w:id="299"/>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5"/>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300" w:name="_Toc3854_WPSOffice_Level2"/>
      <w:bookmarkStart w:id="301" w:name="_Toc74752347"/>
      <w:bookmarkStart w:id="302" w:name="_Toc5549_WPSOffice_Level2"/>
      <w:bookmarkStart w:id="303" w:name="_Toc23403_WPSOffice_Level2"/>
      <w:r>
        <w:rPr>
          <w:rFonts w:hint="eastAsia" w:ascii="宋体" w:hAnsi="宋体"/>
          <w:b/>
          <w:bCs/>
          <w:sz w:val="28"/>
          <w:szCs w:val="28"/>
        </w:rPr>
        <w:t>定标</w:t>
      </w:r>
      <w:bookmarkEnd w:id="300"/>
      <w:bookmarkEnd w:id="301"/>
      <w:bookmarkEnd w:id="302"/>
      <w:bookmarkEnd w:id="303"/>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304" w:name="_Toc29783_WPSOffice_Level2"/>
      <w:bookmarkStart w:id="305" w:name="_Toc74752348"/>
      <w:bookmarkStart w:id="306" w:name="_Toc21526_WPSOffice_Level2"/>
      <w:bookmarkStart w:id="307" w:name="_Toc7976_WPSOffice_Level2"/>
      <w:r>
        <w:rPr>
          <w:rFonts w:hint="eastAsia" w:ascii="宋体" w:hAnsi="宋体"/>
          <w:b/>
          <w:bCs/>
          <w:sz w:val="28"/>
          <w:szCs w:val="28"/>
        </w:rPr>
        <w:t>评标专家在政府采购活动中承担以下义务</w:t>
      </w:r>
      <w:bookmarkEnd w:id="304"/>
      <w:bookmarkEnd w:id="305"/>
      <w:bookmarkEnd w:id="306"/>
      <w:bookmarkEnd w:id="307"/>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308" w:name="_Toc3243_WPSOffice_Level2"/>
      <w:bookmarkStart w:id="309" w:name="_Toc14633_WPSOffice_Level2"/>
      <w:bookmarkStart w:id="310" w:name="_Toc74752349"/>
      <w:bookmarkStart w:id="311" w:name="_Toc24966_WPSOffice_Level2"/>
      <w:r>
        <w:rPr>
          <w:rFonts w:hint="eastAsia" w:ascii="宋体" w:hAnsi="宋体"/>
          <w:b/>
          <w:bCs/>
          <w:sz w:val="28"/>
          <w:szCs w:val="28"/>
        </w:rPr>
        <w:t>评标委员会及其成员不得有下列行为</w:t>
      </w:r>
      <w:bookmarkEnd w:id="308"/>
      <w:bookmarkEnd w:id="309"/>
      <w:bookmarkEnd w:id="310"/>
      <w:bookmarkEnd w:id="311"/>
    </w:p>
    <w:p>
      <w:pPr>
        <w:numPr>
          <w:ilvl w:val="0"/>
          <w:numId w:val="47"/>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7"/>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7"/>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312" w:name="_Toc20243_WPSOffice_Level2"/>
      <w:bookmarkStart w:id="313" w:name="_Toc17454_WPSOffice_Level2"/>
      <w:bookmarkStart w:id="314" w:name="_Toc74752350"/>
      <w:bookmarkStart w:id="315" w:name="_Toc19629_WPSOffice_Level2"/>
      <w:r>
        <w:rPr>
          <w:rFonts w:hint="eastAsia" w:ascii="宋体" w:hAnsi="宋体"/>
          <w:b/>
          <w:bCs/>
          <w:sz w:val="28"/>
          <w:szCs w:val="28"/>
        </w:rPr>
        <w:t>评审专家在政府采购活动中应当遵守以下工作纪律</w:t>
      </w:r>
      <w:bookmarkEnd w:id="312"/>
      <w:bookmarkEnd w:id="313"/>
      <w:bookmarkEnd w:id="314"/>
      <w:bookmarkEnd w:id="315"/>
    </w:p>
    <w:p>
      <w:pPr>
        <w:numPr>
          <w:ilvl w:val="0"/>
          <w:numId w:val="48"/>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8"/>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8"/>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239"/>
    <w:bookmarkEnd w:id="240"/>
    <w:p>
      <w:pPr>
        <w:keepNext/>
        <w:keepLines/>
        <w:spacing w:before="340" w:after="330" w:line="400" w:lineRule="exact"/>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316" w:name="_Toc74752351"/>
    </w:p>
    <w:p>
      <w:pPr>
        <w:keepNext/>
        <w:keepLines/>
        <w:numPr>
          <w:ilvl w:val="0"/>
          <w:numId w:val="5"/>
        </w:numPr>
        <w:spacing w:before="340" w:after="330" w:line="400" w:lineRule="exact"/>
        <w:jc w:val="center"/>
        <w:outlineLvl w:val="0"/>
        <w:rPr>
          <w:rFonts w:ascii="宋体" w:hAnsi="宋体"/>
          <w:b/>
          <w:bCs/>
          <w:spacing w:val="-20"/>
          <w:kern w:val="44"/>
          <w:szCs w:val="32"/>
        </w:rPr>
      </w:pPr>
      <w:bookmarkStart w:id="317" w:name="_Toc10313_WPSOffice_Level1"/>
      <w:bookmarkStart w:id="318" w:name="_Toc3564_WPSOffice_Level1"/>
      <w:bookmarkStart w:id="319" w:name="_Toc10023_WPSOffice_Level1"/>
      <w:r>
        <w:rPr>
          <w:rFonts w:hint="eastAsia" w:ascii="宋体" w:hAnsi="宋体"/>
          <w:b/>
          <w:bCs/>
          <w:spacing w:val="-20"/>
          <w:kern w:val="44"/>
          <w:sz w:val="32"/>
          <w:szCs w:val="32"/>
        </w:rPr>
        <w:t>拟签订合同</w:t>
      </w:r>
      <w:bookmarkStart w:id="320" w:name="_Toc277152520"/>
      <w:bookmarkEnd w:id="320"/>
      <w:bookmarkStart w:id="321" w:name="_Toc277152522"/>
      <w:bookmarkEnd w:id="321"/>
      <w:bookmarkStart w:id="322" w:name="_Toc316475675"/>
      <w:bookmarkEnd w:id="322"/>
      <w:bookmarkStart w:id="323" w:name="_Toc316475673"/>
      <w:bookmarkEnd w:id="323"/>
      <w:bookmarkStart w:id="324" w:name="_Toc316475751"/>
      <w:bookmarkEnd w:id="324"/>
      <w:bookmarkStart w:id="325" w:name="_Toc316475759"/>
      <w:bookmarkEnd w:id="325"/>
      <w:bookmarkStart w:id="326" w:name="_Toc316475764"/>
      <w:bookmarkEnd w:id="326"/>
      <w:bookmarkStart w:id="327" w:name="_Toc316475670"/>
      <w:bookmarkEnd w:id="327"/>
      <w:bookmarkStart w:id="328" w:name="_Toc316475664"/>
      <w:bookmarkEnd w:id="328"/>
      <w:bookmarkStart w:id="329" w:name="_Toc277152523"/>
      <w:bookmarkEnd w:id="329"/>
      <w:bookmarkStart w:id="330" w:name="_Toc316475758"/>
      <w:bookmarkEnd w:id="330"/>
      <w:bookmarkStart w:id="331" w:name="_Toc316475763"/>
      <w:bookmarkEnd w:id="331"/>
      <w:bookmarkStart w:id="332" w:name="_Toc316475760"/>
      <w:bookmarkEnd w:id="332"/>
      <w:bookmarkStart w:id="333" w:name="_Toc316475669"/>
      <w:bookmarkEnd w:id="333"/>
      <w:bookmarkStart w:id="334" w:name="_Toc316475668"/>
      <w:bookmarkEnd w:id="334"/>
      <w:bookmarkStart w:id="335" w:name="_Toc316475754"/>
      <w:bookmarkEnd w:id="335"/>
      <w:bookmarkStart w:id="336" w:name="_Toc316475665"/>
      <w:bookmarkEnd w:id="336"/>
      <w:bookmarkStart w:id="337" w:name="_Toc316475676"/>
      <w:bookmarkEnd w:id="337"/>
      <w:bookmarkStart w:id="338" w:name="_Toc316475677"/>
      <w:bookmarkEnd w:id="338"/>
      <w:bookmarkStart w:id="339" w:name="_Toc316475666"/>
      <w:bookmarkEnd w:id="339"/>
      <w:bookmarkStart w:id="340" w:name="_Toc316475672"/>
      <w:bookmarkEnd w:id="340"/>
      <w:bookmarkStart w:id="341" w:name="_Toc316475674"/>
      <w:bookmarkEnd w:id="341"/>
      <w:bookmarkStart w:id="342" w:name="_Toc316475671"/>
      <w:bookmarkEnd w:id="342"/>
      <w:bookmarkStart w:id="343" w:name="_Toc316475762"/>
      <w:bookmarkEnd w:id="343"/>
      <w:bookmarkStart w:id="344" w:name="_Toc277152521"/>
      <w:bookmarkEnd w:id="344"/>
      <w:bookmarkStart w:id="345" w:name="_Toc316475753"/>
      <w:bookmarkEnd w:id="345"/>
      <w:bookmarkStart w:id="346" w:name="_Toc316475757"/>
      <w:bookmarkEnd w:id="346"/>
      <w:bookmarkStart w:id="347" w:name="_Toc316475755"/>
      <w:bookmarkEnd w:id="347"/>
      <w:bookmarkStart w:id="348" w:name="_Toc299975364"/>
      <w:bookmarkEnd w:id="348"/>
      <w:bookmarkStart w:id="349" w:name="_Toc316475667"/>
      <w:bookmarkEnd w:id="349"/>
      <w:bookmarkStart w:id="350" w:name="_Toc316475761"/>
      <w:bookmarkEnd w:id="350"/>
      <w:bookmarkStart w:id="351" w:name="_Toc299975392"/>
      <w:bookmarkEnd w:id="351"/>
      <w:bookmarkStart w:id="352" w:name="_Toc214858832"/>
      <w:bookmarkEnd w:id="352"/>
      <w:bookmarkStart w:id="353" w:name="_Toc316475756"/>
      <w:bookmarkEnd w:id="353"/>
      <w:bookmarkStart w:id="354" w:name="_Toc316475752"/>
      <w:bookmarkEnd w:id="354"/>
      <w:bookmarkStart w:id="355" w:name="_Toc8573798"/>
      <w:bookmarkStart w:id="356" w:name="_Toc217446108"/>
      <w:bookmarkStart w:id="357" w:name="_Toc34729074"/>
      <w:r>
        <w:rPr>
          <w:rFonts w:hint="eastAsia" w:ascii="宋体" w:hAnsi="宋体"/>
          <w:b/>
          <w:bCs/>
          <w:spacing w:val="-20"/>
          <w:kern w:val="44"/>
          <w:sz w:val="32"/>
          <w:szCs w:val="32"/>
        </w:rPr>
        <w:t>文本</w:t>
      </w:r>
      <w:bookmarkEnd w:id="316"/>
      <w:bookmarkEnd w:id="317"/>
      <w:bookmarkEnd w:id="318"/>
      <w:bookmarkEnd w:id="319"/>
      <w:bookmarkEnd w:id="355"/>
      <w:bookmarkEnd w:id="356"/>
      <w:bookmarkEnd w:id="357"/>
    </w:p>
    <w:p>
      <w:pPr>
        <w:spacing w:line="360" w:lineRule="auto"/>
        <w:jc w:val="center"/>
        <w:rPr>
          <w:rFonts w:ascii="宋体" w:hAnsi="宋体"/>
          <w:sz w:val="24"/>
          <w:szCs w:val="24"/>
        </w:rPr>
      </w:pPr>
      <w:bookmarkStart w:id="358" w:name="_Toc211911354"/>
      <w:bookmarkEnd w:id="358"/>
      <w:bookmarkStart w:id="359" w:name="_Toc211854455"/>
      <w:bookmarkEnd w:id="359"/>
      <w:bookmarkStart w:id="360" w:name="_Toc225244858"/>
      <w:bookmarkEnd w:id="360"/>
      <w:bookmarkStart w:id="361" w:name="_Toc212019600"/>
      <w:bookmarkEnd w:id="361"/>
      <w:bookmarkStart w:id="362" w:name="_Toc283019219"/>
      <w:bookmarkEnd w:id="362"/>
      <w:bookmarkStart w:id="363" w:name="_Toc225654650"/>
      <w:bookmarkEnd w:id="363"/>
      <w:bookmarkStart w:id="364" w:name="_Toc247334847"/>
      <w:bookmarkEnd w:id="364"/>
      <w:bookmarkStart w:id="365" w:name="_Toc282696231"/>
      <w:bookmarkEnd w:id="365"/>
      <w:bookmarkStart w:id="366" w:name="_Toc232492934"/>
      <w:bookmarkEnd w:id="366"/>
      <w:bookmarkStart w:id="367" w:name="_Toc225670757"/>
      <w:bookmarkEnd w:id="367"/>
      <w:bookmarkStart w:id="368" w:name="_Toc239568424"/>
      <w:bookmarkEnd w:id="368"/>
      <w:bookmarkStart w:id="369" w:name="_Toc286993793"/>
      <w:bookmarkEnd w:id="369"/>
      <w:bookmarkStart w:id="370" w:name="_Toc185395255"/>
      <w:bookmarkEnd w:id="370"/>
      <w:bookmarkStart w:id="371" w:name="_Toc237145412"/>
      <w:bookmarkEnd w:id="371"/>
      <w:bookmarkStart w:id="372" w:name="_Toc239233920"/>
      <w:bookmarkEnd w:id="372"/>
      <w:bookmarkStart w:id="373" w:name="_Toc238984981"/>
      <w:bookmarkEnd w:id="373"/>
      <w:bookmarkStart w:id="374" w:name="_Toc251768868"/>
      <w:bookmarkEnd w:id="374"/>
      <w:r>
        <w:rPr>
          <w:rFonts w:hint="eastAsia" w:ascii="宋体" w:hAnsi="宋体"/>
          <w:sz w:val="24"/>
          <w:szCs w:val="24"/>
        </w:rPr>
        <w:t>（本部分内容仅供投标人参考，具体条款以双方签订合同为准）</w:t>
      </w:r>
    </w:p>
    <w:p>
      <w:pPr>
        <w:spacing w:line="360" w:lineRule="auto"/>
        <w:ind w:firstLine="600"/>
        <w:jc w:val="center"/>
        <w:rPr>
          <w:rFonts w:ascii="宋体" w:hAnsi="宋体"/>
          <w:sz w:val="24"/>
          <w:szCs w:val="24"/>
        </w:rPr>
      </w:pPr>
      <w:r>
        <w:rPr>
          <w:rFonts w:hint="eastAsia" w:ascii="宋体" w:hAnsi="宋体" w:cs="仿宋_GB2312"/>
          <w:sz w:val="24"/>
          <w:szCs w:val="24"/>
        </w:rPr>
        <w:t xml:space="preserve">                                 合同编号：</w:t>
      </w:r>
    </w:p>
    <w:p>
      <w:pPr>
        <w:spacing w:line="360" w:lineRule="auto"/>
        <w:ind w:firstLine="480" w:firstLineChars="200"/>
        <w:rPr>
          <w:rFonts w:ascii="宋体" w:hAnsi="宋体"/>
          <w:sz w:val="24"/>
          <w:szCs w:val="24"/>
        </w:rPr>
      </w:pPr>
      <w:r>
        <w:rPr>
          <w:rFonts w:ascii="宋体" w:hAnsi="宋体"/>
          <w:sz w:val="24"/>
          <w:szCs w:val="24"/>
        </w:rPr>
        <w:t>合同编号：</w:t>
      </w:r>
      <w:r>
        <w:rPr>
          <w:rFonts w:hint="eastAsia"/>
          <w:sz w:val="24"/>
          <w:szCs w:val="24"/>
        </w:rPr>
        <w:t>XXXX。</w:t>
      </w:r>
    </w:p>
    <w:p>
      <w:pPr>
        <w:spacing w:line="360" w:lineRule="auto"/>
        <w:ind w:firstLine="480" w:firstLineChars="200"/>
        <w:rPr>
          <w:rFonts w:ascii="宋体" w:hAnsi="宋体"/>
          <w:sz w:val="24"/>
          <w:szCs w:val="24"/>
        </w:rPr>
      </w:pPr>
      <w:r>
        <w:rPr>
          <w:rFonts w:ascii="宋体" w:hAnsi="宋体"/>
          <w:sz w:val="24"/>
          <w:szCs w:val="24"/>
        </w:rPr>
        <w:t>签订地点：</w:t>
      </w:r>
      <w:r>
        <w:rPr>
          <w:rFonts w:hint="eastAsia"/>
          <w:sz w:val="24"/>
          <w:szCs w:val="24"/>
        </w:rPr>
        <w:t>XXXX。</w:t>
      </w:r>
    </w:p>
    <w:p>
      <w:pPr>
        <w:spacing w:line="360" w:lineRule="auto"/>
        <w:ind w:firstLine="480" w:firstLineChars="200"/>
        <w:rPr>
          <w:rFonts w:ascii="宋体" w:hAnsi="宋体"/>
          <w:sz w:val="24"/>
          <w:szCs w:val="24"/>
        </w:rPr>
      </w:pPr>
      <w:r>
        <w:rPr>
          <w:rFonts w:ascii="宋体" w:hAnsi="宋体"/>
          <w:sz w:val="24"/>
          <w:szCs w:val="24"/>
        </w:rPr>
        <w:t>签订时间：</w:t>
      </w:r>
      <w:r>
        <w:rPr>
          <w:rFonts w:hint="eastAsia"/>
          <w:sz w:val="24"/>
          <w:szCs w:val="24"/>
        </w:rPr>
        <w:t>XXXX</w:t>
      </w:r>
      <w:r>
        <w:rPr>
          <w:rFonts w:ascii="宋体" w:hAnsi="宋体"/>
          <w:sz w:val="24"/>
          <w:szCs w:val="24"/>
        </w:rPr>
        <w:t>年</w:t>
      </w:r>
      <w:r>
        <w:rPr>
          <w:rFonts w:hint="eastAsia"/>
          <w:sz w:val="24"/>
          <w:szCs w:val="24"/>
        </w:rPr>
        <w:t>XX</w:t>
      </w:r>
      <w:r>
        <w:rPr>
          <w:rFonts w:ascii="宋体" w:hAnsi="宋体"/>
          <w:sz w:val="24"/>
          <w:szCs w:val="24"/>
        </w:rPr>
        <w:t>月</w:t>
      </w:r>
      <w:r>
        <w:rPr>
          <w:rFonts w:hint="eastAsia"/>
          <w:sz w:val="24"/>
          <w:szCs w:val="24"/>
        </w:rPr>
        <w:t>XX</w:t>
      </w:r>
      <w:r>
        <w:rPr>
          <w:rFonts w:ascii="宋体" w:hAnsi="宋体"/>
          <w:sz w:val="24"/>
          <w:szCs w:val="24"/>
        </w:rPr>
        <w:t>日</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采购人（</w:t>
      </w:r>
      <w:r>
        <w:rPr>
          <w:rFonts w:ascii="宋体" w:hAnsi="宋体"/>
          <w:sz w:val="24"/>
          <w:szCs w:val="24"/>
        </w:rPr>
        <w:t>甲方</w:t>
      </w:r>
      <w:r>
        <w:rPr>
          <w:rFonts w:hint="eastAsia" w:ascii="宋体" w:hAnsi="宋体"/>
          <w:sz w:val="24"/>
          <w:szCs w:val="24"/>
        </w:rPr>
        <w:t>）</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供应商（乙</w:t>
      </w:r>
      <w:r>
        <w:rPr>
          <w:rFonts w:ascii="宋体" w:hAnsi="宋体"/>
          <w:sz w:val="24"/>
          <w:szCs w:val="24"/>
        </w:rPr>
        <w:t>方</w:t>
      </w:r>
      <w:r>
        <w:rPr>
          <w:rFonts w:hint="eastAsia" w:ascii="宋体" w:hAnsi="宋体"/>
          <w:sz w:val="24"/>
          <w:szCs w:val="24"/>
        </w:rPr>
        <w:t>）</w:t>
      </w:r>
      <w:r>
        <w:rPr>
          <w:rFonts w:ascii="宋体" w:hAnsi="宋体"/>
          <w:sz w:val="24"/>
          <w:szCs w:val="24"/>
        </w:rPr>
        <w:t>：</w:t>
      </w:r>
    </w:p>
    <w:p>
      <w:pPr>
        <w:spacing w:line="360" w:lineRule="auto"/>
        <w:ind w:firstLine="480" w:firstLineChars="200"/>
        <w:rPr>
          <w:rFonts w:ascii="宋体" w:hAnsi="宋体"/>
          <w:sz w:val="24"/>
          <w:szCs w:val="24"/>
        </w:rPr>
      </w:pPr>
    </w:p>
    <w:p>
      <w:pPr>
        <w:pStyle w:val="2"/>
      </w:pP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32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480"/>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64514241"/>
                </w:sdtPr>
                <w:sdtContent>
                  <w:p>
                    <w:pPr>
                      <w:pStyle w:val="29"/>
                      <w:ind w:firstLine="480"/>
                      <w:jc w:val="center"/>
                    </w:pPr>
                    <w:r>
                      <w:fldChar w:fldCharType="begin"/>
                    </w:r>
                    <w:r>
                      <w:instrText xml:space="preserve">PAGE   \* MERGEFORMAT</w:instrText>
                    </w:r>
                    <w:r>
                      <w:fldChar w:fldCharType="separate"/>
                    </w:r>
                    <w:r>
                      <w:rPr>
                        <w:lang w:val="zh-CN"/>
                      </w:rPr>
                      <w:t>63</w:t>
                    </w:r>
                    <w:r>
                      <w:rPr>
                        <w:lang w:val="zh-CN"/>
                      </w:rPr>
                      <w:fldChar w:fldCharType="end"/>
                    </w:r>
                  </w:p>
                </w:sdtContent>
              </w:sdt>
            </w:txbxContent>
          </v:textbox>
        </v:shape>
      </w:pict>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7">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9">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8">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69D041AC"/>
    <w:multiLevelType w:val="singleLevel"/>
    <w:tmpl w:val="69D041AC"/>
    <w:lvl w:ilvl="0" w:tentative="0">
      <w:start w:val="1"/>
      <w:numFmt w:val="decimal"/>
      <w:lvlText w:val="(%1)"/>
      <w:lvlJc w:val="left"/>
      <w:pPr>
        <w:ind w:left="425" w:hanging="425"/>
      </w:pPr>
      <w:rPr>
        <w:rFonts w:hint="default"/>
      </w:rPr>
    </w:lvl>
  </w:abstractNum>
  <w:abstractNum w:abstractNumId="41">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2">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4">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6">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16D4"/>
    <w:rsid w:val="00001186"/>
    <w:rsid w:val="000014AD"/>
    <w:rsid w:val="00001B71"/>
    <w:rsid w:val="00005F22"/>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1F54"/>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593"/>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D791A"/>
    <w:rsid w:val="001E2114"/>
    <w:rsid w:val="001E369C"/>
    <w:rsid w:val="001E3E2B"/>
    <w:rsid w:val="001F412D"/>
    <w:rsid w:val="001F5DE0"/>
    <w:rsid w:val="00200370"/>
    <w:rsid w:val="00201F03"/>
    <w:rsid w:val="002023C7"/>
    <w:rsid w:val="0020244C"/>
    <w:rsid w:val="00211279"/>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397A"/>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89E"/>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9B"/>
    <w:rsid w:val="004030C8"/>
    <w:rsid w:val="004044F7"/>
    <w:rsid w:val="0040550B"/>
    <w:rsid w:val="00406F30"/>
    <w:rsid w:val="004110CF"/>
    <w:rsid w:val="0041137C"/>
    <w:rsid w:val="004132E6"/>
    <w:rsid w:val="00413FE1"/>
    <w:rsid w:val="00414D00"/>
    <w:rsid w:val="00415846"/>
    <w:rsid w:val="0041672F"/>
    <w:rsid w:val="00421A24"/>
    <w:rsid w:val="004364BF"/>
    <w:rsid w:val="00437153"/>
    <w:rsid w:val="004417D5"/>
    <w:rsid w:val="00444A4E"/>
    <w:rsid w:val="00450758"/>
    <w:rsid w:val="00451D9F"/>
    <w:rsid w:val="00452F16"/>
    <w:rsid w:val="004539B0"/>
    <w:rsid w:val="00453E3D"/>
    <w:rsid w:val="00454540"/>
    <w:rsid w:val="00454B38"/>
    <w:rsid w:val="00455E6A"/>
    <w:rsid w:val="00455ED6"/>
    <w:rsid w:val="00461D47"/>
    <w:rsid w:val="004642AB"/>
    <w:rsid w:val="00473B52"/>
    <w:rsid w:val="00480E1E"/>
    <w:rsid w:val="00481271"/>
    <w:rsid w:val="00482461"/>
    <w:rsid w:val="00485D6A"/>
    <w:rsid w:val="00486C7F"/>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3EB"/>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46AB"/>
    <w:rsid w:val="00A1574E"/>
    <w:rsid w:val="00A16AA7"/>
    <w:rsid w:val="00A17799"/>
    <w:rsid w:val="00A2013E"/>
    <w:rsid w:val="00A21399"/>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24"/>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4F14"/>
    <w:rsid w:val="00D65C74"/>
    <w:rsid w:val="00D66060"/>
    <w:rsid w:val="00D67E2D"/>
    <w:rsid w:val="00D73F77"/>
    <w:rsid w:val="00D75236"/>
    <w:rsid w:val="00D7670A"/>
    <w:rsid w:val="00D82056"/>
    <w:rsid w:val="00D8576D"/>
    <w:rsid w:val="00D90651"/>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5873"/>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18CE"/>
    <w:rsid w:val="00E659CF"/>
    <w:rsid w:val="00E70AEA"/>
    <w:rsid w:val="00E731B9"/>
    <w:rsid w:val="00E77CEA"/>
    <w:rsid w:val="00E803F1"/>
    <w:rsid w:val="00E80555"/>
    <w:rsid w:val="00E83A59"/>
    <w:rsid w:val="00E879F0"/>
    <w:rsid w:val="00E9016E"/>
    <w:rsid w:val="00E91619"/>
    <w:rsid w:val="00E942EE"/>
    <w:rsid w:val="00E95DED"/>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49D8"/>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0E08"/>
    <w:rsid w:val="00FC27FC"/>
    <w:rsid w:val="00FC3E65"/>
    <w:rsid w:val="00FC554B"/>
    <w:rsid w:val="00FC6936"/>
    <w:rsid w:val="00FC6C3D"/>
    <w:rsid w:val="00FD3A4B"/>
    <w:rsid w:val="00FD4714"/>
    <w:rsid w:val="00FD5FB7"/>
    <w:rsid w:val="00FD6888"/>
    <w:rsid w:val="00FD74A2"/>
    <w:rsid w:val="00FE02F4"/>
    <w:rsid w:val="00FE47B2"/>
    <w:rsid w:val="00FF72E9"/>
    <w:rsid w:val="00FF75D6"/>
    <w:rsid w:val="012974F9"/>
    <w:rsid w:val="01510107"/>
    <w:rsid w:val="01A3462D"/>
    <w:rsid w:val="021E5FD7"/>
    <w:rsid w:val="025A1558"/>
    <w:rsid w:val="02EF5314"/>
    <w:rsid w:val="0307764D"/>
    <w:rsid w:val="032618EE"/>
    <w:rsid w:val="03A3137C"/>
    <w:rsid w:val="04782EAE"/>
    <w:rsid w:val="04EC5C80"/>
    <w:rsid w:val="05AF2ACA"/>
    <w:rsid w:val="05DE044A"/>
    <w:rsid w:val="06185A63"/>
    <w:rsid w:val="07790C43"/>
    <w:rsid w:val="07807AE4"/>
    <w:rsid w:val="085C47AA"/>
    <w:rsid w:val="090617CA"/>
    <w:rsid w:val="0942071D"/>
    <w:rsid w:val="095B6B36"/>
    <w:rsid w:val="09BB458B"/>
    <w:rsid w:val="09CC0F92"/>
    <w:rsid w:val="0A3D6332"/>
    <w:rsid w:val="0A861419"/>
    <w:rsid w:val="0A925A6B"/>
    <w:rsid w:val="0AB028A8"/>
    <w:rsid w:val="0B517666"/>
    <w:rsid w:val="0B7C6A78"/>
    <w:rsid w:val="0B812686"/>
    <w:rsid w:val="0BAE4A03"/>
    <w:rsid w:val="0C4C4EF5"/>
    <w:rsid w:val="0C4D08FA"/>
    <w:rsid w:val="0CC3219B"/>
    <w:rsid w:val="0D551279"/>
    <w:rsid w:val="0D571992"/>
    <w:rsid w:val="0D790042"/>
    <w:rsid w:val="0E4372B7"/>
    <w:rsid w:val="0E524049"/>
    <w:rsid w:val="0F052A46"/>
    <w:rsid w:val="0F372316"/>
    <w:rsid w:val="0F4D7585"/>
    <w:rsid w:val="0F61448E"/>
    <w:rsid w:val="0F7056E0"/>
    <w:rsid w:val="0F725B2A"/>
    <w:rsid w:val="0F7830B4"/>
    <w:rsid w:val="0F8138FE"/>
    <w:rsid w:val="0FB55B87"/>
    <w:rsid w:val="10524F13"/>
    <w:rsid w:val="112C2BC4"/>
    <w:rsid w:val="1161618E"/>
    <w:rsid w:val="11CB744A"/>
    <w:rsid w:val="11D43417"/>
    <w:rsid w:val="11E3661B"/>
    <w:rsid w:val="12B847A2"/>
    <w:rsid w:val="12DD05E9"/>
    <w:rsid w:val="13171902"/>
    <w:rsid w:val="13D5775E"/>
    <w:rsid w:val="141A18C2"/>
    <w:rsid w:val="14595F09"/>
    <w:rsid w:val="148804D9"/>
    <w:rsid w:val="14C71D9E"/>
    <w:rsid w:val="1557579A"/>
    <w:rsid w:val="15DF7533"/>
    <w:rsid w:val="160D6230"/>
    <w:rsid w:val="1629786C"/>
    <w:rsid w:val="16EB2051"/>
    <w:rsid w:val="181350C9"/>
    <w:rsid w:val="185F4DA3"/>
    <w:rsid w:val="1890497B"/>
    <w:rsid w:val="18CF4609"/>
    <w:rsid w:val="19CA1312"/>
    <w:rsid w:val="1A534CB8"/>
    <w:rsid w:val="1AEB715C"/>
    <w:rsid w:val="1AFA6234"/>
    <w:rsid w:val="1B9A6507"/>
    <w:rsid w:val="1BE1677A"/>
    <w:rsid w:val="1C2D664A"/>
    <w:rsid w:val="1C7E22CE"/>
    <w:rsid w:val="1CC4607E"/>
    <w:rsid w:val="1D257E50"/>
    <w:rsid w:val="1D3800E5"/>
    <w:rsid w:val="1D403C48"/>
    <w:rsid w:val="1D452F25"/>
    <w:rsid w:val="1D7A6A81"/>
    <w:rsid w:val="1DAA6120"/>
    <w:rsid w:val="1DE77D21"/>
    <w:rsid w:val="1DEF4C56"/>
    <w:rsid w:val="1E387C25"/>
    <w:rsid w:val="1EF6435A"/>
    <w:rsid w:val="1F1E5F5E"/>
    <w:rsid w:val="1F9832F2"/>
    <w:rsid w:val="1FE01983"/>
    <w:rsid w:val="1FFA4FC1"/>
    <w:rsid w:val="20044367"/>
    <w:rsid w:val="200E353D"/>
    <w:rsid w:val="20364BEF"/>
    <w:rsid w:val="20541AA4"/>
    <w:rsid w:val="20582906"/>
    <w:rsid w:val="2088035E"/>
    <w:rsid w:val="20E30BCC"/>
    <w:rsid w:val="20E64162"/>
    <w:rsid w:val="20F9719D"/>
    <w:rsid w:val="21351420"/>
    <w:rsid w:val="229437B8"/>
    <w:rsid w:val="22B80418"/>
    <w:rsid w:val="22F16E7B"/>
    <w:rsid w:val="23423E47"/>
    <w:rsid w:val="2354174D"/>
    <w:rsid w:val="23543BEC"/>
    <w:rsid w:val="237117AF"/>
    <w:rsid w:val="238B421A"/>
    <w:rsid w:val="23B919F7"/>
    <w:rsid w:val="23C41C9D"/>
    <w:rsid w:val="24145213"/>
    <w:rsid w:val="24960018"/>
    <w:rsid w:val="25091FB5"/>
    <w:rsid w:val="256A42FE"/>
    <w:rsid w:val="256C7E2D"/>
    <w:rsid w:val="25F56B3E"/>
    <w:rsid w:val="262527C8"/>
    <w:rsid w:val="263B28AE"/>
    <w:rsid w:val="26474E7D"/>
    <w:rsid w:val="264E6A0B"/>
    <w:rsid w:val="268D7491"/>
    <w:rsid w:val="26B87B7F"/>
    <w:rsid w:val="27857335"/>
    <w:rsid w:val="27F43620"/>
    <w:rsid w:val="28181BD6"/>
    <w:rsid w:val="28193344"/>
    <w:rsid w:val="28E5009D"/>
    <w:rsid w:val="290736F4"/>
    <w:rsid w:val="29136292"/>
    <w:rsid w:val="29721EDE"/>
    <w:rsid w:val="298D3E05"/>
    <w:rsid w:val="299670EE"/>
    <w:rsid w:val="29BE2903"/>
    <w:rsid w:val="2A473FA1"/>
    <w:rsid w:val="2AF214A7"/>
    <w:rsid w:val="2AF44AF1"/>
    <w:rsid w:val="2C030E2E"/>
    <w:rsid w:val="2C4A65D1"/>
    <w:rsid w:val="2C5059A1"/>
    <w:rsid w:val="2D453A5B"/>
    <w:rsid w:val="2FA62539"/>
    <w:rsid w:val="2FEA7D72"/>
    <w:rsid w:val="313E24FD"/>
    <w:rsid w:val="31D91630"/>
    <w:rsid w:val="32B24E34"/>
    <w:rsid w:val="32D8461F"/>
    <w:rsid w:val="33807EA0"/>
    <w:rsid w:val="33A55E69"/>
    <w:rsid w:val="33ED2441"/>
    <w:rsid w:val="34E748CA"/>
    <w:rsid w:val="34F142DD"/>
    <w:rsid w:val="35CA7E96"/>
    <w:rsid w:val="361E5607"/>
    <w:rsid w:val="37937A8E"/>
    <w:rsid w:val="385746C0"/>
    <w:rsid w:val="38601536"/>
    <w:rsid w:val="38B74DEF"/>
    <w:rsid w:val="38C639A9"/>
    <w:rsid w:val="397A571B"/>
    <w:rsid w:val="398770D7"/>
    <w:rsid w:val="39AF0741"/>
    <w:rsid w:val="39BD4814"/>
    <w:rsid w:val="39D62B89"/>
    <w:rsid w:val="3A1A462C"/>
    <w:rsid w:val="3A9577F1"/>
    <w:rsid w:val="3AD16112"/>
    <w:rsid w:val="3AE141CF"/>
    <w:rsid w:val="3B024314"/>
    <w:rsid w:val="3B61768E"/>
    <w:rsid w:val="3B841EAA"/>
    <w:rsid w:val="3B84694D"/>
    <w:rsid w:val="3BBE7DF3"/>
    <w:rsid w:val="3C2D538F"/>
    <w:rsid w:val="3C6F585C"/>
    <w:rsid w:val="3D014545"/>
    <w:rsid w:val="3E0969FA"/>
    <w:rsid w:val="3E6D7E3C"/>
    <w:rsid w:val="3EB437F3"/>
    <w:rsid w:val="3EDD2583"/>
    <w:rsid w:val="3F3604AB"/>
    <w:rsid w:val="3FBF4D0A"/>
    <w:rsid w:val="40650CB2"/>
    <w:rsid w:val="40995E46"/>
    <w:rsid w:val="40C36DE4"/>
    <w:rsid w:val="412E6881"/>
    <w:rsid w:val="41370AAF"/>
    <w:rsid w:val="41476E3A"/>
    <w:rsid w:val="415F6CF4"/>
    <w:rsid w:val="41681CE3"/>
    <w:rsid w:val="416F2D5F"/>
    <w:rsid w:val="419F5106"/>
    <w:rsid w:val="42D01E9C"/>
    <w:rsid w:val="433F12C9"/>
    <w:rsid w:val="43DC28F2"/>
    <w:rsid w:val="44A5589C"/>
    <w:rsid w:val="44C74FA1"/>
    <w:rsid w:val="451D09E8"/>
    <w:rsid w:val="455334A0"/>
    <w:rsid w:val="455C6475"/>
    <w:rsid w:val="45B923A0"/>
    <w:rsid w:val="46611308"/>
    <w:rsid w:val="46637C48"/>
    <w:rsid w:val="46887868"/>
    <w:rsid w:val="46A96339"/>
    <w:rsid w:val="478D5C50"/>
    <w:rsid w:val="479A31A6"/>
    <w:rsid w:val="481562C8"/>
    <w:rsid w:val="48507C6E"/>
    <w:rsid w:val="485634D6"/>
    <w:rsid w:val="489B3180"/>
    <w:rsid w:val="48DB09F6"/>
    <w:rsid w:val="48F21E0C"/>
    <w:rsid w:val="48F346C7"/>
    <w:rsid w:val="495F0769"/>
    <w:rsid w:val="49DC4C89"/>
    <w:rsid w:val="49E80465"/>
    <w:rsid w:val="4B1F4488"/>
    <w:rsid w:val="4B374269"/>
    <w:rsid w:val="4B5E0A53"/>
    <w:rsid w:val="4B6742DE"/>
    <w:rsid w:val="4C0869CB"/>
    <w:rsid w:val="4C0D6DFC"/>
    <w:rsid w:val="4C2B7B24"/>
    <w:rsid w:val="4C651462"/>
    <w:rsid w:val="4CC60AEB"/>
    <w:rsid w:val="4D0200A8"/>
    <w:rsid w:val="4D9017E4"/>
    <w:rsid w:val="4EA220B0"/>
    <w:rsid w:val="4EEA6B79"/>
    <w:rsid w:val="4F271BB1"/>
    <w:rsid w:val="4F451C3A"/>
    <w:rsid w:val="4FA32719"/>
    <w:rsid w:val="50606021"/>
    <w:rsid w:val="506F7F50"/>
    <w:rsid w:val="50783714"/>
    <w:rsid w:val="5087461C"/>
    <w:rsid w:val="50EB2E00"/>
    <w:rsid w:val="51165660"/>
    <w:rsid w:val="5136200B"/>
    <w:rsid w:val="518A1511"/>
    <w:rsid w:val="51FF4425"/>
    <w:rsid w:val="52AA1031"/>
    <w:rsid w:val="52BB60C7"/>
    <w:rsid w:val="52E53D7A"/>
    <w:rsid w:val="53454D4A"/>
    <w:rsid w:val="53537EE4"/>
    <w:rsid w:val="53CE4DBB"/>
    <w:rsid w:val="53F531C3"/>
    <w:rsid w:val="54E657EC"/>
    <w:rsid w:val="56016EB2"/>
    <w:rsid w:val="563D2270"/>
    <w:rsid w:val="56757E07"/>
    <w:rsid w:val="56F54B17"/>
    <w:rsid w:val="570334F0"/>
    <w:rsid w:val="577065DF"/>
    <w:rsid w:val="5817319D"/>
    <w:rsid w:val="582C6F70"/>
    <w:rsid w:val="5859401C"/>
    <w:rsid w:val="587D57C7"/>
    <w:rsid w:val="58CB49AF"/>
    <w:rsid w:val="58DA0675"/>
    <w:rsid w:val="594F5FD9"/>
    <w:rsid w:val="595766ED"/>
    <w:rsid w:val="596D433A"/>
    <w:rsid w:val="59BC01DD"/>
    <w:rsid w:val="59DD3FE8"/>
    <w:rsid w:val="59FC594A"/>
    <w:rsid w:val="5A1422A6"/>
    <w:rsid w:val="5A2315F0"/>
    <w:rsid w:val="5A25397F"/>
    <w:rsid w:val="5A29118E"/>
    <w:rsid w:val="5A4C6707"/>
    <w:rsid w:val="5A5A542E"/>
    <w:rsid w:val="5A5B1B5E"/>
    <w:rsid w:val="5AA9382E"/>
    <w:rsid w:val="5B704328"/>
    <w:rsid w:val="5C036DA3"/>
    <w:rsid w:val="5C0E61F3"/>
    <w:rsid w:val="5C0F04BC"/>
    <w:rsid w:val="5C674C73"/>
    <w:rsid w:val="5D4B04E4"/>
    <w:rsid w:val="5DB60503"/>
    <w:rsid w:val="5DDE4CE1"/>
    <w:rsid w:val="5E3120FD"/>
    <w:rsid w:val="5E8B734D"/>
    <w:rsid w:val="5EDD30EB"/>
    <w:rsid w:val="60726849"/>
    <w:rsid w:val="60A97F3C"/>
    <w:rsid w:val="60FD699C"/>
    <w:rsid w:val="613028BB"/>
    <w:rsid w:val="616921F2"/>
    <w:rsid w:val="618364BD"/>
    <w:rsid w:val="61AA6B36"/>
    <w:rsid w:val="61F96DBA"/>
    <w:rsid w:val="624B2F87"/>
    <w:rsid w:val="62CB43DD"/>
    <w:rsid w:val="6349433D"/>
    <w:rsid w:val="63EB49E5"/>
    <w:rsid w:val="643C0FC3"/>
    <w:rsid w:val="649C5D28"/>
    <w:rsid w:val="64A81520"/>
    <w:rsid w:val="64AA7D25"/>
    <w:rsid w:val="64E64341"/>
    <w:rsid w:val="65410A0F"/>
    <w:rsid w:val="658B23DA"/>
    <w:rsid w:val="65BA491F"/>
    <w:rsid w:val="66065731"/>
    <w:rsid w:val="66242A78"/>
    <w:rsid w:val="66336BDA"/>
    <w:rsid w:val="664064B9"/>
    <w:rsid w:val="66563C11"/>
    <w:rsid w:val="670951B1"/>
    <w:rsid w:val="670B0E1A"/>
    <w:rsid w:val="67512AAD"/>
    <w:rsid w:val="68393EA4"/>
    <w:rsid w:val="68526254"/>
    <w:rsid w:val="689E697E"/>
    <w:rsid w:val="689F2E7D"/>
    <w:rsid w:val="68A467E8"/>
    <w:rsid w:val="68E7191E"/>
    <w:rsid w:val="68EC3A77"/>
    <w:rsid w:val="69242D7E"/>
    <w:rsid w:val="69396744"/>
    <w:rsid w:val="6A020857"/>
    <w:rsid w:val="6A6013FF"/>
    <w:rsid w:val="6A68112B"/>
    <w:rsid w:val="6A9F77E2"/>
    <w:rsid w:val="6B4C6789"/>
    <w:rsid w:val="6C284192"/>
    <w:rsid w:val="6C990335"/>
    <w:rsid w:val="6CFD501E"/>
    <w:rsid w:val="6DF539D5"/>
    <w:rsid w:val="6E3C5104"/>
    <w:rsid w:val="6ED230D4"/>
    <w:rsid w:val="6EE0393E"/>
    <w:rsid w:val="6EF53FB2"/>
    <w:rsid w:val="6F00019E"/>
    <w:rsid w:val="6FDC05B0"/>
    <w:rsid w:val="6FFB1566"/>
    <w:rsid w:val="70476740"/>
    <w:rsid w:val="704C2F1E"/>
    <w:rsid w:val="704D0DB7"/>
    <w:rsid w:val="706A6661"/>
    <w:rsid w:val="70CA4467"/>
    <w:rsid w:val="70E42EA3"/>
    <w:rsid w:val="71D71B60"/>
    <w:rsid w:val="72315C78"/>
    <w:rsid w:val="72A10BD3"/>
    <w:rsid w:val="7308273E"/>
    <w:rsid w:val="73E12A16"/>
    <w:rsid w:val="73F45C6A"/>
    <w:rsid w:val="7476222D"/>
    <w:rsid w:val="74917FF7"/>
    <w:rsid w:val="74A53587"/>
    <w:rsid w:val="751D2C06"/>
    <w:rsid w:val="757760A3"/>
    <w:rsid w:val="75D8645F"/>
    <w:rsid w:val="761C33A6"/>
    <w:rsid w:val="76806FCD"/>
    <w:rsid w:val="77220B84"/>
    <w:rsid w:val="77487872"/>
    <w:rsid w:val="77553DC6"/>
    <w:rsid w:val="77BB7E1A"/>
    <w:rsid w:val="77F61571"/>
    <w:rsid w:val="788571CB"/>
    <w:rsid w:val="78903436"/>
    <w:rsid w:val="79D15ABE"/>
    <w:rsid w:val="79DC6D34"/>
    <w:rsid w:val="7AA2309E"/>
    <w:rsid w:val="7ACD7A80"/>
    <w:rsid w:val="7ADA548E"/>
    <w:rsid w:val="7B195A4B"/>
    <w:rsid w:val="7B5320F0"/>
    <w:rsid w:val="7B7215C3"/>
    <w:rsid w:val="7B925FB1"/>
    <w:rsid w:val="7BB607CA"/>
    <w:rsid w:val="7C1612EB"/>
    <w:rsid w:val="7C1A3B9D"/>
    <w:rsid w:val="7C8E6531"/>
    <w:rsid w:val="7CD8506B"/>
    <w:rsid w:val="7CE73923"/>
    <w:rsid w:val="7D184D00"/>
    <w:rsid w:val="7D5116F8"/>
    <w:rsid w:val="7D7E17DC"/>
    <w:rsid w:val="7DED3A95"/>
    <w:rsid w:val="7E1B22B1"/>
    <w:rsid w:val="7E646E8E"/>
    <w:rsid w:val="7EE01986"/>
    <w:rsid w:val="7F4D4519"/>
    <w:rsid w:val="7F95698A"/>
    <w:rsid w:val="7FBB6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
    <w:basedOn w:val="41"/>
    <w:link w:val="3"/>
    <w:qFormat/>
    <w:uiPriority w:val="9"/>
    <w:rPr>
      <w:rFonts w:ascii="宋体" w:hAnsi="宋体" w:eastAsia="宋体" w:cs="宋体"/>
      <w:b/>
      <w:bCs/>
      <w:spacing w:val="-20"/>
      <w:kern w:val="44"/>
      <w:sz w:val="32"/>
      <w:szCs w:val="32"/>
    </w:rPr>
  </w:style>
  <w:style w:type="character" w:customStyle="1" w:styleId="49">
    <w:name w:val="标题 2 Char"/>
    <w:basedOn w:val="41"/>
    <w:link w:val="4"/>
    <w:qFormat/>
    <w:uiPriority w:val="0"/>
    <w:rPr>
      <w:rFonts w:ascii="宋体" w:hAnsi="宋体" w:eastAsia="宋体" w:cs="宋体"/>
      <w:b/>
      <w:bCs/>
      <w:sz w:val="28"/>
      <w:szCs w:val="28"/>
    </w:rPr>
  </w:style>
  <w:style w:type="character" w:customStyle="1" w:styleId="50">
    <w:name w:val="标题 3 Char"/>
    <w:basedOn w:val="41"/>
    <w:link w:val="5"/>
    <w:qFormat/>
    <w:uiPriority w:val="0"/>
    <w:rPr>
      <w:rFonts w:ascii="宋体" w:hAnsi="宋体" w:eastAsia="宋体" w:cs="宋体"/>
      <w:b/>
      <w:bCs/>
      <w:color w:val="000000"/>
      <w:kern w:val="0"/>
      <w:sz w:val="28"/>
      <w:szCs w:val="28"/>
    </w:rPr>
  </w:style>
  <w:style w:type="character" w:customStyle="1" w:styleId="51">
    <w:name w:val="标题 4 Char"/>
    <w:basedOn w:val="41"/>
    <w:link w:val="6"/>
    <w:qFormat/>
    <w:uiPriority w:val="0"/>
    <w:rPr>
      <w:rFonts w:ascii="Arial" w:hAnsi="Arial" w:eastAsia="宋体" w:cs="Times New Roman"/>
      <w:b/>
      <w:bCs/>
      <w:kern w:val="0"/>
      <w:sz w:val="28"/>
      <w:szCs w:val="28"/>
    </w:rPr>
  </w:style>
  <w:style w:type="character" w:customStyle="1" w:styleId="52">
    <w:name w:val="标题 5 Char"/>
    <w:basedOn w:val="41"/>
    <w:link w:val="7"/>
    <w:qFormat/>
    <w:uiPriority w:val="0"/>
    <w:rPr>
      <w:rFonts w:ascii="Calibri" w:hAnsi="Calibri" w:eastAsia="宋体" w:cs="宋体"/>
      <w:b/>
      <w:bCs/>
      <w:kern w:val="0"/>
      <w:sz w:val="28"/>
      <w:szCs w:val="28"/>
    </w:rPr>
  </w:style>
  <w:style w:type="character" w:customStyle="1" w:styleId="53">
    <w:name w:val="标题 6 Char"/>
    <w:basedOn w:val="41"/>
    <w:link w:val="8"/>
    <w:qFormat/>
    <w:uiPriority w:val="0"/>
    <w:rPr>
      <w:rFonts w:ascii="Arial" w:hAnsi="Arial" w:eastAsia="宋体" w:cs="Times New Roman"/>
      <w:b/>
      <w:bCs/>
      <w:kern w:val="0"/>
      <w:sz w:val="28"/>
      <w:szCs w:val="18"/>
    </w:rPr>
  </w:style>
  <w:style w:type="character" w:customStyle="1" w:styleId="54">
    <w:name w:val="标题 7 Char"/>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1"/>
    <w:link w:val="10"/>
    <w:semiHidden/>
    <w:qFormat/>
    <w:uiPriority w:val="0"/>
    <w:rPr>
      <w:rFonts w:ascii="Arial" w:hAnsi="Arial" w:eastAsia="黑体" w:cs="Times New Roman"/>
      <w:kern w:val="0"/>
      <w:sz w:val="24"/>
      <w:szCs w:val="24"/>
    </w:rPr>
  </w:style>
  <w:style w:type="character" w:customStyle="1" w:styleId="56">
    <w:name w:val="标题 9 Char"/>
    <w:basedOn w:val="41"/>
    <w:link w:val="11"/>
    <w:semiHidden/>
    <w:qFormat/>
    <w:uiPriority w:val="0"/>
    <w:rPr>
      <w:rFonts w:ascii="Arial" w:hAnsi="Arial" w:eastAsia="黑体" w:cs="Times New Roman"/>
      <w:kern w:val="0"/>
      <w:sz w:val="20"/>
      <w:szCs w:val="21"/>
    </w:rPr>
  </w:style>
  <w:style w:type="character" w:customStyle="1" w:styleId="57">
    <w:name w:val="正文缩进 Char1"/>
    <w:link w:val="16"/>
    <w:qFormat/>
    <w:locked/>
    <w:uiPriority w:val="0"/>
  </w:style>
  <w:style w:type="character" w:customStyle="1" w:styleId="58">
    <w:name w:val="脚注文本 Char"/>
    <w:basedOn w:val="41"/>
    <w:link w:val="34"/>
    <w:qFormat/>
    <w:uiPriority w:val="0"/>
    <w:rPr>
      <w:rFonts w:ascii="Calibri" w:hAnsi="Calibri" w:eastAsia="宋体" w:cs="Times New Roman"/>
      <w:sz w:val="18"/>
      <w:szCs w:val="18"/>
    </w:rPr>
  </w:style>
  <w:style w:type="character" w:customStyle="1" w:styleId="59">
    <w:name w:val="批注文字 Char"/>
    <w:basedOn w:val="41"/>
    <w:link w:val="13"/>
    <w:qFormat/>
    <w:uiPriority w:val="99"/>
    <w:rPr>
      <w:rFonts w:ascii="Times New Roman" w:hAnsi="Times New Roman" w:eastAsia="宋体" w:cs="Times New Roman"/>
      <w:kern w:val="0"/>
      <w:sz w:val="18"/>
      <w:szCs w:val="18"/>
    </w:rPr>
  </w:style>
  <w:style w:type="character" w:customStyle="1" w:styleId="60">
    <w:name w:val="页眉 Char"/>
    <w:basedOn w:val="41"/>
    <w:link w:val="30"/>
    <w:qFormat/>
    <w:uiPriority w:val="99"/>
    <w:rPr>
      <w:rFonts w:ascii="Calibri" w:hAnsi="Calibri" w:eastAsia="宋体" w:cs="Times New Roman"/>
      <w:kern w:val="0"/>
      <w:sz w:val="18"/>
      <w:szCs w:val="18"/>
    </w:rPr>
  </w:style>
  <w:style w:type="character" w:customStyle="1" w:styleId="61">
    <w:name w:val="页脚 Char"/>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Char"/>
    <w:basedOn w:val="41"/>
    <w:link w:val="20"/>
    <w:qFormat/>
    <w:uiPriority w:val="0"/>
    <w:rPr>
      <w:rFonts w:ascii="Times New Roman" w:hAnsi="Times New Roman" w:eastAsia="宋体" w:cs="Times New Roman"/>
      <w:kern w:val="0"/>
      <w:sz w:val="20"/>
      <w:szCs w:val="24"/>
    </w:rPr>
  </w:style>
  <w:style w:type="character" w:customStyle="1" w:styleId="64">
    <w:name w:val="副标题 Char"/>
    <w:basedOn w:val="41"/>
    <w:link w:val="33"/>
    <w:qFormat/>
    <w:uiPriority w:val="0"/>
    <w:rPr>
      <w:rFonts w:ascii="Cambria" w:hAnsi="Cambria" w:eastAsia="宋体" w:cs="Times New Roman"/>
      <w:b/>
      <w:bCs/>
      <w:kern w:val="28"/>
      <w:sz w:val="32"/>
      <w:szCs w:val="32"/>
    </w:rPr>
  </w:style>
  <w:style w:type="character" w:customStyle="1" w:styleId="65">
    <w:name w:val="日期 Char"/>
    <w:basedOn w:val="41"/>
    <w:link w:val="26"/>
    <w:qFormat/>
    <w:uiPriority w:val="0"/>
    <w:rPr>
      <w:rFonts w:ascii="Times New Roman" w:hAnsi="Times New Roman" w:eastAsia="宋体" w:cs="Times New Roman"/>
      <w:kern w:val="0"/>
      <w:sz w:val="24"/>
      <w:szCs w:val="24"/>
    </w:rPr>
  </w:style>
  <w:style w:type="character" w:customStyle="1" w:styleId="66">
    <w:name w:val="正文首行缩进 Char"/>
    <w:basedOn w:val="62"/>
    <w:link w:val="15"/>
    <w:qFormat/>
    <w:uiPriority w:val="0"/>
    <w:rPr>
      <w:rFonts w:ascii="Times New Roman" w:hAnsi="Times New Roman" w:eastAsia="宋体" w:cs="Times New Roman"/>
      <w:kern w:val="0"/>
      <w:sz w:val="18"/>
      <w:szCs w:val="18"/>
    </w:rPr>
  </w:style>
  <w:style w:type="character" w:customStyle="1" w:styleId="67">
    <w:name w:val="正文文本 2 Char"/>
    <w:basedOn w:val="41"/>
    <w:link w:val="39"/>
    <w:qFormat/>
    <w:uiPriority w:val="0"/>
    <w:rPr>
      <w:rFonts w:ascii="Times New Roman" w:hAnsi="Times New Roman" w:eastAsia="宋体" w:cs="Times New Roman"/>
      <w:kern w:val="0"/>
      <w:sz w:val="18"/>
      <w:szCs w:val="18"/>
    </w:rPr>
  </w:style>
  <w:style w:type="character" w:customStyle="1" w:styleId="68">
    <w:name w:val="正文文本 3 Char"/>
    <w:basedOn w:val="41"/>
    <w:link w:val="19"/>
    <w:qFormat/>
    <w:uiPriority w:val="0"/>
    <w:rPr>
      <w:rFonts w:ascii="Times New Roman" w:hAnsi="Times New Roman" w:eastAsia="黑体" w:cs="Times New Roman"/>
      <w:sz w:val="44"/>
      <w:szCs w:val="24"/>
    </w:rPr>
  </w:style>
  <w:style w:type="character" w:customStyle="1" w:styleId="69">
    <w:name w:val="正文文本缩进 2 Char"/>
    <w:basedOn w:val="41"/>
    <w:link w:val="27"/>
    <w:qFormat/>
    <w:uiPriority w:val="0"/>
    <w:rPr>
      <w:rFonts w:ascii="Calibri" w:hAnsi="Calibri" w:eastAsia="宋体" w:cs="Times New Roman"/>
    </w:rPr>
  </w:style>
  <w:style w:type="character" w:customStyle="1" w:styleId="70">
    <w:name w:val="正文文本缩进 3 Char"/>
    <w:basedOn w:val="41"/>
    <w:link w:val="36"/>
    <w:qFormat/>
    <w:uiPriority w:val="0"/>
    <w:rPr>
      <w:rFonts w:ascii="宋体" w:hAnsi="宋体" w:eastAsia="宋体" w:cs="Times New Roman"/>
      <w:kern w:val="0"/>
      <w:sz w:val="28"/>
      <w:szCs w:val="28"/>
    </w:rPr>
  </w:style>
  <w:style w:type="character" w:customStyle="1" w:styleId="71">
    <w:name w:val="文档结构图 Char"/>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Char"/>
    <w:basedOn w:val="59"/>
    <w:link w:val="12"/>
    <w:qFormat/>
    <w:uiPriority w:val="99"/>
    <w:rPr>
      <w:rFonts w:ascii="Calibri" w:hAnsi="Calibri" w:eastAsia="宋体" w:cs="Times New Roman"/>
      <w:b/>
      <w:bCs/>
      <w:kern w:val="0"/>
      <w:sz w:val="18"/>
      <w:szCs w:val="18"/>
    </w:rPr>
  </w:style>
  <w:style w:type="character" w:customStyle="1" w:styleId="74">
    <w:name w:val="批注框文本 Char"/>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Char"/>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b w:val="0"/>
      <w:bCs w:val="0"/>
      <w:kern w:val="0"/>
      <w:lang w:bidi="zh-CN"/>
    </w:rPr>
  </w:style>
  <w:style w:type="paragraph" w:customStyle="1" w:styleId="225">
    <w:name w:val="WPSOffice手动目录 1"/>
    <w:qFormat/>
    <w:uiPriority w:val="0"/>
    <w:rPr>
      <w:rFonts w:ascii="Times New Roman" w:hAnsi="Times New Roman" w:eastAsia="宋体" w:cs="Times New Roman"/>
      <w:lang w:val="en-US" w:eastAsia="zh-CN" w:bidi="ar-SA"/>
    </w:rPr>
  </w:style>
  <w:style w:type="paragraph" w:customStyle="1" w:styleId="2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7">
    <w:name w:val="标题 5（有编号）（绿盟科技）"/>
    <w:basedOn w:val="1"/>
    <w:next w:val="1"/>
    <w:qFormat/>
    <w:uiPriority w:val="0"/>
    <w:pPr>
      <w:keepNext/>
      <w:keepLines/>
      <w:spacing w:before="280" w:after="156" w:line="376"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CCE8C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68595-0795-4AF8-81F4-9178A1547B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31743</Words>
  <Characters>32751</Characters>
  <Lines>257</Lines>
  <Paragraphs>72</Paragraphs>
  <TotalTime>38</TotalTime>
  <ScaleCrop>false</ScaleCrop>
  <LinksUpToDate>false</LinksUpToDate>
  <CharactersWithSpaces>33108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黄志平</cp:lastModifiedBy>
  <cp:lastPrinted>2021-06-16T08:13:00Z</cp:lastPrinted>
  <dcterms:modified xsi:type="dcterms:W3CDTF">2021-11-10T05:46:27Z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