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color w:val="auto"/>
          <w:spacing w:val="20"/>
          <w:sz w:val="28"/>
          <w:szCs w:val="28"/>
        </w:rPr>
      </w:pPr>
    </w:p>
    <w:p>
      <w:pPr>
        <w:pStyle w:val="16"/>
        <w:rPr>
          <w:rFonts w:ascii="华文中宋" w:hAnsi="华文中宋" w:eastAsia="华文中宋"/>
          <w:color w:val="auto"/>
        </w:rPr>
      </w:pPr>
    </w:p>
    <w:p>
      <w:pPr>
        <w:spacing w:line="360" w:lineRule="auto"/>
        <w:jc w:val="center"/>
        <w:rPr>
          <w:rFonts w:ascii="华文中宋" w:hAnsi="华文中宋" w:eastAsia="华文中宋"/>
          <w:color w:val="auto"/>
          <w:spacing w:val="-20"/>
          <w:sz w:val="96"/>
          <w:szCs w:val="96"/>
        </w:rPr>
      </w:pPr>
      <w:r>
        <w:rPr>
          <w:rFonts w:hint="eastAsia" w:ascii="华文中宋" w:hAnsi="华文中宋" w:eastAsia="华文中宋"/>
          <w:color w:val="auto"/>
          <w:spacing w:val="-20"/>
          <w:sz w:val="96"/>
          <w:szCs w:val="96"/>
        </w:rPr>
        <w:t>竞争性磋商文件</w:t>
      </w:r>
    </w:p>
    <w:p>
      <w:pPr>
        <w:spacing w:line="360" w:lineRule="auto"/>
        <w:ind w:left="2235" w:leftChars="223" w:hanging="1700" w:hangingChars="500"/>
        <w:rPr>
          <w:rFonts w:ascii="华文中宋" w:hAnsi="华文中宋" w:eastAsia="华文中宋"/>
          <w:color w:val="auto"/>
          <w:spacing w:val="20"/>
          <w:sz w:val="30"/>
          <w:szCs w:val="30"/>
        </w:rPr>
      </w:pPr>
    </w:p>
    <w:p>
      <w:pPr>
        <w:spacing w:line="360" w:lineRule="auto"/>
        <w:ind w:left="2223" w:leftChars="336" w:hanging="1417" w:hangingChars="443"/>
        <w:rPr>
          <w:rFonts w:hint="eastAsia" w:ascii="华文中宋" w:hAnsi="华文中宋" w:eastAsia="华文中宋"/>
          <w:color w:val="auto"/>
          <w:sz w:val="32"/>
          <w:szCs w:val="32"/>
          <w:lang w:eastAsia="zh-CN"/>
        </w:rPr>
      </w:pPr>
      <w:r>
        <w:rPr>
          <w:rFonts w:hint="eastAsia" w:ascii="华文中宋" w:hAnsi="华文中宋" w:eastAsia="华文中宋"/>
          <w:color w:val="auto"/>
          <w:sz w:val="32"/>
          <w:szCs w:val="32"/>
        </w:rPr>
        <w:t>项目名称：</w:t>
      </w:r>
      <w:r>
        <w:rPr>
          <w:rFonts w:hint="eastAsia" w:ascii="华文中宋" w:hAnsi="华文中宋" w:eastAsia="华文中宋"/>
          <w:color w:val="auto"/>
          <w:sz w:val="32"/>
          <w:szCs w:val="32"/>
          <w:lang w:eastAsia="zh-CN"/>
        </w:rPr>
        <w:t>成都市龙泉驿区市政设施管理服务中心2021年城市人行道维修提升整治采购项目</w:t>
      </w:r>
    </w:p>
    <w:p>
      <w:pPr>
        <w:spacing w:line="360" w:lineRule="auto"/>
        <w:ind w:left="2223" w:leftChars="336" w:hanging="1417" w:hangingChars="443"/>
        <w:rPr>
          <w:rFonts w:hint="eastAsia" w:ascii="华文中宋" w:hAnsi="华文中宋" w:eastAsia="华文中宋"/>
          <w:color w:val="auto"/>
          <w:sz w:val="32"/>
          <w:szCs w:val="32"/>
          <w:lang w:eastAsia="zh-CN"/>
        </w:rPr>
      </w:pPr>
      <w:r>
        <w:rPr>
          <w:rFonts w:hint="eastAsia" w:ascii="华文中宋" w:hAnsi="华文中宋" w:eastAsia="华文中宋"/>
          <w:color w:val="auto"/>
          <w:sz w:val="32"/>
          <w:szCs w:val="32"/>
        </w:rPr>
        <w:t xml:space="preserve">项目编号: </w:t>
      </w:r>
      <w:r>
        <w:rPr>
          <w:rFonts w:hint="eastAsia" w:ascii="华文中宋" w:hAnsi="华文中宋" w:eastAsia="华文中宋"/>
          <w:kern w:val="0"/>
          <w:sz w:val="32"/>
          <w:szCs w:val="32"/>
          <w:lang w:eastAsia="zh-CN"/>
        </w:rPr>
        <w:t>龙泉驿政采（2021）A0061号</w:t>
      </w:r>
    </w:p>
    <w:p>
      <w:pPr>
        <w:tabs>
          <w:tab w:val="left" w:pos="2552"/>
        </w:tabs>
        <w:spacing w:line="360" w:lineRule="auto"/>
        <w:ind w:firstLine="2392" w:firstLineChars="443"/>
        <w:rPr>
          <w:rFonts w:ascii="华文中宋" w:hAnsi="华文中宋" w:eastAsia="华文中宋"/>
          <w:color w:val="auto"/>
          <w:spacing w:val="110"/>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kern w:val="24"/>
          <w:sz w:val="32"/>
          <w:szCs w:val="32"/>
        </w:rPr>
      </w:pPr>
    </w:p>
    <w:p>
      <w:pPr>
        <w:spacing w:line="360" w:lineRule="auto"/>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lang w:eastAsia="zh-CN"/>
        </w:rPr>
        <w:t>成都市龙泉驿区市政设施管理服务中心</w:t>
      </w:r>
      <w:r>
        <w:rPr>
          <w:rFonts w:hint="eastAsia" w:ascii="华文中宋" w:hAnsi="华文中宋" w:eastAsia="华文中宋"/>
          <w:color w:val="auto"/>
          <w:sz w:val="32"/>
          <w:szCs w:val="32"/>
        </w:rPr>
        <w:t>、</w:t>
      </w: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rPr>
        <w:t>成都市</w:t>
      </w:r>
      <w:r>
        <w:rPr>
          <w:rFonts w:hint="eastAsia" w:ascii="华文中宋" w:hAnsi="华文中宋" w:eastAsia="华文中宋"/>
          <w:color w:val="auto"/>
          <w:sz w:val="32"/>
          <w:szCs w:val="32"/>
          <w:lang w:eastAsia="zh-CN"/>
        </w:rPr>
        <w:t>龙泉驿区</w:t>
      </w:r>
      <w:r>
        <w:rPr>
          <w:rFonts w:hint="eastAsia" w:ascii="华文中宋" w:hAnsi="华文中宋" w:eastAsia="华文中宋"/>
          <w:color w:val="auto"/>
          <w:sz w:val="32"/>
          <w:szCs w:val="32"/>
        </w:rPr>
        <w:t>公共资源交易服务中心</w:t>
      </w: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rPr>
        <w:t>共同编制</w:t>
      </w:r>
    </w:p>
    <w:p>
      <w:pPr>
        <w:tabs>
          <w:tab w:val="center" w:pos="4153"/>
          <w:tab w:val="right" w:pos="8306"/>
        </w:tabs>
        <w:spacing w:line="360" w:lineRule="auto"/>
        <w:jc w:val="center"/>
        <w:rPr>
          <w:rFonts w:ascii="宋体" w:hAnsi="宋体"/>
          <w:b/>
          <w:bCs/>
          <w:color w:val="auto"/>
          <w:sz w:val="36"/>
          <w:szCs w:val="36"/>
        </w:rPr>
      </w:pPr>
      <w:r>
        <w:rPr>
          <w:rFonts w:hint="eastAsia" w:ascii="华文中宋" w:hAnsi="华文中宋" w:eastAsia="华文中宋"/>
          <w:color w:val="auto"/>
          <w:sz w:val="32"/>
          <w:szCs w:val="32"/>
        </w:rPr>
        <w:t>二○二一年</w:t>
      </w:r>
      <w:r>
        <w:rPr>
          <w:rFonts w:hint="eastAsia" w:ascii="华文中宋" w:hAnsi="华文中宋" w:eastAsia="华文中宋"/>
          <w:color w:val="auto"/>
          <w:sz w:val="32"/>
          <w:szCs w:val="32"/>
          <w:lang w:eastAsia="zh-CN"/>
        </w:rPr>
        <w:t>十</w:t>
      </w:r>
      <w:r>
        <w:rPr>
          <w:rFonts w:hint="eastAsia" w:ascii="华文中宋" w:hAnsi="华文中宋" w:eastAsia="华文中宋"/>
          <w:color w:val="auto"/>
          <w:sz w:val="32"/>
          <w:szCs w:val="32"/>
        </w:rPr>
        <w:t>月</w:t>
      </w:r>
      <w:r>
        <w:rPr>
          <w:rFonts w:ascii="华文中宋" w:hAnsi="华文中宋" w:eastAsia="华文中宋"/>
          <w:bCs/>
          <w:color w:val="auto"/>
          <w:sz w:val="36"/>
          <w:szCs w:val="36"/>
        </w:rPr>
        <w:br w:type="page"/>
      </w:r>
      <w:r>
        <w:rPr>
          <w:rFonts w:hint="eastAsia" w:ascii="宋体" w:hAnsi="宋体"/>
          <w:b/>
          <w:bCs/>
          <w:color w:val="auto"/>
          <w:sz w:val="36"/>
          <w:szCs w:val="36"/>
        </w:rPr>
        <w:t>目 录</w:t>
      </w:r>
    </w:p>
    <w:p>
      <w:pPr>
        <w:pStyle w:val="34"/>
        <w:tabs>
          <w:tab w:val="right" w:leader="dot" w:pos="9214"/>
          <w:tab w:val="clear" w:pos="840"/>
          <w:tab w:val="clear" w:pos="9204"/>
        </w:tabs>
      </w:pPr>
      <w:r>
        <w:rPr>
          <w:rFonts w:ascii="宋体" w:hAnsi="宋体"/>
          <w:b w:val="0"/>
          <w:color w:val="auto"/>
          <w:sz w:val="36"/>
          <w:szCs w:val="36"/>
        </w:rPr>
        <w:fldChar w:fldCharType="begin"/>
      </w:r>
      <w:r>
        <w:rPr>
          <w:rFonts w:hint="eastAsia" w:ascii="宋体" w:hAnsi="宋体"/>
          <w:color w:val="auto"/>
          <w:sz w:val="36"/>
          <w:szCs w:val="36"/>
        </w:rPr>
        <w:instrText xml:space="preserve">TOC \o "1-2" \h \z \u</w:instrText>
      </w:r>
      <w:r>
        <w:rPr>
          <w:rFonts w:ascii="宋体" w:hAnsi="宋体"/>
          <w:b w:val="0"/>
          <w:color w:val="auto"/>
          <w:sz w:val="36"/>
          <w:szCs w:val="36"/>
        </w:rPr>
        <w:fldChar w:fldCharType="separate"/>
      </w:r>
      <w:r>
        <w:rPr>
          <w:rFonts w:ascii="宋体" w:hAnsi="宋体"/>
          <w:color w:val="auto"/>
          <w:szCs w:val="36"/>
        </w:rPr>
        <w:fldChar w:fldCharType="begin"/>
      </w:r>
      <w:r>
        <w:rPr>
          <w:rFonts w:ascii="宋体" w:hAnsi="宋体"/>
          <w:szCs w:val="36"/>
        </w:rPr>
        <w:instrText xml:space="preserve"> HYPERLINK \l _Toc13698 </w:instrText>
      </w:r>
      <w:r>
        <w:rPr>
          <w:rFonts w:ascii="宋体" w:hAnsi="宋体"/>
          <w:szCs w:val="36"/>
        </w:rPr>
        <w:fldChar w:fldCharType="separate"/>
      </w:r>
      <w:r>
        <w:rPr>
          <w:rFonts w:hint="default" w:ascii="Times New Roman" w:hAnsi="Times New Roman" w:eastAsia="宋体"/>
          <w:i w:val="0"/>
          <w:szCs w:val="32"/>
        </w:rPr>
        <w:t xml:space="preserve">第1章 </w:t>
      </w:r>
      <w:r>
        <w:rPr>
          <w:rFonts w:hint="eastAsia"/>
        </w:rPr>
        <w:t>竞争性磋商邀请</w:t>
      </w:r>
      <w:r>
        <w:tab/>
      </w:r>
      <w:r>
        <w:fldChar w:fldCharType="begin"/>
      </w:r>
      <w:r>
        <w:instrText xml:space="preserve"> PAGEREF _Toc13698 </w:instrText>
      </w:r>
      <w:r>
        <w:fldChar w:fldCharType="separate"/>
      </w:r>
      <w:r>
        <w:t>4</w:t>
      </w:r>
      <w:r>
        <w:fldChar w:fldCharType="end"/>
      </w:r>
      <w:r>
        <w:rPr>
          <w:rFonts w:ascii="宋体" w:hAnsi="宋体"/>
          <w:color w:val="auto"/>
          <w:szCs w:val="36"/>
        </w:rPr>
        <w:fldChar w:fldCharType="end"/>
      </w:r>
    </w:p>
    <w:p>
      <w:pPr>
        <w:pStyle w:val="34"/>
        <w:tabs>
          <w:tab w:val="right" w:leader="dot" w:pos="9214"/>
          <w:tab w:val="clear" w:pos="840"/>
          <w:tab w:val="clear" w:pos="9204"/>
        </w:tabs>
      </w:pPr>
      <w:r>
        <w:rPr>
          <w:rFonts w:ascii="宋体" w:hAnsi="宋体"/>
          <w:bCs w:val="0"/>
          <w:color w:val="auto"/>
          <w:szCs w:val="36"/>
        </w:rPr>
        <w:fldChar w:fldCharType="begin"/>
      </w:r>
      <w:r>
        <w:rPr>
          <w:rFonts w:ascii="宋体" w:hAnsi="宋体"/>
          <w:bCs w:val="0"/>
          <w:szCs w:val="36"/>
        </w:rPr>
        <w:instrText xml:space="preserve"> HYPERLINK \l _Toc15863 </w:instrText>
      </w:r>
      <w:r>
        <w:rPr>
          <w:rFonts w:ascii="宋体" w:hAnsi="宋体"/>
          <w:bCs w:val="0"/>
          <w:szCs w:val="36"/>
        </w:rPr>
        <w:fldChar w:fldCharType="separate"/>
      </w:r>
      <w:r>
        <w:rPr>
          <w:rFonts w:hint="default" w:ascii="Times New Roman" w:hAnsi="Times New Roman" w:eastAsia="宋体"/>
          <w:i w:val="0"/>
          <w:szCs w:val="32"/>
        </w:rPr>
        <w:t xml:space="preserve">第2章 </w:t>
      </w:r>
      <w:r>
        <w:rPr>
          <w:rFonts w:hint="eastAsia"/>
        </w:rPr>
        <w:t>供应商须知</w:t>
      </w:r>
      <w:r>
        <w:tab/>
      </w:r>
      <w:r>
        <w:fldChar w:fldCharType="begin"/>
      </w:r>
      <w:r>
        <w:instrText xml:space="preserve"> PAGEREF _Toc15863 </w:instrText>
      </w:r>
      <w:r>
        <w:fldChar w:fldCharType="separate"/>
      </w:r>
      <w:r>
        <w:t>9</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_Toc16711 </w:instrText>
      </w:r>
      <w:r>
        <w:rPr>
          <w:rFonts w:ascii="宋体" w:hAnsi="宋体"/>
          <w:bCs w:val="0"/>
          <w:szCs w:val="36"/>
        </w:rPr>
        <w:fldChar w:fldCharType="separate"/>
      </w:r>
      <w:r>
        <w:rPr>
          <w:rFonts w:hint="default" w:ascii="Times New Roman" w:hAnsi="Times New Roman" w:eastAsia="宋体" w:cs="Times New Roman"/>
          <w:i w:val="0"/>
          <w:szCs w:val="28"/>
        </w:rPr>
        <w:t xml:space="preserve">2.1 </w:t>
      </w:r>
      <w:r>
        <w:rPr>
          <w:rFonts w:hint="eastAsia"/>
        </w:rPr>
        <w:t>供应商须知前附表</w:t>
      </w:r>
      <w:r>
        <w:tab/>
      </w:r>
      <w:r>
        <w:fldChar w:fldCharType="begin"/>
      </w:r>
      <w:r>
        <w:instrText xml:space="preserve"> PAGEREF _Toc16711 </w:instrText>
      </w:r>
      <w:r>
        <w:fldChar w:fldCharType="separate"/>
      </w:r>
      <w:r>
        <w:t>9</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_Toc27899 </w:instrText>
      </w:r>
      <w:r>
        <w:rPr>
          <w:rFonts w:ascii="宋体" w:hAnsi="宋体"/>
          <w:bCs w:val="0"/>
          <w:szCs w:val="36"/>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_Toc27899 </w:instrText>
      </w:r>
      <w:r>
        <w:fldChar w:fldCharType="separate"/>
      </w:r>
      <w:r>
        <w:t>12</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_Toc26089 </w:instrText>
      </w:r>
      <w:r>
        <w:rPr>
          <w:rFonts w:ascii="宋体" w:hAnsi="宋体"/>
          <w:bCs w:val="0"/>
          <w:szCs w:val="36"/>
        </w:rPr>
        <w:fldChar w:fldCharType="separate"/>
      </w:r>
      <w:r>
        <w:rPr>
          <w:rFonts w:hint="default" w:ascii="Times New Roman" w:hAnsi="Times New Roman" w:eastAsia="宋体" w:cs="Times New Roman"/>
          <w:i w:val="0"/>
          <w:szCs w:val="28"/>
        </w:rPr>
        <w:t xml:space="preserve">2.3 </w:t>
      </w:r>
      <w:r>
        <w:rPr>
          <w:rFonts w:hint="eastAsia"/>
        </w:rPr>
        <w:t>磋商</w:t>
      </w:r>
      <w:r>
        <w:t>文件</w:t>
      </w:r>
      <w:r>
        <w:tab/>
      </w:r>
      <w:r>
        <w:fldChar w:fldCharType="begin"/>
      </w:r>
      <w:r>
        <w:instrText xml:space="preserve"> PAGEREF _Toc26089 </w:instrText>
      </w:r>
      <w:r>
        <w:fldChar w:fldCharType="separate"/>
      </w:r>
      <w:r>
        <w:t>14</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_Toc28724 </w:instrText>
      </w:r>
      <w:r>
        <w:rPr>
          <w:rFonts w:ascii="宋体" w:hAnsi="宋体"/>
          <w:bCs w:val="0"/>
          <w:szCs w:val="36"/>
        </w:rPr>
        <w:fldChar w:fldCharType="separate"/>
      </w:r>
      <w:r>
        <w:rPr>
          <w:rFonts w:hint="default" w:ascii="Times New Roman" w:hAnsi="Times New Roman" w:eastAsia="宋体" w:cs="Times New Roman"/>
          <w:i w:val="0"/>
          <w:szCs w:val="28"/>
        </w:rPr>
        <w:t xml:space="preserve">2.4 </w:t>
      </w:r>
      <w:r>
        <w:rPr>
          <w:rFonts w:hint="eastAsia"/>
        </w:rPr>
        <w:t>施工响应文件</w:t>
      </w:r>
      <w:r>
        <w:tab/>
      </w:r>
      <w:r>
        <w:fldChar w:fldCharType="begin"/>
      </w:r>
      <w:r>
        <w:instrText xml:space="preserve"> PAGEREF _Toc28724 </w:instrText>
      </w:r>
      <w:r>
        <w:fldChar w:fldCharType="separate"/>
      </w:r>
      <w:r>
        <w:t>15</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_Toc30334 </w:instrText>
      </w:r>
      <w:r>
        <w:rPr>
          <w:rFonts w:ascii="宋体" w:hAnsi="宋体"/>
          <w:bCs w:val="0"/>
          <w:szCs w:val="36"/>
        </w:rPr>
        <w:fldChar w:fldCharType="separate"/>
      </w:r>
      <w:r>
        <w:rPr>
          <w:rFonts w:hint="default" w:ascii="Times New Roman" w:hAnsi="Times New Roman" w:eastAsia="宋体" w:cs="Times New Roman"/>
          <w:i w:val="0"/>
          <w:szCs w:val="28"/>
        </w:rPr>
        <w:t xml:space="preserve">2.5 </w:t>
      </w:r>
      <w:r>
        <w:rPr>
          <w:rFonts w:hint="eastAsia"/>
        </w:rPr>
        <w:t>开标及开标程序</w:t>
      </w:r>
      <w:r>
        <w:tab/>
      </w:r>
      <w:r>
        <w:fldChar w:fldCharType="begin"/>
      </w:r>
      <w:r>
        <w:instrText xml:space="preserve"> PAGEREF _Toc30334 </w:instrText>
      </w:r>
      <w:r>
        <w:fldChar w:fldCharType="separate"/>
      </w:r>
      <w:r>
        <w:t>23</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_Toc9930 </w:instrText>
      </w:r>
      <w:r>
        <w:rPr>
          <w:rFonts w:ascii="宋体" w:hAnsi="宋体"/>
          <w:bCs w:val="0"/>
          <w:szCs w:val="36"/>
        </w:rPr>
        <w:fldChar w:fldCharType="separate"/>
      </w:r>
      <w:r>
        <w:rPr>
          <w:rFonts w:hint="default" w:ascii="Times New Roman" w:hAnsi="Times New Roman" w:eastAsia="宋体" w:cs="Times New Roman"/>
          <w:i w:val="0"/>
          <w:szCs w:val="28"/>
        </w:rPr>
        <w:t xml:space="preserve">2.6 </w:t>
      </w:r>
      <w:r>
        <w:rPr>
          <w:rFonts w:hint="eastAsia"/>
        </w:rPr>
        <w:t>资格</w:t>
      </w:r>
      <w:r>
        <w:t>预审和评审</w:t>
      </w:r>
      <w:r>
        <w:tab/>
      </w:r>
      <w:r>
        <w:fldChar w:fldCharType="begin"/>
      </w:r>
      <w:r>
        <w:instrText xml:space="preserve"> PAGEREF _Toc9930 </w:instrText>
      </w:r>
      <w:r>
        <w:fldChar w:fldCharType="separate"/>
      </w:r>
      <w:r>
        <w:t>24</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_Toc29787 </w:instrText>
      </w:r>
      <w:r>
        <w:rPr>
          <w:rFonts w:ascii="宋体" w:hAnsi="宋体"/>
          <w:bCs w:val="0"/>
          <w:szCs w:val="36"/>
        </w:rPr>
        <w:fldChar w:fldCharType="separate"/>
      </w:r>
      <w:r>
        <w:rPr>
          <w:rFonts w:hint="default" w:ascii="Times New Roman" w:hAnsi="Times New Roman" w:eastAsia="宋体" w:cs="Times New Roman"/>
          <w:i w:val="0"/>
          <w:szCs w:val="28"/>
        </w:rPr>
        <w:t xml:space="preserve">2.7 </w:t>
      </w:r>
      <w:r>
        <w:t>成交通知书</w:t>
      </w:r>
      <w:r>
        <w:tab/>
      </w:r>
      <w:r>
        <w:fldChar w:fldCharType="begin"/>
      </w:r>
      <w:r>
        <w:instrText xml:space="preserve"> PAGEREF _Toc29787 </w:instrText>
      </w:r>
      <w:r>
        <w:fldChar w:fldCharType="separate"/>
      </w:r>
      <w:r>
        <w:t>25</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_Toc14458 </w:instrText>
      </w:r>
      <w:r>
        <w:rPr>
          <w:rFonts w:ascii="宋体" w:hAnsi="宋体"/>
          <w:bCs w:val="0"/>
          <w:szCs w:val="36"/>
        </w:rPr>
        <w:fldChar w:fldCharType="separate"/>
      </w:r>
      <w:r>
        <w:rPr>
          <w:rFonts w:hint="default" w:ascii="Times New Roman" w:hAnsi="Times New Roman" w:eastAsia="宋体" w:cs="Times New Roman"/>
          <w:i w:val="0"/>
          <w:szCs w:val="28"/>
        </w:rPr>
        <w:t xml:space="preserve">2.8 </w:t>
      </w:r>
      <w:r>
        <w:rPr>
          <w:rFonts w:hint="eastAsia"/>
        </w:rPr>
        <w:t>签订及履行合同和验收</w:t>
      </w:r>
      <w:r>
        <w:tab/>
      </w:r>
      <w:r>
        <w:fldChar w:fldCharType="begin"/>
      </w:r>
      <w:r>
        <w:instrText xml:space="preserve"> PAGEREF _Toc14458 </w:instrText>
      </w:r>
      <w:r>
        <w:fldChar w:fldCharType="separate"/>
      </w:r>
      <w:r>
        <w:t>25</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_Toc19733 </w:instrText>
      </w:r>
      <w:r>
        <w:rPr>
          <w:rFonts w:ascii="宋体" w:hAnsi="宋体"/>
          <w:bCs w:val="0"/>
          <w:szCs w:val="36"/>
        </w:rPr>
        <w:fldChar w:fldCharType="separate"/>
      </w:r>
      <w:r>
        <w:rPr>
          <w:rFonts w:hint="default" w:ascii="Times New Roman" w:hAnsi="Times New Roman" w:eastAsia="宋体" w:cs="Times New Roman"/>
          <w:i w:val="0"/>
          <w:szCs w:val="28"/>
        </w:rPr>
        <w:t xml:space="preserve">2.9 </w:t>
      </w:r>
      <w:r>
        <w:rPr>
          <w:rFonts w:hint="eastAsia"/>
        </w:rPr>
        <w:t>竞争性磋商工作纪律及要求</w:t>
      </w:r>
      <w:r>
        <w:tab/>
      </w:r>
      <w:r>
        <w:fldChar w:fldCharType="begin"/>
      </w:r>
      <w:r>
        <w:instrText xml:space="preserve"> PAGEREF _Toc19733 </w:instrText>
      </w:r>
      <w:r>
        <w:fldChar w:fldCharType="separate"/>
      </w:r>
      <w:r>
        <w:t>27</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_Toc30224 </w:instrText>
      </w:r>
      <w:r>
        <w:rPr>
          <w:rFonts w:ascii="宋体" w:hAnsi="宋体"/>
          <w:bCs w:val="0"/>
          <w:szCs w:val="36"/>
        </w:rPr>
        <w:fldChar w:fldCharType="separate"/>
      </w:r>
      <w:r>
        <w:rPr>
          <w:rFonts w:hint="default" w:ascii="Times New Roman" w:hAnsi="Times New Roman" w:eastAsia="宋体" w:cs="Times New Roman"/>
          <w:i w:val="0"/>
          <w:szCs w:val="28"/>
        </w:rPr>
        <w:t xml:space="preserve">2.10 </w:t>
      </w:r>
      <w:r>
        <w:rPr>
          <w:rFonts w:hint="eastAsia"/>
        </w:rPr>
        <w:t>询问、质疑和投诉</w:t>
      </w:r>
      <w:r>
        <w:tab/>
      </w:r>
      <w:r>
        <w:fldChar w:fldCharType="begin"/>
      </w:r>
      <w:r>
        <w:instrText xml:space="preserve"> PAGEREF _Toc30224 </w:instrText>
      </w:r>
      <w:r>
        <w:fldChar w:fldCharType="separate"/>
      </w:r>
      <w:r>
        <w:t>30</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_Toc27050 </w:instrText>
      </w:r>
      <w:r>
        <w:rPr>
          <w:rFonts w:ascii="宋体" w:hAnsi="宋体"/>
          <w:bCs w:val="0"/>
          <w:szCs w:val="36"/>
        </w:rPr>
        <w:fldChar w:fldCharType="separate"/>
      </w:r>
      <w:r>
        <w:rPr>
          <w:rFonts w:hint="default" w:ascii="Times New Roman" w:hAnsi="Times New Roman" w:eastAsia="宋体" w:cs="Times New Roman"/>
          <w:i w:val="0"/>
          <w:szCs w:val="28"/>
        </w:rPr>
        <w:t xml:space="preserve">2.11 </w:t>
      </w:r>
      <w:r>
        <w:rPr>
          <w:rFonts w:hint="eastAsia"/>
        </w:rPr>
        <w:t>中小企业政府采购信用融资</w:t>
      </w:r>
      <w:r>
        <w:tab/>
      </w:r>
      <w:r>
        <w:fldChar w:fldCharType="begin"/>
      </w:r>
      <w:r>
        <w:instrText xml:space="preserve"> PAGEREF _Toc27050 </w:instrText>
      </w:r>
      <w:r>
        <w:fldChar w:fldCharType="separate"/>
      </w:r>
      <w:r>
        <w:t>31</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_Toc6759 </w:instrText>
      </w:r>
      <w:r>
        <w:rPr>
          <w:rFonts w:ascii="宋体" w:hAnsi="宋体"/>
          <w:bCs w:val="0"/>
          <w:szCs w:val="36"/>
        </w:rPr>
        <w:fldChar w:fldCharType="separate"/>
      </w:r>
      <w:r>
        <w:rPr>
          <w:rFonts w:hint="default" w:ascii="Times New Roman" w:hAnsi="Times New Roman" w:eastAsia="宋体" w:cs="Times New Roman"/>
          <w:i w:val="0"/>
          <w:szCs w:val="28"/>
        </w:rPr>
        <w:t xml:space="preserve">2.12 </w:t>
      </w:r>
      <w:r>
        <w:rPr>
          <w:rFonts w:hint="eastAsia"/>
        </w:rPr>
        <w:t>其他</w:t>
      </w:r>
      <w:r>
        <w:tab/>
      </w:r>
      <w:r>
        <w:fldChar w:fldCharType="begin"/>
      </w:r>
      <w:r>
        <w:instrText xml:space="preserve"> PAGEREF _Toc6759 </w:instrText>
      </w:r>
      <w:r>
        <w:fldChar w:fldCharType="separate"/>
      </w:r>
      <w:r>
        <w:t>31</w:t>
      </w:r>
      <w:r>
        <w:fldChar w:fldCharType="end"/>
      </w:r>
      <w:r>
        <w:rPr>
          <w:rFonts w:ascii="宋体" w:hAnsi="宋体"/>
          <w:bCs w:val="0"/>
          <w:color w:val="auto"/>
          <w:szCs w:val="36"/>
        </w:rPr>
        <w:fldChar w:fldCharType="end"/>
      </w:r>
    </w:p>
    <w:p>
      <w:pPr>
        <w:pStyle w:val="34"/>
        <w:tabs>
          <w:tab w:val="right" w:leader="dot" w:pos="9214"/>
          <w:tab w:val="clear" w:pos="840"/>
          <w:tab w:val="clear" w:pos="9204"/>
        </w:tabs>
      </w:pPr>
      <w:r>
        <w:rPr>
          <w:rFonts w:ascii="宋体" w:hAnsi="宋体"/>
          <w:bCs w:val="0"/>
          <w:color w:val="auto"/>
          <w:szCs w:val="36"/>
        </w:rPr>
        <w:fldChar w:fldCharType="begin"/>
      </w:r>
      <w:r>
        <w:rPr>
          <w:rFonts w:ascii="宋体" w:hAnsi="宋体"/>
          <w:bCs w:val="0"/>
          <w:szCs w:val="36"/>
        </w:rPr>
        <w:instrText xml:space="preserve"> HYPERLINK \l _Toc8189 </w:instrText>
      </w:r>
      <w:r>
        <w:rPr>
          <w:rFonts w:ascii="宋体" w:hAnsi="宋体"/>
          <w:bCs w:val="0"/>
          <w:szCs w:val="36"/>
        </w:rPr>
        <w:fldChar w:fldCharType="separate"/>
      </w:r>
      <w:r>
        <w:rPr>
          <w:rFonts w:hint="default" w:ascii="Times New Roman" w:hAnsi="Times New Roman" w:eastAsia="宋体"/>
          <w:i w:val="0"/>
          <w:szCs w:val="32"/>
        </w:rPr>
        <w:t xml:space="preserve">第3章 </w:t>
      </w:r>
      <w:r>
        <w:rPr>
          <w:rFonts w:hint="eastAsia"/>
        </w:rPr>
        <w:t>施工响应文件格式</w:t>
      </w:r>
      <w:r>
        <w:tab/>
      </w:r>
      <w:r>
        <w:fldChar w:fldCharType="begin"/>
      </w:r>
      <w:r>
        <w:instrText xml:space="preserve"> PAGEREF _Toc8189 </w:instrText>
      </w:r>
      <w:r>
        <w:fldChar w:fldCharType="separate"/>
      </w:r>
      <w:r>
        <w:t>32</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_Toc22662 </w:instrText>
      </w:r>
      <w:r>
        <w:rPr>
          <w:rFonts w:ascii="宋体" w:hAnsi="宋体"/>
          <w:bCs w:val="0"/>
          <w:szCs w:val="36"/>
        </w:rPr>
        <w:fldChar w:fldCharType="separate"/>
      </w:r>
      <w:r>
        <w:rPr>
          <w:rFonts w:hint="default" w:ascii="Times New Roman" w:hAnsi="Times New Roman" w:eastAsia="宋体" w:cs="Times New Roman"/>
          <w:i w:val="0"/>
          <w:szCs w:val="28"/>
        </w:rPr>
        <w:t xml:space="preserve">3.1 </w:t>
      </w:r>
      <w:r>
        <w:rPr>
          <w:rFonts w:hint="eastAsia"/>
        </w:rPr>
        <w:t>施工响应文件格式</w:t>
      </w:r>
      <w:r>
        <w:tab/>
      </w:r>
      <w:r>
        <w:fldChar w:fldCharType="begin"/>
      </w:r>
      <w:r>
        <w:instrText xml:space="preserve"> PAGEREF _Toc22662 </w:instrText>
      </w:r>
      <w:r>
        <w:fldChar w:fldCharType="separate"/>
      </w:r>
      <w:r>
        <w:t>32</w:t>
      </w:r>
      <w:r>
        <w:fldChar w:fldCharType="end"/>
      </w:r>
      <w:r>
        <w:rPr>
          <w:rFonts w:ascii="宋体" w:hAnsi="宋体"/>
          <w:bCs w:val="0"/>
          <w:color w:val="auto"/>
          <w:szCs w:val="36"/>
        </w:rPr>
        <w:fldChar w:fldCharType="end"/>
      </w:r>
    </w:p>
    <w:p>
      <w:pPr>
        <w:pStyle w:val="34"/>
        <w:tabs>
          <w:tab w:val="right" w:leader="dot" w:pos="9214"/>
          <w:tab w:val="clear" w:pos="840"/>
          <w:tab w:val="clear" w:pos="9204"/>
        </w:tabs>
      </w:pPr>
      <w:r>
        <w:rPr>
          <w:rFonts w:ascii="宋体" w:hAnsi="宋体"/>
          <w:bCs w:val="0"/>
          <w:color w:val="auto"/>
          <w:szCs w:val="36"/>
        </w:rPr>
        <w:fldChar w:fldCharType="begin"/>
      </w:r>
      <w:r>
        <w:rPr>
          <w:rFonts w:ascii="宋体" w:hAnsi="宋体"/>
          <w:bCs w:val="0"/>
          <w:szCs w:val="36"/>
        </w:rPr>
        <w:instrText xml:space="preserve"> HYPERLINK \l _Toc18332 </w:instrText>
      </w:r>
      <w:r>
        <w:rPr>
          <w:rFonts w:ascii="宋体" w:hAnsi="宋体"/>
          <w:bCs w:val="0"/>
          <w:szCs w:val="36"/>
        </w:rPr>
        <w:fldChar w:fldCharType="separate"/>
      </w:r>
      <w:r>
        <w:rPr>
          <w:rFonts w:hint="default" w:ascii="Times New Roman" w:hAnsi="Times New Roman" w:eastAsia="宋体"/>
          <w:i w:val="0"/>
          <w:szCs w:val="32"/>
        </w:rPr>
        <w:t xml:space="preserve">第4章 </w:t>
      </w:r>
      <w:r>
        <w:rPr>
          <w:rFonts w:hint="eastAsia"/>
        </w:rPr>
        <w:t>技术、服务、商务及其他要求</w:t>
      </w:r>
      <w:r>
        <w:tab/>
      </w:r>
      <w:r>
        <w:fldChar w:fldCharType="begin"/>
      </w:r>
      <w:r>
        <w:instrText xml:space="preserve"> PAGEREF _Toc18332 </w:instrText>
      </w:r>
      <w:r>
        <w:fldChar w:fldCharType="separate"/>
      </w:r>
      <w:r>
        <w:t>44</w:t>
      </w:r>
      <w:r>
        <w:fldChar w:fldCharType="end"/>
      </w:r>
      <w:r>
        <w:rPr>
          <w:rFonts w:ascii="宋体" w:hAnsi="宋体"/>
          <w:bCs w:val="0"/>
          <w:color w:val="auto"/>
          <w:szCs w:val="36"/>
        </w:rPr>
        <w:fldChar w:fldCharType="end"/>
      </w:r>
    </w:p>
    <w:p>
      <w:pPr>
        <w:pStyle w:val="34"/>
        <w:tabs>
          <w:tab w:val="right" w:leader="dot" w:pos="9214"/>
          <w:tab w:val="clear" w:pos="840"/>
          <w:tab w:val="clear" w:pos="9204"/>
        </w:tabs>
      </w:pPr>
      <w:r>
        <w:rPr>
          <w:rFonts w:ascii="宋体" w:hAnsi="宋体"/>
          <w:bCs w:val="0"/>
          <w:color w:val="auto"/>
          <w:szCs w:val="36"/>
        </w:rPr>
        <w:fldChar w:fldCharType="begin"/>
      </w:r>
      <w:r>
        <w:rPr>
          <w:rFonts w:ascii="宋体" w:hAnsi="宋体"/>
          <w:bCs w:val="0"/>
          <w:szCs w:val="36"/>
        </w:rPr>
        <w:instrText xml:space="preserve"> HYPERLINK \l _Toc4393 </w:instrText>
      </w:r>
      <w:r>
        <w:rPr>
          <w:rFonts w:ascii="宋体" w:hAnsi="宋体"/>
          <w:bCs w:val="0"/>
          <w:szCs w:val="36"/>
        </w:rPr>
        <w:fldChar w:fldCharType="separate"/>
      </w:r>
      <w:r>
        <w:rPr>
          <w:rFonts w:hint="default" w:ascii="Times New Roman" w:hAnsi="Times New Roman" w:eastAsia="宋体"/>
          <w:i w:val="0"/>
          <w:szCs w:val="32"/>
        </w:rPr>
        <w:t xml:space="preserve">第5章 </w:t>
      </w:r>
      <w:r>
        <w:rPr>
          <w:rFonts w:hint="eastAsia"/>
        </w:rPr>
        <w:t>磋商办法</w:t>
      </w:r>
      <w:r>
        <w:tab/>
      </w:r>
      <w:r>
        <w:fldChar w:fldCharType="begin"/>
      </w:r>
      <w:r>
        <w:instrText xml:space="preserve"> PAGEREF _Toc4393 </w:instrText>
      </w:r>
      <w:r>
        <w:fldChar w:fldCharType="separate"/>
      </w:r>
      <w:r>
        <w:t>47</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_Toc999 </w:instrText>
      </w:r>
      <w:r>
        <w:rPr>
          <w:rFonts w:ascii="宋体" w:hAnsi="宋体"/>
          <w:bCs w:val="0"/>
          <w:szCs w:val="36"/>
        </w:rPr>
        <w:fldChar w:fldCharType="separate"/>
      </w:r>
      <w:r>
        <w:rPr>
          <w:rFonts w:hint="default" w:ascii="Times New Roman" w:hAnsi="Times New Roman" w:eastAsia="宋体" w:cs="Times New Roman"/>
          <w:i w:val="0"/>
          <w:szCs w:val="28"/>
        </w:rPr>
        <w:t xml:space="preserve">5.1 </w:t>
      </w:r>
      <w:r>
        <w:rPr>
          <w:rFonts w:hint="eastAsia"/>
        </w:rPr>
        <w:t>总则</w:t>
      </w:r>
      <w:r>
        <w:tab/>
      </w:r>
      <w:r>
        <w:fldChar w:fldCharType="begin"/>
      </w:r>
      <w:r>
        <w:instrText xml:space="preserve"> PAGEREF _Toc999 </w:instrText>
      </w:r>
      <w:r>
        <w:fldChar w:fldCharType="separate"/>
      </w:r>
      <w:r>
        <w:t>47</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_Toc9837 </w:instrText>
      </w:r>
      <w:r>
        <w:rPr>
          <w:rFonts w:ascii="宋体" w:hAnsi="宋体"/>
          <w:bCs w:val="0"/>
          <w:szCs w:val="36"/>
        </w:rPr>
        <w:fldChar w:fldCharType="separate"/>
      </w:r>
      <w:r>
        <w:rPr>
          <w:rFonts w:hint="default" w:ascii="Times New Roman" w:hAnsi="Times New Roman" w:eastAsia="宋体" w:cs="Times New Roman"/>
          <w:i w:val="0"/>
          <w:szCs w:val="28"/>
        </w:rPr>
        <w:t xml:space="preserve">5.2 </w:t>
      </w:r>
      <w:r>
        <w:rPr>
          <w:rFonts w:hint="eastAsia"/>
        </w:rPr>
        <w:t>磋商程序</w:t>
      </w:r>
      <w:r>
        <w:tab/>
      </w:r>
      <w:r>
        <w:fldChar w:fldCharType="begin"/>
      </w:r>
      <w:r>
        <w:instrText xml:space="preserve"> PAGEREF _Toc9837 </w:instrText>
      </w:r>
      <w:r>
        <w:fldChar w:fldCharType="separate"/>
      </w:r>
      <w:r>
        <w:t>48</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_Toc21451 </w:instrText>
      </w:r>
      <w:r>
        <w:rPr>
          <w:rFonts w:ascii="宋体" w:hAnsi="宋体"/>
          <w:bCs w:val="0"/>
          <w:szCs w:val="36"/>
        </w:rPr>
        <w:fldChar w:fldCharType="separate"/>
      </w:r>
      <w:r>
        <w:rPr>
          <w:rFonts w:hint="default" w:ascii="Times New Roman" w:hAnsi="Times New Roman" w:eastAsia="宋体" w:cs="Times New Roman"/>
          <w:i w:val="0"/>
        </w:rPr>
        <w:t xml:space="preserve">5.2.1 </w:t>
      </w:r>
      <w:r>
        <w:rPr>
          <w:rFonts w:hint="eastAsia"/>
        </w:rPr>
        <w:t>递交施工响应文件</w:t>
      </w:r>
      <w:r>
        <w:tab/>
      </w:r>
      <w:r>
        <w:fldChar w:fldCharType="begin"/>
      </w:r>
      <w:r>
        <w:instrText xml:space="preserve"> PAGEREF _Toc21451 </w:instrText>
      </w:r>
      <w:r>
        <w:fldChar w:fldCharType="separate"/>
      </w:r>
      <w:r>
        <w:t>48</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_Toc15693 </w:instrText>
      </w:r>
      <w:r>
        <w:rPr>
          <w:rFonts w:ascii="宋体" w:hAnsi="宋体"/>
          <w:bCs w:val="0"/>
          <w:szCs w:val="36"/>
        </w:rPr>
        <w:fldChar w:fldCharType="separate"/>
      </w:r>
      <w:r>
        <w:rPr>
          <w:rFonts w:hint="default" w:ascii="Times New Roman" w:hAnsi="Times New Roman" w:eastAsia="宋体" w:cs="Times New Roman"/>
          <w:i w:val="0"/>
        </w:rPr>
        <w:t xml:space="preserve">5.2.2 </w:t>
      </w:r>
      <w:r>
        <w:rPr>
          <w:rFonts w:hint="eastAsia"/>
        </w:rPr>
        <w:t>确定邀请参加磋商的供应商数量</w:t>
      </w:r>
      <w:r>
        <w:tab/>
      </w:r>
      <w:r>
        <w:fldChar w:fldCharType="begin"/>
      </w:r>
      <w:r>
        <w:instrText xml:space="preserve"> PAGEREF _Toc15693 </w:instrText>
      </w:r>
      <w:r>
        <w:fldChar w:fldCharType="separate"/>
      </w:r>
      <w:r>
        <w:t>48</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_Toc23204 </w:instrText>
      </w:r>
      <w:r>
        <w:rPr>
          <w:rFonts w:ascii="宋体" w:hAnsi="宋体"/>
          <w:bCs w:val="0"/>
          <w:szCs w:val="36"/>
        </w:rPr>
        <w:fldChar w:fldCharType="separate"/>
      </w:r>
      <w:r>
        <w:rPr>
          <w:rFonts w:hint="default" w:ascii="Times New Roman" w:hAnsi="Times New Roman" w:eastAsia="宋体" w:cs="Times New Roman"/>
          <w:i w:val="0"/>
        </w:rPr>
        <w:t xml:space="preserve">5.2.3 </w:t>
      </w:r>
      <w:r>
        <w:rPr>
          <w:rFonts w:hint="eastAsia"/>
        </w:rPr>
        <w:t>成立磋商小组</w:t>
      </w:r>
      <w:r>
        <w:tab/>
      </w:r>
      <w:r>
        <w:fldChar w:fldCharType="begin"/>
      </w:r>
      <w:r>
        <w:instrText xml:space="preserve"> PAGEREF _Toc23204 </w:instrText>
      </w:r>
      <w:r>
        <w:fldChar w:fldCharType="separate"/>
      </w:r>
      <w:r>
        <w:t>48</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_Toc10492 </w:instrText>
      </w:r>
      <w:r>
        <w:rPr>
          <w:rFonts w:ascii="宋体" w:hAnsi="宋体"/>
          <w:bCs w:val="0"/>
          <w:szCs w:val="36"/>
        </w:rPr>
        <w:fldChar w:fldCharType="separate"/>
      </w:r>
      <w:r>
        <w:rPr>
          <w:rFonts w:hint="default" w:ascii="Times New Roman" w:hAnsi="Times New Roman" w:eastAsia="宋体" w:cs="Times New Roman"/>
          <w:i w:val="0"/>
        </w:rPr>
        <w:t xml:space="preserve">5.2.4 </w:t>
      </w:r>
      <w:r>
        <w:rPr>
          <w:rFonts w:hint="eastAsia"/>
        </w:rPr>
        <w:t>磋商</w:t>
      </w:r>
      <w:r>
        <w:tab/>
      </w:r>
      <w:r>
        <w:fldChar w:fldCharType="begin"/>
      </w:r>
      <w:r>
        <w:instrText xml:space="preserve"> PAGEREF _Toc10492 </w:instrText>
      </w:r>
      <w:r>
        <w:fldChar w:fldCharType="separate"/>
      </w:r>
      <w:r>
        <w:t>49</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_Toc28433 </w:instrText>
      </w:r>
      <w:r>
        <w:rPr>
          <w:rFonts w:ascii="宋体" w:hAnsi="宋体"/>
          <w:bCs w:val="0"/>
          <w:szCs w:val="36"/>
        </w:rPr>
        <w:fldChar w:fldCharType="separate"/>
      </w:r>
      <w:r>
        <w:rPr>
          <w:rFonts w:hint="default" w:ascii="Times New Roman" w:hAnsi="Times New Roman" w:eastAsia="宋体" w:cs="Times New Roman"/>
          <w:i w:val="0"/>
        </w:rPr>
        <w:t xml:space="preserve">5.2.5 </w:t>
      </w:r>
      <w:r>
        <w:rPr>
          <w:rFonts w:hint="eastAsia"/>
        </w:rPr>
        <w:t>符合性审查</w:t>
      </w:r>
      <w:r>
        <w:tab/>
      </w:r>
      <w:r>
        <w:fldChar w:fldCharType="begin"/>
      </w:r>
      <w:r>
        <w:instrText xml:space="preserve"> PAGEREF _Toc28433 </w:instrText>
      </w:r>
      <w:r>
        <w:fldChar w:fldCharType="separate"/>
      </w:r>
      <w:r>
        <w:t>50</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_Toc23782 </w:instrText>
      </w:r>
      <w:r>
        <w:rPr>
          <w:rFonts w:ascii="宋体" w:hAnsi="宋体"/>
          <w:bCs w:val="0"/>
          <w:szCs w:val="36"/>
        </w:rPr>
        <w:fldChar w:fldCharType="separate"/>
      </w:r>
      <w:r>
        <w:rPr>
          <w:rFonts w:hint="default" w:ascii="Times New Roman" w:hAnsi="Times New Roman" w:eastAsia="宋体" w:cs="Times New Roman"/>
          <w:i w:val="0"/>
        </w:rPr>
        <w:t xml:space="preserve">5.2.6 </w:t>
      </w:r>
      <w:r>
        <w:rPr>
          <w:rFonts w:hint="eastAsia"/>
        </w:rPr>
        <w:t>最后报价审查</w:t>
      </w:r>
      <w:r>
        <w:tab/>
      </w:r>
      <w:r>
        <w:fldChar w:fldCharType="begin"/>
      </w:r>
      <w:r>
        <w:instrText xml:space="preserve"> PAGEREF _Toc23782 </w:instrText>
      </w:r>
      <w:r>
        <w:fldChar w:fldCharType="separate"/>
      </w:r>
      <w:r>
        <w:t>53</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_Toc6360 </w:instrText>
      </w:r>
      <w:r>
        <w:rPr>
          <w:rFonts w:ascii="宋体" w:hAnsi="宋体"/>
          <w:bCs w:val="0"/>
          <w:szCs w:val="36"/>
        </w:rPr>
        <w:fldChar w:fldCharType="separate"/>
      </w:r>
      <w:r>
        <w:rPr>
          <w:rFonts w:hint="default" w:ascii="Times New Roman" w:hAnsi="Times New Roman" w:eastAsia="宋体" w:cs="Times New Roman"/>
          <w:i w:val="0"/>
        </w:rPr>
        <w:t xml:space="preserve">5.2.7 </w:t>
      </w:r>
      <w:r>
        <w:rPr>
          <w:rFonts w:hint="eastAsia"/>
        </w:rPr>
        <w:t>解释、澄清、说明的有关问题</w:t>
      </w:r>
      <w:r>
        <w:tab/>
      </w:r>
      <w:r>
        <w:fldChar w:fldCharType="begin"/>
      </w:r>
      <w:r>
        <w:instrText xml:space="preserve"> PAGEREF _Toc6360 </w:instrText>
      </w:r>
      <w:r>
        <w:fldChar w:fldCharType="separate"/>
      </w:r>
      <w:r>
        <w:t>56</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_Toc17316 </w:instrText>
      </w:r>
      <w:r>
        <w:rPr>
          <w:rFonts w:ascii="宋体" w:hAnsi="宋体"/>
          <w:bCs w:val="0"/>
          <w:szCs w:val="36"/>
        </w:rPr>
        <w:fldChar w:fldCharType="separate"/>
      </w:r>
      <w:r>
        <w:rPr>
          <w:rFonts w:hint="default" w:ascii="Times New Roman" w:hAnsi="Times New Roman" w:eastAsia="宋体" w:cs="Times New Roman"/>
          <w:i w:val="0"/>
        </w:rPr>
        <w:t xml:space="preserve">5.2.8 </w:t>
      </w:r>
      <w:r>
        <w:rPr>
          <w:rFonts w:hint="eastAsia"/>
        </w:rPr>
        <w:t>比较与评价</w:t>
      </w:r>
      <w:r>
        <w:tab/>
      </w:r>
      <w:r>
        <w:fldChar w:fldCharType="begin"/>
      </w:r>
      <w:r>
        <w:instrText xml:space="preserve"> PAGEREF _Toc17316 </w:instrText>
      </w:r>
      <w:r>
        <w:fldChar w:fldCharType="separate"/>
      </w:r>
      <w:r>
        <w:t>56</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_Toc6791 </w:instrText>
      </w:r>
      <w:r>
        <w:rPr>
          <w:rFonts w:ascii="宋体" w:hAnsi="宋体"/>
          <w:bCs w:val="0"/>
          <w:szCs w:val="36"/>
        </w:rPr>
        <w:fldChar w:fldCharType="separate"/>
      </w:r>
      <w:r>
        <w:rPr>
          <w:rFonts w:hint="default" w:ascii="Times New Roman" w:hAnsi="Times New Roman" w:eastAsia="宋体" w:cs="Times New Roman"/>
          <w:i w:val="0"/>
        </w:rPr>
        <w:t xml:space="preserve">5.2.9 </w:t>
      </w:r>
      <w:r>
        <w:rPr>
          <w:rFonts w:hint="eastAsia"/>
        </w:rPr>
        <w:t>磋商小组复核</w:t>
      </w:r>
      <w:r>
        <w:tab/>
      </w:r>
      <w:r>
        <w:fldChar w:fldCharType="begin"/>
      </w:r>
      <w:r>
        <w:instrText xml:space="preserve"> PAGEREF _Toc6791 </w:instrText>
      </w:r>
      <w:r>
        <w:fldChar w:fldCharType="separate"/>
      </w:r>
      <w:r>
        <w:t>56</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_Toc30330 </w:instrText>
      </w:r>
      <w:r>
        <w:rPr>
          <w:rFonts w:ascii="宋体" w:hAnsi="宋体"/>
          <w:bCs w:val="0"/>
          <w:szCs w:val="36"/>
        </w:rPr>
        <w:fldChar w:fldCharType="separate"/>
      </w:r>
      <w:r>
        <w:rPr>
          <w:rFonts w:hint="default" w:ascii="Times New Roman" w:hAnsi="Times New Roman" w:eastAsia="宋体" w:cs="Times New Roman"/>
          <w:i w:val="0"/>
        </w:rPr>
        <w:t xml:space="preserve">5.2.10 </w:t>
      </w:r>
      <w:r>
        <w:rPr>
          <w:rFonts w:hint="eastAsia"/>
        </w:rPr>
        <w:t>推荐成交候选供应商</w:t>
      </w:r>
      <w:r>
        <w:tab/>
      </w:r>
      <w:r>
        <w:fldChar w:fldCharType="begin"/>
      </w:r>
      <w:r>
        <w:instrText xml:space="preserve"> PAGEREF _Toc30330 </w:instrText>
      </w:r>
      <w:r>
        <w:fldChar w:fldCharType="separate"/>
      </w:r>
      <w:r>
        <w:t>57</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_Toc19838 </w:instrText>
      </w:r>
      <w:r>
        <w:rPr>
          <w:rFonts w:ascii="宋体" w:hAnsi="宋体"/>
          <w:bCs w:val="0"/>
          <w:szCs w:val="36"/>
        </w:rPr>
        <w:fldChar w:fldCharType="separate"/>
      </w:r>
      <w:r>
        <w:rPr>
          <w:rFonts w:hint="default" w:ascii="Times New Roman" w:hAnsi="Times New Roman" w:eastAsia="宋体" w:cs="Times New Roman"/>
          <w:i w:val="0"/>
        </w:rPr>
        <w:t xml:space="preserve">5.2.11 </w:t>
      </w:r>
      <w:r>
        <w:rPr>
          <w:rFonts w:hint="eastAsia"/>
        </w:rPr>
        <w:t>编写磋商报告</w:t>
      </w:r>
      <w:r>
        <w:tab/>
      </w:r>
      <w:r>
        <w:fldChar w:fldCharType="begin"/>
      </w:r>
      <w:r>
        <w:instrText xml:space="preserve"> PAGEREF _Toc19838 </w:instrText>
      </w:r>
      <w:r>
        <w:fldChar w:fldCharType="separate"/>
      </w:r>
      <w:r>
        <w:t>58</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_Toc8649 </w:instrText>
      </w:r>
      <w:r>
        <w:rPr>
          <w:rFonts w:ascii="宋体" w:hAnsi="宋体"/>
          <w:bCs w:val="0"/>
          <w:szCs w:val="36"/>
        </w:rPr>
        <w:fldChar w:fldCharType="separate"/>
      </w:r>
      <w:r>
        <w:rPr>
          <w:rFonts w:hint="default" w:ascii="Times New Roman" w:hAnsi="Times New Roman" w:eastAsia="宋体" w:cs="Times New Roman"/>
          <w:i w:val="0"/>
        </w:rPr>
        <w:t xml:space="preserve">5.2.12 </w:t>
      </w:r>
      <w:r>
        <w:rPr>
          <w:rFonts w:hint="eastAsia"/>
        </w:rPr>
        <w:t>争议处理规则</w:t>
      </w:r>
      <w:r>
        <w:tab/>
      </w:r>
      <w:r>
        <w:fldChar w:fldCharType="begin"/>
      </w:r>
      <w:r>
        <w:instrText xml:space="preserve"> PAGEREF _Toc8649 </w:instrText>
      </w:r>
      <w:r>
        <w:fldChar w:fldCharType="separate"/>
      </w:r>
      <w:r>
        <w:t>58</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_Toc2836 </w:instrText>
      </w:r>
      <w:r>
        <w:rPr>
          <w:rFonts w:ascii="宋体" w:hAnsi="宋体"/>
          <w:bCs w:val="0"/>
          <w:szCs w:val="36"/>
        </w:rPr>
        <w:fldChar w:fldCharType="separate"/>
      </w:r>
      <w:r>
        <w:rPr>
          <w:rFonts w:hint="default" w:ascii="Times New Roman" w:hAnsi="Times New Roman" w:eastAsia="宋体" w:cs="Times New Roman"/>
          <w:i w:val="0"/>
        </w:rPr>
        <w:t xml:space="preserve">5.2.13 </w:t>
      </w:r>
      <w:r>
        <w:rPr>
          <w:rFonts w:hint="eastAsia"/>
        </w:rPr>
        <w:t>供应商澄清、说明</w:t>
      </w:r>
      <w:r>
        <w:tab/>
      </w:r>
      <w:r>
        <w:fldChar w:fldCharType="begin"/>
      </w:r>
      <w:r>
        <w:instrText xml:space="preserve"> PAGEREF _Toc2836 </w:instrText>
      </w:r>
      <w:r>
        <w:fldChar w:fldCharType="separate"/>
      </w:r>
      <w:r>
        <w:t>58</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_Toc1569 </w:instrText>
      </w:r>
      <w:r>
        <w:rPr>
          <w:rFonts w:ascii="宋体" w:hAnsi="宋体"/>
          <w:bCs w:val="0"/>
          <w:szCs w:val="36"/>
        </w:rPr>
        <w:fldChar w:fldCharType="separate"/>
      </w:r>
      <w:r>
        <w:rPr>
          <w:rFonts w:hint="default" w:ascii="Times New Roman" w:hAnsi="Times New Roman" w:eastAsia="宋体" w:cs="Times New Roman"/>
          <w:i w:val="0"/>
          <w:szCs w:val="28"/>
        </w:rPr>
        <w:t xml:space="preserve">5.1 </w:t>
      </w:r>
      <w:r>
        <w:rPr>
          <w:rFonts w:hint="eastAsia"/>
        </w:rPr>
        <w:t>评审办法和标准</w:t>
      </w:r>
      <w:r>
        <w:tab/>
      </w:r>
      <w:r>
        <w:fldChar w:fldCharType="begin"/>
      </w:r>
      <w:r>
        <w:instrText xml:space="preserve"> PAGEREF _Toc1569 </w:instrText>
      </w:r>
      <w:r>
        <w:fldChar w:fldCharType="separate"/>
      </w:r>
      <w:r>
        <w:t>59</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_Toc29666 </w:instrText>
      </w:r>
      <w:r>
        <w:rPr>
          <w:rFonts w:ascii="宋体" w:hAnsi="宋体"/>
          <w:bCs w:val="0"/>
          <w:szCs w:val="36"/>
        </w:rPr>
        <w:fldChar w:fldCharType="separate"/>
      </w:r>
      <w:r>
        <w:rPr>
          <w:rFonts w:hint="default" w:ascii="Times New Roman" w:hAnsi="Times New Roman" w:eastAsia="宋体" w:cs="Times New Roman"/>
          <w:i w:val="0"/>
          <w:szCs w:val="28"/>
        </w:rPr>
        <w:t xml:space="preserve">5.2 </w:t>
      </w:r>
      <w:r>
        <w:rPr>
          <w:rFonts w:hint="eastAsia"/>
        </w:rPr>
        <w:t>采购失败情形</w:t>
      </w:r>
      <w:r>
        <w:tab/>
      </w:r>
      <w:r>
        <w:fldChar w:fldCharType="begin"/>
      </w:r>
      <w:r>
        <w:instrText xml:space="preserve"> PAGEREF _Toc29666 </w:instrText>
      </w:r>
      <w:r>
        <w:fldChar w:fldCharType="separate"/>
      </w:r>
      <w:r>
        <w:t>62</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_Toc17110 </w:instrText>
      </w:r>
      <w:r>
        <w:rPr>
          <w:rFonts w:ascii="宋体" w:hAnsi="宋体"/>
          <w:bCs w:val="0"/>
          <w:szCs w:val="36"/>
        </w:rPr>
        <w:fldChar w:fldCharType="separate"/>
      </w:r>
      <w:r>
        <w:rPr>
          <w:rFonts w:hint="default" w:ascii="Times New Roman" w:hAnsi="Times New Roman" w:eastAsia="宋体" w:cs="Times New Roman"/>
          <w:i w:val="0"/>
        </w:rPr>
        <w:t xml:space="preserve">5.2.1 </w:t>
      </w:r>
      <w:r>
        <w:rPr>
          <w:rFonts w:hint="eastAsia"/>
        </w:rPr>
        <w:t>其他</w:t>
      </w:r>
      <w:r>
        <w:tab/>
      </w:r>
      <w:r>
        <w:fldChar w:fldCharType="begin"/>
      </w:r>
      <w:r>
        <w:instrText xml:space="preserve"> PAGEREF _Toc17110 </w:instrText>
      </w:r>
      <w:r>
        <w:fldChar w:fldCharType="separate"/>
      </w:r>
      <w:r>
        <w:t>62</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_Toc11909 </w:instrText>
      </w:r>
      <w:r>
        <w:rPr>
          <w:rFonts w:ascii="宋体" w:hAnsi="宋体"/>
          <w:bCs w:val="0"/>
          <w:szCs w:val="36"/>
        </w:rPr>
        <w:fldChar w:fldCharType="separate"/>
      </w:r>
      <w:r>
        <w:rPr>
          <w:rFonts w:hint="default" w:ascii="Times New Roman" w:hAnsi="Times New Roman" w:eastAsia="宋体" w:cs="Times New Roman"/>
          <w:i w:val="0"/>
          <w:szCs w:val="28"/>
        </w:rPr>
        <w:t xml:space="preserve">5.3 </w:t>
      </w:r>
      <w:r>
        <w:rPr>
          <w:rFonts w:hint="eastAsia"/>
        </w:rPr>
        <w:t>确定成交供应商</w:t>
      </w:r>
      <w:r>
        <w:tab/>
      </w:r>
      <w:r>
        <w:fldChar w:fldCharType="begin"/>
      </w:r>
      <w:r>
        <w:instrText xml:space="preserve"> PAGEREF _Toc11909 </w:instrText>
      </w:r>
      <w:r>
        <w:fldChar w:fldCharType="separate"/>
      </w:r>
      <w:r>
        <w:t>62</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_Toc15940 </w:instrText>
      </w:r>
      <w:r>
        <w:rPr>
          <w:rFonts w:ascii="宋体" w:hAnsi="宋体"/>
          <w:bCs w:val="0"/>
          <w:szCs w:val="36"/>
        </w:rPr>
        <w:fldChar w:fldCharType="separate"/>
      </w:r>
      <w:r>
        <w:rPr>
          <w:rFonts w:hint="default" w:ascii="Times New Roman" w:hAnsi="Times New Roman" w:eastAsia="宋体" w:cs="Times New Roman"/>
          <w:i w:val="0"/>
          <w:szCs w:val="28"/>
        </w:rPr>
        <w:t xml:space="preserve">5.4 </w:t>
      </w:r>
      <w:r>
        <w:rPr>
          <w:rFonts w:hint="eastAsia"/>
        </w:rPr>
        <w:t>磋商小组成员义务</w:t>
      </w:r>
      <w:r>
        <w:tab/>
      </w:r>
      <w:r>
        <w:fldChar w:fldCharType="begin"/>
      </w:r>
      <w:r>
        <w:instrText xml:space="preserve"> PAGEREF _Toc15940 </w:instrText>
      </w:r>
      <w:r>
        <w:fldChar w:fldCharType="separate"/>
      </w:r>
      <w:r>
        <w:t>64</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_Toc16725 </w:instrText>
      </w:r>
      <w:r>
        <w:rPr>
          <w:rFonts w:ascii="宋体" w:hAnsi="宋体"/>
          <w:bCs w:val="0"/>
          <w:szCs w:val="36"/>
        </w:rPr>
        <w:fldChar w:fldCharType="separate"/>
      </w:r>
      <w:r>
        <w:rPr>
          <w:rFonts w:hint="default" w:ascii="Times New Roman" w:hAnsi="Times New Roman" w:eastAsia="宋体" w:cs="Times New Roman"/>
          <w:i w:val="0"/>
          <w:szCs w:val="28"/>
        </w:rPr>
        <w:t xml:space="preserve">5.5 </w:t>
      </w:r>
      <w:r>
        <w:rPr>
          <w:rFonts w:hint="eastAsia"/>
        </w:rPr>
        <w:t>磋商小组及其成员不得有下列行为</w:t>
      </w:r>
      <w:r>
        <w:tab/>
      </w:r>
      <w:r>
        <w:fldChar w:fldCharType="begin"/>
      </w:r>
      <w:r>
        <w:instrText xml:space="preserve"> PAGEREF _Toc16725 </w:instrText>
      </w:r>
      <w:r>
        <w:fldChar w:fldCharType="separate"/>
      </w:r>
      <w:r>
        <w:t>65</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_Toc24869 </w:instrText>
      </w:r>
      <w:r>
        <w:rPr>
          <w:rFonts w:ascii="宋体" w:hAnsi="宋体"/>
          <w:bCs w:val="0"/>
          <w:szCs w:val="36"/>
        </w:rPr>
        <w:fldChar w:fldCharType="separate"/>
      </w:r>
      <w:r>
        <w:rPr>
          <w:rFonts w:hint="default" w:ascii="Times New Roman" w:hAnsi="Times New Roman" w:eastAsia="宋体" w:cs="Times New Roman"/>
          <w:i w:val="0"/>
          <w:szCs w:val="28"/>
        </w:rPr>
        <w:t xml:space="preserve">5.6 </w:t>
      </w:r>
      <w:r>
        <w:rPr>
          <w:rFonts w:hint="eastAsia"/>
        </w:rPr>
        <w:t>磋商纪律</w:t>
      </w:r>
      <w:r>
        <w:tab/>
      </w:r>
      <w:r>
        <w:fldChar w:fldCharType="begin"/>
      </w:r>
      <w:r>
        <w:instrText xml:space="preserve"> PAGEREF _Toc24869 </w:instrText>
      </w:r>
      <w:r>
        <w:fldChar w:fldCharType="separate"/>
      </w:r>
      <w:r>
        <w:t>65</w:t>
      </w:r>
      <w:r>
        <w:fldChar w:fldCharType="end"/>
      </w:r>
      <w:r>
        <w:rPr>
          <w:rFonts w:ascii="宋体" w:hAnsi="宋体"/>
          <w:bCs w:val="0"/>
          <w:color w:val="auto"/>
          <w:szCs w:val="36"/>
        </w:rPr>
        <w:fldChar w:fldCharType="end"/>
      </w:r>
    </w:p>
    <w:p>
      <w:pPr>
        <w:pStyle w:val="34"/>
        <w:tabs>
          <w:tab w:val="right" w:leader="dot" w:pos="9214"/>
          <w:tab w:val="clear" w:pos="840"/>
          <w:tab w:val="clear" w:pos="9204"/>
        </w:tabs>
      </w:pPr>
      <w:r>
        <w:rPr>
          <w:rFonts w:ascii="宋体" w:hAnsi="宋体"/>
          <w:bCs w:val="0"/>
          <w:color w:val="auto"/>
          <w:szCs w:val="36"/>
        </w:rPr>
        <w:fldChar w:fldCharType="begin"/>
      </w:r>
      <w:r>
        <w:rPr>
          <w:rFonts w:ascii="宋体" w:hAnsi="宋体"/>
          <w:bCs w:val="0"/>
          <w:szCs w:val="36"/>
        </w:rPr>
        <w:instrText xml:space="preserve"> HYPERLINK \l _Toc1759 </w:instrText>
      </w:r>
      <w:r>
        <w:rPr>
          <w:rFonts w:ascii="宋体" w:hAnsi="宋体"/>
          <w:bCs w:val="0"/>
          <w:szCs w:val="36"/>
        </w:rPr>
        <w:fldChar w:fldCharType="separate"/>
      </w:r>
      <w:r>
        <w:rPr>
          <w:rFonts w:hint="default" w:ascii="Times New Roman" w:hAnsi="Times New Roman" w:eastAsia="宋体"/>
          <w:i w:val="0"/>
          <w:szCs w:val="32"/>
        </w:rPr>
        <w:t xml:space="preserve">第6章 </w:t>
      </w:r>
      <w:r>
        <w:rPr>
          <w:rFonts w:hint="eastAsia"/>
        </w:rPr>
        <w:t>政府</w:t>
      </w:r>
      <w:r>
        <w:t>采购</w:t>
      </w:r>
      <w:r>
        <w:rPr>
          <w:rFonts w:hint="eastAsia"/>
        </w:rPr>
        <w:t>合同草案</w:t>
      </w:r>
      <w:r>
        <w:tab/>
      </w:r>
      <w:r>
        <w:fldChar w:fldCharType="begin"/>
      </w:r>
      <w:r>
        <w:instrText xml:space="preserve"> PAGEREF _Toc1759 </w:instrText>
      </w:r>
      <w:r>
        <w:fldChar w:fldCharType="separate"/>
      </w:r>
      <w:r>
        <w:t>67</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_Toc17829 </w:instrText>
      </w:r>
      <w:r>
        <w:rPr>
          <w:rFonts w:ascii="宋体" w:hAnsi="宋体"/>
          <w:bCs w:val="0"/>
          <w:szCs w:val="36"/>
        </w:rPr>
        <w:fldChar w:fldCharType="separate"/>
      </w:r>
      <w:r>
        <w:rPr>
          <w:rFonts w:hint="eastAsia" w:ascii="仿宋" w:hAnsi="仿宋" w:eastAsia="仿宋" w:cs="仿宋"/>
          <w:bCs w:val="0"/>
          <w:lang w:eastAsia="zh-CN"/>
        </w:rPr>
        <w:t>第一节</w:t>
      </w:r>
      <w:r>
        <w:rPr>
          <w:rFonts w:hint="eastAsia" w:ascii="仿宋" w:hAnsi="仿宋" w:eastAsia="仿宋" w:cs="仿宋"/>
          <w:bCs w:val="0"/>
          <w:lang w:val="en-US" w:eastAsia="zh-CN"/>
        </w:rPr>
        <w:t xml:space="preserve"> </w:t>
      </w:r>
      <w:r>
        <w:rPr>
          <w:rFonts w:hint="eastAsia" w:ascii="仿宋" w:hAnsi="仿宋" w:eastAsia="仿宋" w:cs="仿宋"/>
          <w:bCs w:val="0"/>
        </w:rPr>
        <w:t>合同协议书</w:t>
      </w:r>
      <w:r>
        <w:tab/>
      </w:r>
      <w:r>
        <w:fldChar w:fldCharType="begin"/>
      </w:r>
      <w:r>
        <w:instrText xml:space="preserve"> PAGEREF _Toc17829 </w:instrText>
      </w:r>
      <w:r>
        <w:fldChar w:fldCharType="separate"/>
      </w:r>
      <w:r>
        <w:t>68</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_Toc31525 </w:instrText>
      </w:r>
      <w:r>
        <w:rPr>
          <w:rFonts w:ascii="宋体" w:hAnsi="宋体"/>
          <w:bCs w:val="0"/>
          <w:szCs w:val="36"/>
        </w:rPr>
        <w:fldChar w:fldCharType="separate"/>
      </w:r>
      <w:r>
        <w:rPr>
          <w:rFonts w:hint="eastAsia" w:ascii="仿宋" w:hAnsi="仿宋" w:eastAsia="仿宋" w:cs="仿宋"/>
          <w:bCs w:val="0"/>
        </w:rPr>
        <w:t>第二节</w:t>
      </w:r>
      <w:r>
        <w:rPr>
          <w:rFonts w:hint="eastAsia" w:ascii="仿宋" w:hAnsi="仿宋" w:eastAsia="仿宋" w:cs="仿宋"/>
          <w:bCs w:val="0"/>
          <w:lang w:val="en-US" w:eastAsia="zh-CN"/>
        </w:rPr>
        <w:t xml:space="preserve"> </w:t>
      </w:r>
      <w:r>
        <w:rPr>
          <w:rFonts w:ascii="仿宋" w:hAnsi="仿宋" w:eastAsia="仿宋" w:cs="仿宋"/>
          <w:bCs w:val="0"/>
        </w:rPr>
        <w:t>通用合同条款</w:t>
      </w:r>
      <w:r>
        <w:tab/>
      </w:r>
      <w:r>
        <w:fldChar w:fldCharType="begin"/>
      </w:r>
      <w:r>
        <w:instrText xml:space="preserve"> PAGEREF _Toc31525 </w:instrText>
      </w:r>
      <w:r>
        <w:fldChar w:fldCharType="separate"/>
      </w:r>
      <w:r>
        <w:t>71</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_Toc16415 </w:instrText>
      </w:r>
      <w:r>
        <w:rPr>
          <w:rFonts w:ascii="宋体" w:hAnsi="宋体"/>
          <w:bCs w:val="0"/>
          <w:szCs w:val="36"/>
        </w:rPr>
        <w:fldChar w:fldCharType="separate"/>
      </w:r>
      <w:r>
        <w:rPr>
          <w:rFonts w:hint="eastAsia" w:ascii="仿宋" w:hAnsi="仿宋" w:eastAsia="仿宋" w:cs="仿宋"/>
          <w:bCs w:val="0"/>
          <w:lang w:eastAsia="zh-CN"/>
        </w:rPr>
        <w:t>第三节</w:t>
      </w:r>
      <w:r>
        <w:rPr>
          <w:rFonts w:hint="eastAsia" w:ascii="仿宋" w:hAnsi="仿宋" w:eastAsia="仿宋" w:cs="仿宋"/>
          <w:bCs w:val="0"/>
          <w:lang w:val="en-US" w:eastAsia="zh-CN"/>
        </w:rPr>
        <w:t xml:space="preserve"> </w:t>
      </w:r>
      <w:r>
        <w:rPr>
          <w:rFonts w:hint="eastAsia" w:ascii="仿宋" w:hAnsi="仿宋" w:eastAsia="仿宋" w:cs="仿宋"/>
          <w:bCs w:val="0"/>
        </w:rPr>
        <w:t>专用合同条款</w:t>
      </w:r>
      <w:r>
        <w:tab/>
      </w:r>
      <w:r>
        <w:fldChar w:fldCharType="begin"/>
      </w:r>
      <w:r>
        <w:instrText xml:space="preserve"> PAGEREF _Toc16415 </w:instrText>
      </w:r>
      <w:r>
        <w:fldChar w:fldCharType="separate"/>
      </w:r>
      <w:r>
        <w:t>71</w:t>
      </w:r>
      <w:r>
        <w:fldChar w:fldCharType="end"/>
      </w:r>
      <w:r>
        <w:rPr>
          <w:rFonts w:ascii="宋体" w:hAnsi="宋体"/>
          <w:bCs w:val="0"/>
          <w:color w:val="auto"/>
          <w:szCs w:val="36"/>
        </w:rPr>
        <w:fldChar w:fldCharType="end"/>
      </w:r>
    </w:p>
    <w:p>
      <w:pPr>
        <w:pStyle w:val="41"/>
        <w:tabs>
          <w:tab w:val="right" w:leader="dot" w:pos="9214"/>
        </w:tabs>
      </w:pPr>
      <w:r>
        <w:rPr>
          <w:rFonts w:ascii="宋体" w:hAnsi="宋体"/>
          <w:bCs w:val="0"/>
          <w:color w:val="auto"/>
          <w:szCs w:val="36"/>
        </w:rPr>
        <w:fldChar w:fldCharType="begin"/>
      </w:r>
      <w:r>
        <w:rPr>
          <w:rFonts w:ascii="宋体" w:hAnsi="宋体"/>
          <w:bCs w:val="0"/>
          <w:szCs w:val="36"/>
        </w:rPr>
        <w:instrText xml:space="preserve"> HYPERLINK \l _Toc20467 </w:instrText>
      </w:r>
      <w:r>
        <w:rPr>
          <w:rFonts w:ascii="宋体" w:hAnsi="宋体"/>
          <w:bCs w:val="0"/>
          <w:szCs w:val="36"/>
        </w:rPr>
        <w:fldChar w:fldCharType="separate"/>
      </w:r>
      <w:r>
        <w:rPr>
          <w:rFonts w:hint="eastAsia" w:ascii="仿宋" w:hAnsi="仿宋" w:eastAsia="仿宋" w:cs="仿宋"/>
          <w:bCs w:val="0"/>
          <w:lang w:eastAsia="zh-CN"/>
        </w:rPr>
        <w:t>第四节</w:t>
      </w:r>
      <w:r>
        <w:rPr>
          <w:rFonts w:hint="eastAsia" w:ascii="仿宋" w:hAnsi="仿宋" w:eastAsia="仿宋" w:cs="仿宋"/>
          <w:bCs w:val="0"/>
          <w:lang w:val="en-US" w:eastAsia="zh-CN"/>
        </w:rPr>
        <w:t xml:space="preserve"> </w:t>
      </w:r>
      <w:r>
        <w:rPr>
          <w:rFonts w:hint="eastAsia" w:ascii="仿宋" w:hAnsi="仿宋" w:eastAsia="仿宋" w:cs="仿宋"/>
          <w:bCs w:val="0"/>
          <w:lang w:eastAsia="zh-CN"/>
        </w:rPr>
        <w:t>合同附件格式</w:t>
      </w:r>
      <w:r>
        <w:tab/>
      </w:r>
      <w:r>
        <w:fldChar w:fldCharType="begin"/>
      </w:r>
      <w:r>
        <w:instrText xml:space="preserve"> PAGEREF _Toc20467 </w:instrText>
      </w:r>
      <w:r>
        <w:fldChar w:fldCharType="separate"/>
      </w:r>
      <w:r>
        <w:t>89</w:t>
      </w:r>
      <w:r>
        <w:fldChar w:fldCharType="end"/>
      </w:r>
      <w:r>
        <w:rPr>
          <w:rFonts w:ascii="宋体" w:hAnsi="宋体"/>
          <w:bCs w:val="0"/>
          <w:color w:val="auto"/>
          <w:szCs w:val="36"/>
        </w:rPr>
        <w:fldChar w:fldCharType="end"/>
      </w:r>
    </w:p>
    <w:p>
      <w:pPr>
        <w:pStyle w:val="34"/>
        <w:tabs>
          <w:tab w:val="right" w:leader="dot" w:pos="9214"/>
          <w:tab w:val="clear" w:pos="840"/>
          <w:tab w:val="clear" w:pos="9204"/>
        </w:tabs>
      </w:pPr>
      <w:r>
        <w:rPr>
          <w:rFonts w:ascii="宋体" w:hAnsi="宋体"/>
          <w:bCs w:val="0"/>
          <w:color w:val="auto"/>
          <w:szCs w:val="36"/>
        </w:rPr>
        <w:fldChar w:fldCharType="begin"/>
      </w:r>
      <w:r>
        <w:rPr>
          <w:rFonts w:ascii="宋体" w:hAnsi="宋体"/>
          <w:bCs w:val="0"/>
          <w:szCs w:val="36"/>
        </w:rPr>
        <w:instrText xml:space="preserve"> HYPERLINK \l _Toc26828 </w:instrText>
      </w:r>
      <w:r>
        <w:rPr>
          <w:rFonts w:ascii="宋体" w:hAnsi="宋体"/>
          <w:bCs w:val="0"/>
          <w:szCs w:val="36"/>
        </w:rPr>
        <w:fldChar w:fldCharType="separate"/>
      </w:r>
      <w:r>
        <w:rPr>
          <w:rFonts w:hint="default" w:ascii="Times New Roman" w:hAnsi="Times New Roman" w:eastAsia="宋体"/>
          <w:i w:val="0"/>
          <w:szCs w:val="32"/>
        </w:rPr>
        <w:t xml:space="preserve">第7章 </w:t>
      </w:r>
      <w:r>
        <w:rPr>
          <w:rFonts w:hint="eastAsia"/>
        </w:rPr>
        <w:t>工程量清单和图纸</w:t>
      </w:r>
      <w:r>
        <w:tab/>
      </w:r>
      <w:r>
        <w:fldChar w:fldCharType="begin"/>
      </w:r>
      <w:r>
        <w:instrText xml:space="preserve"> PAGEREF _Toc26828 </w:instrText>
      </w:r>
      <w:r>
        <w:fldChar w:fldCharType="separate"/>
      </w:r>
      <w:r>
        <w:t>91</w:t>
      </w:r>
      <w:r>
        <w:fldChar w:fldCharType="end"/>
      </w:r>
      <w:r>
        <w:rPr>
          <w:rFonts w:ascii="宋体" w:hAnsi="宋体"/>
          <w:bCs w:val="0"/>
          <w:color w:val="auto"/>
          <w:szCs w:val="36"/>
        </w:rPr>
        <w:fldChar w:fldCharType="end"/>
      </w:r>
    </w:p>
    <w:p>
      <w:pPr>
        <w:pStyle w:val="34"/>
        <w:spacing w:line="300" w:lineRule="exact"/>
        <w:rPr>
          <w:rFonts w:ascii="宋体" w:hAnsi="宋体"/>
          <w:b w:val="0"/>
          <w:bCs w:val="0"/>
          <w:color w:val="auto"/>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Cs w:val="0"/>
          <w:color w:val="auto"/>
          <w:szCs w:val="36"/>
        </w:rPr>
        <w:fldChar w:fldCharType="end"/>
      </w:r>
    </w:p>
    <w:p>
      <w:pPr>
        <w:pStyle w:val="3"/>
        <w:numPr>
          <w:ilvl w:val="0"/>
          <w:numId w:val="1"/>
        </w:numPr>
        <w:spacing w:before="0" w:after="0"/>
        <w:ind w:left="0" w:firstLine="0"/>
        <w:rPr>
          <w:color w:val="auto"/>
        </w:rPr>
      </w:pPr>
      <w:bookmarkStart w:id="0" w:name="_Toc13698"/>
      <w:r>
        <w:rPr>
          <w:rFonts w:hint="eastAsia"/>
          <w:color w:val="auto"/>
        </w:rPr>
        <w:t>竞争性磋商邀请</w:t>
      </w:r>
      <w:bookmarkEnd w:id="0"/>
    </w:p>
    <w:p>
      <w:pPr>
        <w:spacing w:line="600" w:lineRule="exact"/>
        <w:ind w:right="-24" w:rightChars="-10" w:firstLine="565" w:firstLineChars="201"/>
        <w:rPr>
          <w:rFonts w:ascii="宋体" w:hAnsi="宋体"/>
          <w:color w:val="auto"/>
          <w:sz w:val="28"/>
          <w:szCs w:val="28"/>
        </w:rPr>
      </w:pPr>
      <w:r>
        <w:rPr>
          <w:rFonts w:hint="eastAsia" w:ascii="宋体" w:hAnsi="宋体"/>
          <w:b/>
          <w:color w:val="auto"/>
          <w:sz w:val="28"/>
          <w:szCs w:val="28"/>
        </w:rPr>
        <w:t>成都市龙泉驿区公共资源交易服务中心</w:t>
      </w:r>
      <w:r>
        <w:rPr>
          <w:rFonts w:hint="eastAsia" w:ascii="宋体" w:hAnsi="宋体"/>
          <w:color w:val="auto"/>
          <w:sz w:val="28"/>
          <w:szCs w:val="28"/>
        </w:rPr>
        <w:t>(以下简称“龙泉驿区公资交易中心”)受</w:t>
      </w:r>
      <w:r>
        <w:rPr>
          <w:rFonts w:hint="eastAsia" w:ascii="宋体" w:hAnsi="宋体"/>
          <w:color w:val="auto"/>
          <w:sz w:val="28"/>
          <w:szCs w:val="28"/>
          <w:lang w:eastAsia="zh-CN"/>
        </w:rPr>
        <w:t>成都市龙泉驿区市政设施管理服务中心</w:t>
      </w:r>
      <w:r>
        <w:rPr>
          <w:rFonts w:hint="eastAsia" w:ascii="宋体" w:hAnsi="宋体"/>
          <w:color w:val="auto"/>
          <w:sz w:val="28"/>
          <w:szCs w:val="28"/>
        </w:rPr>
        <w:t>委托,拟对</w:t>
      </w:r>
      <w:r>
        <w:rPr>
          <w:rFonts w:hint="eastAsia" w:ascii="宋体" w:hAnsi="宋体"/>
          <w:b/>
          <w:color w:val="auto"/>
          <w:sz w:val="28"/>
          <w:szCs w:val="28"/>
          <w:lang w:eastAsia="zh-CN"/>
        </w:rPr>
        <w:t>成都市龙泉驿区市政设施管理服务中心2021年城市人行道维修提升整治采购项目</w:t>
      </w:r>
      <w:r>
        <w:rPr>
          <w:rFonts w:hint="eastAsia" w:ascii="宋体" w:hAnsi="宋体"/>
          <w:color w:val="auto"/>
          <w:sz w:val="28"/>
          <w:szCs w:val="28"/>
        </w:rPr>
        <w:t>采用竞争性磋商采购方式进行采购，特邀请已通过本次采购资格审查并随机抽取选中的供应商参加本项目的竞争性磋商。</w:t>
      </w:r>
    </w:p>
    <w:p>
      <w:pPr>
        <w:numPr>
          <w:ilvl w:val="0"/>
          <w:numId w:val="2"/>
        </w:numPr>
        <w:spacing w:line="600" w:lineRule="exact"/>
        <w:ind w:left="1134" w:hanging="563"/>
        <w:jc w:val="both"/>
        <w:rPr>
          <w:rFonts w:ascii="宋体" w:hAnsi="宋体"/>
          <w:color w:val="auto"/>
          <w:sz w:val="28"/>
          <w:szCs w:val="28"/>
        </w:rPr>
      </w:pPr>
      <w:r>
        <w:rPr>
          <w:rFonts w:hint="eastAsia" w:ascii="宋体" w:hAnsi="宋体"/>
          <w:b/>
          <w:color w:val="auto"/>
          <w:sz w:val="28"/>
          <w:szCs w:val="28"/>
        </w:rPr>
        <w:t>项目编号</w:t>
      </w:r>
      <w:r>
        <w:rPr>
          <w:rFonts w:hint="eastAsia" w:ascii="宋体" w:hAnsi="宋体"/>
          <w:color w:val="auto"/>
          <w:sz w:val="28"/>
          <w:szCs w:val="28"/>
        </w:rPr>
        <w:t>：</w:t>
      </w:r>
      <w:r>
        <w:rPr>
          <w:rFonts w:hint="eastAsia" w:ascii="宋体" w:hAnsi="宋体"/>
          <w:b/>
          <w:color w:val="auto"/>
          <w:sz w:val="28"/>
          <w:szCs w:val="28"/>
          <w:lang w:eastAsia="zh-CN"/>
        </w:rPr>
        <w:t>龙泉驿政采（2021）A0061号</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项目名称</w:t>
      </w:r>
      <w:r>
        <w:rPr>
          <w:rFonts w:hint="eastAsia" w:ascii="宋体" w:hAnsi="宋体"/>
          <w:color w:val="auto"/>
          <w:sz w:val="28"/>
          <w:szCs w:val="28"/>
        </w:rPr>
        <w:t>：</w:t>
      </w:r>
      <w:r>
        <w:rPr>
          <w:rFonts w:hint="eastAsia" w:ascii="宋体" w:hAnsi="宋体"/>
          <w:color w:val="auto"/>
          <w:sz w:val="28"/>
          <w:szCs w:val="28"/>
          <w:lang w:eastAsia="zh-CN"/>
        </w:rPr>
        <w:t>成都市龙泉驿区市政设施管理服务中心2021年城市人行道维修提升整治采购项目</w:t>
      </w:r>
    </w:p>
    <w:p>
      <w:pPr>
        <w:numPr>
          <w:ilvl w:val="0"/>
          <w:numId w:val="3"/>
        </w:numPr>
        <w:spacing w:line="360" w:lineRule="auto"/>
        <w:ind w:left="0" w:firstLine="0"/>
        <w:rPr>
          <w:rFonts w:ascii="宋体" w:hAnsi="宋体"/>
          <w:color w:val="000000"/>
          <w:sz w:val="28"/>
          <w:szCs w:val="28"/>
        </w:rPr>
      </w:pPr>
      <w:r>
        <w:rPr>
          <w:rFonts w:hint="eastAsia" w:ascii="宋体" w:hAnsi="宋体"/>
          <w:b/>
          <w:color w:val="auto"/>
          <w:sz w:val="28"/>
          <w:szCs w:val="28"/>
        </w:rPr>
        <w:t>资金来源、预算金额及最高限价：</w:t>
      </w:r>
      <w:r>
        <w:rPr>
          <w:rFonts w:hint="eastAsia" w:ascii="宋体" w:hAnsi="宋体"/>
          <w:color w:val="auto"/>
          <w:sz w:val="28"/>
          <w:szCs w:val="28"/>
        </w:rPr>
        <w:t>财政性资金，政府采购实施计划备案表号：（2021）1151号；预算品目：B0899其他构筑物修缮；预算金额：1870.770872万元。分三个包件；采购标的所属行业：建筑业</w:t>
      </w:r>
      <w:r>
        <w:rPr>
          <w:rFonts w:hint="eastAsia" w:ascii="宋体" w:hAnsi="宋体" w:cs="宋体"/>
          <w:sz w:val="28"/>
          <w:szCs w:val="28"/>
        </w:rPr>
        <w:t>。</w:t>
      </w:r>
    </w:p>
    <w:p>
      <w:pPr>
        <w:numPr>
          <w:ilvl w:val="0"/>
          <w:numId w:val="2"/>
        </w:numPr>
        <w:spacing w:line="600" w:lineRule="exact"/>
        <w:ind w:left="0" w:firstLine="567"/>
        <w:jc w:val="both"/>
        <w:rPr>
          <w:rFonts w:ascii="宋体" w:hAnsi="宋体"/>
          <w:b/>
          <w:color w:val="auto"/>
          <w:sz w:val="28"/>
          <w:szCs w:val="28"/>
        </w:rPr>
      </w:pPr>
      <w:r>
        <w:rPr>
          <w:rFonts w:hint="eastAsia" w:ascii="宋体" w:hAnsi="宋体"/>
          <w:b/>
          <w:color w:val="auto"/>
          <w:sz w:val="28"/>
          <w:szCs w:val="28"/>
        </w:rPr>
        <w:t>采购项目简介：</w:t>
      </w:r>
    </w:p>
    <w:p>
      <w:pPr>
        <w:tabs>
          <w:tab w:val="left" w:pos="851"/>
        </w:tabs>
        <w:spacing w:line="600" w:lineRule="exact"/>
        <w:ind w:firstLine="560" w:firstLineChars="200"/>
        <w:rPr>
          <w:rFonts w:ascii="宋体" w:hAnsi="宋体"/>
          <w:color w:val="auto"/>
          <w:sz w:val="28"/>
          <w:szCs w:val="28"/>
        </w:rPr>
      </w:pPr>
      <w:r>
        <w:rPr>
          <w:rFonts w:hint="eastAsia" w:ascii="宋体" w:hAnsi="宋体"/>
          <w:color w:val="auto"/>
          <w:sz w:val="28"/>
          <w:szCs w:val="28"/>
        </w:rPr>
        <w:t>按照市政府办公厅《中心城区城市道路人行道提升整治三年行动计划（2019-2021年）的通知》及区政府办《龙泉驿区城市道路人行道提升整治三年行动计划（2019-2021年）的通知》要求，本项目拟通过竞争性磋商，对圣景路一段、二段、三段、黄义路、双龙路、创业南街、金银花街、广乐路、汇丰路、沿山路一段、沿山路二段及公园路（局部）、大十三路等12条人行道进行维修提升整治。</w:t>
      </w:r>
    </w:p>
    <w:p>
      <w:pPr>
        <w:numPr>
          <w:ilvl w:val="0"/>
          <w:numId w:val="2"/>
        </w:numPr>
        <w:tabs>
          <w:tab w:val="left" w:pos="1134"/>
        </w:tabs>
        <w:spacing w:line="600" w:lineRule="exact"/>
        <w:ind w:left="0" w:firstLine="567"/>
        <w:jc w:val="both"/>
        <w:rPr>
          <w:rFonts w:ascii="宋体" w:hAnsi="宋体"/>
          <w:color w:val="auto"/>
          <w:sz w:val="28"/>
          <w:szCs w:val="28"/>
        </w:rPr>
      </w:pPr>
      <w:r>
        <w:rPr>
          <w:rFonts w:hint="eastAsia" w:ascii="宋体" w:hAnsi="宋体"/>
          <w:b/>
          <w:color w:val="auto"/>
          <w:sz w:val="28"/>
        </w:rPr>
        <w:t>定向采购情况：</w:t>
      </w:r>
      <w:r>
        <w:rPr>
          <w:rFonts w:hint="eastAsia" w:ascii="宋体" w:hAnsi="宋体"/>
          <w:color w:val="auto"/>
          <w:sz w:val="28"/>
        </w:rPr>
        <w:t>本项目专门面向中小企业采购。</w:t>
      </w:r>
    </w:p>
    <w:p>
      <w:pPr>
        <w:numPr>
          <w:ilvl w:val="0"/>
          <w:numId w:val="2"/>
        </w:numPr>
        <w:tabs>
          <w:tab w:val="left" w:pos="5949"/>
        </w:tabs>
        <w:spacing w:line="600" w:lineRule="exact"/>
        <w:ind w:left="0" w:firstLine="567"/>
        <w:jc w:val="both"/>
        <w:rPr>
          <w:rFonts w:ascii="宋体" w:hAnsi="宋体"/>
          <w:color w:val="auto"/>
          <w:sz w:val="28"/>
        </w:rPr>
      </w:pPr>
      <w:r>
        <w:rPr>
          <w:rFonts w:hint="eastAsia" w:ascii="宋体" w:hAnsi="宋体"/>
          <w:b/>
          <w:bCs/>
          <w:color w:val="auto"/>
          <w:sz w:val="28"/>
          <w:szCs w:val="28"/>
        </w:rPr>
        <w:t>邀请供应商：</w:t>
      </w:r>
      <w:r>
        <w:rPr>
          <w:rFonts w:hint="eastAsia" w:ascii="宋体" w:hAnsi="宋体"/>
          <w:color w:val="auto"/>
          <w:sz w:val="28"/>
        </w:rPr>
        <w:t>本次竞争性磋商在四川政府采购网上以公告形式发布，本项目已实行资格预审，邀请通过资格</w:t>
      </w:r>
      <w:r>
        <w:rPr>
          <w:rFonts w:ascii="宋体" w:hAnsi="宋体"/>
          <w:color w:val="auto"/>
          <w:sz w:val="28"/>
        </w:rPr>
        <w:t>预审随机抽</w:t>
      </w:r>
      <w:r>
        <w:rPr>
          <w:rFonts w:hint="eastAsia" w:ascii="宋体" w:hAnsi="宋体"/>
          <w:color w:val="auto"/>
          <w:sz w:val="28"/>
        </w:rPr>
        <w:t>签系统</w:t>
      </w:r>
      <w:r>
        <w:rPr>
          <w:rFonts w:ascii="宋体" w:hAnsi="宋体"/>
          <w:color w:val="auto"/>
          <w:sz w:val="28"/>
        </w:rPr>
        <w:t>随机抽取</w:t>
      </w:r>
      <w:r>
        <w:rPr>
          <w:rFonts w:hint="eastAsia" w:ascii="宋体" w:hAnsi="宋体"/>
          <w:color w:val="auto"/>
          <w:sz w:val="28"/>
        </w:rPr>
        <w:t>选中的</w:t>
      </w:r>
      <w:r>
        <w:rPr>
          <w:rFonts w:hint="eastAsia" w:ascii="宋体" w:hAnsi="宋体"/>
          <w:color w:val="auto"/>
          <w:sz w:val="28"/>
          <w:u w:val="single"/>
        </w:rPr>
        <w:t>6</w:t>
      </w:r>
      <w:r>
        <w:rPr>
          <w:rFonts w:hint="eastAsia" w:ascii="宋体" w:hAnsi="宋体"/>
          <w:color w:val="auto"/>
          <w:sz w:val="28"/>
        </w:rPr>
        <w:t>家进入磋商环节</w:t>
      </w:r>
      <w:r>
        <w:rPr>
          <w:rFonts w:ascii="宋体" w:hAnsi="宋体"/>
          <w:color w:val="auto"/>
          <w:sz w:val="28"/>
        </w:rPr>
        <w:t>的供应商参加本项目的竞争性磋商</w:t>
      </w:r>
      <w:r>
        <w:rPr>
          <w:rFonts w:hint="eastAsia" w:ascii="宋体" w:hAnsi="宋体"/>
          <w:color w:val="auto"/>
          <w:sz w:val="28"/>
        </w:rPr>
        <w:t>。</w:t>
      </w:r>
    </w:p>
    <w:p>
      <w:pPr>
        <w:numPr>
          <w:ilvl w:val="0"/>
          <w:numId w:val="2"/>
        </w:numPr>
        <w:spacing w:line="600" w:lineRule="exact"/>
        <w:ind w:left="0" w:firstLine="567"/>
        <w:jc w:val="both"/>
        <w:rPr>
          <w:rFonts w:ascii="宋体" w:hAnsi="宋体"/>
          <w:b/>
          <w:color w:val="auto"/>
          <w:sz w:val="28"/>
          <w:szCs w:val="28"/>
        </w:rPr>
      </w:pPr>
      <w:r>
        <w:rPr>
          <w:rFonts w:hint="eastAsia" w:ascii="宋体" w:hAnsi="宋体"/>
          <w:b/>
          <w:color w:val="auto"/>
          <w:sz w:val="28"/>
          <w:szCs w:val="28"/>
        </w:rPr>
        <w:t>供应商参加本次政府采购活动应具备的条件</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具有独立承担民事责任的能力；</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具有良好的商业信誉和健全的财务会计制度；</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具有履行合同所必须的设备和专业技术能力；</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color w:val="auto"/>
          <w:sz w:val="28"/>
          <w:szCs w:val="28"/>
        </w:rPr>
        <w:t>有依法缴纳税</w:t>
      </w:r>
      <w:r>
        <w:rPr>
          <w:rFonts w:hint="eastAsia" w:ascii="宋体" w:hAnsi="宋体"/>
          <w:sz w:val="28"/>
          <w:szCs w:val="28"/>
        </w:rPr>
        <w:t>收和社会保障资金的的良好记录；</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参加本次政府采购活动前三年内，在经营活动中没有重大违法记录；</w:t>
      </w:r>
    </w:p>
    <w:p>
      <w:pPr>
        <w:numPr>
          <w:ilvl w:val="0"/>
          <w:numId w:val="4"/>
        </w:numPr>
        <w:tabs>
          <w:tab w:val="left" w:pos="0"/>
          <w:tab w:val="left" w:pos="851"/>
          <w:tab w:val="left" w:pos="960"/>
          <w:tab w:val="left" w:pos="1276"/>
        </w:tabs>
        <w:spacing w:after="0" w:line="600" w:lineRule="exact"/>
        <w:ind w:left="0" w:firstLine="567"/>
        <w:rPr>
          <w:rFonts w:hint="eastAsia" w:ascii="宋体" w:hAnsi="宋体"/>
          <w:sz w:val="28"/>
          <w:szCs w:val="28"/>
        </w:rPr>
      </w:pPr>
      <w:r>
        <w:rPr>
          <w:rFonts w:hint="eastAsia" w:ascii="宋体" w:hAnsi="宋体"/>
          <w:sz w:val="28"/>
          <w:szCs w:val="28"/>
        </w:rPr>
        <w:t>符合法律、行政法规规定的其他条件；</w:t>
      </w:r>
    </w:p>
    <w:p>
      <w:pPr>
        <w:numPr>
          <w:ilvl w:val="0"/>
          <w:numId w:val="4"/>
        </w:numPr>
        <w:tabs>
          <w:tab w:val="left" w:pos="0"/>
          <w:tab w:val="left" w:pos="851"/>
          <w:tab w:val="left" w:pos="960"/>
          <w:tab w:val="left" w:pos="1276"/>
        </w:tabs>
        <w:spacing w:after="0" w:line="600" w:lineRule="exact"/>
        <w:ind w:left="0" w:firstLine="567"/>
        <w:rPr>
          <w:rFonts w:hint="eastAsia" w:ascii="宋体" w:hAnsi="宋体"/>
          <w:sz w:val="28"/>
          <w:szCs w:val="28"/>
        </w:rPr>
      </w:pPr>
      <w:r>
        <w:rPr>
          <w:rFonts w:hint="eastAsia" w:ascii="宋体" w:hAnsi="宋体"/>
          <w:sz w:val="28"/>
          <w:szCs w:val="28"/>
        </w:rPr>
        <w:t>本项目为专门面向中小企业采购项目，供应商应为中型、小型、微型企业（说明：供应商为监狱企业、残疾人福利性单位的视同小型、微型企业）；</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本次政府采购活动不接受供应商以联合体的形式参加资格预审；</w:t>
      </w:r>
    </w:p>
    <w:p>
      <w:pPr>
        <w:numPr>
          <w:ilvl w:val="0"/>
          <w:numId w:val="4"/>
        </w:numPr>
        <w:tabs>
          <w:tab w:val="left" w:pos="0"/>
          <w:tab w:val="left" w:pos="851"/>
          <w:tab w:val="left" w:pos="960"/>
          <w:tab w:val="left" w:pos="1276"/>
        </w:tabs>
        <w:spacing w:after="0" w:line="600" w:lineRule="exact"/>
        <w:ind w:left="0" w:firstLine="567"/>
        <w:rPr>
          <w:rFonts w:ascii="宋体" w:hAnsi="宋体"/>
          <w:color w:val="auto"/>
          <w:sz w:val="28"/>
          <w:szCs w:val="28"/>
        </w:rPr>
      </w:pPr>
      <w:r>
        <w:rPr>
          <w:rFonts w:hint="eastAsia" w:ascii="宋体" w:hAnsi="宋体"/>
          <w:sz w:val="28"/>
          <w:szCs w:val="28"/>
        </w:rPr>
        <w:t>根</w:t>
      </w:r>
      <w:r>
        <w:rPr>
          <w:rFonts w:hint="eastAsia" w:ascii="宋体" w:hAnsi="宋体"/>
          <w:color w:val="auto"/>
          <w:sz w:val="28"/>
          <w:szCs w:val="28"/>
        </w:rPr>
        <w:t>据采购项目提出的特殊条件；</w:t>
      </w:r>
    </w:p>
    <w:p>
      <w:pPr>
        <w:tabs>
          <w:tab w:val="left" w:pos="0"/>
          <w:tab w:val="left" w:pos="851"/>
          <w:tab w:val="left" w:pos="960"/>
          <w:tab w:val="left" w:pos="1276"/>
        </w:tabs>
        <w:spacing w:after="0" w:line="600" w:lineRule="exact"/>
        <w:ind w:firstLine="560" w:firstLineChars="200"/>
        <w:rPr>
          <w:rFonts w:ascii="宋体" w:hAnsi="宋体"/>
          <w:color w:val="auto"/>
          <w:sz w:val="28"/>
          <w:szCs w:val="28"/>
        </w:rPr>
      </w:pPr>
      <w:bookmarkStart w:id="1" w:name="_Hlk74229994"/>
      <w:r>
        <w:rPr>
          <w:rFonts w:hint="eastAsia" w:ascii="宋体" w:hAnsi="宋体"/>
          <w:color w:val="auto"/>
          <w:sz w:val="28"/>
          <w:szCs w:val="28"/>
        </w:rPr>
        <w:t>1、</w:t>
      </w:r>
      <w:r>
        <w:rPr>
          <w:rFonts w:hint="eastAsia" w:ascii="宋体" w:hAnsi="宋体"/>
          <w:color w:val="auto"/>
          <w:sz w:val="28"/>
          <w:szCs w:val="28"/>
          <w:u w:val="single"/>
          <w:lang w:val="en-US" w:eastAsia="zh-CN"/>
        </w:rPr>
        <w:t>具有建设行政主管部门颁布的市政公用工程施工总承包三级以上资质</w:t>
      </w:r>
      <w:r>
        <w:rPr>
          <w:rFonts w:hint="eastAsia" w:ascii="宋体" w:hAnsi="宋体"/>
          <w:color w:val="auto"/>
          <w:sz w:val="28"/>
          <w:szCs w:val="28"/>
        </w:rPr>
        <w:t>。</w:t>
      </w:r>
    </w:p>
    <w:p>
      <w:pPr>
        <w:tabs>
          <w:tab w:val="left" w:pos="0"/>
          <w:tab w:val="left" w:pos="851"/>
          <w:tab w:val="left" w:pos="960"/>
          <w:tab w:val="left" w:pos="1276"/>
        </w:tabs>
        <w:spacing w:after="0" w:line="600" w:lineRule="exact"/>
        <w:ind w:firstLine="560" w:firstLineChars="200"/>
        <w:rPr>
          <w:rFonts w:ascii="宋体" w:hAnsi="宋体"/>
          <w:color w:val="auto"/>
          <w:sz w:val="28"/>
          <w:szCs w:val="28"/>
        </w:rPr>
      </w:pPr>
      <w:r>
        <w:rPr>
          <w:rFonts w:hint="eastAsia" w:ascii="宋体" w:hAnsi="宋体"/>
          <w:color w:val="auto"/>
          <w:sz w:val="28"/>
          <w:szCs w:val="28"/>
        </w:rPr>
        <w:t>2、</w:t>
      </w:r>
      <w:r>
        <w:rPr>
          <w:rFonts w:hint="eastAsia" w:ascii="宋体" w:hAnsi="宋体"/>
          <w:color w:val="auto"/>
          <w:sz w:val="28"/>
          <w:szCs w:val="28"/>
          <w:u w:val="single"/>
        </w:rPr>
        <w:t>具有有效期内的安全生产许可证</w:t>
      </w:r>
      <w:r>
        <w:rPr>
          <w:rFonts w:hint="eastAsia" w:ascii="宋体" w:hAnsi="宋体"/>
          <w:color w:val="auto"/>
          <w:sz w:val="28"/>
          <w:szCs w:val="28"/>
        </w:rPr>
        <w:t>。</w:t>
      </w:r>
    </w:p>
    <w:p>
      <w:pPr>
        <w:tabs>
          <w:tab w:val="left" w:pos="0"/>
          <w:tab w:val="left" w:pos="851"/>
          <w:tab w:val="left" w:pos="960"/>
          <w:tab w:val="left" w:pos="1276"/>
        </w:tabs>
        <w:spacing w:after="0" w:line="600" w:lineRule="exact"/>
        <w:ind w:firstLine="560" w:firstLineChars="200"/>
        <w:rPr>
          <w:rFonts w:ascii="宋体" w:hAnsi="宋体"/>
          <w:color w:val="auto"/>
          <w:sz w:val="28"/>
          <w:szCs w:val="28"/>
        </w:rPr>
      </w:pPr>
      <w:r>
        <w:rPr>
          <w:rFonts w:hint="eastAsia" w:ascii="宋体" w:hAnsi="宋体"/>
          <w:color w:val="auto"/>
          <w:sz w:val="28"/>
          <w:szCs w:val="28"/>
        </w:rPr>
        <w:t>3、①项目经理：</w:t>
      </w:r>
      <w:r>
        <w:rPr>
          <w:rFonts w:hint="eastAsia" w:ascii="宋体" w:hAnsi="宋体"/>
          <w:color w:val="auto"/>
          <w:sz w:val="28"/>
          <w:szCs w:val="28"/>
          <w:u w:val="single"/>
          <w:lang w:val="en-US" w:eastAsia="zh-CN"/>
        </w:rPr>
        <w:t>市政专业二级及以上注册建造师资格及有效的安全生产考核合格证书（B证）</w:t>
      </w:r>
      <w:r>
        <w:rPr>
          <w:rFonts w:hint="eastAsia" w:ascii="宋体" w:hAnsi="宋体"/>
          <w:color w:val="auto"/>
          <w:sz w:val="28"/>
          <w:szCs w:val="28"/>
        </w:rPr>
        <w:t>；</w:t>
      </w:r>
    </w:p>
    <w:p>
      <w:pPr>
        <w:tabs>
          <w:tab w:val="left" w:pos="0"/>
          <w:tab w:val="left" w:pos="851"/>
          <w:tab w:val="left" w:pos="960"/>
          <w:tab w:val="left" w:pos="1276"/>
        </w:tabs>
        <w:spacing w:after="0" w:line="600" w:lineRule="exact"/>
        <w:ind w:firstLine="560" w:firstLineChars="200"/>
        <w:rPr>
          <w:rFonts w:ascii="宋体" w:hAnsi="宋体"/>
          <w:color w:val="auto"/>
          <w:sz w:val="28"/>
          <w:szCs w:val="28"/>
        </w:rPr>
      </w:pPr>
      <w:r>
        <w:rPr>
          <w:rFonts w:hint="eastAsia" w:ascii="宋体" w:hAnsi="宋体"/>
          <w:color w:val="auto"/>
          <w:sz w:val="28"/>
          <w:szCs w:val="28"/>
        </w:rPr>
        <w:t>②项目技术负责人：</w:t>
      </w:r>
      <w:r>
        <w:rPr>
          <w:rFonts w:hint="eastAsia" w:ascii="宋体" w:hAnsi="宋体"/>
          <w:color w:val="auto"/>
          <w:sz w:val="28"/>
          <w:szCs w:val="28"/>
          <w:u w:val="single"/>
        </w:rPr>
        <w:t>市政工程专业中级或以上职称</w:t>
      </w:r>
      <w:r>
        <w:rPr>
          <w:rFonts w:hint="eastAsia" w:ascii="宋体" w:hAnsi="宋体"/>
          <w:color w:val="auto"/>
          <w:sz w:val="28"/>
          <w:szCs w:val="28"/>
        </w:rPr>
        <w:t>；</w:t>
      </w:r>
    </w:p>
    <w:p>
      <w:pPr>
        <w:tabs>
          <w:tab w:val="left" w:pos="0"/>
          <w:tab w:val="left" w:pos="851"/>
          <w:tab w:val="left" w:pos="960"/>
          <w:tab w:val="left" w:pos="1276"/>
        </w:tabs>
        <w:spacing w:after="0" w:line="600" w:lineRule="exact"/>
        <w:ind w:firstLine="560" w:firstLineChars="200"/>
        <w:rPr>
          <w:rFonts w:hint="eastAsia" w:ascii="宋体" w:hAnsi="宋体"/>
          <w:color w:val="auto"/>
          <w:sz w:val="28"/>
          <w:szCs w:val="28"/>
        </w:rPr>
      </w:pPr>
      <w:r>
        <w:rPr>
          <w:rFonts w:hint="eastAsia" w:ascii="宋体" w:hAnsi="宋体"/>
          <w:color w:val="auto"/>
          <w:sz w:val="28"/>
          <w:szCs w:val="28"/>
        </w:rPr>
        <w:t>上述人员须为供应商本单位人员，相关证书复印件或四川省住房城乡建设行业数据共享平台的网络查询截图</w:t>
      </w:r>
      <w:bookmarkEnd w:id="1"/>
      <w:r>
        <w:rPr>
          <w:rFonts w:hint="eastAsia" w:ascii="宋体" w:hAnsi="宋体"/>
          <w:color w:val="auto"/>
          <w:sz w:val="28"/>
          <w:szCs w:val="28"/>
          <w:lang w:eastAsia="zh-CN"/>
        </w:rPr>
        <w:t>。</w:t>
      </w:r>
      <w:r>
        <w:rPr>
          <w:rFonts w:hint="eastAsia" w:ascii="宋体" w:hAnsi="宋体"/>
          <w:color w:val="auto"/>
          <w:sz w:val="28"/>
          <w:szCs w:val="28"/>
        </w:rPr>
        <w:t>（所提供印证材料均需加盖公章）。</w:t>
      </w:r>
    </w:p>
    <w:p>
      <w:pPr>
        <w:tabs>
          <w:tab w:val="left" w:pos="0"/>
          <w:tab w:val="left" w:pos="851"/>
          <w:tab w:val="left" w:pos="960"/>
          <w:tab w:val="left" w:pos="1276"/>
        </w:tabs>
        <w:spacing w:after="0" w:line="600" w:lineRule="exact"/>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4、</w:t>
      </w:r>
      <w:r>
        <w:rPr>
          <w:rFonts w:hint="eastAsia" w:ascii="宋体" w:hAnsi="宋体"/>
          <w:sz w:val="28"/>
          <w:szCs w:val="28"/>
        </w:rPr>
        <w:t>供应商为省外注册企业应提供《四川省省外建筑企业入川承揽业务验证登记证》复印件或带二维码的《四川省省外施工、监理入川承揽业务信息录入证》复印件；</w:t>
      </w:r>
    </w:p>
    <w:p>
      <w:pPr>
        <w:tabs>
          <w:tab w:val="left" w:pos="0"/>
          <w:tab w:val="left" w:pos="851"/>
          <w:tab w:val="left" w:pos="960"/>
          <w:tab w:val="left" w:pos="1276"/>
        </w:tabs>
        <w:spacing w:after="0" w:line="60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、供应商单位及其现任法定代表人/主要负责人近3年不得具有行贿犯罪记录；</w:t>
      </w:r>
    </w:p>
    <w:p>
      <w:pPr>
        <w:tabs>
          <w:tab w:val="left" w:pos="0"/>
          <w:tab w:val="left" w:pos="851"/>
          <w:tab w:val="left" w:pos="960"/>
          <w:tab w:val="left" w:pos="1276"/>
        </w:tabs>
        <w:spacing w:after="0" w:line="600" w:lineRule="exact"/>
        <w:ind w:firstLine="560" w:firstLineChars="200"/>
        <w:rPr>
          <w:rFonts w:hint="eastAsia" w:ascii="宋体" w:hAnsi="宋体" w:eastAsia="宋体"/>
          <w:color w:val="000000"/>
          <w:sz w:val="28"/>
          <w:lang w:eastAsia="zh-CN"/>
        </w:rPr>
      </w:pPr>
      <w:r>
        <w:rPr>
          <w:rFonts w:hint="eastAsia" w:ascii="宋体" w:hAnsi="宋体"/>
          <w:color w:val="auto"/>
          <w:sz w:val="28"/>
          <w:szCs w:val="28"/>
          <w:lang w:val="en-US" w:eastAsia="zh-CN"/>
        </w:rPr>
        <w:t>6</w:t>
      </w:r>
      <w:r>
        <w:rPr>
          <w:rFonts w:hint="eastAsia" w:ascii="宋体" w:hAnsi="宋体"/>
          <w:color w:val="auto"/>
          <w:sz w:val="28"/>
          <w:szCs w:val="28"/>
        </w:rPr>
        <w:t>、</w:t>
      </w:r>
      <w:r>
        <w:rPr>
          <w:rFonts w:hint="eastAsia" w:ascii="宋体" w:hAnsi="宋体"/>
          <w:color w:val="auto"/>
          <w:sz w:val="28"/>
          <w:szCs w:val="28"/>
          <w:u w:val="single"/>
        </w:rPr>
        <w:t>本项目不接受联合体投标</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b/>
          <w:color w:val="auto"/>
          <w:sz w:val="28"/>
        </w:rPr>
      </w:pPr>
      <w:r>
        <w:rPr>
          <w:rFonts w:hint="eastAsia" w:ascii="宋体" w:hAnsi="宋体"/>
          <w:b/>
          <w:color w:val="auto"/>
          <w:sz w:val="28"/>
        </w:rPr>
        <w:t>（</w:t>
      </w:r>
      <w:r>
        <w:rPr>
          <w:rFonts w:ascii="宋体" w:hAnsi="宋体"/>
          <w:b/>
          <w:color w:val="auto"/>
          <w:sz w:val="28"/>
        </w:rPr>
        <w:t>本项目已进行资格预审，供应商</w:t>
      </w:r>
      <w:r>
        <w:rPr>
          <w:rFonts w:hint="eastAsia" w:ascii="宋体" w:hAnsi="宋体"/>
          <w:b/>
          <w:color w:val="auto"/>
          <w:sz w:val="28"/>
        </w:rPr>
        <w:t>资格条件无变化的不须提供</w:t>
      </w:r>
      <w:r>
        <w:rPr>
          <w:rFonts w:ascii="宋体" w:hAnsi="宋体"/>
          <w:b/>
          <w:color w:val="auto"/>
          <w:sz w:val="28"/>
        </w:rPr>
        <w:t>资格性响应文件</w:t>
      </w:r>
      <w:r>
        <w:rPr>
          <w:rFonts w:hint="eastAsia" w:ascii="宋体" w:hAnsi="宋体"/>
          <w:b/>
          <w:color w:val="auto"/>
          <w:sz w:val="28"/>
        </w:rPr>
        <w:t>，资格预审合格的供应商在评审阶段资格发生变化的，应当通知</w:t>
      </w:r>
      <w:r>
        <w:rPr>
          <w:color w:val="auto"/>
        </w:rPr>
        <w:fldChar w:fldCharType="begin"/>
      </w:r>
      <w:r>
        <w:rPr>
          <w:color w:val="auto"/>
        </w:rPr>
        <w:instrText xml:space="preserve"> HYPERLINK "http://www.caigou2003.com/cgr/" \t "_blank" </w:instrText>
      </w:r>
      <w:r>
        <w:rPr>
          <w:color w:val="auto"/>
        </w:rPr>
        <w:fldChar w:fldCharType="separate"/>
      </w:r>
      <w:r>
        <w:rPr>
          <w:rFonts w:hint="eastAsia" w:ascii="宋体" w:hAnsi="宋体"/>
          <w:b/>
          <w:color w:val="auto"/>
          <w:sz w:val="28"/>
        </w:rPr>
        <w:t>采购人</w:t>
      </w:r>
      <w:r>
        <w:rPr>
          <w:rFonts w:hint="eastAsia" w:ascii="宋体" w:hAnsi="宋体"/>
          <w:b/>
          <w:color w:val="auto"/>
          <w:sz w:val="28"/>
        </w:rPr>
        <w:fldChar w:fldCharType="end"/>
      </w:r>
      <w:r>
        <w:rPr>
          <w:rFonts w:hint="eastAsia" w:ascii="宋体" w:hAnsi="宋体"/>
          <w:b/>
          <w:color w:val="auto"/>
          <w:sz w:val="28"/>
        </w:rPr>
        <w:t>和采购代理机构）</w:t>
      </w:r>
    </w:p>
    <w:p>
      <w:pPr>
        <w:numPr>
          <w:ilvl w:val="0"/>
          <w:numId w:val="2"/>
        </w:numPr>
        <w:spacing w:line="600" w:lineRule="exact"/>
        <w:ind w:left="0" w:firstLine="567"/>
        <w:jc w:val="both"/>
        <w:rPr>
          <w:rFonts w:ascii="宋体" w:hAnsi="宋体"/>
          <w:b/>
          <w:color w:val="auto"/>
          <w:sz w:val="28"/>
          <w:szCs w:val="28"/>
        </w:rPr>
      </w:pPr>
      <w:r>
        <w:rPr>
          <w:rFonts w:hint="eastAsia" w:ascii="宋体" w:hAnsi="宋体"/>
          <w:b/>
          <w:color w:val="auto"/>
          <w:sz w:val="28"/>
          <w:szCs w:val="28"/>
        </w:rPr>
        <w:t>采购项目技术、服务、商务和报价要求</w:t>
      </w:r>
    </w:p>
    <w:p>
      <w:pPr>
        <w:numPr>
          <w:ilvl w:val="0"/>
          <w:numId w:val="5"/>
        </w:numPr>
        <w:tabs>
          <w:tab w:val="left" w:pos="851"/>
        </w:tabs>
        <w:spacing w:line="600" w:lineRule="exact"/>
        <w:rPr>
          <w:rFonts w:ascii="宋体" w:hAnsi="宋体"/>
          <w:color w:val="auto"/>
          <w:sz w:val="28"/>
          <w:szCs w:val="28"/>
        </w:rPr>
      </w:pPr>
      <w:r>
        <w:rPr>
          <w:rFonts w:hint="eastAsia" w:ascii="宋体" w:hAnsi="宋体"/>
          <w:color w:val="auto"/>
          <w:sz w:val="28"/>
          <w:szCs w:val="28"/>
        </w:rPr>
        <w:t>采购内容</w:t>
      </w:r>
    </w:p>
    <w:p>
      <w:pPr>
        <w:tabs>
          <w:tab w:val="left" w:pos="851"/>
        </w:tabs>
        <w:spacing w:line="600" w:lineRule="exact"/>
        <w:ind w:firstLine="560" w:firstLineChars="200"/>
        <w:rPr>
          <w:rFonts w:ascii="宋体" w:hAnsi="宋体"/>
          <w:color w:val="auto"/>
          <w:sz w:val="28"/>
          <w:szCs w:val="28"/>
        </w:rPr>
      </w:pPr>
      <w:r>
        <w:rPr>
          <w:rFonts w:hint="eastAsia" w:ascii="宋体" w:hAnsi="宋体"/>
          <w:color w:val="auto"/>
          <w:sz w:val="28"/>
          <w:szCs w:val="28"/>
        </w:rPr>
        <w:t>工程量清单所示范围及内容。具体采购内容见磋商文件 “第7章工程量清单及图纸”。</w:t>
      </w:r>
    </w:p>
    <w:p>
      <w:pPr>
        <w:numPr>
          <w:ilvl w:val="0"/>
          <w:numId w:val="5"/>
        </w:numPr>
        <w:tabs>
          <w:tab w:val="left" w:pos="851"/>
        </w:tabs>
        <w:spacing w:line="600" w:lineRule="exact"/>
        <w:rPr>
          <w:rFonts w:ascii="宋体" w:hAnsi="宋体"/>
          <w:color w:val="auto"/>
          <w:sz w:val="28"/>
          <w:szCs w:val="28"/>
        </w:rPr>
      </w:pPr>
      <w:r>
        <w:rPr>
          <w:rFonts w:hint="eastAsia" w:ascii="宋体" w:hAnsi="宋体"/>
          <w:color w:val="auto"/>
          <w:sz w:val="28"/>
          <w:szCs w:val="28"/>
        </w:rPr>
        <w:t>技术、服务要求</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见磋商文件 “第4章项目技术、服务、商务及其他要求”。</w:t>
      </w:r>
    </w:p>
    <w:p>
      <w:pPr>
        <w:numPr>
          <w:ilvl w:val="0"/>
          <w:numId w:val="5"/>
        </w:numPr>
        <w:tabs>
          <w:tab w:val="left" w:pos="851"/>
        </w:tabs>
        <w:spacing w:line="600" w:lineRule="exact"/>
        <w:rPr>
          <w:rFonts w:ascii="宋体" w:hAnsi="宋体"/>
          <w:color w:val="auto"/>
          <w:sz w:val="28"/>
          <w:szCs w:val="28"/>
        </w:rPr>
      </w:pPr>
      <w:r>
        <w:rPr>
          <w:rFonts w:hint="eastAsia" w:ascii="宋体" w:hAnsi="宋体"/>
          <w:color w:val="auto"/>
          <w:sz w:val="28"/>
          <w:szCs w:val="28"/>
        </w:rPr>
        <w:t>报价要求</w:t>
      </w:r>
    </w:p>
    <w:p>
      <w:pPr>
        <w:spacing w:line="600" w:lineRule="exact"/>
        <w:ind w:firstLine="562" w:firstLineChars="201"/>
        <w:rPr>
          <w:rFonts w:ascii="宋体" w:hAnsi="宋体"/>
          <w:color w:val="auto"/>
          <w:sz w:val="28"/>
          <w:szCs w:val="28"/>
        </w:rPr>
      </w:pPr>
      <w:r>
        <w:rPr>
          <w:rFonts w:hint="eastAsia" w:ascii="宋体" w:hAnsi="宋体"/>
          <w:color w:val="auto"/>
          <w:sz w:val="28"/>
          <w:szCs w:val="28"/>
        </w:rPr>
        <w:t>供应商按磋商文件要求进行报价。</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磋商文件获取时间</w:t>
      </w:r>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（一）磋商文件获取时间：</w:t>
      </w:r>
      <w:r>
        <w:rPr>
          <w:rFonts w:hint="eastAsia" w:ascii="宋体" w:hAnsi="宋体"/>
          <w:color w:val="auto"/>
          <w:sz w:val="28"/>
          <w:szCs w:val="28"/>
          <w:highlight w:val="none"/>
          <w:u w:val="single"/>
        </w:rPr>
        <w:t>2021年</w:t>
      </w:r>
      <w:r>
        <w:rPr>
          <w:rFonts w:hint="eastAsia" w:ascii="宋体" w:hAnsi="宋体"/>
          <w:color w:val="auto"/>
          <w:sz w:val="28"/>
          <w:szCs w:val="28"/>
          <w:highlight w:val="none"/>
          <w:u w:val="single"/>
          <w:lang w:val="en-US" w:eastAsia="zh-CN"/>
        </w:rPr>
        <w:t>10</w:t>
      </w:r>
      <w:r>
        <w:rPr>
          <w:rFonts w:hint="eastAsia" w:ascii="宋体" w:hAnsi="宋体"/>
          <w:color w:val="auto"/>
          <w:sz w:val="28"/>
          <w:szCs w:val="28"/>
          <w:highlight w:val="none"/>
          <w:u w:val="single"/>
        </w:rPr>
        <w:t>月</w:t>
      </w:r>
      <w:r>
        <w:rPr>
          <w:rFonts w:hint="eastAsia" w:ascii="宋体" w:hAnsi="宋体"/>
          <w:color w:val="auto"/>
          <w:sz w:val="28"/>
          <w:szCs w:val="28"/>
          <w:highlight w:val="none"/>
          <w:u w:val="single"/>
          <w:lang w:val="en-US" w:eastAsia="zh-CN"/>
        </w:rPr>
        <w:t>25</w:t>
      </w:r>
      <w:r>
        <w:rPr>
          <w:rFonts w:hint="eastAsia" w:ascii="宋体" w:hAnsi="宋体"/>
          <w:color w:val="auto"/>
          <w:sz w:val="28"/>
          <w:szCs w:val="28"/>
          <w:highlight w:val="none"/>
          <w:u w:val="single"/>
        </w:rPr>
        <w:t>日至</w:t>
      </w:r>
      <w:r>
        <w:rPr>
          <w:rFonts w:hint="eastAsia" w:ascii="宋体" w:hAnsi="宋体"/>
          <w:color w:val="auto"/>
          <w:sz w:val="28"/>
          <w:szCs w:val="28"/>
          <w:highlight w:val="none"/>
          <w:u w:val="single"/>
          <w:lang w:val="en-US" w:eastAsia="zh-CN"/>
        </w:rPr>
        <w:t>10</w:t>
      </w:r>
      <w:r>
        <w:rPr>
          <w:rFonts w:hint="eastAsia" w:ascii="宋体" w:hAnsi="宋体"/>
          <w:color w:val="auto"/>
          <w:sz w:val="28"/>
          <w:szCs w:val="28"/>
          <w:highlight w:val="none"/>
          <w:u w:val="single"/>
        </w:rPr>
        <w:t>月</w:t>
      </w:r>
      <w:r>
        <w:rPr>
          <w:rFonts w:hint="eastAsia" w:ascii="宋体" w:hAnsi="宋体"/>
          <w:color w:val="auto"/>
          <w:sz w:val="28"/>
          <w:szCs w:val="28"/>
          <w:highlight w:val="none"/>
          <w:u w:val="single"/>
          <w:lang w:val="en-US" w:eastAsia="zh-CN"/>
        </w:rPr>
        <w:t>29</w:t>
      </w:r>
      <w:r>
        <w:rPr>
          <w:rFonts w:hint="eastAsia" w:ascii="宋体" w:hAnsi="宋体"/>
          <w:color w:val="auto"/>
          <w:sz w:val="28"/>
          <w:szCs w:val="28"/>
          <w:highlight w:val="none"/>
          <w:u w:val="single"/>
        </w:rPr>
        <w:t>日。</w:t>
      </w:r>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（二）公告期限：</w:t>
      </w:r>
      <w:r>
        <w:rPr>
          <w:rFonts w:hint="eastAsia" w:ascii="宋体" w:hAnsi="宋体"/>
          <w:color w:val="auto"/>
          <w:sz w:val="28"/>
          <w:szCs w:val="28"/>
          <w:highlight w:val="none"/>
          <w:u w:val="single"/>
        </w:rPr>
        <w:t>2021年</w:t>
      </w:r>
      <w:r>
        <w:rPr>
          <w:rFonts w:hint="eastAsia" w:ascii="宋体" w:hAnsi="宋体"/>
          <w:color w:val="auto"/>
          <w:sz w:val="28"/>
          <w:szCs w:val="28"/>
          <w:highlight w:val="none"/>
          <w:u w:val="single"/>
          <w:lang w:val="en-US" w:eastAsia="zh-CN"/>
        </w:rPr>
        <w:t>10</w:t>
      </w:r>
      <w:r>
        <w:rPr>
          <w:rFonts w:hint="eastAsia" w:ascii="宋体" w:hAnsi="宋体"/>
          <w:color w:val="auto"/>
          <w:sz w:val="28"/>
          <w:szCs w:val="28"/>
          <w:highlight w:val="none"/>
          <w:u w:val="single"/>
        </w:rPr>
        <w:t>月</w:t>
      </w:r>
      <w:r>
        <w:rPr>
          <w:rFonts w:hint="eastAsia" w:ascii="宋体" w:hAnsi="宋体"/>
          <w:color w:val="auto"/>
          <w:sz w:val="28"/>
          <w:szCs w:val="28"/>
          <w:highlight w:val="none"/>
          <w:u w:val="single"/>
          <w:lang w:val="en-US" w:eastAsia="zh-CN"/>
        </w:rPr>
        <w:t>25</w:t>
      </w:r>
      <w:r>
        <w:rPr>
          <w:rFonts w:hint="eastAsia" w:ascii="宋体" w:hAnsi="宋体"/>
          <w:color w:val="auto"/>
          <w:sz w:val="28"/>
          <w:szCs w:val="28"/>
          <w:highlight w:val="none"/>
          <w:u w:val="single"/>
        </w:rPr>
        <w:t>日至</w:t>
      </w:r>
      <w:r>
        <w:rPr>
          <w:rFonts w:hint="eastAsia" w:ascii="宋体" w:hAnsi="宋体"/>
          <w:color w:val="auto"/>
          <w:sz w:val="28"/>
          <w:szCs w:val="28"/>
          <w:highlight w:val="none"/>
          <w:u w:val="single"/>
          <w:lang w:val="en-US" w:eastAsia="zh-CN"/>
        </w:rPr>
        <w:t>10</w:t>
      </w:r>
      <w:r>
        <w:rPr>
          <w:rFonts w:hint="eastAsia" w:ascii="宋体" w:hAnsi="宋体"/>
          <w:color w:val="auto"/>
          <w:sz w:val="28"/>
          <w:szCs w:val="28"/>
          <w:highlight w:val="none"/>
          <w:u w:val="single"/>
        </w:rPr>
        <w:t>月</w:t>
      </w:r>
      <w:r>
        <w:rPr>
          <w:rFonts w:hint="eastAsia" w:ascii="宋体" w:hAnsi="宋体"/>
          <w:color w:val="auto"/>
          <w:sz w:val="28"/>
          <w:szCs w:val="28"/>
          <w:highlight w:val="none"/>
          <w:u w:val="single"/>
          <w:lang w:val="en-US" w:eastAsia="zh-CN"/>
        </w:rPr>
        <w:t>29</w:t>
      </w:r>
      <w:r>
        <w:rPr>
          <w:rFonts w:hint="eastAsia" w:ascii="宋体" w:hAnsi="宋体"/>
          <w:color w:val="auto"/>
          <w:sz w:val="28"/>
          <w:szCs w:val="28"/>
          <w:highlight w:val="none"/>
          <w:u w:val="single"/>
        </w:rPr>
        <w:t>日。</w:t>
      </w:r>
    </w:p>
    <w:p>
      <w:pPr>
        <w:numPr>
          <w:ilvl w:val="0"/>
          <w:numId w:val="2"/>
        </w:numPr>
        <w:spacing w:line="600" w:lineRule="exact"/>
        <w:ind w:left="0" w:firstLine="567"/>
        <w:jc w:val="both"/>
        <w:rPr>
          <w:rFonts w:ascii="宋体" w:hAnsi="宋体"/>
          <w:b/>
          <w:color w:val="auto"/>
          <w:sz w:val="28"/>
        </w:rPr>
      </w:pPr>
      <w:r>
        <w:rPr>
          <w:rFonts w:hint="eastAsia" w:ascii="宋体" w:hAnsi="宋体"/>
          <w:b/>
          <w:color w:val="auto"/>
          <w:sz w:val="28"/>
          <w:szCs w:val="28"/>
        </w:rPr>
        <w:t>磋商</w:t>
      </w:r>
      <w:r>
        <w:rPr>
          <w:rFonts w:hint="eastAsia" w:ascii="宋体" w:hAnsi="宋体"/>
          <w:b/>
          <w:color w:val="auto"/>
          <w:sz w:val="28"/>
        </w:rPr>
        <w:t>文件获取方式</w:t>
      </w:r>
    </w:p>
    <w:p>
      <w:pPr>
        <w:spacing w:line="360" w:lineRule="auto"/>
        <w:ind w:firstLine="560" w:firstLineChars="200"/>
        <w:rPr>
          <w:rFonts w:ascii="宋体" w:hAnsi="宋体"/>
          <w:color w:val="auto"/>
          <w:sz w:val="28"/>
          <w:szCs w:val="28"/>
        </w:rPr>
      </w:pPr>
      <w:r>
        <w:rPr>
          <w:rFonts w:hint="eastAsia" w:ascii="宋体" w:hAnsi="宋体"/>
          <w:color w:val="auto"/>
          <w:sz w:val="28"/>
          <w:szCs w:val="28"/>
        </w:rPr>
        <w:t>供应商要参加磋商，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color w:val="auto"/>
          <w:sz w:val="28"/>
          <w:szCs w:val="28"/>
        </w:rPr>
      </w:pPr>
      <w:r>
        <w:rPr>
          <w:rFonts w:hint="eastAsia" w:ascii="宋体" w:hAnsi="宋体"/>
          <w:color w:val="auto"/>
          <w:sz w:val="28"/>
          <w:szCs w:val="28"/>
        </w:rPr>
        <w:t>提示：</w:t>
      </w:r>
    </w:p>
    <w:p>
      <w:pPr>
        <w:spacing w:line="360" w:lineRule="auto"/>
        <w:ind w:firstLine="565" w:firstLineChars="202"/>
        <w:rPr>
          <w:rFonts w:ascii="宋体" w:hAnsi="宋体"/>
          <w:color w:val="auto"/>
          <w:sz w:val="28"/>
          <w:szCs w:val="28"/>
        </w:rPr>
      </w:pPr>
      <w:r>
        <w:rPr>
          <w:rFonts w:hint="eastAsia" w:ascii="宋体" w:hAnsi="宋体"/>
          <w:color w:val="auto"/>
          <w:sz w:val="28"/>
          <w:szCs w:val="28"/>
        </w:rPr>
        <w:t>（1）本项目采购文件免费获取。</w:t>
      </w:r>
    </w:p>
    <w:p>
      <w:pPr>
        <w:spacing w:line="360" w:lineRule="auto"/>
        <w:ind w:firstLine="565" w:firstLineChars="202"/>
        <w:rPr>
          <w:rFonts w:ascii="宋体" w:hAnsi="宋体"/>
          <w:color w:val="auto"/>
          <w:sz w:val="28"/>
          <w:szCs w:val="28"/>
        </w:rPr>
      </w:pPr>
      <w:r>
        <w:rPr>
          <w:rFonts w:hint="eastAsia" w:ascii="宋体" w:hAnsi="宋体"/>
          <w:color w:val="auto"/>
          <w:sz w:val="28"/>
          <w:szCs w:val="28"/>
        </w:rPr>
        <w:t>（2）本项目为电子采购项目，供应商参与本项目全过程中凡涉及系统操作请详见《成都市全流程电子化采购系统操作指南——供应商版》（操作指南请登陆政府采购云平台后，点击“前台大厅</w:t>
      </w:r>
      <w:r>
        <w:rPr>
          <w:rFonts w:ascii="宋体" w:hAnsi="宋体"/>
          <w:color w:val="auto"/>
          <w:sz w:val="28"/>
          <w:szCs w:val="28"/>
        </w:rPr>
        <w:t>—</w:t>
      </w:r>
      <w:r>
        <w:rPr>
          <w:rFonts w:hint="eastAsia" w:ascii="宋体" w:hAnsi="宋体"/>
          <w:color w:val="auto"/>
          <w:sz w:val="28"/>
          <w:szCs w:val="28"/>
        </w:rPr>
        <w:t>操作指南</w:t>
      </w:r>
      <w:r>
        <w:rPr>
          <w:rFonts w:ascii="宋体" w:hAnsi="宋体"/>
          <w:color w:val="auto"/>
          <w:sz w:val="28"/>
          <w:szCs w:val="28"/>
        </w:rPr>
        <w:t>—</w:t>
      </w:r>
      <w:r>
        <w:rPr>
          <w:rFonts w:hint="eastAsia" w:ascii="宋体" w:hAnsi="宋体"/>
          <w:color w:val="auto"/>
          <w:sz w:val="28"/>
          <w:szCs w:val="28"/>
        </w:rPr>
        <w:t>供应商”处下载查看）。</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磋商文件获取地点</w:t>
      </w:r>
      <w:r>
        <w:rPr>
          <w:rFonts w:hint="eastAsia" w:ascii="宋体" w:hAnsi="宋体"/>
          <w:color w:val="auto"/>
          <w:sz w:val="28"/>
          <w:szCs w:val="28"/>
        </w:rPr>
        <w:t>：</w:t>
      </w:r>
      <w:r>
        <w:rPr>
          <w:rFonts w:hint="eastAsia" w:ascii="宋体" w:hAnsi="宋体"/>
          <w:color w:val="auto"/>
          <w:sz w:val="28"/>
        </w:rPr>
        <w:t>登录成都市公共资源交易服务中心门户网站（https://www.cdggzy.com/）—用户中心—政府采购云平台获取。</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施工响应文件递交截止时间及开启时间（北京时间）、地点、方式</w:t>
      </w:r>
    </w:p>
    <w:p>
      <w:pPr>
        <w:pStyle w:val="81"/>
        <w:numPr>
          <w:ilvl w:val="0"/>
          <w:numId w:val="6"/>
        </w:numPr>
        <w:tabs>
          <w:tab w:val="left" w:pos="1418"/>
        </w:tabs>
        <w:spacing w:line="600" w:lineRule="exact"/>
        <w:ind w:left="0" w:firstLine="567" w:firstLineChars="0"/>
        <w:jc w:val="both"/>
        <w:rPr>
          <w:rFonts w:ascii="宋体" w:hAnsi="宋体" w:eastAsia="宋体"/>
          <w:b/>
          <w:color w:val="auto"/>
          <w:sz w:val="28"/>
          <w:szCs w:val="28"/>
          <w:highlight w:val="none"/>
        </w:rPr>
      </w:pPr>
      <w:r>
        <w:rPr>
          <w:rFonts w:hint="eastAsia" w:ascii="宋体" w:hAnsi="宋体" w:eastAsia="宋体"/>
          <w:b/>
          <w:color w:val="auto"/>
          <w:sz w:val="28"/>
          <w:szCs w:val="28"/>
          <w:highlight w:val="none"/>
        </w:rPr>
        <w:t>施工响应文件递交截止时间及开启时间：2021</w:t>
      </w:r>
      <w:r>
        <w:rPr>
          <w:rFonts w:ascii="宋体" w:hAnsi="宋体" w:eastAsia="宋体"/>
          <w:b/>
          <w:color w:val="auto"/>
          <w:sz w:val="28"/>
          <w:szCs w:val="28"/>
          <w:highlight w:val="none"/>
        </w:rPr>
        <w:t>年</w:t>
      </w:r>
      <w:r>
        <w:rPr>
          <w:rFonts w:hint="eastAsia" w:ascii="宋体" w:hAnsi="宋体" w:eastAsia="宋体"/>
          <w:b/>
          <w:color w:val="auto"/>
          <w:sz w:val="28"/>
          <w:szCs w:val="28"/>
          <w:highlight w:val="none"/>
          <w:u w:val="single"/>
          <w:lang w:val="en-US" w:eastAsia="zh-CN"/>
        </w:rPr>
        <w:t>11</w:t>
      </w:r>
      <w:r>
        <w:rPr>
          <w:rFonts w:ascii="宋体" w:hAnsi="宋体" w:eastAsia="宋体"/>
          <w:b/>
          <w:color w:val="auto"/>
          <w:sz w:val="28"/>
          <w:szCs w:val="28"/>
          <w:highlight w:val="none"/>
        </w:rPr>
        <w:t>月</w:t>
      </w:r>
      <w:r>
        <w:rPr>
          <w:rFonts w:hint="eastAsia" w:ascii="宋体" w:hAnsi="宋体" w:eastAsia="宋体"/>
          <w:b/>
          <w:bCs/>
          <w:color w:val="auto"/>
          <w:sz w:val="28"/>
          <w:szCs w:val="28"/>
          <w:highlight w:val="none"/>
          <w:u w:val="single"/>
          <w:lang w:val="en-US" w:eastAsia="zh-CN"/>
        </w:rPr>
        <w:t>4</w:t>
      </w:r>
      <w:r>
        <w:rPr>
          <w:rFonts w:ascii="宋体" w:hAnsi="宋体" w:eastAsia="宋体"/>
          <w:b/>
          <w:color w:val="auto"/>
          <w:sz w:val="28"/>
          <w:szCs w:val="28"/>
          <w:highlight w:val="none"/>
        </w:rPr>
        <w:t>日</w:t>
      </w:r>
      <w:r>
        <w:rPr>
          <w:rFonts w:hint="eastAsia" w:ascii="宋体" w:hAnsi="宋体" w:eastAsia="宋体"/>
          <w:b/>
          <w:color w:val="auto"/>
          <w:sz w:val="28"/>
          <w:szCs w:val="28"/>
          <w:highlight w:val="none"/>
        </w:rPr>
        <w:t>上午9</w:t>
      </w:r>
      <w:r>
        <w:rPr>
          <w:rFonts w:ascii="宋体" w:hAnsi="宋体" w:eastAsia="宋体"/>
          <w:b/>
          <w:color w:val="auto"/>
          <w:sz w:val="28"/>
          <w:szCs w:val="28"/>
          <w:highlight w:val="none"/>
        </w:rPr>
        <w:t>:</w:t>
      </w:r>
      <w:r>
        <w:rPr>
          <w:rFonts w:hint="eastAsia" w:ascii="宋体" w:hAnsi="宋体" w:eastAsia="宋体"/>
          <w:b/>
          <w:color w:val="auto"/>
          <w:sz w:val="28"/>
          <w:szCs w:val="28"/>
          <w:highlight w:val="none"/>
        </w:rPr>
        <w:t>30。</w:t>
      </w:r>
    </w:p>
    <w:p>
      <w:pPr>
        <w:pStyle w:val="81"/>
        <w:numPr>
          <w:ilvl w:val="0"/>
          <w:numId w:val="6"/>
        </w:numPr>
        <w:tabs>
          <w:tab w:val="left" w:pos="1418"/>
        </w:tabs>
        <w:spacing w:line="600" w:lineRule="exact"/>
        <w:ind w:left="0" w:firstLine="567" w:firstLineChars="0"/>
        <w:jc w:val="both"/>
        <w:rPr>
          <w:rFonts w:ascii="宋体" w:hAnsi="宋体" w:eastAsia="宋体"/>
          <w:b/>
          <w:color w:val="auto"/>
          <w:sz w:val="28"/>
          <w:szCs w:val="28"/>
        </w:rPr>
      </w:pPr>
      <w:r>
        <w:rPr>
          <w:rFonts w:hint="eastAsia" w:ascii="宋体" w:hAnsi="宋体" w:eastAsia="宋体"/>
          <w:b/>
          <w:color w:val="auto"/>
          <w:sz w:val="28"/>
          <w:szCs w:val="28"/>
        </w:rPr>
        <w:t>响应文件递交方式、地点：响应文件递交截止时间前，供应商应将加密的施工响应文件递交至“政府采购云平台”对应项目（包件）。</w:t>
      </w:r>
    </w:p>
    <w:p>
      <w:pPr>
        <w:pStyle w:val="81"/>
        <w:tabs>
          <w:tab w:val="left" w:pos="1418"/>
        </w:tabs>
        <w:spacing w:line="600" w:lineRule="exact"/>
        <w:ind w:left="567" w:firstLine="0" w:firstLineChars="0"/>
        <w:jc w:val="both"/>
        <w:rPr>
          <w:rFonts w:ascii="宋体" w:hAnsi="宋体" w:eastAsia="宋体"/>
          <w:b/>
          <w:color w:val="auto"/>
          <w:sz w:val="28"/>
          <w:szCs w:val="28"/>
          <w:highlight w:val="yellow"/>
        </w:rPr>
      </w:pPr>
      <w:r>
        <w:rPr>
          <w:rFonts w:hint="eastAsia" w:ascii="宋体" w:hAnsi="宋体"/>
          <w:color w:val="auto"/>
          <w:sz w:val="28"/>
          <w:szCs w:val="28"/>
        </w:rPr>
        <w:t>本项目只接受供应商加</w:t>
      </w:r>
      <w:bookmarkStart w:id="740" w:name="_GoBack"/>
      <w:bookmarkEnd w:id="740"/>
      <w:r>
        <w:rPr>
          <w:rFonts w:hint="eastAsia" w:ascii="宋体" w:hAnsi="宋体"/>
          <w:color w:val="auto"/>
          <w:sz w:val="28"/>
          <w:szCs w:val="28"/>
        </w:rPr>
        <w:t>密并递交至“政府采购云平台”的响应文件。</w:t>
      </w:r>
    </w:p>
    <w:p>
      <w:pPr>
        <w:numPr>
          <w:ilvl w:val="0"/>
          <w:numId w:val="2"/>
        </w:numPr>
        <w:spacing w:line="600" w:lineRule="exact"/>
        <w:ind w:left="0" w:firstLine="567"/>
        <w:jc w:val="both"/>
        <w:rPr>
          <w:rFonts w:ascii="宋体" w:hAnsi="宋体"/>
          <w:color w:val="auto"/>
          <w:sz w:val="28"/>
          <w:szCs w:val="28"/>
        </w:rPr>
      </w:pPr>
      <w:r>
        <w:rPr>
          <w:rFonts w:hint="eastAsia" w:ascii="宋体" w:hAnsi="宋体"/>
          <w:b/>
          <w:color w:val="auto"/>
          <w:sz w:val="28"/>
          <w:szCs w:val="28"/>
        </w:rPr>
        <w:t>磋商地点</w:t>
      </w:r>
    </w:p>
    <w:p>
      <w:pPr>
        <w:spacing w:line="360" w:lineRule="auto"/>
        <w:ind w:firstLine="580" w:firstLineChars="200"/>
        <w:rPr>
          <w:color w:val="auto"/>
          <w:sz w:val="29"/>
          <w:szCs w:val="29"/>
        </w:rPr>
      </w:pPr>
      <w:r>
        <w:rPr>
          <w:rFonts w:hint="eastAsia"/>
          <w:color w:val="auto"/>
          <w:sz w:val="29"/>
          <w:szCs w:val="29"/>
        </w:rPr>
        <w:t>本项目磋商为不见面开标。</w:t>
      </w:r>
    </w:p>
    <w:p>
      <w:pPr>
        <w:spacing w:line="360" w:lineRule="auto"/>
        <w:ind w:firstLine="582" w:firstLineChars="200"/>
        <w:rPr>
          <w:b/>
          <w:color w:val="auto"/>
          <w:sz w:val="29"/>
          <w:szCs w:val="29"/>
        </w:rPr>
      </w:pPr>
      <w:r>
        <w:rPr>
          <w:rFonts w:hint="eastAsia"/>
          <w:b/>
          <w:color w:val="auto"/>
          <w:sz w:val="29"/>
          <w:szCs w:val="29"/>
        </w:rPr>
        <w:t>磋商地点：政府采购云平台开标大厅。</w:t>
      </w:r>
    </w:p>
    <w:p>
      <w:pPr>
        <w:numPr>
          <w:ilvl w:val="0"/>
          <w:numId w:val="2"/>
        </w:numPr>
        <w:spacing w:line="600" w:lineRule="exact"/>
        <w:ind w:left="0" w:firstLine="567"/>
        <w:jc w:val="both"/>
        <w:rPr>
          <w:rFonts w:ascii="宋体" w:hAnsi="宋体"/>
          <w:b/>
          <w:color w:val="auto"/>
          <w:sz w:val="28"/>
          <w:szCs w:val="28"/>
        </w:rPr>
      </w:pPr>
      <w:r>
        <w:rPr>
          <w:rFonts w:hint="eastAsia" w:ascii="宋体" w:hAnsi="宋体"/>
          <w:b/>
          <w:color w:val="auto"/>
          <w:sz w:val="28"/>
          <w:szCs w:val="28"/>
        </w:rPr>
        <w:t>中小企业政府采购信用融资</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szCs w:val="28"/>
        </w:rPr>
      </w:pPr>
      <w:r>
        <w:rPr>
          <w:rFonts w:hint="eastAsia" w:ascii="宋体" w:hAnsi="宋体"/>
          <w:color w:val="auto"/>
          <w:sz w:val="28"/>
          <w:szCs w:val="28"/>
        </w:rPr>
        <w:t>参加本次采购活动成交的中小企业无需提供财产抵押或第三方担保，凭借政府采购合同可向融资机构申请融资。具体内容详见磋商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firstLine="567"/>
        <w:jc w:val="both"/>
        <w:textAlignment w:val="auto"/>
        <w:rPr>
          <w:rFonts w:ascii="宋体" w:hAnsi="宋体"/>
          <w:b/>
          <w:color w:val="auto"/>
          <w:sz w:val="28"/>
          <w:szCs w:val="28"/>
        </w:rPr>
      </w:pPr>
      <w:r>
        <w:rPr>
          <w:rFonts w:hint="eastAsia" w:ascii="宋体" w:hAnsi="宋体"/>
          <w:b/>
          <w:color w:val="auto"/>
          <w:sz w:val="28"/>
          <w:szCs w:val="28"/>
        </w:rPr>
        <w:t>联系人及联系电话</w:t>
      </w:r>
    </w:p>
    <w:p>
      <w:pPr>
        <w:keepNext w:val="0"/>
        <w:keepLines w:val="0"/>
        <w:pageBreakBefore w:val="0"/>
        <w:kinsoku/>
        <w:wordWrap/>
        <w:overflowPunct/>
        <w:topLinePunct w:val="0"/>
        <w:autoSpaceDE/>
        <w:autoSpaceDN/>
        <w:bidi w:val="0"/>
        <w:adjustRightInd w:val="0"/>
        <w:snapToGrid w:val="0"/>
        <w:spacing w:line="360" w:lineRule="auto"/>
        <w:ind w:firstLine="708" w:firstLineChars="252"/>
        <w:textAlignment w:val="auto"/>
        <w:rPr>
          <w:rFonts w:hint="eastAsia" w:ascii="宋体" w:hAnsi="宋体" w:eastAsia="宋体"/>
          <w:b/>
          <w:color w:val="auto"/>
          <w:sz w:val="28"/>
          <w:szCs w:val="28"/>
          <w:lang w:eastAsia="zh-CN"/>
        </w:rPr>
      </w:pPr>
      <w:r>
        <w:rPr>
          <w:rFonts w:hint="eastAsia" w:ascii="宋体" w:hAnsi="宋体"/>
          <w:b/>
          <w:color w:val="auto"/>
          <w:sz w:val="28"/>
          <w:szCs w:val="28"/>
        </w:rPr>
        <w:t>采购人：</w:t>
      </w:r>
      <w:r>
        <w:rPr>
          <w:rFonts w:hint="eastAsia" w:ascii="宋体" w:hAnsi="宋体"/>
          <w:b/>
          <w:color w:val="auto"/>
          <w:sz w:val="28"/>
          <w:szCs w:val="28"/>
          <w:lang w:eastAsia="zh-CN"/>
        </w:rPr>
        <w:t>成都市龙泉驿区市政设施管理服务中心</w:t>
      </w:r>
    </w:p>
    <w:p>
      <w:pPr>
        <w:keepNext w:val="0"/>
        <w:keepLines w:val="0"/>
        <w:pageBreakBefore w:val="0"/>
        <w:widowControl w:val="0"/>
        <w:kinsoku/>
        <w:wordWrap/>
        <w:overflowPunct/>
        <w:topLinePunct w:val="0"/>
        <w:autoSpaceDE/>
        <w:autoSpaceDN/>
        <w:bidi w:val="0"/>
        <w:adjustRightInd w:val="0"/>
        <w:snapToGrid w:val="0"/>
        <w:spacing w:line="360" w:lineRule="auto"/>
        <w:ind w:firstLine="705" w:firstLineChars="252"/>
        <w:textAlignment w:val="auto"/>
        <w:rPr>
          <w:rFonts w:hint="default" w:ascii="宋体" w:hAnsi="宋体" w:eastAsia="宋体"/>
          <w:color w:val="auto"/>
          <w:sz w:val="28"/>
          <w:szCs w:val="28"/>
          <w:lang w:val="en-US" w:eastAsia="zh-CN"/>
        </w:rPr>
      </w:pPr>
      <w:r>
        <w:rPr>
          <w:rFonts w:hint="eastAsia" w:ascii="宋体" w:hAnsi="宋体"/>
          <w:color w:val="auto"/>
          <w:sz w:val="28"/>
          <w:szCs w:val="28"/>
        </w:rPr>
        <w:t>地  址：成都市龙泉驿区大面镇大华街264号</w:t>
      </w:r>
    </w:p>
    <w:p>
      <w:pPr>
        <w:keepNext w:val="0"/>
        <w:keepLines w:val="0"/>
        <w:pageBreakBefore w:val="0"/>
        <w:widowControl w:val="0"/>
        <w:kinsoku/>
        <w:wordWrap/>
        <w:overflowPunct/>
        <w:topLinePunct w:val="0"/>
        <w:autoSpaceDE/>
        <w:autoSpaceDN/>
        <w:bidi w:val="0"/>
        <w:adjustRightInd w:val="0"/>
        <w:snapToGrid w:val="0"/>
        <w:spacing w:line="360" w:lineRule="auto"/>
        <w:ind w:firstLine="705" w:firstLineChars="252"/>
        <w:textAlignment w:val="auto"/>
        <w:rPr>
          <w:rFonts w:ascii="宋体" w:hAnsi="宋体"/>
          <w:color w:val="auto"/>
          <w:sz w:val="28"/>
          <w:szCs w:val="28"/>
        </w:rPr>
      </w:pPr>
      <w:r>
        <w:rPr>
          <w:rFonts w:hint="eastAsia" w:ascii="宋体" w:hAnsi="宋体"/>
          <w:color w:val="auto"/>
          <w:sz w:val="28"/>
          <w:szCs w:val="28"/>
        </w:rPr>
        <w:t>联系人：赖</w:t>
      </w:r>
      <w:r>
        <w:rPr>
          <w:rFonts w:hint="eastAsia" w:ascii="宋体" w:hAnsi="宋体"/>
          <w:color w:val="auto"/>
          <w:sz w:val="28"/>
          <w:szCs w:val="28"/>
          <w:lang w:eastAsia="zh-CN"/>
        </w:rPr>
        <w:t>文富</w:t>
      </w:r>
      <w:r>
        <w:rPr>
          <w:rFonts w:hint="eastAsia" w:ascii="宋体" w:hAnsi="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705" w:firstLineChars="252"/>
        <w:textAlignment w:val="auto"/>
        <w:rPr>
          <w:rFonts w:hint="default" w:ascii="宋体" w:hAnsi="宋体" w:eastAsia="宋体"/>
          <w:color w:val="000000"/>
          <w:sz w:val="28"/>
          <w:szCs w:val="28"/>
          <w:lang w:val="en-US" w:eastAsia="zh-CN"/>
        </w:rPr>
      </w:pPr>
      <w:r>
        <w:rPr>
          <w:rFonts w:hint="eastAsia" w:ascii="宋体" w:hAnsi="宋体"/>
          <w:color w:val="auto"/>
          <w:sz w:val="28"/>
          <w:szCs w:val="28"/>
        </w:rPr>
        <w:t>联系电话：</w:t>
      </w:r>
      <w:r>
        <w:rPr>
          <w:rFonts w:hint="eastAsia" w:ascii="宋体" w:hAnsi="宋体"/>
          <w:color w:val="auto"/>
          <w:sz w:val="28"/>
          <w:szCs w:val="28"/>
          <w:lang w:val="en-US" w:eastAsia="zh-CN"/>
        </w:rPr>
        <w:t>028-88458939</w:t>
      </w:r>
    </w:p>
    <w:p>
      <w:pPr>
        <w:keepNext w:val="0"/>
        <w:keepLines w:val="0"/>
        <w:pageBreakBefore w:val="0"/>
        <w:kinsoku/>
        <w:wordWrap/>
        <w:overflowPunct/>
        <w:topLinePunct w:val="0"/>
        <w:autoSpaceDE/>
        <w:autoSpaceDN/>
        <w:bidi w:val="0"/>
        <w:adjustRightInd w:val="0"/>
        <w:snapToGrid w:val="0"/>
        <w:spacing w:line="360" w:lineRule="auto"/>
        <w:ind w:firstLine="708" w:firstLineChars="252"/>
        <w:textAlignment w:val="auto"/>
        <w:rPr>
          <w:rFonts w:ascii="宋体" w:hAnsi="宋体"/>
          <w:b/>
          <w:color w:val="auto"/>
          <w:sz w:val="28"/>
          <w:szCs w:val="28"/>
        </w:rPr>
      </w:pPr>
      <w:r>
        <w:rPr>
          <w:rFonts w:hint="eastAsia" w:ascii="宋体" w:hAnsi="宋体"/>
          <w:b/>
          <w:color w:val="auto"/>
          <w:sz w:val="28"/>
          <w:szCs w:val="28"/>
        </w:rPr>
        <w:t>成都市龙泉驿区公共资源交易服务中心</w:t>
      </w:r>
    </w:p>
    <w:p>
      <w:pPr>
        <w:keepNext w:val="0"/>
        <w:keepLines w:val="0"/>
        <w:pageBreakBefore w:val="0"/>
        <w:kinsoku/>
        <w:wordWrap/>
        <w:overflowPunct/>
        <w:topLinePunct w:val="0"/>
        <w:autoSpaceDE/>
        <w:autoSpaceDN/>
        <w:bidi w:val="0"/>
        <w:adjustRightInd w:val="0"/>
        <w:snapToGrid w:val="0"/>
        <w:spacing w:line="360" w:lineRule="auto"/>
        <w:ind w:firstLine="705" w:firstLineChars="252"/>
        <w:textAlignment w:val="auto"/>
        <w:rPr>
          <w:rFonts w:ascii="宋体" w:hAnsi="宋体"/>
          <w:color w:val="000000"/>
          <w:sz w:val="28"/>
          <w:szCs w:val="28"/>
        </w:rPr>
      </w:pPr>
      <w:r>
        <w:rPr>
          <w:rFonts w:hint="eastAsia" w:ascii="宋体" w:hAnsi="宋体"/>
          <w:color w:val="000000"/>
          <w:sz w:val="28"/>
          <w:szCs w:val="28"/>
        </w:rPr>
        <w:t>地址：成都市龙泉驿区北泉路777号区政务服务中心6楼</w:t>
      </w:r>
    </w:p>
    <w:p>
      <w:pPr>
        <w:keepNext w:val="0"/>
        <w:keepLines w:val="0"/>
        <w:pageBreakBefore w:val="0"/>
        <w:kinsoku/>
        <w:wordWrap/>
        <w:overflowPunct/>
        <w:topLinePunct w:val="0"/>
        <w:autoSpaceDE/>
        <w:autoSpaceDN/>
        <w:bidi w:val="0"/>
        <w:adjustRightInd w:val="0"/>
        <w:snapToGrid w:val="0"/>
        <w:spacing w:line="360" w:lineRule="auto"/>
        <w:ind w:firstLine="705" w:firstLineChars="252"/>
        <w:textAlignment w:val="auto"/>
        <w:rPr>
          <w:rFonts w:ascii="宋体" w:hAnsi="宋体"/>
          <w:color w:val="000000"/>
          <w:sz w:val="28"/>
          <w:szCs w:val="28"/>
        </w:rPr>
      </w:pPr>
      <w:r>
        <w:rPr>
          <w:rFonts w:hint="eastAsia" w:ascii="宋体" w:hAnsi="宋体"/>
          <w:color w:val="000000"/>
          <w:sz w:val="28"/>
          <w:szCs w:val="28"/>
        </w:rPr>
        <w:t>邮    编：610100</w:t>
      </w:r>
    </w:p>
    <w:p>
      <w:pPr>
        <w:keepNext w:val="0"/>
        <w:keepLines w:val="0"/>
        <w:pageBreakBefore w:val="0"/>
        <w:kinsoku/>
        <w:wordWrap/>
        <w:overflowPunct/>
        <w:topLinePunct w:val="0"/>
        <w:autoSpaceDE/>
        <w:autoSpaceDN/>
        <w:bidi w:val="0"/>
        <w:adjustRightInd w:val="0"/>
        <w:snapToGrid w:val="0"/>
        <w:spacing w:line="360" w:lineRule="auto"/>
        <w:ind w:firstLine="705" w:firstLineChars="252"/>
        <w:textAlignment w:val="auto"/>
        <w:rPr>
          <w:rFonts w:ascii="宋体" w:hAnsi="宋体"/>
          <w:color w:val="000000"/>
          <w:sz w:val="28"/>
          <w:szCs w:val="28"/>
        </w:rPr>
      </w:pPr>
      <w:r>
        <w:rPr>
          <w:rFonts w:hint="eastAsia" w:ascii="宋体" w:hAnsi="宋体"/>
          <w:color w:val="000000"/>
          <w:sz w:val="28"/>
          <w:szCs w:val="28"/>
        </w:rPr>
        <w:t>联 系 人：</w:t>
      </w:r>
      <w:r>
        <w:rPr>
          <w:rFonts w:hint="eastAsia" w:ascii="宋体" w:hAnsi="宋体"/>
          <w:color w:val="000000"/>
          <w:sz w:val="28"/>
          <w:szCs w:val="28"/>
          <w:lang w:eastAsia="zh-CN"/>
        </w:rPr>
        <w:t>黄志平</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val="0"/>
        <w:snapToGrid w:val="0"/>
        <w:spacing w:line="360" w:lineRule="auto"/>
        <w:ind w:firstLine="705" w:firstLineChars="252"/>
        <w:textAlignment w:val="auto"/>
        <w:rPr>
          <w:rFonts w:ascii="宋体" w:hAnsi="宋体"/>
          <w:color w:val="000000"/>
          <w:sz w:val="28"/>
          <w:szCs w:val="28"/>
        </w:rPr>
      </w:pPr>
      <w:r>
        <w:rPr>
          <w:rFonts w:hint="eastAsia" w:ascii="宋体" w:hAnsi="宋体"/>
          <w:color w:val="000000"/>
          <w:sz w:val="28"/>
          <w:szCs w:val="28"/>
        </w:rPr>
        <w:t>联系电话：028-61430621</w:t>
      </w:r>
    </w:p>
    <w:p>
      <w:pPr>
        <w:keepNext w:val="0"/>
        <w:keepLines w:val="0"/>
        <w:pageBreakBefore w:val="0"/>
        <w:kinsoku/>
        <w:wordWrap/>
        <w:overflowPunct/>
        <w:topLinePunct w:val="0"/>
        <w:autoSpaceDE/>
        <w:autoSpaceDN/>
        <w:bidi w:val="0"/>
        <w:adjustRightInd w:val="0"/>
        <w:snapToGrid w:val="0"/>
        <w:spacing w:line="360" w:lineRule="auto"/>
        <w:ind w:firstLine="708" w:firstLineChars="252"/>
        <w:textAlignment w:val="auto"/>
        <w:rPr>
          <w:rFonts w:ascii="宋体" w:hAnsi="宋体"/>
          <w:b/>
          <w:color w:val="auto"/>
          <w:sz w:val="28"/>
          <w:szCs w:val="28"/>
        </w:rPr>
      </w:pPr>
      <w:r>
        <w:rPr>
          <w:rFonts w:hint="eastAsia" w:ascii="宋体" w:hAnsi="宋体"/>
          <w:b/>
          <w:color w:val="auto"/>
          <w:sz w:val="28"/>
          <w:szCs w:val="28"/>
        </w:rPr>
        <w:t>政府采购监督机构：成都市龙泉驿区财政局</w:t>
      </w:r>
    </w:p>
    <w:p>
      <w:pPr>
        <w:keepNext w:val="0"/>
        <w:keepLines w:val="0"/>
        <w:pageBreakBefore w:val="0"/>
        <w:kinsoku/>
        <w:wordWrap/>
        <w:overflowPunct/>
        <w:topLinePunct w:val="0"/>
        <w:autoSpaceDE/>
        <w:autoSpaceDN/>
        <w:bidi w:val="0"/>
        <w:adjustRightInd w:val="0"/>
        <w:snapToGrid w:val="0"/>
        <w:spacing w:line="360" w:lineRule="auto"/>
        <w:ind w:firstLine="705" w:firstLineChars="252"/>
        <w:textAlignment w:val="auto"/>
        <w:rPr>
          <w:rFonts w:ascii="宋体" w:hAnsi="宋体"/>
          <w:color w:val="auto"/>
          <w:sz w:val="28"/>
          <w:szCs w:val="28"/>
        </w:rPr>
      </w:pPr>
      <w:r>
        <w:rPr>
          <w:rFonts w:hint="eastAsia" w:ascii="宋体" w:hAnsi="宋体"/>
          <w:color w:val="auto"/>
          <w:sz w:val="28"/>
          <w:szCs w:val="28"/>
        </w:rPr>
        <w:t>地 址：成都市龙泉驿区中街聚星楼6-7楼</w:t>
      </w:r>
    </w:p>
    <w:p>
      <w:pPr>
        <w:keepNext w:val="0"/>
        <w:keepLines w:val="0"/>
        <w:pageBreakBefore w:val="0"/>
        <w:kinsoku/>
        <w:wordWrap/>
        <w:overflowPunct/>
        <w:topLinePunct w:val="0"/>
        <w:autoSpaceDE/>
        <w:autoSpaceDN/>
        <w:bidi w:val="0"/>
        <w:adjustRightInd w:val="0"/>
        <w:snapToGrid w:val="0"/>
        <w:spacing w:line="360" w:lineRule="auto"/>
        <w:ind w:firstLine="705" w:firstLineChars="252"/>
        <w:textAlignment w:val="auto"/>
        <w:rPr>
          <w:rFonts w:ascii="宋体" w:hAnsi="宋体"/>
          <w:color w:val="auto"/>
          <w:sz w:val="28"/>
          <w:szCs w:val="28"/>
        </w:rPr>
      </w:pPr>
      <w:r>
        <w:rPr>
          <w:rFonts w:hint="eastAsia" w:ascii="宋体" w:hAnsi="宋体"/>
          <w:color w:val="auto"/>
          <w:sz w:val="28"/>
          <w:szCs w:val="28"/>
        </w:rPr>
        <w:t>联系电话：028-84636986</w:t>
      </w:r>
    </w:p>
    <w:p>
      <w:pPr>
        <w:spacing w:line="600" w:lineRule="exact"/>
        <w:ind w:firstLine="705" w:firstLineChars="252"/>
        <w:rPr>
          <w:rFonts w:ascii="宋体" w:hAnsi="宋体"/>
          <w:color w:val="auto"/>
          <w:sz w:val="28"/>
          <w:szCs w:val="28"/>
        </w:rPr>
        <w:sectPr>
          <w:pgSz w:w="11906" w:h="16838"/>
          <w:pgMar w:top="1134" w:right="1274" w:bottom="1440" w:left="1418" w:header="851" w:footer="992" w:gutter="0"/>
          <w:cols w:space="720" w:num="1"/>
          <w:docGrid w:type="lines" w:linePitch="326" w:charSpace="0"/>
        </w:sectPr>
      </w:pPr>
      <w:r>
        <w:rPr>
          <w:rFonts w:hint="eastAsia" w:ascii="宋体" w:hAnsi="宋体"/>
          <w:color w:val="auto"/>
          <w:sz w:val="28"/>
          <w:szCs w:val="28"/>
        </w:rPr>
        <w:t> </w:t>
      </w:r>
    </w:p>
    <w:p>
      <w:pPr>
        <w:pStyle w:val="3"/>
        <w:numPr>
          <w:ilvl w:val="0"/>
          <w:numId w:val="1"/>
        </w:numPr>
        <w:spacing w:before="0" w:after="0"/>
        <w:ind w:left="0" w:firstLine="0"/>
        <w:rPr>
          <w:color w:val="auto"/>
        </w:rPr>
      </w:pPr>
      <w:bookmarkStart w:id="2" w:name="_Toc391885334"/>
      <w:bookmarkStart w:id="3" w:name="_Toc15863"/>
      <w:bookmarkStart w:id="4" w:name="_Toc381263230"/>
      <w:bookmarkStart w:id="5" w:name="_Toc287623638"/>
      <w:r>
        <w:rPr>
          <w:rFonts w:hint="eastAsia"/>
          <w:color w:val="auto"/>
        </w:rPr>
        <w:t>供应商须知</w:t>
      </w:r>
      <w:bookmarkEnd w:id="2"/>
      <w:bookmarkEnd w:id="3"/>
    </w:p>
    <w:p>
      <w:pPr>
        <w:pStyle w:val="4"/>
        <w:ind w:left="851" w:hanging="851"/>
        <w:rPr>
          <w:color w:val="auto"/>
        </w:rPr>
      </w:pPr>
      <w:bookmarkStart w:id="6" w:name="_Toc494095619"/>
      <w:bookmarkEnd w:id="6"/>
      <w:bookmarkStart w:id="7" w:name="_Toc494356973"/>
      <w:bookmarkEnd w:id="7"/>
      <w:bookmarkStart w:id="8" w:name="_Toc16711"/>
      <w:r>
        <w:rPr>
          <w:rFonts w:hint="eastAsia"/>
          <w:color w:val="auto"/>
        </w:rPr>
        <w:t>供应商须知前附表</w:t>
      </w:r>
      <w:bookmarkEnd w:id="8"/>
    </w:p>
    <w:tbl>
      <w:tblPr>
        <w:tblStyle w:val="60"/>
        <w:tblW w:w="10073"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42" w:hRule="exact"/>
          <w:jc w:val="center"/>
        </w:trPr>
        <w:tc>
          <w:tcPr>
            <w:tcW w:w="884" w:type="dxa"/>
            <w:vAlign w:val="center"/>
          </w:tcPr>
          <w:p>
            <w:pPr>
              <w:pStyle w:val="148"/>
              <w:spacing w:line="360" w:lineRule="auto"/>
              <w:ind w:left="38" w:hanging="38"/>
              <w:jc w:val="center"/>
              <w:rPr>
                <w:b/>
                <w:color w:val="auto"/>
              </w:rPr>
            </w:pPr>
            <w:r>
              <w:rPr>
                <w:rFonts w:hint="eastAsia"/>
                <w:b/>
                <w:color w:val="auto"/>
                <w:lang w:val="zh-CN"/>
              </w:rPr>
              <w:t>序号</w:t>
            </w:r>
          </w:p>
        </w:tc>
        <w:tc>
          <w:tcPr>
            <w:tcW w:w="2806" w:type="dxa"/>
            <w:vAlign w:val="center"/>
          </w:tcPr>
          <w:p>
            <w:pPr>
              <w:pStyle w:val="148"/>
              <w:spacing w:line="360" w:lineRule="auto"/>
              <w:ind w:left="38" w:hanging="38"/>
              <w:jc w:val="center"/>
              <w:rPr>
                <w:b/>
                <w:color w:val="auto"/>
                <w:lang w:val="zh-CN"/>
              </w:rPr>
            </w:pPr>
            <w:r>
              <w:rPr>
                <w:rFonts w:hint="eastAsia"/>
                <w:b/>
                <w:color w:val="auto"/>
                <w:lang w:val="zh-CN"/>
              </w:rPr>
              <w:t>应知事项</w:t>
            </w:r>
          </w:p>
        </w:tc>
        <w:tc>
          <w:tcPr>
            <w:tcW w:w="6383" w:type="dxa"/>
            <w:vAlign w:val="center"/>
          </w:tcPr>
          <w:p>
            <w:pPr>
              <w:pStyle w:val="148"/>
              <w:spacing w:line="360" w:lineRule="auto"/>
              <w:jc w:val="center"/>
              <w:rPr>
                <w:b/>
                <w:color w:val="auto"/>
                <w:lang w:val="zh-CN"/>
              </w:rPr>
            </w:pPr>
            <w:r>
              <w:rPr>
                <w:rFonts w:hint="eastAsia"/>
                <w:b/>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8" w:hRule="exact"/>
          <w:jc w:val="center"/>
        </w:trPr>
        <w:tc>
          <w:tcPr>
            <w:tcW w:w="884" w:type="dxa"/>
            <w:vAlign w:val="center"/>
          </w:tcPr>
          <w:p>
            <w:pPr>
              <w:widowControl w:val="0"/>
              <w:numPr>
                <w:ilvl w:val="0"/>
                <w:numId w:val="7"/>
              </w:numPr>
              <w:snapToGrid w:val="0"/>
              <w:spacing w:line="360" w:lineRule="auto"/>
              <w:jc w:val="center"/>
              <w:rPr>
                <w:rFonts w:ascii="宋体" w:hAnsi="宋体"/>
                <w:color w:val="auto"/>
              </w:rPr>
            </w:pPr>
          </w:p>
        </w:tc>
        <w:tc>
          <w:tcPr>
            <w:tcW w:w="2806" w:type="dxa"/>
            <w:vAlign w:val="center"/>
          </w:tcPr>
          <w:p>
            <w:pPr>
              <w:pStyle w:val="148"/>
              <w:spacing w:line="360" w:lineRule="auto"/>
              <w:ind w:right="-329" w:rightChars="-137"/>
              <w:rPr>
                <w:color w:val="auto"/>
                <w:lang w:val="zh-CN"/>
              </w:rPr>
            </w:pPr>
            <w:r>
              <w:rPr>
                <w:rFonts w:hint="eastAsia"/>
                <w:color w:val="auto"/>
                <w:lang w:val="zh-CN"/>
              </w:rPr>
              <w:t>采购预算</w:t>
            </w:r>
            <w:r>
              <w:rPr>
                <w:rFonts w:hint="eastAsia" w:ascii="仿宋" w:hAnsi="仿宋" w:eastAsia="仿宋"/>
                <w:color w:val="auto"/>
                <w:sz w:val="21"/>
                <w:szCs w:val="21"/>
                <w:lang w:val="zh-CN"/>
              </w:rPr>
              <w:t>（实质性要求）</w:t>
            </w:r>
          </w:p>
          <w:p>
            <w:pPr>
              <w:pStyle w:val="148"/>
              <w:spacing w:line="360" w:lineRule="auto"/>
              <w:rPr>
                <w:color w:val="auto"/>
              </w:rPr>
            </w:pPr>
          </w:p>
        </w:tc>
        <w:tc>
          <w:tcPr>
            <w:tcW w:w="6383" w:type="dxa"/>
            <w:vAlign w:val="center"/>
          </w:tcPr>
          <w:p>
            <w:pPr>
              <w:spacing w:line="360" w:lineRule="auto"/>
              <w:ind w:right="210" w:firstLine="12" w:firstLineChars="5"/>
              <w:rPr>
                <w:rFonts w:ascii="宋体" w:hAnsi="宋体" w:cs="宋体"/>
                <w:b/>
                <w:color w:val="auto"/>
                <w:lang w:val="zh-CN"/>
              </w:rPr>
            </w:pPr>
            <w:r>
              <w:rPr>
                <w:rFonts w:hint="eastAsia" w:ascii="宋体" w:hAnsi="宋体"/>
                <w:b/>
                <w:color w:val="auto"/>
              </w:rPr>
              <w:t>人民币</w:t>
            </w:r>
            <w:r>
              <w:rPr>
                <w:rFonts w:hint="eastAsia" w:ascii="宋体" w:hAnsi="宋体"/>
                <w:b/>
                <w:color w:val="auto"/>
                <w:u w:val="single"/>
              </w:rPr>
              <w:t>1870.770872</w:t>
            </w:r>
            <w:r>
              <w:rPr>
                <w:rFonts w:hint="eastAsia" w:ascii="宋体" w:hAnsi="宋体"/>
                <w:b/>
                <w:color w:val="auto"/>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53" w:hRule="exact"/>
          <w:jc w:val="center"/>
        </w:trPr>
        <w:tc>
          <w:tcPr>
            <w:tcW w:w="884" w:type="dxa"/>
            <w:vAlign w:val="center"/>
          </w:tcPr>
          <w:p>
            <w:pPr>
              <w:widowControl w:val="0"/>
              <w:numPr>
                <w:ilvl w:val="0"/>
                <w:numId w:val="7"/>
              </w:numPr>
              <w:snapToGrid w:val="0"/>
              <w:spacing w:line="360" w:lineRule="auto"/>
              <w:jc w:val="center"/>
              <w:rPr>
                <w:rFonts w:ascii="宋体" w:hAnsi="宋体"/>
                <w:color w:val="auto"/>
              </w:rPr>
            </w:pPr>
          </w:p>
        </w:tc>
        <w:tc>
          <w:tcPr>
            <w:tcW w:w="2806" w:type="dxa"/>
            <w:vAlign w:val="center"/>
          </w:tcPr>
          <w:p>
            <w:pPr>
              <w:pStyle w:val="148"/>
              <w:spacing w:line="360" w:lineRule="auto"/>
              <w:rPr>
                <w:color w:val="auto"/>
                <w:lang w:val="zh-CN"/>
              </w:rPr>
            </w:pPr>
            <w:r>
              <w:rPr>
                <w:rFonts w:hint="eastAsia"/>
                <w:color w:val="auto"/>
                <w:lang w:val="zh-CN"/>
              </w:rPr>
              <w:t xml:space="preserve">最高限价（控制价）     </w:t>
            </w:r>
            <w:r>
              <w:rPr>
                <w:rFonts w:hint="eastAsia" w:ascii="仿宋" w:hAnsi="仿宋" w:eastAsia="仿宋"/>
                <w:color w:val="auto"/>
                <w:sz w:val="21"/>
                <w:szCs w:val="21"/>
                <w:lang w:val="zh-CN"/>
              </w:rPr>
              <w:t>（实质性要求）</w:t>
            </w:r>
          </w:p>
        </w:tc>
        <w:tc>
          <w:tcPr>
            <w:tcW w:w="6383" w:type="dxa"/>
            <w:vAlign w:val="center"/>
          </w:tcPr>
          <w:p>
            <w:pPr>
              <w:pStyle w:val="148"/>
              <w:spacing w:line="360" w:lineRule="auto"/>
              <w:ind w:left="38" w:hanging="24"/>
              <w:rPr>
                <w:b/>
                <w:color w:val="auto"/>
                <w:lang w:val="zh-CN"/>
              </w:rPr>
            </w:pPr>
            <w:r>
              <w:rPr>
                <w:rFonts w:hint="eastAsia" w:cs="Times New Roman"/>
                <w:b/>
                <w:color w:val="auto"/>
                <w:kern w:val="2"/>
              </w:rPr>
              <w:t>本项目</w:t>
            </w:r>
            <w:r>
              <w:rPr>
                <w:rFonts w:hint="eastAsia" w:cs="Times New Roman"/>
                <w:b/>
                <w:color w:val="auto"/>
                <w:kern w:val="2"/>
                <w:lang w:val="zh-CN"/>
              </w:rPr>
              <w:t>最高限价（控制价）：</w:t>
            </w:r>
            <w:r>
              <w:rPr>
                <w:rFonts w:hint="eastAsia" w:cs="Times New Roman"/>
                <w:b/>
                <w:color w:val="auto"/>
                <w:kern w:val="2"/>
                <w:lang w:val="en-US" w:eastAsia="zh-CN"/>
              </w:rPr>
              <w:t>其中包件一不超过：6136903.1元，包件二不超过：3272877.62元，包件三不超过：9297928元。</w:t>
            </w:r>
            <w:r>
              <w:rPr>
                <w:rFonts w:hint="eastAsia" w:cs="Times New Roman"/>
                <w:b/>
                <w:color w:val="auto"/>
                <w:kern w:val="2"/>
              </w:rPr>
              <w:t>供应商最后报价高于最高限价的则其施工响应文件将按无效响应文件处理。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7"/>
              </w:numPr>
              <w:snapToGrid w:val="0"/>
              <w:spacing w:line="360" w:lineRule="auto"/>
              <w:jc w:val="center"/>
              <w:rPr>
                <w:rFonts w:ascii="宋体" w:hAnsi="宋体"/>
                <w:color w:val="auto"/>
              </w:rPr>
            </w:pPr>
          </w:p>
        </w:tc>
        <w:tc>
          <w:tcPr>
            <w:tcW w:w="2806" w:type="dxa"/>
            <w:vAlign w:val="center"/>
          </w:tcPr>
          <w:p>
            <w:pPr>
              <w:pStyle w:val="148"/>
              <w:spacing w:line="360" w:lineRule="auto"/>
              <w:jc w:val="both"/>
              <w:rPr>
                <w:color w:val="auto"/>
                <w:lang w:val="zh-CN"/>
              </w:rPr>
            </w:pPr>
            <w:r>
              <w:rPr>
                <w:rFonts w:hint="eastAsia"/>
                <w:color w:val="auto"/>
                <w:lang w:val="zh-CN"/>
              </w:rPr>
              <w:t>采购方式</w:t>
            </w:r>
          </w:p>
        </w:tc>
        <w:tc>
          <w:tcPr>
            <w:tcW w:w="6383" w:type="dxa"/>
            <w:vAlign w:val="center"/>
          </w:tcPr>
          <w:p>
            <w:pPr>
              <w:pStyle w:val="148"/>
              <w:spacing w:line="360" w:lineRule="auto"/>
              <w:jc w:val="both"/>
              <w:rPr>
                <w:color w:val="auto"/>
                <w:lang w:val="zh-CN"/>
              </w:rPr>
            </w:pPr>
            <w:r>
              <w:rPr>
                <w:rFonts w:hint="eastAsia"/>
                <w:color w:val="auto"/>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13" w:hRule="exact"/>
          <w:jc w:val="center"/>
        </w:trPr>
        <w:tc>
          <w:tcPr>
            <w:tcW w:w="884" w:type="dxa"/>
            <w:vAlign w:val="center"/>
          </w:tcPr>
          <w:p>
            <w:pPr>
              <w:widowControl w:val="0"/>
              <w:numPr>
                <w:ilvl w:val="0"/>
                <w:numId w:val="7"/>
              </w:numPr>
              <w:snapToGrid w:val="0"/>
              <w:spacing w:line="360" w:lineRule="auto"/>
              <w:jc w:val="center"/>
              <w:rPr>
                <w:rFonts w:ascii="宋体" w:hAnsi="宋体"/>
                <w:color w:val="auto"/>
              </w:rPr>
            </w:pPr>
          </w:p>
        </w:tc>
        <w:tc>
          <w:tcPr>
            <w:tcW w:w="2806" w:type="dxa"/>
            <w:vAlign w:val="center"/>
          </w:tcPr>
          <w:p>
            <w:pPr>
              <w:pStyle w:val="148"/>
              <w:spacing w:line="360" w:lineRule="auto"/>
              <w:ind w:left="38"/>
              <w:rPr>
                <w:rFonts w:cs="Times New Roman"/>
                <w:color w:val="auto"/>
                <w:lang w:val="zh-CN"/>
              </w:rPr>
            </w:pPr>
            <w:r>
              <w:rPr>
                <w:rFonts w:hint="eastAsia" w:cs="仿宋"/>
                <w:color w:val="auto"/>
                <w:lang w:val="zh-CN"/>
              </w:rPr>
              <w:t>本国工程</w:t>
            </w:r>
            <w:r>
              <w:rPr>
                <w:rFonts w:hint="eastAsia" w:ascii="仿宋" w:hAnsi="仿宋" w:eastAsia="仿宋"/>
                <w:color w:val="auto"/>
                <w:sz w:val="21"/>
                <w:szCs w:val="21"/>
                <w:lang w:val="zh-CN"/>
              </w:rPr>
              <w:t>（实质性要求）</w:t>
            </w:r>
          </w:p>
        </w:tc>
        <w:tc>
          <w:tcPr>
            <w:tcW w:w="6383" w:type="dxa"/>
            <w:vAlign w:val="center"/>
          </w:tcPr>
          <w:p>
            <w:pPr>
              <w:pStyle w:val="148"/>
              <w:spacing w:line="360" w:lineRule="auto"/>
              <w:jc w:val="both"/>
              <w:rPr>
                <w:color w:val="auto"/>
                <w:lang w:val="zh-CN"/>
              </w:rPr>
            </w:pPr>
            <w:bookmarkStart w:id="9" w:name="PO_默认文件内容_10"/>
            <w:r>
              <w:rPr>
                <w:rFonts w:hint="eastAsia" w:cs="仿宋"/>
                <w:color w:val="auto"/>
              </w:rPr>
              <w:t>根据《中华人民共和国政府采购法》第十条的规定，本项目采购本国工程</w:t>
            </w:r>
            <w:bookmarkEnd w:id="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color w:val="auto"/>
              </w:rPr>
            </w:pPr>
          </w:p>
        </w:tc>
        <w:tc>
          <w:tcPr>
            <w:tcW w:w="2806" w:type="dxa"/>
            <w:vAlign w:val="center"/>
          </w:tcPr>
          <w:p>
            <w:pPr>
              <w:pStyle w:val="148"/>
              <w:spacing w:line="360" w:lineRule="auto"/>
              <w:jc w:val="both"/>
              <w:rPr>
                <w:color w:val="auto"/>
                <w:lang w:val="zh-CN"/>
              </w:rPr>
            </w:pPr>
            <w:r>
              <w:rPr>
                <w:rFonts w:hint="eastAsia"/>
                <w:color w:val="auto"/>
              </w:rPr>
              <w:t>资格预审合格的申请人在评审阶段（磋商）资格发生变化</w:t>
            </w:r>
          </w:p>
        </w:tc>
        <w:tc>
          <w:tcPr>
            <w:tcW w:w="6383" w:type="dxa"/>
            <w:vAlign w:val="center"/>
          </w:tcPr>
          <w:p>
            <w:pPr>
              <w:pStyle w:val="148"/>
              <w:spacing w:line="360" w:lineRule="auto"/>
              <w:jc w:val="both"/>
              <w:rPr>
                <w:color w:val="auto"/>
                <w:lang w:val="zh-CN"/>
              </w:rPr>
            </w:pPr>
            <w:r>
              <w:rPr>
                <w:rFonts w:hint="eastAsia" w:cs="仿宋"/>
                <w:color w:val="auto"/>
                <w:kern w:val="2"/>
              </w:rPr>
              <w:t>已进行资格预审的，评审阶段可以不再对供应商资格进行审查，资格预审合格的供应商在评审阶段资格发生变化的，应当通知采购人和采购代理机构。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color w:val="auto"/>
              </w:rPr>
            </w:pPr>
          </w:p>
        </w:tc>
        <w:tc>
          <w:tcPr>
            <w:tcW w:w="2806" w:type="dxa"/>
            <w:vAlign w:val="center"/>
          </w:tcPr>
          <w:p>
            <w:pPr>
              <w:pStyle w:val="148"/>
              <w:spacing w:line="360" w:lineRule="auto"/>
              <w:jc w:val="both"/>
              <w:rPr>
                <w:color w:val="auto"/>
              </w:rPr>
            </w:pPr>
            <w:r>
              <w:rPr>
                <w:rFonts w:hint="eastAsia"/>
                <w:color w:val="auto"/>
              </w:rPr>
              <w:t>定向采购</w:t>
            </w:r>
          </w:p>
        </w:tc>
        <w:tc>
          <w:tcPr>
            <w:tcW w:w="6383" w:type="dxa"/>
            <w:vAlign w:val="center"/>
          </w:tcPr>
          <w:p>
            <w:pPr>
              <w:adjustRightInd w:val="0"/>
              <w:spacing w:line="400" w:lineRule="exact"/>
              <w:ind w:right="36" w:rightChars="15"/>
              <w:rPr>
                <w:rFonts w:ascii="宋体" w:hAnsi="宋体" w:cs="仿宋"/>
                <w:color w:val="auto"/>
              </w:rPr>
            </w:pPr>
            <w:r>
              <w:rPr>
                <w:rFonts w:hint="eastAsia" w:ascii="宋体" w:hAnsi="宋体" w:cs="仿宋"/>
                <w:color w:val="auto"/>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color w:val="auto"/>
              </w:rPr>
            </w:pPr>
          </w:p>
        </w:tc>
        <w:tc>
          <w:tcPr>
            <w:tcW w:w="2806" w:type="dxa"/>
            <w:vAlign w:val="center"/>
          </w:tcPr>
          <w:p>
            <w:pPr>
              <w:pStyle w:val="148"/>
              <w:spacing w:line="360" w:lineRule="auto"/>
              <w:rPr>
                <w:color w:val="auto"/>
                <w:lang w:val="zh-CN"/>
              </w:rPr>
            </w:pPr>
            <w:r>
              <w:rPr>
                <w:rFonts w:hint="eastAsia"/>
                <w:color w:val="auto"/>
                <w:lang w:val="zh-CN"/>
              </w:rPr>
              <w:t>低于成本价不正当竞争预防措施</w:t>
            </w:r>
            <w:r>
              <w:rPr>
                <w:rFonts w:hint="eastAsia" w:ascii="仿宋" w:hAnsi="仿宋" w:eastAsia="仿宋"/>
                <w:color w:val="auto"/>
                <w:sz w:val="21"/>
                <w:szCs w:val="21"/>
                <w:lang w:val="zh-CN"/>
              </w:rPr>
              <w:t>（实质性要求）</w:t>
            </w:r>
          </w:p>
        </w:tc>
        <w:tc>
          <w:tcPr>
            <w:tcW w:w="6383" w:type="dxa"/>
            <w:vAlign w:val="center"/>
          </w:tcPr>
          <w:p>
            <w:pPr>
              <w:adjustRightInd w:val="0"/>
              <w:snapToGrid w:val="0"/>
              <w:spacing w:before="152" w:after="160" w:line="400" w:lineRule="exact"/>
              <w:ind w:firstLine="240" w:firstLineChars="100"/>
              <w:rPr>
                <w:rFonts w:ascii="宋体" w:hAnsi="宋体" w:cs="宋体"/>
                <w:color w:val="auto"/>
              </w:rPr>
            </w:pPr>
            <w:r>
              <w:rPr>
                <w:rFonts w:ascii="宋体" w:hAnsi="宋体" w:cs="宋体"/>
                <w:color w:val="auto"/>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w:t>
            </w:r>
            <w:r>
              <w:rPr>
                <w:rFonts w:hint="eastAsia" w:ascii="宋体" w:hAnsi="宋体" w:cs="宋体"/>
                <w:color w:val="auto"/>
              </w:rPr>
              <w:t>磋商</w:t>
            </w:r>
            <w:r>
              <w:rPr>
                <w:rFonts w:ascii="宋体" w:hAnsi="宋体" w:cs="宋体"/>
                <w:color w:val="auto"/>
              </w:rPr>
              <w:t>小组应当将其施工响应文件作为无效处理。供应商的书面说明材料应当按照国家财务会计制度的规定要求，逐项就供应商提供的工程及其有关</w:t>
            </w:r>
            <w:r>
              <w:rPr>
                <w:rFonts w:hint="eastAsia" w:ascii="宋体" w:hAnsi="宋体" w:cs="宋体"/>
                <w:color w:val="auto"/>
              </w:rPr>
              <w:t>的货物、服务的主营业务成本、税金及附加、销售费用、管理费用、财务费用等成本构成事项详细陈述。</w:t>
            </w:r>
          </w:p>
          <w:p>
            <w:pPr>
              <w:adjustRightInd w:val="0"/>
              <w:snapToGrid w:val="0"/>
              <w:spacing w:before="152" w:after="160" w:line="400" w:lineRule="exact"/>
              <w:ind w:firstLine="240" w:firstLineChars="100"/>
              <w:rPr>
                <w:rFonts w:ascii="宋体" w:hAnsi="宋体" w:cs="宋体"/>
                <w:color w:val="auto"/>
              </w:rPr>
            </w:pPr>
            <w:r>
              <w:rPr>
                <w:rFonts w:ascii="宋体" w:hAnsi="宋体" w:cs="宋体"/>
                <w:color w:val="auto"/>
              </w:rPr>
              <w:t>2．供应商书面说明</w:t>
            </w:r>
            <w:r>
              <w:rPr>
                <w:rFonts w:hint="eastAsia" w:ascii="宋体" w:hAnsi="宋体" w:cs="宋体"/>
                <w:color w:val="auto"/>
              </w:rPr>
              <w:t>每页均应加盖供应商（法定名称）电子签章</w:t>
            </w:r>
            <w:r>
              <w:rPr>
                <w:rFonts w:ascii="宋体" w:hAnsi="宋体" w:cs="宋体"/>
                <w:color w:val="auto"/>
              </w:rPr>
              <w:t>，否则无效。</w:t>
            </w:r>
          </w:p>
          <w:p>
            <w:pPr>
              <w:adjustRightInd w:val="0"/>
              <w:snapToGrid w:val="0"/>
              <w:spacing w:line="400" w:lineRule="exact"/>
              <w:ind w:firstLine="153" w:firstLineChars="64"/>
              <w:rPr>
                <w:rFonts w:ascii="宋体" w:hAnsi="宋体"/>
                <w:b/>
                <w:color w:val="auto"/>
              </w:rPr>
            </w:pPr>
            <w:r>
              <w:rPr>
                <w:rFonts w:ascii="宋体" w:hAnsi="宋体"/>
                <w:color w:val="auto"/>
              </w:rPr>
              <w:t>3．供应商提供书面说明后，</w:t>
            </w:r>
            <w:r>
              <w:rPr>
                <w:rFonts w:hint="eastAsia" w:ascii="宋体" w:hAnsi="宋体" w:cs="宋体"/>
                <w:color w:val="auto"/>
              </w:rPr>
              <w:t>磋商</w:t>
            </w:r>
            <w:r>
              <w:rPr>
                <w:rFonts w:ascii="宋体" w:hAnsi="宋体"/>
                <w:color w:val="auto"/>
              </w:rPr>
              <w:t>小组应当结合采购项目采购需求、专业实际情况、供应商财务状况报告、与其</w:t>
            </w:r>
            <w:r>
              <w:rPr>
                <w:rFonts w:hint="eastAsia" w:ascii="宋体" w:hAnsi="宋体"/>
                <w:color w:val="auto"/>
              </w:rPr>
              <w:t>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color w:val="auto"/>
              </w:rPr>
              <w:t>磋商</w:t>
            </w:r>
            <w:r>
              <w:rPr>
                <w:rFonts w:hint="eastAsia" w:ascii="宋体" w:hAnsi="宋体"/>
                <w:color w:val="auto"/>
              </w:rPr>
              <w:t>小组应当将其施工响应文件作为无效处理。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color w:val="auto"/>
              </w:rPr>
            </w:pPr>
          </w:p>
        </w:tc>
        <w:tc>
          <w:tcPr>
            <w:tcW w:w="2806" w:type="dxa"/>
            <w:vAlign w:val="center"/>
          </w:tcPr>
          <w:p>
            <w:pPr>
              <w:pStyle w:val="148"/>
              <w:spacing w:line="360" w:lineRule="auto"/>
              <w:rPr>
                <w:color w:val="auto"/>
                <w:lang w:val="zh-CN"/>
              </w:rPr>
            </w:pPr>
            <w:r>
              <w:rPr>
                <w:rFonts w:hint="eastAsia"/>
                <w:color w:val="auto"/>
                <w:lang w:val="zh-CN"/>
              </w:rPr>
              <w:t>小微企业（监狱企业、残疾人福利性单位视同小微企业）价格扣除和失信企业报价加成或者扣分</w:t>
            </w:r>
          </w:p>
        </w:tc>
        <w:tc>
          <w:tcPr>
            <w:tcW w:w="6383" w:type="dxa"/>
            <w:vAlign w:val="center"/>
          </w:tcPr>
          <w:p>
            <w:pPr>
              <w:adjustRightInd w:val="0"/>
              <w:snapToGrid w:val="0"/>
              <w:spacing w:line="400" w:lineRule="exact"/>
              <w:ind w:firstLine="240" w:firstLineChars="100"/>
              <w:rPr>
                <w:rFonts w:ascii="宋体" w:hAnsi="宋体" w:cs="宋体"/>
                <w:color w:val="auto"/>
              </w:rPr>
            </w:pPr>
            <w:r>
              <w:rPr>
                <w:rFonts w:hint="eastAsia" w:ascii="宋体" w:hAnsi="宋体" w:cs="宋体"/>
                <w:color w:val="auto"/>
              </w:rPr>
              <w:t>一、</w:t>
            </w:r>
            <w:r>
              <w:rPr>
                <w:rFonts w:hint="eastAsia" w:ascii="宋体" w:hAnsi="宋体" w:cs="宋体"/>
                <w:b/>
                <w:color w:val="auto"/>
              </w:rPr>
              <w:t>本项目专门面向中小</w:t>
            </w:r>
            <w:r>
              <w:rPr>
                <w:rFonts w:ascii="宋体" w:hAnsi="宋体" w:cs="宋体"/>
                <w:b/>
                <w:color w:val="auto"/>
              </w:rPr>
              <w:t>企业，不进行价格扣除</w:t>
            </w:r>
            <w:r>
              <w:rPr>
                <w:rFonts w:ascii="宋体" w:hAnsi="宋体" w:cs="宋体"/>
                <w:color w:val="auto"/>
              </w:rPr>
              <w:t>。</w:t>
            </w:r>
          </w:p>
          <w:p>
            <w:pPr>
              <w:adjustRightInd w:val="0"/>
              <w:snapToGrid w:val="0"/>
              <w:spacing w:line="400" w:lineRule="exact"/>
              <w:ind w:firstLine="240" w:firstLineChars="100"/>
              <w:rPr>
                <w:rFonts w:ascii="宋体" w:hAnsi="宋体" w:cs="宋体"/>
                <w:color w:val="auto"/>
              </w:rPr>
            </w:pPr>
            <w:r>
              <w:rPr>
                <w:rFonts w:hint="eastAsia" w:ascii="宋体" w:hAnsi="宋体" w:cs="宋体"/>
                <w:color w:val="auto"/>
              </w:rPr>
              <w:t>二、失信企业报价加成</w:t>
            </w:r>
            <w:r>
              <w:rPr>
                <w:rFonts w:hint="eastAsia" w:ascii="仿宋" w:hAnsi="仿宋" w:eastAsia="仿宋"/>
                <w:color w:val="auto"/>
                <w:szCs w:val="21"/>
                <w:lang w:val="zh-CN"/>
              </w:rPr>
              <w:t>（实质性要求）</w:t>
            </w:r>
          </w:p>
          <w:p>
            <w:pPr>
              <w:adjustRightInd w:val="0"/>
              <w:snapToGrid w:val="0"/>
              <w:spacing w:line="400" w:lineRule="exact"/>
              <w:ind w:firstLine="240" w:firstLineChars="100"/>
              <w:rPr>
                <w:rFonts w:ascii="宋体" w:hAnsi="宋体" w:cs="宋体"/>
                <w:color w:val="auto"/>
              </w:rPr>
            </w:pPr>
            <w:r>
              <w:rPr>
                <w:rFonts w:ascii="宋体" w:hAnsi="宋体" w:cs="宋体"/>
                <w:color w:val="auto"/>
              </w:rPr>
              <w:t>1.</w:t>
            </w:r>
            <w:r>
              <w:rPr>
                <w:rFonts w:hint="eastAsia" w:ascii="宋体" w:hAnsi="宋体" w:cs="宋体"/>
                <w:color w:val="auto"/>
              </w:rPr>
              <w:t>对记入诚信档案且在有效期内的失信供应商，参加政府采购活动按照</w:t>
            </w:r>
            <w:r>
              <w:rPr>
                <w:rFonts w:ascii="宋体" w:hAnsi="宋体" w:cs="宋体"/>
                <w:color w:val="auto"/>
              </w:rPr>
              <w:t>10%的报价加成，以加成后报价作为该供应商报价参与评审。供应商失信行为惩戒实行无限制累加制，因其失信行为进行报价加成惩戒后报价超过政府采购预算的，其施工响应文件按照无效处理。</w:t>
            </w:r>
          </w:p>
          <w:p>
            <w:pPr>
              <w:adjustRightInd w:val="0"/>
              <w:snapToGrid w:val="0"/>
              <w:spacing w:line="400" w:lineRule="exact"/>
              <w:ind w:firstLine="240" w:firstLineChars="100"/>
              <w:rPr>
                <w:rFonts w:ascii="宋体" w:hAnsi="宋体" w:cs="宋体"/>
                <w:color w:val="auto"/>
              </w:rPr>
            </w:pPr>
            <w:r>
              <w:rPr>
                <w:rFonts w:ascii="宋体" w:hAnsi="宋体" w:cs="宋体"/>
                <w:color w:val="auto"/>
              </w:rPr>
              <w:t>2.</w:t>
            </w:r>
            <w:r>
              <w:rPr>
                <w:rFonts w:hint="eastAsia" w:ascii="宋体" w:hAnsi="宋体" w:cs="宋体"/>
                <w:color w:val="auto"/>
              </w:rPr>
              <w:t>供应商参加政府采购活动时，应当就自己的诚信情况在施工响应文件中进行承诺。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8"/>
              <w:spacing w:line="360" w:lineRule="auto"/>
              <w:jc w:val="both"/>
              <w:rPr>
                <w:color w:val="auto"/>
                <w:lang w:val="zh-CN"/>
              </w:rPr>
            </w:pPr>
            <w:r>
              <w:rPr>
                <w:rFonts w:hint="eastAsia"/>
                <w:color w:val="auto"/>
                <w:lang w:val="zh-CN"/>
              </w:rPr>
              <w:t>磋商保证金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olor w:val="auto"/>
              </w:rPr>
            </w:pPr>
            <w:r>
              <w:rPr>
                <w:rFonts w:hint="eastAsia" w:ascii="宋体" w:hAnsi="宋体"/>
                <w:b/>
                <w:color w:val="auto"/>
              </w:rPr>
              <w:t>本项目收/不收取磋商保证金。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auto"/>
                <w:lang w:val="zh-CN"/>
              </w:rPr>
            </w:pPr>
            <w:r>
              <w:rPr>
                <w:rFonts w:hint="eastAsia" w:ascii="宋体" w:hAnsi="宋体" w:cs="宋体"/>
                <w:color w:val="auto"/>
                <w:lang w:val="zh-CN"/>
              </w:rPr>
              <w:t>履约保证金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color w:val="auto"/>
                <w:lang w:val="zh-CN"/>
              </w:rPr>
            </w:pPr>
            <w:r>
              <w:rPr>
                <w:rFonts w:hint="eastAsia" w:ascii="宋体" w:hAnsi="宋体" w:cs="Times New Roman"/>
                <w:b/>
                <w:color w:val="auto"/>
              </w:rPr>
              <w:t>本项目不收取</w:t>
            </w:r>
            <w:r>
              <w:rPr>
                <w:rFonts w:hint="eastAsia" w:ascii="宋体" w:hAnsi="宋体" w:cs="Times New Roman"/>
                <w:b/>
                <w:color w:val="auto"/>
                <w:lang w:eastAsia="zh-CN"/>
              </w:rPr>
              <w:t>履约</w:t>
            </w:r>
            <w:r>
              <w:rPr>
                <w:rFonts w:hint="eastAsia" w:ascii="宋体" w:hAnsi="宋体" w:cs="Times New Roman"/>
                <w:b/>
                <w:color w:val="auto"/>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auto"/>
              </w:rPr>
            </w:pPr>
            <w:r>
              <w:rPr>
                <w:rFonts w:hint="eastAsia" w:ascii="宋体" w:hAnsi="宋体"/>
                <w:color w:val="auto"/>
              </w:rPr>
              <w:t>施工响应文件的制作和签章、加密</w:t>
            </w:r>
            <w:r>
              <w:rPr>
                <w:rFonts w:hint="eastAsia" w:ascii="仿宋" w:hAnsi="仿宋" w:eastAsia="仿宋"/>
                <w:color w:val="auto"/>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auto"/>
              </w:rPr>
            </w:pPr>
            <w:r>
              <w:rPr>
                <w:rFonts w:hint="eastAsia" w:ascii="宋体" w:hAnsi="宋体"/>
                <w:color w:val="auto"/>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auto"/>
              </w:rPr>
            </w:pPr>
            <w:r>
              <w:rPr>
                <w:rFonts w:hint="eastAsia" w:ascii="宋体" w:hAnsi="宋体"/>
                <w:color w:val="auto"/>
              </w:rPr>
              <w:t>施工响应文件的递交</w:t>
            </w:r>
            <w:r>
              <w:rPr>
                <w:rFonts w:hint="eastAsia" w:ascii="仿宋" w:hAnsi="仿宋" w:eastAsia="仿宋"/>
                <w:color w:val="auto"/>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auto"/>
              </w:rPr>
            </w:pPr>
            <w:r>
              <w:rPr>
                <w:rFonts w:hint="eastAsia" w:ascii="宋体" w:hAnsi="宋体"/>
                <w:color w:val="auto"/>
              </w:rPr>
              <w:t>详见供应商须知2.4.12</w:t>
            </w:r>
          </w:p>
          <w:p>
            <w:pPr>
              <w:tabs>
                <w:tab w:val="left" w:pos="7665"/>
              </w:tabs>
              <w:snapToGrid w:val="0"/>
              <w:rPr>
                <w:rFonts w:ascii="宋体" w:hAnsi="宋体"/>
                <w:color w:val="auto"/>
              </w:rPr>
            </w:pPr>
            <w:r>
              <w:rPr>
                <w:rFonts w:hint="eastAsia" w:ascii="宋体" w:hAnsi="宋体"/>
                <w:color w:val="auto"/>
              </w:rPr>
              <w:t>注：供应商使用</w:t>
            </w:r>
            <w:r>
              <w:rPr>
                <w:rFonts w:ascii="宋体" w:hAnsi="宋体"/>
                <w:color w:val="auto"/>
              </w:rPr>
              <w:t>CA证书在</w:t>
            </w:r>
            <w:r>
              <w:rPr>
                <w:rFonts w:hint="eastAsia" w:ascii="宋体" w:hAnsi="宋体"/>
                <w:color w:val="auto"/>
              </w:rPr>
              <w:t>递交施工</w:t>
            </w:r>
            <w:r>
              <w:rPr>
                <w:rFonts w:ascii="宋体" w:hAnsi="宋体"/>
                <w:color w:val="auto"/>
              </w:rPr>
              <w:t>响应文件</w:t>
            </w:r>
            <w:r>
              <w:rPr>
                <w:rFonts w:hint="eastAsia" w:ascii="宋体" w:hAnsi="宋体"/>
                <w:color w:val="auto"/>
              </w:rPr>
              <w:t>截止时间前，将施工响应文件上传至政府</w:t>
            </w:r>
            <w:r>
              <w:rPr>
                <w:rFonts w:ascii="宋体" w:hAnsi="宋体"/>
                <w:color w:val="auto"/>
              </w:rPr>
              <w:t>采购</w:t>
            </w:r>
            <w:r>
              <w:rPr>
                <w:rFonts w:hint="eastAsia" w:ascii="宋体" w:hAnsi="宋体"/>
                <w:color w:val="auto"/>
              </w:rPr>
              <w:t>云平台，上传前须对施工响应文件是否有电子签章等进行核对。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auto"/>
              </w:rPr>
            </w:pPr>
            <w:r>
              <w:rPr>
                <w:rFonts w:hint="eastAsia" w:ascii="宋体" w:hAnsi="宋体"/>
                <w:color w:val="auto"/>
              </w:rPr>
              <w:t>施工响应文件的补充、修改和撤回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auto"/>
              </w:rPr>
            </w:pPr>
            <w:r>
              <w:rPr>
                <w:rFonts w:hint="eastAsia" w:ascii="宋体" w:hAnsi="宋体"/>
                <w:color w:val="auto"/>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2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auto"/>
              </w:rPr>
            </w:pPr>
            <w:r>
              <w:rPr>
                <w:rFonts w:hint="eastAsia"/>
                <w:b/>
                <w:color w:val="auto"/>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color w:val="auto"/>
              </w:rPr>
            </w:pPr>
            <w:r>
              <w:rPr>
                <w:rFonts w:hint="eastAsia" w:ascii="宋体" w:hAnsi="宋体"/>
                <w:b/>
                <w:color w:val="auto"/>
              </w:rPr>
              <w:t>详见供应商须知2.5.1。</w:t>
            </w:r>
          </w:p>
          <w:p>
            <w:pPr>
              <w:snapToGrid w:val="0"/>
              <w:spacing w:line="360" w:lineRule="auto"/>
              <w:rPr>
                <w:rFonts w:ascii="宋体" w:hAnsi="宋体"/>
                <w:b/>
                <w:color w:val="auto"/>
              </w:rPr>
            </w:pPr>
            <w:r>
              <w:rPr>
                <w:rFonts w:hint="eastAsia" w:ascii="宋体" w:hAnsi="宋体"/>
                <w:b/>
                <w:color w:val="auto"/>
              </w:rPr>
              <w:t>施工响应文件解密：开启解密后，供应商应在系统提示的解密开始时间后</w:t>
            </w:r>
            <w:r>
              <w:rPr>
                <w:rFonts w:ascii="宋体" w:hAnsi="宋体"/>
                <w:b/>
                <w:color w:val="auto"/>
              </w:rPr>
              <w:t>60</w:t>
            </w:r>
            <w:r>
              <w:rPr>
                <w:rFonts w:hint="eastAsia" w:ascii="宋体" w:hAnsi="宋体"/>
                <w:b/>
                <w:color w:val="auto"/>
              </w:rPr>
              <w:t>分钟内，使用对施工响应文件进行加密的CA证书在线完成对供应商递交至政府采购云平台的施工响应文件的解密。</w:t>
            </w:r>
          </w:p>
          <w:p>
            <w:pPr>
              <w:snapToGrid w:val="0"/>
              <w:spacing w:line="360" w:lineRule="auto"/>
              <w:rPr>
                <w:rFonts w:ascii="宋体" w:hAnsi="宋体"/>
                <w:b/>
                <w:color w:val="auto"/>
              </w:rPr>
            </w:pPr>
            <w:r>
              <w:rPr>
                <w:rFonts w:hint="eastAsia" w:ascii="宋体" w:hAnsi="宋体"/>
                <w:b/>
                <w:color w:val="auto"/>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color w:val="auto"/>
              </w:rPr>
            </w:pPr>
            <w:r>
              <w:rPr>
                <w:rFonts w:hint="eastAsia" w:ascii="宋体" w:hAnsi="宋体"/>
                <w:b/>
                <w:color w:val="auto"/>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rPr>
            </w:pPr>
            <w:r>
              <w:rPr>
                <w:rFonts w:hint="eastAsia" w:ascii="宋体" w:hAnsi="宋体"/>
                <w:color w:val="auto"/>
              </w:rPr>
              <w:t>对磋商文件中供应商参加本次政府采购活动应当具备的条件、项目技术、服务、商务及其他要求，评分细则及标准的询问、质疑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color w:val="auto"/>
              </w:rPr>
            </w:pPr>
            <w:r>
              <w:rPr>
                <w:rFonts w:hint="eastAsia" w:ascii="宋体" w:hAnsi="宋体"/>
                <w:color w:val="auto"/>
              </w:rPr>
              <w:t>对磋商文件中的其他内容、采购过程及成交结果的询问、质疑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向龙泉驿区公资交易中心提出，并由龙泉驿区公资交易中心按相关规定作出答复（详见供应商须知2.10）。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color w:val="auto"/>
              </w:rPr>
            </w:pPr>
            <w:r>
              <w:rPr>
                <w:rFonts w:hint="eastAsia" w:ascii="宋体" w:hAnsi="宋体"/>
                <w:color w:val="auto"/>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pStyle w:val="148"/>
              <w:spacing w:line="360" w:lineRule="auto"/>
              <w:jc w:val="both"/>
              <w:rPr>
                <w:color w:val="auto"/>
                <w:lang w:val="zh-CN"/>
              </w:rPr>
            </w:pPr>
            <w:r>
              <w:rPr>
                <w:rFonts w:hint="eastAsia"/>
                <w:color w:val="auto"/>
                <w:lang w:val="zh-CN"/>
              </w:rPr>
              <w:t>政府采购监督管理部门：成都市龙泉驿区财政局</w:t>
            </w:r>
          </w:p>
          <w:p>
            <w:pPr>
              <w:pStyle w:val="148"/>
              <w:spacing w:line="360" w:lineRule="auto"/>
              <w:jc w:val="both"/>
              <w:rPr>
                <w:color w:val="auto"/>
                <w:lang w:val="zh-CN"/>
              </w:rPr>
            </w:pPr>
            <w:r>
              <w:rPr>
                <w:rFonts w:hint="eastAsia"/>
                <w:color w:val="auto"/>
                <w:lang w:val="zh-CN"/>
              </w:rPr>
              <w:t>地 址：成都市龙泉驿区中街聚星楼6-7楼</w:t>
            </w:r>
          </w:p>
          <w:p>
            <w:pPr>
              <w:pStyle w:val="148"/>
              <w:spacing w:line="360" w:lineRule="auto"/>
              <w:jc w:val="both"/>
              <w:rPr>
                <w:color w:val="auto"/>
                <w:lang w:val="zh-CN"/>
              </w:rPr>
            </w:pPr>
            <w:r>
              <w:rPr>
                <w:rFonts w:hint="eastAsia"/>
                <w:color w:val="auto"/>
                <w:lang w:val="zh-CN"/>
              </w:rPr>
              <w:t>联系人：李强</w:t>
            </w:r>
          </w:p>
          <w:p>
            <w:pPr>
              <w:tabs>
                <w:tab w:val="left" w:pos="7665"/>
              </w:tabs>
              <w:snapToGrid w:val="0"/>
              <w:spacing w:line="360" w:lineRule="auto"/>
              <w:rPr>
                <w:rFonts w:ascii="宋体" w:hAnsi="宋体"/>
                <w:color w:val="auto"/>
              </w:rPr>
            </w:pPr>
            <w:r>
              <w:rPr>
                <w:rFonts w:hint="eastAsia"/>
                <w:color w:val="auto"/>
                <w:lang w:val="zh-CN"/>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color w:val="auto"/>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施工响应文件有效期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s="Helvetica"/>
                <w:color w:val="auto"/>
              </w:rPr>
              <w:t>递交施工响应文件的截止之日起</w:t>
            </w:r>
            <w:r>
              <w:rPr>
                <w:rFonts w:ascii="宋体" w:hAnsi="宋体"/>
                <w:color w:val="auto"/>
                <w:u w:val="single"/>
              </w:rPr>
              <w:t xml:space="preserve"> 120</w:t>
            </w:r>
            <w:r>
              <w:rPr>
                <w:rFonts w:hint="eastAsia" w:ascii="宋体" w:hAnsi="宋体"/>
                <w:color w:val="auto"/>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color w:val="auto"/>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color w:val="auto"/>
                <w:lang w:val="zh-CN"/>
              </w:rPr>
            </w:pPr>
            <w:r>
              <w:rPr>
                <w:rFonts w:hint="eastAsia" w:ascii="宋体" w:hAnsi="宋体" w:cs="宋体"/>
                <w:color w:val="auto"/>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color w:val="auto"/>
                <w:lang w:val="zh-CN"/>
              </w:rPr>
            </w:pPr>
            <w:r>
              <w:rPr>
                <w:rFonts w:hint="eastAsia" w:ascii="宋体" w:hAnsi="宋体" w:cs="宋体"/>
                <w:color w:val="auto"/>
                <w:lang w:val="zh-CN"/>
              </w:rPr>
              <w:t>所有</w:t>
            </w:r>
            <w:r>
              <w:rPr>
                <w:rFonts w:hint="eastAsia" w:ascii="宋体" w:hAnsi="宋体"/>
                <w:color w:val="auto"/>
              </w:rPr>
              <w:t>供应商</w:t>
            </w:r>
            <w:r>
              <w:rPr>
                <w:rFonts w:hint="eastAsia" w:ascii="宋体" w:hAnsi="宋体" w:cs="宋体"/>
                <w:color w:val="auto"/>
                <w:lang w:val="zh-CN"/>
              </w:rPr>
              <w:t>资格性检查情况、施工响应文件符合性检查情况、采用综合评分法时的总得分和分项汇总得分情况、评审结果等将在“成都市公共资源交易服务中心网”、“四川政府采购网”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color w:val="auto"/>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rPr>
            </w:pPr>
            <w:r>
              <w:rPr>
                <w:rFonts w:hint="eastAsia" w:ascii="宋体" w:hAnsi="宋体" w:cs="宋体"/>
                <w:color w:val="auto"/>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s="宋体"/>
                <w:color w:val="auto"/>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color w:val="auto"/>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rPr>
            </w:pPr>
            <w:r>
              <w:rPr>
                <w:rFonts w:hint="eastAsia" w:ascii="宋体" w:hAnsi="宋体"/>
                <w:color w:val="auto"/>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color w:val="auto"/>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color w:val="auto"/>
              </w:rPr>
            </w:pPr>
            <w:r>
              <w:rPr>
                <w:rFonts w:hint="eastAsia" w:ascii="宋体" w:hAnsi="宋体"/>
                <w:color w:val="auto"/>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color w:val="auto"/>
              </w:rPr>
            </w:pPr>
            <w:r>
              <w:rPr>
                <w:rFonts w:hint="eastAsia" w:ascii="宋体" w:hAnsi="宋体"/>
                <w:color w:val="auto"/>
              </w:rPr>
              <w:t>政府采购合同签订之日起2个工作日内，采购人将在四川政府采购网公告政府采购合同；疫情防控期间，采购人原则</w:t>
            </w:r>
            <w:r>
              <w:rPr>
                <w:rFonts w:ascii="宋体" w:hAnsi="宋体"/>
                <w:color w:val="auto"/>
              </w:rPr>
              <w:t>上在</w:t>
            </w:r>
            <w:r>
              <w:rPr>
                <w:rFonts w:hint="eastAsia" w:ascii="宋体" w:hAnsi="宋体"/>
                <w:color w:val="auto"/>
              </w:rPr>
              <w:t>15</w:t>
            </w:r>
            <w:r>
              <w:rPr>
                <w:rFonts w:ascii="宋体" w:hAnsi="宋体"/>
                <w:color w:val="auto"/>
              </w:rPr>
              <w:t>日内</w:t>
            </w:r>
            <w:r>
              <w:rPr>
                <w:rFonts w:hint="eastAsia" w:ascii="宋体" w:hAnsi="宋体"/>
                <w:color w:val="auto"/>
              </w:rPr>
              <w:t>与</w:t>
            </w:r>
            <w:r>
              <w:rPr>
                <w:rFonts w:ascii="宋体" w:hAnsi="宋体"/>
                <w:color w:val="auto"/>
              </w:rPr>
              <w:t>供应商签订政府采购合同</w:t>
            </w:r>
            <w:r>
              <w:rPr>
                <w:rFonts w:hint="eastAsia" w:ascii="宋体" w:hAnsi="宋体"/>
                <w:color w:val="auto"/>
              </w:rPr>
              <w:t>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color w:val="auto"/>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color w:val="auto"/>
              </w:rPr>
            </w:pPr>
            <w:r>
              <w:rPr>
                <w:rFonts w:hint="eastAsia" w:ascii="宋体" w:hAnsi="宋体"/>
                <w:color w:val="auto"/>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ascii="宋体" w:hAnsi="宋体"/>
                <w:color w:val="auto"/>
              </w:rPr>
            </w:pPr>
            <w:r>
              <w:rPr>
                <w:rFonts w:hint="eastAsia" w:ascii="宋体" w:hAnsi="宋体"/>
                <w:color w:val="auto"/>
              </w:rPr>
              <w:t>参加本次采购活动成交的中小企业无需提供财产抵押或第三方担保，凭借政府采购合同可向融资机构申请融资。具体内容详见磋商文件附件《成都市财政局中国人民银行成都分行营业管理部关于印发〈成都市中小企业政府采购信用融资暂行办法〉和〈成都市级支持中小企业政府采购信用融资实施方案〉的通知》（成财采[2019]17号）、《成都市财政局关于增补“蓉采贷”政策合作银行及做好相关工作的通知》（成财采发〔2020〕20号）和成都市财政局关于《增补“蓉采贷”政府合作银行及做好相关工作的通知》（成财采发[2020]20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color w:val="auto"/>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rPr>
            </w:pPr>
            <w:r>
              <w:rPr>
                <w:rFonts w:hint="eastAsia" w:ascii="宋体" w:hAnsi="宋体"/>
                <w:color w:val="auto"/>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color w:val="auto"/>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rPr>
            </w:pPr>
            <w:r>
              <w:rPr>
                <w:rFonts w:hint="eastAsia" w:ascii="宋体" w:hAnsi="宋体"/>
                <w:color w:val="auto"/>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4"/>
        <w:spacing w:line="600" w:lineRule="exact"/>
        <w:rPr>
          <w:color w:val="auto"/>
        </w:rPr>
      </w:pPr>
      <w:bookmarkStart w:id="10" w:name="_Toc27899"/>
      <w:r>
        <w:rPr>
          <w:rFonts w:hint="eastAsia"/>
          <w:color w:val="auto"/>
        </w:rPr>
        <w:t>总则</w:t>
      </w:r>
      <w:bookmarkEnd w:id="10"/>
    </w:p>
    <w:p>
      <w:pPr>
        <w:pStyle w:val="5"/>
        <w:spacing w:line="600" w:lineRule="exact"/>
        <w:rPr>
          <w:color w:val="auto"/>
        </w:rPr>
      </w:pPr>
      <w:r>
        <w:rPr>
          <w:rFonts w:hint="eastAsia"/>
          <w:color w:val="auto"/>
        </w:rPr>
        <w:t>适用范围</w:t>
      </w:r>
      <w:bookmarkEnd w:id="4"/>
      <w:bookmarkEnd w:id="5"/>
    </w:p>
    <w:p>
      <w:pPr>
        <w:widowControl w:val="0"/>
        <w:numPr>
          <w:ilvl w:val="0"/>
          <w:numId w:val="8"/>
        </w:numPr>
        <w:tabs>
          <w:tab w:val="left" w:pos="1134"/>
          <w:tab w:val="clear" w:pos="420"/>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本磋商文件仅适用于本竞争性磋商邀请中所叙述项目的采购。</w:t>
      </w:r>
    </w:p>
    <w:p>
      <w:pPr>
        <w:widowControl w:val="0"/>
        <w:numPr>
          <w:ilvl w:val="0"/>
          <w:numId w:val="8"/>
        </w:numPr>
        <w:tabs>
          <w:tab w:val="left" w:pos="1134"/>
          <w:tab w:val="clear" w:pos="420"/>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本磋商文件的最终解释权由采购人或龙泉驿区公资交易中心享有。磋商文件中供应商参加本次政府采购活动应当具备的条件、技术、服务及其他要求、评分标准由采购人负责解释。除上述磋商文件内容，其他内容由龙泉驿区公资交易中心负责解释。</w:t>
      </w:r>
    </w:p>
    <w:p>
      <w:pPr>
        <w:pStyle w:val="5"/>
        <w:spacing w:line="600" w:lineRule="exact"/>
        <w:rPr>
          <w:color w:val="auto"/>
        </w:rPr>
      </w:pPr>
      <w:bookmarkStart w:id="11" w:name="_Toc287623639"/>
      <w:r>
        <w:rPr>
          <w:rFonts w:hint="eastAsia"/>
          <w:color w:val="auto"/>
        </w:rPr>
        <w:t>有关定义</w:t>
      </w:r>
      <w:bookmarkEnd w:id="11"/>
    </w:p>
    <w:p>
      <w:pPr>
        <w:widowControl w:val="0"/>
        <w:numPr>
          <w:ilvl w:val="0"/>
          <w:numId w:val="9"/>
        </w:numPr>
        <w:tabs>
          <w:tab w:val="left" w:pos="1134"/>
          <w:tab w:val="clear" w:pos="420"/>
        </w:tabs>
        <w:spacing w:line="600" w:lineRule="exact"/>
        <w:ind w:left="0" w:firstLine="565" w:firstLineChars="202"/>
        <w:jc w:val="both"/>
        <w:rPr>
          <w:rFonts w:ascii="宋体" w:hAnsi="宋体"/>
          <w:color w:val="auto"/>
          <w:sz w:val="28"/>
          <w:szCs w:val="28"/>
        </w:rPr>
      </w:pPr>
      <w:r>
        <w:rPr>
          <w:rFonts w:hint="eastAsia" w:ascii="宋体" w:hAnsi="宋体"/>
          <w:color w:val="auto"/>
          <w:sz w:val="28"/>
          <w:szCs w:val="28"/>
        </w:rPr>
        <w:t>“采购人”、“甲方”系指依法进行政府采购的成都市级机关、事业单位、团体组织。本次竞争性磋商项目的采购人是</w:t>
      </w:r>
      <w:r>
        <w:rPr>
          <w:rFonts w:hint="eastAsia" w:ascii="宋体" w:hAnsi="宋体"/>
          <w:b/>
          <w:color w:val="auto"/>
          <w:sz w:val="28"/>
          <w:szCs w:val="28"/>
          <w:u w:val="single"/>
          <w:lang w:eastAsia="zh-CN"/>
        </w:rPr>
        <w:t>成都市龙泉驿区市政设施管理服务中心</w:t>
      </w:r>
      <w:r>
        <w:rPr>
          <w:rFonts w:hint="eastAsia" w:ascii="宋体" w:hAnsi="宋体"/>
          <w:color w:val="auto"/>
          <w:sz w:val="28"/>
          <w:szCs w:val="28"/>
        </w:rPr>
        <w:t>。</w:t>
      </w:r>
    </w:p>
    <w:p>
      <w:pPr>
        <w:widowControl w:val="0"/>
        <w:numPr>
          <w:ilvl w:val="0"/>
          <w:numId w:val="9"/>
        </w:numPr>
        <w:tabs>
          <w:tab w:val="left" w:pos="1200"/>
          <w:tab w:val="clear" w:pos="420"/>
        </w:tabs>
        <w:spacing w:line="600" w:lineRule="exact"/>
        <w:ind w:left="0" w:firstLine="599" w:firstLineChars="214"/>
        <w:jc w:val="both"/>
        <w:rPr>
          <w:rFonts w:ascii="宋体" w:hAnsi="宋体"/>
          <w:color w:val="auto"/>
          <w:sz w:val="28"/>
          <w:szCs w:val="28"/>
        </w:rPr>
      </w:pPr>
      <w:r>
        <w:rPr>
          <w:rFonts w:hint="eastAsia" w:ascii="宋体" w:hAnsi="宋体"/>
          <w:color w:val="auto"/>
          <w:sz w:val="28"/>
          <w:szCs w:val="28"/>
        </w:rPr>
        <w:t>“供应商”系指拟参加竞争性磋商和向采购人提供工程</w:t>
      </w:r>
      <w:r>
        <w:rPr>
          <w:rFonts w:ascii="宋体" w:hAnsi="宋体"/>
          <w:color w:val="auto"/>
          <w:sz w:val="28"/>
          <w:szCs w:val="28"/>
        </w:rPr>
        <w:t>、</w:t>
      </w:r>
      <w:r>
        <w:rPr>
          <w:rFonts w:hint="eastAsia" w:ascii="宋体" w:hAnsi="宋体"/>
          <w:color w:val="auto"/>
          <w:sz w:val="28"/>
          <w:szCs w:val="28"/>
        </w:rPr>
        <w:t>货物及服务的供应商。“乙方”系指本项目的成交供应商。</w:t>
      </w:r>
    </w:p>
    <w:p>
      <w:pPr>
        <w:widowControl w:val="0"/>
        <w:numPr>
          <w:ilvl w:val="0"/>
          <w:numId w:val="9"/>
        </w:numPr>
        <w:tabs>
          <w:tab w:val="left" w:pos="1200"/>
          <w:tab w:val="clear" w:pos="420"/>
        </w:tabs>
        <w:spacing w:line="600" w:lineRule="exact"/>
        <w:ind w:left="0" w:firstLine="599" w:firstLineChars="214"/>
        <w:jc w:val="both"/>
        <w:rPr>
          <w:rFonts w:ascii="宋体" w:hAnsi="宋体"/>
          <w:color w:val="auto"/>
          <w:sz w:val="28"/>
          <w:szCs w:val="28"/>
        </w:rPr>
      </w:pPr>
      <w:r>
        <w:rPr>
          <w:rFonts w:ascii="宋体" w:hAnsi="宋体"/>
          <w:color w:val="auto"/>
          <w:sz w:val="28"/>
          <w:szCs w:val="28"/>
        </w:rPr>
        <w:t>本</w:t>
      </w:r>
      <w:r>
        <w:rPr>
          <w:rFonts w:hint="eastAsia" w:ascii="宋体" w:hAnsi="宋体"/>
          <w:color w:val="auto"/>
          <w:sz w:val="28"/>
          <w:szCs w:val="28"/>
        </w:rPr>
        <w:t>磋商</w:t>
      </w:r>
      <w:r>
        <w:rPr>
          <w:rFonts w:ascii="宋体" w:hAnsi="宋体"/>
          <w:color w:val="auto"/>
          <w:sz w:val="28"/>
          <w:szCs w:val="28"/>
        </w:rPr>
        <w:t>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9"/>
        </w:numPr>
        <w:tabs>
          <w:tab w:val="left" w:pos="1200"/>
          <w:tab w:val="clear" w:pos="420"/>
        </w:tabs>
        <w:spacing w:line="600" w:lineRule="exact"/>
        <w:ind w:left="0" w:firstLine="599" w:firstLineChars="214"/>
        <w:jc w:val="both"/>
        <w:rPr>
          <w:rFonts w:ascii="宋体" w:hAnsi="宋体"/>
          <w:color w:val="auto"/>
          <w:sz w:val="28"/>
          <w:szCs w:val="28"/>
        </w:rPr>
      </w:pPr>
      <w:r>
        <w:rPr>
          <w:rFonts w:hint="eastAsia" w:ascii="宋体" w:hAnsi="宋体"/>
          <w:color w:val="auto"/>
          <w:sz w:val="28"/>
          <w:szCs w:val="28"/>
        </w:rPr>
        <w:t>磋商文件中所称的“以上”、“以下”、“内”、“以内”，包括本数；所称的“不足”，不包括本数。</w:t>
      </w:r>
    </w:p>
    <w:p>
      <w:pPr>
        <w:widowControl w:val="0"/>
        <w:numPr>
          <w:ilvl w:val="0"/>
          <w:numId w:val="9"/>
        </w:numPr>
        <w:tabs>
          <w:tab w:val="left" w:pos="1200"/>
          <w:tab w:val="clear" w:pos="420"/>
        </w:tabs>
        <w:spacing w:line="600" w:lineRule="exact"/>
        <w:ind w:left="0" w:firstLine="599" w:firstLineChars="214"/>
        <w:jc w:val="both"/>
        <w:rPr>
          <w:rFonts w:ascii="宋体" w:hAnsi="宋体"/>
          <w:color w:val="auto"/>
          <w:sz w:val="28"/>
          <w:szCs w:val="28"/>
        </w:rPr>
      </w:pPr>
      <w:r>
        <w:rPr>
          <w:rFonts w:hint="eastAsia" w:ascii="宋体" w:hAnsi="宋体"/>
          <w:color w:val="auto"/>
          <w:sz w:val="28"/>
          <w:szCs w:val="28"/>
        </w:rPr>
        <w:t>重大违法记录是指供应商因违法经营受到刑事处罚或者责令停产停业、吊销许可证或者执照、较大数额罚款等行政处罚。</w:t>
      </w:r>
    </w:p>
    <w:p>
      <w:pPr>
        <w:widowControl w:val="0"/>
        <w:numPr>
          <w:ilvl w:val="0"/>
          <w:numId w:val="9"/>
        </w:numPr>
        <w:tabs>
          <w:tab w:val="left" w:pos="1200"/>
          <w:tab w:val="clear" w:pos="420"/>
        </w:tabs>
        <w:spacing w:line="600" w:lineRule="exact"/>
        <w:ind w:left="0" w:firstLine="599" w:firstLineChars="214"/>
        <w:jc w:val="both"/>
        <w:rPr>
          <w:rFonts w:ascii="宋体" w:hAnsi="宋体"/>
          <w:color w:val="auto"/>
          <w:sz w:val="28"/>
          <w:szCs w:val="28"/>
        </w:rPr>
      </w:pPr>
      <w:r>
        <w:rPr>
          <w:rFonts w:hint="eastAsia" w:ascii="宋体" w:hAnsi="宋体"/>
          <w:color w:val="auto"/>
          <w:sz w:val="28"/>
          <w:szCs w:val="28"/>
        </w:rPr>
        <w:t>不见面开标是指，龙泉驿区公资交易中心依托政府采购云平台组织磋商活动，供应商在线参与磋商的一种组织形式。</w:t>
      </w:r>
    </w:p>
    <w:p>
      <w:pPr>
        <w:pStyle w:val="5"/>
        <w:spacing w:line="600" w:lineRule="exact"/>
        <w:rPr>
          <w:color w:val="auto"/>
        </w:rPr>
      </w:pPr>
      <w:r>
        <w:rPr>
          <w:rFonts w:hint="eastAsia"/>
          <w:color w:val="auto"/>
        </w:rPr>
        <w:t>合格的供应商</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color w:val="auto"/>
          <w:spacing w:val="-4"/>
          <w:sz w:val="28"/>
          <w:szCs w:val="28"/>
        </w:rPr>
      </w:pPr>
      <w:r>
        <w:rPr>
          <w:rFonts w:hint="eastAsia" w:ascii="宋体" w:hAnsi="宋体"/>
          <w:color w:val="auto"/>
          <w:sz w:val="28"/>
          <w:szCs w:val="28"/>
        </w:rPr>
        <w:t>合格的供应商应具备以下条件：邀请参加</w:t>
      </w:r>
      <w:r>
        <w:rPr>
          <w:rFonts w:ascii="宋体" w:hAnsi="宋体"/>
          <w:color w:val="auto"/>
          <w:sz w:val="28"/>
          <w:szCs w:val="28"/>
        </w:rPr>
        <w:t>磋商的供应商</w:t>
      </w:r>
      <w:r>
        <w:rPr>
          <w:rFonts w:hint="eastAsia" w:ascii="宋体" w:hAnsi="宋体"/>
          <w:color w:val="auto"/>
          <w:spacing w:val="-4"/>
          <w:sz w:val="28"/>
          <w:szCs w:val="28"/>
        </w:rPr>
        <w:t>。</w:t>
      </w:r>
    </w:p>
    <w:p>
      <w:pPr>
        <w:pStyle w:val="5"/>
        <w:spacing w:line="600" w:lineRule="exact"/>
        <w:rPr>
          <w:color w:val="auto"/>
        </w:rPr>
      </w:pPr>
      <w:bookmarkStart w:id="12" w:name="_Toc287623640"/>
      <w:bookmarkStart w:id="13" w:name="_Toc320698717"/>
      <w:r>
        <w:rPr>
          <w:rFonts w:hint="eastAsia"/>
          <w:color w:val="auto"/>
        </w:rPr>
        <w:t>参加竞争性磋商的费用</w:t>
      </w:r>
      <w:bookmarkEnd w:id="12"/>
      <w:r>
        <w:rPr>
          <w:rFonts w:hint="eastAsia" w:ascii="仿宋" w:hAnsi="仿宋" w:eastAsia="仿宋"/>
          <w:color w:val="auto"/>
          <w:szCs w:val="21"/>
          <w:lang w:val="zh-CN"/>
        </w:rPr>
        <w:t>（实质性要求）</w:t>
      </w:r>
    </w:p>
    <w:p>
      <w:pPr>
        <w:tabs>
          <w:tab w:val="left" w:pos="7665"/>
        </w:tabs>
        <w:spacing w:line="600" w:lineRule="exact"/>
        <w:ind w:firstLine="567"/>
        <w:rPr>
          <w:rFonts w:ascii="宋体" w:hAnsi="宋体"/>
          <w:color w:val="auto"/>
          <w:sz w:val="28"/>
          <w:szCs w:val="28"/>
        </w:rPr>
      </w:pPr>
      <w:r>
        <w:rPr>
          <w:rFonts w:hint="eastAsia" w:ascii="宋体" w:hAnsi="宋体"/>
          <w:color w:val="auto"/>
          <w:sz w:val="28"/>
          <w:szCs w:val="28"/>
        </w:rPr>
        <w:t>供应商应自行承担参加竞争性磋商采购活动的全部费用。</w:t>
      </w:r>
    </w:p>
    <w:p>
      <w:pPr>
        <w:pStyle w:val="5"/>
        <w:spacing w:line="600" w:lineRule="exact"/>
        <w:rPr>
          <w:color w:val="auto"/>
        </w:rPr>
      </w:pPr>
      <w:r>
        <w:rPr>
          <w:rFonts w:hint="eastAsia"/>
          <w:color w:val="auto"/>
        </w:rPr>
        <w:t>充分、公平竞争保障措施</w:t>
      </w:r>
      <w:r>
        <w:rPr>
          <w:rFonts w:hint="eastAsia" w:ascii="仿宋" w:hAnsi="仿宋" w:eastAsia="仿宋"/>
          <w:color w:val="auto"/>
          <w:szCs w:val="21"/>
          <w:lang w:val="zh-CN"/>
        </w:rPr>
        <w:t>（实质性要求）</w:t>
      </w:r>
    </w:p>
    <w:p>
      <w:pPr>
        <w:widowControl w:val="0"/>
        <w:numPr>
          <w:ilvl w:val="1"/>
          <w:numId w:val="10"/>
        </w:numPr>
        <w:tabs>
          <w:tab w:val="left" w:pos="1134"/>
        </w:tabs>
        <w:snapToGrid w:val="0"/>
        <w:spacing w:line="640" w:lineRule="exact"/>
        <w:ind w:left="0" w:firstLine="567"/>
        <w:jc w:val="both"/>
        <w:rPr>
          <w:rFonts w:ascii="宋体" w:hAnsi="宋体"/>
          <w:color w:val="auto"/>
          <w:sz w:val="28"/>
          <w:szCs w:val="28"/>
        </w:rPr>
      </w:pPr>
      <w:r>
        <w:rPr>
          <w:rFonts w:hint="eastAsia" w:ascii="宋体" w:hAnsi="宋体"/>
          <w:color w:val="auto"/>
          <w:sz w:val="28"/>
          <w:szCs w:val="28"/>
        </w:rPr>
        <w:t>利害关系供应商处理。单位负责人为同一人或者存在直接控股、管理关系的不同供应商不得参加同一合同项下的政府采购活动。</w:t>
      </w:r>
    </w:p>
    <w:p>
      <w:pPr>
        <w:widowControl w:val="0"/>
        <w:numPr>
          <w:ilvl w:val="1"/>
          <w:numId w:val="10"/>
        </w:numPr>
        <w:tabs>
          <w:tab w:val="left" w:pos="1134"/>
        </w:tabs>
        <w:snapToGrid w:val="0"/>
        <w:spacing w:line="640" w:lineRule="exact"/>
        <w:ind w:left="0" w:firstLine="560" w:firstLineChars="200"/>
        <w:jc w:val="both"/>
        <w:rPr>
          <w:rFonts w:ascii="宋体" w:hAnsi="宋体"/>
          <w:color w:val="auto"/>
          <w:sz w:val="28"/>
          <w:szCs w:val="28"/>
        </w:rPr>
      </w:pPr>
      <w:r>
        <w:rPr>
          <w:rFonts w:hint="eastAsia" w:ascii="宋体" w:hAnsi="宋体"/>
          <w:color w:val="auto"/>
          <w:sz w:val="28"/>
          <w:szCs w:val="28"/>
        </w:rPr>
        <w:t>利害关系授权代表处理。两家以上的供应商不得在同一合同项下的采购项目中，委托同一个自然人、同一家庭的人员、同一单位的人员作为其授权代表，否则，其施工响应文件作为无效处理。</w:t>
      </w:r>
    </w:p>
    <w:p>
      <w:pPr>
        <w:widowControl w:val="0"/>
        <w:numPr>
          <w:ilvl w:val="1"/>
          <w:numId w:val="10"/>
        </w:numPr>
        <w:tabs>
          <w:tab w:val="left" w:pos="1134"/>
        </w:tabs>
        <w:snapToGrid w:val="0"/>
        <w:spacing w:line="640" w:lineRule="exact"/>
        <w:ind w:left="0" w:firstLine="560" w:firstLineChars="200"/>
        <w:jc w:val="both"/>
        <w:rPr>
          <w:rFonts w:ascii="宋体" w:hAnsi="宋体"/>
          <w:color w:val="auto"/>
          <w:sz w:val="28"/>
          <w:szCs w:val="28"/>
        </w:rPr>
      </w:pPr>
      <w:r>
        <w:rPr>
          <w:rFonts w:hint="eastAsia" w:ascii="宋体" w:hAnsi="宋体"/>
          <w:color w:val="auto"/>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widowControl w:val="0"/>
        <w:numPr>
          <w:ilvl w:val="1"/>
          <w:numId w:val="10"/>
        </w:numPr>
        <w:tabs>
          <w:tab w:val="left" w:pos="1134"/>
        </w:tabs>
        <w:snapToGrid w:val="0"/>
        <w:spacing w:line="640" w:lineRule="exact"/>
        <w:ind w:left="0" w:firstLine="565" w:firstLineChars="202"/>
        <w:jc w:val="both"/>
        <w:rPr>
          <w:rFonts w:ascii="宋体" w:hAnsi="宋体"/>
          <w:color w:val="auto"/>
          <w:sz w:val="28"/>
          <w:szCs w:val="28"/>
        </w:rPr>
      </w:pPr>
      <w:r>
        <w:rPr>
          <w:rFonts w:hint="eastAsia" w:ascii="宋体" w:hAnsi="宋体"/>
          <w:color w:val="auto"/>
          <w:sz w:val="28"/>
          <w:szCs w:val="28"/>
        </w:rPr>
        <w:t>同一母公司的两家以上的子公司只能组成联合体参加本项目同一合同项下的采购活动，不得以不同供应商身份同时参加本项目同一合同项下的采购活动。</w:t>
      </w:r>
    </w:p>
    <w:p>
      <w:pPr>
        <w:pStyle w:val="4"/>
        <w:spacing w:line="600" w:lineRule="exact"/>
        <w:rPr>
          <w:color w:val="auto"/>
        </w:rPr>
      </w:pPr>
      <w:bookmarkStart w:id="14" w:name="_Toc26089"/>
      <w:r>
        <w:rPr>
          <w:rFonts w:hint="eastAsia"/>
          <w:color w:val="auto"/>
        </w:rPr>
        <w:t>磋商</w:t>
      </w:r>
      <w:r>
        <w:rPr>
          <w:color w:val="auto"/>
        </w:rPr>
        <w:t>文件</w:t>
      </w:r>
      <w:bookmarkEnd w:id="14"/>
    </w:p>
    <w:p>
      <w:pPr>
        <w:pStyle w:val="5"/>
        <w:spacing w:line="600" w:lineRule="exact"/>
        <w:rPr>
          <w:color w:val="auto"/>
        </w:rPr>
      </w:pPr>
      <w:r>
        <w:rPr>
          <w:rFonts w:hint="eastAsia"/>
          <w:color w:val="auto"/>
        </w:rPr>
        <w:t>磋商文件的构成</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一、竞争性磋商文件是供应商准备施工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（一）竞争性磋商邀请；</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（二）供应商须知；</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（三）施工响应文件格式；</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（四）技术、服务、商务及其他要求；</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（五）磋商办法；</w:t>
      </w:r>
    </w:p>
    <w:p>
      <w:pPr>
        <w:tabs>
          <w:tab w:val="left" w:pos="1134"/>
        </w:tabs>
        <w:spacing w:line="600" w:lineRule="exact"/>
        <w:ind w:firstLine="560" w:firstLineChars="200"/>
        <w:rPr>
          <w:rFonts w:ascii="宋体" w:hAnsi="宋体"/>
          <w:color w:val="auto"/>
          <w:sz w:val="28"/>
          <w:szCs w:val="28"/>
        </w:rPr>
      </w:pPr>
      <w:r>
        <w:rPr>
          <w:rFonts w:hint="eastAsia" w:ascii="宋体" w:hAnsi="宋体"/>
          <w:color w:val="auto"/>
          <w:sz w:val="28"/>
          <w:szCs w:val="28"/>
        </w:rPr>
        <w:t>（六）政府采购合同草案；</w:t>
      </w:r>
    </w:p>
    <w:p>
      <w:pPr>
        <w:pStyle w:val="16"/>
        <w:ind w:firstLine="560" w:firstLineChars="200"/>
        <w:rPr>
          <w:rFonts w:ascii="宋体" w:hAnsi="宋体"/>
          <w:color w:val="auto"/>
          <w:sz w:val="28"/>
          <w:szCs w:val="28"/>
        </w:rPr>
      </w:pPr>
      <w:r>
        <w:rPr>
          <w:rFonts w:hint="eastAsia" w:ascii="宋体" w:hAnsi="宋体"/>
          <w:color w:val="auto"/>
          <w:sz w:val="28"/>
          <w:szCs w:val="28"/>
        </w:rPr>
        <w:t>（七）</w:t>
      </w:r>
      <w:r>
        <w:rPr>
          <w:rFonts w:ascii="宋体" w:hAnsi="宋体"/>
          <w:color w:val="auto"/>
          <w:sz w:val="28"/>
          <w:szCs w:val="28"/>
        </w:rPr>
        <w:t>工程量清单</w:t>
      </w:r>
      <w:r>
        <w:rPr>
          <w:rFonts w:hint="eastAsia" w:ascii="宋体" w:hAnsi="宋体"/>
          <w:color w:val="auto"/>
          <w:sz w:val="28"/>
          <w:szCs w:val="28"/>
        </w:rPr>
        <w:t>。</w:t>
      </w:r>
    </w:p>
    <w:p>
      <w:pPr>
        <w:tabs>
          <w:tab w:val="left" w:pos="1134"/>
        </w:tabs>
        <w:spacing w:line="600" w:lineRule="exact"/>
        <w:ind w:firstLine="560" w:firstLineChars="200"/>
        <w:rPr>
          <w:rFonts w:ascii="宋体" w:hAnsi="宋体"/>
          <w:color w:val="auto"/>
        </w:rPr>
      </w:pPr>
      <w:r>
        <w:rPr>
          <w:rFonts w:hint="eastAsia" w:ascii="宋体" w:hAnsi="宋体"/>
          <w:color w:val="auto"/>
          <w:sz w:val="28"/>
          <w:szCs w:val="28"/>
        </w:rPr>
        <w:t>二、供应商应认真阅读和充分理解竞争性磋商文件中所有的事项、格式条款和规范要求。按照磋商文件的要求提供施工响应文件，并保证所提供的全部资料的真实性和有效性，一经发现有虚假行为的，将取消其参加磋商或成交资格，并承担相应的法律责任。供应商没有对竞争性磋商文件全面做出实质性响应所产生的风险由供应商承担。</w:t>
      </w:r>
      <w:bookmarkEnd w:id="13"/>
    </w:p>
    <w:p>
      <w:pPr>
        <w:pStyle w:val="5"/>
        <w:spacing w:line="600" w:lineRule="exact"/>
        <w:rPr>
          <w:color w:val="auto"/>
        </w:rPr>
      </w:pPr>
      <w:bookmarkStart w:id="15" w:name="_Toc183582211"/>
      <w:bookmarkStart w:id="16" w:name="_Toc183682348"/>
      <w:bookmarkStart w:id="17" w:name="_Toc217446040"/>
      <w:r>
        <w:rPr>
          <w:rFonts w:hint="eastAsia"/>
          <w:color w:val="auto"/>
        </w:rPr>
        <w:t>磋商文件的澄清</w:t>
      </w:r>
      <w:bookmarkEnd w:id="15"/>
      <w:bookmarkEnd w:id="16"/>
      <w:r>
        <w:rPr>
          <w:rFonts w:hint="eastAsia"/>
          <w:color w:val="auto"/>
        </w:rPr>
        <w:t>和修改</w:t>
      </w:r>
      <w:bookmarkEnd w:id="17"/>
    </w:p>
    <w:p>
      <w:pPr>
        <w:widowControl w:val="0"/>
        <w:numPr>
          <w:ilvl w:val="0"/>
          <w:numId w:val="1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在递交施工响应文件截止时间前，采购人或者</w:t>
      </w:r>
      <w:r>
        <w:rPr>
          <w:rFonts w:hint="eastAsia" w:cs="Arial"/>
          <w:color w:val="auto"/>
          <w:sz w:val="28"/>
          <w:szCs w:val="28"/>
        </w:rPr>
        <w:t>龙泉驿区公资交易中心</w:t>
      </w:r>
      <w:r>
        <w:rPr>
          <w:rFonts w:hint="eastAsia" w:ascii="宋体" w:hAnsi="宋体"/>
          <w:color w:val="auto"/>
          <w:sz w:val="28"/>
          <w:szCs w:val="28"/>
        </w:rPr>
        <w:t>可以对已发出的磋商文件进行必要的澄清或者修改。</w:t>
      </w:r>
    </w:p>
    <w:p>
      <w:pPr>
        <w:widowControl w:val="0"/>
        <w:numPr>
          <w:ilvl w:val="0"/>
          <w:numId w:val="11"/>
        </w:numPr>
        <w:tabs>
          <w:tab w:val="left" w:pos="1134"/>
        </w:tabs>
        <w:spacing w:line="600" w:lineRule="exact"/>
        <w:ind w:left="0" w:firstLine="560"/>
        <w:jc w:val="both"/>
        <w:rPr>
          <w:rFonts w:ascii="宋体" w:hAnsi="宋体"/>
          <w:color w:val="auto"/>
          <w:sz w:val="28"/>
          <w:szCs w:val="28"/>
        </w:rPr>
      </w:pPr>
      <w:r>
        <w:rPr>
          <w:rFonts w:hint="eastAsia" w:ascii="宋体" w:hAnsi="宋体"/>
          <w:color w:val="auto"/>
          <w:sz w:val="28"/>
          <w:szCs w:val="28"/>
        </w:rPr>
        <w:t>澄清或者修改的内容，龙泉驿区公资交易中心将在“四川政府采购网</w:t>
      </w:r>
      <w:r>
        <w:rPr>
          <w:rFonts w:ascii="宋体" w:hAnsi="宋体"/>
          <w:color w:val="auto"/>
          <w:sz w:val="28"/>
          <w:szCs w:val="28"/>
        </w:rPr>
        <w:t>”</w:t>
      </w:r>
      <w:r>
        <w:rPr>
          <w:rFonts w:hint="eastAsia" w:ascii="宋体" w:hAnsi="宋体"/>
          <w:color w:val="auto"/>
          <w:sz w:val="28"/>
          <w:szCs w:val="28"/>
        </w:rPr>
        <w:t>和“成都市公共资源交易服务中心”网站上发布澄清公告，同时通过政府采购云平台将澄清或者修改的内容告知所有潜在供应商（供应商通过账号或C</w:t>
      </w:r>
      <w:r>
        <w:rPr>
          <w:rFonts w:ascii="宋体" w:hAnsi="宋体"/>
          <w:color w:val="auto"/>
          <w:sz w:val="28"/>
          <w:szCs w:val="28"/>
        </w:rPr>
        <w:t>A</w:t>
      </w:r>
      <w:r>
        <w:rPr>
          <w:rFonts w:hint="eastAsia" w:ascii="宋体" w:hAnsi="宋体"/>
          <w:color w:val="auto"/>
          <w:sz w:val="28"/>
          <w:szCs w:val="28"/>
        </w:rPr>
        <w:t>证书登录云平台查看），该澄清或者修改的内容为磋商文件的组成部分。</w:t>
      </w:r>
    </w:p>
    <w:p>
      <w:pPr>
        <w:widowControl w:val="0"/>
        <w:numPr>
          <w:ilvl w:val="0"/>
          <w:numId w:val="11"/>
        </w:numPr>
        <w:tabs>
          <w:tab w:val="left" w:pos="1134"/>
        </w:tabs>
        <w:spacing w:line="600" w:lineRule="exact"/>
        <w:ind w:left="0" w:firstLine="560"/>
        <w:jc w:val="both"/>
        <w:rPr>
          <w:rFonts w:ascii="宋体" w:hAnsi="宋体"/>
          <w:color w:val="auto"/>
          <w:sz w:val="28"/>
          <w:szCs w:val="28"/>
        </w:rPr>
      </w:pPr>
      <w:r>
        <w:rPr>
          <w:rFonts w:ascii="宋体" w:hAnsi="宋体"/>
          <w:color w:val="auto"/>
          <w:sz w:val="28"/>
          <w:szCs w:val="28"/>
        </w:rPr>
        <w:t>澄清或者修改的内容可能影响施工响应文件编制的，</w:t>
      </w:r>
      <w:r>
        <w:rPr>
          <w:rFonts w:hint="eastAsia" w:ascii="宋体" w:hAnsi="宋体"/>
          <w:color w:val="auto"/>
          <w:sz w:val="28"/>
          <w:szCs w:val="28"/>
        </w:rPr>
        <w:t>龙泉驿区公资交易中心</w:t>
      </w:r>
      <w:r>
        <w:rPr>
          <w:rFonts w:ascii="宋体" w:hAnsi="宋体"/>
          <w:color w:val="auto"/>
          <w:sz w:val="28"/>
          <w:szCs w:val="28"/>
        </w:rPr>
        <w:t>应当在提交首次施工响应文件截止时间至少5日前，</w:t>
      </w:r>
      <w:r>
        <w:rPr>
          <w:rFonts w:hint="eastAsia" w:ascii="宋体" w:hAnsi="宋体"/>
          <w:color w:val="auto"/>
          <w:sz w:val="28"/>
          <w:szCs w:val="28"/>
        </w:rPr>
        <w:t>通过政府采购云平台或</w:t>
      </w:r>
      <w:r>
        <w:rPr>
          <w:rFonts w:hint="eastAsia" w:ascii="宋体" w:hAnsi="宋体"/>
          <w:bCs/>
          <w:color w:val="auto"/>
          <w:sz w:val="28"/>
          <w:szCs w:val="28"/>
        </w:rPr>
        <w:t>以电子邮件方式</w:t>
      </w:r>
      <w:r>
        <w:rPr>
          <w:rFonts w:hint="eastAsia" w:ascii="宋体" w:hAnsi="宋体"/>
          <w:color w:val="auto"/>
          <w:sz w:val="28"/>
          <w:szCs w:val="28"/>
        </w:rPr>
        <w:t>通知所有获取采购文件的潜在供应商</w:t>
      </w:r>
      <w:r>
        <w:rPr>
          <w:rFonts w:ascii="宋体" w:hAnsi="宋体"/>
          <w:color w:val="auto"/>
          <w:sz w:val="28"/>
          <w:szCs w:val="28"/>
        </w:rPr>
        <w:t>；不足5日的，</w:t>
      </w:r>
      <w:r>
        <w:rPr>
          <w:rFonts w:hint="eastAsia" w:ascii="宋体" w:hAnsi="宋体"/>
          <w:color w:val="auto"/>
          <w:sz w:val="28"/>
          <w:szCs w:val="28"/>
        </w:rPr>
        <w:t>采购人或龙泉驿区公资交易中心</w:t>
      </w:r>
      <w:r>
        <w:rPr>
          <w:rFonts w:ascii="宋体" w:hAnsi="宋体"/>
          <w:color w:val="auto"/>
          <w:sz w:val="28"/>
          <w:szCs w:val="28"/>
        </w:rPr>
        <w:t>应当顺延提交首次施工响应文件截止</w:t>
      </w:r>
      <w:r>
        <w:rPr>
          <w:rFonts w:hint="eastAsia" w:ascii="宋体" w:hAnsi="宋体"/>
          <w:color w:val="auto"/>
          <w:sz w:val="28"/>
          <w:szCs w:val="28"/>
        </w:rPr>
        <w:t>时间</w:t>
      </w:r>
      <w:r>
        <w:rPr>
          <w:rFonts w:ascii="宋体" w:hAnsi="宋体"/>
          <w:color w:val="auto"/>
          <w:sz w:val="28"/>
          <w:szCs w:val="28"/>
        </w:rPr>
        <w:t>。</w:t>
      </w:r>
    </w:p>
    <w:p>
      <w:pPr>
        <w:pStyle w:val="4"/>
        <w:spacing w:line="600" w:lineRule="exact"/>
        <w:rPr>
          <w:color w:val="auto"/>
        </w:rPr>
      </w:pPr>
      <w:bookmarkStart w:id="18" w:name="_Toc320698720"/>
      <w:bookmarkStart w:id="19" w:name="_Toc28724"/>
      <w:r>
        <w:rPr>
          <w:rFonts w:hint="eastAsia"/>
          <w:color w:val="auto"/>
        </w:rPr>
        <w:t>施工响应文件</w:t>
      </w:r>
      <w:bookmarkEnd w:id="18"/>
      <w:bookmarkEnd w:id="19"/>
    </w:p>
    <w:p>
      <w:pPr>
        <w:pStyle w:val="5"/>
        <w:spacing w:line="600" w:lineRule="exact"/>
        <w:rPr>
          <w:color w:val="auto"/>
        </w:rPr>
      </w:pPr>
      <w:bookmarkStart w:id="20" w:name="_Toc320698721"/>
      <w:r>
        <w:rPr>
          <w:rFonts w:hint="eastAsia"/>
          <w:color w:val="auto"/>
        </w:rPr>
        <w:t>施工响应文件的语言</w:t>
      </w:r>
      <w:bookmarkEnd w:id="20"/>
      <w:r>
        <w:rPr>
          <w:rFonts w:hint="eastAsia" w:ascii="仿宋" w:hAnsi="仿宋" w:eastAsia="仿宋"/>
          <w:color w:val="auto"/>
          <w:szCs w:val="21"/>
          <w:lang w:val="zh-CN"/>
        </w:rPr>
        <w:t>（实质性要求）</w:t>
      </w:r>
    </w:p>
    <w:p>
      <w:pPr>
        <w:widowControl w:val="0"/>
        <w:numPr>
          <w:ilvl w:val="0"/>
          <w:numId w:val="12"/>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供应商提交的施工响应文件以及供应商与采购人或龙泉驿区公资交易中心就有关竞争性磋商采购活动的所有来往书面文件均须使用中文，施工响应文件中所附或引用的外文资料，应翻译成中文附在相关外文资料后面（说明：供应商的</w:t>
      </w:r>
      <w:r>
        <w:rPr>
          <w:rFonts w:hint="eastAsia" w:ascii="宋体" w:hAnsi="宋体"/>
          <w:color w:val="auto"/>
          <w:sz w:val="28"/>
        </w:rPr>
        <w:t>法定代表人</w:t>
      </w:r>
      <w:r>
        <w:rPr>
          <w:rFonts w:hint="eastAsia" w:ascii="宋体" w:hAnsi="宋体"/>
          <w:color w:val="auto"/>
          <w:sz w:val="28"/>
          <w:szCs w:val="28"/>
        </w:rPr>
        <w:t>为外籍人士的，则</w:t>
      </w:r>
      <w:r>
        <w:rPr>
          <w:rFonts w:hint="eastAsia" w:ascii="宋体" w:hAnsi="宋体"/>
          <w:color w:val="auto"/>
          <w:sz w:val="28"/>
        </w:rPr>
        <w:t>法定代表人</w:t>
      </w:r>
      <w:r>
        <w:rPr>
          <w:rFonts w:hint="eastAsia" w:ascii="宋体" w:hAnsi="宋体"/>
          <w:color w:val="auto"/>
          <w:sz w:val="28"/>
          <w:szCs w:val="28"/>
        </w:rPr>
        <w:t>的签字和护照除外）。</w:t>
      </w:r>
    </w:p>
    <w:p>
      <w:pPr>
        <w:widowControl w:val="0"/>
        <w:numPr>
          <w:ilvl w:val="0"/>
          <w:numId w:val="12"/>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对不同文字文本施工响应文件的解释发生异议的，以中文文本为准。若供应商施工响应文件中提供的外文资料未翻译成中文，则磋商小组可将其视为无效材料。</w:t>
      </w:r>
    </w:p>
    <w:p>
      <w:pPr>
        <w:pStyle w:val="5"/>
        <w:spacing w:line="600" w:lineRule="exact"/>
        <w:rPr>
          <w:color w:val="auto"/>
        </w:rPr>
      </w:pPr>
      <w:r>
        <w:rPr>
          <w:rFonts w:hint="eastAsia"/>
          <w:color w:val="auto"/>
        </w:rPr>
        <w:t>计量单位</w:t>
      </w:r>
      <w:r>
        <w:rPr>
          <w:rFonts w:hint="eastAsia" w:ascii="仿宋" w:hAnsi="仿宋" w:eastAsia="仿宋"/>
          <w:color w:val="auto"/>
          <w:szCs w:val="21"/>
          <w:lang w:val="zh-CN"/>
        </w:rPr>
        <w:t>（实质性要求）</w:t>
      </w:r>
    </w:p>
    <w:p>
      <w:pPr>
        <w:tabs>
          <w:tab w:val="left" w:pos="1200"/>
        </w:tabs>
        <w:spacing w:line="600" w:lineRule="exact"/>
        <w:ind w:firstLine="560" w:firstLineChars="200"/>
        <w:rPr>
          <w:rFonts w:ascii="宋体" w:hAnsi="宋体"/>
          <w:color w:val="auto"/>
          <w:sz w:val="28"/>
          <w:szCs w:val="28"/>
        </w:rPr>
      </w:pPr>
      <w:r>
        <w:rPr>
          <w:rFonts w:hint="eastAsia" w:ascii="宋体" w:hAnsi="宋体"/>
          <w:color w:val="auto"/>
          <w:sz w:val="28"/>
          <w:szCs w:val="28"/>
        </w:rPr>
        <w:t>除磋商文件中另有规定外，本次采购项目所有合同项下的响应均采用国家法定的计量单位。</w:t>
      </w:r>
    </w:p>
    <w:p>
      <w:pPr>
        <w:pStyle w:val="5"/>
        <w:spacing w:line="600" w:lineRule="exact"/>
        <w:rPr>
          <w:color w:val="auto"/>
        </w:rPr>
      </w:pPr>
      <w:bookmarkStart w:id="21" w:name="_Toc320698722"/>
      <w:r>
        <w:rPr>
          <w:rFonts w:hint="eastAsia"/>
          <w:color w:val="auto"/>
        </w:rPr>
        <w:t>报价货币及报价要求</w:t>
      </w:r>
      <w:bookmarkEnd w:id="21"/>
      <w:r>
        <w:rPr>
          <w:rFonts w:hint="eastAsia" w:ascii="仿宋" w:hAnsi="仿宋" w:eastAsia="仿宋"/>
          <w:color w:val="auto"/>
          <w:szCs w:val="21"/>
          <w:lang w:val="zh-CN"/>
        </w:rPr>
        <w:t>（实质性要求）</w:t>
      </w:r>
    </w:p>
    <w:p>
      <w:pPr>
        <w:widowControl w:val="0"/>
        <w:numPr>
          <w:ilvl w:val="0"/>
          <w:numId w:val="13"/>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供应商应认真核实本项目的工程量清单。工程量清单以电子版为准。</w:t>
      </w:r>
    </w:p>
    <w:p>
      <w:pPr>
        <w:widowControl w:val="0"/>
        <w:numPr>
          <w:ilvl w:val="0"/>
          <w:numId w:val="13"/>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报价一律以人民币币种报价。采购人不接受任何非人民币币种的报价。</w:t>
      </w:r>
    </w:p>
    <w:p>
      <w:pPr>
        <w:widowControl w:val="0"/>
        <w:numPr>
          <w:ilvl w:val="0"/>
          <w:numId w:val="13"/>
        </w:numPr>
        <w:tabs>
          <w:tab w:val="left" w:pos="1134"/>
        </w:tabs>
        <w:spacing w:line="600" w:lineRule="exact"/>
        <w:ind w:left="0" w:firstLine="560" w:firstLineChars="200"/>
        <w:jc w:val="both"/>
        <w:rPr>
          <w:rFonts w:ascii="宋体" w:hAnsi="宋体"/>
          <w:color w:val="auto"/>
          <w:sz w:val="28"/>
          <w:szCs w:val="28"/>
        </w:rPr>
      </w:pPr>
      <w:bookmarkStart w:id="22" w:name="_Toc320698723"/>
      <w:r>
        <w:rPr>
          <w:rFonts w:hint="eastAsia" w:ascii="宋体" w:hAnsi="宋体"/>
          <w:color w:val="auto"/>
          <w:sz w:val="28"/>
          <w:szCs w:val="28"/>
        </w:rPr>
        <w:t>供应商的报价是其响应本项目要求的全部工作内容的价格体现，包括供应商完成本项目所需的一切费用。</w:t>
      </w:r>
    </w:p>
    <w:p>
      <w:pPr>
        <w:widowControl w:val="0"/>
        <w:numPr>
          <w:ilvl w:val="0"/>
          <w:numId w:val="13"/>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本项目合同价格形式为固定单价合同。</w:t>
      </w:r>
    </w:p>
    <w:p>
      <w:pPr>
        <w:widowControl w:val="0"/>
        <w:numPr>
          <w:ilvl w:val="0"/>
          <w:numId w:val="13"/>
        </w:numPr>
        <w:tabs>
          <w:tab w:val="left" w:pos="1134"/>
        </w:tabs>
        <w:spacing w:line="600" w:lineRule="exact"/>
        <w:ind w:left="0" w:firstLine="560" w:firstLineChars="200"/>
        <w:jc w:val="both"/>
        <w:rPr>
          <w:rFonts w:ascii="宋体" w:hAnsi="宋体"/>
          <w:color w:val="auto"/>
          <w:sz w:val="28"/>
          <w:szCs w:val="28"/>
        </w:rPr>
      </w:pPr>
      <w:r>
        <w:rPr>
          <w:rFonts w:hint="eastAsia" w:ascii="宋体" w:hAnsi="宋体"/>
          <w:color w:val="auto"/>
          <w:sz w:val="28"/>
          <w:szCs w:val="28"/>
        </w:rPr>
        <w:t>本项目采用工程量清单报价，为固定单价合同。</w:t>
      </w:r>
    </w:p>
    <w:p>
      <w:pPr>
        <w:widowControl w:val="0"/>
        <w:numPr>
          <w:ilvl w:val="0"/>
          <w:numId w:val="14"/>
        </w:numPr>
        <w:tabs>
          <w:tab w:val="left" w:pos="1134"/>
        </w:tabs>
        <w:spacing w:line="360" w:lineRule="auto"/>
        <w:ind w:left="0" w:firstLine="567"/>
        <w:jc w:val="both"/>
        <w:rPr>
          <w:rFonts w:ascii="宋体" w:hAnsi="宋体"/>
          <w:bCs/>
          <w:color w:val="auto"/>
          <w:sz w:val="28"/>
          <w:szCs w:val="28"/>
        </w:rPr>
      </w:pPr>
      <w:r>
        <w:rPr>
          <w:rFonts w:hint="eastAsia" w:ascii="宋体" w:hAnsi="宋体"/>
          <w:b/>
          <w:bCs/>
          <w:color w:val="auto"/>
          <w:sz w:val="28"/>
          <w:szCs w:val="28"/>
        </w:rPr>
        <w:t>已标价工程量清单的扉页（仅指投标总价扉页，下同）应由注册或登记在本单位的造价人员签字并盖执业印章（说明：提供造价人员签字并盖执业印章的已标价工程量清单的扉页的复印件，原件签订合同时向采购人提供）</w:t>
      </w:r>
      <w:r>
        <w:rPr>
          <w:rFonts w:hint="eastAsia" w:ascii="宋体" w:hAnsi="宋体"/>
          <w:bCs/>
          <w:color w:val="auto"/>
          <w:sz w:val="28"/>
          <w:szCs w:val="28"/>
        </w:rPr>
        <w:t>。除此之外，造价人员无需在施工响应文件其他任何地方签字或盖执业印章。</w:t>
      </w:r>
      <w:r>
        <w:rPr>
          <w:rFonts w:hint="eastAsia" w:ascii="宋体" w:hAnsi="宋体"/>
          <w:b/>
          <w:bCs/>
          <w:color w:val="auto"/>
          <w:sz w:val="28"/>
          <w:szCs w:val="28"/>
        </w:rPr>
        <w:t>供应商委托工程造价咨询企业编制已标价工程量清单的，应在施工响应文件中附工程造价咨询委托合同，由注册或登记在工程造价咨询企业的造价人员签字并盖执业印章</w:t>
      </w:r>
      <w:r>
        <w:rPr>
          <w:rFonts w:hint="eastAsia" w:ascii="宋体" w:hAnsi="宋体"/>
          <w:bCs/>
          <w:color w:val="auto"/>
          <w:sz w:val="28"/>
          <w:szCs w:val="28"/>
        </w:rPr>
        <w:t>。</w:t>
      </w:r>
    </w:p>
    <w:p>
      <w:pPr>
        <w:widowControl w:val="0"/>
        <w:numPr>
          <w:ilvl w:val="0"/>
          <w:numId w:val="14"/>
        </w:numPr>
        <w:tabs>
          <w:tab w:val="left" w:pos="1134"/>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供应</w:t>
      </w:r>
      <w:r>
        <w:rPr>
          <w:rFonts w:ascii="宋体" w:hAnsi="宋体"/>
          <w:bCs/>
          <w:color w:val="auto"/>
          <w:sz w:val="28"/>
          <w:szCs w:val="28"/>
        </w:rPr>
        <w:t>商</w:t>
      </w:r>
      <w:r>
        <w:rPr>
          <w:rFonts w:hint="eastAsia" w:ascii="宋体" w:hAnsi="宋体"/>
          <w:bCs/>
          <w:color w:val="auto"/>
          <w:sz w:val="28"/>
          <w:szCs w:val="28"/>
        </w:rPr>
        <w:t>最后报价超过政府采购预算或最高限价(控制价)（金额详见“供应商须知附表”）的, 其施工响应文件按无效处理。</w:t>
      </w:r>
    </w:p>
    <w:p>
      <w:pPr>
        <w:widowControl w:val="0"/>
        <w:numPr>
          <w:ilvl w:val="0"/>
          <w:numId w:val="14"/>
        </w:numPr>
        <w:tabs>
          <w:tab w:val="left" w:pos="1134"/>
        </w:tabs>
        <w:spacing w:line="360" w:lineRule="auto"/>
        <w:ind w:left="0" w:firstLine="567"/>
        <w:jc w:val="both"/>
        <w:rPr>
          <w:rFonts w:ascii="宋体" w:hAnsi="宋体"/>
          <w:b/>
          <w:bCs/>
          <w:color w:val="auto"/>
          <w:sz w:val="28"/>
          <w:szCs w:val="28"/>
        </w:rPr>
      </w:pPr>
      <w:r>
        <w:rPr>
          <w:rFonts w:hint="eastAsia" w:ascii="宋体" w:hAnsi="宋体"/>
          <w:b/>
          <w:bCs/>
          <w:color w:val="auto"/>
          <w:sz w:val="28"/>
          <w:szCs w:val="28"/>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w:t>
      </w:r>
    </w:p>
    <w:p>
      <w:pPr>
        <w:widowControl w:val="0"/>
        <w:numPr>
          <w:ilvl w:val="0"/>
          <w:numId w:val="14"/>
        </w:numPr>
        <w:tabs>
          <w:tab w:val="left" w:pos="1134"/>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widowControl w:val="0"/>
        <w:numPr>
          <w:ilvl w:val="0"/>
          <w:numId w:val="14"/>
        </w:numPr>
        <w:tabs>
          <w:tab w:val="left" w:pos="1134"/>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供应商提交的已标价工程量清单应符合本项目工程量清单以及清单说明的要求。当供应商的已标价工程量清单有下列情形之一的，应按照无效施工响应文件处理。</w:t>
      </w:r>
    </w:p>
    <w:p>
      <w:pPr>
        <w:widowControl w:val="0"/>
        <w:numPr>
          <w:ilvl w:val="0"/>
          <w:numId w:val="15"/>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已标价工程量清单中的项目名称、项目特征描述（与采购文件工程量清单中的项目特征描述的实质性内容一致的除外）、计量单位、工程量与采购文件工程量清单不一致的；</w:t>
      </w:r>
    </w:p>
    <w:p>
      <w:pPr>
        <w:widowControl w:val="0"/>
        <w:numPr>
          <w:ilvl w:val="0"/>
          <w:numId w:val="15"/>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供应</w:t>
      </w:r>
      <w:r>
        <w:rPr>
          <w:rFonts w:ascii="宋体" w:hAnsi="宋体"/>
          <w:bCs/>
          <w:color w:val="auto"/>
          <w:sz w:val="28"/>
          <w:szCs w:val="28"/>
        </w:rPr>
        <w:t>商</w:t>
      </w:r>
      <w:r>
        <w:rPr>
          <w:rFonts w:hint="eastAsia" w:ascii="宋体" w:hAnsi="宋体"/>
          <w:bCs/>
          <w:color w:val="auto"/>
          <w:sz w:val="28"/>
          <w:szCs w:val="28"/>
        </w:rPr>
        <w:t>未按采购文件工程</w:t>
      </w:r>
      <w:r>
        <w:rPr>
          <w:rFonts w:ascii="宋体" w:hAnsi="宋体"/>
          <w:bCs/>
          <w:color w:val="auto"/>
          <w:sz w:val="28"/>
          <w:szCs w:val="28"/>
        </w:rPr>
        <w:t>量</w:t>
      </w:r>
      <w:r>
        <w:rPr>
          <w:rFonts w:hint="eastAsia" w:ascii="宋体" w:hAnsi="宋体"/>
          <w:bCs/>
          <w:color w:val="auto"/>
          <w:sz w:val="28"/>
          <w:szCs w:val="28"/>
        </w:rPr>
        <w:t>清单总</w:t>
      </w:r>
      <w:r>
        <w:rPr>
          <w:rFonts w:ascii="宋体" w:hAnsi="宋体"/>
          <w:bCs/>
          <w:color w:val="auto"/>
          <w:sz w:val="28"/>
          <w:szCs w:val="28"/>
        </w:rPr>
        <w:t>说明</w:t>
      </w:r>
      <w:r>
        <w:rPr>
          <w:rFonts w:hint="eastAsia" w:ascii="宋体" w:hAnsi="宋体"/>
          <w:bCs/>
          <w:color w:val="auto"/>
          <w:sz w:val="28"/>
          <w:szCs w:val="28"/>
        </w:rPr>
        <w:t>规定或其持有的《四川省施工企业工程规费计取标准》证书中的规费标准(采购文件工程量清单总说明无规定时)计取规费的；</w:t>
      </w:r>
    </w:p>
    <w:p>
      <w:pPr>
        <w:widowControl w:val="0"/>
        <w:numPr>
          <w:ilvl w:val="0"/>
          <w:numId w:val="15"/>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采购</w:t>
      </w:r>
      <w:r>
        <w:rPr>
          <w:rFonts w:ascii="宋体" w:hAnsi="宋体"/>
          <w:bCs/>
          <w:color w:val="auto"/>
          <w:sz w:val="28"/>
          <w:szCs w:val="28"/>
        </w:rPr>
        <w:t>文件</w:t>
      </w:r>
      <w:r>
        <w:rPr>
          <w:rFonts w:hint="eastAsia" w:ascii="宋体" w:hAnsi="宋体"/>
          <w:bCs/>
          <w:color w:val="auto"/>
          <w:sz w:val="28"/>
          <w:szCs w:val="28"/>
        </w:rPr>
        <w:t>明确了安全文明施工费金额或费率并要求按此金额或费率填报而供应商填报错误或未填报的；</w:t>
      </w:r>
    </w:p>
    <w:p>
      <w:pPr>
        <w:widowControl w:val="0"/>
        <w:numPr>
          <w:ilvl w:val="0"/>
          <w:numId w:val="15"/>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已标价工程量清单中暂列金额未按采购</w:t>
      </w:r>
      <w:r>
        <w:rPr>
          <w:rFonts w:ascii="宋体" w:hAnsi="宋体"/>
          <w:bCs/>
          <w:color w:val="auto"/>
          <w:sz w:val="28"/>
          <w:szCs w:val="28"/>
        </w:rPr>
        <w:t>文件</w:t>
      </w:r>
      <w:r>
        <w:rPr>
          <w:rFonts w:hint="eastAsia" w:ascii="宋体" w:hAnsi="宋体"/>
          <w:bCs/>
          <w:color w:val="auto"/>
          <w:sz w:val="28"/>
          <w:szCs w:val="28"/>
        </w:rPr>
        <w:t>工程量清单中列明的金额填报的；</w:t>
      </w:r>
    </w:p>
    <w:p>
      <w:pPr>
        <w:widowControl w:val="0"/>
        <w:numPr>
          <w:ilvl w:val="0"/>
          <w:numId w:val="15"/>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已标价工程量清单中材料、工程设备暂估价未按采购文件工程量清单中列出的单价计入综合单价的；</w:t>
      </w:r>
    </w:p>
    <w:p>
      <w:pPr>
        <w:widowControl w:val="0"/>
        <w:numPr>
          <w:ilvl w:val="0"/>
          <w:numId w:val="15"/>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已标价工程量清单中专业工程暂估价未按采购文件工程量清单中列明的金额填写的；</w:t>
      </w:r>
    </w:p>
    <w:p>
      <w:pPr>
        <w:widowControl w:val="0"/>
        <w:numPr>
          <w:ilvl w:val="0"/>
          <w:numId w:val="15"/>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已标价工程量清单中计日工未按采购文件工程量清单中列明的数量进行报价的；</w:t>
      </w:r>
    </w:p>
    <w:p>
      <w:pPr>
        <w:widowControl w:val="0"/>
        <w:numPr>
          <w:ilvl w:val="0"/>
          <w:numId w:val="15"/>
        </w:numPr>
        <w:tabs>
          <w:tab w:val="left" w:pos="1418"/>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当已标价工程量清单中的任何单价、合价或总价，出现两个及以上金额的。</w:t>
      </w:r>
    </w:p>
    <w:p>
      <w:pPr>
        <w:widowControl w:val="0"/>
        <w:numPr>
          <w:ilvl w:val="0"/>
          <w:numId w:val="14"/>
        </w:numPr>
        <w:tabs>
          <w:tab w:val="left" w:pos="1134"/>
        </w:tabs>
        <w:spacing w:line="360" w:lineRule="auto"/>
        <w:ind w:left="0" w:firstLine="567"/>
        <w:jc w:val="both"/>
        <w:rPr>
          <w:rFonts w:ascii="宋体" w:hAnsi="宋体"/>
          <w:bCs/>
          <w:color w:val="auto"/>
          <w:sz w:val="28"/>
          <w:szCs w:val="28"/>
        </w:rPr>
      </w:pPr>
      <w:r>
        <w:rPr>
          <w:rFonts w:hint="eastAsia" w:ascii="宋体" w:hAnsi="宋体"/>
          <w:bCs/>
          <w:color w:val="auto"/>
          <w:sz w:val="28"/>
          <w:szCs w:val="28"/>
        </w:rPr>
        <w:t>若供应商的最后报价只有一个总价，且相对首次报价有调整（上调取“+”，下调取“-”</w:t>
      </w:r>
      <w:r>
        <w:rPr>
          <w:rFonts w:ascii="宋体" w:hAnsi="宋体"/>
          <w:bCs/>
          <w:color w:val="auto"/>
          <w:sz w:val="28"/>
          <w:szCs w:val="28"/>
        </w:rPr>
        <w:t>）</w:t>
      </w:r>
      <w:r>
        <w:rPr>
          <w:rFonts w:hint="eastAsia" w:ascii="宋体" w:hAnsi="宋体"/>
          <w:bCs/>
          <w:color w:val="auto"/>
          <w:sz w:val="28"/>
          <w:szCs w:val="28"/>
        </w:rPr>
        <w:t>，则该调整金额将会以百分比（A</w:t>
      </w:r>
      <w:r>
        <w:rPr>
          <w:rFonts w:ascii="宋体" w:hAnsi="宋体"/>
          <w:bCs/>
          <w:color w:val="auto"/>
          <w:sz w:val="28"/>
          <w:szCs w:val="28"/>
        </w:rPr>
        <w:t>）</w:t>
      </w:r>
      <w:r>
        <w:rPr>
          <w:rFonts w:hint="eastAsia" w:ascii="宋体" w:hAnsi="宋体"/>
          <w:bCs/>
          <w:color w:val="auto"/>
          <w:sz w:val="28"/>
          <w:szCs w:val="28"/>
        </w:rPr>
        <w:t>形式套用于首次报价中除暂列金额、专业暂估价以及包干费用以外的各项目单价，调整后的单价（B</w:t>
      </w:r>
      <w:r>
        <w:rPr>
          <w:rFonts w:ascii="宋体" w:hAnsi="宋体"/>
          <w:bCs/>
          <w:color w:val="auto"/>
          <w:sz w:val="28"/>
          <w:szCs w:val="28"/>
        </w:rPr>
        <w:t>）</w:t>
      </w:r>
      <w:r>
        <w:rPr>
          <w:rFonts w:hint="eastAsia" w:ascii="宋体" w:hAnsi="宋体"/>
          <w:bCs/>
          <w:color w:val="auto"/>
          <w:sz w:val="28"/>
          <w:szCs w:val="28"/>
        </w:rPr>
        <w:t>作为工程变更及竣工结算的依据。百分比（A</w:t>
      </w:r>
      <w:r>
        <w:rPr>
          <w:rFonts w:ascii="宋体" w:hAnsi="宋体"/>
          <w:bCs/>
          <w:color w:val="auto"/>
          <w:sz w:val="28"/>
          <w:szCs w:val="28"/>
        </w:rPr>
        <w:t>）</w:t>
      </w:r>
      <w:r>
        <w:rPr>
          <w:rFonts w:hint="eastAsia" w:ascii="宋体" w:hAnsi="宋体"/>
          <w:bCs/>
          <w:color w:val="auto"/>
          <w:sz w:val="28"/>
          <w:szCs w:val="28"/>
        </w:rPr>
        <w:t>计算如下（保留两位小数）：</w:t>
      </w:r>
    </w:p>
    <w:p>
      <w:pPr>
        <w:spacing w:line="240" w:lineRule="atLeast"/>
        <w:ind w:firstLine="546" w:firstLineChars="195"/>
        <w:rPr>
          <w:rFonts w:ascii="宋体" w:hAnsi="宋体"/>
          <w:bCs/>
          <w:color w:val="auto"/>
          <w:sz w:val="28"/>
          <w:szCs w:val="28"/>
        </w:rPr>
      </w:pPr>
      <w:r>
        <w:rPr>
          <w:rFonts w:hint="eastAsia" w:ascii="宋体" w:hAnsi="宋体"/>
          <w:bCs/>
          <w:color w:val="auto"/>
          <w:sz w:val="28"/>
          <w:szCs w:val="28"/>
        </w:rPr>
        <w:t xml:space="preserve">             </w:t>
      </w:r>
      <w:r>
        <w:rPr>
          <w:rFonts w:hint="eastAsia" w:ascii="宋体" w:hAnsi="宋体"/>
          <w:bCs/>
          <w:color w:val="auto"/>
          <w:sz w:val="28"/>
          <w:szCs w:val="28"/>
        </w:rPr>
        <w:tab/>
      </w:r>
      <w:r>
        <w:rPr>
          <w:rFonts w:hint="eastAsia" w:ascii="宋体" w:hAnsi="宋体"/>
          <w:bCs/>
          <w:color w:val="auto"/>
          <w:sz w:val="28"/>
          <w:szCs w:val="28"/>
        </w:rPr>
        <w:tab/>
      </w:r>
      <w:r>
        <w:rPr>
          <w:rFonts w:hint="eastAsia" w:ascii="宋体" w:hAnsi="宋体"/>
          <w:bCs/>
          <w:color w:val="auto"/>
          <w:sz w:val="28"/>
          <w:szCs w:val="28"/>
        </w:rPr>
        <w:t xml:space="preserve">          （</w:t>
      </w:r>
      <w:r>
        <w:rPr>
          <w:rFonts w:hint="eastAsia" w:ascii="宋体" w:hAnsi="宋体" w:cs="Cambria Math"/>
          <w:bCs/>
          <w:color w:val="auto"/>
          <w:sz w:val="28"/>
          <w:szCs w:val="28"/>
        </w:rPr>
        <w:t>±</w:t>
      </w:r>
      <w:r>
        <w:rPr>
          <w:rFonts w:ascii="宋体" w:hAnsi="宋体"/>
          <w:bCs/>
          <w:color w:val="auto"/>
          <w:sz w:val="28"/>
          <w:szCs w:val="28"/>
        </w:rPr>
        <w:t>）</w:t>
      </w:r>
      <w:r>
        <w:rPr>
          <w:rFonts w:hint="eastAsia" w:ascii="宋体" w:hAnsi="宋体"/>
          <w:bCs/>
          <w:color w:val="auto"/>
          <w:sz w:val="28"/>
          <w:szCs w:val="28"/>
        </w:rPr>
        <w:t xml:space="preserve">调整金额                                                  </w:t>
      </w:r>
    </w:p>
    <w:p>
      <w:pPr>
        <w:spacing w:line="240" w:lineRule="atLeast"/>
        <w:rPr>
          <w:rFonts w:ascii="宋体" w:hAnsi="宋体"/>
          <w:bCs/>
          <w:color w:val="auto"/>
          <w:sz w:val="28"/>
          <w:szCs w:val="28"/>
        </w:rPr>
      </w:pPr>
      <w:r>
        <w:rPr>
          <w:rFonts w:hint="eastAsia" w:ascii="宋体" w:hAnsi="宋体"/>
          <w:bCs/>
          <w:color w:val="auto"/>
          <w:sz w:val="28"/>
          <w:szCs w:val="28"/>
        </w:rPr>
        <w:t>百分比（A</w:t>
      </w:r>
      <w:r>
        <w:rPr>
          <w:rFonts w:ascii="宋体" w:hAnsi="宋体"/>
          <w:bCs/>
          <w:color w:val="auto"/>
          <w:sz w:val="28"/>
          <w:szCs w:val="28"/>
        </w:rPr>
        <w:t>）</w:t>
      </w:r>
      <w:r>
        <w:rPr>
          <w:rFonts w:hint="eastAsia" w:ascii="宋体" w:hAnsi="宋体"/>
          <w:bCs/>
          <w:color w:val="auto"/>
          <w:sz w:val="28"/>
          <w:szCs w:val="28"/>
        </w:rPr>
        <w:t xml:space="preserve">= </w:t>
      </w:r>
      <w:r>
        <w:rPr>
          <w:rFonts w:hint="eastAsia" w:ascii="宋体" w:hAnsi="宋体"/>
          <w:bCs/>
          <w:strike/>
          <w:color w:val="auto"/>
          <w:sz w:val="28"/>
          <w:szCs w:val="28"/>
        </w:rPr>
        <w:t xml:space="preserve">                           </w:t>
      </w:r>
      <w:r>
        <w:rPr>
          <w:rFonts w:ascii="宋体" w:hAnsi="宋体"/>
          <w:bCs/>
          <w:strike/>
          <w:color w:val="auto"/>
          <w:sz w:val="28"/>
          <w:szCs w:val="28"/>
        </w:rPr>
        <w:t xml:space="preserve"> </w:t>
      </w:r>
      <w:r>
        <w:rPr>
          <w:rFonts w:hint="eastAsia" w:ascii="宋体" w:hAnsi="宋体"/>
          <w:bCs/>
          <w:strike/>
          <w:color w:val="auto"/>
          <w:sz w:val="28"/>
          <w:szCs w:val="28"/>
        </w:rPr>
        <w:t xml:space="preserve">      </w:t>
      </w:r>
      <w:r>
        <w:rPr>
          <w:rFonts w:ascii="宋体" w:hAnsi="宋体"/>
          <w:bCs/>
          <w:strike/>
          <w:color w:val="auto"/>
          <w:sz w:val="28"/>
          <w:szCs w:val="28"/>
        </w:rPr>
        <w:t xml:space="preserve">    </w:t>
      </w:r>
      <w:r>
        <w:rPr>
          <w:rFonts w:hint="eastAsia" w:ascii="宋体" w:hAnsi="宋体"/>
          <w:bCs/>
          <w:strike/>
          <w:color w:val="auto"/>
          <w:sz w:val="28"/>
          <w:szCs w:val="28"/>
        </w:rPr>
        <w:t xml:space="preserve">          </w:t>
      </w:r>
      <w:r>
        <w:rPr>
          <w:rFonts w:hint="eastAsia" w:ascii="宋体" w:hAnsi="宋体"/>
          <w:bCs/>
          <w:color w:val="auto"/>
          <w:sz w:val="28"/>
          <w:szCs w:val="28"/>
        </w:rPr>
        <w:t>×100%</w:t>
      </w:r>
    </w:p>
    <w:p>
      <w:pPr>
        <w:spacing w:line="360" w:lineRule="auto"/>
        <w:ind w:firstLine="1540" w:firstLineChars="550"/>
        <w:rPr>
          <w:rFonts w:ascii="宋体" w:hAnsi="宋体"/>
          <w:bCs/>
          <w:color w:val="auto"/>
          <w:sz w:val="28"/>
          <w:szCs w:val="28"/>
        </w:rPr>
      </w:pPr>
      <w:r>
        <w:rPr>
          <w:rFonts w:hint="eastAsia" w:ascii="宋体" w:hAnsi="宋体"/>
          <w:bCs/>
          <w:color w:val="auto"/>
          <w:sz w:val="28"/>
          <w:szCs w:val="28"/>
        </w:rPr>
        <w:t>修正后的首次报价-暂列金额-</w:t>
      </w:r>
      <w:r>
        <w:rPr>
          <w:rFonts w:ascii="宋体" w:hAnsi="宋体"/>
          <w:bCs/>
          <w:color w:val="auto"/>
          <w:sz w:val="28"/>
          <w:szCs w:val="28"/>
        </w:rPr>
        <w:t>专业工程</w:t>
      </w:r>
      <w:r>
        <w:rPr>
          <w:rFonts w:hint="eastAsia" w:ascii="宋体" w:hAnsi="宋体"/>
          <w:bCs/>
          <w:color w:val="auto"/>
          <w:sz w:val="28"/>
          <w:szCs w:val="28"/>
        </w:rPr>
        <w:t>暂估价-包干费用</w:t>
      </w:r>
    </w:p>
    <w:p>
      <w:pPr>
        <w:spacing w:line="360" w:lineRule="auto"/>
        <w:rPr>
          <w:rFonts w:ascii="宋体" w:hAnsi="宋体"/>
          <w:bCs/>
          <w:color w:val="auto"/>
          <w:sz w:val="28"/>
          <w:szCs w:val="28"/>
        </w:rPr>
      </w:pPr>
      <w:r>
        <w:rPr>
          <w:rFonts w:hint="eastAsia" w:ascii="宋体" w:hAnsi="宋体"/>
          <w:bCs/>
          <w:color w:val="auto"/>
          <w:sz w:val="28"/>
          <w:szCs w:val="28"/>
        </w:rPr>
        <w:t>调整</w:t>
      </w:r>
      <w:r>
        <w:rPr>
          <w:rFonts w:ascii="宋体" w:hAnsi="宋体"/>
          <w:bCs/>
          <w:color w:val="auto"/>
          <w:sz w:val="28"/>
          <w:szCs w:val="28"/>
        </w:rPr>
        <w:t>后的单价</w:t>
      </w:r>
      <w:r>
        <w:rPr>
          <w:rFonts w:hint="eastAsia" w:ascii="宋体" w:hAnsi="宋体"/>
          <w:bCs/>
          <w:color w:val="auto"/>
          <w:sz w:val="28"/>
          <w:szCs w:val="28"/>
        </w:rPr>
        <w:t>B</w:t>
      </w:r>
      <w:r>
        <w:rPr>
          <w:rFonts w:ascii="宋体" w:hAnsi="宋体"/>
          <w:bCs/>
          <w:color w:val="auto"/>
          <w:sz w:val="28"/>
          <w:szCs w:val="28"/>
        </w:rPr>
        <w:t xml:space="preserve"> =</w:t>
      </w:r>
      <w:r>
        <w:rPr>
          <w:rFonts w:hint="eastAsia" w:ascii="宋体" w:hAnsi="宋体"/>
          <w:bCs/>
          <w:color w:val="auto"/>
          <w:sz w:val="28"/>
          <w:szCs w:val="28"/>
        </w:rPr>
        <w:t>修正后的首次报价中</w:t>
      </w:r>
      <w:r>
        <w:rPr>
          <w:rFonts w:ascii="宋体" w:hAnsi="宋体"/>
          <w:bCs/>
          <w:color w:val="auto"/>
          <w:sz w:val="28"/>
          <w:szCs w:val="28"/>
        </w:rPr>
        <w:t>的单价</w:t>
      </w:r>
      <w:r>
        <w:rPr>
          <w:rFonts w:hint="eastAsia" w:ascii="宋体" w:hAnsi="宋体"/>
          <w:bCs/>
          <w:color w:val="auto"/>
          <w:sz w:val="28"/>
          <w:szCs w:val="28"/>
        </w:rPr>
        <w:t>×（</w:t>
      </w:r>
      <w:r>
        <w:rPr>
          <w:rFonts w:ascii="宋体" w:hAnsi="宋体"/>
          <w:bCs/>
          <w:color w:val="auto"/>
          <w:sz w:val="28"/>
          <w:szCs w:val="28"/>
        </w:rPr>
        <w:t>1 + A</w:t>
      </w:r>
      <w:r>
        <w:rPr>
          <w:rFonts w:hint="eastAsia" w:ascii="宋体" w:hAnsi="宋体"/>
          <w:bCs/>
          <w:color w:val="auto"/>
          <w:sz w:val="28"/>
          <w:szCs w:val="28"/>
        </w:rPr>
        <w:t>）</w:t>
      </w:r>
    </w:p>
    <w:p>
      <w:pPr>
        <w:pStyle w:val="5"/>
        <w:spacing w:line="600" w:lineRule="exact"/>
        <w:rPr>
          <w:color w:val="auto"/>
        </w:rPr>
      </w:pPr>
      <w:r>
        <w:rPr>
          <w:rFonts w:hint="eastAsia"/>
          <w:color w:val="auto"/>
        </w:rPr>
        <w:t>联合体</w:t>
      </w:r>
      <w:bookmarkEnd w:id="22"/>
      <w:r>
        <w:rPr>
          <w:rFonts w:hint="eastAsia" w:ascii="仿宋" w:hAnsi="仿宋" w:eastAsia="仿宋"/>
          <w:color w:val="auto"/>
          <w:szCs w:val="21"/>
          <w:lang w:val="zh-CN"/>
        </w:rPr>
        <w:t>（实质性要求）</w:t>
      </w:r>
    </w:p>
    <w:p>
      <w:pPr>
        <w:tabs>
          <w:tab w:val="left" w:pos="1200"/>
        </w:tabs>
        <w:spacing w:line="600" w:lineRule="exact"/>
        <w:ind w:firstLine="565" w:firstLineChars="202"/>
        <w:rPr>
          <w:rFonts w:ascii="宋体" w:hAnsi="宋体"/>
          <w:color w:val="auto"/>
          <w:sz w:val="28"/>
          <w:szCs w:val="28"/>
        </w:rPr>
      </w:pPr>
      <w:r>
        <w:rPr>
          <w:rFonts w:hint="eastAsia" w:ascii="宋体" w:hAnsi="宋体"/>
          <w:color w:val="auto"/>
          <w:sz w:val="28"/>
          <w:szCs w:val="28"/>
        </w:rPr>
        <w:t>本次政府采购活动</w:t>
      </w:r>
      <w:r>
        <w:rPr>
          <w:rFonts w:hint="eastAsia" w:ascii="宋体" w:hAnsi="宋体"/>
          <w:b/>
          <w:color w:val="auto"/>
          <w:sz w:val="28"/>
          <w:szCs w:val="28"/>
        </w:rPr>
        <w:t>不接受</w:t>
      </w:r>
      <w:r>
        <w:rPr>
          <w:rFonts w:hint="eastAsia" w:ascii="宋体" w:hAnsi="宋体"/>
          <w:color w:val="auto"/>
          <w:sz w:val="28"/>
          <w:szCs w:val="28"/>
        </w:rPr>
        <w:t>供应商以联合体的形式参加磋商。</w:t>
      </w:r>
    </w:p>
    <w:p>
      <w:pPr>
        <w:pStyle w:val="5"/>
        <w:spacing w:line="600" w:lineRule="exact"/>
        <w:ind w:left="0" w:firstLine="0"/>
        <w:rPr>
          <w:color w:val="auto"/>
        </w:rPr>
      </w:pPr>
      <w:bookmarkStart w:id="23" w:name="_Toc217446047"/>
      <w:r>
        <w:rPr>
          <w:rFonts w:hint="eastAsia"/>
          <w:color w:val="auto"/>
        </w:rPr>
        <w:t>知识产权</w:t>
      </w:r>
      <w:bookmarkEnd w:id="23"/>
      <w:r>
        <w:rPr>
          <w:rFonts w:hint="eastAsia" w:ascii="仿宋" w:hAnsi="仿宋" w:eastAsia="仿宋"/>
          <w:color w:val="auto"/>
          <w:szCs w:val="21"/>
          <w:lang w:val="zh-CN"/>
        </w:rPr>
        <w:t>（实质性要求）</w:t>
      </w:r>
    </w:p>
    <w:p>
      <w:pPr>
        <w:pStyle w:val="154"/>
        <w:widowControl w:val="0"/>
        <w:numPr>
          <w:ilvl w:val="0"/>
          <w:numId w:val="16"/>
        </w:numPr>
        <w:tabs>
          <w:tab w:val="left" w:pos="1134"/>
        </w:tabs>
        <w:spacing w:line="600" w:lineRule="exact"/>
        <w:ind w:left="0" w:firstLine="549" w:firstLineChars="0"/>
        <w:jc w:val="both"/>
        <w:rPr>
          <w:rFonts w:ascii="宋体" w:hAnsi="宋体"/>
          <w:color w:val="auto"/>
          <w:sz w:val="28"/>
          <w:szCs w:val="28"/>
        </w:rPr>
      </w:pPr>
      <w:r>
        <w:rPr>
          <w:rFonts w:hint="eastAsia" w:ascii="宋体" w:hAnsi="宋体"/>
          <w:color w:val="auto"/>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4"/>
        <w:widowControl w:val="0"/>
        <w:numPr>
          <w:ilvl w:val="0"/>
          <w:numId w:val="16"/>
        </w:numPr>
        <w:tabs>
          <w:tab w:val="left" w:pos="1134"/>
        </w:tabs>
        <w:spacing w:line="600" w:lineRule="exact"/>
        <w:ind w:left="0" w:firstLine="549" w:firstLineChars="0"/>
        <w:jc w:val="both"/>
        <w:rPr>
          <w:rFonts w:ascii="宋体" w:hAnsi="宋体"/>
          <w:color w:val="auto"/>
          <w:sz w:val="28"/>
          <w:szCs w:val="28"/>
        </w:rPr>
      </w:pPr>
      <w:r>
        <w:rPr>
          <w:rFonts w:hint="eastAsia" w:ascii="宋体" w:hAnsi="宋体"/>
          <w:color w:val="auto"/>
          <w:sz w:val="28"/>
          <w:szCs w:val="28"/>
        </w:rPr>
        <w:t>非</w:t>
      </w:r>
      <w:r>
        <w:rPr>
          <w:rFonts w:ascii="宋体" w:hAnsi="宋体"/>
          <w:color w:val="auto"/>
          <w:sz w:val="28"/>
          <w:szCs w:val="28"/>
        </w:rPr>
        <w:t>磋商文件特别规定，</w:t>
      </w:r>
      <w:r>
        <w:rPr>
          <w:rFonts w:hint="eastAsia" w:ascii="宋体" w:hAnsi="宋体"/>
          <w:color w:val="auto"/>
          <w:sz w:val="28"/>
          <w:szCs w:val="28"/>
        </w:rPr>
        <w:t>采购人享有本项目实施过程中产生的知识成果及知识产权。</w:t>
      </w:r>
    </w:p>
    <w:p>
      <w:pPr>
        <w:pStyle w:val="154"/>
        <w:widowControl w:val="0"/>
        <w:numPr>
          <w:ilvl w:val="0"/>
          <w:numId w:val="16"/>
        </w:numPr>
        <w:tabs>
          <w:tab w:val="left" w:pos="1134"/>
        </w:tabs>
        <w:spacing w:line="600" w:lineRule="exact"/>
        <w:ind w:left="0" w:firstLine="549" w:firstLineChars="0"/>
        <w:jc w:val="both"/>
        <w:rPr>
          <w:rFonts w:ascii="宋体" w:hAnsi="宋体"/>
          <w:color w:val="auto"/>
          <w:sz w:val="28"/>
          <w:szCs w:val="28"/>
        </w:rPr>
      </w:pPr>
      <w:r>
        <w:rPr>
          <w:rFonts w:hint="eastAsia" w:ascii="宋体" w:hAnsi="宋体"/>
          <w:color w:val="auto"/>
          <w:sz w:val="28"/>
          <w:szCs w:val="28"/>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4"/>
        <w:widowControl w:val="0"/>
        <w:numPr>
          <w:ilvl w:val="0"/>
          <w:numId w:val="16"/>
        </w:numPr>
        <w:tabs>
          <w:tab w:val="left" w:pos="1134"/>
        </w:tabs>
        <w:spacing w:line="600" w:lineRule="exact"/>
        <w:ind w:left="0" w:firstLine="549" w:firstLineChars="0"/>
        <w:jc w:val="both"/>
        <w:rPr>
          <w:rFonts w:ascii="宋体" w:hAnsi="宋体"/>
          <w:color w:val="auto"/>
          <w:sz w:val="28"/>
          <w:szCs w:val="28"/>
        </w:rPr>
      </w:pPr>
      <w:r>
        <w:rPr>
          <w:rFonts w:hint="eastAsia" w:ascii="宋体" w:hAnsi="宋体"/>
          <w:color w:val="auto"/>
          <w:sz w:val="28"/>
          <w:szCs w:val="28"/>
        </w:rPr>
        <w:t>如采用供应商所不拥有的知识产权，则在报价中必须包括合法获取该知识产权的相关费用。</w:t>
      </w:r>
    </w:p>
    <w:p>
      <w:pPr>
        <w:pStyle w:val="5"/>
        <w:spacing w:line="600" w:lineRule="exact"/>
        <w:rPr>
          <w:color w:val="auto"/>
        </w:rPr>
      </w:pPr>
      <w:bookmarkStart w:id="24" w:name="_Toc320698724"/>
      <w:bookmarkStart w:id="25" w:name="_Toc320698725"/>
      <w:r>
        <w:rPr>
          <w:rFonts w:hint="eastAsia"/>
          <w:color w:val="auto"/>
        </w:rPr>
        <w:t>施工响应文件的</w:t>
      </w:r>
      <w:bookmarkEnd w:id="24"/>
      <w:r>
        <w:rPr>
          <w:rFonts w:hint="eastAsia"/>
          <w:color w:val="auto"/>
        </w:rPr>
        <w:t>组成</w:t>
      </w:r>
      <w:r>
        <w:rPr>
          <w:rFonts w:hint="eastAsia" w:ascii="仿宋" w:hAnsi="仿宋" w:eastAsia="仿宋"/>
          <w:color w:val="auto"/>
          <w:szCs w:val="21"/>
          <w:lang w:val="zh-CN"/>
        </w:rPr>
        <w:t>（实质性要求）</w:t>
      </w:r>
    </w:p>
    <w:p>
      <w:pPr>
        <w:pStyle w:val="154"/>
        <w:tabs>
          <w:tab w:val="left" w:pos="1200"/>
        </w:tabs>
        <w:spacing w:line="600" w:lineRule="exact"/>
        <w:ind w:firstLine="560"/>
        <w:rPr>
          <w:color w:val="auto"/>
        </w:rPr>
      </w:pPr>
      <w:r>
        <w:rPr>
          <w:rFonts w:hint="eastAsia" w:ascii="宋体" w:hAnsi="宋体"/>
          <w:color w:val="auto"/>
          <w:sz w:val="28"/>
          <w:szCs w:val="28"/>
        </w:rPr>
        <w:t>供应商应按照磋商文件的规定和要求编制施工响应文件。供应商编写的施工响应文件应包括下列部分：</w:t>
      </w:r>
    </w:p>
    <w:p>
      <w:pPr>
        <w:pStyle w:val="154"/>
        <w:widowControl w:val="0"/>
        <w:numPr>
          <w:ilvl w:val="0"/>
          <w:numId w:val="17"/>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施工响应文件：用于供应商与磋商小组磋商；</w:t>
      </w:r>
    </w:p>
    <w:p>
      <w:pPr>
        <w:pStyle w:val="154"/>
        <w:widowControl w:val="0"/>
        <w:numPr>
          <w:ilvl w:val="0"/>
          <w:numId w:val="17"/>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最后报价文件（按磋商小组的要求提供最后报价）。</w:t>
      </w:r>
    </w:p>
    <w:bookmarkEnd w:id="25"/>
    <w:p>
      <w:pPr>
        <w:pStyle w:val="5"/>
        <w:numPr>
          <w:ilvl w:val="3"/>
          <w:numId w:val="1"/>
        </w:numPr>
        <w:spacing w:line="600" w:lineRule="exact"/>
        <w:ind w:left="1843" w:hanging="1843"/>
        <w:rPr>
          <w:color w:val="auto"/>
        </w:rPr>
      </w:pPr>
      <w:bookmarkStart w:id="26" w:name="_Toc320698726"/>
      <w:r>
        <w:rPr>
          <w:rFonts w:hint="eastAsia"/>
          <w:color w:val="auto"/>
        </w:rPr>
        <w:t>施工响应文件</w:t>
      </w:r>
      <w:bookmarkEnd w:id="26"/>
    </w:p>
    <w:p>
      <w:pPr>
        <w:pStyle w:val="5"/>
        <w:numPr>
          <w:ilvl w:val="4"/>
          <w:numId w:val="1"/>
        </w:numPr>
        <w:spacing w:line="600" w:lineRule="exact"/>
        <w:ind w:left="993" w:hanging="993"/>
        <w:rPr>
          <w:color w:val="auto"/>
        </w:rPr>
      </w:pPr>
      <w:r>
        <w:rPr>
          <w:rFonts w:hint="eastAsia"/>
          <w:color w:val="auto"/>
        </w:rPr>
        <w:t>商务技术响应文件</w:t>
      </w:r>
    </w:p>
    <w:p>
      <w:pPr>
        <w:pStyle w:val="154"/>
        <w:widowControl w:val="0"/>
        <w:numPr>
          <w:ilvl w:val="0"/>
          <w:numId w:val="18"/>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报价函；</w:t>
      </w:r>
    </w:p>
    <w:p>
      <w:pPr>
        <w:pStyle w:val="154"/>
        <w:widowControl w:val="0"/>
        <w:numPr>
          <w:ilvl w:val="0"/>
          <w:numId w:val="18"/>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法定代表人身份证明书；</w:t>
      </w:r>
    </w:p>
    <w:p>
      <w:pPr>
        <w:pStyle w:val="154"/>
        <w:widowControl w:val="0"/>
        <w:numPr>
          <w:ilvl w:val="0"/>
          <w:numId w:val="18"/>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承诺函（说明：供应商应按承诺函格式中要求的承诺内容进行承诺）；</w:t>
      </w:r>
    </w:p>
    <w:p>
      <w:pPr>
        <w:pStyle w:val="154"/>
        <w:widowControl w:val="0"/>
        <w:numPr>
          <w:ilvl w:val="0"/>
          <w:numId w:val="18"/>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施工组织设计（说明：施工组织设计格式及内容自拟）；</w:t>
      </w:r>
    </w:p>
    <w:p>
      <w:pPr>
        <w:pStyle w:val="154"/>
        <w:widowControl w:val="0"/>
        <w:numPr>
          <w:ilvl w:val="0"/>
          <w:numId w:val="18"/>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技术、服务、合同条款要求应答表（说明：供应商必须根据磋商文件要求据实逐条填写，不得虚假陈述，否则，其施工响应文件无效并按规定追究其相关责任）</w:t>
      </w:r>
    </w:p>
    <w:p>
      <w:pPr>
        <w:pStyle w:val="154"/>
        <w:widowControl w:val="0"/>
        <w:numPr>
          <w:ilvl w:val="0"/>
          <w:numId w:val="18"/>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项目管理机构组成表（说明：供应商未提供项目管理机构组成表的，不影响供应商施工响应文件的有效性）；</w:t>
      </w:r>
    </w:p>
    <w:p>
      <w:pPr>
        <w:pStyle w:val="154"/>
        <w:widowControl w:val="0"/>
        <w:numPr>
          <w:ilvl w:val="0"/>
          <w:numId w:val="18"/>
        </w:numPr>
        <w:tabs>
          <w:tab w:val="left" w:pos="1134"/>
        </w:tabs>
        <w:spacing w:line="600" w:lineRule="exact"/>
        <w:ind w:left="0" w:firstLine="567" w:firstLineChars="0"/>
        <w:jc w:val="both"/>
        <w:rPr>
          <w:rFonts w:ascii="宋体" w:hAnsi="宋体"/>
          <w:color w:val="auto"/>
          <w:sz w:val="28"/>
          <w:szCs w:val="28"/>
        </w:rPr>
      </w:pPr>
      <w:r>
        <w:rPr>
          <w:rFonts w:hint="eastAsia" w:ascii="宋体" w:hAnsi="宋体"/>
          <w:color w:val="auto"/>
          <w:sz w:val="28"/>
          <w:szCs w:val="28"/>
        </w:rPr>
        <w:t>相关管理机构主要人员简历表（说明：供应商未提供相关机构主要人员简历表的，不影响供应商施工响应文件的有效性）。</w:t>
      </w:r>
    </w:p>
    <w:p>
      <w:pPr>
        <w:pStyle w:val="5"/>
        <w:numPr>
          <w:ilvl w:val="4"/>
          <w:numId w:val="1"/>
        </w:numPr>
        <w:spacing w:line="600" w:lineRule="exact"/>
        <w:ind w:left="993" w:hanging="993"/>
        <w:rPr>
          <w:color w:val="auto"/>
        </w:rPr>
      </w:pPr>
      <w:r>
        <w:rPr>
          <w:rFonts w:hint="eastAsia"/>
          <w:color w:val="auto"/>
        </w:rPr>
        <w:t>报价要求响应文件</w:t>
      </w:r>
    </w:p>
    <w:p>
      <w:pPr>
        <w:pStyle w:val="154"/>
        <w:widowControl w:val="0"/>
        <w:numPr>
          <w:ilvl w:val="0"/>
          <w:numId w:val="19"/>
        </w:numPr>
        <w:tabs>
          <w:tab w:val="left" w:pos="1276"/>
        </w:tabs>
        <w:spacing w:line="600" w:lineRule="exact"/>
        <w:ind w:left="0" w:firstLine="709" w:firstLineChars="0"/>
        <w:jc w:val="both"/>
        <w:rPr>
          <w:rFonts w:ascii="宋体" w:hAnsi="宋体"/>
          <w:color w:val="auto"/>
          <w:sz w:val="28"/>
          <w:szCs w:val="28"/>
        </w:rPr>
      </w:pPr>
      <w:r>
        <w:rPr>
          <w:rFonts w:hint="eastAsia" w:ascii="宋体" w:hAnsi="宋体"/>
          <w:color w:val="auto"/>
          <w:sz w:val="28"/>
          <w:szCs w:val="28"/>
        </w:rPr>
        <w:t>已标价工程量清单（说明：已标价工程量清单应符合磋商文件“第二章磋商须知”第2.4.3条关于报价货币及报价要求的相关要求以及工程量清单总说明的相关要求）。</w:t>
      </w:r>
    </w:p>
    <w:p>
      <w:pPr>
        <w:pStyle w:val="5"/>
        <w:numPr>
          <w:ilvl w:val="3"/>
          <w:numId w:val="1"/>
        </w:numPr>
        <w:spacing w:line="600" w:lineRule="exact"/>
        <w:ind w:left="1843" w:hanging="1843"/>
        <w:rPr>
          <w:color w:val="auto"/>
        </w:rPr>
      </w:pPr>
      <w:bookmarkStart w:id="27" w:name="_Toc320698727"/>
      <w:r>
        <w:rPr>
          <w:rFonts w:hint="eastAsia"/>
          <w:color w:val="auto"/>
        </w:rPr>
        <w:t>最后报价</w:t>
      </w:r>
    </w:p>
    <w:p>
      <w:pPr>
        <w:pStyle w:val="83"/>
        <w:ind w:firstLine="551"/>
        <w:rPr>
          <w:b/>
          <w:color w:val="auto"/>
        </w:rPr>
      </w:pPr>
      <w:r>
        <w:rPr>
          <w:rFonts w:hint="eastAsia" w:ascii="宋体" w:hAnsi="宋体"/>
          <w:color w:val="auto"/>
          <w:sz w:val="28"/>
        </w:rPr>
        <w:t>参加最后报价的供应商按磋商小组的要求在政府采购云平台中提供最后报价，报价应是包括磋商文件规定的全部相应内容的报价。</w:t>
      </w:r>
    </w:p>
    <w:p>
      <w:pPr>
        <w:pStyle w:val="5"/>
        <w:spacing w:line="600" w:lineRule="exact"/>
        <w:rPr>
          <w:color w:val="auto"/>
        </w:rPr>
      </w:pPr>
      <w:r>
        <w:rPr>
          <w:rFonts w:hint="eastAsia"/>
          <w:color w:val="auto"/>
        </w:rPr>
        <w:t>施工响应文件格式</w:t>
      </w:r>
    </w:p>
    <w:p>
      <w:pPr>
        <w:pStyle w:val="16"/>
        <w:tabs>
          <w:tab w:val="left" w:pos="1134"/>
        </w:tabs>
        <w:spacing w:after="0" w:line="600" w:lineRule="exact"/>
        <w:ind w:firstLine="565" w:firstLineChars="202"/>
        <w:rPr>
          <w:rFonts w:ascii="宋体" w:hAnsi="宋体"/>
          <w:bCs/>
          <w:color w:val="auto"/>
          <w:sz w:val="28"/>
          <w:szCs w:val="28"/>
        </w:rPr>
      </w:pPr>
      <w:r>
        <w:rPr>
          <w:rFonts w:hint="eastAsia" w:ascii="宋体" w:hAnsi="宋体"/>
          <w:bCs/>
          <w:color w:val="auto"/>
          <w:sz w:val="28"/>
          <w:szCs w:val="28"/>
        </w:rPr>
        <w:t>一、供应商应按照竞争性磋商文件第3章中提供的“施工响应文件格式”填写相关内容。</w:t>
      </w:r>
    </w:p>
    <w:p>
      <w:pPr>
        <w:pStyle w:val="16"/>
        <w:tabs>
          <w:tab w:val="left" w:pos="1134"/>
        </w:tabs>
        <w:spacing w:after="0" w:line="600" w:lineRule="exact"/>
        <w:ind w:firstLine="565" w:firstLineChars="202"/>
        <w:rPr>
          <w:rFonts w:ascii="宋体" w:hAnsi="宋体"/>
          <w:bCs/>
          <w:color w:val="auto"/>
          <w:sz w:val="28"/>
          <w:szCs w:val="28"/>
        </w:rPr>
      </w:pPr>
      <w:r>
        <w:rPr>
          <w:rFonts w:hint="eastAsia" w:ascii="宋体" w:hAnsi="宋体"/>
          <w:bCs/>
          <w:color w:val="auto"/>
          <w:sz w:val="28"/>
          <w:szCs w:val="28"/>
        </w:rPr>
        <w:t>二、对于没有格式要求的施工响应文件由供应商自行编写。</w:t>
      </w:r>
    </w:p>
    <w:p>
      <w:pPr>
        <w:pStyle w:val="5"/>
        <w:spacing w:line="600" w:lineRule="exact"/>
        <w:rPr>
          <w:color w:val="auto"/>
        </w:rPr>
      </w:pPr>
      <w:r>
        <w:rPr>
          <w:rFonts w:hint="eastAsia"/>
          <w:color w:val="auto"/>
        </w:rPr>
        <w:t>最后报价</w:t>
      </w:r>
    </w:p>
    <w:p>
      <w:pPr>
        <w:widowControl w:val="0"/>
        <w:numPr>
          <w:ilvl w:val="0"/>
          <w:numId w:val="20"/>
        </w:numPr>
        <w:tabs>
          <w:tab w:val="left" w:pos="1134"/>
        </w:tabs>
        <w:spacing w:line="600" w:lineRule="exact"/>
        <w:ind w:left="0" w:firstLine="560"/>
        <w:jc w:val="both"/>
        <w:rPr>
          <w:rFonts w:ascii="宋体" w:hAnsi="宋体"/>
          <w:color w:val="auto"/>
          <w:sz w:val="28"/>
          <w:szCs w:val="28"/>
        </w:rPr>
      </w:pPr>
      <w:r>
        <w:rPr>
          <w:rFonts w:hint="eastAsia" w:ascii="宋体" w:hAnsi="宋体"/>
          <w:color w:val="auto"/>
          <w:sz w:val="28"/>
          <w:szCs w:val="28"/>
        </w:rPr>
        <w:t>供应商的最后报价是供应商响应采购项目要求的价格体现，包括供应商完成本项目所需的一切费用。</w:t>
      </w:r>
    </w:p>
    <w:p>
      <w:pPr>
        <w:widowControl w:val="0"/>
        <w:numPr>
          <w:ilvl w:val="0"/>
          <w:numId w:val="20"/>
        </w:numPr>
        <w:tabs>
          <w:tab w:val="left" w:pos="1134"/>
        </w:tabs>
        <w:spacing w:line="600" w:lineRule="exact"/>
        <w:ind w:left="0" w:firstLine="560"/>
        <w:jc w:val="both"/>
        <w:rPr>
          <w:rFonts w:ascii="宋体" w:hAnsi="宋体"/>
          <w:color w:val="auto"/>
          <w:sz w:val="28"/>
          <w:szCs w:val="28"/>
        </w:rPr>
      </w:pPr>
      <w:r>
        <w:rPr>
          <w:rFonts w:hint="eastAsia" w:ascii="宋体" w:hAnsi="宋体"/>
          <w:color w:val="auto"/>
          <w:sz w:val="28"/>
          <w:szCs w:val="28"/>
        </w:rPr>
        <w:t>供应商的最后报价只允许有一个报价，任何有选择或可调整的报价将不予接受，并按无效响应处理。</w:t>
      </w:r>
    </w:p>
    <w:p>
      <w:pPr>
        <w:widowControl w:val="0"/>
        <w:numPr>
          <w:ilvl w:val="0"/>
          <w:numId w:val="20"/>
        </w:numPr>
        <w:tabs>
          <w:tab w:val="left" w:pos="1134"/>
        </w:tabs>
        <w:spacing w:line="600" w:lineRule="exact"/>
        <w:ind w:left="0" w:firstLine="560"/>
        <w:jc w:val="both"/>
        <w:rPr>
          <w:rFonts w:ascii="宋体" w:hAnsi="宋体"/>
          <w:color w:val="auto"/>
          <w:sz w:val="28"/>
          <w:szCs w:val="28"/>
        </w:rPr>
      </w:pPr>
      <w:r>
        <w:rPr>
          <w:rFonts w:hint="eastAsia" w:ascii="宋体" w:hAnsi="宋体"/>
          <w:color w:val="auto"/>
          <w:sz w:val="28"/>
          <w:szCs w:val="28"/>
        </w:rPr>
        <w:t>参加最后报价的供应商按磋商小组的要求提供最后报价。</w:t>
      </w:r>
    </w:p>
    <w:bookmarkEnd w:id="27"/>
    <w:p>
      <w:pPr>
        <w:pStyle w:val="5"/>
        <w:spacing w:line="600" w:lineRule="exact"/>
        <w:rPr>
          <w:color w:val="auto"/>
        </w:rPr>
      </w:pPr>
      <w:bookmarkStart w:id="28" w:name="_Toc320698728"/>
      <w:r>
        <w:rPr>
          <w:rFonts w:hint="eastAsia"/>
          <w:color w:val="auto"/>
        </w:rPr>
        <w:t>磋商保证金</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本项目不收取磋商保证金。</w:t>
      </w:r>
    </w:p>
    <w:p>
      <w:pPr>
        <w:pStyle w:val="5"/>
        <w:spacing w:line="600" w:lineRule="exact"/>
        <w:rPr>
          <w:color w:val="auto"/>
        </w:rPr>
      </w:pPr>
      <w:r>
        <w:rPr>
          <w:rFonts w:hint="eastAsia"/>
          <w:color w:val="auto"/>
        </w:rPr>
        <w:t>施工响应文件有效期</w:t>
      </w:r>
      <w:bookmarkEnd w:id="28"/>
    </w:p>
    <w:p>
      <w:pPr>
        <w:pStyle w:val="81"/>
        <w:numPr>
          <w:ilvl w:val="0"/>
          <w:numId w:val="21"/>
        </w:numPr>
        <w:tabs>
          <w:tab w:val="left" w:pos="1134"/>
        </w:tabs>
        <w:spacing w:line="600" w:lineRule="exact"/>
        <w:ind w:left="0" w:firstLine="566" w:firstLineChars="0"/>
        <w:rPr>
          <w:rFonts w:ascii="宋体" w:hAnsi="宋体" w:eastAsia="宋体"/>
          <w:color w:val="auto"/>
          <w:sz w:val="28"/>
          <w:szCs w:val="28"/>
        </w:rPr>
      </w:pPr>
      <w:r>
        <w:rPr>
          <w:rFonts w:hint="eastAsia" w:ascii="仿宋" w:hAnsi="仿宋" w:eastAsia="仿宋"/>
          <w:color w:val="auto"/>
          <w:szCs w:val="21"/>
          <w:lang w:val="zh-CN"/>
        </w:rPr>
        <w:t>（实质性要求）</w:t>
      </w:r>
      <w:r>
        <w:rPr>
          <w:rFonts w:hint="eastAsia" w:ascii="宋体" w:hAnsi="宋体" w:eastAsia="宋体"/>
          <w:color w:val="auto"/>
          <w:sz w:val="28"/>
          <w:szCs w:val="28"/>
        </w:rPr>
        <w:t>施工响应文件有效期为递交施工响应文件截止之日起</w:t>
      </w:r>
      <w:r>
        <w:rPr>
          <w:rFonts w:hint="eastAsia" w:ascii="宋体" w:hAnsi="宋体" w:eastAsia="宋体"/>
          <w:color w:val="auto"/>
          <w:sz w:val="28"/>
          <w:szCs w:val="28"/>
          <w:u w:val="single"/>
        </w:rPr>
        <w:t>120</w:t>
      </w:r>
      <w:r>
        <w:rPr>
          <w:rFonts w:hint="eastAsia" w:ascii="宋体" w:hAnsi="宋体" w:eastAsia="宋体"/>
          <w:color w:val="auto"/>
          <w:sz w:val="28"/>
          <w:szCs w:val="28"/>
        </w:rPr>
        <w:t>天。施工响应文件有效期短于此规定期限的或不作响应的，其施工响应文件将按无效施工响应文件处理。</w:t>
      </w:r>
    </w:p>
    <w:p>
      <w:pPr>
        <w:pStyle w:val="81"/>
        <w:numPr>
          <w:ilvl w:val="0"/>
          <w:numId w:val="21"/>
        </w:numPr>
        <w:tabs>
          <w:tab w:val="left" w:pos="1134"/>
        </w:tabs>
        <w:spacing w:line="600" w:lineRule="exact"/>
        <w:ind w:left="0" w:firstLine="566" w:firstLineChars="0"/>
        <w:jc w:val="both"/>
        <w:rPr>
          <w:rFonts w:ascii="宋体" w:hAnsi="宋体" w:eastAsia="宋体"/>
          <w:color w:val="auto"/>
          <w:sz w:val="28"/>
          <w:szCs w:val="28"/>
        </w:rPr>
      </w:pPr>
      <w:r>
        <w:rPr>
          <w:rFonts w:hint="eastAsia" w:ascii="宋体" w:hAnsi="宋体" w:eastAsia="宋体"/>
          <w:color w:val="auto"/>
          <w:sz w:val="28"/>
          <w:szCs w:val="28"/>
        </w:rPr>
        <w:t>特殊情况下，采购人可于施工响应文件有效期满之前要求供应商同意延长有效期，要求与答复均应为书面形式。供应商可以拒绝上述要求，其磋商保证金不被没收。同意延长施工响应文件有效期的供应商不能修改其施工响应文件，关于磋商保证金的有关规定在延长的施工响应文件有效期内继续有效。</w:t>
      </w:r>
    </w:p>
    <w:p>
      <w:pPr>
        <w:pStyle w:val="5"/>
        <w:spacing w:line="600" w:lineRule="exact"/>
        <w:rPr>
          <w:color w:val="auto"/>
        </w:rPr>
      </w:pPr>
      <w:bookmarkStart w:id="29" w:name="_Toc320698729"/>
      <w:bookmarkStart w:id="30" w:name="_Toc320698730"/>
      <w:r>
        <w:rPr>
          <w:rFonts w:hint="eastAsia"/>
          <w:color w:val="auto"/>
        </w:rPr>
        <w:t>施工响应文件的签章和</w:t>
      </w:r>
      <w:r>
        <w:rPr>
          <w:color w:val="auto"/>
        </w:rPr>
        <w:t>加密</w:t>
      </w:r>
      <w:bookmarkEnd w:id="29"/>
    </w:p>
    <w:p>
      <w:pPr>
        <w:spacing w:line="360" w:lineRule="auto"/>
        <w:ind w:firstLine="560" w:firstLineChars="200"/>
        <w:rPr>
          <w:rFonts w:ascii="宋体" w:hAnsi="宋体"/>
          <w:color w:val="auto"/>
          <w:sz w:val="28"/>
          <w:szCs w:val="28"/>
        </w:rPr>
      </w:pPr>
      <w:r>
        <w:rPr>
          <w:rFonts w:hint="eastAsia" w:ascii="宋体" w:hAnsi="宋体"/>
          <w:color w:val="auto"/>
          <w:sz w:val="28"/>
          <w:szCs w:val="28"/>
        </w:rPr>
        <w:t>一、</w:t>
      </w:r>
      <w:r>
        <w:rPr>
          <w:rFonts w:hint="eastAsia" w:ascii="仿宋" w:hAnsi="仿宋" w:eastAsia="仿宋"/>
          <w:color w:val="auto"/>
          <w:szCs w:val="21"/>
          <w:lang w:val="zh-CN"/>
        </w:rPr>
        <w:t>（实质性要求）</w:t>
      </w:r>
      <w:r>
        <w:rPr>
          <w:rFonts w:hint="eastAsia" w:ascii="宋体" w:hAnsi="宋体"/>
          <w:color w:val="auto"/>
          <w:sz w:val="28"/>
          <w:szCs w:val="28"/>
        </w:rPr>
        <w:t>施工响应文件应根据磋商文件的要求进行制作。（说明：1、施工响应文件中要求提供复印件证明材料的，包含提供原件的影印件或复印件。2、要求提供复印件的证明材料须清晰可辨。）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二、施工响应文件制作详情：</w:t>
      </w:r>
    </w:p>
    <w:p>
      <w:pPr>
        <w:spacing w:line="360" w:lineRule="auto"/>
        <w:ind w:firstLine="560" w:firstLineChars="200"/>
        <w:rPr>
          <w:rFonts w:ascii="宋体" w:hAnsi="宋体"/>
          <w:color w:val="auto"/>
          <w:sz w:val="28"/>
          <w:szCs w:val="28"/>
        </w:rPr>
      </w:pPr>
      <w:r>
        <w:rPr>
          <w:rFonts w:hint="eastAsia" w:ascii="宋体" w:hAnsi="宋体"/>
          <w:color w:val="auto"/>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施工响应文件要求，通过“政采云投标客户端”制作、加密并提交施工响应文件。</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hint="eastAsia" w:ascii="仿宋" w:hAnsi="仿宋" w:eastAsia="仿宋"/>
          <w:color w:val="auto"/>
          <w:szCs w:val="21"/>
          <w:lang w:val="zh-CN"/>
        </w:rPr>
        <w:t>（实质性要求）</w:t>
      </w:r>
      <w:r>
        <w:rPr>
          <w:rFonts w:hint="eastAsia" w:ascii="宋体" w:hAnsi="宋体"/>
          <w:b/>
          <w:color w:val="auto"/>
          <w:sz w:val="28"/>
          <w:szCs w:val="28"/>
        </w:rPr>
        <w:t>施工响应文件应加盖供应商（法定名称）电子签章，不得使用供应商专用章（如经济合同章、投标专用章等）或下属单位印章代替</w:t>
      </w:r>
      <w:r>
        <w:rPr>
          <w:rFonts w:hint="eastAsia" w:ascii="宋体" w:hAnsi="宋体"/>
          <w:color w:val="auto"/>
          <w:sz w:val="28"/>
          <w:szCs w:val="28"/>
        </w:rPr>
        <w:t>。</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3、磋商文件有修改的，供应商须重新下载修改后的磋商文件（修改后的磋商文件在更正公告中下载），根据修改后的磋商文件制作、撤回修改，并递交施工响应文件。</w:t>
      </w:r>
    </w:p>
    <w:p>
      <w:pPr>
        <w:spacing w:line="360" w:lineRule="auto"/>
        <w:ind w:firstLine="560" w:firstLineChars="200"/>
        <w:rPr>
          <w:color w:val="auto"/>
        </w:rPr>
      </w:pPr>
      <w:r>
        <w:rPr>
          <w:rFonts w:hint="eastAsia" w:ascii="宋体" w:hAnsi="宋体"/>
          <w:color w:val="auto"/>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30"/>
    <w:p>
      <w:pPr>
        <w:pStyle w:val="5"/>
        <w:spacing w:line="600" w:lineRule="exact"/>
        <w:rPr>
          <w:color w:val="auto"/>
        </w:rPr>
      </w:pPr>
      <w:bookmarkStart w:id="31" w:name="_Toc320698731"/>
      <w:r>
        <w:rPr>
          <w:rFonts w:hint="eastAsia"/>
          <w:color w:val="auto"/>
        </w:rPr>
        <w:t>施工响应文件的递交</w:t>
      </w:r>
      <w:bookmarkEnd w:id="31"/>
    </w:p>
    <w:p>
      <w:pPr>
        <w:widowControl w:val="0"/>
        <w:numPr>
          <w:ilvl w:val="0"/>
          <w:numId w:val="22"/>
        </w:numPr>
        <w:tabs>
          <w:tab w:val="left" w:pos="1134"/>
        </w:tabs>
        <w:spacing w:line="600" w:lineRule="exact"/>
        <w:ind w:left="0" w:firstLine="567"/>
        <w:jc w:val="both"/>
        <w:rPr>
          <w:rFonts w:ascii="宋体" w:hAnsi="宋体"/>
          <w:bCs/>
          <w:color w:val="auto"/>
          <w:sz w:val="28"/>
          <w:szCs w:val="28"/>
        </w:rPr>
      </w:pPr>
      <w:r>
        <w:rPr>
          <w:rFonts w:hint="eastAsia" w:ascii="仿宋" w:hAnsi="仿宋" w:eastAsia="仿宋"/>
          <w:color w:val="auto"/>
          <w:szCs w:val="21"/>
          <w:lang w:val="zh-CN"/>
        </w:rPr>
        <w:t>（实质性要求）</w:t>
      </w:r>
      <w:r>
        <w:rPr>
          <w:rFonts w:hint="eastAsia" w:ascii="宋体" w:hAnsi="宋体"/>
          <w:bCs/>
          <w:color w:val="auto"/>
          <w:sz w:val="28"/>
          <w:szCs w:val="28"/>
        </w:rPr>
        <w:t>供应商应当在施工响应文件递交截止时间前，将生成的已加密的施工响应文件成功递交至“政府采购云平台”。</w:t>
      </w:r>
    </w:p>
    <w:p>
      <w:pPr>
        <w:widowControl w:val="0"/>
        <w:numPr>
          <w:ilvl w:val="0"/>
          <w:numId w:val="22"/>
        </w:numPr>
        <w:tabs>
          <w:tab w:val="left" w:pos="1134"/>
        </w:tabs>
        <w:spacing w:line="600" w:lineRule="exact"/>
        <w:ind w:left="0" w:firstLine="567"/>
        <w:jc w:val="both"/>
        <w:rPr>
          <w:rFonts w:ascii="宋体" w:hAnsi="宋体"/>
          <w:bCs/>
          <w:color w:val="auto"/>
          <w:sz w:val="28"/>
          <w:szCs w:val="28"/>
        </w:rPr>
      </w:pPr>
      <w:r>
        <w:rPr>
          <w:rFonts w:hint="eastAsia" w:ascii="宋体" w:hAnsi="宋体"/>
          <w:bCs/>
          <w:color w:val="auto"/>
          <w:sz w:val="28"/>
          <w:szCs w:val="28"/>
        </w:rPr>
        <w:t>因磋商文件的修改推迟施工相应文件递交截止日期的，供应商按龙泉驿区公资交易中心在“四川政府采购网”和“成都市公共资源交易服务中心”网站上发布的澄清公告中修改的时间递交施工响应文件，同时通过“政府采购云平台”将澄清或者修改的内容告知所有在系统中成功获取磋商文件的潜在供应商。</w:t>
      </w:r>
    </w:p>
    <w:p>
      <w:pPr>
        <w:widowControl w:val="0"/>
        <w:numPr>
          <w:ilvl w:val="0"/>
          <w:numId w:val="22"/>
        </w:numPr>
        <w:tabs>
          <w:tab w:val="left" w:pos="1134"/>
        </w:tabs>
        <w:spacing w:line="600" w:lineRule="exact"/>
        <w:ind w:left="0" w:firstLine="567"/>
        <w:jc w:val="both"/>
        <w:rPr>
          <w:rFonts w:ascii="宋体" w:hAnsi="宋体"/>
          <w:bCs/>
          <w:color w:val="auto"/>
          <w:sz w:val="28"/>
          <w:szCs w:val="28"/>
        </w:rPr>
      </w:pPr>
      <w:r>
        <w:rPr>
          <w:rFonts w:hint="eastAsia" w:ascii="宋体" w:hAnsi="宋体"/>
          <w:bCs/>
          <w:color w:val="auto"/>
          <w:sz w:val="28"/>
          <w:szCs w:val="28"/>
        </w:rPr>
        <w:t>供应商应充分考虑递交施工响应文件的不可预见因素，未在递交施工</w:t>
      </w:r>
      <w:r>
        <w:rPr>
          <w:rFonts w:ascii="宋体" w:hAnsi="宋体"/>
          <w:bCs/>
          <w:color w:val="auto"/>
          <w:sz w:val="28"/>
          <w:szCs w:val="28"/>
        </w:rPr>
        <w:t>响应文件</w:t>
      </w:r>
      <w:r>
        <w:rPr>
          <w:rFonts w:hint="eastAsia" w:ascii="宋体" w:hAnsi="宋体"/>
          <w:bCs/>
          <w:color w:val="auto"/>
          <w:sz w:val="28"/>
          <w:szCs w:val="28"/>
        </w:rPr>
        <w:t>截止时间前完成递交的，在递交施工</w:t>
      </w:r>
      <w:r>
        <w:rPr>
          <w:rFonts w:ascii="宋体" w:hAnsi="宋体"/>
          <w:bCs/>
          <w:color w:val="auto"/>
          <w:sz w:val="28"/>
          <w:szCs w:val="28"/>
        </w:rPr>
        <w:t>响应文件</w:t>
      </w:r>
      <w:r>
        <w:rPr>
          <w:rFonts w:hint="eastAsia" w:ascii="宋体" w:hAnsi="宋体"/>
          <w:bCs/>
          <w:color w:val="auto"/>
          <w:sz w:val="28"/>
          <w:szCs w:val="28"/>
        </w:rPr>
        <w:t>截止时间后将无法递交。</w:t>
      </w:r>
    </w:p>
    <w:p>
      <w:pPr>
        <w:pStyle w:val="5"/>
        <w:spacing w:line="600" w:lineRule="exact"/>
        <w:rPr>
          <w:color w:val="auto"/>
        </w:rPr>
      </w:pPr>
      <w:bookmarkStart w:id="32" w:name="_Toc446487098"/>
      <w:r>
        <w:rPr>
          <w:rFonts w:hint="eastAsia"/>
          <w:color w:val="auto"/>
        </w:rPr>
        <w:t>施工响应文件的补充、修改和撤回</w:t>
      </w:r>
      <w:bookmarkEnd w:id="32"/>
      <w:r>
        <w:rPr>
          <w:rFonts w:hint="eastAsia" w:ascii="仿宋" w:hAnsi="仿宋" w:eastAsia="仿宋"/>
          <w:color w:val="auto"/>
          <w:szCs w:val="21"/>
          <w:lang w:val="zh-CN"/>
        </w:rPr>
        <w:t>（实质性要求）</w:t>
      </w:r>
    </w:p>
    <w:p>
      <w:pPr>
        <w:widowControl w:val="0"/>
        <w:numPr>
          <w:ilvl w:val="0"/>
          <w:numId w:val="23"/>
        </w:numPr>
        <w:tabs>
          <w:tab w:val="left" w:pos="1134"/>
        </w:tabs>
        <w:spacing w:line="360" w:lineRule="auto"/>
        <w:ind w:left="0" w:firstLine="567"/>
        <w:jc w:val="both"/>
        <w:rPr>
          <w:rFonts w:ascii="宋体" w:hAnsi="宋体"/>
          <w:color w:val="auto"/>
          <w:sz w:val="28"/>
          <w:szCs w:val="28"/>
        </w:rPr>
      </w:pPr>
      <w:bookmarkStart w:id="33" w:name="_Toc494095623"/>
      <w:bookmarkEnd w:id="33"/>
      <w:bookmarkStart w:id="34" w:name="_Toc494356977"/>
      <w:bookmarkEnd w:id="34"/>
      <w:r>
        <w:rPr>
          <w:rFonts w:hint="eastAsia" w:ascii="宋体" w:hAnsi="宋体"/>
          <w:color w:val="auto"/>
          <w:sz w:val="28"/>
          <w:szCs w:val="28"/>
        </w:rPr>
        <w:t>在递交施工</w:t>
      </w:r>
      <w:r>
        <w:rPr>
          <w:rFonts w:ascii="宋体" w:hAnsi="宋体"/>
          <w:color w:val="auto"/>
          <w:sz w:val="28"/>
          <w:szCs w:val="28"/>
        </w:rPr>
        <w:t>响应文件</w:t>
      </w:r>
      <w:r>
        <w:rPr>
          <w:rFonts w:hint="eastAsia" w:ascii="宋体" w:hAnsi="宋体"/>
          <w:color w:val="auto"/>
          <w:sz w:val="28"/>
          <w:szCs w:val="28"/>
        </w:rPr>
        <w:t>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23"/>
        </w:numPr>
        <w:tabs>
          <w:tab w:val="left" w:pos="1134"/>
        </w:tabs>
        <w:spacing w:line="360" w:lineRule="auto"/>
        <w:ind w:left="0" w:firstLine="567"/>
        <w:jc w:val="both"/>
        <w:rPr>
          <w:rFonts w:ascii="宋体" w:hAnsi="宋体"/>
          <w:color w:val="auto"/>
          <w:sz w:val="28"/>
          <w:szCs w:val="28"/>
        </w:rPr>
      </w:pPr>
      <w:r>
        <w:rPr>
          <w:rFonts w:hint="eastAsia" w:ascii="宋体" w:hAnsi="宋体"/>
          <w:color w:val="auto"/>
          <w:sz w:val="28"/>
          <w:szCs w:val="28"/>
        </w:rPr>
        <w:t>在递交施工响应文件截止时间之后，供应商不得对其递交的施工响应文件做任何补充、修改。</w:t>
      </w:r>
    </w:p>
    <w:p>
      <w:pPr>
        <w:widowControl w:val="0"/>
        <w:numPr>
          <w:ilvl w:val="0"/>
          <w:numId w:val="23"/>
        </w:numPr>
        <w:tabs>
          <w:tab w:val="left" w:pos="1134"/>
        </w:tabs>
        <w:spacing w:line="360" w:lineRule="auto"/>
        <w:ind w:left="0" w:firstLine="567"/>
        <w:jc w:val="both"/>
        <w:rPr>
          <w:rFonts w:ascii="宋体" w:hAnsi="宋体"/>
          <w:color w:val="auto"/>
          <w:sz w:val="28"/>
          <w:szCs w:val="28"/>
        </w:rPr>
      </w:pPr>
      <w:r>
        <w:rPr>
          <w:rFonts w:hint="eastAsia" w:ascii="宋体" w:hAnsi="宋体"/>
          <w:color w:val="auto"/>
          <w:sz w:val="28"/>
          <w:szCs w:val="28"/>
        </w:rPr>
        <w:t>在递交施工响应文件截止时间之前，供应商可对已递交的施工响应文件进行撤回。在递交施工响应文件截止时间之后，供应商不得撤回施工响应文件。</w:t>
      </w:r>
    </w:p>
    <w:p>
      <w:pPr>
        <w:pStyle w:val="5"/>
        <w:spacing w:line="600" w:lineRule="exact"/>
        <w:rPr>
          <w:color w:val="auto"/>
        </w:rPr>
      </w:pPr>
      <w:r>
        <w:rPr>
          <w:rFonts w:hint="eastAsia"/>
          <w:color w:val="auto"/>
        </w:rPr>
        <w:t>施工响应文件的解密</w:t>
      </w:r>
      <w:r>
        <w:rPr>
          <w:rFonts w:hint="eastAsia" w:ascii="仿宋" w:hAnsi="仿宋" w:eastAsia="仿宋"/>
          <w:color w:val="auto"/>
          <w:szCs w:val="21"/>
          <w:lang w:val="zh-CN"/>
        </w:rPr>
        <w:t>（实质性要求）</w:t>
      </w:r>
    </w:p>
    <w:p>
      <w:pPr>
        <w:tabs>
          <w:tab w:val="left" w:pos="1134"/>
        </w:tabs>
        <w:spacing w:before="120" w:line="360" w:lineRule="auto"/>
        <w:ind w:firstLine="565" w:firstLineChars="202"/>
        <w:rPr>
          <w:rFonts w:ascii="宋体" w:hAnsi="宋体"/>
          <w:bCs/>
          <w:color w:val="auto"/>
          <w:sz w:val="28"/>
          <w:szCs w:val="28"/>
        </w:rPr>
      </w:pPr>
      <w:r>
        <w:rPr>
          <w:rFonts w:hint="eastAsia" w:ascii="宋体" w:hAnsi="宋体"/>
          <w:bCs/>
          <w:color w:val="auto"/>
          <w:sz w:val="28"/>
          <w:szCs w:val="28"/>
        </w:rPr>
        <w:t>供应商</w:t>
      </w:r>
      <w:r>
        <w:rPr>
          <w:rFonts w:hint="eastAsia" w:ascii="宋体" w:hAnsi="宋体"/>
          <w:color w:val="auto"/>
          <w:sz w:val="28"/>
          <w:szCs w:val="28"/>
        </w:rPr>
        <w:t>登录政府采购云平台，点击“项目采购—开标评标”模块，找到对应项目，进入“开标大厅”，等待龙泉驿区公资交易中心开启解密后，</w:t>
      </w:r>
      <w:r>
        <w:rPr>
          <w:rFonts w:hint="eastAsia" w:ascii="宋体" w:hAnsi="宋体" w:cs="宋体"/>
          <w:color w:val="auto"/>
          <w:sz w:val="28"/>
          <w:szCs w:val="28"/>
        </w:rPr>
        <w:t>供应商应在60分钟内，使用加密该施工响应文件的CA数字证书在线完成施工响应文件的解密。</w:t>
      </w:r>
      <w:r>
        <w:rPr>
          <w:rFonts w:hint="eastAsia" w:ascii="宋体" w:hAnsi="宋体"/>
          <w:bCs/>
          <w:color w:val="auto"/>
          <w:sz w:val="28"/>
          <w:szCs w:val="28"/>
        </w:rPr>
        <w:t>除因</w:t>
      </w:r>
      <w:r>
        <w:rPr>
          <w:rFonts w:hint="eastAsia" w:ascii="宋体" w:hAnsi="宋体"/>
          <w:color w:val="auto"/>
          <w:sz w:val="28"/>
          <w:szCs w:val="28"/>
        </w:rPr>
        <w:t>龙泉驿区公资交易中心</w:t>
      </w:r>
      <w:r>
        <w:rPr>
          <w:rFonts w:hint="eastAsia" w:ascii="宋体" w:hAnsi="宋体"/>
          <w:bCs/>
          <w:color w:val="auto"/>
          <w:sz w:val="28"/>
          <w:szCs w:val="28"/>
        </w:rPr>
        <w:t>断电、断网、系统故障或其他不可抗力等因素，导致系统无法使用外，供应商在规定的解密时间内，未成功解密的施工响应文件将视为无效响应文件。</w:t>
      </w:r>
    </w:p>
    <w:p>
      <w:pPr>
        <w:pStyle w:val="4"/>
        <w:tabs>
          <w:tab w:val="clear" w:pos="567"/>
        </w:tabs>
        <w:spacing w:line="600" w:lineRule="exact"/>
        <w:ind w:left="0" w:firstLine="0"/>
        <w:rPr>
          <w:color w:val="auto"/>
        </w:rPr>
      </w:pPr>
      <w:bookmarkStart w:id="35" w:name="_Toc183582232"/>
      <w:bookmarkStart w:id="36" w:name="_Toc217446057"/>
      <w:bookmarkStart w:id="37" w:name="_Toc183682369"/>
      <w:bookmarkStart w:id="38" w:name="_Toc30334"/>
      <w:r>
        <w:rPr>
          <w:rFonts w:hint="eastAsia"/>
          <w:color w:val="auto"/>
        </w:rPr>
        <w:t>开标</w:t>
      </w:r>
      <w:bookmarkEnd w:id="35"/>
      <w:bookmarkEnd w:id="36"/>
      <w:bookmarkEnd w:id="37"/>
      <w:r>
        <w:rPr>
          <w:rFonts w:hint="eastAsia"/>
          <w:color w:val="auto"/>
        </w:rPr>
        <w:t>及开标程序</w:t>
      </w:r>
      <w:bookmarkEnd w:id="38"/>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color w:val="auto"/>
          <w:sz w:val="28"/>
          <w:szCs w:val="28"/>
        </w:rPr>
      </w:pPr>
      <w:r>
        <w:rPr>
          <w:rFonts w:hint="eastAsia" w:ascii="宋体" w:hAnsi="宋体" w:eastAsia="宋体" w:cs="宋体"/>
          <w:b/>
          <w:color w:val="auto"/>
          <w:sz w:val="28"/>
          <w:szCs w:val="28"/>
        </w:rPr>
        <w:t>递交施工响应文件的供应商不足3家的，不予开标。</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color w:val="auto"/>
          <w:sz w:val="28"/>
          <w:szCs w:val="28"/>
        </w:rPr>
      </w:pPr>
      <w:r>
        <w:rPr>
          <w:rFonts w:hint="eastAsia" w:ascii="宋体" w:hAnsi="宋体" w:eastAsia="宋体" w:cs="宋体"/>
          <w:b/>
          <w:color w:val="auto"/>
          <w:sz w:val="28"/>
          <w:szCs w:val="28"/>
        </w:rPr>
        <w:t>开标准备工作。供应商需在开标当日、递交施工响应</w:t>
      </w:r>
      <w:r>
        <w:rPr>
          <w:rFonts w:ascii="宋体" w:hAnsi="宋体" w:eastAsia="宋体" w:cs="宋体"/>
          <w:b/>
          <w:color w:val="auto"/>
          <w:sz w:val="28"/>
          <w:szCs w:val="28"/>
        </w:rPr>
        <w:t>文件</w:t>
      </w:r>
      <w:r>
        <w:rPr>
          <w:rFonts w:hint="eastAsia" w:ascii="宋体" w:hAnsi="宋体" w:eastAsia="宋体" w:cs="宋体"/>
          <w:b/>
          <w:color w:val="auto"/>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color w:val="auto"/>
          <w:sz w:val="28"/>
          <w:szCs w:val="28"/>
        </w:rPr>
      </w:pPr>
      <w:r>
        <w:rPr>
          <w:rFonts w:hint="eastAsia" w:ascii="宋体" w:hAnsi="宋体" w:eastAsia="宋体" w:cs="宋体"/>
          <w:b/>
          <w:color w:val="auto"/>
          <w:sz w:val="28"/>
          <w:szCs w:val="28"/>
        </w:rPr>
        <w:t>解密施工响应文件。等待龙泉驿区公资交易中心开启解密后，供应商进行线上解密。除因龙泉驿区公资交易中心断电、断网、系统故障或其他不可抗力等因素，导致系统无法使用外，供应商在规定的解密时间内，未成功解密的施工响应文件将视为无效施工响应文件。</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color w:val="auto"/>
          <w:sz w:val="28"/>
          <w:szCs w:val="28"/>
        </w:rPr>
      </w:pPr>
      <w:r>
        <w:rPr>
          <w:rFonts w:hint="eastAsia" w:ascii="宋体" w:hAnsi="宋体" w:eastAsia="宋体" w:cs="宋体"/>
          <w:b/>
          <w:color w:val="auto"/>
          <w:sz w:val="28"/>
          <w:szCs w:val="28"/>
        </w:rPr>
        <w:t>确认开标记录。解密时间截止或者所有供应商施工</w:t>
      </w:r>
      <w:r>
        <w:rPr>
          <w:rFonts w:ascii="宋体" w:hAnsi="宋体" w:eastAsia="宋体" w:cs="宋体"/>
          <w:b/>
          <w:color w:val="auto"/>
          <w:sz w:val="28"/>
          <w:szCs w:val="28"/>
        </w:rPr>
        <w:t>响应文件</w:t>
      </w:r>
      <w:r>
        <w:rPr>
          <w:rFonts w:hint="eastAsia" w:ascii="宋体" w:hAnsi="宋体" w:eastAsia="宋体" w:cs="宋体"/>
          <w:b/>
          <w:color w:val="auto"/>
          <w:sz w:val="28"/>
          <w:szCs w:val="28"/>
        </w:rPr>
        <w:t>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color w:val="auto"/>
          <w:sz w:val="28"/>
          <w:szCs w:val="28"/>
        </w:rPr>
      </w:pPr>
      <w:r>
        <w:rPr>
          <w:rFonts w:hint="eastAsia" w:ascii="宋体" w:hAnsi="宋体" w:eastAsia="宋体" w:cs="宋体"/>
          <w:b/>
          <w:color w:val="auto"/>
          <w:sz w:val="28"/>
          <w:szCs w:val="28"/>
        </w:rPr>
        <w:t>供应商对开标过程和开标记录有疑义，以及认为采购人、龙泉驿区公资交易中心相关工作人员有需要回避的情形的，及时向工作人员提出询问或者回避申请。采购人、龙泉驿区公资交易中心对投标人提出的询问或者回避申请应当及时处理。</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color w:val="auto"/>
          <w:sz w:val="28"/>
          <w:szCs w:val="28"/>
        </w:rPr>
      </w:pPr>
      <w:r>
        <w:rPr>
          <w:rFonts w:hint="eastAsia" w:ascii="宋体" w:hAnsi="宋体" w:eastAsia="宋体" w:cs="宋体"/>
          <w:b/>
          <w:color w:val="auto"/>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color w:val="auto"/>
          <w:sz w:val="28"/>
          <w:szCs w:val="28"/>
        </w:rPr>
      </w:pPr>
      <w:r>
        <w:rPr>
          <w:rFonts w:hint="eastAsia" w:ascii="宋体" w:hAnsi="宋体" w:eastAsia="宋体" w:cs="宋体"/>
          <w:b/>
          <w:color w:val="auto"/>
          <w:sz w:val="28"/>
          <w:szCs w:val="28"/>
        </w:rPr>
        <w:t>因龙泉驿区公资交易中心断电、断网、系统故障或其他不可抗力等因素导致不见面开标系统无法正常运行的，开标活动中止或延迟，待系统恢复正常后继续进行开标活动。</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color w:val="auto"/>
          <w:sz w:val="28"/>
          <w:szCs w:val="28"/>
        </w:rPr>
      </w:pPr>
      <w:r>
        <w:rPr>
          <w:rFonts w:hint="eastAsia" w:ascii="宋体" w:hAnsi="宋体" w:eastAsia="宋体" w:cs="宋体"/>
          <w:b/>
          <w:color w:val="auto"/>
          <w:sz w:val="28"/>
          <w:szCs w:val="28"/>
        </w:rPr>
        <w:t>不见面开标过程中，各方主体均应遵守互联网有关规定，不得发表与交易活动无关的言论。</w:t>
      </w:r>
    </w:p>
    <w:p>
      <w:pPr>
        <w:pStyle w:val="4"/>
        <w:tabs>
          <w:tab w:val="clear" w:pos="567"/>
        </w:tabs>
        <w:spacing w:line="600" w:lineRule="exact"/>
        <w:ind w:left="0" w:firstLine="0"/>
        <w:rPr>
          <w:color w:val="auto"/>
        </w:rPr>
      </w:pPr>
      <w:bookmarkStart w:id="39" w:name="_Toc9930"/>
      <w:r>
        <w:rPr>
          <w:rFonts w:hint="eastAsia"/>
          <w:color w:val="auto"/>
        </w:rPr>
        <w:t>资格</w:t>
      </w:r>
      <w:r>
        <w:rPr>
          <w:color w:val="auto"/>
        </w:rPr>
        <w:t>预审和评审</w:t>
      </w:r>
      <w:bookmarkEnd w:id="39"/>
    </w:p>
    <w:p>
      <w:pPr>
        <w:widowControl w:val="0"/>
        <w:numPr>
          <w:ilvl w:val="0"/>
          <w:numId w:val="25"/>
        </w:numPr>
        <w:tabs>
          <w:tab w:val="left" w:pos="1134"/>
        </w:tabs>
        <w:spacing w:line="600" w:lineRule="exact"/>
        <w:ind w:left="0" w:firstLine="540"/>
        <w:jc w:val="both"/>
        <w:rPr>
          <w:rFonts w:ascii="宋体" w:hAnsi="宋体"/>
          <w:color w:val="auto"/>
          <w:sz w:val="28"/>
          <w:szCs w:val="28"/>
        </w:rPr>
      </w:pPr>
      <w:r>
        <w:rPr>
          <w:rFonts w:hint="eastAsia" w:ascii="宋体" w:hAnsi="宋体"/>
          <w:color w:val="auto"/>
          <w:sz w:val="28"/>
          <w:szCs w:val="28"/>
        </w:rPr>
        <w:t>本项目资格预审已按资格预审文件完成。</w:t>
      </w:r>
    </w:p>
    <w:p>
      <w:pPr>
        <w:widowControl w:val="0"/>
        <w:numPr>
          <w:ilvl w:val="0"/>
          <w:numId w:val="25"/>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磋商小组的组建及其评审工作按照有关法律制度和本文件第五章的规定进行。</w:t>
      </w:r>
    </w:p>
    <w:p>
      <w:pPr>
        <w:pStyle w:val="4"/>
        <w:spacing w:line="600" w:lineRule="exact"/>
        <w:rPr>
          <w:color w:val="auto"/>
        </w:rPr>
      </w:pPr>
      <w:bookmarkStart w:id="40" w:name="_Toc29787"/>
      <w:r>
        <w:rPr>
          <w:color w:val="auto"/>
        </w:rPr>
        <w:t>成交通知书</w:t>
      </w:r>
      <w:bookmarkEnd w:id="40"/>
    </w:p>
    <w:p>
      <w:pPr>
        <w:pStyle w:val="81"/>
        <w:widowControl w:val="0"/>
        <w:numPr>
          <w:ilvl w:val="0"/>
          <w:numId w:val="26"/>
        </w:numPr>
        <w:tabs>
          <w:tab w:val="left" w:pos="1134"/>
        </w:tabs>
        <w:spacing w:after="200" w:line="600" w:lineRule="exact"/>
        <w:ind w:left="0" w:right="210" w:firstLine="560" w:firstLineChars="0"/>
        <w:jc w:val="both"/>
        <w:rPr>
          <w:rFonts w:ascii="宋体" w:hAnsi="宋体" w:eastAsia="宋体"/>
          <w:color w:val="auto"/>
          <w:sz w:val="28"/>
          <w:szCs w:val="28"/>
        </w:rPr>
      </w:pPr>
      <w:r>
        <w:rPr>
          <w:rFonts w:hint="eastAsia" w:ascii="宋体" w:hAnsi="宋体" w:eastAsia="宋体"/>
          <w:color w:val="auto"/>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1"/>
        <w:widowControl w:val="0"/>
        <w:numPr>
          <w:ilvl w:val="0"/>
          <w:numId w:val="26"/>
        </w:numPr>
        <w:tabs>
          <w:tab w:val="left" w:pos="1134"/>
        </w:tabs>
        <w:spacing w:after="200" w:line="600" w:lineRule="exact"/>
        <w:ind w:left="0" w:right="210" w:firstLine="560" w:firstLineChars="0"/>
        <w:jc w:val="both"/>
        <w:rPr>
          <w:rFonts w:ascii="宋体" w:hAnsi="宋体" w:eastAsia="宋体"/>
          <w:color w:val="auto"/>
          <w:sz w:val="28"/>
          <w:szCs w:val="28"/>
        </w:rPr>
      </w:pPr>
      <w:r>
        <w:rPr>
          <w:rFonts w:hint="eastAsia" w:ascii="宋体" w:hAnsi="宋体" w:eastAsia="宋体"/>
          <w:color w:val="auto"/>
          <w:sz w:val="28"/>
          <w:szCs w:val="28"/>
        </w:rPr>
        <w:t>成交通知书对采购人和成交供应商均具有法律效力。成交通知书发出后，采购人改变成交结果，或者成交供应商无正当理由放弃成交的，应当承担相应的法律责任。</w:t>
      </w:r>
    </w:p>
    <w:p>
      <w:pPr>
        <w:pStyle w:val="81"/>
        <w:widowControl w:val="0"/>
        <w:numPr>
          <w:ilvl w:val="0"/>
          <w:numId w:val="26"/>
        </w:numPr>
        <w:tabs>
          <w:tab w:val="left" w:pos="1134"/>
        </w:tabs>
        <w:spacing w:after="200" w:line="600" w:lineRule="exact"/>
        <w:ind w:left="0" w:right="210" w:firstLine="560" w:firstLineChars="0"/>
        <w:jc w:val="both"/>
        <w:rPr>
          <w:rFonts w:ascii="宋体" w:hAnsi="宋体" w:eastAsia="宋体"/>
          <w:color w:val="auto"/>
          <w:sz w:val="28"/>
          <w:szCs w:val="28"/>
        </w:rPr>
      </w:pPr>
      <w:r>
        <w:rPr>
          <w:rFonts w:hint="eastAsia" w:ascii="宋体" w:hAnsi="宋体" w:eastAsia="宋体"/>
          <w:color w:val="auto"/>
          <w:sz w:val="28"/>
          <w:szCs w:val="28"/>
        </w:rPr>
        <w:t>成交公告在四川政府采购网上公告后，成交供应商自行登录政府</w:t>
      </w:r>
      <w:r>
        <w:rPr>
          <w:rFonts w:ascii="宋体" w:hAnsi="宋体" w:eastAsia="宋体"/>
          <w:color w:val="auto"/>
          <w:sz w:val="28"/>
          <w:szCs w:val="28"/>
        </w:rPr>
        <w:t>采购</w:t>
      </w:r>
      <w:r>
        <w:rPr>
          <w:rFonts w:hint="eastAsia" w:ascii="宋体" w:hAnsi="宋体" w:eastAsia="宋体"/>
          <w:color w:val="auto"/>
          <w:sz w:val="28"/>
          <w:szCs w:val="28"/>
        </w:rPr>
        <w:t>云平台下载成交通知书。</w:t>
      </w:r>
    </w:p>
    <w:p>
      <w:pPr>
        <w:pStyle w:val="4"/>
        <w:spacing w:line="600" w:lineRule="exact"/>
        <w:rPr>
          <w:color w:val="auto"/>
        </w:rPr>
      </w:pPr>
      <w:bookmarkStart w:id="41" w:name="_Toc14458"/>
      <w:bookmarkStart w:id="42" w:name="_Toc287623650"/>
      <w:r>
        <w:rPr>
          <w:rFonts w:hint="eastAsia"/>
          <w:color w:val="auto"/>
        </w:rPr>
        <w:t>签订及履行合同和验收</w:t>
      </w:r>
      <w:bookmarkEnd w:id="41"/>
    </w:p>
    <w:p>
      <w:pPr>
        <w:pStyle w:val="5"/>
        <w:spacing w:line="600" w:lineRule="exact"/>
        <w:rPr>
          <w:color w:val="auto"/>
        </w:rPr>
      </w:pPr>
      <w:r>
        <w:rPr>
          <w:rFonts w:hint="eastAsia"/>
          <w:color w:val="auto"/>
        </w:rPr>
        <w:t>签订合同</w:t>
      </w:r>
      <w:bookmarkEnd w:id="42"/>
    </w:p>
    <w:p>
      <w:pPr>
        <w:widowControl w:val="0"/>
        <w:numPr>
          <w:ilvl w:val="0"/>
          <w:numId w:val="27"/>
        </w:numPr>
        <w:tabs>
          <w:tab w:val="left" w:pos="1134"/>
        </w:tabs>
        <w:spacing w:line="360" w:lineRule="auto"/>
        <w:ind w:left="0" w:firstLine="565" w:firstLineChars="202"/>
        <w:jc w:val="both"/>
        <w:rPr>
          <w:rFonts w:ascii="宋体" w:hAnsi="宋体"/>
          <w:color w:val="auto"/>
          <w:sz w:val="28"/>
          <w:szCs w:val="28"/>
        </w:rPr>
      </w:pPr>
      <w:bookmarkStart w:id="43" w:name="_Toc217446069"/>
      <w:r>
        <w:rPr>
          <w:rFonts w:hint="eastAsia" w:ascii="宋体" w:hAnsi="宋体"/>
          <w:color w:val="auto"/>
          <w:sz w:val="28"/>
          <w:szCs w:val="28"/>
        </w:rPr>
        <w:t>疫情防控期间，采购人原则</w:t>
      </w:r>
      <w:r>
        <w:rPr>
          <w:rFonts w:ascii="宋体" w:hAnsi="宋体"/>
          <w:color w:val="auto"/>
          <w:sz w:val="28"/>
          <w:szCs w:val="28"/>
        </w:rPr>
        <w:t>上</w:t>
      </w:r>
      <w:r>
        <w:rPr>
          <w:rFonts w:hint="eastAsia" w:ascii="宋体" w:hAnsi="宋体"/>
          <w:color w:val="auto"/>
          <w:sz w:val="28"/>
          <w:szCs w:val="28"/>
        </w:rPr>
        <w:t>在成交通知书发出之日起15</w:t>
      </w:r>
      <w:r>
        <w:rPr>
          <w:rFonts w:ascii="宋体" w:hAnsi="宋体"/>
          <w:color w:val="auto"/>
          <w:sz w:val="28"/>
          <w:szCs w:val="28"/>
        </w:rPr>
        <w:t>日</w:t>
      </w:r>
      <w:r>
        <w:rPr>
          <w:rFonts w:hint="eastAsia" w:ascii="宋体" w:hAnsi="宋体"/>
          <w:color w:val="auto"/>
          <w:sz w:val="28"/>
          <w:szCs w:val="28"/>
        </w:rPr>
        <w:t>内与成交供应商签订采购合同。因成交供应商的原因</w:t>
      </w:r>
      <w:r>
        <w:rPr>
          <w:rFonts w:ascii="宋体" w:hAnsi="宋体"/>
          <w:color w:val="auto"/>
          <w:sz w:val="28"/>
          <w:szCs w:val="28"/>
        </w:rPr>
        <w:t>在</w:t>
      </w:r>
      <w:r>
        <w:rPr>
          <w:rFonts w:hint="eastAsia" w:ascii="宋体" w:hAnsi="宋体"/>
          <w:color w:val="auto"/>
          <w:sz w:val="28"/>
          <w:szCs w:val="28"/>
        </w:rPr>
        <w:t>成交通知书发出之日起</w:t>
      </w:r>
      <w:r>
        <w:rPr>
          <w:rFonts w:ascii="宋体" w:hAnsi="宋体"/>
          <w:color w:val="auto"/>
          <w:sz w:val="28"/>
          <w:szCs w:val="28"/>
        </w:rPr>
        <w:t>30日</w:t>
      </w:r>
      <w:r>
        <w:rPr>
          <w:rFonts w:hint="eastAsia" w:ascii="宋体" w:hAnsi="宋体"/>
          <w:color w:val="auto"/>
          <w:sz w:val="28"/>
          <w:szCs w:val="28"/>
        </w:rPr>
        <w:t>内未与采购人签订采购合同或者成交供应商拒绝与采购人签订合同的，采购人可以按照评审报告推荐的中标候选人名单排序，确定下一候选人为成交供应商，也可以重新开展政府采购活动。</w:t>
      </w:r>
    </w:p>
    <w:p>
      <w:pPr>
        <w:widowControl w:val="0"/>
        <w:numPr>
          <w:ilvl w:val="0"/>
          <w:numId w:val="27"/>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采购人不得向</w:t>
      </w:r>
      <w:r>
        <w:rPr>
          <w:rFonts w:ascii="宋体" w:hAnsi="宋体"/>
          <w:color w:val="auto"/>
          <w:sz w:val="28"/>
          <w:szCs w:val="28"/>
        </w:rPr>
        <w:t>成交</w:t>
      </w:r>
      <w:r>
        <w:rPr>
          <w:rFonts w:hint="eastAsia" w:ascii="宋体" w:hAnsi="宋体"/>
          <w:color w:val="auto"/>
          <w:sz w:val="28"/>
          <w:szCs w:val="28"/>
        </w:rPr>
        <w:t>供应商提出任何不合理的要求作为签订合同的条件，不得与</w:t>
      </w:r>
      <w:r>
        <w:rPr>
          <w:rFonts w:ascii="宋体" w:hAnsi="宋体"/>
          <w:color w:val="auto"/>
          <w:sz w:val="28"/>
          <w:szCs w:val="28"/>
        </w:rPr>
        <w:t>成交</w:t>
      </w:r>
      <w:r>
        <w:rPr>
          <w:rFonts w:hint="eastAsia" w:ascii="宋体" w:hAnsi="宋体"/>
          <w:color w:val="auto"/>
          <w:sz w:val="28"/>
          <w:szCs w:val="28"/>
        </w:rPr>
        <w:t>供应商私下订立背离合同实质性内容的任何协议，所签订的合同不得对磋商文件和</w:t>
      </w:r>
      <w:r>
        <w:rPr>
          <w:rFonts w:ascii="宋体" w:hAnsi="宋体"/>
          <w:color w:val="auto"/>
          <w:sz w:val="28"/>
          <w:szCs w:val="28"/>
        </w:rPr>
        <w:t>成交</w:t>
      </w:r>
      <w:r>
        <w:rPr>
          <w:rFonts w:hint="eastAsia" w:ascii="宋体" w:hAnsi="宋体"/>
          <w:color w:val="auto"/>
          <w:sz w:val="28"/>
          <w:szCs w:val="28"/>
        </w:rPr>
        <w:t>供应商施工响应文件作实质性修改。</w:t>
      </w:r>
    </w:p>
    <w:p>
      <w:pPr>
        <w:widowControl w:val="0"/>
        <w:numPr>
          <w:ilvl w:val="0"/>
          <w:numId w:val="27"/>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磋商文件</w:t>
      </w:r>
      <w:r>
        <w:rPr>
          <w:rFonts w:ascii="宋体" w:hAnsi="宋体"/>
          <w:color w:val="auto"/>
          <w:sz w:val="28"/>
          <w:szCs w:val="28"/>
        </w:rPr>
        <w:t>、</w:t>
      </w:r>
      <w:r>
        <w:rPr>
          <w:rFonts w:hint="eastAsia" w:ascii="宋体" w:hAnsi="宋体"/>
          <w:color w:val="auto"/>
          <w:sz w:val="28"/>
          <w:szCs w:val="28"/>
        </w:rPr>
        <w:t>施工响应文件</w:t>
      </w:r>
      <w:r>
        <w:rPr>
          <w:rFonts w:ascii="宋体" w:hAnsi="宋体"/>
          <w:color w:val="auto"/>
          <w:sz w:val="28"/>
          <w:szCs w:val="28"/>
        </w:rPr>
        <w:t>、</w:t>
      </w:r>
      <w:r>
        <w:rPr>
          <w:rFonts w:hint="eastAsia" w:ascii="宋体" w:hAnsi="宋体"/>
          <w:color w:val="auto"/>
          <w:sz w:val="28"/>
          <w:szCs w:val="28"/>
        </w:rPr>
        <w:t>成交</w:t>
      </w:r>
      <w:r>
        <w:rPr>
          <w:rFonts w:ascii="宋体" w:hAnsi="宋体"/>
          <w:color w:val="auto"/>
          <w:sz w:val="28"/>
          <w:szCs w:val="28"/>
        </w:rPr>
        <w:t>通知书</w:t>
      </w:r>
      <w:r>
        <w:rPr>
          <w:rFonts w:hint="eastAsia" w:ascii="宋体" w:hAnsi="宋体"/>
          <w:color w:val="auto"/>
          <w:sz w:val="28"/>
          <w:szCs w:val="28"/>
        </w:rPr>
        <w:t>等一切与本项目评审结果有关且经责任主体确认的资料均为合同的有效组成部分。</w:t>
      </w:r>
    </w:p>
    <w:p>
      <w:pPr>
        <w:widowControl w:val="0"/>
        <w:numPr>
          <w:ilvl w:val="0"/>
          <w:numId w:val="27"/>
        </w:numPr>
        <w:tabs>
          <w:tab w:val="left" w:pos="1134"/>
        </w:tabs>
        <w:spacing w:line="360" w:lineRule="auto"/>
        <w:ind w:left="0" w:firstLine="565" w:firstLineChars="202"/>
        <w:jc w:val="both"/>
        <w:rPr>
          <w:rFonts w:ascii="宋体" w:hAnsi="宋体"/>
          <w:color w:val="auto"/>
          <w:sz w:val="28"/>
          <w:szCs w:val="28"/>
        </w:rPr>
      </w:pPr>
      <w:r>
        <w:rPr>
          <w:rFonts w:ascii="宋体" w:hAnsi="宋体"/>
          <w:color w:val="auto"/>
          <w:sz w:val="28"/>
          <w:szCs w:val="28"/>
        </w:rPr>
        <w:t>询问或者质疑事项可能影响成交结果的，采购人应当暂停签订合同，已经签订合同的，应当中止履行合同。</w:t>
      </w:r>
    </w:p>
    <w:p>
      <w:pPr>
        <w:pStyle w:val="5"/>
        <w:spacing w:line="600" w:lineRule="exact"/>
        <w:rPr>
          <w:color w:val="auto"/>
        </w:rPr>
      </w:pPr>
      <w:bookmarkStart w:id="44" w:name="_Toc217446066"/>
      <w:r>
        <w:rPr>
          <w:rFonts w:hint="eastAsia"/>
          <w:color w:val="auto"/>
        </w:rPr>
        <w:t>合同分包</w:t>
      </w:r>
      <w:bookmarkEnd w:id="44"/>
      <w:r>
        <w:rPr>
          <w:rFonts w:hint="eastAsia"/>
          <w:color w:val="auto"/>
        </w:rPr>
        <w:t>和转包</w:t>
      </w:r>
      <w:r>
        <w:rPr>
          <w:rFonts w:hint="eastAsia" w:ascii="仿宋" w:hAnsi="仿宋" w:eastAsia="仿宋"/>
          <w:b w:val="0"/>
          <w:bCs w:val="0"/>
          <w:color w:val="auto"/>
          <w:sz w:val="28"/>
          <w:szCs w:val="28"/>
          <w:lang w:val="zh-CN"/>
        </w:rPr>
        <w:t>（实质性要求）</w:t>
      </w:r>
    </w:p>
    <w:p>
      <w:pPr>
        <w:widowControl w:val="0"/>
        <w:numPr>
          <w:ilvl w:val="0"/>
          <w:numId w:val="28"/>
        </w:numPr>
        <w:tabs>
          <w:tab w:val="left" w:pos="1134"/>
        </w:tabs>
        <w:spacing w:line="360" w:lineRule="auto"/>
        <w:ind w:left="0" w:firstLine="567"/>
        <w:jc w:val="both"/>
        <w:rPr>
          <w:rFonts w:ascii="宋体" w:hAnsi="宋体"/>
          <w:color w:val="auto"/>
          <w:sz w:val="28"/>
          <w:szCs w:val="28"/>
        </w:rPr>
      </w:pPr>
      <w:r>
        <w:rPr>
          <w:rFonts w:hint="eastAsia" w:ascii="宋体" w:hAnsi="宋体"/>
          <w:color w:val="auto"/>
          <w:sz w:val="28"/>
          <w:szCs w:val="28"/>
        </w:rPr>
        <w:t>合同分包</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本项目不允许分包。</w:t>
      </w:r>
    </w:p>
    <w:p>
      <w:pPr>
        <w:widowControl w:val="0"/>
        <w:numPr>
          <w:ilvl w:val="0"/>
          <w:numId w:val="28"/>
        </w:numPr>
        <w:tabs>
          <w:tab w:val="left" w:pos="1134"/>
        </w:tabs>
        <w:spacing w:line="360" w:lineRule="auto"/>
        <w:ind w:left="0" w:firstLine="567"/>
        <w:jc w:val="both"/>
        <w:rPr>
          <w:rFonts w:ascii="宋体" w:hAnsi="宋体"/>
          <w:color w:val="auto"/>
          <w:sz w:val="28"/>
          <w:szCs w:val="28"/>
        </w:rPr>
      </w:pPr>
      <w:r>
        <w:rPr>
          <w:rFonts w:hint="eastAsia" w:ascii="宋体" w:hAnsi="宋体"/>
          <w:color w:val="auto"/>
          <w:sz w:val="28"/>
          <w:szCs w:val="28"/>
        </w:rPr>
        <w:t>合同转包</w:t>
      </w:r>
    </w:p>
    <w:p>
      <w:pPr>
        <w:pStyle w:val="81"/>
        <w:widowControl w:val="0"/>
        <w:numPr>
          <w:ilvl w:val="0"/>
          <w:numId w:val="29"/>
        </w:numPr>
        <w:tabs>
          <w:tab w:val="left" w:pos="1134"/>
        </w:tabs>
        <w:spacing w:after="200" w:line="600" w:lineRule="exact"/>
        <w:ind w:left="0" w:firstLine="560" w:firstLineChars="0"/>
        <w:jc w:val="both"/>
        <w:rPr>
          <w:rFonts w:ascii="宋体" w:hAnsi="宋体" w:eastAsia="宋体"/>
          <w:bCs/>
          <w:color w:val="auto"/>
          <w:sz w:val="28"/>
          <w:szCs w:val="28"/>
        </w:rPr>
      </w:pPr>
      <w:r>
        <w:rPr>
          <w:rFonts w:hint="eastAsia" w:ascii="宋体" w:hAnsi="宋体" w:eastAsia="宋体"/>
          <w:bCs/>
          <w:color w:val="auto"/>
          <w:sz w:val="28"/>
          <w:szCs w:val="28"/>
        </w:rPr>
        <w:t>严禁成交供应商将本项目转包。本项目所称转包，是指</w:t>
      </w:r>
      <w:r>
        <w:rPr>
          <w:rFonts w:ascii="宋体" w:hAnsi="宋体" w:eastAsia="宋体"/>
          <w:bCs/>
          <w:color w:val="auto"/>
          <w:sz w:val="28"/>
          <w:szCs w:val="28"/>
        </w:rPr>
        <w:t>将本项目转给他人或者将本项目全部肢解以后以分包的名义分别转给他人</w:t>
      </w:r>
      <w:r>
        <w:rPr>
          <w:rFonts w:hint="eastAsia" w:ascii="宋体" w:hAnsi="宋体" w:eastAsia="宋体"/>
          <w:bCs/>
          <w:color w:val="auto"/>
          <w:sz w:val="28"/>
          <w:szCs w:val="28"/>
        </w:rPr>
        <w:t>的</w:t>
      </w:r>
      <w:r>
        <w:rPr>
          <w:rFonts w:ascii="宋体" w:hAnsi="宋体" w:eastAsia="宋体"/>
          <w:bCs/>
          <w:color w:val="auto"/>
          <w:sz w:val="28"/>
          <w:szCs w:val="28"/>
        </w:rPr>
        <w:t>行为。</w:t>
      </w:r>
    </w:p>
    <w:p>
      <w:pPr>
        <w:pStyle w:val="81"/>
        <w:widowControl w:val="0"/>
        <w:numPr>
          <w:ilvl w:val="0"/>
          <w:numId w:val="29"/>
        </w:numPr>
        <w:tabs>
          <w:tab w:val="left" w:pos="1134"/>
        </w:tabs>
        <w:spacing w:after="200" w:line="600" w:lineRule="exact"/>
        <w:ind w:left="0" w:firstLine="560" w:firstLineChars="0"/>
        <w:jc w:val="both"/>
        <w:rPr>
          <w:rFonts w:ascii="宋体" w:hAnsi="宋体" w:eastAsia="宋体"/>
          <w:bCs/>
          <w:color w:val="auto"/>
          <w:sz w:val="28"/>
          <w:szCs w:val="28"/>
        </w:rPr>
      </w:pPr>
      <w:r>
        <w:rPr>
          <w:rFonts w:hint="eastAsia" w:ascii="宋体" w:hAnsi="宋体" w:eastAsia="宋体"/>
          <w:bCs/>
          <w:color w:val="auto"/>
          <w:sz w:val="28"/>
          <w:szCs w:val="28"/>
        </w:rPr>
        <w:t>成交供应商转包的，视同拒绝履行政府采购合同，将依法追究法律责任。</w:t>
      </w:r>
    </w:p>
    <w:p>
      <w:pPr>
        <w:pStyle w:val="5"/>
        <w:spacing w:line="600" w:lineRule="exact"/>
        <w:rPr>
          <w:color w:val="auto"/>
        </w:rPr>
      </w:pPr>
      <w:bookmarkStart w:id="45" w:name="_Toc217446067"/>
      <w:r>
        <w:rPr>
          <w:rFonts w:hint="eastAsia"/>
          <w:color w:val="auto"/>
        </w:rPr>
        <w:t>采购人增加合同标的的权</w:t>
      </w:r>
      <w:bookmarkEnd w:id="45"/>
      <w:r>
        <w:rPr>
          <w:rFonts w:hint="eastAsia"/>
          <w:color w:val="auto"/>
        </w:rPr>
        <w:t>利</w:t>
      </w:r>
    </w:p>
    <w:p>
      <w:pPr>
        <w:spacing w:line="600" w:lineRule="exact"/>
        <w:ind w:firstLine="567"/>
        <w:rPr>
          <w:rFonts w:ascii="宋体" w:hAnsi="宋体"/>
          <w:color w:val="auto"/>
          <w:sz w:val="28"/>
          <w:szCs w:val="28"/>
        </w:rPr>
      </w:pPr>
      <w:r>
        <w:rPr>
          <w:rFonts w:hint="eastAsia" w:ascii="宋体" w:hAnsi="宋体"/>
          <w:color w:val="auto"/>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600" w:lineRule="exact"/>
        <w:rPr>
          <w:color w:val="auto"/>
          <w:sz w:val="28"/>
          <w:szCs w:val="28"/>
        </w:rPr>
      </w:pPr>
      <w:bookmarkStart w:id="46" w:name="_Toc217446068"/>
      <w:r>
        <w:rPr>
          <w:rFonts w:hint="eastAsia"/>
          <w:color w:val="auto"/>
        </w:rPr>
        <w:t>履约保证金</w:t>
      </w:r>
      <w:bookmarkEnd w:id="46"/>
      <w:r>
        <w:rPr>
          <w:rFonts w:hint="eastAsia" w:ascii="仿宋" w:hAnsi="仿宋" w:eastAsia="仿宋" w:cstheme="minorBidi"/>
          <w:b w:val="0"/>
          <w:bCs w:val="0"/>
          <w:color w:val="auto"/>
          <w:sz w:val="28"/>
          <w:szCs w:val="28"/>
          <w:lang w:val="zh-CN"/>
        </w:rPr>
        <w:t>（实质性要求）</w:t>
      </w:r>
    </w:p>
    <w:p>
      <w:pPr>
        <w:widowControl w:val="0"/>
        <w:tabs>
          <w:tab w:val="left" w:pos="1134"/>
        </w:tabs>
        <w:spacing w:after="200" w:line="600" w:lineRule="exact"/>
        <w:ind w:firstLine="480" w:firstLineChars="200"/>
        <w:jc w:val="both"/>
        <w:rPr>
          <w:rFonts w:ascii="宋体" w:hAnsi="宋体"/>
          <w:color w:val="auto"/>
          <w:sz w:val="28"/>
          <w:szCs w:val="28"/>
        </w:rPr>
      </w:pPr>
      <w:r>
        <w:rPr>
          <w:rFonts w:hint="eastAsia" w:ascii="宋体" w:hAnsi="宋体" w:cs="宋体"/>
          <w:color w:val="auto"/>
          <w:lang w:val="zh-CN"/>
        </w:rPr>
        <w:t>本项目无履约保证金</w:t>
      </w:r>
      <w:r>
        <w:rPr>
          <w:rFonts w:ascii="宋体" w:hAnsi="宋体" w:cs="宋体"/>
          <w:color w:val="auto"/>
          <w:lang w:val="zh-CN"/>
        </w:rPr>
        <w:t>。</w:t>
      </w:r>
    </w:p>
    <w:p>
      <w:pPr>
        <w:pStyle w:val="5"/>
        <w:spacing w:line="600" w:lineRule="exact"/>
        <w:rPr>
          <w:color w:val="auto"/>
        </w:rPr>
      </w:pPr>
      <w:r>
        <w:rPr>
          <w:color w:val="auto"/>
        </w:rPr>
        <w:t>合同公告</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采购人应当自政府采购合同签订之日起</w:t>
      </w:r>
      <w:r>
        <w:rPr>
          <w:rFonts w:ascii="宋体" w:hAnsi="宋体"/>
          <w:color w:val="auto"/>
          <w:sz w:val="28"/>
          <w:szCs w:val="28"/>
        </w:rPr>
        <w:t>2个工作日内，</w:t>
      </w:r>
      <w:r>
        <w:rPr>
          <w:rFonts w:hint="eastAsia" w:ascii="宋体" w:hAnsi="宋体"/>
          <w:color w:val="auto"/>
          <w:sz w:val="28"/>
          <w:szCs w:val="28"/>
        </w:rPr>
        <w:t>将政府采购合同在四川政府采购网公告，但政府采购合同中涉及国家秘密、商业秘密的内容除外。</w:t>
      </w:r>
    </w:p>
    <w:p>
      <w:pPr>
        <w:pStyle w:val="5"/>
        <w:spacing w:line="600" w:lineRule="exact"/>
        <w:rPr>
          <w:color w:val="auto"/>
        </w:rPr>
      </w:pPr>
      <w:r>
        <w:rPr>
          <w:color w:val="auto"/>
        </w:rPr>
        <w:t>合同备案</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疫情防控期间，采购人原则</w:t>
      </w:r>
      <w:r>
        <w:rPr>
          <w:rFonts w:ascii="宋体" w:hAnsi="宋体"/>
          <w:color w:val="auto"/>
          <w:sz w:val="28"/>
          <w:szCs w:val="28"/>
        </w:rPr>
        <w:t>上在</w:t>
      </w:r>
      <w:r>
        <w:rPr>
          <w:rFonts w:hint="eastAsia" w:ascii="宋体" w:hAnsi="宋体"/>
          <w:color w:val="auto"/>
          <w:sz w:val="28"/>
          <w:szCs w:val="28"/>
        </w:rPr>
        <w:t>15</w:t>
      </w:r>
      <w:r>
        <w:rPr>
          <w:rFonts w:ascii="宋体" w:hAnsi="宋体"/>
          <w:color w:val="auto"/>
          <w:sz w:val="28"/>
          <w:szCs w:val="28"/>
        </w:rPr>
        <w:t>日内</w:t>
      </w:r>
      <w:r>
        <w:rPr>
          <w:rFonts w:hint="eastAsia" w:ascii="宋体" w:hAnsi="宋体"/>
          <w:color w:val="auto"/>
          <w:sz w:val="28"/>
          <w:szCs w:val="28"/>
        </w:rPr>
        <w:t>与供应商</w:t>
      </w:r>
      <w:r>
        <w:rPr>
          <w:rFonts w:ascii="宋体" w:hAnsi="宋体"/>
          <w:color w:val="auto"/>
          <w:sz w:val="28"/>
          <w:szCs w:val="28"/>
        </w:rPr>
        <w:t>签订政府采购合同</w:t>
      </w:r>
      <w:r>
        <w:rPr>
          <w:rFonts w:hint="eastAsia" w:ascii="宋体" w:hAnsi="宋体"/>
          <w:color w:val="auto"/>
          <w:sz w:val="28"/>
          <w:szCs w:val="28"/>
        </w:rPr>
        <w:t>及按成都市财政局的要求完成合同备案工作。</w:t>
      </w:r>
    </w:p>
    <w:bookmarkEnd w:id="43"/>
    <w:p>
      <w:pPr>
        <w:pStyle w:val="5"/>
        <w:spacing w:line="600" w:lineRule="exact"/>
        <w:rPr>
          <w:color w:val="auto"/>
        </w:rPr>
      </w:pPr>
      <w:bookmarkStart w:id="47" w:name="_Toc217446070"/>
      <w:r>
        <w:rPr>
          <w:rFonts w:hint="eastAsia" w:cs="宋体"/>
          <w:color w:val="auto"/>
        </w:rPr>
        <w:t>履行</w:t>
      </w:r>
      <w:r>
        <w:rPr>
          <w:rFonts w:hint="eastAsia"/>
          <w:color w:val="auto"/>
        </w:rPr>
        <w:t>合同</w:t>
      </w:r>
    </w:p>
    <w:p>
      <w:pPr>
        <w:widowControl w:val="0"/>
        <w:numPr>
          <w:ilvl w:val="0"/>
          <w:numId w:val="30"/>
        </w:numPr>
        <w:tabs>
          <w:tab w:val="left" w:pos="1134"/>
        </w:tabs>
        <w:spacing w:line="600" w:lineRule="exact"/>
        <w:ind w:left="0" w:firstLine="565" w:firstLineChars="202"/>
        <w:jc w:val="both"/>
        <w:rPr>
          <w:rFonts w:ascii="宋体" w:hAnsi="宋体"/>
          <w:color w:val="auto"/>
          <w:sz w:val="28"/>
          <w:szCs w:val="28"/>
        </w:rPr>
      </w:pPr>
      <w:r>
        <w:rPr>
          <w:rFonts w:hint="eastAsia" w:ascii="宋体" w:hAnsi="宋体"/>
          <w:color w:val="auto"/>
          <w:sz w:val="28"/>
          <w:szCs w:val="28"/>
        </w:rPr>
        <w:t>合同一经签订，双方应严格履行合同规定的义务。</w:t>
      </w:r>
    </w:p>
    <w:p>
      <w:pPr>
        <w:widowControl w:val="0"/>
        <w:numPr>
          <w:ilvl w:val="0"/>
          <w:numId w:val="30"/>
        </w:numPr>
        <w:tabs>
          <w:tab w:val="left" w:pos="1134"/>
        </w:tabs>
        <w:spacing w:line="600" w:lineRule="exact"/>
        <w:ind w:left="0" w:firstLine="565" w:firstLineChars="202"/>
        <w:jc w:val="both"/>
        <w:rPr>
          <w:color w:val="auto"/>
        </w:rPr>
      </w:pPr>
      <w:r>
        <w:rPr>
          <w:rFonts w:hint="eastAsia" w:ascii="宋体" w:hAnsi="宋体"/>
          <w:color w:val="auto"/>
          <w:sz w:val="28"/>
          <w:szCs w:val="28"/>
        </w:rPr>
        <w:t>在合同履行过程中，如发生合同纠纷，合同双方应按照《中华人民</w:t>
      </w:r>
      <w:r>
        <w:rPr>
          <w:rFonts w:ascii="宋体" w:hAnsi="宋体"/>
          <w:color w:val="auto"/>
          <w:sz w:val="28"/>
          <w:szCs w:val="28"/>
        </w:rPr>
        <w:t>共和国民法典</w:t>
      </w:r>
      <w:r>
        <w:rPr>
          <w:rFonts w:hint="eastAsia" w:ascii="宋体" w:hAnsi="宋体"/>
          <w:color w:val="auto"/>
          <w:sz w:val="28"/>
          <w:szCs w:val="28"/>
        </w:rPr>
        <w:t>》及合同条款的有关规定进行处理。</w:t>
      </w:r>
    </w:p>
    <w:p>
      <w:pPr>
        <w:pStyle w:val="5"/>
        <w:spacing w:line="600" w:lineRule="exact"/>
        <w:rPr>
          <w:color w:val="auto"/>
        </w:rPr>
      </w:pPr>
      <w:r>
        <w:rPr>
          <w:rFonts w:hint="eastAsia"/>
          <w:color w:val="auto"/>
        </w:rPr>
        <w:t>验收</w:t>
      </w:r>
      <w:bookmarkEnd w:id="47"/>
    </w:p>
    <w:p>
      <w:pPr>
        <w:pStyle w:val="17"/>
        <w:spacing w:line="600" w:lineRule="exact"/>
        <w:ind w:firstLine="560"/>
        <w:rPr>
          <w:rFonts w:ascii="宋体" w:hAnsi="宋体" w:eastAsia="宋体"/>
          <w:color w:val="auto"/>
          <w:sz w:val="28"/>
          <w:szCs w:val="28"/>
        </w:rPr>
      </w:pPr>
      <w:r>
        <w:rPr>
          <w:rFonts w:hint="eastAsia" w:ascii="宋体" w:hAnsi="宋体" w:eastAsia="宋体"/>
          <w:color w:val="auto"/>
          <w:sz w:val="28"/>
          <w:szCs w:val="28"/>
        </w:rPr>
        <w:t>采购人严格按照国家相关法律法规的要求组织验收或考核。</w:t>
      </w:r>
    </w:p>
    <w:p>
      <w:pPr>
        <w:pStyle w:val="5"/>
        <w:spacing w:line="600" w:lineRule="exact"/>
        <w:rPr>
          <w:color w:val="auto"/>
        </w:rPr>
      </w:pPr>
      <w:r>
        <w:rPr>
          <w:rFonts w:hint="eastAsia"/>
          <w:color w:val="auto"/>
        </w:rPr>
        <w:t>资金支付</w:t>
      </w:r>
    </w:p>
    <w:p>
      <w:pPr>
        <w:pStyle w:val="30"/>
        <w:spacing w:line="600" w:lineRule="exact"/>
        <w:ind w:firstLine="565" w:firstLineChars="202"/>
        <w:rPr>
          <w:rFonts w:ascii="宋体" w:hAnsi="宋体"/>
          <w:color w:val="auto"/>
          <w:sz w:val="28"/>
          <w:szCs w:val="28"/>
        </w:rPr>
      </w:pPr>
      <w:r>
        <w:rPr>
          <w:rFonts w:hint="eastAsia" w:ascii="宋体" w:hAnsi="宋体"/>
          <w:color w:val="auto"/>
          <w:sz w:val="28"/>
          <w:szCs w:val="28"/>
        </w:rPr>
        <w:t>采购人按财政部门得有关规定及采购合同的约定进行支付。</w:t>
      </w:r>
    </w:p>
    <w:p>
      <w:pPr>
        <w:pStyle w:val="4"/>
        <w:spacing w:line="600" w:lineRule="exact"/>
        <w:rPr>
          <w:color w:val="auto"/>
        </w:rPr>
      </w:pPr>
      <w:bookmarkStart w:id="48" w:name="_Toc19733"/>
      <w:r>
        <w:rPr>
          <w:rFonts w:hint="eastAsia"/>
          <w:color w:val="auto"/>
        </w:rPr>
        <w:t>竞争性磋商工作纪律及要求</w:t>
      </w:r>
      <w:bookmarkEnd w:id="48"/>
    </w:p>
    <w:p>
      <w:pPr>
        <w:pStyle w:val="5"/>
        <w:spacing w:line="600" w:lineRule="exact"/>
        <w:ind w:left="0" w:firstLine="0"/>
        <w:rPr>
          <w:color w:val="auto"/>
        </w:rPr>
      </w:pPr>
      <w:bookmarkStart w:id="49" w:name="_Toc217446075"/>
      <w:r>
        <w:rPr>
          <w:rFonts w:hint="eastAsia"/>
          <w:color w:val="auto"/>
        </w:rPr>
        <w:t>供应商不得具有的情形</w:t>
      </w:r>
      <w:bookmarkEnd w:id="49"/>
    </w:p>
    <w:p>
      <w:pPr>
        <w:pStyle w:val="17"/>
        <w:spacing w:line="600" w:lineRule="exact"/>
        <w:ind w:firstLine="560"/>
        <w:rPr>
          <w:rFonts w:ascii="宋体" w:hAnsi="宋体" w:eastAsia="宋体"/>
          <w:color w:val="auto"/>
          <w:sz w:val="28"/>
          <w:szCs w:val="28"/>
        </w:rPr>
      </w:pPr>
      <w:r>
        <w:rPr>
          <w:rFonts w:hint="eastAsia" w:ascii="宋体" w:hAnsi="宋体" w:eastAsia="宋体"/>
          <w:color w:val="auto"/>
          <w:sz w:val="28"/>
          <w:szCs w:val="28"/>
        </w:rPr>
        <w:t>供应商参加磋商不得有下列情形：</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有下列情形之一的，视为供应商串通参加本次竞争性磋商采购活动：</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（一）不同供应商的施工响应文件由同一单位或者个人编制；</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（二）不同供应商委托同一单位或者个人办理磋商事宜；</w:t>
      </w:r>
    </w:p>
    <w:p>
      <w:pPr>
        <w:tabs>
          <w:tab w:val="left" w:pos="1134"/>
        </w:tabs>
        <w:spacing w:line="600" w:lineRule="exact"/>
        <w:ind w:firstLine="537" w:firstLineChars="192"/>
        <w:rPr>
          <w:rFonts w:ascii="宋体" w:hAnsi="宋体"/>
          <w:color w:val="auto"/>
          <w:sz w:val="28"/>
          <w:szCs w:val="28"/>
        </w:rPr>
      </w:pPr>
      <w:r>
        <w:rPr>
          <w:rFonts w:hint="eastAsia" w:ascii="宋体" w:hAnsi="宋体"/>
          <w:color w:val="auto"/>
          <w:sz w:val="28"/>
          <w:szCs w:val="28"/>
        </w:rPr>
        <w:t>（三）不同供应商的施工响应文件载明的项目管理成员或者联系人员为同一人；</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（四）不同供应商的施工响应文件异常一致或者最后报价呈规律性差异；</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（五）不同供应商的施工响应文件相互混装；</w:t>
      </w:r>
    </w:p>
    <w:p>
      <w:pPr>
        <w:tabs>
          <w:tab w:val="left" w:pos="1134"/>
        </w:tabs>
        <w:spacing w:line="600" w:lineRule="exact"/>
        <w:ind w:left="538"/>
        <w:rPr>
          <w:rFonts w:ascii="宋体" w:hAnsi="宋体"/>
          <w:color w:val="auto"/>
          <w:sz w:val="28"/>
          <w:szCs w:val="28"/>
        </w:rPr>
      </w:pPr>
      <w:r>
        <w:rPr>
          <w:rFonts w:hint="eastAsia" w:ascii="宋体" w:hAnsi="宋体"/>
          <w:color w:val="auto"/>
          <w:sz w:val="28"/>
          <w:szCs w:val="28"/>
        </w:rPr>
        <w:t>（六）不同供应商的磋商保证金从同一单位或者个人的账户转出；</w:t>
      </w:r>
      <w:r>
        <w:rPr>
          <w:rFonts w:ascii="宋体" w:hAnsi="宋体"/>
          <w:color w:val="auto"/>
          <w:sz w:val="28"/>
          <w:szCs w:val="28"/>
        </w:rPr>
        <w:t xml:space="preserve"> </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提供虚假材料谋取成交；</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采取不正当手段诋毁、排挤其他供应商；</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与采购人或龙泉驿区公资交易中心、其他供应商恶意串通；</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向采购人或龙泉驿区公资交易中心、磋商小组成员行贿或者提供其他不正当利益；</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成交后无正当理由拒不与采购人签订政府采购合同；</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未按照采购文件确定的事项签订政府采购合同；</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将政府采购合同转包或者违规分包；</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提供假冒伪劣产品；</w:t>
      </w:r>
    </w:p>
    <w:p>
      <w:pPr>
        <w:widowControl w:val="0"/>
        <w:numPr>
          <w:ilvl w:val="1"/>
          <w:numId w:val="31"/>
        </w:numPr>
        <w:tabs>
          <w:tab w:val="left" w:pos="1134"/>
        </w:tabs>
        <w:spacing w:line="600" w:lineRule="exact"/>
        <w:ind w:left="0" w:firstLine="567"/>
        <w:jc w:val="both"/>
        <w:rPr>
          <w:rFonts w:ascii="宋体" w:hAnsi="宋体"/>
          <w:color w:val="auto"/>
          <w:sz w:val="28"/>
          <w:szCs w:val="28"/>
        </w:rPr>
      </w:pPr>
      <w:r>
        <w:rPr>
          <w:rFonts w:hint="eastAsia" w:ascii="宋体" w:hAnsi="宋体"/>
          <w:color w:val="auto"/>
          <w:sz w:val="28"/>
          <w:szCs w:val="28"/>
        </w:rPr>
        <w:t>擅自变更、中止或者终止政府采购合同；</w:t>
      </w:r>
    </w:p>
    <w:p>
      <w:pPr>
        <w:widowControl w:val="0"/>
        <w:numPr>
          <w:ilvl w:val="1"/>
          <w:numId w:val="31"/>
        </w:numPr>
        <w:tabs>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31"/>
        </w:numPr>
        <w:tabs>
          <w:tab w:val="left" w:pos="1134"/>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在行贿犯罪信息查询期限内，根据中国裁判文书网（http://wenshu.court.gov.cn）查询结果供应商及其现任法定代表人、主要负责人有行贿犯罪记录；</w:t>
      </w:r>
    </w:p>
    <w:p>
      <w:pPr>
        <w:widowControl w:val="0"/>
        <w:numPr>
          <w:ilvl w:val="1"/>
          <w:numId w:val="31"/>
        </w:numPr>
        <w:tabs>
          <w:tab w:val="left" w:pos="1134"/>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处于被行政部门禁止参与政府采购活动的期限内；</w:t>
      </w:r>
    </w:p>
    <w:p>
      <w:pPr>
        <w:widowControl w:val="0"/>
        <w:numPr>
          <w:ilvl w:val="1"/>
          <w:numId w:val="31"/>
        </w:numPr>
        <w:tabs>
          <w:tab w:val="left" w:pos="1134"/>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拒绝有关部门的监督检查或者向监督检查部门提供虚假情况；</w:t>
      </w:r>
    </w:p>
    <w:p>
      <w:pPr>
        <w:widowControl w:val="0"/>
        <w:numPr>
          <w:ilvl w:val="1"/>
          <w:numId w:val="31"/>
        </w:numPr>
        <w:tabs>
          <w:tab w:val="left" w:pos="1134"/>
          <w:tab w:val="left" w:pos="1418"/>
        </w:tabs>
        <w:spacing w:line="600" w:lineRule="exact"/>
        <w:ind w:left="0" w:firstLine="567"/>
        <w:jc w:val="both"/>
        <w:rPr>
          <w:rFonts w:ascii="宋体" w:hAnsi="宋体"/>
          <w:color w:val="auto"/>
          <w:sz w:val="28"/>
          <w:szCs w:val="28"/>
        </w:rPr>
      </w:pPr>
      <w:r>
        <w:rPr>
          <w:rFonts w:hint="eastAsia" w:ascii="宋体" w:hAnsi="宋体"/>
          <w:color w:val="auto"/>
          <w:sz w:val="28"/>
          <w:szCs w:val="28"/>
        </w:rPr>
        <w:t>法律法规规定的其他情形。</w:t>
      </w:r>
    </w:p>
    <w:p>
      <w:pPr>
        <w:pStyle w:val="17"/>
        <w:spacing w:line="600" w:lineRule="exact"/>
        <w:ind w:firstLine="565" w:firstLineChars="202"/>
        <w:rPr>
          <w:rFonts w:ascii="宋体" w:hAnsi="宋体" w:eastAsia="宋体"/>
          <w:color w:val="auto"/>
          <w:sz w:val="28"/>
          <w:szCs w:val="28"/>
        </w:rPr>
      </w:pPr>
      <w:r>
        <w:rPr>
          <w:rFonts w:hint="eastAsia" w:ascii="宋体" w:hAnsi="宋体" w:eastAsia="宋体"/>
          <w:color w:val="auto"/>
          <w:sz w:val="28"/>
          <w:szCs w:val="28"/>
        </w:rPr>
        <w:t>供应商有上述情形的，按照规定追究法律责任，具备一至十四条情形之一的，同时将认定供应商施工响应文件无效或不确定其为成交供应商，或者取消成交资格或认定成交无效。</w:t>
      </w:r>
    </w:p>
    <w:p>
      <w:pPr>
        <w:pStyle w:val="5"/>
        <w:spacing w:line="600" w:lineRule="exact"/>
        <w:ind w:left="0" w:firstLine="0"/>
        <w:rPr>
          <w:color w:val="auto"/>
        </w:rPr>
      </w:pPr>
      <w:bookmarkStart w:id="50" w:name="_Toc314574786"/>
      <w:r>
        <w:rPr>
          <w:rFonts w:hint="eastAsia"/>
          <w:color w:val="auto"/>
        </w:rPr>
        <w:t>保密</w:t>
      </w:r>
      <w:bookmarkEnd w:id="50"/>
    </w:p>
    <w:p>
      <w:pPr>
        <w:pStyle w:val="17"/>
        <w:numPr>
          <w:ilvl w:val="0"/>
          <w:numId w:val="32"/>
        </w:numPr>
        <w:tabs>
          <w:tab w:val="left" w:pos="1134"/>
        </w:tabs>
        <w:spacing w:line="600" w:lineRule="exact"/>
        <w:ind w:left="0" w:firstLine="560" w:firstLineChars="0"/>
        <w:rPr>
          <w:rFonts w:ascii="宋体" w:hAnsi="宋体" w:eastAsia="宋体"/>
          <w:color w:val="auto"/>
          <w:sz w:val="28"/>
          <w:szCs w:val="28"/>
        </w:rPr>
      </w:pPr>
      <w:r>
        <w:rPr>
          <w:rFonts w:hint="eastAsia" w:ascii="宋体" w:hAnsi="宋体" w:eastAsia="宋体"/>
          <w:color w:val="auto"/>
          <w:sz w:val="28"/>
          <w:szCs w:val="28"/>
        </w:rPr>
        <w:t>不得透露有关潜在供应商的任何情况。</w:t>
      </w:r>
    </w:p>
    <w:p>
      <w:pPr>
        <w:pStyle w:val="17"/>
        <w:numPr>
          <w:ilvl w:val="0"/>
          <w:numId w:val="32"/>
        </w:numPr>
        <w:tabs>
          <w:tab w:val="left" w:pos="1134"/>
        </w:tabs>
        <w:spacing w:line="600" w:lineRule="exact"/>
        <w:ind w:left="0" w:firstLine="560" w:firstLineChars="0"/>
        <w:rPr>
          <w:rFonts w:ascii="宋体" w:hAnsi="宋体" w:eastAsia="宋体"/>
          <w:color w:val="auto"/>
          <w:sz w:val="28"/>
          <w:szCs w:val="28"/>
        </w:rPr>
      </w:pPr>
      <w:r>
        <w:rPr>
          <w:rFonts w:hint="eastAsia" w:ascii="宋体" w:hAnsi="宋体" w:eastAsia="宋体"/>
          <w:color w:val="auto"/>
          <w:sz w:val="28"/>
          <w:szCs w:val="28"/>
        </w:rPr>
        <w:t>有关施工响应文件的审查、澄清、评估和比较以及合同授予意向等情况都不得对外透露。</w:t>
      </w:r>
    </w:p>
    <w:p>
      <w:pPr>
        <w:pStyle w:val="5"/>
        <w:spacing w:line="600" w:lineRule="exact"/>
        <w:ind w:left="0" w:firstLine="0"/>
        <w:rPr>
          <w:color w:val="auto"/>
        </w:rPr>
      </w:pPr>
      <w:r>
        <w:rPr>
          <w:rFonts w:hint="eastAsia"/>
          <w:color w:val="auto"/>
        </w:rPr>
        <w:t>回避</w:t>
      </w:r>
    </w:p>
    <w:p>
      <w:pPr>
        <w:pStyle w:val="44"/>
        <w:shd w:val="clear" w:color="auto" w:fill="FFFFFF"/>
        <w:spacing w:before="156" w:beforeAutospacing="0" w:after="156" w:afterAutospacing="0" w:line="600" w:lineRule="exact"/>
        <w:ind w:firstLine="565" w:firstLineChars="202"/>
        <w:jc w:val="both"/>
        <w:rPr>
          <w:rFonts w:cs="Helvetica"/>
          <w:color w:val="auto"/>
          <w:sz w:val="28"/>
          <w:szCs w:val="28"/>
        </w:rPr>
      </w:pPr>
      <w:r>
        <w:rPr>
          <w:rFonts w:cs="Helvetica"/>
          <w:color w:val="auto"/>
          <w:sz w:val="28"/>
          <w:szCs w:val="28"/>
        </w:rPr>
        <w:t>在政府采购活动中，采购人员</w:t>
      </w:r>
      <w:r>
        <w:rPr>
          <w:rFonts w:hint="eastAsia" w:cs="Helvetica"/>
          <w:color w:val="auto"/>
          <w:sz w:val="28"/>
          <w:szCs w:val="28"/>
        </w:rPr>
        <w:t>（</w:t>
      </w:r>
      <w:r>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rPr>
        <w:t>）</w:t>
      </w:r>
      <w:r>
        <w:rPr>
          <w:rFonts w:cs="Helvetica"/>
          <w:color w:val="auto"/>
          <w:sz w:val="28"/>
          <w:szCs w:val="28"/>
        </w:rPr>
        <w:t>及相关人员与供应商有下列利害关系之一的，应当回避：</w:t>
      </w:r>
    </w:p>
    <w:p>
      <w:pPr>
        <w:pStyle w:val="44"/>
        <w:shd w:val="clear" w:color="auto" w:fill="FFFFFF"/>
        <w:spacing w:before="156" w:beforeAutospacing="0" w:after="156" w:afterAutospacing="0" w:line="600" w:lineRule="exact"/>
        <w:ind w:firstLine="560" w:firstLineChars="200"/>
        <w:rPr>
          <w:rFonts w:cs="Helvetica"/>
          <w:color w:val="auto"/>
          <w:sz w:val="28"/>
          <w:szCs w:val="28"/>
        </w:rPr>
      </w:pPr>
      <w:r>
        <w:rPr>
          <w:rFonts w:cs="Helvetica"/>
          <w:color w:val="auto"/>
          <w:sz w:val="28"/>
          <w:szCs w:val="28"/>
        </w:rPr>
        <w:t>（一）参加采购活动前3年内与供应商存在劳动关系；</w:t>
      </w:r>
    </w:p>
    <w:p>
      <w:pPr>
        <w:pStyle w:val="44"/>
        <w:shd w:val="clear" w:color="auto" w:fill="FFFFFF"/>
        <w:spacing w:before="156" w:beforeAutospacing="0" w:after="156" w:afterAutospacing="0" w:line="600" w:lineRule="exact"/>
        <w:rPr>
          <w:rFonts w:cs="Helvetica"/>
          <w:color w:val="auto"/>
          <w:sz w:val="28"/>
          <w:szCs w:val="28"/>
        </w:rPr>
      </w:pPr>
      <w:r>
        <w:rPr>
          <w:rFonts w:cs="Helvetica"/>
          <w:color w:val="auto"/>
          <w:sz w:val="28"/>
          <w:szCs w:val="28"/>
        </w:rPr>
        <w:t>　　（二）参加采购活动前3年内担任供应商的董事、监事；</w:t>
      </w:r>
    </w:p>
    <w:p>
      <w:pPr>
        <w:pStyle w:val="44"/>
        <w:shd w:val="clear" w:color="auto" w:fill="FFFFFF"/>
        <w:spacing w:before="156" w:beforeAutospacing="0" w:after="156" w:afterAutospacing="0" w:line="600" w:lineRule="exact"/>
        <w:rPr>
          <w:rFonts w:cs="Helvetica"/>
          <w:color w:val="auto"/>
          <w:sz w:val="28"/>
          <w:szCs w:val="28"/>
        </w:rPr>
      </w:pPr>
      <w:r>
        <w:rPr>
          <w:rFonts w:cs="Helvetica"/>
          <w:color w:val="auto"/>
          <w:sz w:val="28"/>
          <w:szCs w:val="28"/>
        </w:rPr>
        <w:t>　　（三）参加采购活动前3年内是供应商的控股股东或者实际控制人；</w:t>
      </w:r>
    </w:p>
    <w:p>
      <w:pPr>
        <w:pStyle w:val="44"/>
        <w:shd w:val="clear" w:color="auto" w:fill="FFFFFF"/>
        <w:spacing w:before="156" w:beforeAutospacing="0" w:after="156" w:afterAutospacing="0" w:line="600" w:lineRule="exact"/>
        <w:rPr>
          <w:rFonts w:cs="Helvetica"/>
          <w:color w:val="auto"/>
          <w:sz w:val="28"/>
          <w:szCs w:val="28"/>
        </w:rPr>
      </w:pPr>
      <w:r>
        <w:rPr>
          <w:rFonts w:cs="Helvetica"/>
          <w:color w:val="auto"/>
          <w:sz w:val="28"/>
          <w:szCs w:val="28"/>
        </w:rPr>
        <w:t>　　（四）与供应商的法定代表人或者负责人有夫妻、直系血亲、三代以内旁系血亲或者近姻亲关系；</w:t>
      </w:r>
    </w:p>
    <w:p>
      <w:pPr>
        <w:pStyle w:val="44"/>
        <w:shd w:val="clear" w:color="auto" w:fill="FFFFFF"/>
        <w:spacing w:before="156" w:beforeAutospacing="0" w:after="156" w:afterAutospacing="0" w:line="600" w:lineRule="exact"/>
        <w:rPr>
          <w:rFonts w:cs="Helvetica"/>
          <w:color w:val="auto"/>
          <w:sz w:val="28"/>
          <w:szCs w:val="28"/>
        </w:rPr>
      </w:pPr>
      <w:r>
        <w:rPr>
          <w:rFonts w:cs="Helvetica"/>
          <w:color w:val="auto"/>
          <w:sz w:val="28"/>
          <w:szCs w:val="28"/>
        </w:rPr>
        <w:t>　　（五）与供应商有其他可能影响政府采购活动公平、公正进行的关系。</w:t>
      </w:r>
    </w:p>
    <w:p>
      <w:pPr>
        <w:spacing w:line="600" w:lineRule="exact"/>
        <w:ind w:firstLine="560" w:firstLineChars="200"/>
        <w:rPr>
          <w:rFonts w:cs="Helvetica"/>
          <w:color w:val="auto"/>
          <w:sz w:val="28"/>
          <w:szCs w:val="28"/>
        </w:rPr>
      </w:pPr>
      <w:r>
        <w:rPr>
          <w:rFonts w:cs="Helvetica"/>
          <w:color w:val="auto"/>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600" w:lineRule="exact"/>
        <w:rPr>
          <w:color w:val="auto"/>
        </w:rPr>
      </w:pPr>
      <w:bookmarkStart w:id="51" w:name="_Toc405886181"/>
      <w:bookmarkStart w:id="52" w:name="_Toc30224"/>
      <w:r>
        <w:rPr>
          <w:rFonts w:hint="eastAsia"/>
          <w:color w:val="auto"/>
        </w:rPr>
        <w:t>询问、质疑</w:t>
      </w:r>
      <w:bookmarkEnd w:id="51"/>
      <w:r>
        <w:rPr>
          <w:rFonts w:hint="eastAsia"/>
          <w:color w:val="auto"/>
        </w:rPr>
        <w:t>和投诉</w:t>
      </w:r>
      <w:bookmarkEnd w:id="52"/>
    </w:p>
    <w:p>
      <w:pPr>
        <w:pStyle w:val="30"/>
        <w:numPr>
          <w:ilvl w:val="0"/>
          <w:numId w:val="33"/>
        </w:numPr>
        <w:tabs>
          <w:tab w:val="left" w:pos="1134"/>
        </w:tabs>
        <w:spacing w:line="600" w:lineRule="exact"/>
        <w:ind w:left="0" w:firstLine="567" w:firstLineChars="0"/>
        <w:rPr>
          <w:rFonts w:ascii="宋体" w:hAnsi="宋体" w:cs="宋体"/>
          <w:color w:val="auto"/>
          <w:sz w:val="28"/>
          <w:szCs w:val="28"/>
        </w:rPr>
      </w:pPr>
      <w:r>
        <w:rPr>
          <w:rFonts w:hint="eastAsia" w:ascii="宋体" w:hAnsi="宋体" w:cs="宋体"/>
          <w:color w:val="auto"/>
          <w:sz w:val="28"/>
          <w:szCs w:val="28"/>
        </w:rPr>
        <w:t>供应商认为磋商文件、磋商过程和成交结果使自己的合法权益受到损害的，可以依法进行质疑。</w:t>
      </w:r>
    </w:p>
    <w:p>
      <w:pPr>
        <w:pStyle w:val="81"/>
        <w:numPr>
          <w:ilvl w:val="0"/>
          <w:numId w:val="33"/>
        </w:numPr>
        <w:tabs>
          <w:tab w:val="left" w:pos="1134"/>
        </w:tabs>
        <w:ind w:left="0" w:firstLine="565" w:firstLineChars="202"/>
        <w:rPr>
          <w:rFonts w:ascii="宋体" w:hAnsi="宋体" w:eastAsia="宋体"/>
          <w:color w:val="auto"/>
          <w:sz w:val="28"/>
          <w:szCs w:val="28"/>
        </w:rPr>
      </w:pPr>
      <w:r>
        <w:rPr>
          <w:rFonts w:hint="eastAsia" w:ascii="宋体" w:hAnsi="宋体" w:eastAsia="宋体"/>
          <w:color w:val="auto"/>
          <w:sz w:val="28"/>
          <w:szCs w:val="28"/>
        </w:rPr>
        <w:t>询问、质疑、投诉的接收和处理严格按照《中华人民共和国政府采购法》《中华人民共和国政府采购法实施条例》和《政府采购质疑和投诉办法》（财政部94号令）的规定办理。</w:t>
      </w:r>
    </w:p>
    <w:p>
      <w:pPr>
        <w:pStyle w:val="30"/>
        <w:numPr>
          <w:ilvl w:val="0"/>
          <w:numId w:val="33"/>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供应商询问、质疑的对象</w:t>
      </w:r>
    </w:p>
    <w:p>
      <w:pPr>
        <w:pStyle w:val="30"/>
        <w:numPr>
          <w:ilvl w:val="1"/>
          <w:numId w:val="34"/>
        </w:numPr>
        <w:tabs>
          <w:tab w:val="left" w:pos="1134"/>
        </w:tabs>
        <w:spacing w:after="120" w:line="600" w:lineRule="exact"/>
        <w:ind w:left="0" w:firstLine="567" w:firstLineChars="0"/>
        <w:rPr>
          <w:rFonts w:ascii="宋体" w:hAnsi="宋体"/>
          <w:color w:val="auto"/>
          <w:sz w:val="28"/>
          <w:szCs w:val="28"/>
        </w:rPr>
      </w:pPr>
      <w:r>
        <w:rPr>
          <w:rFonts w:hint="eastAsia" w:ascii="宋体" w:hAnsi="宋体"/>
          <w:color w:val="auto"/>
          <w:sz w:val="28"/>
          <w:szCs w:val="28"/>
        </w:rPr>
        <w:t>供应商对磋商文件中供应商参加本次政府采购活动应当具备的条件、项目技术、服务、商务及其他要求，评分细则及标准提出询问或质疑的，应向采购人提出；</w:t>
      </w:r>
    </w:p>
    <w:p>
      <w:pPr>
        <w:pStyle w:val="30"/>
        <w:numPr>
          <w:ilvl w:val="1"/>
          <w:numId w:val="34"/>
        </w:numPr>
        <w:tabs>
          <w:tab w:val="left" w:pos="1134"/>
        </w:tabs>
        <w:spacing w:after="120" w:line="600" w:lineRule="exact"/>
        <w:ind w:left="0" w:firstLine="567" w:firstLineChars="0"/>
        <w:rPr>
          <w:rFonts w:ascii="宋体" w:hAnsi="宋体"/>
          <w:color w:val="auto"/>
          <w:sz w:val="28"/>
          <w:szCs w:val="28"/>
        </w:rPr>
      </w:pPr>
      <w:r>
        <w:rPr>
          <w:rFonts w:hint="eastAsia" w:ascii="宋体" w:hAnsi="宋体"/>
          <w:color w:val="auto"/>
          <w:sz w:val="28"/>
          <w:szCs w:val="28"/>
        </w:rPr>
        <w:t>供应商对除上述磋商文件中的其他内容、采购过程及成交结果提出询问、质疑的，应向龙泉驿区公资交易中心提出。</w:t>
      </w:r>
    </w:p>
    <w:p>
      <w:pPr>
        <w:pStyle w:val="30"/>
        <w:numPr>
          <w:ilvl w:val="0"/>
          <w:numId w:val="33"/>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供应商提出的询问，应当明确询问事项，如以书面形式提出的，应由供应商签字并加盖公章。</w:t>
      </w:r>
    </w:p>
    <w:p>
      <w:pPr>
        <w:pStyle w:val="30"/>
        <w:numPr>
          <w:ilvl w:val="0"/>
          <w:numId w:val="33"/>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供应商应在法定质疑期内一次性提出针对同一采购程序环节的质疑。</w:t>
      </w:r>
    </w:p>
    <w:p>
      <w:pPr>
        <w:pStyle w:val="30"/>
        <w:numPr>
          <w:ilvl w:val="0"/>
          <w:numId w:val="33"/>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供应商提出质疑时应当准备的资料</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color w:val="auto"/>
          <w:sz w:val="28"/>
          <w:szCs w:val="28"/>
        </w:rPr>
      </w:pPr>
      <w:r>
        <w:rPr>
          <w:rFonts w:ascii="宋体" w:hAnsi="宋体" w:eastAsia="宋体"/>
          <w:color w:val="auto"/>
          <w:sz w:val="28"/>
          <w:szCs w:val="28"/>
        </w:rPr>
        <w:t>质疑书</w:t>
      </w:r>
      <w:r>
        <w:rPr>
          <w:rFonts w:hint="eastAsia" w:ascii="宋体" w:hAnsi="宋体" w:eastAsia="宋体"/>
          <w:color w:val="auto"/>
          <w:sz w:val="28"/>
          <w:szCs w:val="28"/>
        </w:rPr>
        <w:t>1</w:t>
      </w:r>
      <w:r>
        <w:rPr>
          <w:rFonts w:ascii="宋体" w:hAnsi="宋体" w:eastAsia="宋体"/>
          <w:color w:val="auto"/>
          <w:sz w:val="28"/>
          <w:szCs w:val="28"/>
        </w:rPr>
        <w:t>份</w:t>
      </w:r>
      <w:r>
        <w:rPr>
          <w:rFonts w:hint="eastAsia" w:ascii="宋体" w:hAnsi="宋体" w:eastAsia="宋体"/>
          <w:color w:val="auto"/>
          <w:sz w:val="28"/>
          <w:szCs w:val="28"/>
        </w:rPr>
        <w:t>（加盖公章）；</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委托代理人办理质疑事宜的需提供：法定代表人授权委托书1份（加盖公章）；</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营业执照或法人证书复印件1份；</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法定代表人身份证复印件1份；</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委托代理人身份证复印件1份（委托代理人办理质疑事宜的需提供）；</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针对质疑事项必要的证明材料。</w:t>
      </w:r>
    </w:p>
    <w:p>
      <w:pPr>
        <w:pStyle w:val="30"/>
        <w:numPr>
          <w:ilvl w:val="0"/>
          <w:numId w:val="33"/>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供应商对采购人、集中代理机构的质疑答复不满意，或者采购人、集中代理机构未在规定期限内作出答复的，供应商可以在答复期满后15个工作日内向同级财政部门提起投诉。</w:t>
      </w:r>
    </w:p>
    <w:p>
      <w:pPr>
        <w:pStyle w:val="4"/>
        <w:spacing w:line="600" w:lineRule="exact"/>
        <w:rPr>
          <w:color w:val="auto"/>
        </w:rPr>
      </w:pPr>
      <w:bookmarkStart w:id="53" w:name="_Toc376425021"/>
      <w:bookmarkEnd w:id="53"/>
      <w:bookmarkStart w:id="54" w:name="_Toc3363724"/>
      <w:bookmarkStart w:id="55" w:name="_Toc27050"/>
      <w:r>
        <w:rPr>
          <w:rFonts w:hint="eastAsia"/>
          <w:color w:val="auto"/>
        </w:rPr>
        <w:t>中小企业政府采购信用融资</w:t>
      </w:r>
      <w:bookmarkEnd w:id="54"/>
      <w:bookmarkEnd w:id="55"/>
    </w:p>
    <w:p>
      <w:pPr>
        <w:pStyle w:val="30"/>
        <w:numPr>
          <w:ilvl w:val="0"/>
          <w:numId w:val="36"/>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参加本次采购活动成交的中小企业无需提供财产抵押或第三方担保，凭借政府采购合同可向融资机构申请融资。</w:t>
      </w:r>
    </w:p>
    <w:p>
      <w:pPr>
        <w:pStyle w:val="30"/>
        <w:numPr>
          <w:ilvl w:val="0"/>
          <w:numId w:val="36"/>
        </w:numPr>
        <w:tabs>
          <w:tab w:val="left" w:pos="1134"/>
        </w:tabs>
        <w:spacing w:line="600" w:lineRule="exact"/>
        <w:ind w:left="0" w:firstLine="567" w:firstLineChars="0"/>
        <w:rPr>
          <w:rFonts w:ascii="宋体" w:hAnsi="宋体"/>
          <w:color w:val="auto"/>
          <w:sz w:val="28"/>
          <w:szCs w:val="28"/>
        </w:rPr>
      </w:pPr>
      <w:r>
        <w:rPr>
          <w:rFonts w:hint="eastAsia" w:ascii="宋体" w:hAnsi="宋体"/>
          <w:color w:val="auto"/>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2020〕20号）见附件。</w:t>
      </w:r>
    </w:p>
    <w:p>
      <w:pPr>
        <w:pStyle w:val="4"/>
        <w:spacing w:line="600" w:lineRule="exact"/>
        <w:rPr>
          <w:color w:val="auto"/>
        </w:rPr>
      </w:pPr>
      <w:bookmarkStart w:id="56" w:name="_Toc6759"/>
      <w:r>
        <w:rPr>
          <w:rFonts w:hint="eastAsia"/>
          <w:color w:val="auto"/>
        </w:rPr>
        <w:t>其他</w:t>
      </w:r>
      <w:bookmarkEnd w:id="56"/>
    </w:p>
    <w:p>
      <w:pPr>
        <w:tabs>
          <w:tab w:val="left" w:pos="1134"/>
        </w:tabs>
        <w:spacing w:line="600" w:lineRule="exact"/>
        <w:ind w:firstLine="484" w:firstLineChars="202"/>
        <w:rPr>
          <w:rFonts w:ascii="宋体" w:hAnsi="宋体"/>
          <w:color w:val="auto"/>
          <w:sz w:val="28"/>
          <w:szCs w:val="28"/>
        </w:rPr>
      </w:pPr>
      <w:r>
        <w:rPr>
          <w:rFonts w:hint="eastAsia" w:ascii="仿宋" w:hAnsi="仿宋" w:eastAsia="仿宋"/>
          <w:color w:val="auto"/>
          <w:szCs w:val="21"/>
          <w:lang w:val="zh-CN"/>
        </w:rPr>
        <w:t>（实质性要求）</w:t>
      </w:r>
      <w:r>
        <w:rPr>
          <w:rFonts w:hint="eastAsia" w:ascii="宋体" w:hAnsi="宋体"/>
          <w:color w:val="auto"/>
          <w:sz w:val="28"/>
          <w:szCs w:val="28"/>
        </w:rPr>
        <w:t>国家或行业主管部门对工程项目的技术标准、质量标准等有强制性规定的，必须符合其要求。</w:t>
      </w: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sectPr>
          <w:pgSz w:w="11906" w:h="16838"/>
          <w:pgMar w:top="1134" w:right="1274" w:bottom="1440" w:left="1418" w:header="851" w:footer="992" w:gutter="0"/>
          <w:cols w:space="720" w:num="1"/>
          <w:titlePg/>
          <w:docGrid w:type="lines" w:linePitch="312" w:charSpace="0"/>
        </w:sectPr>
      </w:pPr>
    </w:p>
    <w:p>
      <w:pPr>
        <w:pStyle w:val="3"/>
        <w:numPr>
          <w:ilvl w:val="0"/>
          <w:numId w:val="1"/>
        </w:numPr>
        <w:spacing w:before="0" w:after="0"/>
        <w:ind w:left="0" w:firstLine="0"/>
        <w:rPr>
          <w:color w:val="auto"/>
        </w:rPr>
      </w:pPr>
      <w:bookmarkStart w:id="57" w:name="_Toc8189"/>
      <w:r>
        <w:rPr>
          <w:rFonts w:hint="eastAsia"/>
          <w:color w:val="auto"/>
        </w:rPr>
        <w:t>施工响应文件格式</w:t>
      </w:r>
      <w:bookmarkEnd w:id="57"/>
    </w:p>
    <w:p>
      <w:pPr>
        <w:pStyle w:val="4"/>
        <w:rPr>
          <w:color w:val="auto"/>
        </w:rPr>
      </w:pPr>
      <w:bookmarkStart w:id="58" w:name="_Toc22662"/>
      <w:bookmarkStart w:id="59" w:name="_Toc448403805"/>
      <w:bookmarkStart w:id="60" w:name="_Toc320698765"/>
      <w:r>
        <w:rPr>
          <w:rFonts w:hint="eastAsia"/>
          <w:color w:val="auto"/>
        </w:rPr>
        <w:t>施工响应文件格式</w:t>
      </w:r>
      <w:bookmarkEnd w:id="58"/>
    </w:p>
    <w:p>
      <w:pPr>
        <w:pStyle w:val="5"/>
        <w:tabs>
          <w:tab w:val="left" w:pos="709"/>
        </w:tabs>
        <w:ind w:left="1135" w:hanging="1135"/>
        <w:jc w:val="left"/>
        <w:rPr>
          <w:color w:val="auto"/>
        </w:rPr>
      </w:pPr>
      <w:r>
        <w:rPr>
          <w:rFonts w:hint="eastAsia"/>
          <w:color w:val="auto"/>
        </w:rPr>
        <w:t>施工响应文件封面格式</w:t>
      </w:r>
      <w:bookmarkEnd w:id="59"/>
    </w:p>
    <w:p>
      <w:pPr>
        <w:rPr>
          <w:color w:val="auto"/>
        </w:rPr>
      </w:pPr>
    </w:p>
    <w:p>
      <w:pPr>
        <w:rPr>
          <w:color w:val="auto"/>
        </w:rPr>
      </w:pPr>
    </w:p>
    <w:p>
      <w:pPr>
        <w:rPr>
          <w:color w:val="auto"/>
        </w:rPr>
      </w:pPr>
    </w:p>
    <w:p>
      <w:pPr>
        <w:rPr>
          <w:color w:val="auto"/>
        </w:rPr>
      </w:pPr>
    </w:p>
    <w:p>
      <w:pPr>
        <w:spacing w:line="360" w:lineRule="auto"/>
        <w:jc w:val="center"/>
        <w:rPr>
          <w:rFonts w:ascii="宋体" w:hAnsi="宋体"/>
          <w:color w:val="auto"/>
          <w:spacing w:val="78"/>
          <w:sz w:val="96"/>
          <w:szCs w:val="120"/>
        </w:rPr>
      </w:pPr>
      <w:r>
        <w:rPr>
          <w:rFonts w:hint="eastAsia" w:ascii="宋体" w:hAnsi="宋体"/>
          <w:color w:val="auto"/>
          <w:spacing w:val="78"/>
          <w:sz w:val="96"/>
          <w:szCs w:val="120"/>
        </w:rPr>
        <w:t>施工响应文件</w:t>
      </w:r>
    </w:p>
    <w:p>
      <w:pPr>
        <w:rPr>
          <w:color w:val="auto"/>
        </w:rPr>
      </w:pPr>
    </w:p>
    <w:p>
      <w:pPr>
        <w:rPr>
          <w:color w:val="auto"/>
        </w:rPr>
      </w:pPr>
    </w:p>
    <w:p>
      <w:pPr>
        <w:rPr>
          <w:color w:val="auto"/>
        </w:rPr>
      </w:pPr>
    </w:p>
    <w:p>
      <w:pPr>
        <w:spacing w:line="360" w:lineRule="auto"/>
        <w:jc w:val="center"/>
        <w:rPr>
          <w:rFonts w:ascii="宋体" w:hAnsi="宋体"/>
          <w:bCs/>
          <w:color w:val="auto"/>
          <w:sz w:val="36"/>
        </w:rPr>
      </w:pPr>
    </w:p>
    <w:p>
      <w:pPr>
        <w:spacing w:line="360" w:lineRule="auto"/>
        <w:jc w:val="center"/>
        <w:rPr>
          <w:rFonts w:ascii="宋体" w:hAnsi="宋体"/>
          <w:bCs/>
          <w:color w:val="auto"/>
          <w:sz w:val="36"/>
        </w:rPr>
      </w:pPr>
    </w:p>
    <w:p>
      <w:pPr>
        <w:spacing w:line="360" w:lineRule="auto"/>
        <w:jc w:val="center"/>
        <w:rPr>
          <w:rFonts w:ascii="宋体" w:hAnsi="宋体"/>
          <w:bCs/>
          <w:color w:val="auto"/>
          <w:sz w:val="36"/>
        </w:rPr>
      </w:pPr>
    </w:p>
    <w:p>
      <w:pPr>
        <w:spacing w:line="360" w:lineRule="auto"/>
        <w:ind w:left="1751" w:hanging="1751" w:hangingChars="545"/>
        <w:rPr>
          <w:rFonts w:hint="eastAsia" w:ascii="宋体" w:hAnsi="宋体" w:eastAsia="宋体"/>
          <w:b/>
          <w:bCs/>
          <w:color w:val="auto"/>
          <w:sz w:val="32"/>
          <w:szCs w:val="32"/>
          <w:lang w:eastAsia="zh-CN"/>
        </w:rPr>
      </w:pPr>
      <w:r>
        <w:rPr>
          <w:rFonts w:hint="eastAsia" w:ascii="宋体" w:hAnsi="宋体"/>
          <w:b/>
          <w:bCs/>
          <w:color w:val="auto"/>
          <w:sz w:val="32"/>
          <w:szCs w:val="32"/>
        </w:rPr>
        <w:t>项目名称：</w:t>
      </w:r>
      <w:r>
        <w:rPr>
          <w:rFonts w:hint="eastAsia" w:ascii="宋体" w:hAnsi="宋体"/>
          <w:b/>
          <w:bCs/>
          <w:color w:val="auto"/>
          <w:sz w:val="32"/>
          <w:szCs w:val="32"/>
          <w:lang w:eastAsia="zh-CN"/>
        </w:rPr>
        <w:t>成都市龙泉驿区市政设施管理服务中心2021年城市人行道维修提升整治采购项目</w:t>
      </w:r>
    </w:p>
    <w:p>
      <w:pPr>
        <w:spacing w:line="360" w:lineRule="auto"/>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rPr>
        <w:t>项目编号：</w:t>
      </w:r>
      <w:r>
        <w:rPr>
          <w:rFonts w:hint="eastAsia" w:ascii="宋体" w:hAnsi="宋体" w:eastAsia="宋体" w:cs="Times New Roman"/>
          <w:b/>
          <w:bCs/>
          <w:color w:val="auto"/>
          <w:sz w:val="32"/>
          <w:szCs w:val="32"/>
          <w:lang w:eastAsia="zh-CN"/>
        </w:rPr>
        <w:t>龙泉驿政采（2021）A0061号</w:t>
      </w:r>
    </w:p>
    <w:p>
      <w:pPr>
        <w:spacing w:line="360" w:lineRule="auto"/>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eastAsia="zh-CN"/>
        </w:rPr>
        <w:t>包</w:t>
      </w:r>
      <w:r>
        <w:rPr>
          <w:rFonts w:hint="eastAsia" w:ascii="宋体" w:hAnsi="宋体" w:eastAsia="宋体" w:cs="Times New Roman"/>
          <w:b/>
          <w:bCs/>
          <w:color w:val="auto"/>
          <w:sz w:val="32"/>
          <w:szCs w:val="32"/>
          <w:lang w:val="en-US" w:eastAsia="zh-CN"/>
        </w:rPr>
        <w:t xml:space="preserve"> </w:t>
      </w:r>
      <w:r>
        <w:rPr>
          <w:rFonts w:hint="eastAsia" w:ascii="宋体" w:hAnsi="宋体" w:eastAsia="宋体" w:cs="Times New Roman"/>
          <w:b/>
          <w:bCs/>
          <w:color w:val="auto"/>
          <w:sz w:val="32"/>
          <w:szCs w:val="32"/>
          <w:lang w:eastAsia="zh-CN"/>
        </w:rPr>
        <w:t>件</w:t>
      </w:r>
      <w:r>
        <w:rPr>
          <w:rFonts w:hint="eastAsia" w:ascii="宋体" w:hAnsi="宋体" w:eastAsia="宋体" w:cs="Times New Roman"/>
          <w:b/>
          <w:bCs/>
          <w:color w:val="auto"/>
          <w:sz w:val="32"/>
          <w:szCs w:val="32"/>
          <w:lang w:val="en-US" w:eastAsia="zh-CN"/>
        </w:rPr>
        <w:t xml:space="preserve"> </w:t>
      </w:r>
      <w:r>
        <w:rPr>
          <w:rFonts w:hint="eastAsia" w:ascii="宋体" w:hAnsi="宋体" w:eastAsia="宋体" w:cs="Times New Roman"/>
          <w:b/>
          <w:bCs/>
          <w:color w:val="auto"/>
          <w:sz w:val="32"/>
          <w:szCs w:val="32"/>
          <w:lang w:eastAsia="zh-CN"/>
        </w:rPr>
        <w:t>号：</w:t>
      </w:r>
      <w:r>
        <w:rPr>
          <w:rFonts w:hint="eastAsia" w:ascii="宋体" w:hAnsi="宋体" w:eastAsia="宋体" w:cs="Times New Roman"/>
          <w:b/>
          <w:bCs/>
          <w:color w:val="auto"/>
          <w:sz w:val="32"/>
          <w:szCs w:val="32"/>
          <w:lang w:val="en-US" w:eastAsia="zh-CN"/>
        </w:rPr>
        <w:t>X</w:t>
      </w:r>
    </w:p>
    <w:p>
      <w:pPr>
        <w:spacing w:line="360" w:lineRule="auto"/>
        <w:rPr>
          <w:rFonts w:hint="eastAsia" w:ascii="宋体" w:hAnsi="宋体" w:eastAsia="宋体" w:cs="Times New Roman"/>
          <w:b/>
          <w:bCs/>
          <w:color w:val="auto"/>
          <w:sz w:val="32"/>
          <w:szCs w:val="32"/>
        </w:rPr>
      </w:pPr>
    </w:p>
    <w:p>
      <w:pPr>
        <w:spacing w:line="360" w:lineRule="auto"/>
        <w:rPr>
          <w:rFonts w:ascii="宋体" w:hAnsi="宋体"/>
          <w:b/>
          <w:bCs/>
          <w:color w:val="auto"/>
          <w:sz w:val="32"/>
          <w:szCs w:val="32"/>
        </w:rPr>
      </w:pPr>
    </w:p>
    <w:p>
      <w:pPr>
        <w:spacing w:line="360" w:lineRule="auto"/>
        <w:rPr>
          <w:rFonts w:ascii="宋体" w:hAnsi="宋体"/>
          <w:b/>
          <w:bCs/>
          <w:color w:val="auto"/>
          <w:sz w:val="32"/>
          <w:szCs w:val="32"/>
        </w:rPr>
      </w:pPr>
    </w:p>
    <w:p>
      <w:pPr>
        <w:spacing w:line="360" w:lineRule="auto"/>
        <w:ind w:firstLine="630" w:firstLineChars="196"/>
        <w:rPr>
          <w:rFonts w:ascii="宋体" w:hAnsi="宋体"/>
          <w:b/>
          <w:bCs/>
          <w:color w:val="auto"/>
          <w:sz w:val="32"/>
          <w:szCs w:val="32"/>
        </w:rPr>
      </w:pPr>
      <w:r>
        <w:rPr>
          <w:rFonts w:hint="eastAsia" w:ascii="宋体" w:hAnsi="宋体"/>
          <w:b/>
          <w:bCs/>
          <w:color w:val="auto"/>
          <w:sz w:val="32"/>
          <w:szCs w:val="32"/>
        </w:rPr>
        <w:t>供应商名称：XXXX</w:t>
      </w:r>
    </w:p>
    <w:p>
      <w:pPr>
        <w:spacing w:line="360" w:lineRule="auto"/>
        <w:ind w:firstLine="565" w:firstLineChars="176"/>
        <w:rPr>
          <w:rFonts w:ascii="宋体" w:hAnsi="宋体"/>
          <w:b/>
          <w:bCs/>
          <w:color w:val="auto"/>
          <w:sz w:val="32"/>
          <w:szCs w:val="32"/>
        </w:rPr>
      </w:pPr>
      <w:r>
        <w:rPr>
          <w:rFonts w:hint="eastAsia" w:ascii="宋体" w:hAnsi="宋体"/>
          <w:b/>
          <w:bCs/>
          <w:color w:val="auto"/>
          <w:sz w:val="32"/>
          <w:szCs w:val="32"/>
        </w:rPr>
        <w:t>日      期：202X年XX月XX日</w:t>
      </w:r>
    </w:p>
    <w:p>
      <w:pPr>
        <w:rPr>
          <w:color w:val="auto"/>
        </w:rPr>
      </w:pPr>
    </w:p>
    <w:p>
      <w:pPr>
        <w:rPr>
          <w:color w:val="auto"/>
        </w:rPr>
      </w:pPr>
    </w:p>
    <w:p>
      <w:pPr>
        <w:rPr>
          <w:color w:val="auto"/>
        </w:rPr>
      </w:pPr>
    </w:p>
    <w:p>
      <w:pPr>
        <w:rPr>
          <w:color w:val="auto"/>
        </w:rPr>
      </w:pPr>
    </w:p>
    <w:p>
      <w:pPr>
        <w:rPr>
          <w:color w:val="auto"/>
        </w:rPr>
      </w:pPr>
    </w:p>
    <w:p>
      <w:pPr>
        <w:pStyle w:val="5"/>
        <w:tabs>
          <w:tab w:val="left" w:pos="709"/>
        </w:tabs>
        <w:ind w:left="1135" w:hanging="1135"/>
        <w:jc w:val="left"/>
        <w:rPr>
          <w:color w:val="auto"/>
        </w:rPr>
      </w:pPr>
      <w:r>
        <w:rPr>
          <w:rFonts w:hint="eastAsia"/>
          <w:color w:val="auto"/>
        </w:rPr>
        <w:t>商务技术响应文件</w:t>
      </w:r>
    </w:p>
    <w:p>
      <w:pPr>
        <w:pStyle w:val="5"/>
        <w:numPr>
          <w:ilvl w:val="3"/>
          <w:numId w:val="1"/>
        </w:numPr>
        <w:tabs>
          <w:tab w:val="left" w:pos="709"/>
        </w:tabs>
        <w:jc w:val="left"/>
        <w:rPr>
          <w:color w:val="auto"/>
        </w:rPr>
      </w:pPr>
      <w:r>
        <w:rPr>
          <w:rFonts w:hint="eastAsia"/>
          <w:color w:val="auto"/>
        </w:rPr>
        <w:t>报价函</w:t>
      </w:r>
    </w:p>
    <w:p>
      <w:pPr>
        <w:snapToGrid w:val="0"/>
        <w:spacing w:line="360" w:lineRule="auto"/>
        <w:rPr>
          <w:rFonts w:hint="eastAsia" w:ascii="宋体" w:hAnsi="宋体" w:eastAsia="宋体"/>
          <w:b/>
          <w:color w:val="auto"/>
          <w:sz w:val="28"/>
          <w:szCs w:val="28"/>
          <w:u w:val="single"/>
          <w:lang w:eastAsia="zh-CN"/>
        </w:rPr>
      </w:pPr>
      <w:r>
        <w:rPr>
          <w:rFonts w:hint="eastAsia" w:ascii="宋体" w:hAnsi="宋体"/>
          <w:b/>
          <w:color w:val="auto"/>
          <w:sz w:val="28"/>
          <w:szCs w:val="28"/>
        </w:rPr>
        <w:t>项</w:t>
      </w:r>
      <w:r>
        <w:rPr>
          <w:rFonts w:hint="eastAsia" w:ascii="宋体" w:hAnsi="宋体"/>
          <w:b/>
          <w:color w:val="auto"/>
          <w:spacing w:val="-20"/>
          <w:sz w:val="28"/>
          <w:szCs w:val="28"/>
        </w:rPr>
        <w:t>目名称：</w:t>
      </w:r>
      <w:r>
        <w:rPr>
          <w:rFonts w:hint="eastAsia" w:ascii="宋体" w:hAnsi="宋体"/>
          <w:b/>
          <w:color w:val="auto"/>
          <w:sz w:val="28"/>
          <w:szCs w:val="28"/>
          <w:u w:val="single"/>
          <w:lang w:eastAsia="zh-CN"/>
        </w:rPr>
        <w:t>成都市龙泉驿区市政设施管理服务中心2021年城市人行道维修提升整治采购项目</w:t>
      </w:r>
    </w:p>
    <w:p>
      <w:pPr>
        <w:snapToGrid w:val="0"/>
        <w:spacing w:line="360" w:lineRule="auto"/>
        <w:rPr>
          <w:rFonts w:hint="eastAsia" w:ascii="宋体" w:hAnsi="宋体" w:eastAsia="宋体"/>
          <w:b/>
          <w:color w:val="auto"/>
          <w:sz w:val="28"/>
          <w:szCs w:val="28"/>
          <w:u w:val="single"/>
          <w:lang w:eastAsia="zh-CN"/>
        </w:rPr>
      </w:pPr>
      <w:r>
        <w:rPr>
          <w:rFonts w:hint="eastAsia" w:ascii="宋体" w:hAnsi="宋体"/>
          <w:b/>
          <w:color w:val="auto"/>
          <w:sz w:val="28"/>
          <w:szCs w:val="28"/>
        </w:rPr>
        <w:t>项目编号：</w:t>
      </w:r>
      <w:r>
        <w:rPr>
          <w:rFonts w:hint="eastAsia" w:ascii="宋体" w:hAnsi="宋体"/>
          <w:b/>
          <w:color w:val="auto"/>
          <w:sz w:val="28"/>
          <w:szCs w:val="28"/>
          <w:u w:val="single"/>
          <w:lang w:eastAsia="zh-CN"/>
        </w:rPr>
        <w:t>龙泉驿政采（2021）A0061号</w:t>
      </w:r>
    </w:p>
    <w:p>
      <w:pPr>
        <w:spacing w:line="588" w:lineRule="exact"/>
        <w:rPr>
          <w:rFonts w:ascii="宋体" w:hAnsi="宋体"/>
          <w:color w:val="auto"/>
          <w:spacing w:val="6"/>
          <w:sz w:val="28"/>
          <w:szCs w:val="28"/>
        </w:rPr>
      </w:pPr>
      <w:r>
        <w:rPr>
          <w:rFonts w:hint="eastAsia" w:ascii="宋体" w:hAnsi="宋体"/>
          <w:color w:val="auto"/>
          <w:spacing w:val="6"/>
          <w:sz w:val="28"/>
          <w:szCs w:val="28"/>
        </w:rPr>
        <w:t>成都市公共资源交易服务中心</w:t>
      </w:r>
      <w:r>
        <w:rPr>
          <w:rFonts w:ascii="宋体" w:hAnsi="宋体"/>
          <w:color w:val="auto"/>
          <w:spacing w:val="6"/>
          <w:sz w:val="28"/>
          <w:szCs w:val="28"/>
        </w:rPr>
        <w:t xml:space="preserve">: </w:t>
      </w:r>
    </w:p>
    <w:p>
      <w:pPr>
        <w:spacing w:line="588" w:lineRule="exact"/>
        <w:ind w:firstLine="560" w:firstLineChars="200"/>
        <w:rPr>
          <w:rFonts w:ascii="宋体" w:hAnsi="宋体"/>
          <w:color w:val="auto"/>
          <w:spacing w:val="6"/>
          <w:sz w:val="28"/>
          <w:szCs w:val="28"/>
        </w:rPr>
      </w:pPr>
      <w:r>
        <w:rPr>
          <w:rFonts w:hint="eastAsia" w:ascii="宋体" w:hAnsi="宋体"/>
          <w:bCs/>
          <w:color w:val="auto"/>
          <w:sz w:val="28"/>
          <w:szCs w:val="28"/>
        </w:rPr>
        <w:t>我方全面研究了</w:t>
      </w:r>
      <w:r>
        <w:rPr>
          <w:rFonts w:hint="eastAsia" w:ascii="宋体" w:hAnsi="宋体"/>
          <w:bCs/>
          <w:color w:val="auto"/>
          <w:sz w:val="28"/>
          <w:szCs w:val="28"/>
          <w:u w:val="single"/>
        </w:rPr>
        <w:t>“</w:t>
      </w:r>
      <w:r>
        <w:rPr>
          <w:rFonts w:hint="eastAsia" w:ascii="宋体" w:hAnsi="宋体"/>
          <w:b/>
          <w:color w:val="auto"/>
          <w:sz w:val="28"/>
          <w:szCs w:val="28"/>
          <w:u w:val="single"/>
          <w:lang w:eastAsia="zh-CN"/>
        </w:rPr>
        <w:t>成都市龙泉驿区市政设施管理服务中心2021年城市人行道维修提升整治采购项目</w:t>
      </w:r>
      <w:r>
        <w:rPr>
          <w:rFonts w:hint="eastAsia" w:ascii="宋体" w:hAnsi="宋体"/>
          <w:b/>
          <w:bCs/>
          <w:color w:val="auto"/>
          <w:sz w:val="28"/>
          <w:szCs w:val="28"/>
          <w:u w:val="single"/>
        </w:rPr>
        <w:t>”（项目编号：</w:t>
      </w:r>
      <w:r>
        <w:rPr>
          <w:rFonts w:hint="eastAsia" w:ascii="宋体" w:hAnsi="宋体"/>
          <w:b/>
          <w:color w:val="auto"/>
          <w:sz w:val="28"/>
          <w:szCs w:val="28"/>
          <w:u w:val="single"/>
          <w:lang w:eastAsia="zh-CN"/>
        </w:rPr>
        <w:t>龙泉驿政采（2021）A0061号</w:t>
      </w:r>
      <w:r>
        <w:rPr>
          <w:rFonts w:hint="eastAsia" w:ascii="宋体" w:hAnsi="宋体"/>
          <w:b/>
          <w:bCs/>
          <w:color w:val="auto"/>
          <w:sz w:val="28"/>
          <w:szCs w:val="28"/>
          <w:u w:val="single"/>
        </w:rPr>
        <w:t>）</w:t>
      </w:r>
      <w:r>
        <w:rPr>
          <w:rFonts w:hint="eastAsia" w:ascii="宋体" w:hAnsi="宋体"/>
          <w:bCs/>
          <w:color w:val="auto"/>
          <w:sz w:val="28"/>
          <w:szCs w:val="28"/>
        </w:rPr>
        <w:t>的磋商文件，决定参加贵单位组织的本项目的磋商。我方授权</w:t>
      </w:r>
      <w:r>
        <w:rPr>
          <w:rFonts w:ascii="宋体" w:hAnsi="宋体"/>
          <w:bCs/>
          <w:color w:val="auto"/>
          <w:sz w:val="28"/>
          <w:szCs w:val="28"/>
          <w:u w:val="single"/>
        </w:rPr>
        <w:t>XXX（姓名、职务）</w:t>
      </w:r>
      <w:r>
        <w:rPr>
          <w:rFonts w:hint="eastAsia" w:ascii="宋体" w:hAnsi="宋体"/>
          <w:bCs/>
          <w:color w:val="auto"/>
          <w:sz w:val="28"/>
          <w:szCs w:val="28"/>
        </w:rPr>
        <w:t>代表我方</w:t>
      </w:r>
      <w:r>
        <w:rPr>
          <w:rFonts w:ascii="宋体" w:hAnsi="宋体"/>
          <w:bCs/>
          <w:color w:val="auto"/>
          <w:sz w:val="28"/>
          <w:szCs w:val="28"/>
          <w:u w:val="single"/>
        </w:rPr>
        <w:t>XXXXXXX（</w:t>
      </w:r>
      <w:r>
        <w:rPr>
          <w:rFonts w:hint="eastAsia" w:ascii="宋体" w:hAnsi="宋体"/>
          <w:bCs/>
          <w:color w:val="auto"/>
          <w:sz w:val="28"/>
          <w:szCs w:val="28"/>
          <w:u w:val="single"/>
        </w:rPr>
        <w:t>供应商名称）</w:t>
      </w:r>
      <w:r>
        <w:rPr>
          <w:rFonts w:hint="eastAsia" w:ascii="宋体" w:hAnsi="宋体"/>
          <w:bCs/>
          <w:color w:val="auto"/>
          <w:sz w:val="28"/>
          <w:szCs w:val="28"/>
        </w:rPr>
        <w:t>全权处理本项目</w:t>
      </w:r>
      <w:r>
        <w:rPr>
          <w:rFonts w:hint="eastAsia" w:ascii="宋体" w:hAnsi="宋体"/>
          <w:color w:val="auto"/>
          <w:spacing w:val="6"/>
          <w:sz w:val="28"/>
          <w:szCs w:val="28"/>
        </w:rPr>
        <w:t>磋商</w:t>
      </w:r>
      <w:r>
        <w:rPr>
          <w:rFonts w:hint="eastAsia" w:ascii="宋体" w:hAnsi="宋体"/>
          <w:bCs/>
          <w:color w:val="auto"/>
          <w:sz w:val="28"/>
          <w:szCs w:val="28"/>
        </w:rPr>
        <w:t>的有关事宜。</w:t>
      </w:r>
    </w:p>
    <w:p>
      <w:pPr>
        <w:pStyle w:val="81"/>
        <w:numPr>
          <w:ilvl w:val="3"/>
          <w:numId w:val="37"/>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我方已知晓全部磋商文件的内容，包括修改文件（如有）以及全部相关资料和有关附件，并对上述文件均无异议，愿意以</w:t>
      </w:r>
      <w:r>
        <w:rPr>
          <w:rFonts w:hint="eastAsia" w:ascii="宋体" w:hAnsi="宋体" w:eastAsia="宋体"/>
          <w:b/>
          <w:color w:val="auto"/>
          <w:sz w:val="28"/>
          <w:szCs w:val="28"/>
        </w:rPr>
        <w:t>人民币（大写）</w:t>
      </w:r>
      <w:r>
        <w:rPr>
          <w:rFonts w:hint="eastAsia" w:ascii="宋体" w:hAnsi="宋体" w:eastAsia="宋体"/>
          <w:b/>
          <w:color w:val="auto"/>
          <w:sz w:val="28"/>
          <w:szCs w:val="28"/>
          <w:u w:val="single"/>
        </w:rPr>
        <w:t>　</w:t>
      </w:r>
      <w:r>
        <w:rPr>
          <w:rFonts w:ascii="宋体" w:hAnsi="宋体" w:eastAsia="宋体"/>
          <w:b/>
          <w:color w:val="auto"/>
          <w:sz w:val="28"/>
          <w:szCs w:val="28"/>
          <w:u w:val="single"/>
        </w:rPr>
        <w:t>XX</w:t>
      </w:r>
      <w:r>
        <w:rPr>
          <w:rFonts w:hint="eastAsia" w:ascii="宋体" w:hAnsi="宋体" w:eastAsia="宋体"/>
          <w:b/>
          <w:color w:val="auto"/>
          <w:sz w:val="28"/>
          <w:szCs w:val="28"/>
          <w:u w:val="single"/>
        </w:rPr>
        <w:t>　</w:t>
      </w:r>
      <w:r>
        <w:rPr>
          <w:rFonts w:hint="eastAsia" w:ascii="宋体" w:hAnsi="宋体" w:eastAsia="宋体"/>
          <w:b/>
          <w:color w:val="auto"/>
          <w:sz w:val="28"/>
          <w:szCs w:val="28"/>
        </w:rPr>
        <w:t>（￥）的总报价</w:t>
      </w:r>
      <w:r>
        <w:rPr>
          <w:rFonts w:hint="eastAsia" w:ascii="宋体" w:hAnsi="宋体" w:eastAsia="宋体"/>
          <w:color w:val="auto"/>
          <w:sz w:val="28"/>
          <w:szCs w:val="28"/>
        </w:rPr>
        <w:t>，</w:t>
      </w:r>
      <w:r>
        <w:rPr>
          <w:rFonts w:hint="eastAsia" w:ascii="宋体" w:hAnsi="宋体"/>
          <w:b/>
          <w:color w:val="auto"/>
          <w:sz w:val="28"/>
          <w:szCs w:val="28"/>
        </w:rPr>
        <w:t>工期XXX天。</w:t>
      </w:r>
      <w:r>
        <w:rPr>
          <w:rFonts w:hint="eastAsia" w:ascii="宋体" w:hAnsi="宋体" w:eastAsia="宋体"/>
          <w:color w:val="auto"/>
          <w:sz w:val="28"/>
          <w:szCs w:val="28"/>
        </w:rPr>
        <w:t>按合同约定实施和完成承包工程，修补工程中的任何缺陷，工程质量达到规定要求标准。</w:t>
      </w:r>
    </w:p>
    <w:p>
      <w:pPr>
        <w:pStyle w:val="81"/>
        <w:numPr>
          <w:ilvl w:val="3"/>
          <w:numId w:val="37"/>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施工响应文件有效期为从递交施工响应文件截止之日起</w:t>
      </w:r>
      <w:r>
        <w:rPr>
          <w:rFonts w:ascii="宋体" w:hAnsi="宋体" w:eastAsia="宋体"/>
          <w:color w:val="auto"/>
          <w:sz w:val="28"/>
          <w:szCs w:val="28"/>
        </w:rPr>
        <w:t>120天。</w:t>
      </w:r>
      <w:r>
        <w:rPr>
          <w:rFonts w:hint="eastAsia" w:ascii="宋体" w:hAnsi="宋体" w:eastAsia="宋体"/>
          <w:color w:val="auto"/>
          <w:sz w:val="28"/>
          <w:szCs w:val="28"/>
        </w:rPr>
        <w:t>我方承诺在施工响应文件有效期天内不修改、撤销施工响应文件。</w:t>
      </w:r>
    </w:p>
    <w:p>
      <w:pPr>
        <w:pStyle w:val="81"/>
        <w:numPr>
          <w:ilvl w:val="3"/>
          <w:numId w:val="37"/>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我方愿意提供贵中心可能另外要求的，与本项目有关的文件资料，并保证我方已提供和将要提供的文件资料是真实、准确的，并对此承担一切法律后果。</w:t>
      </w:r>
    </w:p>
    <w:p>
      <w:pPr>
        <w:pStyle w:val="81"/>
        <w:numPr>
          <w:ilvl w:val="3"/>
          <w:numId w:val="37"/>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如我方成交：</w:t>
      </w:r>
    </w:p>
    <w:p>
      <w:pPr>
        <w:pStyle w:val="81"/>
        <w:numPr>
          <w:ilvl w:val="0"/>
          <w:numId w:val="38"/>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我方承诺在收到成交通知书后，在规定的期限内与采购人签订合同。</w:t>
      </w:r>
    </w:p>
    <w:p>
      <w:pPr>
        <w:pStyle w:val="81"/>
        <w:numPr>
          <w:ilvl w:val="0"/>
          <w:numId w:val="38"/>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我方承诺按照磋商文件规定的金额和方式向采购人缴纳履约保证金。</w:t>
      </w:r>
    </w:p>
    <w:p>
      <w:pPr>
        <w:pStyle w:val="81"/>
        <w:numPr>
          <w:ilvl w:val="0"/>
          <w:numId w:val="38"/>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我方将严格履行政府采购合同规定的责任和义务。</w:t>
      </w:r>
    </w:p>
    <w:p>
      <w:pPr>
        <w:pStyle w:val="81"/>
        <w:numPr>
          <w:ilvl w:val="0"/>
          <w:numId w:val="38"/>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我方愿意提供贵单位可能另外要求的，与</w:t>
      </w:r>
      <w:r>
        <w:rPr>
          <w:rFonts w:hint="eastAsia" w:ascii="宋体" w:hAnsi="宋体" w:eastAsia="宋体"/>
          <w:color w:val="auto"/>
          <w:sz w:val="28"/>
          <w:szCs w:val="28"/>
        </w:rPr>
        <w:t>磋商</w:t>
      </w:r>
      <w:r>
        <w:rPr>
          <w:rFonts w:hint="eastAsia" w:ascii="宋体" w:hAnsi="宋体" w:eastAsia="宋体"/>
          <w:color w:val="auto"/>
          <w:spacing w:val="6"/>
          <w:sz w:val="28"/>
          <w:szCs w:val="28"/>
        </w:rPr>
        <w:t>报价有关的文件资料，并保证我方已提供和将要提供的文件资料是真实、准确的。</w:t>
      </w:r>
    </w:p>
    <w:p>
      <w:pPr>
        <w:pStyle w:val="81"/>
        <w:numPr>
          <w:ilvl w:val="0"/>
          <w:numId w:val="38"/>
        </w:numPr>
        <w:spacing w:line="588" w:lineRule="exact"/>
        <w:ind w:left="0" w:firstLine="584" w:firstLineChars="0"/>
        <w:rPr>
          <w:rFonts w:ascii="宋体" w:hAnsi="宋体" w:eastAsia="宋体"/>
          <w:color w:val="auto"/>
          <w:spacing w:val="6"/>
          <w:sz w:val="28"/>
          <w:szCs w:val="28"/>
        </w:rPr>
      </w:pPr>
      <w:r>
        <w:rPr>
          <w:rFonts w:hint="eastAsia" w:ascii="宋体" w:hAnsi="宋体" w:eastAsia="宋体"/>
          <w:color w:val="auto"/>
          <w:spacing w:val="6"/>
          <w:sz w:val="28"/>
          <w:szCs w:val="28"/>
        </w:rPr>
        <w:t>我方自愿按照</w:t>
      </w:r>
      <w:r>
        <w:rPr>
          <w:rFonts w:hint="eastAsia" w:ascii="宋体" w:hAnsi="宋体" w:eastAsia="宋体"/>
          <w:color w:val="auto"/>
          <w:sz w:val="28"/>
          <w:szCs w:val="28"/>
        </w:rPr>
        <w:t>磋商</w:t>
      </w:r>
      <w:r>
        <w:rPr>
          <w:rFonts w:hint="eastAsia" w:ascii="宋体" w:hAnsi="宋体" w:eastAsia="宋体"/>
          <w:color w:val="auto"/>
          <w:spacing w:val="6"/>
          <w:sz w:val="28"/>
          <w:szCs w:val="28"/>
        </w:rPr>
        <w:t>文件规定的各项要求完成工程建设项目，最后报价以在政府采购云平台提交为准，接受采购人按照政府采购合同约定金额支付采购资金。</w:t>
      </w:r>
    </w:p>
    <w:p>
      <w:pPr>
        <w:pStyle w:val="81"/>
        <w:numPr>
          <w:ilvl w:val="3"/>
          <w:numId w:val="37"/>
        </w:numPr>
        <w:tabs>
          <w:tab w:val="left" w:pos="1134"/>
        </w:tabs>
        <w:spacing w:line="588"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我单位联系方式：</w:t>
      </w:r>
    </w:p>
    <w:p>
      <w:pPr>
        <w:pStyle w:val="30"/>
        <w:snapToGrid w:val="0"/>
        <w:spacing w:line="620" w:lineRule="exact"/>
        <w:ind w:firstLine="145" w:firstLineChars="52"/>
        <w:rPr>
          <w:rFonts w:ascii="宋体" w:hAnsi="宋体"/>
          <w:color w:val="auto"/>
          <w:sz w:val="28"/>
          <w:szCs w:val="28"/>
          <w:u w:val="single"/>
        </w:rPr>
      </w:pPr>
      <w:r>
        <w:rPr>
          <w:rFonts w:hint="eastAsia" w:ascii="宋体" w:hAnsi="宋体"/>
          <w:color w:val="auto"/>
          <w:sz w:val="28"/>
          <w:szCs w:val="28"/>
        </w:rPr>
        <w:t>地址：</w:t>
      </w:r>
      <w:r>
        <w:rPr>
          <w:rFonts w:ascii="宋体" w:hAnsi="宋体"/>
          <w:color w:val="auto"/>
          <w:sz w:val="28"/>
          <w:szCs w:val="28"/>
          <w:u w:val="single"/>
        </w:rPr>
        <w:t>XXXX</w:t>
      </w:r>
    </w:p>
    <w:p>
      <w:pPr>
        <w:pStyle w:val="30"/>
        <w:snapToGrid w:val="0"/>
        <w:spacing w:line="620" w:lineRule="exact"/>
        <w:ind w:firstLine="145" w:firstLineChars="52"/>
        <w:rPr>
          <w:rFonts w:ascii="宋体" w:hAnsi="宋体"/>
          <w:color w:val="auto"/>
          <w:sz w:val="28"/>
          <w:szCs w:val="28"/>
          <w:u w:val="single"/>
        </w:rPr>
      </w:pPr>
      <w:r>
        <w:rPr>
          <w:rFonts w:hint="eastAsia" w:ascii="宋体" w:hAnsi="宋体"/>
          <w:color w:val="auto"/>
          <w:sz w:val="28"/>
          <w:szCs w:val="28"/>
        </w:rPr>
        <w:t>传真：</w:t>
      </w:r>
      <w:r>
        <w:rPr>
          <w:rFonts w:ascii="宋体" w:hAnsi="宋体"/>
          <w:color w:val="auto"/>
          <w:sz w:val="28"/>
          <w:szCs w:val="28"/>
          <w:u w:val="single"/>
        </w:rPr>
        <w:t>XXXX</w:t>
      </w:r>
    </w:p>
    <w:p>
      <w:pPr>
        <w:pStyle w:val="30"/>
        <w:snapToGrid w:val="0"/>
        <w:spacing w:line="620" w:lineRule="exact"/>
        <w:ind w:firstLine="145" w:firstLineChars="52"/>
        <w:rPr>
          <w:rFonts w:ascii="宋体" w:hAnsi="宋体"/>
          <w:color w:val="auto"/>
          <w:sz w:val="28"/>
          <w:szCs w:val="28"/>
          <w:u w:val="single"/>
        </w:rPr>
      </w:pPr>
      <w:r>
        <w:rPr>
          <w:rFonts w:hint="eastAsia" w:ascii="宋体" w:hAnsi="宋体"/>
          <w:color w:val="auto"/>
          <w:sz w:val="28"/>
          <w:szCs w:val="28"/>
        </w:rPr>
        <w:t>邮政编码：</w:t>
      </w:r>
      <w:r>
        <w:rPr>
          <w:rFonts w:ascii="宋体" w:hAnsi="宋体"/>
          <w:color w:val="auto"/>
          <w:sz w:val="28"/>
          <w:szCs w:val="28"/>
          <w:u w:val="single"/>
        </w:rPr>
        <w:t>XXXX</w:t>
      </w:r>
    </w:p>
    <w:p>
      <w:pPr>
        <w:pStyle w:val="30"/>
        <w:snapToGrid w:val="0"/>
        <w:spacing w:line="620" w:lineRule="exact"/>
        <w:ind w:firstLine="145" w:firstLineChars="52"/>
        <w:rPr>
          <w:rFonts w:ascii="宋体" w:hAnsi="宋体"/>
          <w:bCs/>
          <w:color w:val="auto"/>
          <w:sz w:val="28"/>
          <w:szCs w:val="28"/>
        </w:rPr>
      </w:pPr>
      <w:r>
        <w:rPr>
          <w:rFonts w:hint="eastAsia" w:ascii="宋体" w:hAnsi="宋体"/>
          <w:bCs/>
          <w:color w:val="auto"/>
          <w:sz w:val="28"/>
          <w:szCs w:val="28"/>
        </w:rPr>
        <w:t>供应商名称：</w:t>
      </w:r>
      <w:r>
        <w:rPr>
          <w:rFonts w:ascii="宋体" w:hAnsi="宋体"/>
          <w:bCs/>
          <w:color w:val="auto"/>
          <w:sz w:val="28"/>
          <w:szCs w:val="28"/>
          <w:u w:val="single"/>
        </w:rPr>
        <w:t>XXXXXXXXXX</w:t>
      </w:r>
    </w:p>
    <w:p>
      <w:pPr>
        <w:pStyle w:val="30"/>
        <w:snapToGrid w:val="0"/>
        <w:spacing w:line="620" w:lineRule="exact"/>
        <w:ind w:firstLine="145" w:firstLineChars="52"/>
        <w:rPr>
          <w:rFonts w:ascii="宋体" w:hAnsi="宋体"/>
          <w:color w:val="auto"/>
          <w:sz w:val="28"/>
          <w:szCs w:val="28"/>
          <w:u w:val="single"/>
        </w:rPr>
      </w:pPr>
      <w:r>
        <w:rPr>
          <w:rFonts w:hint="eastAsia" w:ascii="宋体" w:hAnsi="宋体"/>
          <w:color w:val="auto"/>
          <w:sz w:val="28"/>
          <w:szCs w:val="28"/>
        </w:rPr>
        <w:t>日期：</w:t>
      </w:r>
      <w:r>
        <w:rPr>
          <w:rFonts w:ascii="宋体" w:hAnsi="宋体"/>
          <w:color w:val="auto"/>
          <w:sz w:val="28"/>
          <w:szCs w:val="28"/>
          <w:u w:val="single"/>
        </w:rPr>
        <w:t>XX</w:t>
      </w:r>
      <w:r>
        <w:rPr>
          <w:rFonts w:hint="eastAsia" w:ascii="宋体" w:hAnsi="宋体"/>
          <w:color w:val="auto"/>
          <w:sz w:val="28"/>
          <w:szCs w:val="28"/>
        </w:rPr>
        <w:t>年</w:t>
      </w:r>
      <w:r>
        <w:rPr>
          <w:rFonts w:ascii="宋体" w:hAnsi="宋体"/>
          <w:color w:val="auto"/>
          <w:sz w:val="28"/>
          <w:szCs w:val="28"/>
          <w:u w:val="single"/>
        </w:rPr>
        <w:t>XX</w:t>
      </w:r>
      <w:r>
        <w:rPr>
          <w:rFonts w:hint="eastAsia" w:ascii="宋体" w:hAnsi="宋体"/>
          <w:color w:val="auto"/>
          <w:sz w:val="28"/>
          <w:szCs w:val="28"/>
        </w:rPr>
        <w:t>月</w:t>
      </w:r>
      <w:r>
        <w:rPr>
          <w:rFonts w:ascii="宋体" w:hAnsi="宋体"/>
          <w:color w:val="auto"/>
          <w:sz w:val="28"/>
          <w:szCs w:val="28"/>
          <w:u w:val="single"/>
        </w:rPr>
        <w:t>XX</w:t>
      </w:r>
      <w:r>
        <w:rPr>
          <w:rFonts w:hint="eastAsia" w:ascii="宋体" w:hAnsi="宋体"/>
          <w:color w:val="auto"/>
          <w:sz w:val="28"/>
          <w:szCs w:val="28"/>
        </w:rPr>
        <w:t>日</w:t>
      </w:r>
    </w:p>
    <w:p>
      <w:pPr>
        <w:pStyle w:val="83"/>
        <w:snapToGrid w:val="0"/>
        <w:ind w:firstLineChars="176"/>
        <w:rPr>
          <w:color w:val="auto"/>
          <w:sz w:val="28"/>
        </w:rPr>
      </w:pPr>
    </w:p>
    <w:p>
      <w:pPr>
        <w:pStyle w:val="83"/>
        <w:snapToGrid w:val="0"/>
        <w:ind w:firstLineChars="176"/>
        <w:rPr>
          <w:color w:val="auto"/>
          <w:sz w:val="28"/>
        </w:rPr>
      </w:pPr>
    </w:p>
    <w:p>
      <w:pPr>
        <w:pStyle w:val="83"/>
        <w:snapToGrid w:val="0"/>
        <w:ind w:firstLineChars="176"/>
        <w:rPr>
          <w:color w:val="auto"/>
          <w:sz w:val="28"/>
        </w:rPr>
      </w:pPr>
    </w:p>
    <w:p>
      <w:pPr>
        <w:pStyle w:val="83"/>
        <w:snapToGrid w:val="0"/>
        <w:ind w:firstLineChars="176"/>
        <w:rPr>
          <w:color w:val="auto"/>
          <w:sz w:val="28"/>
        </w:rPr>
      </w:pPr>
    </w:p>
    <w:p>
      <w:pPr>
        <w:pStyle w:val="83"/>
        <w:snapToGrid w:val="0"/>
        <w:ind w:firstLineChars="176"/>
        <w:rPr>
          <w:color w:val="auto"/>
          <w:sz w:val="28"/>
        </w:rPr>
      </w:pPr>
    </w:p>
    <w:p>
      <w:pPr>
        <w:pStyle w:val="83"/>
        <w:snapToGrid w:val="0"/>
        <w:ind w:firstLineChars="176"/>
        <w:rPr>
          <w:color w:val="auto"/>
          <w:sz w:val="28"/>
        </w:rPr>
      </w:pPr>
    </w:p>
    <w:p>
      <w:pPr>
        <w:pStyle w:val="83"/>
        <w:snapToGrid w:val="0"/>
        <w:ind w:firstLineChars="176"/>
        <w:rPr>
          <w:color w:val="auto"/>
          <w:sz w:val="28"/>
        </w:rPr>
      </w:pPr>
    </w:p>
    <w:p>
      <w:pPr>
        <w:pStyle w:val="5"/>
        <w:numPr>
          <w:ilvl w:val="3"/>
          <w:numId w:val="1"/>
        </w:numPr>
        <w:tabs>
          <w:tab w:val="left" w:pos="709"/>
        </w:tabs>
        <w:jc w:val="left"/>
        <w:rPr>
          <w:color w:val="auto"/>
        </w:rPr>
      </w:pPr>
      <w:r>
        <w:rPr>
          <w:rFonts w:hint="eastAsia"/>
          <w:color w:val="auto"/>
        </w:rPr>
        <w:t>法定代表人身份证明书</w:t>
      </w:r>
    </w:p>
    <w:p>
      <w:pPr>
        <w:tabs>
          <w:tab w:val="left" w:pos="6300"/>
        </w:tabs>
        <w:spacing w:line="360" w:lineRule="auto"/>
        <w:ind w:firstLine="573"/>
        <w:rPr>
          <w:rFonts w:ascii="宋体" w:hAnsi="宋体"/>
          <w:color w:val="auto"/>
          <w:sz w:val="28"/>
          <w:szCs w:val="28"/>
          <w:lang w:val="zh-CN"/>
        </w:rPr>
      </w:pPr>
      <w:r>
        <w:rPr>
          <w:rFonts w:hint="eastAsia" w:ascii="宋体" w:hAnsi="宋体"/>
          <w:color w:val="auto"/>
          <w:sz w:val="28"/>
          <w:szCs w:val="28"/>
          <w:u w:val="single"/>
          <w:lang w:val="zh-CN"/>
        </w:rPr>
        <w:t xml:space="preserve">       （法定代表人姓名）       </w:t>
      </w:r>
      <w:r>
        <w:rPr>
          <w:rFonts w:hint="eastAsia" w:ascii="宋体" w:hAnsi="宋体"/>
          <w:color w:val="auto"/>
          <w:sz w:val="28"/>
          <w:szCs w:val="28"/>
          <w:lang w:val="zh-CN"/>
        </w:rPr>
        <w:t>在</w:t>
      </w:r>
      <w:r>
        <w:rPr>
          <w:rFonts w:hint="eastAsia" w:ascii="宋体" w:hAnsi="宋体"/>
          <w:color w:val="auto"/>
          <w:sz w:val="28"/>
          <w:szCs w:val="28"/>
          <w:u w:val="single"/>
          <w:lang w:val="zh-CN"/>
        </w:rPr>
        <w:t xml:space="preserve">       （供应商名称）       </w:t>
      </w:r>
      <w:r>
        <w:rPr>
          <w:rFonts w:hint="eastAsia" w:ascii="宋体" w:hAnsi="宋体"/>
          <w:color w:val="auto"/>
          <w:sz w:val="28"/>
          <w:szCs w:val="28"/>
          <w:lang w:val="zh-CN"/>
        </w:rPr>
        <w:t>处任</w:t>
      </w:r>
      <w:r>
        <w:rPr>
          <w:rFonts w:hint="eastAsia" w:ascii="宋体" w:hAnsi="宋体"/>
          <w:color w:val="auto"/>
          <w:sz w:val="28"/>
          <w:szCs w:val="28"/>
          <w:u w:val="single"/>
          <w:lang w:val="zh-CN"/>
        </w:rPr>
        <w:t xml:space="preserve">       （职务名称）       </w:t>
      </w:r>
      <w:r>
        <w:rPr>
          <w:rFonts w:hint="eastAsia" w:ascii="宋体" w:hAnsi="宋体"/>
          <w:color w:val="auto"/>
          <w:sz w:val="28"/>
          <w:szCs w:val="28"/>
          <w:lang w:val="zh-CN"/>
        </w:rPr>
        <w:t>职务，是</w:t>
      </w:r>
      <w:r>
        <w:rPr>
          <w:rFonts w:hint="eastAsia" w:ascii="宋体" w:hAnsi="宋体"/>
          <w:color w:val="auto"/>
          <w:sz w:val="28"/>
          <w:szCs w:val="28"/>
          <w:u w:val="single"/>
          <w:lang w:val="zh-CN"/>
        </w:rPr>
        <w:t xml:space="preserve">       （供应商名称）       </w:t>
      </w:r>
      <w:r>
        <w:rPr>
          <w:rFonts w:hint="eastAsia" w:ascii="宋体" w:hAnsi="宋体"/>
          <w:color w:val="auto"/>
          <w:sz w:val="28"/>
          <w:szCs w:val="28"/>
          <w:lang w:val="zh-CN"/>
        </w:rPr>
        <w:t>的法定代表人。</w:t>
      </w:r>
    </w:p>
    <w:p>
      <w:pPr>
        <w:tabs>
          <w:tab w:val="left" w:pos="6300"/>
        </w:tabs>
        <w:spacing w:line="360" w:lineRule="auto"/>
        <w:ind w:firstLine="573"/>
        <w:rPr>
          <w:rFonts w:ascii="宋体" w:hAnsi="宋体"/>
          <w:color w:val="auto"/>
          <w:sz w:val="28"/>
          <w:szCs w:val="28"/>
          <w:lang w:val="zh-CN"/>
        </w:rPr>
      </w:pPr>
      <w:r>
        <w:rPr>
          <w:rFonts w:hint="eastAsia" w:ascii="宋体" w:hAnsi="宋体"/>
          <w:color w:val="auto"/>
          <w:sz w:val="28"/>
          <w:szCs w:val="28"/>
          <w:lang w:val="zh-CN"/>
        </w:rPr>
        <w:t>特此证明。</w:t>
      </w: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spacing w:line="360" w:lineRule="auto"/>
        <w:rPr>
          <w:rFonts w:ascii="宋体" w:hAnsi="宋体"/>
          <w:color w:val="auto"/>
          <w:sz w:val="28"/>
          <w:szCs w:val="28"/>
          <w:lang w:val="zh-CN"/>
        </w:rPr>
      </w:pPr>
      <w:r>
        <w:rPr>
          <w:rFonts w:hint="eastAsia" w:ascii="宋体" w:hAnsi="宋体"/>
          <w:color w:val="auto"/>
          <w:sz w:val="28"/>
          <w:szCs w:val="28"/>
          <w:lang w:val="zh-CN"/>
        </w:rPr>
        <w:t>供应商名称：</w:t>
      </w:r>
      <w:r>
        <w:rPr>
          <w:rFonts w:hint="eastAsia" w:ascii="宋体" w:hAnsi="宋体"/>
          <w:color w:val="auto"/>
          <w:sz w:val="28"/>
          <w:szCs w:val="28"/>
          <w:u w:val="single"/>
          <w:lang w:val="zh-CN"/>
        </w:rPr>
        <w:t>XXXX</w:t>
      </w:r>
    </w:p>
    <w:p>
      <w:pPr>
        <w:spacing w:line="500" w:lineRule="exact"/>
        <w:ind w:right="560"/>
        <w:rPr>
          <w:rFonts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lang w:val="zh-CN"/>
        </w:rPr>
        <w:t>XX</w:t>
      </w:r>
      <w:r>
        <w:rPr>
          <w:rFonts w:hint="eastAsia" w:ascii="宋体" w:hAnsi="宋体"/>
          <w:color w:val="auto"/>
          <w:sz w:val="28"/>
          <w:szCs w:val="28"/>
        </w:rPr>
        <w:t>年</w:t>
      </w:r>
      <w:r>
        <w:rPr>
          <w:rFonts w:hint="eastAsia" w:ascii="宋体" w:hAnsi="宋体"/>
          <w:color w:val="auto"/>
          <w:sz w:val="28"/>
          <w:szCs w:val="28"/>
          <w:u w:val="single"/>
          <w:lang w:val="zh-CN"/>
        </w:rPr>
        <w:t>XX</w:t>
      </w:r>
      <w:r>
        <w:rPr>
          <w:rFonts w:hint="eastAsia" w:ascii="宋体" w:hAnsi="宋体"/>
          <w:color w:val="auto"/>
          <w:sz w:val="28"/>
          <w:szCs w:val="28"/>
        </w:rPr>
        <w:t>月</w:t>
      </w:r>
      <w:r>
        <w:rPr>
          <w:rFonts w:hint="eastAsia" w:ascii="宋体" w:hAnsi="宋体"/>
          <w:color w:val="auto"/>
          <w:sz w:val="28"/>
          <w:szCs w:val="28"/>
          <w:u w:val="single"/>
          <w:lang w:val="zh-CN"/>
        </w:rPr>
        <w:t>XX</w:t>
      </w:r>
      <w:r>
        <w:rPr>
          <w:rFonts w:hint="eastAsia" w:ascii="宋体" w:hAnsi="宋体"/>
          <w:color w:val="auto"/>
          <w:sz w:val="28"/>
          <w:szCs w:val="28"/>
        </w:rPr>
        <w:t>日</w:t>
      </w:r>
    </w:p>
    <w:p>
      <w:pPr>
        <w:spacing w:line="360" w:lineRule="auto"/>
        <w:rPr>
          <w:rFonts w:ascii="宋体" w:hAnsi="宋体"/>
          <w:color w:val="auto"/>
          <w:sz w:val="28"/>
          <w:szCs w:val="28"/>
          <w:lang w:val="zh-CN"/>
        </w:rPr>
      </w:pPr>
    </w:p>
    <w:p>
      <w:pPr>
        <w:spacing w:line="360" w:lineRule="auto"/>
        <w:ind w:firstLine="568" w:firstLineChars="202"/>
        <w:rPr>
          <w:rFonts w:ascii="宋体" w:hAnsi="宋体"/>
          <w:b/>
          <w:color w:val="auto"/>
          <w:sz w:val="28"/>
          <w:szCs w:val="28"/>
          <w:lang w:val="zh-CN"/>
        </w:rPr>
      </w:pPr>
      <w:r>
        <w:rPr>
          <w:rFonts w:hint="eastAsia" w:ascii="宋体" w:hAnsi="宋体"/>
          <w:b/>
          <w:color w:val="auto"/>
          <w:sz w:val="28"/>
          <w:szCs w:val="28"/>
          <w:lang w:val="zh-CN"/>
        </w:rPr>
        <w:t>说明：上述证明文件在施工响应文件中附有法定代表人身份证复印件（</w:t>
      </w:r>
      <w:r>
        <w:rPr>
          <w:rFonts w:ascii="宋体" w:hAnsi="宋体"/>
          <w:b/>
          <w:color w:val="auto"/>
          <w:sz w:val="28"/>
          <w:lang w:val="zh-CN"/>
        </w:rPr>
        <w:t>身份证</w:t>
      </w:r>
      <w:r>
        <w:rPr>
          <w:rFonts w:hint="eastAsia" w:ascii="宋体" w:hAnsi="宋体"/>
          <w:b/>
          <w:color w:val="auto"/>
          <w:sz w:val="28"/>
          <w:lang w:val="zh-CN"/>
        </w:rPr>
        <w:t>两面均应复印</w:t>
      </w:r>
      <w:r>
        <w:rPr>
          <w:rFonts w:hint="eastAsia" w:ascii="宋体" w:hAnsi="宋体"/>
          <w:b/>
          <w:color w:val="auto"/>
          <w:sz w:val="28"/>
          <w:szCs w:val="28"/>
          <w:lang w:val="zh-CN"/>
        </w:rPr>
        <w:t>）或护照复印件（供应商的法定代表人为外籍人士的，则提供护照复印件）时才能生效。</w:t>
      </w:r>
    </w:p>
    <w:p>
      <w:pPr>
        <w:pStyle w:val="16"/>
        <w:rPr>
          <w:color w:val="auto"/>
          <w:lang w:val="zh-CN"/>
        </w:rPr>
      </w:pPr>
    </w:p>
    <w:p>
      <w:pPr>
        <w:rPr>
          <w:color w:val="auto"/>
          <w:lang w:val="zh-CN"/>
        </w:rPr>
      </w:pPr>
    </w:p>
    <w:p>
      <w:pPr>
        <w:pStyle w:val="16"/>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snapToGrid w:val="0"/>
        <w:spacing w:line="360" w:lineRule="auto"/>
        <w:rPr>
          <w:rFonts w:ascii="宋体" w:hAnsi="宋体"/>
          <w:b/>
          <w:color w:val="auto"/>
          <w:sz w:val="28"/>
          <w:szCs w:val="28"/>
        </w:rPr>
      </w:pPr>
    </w:p>
    <w:p>
      <w:pPr>
        <w:pStyle w:val="5"/>
        <w:numPr>
          <w:ilvl w:val="3"/>
          <w:numId w:val="1"/>
        </w:numPr>
        <w:tabs>
          <w:tab w:val="left" w:pos="709"/>
        </w:tabs>
        <w:jc w:val="left"/>
        <w:rPr>
          <w:color w:val="auto"/>
        </w:rPr>
      </w:pPr>
      <w:r>
        <w:rPr>
          <w:rFonts w:hint="eastAsia"/>
          <w:color w:val="auto"/>
        </w:rPr>
        <w:t>承诺函</w:t>
      </w:r>
    </w:p>
    <w:p>
      <w:pPr>
        <w:snapToGrid w:val="0"/>
        <w:spacing w:line="360" w:lineRule="auto"/>
        <w:rPr>
          <w:rFonts w:hint="eastAsia" w:ascii="宋体" w:hAnsi="宋体" w:eastAsia="宋体"/>
          <w:b/>
          <w:color w:val="auto"/>
          <w:spacing w:val="-20"/>
          <w:sz w:val="28"/>
          <w:szCs w:val="28"/>
          <w:lang w:eastAsia="zh-CN"/>
        </w:rPr>
      </w:pPr>
      <w:r>
        <w:rPr>
          <w:rFonts w:hint="eastAsia" w:ascii="宋体" w:hAnsi="宋体"/>
          <w:b/>
          <w:color w:val="auto"/>
          <w:spacing w:val="-20"/>
          <w:sz w:val="28"/>
          <w:szCs w:val="28"/>
        </w:rPr>
        <w:t>项目名称：</w:t>
      </w:r>
      <w:r>
        <w:rPr>
          <w:rFonts w:hint="eastAsia" w:ascii="宋体" w:hAnsi="宋体"/>
          <w:b/>
          <w:color w:val="auto"/>
          <w:sz w:val="28"/>
          <w:szCs w:val="28"/>
          <w:u w:val="single"/>
          <w:lang w:eastAsia="zh-CN"/>
        </w:rPr>
        <w:t>成都市龙泉驿区市政设施管理服务中心2021年城市人行道维修提升整治采购项目</w:t>
      </w:r>
    </w:p>
    <w:p>
      <w:pPr>
        <w:snapToGrid w:val="0"/>
        <w:spacing w:line="360" w:lineRule="auto"/>
        <w:rPr>
          <w:rFonts w:hint="eastAsia" w:ascii="宋体" w:hAnsi="宋体" w:eastAsia="宋体"/>
          <w:b/>
          <w:color w:val="auto"/>
          <w:sz w:val="28"/>
          <w:szCs w:val="28"/>
          <w:u w:val="single"/>
          <w:lang w:eastAsia="zh-CN"/>
        </w:rPr>
      </w:pPr>
      <w:r>
        <w:rPr>
          <w:rFonts w:hint="eastAsia" w:ascii="宋体" w:hAnsi="宋体"/>
          <w:b/>
          <w:color w:val="auto"/>
          <w:sz w:val="28"/>
          <w:szCs w:val="28"/>
        </w:rPr>
        <w:t>项目编号：</w:t>
      </w:r>
      <w:r>
        <w:rPr>
          <w:rFonts w:hint="eastAsia" w:ascii="宋体" w:hAnsi="宋体"/>
          <w:b/>
          <w:color w:val="auto"/>
          <w:sz w:val="28"/>
          <w:szCs w:val="28"/>
          <w:u w:val="single"/>
          <w:lang w:eastAsia="zh-CN"/>
        </w:rPr>
        <w:t>龙泉驿政采（2021）A0061号</w:t>
      </w:r>
    </w:p>
    <w:p>
      <w:pPr>
        <w:snapToGrid w:val="0"/>
        <w:spacing w:line="360" w:lineRule="auto"/>
        <w:ind w:firstLine="560" w:firstLineChars="200"/>
        <w:rPr>
          <w:rFonts w:ascii="宋体" w:hAnsi="宋体"/>
          <w:color w:val="auto"/>
          <w:sz w:val="28"/>
        </w:rPr>
      </w:pPr>
      <w:r>
        <w:rPr>
          <w:rFonts w:hint="eastAsia" w:ascii="宋体" w:hAnsi="宋体"/>
          <w:color w:val="auto"/>
          <w:sz w:val="28"/>
        </w:rPr>
        <w:t>我公司作为参加</w:t>
      </w:r>
      <w:r>
        <w:rPr>
          <w:rFonts w:hint="eastAsia" w:ascii="宋体" w:hAnsi="宋体"/>
          <w:b/>
          <w:color w:val="auto"/>
          <w:sz w:val="28"/>
          <w:u w:val="single"/>
          <w:lang w:eastAsia="zh-CN"/>
        </w:rPr>
        <w:t>成都市龙泉驿区市政设施管理服务中心2021年城市人行道维修提升整治采购项目</w:t>
      </w:r>
      <w:r>
        <w:rPr>
          <w:rFonts w:hint="eastAsia" w:ascii="宋体" w:hAnsi="宋体"/>
          <w:color w:val="auto"/>
          <w:sz w:val="28"/>
        </w:rPr>
        <w:t>的竞争性磋商的供应商，在此郑重承诺：</w:t>
      </w:r>
    </w:p>
    <w:p>
      <w:pPr>
        <w:pStyle w:val="81"/>
        <w:numPr>
          <w:ilvl w:val="0"/>
          <w:numId w:val="39"/>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为本项目提供的所有产品、辅材中</w:t>
      </w:r>
      <w:r>
        <w:rPr>
          <w:rFonts w:ascii="宋体" w:hAnsi="宋体" w:eastAsia="宋体" w:cs="仿宋"/>
          <w:color w:val="auto"/>
          <w:sz w:val="28"/>
          <w:szCs w:val="28"/>
        </w:rPr>
        <w:t>属于《国家强制性产品认证目录》范围内产品的，均通过国家强制性产品认证并取得认证证书。</w:t>
      </w:r>
    </w:p>
    <w:p>
      <w:pPr>
        <w:pStyle w:val="81"/>
        <w:numPr>
          <w:ilvl w:val="0"/>
          <w:numId w:val="39"/>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为本项目提供的所有产品、辅材等符合现行的强制性国家相关标准、行业标准。</w:t>
      </w:r>
    </w:p>
    <w:p>
      <w:pPr>
        <w:pStyle w:val="81"/>
        <w:numPr>
          <w:ilvl w:val="0"/>
          <w:numId w:val="39"/>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为本项目提供的所有产品中属于节能产品政府采购品目清单中的政府强制采购产品的，均具有国家确定的认证机构出具的有效期内的节能产品认证证书。</w:t>
      </w:r>
    </w:p>
    <w:p>
      <w:pPr>
        <w:pStyle w:val="81"/>
        <w:numPr>
          <w:ilvl w:val="0"/>
          <w:numId w:val="39"/>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为本工程项目实施涉及的商品包装和快递包装，均符合财政部等三部门联合印发商品包装和快递包装政府采购需求标准（试行）（财办库[2020]123号）的要求。</w:t>
      </w:r>
    </w:p>
    <w:p>
      <w:pPr>
        <w:pStyle w:val="81"/>
        <w:numPr>
          <w:ilvl w:val="0"/>
          <w:numId w:val="39"/>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为本项目提供的工程、货物及服务均为本国工程、货物及服务。</w:t>
      </w:r>
    </w:p>
    <w:p>
      <w:pPr>
        <w:pStyle w:val="81"/>
        <w:numPr>
          <w:ilvl w:val="0"/>
          <w:numId w:val="39"/>
        </w:numPr>
        <w:tabs>
          <w:tab w:val="left" w:pos="1134"/>
        </w:tabs>
        <w:snapToGrid w:val="0"/>
        <w:spacing w:line="360" w:lineRule="auto"/>
        <w:ind w:left="0" w:firstLine="560" w:firstLineChars="0"/>
        <w:jc w:val="both"/>
        <w:rPr>
          <w:rFonts w:ascii="宋体" w:hAnsi="宋体" w:eastAsia="宋体" w:cs="仿宋"/>
          <w:color w:val="auto"/>
          <w:sz w:val="28"/>
          <w:szCs w:val="28"/>
        </w:rPr>
      </w:pPr>
      <w:r>
        <w:rPr>
          <w:rFonts w:hint="eastAsia" w:ascii="宋体" w:hAnsi="宋体" w:eastAsia="宋体" w:cs="仿宋"/>
          <w:color w:val="auto"/>
          <w:sz w:val="28"/>
          <w:szCs w:val="28"/>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1"/>
        <w:numPr>
          <w:ilvl w:val="0"/>
          <w:numId w:val="39"/>
        </w:numPr>
        <w:tabs>
          <w:tab w:val="left" w:pos="1134"/>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我单位具有《四川省政府采购当事人诚信管理办法》（川财采</w:t>
      </w:r>
      <w:r>
        <w:rPr>
          <w:rFonts w:ascii="宋体" w:hAnsi="宋体" w:eastAsia="宋体" w:cs="仿宋"/>
          <w:color w:val="auto"/>
          <w:sz w:val="28"/>
          <w:szCs w:val="28"/>
        </w:rPr>
        <w:t>[2015]33</w:t>
      </w:r>
      <w:r>
        <w:rPr>
          <w:rFonts w:hint="eastAsia" w:ascii="宋体" w:hAnsi="宋体" w:eastAsia="宋体" w:cs="仿宋"/>
          <w:color w:val="auto"/>
          <w:sz w:val="28"/>
          <w:szCs w:val="28"/>
        </w:rPr>
        <w:t>号）所规定的失信行为</w:t>
      </w:r>
      <w:r>
        <w:rPr>
          <w:rFonts w:hint="eastAsia" w:ascii="宋体" w:hAnsi="宋体" w:eastAsia="宋体" w:cs="仿宋"/>
          <w:b/>
          <w:color w:val="auto"/>
          <w:sz w:val="28"/>
          <w:szCs w:val="28"/>
          <w:u w:val="single"/>
        </w:rPr>
        <w:t>　　</w:t>
      </w:r>
      <w:r>
        <w:rPr>
          <w:rFonts w:ascii="宋体" w:hAnsi="宋体" w:eastAsia="宋体" w:cs="仿宋"/>
          <w:b/>
          <w:color w:val="auto"/>
          <w:sz w:val="28"/>
          <w:szCs w:val="28"/>
          <w:u w:val="single"/>
        </w:rPr>
        <w:t>XXXX</w:t>
      </w:r>
      <w:r>
        <w:rPr>
          <w:rFonts w:hint="eastAsia" w:ascii="宋体" w:hAnsi="宋体" w:eastAsia="宋体" w:cs="仿宋"/>
          <w:b/>
          <w:color w:val="auto"/>
          <w:sz w:val="28"/>
          <w:szCs w:val="28"/>
          <w:u w:val="single"/>
        </w:rPr>
        <w:t>　　</w:t>
      </w:r>
      <w:r>
        <w:rPr>
          <w:rFonts w:hint="eastAsia" w:ascii="宋体" w:hAnsi="宋体" w:eastAsia="宋体" w:cs="仿宋"/>
          <w:b/>
          <w:color w:val="auto"/>
          <w:sz w:val="28"/>
          <w:szCs w:val="28"/>
        </w:rPr>
        <w:t>次</w:t>
      </w:r>
      <w:r>
        <w:rPr>
          <w:rFonts w:hint="eastAsia" w:ascii="宋体" w:hAnsi="宋体" w:eastAsia="宋体" w:cs="仿宋"/>
          <w:color w:val="auto"/>
          <w:sz w:val="28"/>
          <w:szCs w:val="28"/>
        </w:rPr>
        <w:t>。（说明：（１）填写失信行为的次数时，建议使用大写数字，如零、壹、贰、叁、肆等。（２）仅限递交施工响应文件截止当日仍在有效期的次数）</w:t>
      </w:r>
    </w:p>
    <w:p>
      <w:pPr>
        <w:pStyle w:val="81"/>
        <w:numPr>
          <w:ilvl w:val="0"/>
          <w:numId w:val="39"/>
        </w:numPr>
        <w:tabs>
          <w:tab w:val="left" w:pos="1134"/>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在参加本次采购活动中，不存在与单位负责人为同一人或者存在直接控股、管理关系的其他供应商参与同一合同项下的政府采购活动的行为。</w:t>
      </w:r>
    </w:p>
    <w:p>
      <w:pPr>
        <w:pStyle w:val="81"/>
        <w:numPr>
          <w:ilvl w:val="0"/>
          <w:numId w:val="39"/>
        </w:numPr>
        <w:tabs>
          <w:tab w:val="left" w:pos="1134"/>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为采购项目提供整体设计、规范编制或者项目管理、监理、检测等服务的供应商，不得再参加该采购项目的其他采购活动，我方承诺不属于此类禁止参加本项目的供应商。</w:t>
      </w:r>
    </w:p>
    <w:p>
      <w:pPr>
        <w:pStyle w:val="81"/>
        <w:numPr>
          <w:ilvl w:val="0"/>
          <w:numId w:val="39"/>
        </w:numPr>
        <w:tabs>
          <w:tab w:val="left" w:pos="1134"/>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在参加本次采购活动中，不存在和其他供应商在同一合同项下的采购项目中，同时委托同一个自然人、同一家庭的人员、同一单位的人员作为代理人的行为。</w:t>
      </w:r>
    </w:p>
    <w:p>
      <w:pPr>
        <w:pStyle w:val="81"/>
        <w:numPr>
          <w:ilvl w:val="0"/>
          <w:numId w:val="39"/>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如果有《四川省政府采购当事人诚信管理办法》（川财采</w:t>
      </w:r>
      <w:r>
        <w:rPr>
          <w:rFonts w:ascii="宋体" w:hAnsi="宋体" w:eastAsia="宋体" w:cs="仿宋"/>
          <w:color w:val="auto"/>
          <w:sz w:val="28"/>
          <w:szCs w:val="28"/>
        </w:rPr>
        <w:t>[2015]33</w:t>
      </w:r>
      <w:r>
        <w:rPr>
          <w:rFonts w:hint="eastAsia" w:ascii="宋体" w:hAnsi="宋体" w:eastAsia="宋体" w:cs="仿宋"/>
          <w:color w:val="auto"/>
          <w:sz w:val="28"/>
          <w:szCs w:val="28"/>
        </w:rPr>
        <w:t>号）规定的记入诚信档案的失信行为，将在施工响应文件中全面如实反映。</w:t>
      </w:r>
    </w:p>
    <w:p>
      <w:pPr>
        <w:pStyle w:val="81"/>
        <w:numPr>
          <w:ilvl w:val="0"/>
          <w:numId w:val="39"/>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施工响应文件中提供的任何资料和技术、服务、商务等响应承诺情况都是真实的、有效的、合法的。</w:t>
      </w:r>
    </w:p>
    <w:p>
      <w:pPr>
        <w:pStyle w:val="81"/>
        <w:numPr>
          <w:ilvl w:val="0"/>
          <w:numId w:val="39"/>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pStyle w:val="81"/>
        <w:numPr>
          <w:ilvl w:val="0"/>
          <w:numId w:val="39"/>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国家或行业主管部门对工程项目的技术标准、质量标准和资格资质条件等有强制性规定的，我方承诺符合其要求。</w:t>
      </w:r>
    </w:p>
    <w:p>
      <w:pPr>
        <w:pStyle w:val="81"/>
        <w:numPr>
          <w:ilvl w:val="0"/>
          <w:numId w:val="39"/>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参加本次采购活动，我方完全同意磋商文件第二章关于“磋商费用”、“合同分包”、“合同转包”、“履约保证金”等实质性要求，并承诺严格按照磋商文件要求履行。</w:t>
      </w:r>
    </w:p>
    <w:p>
      <w:pPr>
        <w:pStyle w:val="81"/>
        <w:numPr>
          <w:ilvl w:val="0"/>
          <w:numId w:val="39"/>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1"/>
        <w:numPr>
          <w:ilvl w:val="0"/>
          <w:numId w:val="39"/>
        </w:numPr>
        <w:tabs>
          <w:tab w:val="left" w:pos="1418"/>
        </w:tabs>
        <w:snapToGrid w:val="0"/>
        <w:spacing w:line="360" w:lineRule="auto"/>
        <w:ind w:left="0" w:firstLine="560" w:firstLineChars="0"/>
        <w:rPr>
          <w:rFonts w:ascii="宋体" w:hAnsi="宋体" w:eastAsia="宋体" w:cs="仿宋"/>
          <w:color w:val="auto"/>
          <w:sz w:val="28"/>
          <w:szCs w:val="28"/>
        </w:rPr>
      </w:pPr>
      <w:r>
        <w:rPr>
          <w:rFonts w:hint="eastAsia" w:ascii="宋体" w:hAnsi="宋体" w:eastAsia="宋体" w:cs="仿宋"/>
          <w:color w:val="auto"/>
          <w:sz w:val="28"/>
          <w:szCs w:val="28"/>
        </w:rPr>
        <w:t>与我方存在直接控股关系的单位为：</w:t>
      </w:r>
      <w:r>
        <w:rPr>
          <w:rFonts w:hint="eastAsia" w:ascii="宋体" w:hAnsi="宋体" w:eastAsia="宋体" w:cs="仿宋"/>
          <w:b/>
          <w:color w:val="auto"/>
          <w:sz w:val="28"/>
          <w:szCs w:val="28"/>
          <w:u w:val="single"/>
        </w:rPr>
        <w:t>　　</w:t>
      </w:r>
      <w:r>
        <w:rPr>
          <w:rFonts w:ascii="宋体" w:hAnsi="宋体" w:eastAsia="宋体" w:cs="仿宋"/>
          <w:b/>
          <w:color w:val="auto"/>
          <w:sz w:val="28"/>
          <w:szCs w:val="28"/>
          <w:u w:val="single"/>
        </w:rPr>
        <w:t>XXXX</w:t>
      </w:r>
      <w:r>
        <w:rPr>
          <w:rFonts w:hint="eastAsia" w:ascii="宋体" w:hAnsi="宋体" w:eastAsia="宋体" w:cs="仿宋"/>
          <w:b/>
          <w:color w:val="auto"/>
          <w:sz w:val="28"/>
          <w:szCs w:val="28"/>
          <w:u w:val="single"/>
        </w:rPr>
        <w:t>（说明：填写“无”或“（一）供应商名称１；（二）供应商名称２ ；（三）……”）　　</w:t>
      </w:r>
      <w:r>
        <w:rPr>
          <w:rFonts w:hint="eastAsia" w:ascii="宋体" w:hAnsi="宋体" w:eastAsia="宋体" w:cs="仿宋"/>
          <w:color w:val="auto"/>
          <w:sz w:val="28"/>
          <w:szCs w:val="28"/>
        </w:rPr>
        <w:t>；存在管理关系单位为：</w:t>
      </w:r>
      <w:r>
        <w:rPr>
          <w:rFonts w:hint="eastAsia" w:ascii="宋体" w:hAnsi="宋体" w:eastAsia="宋体" w:cs="仿宋"/>
          <w:b/>
          <w:color w:val="auto"/>
          <w:sz w:val="28"/>
          <w:szCs w:val="28"/>
          <w:u w:val="single"/>
        </w:rPr>
        <w:t>　　</w:t>
      </w:r>
      <w:r>
        <w:rPr>
          <w:rFonts w:ascii="宋体" w:hAnsi="宋体" w:eastAsia="宋体" w:cs="仿宋"/>
          <w:b/>
          <w:color w:val="auto"/>
          <w:sz w:val="28"/>
          <w:szCs w:val="28"/>
          <w:u w:val="single"/>
        </w:rPr>
        <w:t>XXXX</w:t>
      </w:r>
      <w:r>
        <w:rPr>
          <w:rFonts w:hint="eastAsia" w:ascii="宋体" w:hAnsi="宋体" w:eastAsia="宋体" w:cs="仿宋"/>
          <w:b/>
          <w:color w:val="auto"/>
          <w:sz w:val="28"/>
          <w:szCs w:val="28"/>
          <w:u w:val="single"/>
        </w:rPr>
        <w:t>（说明：填写“无”或“（一）供应商名称１；（二）供应商名称２ ；（三）……”）　　</w:t>
      </w:r>
      <w:r>
        <w:rPr>
          <w:rFonts w:hint="eastAsia" w:ascii="宋体" w:hAnsi="宋体" w:eastAsia="宋体" w:cs="仿宋"/>
          <w:color w:val="auto"/>
          <w:sz w:val="28"/>
          <w:szCs w:val="28"/>
        </w:rPr>
        <w:t>。</w:t>
      </w:r>
    </w:p>
    <w:p>
      <w:pPr>
        <w:pStyle w:val="81"/>
        <w:numPr>
          <w:ilvl w:val="0"/>
          <w:numId w:val="39"/>
        </w:numPr>
        <w:tabs>
          <w:tab w:val="left" w:pos="1418"/>
        </w:tabs>
        <w:snapToGrid w:val="0"/>
        <w:spacing w:line="360" w:lineRule="auto"/>
        <w:ind w:left="0" w:firstLine="560" w:firstLineChars="0"/>
        <w:rPr>
          <w:rFonts w:ascii="宋体" w:hAnsi="宋体" w:eastAsia="宋体" w:cs="仿宋"/>
          <w:color w:val="auto"/>
          <w:sz w:val="28"/>
          <w:szCs w:val="28"/>
        </w:rPr>
      </w:pPr>
      <w:r>
        <w:rPr>
          <w:rFonts w:ascii="宋体" w:hAnsi="宋体" w:eastAsia="宋体" w:cs="仿宋"/>
          <w:color w:val="auto"/>
          <w:sz w:val="28"/>
          <w:szCs w:val="28"/>
        </w:rPr>
        <w:t>……</w:t>
      </w:r>
    </w:p>
    <w:p>
      <w:pPr>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color w:val="auto"/>
        </w:rPr>
      </w:pPr>
      <w:r>
        <w:rPr>
          <w:rFonts w:hint="eastAsia" w:ascii="宋体" w:hAnsi="宋体"/>
          <w:color w:val="auto"/>
          <w:sz w:val="28"/>
          <w:szCs w:val="28"/>
        </w:rPr>
        <w:t>特此承诺。</w:t>
      </w:r>
    </w:p>
    <w:p>
      <w:pPr>
        <w:snapToGrid w:val="0"/>
        <w:spacing w:line="360" w:lineRule="auto"/>
        <w:rPr>
          <w:color w:val="auto"/>
        </w:rPr>
      </w:pPr>
    </w:p>
    <w:p>
      <w:pPr>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供应商名称：</w:t>
      </w:r>
      <w:r>
        <w:rPr>
          <w:rFonts w:ascii="宋体" w:hAnsi="宋体"/>
          <w:color w:val="auto"/>
          <w:sz w:val="28"/>
          <w:szCs w:val="28"/>
          <w:u w:val="single"/>
        </w:rPr>
        <w:t>XXXXXXXXX</w:t>
      </w:r>
    </w:p>
    <w:p>
      <w:pPr>
        <w:snapToGrid w:val="0"/>
        <w:spacing w:line="360" w:lineRule="auto"/>
        <w:ind w:firstLine="560" w:firstLineChars="200"/>
        <w:rPr>
          <w:rFonts w:ascii="宋体" w:hAnsi="宋体"/>
          <w:color w:val="auto"/>
          <w:sz w:val="28"/>
        </w:rPr>
      </w:pPr>
      <w:r>
        <w:rPr>
          <w:rFonts w:ascii="宋体" w:hAnsi="宋体"/>
          <w:color w:val="auto"/>
          <w:sz w:val="28"/>
        </w:rPr>
        <w:t>日期：</w:t>
      </w:r>
      <w:r>
        <w:rPr>
          <w:rFonts w:ascii="宋体" w:hAnsi="宋体"/>
          <w:color w:val="auto"/>
          <w:sz w:val="28"/>
          <w:u w:val="single"/>
        </w:rPr>
        <w:t>XX</w:t>
      </w:r>
      <w:r>
        <w:rPr>
          <w:rFonts w:ascii="宋体" w:hAnsi="宋体"/>
          <w:color w:val="auto"/>
          <w:sz w:val="28"/>
        </w:rPr>
        <w:t>年</w:t>
      </w:r>
      <w:r>
        <w:rPr>
          <w:rFonts w:ascii="宋体" w:hAnsi="宋体"/>
          <w:color w:val="auto"/>
          <w:sz w:val="28"/>
          <w:u w:val="single"/>
        </w:rPr>
        <w:t>XX</w:t>
      </w:r>
      <w:r>
        <w:rPr>
          <w:rFonts w:ascii="宋体" w:hAnsi="宋体"/>
          <w:color w:val="auto"/>
          <w:sz w:val="28"/>
        </w:rPr>
        <w:t>月</w:t>
      </w:r>
      <w:r>
        <w:rPr>
          <w:rFonts w:ascii="宋体" w:hAnsi="宋体"/>
          <w:color w:val="auto"/>
          <w:sz w:val="28"/>
          <w:u w:val="single"/>
        </w:rPr>
        <w:t>XX</w:t>
      </w:r>
      <w:r>
        <w:rPr>
          <w:rFonts w:ascii="宋体" w:hAnsi="宋体"/>
          <w:color w:val="auto"/>
          <w:sz w:val="28"/>
        </w:rPr>
        <w:t>日</w:t>
      </w:r>
    </w:p>
    <w:p>
      <w:pPr>
        <w:snapToGrid w:val="0"/>
        <w:spacing w:line="360" w:lineRule="auto"/>
        <w:ind w:firstLine="560" w:firstLineChars="200"/>
        <w:rPr>
          <w:rFonts w:ascii="宋体" w:hAnsi="宋体"/>
          <w:color w:val="auto"/>
          <w:sz w:val="28"/>
        </w:rPr>
      </w:pPr>
    </w:p>
    <w:p>
      <w:pPr>
        <w:snapToGrid w:val="0"/>
        <w:spacing w:line="360" w:lineRule="auto"/>
        <w:ind w:firstLine="560" w:firstLineChars="200"/>
        <w:rPr>
          <w:rFonts w:ascii="宋体" w:hAnsi="宋体"/>
          <w:color w:val="auto"/>
          <w:sz w:val="28"/>
        </w:rPr>
      </w:pPr>
    </w:p>
    <w:p>
      <w:pPr>
        <w:snapToGrid w:val="0"/>
        <w:spacing w:line="360" w:lineRule="auto"/>
        <w:ind w:firstLine="560" w:firstLineChars="200"/>
        <w:rPr>
          <w:rFonts w:ascii="宋体" w:hAnsi="宋体"/>
          <w:color w:val="auto"/>
          <w:sz w:val="28"/>
        </w:rPr>
      </w:pPr>
    </w:p>
    <w:p>
      <w:pPr>
        <w:snapToGrid w:val="0"/>
        <w:spacing w:line="360" w:lineRule="auto"/>
        <w:ind w:firstLine="560" w:firstLineChars="200"/>
        <w:rPr>
          <w:rFonts w:ascii="宋体" w:hAnsi="宋体"/>
          <w:color w:val="auto"/>
          <w:sz w:val="28"/>
        </w:rPr>
      </w:pPr>
    </w:p>
    <w:p>
      <w:pPr>
        <w:snapToGrid w:val="0"/>
        <w:spacing w:line="360" w:lineRule="auto"/>
        <w:ind w:firstLine="560" w:firstLineChars="200"/>
        <w:rPr>
          <w:rFonts w:ascii="宋体" w:hAnsi="宋体"/>
          <w:color w:val="auto"/>
          <w:sz w:val="28"/>
        </w:rPr>
      </w:pPr>
    </w:p>
    <w:p>
      <w:pPr>
        <w:snapToGrid w:val="0"/>
        <w:spacing w:line="360" w:lineRule="auto"/>
        <w:ind w:firstLine="563"/>
        <w:rPr>
          <w:rFonts w:ascii="宋体" w:hAnsi="宋体"/>
          <w:color w:val="auto"/>
          <w:sz w:val="28"/>
          <w:szCs w:val="28"/>
        </w:rPr>
      </w:pPr>
    </w:p>
    <w:p>
      <w:pPr>
        <w:pStyle w:val="5"/>
        <w:numPr>
          <w:ilvl w:val="3"/>
          <w:numId w:val="1"/>
        </w:numPr>
        <w:tabs>
          <w:tab w:val="left" w:pos="709"/>
        </w:tabs>
        <w:jc w:val="left"/>
        <w:rPr>
          <w:color w:val="auto"/>
        </w:rPr>
      </w:pPr>
      <w:r>
        <w:rPr>
          <w:rFonts w:hint="eastAsia"/>
          <w:color w:val="auto"/>
        </w:rPr>
        <w:t>施工组织设计</w:t>
      </w:r>
    </w:p>
    <w:p>
      <w:pPr>
        <w:snapToGrid w:val="0"/>
        <w:spacing w:line="360" w:lineRule="auto"/>
        <w:ind w:firstLine="563"/>
        <w:rPr>
          <w:rFonts w:ascii="宋体" w:hAnsi="宋体"/>
          <w:color w:val="auto"/>
          <w:spacing w:val="6"/>
          <w:sz w:val="28"/>
          <w:szCs w:val="28"/>
        </w:rPr>
      </w:pPr>
      <w:r>
        <w:rPr>
          <w:rFonts w:hint="eastAsia" w:ascii="宋体" w:hAnsi="宋体"/>
          <w:color w:val="auto"/>
          <w:spacing w:val="6"/>
          <w:sz w:val="28"/>
          <w:szCs w:val="28"/>
        </w:rPr>
        <w:t>施工组织设计格式及内容自拟。</w:t>
      </w: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供应商名称：</w:t>
      </w:r>
      <w:r>
        <w:rPr>
          <w:rFonts w:ascii="宋体" w:hAnsi="宋体"/>
          <w:color w:val="auto"/>
          <w:sz w:val="28"/>
          <w:szCs w:val="28"/>
          <w:u w:val="single"/>
        </w:rPr>
        <w:t>XXXXXXXXX</w:t>
      </w:r>
    </w:p>
    <w:p>
      <w:pPr>
        <w:snapToGrid w:val="0"/>
        <w:spacing w:line="360" w:lineRule="auto"/>
        <w:ind w:firstLine="560" w:firstLineChars="200"/>
        <w:rPr>
          <w:rFonts w:ascii="宋体" w:hAnsi="宋体"/>
          <w:color w:val="auto"/>
          <w:sz w:val="28"/>
        </w:rPr>
      </w:pPr>
      <w:r>
        <w:rPr>
          <w:rFonts w:ascii="宋体" w:hAnsi="宋体"/>
          <w:color w:val="auto"/>
          <w:sz w:val="28"/>
        </w:rPr>
        <w:t>日期：</w:t>
      </w:r>
      <w:r>
        <w:rPr>
          <w:rFonts w:ascii="宋体" w:hAnsi="宋体"/>
          <w:color w:val="auto"/>
          <w:sz w:val="28"/>
          <w:u w:val="single"/>
        </w:rPr>
        <w:t>XX</w:t>
      </w:r>
      <w:r>
        <w:rPr>
          <w:rFonts w:ascii="宋体" w:hAnsi="宋体"/>
          <w:color w:val="auto"/>
          <w:sz w:val="28"/>
        </w:rPr>
        <w:t>年</w:t>
      </w:r>
      <w:r>
        <w:rPr>
          <w:rFonts w:ascii="宋体" w:hAnsi="宋体"/>
          <w:color w:val="auto"/>
          <w:sz w:val="28"/>
          <w:u w:val="single"/>
        </w:rPr>
        <w:t>XX</w:t>
      </w:r>
      <w:r>
        <w:rPr>
          <w:rFonts w:ascii="宋体" w:hAnsi="宋体"/>
          <w:color w:val="auto"/>
          <w:sz w:val="28"/>
        </w:rPr>
        <w:t>月</w:t>
      </w:r>
      <w:r>
        <w:rPr>
          <w:rFonts w:ascii="宋体" w:hAnsi="宋体"/>
          <w:color w:val="auto"/>
          <w:sz w:val="28"/>
          <w:u w:val="single"/>
        </w:rPr>
        <w:t>XX</w:t>
      </w:r>
      <w:r>
        <w:rPr>
          <w:rFonts w:ascii="宋体" w:hAnsi="宋体"/>
          <w:color w:val="auto"/>
          <w:sz w:val="28"/>
        </w:rPr>
        <w:t>日</w:t>
      </w:r>
    </w:p>
    <w:p>
      <w:pPr>
        <w:pStyle w:val="16"/>
        <w:rPr>
          <w:color w:val="auto"/>
        </w:rPr>
      </w:pPr>
    </w:p>
    <w:p>
      <w:pPr>
        <w:pStyle w:val="16"/>
        <w:rPr>
          <w:color w:val="auto"/>
        </w:rPr>
      </w:pPr>
    </w:p>
    <w:p>
      <w:pPr>
        <w:rPr>
          <w:color w:val="auto"/>
        </w:rPr>
      </w:pPr>
    </w:p>
    <w:p>
      <w:pPr>
        <w:pStyle w:val="5"/>
        <w:numPr>
          <w:ilvl w:val="3"/>
          <w:numId w:val="1"/>
        </w:numPr>
        <w:tabs>
          <w:tab w:val="left" w:pos="709"/>
        </w:tabs>
        <w:jc w:val="left"/>
        <w:rPr>
          <w:color w:val="auto"/>
        </w:rPr>
      </w:pPr>
      <w:r>
        <w:rPr>
          <w:rFonts w:hint="eastAsia"/>
          <w:color w:val="auto"/>
        </w:rPr>
        <w:t>技术、服务、合同条款要求应答表</w:t>
      </w:r>
    </w:p>
    <w:tbl>
      <w:tblPr>
        <w:tblStyle w:val="60"/>
        <w:tblW w:w="8613" w:type="dxa"/>
        <w:tblInd w:w="2" w:type="dxa"/>
        <w:tblLayout w:type="fixed"/>
        <w:tblCellMar>
          <w:top w:w="0" w:type="dxa"/>
          <w:left w:w="108" w:type="dxa"/>
          <w:bottom w:w="0" w:type="dxa"/>
          <w:right w:w="108" w:type="dxa"/>
        </w:tblCellMar>
      </w:tblPr>
      <w:tblGrid>
        <w:gridCol w:w="877"/>
        <w:gridCol w:w="2990"/>
        <w:gridCol w:w="3452"/>
        <w:gridCol w:w="1294"/>
      </w:tblGrid>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项目(包件x)</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备注</w:t>
            </w:r>
          </w:p>
        </w:tc>
      </w:tr>
      <w:tr>
        <w:tblPrEx>
          <w:tblLayout w:type="fixed"/>
          <w:tblCellMar>
            <w:top w:w="0" w:type="dxa"/>
            <w:left w:w="108" w:type="dxa"/>
            <w:bottom w:w="0" w:type="dxa"/>
            <w:right w:w="108" w:type="dxa"/>
          </w:tblCellMar>
        </w:tblPrEx>
        <w:trPr>
          <w:trHeight w:val="12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olor w:val="auto"/>
              </w:rPr>
            </w:pPr>
            <w:r>
              <w:rPr>
                <w:rFonts w:hint="eastAsia" w:ascii="宋体" w:hAnsi="宋体" w:cs="仿宋"/>
                <w:color w:val="auto"/>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6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color w:val="auto"/>
              </w:rPr>
            </w:pPr>
            <w:r>
              <w:rPr>
                <w:rFonts w:ascii="宋体" w:hAnsi="宋体" w:cs="仿宋"/>
                <w:color w:val="auto"/>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color w:val="auto"/>
              </w:rPr>
            </w:pPr>
            <w:r>
              <w:rPr>
                <w:rFonts w:hint="eastAsia" w:ascii="宋体" w:hAnsi="宋体" w:cs="仿宋"/>
                <w:color w:val="auto"/>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仿宋"/>
                <w:color w:val="auto"/>
              </w:rPr>
            </w:pPr>
            <w:r>
              <w:rPr>
                <w:rFonts w:hint="eastAsia" w:ascii="宋体" w:hAnsi="宋体" w:cs="仿宋"/>
                <w:color w:val="auto"/>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微软雅黑"/>
                <w:color w:val="auto"/>
                <w:u w:val="single"/>
              </w:rPr>
              <w:t></w:t>
            </w:r>
            <w:r>
              <w:rPr>
                <w:rFonts w:hint="eastAsia" w:ascii="宋体" w:hAnsi="宋体" w:cs="仿宋"/>
                <w:color w:val="auto"/>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ascii="宋体" w:hAnsi="宋体" w:cs="仿宋"/>
                <w:color w:val="auto"/>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ascii="宋体" w:hAnsi="宋体" w:eastAsia="宋体"/>
                <w:color w:val="auto"/>
                <w:lang w:val="en-US" w:eastAsia="zh-CN"/>
              </w:rPr>
            </w:pPr>
            <w:r>
              <w:rPr>
                <w:rFonts w:hint="eastAsia" w:ascii="宋体" w:hAnsi="宋体"/>
                <w:color w:val="auto"/>
                <w:lang w:val="en-US" w:eastAsia="zh-CN"/>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p>
        </w:tc>
      </w:tr>
      <w:tr>
        <w:tblPrEx>
          <w:tblLayout w:type="fixed"/>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olor w:val="auto"/>
              </w:rPr>
            </w:pPr>
            <w:r>
              <w:rPr>
                <w:rFonts w:hint="eastAsia" w:ascii="宋体" w:hAnsi="宋体" w:cs="仿宋"/>
                <w:color w:val="auto"/>
              </w:rPr>
              <w:t>…</w:t>
            </w:r>
          </w:p>
        </w:tc>
      </w:tr>
    </w:tbl>
    <w:p>
      <w:pPr>
        <w:rPr>
          <w:rFonts w:ascii="宋体" w:hAnsi="宋体"/>
          <w:color w:val="auto"/>
        </w:rPr>
      </w:pP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注：供应商必须根据磋商文件要求据实逐条填写，不得虚假陈述，否则，其施工响应文件无效并按规定追究其相关责任。</w:t>
      </w:r>
    </w:p>
    <w:p>
      <w:pPr>
        <w:snapToGrid w:val="0"/>
        <w:spacing w:line="360" w:lineRule="auto"/>
        <w:ind w:firstLine="584" w:firstLineChars="200"/>
        <w:rPr>
          <w:rFonts w:ascii="宋体" w:hAnsi="宋体"/>
          <w:color w:val="auto"/>
          <w:spacing w:val="6"/>
          <w:sz w:val="28"/>
          <w:szCs w:val="28"/>
        </w:rPr>
      </w:pP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供应商名称：</w:t>
      </w:r>
      <w:r>
        <w:rPr>
          <w:rFonts w:hint="eastAsia" w:ascii="宋体" w:hAnsi="宋体"/>
          <w:color w:val="auto"/>
          <w:spacing w:val="6"/>
          <w:sz w:val="28"/>
          <w:szCs w:val="28"/>
          <w:u w:val="single"/>
        </w:rPr>
        <w:t>　</w:t>
      </w:r>
      <w:r>
        <w:rPr>
          <w:rFonts w:ascii="宋体" w:hAnsi="宋体"/>
          <w:color w:val="auto"/>
          <w:spacing w:val="6"/>
          <w:sz w:val="28"/>
          <w:szCs w:val="28"/>
          <w:u w:val="single"/>
        </w:rPr>
        <w:t>XXX</w:t>
      </w:r>
      <w:r>
        <w:rPr>
          <w:rFonts w:hint="eastAsia" w:ascii="宋体" w:hAnsi="宋体"/>
          <w:color w:val="auto"/>
          <w:spacing w:val="6"/>
          <w:sz w:val="28"/>
          <w:szCs w:val="28"/>
          <w:u w:val="single"/>
        </w:rPr>
        <w:t>　</w:t>
      </w: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日期：</w:t>
      </w:r>
      <w:r>
        <w:rPr>
          <w:rFonts w:ascii="宋体" w:hAnsi="宋体"/>
          <w:color w:val="auto"/>
          <w:spacing w:val="6"/>
          <w:sz w:val="28"/>
          <w:szCs w:val="28"/>
          <w:u w:val="single"/>
        </w:rPr>
        <w:t>XXX</w:t>
      </w:r>
      <w:r>
        <w:rPr>
          <w:rFonts w:hint="eastAsia" w:ascii="宋体" w:hAnsi="宋体"/>
          <w:color w:val="auto"/>
          <w:spacing w:val="6"/>
          <w:sz w:val="28"/>
          <w:szCs w:val="28"/>
        </w:rPr>
        <w:t>年</w:t>
      </w:r>
      <w:r>
        <w:rPr>
          <w:rFonts w:ascii="宋体" w:hAnsi="宋体"/>
          <w:color w:val="auto"/>
          <w:spacing w:val="6"/>
          <w:sz w:val="28"/>
          <w:szCs w:val="28"/>
          <w:u w:val="single"/>
        </w:rPr>
        <w:t>XXX</w:t>
      </w:r>
      <w:r>
        <w:rPr>
          <w:rFonts w:hint="eastAsia" w:ascii="宋体" w:hAnsi="宋体"/>
          <w:color w:val="auto"/>
          <w:spacing w:val="6"/>
          <w:sz w:val="28"/>
          <w:szCs w:val="28"/>
        </w:rPr>
        <w:t>月</w:t>
      </w:r>
      <w:r>
        <w:rPr>
          <w:rFonts w:ascii="宋体" w:hAnsi="宋体"/>
          <w:color w:val="auto"/>
          <w:spacing w:val="6"/>
          <w:sz w:val="28"/>
          <w:szCs w:val="28"/>
          <w:u w:val="single"/>
        </w:rPr>
        <w:t>XXX</w:t>
      </w:r>
      <w:r>
        <w:rPr>
          <w:rFonts w:hint="eastAsia" w:ascii="宋体" w:hAnsi="宋体"/>
          <w:color w:val="auto"/>
          <w:spacing w:val="6"/>
          <w:sz w:val="28"/>
          <w:szCs w:val="28"/>
        </w:rPr>
        <w:t>日</w: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5"/>
        <w:numPr>
          <w:ilvl w:val="3"/>
          <w:numId w:val="1"/>
        </w:numPr>
        <w:tabs>
          <w:tab w:val="left" w:pos="709"/>
        </w:tabs>
        <w:jc w:val="left"/>
        <w:rPr>
          <w:color w:val="auto"/>
        </w:rPr>
        <w:sectPr>
          <w:footerReference r:id="rId7" w:type="default"/>
          <w:pgSz w:w="11907" w:h="16840"/>
          <w:pgMar w:top="1440" w:right="1797" w:bottom="1440" w:left="1797" w:header="720" w:footer="720" w:gutter="0"/>
          <w:cols w:space="720" w:num="1"/>
        </w:sectPr>
      </w:pPr>
    </w:p>
    <w:p>
      <w:pPr>
        <w:pStyle w:val="5"/>
        <w:numPr>
          <w:ilvl w:val="3"/>
          <w:numId w:val="1"/>
        </w:numPr>
        <w:tabs>
          <w:tab w:val="left" w:pos="709"/>
        </w:tabs>
        <w:jc w:val="left"/>
        <w:rPr>
          <w:color w:val="auto"/>
        </w:rPr>
      </w:pPr>
      <w:r>
        <w:rPr>
          <w:rFonts w:hint="eastAsia"/>
          <w:color w:val="auto"/>
        </w:rPr>
        <w:t>项目管理机构组成表</w:t>
      </w:r>
    </w:p>
    <w:tbl>
      <w:tblPr>
        <w:tblStyle w:val="60"/>
        <w:tblW w:w="9366" w:type="dxa"/>
        <w:jc w:val="center"/>
        <w:tblInd w:w="0" w:type="dxa"/>
        <w:tblLayout w:type="fixed"/>
        <w:tblCellMar>
          <w:top w:w="0" w:type="dxa"/>
          <w:left w:w="0" w:type="dxa"/>
          <w:bottom w:w="0" w:type="dxa"/>
          <w:right w:w="0" w:type="dxa"/>
        </w:tblCellMar>
      </w:tblPr>
      <w:tblGrid>
        <w:gridCol w:w="857"/>
        <w:gridCol w:w="1695"/>
        <w:gridCol w:w="1423"/>
        <w:gridCol w:w="1276"/>
        <w:gridCol w:w="1301"/>
        <w:gridCol w:w="1134"/>
        <w:gridCol w:w="1680"/>
      </w:tblGrid>
      <w:tr>
        <w:tblPrEx>
          <w:tblLayout w:type="fixed"/>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职称</w:t>
            </w:r>
          </w:p>
        </w:tc>
      </w:tr>
      <w:tr>
        <w:tblPrEx>
          <w:tblLayout w:type="fixed"/>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级别</w:t>
            </w: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项目负责人</w:t>
            </w:r>
          </w:p>
          <w:p>
            <w:pPr>
              <w:spacing w:line="360" w:lineRule="auto"/>
              <w:jc w:val="center"/>
              <w:rPr>
                <w:rFonts w:ascii="宋体" w:hAnsi="宋体"/>
                <w:color w:val="auto"/>
              </w:rPr>
            </w:pPr>
            <w:r>
              <w:rPr>
                <w:rFonts w:hint="eastAsia" w:ascii="宋体" w:hAnsi="宋体" w:cs="仿宋"/>
                <w:color w:val="auto"/>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auto"/>
              </w:rPr>
            </w:pPr>
            <w:r>
              <w:rPr>
                <w:rFonts w:hint="eastAsia" w:ascii="宋体" w:hAnsi="宋体" w:cs="仿宋"/>
                <w:color w:val="auto"/>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仿宋"/>
                <w:color w:val="auto"/>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bl>
    <w:p>
      <w:pPr>
        <w:rPr>
          <w:rFonts w:ascii="宋体" w:hAnsi="宋体"/>
          <w:color w:val="auto"/>
        </w:rPr>
      </w:pPr>
    </w:p>
    <w:p>
      <w:pPr>
        <w:rPr>
          <w:rFonts w:ascii="宋体" w:hAnsi="宋体"/>
          <w:color w:val="auto"/>
        </w:rPr>
      </w:pPr>
    </w:p>
    <w:p>
      <w:pPr>
        <w:spacing w:line="360" w:lineRule="auto"/>
        <w:ind w:left="410" w:leftChars="171"/>
        <w:rPr>
          <w:rFonts w:ascii="宋体" w:hAnsi="宋体"/>
          <w:color w:val="auto"/>
        </w:rPr>
      </w:pP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供应商名称：</w:t>
      </w:r>
      <w:r>
        <w:rPr>
          <w:rFonts w:hint="eastAsia" w:ascii="宋体" w:hAnsi="宋体"/>
          <w:color w:val="auto"/>
          <w:spacing w:val="6"/>
          <w:sz w:val="28"/>
          <w:szCs w:val="28"/>
          <w:u w:val="single"/>
        </w:rPr>
        <w:t>　</w:t>
      </w:r>
      <w:r>
        <w:rPr>
          <w:rFonts w:ascii="宋体" w:hAnsi="宋体"/>
          <w:color w:val="auto"/>
          <w:spacing w:val="6"/>
          <w:sz w:val="28"/>
          <w:szCs w:val="28"/>
          <w:u w:val="single"/>
        </w:rPr>
        <w:t>XXX</w:t>
      </w:r>
      <w:r>
        <w:rPr>
          <w:rFonts w:hint="eastAsia" w:ascii="宋体" w:hAnsi="宋体"/>
          <w:color w:val="auto"/>
          <w:spacing w:val="6"/>
          <w:sz w:val="28"/>
          <w:szCs w:val="28"/>
          <w:u w:val="single"/>
        </w:rPr>
        <w:t>　</w:t>
      </w: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日期：</w:t>
      </w:r>
      <w:r>
        <w:rPr>
          <w:rFonts w:ascii="宋体" w:hAnsi="宋体"/>
          <w:color w:val="auto"/>
          <w:spacing w:val="6"/>
          <w:sz w:val="28"/>
          <w:szCs w:val="28"/>
          <w:u w:val="single"/>
        </w:rPr>
        <w:t>XXX</w:t>
      </w:r>
      <w:r>
        <w:rPr>
          <w:rFonts w:hint="eastAsia" w:ascii="宋体" w:hAnsi="宋体"/>
          <w:color w:val="auto"/>
          <w:spacing w:val="6"/>
          <w:sz w:val="28"/>
          <w:szCs w:val="28"/>
        </w:rPr>
        <w:t>年</w:t>
      </w:r>
      <w:r>
        <w:rPr>
          <w:rFonts w:ascii="宋体" w:hAnsi="宋体"/>
          <w:color w:val="auto"/>
          <w:spacing w:val="6"/>
          <w:sz w:val="28"/>
          <w:szCs w:val="28"/>
          <w:u w:val="single"/>
        </w:rPr>
        <w:t>XXX</w:t>
      </w:r>
      <w:r>
        <w:rPr>
          <w:rFonts w:hint="eastAsia" w:ascii="宋体" w:hAnsi="宋体"/>
          <w:color w:val="auto"/>
          <w:spacing w:val="6"/>
          <w:sz w:val="28"/>
          <w:szCs w:val="28"/>
        </w:rPr>
        <w:t>月</w:t>
      </w:r>
      <w:r>
        <w:rPr>
          <w:rFonts w:ascii="宋体" w:hAnsi="宋体"/>
          <w:color w:val="auto"/>
          <w:spacing w:val="6"/>
          <w:sz w:val="28"/>
          <w:szCs w:val="28"/>
          <w:u w:val="single"/>
        </w:rPr>
        <w:t>XXX</w:t>
      </w:r>
      <w:r>
        <w:rPr>
          <w:rFonts w:hint="eastAsia" w:ascii="宋体" w:hAnsi="宋体"/>
          <w:color w:val="auto"/>
          <w:spacing w:val="6"/>
          <w:sz w:val="28"/>
          <w:szCs w:val="28"/>
        </w:rPr>
        <w:t>日</w:t>
      </w:r>
    </w:p>
    <w:p>
      <w:pPr>
        <w:spacing w:line="360" w:lineRule="auto"/>
        <w:rPr>
          <w:rFonts w:ascii="宋体" w:hAnsi="宋体" w:cs="仿宋"/>
          <w:color w:val="auto"/>
        </w:rPr>
      </w:pPr>
    </w:p>
    <w:p>
      <w:pPr>
        <w:spacing w:line="360" w:lineRule="auto"/>
        <w:rPr>
          <w:rFonts w:ascii="宋体" w:hAnsi="宋体" w:cs="仿宋"/>
          <w:color w:val="auto"/>
        </w:rPr>
      </w:pPr>
      <w:r>
        <w:rPr>
          <w:rFonts w:hint="eastAsia" w:ascii="宋体" w:hAnsi="宋体" w:cs="仿宋"/>
          <w:b/>
          <w:color w:val="auto"/>
        </w:rPr>
        <w:t>注：</w:t>
      </w:r>
      <w:r>
        <w:rPr>
          <w:rFonts w:hint="eastAsia" w:ascii="宋体" w:hAnsi="宋体" w:cs="仿宋"/>
          <w:color w:val="auto"/>
        </w:rP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rPr>
          <w:rFonts w:ascii="宋体" w:hAnsi="宋体" w:cs="仿宋"/>
          <w:color w:val="auto"/>
        </w:rPr>
      </w:pPr>
    </w:p>
    <w:p>
      <w:pPr>
        <w:spacing w:line="360" w:lineRule="auto"/>
        <w:rPr>
          <w:rFonts w:ascii="宋体" w:hAnsi="宋体" w:cs="仿宋"/>
          <w:color w:val="auto"/>
        </w:rPr>
      </w:pPr>
    </w:p>
    <w:p>
      <w:pPr>
        <w:spacing w:line="360" w:lineRule="auto"/>
        <w:rPr>
          <w:rFonts w:ascii="宋体" w:hAnsi="宋体" w:cs="仿宋"/>
          <w:color w:val="auto"/>
        </w:rPr>
      </w:pPr>
    </w:p>
    <w:p>
      <w:pPr>
        <w:spacing w:line="360" w:lineRule="auto"/>
        <w:rPr>
          <w:rFonts w:ascii="宋体" w:hAnsi="宋体" w:cs="仿宋"/>
          <w:color w:val="auto"/>
        </w:rPr>
      </w:pPr>
    </w:p>
    <w:p>
      <w:pPr>
        <w:spacing w:line="360" w:lineRule="auto"/>
        <w:rPr>
          <w:rFonts w:ascii="宋体" w:hAnsi="宋体" w:cs="仿宋"/>
          <w:color w:val="auto"/>
        </w:rPr>
      </w:pPr>
    </w:p>
    <w:p>
      <w:pPr>
        <w:spacing w:line="360" w:lineRule="auto"/>
        <w:rPr>
          <w:rFonts w:ascii="宋体" w:hAnsi="宋体"/>
          <w:color w:val="auto"/>
        </w:rPr>
      </w:pPr>
    </w:p>
    <w:p>
      <w:pPr>
        <w:pStyle w:val="5"/>
        <w:numPr>
          <w:ilvl w:val="3"/>
          <w:numId w:val="1"/>
        </w:numPr>
        <w:tabs>
          <w:tab w:val="left" w:pos="709"/>
        </w:tabs>
        <w:jc w:val="left"/>
        <w:rPr>
          <w:color w:val="auto"/>
        </w:rPr>
      </w:pPr>
      <w:r>
        <w:rPr>
          <w:rFonts w:hint="eastAsia"/>
          <w:color w:val="auto"/>
        </w:rPr>
        <w:t>相关管理机构主要人员简历表</w:t>
      </w:r>
    </w:p>
    <w:tbl>
      <w:tblPr>
        <w:tblStyle w:val="60"/>
        <w:tblW w:w="9406" w:type="dxa"/>
        <w:jc w:val="center"/>
        <w:tblInd w:w="0" w:type="dxa"/>
        <w:tblLayout w:type="fixed"/>
        <w:tblCellMar>
          <w:top w:w="0" w:type="dxa"/>
          <w:left w:w="0" w:type="dxa"/>
          <w:bottom w:w="0" w:type="dxa"/>
          <w:right w:w="0" w:type="dxa"/>
        </w:tblCellMar>
      </w:tblPr>
      <w:tblGrid>
        <w:gridCol w:w="1595"/>
        <w:gridCol w:w="25"/>
        <w:gridCol w:w="1215"/>
        <w:gridCol w:w="1134"/>
        <w:gridCol w:w="1276"/>
        <w:gridCol w:w="1843"/>
        <w:gridCol w:w="2318"/>
      </w:tblGrid>
      <w:tr>
        <w:tblPrEx>
          <w:tblLayout w:type="fixed"/>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0" w:firstLineChars="2000"/>
              <w:rPr>
                <w:rFonts w:ascii="宋体" w:hAnsi="宋体"/>
                <w:color w:val="auto"/>
              </w:rPr>
            </w:pPr>
            <w:r>
              <w:rPr>
                <w:rFonts w:hint="eastAsia" w:ascii="宋体" w:hAnsi="宋体" w:cs="仿宋"/>
                <w:color w:val="auto"/>
              </w:rPr>
              <w:t>主要工作经历</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仿宋"/>
                <w:color w:val="auto"/>
              </w:rPr>
              <w:t>发包人</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p>
        </w:tc>
      </w:tr>
    </w:tbl>
    <w:p>
      <w:pPr>
        <w:spacing w:line="360" w:lineRule="auto"/>
        <w:ind w:left="120" w:hanging="120" w:hangingChars="50"/>
        <w:rPr>
          <w:rFonts w:ascii="宋体" w:hAnsi="宋体"/>
          <w:b/>
          <w:color w:val="auto"/>
        </w:rPr>
      </w:pPr>
      <w:r>
        <w:rPr>
          <w:rFonts w:hint="eastAsia" w:ascii="宋体" w:hAnsi="宋体" w:cs="仿宋"/>
          <w:b/>
          <w:color w:val="auto"/>
        </w:rPr>
        <w:t>注：</w:t>
      </w:r>
    </w:p>
    <w:p>
      <w:pPr>
        <w:spacing w:line="360" w:lineRule="auto"/>
        <w:ind w:left="120" w:hanging="120" w:hangingChars="50"/>
        <w:rPr>
          <w:rFonts w:ascii="宋体" w:hAnsi="宋体"/>
          <w:color w:val="auto"/>
        </w:rPr>
      </w:pPr>
      <w:r>
        <w:rPr>
          <w:rFonts w:ascii="宋体" w:hAnsi="宋体" w:cs="仿宋"/>
          <w:color w:val="auto"/>
        </w:rPr>
        <w:t>1</w:t>
      </w:r>
      <w:r>
        <w:rPr>
          <w:rFonts w:hint="eastAsia" w:ascii="宋体" w:hAnsi="宋体" w:cs="仿宋"/>
          <w:color w:val="auto"/>
        </w:rPr>
        <w:t>、人员应附身份证复印件。</w:t>
      </w:r>
    </w:p>
    <w:p>
      <w:pPr>
        <w:spacing w:line="360" w:lineRule="auto"/>
        <w:ind w:left="120" w:hanging="120" w:hangingChars="50"/>
        <w:rPr>
          <w:rFonts w:ascii="宋体" w:hAnsi="宋体"/>
          <w:color w:val="auto"/>
        </w:rPr>
      </w:pPr>
      <w:r>
        <w:rPr>
          <w:rFonts w:ascii="宋体" w:hAnsi="宋体" w:cs="仿宋"/>
          <w:color w:val="auto"/>
        </w:rPr>
        <w:t>2</w:t>
      </w:r>
      <w:r>
        <w:rPr>
          <w:rFonts w:hint="eastAsia" w:ascii="宋体" w:hAnsi="宋体" w:cs="仿宋"/>
          <w:color w:val="auto"/>
        </w:rPr>
        <w:t>、人员应附执业或职业资格证或上岗证或职称证复印件。</w:t>
      </w:r>
    </w:p>
    <w:p>
      <w:pPr>
        <w:rPr>
          <w:rFonts w:ascii="宋体" w:hAnsi="宋体"/>
          <w:color w:val="auto"/>
        </w:rPr>
      </w:pPr>
    </w:p>
    <w:p>
      <w:pPr>
        <w:pStyle w:val="16"/>
        <w:rPr>
          <w:rFonts w:ascii="宋体" w:hAnsi="宋体"/>
          <w:color w:val="auto"/>
        </w:rPr>
      </w:pPr>
    </w:p>
    <w:p>
      <w:pPr>
        <w:rPr>
          <w:rFonts w:ascii="宋体" w:hAnsi="宋体"/>
          <w:color w:val="auto"/>
        </w:rPr>
      </w:pPr>
    </w:p>
    <w:p>
      <w:pPr>
        <w:pStyle w:val="16"/>
        <w:rPr>
          <w:rFonts w:ascii="宋体" w:hAnsi="宋体"/>
          <w:color w:val="auto"/>
        </w:rPr>
      </w:pPr>
    </w:p>
    <w:p>
      <w:pPr>
        <w:rPr>
          <w:rFonts w:ascii="宋体" w:hAnsi="宋体"/>
          <w:color w:val="auto"/>
        </w:rPr>
      </w:pPr>
    </w:p>
    <w:p>
      <w:pPr>
        <w:pStyle w:val="16"/>
        <w:rPr>
          <w:rFonts w:ascii="宋体" w:hAnsi="宋体"/>
          <w:color w:val="auto"/>
        </w:rPr>
      </w:pPr>
    </w:p>
    <w:p>
      <w:pPr>
        <w:rPr>
          <w:rFonts w:ascii="宋体" w:hAnsi="宋体"/>
          <w:color w:val="auto"/>
        </w:rPr>
      </w:pPr>
    </w:p>
    <w:p>
      <w:pPr>
        <w:pStyle w:val="16"/>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16"/>
        <w:rPr>
          <w:rFonts w:ascii="宋体" w:hAnsi="宋体"/>
          <w:color w:val="auto"/>
        </w:rPr>
      </w:pPr>
    </w:p>
    <w:p>
      <w:pPr>
        <w:pStyle w:val="16"/>
        <w:rPr>
          <w:rFonts w:ascii="宋体" w:hAnsi="宋体"/>
          <w:color w:val="auto"/>
        </w:rPr>
      </w:pPr>
    </w:p>
    <w:p>
      <w:pPr>
        <w:pStyle w:val="5"/>
        <w:tabs>
          <w:tab w:val="left" w:pos="709"/>
        </w:tabs>
        <w:ind w:left="1135" w:hanging="1135"/>
        <w:jc w:val="left"/>
        <w:rPr>
          <w:color w:val="auto"/>
        </w:rPr>
      </w:pPr>
      <w:r>
        <w:rPr>
          <w:rFonts w:hint="eastAsia"/>
          <w:color w:val="auto"/>
        </w:rPr>
        <w:t>报价要求响应文件</w:t>
      </w:r>
    </w:p>
    <w:p>
      <w:pPr>
        <w:pStyle w:val="5"/>
        <w:numPr>
          <w:ilvl w:val="3"/>
          <w:numId w:val="1"/>
        </w:numPr>
        <w:tabs>
          <w:tab w:val="left" w:pos="709"/>
        </w:tabs>
        <w:jc w:val="left"/>
        <w:rPr>
          <w:color w:val="auto"/>
        </w:rPr>
      </w:pPr>
      <w:r>
        <w:rPr>
          <w:rFonts w:hint="eastAsia"/>
          <w:color w:val="auto"/>
        </w:rPr>
        <w:t>已标价工程量清单</w:t>
      </w:r>
    </w:p>
    <w:p>
      <w:pPr>
        <w:snapToGrid w:val="0"/>
        <w:spacing w:line="360" w:lineRule="auto"/>
        <w:ind w:firstLine="584" w:firstLineChars="200"/>
        <w:rPr>
          <w:rFonts w:ascii="宋体" w:hAnsi="宋体"/>
          <w:color w:val="auto"/>
          <w:spacing w:val="6"/>
          <w:sz w:val="28"/>
          <w:szCs w:val="28"/>
        </w:rPr>
      </w:pPr>
    </w:p>
    <w:p>
      <w:pPr>
        <w:snapToGrid w:val="0"/>
        <w:spacing w:line="360" w:lineRule="auto"/>
        <w:ind w:firstLine="584" w:firstLineChars="200"/>
        <w:rPr>
          <w:rFonts w:ascii="宋体" w:hAnsi="宋体"/>
          <w:color w:val="auto"/>
          <w:spacing w:val="6"/>
          <w:sz w:val="28"/>
          <w:szCs w:val="28"/>
        </w:rPr>
      </w:pPr>
      <w:r>
        <w:rPr>
          <w:rFonts w:hint="eastAsia" w:ascii="宋体" w:hAnsi="宋体"/>
          <w:color w:val="auto"/>
          <w:spacing w:val="6"/>
          <w:sz w:val="28"/>
          <w:szCs w:val="28"/>
        </w:rPr>
        <w:t>已标价工程量清单应符合磋商文件“第二章磋商须知”第2.4.3条报价货币及报价要求的相关要求以及工程量清单总说明的相关要求。</w:t>
      </w:r>
    </w:p>
    <w:p>
      <w:pPr>
        <w:pStyle w:val="16"/>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bookmarkEnd w:id="60"/>
    <w:p>
      <w:pPr>
        <w:pStyle w:val="3"/>
        <w:numPr>
          <w:ilvl w:val="0"/>
          <w:numId w:val="1"/>
        </w:numPr>
        <w:spacing w:before="0" w:after="0"/>
        <w:ind w:left="0" w:firstLine="0"/>
        <w:rPr>
          <w:color w:val="auto"/>
        </w:rPr>
        <w:sectPr>
          <w:pgSz w:w="11907" w:h="16840"/>
          <w:pgMar w:top="1440" w:right="1797" w:bottom="1440" w:left="1797" w:header="720" w:footer="720" w:gutter="0"/>
          <w:cols w:space="720" w:num="1"/>
        </w:sectPr>
      </w:pPr>
    </w:p>
    <w:p>
      <w:pPr>
        <w:pStyle w:val="3"/>
        <w:numPr>
          <w:ilvl w:val="0"/>
          <w:numId w:val="1"/>
        </w:numPr>
        <w:spacing w:before="0" w:after="0"/>
        <w:ind w:left="0" w:firstLine="0"/>
        <w:rPr>
          <w:color w:val="auto"/>
        </w:rPr>
      </w:pPr>
      <w:bookmarkStart w:id="61" w:name="_Toc18332"/>
      <w:r>
        <w:rPr>
          <w:rFonts w:hint="eastAsia"/>
          <w:color w:val="auto"/>
        </w:rPr>
        <w:t>技术、服务、商务及其他要求</w:t>
      </w:r>
      <w:bookmarkEnd w:id="61"/>
    </w:p>
    <w:p>
      <w:pPr>
        <w:pStyle w:val="16"/>
        <w:keepNext w:val="0"/>
        <w:keepLines w:val="0"/>
        <w:pageBreakBefore w:val="0"/>
        <w:kinsoku/>
        <w:wordWrap/>
        <w:overflowPunct/>
        <w:topLinePunct w:val="0"/>
        <w:bidi w:val="0"/>
        <w:spacing w:line="580" w:lineRule="exact"/>
        <w:ind w:firstLine="560" w:firstLineChars="200"/>
        <w:textAlignment w:val="auto"/>
        <w:rPr>
          <w:rFonts w:hint="eastAsia" w:ascii="宋体" w:hAnsi="宋体" w:eastAsia="宋体" w:cs="宋体"/>
          <w:b w:val="0"/>
          <w:bCs/>
          <w:color w:val="000000"/>
          <w:kern w:val="44"/>
          <w:sz w:val="28"/>
          <w:szCs w:val="28"/>
          <w:lang w:val="en-US" w:eastAsia="zh-CN" w:bidi="ar"/>
        </w:rPr>
      </w:pPr>
      <w:bookmarkStart w:id="62" w:name="_Toc496702872"/>
      <w:bookmarkStart w:id="63" w:name="_Toc321334066"/>
      <w:r>
        <w:rPr>
          <w:rFonts w:hint="eastAsia" w:ascii="宋体" w:hAnsi="宋体" w:eastAsia="宋体" w:cs="宋体"/>
          <w:b w:val="0"/>
          <w:bCs/>
          <w:color w:val="000000"/>
          <w:kern w:val="44"/>
          <w:sz w:val="28"/>
          <w:szCs w:val="28"/>
          <w:lang w:val="en-US" w:eastAsia="zh-CN" w:bidi="ar"/>
        </w:rPr>
        <w:t>前提：本采购需求中标注“▲”号的条款为本次磋商采购项目的实质性要求，供应商应全部满足，否则作无效响应处理。</w:t>
      </w:r>
    </w:p>
    <w:p>
      <w:pPr>
        <w:keepNext w:val="0"/>
        <w:keepLines w:val="0"/>
        <w:pageBreakBefore w:val="0"/>
        <w:kinsoku/>
        <w:wordWrap/>
        <w:overflowPunct/>
        <w:topLinePunct w:val="0"/>
        <w:bidi w:val="0"/>
        <w:spacing w:line="580" w:lineRule="exact"/>
        <w:textAlignment w:val="auto"/>
        <w:rPr>
          <w:rFonts w:hint="eastAsia" w:ascii="宋体" w:hAnsi="宋体" w:eastAsia="宋体" w:cs="宋体"/>
          <w:b/>
          <w:bCs w:val="0"/>
          <w:color w:val="000000"/>
          <w:sz w:val="28"/>
          <w:szCs w:val="28"/>
          <w:lang w:eastAsia="zh-CN"/>
        </w:rPr>
      </w:pPr>
      <w:bookmarkStart w:id="64" w:name="_Toc26490_WPSOffice_Level2"/>
      <w:r>
        <w:rPr>
          <w:rFonts w:hint="eastAsia" w:ascii="宋体" w:hAnsi="宋体" w:eastAsia="宋体" w:cs="宋体"/>
          <w:b/>
          <w:bCs w:val="0"/>
          <w:sz w:val="28"/>
          <w:szCs w:val="28"/>
        </w:rPr>
        <w:t>一、</w:t>
      </w:r>
      <w:bookmarkStart w:id="65" w:name="_Hlk533016958"/>
      <w:r>
        <w:rPr>
          <w:rFonts w:hint="eastAsia" w:ascii="宋体" w:hAnsi="宋体" w:eastAsia="宋体" w:cs="宋体"/>
          <w:b/>
          <w:bCs w:val="0"/>
          <w:color w:val="000000"/>
          <w:sz w:val="28"/>
          <w:szCs w:val="28"/>
        </w:rPr>
        <w:t>项目</w:t>
      </w:r>
      <w:bookmarkEnd w:id="64"/>
      <w:r>
        <w:rPr>
          <w:rFonts w:hint="eastAsia" w:ascii="宋体" w:hAnsi="宋体" w:cs="宋体"/>
          <w:b/>
          <w:bCs w:val="0"/>
          <w:color w:val="000000"/>
          <w:sz w:val="28"/>
          <w:szCs w:val="28"/>
          <w:lang w:eastAsia="zh-CN"/>
        </w:rPr>
        <w:t>名称</w:t>
      </w:r>
    </w:p>
    <w:bookmarkEnd w:id="65"/>
    <w:p>
      <w:pPr>
        <w:keepNext w:val="0"/>
        <w:keepLines w:val="0"/>
        <w:pageBreakBefore w:val="0"/>
        <w:kinsoku/>
        <w:wordWrap/>
        <w:overflowPunct/>
        <w:topLinePunct w:val="0"/>
        <w:bidi w:val="0"/>
        <w:spacing w:line="580" w:lineRule="exact"/>
        <w:ind w:firstLine="420" w:firstLineChars="150"/>
        <w:textAlignment w:val="auto"/>
        <w:rPr>
          <w:rFonts w:hint="eastAsia"/>
        </w:rPr>
      </w:pPr>
      <w:r>
        <w:rPr>
          <w:rFonts w:hint="eastAsia" w:ascii="宋体" w:hAnsi="宋体"/>
          <w:color w:val="000000"/>
          <w:sz w:val="28"/>
          <w:szCs w:val="28"/>
          <w:lang w:eastAsia="zh-CN"/>
        </w:rPr>
        <w:t>成都市龙泉驿区市政设施管理服务中心2021年城市人行道维修提升整治采购项目</w:t>
      </w:r>
      <w:r>
        <w:rPr>
          <w:rFonts w:hint="eastAsia" w:ascii="宋体" w:hAnsi="宋体"/>
          <w:color w:val="000000"/>
          <w:sz w:val="28"/>
          <w:szCs w:val="28"/>
        </w:rPr>
        <w:t>。</w:t>
      </w:r>
    </w:p>
    <w:p>
      <w:pPr>
        <w:keepNext w:val="0"/>
        <w:keepLines w:val="0"/>
        <w:pageBreakBefore w:val="0"/>
        <w:kinsoku/>
        <w:wordWrap/>
        <w:overflowPunct/>
        <w:topLinePunct w:val="0"/>
        <w:bidi w:val="0"/>
        <w:spacing w:line="580" w:lineRule="exact"/>
        <w:textAlignment w:val="auto"/>
        <w:rPr>
          <w:rFonts w:hint="eastAsia" w:ascii="宋体" w:hAnsi="宋体" w:eastAsia="宋体" w:cs="宋体"/>
          <w:b/>
          <w:bCs w:val="0"/>
          <w:sz w:val="28"/>
          <w:szCs w:val="28"/>
          <w:lang w:val="en-US" w:eastAsia="zh-CN"/>
        </w:rPr>
      </w:pPr>
      <w:bookmarkStart w:id="66" w:name="_Toc1247_WPSOffice_Level2"/>
      <w:r>
        <w:rPr>
          <w:rFonts w:hint="eastAsia" w:ascii="宋体" w:hAnsi="宋体" w:eastAsia="宋体" w:cs="宋体"/>
          <w:b/>
          <w:bCs w:val="0"/>
          <w:sz w:val="28"/>
          <w:szCs w:val="28"/>
          <w:lang w:val="en-US" w:eastAsia="zh-CN"/>
        </w:rPr>
        <w:t>二、本项目工程量清单、图纸（另册）</w:t>
      </w:r>
      <w:bookmarkEnd w:id="66"/>
    </w:p>
    <w:p>
      <w:pPr>
        <w:pStyle w:val="16"/>
        <w:keepNext w:val="0"/>
        <w:keepLines w:val="0"/>
        <w:pageBreakBefore w:val="0"/>
        <w:kinsoku/>
        <w:wordWrap/>
        <w:overflowPunct/>
        <w:topLinePunct w:val="0"/>
        <w:bidi w:val="0"/>
        <w:spacing w:line="58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工程量清单报价说明：</w:t>
      </w:r>
      <w:r>
        <w:rPr>
          <w:rFonts w:hint="eastAsia" w:ascii="宋体" w:hAnsi="宋体" w:cs="宋体"/>
          <w:sz w:val="28"/>
          <w:szCs w:val="28"/>
          <w:lang w:val="en-US" w:eastAsia="zh-CN"/>
        </w:rPr>
        <w:t>详见清单内相关要求</w:t>
      </w:r>
      <w:r>
        <w:rPr>
          <w:rFonts w:hint="eastAsia" w:ascii="宋体" w:hAnsi="宋体" w:eastAsia="宋体" w:cs="宋体"/>
          <w:sz w:val="28"/>
          <w:szCs w:val="28"/>
          <w:lang w:val="en-US" w:eastAsia="zh-CN"/>
        </w:rPr>
        <w:t>。</w:t>
      </w:r>
    </w:p>
    <w:p>
      <w:pPr>
        <w:pStyle w:val="16"/>
        <w:keepNext w:val="0"/>
        <w:keepLines w:val="0"/>
        <w:pageBreakBefore w:val="0"/>
        <w:kinsoku/>
        <w:wordWrap/>
        <w:overflowPunct/>
        <w:topLinePunct w:val="0"/>
        <w:bidi w:val="0"/>
        <w:spacing w:line="58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分包如下：</w:t>
      </w:r>
    </w:p>
    <w:tbl>
      <w:tblPr>
        <w:tblStyle w:val="60"/>
        <w:tblW w:w="6232" w:type="dxa"/>
        <w:tblInd w:w="9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4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trPr>
        <w:tc>
          <w:tcPr>
            <w:tcW w:w="123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包件号</w:t>
            </w:r>
          </w:p>
        </w:tc>
        <w:tc>
          <w:tcPr>
            <w:tcW w:w="4995"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道路名称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restart"/>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一包</w:t>
            </w: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圣景路一段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圣景路二段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圣景路三段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黄义路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restart"/>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二包</w:t>
            </w: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双龙路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创业南街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金银花街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restart"/>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三包</w:t>
            </w: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广乐路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汇丰路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沿山路一段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23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en-US" w:eastAsia="zh-CN"/>
              </w:rPr>
            </w:pP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沿山路二段及公园路（局部）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23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rPr>
                <w:rFonts w:hint="eastAsia" w:ascii="宋体" w:hAnsi="宋体" w:eastAsia="宋体" w:cs="宋体"/>
                <w:kern w:val="0"/>
                <w:sz w:val="24"/>
                <w:szCs w:val="24"/>
                <w:lang w:val="zh-CN"/>
              </w:rPr>
            </w:pPr>
          </w:p>
        </w:tc>
        <w:tc>
          <w:tcPr>
            <w:tcW w:w="4995" w:type="dxa"/>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i w:val="0"/>
                <w:iCs w:val="0"/>
                <w:color w:val="000000"/>
                <w:kern w:val="0"/>
                <w:sz w:val="24"/>
                <w:szCs w:val="24"/>
                <w:u w:val="none"/>
                <w:lang w:val="en-US" w:eastAsia="zh-CN" w:bidi="ar"/>
              </w:rPr>
              <w:t>大十三路</w:t>
            </w:r>
          </w:p>
        </w:tc>
      </w:tr>
    </w:tbl>
    <w:p>
      <w:pPr>
        <w:pStyle w:val="2"/>
        <w:rPr>
          <w:rFonts w:hint="eastAsia"/>
          <w:lang w:val="en-US" w:eastAsia="zh-CN"/>
        </w:rPr>
      </w:pPr>
    </w:p>
    <w:p>
      <w:pPr>
        <w:keepNext w:val="0"/>
        <w:keepLines w:val="0"/>
        <w:pageBreakBefore w:val="0"/>
        <w:kinsoku/>
        <w:wordWrap/>
        <w:overflowPunct/>
        <w:topLinePunct w:val="0"/>
        <w:bidi w:val="0"/>
        <w:spacing w:line="580" w:lineRule="exact"/>
        <w:textAlignment w:val="auto"/>
        <w:rPr>
          <w:rFonts w:hint="eastAsia" w:ascii="宋体" w:hAnsi="宋体" w:eastAsia="宋体" w:cs="宋体"/>
          <w:b/>
          <w:bCs w:val="0"/>
          <w:sz w:val="28"/>
          <w:szCs w:val="28"/>
          <w:lang w:val="en-US" w:eastAsia="zh-CN"/>
        </w:rPr>
      </w:pPr>
      <w:bookmarkStart w:id="67" w:name="_Toc8980_WPSOffice_Level2"/>
      <w:r>
        <w:rPr>
          <w:rFonts w:hint="eastAsia" w:ascii="宋体" w:hAnsi="宋体" w:eastAsia="宋体" w:cs="宋体"/>
          <w:b/>
          <w:bCs w:val="0"/>
          <w:sz w:val="28"/>
          <w:szCs w:val="28"/>
          <w:lang w:val="en-US" w:eastAsia="zh-CN"/>
        </w:rPr>
        <w:t>三、项目要求</w:t>
      </w:r>
      <w:bookmarkEnd w:id="67"/>
    </w:p>
    <w:p>
      <w:pPr>
        <w:pStyle w:val="16"/>
        <w:keepNext w:val="0"/>
        <w:keepLines w:val="0"/>
        <w:pageBreakBefore w:val="0"/>
        <w:widowControl w:val="0"/>
        <w:kinsoku/>
        <w:wordWrap/>
        <w:overflowPunct/>
        <w:topLinePunct w:val="0"/>
        <w:autoSpaceDE w:val="0"/>
        <w:autoSpaceDN w:val="0"/>
        <w:bidi w:val="0"/>
        <w:adjustRightInd w:val="0"/>
        <w:snapToGrid w:val="0"/>
        <w:spacing w:line="580" w:lineRule="exact"/>
        <w:ind w:firstLine="840" w:firstLineChars="300"/>
        <w:textAlignment w:val="auto"/>
        <w:rPr>
          <w:rFonts w:hint="eastAsia" w:ascii="宋体" w:hAnsi="宋体" w:eastAsia="宋体" w:cs="宋体"/>
          <w:kern w:val="2"/>
          <w:sz w:val="28"/>
          <w:szCs w:val="28"/>
          <w:lang w:val="en-US" w:eastAsia="zh-CN" w:bidi="ar-SA"/>
        </w:rPr>
      </w:pPr>
      <w:bookmarkStart w:id="68" w:name="_Toc32054_WPSOffice_Level2"/>
      <w:r>
        <w:rPr>
          <w:rFonts w:hint="eastAsia" w:ascii="宋体" w:hAnsi="宋体" w:eastAsia="宋体" w:cs="宋体"/>
          <w:kern w:val="2"/>
          <w:sz w:val="28"/>
          <w:szCs w:val="28"/>
          <w:lang w:val="en-US" w:eastAsia="zh-CN" w:bidi="ar-SA"/>
        </w:rPr>
        <w:t>▲1、本项目的技术、服务、合同条款要求如下：</w:t>
      </w:r>
    </w:p>
    <w:tbl>
      <w:tblPr>
        <w:tblStyle w:val="60"/>
        <w:tblW w:w="811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700"/>
        <w:gridCol w:w="46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序号</w:t>
            </w:r>
          </w:p>
        </w:tc>
        <w:tc>
          <w:tcPr>
            <w:tcW w:w="27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项目</w:t>
            </w:r>
            <w:r>
              <w:rPr>
                <w:rFonts w:hint="eastAsia" w:ascii="宋体" w:hAnsi="宋体" w:cs="宋体"/>
                <w:b/>
                <w:bCs/>
                <w:sz w:val="28"/>
                <w:szCs w:val="28"/>
                <w:lang w:val="en-US" w:eastAsia="zh-CN"/>
              </w:rPr>
              <w:t>(包件x)</w:t>
            </w:r>
          </w:p>
        </w:tc>
        <w:tc>
          <w:tcPr>
            <w:tcW w:w="460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27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项目负责人</w:t>
            </w:r>
          </w:p>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（项目经理）</w:t>
            </w:r>
          </w:p>
        </w:tc>
        <w:tc>
          <w:tcPr>
            <w:tcW w:w="4606" w:type="dxa"/>
            <w:tcBorders>
              <w:tl2br w:val="nil"/>
              <w:tr2bl w:val="nil"/>
            </w:tcBorders>
            <w:noWrap w:val="0"/>
            <w:vAlign w:val="center"/>
          </w:tcPr>
          <w:p>
            <w:pPr>
              <w:adjustRightInd w:val="0"/>
              <w:snapToGrid w:val="0"/>
              <w:spacing w:line="360" w:lineRule="exact"/>
              <w:jc w:val="left"/>
              <w:rPr>
                <w:rFonts w:hint="eastAsia" w:ascii="宋体" w:hAnsi="宋体" w:eastAsia="宋体" w:cs="宋体"/>
                <w:sz w:val="28"/>
                <w:szCs w:val="28"/>
              </w:rPr>
            </w:pPr>
            <w:r>
              <w:rPr>
                <w:rFonts w:hint="eastAsia" w:ascii="宋体" w:hAnsi="宋体" w:eastAsia="宋体" w:cs="宋体"/>
                <w:sz w:val="28"/>
                <w:szCs w:val="28"/>
              </w:rPr>
              <w:t>姓名：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27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技术负责人</w:t>
            </w:r>
          </w:p>
        </w:tc>
        <w:tc>
          <w:tcPr>
            <w:tcW w:w="4606" w:type="dxa"/>
            <w:tcBorders>
              <w:tl2br w:val="nil"/>
              <w:tr2bl w:val="nil"/>
            </w:tcBorders>
            <w:noWrap w:val="0"/>
            <w:vAlign w:val="center"/>
          </w:tcPr>
          <w:p>
            <w:pPr>
              <w:adjustRightInd w:val="0"/>
              <w:snapToGrid w:val="0"/>
              <w:spacing w:line="360" w:lineRule="exact"/>
              <w:jc w:val="left"/>
              <w:rPr>
                <w:rFonts w:hint="eastAsia" w:ascii="宋体" w:hAnsi="宋体" w:eastAsia="宋体" w:cs="宋体"/>
                <w:sz w:val="28"/>
                <w:szCs w:val="28"/>
              </w:rPr>
            </w:pPr>
            <w:r>
              <w:rPr>
                <w:rFonts w:hint="eastAsia" w:ascii="宋体" w:hAnsi="宋体" w:eastAsia="宋体" w:cs="宋体"/>
                <w:sz w:val="28"/>
                <w:szCs w:val="28"/>
              </w:rPr>
              <w:t>姓名：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27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工期</w:t>
            </w:r>
          </w:p>
        </w:tc>
        <w:tc>
          <w:tcPr>
            <w:tcW w:w="4606" w:type="dxa"/>
            <w:tcBorders>
              <w:tl2br w:val="nil"/>
              <w:tr2bl w:val="nil"/>
            </w:tcBorders>
            <w:noWrap w:val="0"/>
            <w:vAlign w:val="center"/>
          </w:tcPr>
          <w:p>
            <w:pPr>
              <w:adjustRightInd w:val="0"/>
              <w:snapToGrid w:val="0"/>
              <w:spacing w:line="360" w:lineRule="exact"/>
              <w:jc w:val="left"/>
              <w:rPr>
                <w:rFonts w:hint="eastAsia" w:ascii="宋体" w:hAnsi="宋体" w:eastAsia="宋体" w:cs="宋体"/>
                <w:sz w:val="28"/>
                <w:szCs w:val="28"/>
                <w:highlight w:val="none"/>
              </w:rPr>
            </w:pPr>
            <w:r>
              <w:rPr>
                <w:rFonts w:hint="eastAsia" w:ascii="宋体" w:hAnsi="宋体" w:eastAsia="宋体" w:cs="宋体"/>
                <w:sz w:val="28"/>
                <w:szCs w:val="28"/>
              </w:rPr>
              <w:t>工期总日历天数：</w:t>
            </w:r>
            <w:r>
              <w:rPr>
                <w:rFonts w:hint="eastAsia" w:ascii="宋体" w:hAnsi="宋体" w:cs="宋体"/>
                <w:sz w:val="28"/>
                <w:szCs w:val="28"/>
                <w:u w:val="single"/>
                <w:lang w:val="en-US" w:eastAsia="zh-CN"/>
              </w:rPr>
              <w:t>60</w:t>
            </w:r>
            <w:r>
              <w:rPr>
                <w:rFonts w:hint="eastAsia" w:ascii="宋体" w:hAnsi="宋体" w:eastAsia="宋体" w:cs="宋体"/>
                <w:sz w:val="28"/>
                <w:szCs w:val="28"/>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27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缺陷责任期</w:t>
            </w:r>
          </w:p>
        </w:tc>
        <w:tc>
          <w:tcPr>
            <w:tcW w:w="4606" w:type="dxa"/>
            <w:tcBorders>
              <w:tl2br w:val="nil"/>
              <w:tr2bl w:val="nil"/>
            </w:tcBorders>
            <w:noWrap w:val="0"/>
            <w:vAlign w:val="center"/>
          </w:tcPr>
          <w:p>
            <w:pPr>
              <w:adjustRightInd w:val="0"/>
              <w:snapToGrid w:val="0"/>
              <w:spacing w:line="360" w:lineRule="exact"/>
              <w:jc w:val="left"/>
              <w:rPr>
                <w:rFonts w:hint="eastAsia" w:ascii="宋体" w:hAnsi="宋体" w:eastAsia="宋体" w:cs="宋体"/>
                <w:sz w:val="28"/>
                <w:szCs w:val="28"/>
                <w:highlight w:val="none"/>
              </w:rPr>
            </w:pPr>
            <w:r>
              <w:rPr>
                <w:rFonts w:hint="eastAsia" w:ascii="宋体" w:hAnsi="宋体" w:eastAsia="宋体" w:cs="宋体"/>
                <w:sz w:val="28"/>
                <w:szCs w:val="28"/>
                <w:u w:val="single"/>
              </w:rPr>
              <w:t>24</w:t>
            </w:r>
            <w:r>
              <w:rPr>
                <w:rFonts w:hint="eastAsia" w:ascii="宋体" w:hAnsi="宋体" w:eastAsia="宋体" w:cs="宋体"/>
                <w:sz w:val="28"/>
                <w:szCs w:val="28"/>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27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分包</w:t>
            </w:r>
          </w:p>
        </w:tc>
        <w:tc>
          <w:tcPr>
            <w:tcW w:w="4606" w:type="dxa"/>
            <w:tcBorders>
              <w:tl2br w:val="nil"/>
              <w:tr2bl w:val="nil"/>
            </w:tcBorders>
            <w:noWrap w:val="0"/>
            <w:vAlign w:val="center"/>
          </w:tcPr>
          <w:p>
            <w:pPr>
              <w:adjustRightInd w:val="0"/>
              <w:snapToGrid w:val="0"/>
              <w:spacing w:line="360" w:lineRule="exact"/>
              <w:jc w:val="left"/>
              <w:rPr>
                <w:rFonts w:hint="eastAsia" w:ascii="宋体" w:hAnsi="宋体" w:eastAsia="宋体" w:cs="宋体"/>
                <w:sz w:val="28"/>
                <w:szCs w:val="28"/>
              </w:rPr>
            </w:pPr>
            <w:r>
              <w:rPr>
                <w:rFonts w:hint="eastAsia" w:ascii="宋体" w:hAnsi="宋体" w:eastAsia="宋体" w:cs="宋体"/>
                <w:sz w:val="28"/>
                <w:szCs w:val="28"/>
              </w:rPr>
              <w:t>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27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价格调整</w:t>
            </w:r>
          </w:p>
        </w:tc>
        <w:tc>
          <w:tcPr>
            <w:tcW w:w="4606" w:type="dxa"/>
            <w:tcBorders>
              <w:tl2br w:val="nil"/>
              <w:tr2bl w:val="nil"/>
            </w:tcBorders>
            <w:noWrap w:val="0"/>
            <w:vAlign w:val="center"/>
          </w:tcPr>
          <w:p>
            <w:pPr>
              <w:adjustRightInd w:val="0"/>
              <w:snapToGrid w:val="0"/>
              <w:spacing w:line="360" w:lineRule="exact"/>
              <w:jc w:val="left"/>
              <w:rPr>
                <w:rFonts w:hint="default" w:ascii="宋体" w:hAnsi="宋体" w:eastAsia="宋体" w:cs="宋体"/>
                <w:sz w:val="28"/>
                <w:szCs w:val="28"/>
                <w:lang w:val="en-US" w:eastAsia="zh-CN"/>
              </w:rPr>
            </w:pPr>
            <w:r>
              <w:rPr>
                <w:rFonts w:hint="eastAsia" w:ascii="宋体" w:hAnsi="宋体" w:eastAsia="宋体" w:cs="宋体"/>
                <w:sz w:val="28"/>
                <w:szCs w:val="28"/>
              </w:rPr>
              <w:t>不调整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0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27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履约保证金</w:t>
            </w:r>
          </w:p>
        </w:tc>
        <w:tc>
          <w:tcPr>
            <w:tcW w:w="4606" w:type="dxa"/>
            <w:tcBorders>
              <w:tl2br w:val="nil"/>
              <w:tr2bl w:val="nil"/>
            </w:tcBorders>
            <w:noWrap w:val="0"/>
            <w:vAlign w:val="center"/>
          </w:tcPr>
          <w:p>
            <w:pPr>
              <w:adjustRightInd w:val="0"/>
              <w:snapToGrid w:val="0"/>
              <w:spacing w:line="3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rPr>
              <w:t>本项目不作要求。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jc w:val="center"/>
        </w:trPr>
        <w:tc>
          <w:tcPr>
            <w:tcW w:w="80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8</w:t>
            </w:r>
          </w:p>
        </w:tc>
        <w:tc>
          <w:tcPr>
            <w:tcW w:w="270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付款方式</w:t>
            </w:r>
          </w:p>
        </w:tc>
        <w:tc>
          <w:tcPr>
            <w:tcW w:w="4606" w:type="dxa"/>
            <w:tcBorders>
              <w:tl2br w:val="nil"/>
              <w:tr2bl w:val="nil"/>
            </w:tcBorders>
            <w:noWrap w:val="0"/>
            <w:vAlign w:val="center"/>
          </w:tcPr>
          <w:p>
            <w:pPr>
              <w:adjustRightInd w:val="0"/>
              <w:snapToGrid w:val="0"/>
              <w:spacing w:line="360" w:lineRule="exact"/>
              <w:jc w:val="left"/>
              <w:rPr>
                <w:rFonts w:hint="default"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最终结算价以经采购人委托的第三方审计单位（龙泉驿区审计局入库单位）审定的金额为准，付款方式：首付按中标合同价的30%支付，竣工验收合格后，按中标合同价的40%支付，审计完成后，根据审计结果支付尾款。</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val="en-US" w:eastAsia="zh-CN" w:bidi="ar-SA"/>
        </w:rPr>
        <w:t>▲</w:t>
      </w:r>
      <w:r>
        <w:rPr>
          <w:rFonts w:hint="eastAsia" w:ascii="宋体" w:hAnsi="宋体" w:eastAsia="宋体" w:cs="宋体"/>
          <w:sz w:val="28"/>
          <w:szCs w:val="28"/>
          <w:lang w:eastAsia="zh-CN"/>
        </w:rPr>
        <w:t>2.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val="en-US" w:eastAsia="zh-CN" w:bidi="ar-SA"/>
        </w:rPr>
        <w:t>▲</w:t>
      </w:r>
      <w:r>
        <w:rPr>
          <w:rFonts w:hint="eastAsia" w:ascii="宋体" w:hAnsi="宋体" w:eastAsia="宋体" w:cs="宋体"/>
          <w:sz w:val="28"/>
          <w:szCs w:val="28"/>
          <w:lang w:eastAsia="zh-CN"/>
        </w:rPr>
        <w:t>3.供应商针对本项目的施工，必须达到国家及行业现行技术规范标准，符合国家及行业验收合格标准。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4.对工程质量、材料、施工等的特殊要求：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lang w:eastAsia="zh-CN"/>
        </w:rPr>
        <w:t>质量满足国家现行验收规范要求，达到合格标准；材料无特殊要求，满足设计要求；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lang w:eastAsia="zh-CN"/>
        </w:rPr>
        <w:t xml:space="preserve">本工程砼采用商品砼，砂浆自拌。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lang w:eastAsia="zh-CN"/>
        </w:rPr>
        <w:t>工程施工必须按经批准的施工组织设计实施，同时必须符合施工规范、验收标准、磋商文件及其他管理部门的相关要求。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5、</w:t>
      </w:r>
      <w:r>
        <w:rPr>
          <w:rFonts w:hint="eastAsia" w:ascii="宋体" w:hAnsi="宋体" w:eastAsia="宋体" w:cs="宋体"/>
          <w:sz w:val="28"/>
          <w:szCs w:val="28"/>
          <w:lang w:eastAsia="zh-CN"/>
        </w:rPr>
        <w:t>施工要求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供应商按采购人提供的有关图纸、设计说明、工程量清单和相关要求进行施工，工程施工必需满足当地建设行政主管部门对工程建设的有关规定，并按经批准的施工组织设计实施，并要符合施工规范及验收标准的相关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2）施工过程中出现隐蔽施工的，隐蔽项目完工后先进行隐蔽工程验收，验收合格后方能进入下一道工序。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3）安全文明施工：严格按照采购人提供的有关图纸、采购合同规定的范围、相关安全施工规范，做好安全文明施工。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4）环保施工：严格按照采购合同规定的范围，做好项目实施过程中的环保施工。满足采购人要求及工程量清单要求。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注：供应商自行踏勘项目实施现场，采购方不统一组织。不踏勘项目现场的，视为知悉项目现场及本项目要求， 一切责任由供应商自行承担。</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val="0"/>
          <w:sz w:val="28"/>
          <w:szCs w:val="28"/>
          <w:lang w:val="zh-CN"/>
        </w:rPr>
      </w:pPr>
      <w:r>
        <w:rPr>
          <w:rFonts w:hint="eastAsia" w:ascii="宋体" w:hAnsi="宋体" w:eastAsia="宋体" w:cs="宋体"/>
          <w:b/>
          <w:bCs w:val="0"/>
          <w:sz w:val="28"/>
          <w:szCs w:val="28"/>
          <w:lang w:val="zh-CN"/>
        </w:rPr>
        <w:t>四、商务</w:t>
      </w:r>
      <w:r>
        <w:rPr>
          <w:rFonts w:hint="eastAsia" w:ascii="宋体" w:hAnsi="宋体" w:eastAsia="宋体" w:cs="宋体"/>
          <w:b/>
          <w:bCs w:val="0"/>
          <w:sz w:val="28"/>
          <w:szCs w:val="28"/>
          <w:lang w:val="en-US" w:eastAsia="zh-CN"/>
        </w:rPr>
        <w:t>及其他</w:t>
      </w:r>
      <w:r>
        <w:rPr>
          <w:rFonts w:hint="eastAsia" w:ascii="宋体" w:hAnsi="宋体" w:eastAsia="宋体" w:cs="宋体"/>
          <w:b/>
          <w:bCs w:val="0"/>
          <w:sz w:val="28"/>
          <w:szCs w:val="28"/>
          <w:lang w:val="zh-CN"/>
        </w:rPr>
        <w:t>要求</w:t>
      </w:r>
      <w:bookmarkEnd w:id="68"/>
    </w:p>
    <w:p>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 w:val="0"/>
          <w:bCs/>
          <w:color w:val="000000"/>
          <w:sz w:val="28"/>
          <w:szCs w:val="28"/>
          <w:highlight w:val="none"/>
          <w:lang w:val="en-US" w:eastAsia="zh-CN"/>
        </w:rPr>
      </w:pPr>
      <w:r>
        <w:rPr>
          <w:rFonts w:hint="eastAsia" w:ascii="宋体" w:hAnsi="宋体" w:eastAsia="宋体" w:cs="宋体"/>
          <w:b w:val="0"/>
          <w:bCs/>
          <w:color w:val="000000"/>
          <w:kern w:val="44"/>
          <w:sz w:val="28"/>
          <w:szCs w:val="28"/>
          <w:highlight w:val="none"/>
          <w:lang w:val="en-US" w:eastAsia="zh-CN" w:bidi="ar"/>
        </w:rPr>
        <w:t>▲</w:t>
      </w:r>
      <w:r>
        <w:rPr>
          <w:rFonts w:hint="eastAsia" w:ascii="宋体" w:hAnsi="宋体" w:cs="宋体"/>
          <w:b w:val="0"/>
          <w:bCs/>
          <w:color w:val="000000"/>
          <w:kern w:val="44"/>
          <w:sz w:val="28"/>
          <w:szCs w:val="28"/>
          <w:highlight w:val="none"/>
          <w:lang w:val="en-US" w:eastAsia="zh-CN" w:bidi="ar"/>
        </w:rPr>
        <w:t>1</w:t>
      </w:r>
      <w:r>
        <w:rPr>
          <w:rFonts w:hint="eastAsia" w:ascii="宋体" w:hAnsi="宋体" w:cs="宋体"/>
          <w:b w:val="0"/>
          <w:bCs/>
          <w:color w:val="000000"/>
          <w:sz w:val="28"/>
          <w:szCs w:val="28"/>
          <w:highlight w:val="none"/>
          <w:lang w:val="en-US" w:eastAsia="zh-CN"/>
        </w:rPr>
        <w:t>、确保工程和工程量达到采购单位设计的使用功能并通过验收，请各供应商自行实地踏勘，自行承担其风险和责任，发生的一切费用自理。否则，由此造成的争议或纠纷，一律由供应商自行负责；供应商在采购单位指定地点完成本项工程后，交采购单位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 w:val="0"/>
          <w:bCs/>
          <w:color w:val="000000"/>
          <w:sz w:val="28"/>
          <w:szCs w:val="28"/>
          <w:highlight w:val="none"/>
          <w:lang w:val="zh-CN"/>
        </w:rPr>
      </w:pPr>
      <w:r>
        <w:rPr>
          <w:rFonts w:hint="eastAsia" w:ascii="宋体" w:hAnsi="宋体" w:eastAsia="宋体" w:cs="宋体"/>
          <w:b w:val="0"/>
          <w:bCs/>
          <w:color w:val="000000"/>
          <w:kern w:val="44"/>
          <w:sz w:val="28"/>
          <w:szCs w:val="28"/>
          <w:highlight w:val="none"/>
          <w:lang w:val="en-US" w:eastAsia="zh-CN" w:bidi="ar"/>
        </w:rPr>
        <w:t>▲</w:t>
      </w:r>
      <w:r>
        <w:rPr>
          <w:rFonts w:hint="eastAsia" w:ascii="宋体" w:hAnsi="宋体" w:cs="宋体"/>
          <w:b w:val="0"/>
          <w:bCs/>
          <w:color w:val="000000"/>
          <w:kern w:val="44"/>
          <w:sz w:val="28"/>
          <w:szCs w:val="28"/>
          <w:highlight w:val="none"/>
          <w:lang w:val="en-US" w:eastAsia="zh-CN" w:bidi="ar"/>
        </w:rPr>
        <w:t>2</w:t>
      </w:r>
      <w:r>
        <w:rPr>
          <w:rFonts w:hint="eastAsia" w:ascii="宋体" w:hAnsi="宋体" w:cs="宋体"/>
          <w:b w:val="0"/>
          <w:bCs/>
          <w:color w:val="000000"/>
          <w:sz w:val="28"/>
          <w:szCs w:val="28"/>
          <w:highlight w:val="none"/>
          <w:lang w:val="zh-CN"/>
        </w:rPr>
        <w:t>、履约能力要求：拟派本项目的人员必须为本单位人员。</w:t>
      </w:r>
    </w:p>
    <w:p>
      <w:pPr>
        <w:keepNext w:val="0"/>
        <w:keepLines w:val="0"/>
        <w:pageBreakBefore w:val="0"/>
        <w:kinsoku/>
        <w:wordWrap/>
        <w:overflowPunct/>
        <w:topLinePunct w:val="0"/>
        <w:bidi w:val="0"/>
        <w:adjustRightInd w:val="0"/>
        <w:snapToGrid w:val="0"/>
        <w:spacing w:line="360" w:lineRule="auto"/>
        <w:ind w:firstLine="480"/>
        <w:jc w:val="both"/>
        <w:textAlignment w:val="auto"/>
        <w:rPr>
          <w:rFonts w:hint="eastAsia" w:ascii="宋体" w:hAnsi="宋体" w:eastAsia="宋体" w:cs="宋体"/>
          <w:sz w:val="28"/>
          <w:szCs w:val="28"/>
        </w:rPr>
      </w:pPr>
      <w:r>
        <w:rPr>
          <w:rFonts w:hint="eastAsia" w:ascii="宋体" w:hAnsi="宋体" w:eastAsia="宋体" w:cs="宋体"/>
          <w:b w:val="0"/>
          <w:bCs/>
          <w:color w:val="auto"/>
          <w:kern w:val="44"/>
          <w:sz w:val="28"/>
          <w:szCs w:val="28"/>
          <w:highlight w:val="none"/>
          <w:lang w:val="en-US" w:eastAsia="zh-CN" w:bidi="ar"/>
        </w:rPr>
        <w:t>▲</w:t>
      </w:r>
      <w:r>
        <w:rPr>
          <w:rFonts w:hint="eastAsia" w:ascii="宋体" w:hAnsi="宋体" w:cs="宋体"/>
          <w:b w:val="0"/>
          <w:bCs/>
          <w:color w:val="auto"/>
          <w:kern w:val="44"/>
          <w:sz w:val="28"/>
          <w:szCs w:val="28"/>
          <w:highlight w:val="none"/>
          <w:lang w:val="en-US" w:eastAsia="zh-CN" w:bidi="ar"/>
        </w:rPr>
        <w:t>3</w:t>
      </w:r>
      <w:r>
        <w:rPr>
          <w:rFonts w:hint="eastAsia" w:ascii="宋体" w:hAnsi="宋体" w:cs="宋体"/>
          <w:b w:val="0"/>
          <w:bCs/>
          <w:color w:val="auto"/>
          <w:sz w:val="28"/>
          <w:szCs w:val="28"/>
          <w:highlight w:val="none"/>
          <w:lang w:val="zh-CN"/>
        </w:rPr>
        <w:t>、成交供应商按质按量</w:t>
      </w:r>
      <w:r>
        <w:rPr>
          <w:rFonts w:hint="eastAsia" w:ascii="宋体" w:hAnsi="宋体" w:cs="宋体"/>
          <w:b w:val="0"/>
          <w:bCs/>
          <w:color w:val="auto"/>
          <w:sz w:val="28"/>
          <w:szCs w:val="28"/>
          <w:highlight w:val="none"/>
          <w:lang w:val="en-US" w:eastAsia="zh-CN"/>
        </w:rPr>
        <w:t>按时</w:t>
      </w:r>
      <w:r>
        <w:rPr>
          <w:rFonts w:hint="eastAsia" w:ascii="宋体" w:hAnsi="宋体" w:cs="宋体"/>
          <w:b w:val="0"/>
          <w:bCs/>
          <w:color w:val="auto"/>
          <w:sz w:val="28"/>
          <w:szCs w:val="28"/>
          <w:highlight w:val="none"/>
          <w:lang w:val="zh-CN"/>
        </w:rPr>
        <w:t>完成本项目的采购内容。</w:t>
      </w:r>
    </w:p>
    <w:p>
      <w:pPr>
        <w:spacing w:line="360" w:lineRule="auto"/>
        <w:rPr>
          <w:rFonts w:hint="eastAsia" w:ascii="宋体" w:hAnsi="宋体" w:eastAsia="宋体" w:cs="宋体"/>
          <w:b/>
          <w:bCs w:val="0"/>
          <w:sz w:val="24"/>
          <w:szCs w:val="24"/>
          <w:lang w:val="en-US" w:eastAsia="zh-CN"/>
        </w:rPr>
      </w:pPr>
    </w:p>
    <w:bookmarkEnd w:id="62"/>
    <w:bookmarkEnd w:id="63"/>
    <w:p>
      <w:pPr>
        <w:snapToGrid w:val="0"/>
        <w:spacing w:line="360" w:lineRule="auto"/>
        <w:ind w:firstLine="484" w:firstLineChars="202"/>
        <w:rPr>
          <w:rFonts w:ascii="宋体" w:hAnsi="宋体"/>
          <w:b/>
          <w:color w:val="auto"/>
          <w:sz w:val="28"/>
          <w:szCs w:val="28"/>
        </w:rPr>
      </w:pPr>
      <w:r>
        <w:rPr>
          <w:color w:val="auto"/>
        </w:rPr>
        <w:br w:type="page"/>
      </w:r>
    </w:p>
    <w:p>
      <w:pPr>
        <w:pStyle w:val="3"/>
        <w:numPr>
          <w:ilvl w:val="0"/>
          <w:numId w:val="1"/>
        </w:numPr>
        <w:spacing w:before="0" w:after="0"/>
        <w:ind w:left="0" w:firstLine="0"/>
        <w:rPr>
          <w:color w:val="auto"/>
        </w:rPr>
      </w:pPr>
      <w:bookmarkStart w:id="69" w:name="_Toc4393"/>
      <w:bookmarkStart w:id="70" w:name="_Toc236285891"/>
      <w:bookmarkStart w:id="71" w:name="_Toc360696963"/>
      <w:bookmarkStart w:id="72" w:name="_Toc205604899"/>
      <w:bookmarkStart w:id="73" w:name="_Toc238273564"/>
      <w:r>
        <w:rPr>
          <w:rFonts w:hint="eastAsia"/>
          <w:color w:val="auto"/>
        </w:rPr>
        <w:t>磋商办法</w:t>
      </w:r>
      <w:bookmarkEnd w:id="69"/>
    </w:p>
    <w:p>
      <w:pPr>
        <w:pStyle w:val="4"/>
        <w:tabs>
          <w:tab w:val="left" w:pos="993"/>
          <w:tab w:val="clear" w:pos="426"/>
          <w:tab w:val="clear" w:pos="567"/>
        </w:tabs>
        <w:ind w:left="0" w:firstLine="0"/>
        <w:rPr>
          <w:color w:val="auto"/>
        </w:rPr>
      </w:pPr>
      <w:bookmarkStart w:id="74" w:name="_Toc999"/>
      <w:r>
        <w:rPr>
          <w:rFonts w:hint="eastAsia"/>
          <w:color w:val="auto"/>
        </w:rPr>
        <w:t>总则</w:t>
      </w:r>
      <w:bookmarkEnd w:id="74"/>
    </w:p>
    <w:p>
      <w:pPr>
        <w:widowControl w:val="0"/>
        <w:numPr>
          <w:ilvl w:val="0"/>
          <w:numId w:val="40"/>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根据《中华人民共和国政府采购法》、《中华人民共和国政府采购法实施条例》和《政府采购竞争性磋商采购方式管理暂行办法》等法律规章，结合采购项目特点制定本办法。</w:t>
      </w:r>
    </w:p>
    <w:p>
      <w:pPr>
        <w:widowControl w:val="0"/>
        <w:numPr>
          <w:ilvl w:val="0"/>
          <w:numId w:val="40"/>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磋商工作由龙泉驿区公资交易中心负责组织，具体评审事务由采购人和龙泉驿区公资交易中心依法组建的磋商小组负责。磋商小组由采购人代表和评审专家组成。</w:t>
      </w:r>
    </w:p>
    <w:p>
      <w:pPr>
        <w:widowControl w:val="0"/>
        <w:numPr>
          <w:ilvl w:val="0"/>
          <w:numId w:val="40"/>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磋商工作应遵循公平、公正、科学及择优的原则，并以相同的评审程序和标准对待所有的供应商。</w:t>
      </w:r>
    </w:p>
    <w:p>
      <w:pPr>
        <w:widowControl w:val="0"/>
        <w:numPr>
          <w:ilvl w:val="0"/>
          <w:numId w:val="40"/>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磋商小组按照磋商文件规定的磋商程序、评分方法和标准进行独立评审，并独立履行下列职责：</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熟悉和理解磋商文件，确定磋商文件内容是否违反国家有关强制性规定或者磋商文件存在歧义、重大缺陷，根据需要书面要求采购人、采购代理机构对磋商文件作出解释</w:t>
      </w:r>
      <w:r>
        <w:rPr>
          <w:rFonts w:ascii="宋体" w:hAnsi="宋体" w:cs="宋体"/>
          <w:color w:val="auto"/>
          <w:sz w:val="28"/>
          <w:szCs w:val="28"/>
        </w:rPr>
        <w:t>；</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审查供应商的施工响应文件并作出公正评价；</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根据需要要求供应商对施工响应文件中含义不明确、同类问题表述不一致或者有明显文字和计算错误的内容等作出必要的澄清、说明或者更正；</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依法、客观、公平、公正开展供应商资格性审查、磋商和推荐成交候选供应商；</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编写评审报告；</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告知采购人、采购代理机构在评审过程中发现的供应商的违法违规行为；</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保守供应商的商业秘密；</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配合处理供应商质疑；</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配合处理供应商投诉；</w:t>
      </w:r>
    </w:p>
    <w:p>
      <w:pPr>
        <w:widowControl w:val="0"/>
        <w:numPr>
          <w:ilvl w:val="1"/>
          <w:numId w:val="41"/>
        </w:numPr>
        <w:tabs>
          <w:tab w:val="left" w:pos="1134"/>
        </w:tabs>
        <w:spacing w:line="360" w:lineRule="auto"/>
        <w:ind w:left="0" w:firstLine="567"/>
        <w:jc w:val="both"/>
        <w:rPr>
          <w:rFonts w:ascii="宋体" w:hAnsi="宋体" w:cs="宋体"/>
          <w:color w:val="auto"/>
          <w:sz w:val="28"/>
          <w:szCs w:val="28"/>
        </w:rPr>
      </w:pPr>
      <w:r>
        <w:rPr>
          <w:rFonts w:hint="eastAsia" w:ascii="宋体" w:hAnsi="宋体" w:cs="宋体"/>
          <w:color w:val="auto"/>
          <w:sz w:val="28"/>
          <w:szCs w:val="28"/>
        </w:rPr>
        <w:t>法律、法规和规章规定的其他职责；</w:t>
      </w:r>
    </w:p>
    <w:p>
      <w:pPr>
        <w:widowControl w:val="0"/>
        <w:numPr>
          <w:ilvl w:val="0"/>
          <w:numId w:val="40"/>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评审过程独立、保密。供应商非法干预评审过程的行为将导致其施工响应文件作为无效处理。</w:t>
      </w:r>
    </w:p>
    <w:p>
      <w:pPr>
        <w:widowControl w:val="0"/>
        <w:numPr>
          <w:ilvl w:val="0"/>
          <w:numId w:val="40"/>
        </w:numPr>
        <w:tabs>
          <w:tab w:val="left" w:pos="1134"/>
        </w:tabs>
        <w:spacing w:line="360" w:lineRule="auto"/>
        <w:ind w:left="0" w:firstLine="565" w:firstLineChars="202"/>
        <w:jc w:val="both"/>
        <w:rPr>
          <w:rFonts w:ascii="宋体" w:hAnsi="宋体"/>
          <w:color w:val="auto"/>
          <w:sz w:val="28"/>
          <w:szCs w:val="28"/>
        </w:rPr>
      </w:pPr>
      <w:r>
        <w:rPr>
          <w:rFonts w:hint="eastAsia" w:ascii="宋体" w:hAnsi="宋体"/>
          <w:color w:val="auto"/>
          <w:sz w:val="28"/>
          <w:szCs w:val="28"/>
        </w:rPr>
        <w:t>磋商小组决定施工响应文件的响应性依据施工响应文件本身的内容，而不寻求外部的证据，磋商文件有明确约定的除外。</w:t>
      </w:r>
    </w:p>
    <w:p>
      <w:pPr>
        <w:pStyle w:val="4"/>
        <w:tabs>
          <w:tab w:val="left" w:pos="993"/>
          <w:tab w:val="clear" w:pos="426"/>
          <w:tab w:val="clear" w:pos="567"/>
        </w:tabs>
        <w:ind w:left="0" w:firstLine="0"/>
        <w:rPr>
          <w:color w:val="auto"/>
        </w:rPr>
      </w:pPr>
      <w:bookmarkStart w:id="75" w:name="_Toc9837"/>
      <w:r>
        <w:rPr>
          <w:rFonts w:hint="eastAsia"/>
          <w:color w:val="auto"/>
        </w:rPr>
        <w:t>磋商程序</w:t>
      </w:r>
      <w:bookmarkEnd w:id="75"/>
    </w:p>
    <w:p>
      <w:pPr>
        <w:spacing w:line="360" w:lineRule="auto"/>
        <w:ind w:firstLine="570"/>
        <w:rPr>
          <w:rFonts w:ascii="宋体" w:hAnsi="宋体"/>
          <w:color w:val="auto"/>
          <w:sz w:val="28"/>
          <w:szCs w:val="28"/>
        </w:rPr>
      </w:pPr>
      <w:r>
        <w:rPr>
          <w:rFonts w:hint="eastAsia" w:ascii="宋体" w:hAnsi="宋体"/>
          <w:color w:val="auto"/>
          <w:sz w:val="28"/>
          <w:szCs w:val="28"/>
        </w:rPr>
        <w:t>磋商会议在成都市公共资源交易服务中心“政府采购云平台”进行。磋商会议由龙泉驿区公资交易中心在线主持，供应商代表在线参加。</w:t>
      </w:r>
    </w:p>
    <w:p>
      <w:pPr>
        <w:spacing w:line="360" w:lineRule="auto"/>
        <w:ind w:firstLine="560" w:firstLineChars="200"/>
        <w:rPr>
          <w:rFonts w:ascii="宋体" w:hAnsi="宋体"/>
          <w:color w:val="auto"/>
          <w:sz w:val="28"/>
          <w:szCs w:val="28"/>
        </w:rPr>
      </w:pPr>
      <w:r>
        <w:rPr>
          <w:rFonts w:hint="eastAsia" w:ascii="宋体" w:hAnsi="宋体"/>
          <w:color w:val="auto"/>
          <w:sz w:val="28"/>
          <w:szCs w:val="28"/>
        </w:rPr>
        <w:t>磋商应由监督人员在线进行监督，且可根据具体情况邀请有关监督管理部门对采购活动进行现场监督。</w:t>
      </w:r>
    </w:p>
    <w:p>
      <w:pPr>
        <w:pStyle w:val="4"/>
        <w:numPr>
          <w:ilvl w:val="2"/>
          <w:numId w:val="1"/>
        </w:numPr>
        <w:tabs>
          <w:tab w:val="left" w:pos="993"/>
          <w:tab w:val="clear" w:pos="426"/>
          <w:tab w:val="clear" w:pos="567"/>
        </w:tabs>
        <w:rPr>
          <w:color w:val="auto"/>
        </w:rPr>
      </w:pPr>
      <w:bookmarkStart w:id="76" w:name="_Toc320698736"/>
      <w:bookmarkStart w:id="77" w:name="_Toc63437907"/>
      <w:bookmarkStart w:id="78" w:name="_Toc63084321"/>
      <w:bookmarkStart w:id="79" w:name="_Toc21451"/>
      <w:r>
        <w:rPr>
          <w:rFonts w:hint="eastAsia"/>
          <w:color w:val="auto"/>
        </w:rPr>
        <w:t>递交施工响应文件</w:t>
      </w:r>
      <w:bookmarkEnd w:id="76"/>
      <w:bookmarkEnd w:id="77"/>
      <w:bookmarkEnd w:id="78"/>
      <w:bookmarkEnd w:id="79"/>
    </w:p>
    <w:p>
      <w:pPr>
        <w:tabs>
          <w:tab w:val="left" w:pos="1134"/>
        </w:tabs>
        <w:spacing w:line="360" w:lineRule="auto"/>
        <w:ind w:firstLine="560" w:firstLineChars="200"/>
        <w:rPr>
          <w:rFonts w:ascii="宋体" w:hAnsi="宋体"/>
          <w:color w:val="auto"/>
          <w:sz w:val="28"/>
          <w:szCs w:val="28"/>
        </w:rPr>
      </w:pPr>
      <w:r>
        <w:rPr>
          <w:rFonts w:hint="eastAsia" w:ascii="宋体" w:hAnsi="宋体"/>
          <w:color w:val="auto"/>
          <w:sz w:val="28"/>
          <w:szCs w:val="28"/>
        </w:rPr>
        <w:t>供应商应按磋商文件要求在</w:t>
      </w:r>
      <w:r>
        <w:rPr>
          <w:rFonts w:ascii="宋体" w:hAnsi="宋体"/>
          <w:color w:val="auto"/>
          <w:sz w:val="28"/>
          <w:szCs w:val="28"/>
        </w:rPr>
        <w:t>政府采购云平台</w:t>
      </w:r>
      <w:r>
        <w:rPr>
          <w:rFonts w:hint="eastAsia" w:ascii="宋体" w:hAnsi="宋体"/>
          <w:color w:val="auto"/>
          <w:sz w:val="28"/>
          <w:szCs w:val="28"/>
        </w:rPr>
        <w:t>递交施工响应文件。递交施工响应文件截止时间结束后，递交施工响应文件的供应商不足3家的，本次竞争性磋商采购活动终止，发布终止竞争性磋商公告。</w:t>
      </w:r>
    </w:p>
    <w:p>
      <w:pPr>
        <w:pStyle w:val="4"/>
        <w:numPr>
          <w:ilvl w:val="2"/>
          <w:numId w:val="1"/>
        </w:numPr>
        <w:tabs>
          <w:tab w:val="left" w:pos="993"/>
          <w:tab w:val="clear" w:pos="426"/>
          <w:tab w:val="clear" w:pos="567"/>
        </w:tabs>
        <w:rPr>
          <w:color w:val="auto"/>
        </w:rPr>
      </w:pPr>
      <w:bookmarkStart w:id="80" w:name="_Toc63437908"/>
      <w:bookmarkStart w:id="81" w:name="_Toc63084322"/>
      <w:bookmarkStart w:id="82" w:name="_Toc15693"/>
      <w:r>
        <w:rPr>
          <w:rFonts w:hint="eastAsia"/>
          <w:color w:val="auto"/>
        </w:rPr>
        <w:t>确定邀请参加磋商的供应商数量</w:t>
      </w:r>
      <w:bookmarkEnd w:id="80"/>
      <w:bookmarkEnd w:id="81"/>
      <w:bookmarkEnd w:id="82"/>
    </w:p>
    <w:p>
      <w:pPr>
        <w:tabs>
          <w:tab w:val="left" w:pos="1134"/>
        </w:tabs>
        <w:spacing w:line="360" w:lineRule="auto"/>
        <w:ind w:firstLine="560" w:firstLineChars="200"/>
        <w:rPr>
          <w:rFonts w:ascii="宋体" w:hAnsi="宋体"/>
          <w:color w:val="auto"/>
          <w:sz w:val="28"/>
          <w:szCs w:val="28"/>
        </w:rPr>
      </w:pPr>
      <w:r>
        <w:rPr>
          <w:rFonts w:hint="eastAsia" w:ascii="宋体" w:hAnsi="宋体"/>
          <w:color w:val="auto"/>
          <w:sz w:val="28"/>
          <w:szCs w:val="28"/>
        </w:rPr>
        <w:t>邀请已通过本次采购资格审查并随机抽取选中的供应商参加本项目的竞争性磋商。</w:t>
      </w:r>
    </w:p>
    <w:p>
      <w:pPr>
        <w:pStyle w:val="4"/>
        <w:numPr>
          <w:ilvl w:val="2"/>
          <w:numId w:val="1"/>
        </w:numPr>
        <w:tabs>
          <w:tab w:val="left" w:pos="993"/>
          <w:tab w:val="clear" w:pos="426"/>
          <w:tab w:val="clear" w:pos="567"/>
        </w:tabs>
        <w:rPr>
          <w:color w:val="auto"/>
        </w:rPr>
      </w:pPr>
      <w:bookmarkStart w:id="83" w:name="_Toc63437909"/>
      <w:bookmarkStart w:id="84" w:name="_Toc63084323"/>
      <w:bookmarkStart w:id="85" w:name="_Toc287623646"/>
      <w:bookmarkStart w:id="86" w:name="_Toc23204"/>
      <w:r>
        <w:rPr>
          <w:rFonts w:hint="eastAsia"/>
          <w:color w:val="auto"/>
        </w:rPr>
        <w:t>成立磋商小组</w:t>
      </w:r>
      <w:bookmarkEnd w:id="83"/>
      <w:bookmarkEnd w:id="84"/>
      <w:bookmarkEnd w:id="85"/>
      <w:bookmarkEnd w:id="86"/>
    </w:p>
    <w:p>
      <w:pPr>
        <w:pStyle w:val="27"/>
        <w:spacing w:line="360" w:lineRule="auto"/>
        <w:ind w:firstLine="560" w:firstLineChars="200"/>
        <w:rPr>
          <w:rFonts w:hAnsi="宋体" w:eastAsia="宋体"/>
          <w:color w:val="auto"/>
          <w:sz w:val="28"/>
          <w:szCs w:val="28"/>
        </w:rPr>
      </w:pPr>
      <w:r>
        <w:rPr>
          <w:rFonts w:hint="eastAsia" w:hAnsi="宋体" w:eastAsia="宋体"/>
          <w:color w:val="auto"/>
          <w:sz w:val="28"/>
          <w:szCs w:val="28"/>
        </w:rPr>
        <w:t>磋商小组</w:t>
      </w:r>
      <w:r>
        <w:rPr>
          <w:rFonts w:hAnsi="宋体" w:eastAsia="宋体"/>
          <w:color w:val="auto"/>
          <w:sz w:val="28"/>
          <w:szCs w:val="28"/>
        </w:rPr>
        <w:t>由采购人代表和</w:t>
      </w:r>
      <w:r>
        <w:rPr>
          <w:rFonts w:hint="eastAsia" w:hAnsi="宋体" w:eastAsia="宋体"/>
          <w:color w:val="auto"/>
          <w:sz w:val="28"/>
          <w:szCs w:val="28"/>
        </w:rPr>
        <w:t>根据采购项目情况确定的技术或经济或法律等有关专家3人</w:t>
      </w:r>
      <w:r>
        <w:rPr>
          <w:rFonts w:hAnsi="宋体" w:eastAsia="宋体"/>
          <w:color w:val="auto"/>
          <w:sz w:val="28"/>
          <w:szCs w:val="28"/>
        </w:rPr>
        <w:t>以上的单数组成</w:t>
      </w:r>
      <w:r>
        <w:rPr>
          <w:rFonts w:hint="eastAsia" w:hAnsi="宋体" w:eastAsia="宋体"/>
          <w:color w:val="auto"/>
          <w:sz w:val="28"/>
          <w:szCs w:val="28"/>
        </w:rPr>
        <w:t>。磋商小组</w:t>
      </w:r>
      <w:r>
        <w:rPr>
          <w:rFonts w:hAnsi="宋体" w:eastAsia="宋体"/>
          <w:color w:val="auto"/>
          <w:sz w:val="28"/>
          <w:szCs w:val="28"/>
        </w:rPr>
        <w:t>负责本项目的</w:t>
      </w:r>
      <w:r>
        <w:rPr>
          <w:rFonts w:hint="eastAsia" w:hAnsi="宋体" w:eastAsia="宋体"/>
          <w:color w:val="auto"/>
          <w:sz w:val="28"/>
          <w:szCs w:val="28"/>
        </w:rPr>
        <w:t>磋商</w:t>
      </w:r>
      <w:r>
        <w:rPr>
          <w:rFonts w:hAnsi="宋体" w:eastAsia="宋体"/>
          <w:color w:val="auto"/>
          <w:sz w:val="28"/>
          <w:szCs w:val="28"/>
        </w:rPr>
        <w:t>和评</w:t>
      </w:r>
      <w:r>
        <w:rPr>
          <w:rFonts w:hint="eastAsia" w:hAnsi="宋体" w:eastAsia="宋体"/>
          <w:color w:val="auto"/>
          <w:sz w:val="28"/>
          <w:szCs w:val="28"/>
        </w:rPr>
        <w:t>审</w:t>
      </w:r>
      <w:r>
        <w:rPr>
          <w:rFonts w:hAnsi="宋体" w:eastAsia="宋体"/>
          <w:color w:val="auto"/>
          <w:sz w:val="28"/>
          <w:szCs w:val="28"/>
        </w:rPr>
        <w:t>工作。</w:t>
      </w:r>
    </w:p>
    <w:p>
      <w:pPr>
        <w:pStyle w:val="4"/>
        <w:numPr>
          <w:ilvl w:val="2"/>
          <w:numId w:val="1"/>
        </w:numPr>
        <w:tabs>
          <w:tab w:val="left" w:pos="993"/>
          <w:tab w:val="clear" w:pos="426"/>
          <w:tab w:val="clear" w:pos="567"/>
        </w:tabs>
        <w:rPr>
          <w:color w:val="auto"/>
        </w:rPr>
      </w:pPr>
      <w:bookmarkStart w:id="87" w:name="_Toc63437910"/>
      <w:bookmarkStart w:id="88" w:name="_Toc63084324"/>
      <w:bookmarkStart w:id="89" w:name="_Toc10492"/>
      <w:r>
        <w:rPr>
          <w:rFonts w:hint="eastAsia"/>
          <w:color w:val="auto"/>
        </w:rPr>
        <w:t>磋商</w:t>
      </w:r>
      <w:bookmarkEnd w:id="87"/>
      <w:bookmarkEnd w:id="88"/>
      <w:bookmarkEnd w:id="89"/>
    </w:p>
    <w:p>
      <w:pPr>
        <w:widowControl w:val="0"/>
        <w:numPr>
          <w:ilvl w:val="1"/>
          <w:numId w:val="42"/>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磋商小组按照磋商文件的规定与邀请参加磋商的供应商分别进行磋商，磋商顺序由磋商小组确定，磋商通过“政府采购云平台”在线进行。供应商应</w:t>
      </w:r>
      <w:r>
        <w:rPr>
          <w:rFonts w:ascii="宋体" w:hAnsi="宋体"/>
          <w:color w:val="auto"/>
          <w:sz w:val="28"/>
          <w:szCs w:val="28"/>
        </w:rPr>
        <w:t>随时关注“</w:t>
      </w:r>
      <w:r>
        <w:rPr>
          <w:rFonts w:hint="eastAsia" w:ascii="宋体" w:hAnsi="宋体"/>
          <w:color w:val="auto"/>
          <w:sz w:val="28"/>
          <w:szCs w:val="28"/>
        </w:rPr>
        <w:t>政府</w:t>
      </w:r>
      <w:r>
        <w:rPr>
          <w:rFonts w:ascii="宋体" w:hAnsi="宋体"/>
          <w:color w:val="auto"/>
          <w:sz w:val="28"/>
          <w:szCs w:val="28"/>
        </w:rPr>
        <w:t>采购</w:t>
      </w:r>
      <w:r>
        <w:rPr>
          <w:rFonts w:hint="eastAsia" w:ascii="宋体" w:hAnsi="宋体"/>
          <w:color w:val="auto"/>
          <w:sz w:val="28"/>
          <w:szCs w:val="28"/>
        </w:rPr>
        <w:t>云</w:t>
      </w:r>
      <w:r>
        <w:rPr>
          <w:rFonts w:ascii="宋体" w:hAnsi="宋体"/>
          <w:color w:val="auto"/>
          <w:sz w:val="28"/>
          <w:szCs w:val="28"/>
        </w:rPr>
        <w:t>平台”</w:t>
      </w:r>
      <w:r>
        <w:rPr>
          <w:rFonts w:hint="eastAsia" w:ascii="宋体" w:hAnsi="宋体"/>
          <w:color w:val="auto"/>
          <w:sz w:val="28"/>
          <w:szCs w:val="28"/>
        </w:rPr>
        <w:t>站内信息或</w:t>
      </w:r>
      <w:r>
        <w:rPr>
          <w:rFonts w:ascii="宋体" w:hAnsi="宋体"/>
          <w:color w:val="auto"/>
          <w:sz w:val="28"/>
          <w:szCs w:val="28"/>
        </w:rPr>
        <w:t>短信提醒，</w:t>
      </w:r>
      <w:r>
        <w:rPr>
          <w:rFonts w:hint="eastAsia" w:ascii="宋体" w:hAnsi="宋体"/>
          <w:color w:val="auto"/>
          <w:sz w:val="28"/>
          <w:szCs w:val="28"/>
        </w:rPr>
        <w:t>及时参与</w:t>
      </w:r>
      <w:r>
        <w:rPr>
          <w:rFonts w:ascii="宋体" w:hAnsi="宋体"/>
          <w:color w:val="auto"/>
          <w:sz w:val="28"/>
          <w:szCs w:val="28"/>
        </w:rPr>
        <w:t>在线</w:t>
      </w:r>
      <w:r>
        <w:rPr>
          <w:rFonts w:hint="eastAsia" w:ascii="宋体" w:hAnsi="宋体"/>
          <w:color w:val="auto"/>
          <w:sz w:val="28"/>
          <w:szCs w:val="28"/>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color w:val="auto"/>
          <w:sz w:val="28"/>
          <w:szCs w:val="28"/>
        </w:rPr>
        <w:t>。</w:t>
      </w:r>
    </w:p>
    <w:p>
      <w:pPr>
        <w:widowControl w:val="0"/>
        <w:numPr>
          <w:ilvl w:val="1"/>
          <w:numId w:val="42"/>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磋商小组所有成员集中与单一供应商对技术、服务、合同条款等内容分别进行一轮或多轮的磋商。在磋商中，磋商的任何一方不得透露与磋商有关的其他供应商的技术资料、价格和其他信息。</w:t>
      </w:r>
    </w:p>
    <w:p>
      <w:pPr>
        <w:widowControl w:val="0"/>
        <w:numPr>
          <w:ilvl w:val="1"/>
          <w:numId w:val="42"/>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磋商内容为第4章中“技术、服务、商务及其他要求”、第6章“合同草案条款”。其中第4章中加▲号的条款为采购项目的</w:t>
      </w:r>
      <w:r>
        <w:rPr>
          <w:rFonts w:hint="eastAsia" w:ascii="宋体" w:hAnsi="宋体" w:cs="宋体"/>
          <w:color w:val="auto"/>
          <w:sz w:val="28"/>
          <w:szCs w:val="28"/>
        </w:rPr>
        <w:t>最低要求</w:t>
      </w:r>
      <w:r>
        <w:rPr>
          <w:rFonts w:hint="eastAsia" w:ascii="宋体" w:hAnsi="宋体"/>
          <w:color w:val="auto"/>
          <w:sz w:val="28"/>
          <w:szCs w:val="28"/>
        </w:rPr>
        <w:t>，为非磋商可以降低标准的内容。</w:t>
      </w:r>
    </w:p>
    <w:p>
      <w:pPr>
        <w:widowControl w:val="0"/>
        <w:numPr>
          <w:ilvl w:val="1"/>
          <w:numId w:val="42"/>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磋商过程中，磋商小组获得采购人同意（由采购人代表签字确认）后，可以根据磋商文件和磋商情况实质性变动磋商文件中的第4章技术、服务、商务及其他要求、第6章合同草案条款，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widowControl w:val="0"/>
        <w:numPr>
          <w:ilvl w:val="1"/>
          <w:numId w:val="42"/>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磋商过程中，供应商可以根据磋商情况变更其施工响应文件，并将变更内容通过“澄清”功能送磋商小组。变更内容作为施工响应文件的一部分。供应商书面材料应加盖供应商（法定名称）电子签章，否则无效。</w:t>
      </w:r>
    </w:p>
    <w:p>
      <w:pPr>
        <w:widowControl w:val="0"/>
        <w:numPr>
          <w:ilvl w:val="1"/>
          <w:numId w:val="42"/>
        </w:numPr>
        <w:tabs>
          <w:tab w:val="left" w:pos="1134"/>
        </w:tabs>
        <w:spacing w:after="200" w:line="360" w:lineRule="auto"/>
        <w:ind w:left="0" w:firstLine="560" w:firstLineChars="200"/>
        <w:jc w:val="both"/>
        <w:rPr>
          <w:rFonts w:ascii="宋体" w:hAnsi="宋体"/>
          <w:color w:val="auto"/>
          <w:sz w:val="28"/>
          <w:szCs w:val="28"/>
        </w:rPr>
      </w:pPr>
      <w:r>
        <w:rPr>
          <w:rFonts w:hint="eastAsia" w:ascii="宋体" w:hAnsi="宋体"/>
          <w:color w:val="auto"/>
          <w:sz w:val="28"/>
          <w:szCs w:val="28"/>
        </w:rPr>
        <w:t>磋商小组经过一轮或多轮磋商后，供应商的施工响应文件仍然不能满足磋商文件中采购项目的最低要求，或者磋商过程中，磋商小组发现或者知晓供应商存在违法、违纪行为的，磋商小组应当将该供应商淘汰，不允许其参加最后报价。</w:t>
      </w:r>
    </w:p>
    <w:p>
      <w:pPr>
        <w:pStyle w:val="4"/>
        <w:numPr>
          <w:ilvl w:val="2"/>
          <w:numId w:val="1"/>
        </w:numPr>
        <w:tabs>
          <w:tab w:val="left" w:pos="993"/>
          <w:tab w:val="clear" w:pos="426"/>
          <w:tab w:val="clear" w:pos="567"/>
        </w:tabs>
        <w:rPr>
          <w:color w:val="auto"/>
        </w:rPr>
      </w:pPr>
      <w:bookmarkStart w:id="90" w:name="_Toc63437911"/>
      <w:bookmarkStart w:id="91" w:name="_Toc63084325"/>
      <w:bookmarkStart w:id="92" w:name="_Toc28433"/>
      <w:r>
        <w:rPr>
          <w:rFonts w:hint="eastAsia"/>
          <w:color w:val="auto"/>
        </w:rPr>
        <w:t>符合性审查</w:t>
      </w:r>
      <w:bookmarkEnd w:id="90"/>
      <w:bookmarkEnd w:id="91"/>
      <w:bookmarkEnd w:id="92"/>
    </w:p>
    <w:p>
      <w:pPr>
        <w:pStyle w:val="27"/>
        <w:numPr>
          <w:ilvl w:val="0"/>
          <w:numId w:val="43"/>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Ansi="宋体" w:eastAsia="宋体" w:cs="Times New Roman"/>
          <w:color w:val="auto"/>
          <w:sz w:val="28"/>
          <w:szCs w:val="28"/>
        </w:rPr>
        <w:t>磋商过程中，磋商小组对</w:t>
      </w:r>
      <w:r>
        <w:rPr>
          <w:rFonts w:hint="eastAsia" w:hAnsi="宋体" w:eastAsia="宋体" w:cs="Times New Roman"/>
          <w:color w:val="auto"/>
          <w:sz w:val="28"/>
          <w:szCs w:val="28"/>
        </w:rPr>
        <w:t>供应商递交的首次</w:t>
      </w:r>
      <w:r>
        <w:rPr>
          <w:rFonts w:hAnsi="宋体" w:eastAsia="宋体" w:cs="Times New Roman"/>
          <w:color w:val="auto"/>
          <w:sz w:val="28"/>
          <w:szCs w:val="28"/>
        </w:rPr>
        <w:t>施工响应文件进行审查，审查中发现供应商</w:t>
      </w:r>
      <w:r>
        <w:rPr>
          <w:rFonts w:hint="eastAsia" w:hAnsi="宋体" w:eastAsia="宋体" w:cs="Times New Roman"/>
          <w:color w:val="auto"/>
          <w:sz w:val="28"/>
          <w:szCs w:val="28"/>
        </w:rPr>
        <w:t>首次</w:t>
      </w:r>
      <w:r>
        <w:rPr>
          <w:rFonts w:hAnsi="宋体" w:eastAsia="宋体" w:cs="Times New Roman"/>
          <w:color w:val="auto"/>
          <w:sz w:val="28"/>
          <w:szCs w:val="28"/>
        </w:rPr>
        <w:t>施工响应文件</w:t>
      </w:r>
      <w:r>
        <w:rPr>
          <w:rFonts w:hint="eastAsia" w:hAnsi="宋体" w:eastAsia="宋体" w:cs="Times New Roman"/>
          <w:color w:val="auto"/>
          <w:sz w:val="28"/>
          <w:szCs w:val="28"/>
        </w:rPr>
        <w:t>有</w:t>
      </w:r>
      <w:r>
        <w:rPr>
          <w:rFonts w:hAnsi="宋体" w:eastAsia="宋体" w:cs="Times New Roman"/>
          <w:color w:val="auto"/>
          <w:sz w:val="28"/>
          <w:szCs w:val="28"/>
        </w:rPr>
        <w:t>下列情况之一的，应按照无效施工响应文件处理：</w:t>
      </w:r>
    </w:p>
    <w:p>
      <w:pPr>
        <w:pStyle w:val="27"/>
        <w:numPr>
          <w:ilvl w:val="0"/>
          <w:numId w:val="44"/>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Ansi="宋体" w:eastAsia="宋体" w:cs="Times New Roman"/>
          <w:color w:val="auto"/>
          <w:sz w:val="28"/>
          <w:szCs w:val="28"/>
        </w:rPr>
        <w:t>施工响应文件的语言、报价货币</w:t>
      </w:r>
      <w:r>
        <w:rPr>
          <w:rFonts w:hint="eastAsia" w:hAnsi="宋体" w:eastAsia="宋体" w:cs="Times New Roman"/>
          <w:color w:val="auto"/>
          <w:sz w:val="28"/>
          <w:szCs w:val="28"/>
        </w:rPr>
        <w:t>、</w:t>
      </w:r>
      <w:r>
        <w:rPr>
          <w:rFonts w:hAnsi="宋体" w:eastAsia="宋体" w:cs="Times New Roman"/>
          <w:color w:val="auto"/>
          <w:sz w:val="28"/>
          <w:szCs w:val="28"/>
        </w:rPr>
        <w:t>知识产权</w:t>
      </w:r>
      <w:r>
        <w:rPr>
          <w:rFonts w:hint="eastAsia" w:hAnsi="宋体" w:eastAsia="宋体" w:cs="Times New Roman"/>
          <w:color w:val="auto"/>
          <w:sz w:val="28"/>
          <w:szCs w:val="28"/>
        </w:rPr>
        <w:t>、施工响应文件有效期</w:t>
      </w:r>
      <w:r>
        <w:rPr>
          <w:rFonts w:hAnsi="宋体" w:eastAsia="宋体" w:cs="Times New Roman"/>
          <w:color w:val="auto"/>
          <w:sz w:val="28"/>
          <w:szCs w:val="28"/>
        </w:rPr>
        <w:t>不符合采购文件的规定，影响磋商小组评判的；</w:t>
      </w:r>
    </w:p>
    <w:p>
      <w:pPr>
        <w:pStyle w:val="27"/>
        <w:numPr>
          <w:ilvl w:val="0"/>
          <w:numId w:val="44"/>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施工响应文件中未附已标价工程量清单（已明确</w:t>
      </w:r>
      <w:r>
        <w:rPr>
          <w:rFonts w:hAnsi="宋体" w:eastAsia="宋体" w:cs="Times New Roman"/>
          <w:color w:val="auto"/>
          <w:sz w:val="28"/>
          <w:szCs w:val="28"/>
        </w:rPr>
        <w:t>要求不需要</w:t>
      </w:r>
      <w:r>
        <w:rPr>
          <w:rFonts w:hint="eastAsia" w:hAnsi="宋体" w:eastAsia="宋体" w:cs="Times New Roman"/>
          <w:color w:val="auto"/>
          <w:sz w:val="28"/>
          <w:szCs w:val="28"/>
        </w:rPr>
        <w:t>提供</w:t>
      </w:r>
      <w:r>
        <w:rPr>
          <w:rFonts w:hAnsi="宋体" w:eastAsia="宋体" w:cs="Times New Roman"/>
          <w:color w:val="auto"/>
          <w:sz w:val="28"/>
          <w:szCs w:val="28"/>
        </w:rPr>
        <w:t>的除外）</w:t>
      </w:r>
      <w:r>
        <w:rPr>
          <w:rFonts w:hint="eastAsia" w:hAnsi="宋体" w:eastAsia="宋体" w:cs="Times New Roman"/>
          <w:color w:val="auto"/>
          <w:sz w:val="28"/>
          <w:szCs w:val="28"/>
        </w:rPr>
        <w:t>。</w:t>
      </w:r>
    </w:p>
    <w:p>
      <w:pPr>
        <w:pStyle w:val="27"/>
        <w:numPr>
          <w:ilvl w:val="0"/>
          <w:numId w:val="43"/>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经最终磋商后，施工响应文件仍有下列情况之一的，应按照无效施工响应文件处理：</w:t>
      </w:r>
    </w:p>
    <w:p>
      <w:pPr>
        <w:pStyle w:val="27"/>
        <w:numPr>
          <w:ilvl w:val="0"/>
          <w:numId w:val="45"/>
        </w:numPr>
        <w:tabs>
          <w:tab w:val="left" w:pos="1134"/>
        </w:tabs>
        <w:autoSpaceDE/>
        <w:autoSpaceDN/>
        <w:adjustRightInd/>
        <w:snapToGrid w:val="0"/>
        <w:spacing w:line="360" w:lineRule="auto"/>
        <w:ind w:left="0" w:firstLine="567"/>
        <w:rPr>
          <w:rFonts w:hAnsi="宋体" w:eastAsia="宋体" w:cs="Times New Roman"/>
          <w:color w:val="auto"/>
          <w:sz w:val="28"/>
          <w:szCs w:val="28"/>
        </w:rPr>
      </w:pPr>
      <w:r>
        <w:rPr>
          <w:rFonts w:hAnsi="宋体" w:eastAsia="宋体" w:cs="Times New Roman"/>
          <w:color w:val="auto"/>
          <w:sz w:val="28"/>
          <w:szCs w:val="28"/>
        </w:rPr>
        <w:t>施工响应文件仍不能</w:t>
      </w:r>
      <w:r>
        <w:rPr>
          <w:rFonts w:hint="eastAsia" w:hAnsi="宋体" w:eastAsia="宋体" w:cs="Times New Roman"/>
          <w:color w:val="auto"/>
          <w:sz w:val="28"/>
          <w:szCs w:val="28"/>
        </w:rPr>
        <w:t>实质性响应采购文件的实质性要求和仍</w:t>
      </w:r>
      <w:r>
        <w:rPr>
          <w:rFonts w:hAnsi="宋体" w:eastAsia="宋体" w:cs="Times New Roman"/>
          <w:color w:val="auto"/>
          <w:sz w:val="28"/>
          <w:szCs w:val="28"/>
        </w:rPr>
        <w:t>不能完全</w:t>
      </w:r>
      <w:r>
        <w:rPr>
          <w:rFonts w:hint="eastAsia" w:hAnsi="宋体" w:eastAsia="宋体" w:cs="Times New Roman"/>
          <w:color w:val="auto"/>
          <w:sz w:val="28"/>
          <w:szCs w:val="28"/>
        </w:rPr>
        <w:t>满足采购需求的最低要求</w:t>
      </w:r>
      <w:r>
        <w:rPr>
          <w:rFonts w:hAnsi="宋体" w:eastAsia="宋体" w:cs="Times New Roman"/>
          <w:color w:val="auto"/>
          <w:sz w:val="28"/>
          <w:szCs w:val="28"/>
        </w:rPr>
        <w:t>的</w:t>
      </w:r>
      <w:r>
        <w:rPr>
          <w:rFonts w:hint="eastAsia" w:hAnsi="宋体" w:eastAsia="宋体" w:cs="Times New Roman"/>
          <w:color w:val="auto"/>
          <w:sz w:val="28"/>
          <w:szCs w:val="28"/>
        </w:rPr>
        <w:t>；</w:t>
      </w:r>
    </w:p>
    <w:p>
      <w:pPr>
        <w:pStyle w:val="27"/>
        <w:numPr>
          <w:ilvl w:val="0"/>
          <w:numId w:val="45"/>
        </w:numPr>
        <w:tabs>
          <w:tab w:val="left" w:pos="1134"/>
        </w:tabs>
        <w:autoSpaceDE/>
        <w:autoSpaceDN/>
        <w:adjustRightInd/>
        <w:snapToGrid w:val="0"/>
        <w:spacing w:line="360" w:lineRule="auto"/>
        <w:ind w:left="0" w:firstLine="567"/>
        <w:rPr>
          <w:rFonts w:hAnsi="宋体" w:eastAsia="宋体" w:cs="Times New Roman"/>
          <w:color w:val="auto"/>
          <w:sz w:val="28"/>
          <w:szCs w:val="28"/>
        </w:rPr>
      </w:pPr>
      <w:r>
        <w:rPr>
          <w:rFonts w:hint="eastAsia" w:hAnsi="宋体" w:eastAsia="宋体" w:cs="Times New Roman"/>
          <w:color w:val="auto"/>
          <w:sz w:val="28"/>
          <w:szCs w:val="28"/>
        </w:rPr>
        <w:t>施工响应文件仍中有规定的其他无效响应情形的。</w:t>
      </w:r>
    </w:p>
    <w:p>
      <w:pPr>
        <w:pStyle w:val="27"/>
        <w:numPr>
          <w:ilvl w:val="0"/>
          <w:numId w:val="43"/>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供应商首次施工响应文件中的报价（已标价工程量清单）进行评审</w:t>
      </w:r>
    </w:p>
    <w:p>
      <w:pPr>
        <w:pStyle w:val="81"/>
        <w:widowControl w:val="0"/>
        <w:numPr>
          <w:ilvl w:val="0"/>
          <w:numId w:val="46"/>
        </w:numPr>
        <w:tabs>
          <w:tab w:val="left" w:pos="1134"/>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供应商已标价工程量清单出现磋商文件“供应商须知附表”中第7项规定情形之一的，应按照无效施工响应文件处理；</w:t>
      </w:r>
    </w:p>
    <w:p>
      <w:pPr>
        <w:pStyle w:val="81"/>
        <w:widowControl w:val="0"/>
        <w:numPr>
          <w:ilvl w:val="0"/>
          <w:numId w:val="46"/>
        </w:numPr>
        <w:tabs>
          <w:tab w:val="left" w:pos="1134"/>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磋商小组对供应商已标价工程量清单进行算术性复核，如果出现下列不一致的，按以下原则进行修正：</w:t>
      </w:r>
    </w:p>
    <w:p>
      <w:pPr>
        <w:pStyle w:val="27"/>
        <w:snapToGrid w:val="0"/>
        <w:spacing w:line="360" w:lineRule="auto"/>
        <w:ind w:firstLine="565" w:firstLineChars="202"/>
        <w:rPr>
          <w:rFonts w:hAnsi="宋体" w:eastAsia="宋体"/>
          <w:color w:val="auto"/>
          <w:sz w:val="28"/>
          <w:szCs w:val="28"/>
          <w:lang w:val="zh-CN"/>
        </w:rPr>
      </w:pPr>
      <w:r>
        <w:rPr>
          <w:rFonts w:hint="eastAsia" w:hAnsi="宋体" w:eastAsia="宋体" w:cs="仿宋"/>
          <w:color w:val="auto"/>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7"/>
        <w:snapToGrid w:val="0"/>
        <w:spacing w:line="360" w:lineRule="auto"/>
        <w:ind w:firstLine="560" w:firstLineChars="200"/>
        <w:rPr>
          <w:rFonts w:hAnsi="宋体" w:eastAsia="宋体"/>
          <w:color w:val="auto"/>
          <w:sz w:val="28"/>
          <w:szCs w:val="28"/>
          <w:lang w:val="zh-CN"/>
        </w:rPr>
      </w:pPr>
      <w:r>
        <w:rPr>
          <w:rFonts w:hint="eastAsia" w:hAnsi="宋体" w:eastAsia="宋体" w:cs="仿宋"/>
          <w:color w:val="auto"/>
          <w:sz w:val="28"/>
          <w:szCs w:val="28"/>
          <w:lang w:val="zh-CN"/>
        </w:rPr>
        <w:t>修正后的报价经供应商确认后产生约束力，供应商不确认的，其施工响应文件作为无效处理。供应商需采取</w:t>
      </w:r>
      <w:r>
        <w:rPr>
          <w:rFonts w:hint="eastAsia" w:hAnsi="宋体"/>
          <w:color w:val="auto"/>
          <w:sz w:val="28"/>
          <w:szCs w:val="28"/>
        </w:rPr>
        <w:t>加盖供应商（法定名称）电子签章</w:t>
      </w:r>
      <w:r>
        <w:rPr>
          <w:rFonts w:hint="eastAsia" w:hAnsi="宋体" w:eastAsia="宋体" w:cs="仿宋"/>
          <w:color w:val="auto"/>
          <w:sz w:val="28"/>
          <w:szCs w:val="28"/>
          <w:lang w:val="zh-CN"/>
        </w:rPr>
        <w:t>）的方式对修正后的报价进行确认。</w:t>
      </w:r>
    </w:p>
    <w:p>
      <w:pPr>
        <w:pStyle w:val="27"/>
        <w:snapToGrid w:val="0"/>
        <w:spacing w:line="360" w:lineRule="auto"/>
        <w:ind w:firstLine="560" w:firstLineChars="200"/>
        <w:rPr>
          <w:rFonts w:hAnsi="宋体" w:eastAsia="宋体"/>
          <w:color w:val="auto"/>
          <w:sz w:val="28"/>
          <w:szCs w:val="28"/>
          <w:lang w:val="zh-CN"/>
        </w:rPr>
      </w:pPr>
      <w:r>
        <w:rPr>
          <w:rFonts w:hint="eastAsia" w:hAnsi="宋体" w:eastAsia="宋体" w:cs="仿宋"/>
          <w:color w:val="auto"/>
          <w:sz w:val="28"/>
          <w:szCs w:val="28"/>
          <w:lang w:val="zh-CN"/>
        </w:rPr>
        <w:t>不得未经澄清、说明或者更正，直接将供应商施工响应文件作为无效处理。</w:t>
      </w:r>
    </w:p>
    <w:p>
      <w:pPr>
        <w:pStyle w:val="81"/>
        <w:widowControl w:val="0"/>
        <w:numPr>
          <w:ilvl w:val="0"/>
          <w:numId w:val="46"/>
        </w:numPr>
        <w:tabs>
          <w:tab w:val="left" w:pos="1134"/>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磋商小组对供应商已标价工程量清单的项目单价进行评审，对明显不合理的单价（如明显偏高或偏低）项目</w:t>
      </w:r>
      <w:r>
        <w:rPr>
          <w:rFonts w:ascii="宋体" w:hAnsi="宋体" w:eastAsia="宋体"/>
          <w:color w:val="auto"/>
          <w:sz w:val="28"/>
          <w:szCs w:val="28"/>
        </w:rPr>
        <w:t>,</w:t>
      </w:r>
      <w:r>
        <w:rPr>
          <w:rFonts w:hint="eastAsia" w:ascii="宋体" w:hAnsi="宋体" w:eastAsia="宋体"/>
          <w:color w:val="auto"/>
          <w:sz w:val="28"/>
          <w:szCs w:val="28"/>
        </w:rPr>
        <w:t>应在评审报告中记录，提醒采购人在签订合同时注意，并在合同履行过程中加强风险防范。</w:t>
      </w:r>
    </w:p>
    <w:p>
      <w:pPr>
        <w:pStyle w:val="27"/>
        <w:numPr>
          <w:ilvl w:val="0"/>
          <w:numId w:val="43"/>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27"/>
        <w:numPr>
          <w:ilvl w:val="0"/>
          <w:numId w:val="43"/>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磋商小组要求供应商澄清、说明或者更正施工响应文件应当以书面形式作出。供应商的澄清、说明或者更正</w:t>
      </w:r>
      <w:r>
        <w:rPr>
          <w:rFonts w:hint="eastAsia" w:hAnsi="宋体"/>
          <w:color w:val="auto"/>
          <w:sz w:val="28"/>
          <w:szCs w:val="28"/>
        </w:rPr>
        <w:t>应加盖供应商（法定名称）电子签章</w:t>
      </w:r>
      <w:r>
        <w:rPr>
          <w:rFonts w:hint="eastAsia" w:hAnsi="宋体" w:eastAsia="宋体" w:cs="Times New Roman"/>
          <w:color w:val="auto"/>
          <w:sz w:val="28"/>
          <w:szCs w:val="28"/>
        </w:rPr>
        <w:t>。</w:t>
      </w:r>
    </w:p>
    <w:p>
      <w:pPr>
        <w:pStyle w:val="27"/>
        <w:numPr>
          <w:ilvl w:val="0"/>
          <w:numId w:val="43"/>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磋商小组应当积极履行澄清、说明或者更正的职责，不得滥用权力。</w:t>
      </w:r>
    </w:p>
    <w:p>
      <w:pPr>
        <w:pStyle w:val="27"/>
        <w:numPr>
          <w:ilvl w:val="0"/>
          <w:numId w:val="43"/>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磋商小组在符合性审查过程中，磋商小组成员对供应商是否符合规定存在争议的，应当以少数服从多数的原则处理，但不违背政府采购法和磋商文件规定。</w:t>
      </w:r>
    </w:p>
    <w:p>
      <w:pPr>
        <w:pStyle w:val="27"/>
        <w:numPr>
          <w:ilvl w:val="0"/>
          <w:numId w:val="43"/>
        </w:numPr>
        <w:tabs>
          <w:tab w:val="left" w:pos="1134"/>
        </w:tabs>
        <w:autoSpaceDE/>
        <w:autoSpaceDN/>
        <w:adjustRightInd/>
        <w:snapToGrid w:val="0"/>
        <w:spacing w:line="360" w:lineRule="auto"/>
        <w:ind w:left="0" w:firstLine="560"/>
        <w:rPr>
          <w:rFonts w:hAnsi="宋体" w:eastAsia="宋体" w:cs="Times New Roman"/>
          <w:color w:val="auto"/>
          <w:sz w:val="28"/>
          <w:szCs w:val="28"/>
        </w:rPr>
      </w:pPr>
      <w:r>
        <w:rPr>
          <w:rFonts w:hint="eastAsia" w:hAnsi="宋体" w:eastAsia="宋体" w:cs="Times New Roman"/>
          <w:color w:val="auto"/>
          <w:sz w:val="28"/>
          <w:szCs w:val="28"/>
        </w:rPr>
        <w:t>供应商符合性审查标准（按以下顺序审查）：</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544"/>
        <w:gridCol w:w="3827"/>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b/>
                <w:color w:val="auto"/>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b/>
                <w:color w:val="auto"/>
              </w:rPr>
              <w:t>审查内容</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b/>
                <w:color w:val="auto"/>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b/>
                <w:color w:val="auto"/>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ascii="宋体" w:hAnsi="宋体"/>
                <w:color w:val="auto"/>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color w:val="auto"/>
              </w:rPr>
              <w:t>磋商</w:t>
            </w:r>
            <w:r>
              <w:rPr>
                <w:color w:val="auto"/>
              </w:rPr>
              <w:t>保证金</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color w:val="auto"/>
              </w:rPr>
              <w:t>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color w:val="auto"/>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color w:val="auto"/>
              </w:rPr>
              <w:t>施工响应文件</w:t>
            </w:r>
            <w:r>
              <w:rPr>
                <w:color w:val="auto"/>
              </w:rPr>
              <w:t>解密情况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ascii="宋体" w:hAnsi="宋体"/>
                <w:color w:val="auto"/>
              </w:rPr>
              <w:t>除因断电、断网、系统故障或其他不可抗力等因素，导致系统无法使用外，</w:t>
            </w:r>
            <w:r>
              <w:rPr>
                <w:rFonts w:hint="eastAsia"/>
                <w:color w:val="auto"/>
              </w:rPr>
              <w:t>施工响应文件</w:t>
            </w:r>
            <w:r>
              <w:rPr>
                <w:rFonts w:hint="eastAsia" w:ascii="宋体" w:hAnsi="宋体"/>
                <w:color w:val="auto"/>
              </w:rPr>
              <w:t>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r>
              <w:rPr>
                <w:rFonts w:hint="eastAsia" w:ascii="宋体" w:hAnsi="宋体"/>
                <w:color w:val="auto"/>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color w:val="auto"/>
              </w:rPr>
              <w:t>施工响应文件</w:t>
            </w:r>
            <w:r>
              <w:rPr>
                <w:color w:val="auto"/>
              </w:rPr>
              <w:t>签章</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rPr>
            </w:pPr>
            <w:r>
              <w:rPr>
                <w:rFonts w:hint="eastAsia"/>
                <w:color w:val="auto"/>
              </w:rPr>
              <w:t>施工响应文件加盖有供应商（法定名称）电子签章</w:t>
            </w:r>
            <w:r>
              <w:rPr>
                <w:color w:val="auto"/>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施工响应文件的组成</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8"/>
              </w:rPr>
            </w:pPr>
            <w:r>
              <w:rPr>
                <w:rFonts w:hint="eastAsia" w:ascii="宋体" w:hAnsi="宋体"/>
                <w:color w:val="auto"/>
                <w:szCs w:val="28"/>
              </w:rPr>
              <w:t>符合磋商文件</w:t>
            </w:r>
            <w:r>
              <w:rPr>
                <w:rFonts w:ascii="宋体" w:hAnsi="宋体"/>
                <w:color w:val="auto"/>
                <w:szCs w:val="28"/>
              </w:rPr>
              <w:t>2.4.6的要求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5</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szCs w:val="28"/>
              </w:rPr>
              <w:t>法定代表人身份证复印件或护照复印件</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szCs w:val="28"/>
              </w:rPr>
              <w:t>身份证复印件或护照复印件【注：法定代表人身份证复印件（身份证两面均应复印，在有效期内）或护照复印件（法定代表人为外籍人士的，按此提供）。】。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6</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施工响应文件有效期、计量单位、语言、报价货币、知识产权</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有效期、计量单位、语言、报价货币、知识产权满足磋商文件要求。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7</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施工响应文件对磋商文件规定的实质性要求和采购项目最低要求的响应情况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符合磋商文件规定的实质性要求和采购项目最低要求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r>
              <w:rPr>
                <w:rFonts w:hint="eastAsia" w:ascii="宋体" w:hAnsi="宋体"/>
                <w:color w:val="auto"/>
              </w:rPr>
              <w:t>8</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rPr>
            </w:pPr>
            <w:r>
              <w:rPr>
                <w:rFonts w:hint="eastAsia" w:ascii="宋体" w:hAnsi="宋体"/>
                <w:color w:val="auto"/>
              </w:rPr>
              <w:t>已标价工程量清单</w:t>
            </w:r>
          </w:p>
        </w:tc>
        <w:tc>
          <w:tcPr>
            <w:tcW w:w="3827" w:type="dxa"/>
            <w:tcBorders>
              <w:top w:val="single" w:color="auto" w:sz="4" w:space="0"/>
              <w:left w:val="single" w:color="auto" w:sz="4" w:space="0"/>
              <w:bottom w:val="single" w:color="auto" w:sz="4" w:space="0"/>
              <w:right w:val="single" w:color="auto" w:sz="4" w:space="0"/>
            </w:tcBorders>
            <w:vAlign w:val="center"/>
          </w:tcPr>
          <w:p>
            <w:pPr>
              <w:pStyle w:val="81"/>
              <w:numPr>
                <w:ilvl w:val="0"/>
                <w:numId w:val="47"/>
              </w:numPr>
              <w:tabs>
                <w:tab w:val="left" w:pos="742"/>
              </w:tabs>
              <w:snapToGrid w:val="0"/>
              <w:spacing w:line="360" w:lineRule="auto"/>
              <w:ind w:left="33" w:hanging="33" w:firstLineChars="0"/>
              <w:rPr>
                <w:rFonts w:ascii="宋体" w:hAnsi="宋体" w:eastAsia="宋体"/>
                <w:color w:val="auto"/>
              </w:rPr>
            </w:pPr>
            <w:r>
              <w:rPr>
                <w:rFonts w:hint="eastAsia" w:ascii="宋体" w:hAnsi="宋体" w:eastAsia="宋体"/>
                <w:color w:val="auto"/>
              </w:rPr>
              <w:t>供应商提交的首次施工响应文件中已标价工程量清单未出现磋商文件“供应商须知附表”中第７项规定情形；</w:t>
            </w:r>
          </w:p>
          <w:p>
            <w:pPr>
              <w:pStyle w:val="81"/>
              <w:numPr>
                <w:ilvl w:val="0"/>
                <w:numId w:val="47"/>
              </w:numPr>
              <w:tabs>
                <w:tab w:val="left" w:pos="742"/>
              </w:tabs>
              <w:snapToGrid w:val="0"/>
              <w:spacing w:line="360" w:lineRule="auto"/>
              <w:ind w:left="33" w:hanging="33" w:firstLineChars="0"/>
              <w:rPr>
                <w:rFonts w:ascii="宋体" w:hAnsi="宋体" w:eastAsia="宋体"/>
                <w:color w:val="auto"/>
              </w:rPr>
            </w:pPr>
            <w:r>
              <w:rPr>
                <w:rFonts w:hint="eastAsia" w:ascii="宋体" w:hAnsi="宋体" w:eastAsia="宋体"/>
                <w:color w:val="auto"/>
              </w:rPr>
              <w:t>供应商提交的首次施工响应文件中供应商已标价工程量清单符合磋商文件2.4.3报价货币及报价要求。</w:t>
            </w:r>
          </w:p>
          <w:p>
            <w:pPr>
              <w:pStyle w:val="81"/>
              <w:numPr>
                <w:ilvl w:val="0"/>
                <w:numId w:val="47"/>
              </w:numPr>
              <w:tabs>
                <w:tab w:val="left" w:pos="742"/>
              </w:tabs>
              <w:snapToGrid w:val="0"/>
              <w:spacing w:line="360" w:lineRule="auto"/>
              <w:ind w:left="33" w:hanging="33" w:firstLineChars="0"/>
              <w:rPr>
                <w:rFonts w:ascii="宋体" w:hAnsi="宋体" w:eastAsia="宋体"/>
                <w:color w:val="auto"/>
              </w:rPr>
            </w:pPr>
            <w:r>
              <w:rPr>
                <w:rFonts w:hint="eastAsia" w:ascii="宋体" w:hAnsi="宋体" w:eastAsia="宋体"/>
                <w:color w:val="auto"/>
              </w:rPr>
              <w:t>磋商小组对供应商已标价工程量清单进行算术性复核时，如需进行修正的，供应商按磋商文件要求确认修正后的报价。</w:t>
            </w:r>
          </w:p>
          <w:p>
            <w:pPr>
              <w:pStyle w:val="81"/>
              <w:tabs>
                <w:tab w:val="left" w:pos="742"/>
              </w:tabs>
              <w:snapToGrid w:val="0"/>
              <w:spacing w:line="360" w:lineRule="auto"/>
              <w:ind w:left="33" w:firstLine="0" w:firstLineChars="0"/>
              <w:rPr>
                <w:rFonts w:ascii="宋体" w:hAnsi="宋体" w:eastAsia="宋体"/>
                <w:color w:val="auto"/>
              </w:rPr>
            </w:pPr>
            <w:r>
              <w:rPr>
                <w:rFonts w:hint="eastAsia" w:ascii="宋体" w:hAnsi="宋体"/>
                <w:color w:val="auto"/>
                <w:szCs w:val="28"/>
              </w:rPr>
              <w:t>【说明：上传已标价</w:t>
            </w:r>
            <w:r>
              <w:rPr>
                <w:rFonts w:ascii="宋体" w:hAnsi="宋体"/>
                <w:color w:val="auto"/>
                <w:szCs w:val="28"/>
              </w:rPr>
              <w:t>的工程量清单</w:t>
            </w:r>
            <w:r>
              <w:rPr>
                <w:rFonts w:hint="eastAsia" w:ascii="宋体" w:hAnsi="宋体"/>
                <w:color w:val="auto"/>
                <w:szCs w:val="28"/>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rPr>
            </w:pPr>
          </w:p>
        </w:tc>
      </w:tr>
    </w:tbl>
    <w:p>
      <w:pPr>
        <w:pStyle w:val="81"/>
        <w:widowControl w:val="0"/>
        <w:numPr>
          <w:ilvl w:val="0"/>
          <w:numId w:val="48"/>
        </w:numPr>
        <w:tabs>
          <w:tab w:val="left" w:pos="1134"/>
          <w:tab w:val="left" w:pos="1276"/>
          <w:tab w:val="left" w:pos="1418"/>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磋商小组认为供应商有任意一项不通过的，应在评审报告中载明不通过的具体原因。</w:t>
      </w:r>
    </w:p>
    <w:p>
      <w:pPr>
        <w:pStyle w:val="81"/>
        <w:widowControl w:val="0"/>
        <w:numPr>
          <w:ilvl w:val="0"/>
          <w:numId w:val="48"/>
        </w:numPr>
        <w:tabs>
          <w:tab w:val="left" w:pos="1134"/>
          <w:tab w:val="left" w:pos="1276"/>
          <w:tab w:val="left" w:pos="1418"/>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磋商小组符合性审查结束后，应当出具符合性审查报告，确定参加最后报价的供应商名单。龙泉驿区公资交易中心将通过和未通过符合性审查的供应商名单以及未通过符合性审查的原因</w:t>
      </w:r>
      <w:r>
        <w:rPr>
          <w:rFonts w:hint="eastAsia" w:ascii="宋体" w:hAnsi="宋体"/>
          <w:color w:val="auto"/>
          <w:sz w:val="28"/>
          <w:szCs w:val="28"/>
        </w:rPr>
        <w:t>（以短信、站内信、电话、“政府采购云平台”等任一方式）</w:t>
      </w:r>
      <w:r>
        <w:rPr>
          <w:rFonts w:hint="eastAsia" w:ascii="宋体" w:hAnsi="宋体" w:eastAsia="宋体"/>
          <w:color w:val="auto"/>
          <w:sz w:val="28"/>
          <w:szCs w:val="28"/>
        </w:rPr>
        <w:t>通知所有递交施工响应文件的供应商，并书面通知未通过符合性审查的供应商。</w:t>
      </w:r>
    </w:p>
    <w:p>
      <w:pPr>
        <w:pStyle w:val="81"/>
        <w:widowControl w:val="0"/>
        <w:numPr>
          <w:ilvl w:val="0"/>
          <w:numId w:val="48"/>
        </w:numPr>
        <w:tabs>
          <w:tab w:val="left" w:pos="851"/>
          <w:tab w:val="left" w:pos="993"/>
          <w:tab w:val="left" w:pos="1134"/>
          <w:tab w:val="left" w:pos="1276"/>
          <w:tab w:val="left" w:pos="1418"/>
        </w:tabs>
        <w:snapToGrid w:val="0"/>
        <w:spacing w:line="360" w:lineRule="auto"/>
        <w:ind w:left="0" w:firstLine="567" w:firstLineChars="0"/>
        <w:jc w:val="both"/>
        <w:rPr>
          <w:rFonts w:ascii="宋体" w:hAnsi="宋体" w:eastAsia="宋体"/>
          <w:color w:val="auto"/>
          <w:sz w:val="28"/>
          <w:szCs w:val="28"/>
        </w:rPr>
      </w:pPr>
      <w:r>
        <w:rPr>
          <w:rFonts w:hint="eastAsia" w:ascii="宋体" w:hAnsi="宋体" w:eastAsia="宋体"/>
          <w:color w:val="auto"/>
          <w:sz w:val="28"/>
          <w:szCs w:val="28"/>
        </w:rPr>
        <w:t>通过符合性审查的供应商不足三家的，本次采购活动终止，并发布终止竞争性磋商公告。</w:t>
      </w:r>
    </w:p>
    <w:p>
      <w:pPr>
        <w:pStyle w:val="27"/>
        <w:tabs>
          <w:tab w:val="left" w:pos="1134"/>
        </w:tabs>
        <w:snapToGrid w:val="0"/>
        <w:spacing w:line="360" w:lineRule="auto"/>
        <w:ind w:firstLine="565" w:firstLineChars="201"/>
        <w:rPr>
          <w:rFonts w:hAnsi="宋体" w:eastAsia="宋体"/>
          <w:b/>
          <w:color w:val="auto"/>
          <w:sz w:val="28"/>
          <w:szCs w:val="28"/>
        </w:rPr>
      </w:pPr>
      <w:r>
        <w:rPr>
          <w:rFonts w:hint="eastAsia" w:hAnsi="宋体" w:eastAsia="宋体"/>
          <w:b/>
          <w:color w:val="auto"/>
          <w:sz w:val="28"/>
          <w:szCs w:val="28"/>
        </w:rPr>
        <w:t>特别说明：磋商文件中要求提供复印件的证明材料的，包含原件的影印件或复印件。</w:t>
      </w:r>
    </w:p>
    <w:p>
      <w:pPr>
        <w:pStyle w:val="4"/>
        <w:numPr>
          <w:ilvl w:val="2"/>
          <w:numId w:val="1"/>
        </w:numPr>
        <w:tabs>
          <w:tab w:val="left" w:pos="993"/>
          <w:tab w:val="clear" w:pos="426"/>
          <w:tab w:val="clear" w:pos="567"/>
        </w:tabs>
        <w:rPr>
          <w:color w:val="auto"/>
        </w:rPr>
      </w:pPr>
      <w:bookmarkStart w:id="93" w:name="_Toc23782"/>
      <w:bookmarkStart w:id="94" w:name="_Toc63437912"/>
      <w:bookmarkStart w:id="95" w:name="_Toc63084326"/>
      <w:r>
        <w:rPr>
          <w:rFonts w:hint="eastAsia"/>
          <w:color w:val="auto"/>
        </w:rPr>
        <w:t>最后报价审查</w:t>
      </w:r>
      <w:bookmarkEnd w:id="93"/>
      <w:bookmarkEnd w:id="94"/>
      <w:bookmarkEnd w:id="95"/>
    </w:p>
    <w:p>
      <w:pPr>
        <w:numPr>
          <w:ilvl w:val="0"/>
          <w:numId w:val="49"/>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磋商结束</w:t>
      </w:r>
      <w:r>
        <w:rPr>
          <w:rFonts w:ascii="宋体" w:hAnsi="宋体"/>
          <w:color w:val="auto"/>
          <w:sz w:val="28"/>
          <w:szCs w:val="28"/>
        </w:rPr>
        <w:t>后，</w:t>
      </w:r>
      <w:r>
        <w:rPr>
          <w:rFonts w:hint="eastAsia" w:ascii="宋体" w:hAnsi="宋体"/>
          <w:color w:val="auto"/>
          <w:sz w:val="28"/>
          <w:szCs w:val="28"/>
        </w:rPr>
        <w:t>评审委员会应当要求所有实质性响应的供应商在规定时间内进行最后报价或者多轮报价后再最后报价。磋商小组</w:t>
      </w:r>
      <w:r>
        <w:rPr>
          <w:rFonts w:ascii="宋体" w:hAnsi="宋体"/>
          <w:color w:val="auto"/>
          <w:sz w:val="28"/>
          <w:szCs w:val="28"/>
        </w:rPr>
        <w:t>开启报价后，供应商应随时关注“</w:t>
      </w:r>
      <w:r>
        <w:rPr>
          <w:rFonts w:hint="eastAsia" w:ascii="宋体" w:hAnsi="宋体"/>
          <w:color w:val="auto"/>
          <w:sz w:val="28"/>
          <w:szCs w:val="28"/>
        </w:rPr>
        <w:t>政府</w:t>
      </w:r>
      <w:r>
        <w:rPr>
          <w:rFonts w:ascii="宋体" w:hAnsi="宋体"/>
          <w:color w:val="auto"/>
          <w:sz w:val="28"/>
          <w:szCs w:val="28"/>
        </w:rPr>
        <w:t>采购</w:t>
      </w:r>
      <w:r>
        <w:rPr>
          <w:rFonts w:hint="eastAsia" w:ascii="宋体" w:hAnsi="宋体"/>
          <w:color w:val="auto"/>
          <w:sz w:val="28"/>
          <w:szCs w:val="28"/>
        </w:rPr>
        <w:t>云</w:t>
      </w:r>
      <w:r>
        <w:rPr>
          <w:rFonts w:ascii="宋体" w:hAnsi="宋体"/>
          <w:color w:val="auto"/>
          <w:sz w:val="28"/>
          <w:szCs w:val="28"/>
        </w:rPr>
        <w:t>平台”</w:t>
      </w:r>
      <w:r>
        <w:rPr>
          <w:rFonts w:hint="eastAsia" w:ascii="宋体" w:hAnsi="宋体"/>
          <w:color w:val="auto"/>
          <w:sz w:val="28"/>
          <w:szCs w:val="28"/>
        </w:rPr>
        <w:t>站内信息或</w:t>
      </w:r>
      <w:r>
        <w:rPr>
          <w:rFonts w:ascii="宋体" w:hAnsi="宋体"/>
          <w:color w:val="auto"/>
          <w:sz w:val="28"/>
          <w:szCs w:val="28"/>
        </w:rPr>
        <w:t>短信提醒，</w:t>
      </w:r>
      <w:r>
        <w:rPr>
          <w:rFonts w:hint="eastAsia" w:ascii="宋体" w:hAnsi="宋体"/>
          <w:color w:val="auto"/>
          <w:sz w:val="28"/>
          <w:szCs w:val="28"/>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color w:val="auto"/>
          <w:sz w:val="28"/>
          <w:szCs w:val="28"/>
        </w:rPr>
        <w:t>并</w:t>
      </w:r>
      <w:r>
        <w:rPr>
          <w:rFonts w:hint="eastAsia" w:ascii="宋体" w:hAnsi="宋体"/>
          <w:color w:val="auto"/>
          <w:sz w:val="28"/>
          <w:szCs w:val="28"/>
        </w:rPr>
        <w:t>签章</w:t>
      </w:r>
      <w:r>
        <w:rPr>
          <w:rFonts w:ascii="宋体" w:hAnsi="宋体"/>
          <w:color w:val="auto"/>
          <w:sz w:val="28"/>
          <w:szCs w:val="28"/>
        </w:rPr>
        <w:t>后</w:t>
      </w:r>
      <w:r>
        <w:rPr>
          <w:rFonts w:hint="eastAsia" w:ascii="宋体" w:hAnsi="宋体"/>
          <w:color w:val="auto"/>
          <w:sz w:val="28"/>
          <w:szCs w:val="28"/>
        </w:rPr>
        <w:t>递交。报价</w:t>
      </w:r>
      <w:r>
        <w:rPr>
          <w:rFonts w:ascii="宋体" w:hAnsi="宋体"/>
          <w:color w:val="auto"/>
          <w:sz w:val="28"/>
          <w:szCs w:val="28"/>
        </w:rPr>
        <w:t>时间截止后，系统</w:t>
      </w:r>
      <w:r>
        <w:rPr>
          <w:rFonts w:hint="eastAsia" w:ascii="宋体" w:hAnsi="宋体"/>
          <w:color w:val="auto"/>
          <w:sz w:val="28"/>
          <w:szCs w:val="28"/>
        </w:rPr>
        <w:t>统一</w:t>
      </w:r>
      <w:r>
        <w:rPr>
          <w:rFonts w:ascii="宋体" w:hAnsi="宋体"/>
          <w:color w:val="auto"/>
          <w:sz w:val="28"/>
          <w:szCs w:val="28"/>
        </w:rPr>
        <w:t>公布报价。</w:t>
      </w:r>
      <w:r>
        <w:rPr>
          <w:rFonts w:hint="eastAsia" w:ascii="宋体" w:hAnsi="宋体"/>
          <w:color w:val="auto"/>
          <w:sz w:val="28"/>
          <w:szCs w:val="28"/>
        </w:rPr>
        <w:t>提示：供应商未按时登录不见面开标系统，未在报价</w:t>
      </w:r>
      <w:r>
        <w:rPr>
          <w:rFonts w:ascii="宋体" w:hAnsi="宋体"/>
          <w:color w:val="auto"/>
          <w:sz w:val="28"/>
          <w:szCs w:val="28"/>
        </w:rPr>
        <w:t>截止时间内</w:t>
      </w:r>
      <w:r>
        <w:rPr>
          <w:rFonts w:hint="eastAsia" w:ascii="宋体" w:hAnsi="宋体"/>
          <w:color w:val="auto"/>
          <w:sz w:val="28"/>
          <w:szCs w:val="28"/>
        </w:rPr>
        <w:t>递交</w:t>
      </w:r>
      <w:r>
        <w:rPr>
          <w:rFonts w:ascii="宋体" w:hAnsi="宋体"/>
          <w:color w:val="auto"/>
          <w:sz w:val="28"/>
          <w:szCs w:val="28"/>
        </w:rPr>
        <w:t>报价</w:t>
      </w:r>
      <w:r>
        <w:rPr>
          <w:rFonts w:hint="eastAsia" w:ascii="宋体" w:hAnsi="宋体"/>
          <w:color w:val="auto"/>
          <w:sz w:val="28"/>
          <w:szCs w:val="28"/>
        </w:rPr>
        <w:t>或未按要求进行报价的，</w:t>
      </w:r>
      <w:r>
        <w:rPr>
          <w:rFonts w:ascii="宋体" w:hAnsi="宋体"/>
          <w:color w:val="auto"/>
          <w:sz w:val="28"/>
          <w:szCs w:val="28"/>
        </w:rPr>
        <w:t>视为供应商</w:t>
      </w:r>
      <w:r>
        <w:rPr>
          <w:rFonts w:hint="eastAsia" w:ascii="宋体" w:hAnsi="宋体"/>
          <w:color w:val="auto"/>
          <w:sz w:val="28"/>
          <w:szCs w:val="28"/>
        </w:rPr>
        <w:t>响应无效，由供应商自行承担不利后果。</w:t>
      </w:r>
    </w:p>
    <w:p>
      <w:pPr>
        <w:numPr>
          <w:ilvl w:val="0"/>
          <w:numId w:val="49"/>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已提交施工响应文件的供应商，在提交最后报价之前，可以根据磋商情况退出磋商，供应商的磋商保证金在成交结果公布后无息原路径退还。</w:t>
      </w:r>
    </w:p>
    <w:p>
      <w:pPr>
        <w:numPr>
          <w:ilvl w:val="0"/>
          <w:numId w:val="49"/>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供应商未按磋商小组要求在规定时间内提交最后报价的，视为其退出磋商。</w:t>
      </w:r>
    </w:p>
    <w:p>
      <w:pPr>
        <w:numPr>
          <w:ilvl w:val="0"/>
          <w:numId w:val="49"/>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最后报价一旦递交后，供应商不得以任何理由撤回。</w:t>
      </w:r>
    </w:p>
    <w:p>
      <w:pPr>
        <w:numPr>
          <w:ilvl w:val="0"/>
          <w:numId w:val="49"/>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s="宋体"/>
          <w:color w:val="auto"/>
          <w:sz w:val="28"/>
          <w:szCs w:val="28"/>
        </w:rPr>
        <w:t>供应商的最后报价由</w:t>
      </w:r>
      <w:r>
        <w:rPr>
          <w:rFonts w:hint="eastAsia" w:ascii="宋体" w:hAnsi="宋体"/>
          <w:color w:val="auto"/>
          <w:sz w:val="28"/>
          <w:szCs w:val="28"/>
        </w:rPr>
        <w:t>磋商小组在“政府采购云平台”公布。</w:t>
      </w:r>
    </w:p>
    <w:p>
      <w:pPr>
        <w:numPr>
          <w:ilvl w:val="0"/>
          <w:numId w:val="49"/>
        </w:numPr>
        <w:tabs>
          <w:tab w:val="left" w:pos="1134"/>
        </w:tabs>
        <w:snapToGrid w:val="0"/>
        <w:spacing w:after="200" w:line="360" w:lineRule="auto"/>
        <w:ind w:left="0" w:firstLine="560" w:firstLineChars="200"/>
        <w:rPr>
          <w:rFonts w:ascii="宋体" w:hAnsi="宋体"/>
          <w:color w:val="auto"/>
          <w:sz w:val="28"/>
          <w:szCs w:val="28"/>
        </w:rPr>
      </w:pPr>
      <w:r>
        <w:rPr>
          <w:rFonts w:hint="eastAsia" w:ascii="宋体" w:hAnsi="宋体"/>
          <w:color w:val="auto"/>
          <w:sz w:val="28"/>
          <w:szCs w:val="28"/>
        </w:rPr>
        <w:t>最后报价为有效报价应符合下列条件：</w:t>
      </w:r>
    </w:p>
    <w:p>
      <w:pPr>
        <w:numPr>
          <w:ilvl w:val="0"/>
          <w:numId w:val="50"/>
        </w:numPr>
        <w:tabs>
          <w:tab w:val="left" w:pos="-2127"/>
          <w:tab w:val="left" w:pos="1134"/>
        </w:tabs>
        <w:snapToGrid w:val="0"/>
        <w:spacing w:after="200" w:line="360" w:lineRule="auto"/>
        <w:ind w:left="0" w:firstLine="557"/>
        <w:jc w:val="both"/>
        <w:rPr>
          <w:rFonts w:ascii="宋体" w:hAnsi="宋体" w:cs="宋体"/>
          <w:color w:val="auto"/>
          <w:sz w:val="28"/>
          <w:szCs w:val="28"/>
        </w:rPr>
      </w:pPr>
      <w:r>
        <w:rPr>
          <w:rFonts w:hint="eastAsia" w:ascii="宋体" w:hAnsi="宋体" w:cs="宋体"/>
          <w:color w:val="auto"/>
          <w:sz w:val="28"/>
          <w:szCs w:val="28"/>
        </w:rPr>
        <w:t>供应商所提供的最后报价是在规定的时间内提交。</w:t>
      </w:r>
    </w:p>
    <w:p>
      <w:pPr>
        <w:numPr>
          <w:ilvl w:val="0"/>
          <w:numId w:val="50"/>
        </w:numPr>
        <w:tabs>
          <w:tab w:val="left" w:pos="-2127"/>
          <w:tab w:val="left" w:pos="1134"/>
        </w:tabs>
        <w:snapToGrid w:val="0"/>
        <w:spacing w:after="200" w:line="360" w:lineRule="auto"/>
        <w:ind w:left="0" w:firstLine="557"/>
        <w:jc w:val="both"/>
        <w:rPr>
          <w:rFonts w:ascii="宋体" w:hAnsi="宋体" w:cs="宋体"/>
          <w:color w:val="auto"/>
          <w:sz w:val="28"/>
          <w:szCs w:val="28"/>
        </w:rPr>
      </w:pPr>
      <w:r>
        <w:rPr>
          <w:rFonts w:hint="eastAsia" w:ascii="宋体" w:hAnsi="宋体" w:cs="宋体"/>
          <w:color w:val="auto"/>
          <w:sz w:val="28"/>
          <w:szCs w:val="28"/>
        </w:rPr>
        <w:t>供应商的最后报价应加盖供应商（法定名称）电子签章。</w:t>
      </w:r>
    </w:p>
    <w:p>
      <w:pPr>
        <w:numPr>
          <w:ilvl w:val="0"/>
          <w:numId w:val="50"/>
        </w:numPr>
        <w:tabs>
          <w:tab w:val="left" w:pos="-2127"/>
          <w:tab w:val="left" w:pos="1134"/>
        </w:tabs>
        <w:snapToGrid w:val="0"/>
        <w:spacing w:after="200" w:line="360" w:lineRule="auto"/>
        <w:ind w:left="0" w:firstLine="557"/>
        <w:jc w:val="both"/>
        <w:rPr>
          <w:rFonts w:ascii="宋体" w:hAnsi="宋体" w:cs="宋体"/>
          <w:color w:val="auto"/>
          <w:sz w:val="28"/>
          <w:szCs w:val="28"/>
        </w:rPr>
      </w:pPr>
      <w:r>
        <w:rPr>
          <w:rFonts w:hint="eastAsia" w:ascii="宋体" w:hAnsi="宋体" w:cs="宋体"/>
          <w:color w:val="auto"/>
          <w:sz w:val="28"/>
          <w:szCs w:val="28"/>
        </w:rPr>
        <w:t>供应商的最后报价符合磋商文件的要求。</w:t>
      </w:r>
    </w:p>
    <w:p>
      <w:pPr>
        <w:numPr>
          <w:ilvl w:val="0"/>
          <w:numId w:val="50"/>
        </w:numPr>
        <w:tabs>
          <w:tab w:val="left" w:pos="-2127"/>
          <w:tab w:val="left" w:pos="1134"/>
        </w:tabs>
        <w:snapToGrid w:val="0"/>
        <w:spacing w:after="200" w:line="360" w:lineRule="auto"/>
        <w:ind w:left="0" w:firstLine="557"/>
        <w:jc w:val="both"/>
        <w:rPr>
          <w:rFonts w:ascii="宋体" w:hAnsi="宋体" w:cs="宋体"/>
          <w:color w:val="auto"/>
          <w:sz w:val="28"/>
          <w:szCs w:val="28"/>
        </w:rPr>
      </w:pPr>
      <w:r>
        <w:rPr>
          <w:rFonts w:hint="eastAsia" w:ascii="宋体" w:hAnsi="宋体" w:cs="宋体"/>
          <w:color w:val="auto"/>
          <w:sz w:val="28"/>
          <w:szCs w:val="28"/>
        </w:rPr>
        <w:t>最后报价唯一，且不高于最高限价。</w:t>
      </w:r>
    </w:p>
    <w:p>
      <w:pPr>
        <w:numPr>
          <w:ilvl w:val="0"/>
          <w:numId w:val="49"/>
        </w:numPr>
        <w:tabs>
          <w:tab w:val="left" w:pos="-2127"/>
          <w:tab w:val="left" w:pos="1134"/>
        </w:tabs>
        <w:snapToGrid w:val="0"/>
        <w:spacing w:line="620" w:lineRule="exact"/>
        <w:ind w:left="0" w:firstLine="560" w:firstLineChars="200"/>
        <w:rPr>
          <w:rFonts w:ascii="宋体" w:hAnsi="宋体"/>
          <w:color w:val="auto"/>
          <w:sz w:val="28"/>
          <w:szCs w:val="28"/>
        </w:rPr>
      </w:pPr>
      <w:r>
        <w:rPr>
          <w:rFonts w:hint="eastAsia" w:ascii="宋体" w:hAnsi="宋体" w:cs="宋体"/>
          <w:color w:val="auto"/>
          <w:sz w:val="28"/>
          <w:szCs w:val="28"/>
        </w:rPr>
        <w:t>在未提高施工响应文件中承诺的工程实质</w:t>
      </w:r>
      <w:r>
        <w:rPr>
          <w:rFonts w:ascii="宋体" w:hAnsi="宋体" w:cs="宋体"/>
          <w:color w:val="auto"/>
          <w:sz w:val="28"/>
          <w:szCs w:val="28"/>
        </w:rPr>
        <w:t>性要求</w:t>
      </w:r>
      <w:r>
        <w:rPr>
          <w:rFonts w:hint="eastAsia" w:ascii="宋体" w:hAnsi="宋体" w:cs="宋体"/>
          <w:color w:val="auto"/>
          <w:sz w:val="28"/>
          <w:szCs w:val="28"/>
        </w:rPr>
        <w:t>的情况下，最后报价不得高于对该项目之前的报价，否则，磋商小组应当对其施工响应文件按无效处理。磋商小组根据磋商文件中规定认</w:t>
      </w:r>
      <w:r>
        <w:rPr>
          <w:rFonts w:ascii="宋体" w:hAnsi="宋体" w:cs="宋体"/>
          <w:color w:val="auto"/>
          <w:sz w:val="28"/>
          <w:szCs w:val="28"/>
        </w:rPr>
        <w:t>为</w:t>
      </w:r>
      <w:r>
        <w:rPr>
          <w:rFonts w:hint="eastAsia" w:ascii="宋体" w:hAnsi="宋体" w:cs="宋体"/>
          <w:color w:val="auto"/>
          <w:sz w:val="28"/>
          <w:szCs w:val="28"/>
        </w:rPr>
        <w:t>供应商最后报价低于成本价，在磋商小组发出质询函后供应商未能提供合理的成本分析和价格构成的或对质函询的解释未被磋商小组采信的，应按照无效施工响应文件处理</w:t>
      </w:r>
      <w:r>
        <w:rPr>
          <w:rFonts w:ascii="宋体" w:hAnsi="宋体" w:cs="宋体"/>
          <w:color w:val="auto"/>
          <w:sz w:val="28"/>
          <w:szCs w:val="28"/>
        </w:rPr>
        <w:t>。</w:t>
      </w:r>
    </w:p>
    <w:p>
      <w:pPr>
        <w:numPr>
          <w:ilvl w:val="0"/>
          <w:numId w:val="49"/>
        </w:numPr>
        <w:tabs>
          <w:tab w:val="left" w:pos="-2127"/>
          <w:tab w:val="left" w:pos="1134"/>
        </w:tabs>
        <w:snapToGrid w:val="0"/>
        <w:spacing w:line="620" w:lineRule="exact"/>
        <w:ind w:left="0" w:firstLine="560" w:firstLineChars="200"/>
        <w:rPr>
          <w:rFonts w:ascii="宋体" w:hAnsi="宋体"/>
          <w:color w:val="auto"/>
          <w:sz w:val="28"/>
          <w:szCs w:val="28"/>
        </w:rPr>
      </w:pPr>
      <w:r>
        <w:rPr>
          <w:rFonts w:hint="eastAsia" w:ascii="宋体" w:hAnsi="宋体"/>
          <w:color w:val="auto"/>
          <w:sz w:val="28"/>
          <w:szCs w:val="28"/>
        </w:rPr>
        <w:t>最后报价出现下列情况的，不需要供应商澄清，按以下原则处理：</w:t>
      </w:r>
    </w:p>
    <w:p>
      <w:pPr>
        <w:pStyle w:val="207"/>
        <w:numPr>
          <w:ilvl w:val="0"/>
          <w:numId w:val="51"/>
        </w:numPr>
        <w:tabs>
          <w:tab w:val="left" w:pos="1134"/>
          <w:tab w:val="clear" w:pos="846"/>
        </w:tabs>
        <w:snapToGrid w:val="0"/>
        <w:spacing w:line="620"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最后报价中的大写金额和小写金额不一致的，以大写金额为准，但大写金额出现文字错误，导致金额无法判断的除外；</w:t>
      </w:r>
    </w:p>
    <w:p>
      <w:pPr>
        <w:pStyle w:val="207"/>
        <w:numPr>
          <w:ilvl w:val="0"/>
          <w:numId w:val="51"/>
        </w:numPr>
        <w:tabs>
          <w:tab w:val="left" w:pos="1134"/>
          <w:tab w:val="clear" w:pos="846"/>
        </w:tabs>
        <w:snapToGrid w:val="0"/>
        <w:spacing w:line="620" w:lineRule="exact"/>
        <w:ind w:left="0" w:firstLine="525" w:firstLineChars="0"/>
        <w:rPr>
          <w:rFonts w:ascii="宋体" w:hAnsi="宋体" w:eastAsia="宋体"/>
          <w:color w:val="auto"/>
          <w:sz w:val="28"/>
          <w:szCs w:val="28"/>
        </w:rPr>
      </w:pPr>
      <w:r>
        <w:rPr>
          <w:rFonts w:hint="eastAsia" w:ascii="宋体" w:hAnsi="宋体" w:eastAsia="宋体"/>
          <w:color w:val="auto"/>
          <w:sz w:val="28"/>
          <w:szCs w:val="28"/>
        </w:rPr>
        <w:t>单价金额小数点或者百分比有明显错位的，应以总价为准，并修改单价；</w:t>
      </w:r>
    </w:p>
    <w:p>
      <w:pPr>
        <w:pStyle w:val="207"/>
        <w:numPr>
          <w:ilvl w:val="0"/>
          <w:numId w:val="51"/>
        </w:numPr>
        <w:tabs>
          <w:tab w:val="left" w:pos="1134"/>
          <w:tab w:val="clear" w:pos="846"/>
        </w:tabs>
        <w:snapToGrid w:val="0"/>
        <w:spacing w:line="620" w:lineRule="exact"/>
        <w:ind w:left="0" w:firstLine="525" w:firstLineChars="0"/>
        <w:rPr>
          <w:rFonts w:ascii="宋体" w:hAnsi="宋体" w:eastAsia="宋体"/>
          <w:color w:val="auto"/>
          <w:sz w:val="28"/>
          <w:szCs w:val="28"/>
        </w:rPr>
      </w:pPr>
      <w:r>
        <w:rPr>
          <w:rFonts w:hint="eastAsia" w:ascii="宋体" w:hAnsi="宋体" w:eastAsia="宋体"/>
          <w:color w:val="auto"/>
          <w:sz w:val="28"/>
          <w:szCs w:val="28"/>
        </w:rPr>
        <w:t>总价金额与按单价汇总金额不一致的，以单价汇总金额计算结果为准；</w:t>
      </w:r>
    </w:p>
    <w:p>
      <w:pPr>
        <w:snapToGrid w:val="0"/>
        <w:spacing w:line="620" w:lineRule="exact"/>
        <w:ind w:firstLine="560" w:firstLineChars="200"/>
        <w:rPr>
          <w:color w:val="auto"/>
        </w:rPr>
      </w:pPr>
      <w:r>
        <w:rPr>
          <w:rFonts w:hint="eastAsia" w:cs="Arial"/>
          <w:color w:val="auto"/>
          <w:sz w:val="28"/>
          <w:szCs w:val="28"/>
        </w:rPr>
        <w:t>同时出现两种以上不一致的，按照前款规定的顺序修正。修正后的</w:t>
      </w:r>
      <w:r>
        <w:rPr>
          <w:rFonts w:hint="eastAsia" w:ascii="宋体" w:hAnsi="宋体"/>
          <w:color w:val="auto"/>
          <w:sz w:val="28"/>
          <w:szCs w:val="28"/>
        </w:rPr>
        <w:t>最后</w:t>
      </w:r>
      <w:r>
        <w:rPr>
          <w:rFonts w:hint="eastAsia" w:cs="Arial"/>
          <w:color w:val="auto"/>
          <w:sz w:val="28"/>
          <w:szCs w:val="28"/>
        </w:rPr>
        <w:t>报价经加盖供应商（法定名称）电子签章后产生约束力，供应商不确认的，其</w:t>
      </w:r>
      <w:r>
        <w:rPr>
          <w:rFonts w:hint="eastAsia" w:ascii="宋体" w:hAnsi="宋体"/>
          <w:color w:val="auto"/>
          <w:sz w:val="28"/>
          <w:szCs w:val="28"/>
        </w:rPr>
        <w:t>最后</w:t>
      </w:r>
      <w:r>
        <w:rPr>
          <w:rFonts w:hint="eastAsia" w:cs="Arial"/>
          <w:color w:val="auto"/>
          <w:sz w:val="28"/>
          <w:szCs w:val="28"/>
        </w:rPr>
        <w:t>报价无效。</w:t>
      </w:r>
    </w:p>
    <w:p>
      <w:pPr>
        <w:pStyle w:val="16"/>
        <w:ind w:firstLine="565" w:firstLineChars="202"/>
        <w:rPr>
          <w:rFonts w:ascii="宋体" w:hAnsi="宋体"/>
          <w:color w:val="auto"/>
          <w:sz w:val="28"/>
          <w:szCs w:val="28"/>
        </w:rPr>
      </w:pPr>
      <w:r>
        <w:rPr>
          <w:rFonts w:hint="eastAsia" w:ascii="宋体" w:hAnsi="宋体"/>
          <w:color w:val="auto"/>
          <w:sz w:val="28"/>
          <w:szCs w:val="28"/>
        </w:rPr>
        <w:t>对不同语言文本施工响应文件的解释发生异议的，以中文文本为准。</w:t>
      </w:r>
    </w:p>
    <w:p>
      <w:pPr>
        <w:numPr>
          <w:ilvl w:val="0"/>
          <w:numId w:val="49"/>
        </w:numPr>
        <w:tabs>
          <w:tab w:val="left" w:pos="1134"/>
        </w:tabs>
        <w:snapToGrid w:val="0"/>
        <w:spacing w:line="620" w:lineRule="exact"/>
        <w:ind w:left="0" w:firstLine="560" w:firstLineChars="200"/>
        <w:rPr>
          <w:rFonts w:ascii="宋体" w:hAnsi="宋体"/>
          <w:color w:val="auto"/>
          <w:sz w:val="28"/>
          <w:szCs w:val="28"/>
        </w:rPr>
      </w:pPr>
      <w:r>
        <w:rPr>
          <w:rFonts w:hint="eastAsia" w:ascii="宋体" w:hAnsi="宋体"/>
          <w:color w:val="auto"/>
          <w:sz w:val="28"/>
          <w:szCs w:val="28"/>
        </w:rPr>
        <w:t>价格扣除以及对失信供应商价格加成</w:t>
      </w:r>
    </w:p>
    <w:p>
      <w:pPr>
        <w:pStyle w:val="207"/>
        <w:numPr>
          <w:ilvl w:val="0"/>
          <w:numId w:val="52"/>
        </w:numPr>
        <w:tabs>
          <w:tab w:val="left" w:pos="1276"/>
          <w:tab w:val="clear" w:pos="846"/>
        </w:tabs>
        <w:snapToGrid w:val="0"/>
        <w:spacing w:line="620"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本项目专门面向中小</w:t>
      </w:r>
      <w:r>
        <w:rPr>
          <w:rFonts w:ascii="宋体" w:hAnsi="宋体" w:eastAsia="宋体"/>
          <w:color w:val="auto"/>
          <w:sz w:val="28"/>
          <w:szCs w:val="28"/>
        </w:rPr>
        <w:t>企业，不进行价格扣除</w:t>
      </w:r>
      <w:r>
        <w:rPr>
          <w:rFonts w:hint="eastAsia" w:ascii="宋体" w:hAnsi="宋体" w:eastAsia="宋体"/>
          <w:color w:val="auto"/>
          <w:sz w:val="28"/>
          <w:szCs w:val="28"/>
        </w:rPr>
        <w:t>。</w:t>
      </w:r>
    </w:p>
    <w:p>
      <w:pPr>
        <w:pStyle w:val="207"/>
        <w:numPr>
          <w:ilvl w:val="0"/>
          <w:numId w:val="52"/>
        </w:numPr>
        <w:tabs>
          <w:tab w:val="left" w:pos="1276"/>
          <w:tab w:val="clear" w:pos="846"/>
        </w:tabs>
        <w:snapToGrid w:val="0"/>
        <w:spacing w:line="620" w:lineRule="exact"/>
        <w:ind w:left="0" w:firstLine="567" w:firstLineChars="0"/>
        <w:rPr>
          <w:rFonts w:ascii="宋体" w:hAnsi="宋体" w:eastAsia="宋体"/>
          <w:color w:val="auto"/>
          <w:sz w:val="28"/>
          <w:szCs w:val="28"/>
        </w:rPr>
      </w:pPr>
      <w:r>
        <w:rPr>
          <w:rFonts w:hint="eastAsia" w:ascii="宋体" w:hAnsi="宋体" w:eastAsia="宋体"/>
          <w:color w:val="auto"/>
          <w:sz w:val="28"/>
          <w:szCs w:val="28"/>
        </w:rPr>
        <w:t>对记入诚信档案且在有效期内的失信供应商，参加政府采购活动按照</w:t>
      </w:r>
      <w:r>
        <w:rPr>
          <w:rFonts w:ascii="宋体" w:hAnsi="宋体" w:eastAsia="宋体"/>
          <w:color w:val="auto"/>
          <w:sz w:val="28"/>
          <w:szCs w:val="28"/>
        </w:rPr>
        <w:t>10%的报价加成，以加成后报价作为该供应商报价参与评审。供应商失信行为惩戒实行无限制累加制，因其失信行为进行报价加成惩戒后报价超过政府采购预算的，其施工响应文件按照无效处理。</w:t>
      </w:r>
    </w:p>
    <w:p>
      <w:pPr>
        <w:numPr>
          <w:ilvl w:val="0"/>
          <w:numId w:val="49"/>
        </w:numPr>
        <w:tabs>
          <w:tab w:val="left" w:pos="-2127"/>
          <w:tab w:val="left" w:pos="1134"/>
        </w:tabs>
        <w:snapToGrid w:val="0"/>
        <w:spacing w:line="620" w:lineRule="exact"/>
        <w:ind w:left="0" w:firstLine="560" w:firstLineChars="200"/>
        <w:rPr>
          <w:rFonts w:ascii="宋体" w:hAnsi="宋体"/>
          <w:color w:val="auto"/>
          <w:sz w:val="28"/>
          <w:szCs w:val="28"/>
        </w:rPr>
      </w:pPr>
      <w:r>
        <w:rPr>
          <w:rFonts w:hint="eastAsia" w:ascii="宋体" w:hAnsi="宋体"/>
          <w:color w:val="auto"/>
          <w:sz w:val="28"/>
          <w:szCs w:val="28"/>
        </w:rPr>
        <w:t>有效最后报价的供应商不足三家的，采购失败。</w:t>
      </w:r>
    </w:p>
    <w:p>
      <w:pPr>
        <w:pStyle w:val="4"/>
        <w:numPr>
          <w:ilvl w:val="2"/>
          <w:numId w:val="1"/>
        </w:numPr>
        <w:tabs>
          <w:tab w:val="left" w:pos="993"/>
          <w:tab w:val="clear" w:pos="426"/>
          <w:tab w:val="clear" w:pos="567"/>
        </w:tabs>
        <w:rPr>
          <w:color w:val="auto"/>
        </w:rPr>
      </w:pPr>
      <w:bookmarkStart w:id="96" w:name="_Toc63437913"/>
      <w:bookmarkStart w:id="97" w:name="_Toc63084327"/>
      <w:bookmarkStart w:id="98" w:name="_Toc6360"/>
      <w:r>
        <w:rPr>
          <w:rFonts w:hint="eastAsia"/>
          <w:color w:val="auto"/>
        </w:rPr>
        <w:t>解释、澄清、说明的有关问题</w:t>
      </w:r>
      <w:bookmarkEnd w:id="96"/>
      <w:bookmarkEnd w:id="97"/>
      <w:bookmarkEnd w:id="98"/>
    </w:p>
    <w:p>
      <w:pPr>
        <w:widowControl w:val="0"/>
        <w:numPr>
          <w:ilvl w:val="0"/>
          <w:numId w:val="53"/>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评审过程中，磋商小组认为磋商文件有关事项表述不明确或需要说明的，可以提请龙泉驿区公资交易中心书面解释。龙泉驿区公资交易中心的解释不得改变磋商文件的原义或者影响公平、公正，解释事项如果涉及供应商权益的以有利于供应商的原则进行解释。</w:t>
      </w:r>
    </w:p>
    <w:p>
      <w:pPr>
        <w:widowControl w:val="0"/>
        <w:numPr>
          <w:ilvl w:val="0"/>
          <w:numId w:val="53"/>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tabs>
          <w:tab w:val="left" w:pos="851"/>
        </w:tabs>
        <w:spacing w:line="360" w:lineRule="auto"/>
        <w:ind w:firstLine="568" w:firstLineChars="202"/>
        <w:rPr>
          <w:rFonts w:ascii="宋体" w:hAnsi="宋体"/>
          <w:b/>
          <w:color w:val="auto"/>
          <w:sz w:val="28"/>
          <w:szCs w:val="28"/>
        </w:rPr>
      </w:pPr>
      <w:r>
        <w:rPr>
          <w:rFonts w:hint="eastAsia" w:ascii="宋体" w:hAnsi="宋体"/>
          <w:b/>
          <w:color w:val="auto"/>
          <w:sz w:val="28"/>
          <w:szCs w:val="28"/>
        </w:rPr>
        <w:t>三、评审结束之前，供应商应随时关注系统提示，及时通过“政府采购云平台”在线响应磋商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color w:val="auto"/>
          <w:sz w:val="28"/>
          <w:szCs w:val="28"/>
        </w:rPr>
      </w:pPr>
      <w:r>
        <w:rPr>
          <w:rFonts w:hint="eastAsia" w:ascii="宋体" w:hAnsi="宋体"/>
          <w:b/>
          <w:color w:val="auto"/>
          <w:sz w:val="28"/>
          <w:szCs w:val="28"/>
        </w:rPr>
        <w:t>磋商小组应当积极履行澄清、说明或者更正的职责，不得滥用权力。</w:t>
      </w:r>
    </w:p>
    <w:p>
      <w:pPr>
        <w:pStyle w:val="4"/>
        <w:numPr>
          <w:ilvl w:val="2"/>
          <w:numId w:val="1"/>
        </w:numPr>
        <w:tabs>
          <w:tab w:val="left" w:pos="993"/>
          <w:tab w:val="clear" w:pos="426"/>
          <w:tab w:val="clear" w:pos="567"/>
        </w:tabs>
        <w:rPr>
          <w:color w:val="auto"/>
        </w:rPr>
      </w:pPr>
      <w:bookmarkStart w:id="99" w:name="_Toc63437914"/>
      <w:bookmarkStart w:id="100" w:name="_Toc63084328"/>
      <w:bookmarkStart w:id="101" w:name="_Toc17316"/>
      <w:r>
        <w:rPr>
          <w:rFonts w:hint="eastAsia"/>
          <w:color w:val="auto"/>
        </w:rPr>
        <w:t>比较与评价</w:t>
      </w:r>
      <w:bookmarkEnd w:id="99"/>
      <w:bookmarkEnd w:id="100"/>
      <w:bookmarkEnd w:id="101"/>
    </w:p>
    <w:p>
      <w:pPr>
        <w:ind w:firstLine="560" w:firstLineChars="200"/>
        <w:rPr>
          <w:rFonts w:ascii="宋体" w:hAnsi="宋体"/>
          <w:color w:val="auto"/>
          <w:sz w:val="28"/>
          <w:szCs w:val="28"/>
        </w:rPr>
      </w:pPr>
      <w:r>
        <w:rPr>
          <w:rFonts w:hint="eastAsia" w:ascii="宋体" w:hAnsi="宋体"/>
          <w:color w:val="auto"/>
          <w:sz w:val="28"/>
          <w:szCs w:val="28"/>
        </w:rPr>
        <w:t>由磋商小组采用综合评分法对提交最后报价的供应商的施工响应文件和最后报价进行综合评分，具体要求详见本章综合评分部分。</w:t>
      </w:r>
    </w:p>
    <w:p>
      <w:pPr>
        <w:pStyle w:val="4"/>
        <w:numPr>
          <w:ilvl w:val="2"/>
          <w:numId w:val="1"/>
        </w:numPr>
        <w:tabs>
          <w:tab w:val="left" w:pos="993"/>
          <w:tab w:val="clear" w:pos="426"/>
          <w:tab w:val="clear" w:pos="567"/>
        </w:tabs>
        <w:rPr>
          <w:color w:val="auto"/>
        </w:rPr>
      </w:pPr>
      <w:bookmarkStart w:id="102" w:name="_Toc63084329"/>
      <w:bookmarkStart w:id="103" w:name="_Toc63437915"/>
      <w:bookmarkStart w:id="104" w:name="_Toc6791"/>
      <w:r>
        <w:rPr>
          <w:rFonts w:hint="eastAsia"/>
          <w:color w:val="auto"/>
        </w:rPr>
        <w:t>磋商小组复核</w:t>
      </w:r>
      <w:bookmarkEnd w:id="102"/>
      <w:bookmarkEnd w:id="103"/>
      <w:bookmarkEnd w:id="104"/>
    </w:p>
    <w:p>
      <w:pPr>
        <w:widowControl w:val="0"/>
        <w:numPr>
          <w:ilvl w:val="0"/>
          <w:numId w:val="54"/>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评审结束后，磋商小组应当进行复核，特别要对拟推荐为成交候选供应商的、报价最低的、施工响应文件被认定为无效的进行重点复核。</w:t>
      </w:r>
    </w:p>
    <w:p>
      <w:pPr>
        <w:widowControl w:val="0"/>
        <w:numPr>
          <w:ilvl w:val="0"/>
          <w:numId w:val="54"/>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评审结果汇总完成后，磋商小组拟出具评审报告前，龙泉驿区公资交易中心应当组织2名以上的工作人员，在采购现场监督人员的监督之下，依据有关的法律制度和采购文件对评审结果进行复核，出具复核报告。</w:t>
      </w:r>
    </w:p>
    <w:p>
      <w:pPr>
        <w:widowControl w:val="0"/>
        <w:numPr>
          <w:ilvl w:val="0"/>
          <w:numId w:val="54"/>
        </w:numPr>
        <w:tabs>
          <w:tab w:val="left" w:pos="1134"/>
        </w:tabs>
        <w:spacing w:after="200" w:line="360" w:lineRule="auto"/>
        <w:ind w:left="0" w:firstLine="567"/>
        <w:jc w:val="both"/>
        <w:rPr>
          <w:rFonts w:ascii="宋体" w:hAnsi="宋体"/>
          <w:color w:val="auto"/>
          <w:sz w:val="28"/>
          <w:szCs w:val="28"/>
        </w:rPr>
      </w:pPr>
      <w:r>
        <w:rPr>
          <w:rFonts w:hint="eastAsia" w:ascii="宋体" w:hAnsi="宋体"/>
          <w:color w:val="auto"/>
          <w:sz w:val="28"/>
          <w:szCs w:val="28"/>
        </w:rPr>
        <w:t>评审结果汇总完成后，除下列情形外，任何人不得修改评审结果：</w:t>
      </w:r>
    </w:p>
    <w:p>
      <w:pPr>
        <w:pStyle w:val="81"/>
        <w:numPr>
          <w:ilvl w:val="0"/>
          <w:numId w:val="55"/>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资格性认定错误；</w:t>
      </w:r>
    </w:p>
    <w:p>
      <w:pPr>
        <w:pStyle w:val="81"/>
        <w:numPr>
          <w:ilvl w:val="0"/>
          <w:numId w:val="55"/>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分值汇总计算错误的；</w:t>
      </w:r>
    </w:p>
    <w:p>
      <w:pPr>
        <w:pStyle w:val="81"/>
        <w:numPr>
          <w:ilvl w:val="0"/>
          <w:numId w:val="55"/>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分项评分超出评分标准范围的；</w:t>
      </w:r>
    </w:p>
    <w:p>
      <w:pPr>
        <w:pStyle w:val="81"/>
        <w:numPr>
          <w:ilvl w:val="0"/>
          <w:numId w:val="55"/>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磋商小组成员对客观评审因素评分不一致的；</w:t>
      </w:r>
    </w:p>
    <w:p>
      <w:pPr>
        <w:pStyle w:val="81"/>
        <w:numPr>
          <w:ilvl w:val="0"/>
          <w:numId w:val="55"/>
        </w:numPr>
        <w:tabs>
          <w:tab w:val="left" w:pos="1418"/>
        </w:tabs>
        <w:spacing w:after="200" w:line="360" w:lineRule="auto"/>
        <w:ind w:left="0" w:firstLine="480" w:firstLineChars="0"/>
        <w:rPr>
          <w:rFonts w:ascii="宋体" w:hAnsi="宋体" w:eastAsia="宋体"/>
          <w:color w:val="auto"/>
          <w:sz w:val="28"/>
          <w:szCs w:val="28"/>
        </w:rPr>
      </w:pPr>
      <w:r>
        <w:rPr>
          <w:rFonts w:hint="eastAsia" w:ascii="宋体" w:hAnsi="宋体" w:eastAsia="宋体"/>
          <w:color w:val="auto"/>
          <w:sz w:val="28"/>
          <w:szCs w:val="28"/>
        </w:rPr>
        <w:t>经磋商小组认定评分畸高、畸低的。</w:t>
      </w:r>
    </w:p>
    <w:p>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评审报告签署前，经复核发现存在以上情形之一的，磋商小组应当当场修改评审结果，并在评审报告中记载；评审报告签署后，采购人或者集中机构发现存在以上情形之一的，应当组织磋商小组会进行重新评审，重新评审改变评审结果的，书面报告本级财政部门。</w:t>
      </w:r>
    </w:p>
    <w:p>
      <w:pPr>
        <w:spacing w:line="360" w:lineRule="auto"/>
        <w:ind w:firstLine="565" w:firstLineChars="202"/>
        <w:rPr>
          <w:color w:val="auto"/>
        </w:rPr>
      </w:pPr>
      <w:r>
        <w:rPr>
          <w:rFonts w:hint="eastAsia" w:ascii="宋体" w:hAnsi="宋体"/>
          <w:color w:val="auto"/>
          <w:sz w:val="28"/>
          <w:szCs w:val="28"/>
        </w:rPr>
        <w:t>采购人、采购代理机构发现磋商小组未按照磋商文件规定的评审标准进行评审的，应当重新开展采购活动，并同时书面报告本级财政部门。</w:t>
      </w:r>
    </w:p>
    <w:p>
      <w:pPr>
        <w:pStyle w:val="4"/>
        <w:numPr>
          <w:ilvl w:val="2"/>
          <w:numId w:val="1"/>
        </w:numPr>
        <w:tabs>
          <w:tab w:val="left" w:pos="993"/>
          <w:tab w:val="clear" w:pos="426"/>
          <w:tab w:val="clear" w:pos="567"/>
        </w:tabs>
        <w:rPr>
          <w:color w:val="auto"/>
        </w:rPr>
      </w:pPr>
      <w:bookmarkStart w:id="105" w:name="_Toc63437916"/>
      <w:bookmarkStart w:id="106" w:name="_Toc63084330"/>
      <w:bookmarkStart w:id="107" w:name="_Toc30330"/>
      <w:r>
        <w:rPr>
          <w:rFonts w:hint="eastAsia"/>
          <w:color w:val="auto"/>
        </w:rPr>
        <w:t>推荐成交候选供应商</w:t>
      </w:r>
      <w:bookmarkEnd w:id="105"/>
      <w:bookmarkEnd w:id="106"/>
      <w:bookmarkEnd w:id="107"/>
    </w:p>
    <w:p>
      <w:pPr>
        <w:ind w:firstLine="560" w:firstLineChars="200"/>
        <w:rPr>
          <w:rFonts w:ascii="宋体" w:hAnsi="宋体"/>
          <w:color w:val="auto"/>
          <w:sz w:val="28"/>
          <w:szCs w:val="28"/>
        </w:rPr>
      </w:pPr>
      <w:r>
        <w:rPr>
          <w:rFonts w:hint="eastAsia" w:ascii="宋体" w:hAnsi="宋体"/>
          <w:color w:val="auto"/>
          <w:sz w:val="28"/>
          <w:szCs w:val="28"/>
        </w:rPr>
        <w:t>磋商小组应当根据综合评分情况，按照评审得分由高到低顺序推荐</w:t>
      </w:r>
      <w:r>
        <w:rPr>
          <w:rFonts w:ascii="宋体" w:hAnsi="宋体"/>
          <w:color w:val="auto"/>
          <w:sz w:val="28"/>
          <w:szCs w:val="28"/>
        </w:rPr>
        <w:t>3</w:t>
      </w:r>
      <w:r>
        <w:rPr>
          <w:rFonts w:hint="eastAsia" w:ascii="宋体" w:hAnsi="宋体"/>
          <w:color w:val="auto"/>
          <w:sz w:val="28"/>
          <w:szCs w:val="28"/>
        </w:rPr>
        <w:t>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由采购人随机抽签确定成交供应商。</w:t>
      </w:r>
    </w:p>
    <w:p>
      <w:pPr>
        <w:pStyle w:val="4"/>
        <w:numPr>
          <w:ilvl w:val="2"/>
          <w:numId w:val="1"/>
        </w:numPr>
        <w:tabs>
          <w:tab w:val="left" w:pos="993"/>
          <w:tab w:val="clear" w:pos="426"/>
          <w:tab w:val="clear" w:pos="567"/>
        </w:tabs>
        <w:rPr>
          <w:color w:val="auto"/>
        </w:rPr>
      </w:pPr>
      <w:bookmarkStart w:id="108" w:name="_Toc63084331"/>
      <w:bookmarkStart w:id="109" w:name="_Toc63437917"/>
      <w:bookmarkStart w:id="110" w:name="_Toc19838"/>
      <w:r>
        <w:rPr>
          <w:rFonts w:hint="eastAsia"/>
          <w:color w:val="auto"/>
        </w:rPr>
        <w:t>编写磋商报告</w:t>
      </w:r>
      <w:bookmarkEnd w:id="108"/>
      <w:bookmarkEnd w:id="109"/>
      <w:bookmarkEnd w:id="110"/>
    </w:p>
    <w:p>
      <w:pPr>
        <w:spacing w:line="360" w:lineRule="auto"/>
        <w:ind w:firstLine="560" w:firstLineChars="200"/>
        <w:rPr>
          <w:rFonts w:ascii="宋体" w:hAnsi="宋体"/>
          <w:color w:val="auto"/>
          <w:sz w:val="28"/>
          <w:szCs w:val="28"/>
        </w:rPr>
      </w:pPr>
      <w:r>
        <w:rPr>
          <w:rFonts w:hint="eastAsia" w:ascii="宋体" w:hAnsi="宋体"/>
          <w:color w:val="auto"/>
          <w:sz w:val="28"/>
          <w:szCs w:val="28"/>
        </w:rPr>
        <w:t>磋商小组推荐成交候选供应商后，应向采购代理机构出具磋商报告。磋商报告应当包括以下主要内容：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（1）邀请供应商参加采购活动的具体方式和相关情况；</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（2）施工响应文件开启日期和地点；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（3）获取磋商文件的供应商名单和磋商小组成员名单；</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（4）评审情况记录和说明，包括对供应商的资格审查情况、供应商施工响应文件审查情况、磋商情况、报价情况等；</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（5）提出的成交候选供应商的排序名单及理由。</w:t>
      </w:r>
    </w:p>
    <w:p>
      <w:pPr>
        <w:spacing w:line="360" w:lineRule="auto"/>
        <w:ind w:firstLine="560" w:firstLineChars="200"/>
        <w:rPr>
          <w:rFonts w:ascii="宋体" w:hAnsi="宋体"/>
          <w:color w:val="auto"/>
          <w:sz w:val="28"/>
          <w:szCs w:val="28"/>
        </w:rPr>
      </w:pPr>
      <w:r>
        <w:rPr>
          <w:rFonts w:hint="eastAsia" w:ascii="宋体" w:hAnsi="宋体"/>
          <w:color w:val="auto"/>
          <w:sz w:val="28"/>
          <w:szCs w:val="28"/>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4"/>
        <w:numPr>
          <w:ilvl w:val="2"/>
          <w:numId w:val="1"/>
        </w:numPr>
        <w:tabs>
          <w:tab w:val="left" w:pos="993"/>
          <w:tab w:val="clear" w:pos="426"/>
          <w:tab w:val="clear" w:pos="567"/>
        </w:tabs>
        <w:rPr>
          <w:color w:val="auto"/>
        </w:rPr>
      </w:pPr>
      <w:bookmarkStart w:id="111" w:name="_Toc54948232"/>
      <w:bookmarkStart w:id="112" w:name="_Toc63084332"/>
      <w:bookmarkStart w:id="113" w:name="_Toc63437918"/>
      <w:bookmarkStart w:id="114" w:name="_Toc8649"/>
      <w:r>
        <w:rPr>
          <w:rFonts w:hint="eastAsia"/>
          <w:color w:val="auto"/>
        </w:rPr>
        <w:t>争议处理规则</w:t>
      </w:r>
      <w:bookmarkEnd w:id="111"/>
      <w:bookmarkEnd w:id="112"/>
      <w:bookmarkEnd w:id="113"/>
      <w:bookmarkEnd w:id="114"/>
    </w:p>
    <w:p>
      <w:pPr>
        <w:ind w:firstLine="560" w:firstLineChars="200"/>
        <w:rPr>
          <w:rFonts w:ascii="宋体" w:hAnsi="宋体"/>
          <w:color w:val="auto"/>
          <w:sz w:val="28"/>
          <w:szCs w:val="28"/>
        </w:rPr>
      </w:pPr>
      <w:r>
        <w:rPr>
          <w:rFonts w:hint="eastAsia" w:ascii="宋体" w:hAnsi="宋体"/>
          <w:color w:val="auto"/>
          <w:sz w:val="28"/>
          <w:szCs w:val="28"/>
        </w:rPr>
        <w:t>磋商小组在评审过程中，对于资格性审查、符合性审查、对供应商文件做无效施工响应文件处理及其他需要共同认定的事项存在争议的，应当以少数服从多数的原则做出结论，但不得违背法律法规和磋商文件规定。</w:t>
      </w:r>
      <w:r>
        <w:rPr>
          <w:rFonts w:hint="eastAsia" w:cs="Arial"/>
          <w:color w:val="auto"/>
          <w:sz w:val="28"/>
          <w:szCs w:val="28"/>
        </w:rPr>
        <w:t>持不同意见的磋商小组成员应当在评审报告上签署不同意见及理由，否则视为同意评审报告。</w:t>
      </w:r>
      <w:r>
        <w:rPr>
          <w:rFonts w:hint="eastAsia" w:ascii="宋体" w:hAnsi="宋体"/>
          <w:color w:val="auto"/>
          <w:sz w:val="28"/>
          <w:szCs w:val="28"/>
        </w:rPr>
        <w:t>持不同意见的磋商小组成员认为认定过程和结果不符合法律法规或者磋商文件规定的，应当及时向龙泉驿区公资交易中心书面反映。龙泉驿区公资交易中心收到书面反映后，应当书面报告采购项目同级财政部门依法处理。</w:t>
      </w:r>
    </w:p>
    <w:p>
      <w:pPr>
        <w:pStyle w:val="4"/>
        <w:numPr>
          <w:ilvl w:val="2"/>
          <w:numId w:val="1"/>
        </w:numPr>
        <w:tabs>
          <w:tab w:val="left" w:pos="993"/>
          <w:tab w:val="clear" w:pos="426"/>
          <w:tab w:val="clear" w:pos="567"/>
        </w:tabs>
        <w:rPr>
          <w:color w:val="auto"/>
        </w:rPr>
      </w:pPr>
      <w:bookmarkStart w:id="115" w:name="_Toc63084333"/>
      <w:bookmarkStart w:id="116" w:name="_Toc63437919"/>
      <w:bookmarkStart w:id="117" w:name="_Toc2836"/>
      <w:r>
        <w:rPr>
          <w:rFonts w:hint="eastAsia"/>
          <w:color w:val="auto"/>
        </w:rPr>
        <w:t>供应商澄清、说明</w:t>
      </w:r>
      <w:bookmarkEnd w:id="115"/>
      <w:bookmarkEnd w:id="116"/>
      <w:bookmarkEnd w:id="117"/>
    </w:p>
    <w:p>
      <w:pPr>
        <w:widowControl w:val="0"/>
        <w:numPr>
          <w:ilvl w:val="0"/>
          <w:numId w:val="56"/>
        </w:numPr>
        <w:tabs>
          <w:tab w:val="left" w:pos="1134"/>
        </w:tabs>
        <w:spacing w:after="200" w:line="360" w:lineRule="auto"/>
        <w:ind w:left="0" w:firstLine="565" w:firstLineChars="202"/>
        <w:jc w:val="both"/>
        <w:rPr>
          <w:rFonts w:ascii="宋体" w:hAnsi="宋体"/>
          <w:color w:val="auto"/>
          <w:sz w:val="28"/>
          <w:szCs w:val="28"/>
        </w:rPr>
      </w:pPr>
      <w:r>
        <w:rPr>
          <w:rFonts w:hint="eastAsia" w:ascii="宋体" w:hAnsi="宋体"/>
          <w:color w:val="auto"/>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widowControl w:val="0"/>
        <w:numPr>
          <w:ilvl w:val="0"/>
          <w:numId w:val="56"/>
        </w:numPr>
        <w:tabs>
          <w:tab w:val="left" w:pos="1134"/>
        </w:tabs>
        <w:spacing w:after="200" w:line="360" w:lineRule="auto"/>
        <w:ind w:left="0" w:firstLine="565" w:firstLineChars="202"/>
        <w:jc w:val="both"/>
        <w:rPr>
          <w:rFonts w:ascii="宋体" w:hAnsi="宋体"/>
          <w:color w:val="auto"/>
          <w:sz w:val="28"/>
          <w:szCs w:val="28"/>
        </w:rPr>
      </w:pPr>
      <w:r>
        <w:rPr>
          <w:rFonts w:hint="eastAsia" w:ascii="宋体" w:hAnsi="宋体"/>
          <w:color w:val="auto"/>
          <w:sz w:val="28"/>
          <w:szCs w:val="28"/>
        </w:rPr>
        <w:t>磋商小组要求供应商澄清、说明或者更正施工响应文件应当以书面形式作出。供应商的澄清、说明或者更正应加盖供应商（法定名称）电子签章。</w:t>
      </w:r>
    </w:p>
    <w:p>
      <w:pPr>
        <w:pStyle w:val="4"/>
        <w:numPr>
          <w:ilvl w:val="1"/>
          <w:numId w:val="57"/>
        </w:numPr>
        <w:spacing w:after="200"/>
        <w:ind w:left="1985" w:hanging="1985"/>
        <w:rPr>
          <w:color w:val="auto"/>
        </w:rPr>
      </w:pPr>
      <w:bookmarkStart w:id="118" w:name="_Toc54948233"/>
      <w:bookmarkStart w:id="119" w:name="_Toc63437920"/>
      <w:bookmarkStart w:id="120" w:name="_Toc1569"/>
      <w:r>
        <w:rPr>
          <w:rFonts w:hint="eastAsia"/>
          <w:color w:val="auto"/>
        </w:rPr>
        <w:t>评审办法和标准</w:t>
      </w:r>
      <w:bookmarkEnd w:id="118"/>
      <w:bookmarkEnd w:id="119"/>
      <w:bookmarkEnd w:id="120"/>
    </w:p>
    <w:p>
      <w:pPr>
        <w:pStyle w:val="27"/>
        <w:snapToGrid w:val="0"/>
        <w:spacing w:line="360" w:lineRule="auto"/>
        <w:ind w:firstLine="565" w:firstLineChars="202"/>
        <w:rPr>
          <w:rFonts w:hAnsi="宋体" w:eastAsia="宋体"/>
          <w:color w:val="auto"/>
          <w:sz w:val="28"/>
          <w:szCs w:val="28"/>
        </w:rPr>
      </w:pPr>
      <w:r>
        <w:rPr>
          <w:rFonts w:hint="eastAsia" w:hAnsi="宋体" w:eastAsia="宋体"/>
          <w:color w:val="auto"/>
          <w:sz w:val="28"/>
          <w:szCs w:val="28"/>
        </w:rPr>
        <w:t>一、由磋商小组根据磋商文件的要求采用相同的评审程序、评分办法及标准对提交最后报价的供应商的施工响应文件和最后报价进行综合评分；</w:t>
      </w:r>
    </w:p>
    <w:p>
      <w:pPr>
        <w:tabs>
          <w:tab w:val="left" w:pos="1155"/>
        </w:tabs>
        <w:spacing w:line="360" w:lineRule="auto"/>
        <w:ind w:firstLine="560" w:firstLineChars="200"/>
        <w:rPr>
          <w:rFonts w:ascii="宋体" w:hAnsi="宋体"/>
          <w:color w:val="auto"/>
          <w:sz w:val="28"/>
          <w:szCs w:val="28"/>
        </w:rPr>
      </w:pPr>
      <w:r>
        <w:rPr>
          <w:rFonts w:hint="eastAsia" w:ascii="宋体" w:hAnsi="宋体"/>
          <w:color w:val="auto"/>
          <w:sz w:val="28"/>
          <w:szCs w:val="28"/>
        </w:rPr>
        <w:t>二、本次综合评分的因素是：价格、技术、服务等；</w:t>
      </w:r>
    </w:p>
    <w:p>
      <w:pPr>
        <w:tabs>
          <w:tab w:val="left" w:pos="1155"/>
        </w:tabs>
        <w:spacing w:line="360" w:lineRule="auto"/>
        <w:ind w:firstLine="560" w:firstLineChars="200"/>
        <w:rPr>
          <w:color w:val="auto"/>
        </w:rPr>
      </w:pPr>
      <w:r>
        <w:rPr>
          <w:rFonts w:hint="eastAsia" w:ascii="宋体" w:hAnsi="宋体"/>
          <w:color w:val="auto"/>
          <w:sz w:val="28"/>
          <w:szCs w:val="28"/>
        </w:rPr>
        <w:t>三、评审时，磋商小组各成员应当独立对每个有效响应的文件进行评价、打分，各位评委得分的算术平均数为供应商的最终得分，然后汇总每个供应商每项评分因素的得分。</w:t>
      </w:r>
    </w:p>
    <w:p>
      <w:pPr>
        <w:pStyle w:val="5"/>
        <w:numPr>
          <w:ilvl w:val="2"/>
          <w:numId w:val="57"/>
        </w:numPr>
        <w:spacing w:after="200"/>
        <w:ind w:left="1135" w:hanging="1135"/>
        <w:rPr>
          <w:color w:val="auto"/>
        </w:rPr>
      </w:pPr>
      <w:r>
        <w:rPr>
          <w:rFonts w:hint="eastAsia"/>
          <w:color w:val="auto"/>
        </w:rPr>
        <w:t>评分办法</w:t>
      </w:r>
    </w:p>
    <w:p>
      <w:pPr>
        <w:pStyle w:val="27"/>
        <w:snapToGrid w:val="0"/>
        <w:spacing w:line="360" w:lineRule="auto"/>
        <w:ind w:firstLine="560" w:firstLineChars="200"/>
        <w:rPr>
          <w:rFonts w:hAnsi="宋体" w:eastAsia="宋体"/>
          <w:color w:val="auto"/>
          <w:sz w:val="28"/>
          <w:szCs w:val="28"/>
        </w:rPr>
      </w:pPr>
      <w:r>
        <w:rPr>
          <w:rFonts w:hint="eastAsia" w:hAnsi="宋体" w:eastAsia="宋体"/>
          <w:color w:val="auto"/>
          <w:sz w:val="28"/>
          <w:szCs w:val="28"/>
        </w:rPr>
        <w:t>本次评审采用综合评分法，由磋商小组采用综合评分法对提交最后报价的供应商的施工响应文件和最后报价进行综合评分。综合评分法，是指施工响应文件满足磋商文件全部实质性要求且按评审因素的量化指标评审得分最高的供应商为成交候选供应商的评审方法。</w:t>
      </w:r>
    </w:p>
    <w:p>
      <w:pPr>
        <w:spacing w:line="360" w:lineRule="auto"/>
        <w:ind w:firstLine="630" w:firstLineChars="225"/>
        <w:rPr>
          <w:rFonts w:ascii="宋体" w:hAnsi="宋体"/>
          <w:color w:val="auto"/>
          <w:sz w:val="28"/>
          <w:szCs w:val="28"/>
        </w:rPr>
      </w:pPr>
      <w:r>
        <w:rPr>
          <w:rFonts w:hint="eastAsia" w:ascii="宋体" w:hAnsi="宋体"/>
          <w:color w:val="auto"/>
          <w:sz w:val="28"/>
          <w:szCs w:val="28"/>
        </w:rPr>
        <w:t>评审得分＝（A</w:t>
      </w:r>
      <w:r>
        <w:rPr>
          <w:rFonts w:hint="eastAsia" w:ascii="宋体" w:hAnsi="宋体"/>
          <w:color w:val="auto"/>
          <w:sz w:val="28"/>
          <w:szCs w:val="28"/>
          <w:vertAlign w:val="subscript"/>
        </w:rPr>
        <w:t>1</w:t>
      </w:r>
      <w:r>
        <w:rPr>
          <w:rFonts w:hint="eastAsia" w:ascii="宋体" w:hAnsi="宋体"/>
          <w:color w:val="auto"/>
          <w:sz w:val="28"/>
          <w:szCs w:val="28"/>
        </w:rPr>
        <w:t>＋A</w:t>
      </w:r>
      <w:r>
        <w:rPr>
          <w:rFonts w:hint="eastAsia" w:ascii="宋体" w:hAnsi="宋体"/>
          <w:color w:val="auto"/>
          <w:sz w:val="28"/>
          <w:szCs w:val="28"/>
          <w:vertAlign w:val="subscript"/>
        </w:rPr>
        <w:t>2</w:t>
      </w:r>
      <w:r>
        <w:rPr>
          <w:rFonts w:hint="eastAsia" w:ascii="宋体" w:hAnsi="宋体"/>
          <w:color w:val="auto"/>
          <w:sz w:val="28"/>
          <w:szCs w:val="28"/>
        </w:rPr>
        <w:t>＋……＋A</w:t>
      </w:r>
      <w:r>
        <w:rPr>
          <w:rFonts w:hint="eastAsia" w:ascii="宋体" w:hAnsi="宋体"/>
          <w:color w:val="auto"/>
          <w:sz w:val="28"/>
          <w:szCs w:val="28"/>
          <w:vertAlign w:val="subscript"/>
        </w:rPr>
        <w:t>n</w:t>
      </w:r>
      <w:r>
        <w:rPr>
          <w:rFonts w:hint="eastAsia" w:ascii="宋体" w:hAnsi="宋体"/>
          <w:color w:val="auto"/>
          <w:sz w:val="28"/>
          <w:szCs w:val="28"/>
        </w:rPr>
        <w:t>）/n</w:t>
      </w:r>
      <w:r>
        <w:rPr>
          <w:rFonts w:hint="eastAsia" w:ascii="宋体" w:hAnsi="宋体"/>
          <w:color w:val="auto"/>
          <w:sz w:val="28"/>
          <w:szCs w:val="28"/>
          <w:vertAlign w:val="subscript"/>
        </w:rPr>
        <w:t>1</w:t>
      </w:r>
      <w:r>
        <w:rPr>
          <w:rFonts w:hint="eastAsia" w:ascii="宋体" w:hAnsi="宋体"/>
          <w:color w:val="auto"/>
          <w:sz w:val="28"/>
          <w:szCs w:val="28"/>
        </w:rPr>
        <w:t>+（B</w:t>
      </w:r>
      <w:r>
        <w:rPr>
          <w:rFonts w:hint="eastAsia" w:ascii="宋体" w:hAnsi="宋体"/>
          <w:color w:val="auto"/>
          <w:sz w:val="28"/>
          <w:szCs w:val="28"/>
          <w:vertAlign w:val="subscript"/>
        </w:rPr>
        <w:t>1</w:t>
      </w:r>
      <w:r>
        <w:rPr>
          <w:rFonts w:hint="eastAsia" w:ascii="宋体" w:hAnsi="宋体"/>
          <w:color w:val="auto"/>
          <w:sz w:val="28"/>
          <w:szCs w:val="28"/>
        </w:rPr>
        <w:t>＋B</w:t>
      </w:r>
      <w:r>
        <w:rPr>
          <w:rFonts w:hint="eastAsia" w:ascii="宋体" w:hAnsi="宋体"/>
          <w:color w:val="auto"/>
          <w:sz w:val="28"/>
          <w:szCs w:val="28"/>
          <w:vertAlign w:val="subscript"/>
        </w:rPr>
        <w:t>2</w:t>
      </w:r>
      <w:r>
        <w:rPr>
          <w:rFonts w:hint="eastAsia" w:ascii="宋体" w:hAnsi="宋体"/>
          <w:color w:val="auto"/>
          <w:sz w:val="28"/>
          <w:szCs w:val="28"/>
        </w:rPr>
        <w:t>＋……＋B</w:t>
      </w:r>
      <w:r>
        <w:rPr>
          <w:rFonts w:hint="eastAsia" w:ascii="宋体" w:hAnsi="宋体"/>
          <w:color w:val="auto"/>
          <w:sz w:val="28"/>
          <w:szCs w:val="28"/>
          <w:vertAlign w:val="subscript"/>
        </w:rPr>
        <w:t>n</w:t>
      </w:r>
      <w:r>
        <w:rPr>
          <w:rFonts w:hint="eastAsia" w:ascii="宋体" w:hAnsi="宋体"/>
          <w:color w:val="auto"/>
          <w:sz w:val="28"/>
          <w:szCs w:val="28"/>
        </w:rPr>
        <w:t>）/ n</w:t>
      </w:r>
      <w:r>
        <w:rPr>
          <w:rFonts w:hint="eastAsia" w:ascii="宋体" w:hAnsi="宋体"/>
          <w:color w:val="auto"/>
          <w:sz w:val="28"/>
          <w:szCs w:val="28"/>
          <w:vertAlign w:val="subscript"/>
        </w:rPr>
        <w:t>2</w:t>
      </w:r>
    </w:p>
    <w:p>
      <w:pPr>
        <w:spacing w:line="360" w:lineRule="auto"/>
        <w:ind w:firstLine="560" w:firstLineChars="200"/>
        <w:rPr>
          <w:rFonts w:ascii="宋体" w:hAnsi="宋体" w:cs="宋体"/>
          <w:color w:val="auto"/>
          <w:sz w:val="28"/>
          <w:szCs w:val="28"/>
        </w:rPr>
      </w:pPr>
      <w:r>
        <w:rPr>
          <w:rFonts w:hint="eastAsia" w:ascii="宋体" w:hAnsi="宋体"/>
          <w:color w:val="auto"/>
          <w:sz w:val="28"/>
          <w:szCs w:val="28"/>
        </w:rPr>
        <w:t>A</w:t>
      </w:r>
      <w:r>
        <w:rPr>
          <w:rFonts w:hint="eastAsia" w:ascii="宋体" w:hAnsi="宋体"/>
          <w:color w:val="auto"/>
          <w:sz w:val="28"/>
          <w:szCs w:val="28"/>
          <w:vertAlign w:val="subscript"/>
        </w:rPr>
        <w:t>1</w:t>
      </w:r>
      <w:r>
        <w:rPr>
          <w:rFonts w:hint="eastAsia" w:ascii="宋体" w:hAnsi="宋体"/>
          <w:color w:val="auto"/>
          <w:sz w:val="28"/>
          <w:szCs w:val="28"/>
        </w:rPr>
        <w:t>、A</w:t>
      </w:r>
      <w:r>
        <w:rPr>
          <w:rFonts w:hint="eastAsia" w:ascii="宋体" w:hAnsi="宋体"/>
          <w:color w:val="auto"/>
          <w:sz w:val="28"/>
          <w:szCs w:val="28"/>
          <w:vertAlign w:val="subscript"/>
        </w:rPr>
        <w:t>2</w:t>
      </w:r>
      <w:r>
        <w:rPr>
          <w:rFonts w:hint="eastAsia" w:ascii="宋体" w:hAnsi="宋体"/>
          <w:color w:val="auto"/>
          <w:sz w:val="28"/>
          <w:szCs w:val="28"/>
        </w:rPr>
        <w:t>……A</w:t>
      </w:r>
      <w:r>
        <w:rPr>
          <w:rFonts w:hint="eastAsia" w:ascii="宋体" w:hAnsi="宋体"/>
          <w:color w:val="auto"/>
          <w:sz w:val="28"/>
          <w:szCs w:val="28"/>
          <w:vertAlign w:val="subscript"/>
        </w:rPr>
        <w:t>n</w:t>
      </w:r>
      <w:r>
        <w:rPr>
          <w:rFonts w:hint="eastAsia" w:ascii="宋体" w:hAnsi="宋体"/>
          <w:color w:val="auto"/>
          <w:sz w:val="28"/>
          <w:szCs w:val="28"/>
        </w:rPr>
        <w:t>分别为磋商小组每个成员的打分，n</w:t>
      </w:r>
      <w:r>
        <w:rPr>
          <w:rFonts w:hint="eastAsia" w:ascii="宋体" w:hAnsi="宋体"/>
          <w:color w:val="auto"/>
          <w:sz w:val="28"/>
          <w:szCs w:val="28"/>
          <w:vertAlign w:val="subscript"/>
        </w:rPr>
        <w:t>1</w:t>
      </w:r>
      <w:r>
        <w:rPr>
          <w:rFonts w:hint="eastAsia" w:ascii="宋体" w:hAnsi="宋体"/>
          <w:color w:val="auto"/>
          <w:sz w:val="28"/>
          <w:szCs w:val="28"/>
        </w:rPr>
        <w:t>为磋商小组人数；B</w:t>
      </w:r>
      <w:r>
        <w:rPr>
          <w:rFonts w:hint="eastAsia" w:ascii="宋体" w:hAnsi="宋体"/>
          <w:color w:val="auto"/>
          <w:sz w:val="28"/>
          <w:szCs w:val="28"/>
          <w:vertAlign w:val="subscript"/>
        </w:rPr>
        <w:t>1</w:t>
      </w:r>
      <w:r>
        <w:rPr>
          <w:rFonts w:hint="eastAsia" w:ascii="宋体" w:hAnsi="宋体"/>
          <w:color w:val="auto"/>
          <w:sz w:val="28"/>
          <w:szCs w:val="28"/>
        </w:rPr>
        <w:t>、B</w:t>
      </w:r>
      <w:r>
        <w:rPr>
          <w:rFonts w:hint="eastAsia" w:ascii="宋体" w:hAnsi="宋体"/>
          <w:color w:val="auto"/>
          <w:sz w:val="28"/>
          <w:szCs w:val="28"/>
          <w:vertAlign w:val="subscript"/>
        </w:rPr>
        <w:t>2</w:t>
      </w:r>
      <w:r>
        <w:rPr>
          <w:rFonts w:hint="eastAsia" w:ascii="宋体" w:hAnsi="宋体"/>
          <w:color w:val="auto"/>
          <w:sz w:val="28"/>
          <w:szCs w:val="28"/>
        </w:rPr>
        <w:t>＋……B</w:t>
      </w:r>
      <w:r>
        <w:rPr>
          <w:rFonts w:hint="eastAsia" w:ascii="宋体" w:hAnsi="宋体"/>
          <w:color w:val="auto"/>
          <w:sz w:val="28"/>
          <w:szCs w:val="28"/>
          <w:vertAlign w:val="subscript"/>
        </w:rPr>
        <w:t>n</w:t>
      </w:r>
      <w:r>
        <w:rPr>
          <w:rFonts w:hint="eastAsia" w:ascii="宋体" w:hAnsi="宋体"/>
          <w:color w:val="auto"/>
          <w:sz w:val="28"/>
          <w:szCs w:val="28"/>
        </w:rPr>
        <w:t xml:space="preserve"> 分别为每个技术类评委（含采购人代表）的打分，n</w:t>
      </w:r>
      <w:r>
        <w:rPr>
          <w:rFonts w:hint="eastAsia" w:ascii="宋体" w:hAnsi="宋体"/>
          <w:color w:val="auto"/>
          <w:sz w:val="28"/>
          <w:szCs w:val="28"/>
          <w:vertAlign w:val="subscript"/>
        </w:rPr>
        <w:t>2</w:t>
      </w:r>
      <w:r>
        <w:rPr>
          <w:rFonts w:hint="eastAsia" w:ascii="宋体" w:hAnsi="宋体"/>
          <w:color w:val="auto"/>
          <w:sz w:val="28"/>
          <w:szCs w:val="28"/>
        </w:rPr>
        <w:t>为</w:t>
      </w:r>
      <w:r>
        <w:rPr>
          <w:rFonts w:hint="eastAsia" w:ascii="宋体" w:hAnsi="宋体" w:cs="宋体"/>
          <w:color w:val="auto"/>
          <w:sz w:val="28"/>
          <w:szCs w:val="28"/>
        </w:rPr>
        <w:t>技术类</w:t>
      </w:r>
      <w:r>
        <w:rPr>
          <w:rFonts w:hint="eastAsia" w:ascii="宋体" w:hAnsi="宋体"/>
          <w:color w:val="auto"/>
          <w:sz w:val="28"/>
          <w:szCs w:val="28"/>
        </w:rPr>
        <w:t>评委（含采购人代表）人数。</w:t>
      </w:r>
    </w:p>
    <w:p>
      <w:pPr>
        <w:pStyle w:val="5"/>
        <w:numPr>
          <w:ilvl w:val="2"/>
          <w:numId w:val="57"/>
        </w:numPr>
        <w:spacing w:after="200"/>
        <w:ind w:left="1135" w:hanging="1135"/>
        <w:rPr>
          <w:color w:val="auto"/>
        </w:rPr>
      </w:pPr>
      <w:r>
        <w:rPr>
          <w:rFonts w:hint="eastAsia"/>
          <w:color w:val="auto"/>
        </w:rPr>
        <w:t>评分标准</w:t>
      </w:r>
      <w:r>
        <w:rPr>
          <w:rFonts w:hint="eastAsia"/>
          <w:color w:val="auto"/>
          <w:lang w:eastAsia="zh-CN"/>
        </w:rPr>
        <w:t>（各包件一致）</w:t>
      </w:r>
    </w:p>
    <w:p/>
    <w:tbl>
      <w:tblPr>
        <w:tblStyle w:val="60"/>
        <w:tblW w:w="812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5796"/>
        <w:gridCol w:w="9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评分因素及分值</w:t>
            </w:r>
          </w:p>
        </w:tc>
        <w:tc>
          <w:tcPr>
            <w:tcW w:w="5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评分标准</w:t>
            </w:r>
          </w:p>
        </w:tc>
        <w:tc>
          <w:tcPr>
            <w:tcW w:w="9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报价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60</w:t>
            </w:r>
            <w:r>
              <w:rPr>
                <w:rFonts w:hint="eastAsia" w:ascii="宋体" w:hAnsi="宋体" w:eastAsia="宋体" w:cs="宋体"/>
                <w:sz w:val="28"/>
                <w:szCs w:val="28"/>
              </w:rPr>
              <w:t>分）</w:t>
            </w:r>
          </w:p>
        </w:tc>
        <w:tc>
          <w:tcPr>
            <w:tcW w:w="5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磋商报价得分=（磋商基准价/最后磋商报价）×</w:t>
            </w:r>
            <w:r>
              <w:rPr>
                <w:rFonts w:hint="eastAsia" w:ascii="宋体" w:hAnsi="宋体" w:cs="宋体"/>
                <w:sz w:val="28"/>
                <w:szCs w:val="28"/>
                <w:lang w:val="en-US" w:eastAsia="zh-CN"/>
              </w:rPr>
              <w:t>60。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注：对失信行为供应商给予10%/次的报价累加加成，用加成后的价格参与评分，若加成后的报价超过最高限价的，其响应文件按照无效处理。</w:t>
            </w:r>
          </w:p>
        </w:tc>
        <w:tc>
          <w:tcPr>
            <w:tcW w:w="9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施工组织设计</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28</w:t>
            </w:r>
            <w:r>
              <w:rPr>
                <w:rFonts w:hint="eastAsia" w:ascii="宋体" w:hAnsi="宋体" w:eastAsia="宋体" w:cs="宋体"/>
                <w:sz w:val="28"/>
                <w:szCs w:val="28"/>
              </w:rPr>
              <w:t>分）</w:t>
            </w:r>
          </w:p>
        </w:tc>
        <w:tc>
          <w:tcPr>
            <w:tcW w:w="5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供应商提供的施工组织设计方案包含进度计划、质量保证措施、安全保证措施、资源配置计划、环保文明措施、应急预案、施工工艺内容且响应磋商文件的得</w:t>
            </w:r>
            <w:r>
              <w:rPr>
                <w:rFonts w:hint="eastAsia" w:ascii="宋体" w:hAnsi="宋体" w:eastAsia="宋体" w:cs="宋体"/>
                <w:sz w:val="28"/>
                <w:szCs w:val="28"/>
                <w:lang w:val="en-US" w:eastAsia="zh-CN"/>
              </w:rPr>
              <w:t>28</w:t>
            </w:r>
            <w:r>
              <w:rPr>
                <w:rFonts w:hint="eastAsia" w:ascii="宋体" w:hAnsi="宋体" w:eastAsia="宋体" w:cs="宋体"/>
                <w:sz w:val="28"/>
                <w:szCs w:val="28"/>
              </w:rPr>
              <w:t>分，每缺少一项内容或有一项内容错误（内容错误指：项目名称、实施地点、涉及的规范、标准与本项目要求不一致；进度计划超期）的，每缺少一项内容扣4分，每有一处错误扣</w:t>
            </w:r>
            <w:r>
              <w:rPr>
                <w:rFonts w:hint="eastAsia" w:ascii="宋体" w:hAnsi="宋体" w:eastAsia="宋体" w:cs="宋体"/>
                <w:sz w:val="28"/>
                <w:szCs w:val="28"/>
                <w:lang w:val="en-US" w:eastAsia="zh-CN"/>
              </w:rPr>
              <w:t>2</w:t>
            </w:r>
            <w:r>
              <w:rPr>
                <w:rFonts w:hint="eastAsia" w:ascii="宋体" w:hAnsi="宋体" w:eastAsia="宋体" w:cs="宋体"/>
                <w:sz w:val="28"/>
                <w:szCs w:val="28"/>
              </w:rPr>
              <w:t>分，扣完为止。</w:t>
            </w:r>
          </w:p>
        </w:tc>
        <w:tc>
          <w:tcPr>
            <w:tcW w:w="9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业绩</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分)</w:t>
            </w:r>
          </w:p>
        </w:tc>
        <w:tc>
          <w:tcPr>
            <w:tcW w:w="579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供应商2018年1月1日（含1日）以来具有一个已完成类似项目业绩的得2分，在此基础上每增加1个加</w:t>
            </w:r>
            <w:r>
              <w:rPr>
                <w:rFonts w:hint="eastAsia" w:ascii="宋体" w:hAnsi="宋体" w:eastAsia="宋体" w:cs="宋体"/>
                <w:sz w:val="28"/>
                <w:szCs w:val="28"/>
                <w:lang w:val="en-US" w:eastAsia="zh-CN"/>
              </w:rPr>
              <w:t>1</w:t>
            </w:r>
            <w:r>
              <w:rPr>
                <w:rFonts w:hint="eastAsia" w:ascii="宋体" w:hAnsi="宋体" w:eastAsia="宋体" w:cs="宋体"/>
                <w:sz w:val="28"/>
                <w:szCs w:val="28"/>
              </w:rPr>
              <w:t>分，最多得</w:t>
            </w:r>
            <w:r>
              <w:rPr>
                <w:rFonts w:hint="eastAsia" w:ascii="宋体" w:hAnsi="宋体" w:eastAsia="宋体" w:cs="宋体"/>
                <w:sz w:val="28"/>
                <w:szCs w:val="28"/>
                <w:lang w:val="en-US" w:eastAsia="zh-CN"/>
              </w:rPr>
              <w:t>8</w:t>
            </w:r>
            <w:r>
              <w:rPr>
                <w:rFonts w:hint="eastAsia" w:ascii="宋体" w:hAnsi="宋体" w:eastAsia="宋体" w:cs="宋体"/>
                <w:sz w:val="28"/>
                <w:szCs w:val="28"/>
              </w:rPr>
              <w:t>分。（提供施工合同复印件和竣工验收报告复印件。）</w:t>
            </w:r>
          </w:p>
        </w:tc>
        <w:tc>
          <w:tcPr>
            <w:tcW w:w="9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优先采购节能、环境标志、无线局域网产品</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分）</w:t>
            </w:r>
          </w:p>
        </w:tc>
        <w:tc>
          <w:tcPr>
            <w:tcW w:w="5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供应商所响应的产品中每有一项属于节能产品政府采购品目清单中优先采购范围的得1分；每有一项属于环境标志产品政府采购品目清单中优先采购范围的得1分；每有一项为无线局域网产品政府采购清单中的产品的得1分。本项共</w:t>
            </w:r>
            <w:r>
              <w:rPr>
                <w:rFonts w:hint="eastAsia" w:ascii="宋体" w:hAnsi="宋体" w:cs="宋体"/>
                <w:sz w:val="28"/>
                <w:szCs w:val="28"/>
                <w:lang w:val="en-US" w:eastAsia="zh-CN"/>
              </w:rPr>
              <w:t>3</w:t>
            </w:r>
            <w:r>
              <w:rPr>
                <w:rFonts w:hint="eastAsia" w:ascii="宋体" w:hAnsi="宋体" w:eastAsia="宋体" w:cs="宋体"/>
                <w:sz w:val="28"/>
                <w:szCs w:val="28"/>
              </w:rPr>
              <w:t>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说明：</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1、可重复计分；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2、本项目采购的产品中属于节能产品或环境标志产品政府采购品目清单中强制采购范围的，不属于本项评分范围。</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3、供应商所响应的产品属于节能产品或环境标志产品政府采购品目清单中优先采购范围的，应当在响应文件中提供国家确定的认证机构的认证结果信息发布平台公布的该产品认证信息截图或者打印资料并加盖供应商公章（鲜章），否则不予给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4、供应商所投产品属于优先采购范围内的无线局域网产品的，需提供《中国政府采购网》公布的无线局域网产品政府采购清单封面及对应页且在有效期内并加盖供应商单位公章（鲜章）。</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9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响应文件的规范性</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（1分）</w:t>
            </w:r>
          </w:p>
        </w:tc>
        <w:tc>
          <w:tcPr>
            <w:tcW w:w="5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没有细微偏差情形的得1分；有一项细微偏差扣0.1分，直至该分项值扣完为止。</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注：本项评分因素适用于施工组织设计以外的评分项。细微偏差是指响应文件基本上符合磋商文件要求，但在个别地方存在漏项或者提供了不完整的技术信息和数据等情况，并且补正这些遗漏或者不完整不会对其他供应商造成不公平的结果。细微偏差不影响响应文件的有效性。</w:t>
            </w:r>
          </w:p>
        </w:tc>
        <w:tc>
          <w:tcPr>
            <w:tcW w:w="9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12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注：本表中要求提供的复印件材料，均需加盖供应商单位公章（空白页可不加盖单位公章，存在正反面的，只加盖单面的，不得作为无效处理，将在响应文件规范性方面进行扣分处理），否则将不认可该项复印件材料的有效性。</w:t>
            </w:r>
          </w:p>
        </w:tc>
      </w:tr>
    </w:tbl>
    <w:p>
      <w:pPr>
        <w:spacing w:line="360" w:lineRule="auto"/>
        <w:ind w:firstLine="565" w:firstLineChars="202"/>
        <w:rPr>
          <w:rFonts w:ascii="宋体" w:hAnsi="宋体"/>
          <w:color w:val="auto"/>
          <w:sz w:val="28"/>
        </w:rPr>
      </w:pPr>
    </w:p>
    <w:p>
      <w:pPr>
        <w:spacing w:line="360" w:lineRule="auto"/>
        <w:ind w:firstLine="565" w:firstLineChars="202"/>
        <w:rPr>
          <w:rFonts w:ascii="宋体" w:hAnsi="宋体"/>
          <w:color w:val="auto"/>
          <w:sz w:val="28"/>
        </w:rPr>
      </w:pPr>
      <w:r>
        <w:rPr>
          <w:rFonts w:hint="eastAsia" w:ascii="宋体" w:hAnsi="宋体"/>
          <w:color w:val="auto"/>
          <w:sz w:val="28"/>
        </w:rPr>
        <w:t>说明：</w:t>
      </w:r>
    </w:p>
    <w:p>
      <w:pPr>
        <w:spacing w:line="360" w:lineRule="auto"/>
        <w:ind w:firstLine="565" w:firstLineChars="202"/>
        <w:rPr>
          <w:rFonts w:ascii="宋体" w:hAnsi="宋体"/>
          <w:color w:val="auto"/>
          <w:sz w:val="28"/>
        </w:rPr>
      </w:pPr>
      <w:r>
        <w:rPr>
          <w:rFonts w:hint="eastAsia" w:ascii="宋体" w:hAnsi="宋体"/>
          <w:color w:val="auto"/>
          <w:sz w:val="28"/>
        </w:rPr>
        <w:t>1、评分的取值按四舍五入法，保留小数点后两位；</w:t>
      </w:r>
    </w:p>
    <w:p>
      <w:pPr>
        <w:spacing w:line="360" w:lineRule="auto"/>
        <w:ind w:firstLine="565" w:firstLineChars="202"/>
        <w:rPr>
          <w:rFonts w:ascii="宋体" w:hAnsi="宋体"/>
          <w:color w:val="auto"/>
          <w:sz w:val="28"/>
        </w:rPr>
      </w:pPr>
      <w:r>
        <w:rPr>
          <w:rFonts w:hint="eastAsia" w:ascii="宋体" w:hAnsi="宋体"/>
          <w:color w:val="auto"/>
          <w:sz w:val="28"/>
        </w:rPr>
        <w:t>2、评分标准中要求提供复印件的证明材料须清晰可辨。</w:t>
      </w:r>
    </w:p>
    <w:p>
      <w:pPr>
        <w:spacing w:line="360" w:lineRule="auto"/>
        <w:ind w:firstLine="565" w:firstLineChars="202"/>
        <w:rPr>
          <w:rFonts w:ascii="宋体" w:hAnsi="宋体"/>
          <w:color w:val="auto"/>
          <w:sz w:val="28"/>
        </w:rPr>
      </w:pPr>
      <w:r>
        <w:rPr>
          <w:rFonts w:hint="eastAsia" w:ascii="宋体" w:hAnsi="宋体"/>
          <w:color w:val="auto"/>
          <w:sz w:val="28"/>
        </w:rPr>
        <w:t>3、本表中要求提供的复印件材料，均需加盖供应商单位公章（空白页可不加盖单位公章，存在正反面的，只加盖单面的，不得作为无效处理，将在响应文件规范性方面进行扣分处理），否则将不认可该项复印件材料的有效性。</w:t>
      </w:r>
    </w:p>
    <w:p>
      <w:pPr>
        <w:pStyle w:val="4"/>
        <w:numPr>
          <w:ilvl w:val="1"/>
          <w:numId w:val="57"/>
        </w:numPr>
        <w:spacing w:after="200"/>
        <w:ind w:left="1985" w:hanging="1985"/>
        <w:rPr>
          <w:color w:val="auto"/>
        </w:rPr>
      </w:pPr>
      <w:bookmarkStart w:id="121" w:name="_Toc494095679"/>
      <w:bookmarkEnd w:id="121"/>
      <w:bookmarkStart w:id="122" w:name="_Toc494357024"/>
      <w:bookmarkEnd w:id="122"/>
      <w:bookmarkStart w:id="123" w:name="_Toc494357030"/>
      <w:bookmarkEnd w:id="123"/>
      <w:bookmarkStart w:id="124" w:name="_Toc494095671"/>
      <w:bookmarkEnd w:id="124"/>
      <w:bookmarkStart w:id="125" w:name="_Toc494357027"/>
      <w:bookmarkEnd w:id="125"/>
      <w:bookmarkStart w:id="126" w:name="_Toc494095675"/>
      <w:bookmarkEnd w:id="126"/>
      <w:bookmarkStart w:id="127" w:name="_Toc494357032"/>
      <w:bookmarkEnd w:id="127"/>
      <w:bookmarkStart w:id="128" w:name="_Toc494095676"/>
      <w:bookmarkEnd w:id="128"/>
      <w:bookmarkStart w:id="129" w:name="_Toc494357029"/>
      <w:bookmarkEnd w:id="129"/>
      <w:bookmarkStart w:id="130" w:name="_Toc494357031"/>
      <w:bookmarkEnd w:id="130"/>
      <w:bookmarkStart w:id="131" w:name="_Toc494357028"/>
      <w:bookmarkEnd w:id="131"/>
      <w:bookmarkStart w:id="132" w:name="_Toc494357033"/>
      <w:bookmarkEnd w:id="132"/>
      <w:bookmarkStart w:id="133" w:name="_Toc494095670"/>
      <w:bookmarkEnd w:id="133"/>
      <w:bookmarkStart w:id="134" w:name="_Toc494095673"/>
      <w:bookmarkEnd w:id="134"/>
      <w:bookmarkStart w:id="135" w:name="_Toc494095682"/>
      <w:bookmarkEnd w:id="135"/>
      <w:bookmarkStart w:id="136" w:name="_Toc494095672"/>
      <w:bookmarkEnd w:id="136"/>
      <w:bookmarkStart w:id="137" w:name="_Toc494357021"/>
      <w:bookmarkEnd w:id="137"/>
      <w:bookmarkStart w:id="138" w:name="_Toc494095677"/>
      <w:bookmarkEnd w:id="138"/>
      <w:bookmarkStart w:id="139" w:name="_Toc494357023"/>
      <w:bookmarkEnd w:id="139"/>
      <w:bookmarkStart w:id="140" w:name="_Toc494357035"/>
      <w:bookmarkEnd w:id="140"/>
      <w:bookmarkStart w:id="141" w:name="_Toc494095678"/>
      <w:bookmarkEnd w:id="141"/>
      <w:bookmarkStart w:id="142" w:name="_Toc494357025"/>
      <w:bookmarkEnd w:id="142"/>
      <w:bookmarkStart w:id="143" w:name="_Toc494095674"/>
      <w:bookmarkEnd w:id="143"/>
      <w:bookmarkStart w:id="144" w:name="_Toc494357034"/>
      <w:bookmarkEnd w:id="144"/>
      <w:bookmarkStart w:id="145" w:name="_Toc494095668"/>
      <w:bookmarkEnd w:id="145"/>
      <w:bookmarkStart w:id="146" w:name="_Toc494095680"/>
      <w:bookmarkEnd w:id="146"/>
      <w:bookmarkStart w:id="147" w:name="_Toc494357022"/>
      <w:bookmarkEnd w:id="147"/>
      <w:bookmarkStart w:id="148" w:name="_Toc494095669"/>
      <w:bookmarkEnd w:id="148"/>
      <w:bookmarkStart w:id="149" w:name="_Toc494095681"/>
      <w:bookmarkEnd w:id="149"/>
      <w:bookmarkStart w:id="150" w:name="_Toc494357026"/>
      <w:bookmarkEnd w:id="150"/>
      <w:bookmarkStart w:id="151" w:name="_Toc54948234"/>
      <w:bookmarkStart w:id="152" w:name="_Toc29666"/>
      <w:r>
        <w:rPr>
          <w:rFonts w:hint="eastAsia"/>
          <w:color w:val="auto"/>
        </w:rPr>
        <w:t>采购失败情形</w:t>
      </w:r>
      <w:bookmarkEnd w:id="151"/>
      <w:bookmarkEnd w:id="152"/>
    </w:p>
    <w:p>
      <w:pPr>
        <w:snapToGrid w:val="0"/>
        <w:spacing w:line="360" w:lineRule="auto"/>
        <w:ind w:firstLine="554" w:firstLineChars="198"/>
        <w:rPr>
          <w:rFonts w:ascii="宋体" w:hAnsi="宋体" w:cs="宋体"/>
          <w:color w:val="auto"/>
          <w:sz w:val="28"/>
          <w:szCs w:val="28"/>
        </w:rPr>
      </w:pPr>
      <w:r>
        <w:rPr>
          <w:rFonts w:hint="eastAsia" w:ascii="宋体" w:hAnsi="宋体" w:cs="宋体"/>
          <w:color w:val="auto"/>
          <w:sz w:val="28"/>
          <w:szCs w:val="28"/>
        </w:rPr>
        <w:t>有下列情形之一的，本项目采购失败：</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一、因情况变化，不再符合规定的竞争性磋商采购方式适用情形的；</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二、出现影响采购公正的违法、违规行为的；</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三、</w:t>
      </w:r>
      <w:r>
        <w:rPr>
          <w:rFonts w:hint="eastAsia" w:ascii="宋体" w:hAnsi="宋体"/>
          <w:color w:val="auto"/>
          <w:sz w:val="28"/>
          <w:szCs w:val="28"/>
        </w:rPr>
        <w:t>递交施工响应文件的供应商不足三家的</w:t>
      </w:r>
      <w:r>
        <w:rPr>
          <w:rFonts w:hint="eastAsia" w:ascii="宋体" w:hAnsi="宋体" w:cs="宋体"/>
          <w:color w:val="auto"/>
          <w:sz w:val="28"/>
          <w:szCs w:val="28"/>
        </w:rPr>
        <w:t>；</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四、通过资格性审查</w:t>
      </w:r>
      <w:r>
        <w:rPr>
          <w:rFonts w:hint="eastAsia" w:ascii="宋体" w:hAnsi="宋体"/>
          <w:color w:val="auto"/>
          <w:sz w:val="28"/>
          <w:szCs w:val="28"/>
        </w:rPr>
        <w:t>的供应商</w:t>
      </w:r>
      <w:r>
        <w:rPr>
          <w:rFonts w:hint="eastAsia" w:ascii="宋体" w:hAnsi="宋体" w:cs="宋体"/>
          <w:color w:val="auto"/>
          <w:sz w:val="28"/>
          <w:szCs w:val="28"/>
        </w:rPr>
        <w:t>不足三家的；</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五、通过符合性审查</w:t>
      </w:r>
      <w:r>
        <w:rPr>
          <w:rFonts w:hint="eastAsia" w:ascii="宋体" w:hAnsi="宋体"/>
          <w:color w:val="auto"/>
          <w:sz w:val="28"/>
          <w:szCs w:val="28"/>
        </w:rPr>
        <w:t>的供应商</w:t>
      </w:r>
      <w:r>
        <w:rPr>
          <w:rFonts w:hint="eastAsia" w:ascii="宋体" w:hAnsi="宋体" w:cs="宋体"/>
          <w:color w:val="auto"/>
          <w:sz w:val="28"/>
          <w:szCs w:val="28"/>
        </w:rPr>
        <w:t>不足三家</w:t>
      </w:r>
      <w:r>
        <w:rPr>
          <w:rFonts w:hint="eastAsia" w:ascii="宋体" w:hAnsi="宋体"/>
          <w:color w:val="auto"/>
          <w:sz w:val="28"/>
          <w:szCs w:val="28"/>
        </w:rPr>
        <w:t>的</w:t>
      </w:r>
      <w:r>
        <w:rPr>
          <w:rFonts w:hint="eastAsia" w:ascii="宋体" w:hAnsi="宋体" w:cs="宋体"/>
          <w:color w:val="auto"/>
          <w:sz w:val="28"/>
          <w:szCs w:val="28"/>
        </w:rPr>
        <w:t>；</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六、提交最后报价的供应商不足三家的；</w:t>
      </w:r>
    </w:p>
    <w:p>
      <w:pPr>
        <w:tabs>
          <w:tab w:val="left" w:pos="851"/>
        </w:tabs>
        <w:snapToGrid w:val="0"/>
        <w:spacing w:line="360" w:lineRule="auto"/>
        <w:ind w:firstLine="565" w:firstLineChars="202"/>
        <w:rPr>
          <w:rFonts w:ascii="宋体" w:hAnsi="宋体" w:cs="宋体"/>
          <w:color w:val="auto"/>
          <w:sz w:val="28"/>
          <w:szCs w:val="28"/>
        </w:rPr>
      </w:pPr>
      <w:r>
        <w:rPr>
          <w:rFonts w:hint="eastAsia" w:ascii="宋体" w:hAnsi="宋体" w:cs="宋体"/>
          <w:color w:val="auto"/>
          <w:sz w:val="28"/>
          <w:szCs w:val="28"/>
        </w:rPr>
        <w:t>七、通过最后报价审查的供应商不足三家的。</w:t>
      </w:r>
    </w:p>
    <w:p>
      <w:pPr>
        <w:pStyle w:val="4"/>
        <w:numPr>
          <w:ilvl w:val="2"/>
          <w:numId w:val="1"/>
        </w:numPr>
        <w:tabs>
          <w:tab w:val="left" w:pos="993"/>
          <w:tab w:val="clear" w:pos="426"/>
          <w:tab w:val="clear" w:pos="567"/>
        </w:tabs>
        <w:rPr>
          <w:color w:val="auto"/>
        </w:rPr>
      </w:pPr>
      <w:bookmarkStart w:id="153" w:name="_Toc63437922"/>
      <w:bookmarkStart w:id="154" w:name="_Toc63084336"/>
      <w:bookmarkStart w:id="155" w:name="_Toc17110"/>
      <w:r>
        <w:rPr>
          <w:rFonts w:hint="eastAsia"/>
          <w:color w:val="auto"/>
        </w:rPr>
        <w:t>其他</w:t>
      </w:r>
      <w:bookmarkEnd w:id="153"/>
      <w:bookmarkEnd w:id="154"/>
      <w:bookmarkEnd w:id="155"/>
    </w:p>
    <w:p>
      <w:pPr>
        <w:tabs>
          <w:tab w:val="left" w:pos="1134"/>
        </w:tabs>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磋商活动结束后，发现资格预审过程中资格性审查认定错误的，磋商结果无效，重新开展采购活动，由此给供应商造成损失的，由采购人承担赔偿责任。但是，经过所有参加采购活动的供应商书面认可，同意重新实行资格性审查的，可以直接重新实行资格性审查，并重新按照规定要求进行磋商评审。</w:t>
      </w:r>
    </w:p>
    <w:p>
      <w:pPr>
        <w:pStyle w:val="4"/>
        <w:numPr>
          <w:ilvl w:val="1"/>
          <w:numId w:val="57"/>
        </w:numPr>
        <w:spacing w:after="200"/>
        <w:ind w:left="1985" w:hanging="1985"/>
        <w:rPr>
          <w:color w:val="auto"/>
        </w:rPr>
      </w:pPr>
      <w:bookmarkStart w:id="156" w:name="_Toc54948235"/>
      <w:bookmarkStart w:id="157" w:name="_Toc11909"/>
      <w:r>
        <w:rPr>
          <w:rFonts w:hint="eastAsia"/>
          <w:color w:val="auto"/>
        </w:rPr>
        <w:t>确定成交供应商</w:t>
      </w:r>
      <w:bookmarkEnd w:id="156"/>
      <w:bookmarkEnd w:id="157"/>
    </w:p>
    <w:p>
      <w:pPr>
        <w:numPr>
          <w:ilvl w:val="0"/>
          <w:numId w:val="58"/>
        </w:numPr>
        <w:tabs>
          <w:tab w:val="left" w:pos="1134"/>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采购人根据磋商小组推荐的成交候选供应商名单，按顺序确定1名成交供应商。成交候选供应商并列的，则在排名并列的投标人中优先选择不发达地区或少数民族地区或国家级贫困地区的供应商为中标候选人，如并列供应商无不发达地区或少数民族地区或国家级贫困地区的供应商，则采购人采取随机抽取的方式确定。</w:t>
      </w:r>
    </w:p>
    <w:p>
      <w:pPr>
        <w:numPr>
          <w:ilvl w:val="0"/>
          <w:numId w:val="58"/>
        </w:numPr>
        <w:tabs>
          <w:tab w:val="left" w:pos="1134"/>
        </w:tabs>
        <w:snapToGrid w:val="0"/>
        <w:spacing w:after="200" w:line="620" w:lineRule="exact"/>
        <w:ind w:left="0" w:firstLine="560" w:firstLineChars="200"/>
        <w:rPr>
          <w:rFonts w:ascii="宋体" w:hAnsi="宋体" w:cs="宋体"/>
          <w:color w:val="auto"/>
          <w:sz w:val="28"/>
          <w:szCs w:val="28"/>
        </w:rPr>
      </w:pPr>
      <w:r>
        <w:rPr>
          <w:rFonts w:hint="eastAsia" w:ascii="宋体" w:hAnsi="宋体" w:cs="宋体"/>
          <w:color w:val="auto"/>
          <w:sz w:val="28"/>
          <w:szCs w:val="28"/>
        </w:rPr>
        <w:t>评审结束后，龙泉驿区公资交易中心在评审结束之日起2个工作日内将评审报告及有关资料送交采购人确定1名成交供应商。</w:t>
      </w:r>
    </w:p>
    <w:p>
      <w:pPr>
        <w:numPr>
          <w:ilvl w:val="0"/>
          <w:numId w:val="58"/>
        </w:numPr>
        <w:tabs>
          <w:tab w:val="left" w:pos="1134"/>
        </w:tabs>
        <w:snapToGrid w:val="0"/>
        <w:spacing w:after="200" w:line="360" w:lineRule="auto"/>
        <w:ind w:left="0" w:firstLine="560" w:firstLineChars="200"/>
        <w:rPr>
          <w:rStyle w:val="325"/>
          <w:rFonts w:ascii="宋体" w:hAnsi="宋体" w:cs="宋体"/>
          <w:color w:val="auto"/>
          <w:sz w:val="28"/>
          <w:szCs w:val="28"/>
        </w:rPr>
      </w:pPr>
      <w:r>
        <w:rPr>
          <w:rStyle w:val="325"/>
          <w:rFonts w:hint="eastAsia"/>
          <w:color w:val="auto"/>
          <w:sz w:val="28"/>
          <w:szCs w:val="28"/>
          <w:shd w:val="clear" w:color="auto" w:fill="FFFFFF"/>
        </w:rPr>
        <w:t>采购人在收到评审报告后五个工作日内，按照评审报告中推荐的中标（成交）候选人顺序确定中标（成交）人。如果中标（成交）候选人及其现任法定代表人、主要负责人存在行贿犯罪记录，采购人将不确定其为中标（成交）人。</w:t>
      </w:r>
    </w:p>
    <w:p>
      <w:pPr>
        <w:tabs>
          <w:tab w:val="left" w:pos="1134"/>
        </w:tabs>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根据四川省人民检察院、四川省财政厅《关于在政府采购活动中全面开展行贿犯罪档案查询的通知》（川检会</w:t>
      </w:r>
      <w:r>
        <w:rPr>
          <w:rFonts w:ascii="宋体" w:hAnsi="宋体" w:cs="宋体"/>
          <w:color w:val="auto"/>
          <w:sz w:val="28"/>
          <w:szCs w:val="28"/>
        </w:rPr>
        <w:t>[2016]5号）以及成都市人民检察院</w:t>
      </w:r>
      <w:r>
        <w:rPr>
          <w:rFonts w:hint="eastAsia" w:ascii="宋体" w:hAnsi="宋体" w:cs="宋体"/>
          <w:color w:val="auto"/>
          <w:sz w:val="28"/>
          <w:szCs w:val="28"/>
        </w:rPr>
        <w:t>《</w:t>
      </w:r>
      <w:r>
        <w:rPr>
          <w:rFonts w:ascii="宋体" w:hAnsi="宋体" w:cs="宋体"/>
          <w:color w:val="auto"/>
          <w:sz w:val="28"/>
          <w:szCs w:val="28"/>
        </w:rPr>
        <w:t>关于停止行贿犯罪档案查询的公告</w:t>
      </w:r>
      <w:r>
        <w:rPr>
          <w:rFonts w:hint="eastAsia" w:ascii="宋体" w:hAnsi="宋体" w:cs="宋体"/>
          <w:color w:val="auto"/>
          <w:sz w:val="28"/>
          <w:szCs w:val="28"/>
        </w:rPr>
        <w:t>》，</w:t>
      </w:r>
      <w:r>
        <w:rPr>
          <w:rStyle w:val="325"/>
          <w:rFonts w:hint="eastAsia"/>
          <w:color w:val="auto"/>
          <w:sz w:val="28"/>
          <w:szCs w:val="28"/>
          <w:shd w:val="clear" w:color="auto" w:fill="FFFFFF"/>
        </w:rPr>
        <w:t>采购人在确认成交供应商前，应到中国裁判文书网（</w:t>
      </w:r>
      <w:r>
        <w:rPr>
          <w:rStyle w:val="325"/>
          <w:color w:val="auto"/>
          <w:sz w:val="28"/>
          <w:szCs w:val="28"/>
          <w:shd w:val="clear" w:color="auto" w:fill="FFFFFF"/>
        </w:rPr>
        <w:t>https://wenshu.court.gov.cn</w:t>
      </w:r>
      <w:r>
        <w:rPr>
          <w:rStyle w:val="325"/>
          <w:rFonts w:hint="eastAsia"/>
          <w:color w:val="auto"/>
          <w:sz w:val="28"/>
          <w:szCs w:val="28"/>
          <w:shd w:val="clear" w:color="auto" w:fill="FFFFFF"/>
        </w:rPr>
        <w:t>）查询成交候选供应商及其现任法定代表人、主要负责人是否存在行贿犯罪记录。</w:t>
      </w:r>
    </w:p>
    <w:p>
      <w:pPr>
        <w:numPr>
          <w:ilvl w:val="0"/>
          <w:numId w:val="58"/>
        </w:numPr>
        <w:tabs>
          <w:tab w:val="left" w:pos="1134"/>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58"/>
        </w:numPr>
        <w:tabs>
          <w:tab w:val="left" w:pos="1134"/>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59"/>
        </w:numPr>
        <w:tabs>
          <w:tab w:val="left" w:pos="851"/>
          <w:tab w:val="left" w:pos="1134"/>
          <w:tab w:val="left" w:pos="1276"/>
        </w:tabs>
        <w:snapToGrid w:val="0"/>
        <w:spacing w:after="200" w:line="360" w:lineRule="auto"/>
        <w:ind w:left="0" w:firstLine="560" w:firstLineChars="200"/>
        <w:rPr>
          <w:rFonts w:ascii="宋体" w:hAnsi="宋体" w:cs="宋体"/>
          <w:color w:val="auto"/>
          <w:sz w:val="28"/>
          <w:szCs w:val="28"/>
        </w:rPr>
      </w:pPr>
      <w:bookmarkStart w:id="158" w:name="_Toc287623649"/>
      <w:r>
        <w:rPr>
          <w:rFonts w:hint="eastAsia" w:ascii="宋体" w:hAnsi="宋体" w:cs="宋体"/>
          <w:color w:val="auto"/>
          <w:sz w:val="28"/>
          <w:szCs w:val="28"/>
        </w:rPr>
        <w:t>成交候选供应商存在违法、违纪行为的；</w:t>
      </w:r>
    </w:p>
    <w:p>
      <w:pPr>
        <w:numPr>
          <w:ilvl w:val="1"/>
          <w:numId w:val="59"/>
        </w:numPr>
        <w:tabs>
          <w:tab w:val="left" w:pos="851"/>
          <w:tab w:val="left" w:pos="1134"/>
          <w:tab w:val="left" w:pos="1276"/>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成交候选供应商因不可抗力、社会经济形势发生重大变化、破产、重组等原因确定无法履行政府采购合同的；</w:t>
      </w:r>
    </w:p>
    <w:p>
      <w:pPr>
        <w:numPr>
          <w:ilvl w:val="1"/>
          <w:numId w:val="59"/>
        </w:numPr>
        <w:tabs>
          <w:tab w:val="left" w:pos="851"/>
          <w:tab w:val="left" w:pos="1134"/>
          <w:tab w:val="left" w:pos="1276"/>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成交候选供应商未按竞争性磋商文件要求，按时足额缴纳履约保证金的。</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采购人不按要求确定候选供应商为成交供应商的，应提供相关证明材料并报财政部门备案。</w:t>
      </w:r>
    </w:p>
    <w:p>
      <w:pPr>
        <w:numPr>
          <w:ilvl w:val="0"/>
          <w:numId w:val="58"/>
        </w:numPr>
        <w:tabs>
          <w:tab w:val="left" w:pos="1155"/>
        </w:tabs>
        <w:snapToGrid w:val="0"/>
        <w:spacing w:after="200" w:line="360" w:lineRule="auto"/>
        <w:ind w:left="0" w:firstLine="560" w:firstLineChars="200"/>
        <w:rPr>
          <w:rFonts w:ascii="宋体" w:hAnsi="宋体" w:cs="宋体"/>
          <w:color w:val="auto"/>
          <w:sz w:val="28"/>
          <w:szCs w:val="28"/>
        </w:rPr>
      </w:pPr>
      <w:r>
        <w:rPr>
          <w:rFonts w:hint="eastAsia" w:ascii="宋体" w:hAnsi="宋体" w:cs="宋体"/>
          <w:color w:val="auto"/>
          <w:sz w:val="28"/>
          <w:szCs w:val="28"/>
        </w:rPr>
        <w:t>采购人、龙泉驿区公资交易中心不解释成交或未成交原因，不退回施工响应文件和其他磋商资料。</w:t>
      </w:r>
      <w:bookmarkEnd w:id="158"/>
    </w:p>
    <w:p>
      <w:pPr>
        <w:pStyle w:val="4"/>
        <w:numPr>
          <w:ilvl w:val="1"/>
          <w:numId w:val="57"/>
        </w:numPr>
        <w:spacing w:after="200"/>
        <w:ind w:left="1985" w:hanging="1985"/>
        <w:jc w:val="left"/>
        <w:rPr>
          <w:color w:val="auto"/>
        </w:rPr>
      </w:pPr>
      <w:bookmarkStart w:id="159" w:name="_Toc54948236"/>
      <w:bookmarkStart w:id="160" w:name="_Toc15940"/>
      <w:r>
        <w:rPr>
          <w:rFonts w:hint="eastAsia"/>
          <w:color w:val="auto"/>
        </w:rPr>
        <w:t>磋商小组成员义务</w:t>
      </w:r>
      <w:bookmarkEnd w:id="159"/>
      <w:bookmarkEnd w:id="160"/>
    </w:p>
    <w:p>
      <w:pPr>
        <w:snapToGrid w:val="0"/>
        <w:spacing w:line="360" w:lineRule="auto"/>
        <w:ind w:firstLine="560" w:firstLineChars="200"/>
        <w:rPr>
          <w:color w:val="auto"/>
          <w:sz w:val="28"/>
          <w:szCs w:val="28"/>
        </w:rPr>
      </w:pPr>
      <w:r>
        <w:rPr>
          <w:rFonts w:hint="eastAsia"/>
          <w:color w:val="auto"/>
          <w:sz w:val="28"/>
          <w:szCs w:val="28"/>
        </w:rPr>
        <w:t>磋商小组成员在政府采购活动中承担以下义务：</w:t>
      </w:r>
    </w:p>
    <w:p>
      <w:pPr>
        <w:widowControl w:val="0"/>
        <w:numPr>
          <w:ilvl w:val="0"/>
          <w:numId w:val="60"/>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遵纪守法，客观、公正、廉洁地履行职责。</w:t>
      </w:r>
    </w:p>
    <w:p>
      <w:pPr>
        <w:widowControl w:val="0"/>
        <w:numPr>
          <w:ilvl w:val="0"/>
          <w:numId w:val="60"/>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按照政府采购法律法规和磋商文件的规定要求对供应商的资格条件和供应商提供的服务价格、技术、服务等方面严格进行独立评审，提供科学合理、公平公正的评审意见，参与起草评审报告，并予签字确认。</w:t>
      </w:r>
    </w:p>
    <w:p>
      <w:pPr>
        <w:widowControl w:val="0"/>
        <w:numPr>
          <w:ilvl w:val="0"/>
          <w:numId w:val="60"/>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保守秘密。不得泄漏供应商的磋商文件及知悉的商业秘密，不得向供应商透露评审情况。</w:t>
      </w:r>
    </w:p>
    <w:p>
      <w:pPr>
        <w:widowControl w:val="0"/>
        <w:numPr>
          <w:ilvl w:val="0"/>
          <w:numId w:val="60"/>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发现供应商在政府采购活动中有不正当竞争或恶意串通等违规行为，及时向政府采购评审工作的组织者或财政部门报告并加以制止。</w:t>
      </w:r>
    </w:p>
    <w:p>
      <w:pPr>
        <w:widowControl w:val="0"/>
        <w:numPr>
          <w:ilvl w:val="0"/>
          <w:numId w:val="60"/>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发现采购人、龙泉驿区公资交易中心及其工作人员在政府采购活动中有干预评审、发表倾向性和歧视性言论、受贿或者接受供应商的其他好处及其他违法违规行为，及时向财政部门报告。</w:t>
      </w:r>
    </w:p>
    <w:p>
      <w:pPr>
        <w:widowControl w:val="0"/>
        <w:numPr>
          <w:ilvl w:val="0"/>
          <w:numId w:val="60"/>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解答有关方面对政府采购评审工作中有关问题的询问，配合采购人或者龙泉驿区公资交易中心答复供应商的询问、质疑，配合财政部门的投诉处理工作等事宜。</w:t>
      </w:r>
    </w:p>
    <w:p>
      <w:pPr>
        <w:widowControl w:val="0"/>
        <w:numPr>
          <w:ilvl w:val="0"/>
          <w:numId w:val="60"/>
        </w:numPr>
        <w:tabs>
          <w:tab w:val="left" w:pos="1155"/>
        </w:tabs>
        <w:spacing w:after="200" w:line="360" w:lineRule="auto"/>
        <w:ind w:left="0" w:firstLine="525"/>
        <w:jc w:val="both"/>
        <w:rPr>
          <w:rFonts w:ascii="宋体" w:hAnsi="宋体"/>
          <w:color w:val="auto"/>
          <w:sz w:val="28"/>
          <w:szCs w:val="28"/>
        </w:rPr>
      </w:pPr>
      <w:r>
        <w:rPr>
          <w:rFonts w:hint="eastAsia" w:ascii="宋体" w:hAnsi="宋体"/>
          <w:color w:val="auto"/>
          <w:sz w:val="28"/>
          <w:szCs w:val="28"/>
        </w:rPr>
        <w:t>法律、法规和规章规定的其他义务。</w:t>
      </w:r>
    </w:p>
    <w:p>
      <w:pPr>
        <w:pStyle w:val="4"/>
        <w:numPr>
          <w:ilvl w:val="1"/>
          <w:numId w:val="57"/>
        </w:numPr>
        <w:spacing w:after="200"/>
        <w:ind w:left="1985" w:hanging="1985"/>
        <w:jc w:val="left"/>
        <w:rPr>
          <w:color w:val="auto"/>
        </w:rPr>
      </w:pPr>
      <w:bookmarkStart w:id="161" w:name="_Toc54948237"/>
      <w:bookmarkStart w:id="162" w:name="_Toc16725"/>
      <w:r>
        <w:rPr>
          <w:rFonts w:hint="eastAsia"/>
          <w:color w:val="auto"/>
        </w:rPr>
        <w:t>磋商小组及其成员不得有下列行为</w:t>
      </w:r>
      <w:bookmarkEnd w:id="161"/>
      <w:bookmarkEnd w:id="162"/>
    </w:p>
    <w:p>
      <w:pPr>
        <w:widowControl w:val="0"/>
        <w:numPr>
          <w:ilvl w:val="0"/>
          <w:numId w:val="61"/>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确定参与磋商后，至递交施工响应文件截止时间前私自接触供应商；</w:t>
      </w:r>
    </w:p>
    <w:p>
      <w:pPr>
        <w:widowControl w:val="0"/>
        <w:numPr>
          <w:ilvl w:val="0"/>
          <w:numId w:val="61"/>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违反评审纪律发表倾向性意见或者征询采购人的倾向性意见；</w:t>
      </w:r>
    </w:p>
    <w:p>
      <w:pPr>
        <w:widowControl w:val="0"/>
        <w:numPr>
          <w:ilvl w:val="0"/>
          <w:numId w:val="61"/>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对需要专业判断的主观评审因素协商评分；</w:t>
      </w:r>
    </w:p>
    <w:p>
      <w:pPr>
        <w:widowControl w:val="0"/>
        <w:numPr>
          <w:ilvl w:val="0"/>
          <w:numId w:val="61"/>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在评审过程中擅离职守，影响磋商程序正常进行的；</w:t>
      </w:r>
    </w:p>
    <w:p>
      <w:pPr>
        <w:widowControl w:val="0"/>
        <w:numPr>
          <w:ilvl w:val="0"/>
          <w:numId w:val="61"/>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记录、复制或者带走任何评审资料；</w:t>
      </w:r>
    </w:p>
    <w:p>
      <w:pPr>
        <w:widowControl w:val="0"/>
        <w:numPr>
          <w:ilvl w:val="0"/>
          <w:numId w:val="61"/>
        </w:numPr>
        <w:tabs>
          <w:tab w:val="left" w:pos="1155"/>
        </w:tabs>
        <w:spacing w:after="200" w:line="360" w:lineRule="auto"/>
        <w:ind w:left="0" w:firstLine="568"/>
        <w:jc w:val="both"/>
        <w:rPr>
          <w:rFonts w:ascii="宋体" w:hAnsi="宋体"/>
          <w:color w:val="auto"/>
          <w:sz w:val="28"/>
          <w:szCs w:val="28"/>
        </w:rPr>
      </w:pPr>
      <w:r>
        <w:rPr>
          <w:rFonts w:hint="eastAsia" w:ascii="宋体" w:hAnsi="宋体"/>
          <w:color w:val="auto"/>
          <w:sz w:val="28"/>
          <w:szCs w:val="28"/>
        </w:rPr>
        <w:t>其他不遵守评审纪律的行为。</w:t>
      </w:r>
    </w:p>
    <w:p>
      <w:pPr>
        <w:spacing w:line="360" w:lineRule="auto"/>
        <w:ind w:firstLine="560" w:firstLineChars="200"/>
        <w:rPr>
          <w:color w:val="auto"/>
          <w:sz w:val="28"/>
          <w:szCs w:val="28"/>
        </w:rPr>
      </w:pPr>
      <w:r>
        <w:rPr>
          <w:rFonts w:hint="eastAsia"/>
          <w:color w:val="auto"/>
          <w:sz w:val="28"/>
          <w:szCs w:val="28"/>
        </w:rPr>
        <w:t>磋商有前款第一至四项行为之一的，其评审意见无效，并不得获取评审劳务报酬和报销异地评审差旅费。</w:t>
      </w:r>
    </w:p>
    <w:p>
      <w:pPr>
        <w:pStyle w:val="4"/>
        <w:numPr>
          <w:ilvl w:val="1"/>
          <w:numId w:val="57"/>
        </w:numPr>
        <w:spacing w:after="200"/>
        <w:ind w:left="1985" w:hanging="1985"/>
        <w:jc w:val="left"/>
        <w:rPr>
          <w:color w:val="auto"/>
        </w:rPr>
      </w:pPr>
      <w:bookmarkStart w:id="163" w:name="_Toc54948238"/>
      <w:bookmarkStart w:id="164" w:name="_Toc24869"/>
      <w:r>
        <w:rPr>
          <w:rFonts w:hint="eastAsia"/>
          <w:color w:val="auto"/>
        </w:rPr>
        <w:t>磋商纪律</w:t>
      </w:r>
      <w:bookmarkEnd w:id="163"/>
      <w:bookmarkEnd w:id="164"/>
    </w:p>
    <w:p>
      <w:pPr>
        <w:snapToGrid w:val="0"/>
        <w:spacing w:line="360" w:lineRule="auto"/>
        <w:ind w:firstLine="560" w:firstLineChars="200"/>
        <w:rPr>
          <w:color w:val="auto"/>
          <w:sz w:val="28"/>
          <w:szCs w:val="28"/>
        </w:rPr>
      </w:pPr>
      <w:r>
        <w:rPr>
          <w:rFonts w:hint="eastAsia"/>
          <w:color w:val="auto"/>
          <w:sz w:val="28"/>
          <w:szCs w:val="28"/>
        </w:rPr>
        <w:t>磋商小组成员在政府采购活动中应当遵守以下工作纪律：</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遵行《政府采购法》第十二条和《政府采购法实施条例》第九条及政府采购相关法律法规关于回避的规定。</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应邀按时参加评审和咨询活动，遵守评标区管理规定。</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龙泉驿区公资交易中心，不得私自转托他人。</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不得参加与自己有利害关系的政府采购项目的评审活动。对与自己有利害关系的评审项目，如受到邀请，应主动提出回避。财政部门、采购人或龙泉驿区公资交易中心也可要求该评审专家回避。</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评审过程中，不得发表影响评审公正的倾向性、歧视性言论；不得征询或者接受采购人的倾向性意见；不得协商评分；不得以竞争性磋商文件没有规定的方法和标准作为评审的依据；不得违反规定的评审格式评分和撰写评审意见；不得拒绝对自己的评审意见签字确认。</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在磋商过程中和磋商结束后，不得记录、复制或带走任何评审资料，除因规定的义务外，不得向外界透露评审内容。</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服从评审现场龙泉驿区公资交易中心的现场秩序管理，接受评审现场监督人员的合法监督。</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遵守有关廉洁自律规定，不得私下接触供应商，不得收受供应商及有关业务单位和个人的财物或好处，不得接受采购组织单位的请托。</w:t>
      </w:r>
    </w:p>
    <w:p>
      <w:pPr>
        <w:widowControl w:val="0"/>
        <w:numPr>
          <w:ilvl w:val="0"/>
          <w:numId w:val="62"/>
        </w:numPr>
        <w:tabs>
          <w:tab w:val="left" w:pos="1155"/>
        </w:tabs>
        <w:spacing w:after="200" w:line="360" w:lineRule="auto"/>
        <w:ind w:left="0" w:firstLine="527"/>
        <w:jc w:val="both"/>
        <w:rPr>
          <w:rFonts w:ascii="宋体" w:hAnsi="宋体"/>
          <w:color w:val="auto"/>
          <w:sz w:val="28"/>
          <w:szCs w:val="28"/>
        </w:rPr>
      </w:pPr>
      <w:r>
        <w:rPr>
          <w:rFonts w:hint="eastAsia" w:ascii="宋体" w:hAnsi="宋体"/>
          <w:color w:val="auto"/>
          <w:sz w:val="28"/>
          <w:szCs w:val="28"/>
        </w:rPr>
        <w:t>在咨询工作中，严格执行国家产业政策和产品标准，认真听取咨询方的合理要求，提出科学合理的、无倾向性和歧视性的咨询方案，并对所提出的意见和建议承担个人责任。</w:t>
      </w:r>
    </w:p>
    <w:p>
      <w:pPr>
        <w:tabs>
          <w:tab w:val="left" w:pos="1155"/>
        </w:tabs>
        <w:spacing w:line="360" w:lineRule="auto"/>
        <w:ind w:firstLine="523" w:firstLineChars="187"/>
        <w:rPr>
          <w:rFonts w:ascii="宋体" w:hAnsi="宋体"/>
          <w:color w:val="auto"/>
          <w:sz w:val="28"/>
          <w:szCs w:val="28"/>
        </w:rPr>
      </w:pPr>
      <w:r>
        <w:rPr>
          <w:rFonts w:hint="eastAsia" w:ascii="宋体" w:hAnsi="宋体"/>
          <w:color w:val="auto"/>
          <w:sz w:val="28"/>
          <w:szCs w:val="28"/>
        </w:rPr>
        <w:t>十一、有关部门（机构）制定的其他评审工作纪律。</w:t>
      </w:r>
    </w:p>
    <w:p>
      <w:pPr>
        <w:pStyle w:val="16"/>
        <w:rPr>
          <w:color w:val="auto"/>
        </w:rPr>
      </w:pPr>
    </w:p>
    <w:p>
      <w:pPr>
        <w:rPr>
          <w:color w:val="auto"/>
        </w:rPr>
      </w:pPr>
    </w:p>
    <w:p>
      <w:pPr>
        <w:pStyle w:val="16"/>
        <w:rPr>
          <w:color w:val="auto"/>
        </w:rPr>
      </w:pPr>
    </w:p>
    <w:p>
      <w:pPr>
        <w:rPr>
          <w:color w:val="auto"/>
        </w:rPr>
      </w:pPr>
    </w:p>
    <w:p>
      <w:pPr>
        <w:rPr>
          <w:color w:val="auto"/>
        </w:rPr>
      </w:pPr>
    </w:p>
    <w:p>
      <w:pPr>
        <w:pStyle w:val="3"/>
        <w:numPr>
          <w:ilvl w:val="0"/>
          <w:numId w:val="1"/>
        </w:numPr>
        <w:spacing w:before="0" w:after="0"/>
        <w:ind w:left="0" w:firstLine="0"/>
        <w:rPr>
          <w:color w:val="auto"/>
        </w:rPr>
      </w:pPr>
      <w:bookmarkStart w:id="165" w:name="_Toc1759"/>
      <w:r>
        <w:rPr>
          <w:rFonts w:hint="eastAsia"/>
          <w:color w:val="auto"/>
        </w:rPr>
        <w:t>政府</w:t>
      </w:r>
      <w:r>
        <w:rPr>
          <w:color w:val="auto"/>
        </w:rPr>
        <w:t>采购</w:t>
      </w:r>
      <w:r>
        <w:rPr>
          <w:rFonts w:hint="eastAsia"/>
          <w:color w:val="auto"/>
        </w:rPr>
        <w:t>合同草案</w:t>
      </w:r>
      <w:bookmarkEnd w:id="165"/>
    </w:p>
    <w:p>
      <w:pPr>
        <w:pStyle w:val="156"/>
        <w:spacing w:line="360" w:lineRule="auto"/>
        <w:rPr>
          <w:rFonts w:ascii="宋体" w:hAnsi="宋体"/>
          <w:color w:val="auto"/>
        </w:rPr>
      </w:pPr>
      <w:bookmarkStart w:id="166" w:name="_Toc337558811"/>
      <w:bookmarkStart w:id="167" w:name="_Toc296346614"/>
      <w:bookmarkStart w:id="168" w:name="_Toc296503113"/>
    </w:p>
    <w:p>
      <w:pPr>
        <w:pStyle w:val="156"/>
        <w:spacing w:line="360" w:lineRule="auto"/>
        <w:rPr>
          <w:rFonts w:ascii="宋体" w:hAnsi="宋体"/>
          <w:color w:val="auto"/>
        </w:rPr>
      </w:pPr>
      <w:r>
        <w:rPr>
          <w:rFonts w:hint="eastAsia" w:ascii="宋体" w:hAnsi="宋体"/>
          <w:color w:val="auto"/>
        </w:rPr>
        <w:t>根据《中华人民共和国政府采购法》、《中华人民共和国民法典》、《中华人民共和国建筑法》及XXX采购项目（项目编号：XXX）的磋商文件、乙方的响应文件及成交通知书，甲、乙双方同意签订本合同。详细技术说明及其他有关合同项目的特定信息由合同附件予以说明，合同附件及本项目的磋商文件、响应文件、评审报告、成交通知书等均为本合同不可分割的部分。双方同意共同遵守如下条款：</w:t>
      </w:r>
    </w:p>
    <w:p>
      <w:pPr>
        <w:pStyle w:val="156"/>
        <w:spacing w:line="360" w:lineRule="auto"/>
        <w:rPr>
          <w:rFonts w:ascii="宋体" w:hAnsi="宋体"/>
          <w:color w:val="auto"/>
        </w:rPr>
      </w:pPr>
      <w:r>
        <w:rPr>
          <w:rFonts w:hint="eastAsia" w:ascii="宋体" w:hAnsi="宋体"/>
          <w:color w:val="auto"/>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156"/>
        <w:spacing w:line="360" w:lineRule="auto"/>
        <w:rPr>
          <w:rFonts w:ascii="宋体" w:hAnsi="宋体"/>
          <w:color w:val="auto"/>
        </w:rPr>
      </w:pPr>
      <w:r>
        <w:rPr>
          <w:rFonts w:hint="eastAsia" w:ascii="宋体" w:hAnsi="宋体"/>
          <w:color w:val="auto"/>
        </w:rPr>
        <w:t>本项目通用合同条款参照《建设工程施工合同(示范文本)》(GF-2017-0201)通用合同条款执行。如采购单位有新合同范本，按采购单位范本签订。</w:t>
      </w:r>
    </w:p>
    <w:p>
      <w:pPr>
        <w:pStyle w:val="156"/>
        <w:spacing w:line="360" w:lineRule="auto"/>
        <w:rPr>
          <w:rFonts w:ascii="宋体" w:hAnsi="宋体"/>
          <w:color w:val="auto"/>
        </w:rPr>
      </w:pPr>
    </w:p>
    <w:p>
      <w:pPr>
        <w:pStyle w:val="156"/>
        <w:spacing w:line="360" w:lineRule="auto"/>
        <w:rPr>
          <w:rFonts w:ascii="宋体" w:hAnsi="宋体"/>
          <w:color w:val="auto"/>
        </w:rPr>
      </w:pPr>
    </w:p>
    <w:p>
      <w:pPr>
        <w:pStyle w:val="156"/>
        <w:spacing w:line="360" w:lineRule="auto"/>
        <w:rPr>
          <w:rFonts w:ascii="宋体" w:hAnsi="宋体"/>
          <w:color w:val="auto"/>
        </w:rPr>
      </w:pPr>
    </w:p>
    <w:p>
      <w:pPr>
        <w:pStyle w:val="156"/>
        <w:spacing w:line="360" w:lineRule="auto"/>
        <w:rPr>
          <w:rFonts w:ascii="宋体" w:hAnsi="宋体"/>
          <w:color w:val="auto"/>
        </w:rPr>
      </w:pPr>
    </w:p>
    <w:p>
      <w:pPr>
        <w:pStyle w:val="156"/>
        <w:spacing w:line="360" w:lineRule="auto"/>
        <w:rPr>
          <w:rFonts w:ascii="宋体" w:hAnsi="宋体"/>
          <w:color w:val="auto"/>
        </w:rPr>
      </w:pPr>
    </w:p>
    <w:p>
      <w:pPr>
        <w:pStyle w:val="156"/>
        <w:spacing w:line="360" w:lineRule="auto"/>
        <w:rPr>
          <w:rFonts w:ascii="宋体" w:hAnsi="宋体"/>
          <w:color w:val="auto"/>
        </w:rPr>
      </w:pPr>
      <w:r>
        <w:rPr>
          <w:rFonts w:hint="eastAsia" w:ascii="宋体" w:hAnsi="宋体"/>
          <w:color w:val="auto"/>
        </w:rPr>
        <w:t>注：本采购合同中出现的措辞“发包人”与磋商文件中的“采购人”含义相同；</w:t>
      </w:r>
    </w:p>
    <w:p>
      <w:pPr>
        <w:pStyle w:val="156"/>
        <w:spacing w:line="360" w:lineRule="auto"/>
        <w:rPr>
          <w:rFonts w:ascii="宋体" w:hAnsi="宋体"/>
          <w:color w:val="auto"/>
        </w:rPr>
      </w:pPr>
      <w:r>
        <w:rPr>
          <w:rFonts w:hint="eastAsia" w:ascii="宋体" w:hAnsi="宋体"/>
          <w:color w:val="auto"/>
        </w:rPr>
        <w:t>“投标人”与“供应商“含义相同；</w:t>
      </w:r>
    </w:p>
    <w:p>
      <w:pPr>
        <w:pStyle w:val="156"/>
        <w:spacing w:line="360" w:lineRule="auto"/>
        <w:rPr>
          <w:rFonts w:ascii="宋体" w:hAnsi="宋体"/>
          <w:color w:val="auto"/>
        </w:rPr>
      </w:pPr>
      <w:r>
        <w:rPr>
          <w:rFonts w:hint="eastAsia" w:ascii="宋体" w:hAnsi="宋体"/>
          <w:color w:val="auto"/>
        </w:rPr>
        <w:t>“招标文件”与“采购文件”及“磋商文件” 含义相同。</w:t>
      </w:r>
    </w:p>
    <w:p>
      <w:pPr>
        <w:rPr>
          <w:rFonts w:ascii="宋体" w:hAnsi="宋体" w:cs="宋体"/>
          <w:color w:val="auto"/>
          <w:sz w:val="32"/>
          <w:szCs w:val="32"/>
        </w:rPr>
        <w:sectPr>
          <w:pgSz w:w="11907" w:h="16840"/>
          <w:pgMar w:top="1440" w:right="1797" w:bottom="1440" w:left="1797" w:header="720" w:footer="720" w:gutter="0"/>
          <w:cols w:space="720" w:num="1"/>
        </w:sectPr>
      </w:pPr>
    </w:p>
    <w:p>
      <w:pPr>
        <w:pStyle w:val="4"/>
        <w:numPr>
          <w:ilvl w:val="0"/>
          <w:numId w:val="0"/>
        </w:numPr>
        <w:spacing w:before="0" w:after="0"/>
        <w:ind w:leftChars="0"/>
        <w:jc w:val="center"/>
        <w:rPr>
          <w:rFonts w:hint="eastAsia" w:ascii="仿宋" w:hAnsi="仿宋" w:eastAsia="仿宋" w:cs="仿宋"/>
          <w:bCs w:val="0"/>
        </w:rPr>
      </w:pPr>
      <w:bookmarkStart w:id="169" w:name="_Toc4630"/>
      <w:bookmarkStart w:id="170" w:name="_Toc61004813"/>
      <w:bookmarkStart w:id="171" w:name="_Toc23625"/>
      <w:bookmarkStart w:id="172" w:name="_Toc17829"/>
      <w:r>
        <w:rPr>
          <w:rFonts w:hint="eastAsia" w:ascii="仿宋" w:hAnsi="仿宋" w:eastAsia="仿宋" w:cs="仿宋"/>
          <w:bCs w:val="0"/>
          <w:lang w:eastAsia="zh-CN"/>
        </w:rPr>
        <w:t>第一节</w:t>
      </w:r>
      <w:r>
        <w:rPr>
          <w:rFonts w:hint="eastAsia" w:ascii="仿宋" w:hAnsi="仿宋" w:eastAsia="仿宋" w:cs="仿宋"/>
          <w:bCs w:val="0"/>
          <w:lang w:val="en-US" w:eastAsia="zh-CN"/>
        </w:rPr>
        <w:t xml:space="preserve"> </w:t>
      </w:r>
      <w:r>
        <w:rPr>
          <w:rFonts w:hint="eastAsia" w:ascii="仿宋" w:hAnsi="仿宋" w:eastAsia="仿宋" w:cs="仿宋"/>
          <w:bCs w:val="0"/>
        </w:rPr>
        <w:t>合同协议书</w:t>
      </w:r>
      <w:bookmarkEnd w:id="169"/>
      <w:bookmarkEnd w:id="170"/>
      <w:bookmarkEnd w:id="171"/>
      <w:bookmarkEnd w:id="172"/>
    </w:p>
    <w:p>
      <w:pPr>
        <w:spacing w:line="360" w:lineRule="auto"/>
        <w:rPr>
          <w:rFonts w:ascii="仿宋" w:hAnsi="仿宋" w:eastAsia="仿宋"/>
          <w:b/>
          <w:sz w:val="24"/>
          <w:u w:val="single"/>
        </w:rPr>
      </w:pPr>
      <w:r>
        <w:rPr>
          <w:rFonts w:ascii="仿宋" w:hAnsi="仿宋" w:eastAsia="仿宋"/>
          <w:b/>
          <w:sz w:val="24"/>
        </w:rPr>
        <w:t>发包人（全称）：</w:t>
      </w:r>
      <w:r>
        <w:rPr>
          <w:rFonts w:ascii="仿宋" w:hAnsi="仿宋" w:eastAsia="仿宋"/>
          <w:b/>
          <w:sz w:val="24"/>
          <w:u w:val="single"/>
        </w:rPr>
        <w:t xml:space="preserve">   </w:t>
      </w:r>
      <w:r>
        <w:rPr>
          <w:rFonts w:hint="eastAsia" w:ascii="仿宋" w:hAnsi="仿宋" w:eastAsia="仿宋"/>
          <w:b/>
          <w:sz w:val="24"/>
          <w:u w:val="single"/>
        </w:rPr>
        <w:t xml:space="preserve"> </w:t>
      </w:r>
      <w:r>
        <w:rPr>
          <w:rFonts w:ascii="仿宋" w:hAnsi="仿宋" w:eastAsia="仿宋"/>
          <w:b/>
          <w:sz w:val="24"/>
          <w:u w:val="single"/>
        </w:rPr>
        <w:t xml:space="preserve">    </w:t>
      </w:r>
      <w:r>
        <w:rPr>
          <w:rFonts w:hint="eastAsia" w:ascii="仿宋" w:hAnsi="仿宋" w:eastAsia="仿宋"/>
          <w:b/>
          <w:sz w:val="24"/>
          <w:u w:val="single"/>
        </w:rPr>
        <w:t xml:space="preserve"> </w:t>
      </w:r>
      <w:r>
        <w:rPr>
          <w:rFonts w:ascii="仿宋" w:hAnsi="仿宋" w:eastAsia="仿宋"/>
          <w:b/>
          <w:sz w:val="24"/>
          <w:u w:val="single"/>
        </w:rPr>
        <w:t xml:space="preserve">   </w:t>
      </w:r>
      <w:r>
        <w:rPr>
          <w:rFonts w:hint="eastAsia" w:ascii="仿宋" w:hAnsi="仿宋" w:eastAsia="仿宋"/>
          <w:b/>
          <w:sz w:val="24"/>
          <w:u w:val="single"/>
        </w:rPr>
        <w:t xml:space="preserve">     </w:t>
      </w:r>
      <w:r>
        <w:rPr>
          <w:rFonts w:hint="eastAsia" w:ascii="仿宋" w:hAnsi="仿宋" w:eastAsia="仿宋"/>
          <w:b/>
          <w:sz w:val="24"/>
        </w:rPr>
        <w:t>（甲方）</w:t>
      </w:r>
    </w:p>
    <w:p>
      <w:pPr>
        <w:spacing w:line="360" w:lineRule="auto"/>
        <w:rPr>
          <w:rFonts w:ascii="仿宋" w:hAnsi="仿宋" w:eastAsia="仿宋"/>
          <w:b/>
          <w:sz w:val="24"/>
          <w:u w:val="single"/>
        </w:rPr>
      </w:pPr>
      <w:r>
        <w:rPr>
          <w:rFonts w:ascii="仿宋" w:hAnsi="仿宋" w:eastAsia="仿宋"/>
          <w:b/>
          <w:sz w:val="24"/>
        </w:rPr>
        <w:t>承包人（全称）：</w:t>
      </w:r>
      <w:r>
        <w:rPr>
          <w:rFonts w:ascii="仿宋" w:hAnsi="仿宋" w:eastAsia="仿宋"/>
          <w:b/>
          <w:sz w:val="24"/>
          <w:u w:val="single"/>
        </w:rPr>
        <w:t xml:space="preserve">       </w:t>
      </w:r>
      <w:r>
        <w:rPr>
          <w:rFonts w:hint="eastAsia" w:ascii="仿宋" w:hAnsi="仿宋" w:eastAsia="仿宋"/>
          <w:b/>
          <w:sz w:val="24"/>
          <w:u w:val="single"/>
        </w:rPr>
        <w:t xml:space="preserve"> </w:t>
      </w:r>
      <w:r>
        <w:rPr>
          <w:rFonts w:ascii="仿宋" w:hAnsi="仿宋" w:eastAsia="仿宋"/>
          <w:b/>
          <w:sz w:val="24"/>
          <w:u w:val="single"/>
        </w:rPr>
        <w:t xml:space="preserve">    </w:t>
      </w:r>
      <w:r>
        <w:rPr>
          <w:rFonts w:hint="eastAsia" w:ascii="仿宋" w:hAnsi="仿宋" w:eastAsia="仿宋"/>
          <w:b/>
          <w:sz w:val="24"/>
          <w:u w:val="single"/>
        </w:rPr>
        <w:t xml:space="preserve">     </w:t>
      </w:r>
      <w:r>
        <w:rPr>
          <w:rFonts w:hint="eastAsia" w:ascii="仿宋" w:hAnsi="仿宋" w:eastAsia="仿宋"/>
          <w:b/>
          <w:sz w:val="24"/>
        </w:rPr>
        <w:t>（乙方）</w:t>
      </w:r>
    </w:p>
    <w:p>
      <w:pPr>
        <w:spacing w:line="360" w:lineRule="auto"/>
        <w:rPr>
          <w:rFonts w:hint="eastAsia" w:ascii="仿宋" w:hAnsi="仿宋" w:eastAsia="仿宋"/>
          <w:b/>
          <w:bCs/>
          <w:sz w:val="24"/>
          <w:lang w:val="en-US" w:eastAsia="zh-CN"/>
        </w:rPr>
      </w:pPr>
      <w:r>
        <w:rPr>
          <w:rFonts w:hint="eastAsia" w:ascii="仿宋" w:hAnsi="仿宋" w:eastAsia="仿宋"/>
          <w:b/>
          <w:bCs/>
          <w:sz w:val="24"/>
          <w:lang w:val="en-US" w:eastAsia="zh-CN"/>
        </w:rPr>
        <w:t>注：本合同为中小企业预留合同。</w:t>
      </w:r>
    </w:p>
    <w:p>
      <w:pPr>
        <w:keepNext/>
        <w:keepLines/>
        <w:spacing w:before="120" w:after="120" w:line="360" w:lineRule="auto"/>
        <w:outlineLvl w:val="3"/>
        <w:rPr>
          <w:rFonts w:hint="eastAsia" w:ascii="宋体" w:hAnsi="宋体" w:eastAsia="宋体" w:cs="宋体"/>
          <w:b/>
          <w:sz w:val="24"/>
        </w:rPr>
      </w:pPr>
      <w:r>
        <w:rPr>
          <w:rFonts w:ascii="仿宋" w:hAnsi="仿宋" w:eastAsia="仿宋"/>
          <w:b/>
          <w:sz w:val="24"/>
        </w:rPr>
        <w:t xml:space="preserve">   </w:t>
      </w:r>
      <w:r>
        <w:rPr>
          <w:rFonts w:hint="eastAsia" w:ascii="宋体" w:hAnsi="宋体" w:eastAsia="宋体" w:cs="宋体"/>
          <w:bCs/>
          <w:sz w:val="24"/>
        </w:rPr>
        <w:t xml:space="preserve"> </w:t>
      </w:r>
      <w:bookmarkStart w:id="173" w:name="_Toc351203481"/>
      <w:r>
        <w:rPr>
          <w:rFonts w:hint="eastAsia" w:ascii="宋体" w:hAnsi="宋体" w:eastAsia="宋体" w:cs="宋体"/>
          <w:bCs/>
          <w:sz w:val="24"/>
        </w:rPr>
        <w:t>一、工程概况</w:t>
      </w:r>
      <w:bookmarkEnd w:id="173"/>
    </w:p>
    <w:p>
      <w:pPr>
        <w:spacing w:line="360" w:lineRule="auto"/>
        <w:ind w:firstLine="470" w:firstLineChars="196"/>
        <w:rPr>
          <w:rFonts w:hint="eastAsia" w:ascii="宋体" w:hAnsi="宋体" w:eastAsia="宋体" w:cs="宋体"/>
          <w:sz w:val="24"/>
          <w:u w:val="single"/>
        </w:rPr>
      </w:pPr>
      <w:r>
        <w:rPr>
          <w:rFonts w:hint="eastAsia" w:ascii="宋体" w:hAnsi="宋体" w:eastAsia="宋体" w:cs="宋体"/>
          <w:bCs/>
          <w:sz w:val="24"/>
        </w:rPr>
        <w:t>1.工程名称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2.工程地点：</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3.项目编号：</w:t>
      </w:r>
      <w:r>
        <w:rPr>
          <w:rFonts w:hint="eastAsia" w:ascii="宋体" w:hAnsi="宋体" w:eastAsia="宋体" w:cs="宋体"/>
          <w:sz w:val="24"/>
          <w:u w:val="single"/>
        </w:rPr>
        <w:t xml:space="preserve"> </w:t>
      </w:r>
      <w:r>
        <w:rPr>
          <w:rFonts w:hint="eastAsia" w:ascii="宋体" w:hAnsi="宋体" w:eastAsia="宋体" w:cs="宋体"/>
          <w:bCs/>
          <w:sz w:val="24"/>
        </w:rPr>
        <w:t>。</w:t>
      </w:r>
    </w:p>
    <w:p>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4.工程内容：</w:t>
      </w:r>
      <w:r>
        <w:rPr>
          <w:rFonts w:hint="eastAsia" w:ascii="宋体" w:hAnsi="宋体" w:eastAsia="宋体" w:cs="宋体"/>
          <w:sz w:val="24"/>
          <w:u w:val="single"/>
        </w:rPr>
        <w:t xml:space="preserve"> </w:t>
      </w:r>
      <w:r>
        <w:rPr>
          <w:rFonts w:hint="eastAsia" w:ascii="宋体" w:hAnsi="宋体" w:eastAsia="宋体" w:cs="宋体"/>
          <w:bCs/>
          <w:sz w:val="24"/>
        </w:rPr>
        <w:t>。</w:t>
      </w:r>
    </w:p>
    <w:p>
      <w:pPr>
        <w:spacing w:line="360" w:lineRule="auto"/>
        <w:ind w:firstLine="470" w:firstLineChars="196"/>
        <w:rPr>
          <w:rFonts w:hint="eastAsia" w:ascii="宋体" w:hAnsi="宋体" w:eastAsia="宋体" w:cs="宋体"/>
          <w:sz w:val="24"/>
        </w:rPr>
      </w:pPr>
      <w:r>
        <w:rPr>
          <w:rFonts w:hint="eastAsia" w:ascii="宋体" w:hAnsi="宋体" w:eastAsia="宋体" w:cs="宋体"/>
          <w:bCs/>
          <w:sz w:val="24"/>
        </w:rPr>
        <w:t>5.工程承包范围：</w:t>
      </w:r>
      <w:r>
        <w:rPr>
          <w:rFonts w:hint="eastAsia" w:ascii="宋体" w:hAnsi="宋体" w:eastAsia="宋体" w:cs="宋体"/>
          <w:sz w:val="24"/>
          <w:u w:val="single"/>
        </w:rPr>
        <w:t xml:space="preserve"> </w:t>
      </w:r>
      <w:r>
        <w:rPr>
          <w:rFonts w:hint="eastAsia" w:ascii="宋体" w:hAnsi="宋体" w:eastAsia="宋体" w:cs="宋体"/>
          <w:sz w:val="24"/>
        </w:rPr>
        <w:t>。</w:t>
      </w:r>
    </w:p>
    <w:p>
      <w:pPr>
        <w:keepNext/>
        <w:keepLines/>
        <w:spacing w:before="120" w:after="120" w:line="360" w:lineRule="auto"/>
        <w:outlineLvl w:val="3"/>
        <w:rPr>
          <w:rFonts w:hint="eastAsia" w:ascii="宋体" w:hAnsi="宋体" w:eastAsia="宋体" w:cs="宋体"/>
          <w:bCs/>
          <w:sz w:val="24"/>
        </w:rPr>
      </w:pPr>
      <w:r>
        <w:rPr>
          <w:rFonts w:hint="eastAsia" w:ascii="宋体" w:hAnsi="宋体" w:eastAsia="宋体" w:cs="宋体"/>
          <w:bCs/>
          <w:sz w:val="24"/>
        </w:rPr>
        <w:t xml:space="preserve">   </w:t>
      </w:r>
      <w:bookmarkStart w:id="174" w:name="_Toc351203482"/>
      <w:r>
        <w:rPr>
          <w:rFonts w:hint="eastAsia" w:ascii="宋体" w:hAnsi="宋体" w:eastAsia="宋体" w:cs="宋体"/>
          <w:bCs/>
          <w:sz w:val="24"/>
        </w:rPr>
        <w:t>二、合同工期</w:t>
      </w:r>
      <w:bookmarkEnd w:id="174"/>
    </w:p>
    <w:p>
      <w:pPr>
        <w:spacing w:line="360" w:lineRule="auto"/>
        <w:ind w:firstLine="459"/>
        <w:rPr>
          <w:rFonts w:hint="eastAsia" w:ascii="宋体" w:hAnsi="宋体" w:eastAsia="宋体" w:cs="宋体"/>
          <w:sz w:val="24"/>
        </w:rPr>
      </w:pPr>
      <w:r>
        <w:rPr>
          <w:rFonts w:hint="eastAsia" w:ascii="宋体" w:hAnsi="宋体" w:eastAsia="宋体" w:cs="宋体"/>
          <w:sz w:val="24"/>
        </w:rPr>
        <w:t>计划开工日期：    年    月    日。</w:t>
      </w:r>
    </w:p>
    <w:p>
      <w:pPr>
        <w:spacing w:line="360" w:lineRule="auto"/>
        <w:ind w:firstLine="459"/>
        <w:rPr>
          <w:rFonts w:hint="eastAsia" w:ascii="宋体" w:hAnsi="宋体" w:eastAsia="宋体" w:cs="宋体"/>
          <w:sz w:val="24"/>
        </w:rPr>
      </w:pPr>
      <w:r>
        <w:rPr>
          <w:rFonts w:hint="eastAsia" w:ascii="宋体" w:hAnsi="宋体" w:eastAsia="宋体" w:cs="宋体"/>
          <w:sz w:val="24"/>
        </w:rPr>
        <w:t>计划竣工日期：    年    月    日。</w:t>
      </w:r>
    </w:p>
    <w:p>
      <w:pPr>
        <w:spacing w:line="360" w:lineRule="auto"/>
        <w:ind w:firstLine="459"/>
        <w:rPr>
          <w:rFonts w:hint="eastAsia" w:ascii="宋体" w:hAnsi="宋体" w:eastAsia="宋体" w:cs="宋体"/>
          <w:sz w:val="24"/>
        </w:rPr>
      </w:pPr>
      <w:r>
        <w:rPr>
          <w:rFonts w:hint="eastAsia" w:ascii="宋体" w:hAnsi="宋体" w:eastAsia="宋体" w:cs="宋体"/>
          <w:sz w:val="24"/>
        </w:rPr>
        <w:t>工期总日历天数：</w:t>
      </w:r>
      <w:r>
        <w:rPr>
          <w:rFonts w:hint="eastAsia" w:ascii="宋体" w:hAnsi="宋体" w:eastAsia="宋体" w:cs="宋体"/>
          <w:sz w:val="24"/>
          <w:u w:val="single"/>
        </w:rPr>
        <w:t xml:space="preserve">     </w:t>
      </w:r>
      <w:r>
        <w:rPr>
          <w:rFonts w:hint="eastAsia" w:ascii="宋体" w:hAnsi="宋体" w:eastAsia="宋体" w:cs="宋体"/>
          <w:sz w:val="24"/>
        </w:rPr>
        <w:t>天。工期总日历天数与根据前述计划开竣工日期计算的工期天数不一致的，以工期总日历天数为准。</w:t>
      </w:r>
    </w:p>
    <w:p>
      <w:pPr>
        <w:keepNext/>
        <w:keepLines/>
        <w:spacing w:before="120" w:after="120" w:line="360" w:lineRule="auto"/>
        <w:outlineLvl w:val="3"/>
        <w:rPr>
          <w:rFonts w:hint="eastAsia" w:ascii="宋体" w:hAnsi="宋体" w:eastAsia="宋体" w:cs="宋体"/>
          <w:b/>
          <w:sz w:val="24"/>
        </w:rPr>
      </w:pPr>
      <w:r>
        <w:rPr>
          <w:rFonts w:hint="eastAsia" w:ascii="宋体" w:hAnsi="宋体" w:eastAsia="宋体" w:cs="宋体"/>
          <w:b/>
          <w:sz w:val="24"/>
        </w:rPr>
        <w:t xml:space="preserve">    </w:t>
      </w:r>
      <w:bookmarkStart w:id="175" w:name="_Toc351203483"/>
      <w:r>
        <w:rPr>
          <w:rFonts w:hint="eastAsia" w:ascii="宋体" w:hAnsi="宋体" w:eastAsia="宋体" w:cs="宋体"/>
          <w:bCs/>
          <w:sz w:val="24"/>
        </w:rPr>
        <w:t>三、质量标准</w:t>
      </w:r>
      <w:bookmarkEnd w:id="175"/>
    </w:p>
    <w:p>
      <w:pPr>
        <w:spacing w:line="360" w:lineRule="auto"/>
        <w:ind w:firstLine="459"/>
        <w:rPr>
          <w:rFonts w:hint="eastAsia" w:ascii="宋体" w:hAnsi="宋体" w:eastAsia="宋体" w:cs="宋体"/>
          <w:sz w:val="24"/>
        </w:rPr>
      </w:pPr>
      <w:r>
        <w:rPr>
          <w:rFonts w:hint="eastAsia" w:ascii="宋体" w:hAnsi="宋体" w:eastAsia="宋体" w:cs="宋体"/>
          <w:sz w:val="24"/>
        </w:rPr>
        <w:t>工程质量符合</w:t>
      </w:r>
      <w:r>
        <w:rPr>
          <w:rFonts w:hint="eastAsia" w:ascii="宋体" w:hAnsi="宋体" w:eastAsia="宋体" w:cs="宋体"/>
          <w:sz w:val="24"/>
          <w:u w:val="single"/>
        </w:rPr>
        <w:t xml:space="preserve">     </w:t>
      </w:r>
      <w:r>
        <w:rPr>
          <w:rFonts w:hint="eastAsia" w:ascii="宋体" w:hAnsi="宋体" w:eastAsia="宋体" w:cs="宋体"/>
          <w:sz w:val="24"/>
        </w:rPr>
        <w:t>标准。</w:t>
      </w:r>
    </w:p>
    <w:p>
      <w:pPr>
        <w:keepNext/>
        <w:keepLines/>
        <w:spacing w:before="120" w:after="120" w:line="360" w:lineRule="auto"/>
        <w:outlineLvl w:val="3"/>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Cs/>
          <w:sz w:val="24"/>
        </w:rPr>
        <w:t xml:space="preserve"> </w:t>
      </w:r>
      <w:bookmarkStart w:id="176" w:name="_Toc351203484"/>
      <w:r>
        <w:rPr>
          <w:rFonts w:hint="eastAsia" w:ascii="宋体" w:hAnsi="宋体" w:eastAsia="宋体" w:cs="宋体"/>
          <w:bCs/>
          <w:sz w:val="24"/>
        </w:rPr>
        <w:t>四、签约合同价与合同价格形式</w:t>
      </w:r>
      <w:bookmarkEnd w:id="176"/>
      <w:r>
        <w:rPr>
          <w:rFonts w:hint="eastAsia" w:ascii="宋体" w:hAnsi="宋体" w:eastAsia="宋体" w:cs="宋体"/>
          <w:bCs/>
          <w:sz w:val="24"/>
        </w:rPr>
        <w:tab/>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1.签约合同价为：</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其中：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（1）安全文明施工费：</w:t>
      </w:r>
    </w:p>
    <w:p>
      <w:pPr>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（2）材料和工程设备暂估价金额：</w:t>
      </w:r>
    </w:p>
    <w:p>
      <w:pPr>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（3）专业工程暂估价金额：</w:t>
      </w:r>
    </w:p>
    <w:p>
      <w:pPr>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p>
    <w:p>
      <w:pPr>
        <w:tabs>
          <w:tab w:val="left" w:pos="4575"/>
          <w:tab w:val="center" w:pos="4775"/>
        </w:tabs>
        <w:spacing w:line="360" w:lineRule="auto"/>
        <w:ind w:firstLine="480" w:firstLineChars="200"/>
        <w:rPr>
          <w:rFonts w:hint="eastAsia" w:ascii="宋体" w:hAnsi="宋体" w:eastAsia="宋体" w:cs="宋体"/>
          <w:sz w:val="24"/>
        </w:rPr>
      </w:pPr>
      <w:r>
        <w:rPr>
          <w:rFonts w:hint="eastAsia" w:ascii="宋体" w:hAnsi="宋体" w:eastAsia="宋体" w:cs="宋体"/>
          <w:sz w:val="24"/>
        </w:rPr>
        <w:t>（4）暂列金额：</w:t>
      </w:r>
      <w:r>
        <w:rPr>
          <w:rFonts w:hint="eastAsia" w:ascii="宋体" w:hAnsi="宋体" w:eastAsia="宋体" w:cs="宋体"/>
          <w:sz w:val="24"/>
        </w:rPr>
        <w:tab/>
      </w:r>
      <w:r>
        <w:rPr>
          <w:rFonts w:hint="eastAsia" w:ascii="宋体" w:hAnsi="宋体" w:eastAsia="宋体" w:cs="宋体"/>
          <w:sz w:val="24"/>
        </w:rPr>
        <w:tab/>
      </w:r>
    </w:p>
    <w:p>
      <w:pPr>
        <w:spacing w:line="360" w:lineRule="auto"/>
        <w:ind w:firstLine="1080" w:firstLineChars="450"/>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2.合同价格形式：</w:t>
      </w:r>
      <w:r>
        <w:rPr>
          <w:rFonts w:hint="eastAsia" w:ascii="宋体" w:hAnsi="宋体" w:eastAsia="宋体" w:cs="宋体"/>
          <w:sz w:val="24"/>
          <w:u w:val="single"/>
        </w:rPr>
        <w:t xml:space="preserve">                  </w:t>
      </w:r>
      <w:r>
        <w:rPr>
          <w:rFonts w:hint="eastAsia" w:ascii="宋体" w:hAnsi="宋体" w:eastAsia="宋体" w:cs="宋体"/>
          <w:sz w:val="24"/>
        </w:rPr>
        <w:t>。</w:t>
      </w:r>
    </w:p>
    <w:p>
      <w:pPr>
        <w:keepNext/>
        <w:keepLines/>
        <w:spacing w:before="120" w:after="120" w:line="360" w:lineRule="auto"/>
        <w:outlineLvl w:val="3"/>
        <w:rPr>
          <w:rFonts w:hint="eastAsia" w:ascii="宋体" w:hAnsi="宋体" w:eastAsia="宋体" w:cs="宋体"/>
          <w:bCs/>
          <w:sz w:val="24"/>
        </w:rPr>
      </w:pPr>
      <w:r>
        <w:rPr>
          <w:rFonts w:hint="eastAsia" w:ascii="宋体" w:hAnsi="宋体" w:eastAsia="宋体" w:cs="宋体"/>
          <w:b/>
          <w:sz w:val="24"/>
        </w:rPr>
        <w:t xml:space="preserve">   </w:t>
      </w:r>
      <w:r>
        <w:rPr>
          <w:rFonts w:hint="eastAsia" w:ascii="宋体" w:hAnsi="宋体" w:eastAsia="宋体" w:cs="宋体"/>
          <w:bCs/>
          <w:sz w:val="24"/>
        </w:rPr>
        <w:t xml:space="preserve"> </w:t>
      </w:r>
      <w:bookmarkStart w:id="177" w:name="_Toc351203485"/>
      <w:r>
        <w:rPr>
          <w:rFonts w:hint="eastAsia" w:ascii="宋体" w:hAnsi="宋体" w:eastAsia="宋体" w:cs="宋体"/>
          <w:bCs/>
          <w:sz w:val="24"/>
        </w:rPr>
        <w:t>五、</w:t>
      </w:r>
      <w:bookmarkEnd w:id="177"/>
      <w:r>
        <w:rPr>
          <w:rFonts w:hint="eastAsia" w:ascii="宋体" w:hAnsi="宋体" w:eastAsia="宋体" w:cs="宋体"/>
          <w:bCs/>
          <w:sz w:val="24"/>
        </w:rPr>
        <w:t>项目经理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承包人项目经理：</w:t>
      </w:r>
      <w:r>
        <w:rPr>
          <w:rFonts w:hint="eastAsia" w:ascii="宋体" w:hAnsi="宋体" w:eastAsia="宋体" w:cs="宋体"/>
          <w:sz w:val="24"/>
          <w:u w:val="single"/>
        </w:rPr>
        <w:t xml:space="preserve">                 </w:t>
      </w:r>
      <w:r>
        <w:rPr>
          <w:rFonts w:hint="eastAsia" w:ascii="宋体" w:hAnsi="宋体" w:eastAsia="宋体" w:cs="宋体"/>
          <w:sz w:val="24"/>
        </w:rPr>
        <w:t>。</w:t>
      </w:r>
    </w:p>
    <w:p>
      <w:pPr>
        <w:keepNext/>
        <w:keepLines/>
        <w:spacing w:before="120" w:after="120" w:line="360" w:lineRule="auto"/>
        <w:outlineLvl w:val="3"/>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Cs/>
          <w:sz w:val="24"/>
        </w:rPr>
        <w:t xml:space="preserve"> </w:t>
      </w:r>
      <w:bookmarkStart w:id="178" w:name="_Toc351203486"/>
      <w:r>
        <w:rPr>
          <w:rFonts w:hint="eastAsia" w:ascii="宋体" w:hAnsi="宋体" w:eastAsia="宋体" w:cs="宋体"/>
          <w:bCs/>
          <w:sz w:val="24"/>
        </w:rPr>
        <w:t>六、合同文件构成</w:t>
      </w:r>
      <w:bookmarkEnd w:id="178"/>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本协议书与下列文件一起构成合同文件：</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（1）成交通知书；</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（2）专用合同条款及其附件；</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（3）通用合同条款；</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（4）评审报告；</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（5）技术标准和要求；</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（6）图纸；</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（7）已标价工程量清单或预算书；</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（8）其他合同文件。</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Cs/>
          <w:sz w:val="24"/>
        </w:rPr>
        <w:t xml:space="preserve"> </w:t>
      </w:r>
      <w:bookmarkStart w:id="179" w:name="_Toc351203487"/>
      <w:r>
        <w:rPr>
          <w:rFonts w:hint="eastAsia" w:ascii="宋体" w:hAnsi="宋体" w:eastAsia="宋体" w:cs="宋体"/>
          <w:bCs/>
          <w:sz w:val="24"/>
        </w:rPr>
        <w:t>七、承诺</w:t>
      </w:r>
      <w:bookmarkEnd w:id="179"/>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1.发包人承诺按照法律规定履行项目审批手续、筹集工程建设资金并按照合同约定的期限和方式支付合同价款。</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3.发包人和承包人通过招投标形式签订合同的，双方理解并承诺不再就同一工程另行签订与合同实质性内容相背离的协议。</w:t>
      </w:r>
    </w:p>
    <w:p>
      <w:pPr>
        <w:spacing w:line="360" w:lineRule="auto"/>
        <w:rPr>
          <w:rFonts w:hint="eastAsia" w:ascii="宋体" w:hAnsi="宋体" w:eastAsia="宋体" w:cs="宋体"/>
          <w:bCs/>
          <w:sz w:val="24"/>
        </w:rPr>
      </w:pPr>
      <w:bookmarkStart w:id="180" w:name="_Toc351203488"/>
      <w:r>
        <w:rPr>
          <w:rFonts w:hint="eastAsia" w:ascii="宋体" w:hAnsi="宋体" w:eastAsia="宋体" w:cs="宋体"/>
          <w:b/>
          <w:sz w:val="24"/>
        </w:rPr>
        <w:t xml:space="preserve">    八、词语含义</w:t>
      </w:r>
      <w:bookmarkEnd w:id="180"/>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本协议书中词语含义与第二部分通用合同条款中赋予的含义相同。</w:t>
      </w:r>
    </w:p>
    <w:p>
      <w:pPr>
        <w:keepNext/>
        <w:keepLines/>
        <w:spacing w:before="120" w:after="120" w:line="360" w:lineRule="auto"/>
        <w:outlineLvl w:val="3"/>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Cs/>
          <w:sz w:val="24"/>
        </w:rPr>
        <w:t xml:space="preserve">  </w:t>
      </w:r>
      <w:bookmarkStart w:id="181" w:name="_Toc351203489"/>
      <w:r>
        <w:rPr>
          <w:rFonts w:hint="eastAsia" w:ascii="宋体" w:hAnsi="宋体" w:eastAsia="宋体" w:cs="宋体"/>
          <w:bCs/>
          <w:sz w:val="24"/>
        </w:rPr>
        <w:t>九、签订时间</w:t>
      </w:r>
      <w:bookmarkEnd w:id="181"/>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本合同于</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日签订。</w:t>
      </w:r>
    </w:p>
    <w:p>
      <w:pPr>
        <w:keepNext/>
        <w:keepLines/>
        <w:spacing w:before="120" w:after="120" w:line="360" w:lineRule="auto"/>
        <w:outlineLvl w:val="3"/>
        <w:rPr>
          <w:rFonts w:hint="eastAsia" w:ascii="宋体" w:hAnsi="宋体" w:eastAsia="宋体" w:cs="宋体"/>
          <w:b/>
          <w:sz w:val="24"/>
        </w:rPr>
      </w:pPr>
      <w:r>
        <w:rPr>
          <w:rFonts w:hint="eastAsia" w:ascii="宋体" w:hAnsi="宋体" w:eastAsia="宋体" w:cs="宋体"/>
          <w:b/>
          <w:sz w:val="24"/>
        </w:rPr>
        <w:t xml:space="preserve">    </w:t>
      </w:r>
      <w:bookmarkStart w:id="182" w:name="_Toc351203490"/>
      <w:r>
        <w:rPr>
          <w:rFonts w:hint="eastAsia" w:ascii="宋体" w:hAnsi="宋体" w:eastAsia="宋体" w:cs="宋体"/>
          <w:bCs/>
          <w:sz w:val="24"/>
        </w:rPr>
        <w:t>十、签订地点</w:t>
      </w:r>
      <w:bookmarkEnd w:id="182"/>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本合同在</w:t>
      </w:r>
      <w:r>
        <w:rPr>
          <w:rFonts w:hint="eastAsia" w:ascii="宋体" w:hAnsi="宋体" w:eastAsia="宋体" w:cs="宋体"/>
          <w:bCs/>
          <w:sz w:val="24"/>
          <w:u w:val="single"/>
        </w:rPr>
        <w:t xml:space="preserve">                                    </w:t>
      </w:r>
      <w:r>
        <w:rPr>
          <w:rFonts w:hint="eastAsia" w:ascii="宋体" w:hAnsi="宋体" w:eastAsia="宋体" w:cs="宋体"/>
          <w:bCs/>
          <w:sz w:val="24"/>
        </w:rPr>
        <w:t>签订。</w:t>
      </w:r>
    </w:p>
    <w:p>
      <w:pPr>
        <w:keepNext/>
        <w:keepLines/>
        <w:spacing w:before="120" w:after="120" w:line="360" w:lineRule="auto"/>
        <w:outlineLvl w:val="3"/>
        <w:rPr>
          <w:rFonts w:hint="eastAsia" w:ascii="宋体" w:hAnsi="宋体" w:eastAsia="宋体" w:cs="宋体"/>
          <w:b/>
          <w:sz w:val="24"/>
        </w:rPr>
      </w:pPr>
      <w:r>
        <w:rPr>
          <w:rFonts w:hint="eastAsia" w:ascii="宋体" w:hAnsi="宋体" w:eastAsia="宋体" w:cs="宋体"/>
          <w:b/>
          <w:sz w:val="24"/>
        </w:rPr>
        <w:t xml:space="preserve">    </w:t>
      </w:r>
      <w:bookmarkStart w:id="183" w:name="_Toc351203491"/>
      <w:r>
        <w:rPr>
          <w:rFonts w:hint="eastAsia" w:ascii="宋体" w:hAnsi="宋体" w:eastAsia="宋体" w:cs="宋体"/>
          <w:bCs/>
          <w:sz w:val="24"/>
        </w:rPr>
        <w:t>十一、补充协议</w:t>
      </w:r>
      <w:bookmarkEnd w:id="183"/>
    </w:p>
    <w:p>
      <w:pPr>
        <w:spacing w:line="360" w:lineRule="auto"/>
        <w:ind w:firstLine="480" w:firstLineChars="200"/>
        <w:rPr>
          <w:rFonts w:hint="eastAsia" w:ascii="宋体" w:hAnsi="宋体" w:eastAsia="宋体" w:cs="宋体"/>
          <w:b/>
          <w:bCs/>
          <w:sz w:val="24"/>
        </w:rPr>
      </w:pPr>
      <w:r>
        <w:rPr>
          <w:rFonts w:hint="eastAsia" w:ascii="宋体" w:hAnsi="宋体" w:eastAsia="宋体" w:cs="宋体"/>
          <w:bCs/>
          <w:sz w:val="24"/>
        </w:rPr>
        <w:t>合同未尽事宜，合同当事人另行签订补充协议，补充协议是合同的组成部分。</w:t>
      </w:r>
    </w:p>
    <w:p>
      <w:pPr>
        <w:keepNext/>
        <w:keepLines/>
        <w:spacing w:before="120" w:after="120" w:line="360" w:lineRule="auto"/>
        <w:outlineLvl w:val="3"/>
        <w:rPr>
          <w:rFonts w:hint="eastAsia" w:ascii="宋体" w:hAnsi="宋体" w:eastAsia="宋体" w:cs="宋体"/>
          <w:b/>
          <w:sz w:val="24"/>
        </w:rPr>
      </w:pPr>
      <w:r>
        <w:rPr>
          <w:rFonts w:hint="eastAsia" w:ascii="宋体" w:hAnsi="宋体" w:eastAsia="宋体" w:cs="宋体"/>
          <w:b/>
          <w:sz w:val="24"/>
        </w:rPr>
        <w:t xml:space="preserve">    </w:t>
      </w:r>
      <w:bookmarkStart w:id="184" w:name="_Toc351203492"/>
      <w:r>
        <w:rPr>
          <w:rFonts w:hint="eastAsia" w:ascii="宋体" w:hAnsi="宋体" w:eastAsia="宋体" w:cs="宋体"/>
          <w:bCs/>
          <w:sz w:val="24"/>
        </w:rPr>
        <w:t>十二、合同生效</w:t>
      </w:r>
      <w:bookmarkEnd w:id="184"/>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本合同自</w:t>
      </w:r>
      <w:r>
        <w:rPr>
          <w:rFonts w:hint="eastAsia" w:ascii="宋体" w:hAnsi="宋体" w:eastAsia="宋体" w:cs="宋体"/>
          <w:bCs/>
          <w:sz w:val="24"/>
          <w:u w:val="single"/>
        </w:rPr>
        <w:t xml:space="preserve">                                   </w:t>
      </w:r>
      <w:r>
        <w:rPr>
          <w:rFonts w:hint="eastAsia" w:ascii="宋体" w:hAnsi="宋体" w:eastAsia="宋体" w:cs="宋体"/>
          <w:bCs/>
          <w:sz w:val="24"/>
        </w:rPr>
        <w:t>生效。</w:t>
      </w:r>
    </w:p>
    <w:p>
      <w:pPr>
        <w:keepNext/>
        <w:keepLines/>
        <w:spacing w:before="120" w:after="120" w:line="360" w:lineRule="auto"/>
        <w:outlineLvl w:val="3"/>
        <w:rPr>
          <w:rFonts w:hint="eastAsia" w:ascii="宋体" w:hAnsi="宋体" w:eastAsia="宋体" w:cs="宋体"/>
          <w:b/>
          <w:sz w:val="24"/>
        </w:rPr>
      </w:pPr>
      <w:r>
        <w:rPr>
          <w:rFonts w:hint="eastAsia" w:ascii="宋体" w:hAnsi="宋体" w:eastAsia="宋体" w:cs="宋体"/>
          <w:b/>
          <w:sz w:val="24"/>
        </w:rPr>
        <w:t xml:space="preserve">    </w:t>
      </w:r>
      <w:bookmarkStart w:id="185" w:name="_Toc351203493"/>
      <w:r>
        <w:rPr>
          <w:rFonts w:hint="eastAsia" w:ascii="宋体" w:hAnsi="宋体" w:eastAsia="宋体" w:cs="宋体"/>
          <w:bCs/>
          <w:sz w:val="24"/>
        </w:rPr>
        <w:t>十三、合同份数</w:t>
      </w:r>
      <w:bookmarkEnd w:id="185"/>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本合同一式</w:t>
      </w:r>
      <w:r>
        <w:rPr>
          <w:rFonts w:hint="eastAsia" w:ascii="宋体" w:hAnsi="宋体" w:eastAsia="宋体" w:cs="宋体"/>
          <w:bCs/>
          <w:sz w:val="24"/>
          <w:u w:val="single"/>
        </w:rPr>
        <w:t xml:space="preserve">    </w:t>
      </w:r>
      <w:r>
        <w:rPr>
          <w:rFonts w:hint="eastAsia" w:ascii="宋体" w:hAnsi="宋体" w:eastAsia="宋体" w:cs="宋体"/>
          <w:bCs/>
          <w:sz w:val="24"/>
        </w:rPr>
        <w:t>份，均具有同等法律效力，发包人执</w:t>
      </w:r>
      <w:r>
        <w:rPr>
          <w:rFonts w:hint="eastAsia" w:ascii="宋体" w:hAnsi="宋体" w:eastAsia="宋体" w:cs="宋体"/>
          <w:bCs/>
          <w:sz w:val="24"/>
          <w:u w:val="single"/>
        </w:rPr>
        <w:t xml:space="preserve">    </w:t>
      </w:r>
      <w:r>
        <w:rPr>
          <w:rFonts w:hint="eastAsia" w:ascii="宋体" w:hAnsi="宋体" w:eastAsia="宋体" w:cs="宋体"/>
          <w:bCs/>
          <w:sz w:val="24"/>
        </w:rPr>
        <w:t>份，承包人执</w:t>
      </w:r>
      <w:r>
        <w:rPr>
          <w:rFonts w:hint="eastAsia" w:ascii="宋体" w:hAnsi="宋体" w:eastAsia="宋体" w:cs="宋体"/>
          <w:bCs/>
          <w:sz w:val="24"/>
          <w:u w:val="single"/>
        </w:rPr>
        <w:t xml:space="preserve">    </w:t>
      </w:r>
      <w:r>
        <w:rPr>
          <w:rFonts w:hint="eastAsia" w:ascii="宋体" w:hAnsi="宋体" w:eastAsia="宋体" w:cs="宋体"/>
          <w:bCs/>
          <w:sz w:val="24"/>
        </w:rPr>
        <w:t>份。</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u w:val="single"/>
        </w:rPr>
      </w:pPr>
      <w:r>
        <w:rPr>
          <w:rFonts w:hint="eastAsia" w:ascii="宋体" w:hAnsi="宋体" w:eastAsia="宋体" w:cs="宋体"/>
          <w:sz w:val="24"/>
        </w:rPr>
        <w:t xml:space="preserve">发包人：  (公章)             承包人：  (公章)                                 </w:t>
      </w:r>
    </w:p>
    <w:p>
      <w:pPr>
        <w:spacing w:line="360" w:lineRule="auto"/>
        <w:rPr>
          <w:rFonts w:hint="eastAsia" w:ascii="宋体" w:hAnsi="宋体" w:eastAsia="宋体" w:cs="宋体"/>
          <w:sz w:val="24"/>
        </w:rPr>
      </w:pPr>
      <w:r>
        <w:rPr>
          <w:rFonts w:hint="eastAsia" w:ascii="宋体" w:hAnsi="宋体" w:eastAsia="宋体" w:cs="宋体"/>
          <w:sz w:val="24"/>
        </w:rPr>
        <w:t>法定代表人或其委托代理人：  法定代表人或其委托代理人：</w:t>
      </w:r>
    </w:p>
    <w:p>
      <w:pPr>
        <w:spacing w:line="360" w:lineRule="auto"/>
        <w:rPr>
          <w:rFonts w:hint="eastAsia" w:ascii="宋体" w:hAnsi="宋体" w:eastAsia="宋体" w:cs="宋体"/>
          <w:sz w:val="24"/>
        </w:rPr>
      </w:pPr>
      <w:r>
        <w:rPr>
          <w:rFonts w:hint="eastAsia" w:ascii="宋体" w:hAnsi="宋体" w:eastAsia="宋体" w:cs="宋体"/>
          <w:sz w:val="24"/>
        </w:rPr>
        <w:t>（签字）                    （签字）</w:t>
      </w:r>
    </w:p>
    <w:p>
      <w:pPr>
        <w:spacing w:line="360" w:lineRule="auto"/>
        <w:rPr>
          <w:rFonts w:hint="eastAsia" w:ascii="宋体" w:hAnsi="宋体" w:eastAsia="宋体" w:cs="宋体"/>
          <w:sz w:val="24"/>
          <w:u w:val="single"/>
        </w:rPr>
      </w:pPr>
    </w:p>
    <w:p>
      <w:pPr>
        <w:tabs>
          <w:tab w:val="left" w:pos="4410"/>
        </w:tabs>
        <w:spacing w:line="360" w:lineRule="auto"/>
        <w:rPr>
          <w:rFonts w:hint="eastAsia" w:ascii="宋体" w:hAnsi="宋体" w:eastAsia="宋体" w:cs="宋体"/>
          <w:sz w:val="24"/>
        </w:rPr>
      </w:pPr>
      <w:r>
        <w:rPr>
          <w:rFonts w:hint="eastAsia" w:ascii="宋体" w:hAnsi="宋体" w:eastAsia="宋体" w:cs="宋体"/>
          <w:sz w:val="24"/>
        </w:rPr>
        <w:t>组织机构代码：</w:t>
      </w:r>
      <w:r>
        <w:rPr>
          <w:rFonts w:hint="eastAsia" w:ascii="宋体" w:hAnsi="宋体" w:eastAsia="宋体" w:cs="宋体"/>
          <w:sz w:val="24"/>
          <w:u w:val="single"/>
        </w:rPr>
        <w:t xml:space="preserve">     </w:t>
      </w:r>
      <w:r>
        <w:rPr>
          <w:rFonts w:hint="eastAsia" w:ascii="宋体" w:hAnsi="宋体" w:eastAsia="宋体" w:cs="宋体"/>
          <w:sz w:val="24"/>
        </w:rPr>
        <w:t xml:space="preserve">  组织机构代码：</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地  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rPr>
        <w:t xml:space="preserve"> 邮政编码：</w:t>
      </w:r>
    </w:p>
    <w:p>
      <w:pPr>
        <w:spacing w:line="360" w:lineRule="auto"/>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电  话：电  话：</w:t>
      </w:r>
    </w:p>
    <w:p>
      <w:pPr>
        <w:spacing w:line="360" w:lineRule="auto"/>
        <w:rPr>
          <w:rFonts w:hint="eastAsia" w:ascii="宋体" w:hAnsi="宋体" w:eastAsia="宋体" w:cs="宋体"/>
          <w:sz w:val="24"/>
        </w:rPr>
      </w:pPr>
      <w:r>
        <w:rPr>
          <w:rFonts w:hint="eastAsia" w:ascii="宋体" w:hAnsi="宋体" w:eastAsia="宋体" w:cs="宋体"/>
          <w:sz w:val="24"/>
        </w:rPr>
        <w:t>传  真：传  真：</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电子信箱：</w:t>
      </w:r>
      <w:r>
        <w:rPr>
          <w:rFonts w:hint="eastAsia" w:ascii="宋体" w:hAnsi="宋体" w:eastAsia="宋体" w:cs="宋体"/>
          <w:sz w:val="24"/>
          <w:u w:val="single"/>
        </w:rPr>
        <w:t xml:space="preserve">                 </w:t>
      </w:r>
      <w:r>
        <w:rPr>
          <w:rFonts w:hint="eastAsia" w:ascii="宋体" w:hAnsi="宋体" w:eastAsia="宋体" w:cs="宋体"/>
          <w:sz w:val="24"/>
        </w:rPr>
        <w:t xml:space="preserve">  电子信箱：</w:t>
      </w:r>
    </w:p>
    <w:p>
      <w:pPr>
        <w:spacing w:line="360" w:lineRule="auto"/>
        <w:rPr>
          <w:rFonts w:hint="eastAsia" w:ascii="宋体" w:hAnsi="宋体" w:eastAsia="宋体" w:cs="宋体"/>
          <w:sz w:val="24"/>
        </w:rPr>
      </w:pPr>
      <w:r>
        <w:rPr>
          <w:rFonts w:hint="eastAsia" w:ascii="宋体" w:hAnsi="宋体" w:eastAsia="宋体" w:cs="宋体"/>
          <w:sz w:val="24"/>
        </w:rPr>
        <w:t>开户银行：开户银行：</w:t>
      </w:r>
    </w:p>
    <w:p>
      <w:pPr>
        <w:spacing w:line="360" w:lineRule="auto"/>
        <w:rPr>
          <w:rFonts w:ascii="仿宋" w:hAnsi="仿宋" w:eastAsia="仿宋" w:cs="仿宋"/>
        </w:rPr>
      </w:pPr>
      <w:r>
        <w:rPr>
          <w:rFonts w:hint="eastAsia" w:ascii="宋体" w:hAnsi="宋体" w:eastAsia="宋体" w:cs="宋体"/>
          <w:sz w:val="24"/>
        </w:rPr>
        <w:t>账  号：</w:t>
      </w:r>
      <w:r>
        <w:rPr>
          <w:rFonts w:hint="eastAsia" w:ascii="宋体" w:hAnsi="宋体" w:eastAsia="宋体" w:cs="宋体"/>
          <w:sz w:val="24"/>
          <w:u w:val="single"/>
        </w:rPr>
        <w:t xml:space="preserve"> </w:t>
      </w:r>
      <w:r>
        <w:rPr>
          <w:rFonts w:hint="eastAsia" w:ascii="宋体" w:hAnsi="宋体" w:eastAsia="宋体" w:cs="宋体"/>
          <w:sz w:val="24"/>
        </w:rPr>
        <w:t xml:space="preserve">   账  号：</w:t>
      </w:r>
      <w:r>
        <w:rPr>
          <w:rFonts w:hint="eastAsia" w:ascii="宋体" w:hAnsi="宋体" w:eastAsia="宋体" w:cs="宋体"/>
          <w:b/>
          <w:bCs/>
          <w:sz w:val="24"/>
        </w:rPr>
        <w:br w:type="page"/>
      </w:r>
    </w:p>
    <w:p>
      <w:pPr>
        <w:pStyle w:val="4"/>
        <w:numPr>
          <w:ilvl w:val="0"/>
          <w:numId w:val="0"/>
        </w:numPr>
        <w:spacing w:before="0" w:after="0"/>
        <w:ind w:leftChars="0"/>
        <w:jc w:val="center"/>
        <w:rPr>
          <w:rFonts w:ascii="仿宋" w:hAnsi="仿宋" w:eastAsia="仿宋" w:cs="仿宋"/>
          <w:bCs w:val="0"/>
        </w:rPr>
      </w:pPr>
      <w:bookmarkStart w:id="186" w:name="_Toc61004814"/>
      <w:bookmarkStart w:id="187" w:name="_Toc27897"/>
      <w:bookmarkStart w:id="188" w:name="_Toc351203494"/>
      <w:bookmarkStart w:id="189" w:name="_Toc30962"/>
      <w:bookmarkStart w:id="190" w:name="_Toc31525"/>
      <w:r>
        <w:rPr>
          <w:rFonts w:hint="eastAsia" w:ascii="仿宋" w:hAnsi="仿宋" w:eastAsia="仿宋" w:cs="仿宋"/>
          <w:bCs w:val="0"/>
        </w:rPr>
        <w:t>第二节</w:t>
      </w:r>
      <w:r>
        <w:rPr>
          <w:rFonts w:hint="eastAsia" w:ascii="仿宋" w:hAnsi="仿宋" w:eastAsia="仿宋" w:cs="仿宋"/>
          <w:bCs w:val="0"/>
          <w:lang w:val="en-US" w:eastAsia="zh-CN"/>
        </w:rPr>
        <w:t xml:space="preserve"> </w:t>
      </w:r>
      <w:r>
        <w:rPr>
          <w:rFonts w:ascii="仿宋" w:hAnsi="仿宋" w:eastAsia="仿宋" w:cs="仿宋"/>
          <w:bCs w:val="0"/>
        </w:rPr>
        <w:t>通用合同条款</w:t>
      </w:r>
      <w:bookmarkEnd w:id="186"/>
      <w:bookmarkEnd w:id="187"/>
      <w:bookmarkEnd w:id="188"/>
      <w:bookmarkEnd w:id="189"/>
      <w:bookmarkEnd w:id="190"/>
    </w:p>
    <w:p>
      <w:pPr>
        <w:spacing w:line="360" w:lineRule="auto"/>
        <w:rPr>
          <w:rFonts w:hint="eastAsia" w:ascii="宋体" w:hAnsi="宋体" w:eastAsia="宋体" w:cs="宋体"/>
          <w:sz w:val="24"/>
          <w:szCs w:val="24"/>
        </w:rPr>
      </w:pPr>
      <w:r>
        <w:rPr>
          <w:rFonts w:hint="eastAsia" w:ascii="宋体" w:hAnsi="宋体" w:eastAsia="宋体" w:cs="宋体"/>
          <w:sz w:val="24"/>
          <w:szCs w:val="24"/>
        </w:rPr>
        <w:t>备注：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1．本项目通用合同条款参照《建设工程施工合同(示范文本)》(GF-2017-0201)通用合同条款执行。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2．如有最新版本，参照最新版本执行。</w:t>
      </w:r>
    </w:p>
    <w:p>
      <w:pPr>
        <w:pStyle w:val="16"/>
        <w:rPr>
          <w:rFonts w:hint="eastAsia"/>
        </w:rPr>
      </w:pPr>
    </w:p>
    <w:p>
      <w:pPr>
        <w:pStyle w:val="4"/>
        <w:numPr>
          <w:ilvl w:val="0"/>
          <w:numId w:val="0"/>
        </w:numPr>
        <w:spacing w:before="0" w:after="0"/>
        <w:ind w:leftChars="0"/>
        <w:jc w:val="center"/>
        <w:rPr>
          <w:rFonts w:hint="eastAsia" w:ascii="仿宋" w:hAnsi="仿宋" w:eastAsia="仿宋" w:cs="仿宋"/>
          <w:bCs w:val="0"/>
        </w:rPr>
      </w:pPr>
      <w:bookmarkStart w:id="191" w:name="_Toc10683"/>
      <w:bookmarkStart w:id="192" w:name="_Toc6296"/>
      <w:bookmarkStart w:id="193" w:name="_Toc61004815"/>
      <w:bookmarkStart w:id="194" w:name="_Toc16415"/>
      <w:r>
        <w:rPr>
          <w:rFonts w:hint="eastAsia" w:ascii="仿宋" w:hAnsi="仿宋" w:eastAsia="仿宋" w:cs="仿宋"/>
          <w:bCs w:val="0"/>
          <w:lang w:eastAsia="zh-CN"/>
        </w:rPr>
        <w:t>第三节</w:t>
      </w:r>
      <w:r>
        <w:rPr>
          <w:rFonts w:hint="eastAsia" w:ascii="仿宋" w:hAnsi="仿宋" w:eastAsia="仿宋" w:cs="仿宋"/>
          <w:bCs w:val="0"/>
          <w:lang w:val="en-US" w:eastAsia="zh-CN"/>
        </w:rPr>
        <w:t xml:space="preserve"> </w:t>
      </w:r>
      <w:r>
        <w:rPr>
          <w:rFonts w:hint="eastAsia" w:ascii="仿宋" w:hAnsi="仿宋" w:eastAsia="仿宋" w:cs="仿宋"/>
          <w:bCs w:val="0"/>
        </w:rPr>
        <w:t>专用合同条款</w:t>
      </w:r>
      <w:bookmarkEnd w:id="191"/>
      <w:bookmarkEnd w:id="192"/>
      <w:bookmarkEnd w:id="193"/>
      <w:bookmarkEnd w:id="194"/>
    </w:p>
    <w:p>
      <w:pPr>
        <w:keepNext/>
        <w:keepLines/>
        <w:spacing w:before="240" w:after="120" w:line="360" w:lineRule="auto"/>
        <w:outlineLvl w:val="3"/>
        <w:rPr>
          <w:rFonts w:ascii="仿宋" w:hAnsi="仿宋" w:eastAsia="仿宋" w:cs="仿宋"/>
          <w:b/>
          <w:sz w:val="24"/>
          <w:szCs w:val="24"/>
        </w:rPr>
      </w:pPr>
      <w:bookmarkStart w:id="195" w:name="_Toc351203633"/>
      <w:r>
        <w:rPr>
          <w:rFonts w:ascii="仿宋" w:hAnsi="仿宋" w:eastAsia="仿宋" w:cs="仿宋"/>
          <w:b/>
          <w:sz w:val="24"/>
          <w:szCs w:val="24"/>
        </w:rPr>
        <w:t>1</w:t>
      </w:r>
      <w:bookmarkStart w:id="196" w:name="_Toc296503156"/>
      <w:bookmarkStart w:id="197" w:name="_Toc296944495"/>
      <w:bookmarkStart w:id="198" w:name="_Toc292559361"/>
      <w:bookmarkStart w:id="199" w:name="_Toc296891196"/>
      <w:bookmarkStart w:id="200" w:name="_Toc296346657"/>
      <w:bookmarkStart w:id="201" w:name="_Toc296890984"/>
      <w:bookmarkStart w:id="202" w:name="_Toc297048342"/>
      <w:bookmarkStart w:id="203" w:name="_Toc297120456"/>
      <w:bookmarkStart w:id="204" w:name="_Toc296347155"/>
      <w:bookmarkStart w:id="205" w:name="_Toc292559866"/>
      <w:r>
        <w:rPr>
          <w:rFonts w:ascii="仿宋" w:hAnsi="仿宋" w:eastAsia="仿宋" w:cs="仿宋"/>
          <w:b/>
          <w:sz w:val="24"/>
          <w:szCs w:val="24"/>
        </w:rPr>
        <w:t>.</w:t>
      </w:r>
      <w:r>
        <w:rPr>
          <w:rFonts w:hint="eastAsia" w:ascii="仿宋" w:hAnsi="仿宋" w:eastAsia="仿宋" w:cs="仿宋"/>
          <w:b/>
          <w:sz w:val="24"/>
          <w:szCs w:val="24"/>
        </w:rPr>
        <w:t>一般约定</w:t>
      </w:r>
      <w:bookmarkEnd w:id="195"/>
    </w:p>
    <w:bookmarkEnd w:id="196"/>
    <w:bookmarkEnd w:id="197"/>
    <w:bookmarkEnd w:id="198"/>
    <w:bookmarkEnd w:id="199"/>
    <w:bookmarkEnd w:id="200"/>
    <w:bookmarkEnd w:id="201"/>
    <w:bookmarkEnd w:id="202"/>
    <w:bookmarkEnd w:id="203"/>
    <w:bookmarkEnd w:id="204"/>
    <w:bookmarkEnd w:id="205"/>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1.1 </w:t>
      </w:r>
      <w:r>
        <w:rPr>
          <w:rFonts w:hint="eastAsia" w:ascii="仿宋" w:hAnsi="仿宋" w:eastAsia="仿宋" w:cs="仿宋"/>
          <w:b/>
          <w:sz w:val="24"/>
          <w:szCs w:val="24"/>
        </w:rPr>
        <w:t>词语定义</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1.1.1</w:t>
      </w:r>
      <w:r>
        <w:rPr>
          <w:rFonts w:hint="eastAsia" w:ascii="仿宋" w:hAnsi="仿宋" w:eastAsia="仿宋" w:cs="仿宋"/>
          <w:sz w:val="24"/>
          <w:szCs w:val="24"/>
        </w:rPr>
        <w:t>合同</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1.1.1.1</w:t>
      </w:r>
      <w:r>
        <w:rPr>
          <w:rFonts w:hint="eastAsia" w:ascii="仿宋" w:hAnsi="仿宋" w:eastAsia="仿宋" w:cs="仿宋"/>
          <w:sz w:val="24"/>
          <w:szCs w:val="24"/>
        </w:rPr>
        <w:t>其他合同文件包括：。</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1.2 </w:t>
      </w:r>
      <w:r>
        <w:rPr>
          <w:rFonts w:hint="eastAsia" w:ascii="仿宋" w:hAnsi="仿宋" w:eastAsia="仿宋" w:cs="仿宋"/>
          <w:b/>
          <w:sz w:val="24"/>
          <w:szCs w:val="24"/>
        </w:rPr>
        <w:t>合同当事人及其他相关方</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1.2.1</w:t>
      </w:r>
      <w:r>
        <w:rPr>
          <w:rFonts w:hint="eastAsia" w:ascii="仿宋" w:hAnsi="仿宋" w:eastAsia="仿宋" w:cs="仿宋"/>
          <w:sz w:val="24"/>
          <w:szCs w:val="24"/>
        </w:rPr>
        <w:t>监理人：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1.2.2 </w:t>
      </w:r>
      <w:r>
        <w:rPr>
          <w:rFonts w:hint="eastAsia" w:ascii="仿宋" w:hAnsi="仿宋" w:eastAsia="仿宋" w:cs="仿宋"/>
          <w:sz w:val="24"/>
          <w:szCs w:val="24"/>
        </w:rPr>
        <w:t>设计人：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通信地址：。</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1.3 </w:t>
      </w:r>
      <w:r>
        <w:rPr>
          <w:rFonts w:hint="eastAsia" w:ascii="仿宋" w:hAnsi="仿宋" w:eastAsia="仿宋" w:cs="仿宋"/>
          <w:b/>
          <w:sz w:val="24"/>
          <w:szCs w:val="24"/>
        </w:rPr>
        <w:t>工程和设备</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1.3.1 </w:t>
      </w:r>
      <w:r>
        <w:rPr>
          <w:rFonts w:hint="eastAsia" w:ascii="仿宋" w:hAnsi="仿宋" w:eastAsia="仿宋" w:cs="仿宋"/>
          <w:sz w:val="24"/>
          <w:szCs w:val="24"/>
        </w:rPr>
        <w:t>作为施工现场组成部分的其他场所包括：。</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1.3.2 </w:t>
      </w:r>
      <w:r>
        <w:rPr>
          <w:rFonts w:hint="eastAsia" w:ascii="仿宋" w:hAnsi="仿宋" w:eastAsia="仿宋" w:cs="仿宋"/>
          <w:sz w:val="24"/>
          <w:szCs w:val="24"/>
        </w:rPr>
        <w:t>永久占地包括：。</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1.3.3 </w:t>
      </w:r>
      <w:r>
        <w:rPr>
          <w:rFonts w:hint="eastAsia" w:ascii="仿宋" w:hAnsi="仿宋" w:eastAsia="仿宋" w:cs="仿宋"/>
          <w:sz w:val="24"/>
          <w:szCs w:val="24"/>
        </w:rPr>
        <w:t>临时占地包括：。</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1.4</w:t>
      </w:r>
      <w:r>
        <w:rPr>
          <w:rFonts w:hint="eastAsia" w:ascii="仿宋" w:hAnsi="仿宋" w:eastAsia="仿宋" w:cs="仿宋"/>
          <w:b/>
          <w:sz w:val="24"/>
          <w:szCs w:val="24"/>
        </w:rPr>
        <w:t>法律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适用于合同的其他规范性文件：。</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1.5 </w:t>
      </w:r>
      <w:r>
        <w:rPr>
          <w:rFonts w:hint="eastAsia" w:ascii="仿宋" w:hAnsi="仿宋" w:eastAsia="仿宋" w:cs="仿宋"/>
          <w:b/>
          <w:sz w:val="24"/>
          <w:szCs w:val="24"/>
        </w:rPr>
        <w:t>标准和规范</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1.5.1</w:t>
      </w:r>
      <w:r>
        <w:rPr>
          <w:rFonts w:hint="eastAsia" w:ascii="仿宋" w:hAnsi="仿宋" w:eastAsia="仿宋" w:cs="仿宋"/>
          <w:sz w:val="24"/>
          <w:szCs w:val="24"/>
        </w:rPr>
        <w:t>适用于工程的标准规范包括：。</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发包人提供国外标准、规范的名称：；</w:t>
      </w:r>
    </w:p>
    <w:p>
      <w:pPr>
        <w:spacing w:line="360" w:lineRule="auto"/>
        <w:ind w:firstLine="1200" w:firstLineChars="500"/>
        <w:rPr>
          <w:rFonts w:ascii="仿宋" w:hAnsi="仿宋" w:eastAsia="仿宋" w:cs="仿宋"/>
          <w:sz w:val="24"/>
          <w:szCs w:val="24"/>
        </w:rPr>
      </w:pPr>
      <w:r>
        <w:rPr>
          <w:rFonts w:hint="eastAsia" w:ascii="仿宋" w:hAnsi="仿宋" w:eastAsia="仿宋" w:cs="仿宋"/>
          <w:sz w:val="24"/>
          <w:szCs w:val="24"/>
        </w:rPr>
        <w:t>发包人提供国外标准、规范的份数：；</w:t>
      </w:r>
    </w:p>
    <w:p>
      <w:pPr>
        <w:spacing w:line="360" w:lineRule="auto"/>
        <w:ind w:firstLine="1200" w:firstLineChars="500"/>
        <w:rPr>
          <w:rFonts w:ascii="仿宋" w:hAnsi="仿宋" w:eastAsia="仿宋" w:cs="仿宋"/>
          <w:sz w:val="24"/>
          <w:szCs w:val="24"/>
        </w:rPr>
      </w:pPr>
      <w:r>
        <w:rPr>
          <w:rFonts w:hint="eastAsia" w:ascii="仿宋" w:hAnsi="仿宋" w:eastAsia="仿宋" w:cs="仿宋"/>
          <w:sz w:val="24"/>
          <w:szCs w:val="24"/>
        </w:rPr>
        <w:t>发包人提供国外标准、规范的名称：。</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1.5.3</w:t>
      </w:r>
      <w:r>
        <w:rPr>
          <w:rFonts w:hint="eastAsia" w:ascii="仿宋" w:hAnsi="仿宋" w:eastAsia="仿宋" w:cs="仿宋"/>
          <w:sz w:val="24"/>
          <w:szCs w:val="24"/>
        </w:rPr>
        <w:t>发包人对工程的技术标准和功能要求的特殊要求：。</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1.6 </w:t>
      </w:r>
      <w:r>
        <w:rPr>
          <w:rFonts w:hint="eastAsia" w:ascii="仿宋" w:hAnsi="仿宋" w:eastAsia="仿宋" w:cs="仿宋"/>
          <w:b/>
          <w:sz w:val="24"/>
          <w:szCs w:val="24"/>
        </w:rPr>
        <w:t>合同文件的优先顺序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合同文件组成及优先顺序为：</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）合同协议书；</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）成交通知书；</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）专用合同条款及其附件；</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）通用合同条款；</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）谈判文件；</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）施工响应文件：</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）评审报告；</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）技术标准和要求；</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）图纸；</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）已标价工程量清单或预算书；</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）其他合同文件。</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1.7 </w:t>
      </w:r>
      <w:r>
        <w:rPr>
          <w:rFonts w:hint="eastAsia" w:ascii="仿宋" w:hAnsi="仿宋" w:eastAsia="仿宋" w:cs="仿宋"/>
          <w:b/>
          <w:sz w:val="24"/>
          <w:szCs w:val="24"/>
        </w:rPr>
        <w:t>图纸和承包人文件</w:t>
      </w:r>
      <w:r>
        <w:rPr>
          <w:rFonts w:ascii="仿宋" w:hAnsi="仿宋" w:eastAsia="仿宋" w:cs="仿宋"/>
          <w:b/>
          <w:sz w:val="24"/>
          <w:szCs w:val="24"/>
        </w:rPr>
        <w:tab/>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图纸的提供</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承包人文件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1.7.3 </w:t>
      </w:r>
      <w:r>
        <w:rPr>
          <w:rFonts w:hint="eastAsia" w:ascii="仿宋" w:hAnsi="仿宋" w:eastAsia="仿宋" w:cs="仿宋"/>
          <w:sz w:val="24"/>
          <w:szCs w:val="24"/>
        </w:rPr>
        <w:t>现场图纸准备</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关于现场图纸准备的约定：。</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1.8 </w:t>
      </w:r>
      <w:r>
        <w:rPr>
          <w:rFonts w:hint="eastAsia" w:ascii="仿宋" w:hAnsi="仿宋" w:eastAsia="仿宋" w:cs="仿宋"/>
          <w:b/>
          <w:sz w:val="24"/>
          <w:szCs w:val="24"/>
        </w:rPr>
        <w:t>联络</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1.8.1</w:t>
      </w:r>
      <w:r>
        <w:rPr>
          <w:rFonts w:hint="eastAsia" w:ascii="仿宋" w:hAnsi="仿宋" w:eastAsia="仿宋" w:cs="仿宋"/>
          <w:sz w:val="24"/>
          <w:szCs w:val="24"/>
        </w:rPr>
        <w:t>发包人和承包人应当在天内将与合同有关的通知、批准、证明、证书、指示、指令、要求、请求、同意、意见、确定和决定等书面函件送达对方当事人。</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1.8.2 </w:t>
      </w:r>
      <w:r>
        <w:rPr>
          <w:rFonts w:hint="eastAsia" w:ascii="仿宋" w:hAnsi="仿宋" w:eastAsia="仿宋" w:cs="仿宋"/>
          <w:sz w:val="24"/>
          <w:szCs w:val="24"/>
        </w:rPr>
        <w:t>发包人接收文件的地点：；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发包人指定的接收人为：。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承包人接收文件的地点：；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承包人指定的接收人为：。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监理人接收文件的地点：；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监理人指定的接收人为：。</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1.9 </w:t>
      </w:r>
      <w:r>
        <w:rPr>
          <w:rFonts w:hint="eastAsia" w:ascii="仿宋" w:hAnsi="仿宋" w:eastAsia="仿宋" w:cs="仿宋"/>
          <w:b/>
          <w:sz w:val="24"/>
          <w:szCs w:val="24"/>
        </w:rPr>
        <w:t>交通运输</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w:t>
      </w:r>
      <w:bookmarkStart w:id="206" w:name="_Toc304295521"/>
      <w:bookmarkStart w:id="207" w:name="_Toc312677986"/>
      <w:bookmarkStart w:id="208" w:name="_Toc300934943"/>
      <w:bookmarkStart w:id="209" w:name="_Toc318581155"/>
      <w:bookmarkStart w:id="210" w:name="_Toc303539100"/>
      <w:r>
        <w:rPr>
          <w:rFonts w:ascii="仿宋" w:hAnsi="仿宋" w:eastAsia="仿宋" w:cs="仿宋"/>
          <w:sz w:val="24"/>
          <w:szCs w:val="24"/>
        </w:rPr>
        <w:t xml:space="preserve">.9.1 </w:t>
      </w:r>
      <w:r>
        <w:rPr>
          <w:rFonts w:hint="eastAsia" w:ascii="仿宋" w:hAnsi="仿宋" w:eastAsia="仿宋" w:cs="仿宋"/>
          <w:sz w:val="24"/>
          <w:szCs w:val="24"/>
        </w:rPr>
        <w:t>出入现场的权利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关于出入现场的权利的约定：。</w:t>
      </w:r>
    </w:p>
    <w:bookmarkEnd w:id="206"/>
    <w:bookmarkEnd w:id="207"/>
    <w:bookmarkEnd w:id="208"/>
    <w:bookmarkEnd w:id="209"/>
    <w:bookmarkEnd w:id="210"/>
    <w:p>
      <w:pPr>
        <w:spacing w:line="360" w:lineRule="auto"/>
        <w:ind w:firstLine="480" w:firstLineChars="200"/>
        <w:rPr>
          <w:rFonts w:ascii="仿宋" w:hAnsi="仿宋" w:eastAsia="仿宋" w:cs="仿宋"/>
          <w:sz w:val="24"/>
          <w:szCs w:val="24"/>
        </w:rPr>
      </w:pPr>
      <w:r>
        <w:rPr>
          <w:rFonts w:ascii="仿宋" w:hAnsi="仿宋" w:eastAsia="仿宋" w:cs="仿宋"/>
          <w:sz w:val="24"/>
          <w:szCs w:val="24"/>
        </w:rPr>
        <w:t>1</w:t>
      </w:r>
      <w:bookmarkStart w:id="211" w:name="_Toc318581156"/>
      <w:bookmarkStart w:id="212" w:name="_Toc304295522"/>
      <w:bookmarkStart w:id="213" w:name="_Toc300934944"/>
      <w:bookmarkStart w:id="214" w:name="_Toc303539101"/>
      <w:bookmarkStart w:id="215" w:name="_Toc312677987"/>
      <w:r>
        <w:rPr>
          <w:rFonts w:ascii="仿宋" w:hAnsi="仿宋" w:eastAsia="仿宋" w:cs="仿宋"/>
          <w:sz w:val="24"/>
          <w:szCs w:val="24"/>
        </w:rPr>
        <w:t xml:space="preserve">.9.2 </w:t>
      </w:r>
      <w:r>
        <w:rPr>
          <w:rFonts w:hint="eastAsia" w:ascii="仿宋" w:hAnsi="仿宋" w:eastAsia="仿宋" w:cs="仿宋"/>
          <w:sz w:val="24"/>
          <w:szCs w:val="24"/>
        </w:rPr>
        <w:t>场内交通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关于场外交通和场内交通的边界的约定：。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bookmarkEnd w:id="211"/>
      <w:bookmarkEnd w:id="212"/>
      <w:bookmarkEnd w:id="213"/>
      <w:bookmarkEnd w:id="214"/>
      <w:bookmarkEnd w:id="215"/>
      <w:bookmarkStart w:id="216" w:name="_Toc318581157"/>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1.9.3</w:t>
      </w:r>
      <w:r>
        <w:rPr>
          <w:rFonts w:hint="eastAsia" w:ascii="仿宋" w:hAnsi="仿宋" w:eastAsia="仿宋" w:cs="仿宋"/>
          <w:sz w:val="24"/>
          <w:szCs w:val="24"/>
        </w:rPr>
        <w:t>超大件和超重件的运输</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运输超大件或超重件所需的道路和桥梁临时加固改造费用和其他有关费用由承担。</w:t>
      </w:r>
    </w:p>
    <w:bookmarkEnd w:id="216"/>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1.10 </w:t>
      </w:r>
      <w:r>
        <w:rPr>
          <w:rFonts w:hint="eastAsia" w:ascii="仿宋" w:hAnsi="仿宋" w:eastAsia="仿宋" w:cs="仿宋"/>
          <w:b/>
          <w:sz w:val="24"/>
          <w:szCs w:val="24"/>
        </w:rPr>
        <w:t>知识产权</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1.10.1</w:t>
      </w:r>
      <w:r>
        <w:rPr>
          <w:rFonts w:hint="eastAsia" w:ascii="仿宋" w:hAnsi="仿宋" w:eastAsia="仿宋" w:cs="仿宋"/>
          <w:sz w:val="24"/>
          <w:szCs w:val="24"/>
        </w:rPr>
        <w:t>关于发包人提供给承包人的图纸、发包人为实施工程自行编制或委托编制的技术规范以及反映发包人关于合同要求或其他类似性质的文件的著作权的归属：。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1.10.2 </w:t>
      </w:r>
      <w:r>
        <w:rPr>
          <w:rFonts w:hint="eastAsia" w:ascii="仿宋" w:hAnsi="仿宋" w:eastAsia="仿宋" w:cs="仿宋"/>
          <w:sz w:val="24"/>
          <w:szCs w:val="24"/>
        </w:rPr>
        <w:t>关于承包人为实施工程所编制文件的著作权的归属：。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1.10.3 </w:t>
      </w:r>
      <w:r>
        <w:rPr>
          <w:rFonts w:hint="eastAsia" w:ascii="仿宋" w:hAnsi="仿宋" w:eastAsia="仿宋" w:cs="仿宋"/>
          <w:sz w:val="24"/>
          <w:szCs w:val="24"/>
        </w:rPr>
        <w:t>承包人在施工过程中所采用的专利、专有技术、技术秘密的使用费的承担方式：。</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1.11</w:t>
      </w:r>
      <w:r>
        <w:rPr>
          <w:rFonts w:hint="eastAsia" w:ascii="仿宋" w:hAnsi="仿宋" w:eastAsia="仿宋" w:cs="仿宋"/>
          <w:b/>
          <w:sz w:val="24"/>
          <w:szCs w:val="24"/>
        </w:rPr>
        <w:t>工程量清单错误的修正</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出现工程量清单错误时，是否调整合同价格：。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允许调整合同价格的工程量偏差范围：。</w:t>
      </w:r>
    </w:p>
    <w:p>
      <w:pPr>
        <w:keepNext/>
        <w:keepLines/>
        <w:spacing w:before="240" w:after="120" w:line="360" w:lineRule="auto"/>
        <w:outlineLvl w:val="3"/>
        <w:rPr>
          <w:rFonts w:ascii="仿宋" w:hAnsi="仿宋" w:eastAsia="仿宋" w:cs="仿宋"/>
          <w:b/>
          <w:sz w:val="24"/>
          <w:szCs w:val="24"/>
        </w:rPr>
      </w:pPr>
      <w:bookmarkStart w:id="217" w:name="_Toc351203634"/>
      <w:r>
        <w:rPr>
          <w:rFonts w:ascii="仿宋" w:hAnsi="仿宋" w:eastAsia="仿宋" w:cs="仿宋"/>
          <w:b/>
          <w:sz w:val="24"/>
          <w:szCs w:val="24"/>
        </w:rPr>
        <w:t>2</w:t>
      </w:r>
      <w:bookmarkStart w:id="218" w:name="_Toc296503157"/>
      <w:bookmarkStart w:id="219" w:name="_Toc292559867"/>
      <w:bookmarkStart w:id="220" w:name="_Toc296891197"/>
      <w:bookmarkStart w:id="221" w:name="_Toc296944496"/>
      <w:bookmarkStart w:id="222" w:name="_Toc296347156"/>
      <w:bookmarkStart w:id="223" w:name="_Toc297048343"/>
      <w:bookmarkStart w:id="224" w:name="_Toc296346658"/>
      <w:bookmarkStart w:id="225" w:name="_Toc292559362"/>
      <w:bookmarkStart w:id="226" w:name="_Toc296890985"/>
      <w:bookmarkStart w:id="227" w:name="_Toc297120457"/>
      <w:r>
        <w:rPr>
          <w:rFonts w:ascii="仿宋" w:hAnsi="仿宋" w:eastAsia="仿宋" w:cs="仿宋"/>
          <w:b/>
          <w:sz w:val="24"/>
          <w:szCs w:val="24"/>
        </w:rPr>
        <w:t xml:space="preserve">. </w:t>
      </w:r>
      <w:r>
        <w:rPr>
          <w:rFonts w:hint="eastAsia" w:ascii="仿宋" w:hAnsi="仿宋" w:eastAsia="仿宋" w:cs="仿宋"/>
          <w:b/>
          <w:sz w:val="24"/>
          <w:szCs w:val="24"/>
        </w:rPr>
        <w:t>发包人</w:t>
      </w:r>
      <w:bookmarkEnd w:id="217"/>
    </w:p>
    <w:bookmarkEnd w:id="218"/>
    <w:bookmarkEnd w:id="219"/>
    <w:bookmarkEnd w:id="220"/>
    <w:bookmarkEnd w:id="221"/>
    <w:bookmarkEnd w:id="222"/>
    <w:bookmarkEnd w:id="223"/>
    <w:bookmarkEnd w:id="224"/>
    <w:bookmarkEnd w:id="225"/>
    <w:bookmarkEnd w:id="226"/>
    <w:bookmarkEnd w:id="227"/>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2.1 </w:t>
      </w:r>
      <w:r>
        <w:rPr>
          <w:rFonts w:hint="eastAsia" w:ascii="仿宋" w:hAnsi="仿宋" w:eastAsia="仿宋" w:cs="仿宋"/>
          <w:b/>
          <w:sz w:val="24"/>
          <w:szCs w:val="24"/>
        </w:rPr>
        <w:t>发包人代表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发包人代表：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发包人对发包人代表的授权范围如下：。</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2.2 </w:t>
      </w:r>
      <w:r>
        <w:rPr>
          <w:rFonts w:hint="eastAsia" w:ascii="仿宋" w:hAnsi="仿宋" w:eastAsia="仿宋" w:cs="仿宋"/>
          <w:b/>
          <w:sz w:val="24"/>
          <w:szCs w:val="24"/>
        </w:rPr>
        <w:t>施工现场、施工条件和基础资料的提供</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2.2.1 </w:t>
      </w:r>
      <w:r>
        <w:rPr>
          <w:rFonts w:hint="eastAsia" w:ascii="仿宋" w:hAnsi="仿宋" w:eastAsia="仿宋" w:cs="仿宋"/>
          <w:sz w:val="24"/>
          <w:szCs w:val="24"/>
        </w:rPr>
        <w:t>提供施工现场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2.2.2 </w:t>
      </w:r>
      <w:r>
        <w:rPr>
          <w:rFonts w:hint="eastAsia" w:ascii="仿宋" w:hAnsi="仿宋" w:eastAsia="仿宋" w:cs="仿宋"/>
          <w:sz w:val="24"/>
          <w:szCs w:val="24"/>
        </w:rPr>
        <w:t>提供施工条件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关于发包人应负责提供施工所需要的条件，包括：</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）将施工所需的水、电、通讯线路接至施工场地的时间、地点和供应要求：。</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）施工场地与公共道路通道开通的时间和要求：。</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）工程地质和地下管线资料的提供时间：。</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）由发包人办理的施工所需所证、批件的名称和完成时间：。</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）水准点与座标控制制点交验要求：。</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）图纸会审和设计交底时间：。</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）协调处理施工场地周围地下管线和邻近建筑物、构筑物（含文物保护建筑）、古树名木的保护工作：。</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）发包人应做的其他工作：。</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2.3 </w:t>
      </w:r>
      <w:r>
        <w:rPr>
          <w:rFonts w:hint="eastAsia" w:ascii="仿宋" w:hAnsi="仿宋" w:eastAsia="仿宋" w:cs="仿宋"/>
          <w:b/>
          <w:sz w:val="24"/>
          <w:szCs w:val="24"/>
        </w:rPr>
        <w:t>资金来源证明及支付担保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发包人提供支付担保的形式：。</w:t>
      </w:r>
    </w:p>
    <w:p>
      <w:pPr>
        <w:keepNext/>
        <w:keepLines/>
        <w:spacing w:before="240" w:after="120" w:line="360" w:lineRule="auto"/>
        <w:outlineLvl w:val="3"/>
        <w:rPr>
          <w:rFonts w:ascii="仿宋" w:hAnsi="仿宋" w:eastAsia="仿宋" w:cs="仿宋"/>
          <w:b/>
          <w:sz w:val="24"/>
          <w:szCs w:val="24"/>
        </w:rPr>
      </w:pPr>
      <w:bookmarkStart w:id="228" w:name="_Toc351203635"/>
      <w:r>
        <w:rPr>
          <w:rFonts w:ascii="仿宋" w:hAnsi="仿宋" w:eastAsia="仿宋" w:cs="仿宋"/>
          <w:b/>
          <w:sz w:val="24"/>
          <w:szCs w:val="24"/>
        </w:rPr>
        <w:t>3</w:t>
      </w:r>
      <w:bookmarkStart w:id="229" w:name="_Toc297120458"/>
      <w:bookmarkStart w:id="230" w:name="_Toc296944497"/>
      <w:bookmarkStart w:id="231" w:name="_Toc296890986"/>
      <w:bookmarkStart w:id="232" w:name="_Toc296346659"/>
      <w:bookmarkStart w:id="233" w:name="_Toc292559363"/>
      <w:bookmarkStart w:id="234" w:name="_Toc292559868"/>
      <w:bookmarkStart w:id="235" w:name="_Toc296503158"/>
      <w:bookmarkStart w:id="236" w:name="_Toc296891198"/>
      <w:bookmarkStart w:id="237" w:name="_Toc296347157"/>
      <w:bookmarkStart w:id="238" w:name="_Toc297048344"/>
      <w:r>
        <w:rPr>
          <w:rFonts w:ascii="仿宋" w:hAnsi="仿宋" w:eastAsia="仿宋" w:cs="仿宋"/>
          <w:b/>
          <w:sz w:val="24"/>
          <w:szCs w:val="24"/>
        </w:rPr>
        <w:t xml:space="preserve">. </w:t>
      </w:r>
      <w:r>
        <w:rPr>
          <w:rFonts w:hint="eastAsia" w:ascii="仿宋" w:hAnsi="仿宋" w:eastAsia="仿宋" w:cs="仿宋"/>
          <w:b/>
          <w:sz w:val="24"/>
          <w:szCs w:val="24"/>
        </w:rPr>
        <w:t>承包人</w:t>
      </w:r>
      <w:bookmarkEnd w:id="228"/>
    </w:p>
    <w:bookmarkEnd w:id="229"/>
    <w:bookmarkEnd w:id="230"/>
    <w:bookmarkEnd w:id="231"/>
    <w:bookmarkEnd w:id="232"/>
    <w:bookmarkEnd w:id="233"/>
    <w:bookmarkEnd w:id="234"/>
    <w:bookmarkEnd w:id="235"/>
    <w:bookmarkEnd w:id="236"/>
    <w:bookmarkEnd w:id="237"/>
    <w:bookmarkEnd w:id="238"/>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3.1 </w:t>
      </w:r>
      <w:r>
        <w:rPr>
          <w:rFonts w:hint="eastAsia" w:ascii="仿宋" w:hAnsi="仿宋" w:eastAsia="仿宋" w:cs="仿宋"/>
          <w:b/>
          <w:sz w:val="24"/>
          <w:szCs w:val="24"/>
        </w:rPr>
        <w:t>承包人的一般义务</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）承包人提交的竣工资料的内容：。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承包人需要提交的竣工资料套数：。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承包人提交的竣工资料的费用承担：。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承包人提交的竣工资料形式要求：。</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）承包人应履行的其他义务：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a．完成深化设计文件提交时间：。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b．应提供计划、报表的名称及完成时间：。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c．承担施工安全保卫工作及非夜间施工照明的责任和要求：。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d．向发包人提供的办公和生活房屋及设施的要求：无。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e．需承包人办理的有关施工场地交通、环卫和施工噪音管理手续：。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f．已完工程成品保护的特殊要求及费用承担：。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g．施工场地周围地下管线和邻近建筑物、构筑物（含文物保护建筑）、古树名木的保护要求及费用承担：。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h．施工场地清洁卫生的要求：。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i．消防相关工程、资料完善并确保通过消防验收。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j．按合同约定支付竣工结算效益审计费用。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k．承包人应按有关法律规定纳税，应缴纳的税金包括在合同价格内。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l．双方约定承包人应做的其他工作：。</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3.2 </w:t>
      </w:r>
      <w:r>
        <w:rPr>
          <w:rFonts w:hint="eastAsia" w:ascii="仿宋" w:hAnsi="仿宋" w:eastAsia="仿宋" w:cs="仿宋"/>
          <w:b/>
          <w:sz w:val="24"/>
          <w:szCs w:val="24"/>
        </w:rPr>
        <w:t>项目经理</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建造师注册证书号：；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建造师执业印章号：；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关于项目经理每月在施工现场的时间要求：。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承包人未提交劳动合同，以及没有为项目经理缴纳社会保险证明的违约责任：。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实行项目经理、项目主要技术负责人压证施工制度。发包人须在承包人提供施工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承包人擅自更换项目经理或技术负责人的违约责任：。</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3.2.3 </w:t>
      </w:r>
      <w:r>
        <w:rPr>
          <w:rFonts w:hint="eastAsia" w:ascii="仿宋" w:hAnsi="仿宋" w:eastAsia="仿宋" w:cs="仿宋"/>
          <w:sz w:val="24"/>
          <w:szCs w:val="24"/>
        </w:rPr>
        <w:t>承包人无正当理由拒绝更换项目经理的违约责任：。</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3.3 </w:t>
      </w:r>
      <w:r>
        <w:rPr>
          <w:rFonts w:hint="eastAsia" w:ascii="仿宋" w:hAnsi="仿宋" w:eastAsia="仿宋" w:cs="仿宋"/>
          <w:b/>
          <w:sz w:val="24"/>
          <w:szCs w:val="24"/>
        </w:rPr>
        <w:t>承包人人员</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3.3.1 </w:t>
      </w:r>
      <w:r>
        <w:rPr>
          <w:rFonts w:hint="eastAsia" w:ascii="仿宋" w:hAnsi="仿宋" w:eastAsia="仿宋" w:cs="仿宋"/>
          <w:sz w:val="24"/>
          <w:szCs w:val="24"/>
        </w:rPr>
        <w:t>承包人提交项目管理机构及施工现场管理人员安排报告的期限：。</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3.3.2 </w:t>
      </w:r>
      <w:r>
        <w:rPr>
          <w:rFonts w:hint="eastAsia" w:ascii="仿宋" w:hAnsi="仿宋" w:eastAsia="仿宋" w:cs="仿宋"/>
          <w:sz w:val="24"/>
          <w:szCs w:val="24"/>
        </w:rPr>
        <w:t>承包人无正当理由拒绝撤换主要施工管理人员的违约责任：。</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3.3.3</w:t>
      </w:r>
      <w:r>
        <w:rPr>
          <w:rFonts w:hint="eastAsia" w:ascii="仿宋" w:hAnsi="仿宋" w:eastAsia="仿宋" w:cs="仿宋"/>
          <w:sz w:val="24"/>
          <w:szCs w:val="24"/>
        </w:rPr>
        <w:t>承包人主要施工管理人员离开施工现场的批准要求：。</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3.3.4</w:t>
      </w:r>
      <w:r>
        <w:rPr>
          <w:rFonts w:hint="eastAsia" w:ascii="仿宋" w:hAnsi="仿宋" w:eastAsia="仿宋" w:cs="仿宋"/>
          <w:sz w:val="24"/>
          <w:szCs w:val="24"/>
        </w:rPr>
        <w:t>承包人擅自更换主要施工管理人员的违约责任：。</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3.3.5</w:t>
      </w:r>
      <w:r>
        <w:rPr>
          <w:rFonts w:hint="eastAsia" w:ascii="仿宋" w:hAnsi="仿宋" w:eastAsia="仿宋" w:cs="仿宋"/>
          <w:sz w:val="24"/>
          <w:szCs w:val="24"/>
        </w:rPr>
        <w:t>承包人主要施工管理人员擅自离开施工现场的违约责任：。</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3</w:t>
      </w:r>
      <w:bookmarkStart w:id="239" w:name="_Toc297048345"/>
      <w:bookmarkStart w:id="240" w:name="_Toc304295523"/>
      <w:bookmarkStart w:id="241" w:name="_Toc297123492"/>
      <w:bookmarkStart w:id="242" w:name="_Toc296891199"/>
      <w:bookmarkStart w:id="243" w:name="_Toc296347158"/>
      <w:bookmarkStart w:id="244" w:name="_Toc300934945"/>
      <w:bookmarkStart w:id="245" w:name="_Toc296346660"/>
      <w:bookmarkStart w:id="246" w:name="_Toc303539102"/>
      <w:bookmarkStart w:id="247" w:name="_Toc297216151"/>
      <w:bookmarkStart w:id="248" w:name="_Toc296890987"/>
      <w:bookmarkStart w:id="249" w:name="_Toc312677988"/>
      <w:bookmarkStart w:id="250" w:name="_Toc292559364"/>
      <w:bookmarkStart w:id="251" w:name="_Toc296503159"/>
      <w:bookmarkStart w:id="252" w:name="_Toc296944498"/>
      <w:bookmarkStart w:id="253" w:name="_Toc297120459"/>
      <w:bookmarkStart w:id="254" w:name="_Toc292559869"/>
      <w:r>
        <w:rPr>
          <w:rFonts w:ascii="仿宋" w:hAnsi="仿宋" w:eastAsia="仿宋" w:cs="仿宋"/>
          <w:b/>
          <w:sz w:val="24"/>
          <w:szCs w:val="24"/>
        </w:rPr>
        <w:t xml:space="preserve">.4 </w:t>
      </w:r>
      <w:r>
        <w:rPr>
          <w:rFonts w:hint="eastAsia" w:ascii="仿宋" w:hAnsi="仿宋" w:eastAsia="仿宋" w:cs="仿宋"/>
          <w:b/>
          <w:sz w:val="24"/>
          <w:szCs w:val="24"/>
        </w:rPr>
        <w:t>分包</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bookmarkStart w:id="255" w:name="_Toc292559870"/>
      <w:bookmarkStart w:id="256" w:name="_Toc296347159"/>
      <w:bookmarkStart w:id="257" w:name="_Toc297048346"/>
      <w:bookmarkStart w:id="258" w:name="_Toc296890988"/>
      <w:bookmarkStart w:id="259" w:name="_Toc297120460"/>
      <w:bookmarkStart w:id="260" w:name="_Toc303539103"/>
      <w:bookmarkStart w:id="261" w:name="_Toc300934946"/>
      <w:bookmarkStart w:id="262" w:name="_Toc292559365"/>
      <w:bookmarkStart w:id="263" w:name="_Toc304295524"/>
      <w:bookmarkStart w:id="264" w:name="_Toc296944499"/>
      <w:bookmarkStart w:id="265" w:name="_Toc296346661"/>
      <w:bookmarkStart w:id="266" w:name="_Toc296891200"/>
      <w:bookmarkStart w:id="267" w:name="_Toc296503160"/>
      <w:bookmarkStart w:id="268" w:name="_Toc297216152"/>
      <w:bookmarkStart w:id="269" w:name="_Toc297123493"/>
      <w:bookmarkStart w:id="270" w:name="_Toc318581158"/>
      <w:bookmarkStart w:id="271" w:name="_Toc312677989"/>
      <w:r>
        <w:rPr>
          <w:rFonts w:ascii="仿宋" w:hAnsi="仿宋" w:eastAsia="仿宋" w:cs="仿宋"/>
          <w:sz w:val="24"/>
          <w:szCs w:val="24"/>
        </w:rPr>
        <w:t xml:space="preserve">.4.1 </w:t>
      </w:r>
      <w:r>
        <w:rPr>
          <w:rFonts w:hint="eastAsia" w:ascii="仿宋" w:hAnsi="仿宋" w:eastAsia="仿宋" w:cs="仿宋"/>
          <w:sz w:val="24"/>
          <w:szCs w:val="24"/>
        </w:rPr>
        <w:t>分包的一般约定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主体结构、关键性工作的范围：。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Start w:id="272" w:name="_Toc297123494"/>
      <w:bookmarkStart w:id="273" w:name="_Toc296944500"/>
      <w:bookmarkStart w:id="274" w:name="_Toc304295525"/>
      <w:bookmarkStart w:id="275" w:name="_Toc297216153"/>
      <w:bookmarkStart w:id="276" w:name="_Toc296503161"/>
      <w:bookmarkStart w:id="277" w:name="_Toc297048347"/>
      <w:bookmarkStart w:id="278" w:name="_Toc296346662"/>
      <w:bookmarkStart w:id="279" w:name="_Toc296347160"/>
      <w:bookmarkStart w:id="280" w:name="_Toc297120461"/>
      <w:bookmarkStart w:id="281" w:name="_Toc303539104"/>
      <w:bookmarkStart w:id="282" w:name="_Toc300934947"/>
      <w:bookmarkStart w:id="283" w:name="_Toc296891201"/>
      <w:bookmarkStart w:id="284" w:name="_Toc296890989"/>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bookmarkStart w:id="285" w:name="_Toc318581159"/>
      <w:bookmarkStart w:id="286" w:name="_Toc312677990"/>
      <w:r>
        <w:rPr>
          <w:rFonts w:ascii="仿宋" w:hAnsi="仿宋" w:eastAsia="仿宋" w:cs="仿宋"/>
          <w:sz w:val="24"/>
          <w:szCs w:val="24"/>
        </w:rPr>
        <w:t>.4.2</w:t>
      </w:r>
      <w:r>
        <w:rPr>
          <w:rFonts w:hint="eastAsia" w:ascii="仿宋" w:hAnsi="仿宋" w:eastAsia="仿宋" w:cs="仿宋"/>
          <w:sz w:val="24"/>
          <w:szCs w:val="24"/>
        </w:rPr>
        <w:t>分包的确定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3.4.3</w:t>
      </w:r>
      <w:r>
        <w:rPr>
          <w:rFonts w:hint="eastAsia" w:ascii="仿宋" w:hAnsi="仿宋" w:eastAsia="仿宋" w:cs="仿宋"/>
          <w:sz w:val="24"/>
          <w:szCs w:val="24"/>
        </w:rPr>
        <w:t>分包合同价款</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关于分包合同价款支付的约定：。</w:t>
      </w:r>
    </w:p>
    <w:bookmarkEnd w:id="285"/>
    <w:bookmarkEnd w:id="286"/>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3.5 </w:t>
      </w:r>
      <w:r>
        <w:rPr>
          <w:rFonts w:hint="eastAsia" w:ascii="仿宋" w:hAnsi="仿宋" w:eastAsia="仿宋" w:cs="仿宋"/>
          <w:b/>
          <w:sz w:val="24"/>
          <w:szCs w:val="24"/>
        </w:rPr>
        <w:t>工程照管与成品、半成品保护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承包人负责照管工程及工程相关的材料、工程设备的起始时间：。</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3.6 </w:t>
      </w:r>
      <w:r>
        <w:rPr>
          <w:rFonts w:hint="eastAsia" w:ascii="仿宋" w:hAnsi="仿宋" w:eastAsia="仿宋" w:cs="仿宋"/>
          <w:b/>
          <w:sz w:val="24"/>
          <w:szCs w:val="24"/>
        </w:rPr>
        <w:t>履约担保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承包人提供履约担保的形式、金额及期限：。</w:t>
      </w:r>
    </w:p>
    <w:p>
      <w:pPr>
        <w:keepNext/>
        <w:keepLines/>
        <w:spacing w:before="240" w:after="120" w:line="360" w:lineRule="auto"/>
        <w:outlineLvl w:val="3"/>
        <w:rPr>
          <w:rFonts w:ascii="仿宋" w:hAnsi="仿宋" w:eastAsia="仿宋" w:cs="仿宋"/>
          <w:b/>
          <w:sz w:val="24"/>
          <w:szCs w:val="24"/>
        </w:rPr>
      </w:pPr>
      <w:bookmarkStart w:id="287" w:name="_Toc351203636"/>
      <w:r>
        <w:rPr>
          <w:rFonts w:ascii="仿宋" w:hAnsi="仿宋" w:eastAsia="仿宋" w:cs="仿宋"/>
          <w:b/>
          <w:sz w:val="24"/>
          <w:szCs w:val="24"/>
        </w:rPr>
        <w:t>4</w:t>
      </w:r>
      <w:bookmarkStart w:id="288" w:name="_Toc296347161"/>
      <w:bookmarkStart w:id="289" w:name="_Toc267251413"/>
      <w:bookmarkStart w:id="290" w:name="_Toc297120462"/>
      <w:bookmarkStart w:id="291" w:name="_Toc296346663"/>
      <w:bookmarkStart w:id="292" w:name="_Toc296891202"/>
      <w:bookmarkStart w:id="293" w:name="_Toc296944501"/>
      <w:bookmarkStart w:id="294" w:name="_Toc292559366"/>
      <w:bookmarkStart w:id="295" w:name="_Toc296503162"/>
      <w:bookmarkStart w:id="296" w:name="_Toc292559871"/>
      <w:bookmarkStart w:id="297" w:name="_Toc297048348"/>
      <w:bookmarkStart w:id="298" w:name="_Toc296890990"/>
      <w:r>
        <w:rPr>
          <w:rFonts w:ascii="仿宋" w:hAnsi="仿宋" w:eastAsia="仿宋" w:cs="仿宋"/>
          <w:b/>
          <w:sz w:val="24"/>
          <w:szCs w:val="24"/>
        </w:rPr>
        <w:t xml:space="preserve">. </w:t>
      </w:r>
      <w:r>
        <w:rPr>
          <w:rFonts w:hint="eastAsia" w:ascii="仿宋" w:hAnsi="仿宋" w:eastAsia="仿宋" w:cs="仿宋"/>
          <w:b/>
          <w:sz w:val="24"/>
          <w:szCs w:val="24"/>
        </w:rPr>
        <w:t>监</w:t>
      </w:r>
      <w:bookmarkEnd w:id="288"/>
      <w:bookmarkEnd w:id="289"/>
      <w:bookmarkEnd w:id="290"/>
      <w:bookmarkEnd w:id="291"/>
      <w:bookmarkEnd w:id="292"/>
      <w:bookmarkEnd w:id="293"/>
      <w:bookmarkEnd w:id="294"/>
      <w:bookmarkEnd w:id="295"/>
      <w:bookmarkEnd w:id="296"/>
      <w:bookmarkEnd w:id="297"/>
      <w:bookmarkEnd w:id="298"/>
      <w:r>
        <w:rPr>
          <w:rFonts w:hint="eastAsia" w:ascii="仿宋" w:hAnsi="仿宋" w:eastAsia="仿宋" w:cs="仿宋"/>
          <w:b/>
          <w:sz w:val="24"/>
          <w:szCs w:val="24"/>
        </w:rPr>
        <w:t>理人</w:t>
      </w:r>
      <w:bookmarkEnd w:id="287"/>
    </w:p>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4.1</w:t>
      </w:r>
      <w:r>
        <w:rPr>
          <w:rFonts w:hint="eastAsia" w:ascii="仿宋" w:hAnsi="仿宋" w:eastAsia="仿宋" w:cs="仿宋"/>
          <w:b/>
          <w:sz w:val="24"/>
          <w:szCs w:val="24"/>
        </w:rPr>
        <w:t>监理人的一般规定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关于监理人的监理内容：。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关于监理人在施工现场的办公场所、生活场所的提供和费用承担的约定：。</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4.2 </w:t>
      </w:r>
      <w:r>
        <w:rPr>
          <w:rFonts w:hint="eastAsia" w:ascii="仿宋" w:hAnsi="仿宋" w:eastAsia="仿宋" w:cs="仿宋"/>
          <w:b/>
          <w:sz w:val="24"/>
          <w:szCs w:val="24"/>
        </w:rPr>
        <w:t>监理人员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总监理工程师：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关于监理人的其他约定：。</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4.3 </w:t>
      </w:r>
      <w:r>
        <w:rPr>
          <w:rFonts w:hint="eastAsia" w:ascii="仿宋" w:hAnsi="仿宋" w:eastAsia="仿宋" w:cs="仿宋"/>
          <w:b/>
          <w:sz w:val="24"/>
          <w:szCs w:val="24"/>
        </w:rPr>
        <w:t>商定或确定</w:t>
      </w:r>
    </w:p>
    <w:p>
      <w:pPr>
        <w:spacing w:line="360" w:lineRule="auto"/>
        <w:ind w:firstLine="480" w:firstLineChars="200"/>
        <w:rPr>
          <w:rFonts w:ascii="仿宋" w:hAnsi="仿宋" w:eastAsia="仿宋" w:cs="仿宋"/>
          <w:sz w:val="24"/>
          <w:szCs w:val="24"/>
        </w:rPr>
      </w:pPr>
      <w:bookmarkStart w:id="299" w:name="_Toc267251418"/>
      <w:r>
        <w:rPr>
          <w:rFonts w:hint="eastAsia" w:ascii="仿宋" w:hAnsi="仿宋" w:eastAsia="仿宋" w:cs="仿宋"/>
          <w:sz w:val="24"/>
          <w:szCs w:val="24"/>
        </w:rPr>
        <w:t>在发包人和承包人不能通过协商达成一致意见时，发包人授权监理人对以下事项进行确定：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p>
    <w:p>
      <w:pPr>
        <w:keepNext/>
        <w:keepLines/>
        <w:spacing w:before="240" w:after="120" w:line="360" w:lineRule="auto"/>
        <w:outlineLvl w:val="3"/>
        <w:rPr>
          <w:rFonts w:ascii="仿宋" w:hAnsi="仿宋" w:eastAsia="仿宋" w:cs="仿宋"/>
          <w:b/>
          <w:sz w:val="24"/>
          <w:szCs w:val="24"/>
        </w:rPr>
      </w:pPr>
      <w:bookmarkStart w:id="300" w:name="_Toc351203637"/>
      <w:r>
        <w:rPr>
          <w:rFonts w:ascii="仿宋" w:hAnsi="仿宋" w:eastAsia="仿宋" w:cs="仿宋"/>
          <w:b/>
          <w:sz w:val="24"/>
          <w:szCs w:val="24"/>
        </w:rPr>
        <w:t>5</w:t>
      </w:r>
      <w:bookmarkEnd w:id="299"/>
      <w:bookmarkStart w:id="301" w:name="_Toc296503163"/>
      <w:bookmarkStart w:id="302" w:name="_Toc292559367"/>
      <w:bookmarkStart w:id="303" w:name="_Toc292559872"/>
      <w:bookmarkStart w:id="304" w:name="_Toc296944502"/>
      <w:bookmarkStart w:id="305" w:name="_Toc296890991"/>
      <w:bookmarkStart w:id="306" w:name="_Toc296346664"/>
      <w:bookmarkStart w:id="307" w:name="_Toc296347162"/>
      <w:bookmarkStart w:id="308" w:name="_Toc297120463"/>
      <w:bookmarkStart w:id="309" w:name="_Toc297048349"/>
      <w:bookmarkStart w:id="310" w:name="_Toc296891203"/>
      <w:r>
        <w:rPr>
          <w:rFonts w:ascii="仿宋" w:hAnsi="仿宋" w:eastAsia="仿宋" w:cs="仿宋"/>
          <w:b/>
          <w:sz w:val="24"/>
          <w:szCs w:val="24"/>
        </w:rPr>
        <w:t xml:space="preserve">. </w:t>
      </w:r>
      <w:r>
        <w:rPr>
          <w:rFonts w:hint="eastAsia" w:ascii="仿宋" w:hAnsi="仿宋" w:eastAsia="仿宋" w:cs="仿宋"/>
          <w:b/>
          <w:sz w:val="24"/>
          <w:szCs w:val="24"/>
        </w:rPr>
        <w:t>工程质量</w:t>
      </w:r>
      <w:bookmarkEnd w:id="300"/>
    </w:p>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5.1 </w:t>
      </w:r>
      <w:r>
        <w:rPr>
          <w:rFonts w:hint="eastAsia" w:ascii="仿宋" w:hAnsi="仿宋" w:eastAsia="仿宋" w:cs="仿宋"/>
          <w:b/>
          <w:sz w:val="24"/>
          <w:szCs w:val="24"/>
        </w:rPr>
        <w:t>质量要求</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5</w:t>
      </w:r>
      <w:bookmarkStart w:id="311" w:name="_Toc297123496"/>
      <w:bookmarkStart w:id="312" w:name="_Toc303539106"/>
      <w:bookmarkStart w:id="313" w:name="_Toc297216155"/>
      <w:bookmarkStart w:id="314" w:name="_Toc304295527"/>
      <w:bookmarkStart w:id="315" w:name="_Toc318581164"/>
      <w:bookmarkStart w:id="316" w:name="_Toc312677997"/>
      <w:bookmarkStart w:id="317" w:name="_Toc300934949"/>
      <w:r>
        <w:rPr>
          <w:rFonts w:ascii="仿宋" w:hAnsi="仿宋" w:eastAsia="仿宋" w:cs="仿宋"/>
          <w:sz w:val="24"/>
          <w:szCs w:val="24"/>
        </w:rPr>
        <w:t xml:space="preserve">.1.1 </w:t>
      </w:r>
      <w:r>
        <w:rPr>
          <w:rFonts w:hint="eastAsia" w:ascii="仿宋" w:hAnsi="仿宋" w:eastAsia="仿宋" w:cs="仿宋"/>
          <w:sz w:val="24"/>
          <w:szCs w:val="24"/>
        </w:rPr>
        <w:t>特殊质量标准和要求：。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关于工程奖项的约定：。</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5.2 </w:t>
      </w:r>
      <w:r>
        <w:rPr>
          <w:rFonts w:hint="eastAsia" w:ascii="仿宋" w:hAnsi="仿宋" w:eastAsia="仿宋" w:cs="仿宋"/>
          <w:b/>
          <w:sz w:val="24"/>
          <w:szCs w:val="24"/>
        </w:rPr>
        <w:t>隐蔽工程检查</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5.2.1</w:t>
      </w:r>
      <w:r>
        <w:rPr>
          <w:rFonts w:hint="eastAsia" w:ascii="仿宋" w:hAnsi="仿宋" w:eastAsia="仿宋" w:cs="仿宋"/>
          <w:sz w:val="24"/>
          <w:szCs w:val="24"/>
        </w:rPr>
        <w:t>承包人提前通知监理人隐蔽工程检查的期限的约定：。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监理人不能按时进行检查时，应提前</w:t>
      </w:r>
      <w:r>
        <w:rPr>
          <w:rFonts w:ascii="仿宋" w:hAnsi="仿宋" w:eastAsia="仿宋" w:cs="仿宋"/>
          <w:sz w:val="24"/>
          <w:szCs w:val="24"/>
        </w:rPr>
        <w:t>X</w:t>
      </w:r>
      <w:r>
        <w:rPr>
          <w:rFonts w:hint="eastAsia" w:ascii="仿宋" w:hAnsi="仿宋" w:eastAsia="仿宋" w:cs="仿宋"/>
          <w:sz w:val="24"/>
          <w:szCs w:val="24"/>
        </w:rPr>
        <w:t>小时提交书面延期要求。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关于延期最长不得超过：</w:t>
      </w:r>
      <w:r>
        <w:rPr>
          <w:rFonts w:ascii="仿宋" w:hAnsi="仿宋" w:eastAsia="仿宋" w:cs="仿宋"/>
          <w:sz w:val="24"/>
          <w:szCs w:val="24"/>
        </w:rPr>
        <w:t>X</w:t>
      </w:r>
      <w:r>
        <w:rPr>
          <w:rFonts w:hint="eastAsia" w:ascii="仿宋" w:hAnsi="仿宋" w:eastAsia="仿宋" w:cs="仿宋"/>
          <w:sz w:val="24"/>
          <w:szCs w:val="24"/>
        </w:rPr>
        <w:t>小时。</w:t>
      </w:r>
    </w:p>
    <w:p>
      <w:pPr>
        <w:keepNext/>
        <w:keepLines/>
        <w:spacing w:before="240" w:after="120" w:line="360" w:lineRule="auto"/>
        <w:outlineLvl w:val="3"/>
        <w:rPr>
          <w:rFonts w:ascii="仿宋" w:hAnsi="仿宋" w:eastAsia="仿宋" w:cs="仿宋"/>
          <w:b/>
          <w:sz w:val="24"/>
          <w:szCs w:val="24"/>
        </w:rPr>
      </w:pPr>
      <w:bookmarkStart w:id="318" w:name="_Toc351203638"/>
      <w:r>
        <w:rPr>
          <w:rFonts w:ascii="仿宋" w:hAnsi="仿宋" w:eastAsia="仿宋" w:cs="仿宋"/>
          <w:b/>
          <w:sz w:val="24"/>
          <w:szCs w:val="24"/>
        </w:rPr>
        <w:t xml:space="preserve">6. </w:t>
      </w:r>
      <w:r>
        <w:rPr>
          <w:rFonts w:hint="eastAsia" w:ascii="仿宋" w:hAnsi="仿宋" w:eastAsia="仿宋" w:cs="仿宋"/>
          <w:b/>
          <w:sz w:val="24"/>
          <w:szCs w:val="24"/>
        </w:rPr>
        <w:t>安全文明施工与环境保护</w:t>
      </w:r>
      <w:bookmarkEnd w:id="318"/>
    </w:p>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6.1</w:t>
      </w:r>
      <w:r>
        <w:rPr>
          <w:rFonts w:hint="eastAsia" w:ascii="仿宋" w:hAnsi="仿宋" w:eastAsia="仿宋" w:cs="仿宋"/>
          <w:b/>
          <w:sz w:val="24"/>
          <w:szCs w:val="24"/>
        </w:rPr>
        <w:t>安全文明施工</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6.1.1 </w:t>
      </w:r>
      <w:r>
        <w:rPr>
          <w:rFonts w:hint="eastAsia" w:ascii="仿宋" w:hAnsi="仿宋" w:eastAsia="仿宋" w:cs="仿宋"/>
          <w:sz w:val="24"/>
          <w:szCs w:val="24"/>
        </w:rPr>
        <w:t>项目安全生产的达标目标及相应事项的约定：。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6.1.2 </w:t>
      </w:r>
      <w:r>
        <w:rPr>
          <w:rFonts w:hint="eastAsia" w:ascii="仿宋" w:hAnsi="仿宋" w:eastAsia="仿宋" w:cs="仿宋"/>
          <w:sz w:val="24"/>
          <w:szCs w:val="24"/>
        </w:rPr>
        <w:t>关于治安保卫的特别约定：。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6.1.3 </w:t>
      </w:r>
      <w:r>
        <w:rPr>
          <w:rFonts w:hint="eastAsia" w:ascii="仿宋" w:hAnsi="仿宋" w:eastAsia="仿宋" w:cs="仿宋"/>
          <w:sz w:val="24"/>
          <w:szCs w:val="24"/>
        </w:rPr>
        <w:t>文明施工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6.1.4 </w:t>
      </w:r>
      <w:r>
        <w:rPr>
          <w:rFonts w:hint="eastAsia" w:ascii="仿宋" w:hAnsi="仿宋" w:eastAsia="仿宋" w:cs="仿宋"/>
          <w:sz w:val="24"/>
          <w:szCs w:val="24"/>
        </w:rPr>
        <w:t>关于安全文明施工费支付比例和支付期限的约定：。</w:t>
      </w:r>
    </w:p>
    <w:bookmarkEnd w:id="311"/>
    <w:bookmarkEnd w:id="312"/>
    <w:bookmarkEnd w:id="313"/>
    <w:bookmarkEnd w:id="314"/>
    <w:bookmarkEnd w:id="315"/>
    <w:bookmarkEnd w:id="316"/>
    <w:bookmarkEnd w:id="317"/>
    <w:p>
      <w:pPr>
        <w:keepNext/>
        <w:keepLines/>
        <w:spacing w:before="240" w:after="120" w:line="360" w:lineRule="auto"/>
        <w:outlineLvl w:val="3"/>
        <w:rPr>
          <w:rFonts w:ascii="仿宋" w:hAnsi="仿宋" w:eastAsia="仿宋" w:cs="仿宋"/>
          <w:b/>
          <w:sz w:val="24"/>
          <w:szCs w:val="24"/>
        </w:rPr>
      </w:pPr>
      <w:bookmarkStart w:id="319" w:name="_Toc351203639"/>
      <w:r>
        <w:rPr>
          <w:rFonts w:ascii="仿宋" w:hAnsi="仿宋" w:eastAsia="仿宋" w:cs="仿宋"/>
          <w:b/>
          <w:sz w:val="24"/>
          <w:szCs w:val="24"/>
        </w:rPr>
        <w:t xml:space="preserve">7. </w:t>
      </w:r>
      <w:r>
        <w:rPr>
          <w:rFonts w:hint="eastAsia" w:ascii="仿宋" w:hAnsi="仿宋" w:eastAsia="仿宋" w:cs="仿宋"/>
          <w:b/>
          <w:sz w:val="24"/>
          <w:szCs w:val="24"/>
        </w:rPr>
        <w:t>工期和进度</w:t>
      </w:r>
      <w:bookmarkEnd w:id="319"/>
    </w:p>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7.1 </w:t>
      </w:r>
      <w:r>
        <w:rPr>
          <w:rFonts w:hint="eastAsia" w:ascii="仿宋" w:hAnsi="仿宋" w:eastAsia="仿宋" w:cs="仿宋"/>
          <w:b/>
          <w:sz w:val="24"/>
          <w:szCs w:val="24"/>
        </w:rPr>
        <w:t>施工组织设计</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7.1.1 </w:t>
      </w:r>
      <w:r>
        <w:rPr>
          <w:rFonts w:hint="eastAsia" w:ascii="仿宋" w:hAnsi="仿宋" w:eastAsia="仿宋" w:cs="仿宋"/>
          <w:sz w:val="24"/>
          <w:szCs w:val="24"/>
        </w:rPr>
        <w:t>合同当事人约定的施工组织设计应包括的其他内容：。</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7.1.2 </w:t>
      </w:r>
      <w:r>
        <w:rPr>
          <w:rFonts w:hint="eastAsia" w:ascii="仿宋" w:hAnsi="仿宋" w:eastAsia="仿宋" w:cs="仿宋"/>
          <w:sz w:val="24"/>
          <w:szCs w:val="24"/>
        </w:rPr>
        <w:t>施工组织设计的提交和修改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承包人提交详细施工组织设计的期限的约定：。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7</w:t>
      </w:r>
      <w:bookmarkStart w:id="320" w:name="_Toc312677479"/>
      <w:bookmarkStart w:id="321" w:name="_Toc312678005"/>
      <w:bookmarkStart w:id="322" w:name="_Toc300934966"/>
      <w:bookmarkStart w:id="323" w:name="_Toc303539123"/>
      <w:bookmarkStart w:id="324" w:name="_Toc297123514"/>
      <w:bookmarkStart w:id="325" w:name="_Toc304295541"/>
      <w:bookmarkStart w:id="326" w:name="_Toc297216173"/>
      <w:r>
        <w:rPr>
          <w:rFonts w:ascii="仿宋" w:hAnsi="仿宋" w:eastAsia="仿宋" w:cs="仿宋"/>
          <w:b/>
          <w:sz w:val="24"/>
          <w:szCs w:val="24"/>
        </w:rPr>
        <w:t xml:space="preserve">.2 </w:t>
      </w:r>
      <w:r>
        <w:rPr>
          <w:rFonts w:hint="eastAsia" w:ascii="仿宋" w:hAnsi="仿宋" w:eastAsia="仿宋" w:cs="仿宋"/>
          <w:b/>
          <w:sz w:val="24"/>
          <w:szCs w:val="24"/>
        </w:rPr>
        <w:t>施工进度计划</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7.2.1 </w:t>
      </w:r>
      <w:r>
        <w:rPr>
          <w:rFonts w:hint="eastAsia" w:ascii="仿宋" w:hAnsi="仿宋" w:eastAsia="仿宋" w:cs="仿宋"/>
          <w:sz w:val="24"/>
          <w:szCs w:val="24"/>
        </w:rPr>
        <w:t>施工进度计划的修订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承包人提供施工组织设计（施工方案）和进度计划的时间：。</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7.3 </w:t>
      </w:r>
      <w:r>
        <w:rPr>
          <w:rFonts w:hint="eastAsia" w:ascii="仿宋" w:hAnsi="仿宋" w:eastAsia="仿宋" w:cs="仿宋"/>
          <w:b/>
          <w:sz w:val="24"/>
          <w:szCs w:val="24"/>
        </w:rPr>
        <w:t>开工</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7.3.1 </w:t>
      </w:r>
      <w:r>
        <w:rPr>
          <w:rFonts w:hint="eastAsia" w:ascii="仿宋" w:hAnsi="仿宋" w:eastAsia="仿宋" w:cs="仿宋"/>
          <w:sz w:val="24"/>
          <w:szCs w:val="24"/>
        </w:rPr>
        <w:t>开工准备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关于承包人提交工程开工报审表的期限：。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关于发包人应完成的其他开工准备工作及期限：。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7.3.2</w:t>
      </w:r>
      <w:r>
        <w:rPr>
          <w:rFonts w:hint="eastAsia" w:ascii="仿宋" w:hAnsi="仿宋" w:eastAsia="仿宋" w:cs="仿宋"/>
          <w:sz w:val="24"/>
          <w:szCs w:val="24"/>
        </w:rPr>
        <w:t>开工通知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因发包人原因造成监理人未能在计划开工日期之日起天</w:t>
      </w:r>
      <w:r>
        <w:rPr>
          <w:rFonts w:ascii="仿宋" w:hAnsi="仿宋" w:eastAsia="仿宋" w:cs="仿宋"/>
          <w:sz w:val="24"/>
          <w:szCs w:val="24"/>
        </w:rPr>
        <w:t>X</w:t>
      </w:r>
      <w:r>
        <w:rPr>
          <w:rFonts w:hint="eastAsia" w:ascii="仿宋" w:hAnsi="仿宋" w:eastAsia="仿宋" w:cs="仿宋"/>
          <w:sz w:val="24"/>
          <w:szCs w:val="24"/>
        </w:rPr>
        <w:t>内发出开工通知的，承包人有权提出价格调整要求，或者解除合同。</w:t>
      </w:r>
    </w:p>
    <w:bookmarkEnd w:id="320"/>
    <w:bookmarkEnd w:id="321"/>
    <w:bookmarkEnd w:id="322"/>
    <w:bookmarkEnd w:id="323"/>
    <w:bookmarkEnd w:id="324"/>
    <w:bookmarkEnd w:id="325"/>
    <w:bookmarkEnd w:id="326"/>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7.4 </w:t>
      </w:r>
      <w:r>
        <w:rPr>
          <w:rFonts w:hint="eastAsia" w:ascii="仿宋" w:hAnsi="仿宋" w:eastAsia="仿宋" w:cs="仿宋"/>
          <w:b/>
          <w:sz w:val="24"/>
          <w:szCs w:val="24"/>
        </w:rPr>
        <w:t>测量放线</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7.4.1</w:t>
      </w:r>
      <w:r>
        <w:rPr>
          <w:rFonts w:hint="eastAsia" w:ascii="仿宋" w:hAnsi="仿宋" w:eastAsia="仿宋" w:cs="仿宋"/>
          <w:sz w:val="24"/>
          <w:szCs w:val="24"/>
        </w:rPr>
        <w:t>发包人通过监理人向承包人提供测量基准点、基准线和水准点及其书面资料的期限：。</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7</w:t>
      </w:r>
      <w:bookmarkStart w:id="327" w:name="_Toc297216175"/>
      <w:bookmarkStart w:id="328" w:name="_Toc297123516"/>
      <w:bookmarkStart w:id="329" w:name="_Toc312677484"/>
      <w:bookmarkStart w:id="330" w:name="_Toc312678010"/>
      <w:bookmarkStart w:id="331" w:name="_Toc300934968"/>
      <w:bookmarkStart w:id="332" w:name="_Toc303539125"/>
      <w:bookmarkStart w:id="333" w:name="_Toc304295546"/>
      <w:r>
        <w:rPr>
          <w:rFonts w:ascii="仿宋" w:hAnsi="仿宋" w:eastAsia="仿宋" w:cs="仿宋"/>
          <w:b/>
          <w:sz w:val="24"/>
          <w:szCs w:val="24"/>
        </w:rPr>
        <w:t xml:space="preserve">.5 </w:t>
      </w:r>
      <w:r>
        <w:rPr>
          <w:rFonts w:hint="eastAsia" w:ascii="仿宋" w:hAnsi="仿宋" w:eastAsia="仿宋" w:cs="仿宋"/>
          <w:b/>
          <w:sz w:val="24"/>
          <w:szCs w:val="24"/>
        </w:rPr>
        <w:t>工期延误</w:t>
      </w:r>
    </w:p>
    <w:bookmarkEnd w:id="327"/>
    <w:bookmarkEnd w:id="328"/>
    <w:bookmarkEnd w:id="329"/>
    <w:bookmarkEnd w:id="330"/>
    <w:bookmarkEnd w:id="331"/>
    <w:bookmarkEnd w:id="332"/>
    <w:bookmarkEnd w:id="333"/>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7.5.1 </w:t>
      </w:r>
      <w:r>
        <w:rPr>
          <w:rFonts w:hint="eastAsia" w:ascii="仿宋" w:hAnsi="仿宋" w:eastAsia="仿宋" w:cs="仿宋"/>
          <w:sz w:val="24"/>
          <w:szCs w:val="24"/>
        </w:rPr>
        <w:t>因发包人原因导致工期延误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7</w:t>
      </w:r>
      <w:bookmarkStart w:id="334" w:name="_Toc312678012"/>
      <w:bookmarkStart w:id="335" w:name="_Toc312677486"/>
      <w:bookmarkStart w:id="336" w:name="_Toc318581169"/>
      <w:bookmarkStart w:id="337" w:name="_Toc297123518"/>
      <w:bookmarkStart w:id="338" w:name="_Toc297216177"/>
      <w:bookmarkStart w:id="339" w:name="_Toc303539127"/>
      <w:bookmarkStart w:id="340" w:name="_Toc300934970"/>
      <w:bookmarkStart w:id="341" w:name="_Toc304295548"/>
      <w:r>
        <w:rPr>
          <w:rFonts w:ascii="仿宋" w:hAnsi="仿宋" w:eastAsia="仿宋" w:cs="仿宋"/>
          <w:sz w:val="24"/>
          <w:szCs w:val="24"/>
        </w:rPr>
        <w:t xml:space="preserve">.5.2 </w:t>
      </w:r>
      <w:r>
        <w:rPr>
          <w:rFonts w:hint="eastAsia" w:ascii="仿宋" w:hAnsi="仿宋" w:eastAsia="仿宋" w:cs="仿宋"/>
          <w:sz w:val="24"/>
          <w:szCs w:val="24"/>
        </w:rPr>
        <w:t>因承包人原因导致工期延误</w:t>
      </w:r>
    </w:p>
    <w:bookmarkEnd w:id="334"/>
    <w:bookmarkEnd w:id="335"/>
    <w:bookmarkEnd w:id="336"/>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因</w:t>
      </w:r>
      <w:bookmarkStart w:id="342" w:name="_Toc312677487"/>
      <w:bookmarkStart w:id="343" w:name="_Toc312678013"/>
      <w:bookmarkStart w:id="344" w:name="_Toc318581170"/>
      <w:r>
        <w:rPr>
          <w:rFonts w:hint="eastAsia" w:ascii="仿宋" w:hAnsi="仿宋" w:eastAsia="仿宋" w:cs="仿宋"/>
          <w:sz w:val="24"/>
          <w:szCs w:val="24"/>
        </w:rPr>
        <w:t>承包人原因造成工期延误，逾期竣工违约金的计算方法为：。</w:t>
      </w:r>
    </w:p>
    <w:bookmarkEnd w:id="337"/>
    <w:bookmarkEnd w:id="338"/>
    <w:bookmarkEnd w:id="339"/>
    <w:bookmarkEnd w:id="340"/>
    <w:bookmarkEnd w:id="341"/>
    <w:bookmarkEnd w:id="342"/>
    <w:bookmarkEnd w:id="343"/>
    <w:bookmarkEnd w:id="344"/>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因承包人原因造成工期延误，逾</w:t>
      </w:r>
      <w:bookmarkStart w:id="345" w:name="_Toc312678014"/>
      <w:bookmarkStart w:id="346"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w:t>
      </w:r>
      <w:r>
        <w:rPr>
          <w:rFonts w:ascii="仿宋" w:hAnsi="仿宋" w:eastAsia="仿宋" w:cs="仿宋"/>
          <w:sz w:val="24"/>
          <w:szCs w:val="24"/>
          <w:u w:val="single"/>
        </w:rPr>
        <w:t>10%</w:t>
      </w:r>
      <w:r>
        <w:rPr>
          <w:rFonts w:hint="eastAsia" w:ascii="仿宋" w:hAnsi="仿宋" w:eastAsia="仿宋" w:cs="仿宋"/>
          <w:sz w:val="24"/>
          <w:szCs w:val="24"/>
        </w:rPr>
        <w:t>。</w:t>
      </w:r>
    </w:p>
    <w:bookmarkEnd w:id="345"/>
    <w:bookmarkEnd w:id="346"/>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7</w:t>
      </w:r>
      <w:bookmarkStart w:id="347" w:name="_Toc297216178"/>
      <w:bookmarkStart w:id="348" w:name="_Toc297123519"/>
      <w:bookmarkStart w:id="349" w:name="_Toc300934971"/>
      <w:bookmarkStart w:id="350" w:name="_Toc303539128"/>
      <w:bookmarkStart w:id="351" w:name="_Toc304295549"/>
      <w:bookmarkStart w:id="352" w:name="_Toc312678015"/>
      <w:r>
        <w:rPr>
          <w:rFonts w:ascii="仿宋" w:hAnsi="仿宋" w:eastAsia="仿宋" w:cs="仿宋"/>
          <w:b/>
          <w:sz w:val="24"/>
          <w:szCs w:val="24"/>
        </w:rPr>
        <w:t xml:space="preserve">.6 </w:t>
      </w:r>
      <w:r>
        <w:rPr>
          <w:rFonts w:hint="eastAsia" w:ascii="仿宋" w:hAnsi="仿宋" w:eastAsia="仿宋" w:cs="仿宋"/>
          <w:b/>
          <w:sz w:val="24"/>
          <w:szCs w:val="24"/>
        </w:rPr>
        <w:t>不</w:t>
      </w:r>
      <w:bookmarkEnd w:id="347"/>
      <w:bookmarkEnd w:id="348"/>
      <w:bookmarkEnd w:id="349"/>
      <w:bookmarkEnd w:id="350"/>
      <w:bookmarkEnd w:id="351"/>
      <w:bookmarkEnd w:id="352"/>
      <w:r>
        <w:rPr>
          <w:rFonts w:hint="eastAsia" w:ascii="仿宋" w:hAnsi="仿宋" w:eastAsia="仿宋" w:cs="仿宋"/>
          <w:b/>
          <w:sz w:val="24"/>
          <w:szCs w:val="24"/>
        </w:rPr>
        <w:t>利物质条件</w:t>
      </w:r>
    </w:p>
    <w:p>
      <w:pPr>
        <w:spacing w:line="360" w:lineRule="auto"/>
        <w:ind w:firstLine="480" w:firstLineChars="200"/>
        <w:rPr>
          <w:rFonts w:ascii="仿宋" w:hAnsi="仿宋" w:eastAsia="仿宋"/>
          <w:sz w:val="24"/>
          <w:szCs w:val="24"/>
        </w:rPr>
      </w:pPr>
      <w:bookmarkStart w:id="353" w:name="_Toc297216179"/>
      <w:bookmarkStart w:id="354" w:name="_Toc300934972"/>
      <w:bookmarkStart w:id="355" w:name="_Toc318581172"/>
      <w:bookmarkStart w:id="356" w:name="_Toc303539129"/>
      <w:bookmarkStart w:id="357" w:name="_Toc304295550"/>
      <w:bookmarkStart w:id="358" w:name="_Toc312678016"/>
      <w:bookmarkStart w:id="359" w:name="_Toc297123520"/>
      <w:r>
        <w:rPr>
          <w:rFonts w:hint="eastAsia" w:ascii="仿宋" w:hAnsi="仿宋" w:eastAsia="仿宋" w:cs="仿宋"/>
          <w:sz w:val="24"/>
          <w:szCs w:val="24"/>
        </w:rPr>
        <w:t>不利物质条件的其他情形和有关约定：。</w:t>
      </w:r>
    </w:p>
    <w:bookmarkEnd w:id="353"/>
    <w:bookmarkEnd w:id="354"/>
    <w:bookmarkEnd w:id="355"/>
    <w:bookmarkEnd w:id="356"/>
    <w:bookmarkEnd w:id="357"/>
    <w:bookmarkEnd w:id="358"/>
    <w:bookmarkEnd w:id="359"/>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7</w:t>
      </w:r>
      <w:bookmarkStart w:id="360" w:name="_Toc297123521"/>
      <w:bookmarkStart w:id="361" w:name="_Toc297216180"/>
      <w:bookmarkStart w:id="362" w:name="_Toc304295551"/>
      <w:bookmarkStart w:id="363" w:name="_Toc312678017"/>
      <w:bookmarkStart w:id="364" w:name="_Toc300934973"/>
      <w:bookmarkStart w:id="365" w:name="_Toc303539130"/>
      <w:r>
        <w:rPr>
          <w:rFonts w:ascii="仿宋" w:hAnsi="仿宋" w:eastAsia="仿宋" w:cs="仿宋"/>
          <w:b/>
          <w:sz w:val="24"/>
          <w:szCs w:val="24"/>
        </w:rPr>
        <w:t>.7</w:t>
      </w:r>
      <w:r>
        <w:rPr>
          <w:rFonts w:hint="eastAsia" w:ascii="仿宋" w:hAnsi="仿宋" w:eastAsia="仿宋" w:cs="仿宋"/>
          <w:b/>
          <w:sz w:val="24"/>
          <w:szCs w:val="24"/>
        </w:rPr>
        <w:t>异常恶劣的气候条件</w:t>
      </w:r>
    </w:p>
    <w:bookmarkEnd w:id="360"/>
    <w:bookmarkEnd w:id="361"/>
    <w:bookmarkEnd w:id="362"/>
    <w:bookmarkEnd w:id="363"/>
    <w:bookmarkEnd w:id="364"/>
    <w:bookmarkEnd w:id="365"/>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7.8 </w:t>
      </w:r>
      <w:r>
        <w:rPr>
          <w:rFonts w:hint="eastAsia" w:ascii="仿宋" w:hAnsi="仿宋" w:eastAsia="仿宋" w:cs="仿宋"/>
          <w:b/>
          <w:sz w:val="24"/>
          <w:szCs w:val="24"/>
        </w:rPr>
        <w:t>提前竣工的奖励</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7.8.1</w:t>
      </w:r>
      <w:r>
        <w:rPr>
          <w:rFonts w:hint="eastAsia" w:ascii="仿宋" w:hAnsi="仿宋" w:eastAsia="仿宋" w:cs="仿宋"/>
          <w:sz w:val="24"/>
          <w:szCs w:val="24"/>
        </w:rPr>
        <w:t>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keepNext/>
        <w:keepLines/>
        <w:spacing w:before="240" w:after="120" w:line="360" w:lineRule="auto"/>
        <w:outlineLvl w:val="3"/>
        <w:rPr>
          <w:rFonts w:ascii="仿宋" w:hAnsi="仿宋" w:eastAsia="仿宋" w:cs="仿宋"/>
          <w:b/>
          <w:sz w:val="24"/>
          <w:szCs w:val="24"/>
        </w:rPr>
      </w:pPr>
      <w:bookmarkStart w:id="366" w:name="_Toc351203640"/>
      <w:r>
        <w:rPr>
          <w:rFonts w:ascii="仿宋" w:hAnsi="仿宋" w:eastAsia="仿宋" w:cs="仿宋"/>
          <w:b/>
          <w:sz w:val="24"/>
          <w:szCs w:val="24"/>
        </w:rPr>
        <w:t xml:space="preserve">8. </w:t>
      </w:r>
      <w:r>
        <w:rPr>
          <w:rFonts w:hint="eastAsia" w:ascii="仿宋" w:hAnsi="仿宋" w:eastAsia="仿宋" w:cs="仿宋"/>
          <w:b/>
          <w:sz w:val="24"/>
          <w:szCs w:val="24"/>
        </w:rPr>
        <w:t>材料与设备</w:t>
      </w:r>
      <w:bookmarkEnd w:id="366"/>
    </w:p>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8.1</w:t>
      </w:r>
      <w:r>
        <w:rPr>
          <w:rFonts w:hint="eastAsia" w:ascii="仿宋" w:hAnsi="仿宋" w:eastAsia="仿宋" w:cs="仿宋"/>
          <w:b/>
          <w:sz w:val="24"/>
          <w:szCs w:val="24"/>
        </w:rPr>
        <w:t>承包人采购材料与工程设备</w:t>
      </w:r>
    </w:p>
    <w:bookmarkEnd w:id="301"/>
    <w:bookmarkEnd w:id="302"/>
    <w:bookmarkEnd w:id="303"/>
    <w:bookmarkEnd w:id="304"/>
    <w:bookmarkEnd w:id="305"/>
    <w:bookmarkEnd w:id="306"/>
    <w:bookmarkEnd w:id="307"/>
    <w:bookmarkEnd w:id="308"/>
    <w:bookmarkEnd w:id="309"/>
    <w:bookmarkEnd w:id="310"/>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8</w:t>
      </w:r>
      <w:bookmarkStart w:id="367" w:name="_Toc292559877"/>
      <w:bookmarkStart w:id="368" w:name="_Toc296346668"/>
      <w:bookmarkStart w:id="369" w:name="_Toc297216186"/>
      <w:bookmarkStart w:id="370" w:name="_Toc304295556"/>
      <w:bookmarkStart w:id="371" w:name="_Toc300934979"/>
      <w:bookmarkStart w:id="372" w:name="_Toc296944506"/>
      <w:bookmarkStart w:id="373" w:name="_Toc296890995"/>
      <w:bookmarkStart w:id="374" w:name="_Toc292559372"/>
      <w:bookmarkStart w:id="375" w:name="_Toc312677493"/>
      <w:bookmarkStart w:id="376" w:name="_Toc312678019"/>
      <w:bookmarkStart w:id="377" w:name="_Toc296503167"/>
      <w:bookmarkStart w:id="378" w:name="_Toc296891207"/>
      <w:bookmarkStart w:id="379" w:name="_Toc280868654"/>
      <w:bookmarkStart w:id="380" w:name="_Toc297048353"/>
      <w:bookmarkStart w:id="381" w:name="_Toc296347166"/>
      <w:bookmarkStart w:id="382" w:name="_Toc297120467"/>
      <w:bookmarkStart w:id="383" w:name="_Toc297123527"/>
      <w:bookmarkStart w:id="384" w:name="_Toc303539136"/>
      <w:bookmarkStart w:id="385" w:name="_Toc280868656"/>
      <w:bookmarkStart w:id="386" w:name="_Toc267251424"/>
      <w:bookmarkStart w:id="387" w:name="_Toc280868655"/>
      <w:r>
        <w:rPr>
          <w:rFonts w:ascii="仿宋" w:hAnsi="仿宋" w:eastAsia="仿宋" w:cs="仿宋"/>
          <w:b/>
          <w:sz w:val="24"/>
          <w:szCs w:val="24"/>
        </w:rPr>
        <w:t>.2</w:t>
      </w:r>
      <w:r>
        <w:rPr>
          <w:rFonts w:hint="eastAsia" w:ascii="仿宋" w:hAnsi="仿宋" w:eastAsia="仿宋" w:cs="仿宋"/>
          <w:b/>
          <w:sz w:val="24"/>
          <w:szCs w:val="24"/>
        </w:rPr>
        <w:t>材料与工程设备的保管与使用</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spacing w:line="360" w:lineRule="auto"/>
        <w:ind w:firstLine="480" w:firstLineChars="200"/>
        <w:rPr>
          <w:rFonts w:ascii="仿宋" w:hAnsi="仿宋" w:eastAsia="仿宋" w:cs="仿宋"/>
          <w:sz w:val="24"/>
          <w:szCs w:val="24"/>
        </w:rPr>
      </w:pPr>
      <w:r>
        <w:rPr>
          <w:rFonts w:ascii="仿宋" w:hAnsi="仿宋" w:eastAsia="仿宋" w:cs="仿宋"/>
          <w:sz w:val="24"/>
          <w:szCs w:val="24"/>
        </w:rPr>
        <w:t>8</w:t>
      </w:r>
      <w:bookmarkStart w:id="388" w:name="_Toc292559878"/>
      <w:bookmarkStart w:id="389" w:name="_Toc292559373"/>
      <w:bookmarkStart w:id="390" w:name="_Toc303539137"/>
      <w:bookmarkStart w:id="391" w:name="_Toc297048354"/>
      <w:bookmarkStart w:id="392" w:name="_Toc318581173"/>
      <w:bookmarkStart w:id="393" w:name="_Toc297216187"/>
      <w:bookmarkStart w:id="394" w:name="_Toc296944507"/>
      <w:bookmarkStart w:id="395" w:name="_Toc296891208"/>
      <w:bookmarkStart w:id="396" w:name="_Toc300934980"/>
      <w:bookmarkStart w:id="397" w:name="_Toc296890996"/>
      <w:bookmarkStart w:id="398" w:name="_Toc312677494"/>
      <w:bookmarkStart w:id="399" w:name="_Toc304295557"/>
      <w:bookmarkStart w:id="400" w:name="_Toc296346669"/>
      <w:bookmarkStart w:id="401" w:name="_Toc297120468"/>
      <w:bookmarkStart w:id="402" w:name="_Toc296347167"/>
      <w:bookmarkStart w:id="403" w:name="_Toc312678020"/>
      <w:bookmarkStart w:id="404" w:name="_Toc297123528"/>
      <w:bookmarkStart w:id="405" w:name="_Toc296503168"/>
      <w:r>
        <w:rPr>
          <w:rFonts w:ascii="仿宋" w:hAnsi="仿宋" w:eastAsia="仿宋" w:cs="仿宋"/>
          <w:sz w:val="24"/>
          <w:szCs w:val="24"/>
        </w:rPr>
        <w:t>.2.1</w:t>
      </w:r>
      <w:r>
        <w:rPr>
          <w:rFonts w:hint="eastAsia" w:ascii="仿宋" w:hAnsi="仿宋" w:eastAsia="仿宋" w:cs="仿宋"/>
          <w:sz w:val="24"/>
          <w:szCs w:val="24"/>
        </w:rPr>
        <w:t>发包人供应的材料设备的保管费用的承担：。</w:t>
      </w:r>
      <w:bookmarkEnd w:id="388"/>
      <w:bookmarkEnd w:id="389"/>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8.3 </w:t>
      </w:r>
      <w:r>
        <w:rPr>
          <w:rFonts w:hint="eastAsia" w:ascii="仿宋" w:hAnsi="仿宋" w:eastAsia="仿宋" w:cs="仿宋"/>
          <w:b/>
          <w:sz w:val="24"/>
          <w:szCs w:val="24"/>
        </w:rPr>
        <w:t>样品</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8.3.1</w:t>
      </w:r>
      <w:r>
        <w:rPr>
          <w:rFonts w:ascii="仿宋" w:hAnsi="仿宋" w:eastAsia="仿宋" w:cs="仿宋"/>
          <w:sz w:val="24"/>
          <w:szCs w:val="24"/>
        </w:rPr>
        <w:tab/>
      </w:r>
      <w:r>
        <w:rPr>
          <w:rFonts w:hint="eastAsia" w:ascii="仿宋" w:hAnsi="仿宋" w:eastAsia="仿宋" w:cs="仿宋"/>
          <w:sz w:val="24"/>
          <w:szCs w:val="24"/>
        </w:rPr>
        <w:t>样品的报送与封存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需要承包人报送样品的材料或工程设备，样品的种类、名称、规格、数量要求：。</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8.4 </w:t>
      </w:r>
      <w:r>
        <w:rPr>
          <w:rFonts w:hint="eastAsia" w:ascii="仿宋" w:hAnsi="仿宋" w:eastAsia="仿宋" w:cs="仿宋"/>
          <w:b/>
          <w:sz w:val="24"/>
          <w:szCs w:val="24"/>
        </w:rPr>
        <w:t>施工设备和临时设施</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8.4.1 </w:t>
      </w:r>
      <w:r>
        <w:rPr>
          <w:rFonts w:hint="eastAsia" w:ascii="仿宋" w:hAnsi="仿宋" w:eastAsia="仿宋" w:cs="仿宋"/>
          <w:sz w:val="24"/>
          <w:szCs w:val="24"/>
        </w:rPr>
        <w:t>承包人提供的施工设备和临时设施</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8.4.2 </w:t>
      </w:r>
      <w:r>
        <w:rPr>
          <w:rFonts w:hint="eastAsia" w:ascii="仿宋" w:hAnsi="仿宋" w:eastAsia="仿宋" w:cs="仿宋"/>
          <w:sz w:val="24"/>
          <w:szCs w:val="24"/>
        </w:rPr>
        <w:t>关于修建临时设施费用承担的约定：。</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Pr>
        <w:keepNext/>
        <w:keepLines/>
        <w:spacing w:before="240" w:after="120" w:line="360" w:lineRule="auto"/>
        <w:outlineLvl w:val="3"/>
        <w:rPr>
          <w:rFonts w:ascii="仿宋" w:hAnsi="仿宋" w:eastAsia="仿宋" w:cs="仿宋"/>
          <w:b/>
          <w:sz w:val="24"/>
          <w:szCs w:val="24"/>
        </w:rPr>
      </w:pPr>
      <w:bookmarkStart w:id="406" w:name="_Toc351203641"/>
      <w:r>
        <w:rPr>
          <w:rFonts w:ascii="仿宋" w:hAnsi="仿宋" w:eastAsia="仿宋" w:cs="仿宋"/>
          <w:b/>
          <w:sz w:val="24"/>
          <w:szCs w:val="24"/>
        </w:rPr>
        <w:t>9</w:t>
      </w:r>
      <w:bookmarkEnd w:id="385"/>
      <w:bookmarkEnd w:id="386"/>
      <w:bookmarkEnd w:id="387"/>
      <w:bookmarkStart w:id="407" w:name="_Toc312678021"/>
      <w:bookmarkStart w:id="408" w:name="_Toc304295559"/>
      <w:bookmarkStart w:id="409" w:name="_Toc297216192"/>
      <w:bookmarkStart w:id="410" w:name="_Toc303539139"/>
      <w:bookmarkStart w:id="411" w:name="_Toc300934982"/>
      <w:bookmarkStart w:id="412" w:name="_Toc297123533"/>
      <w:bookmarkStart w:id="413" w:name="_Toc312677495"/>
      <w:bookmarkStart w:id="414" w:name="_Toc296944512"/>
      <w:bookmarkStart w:id="415" w:name="_Toc296891213"/>
      <w:bookmarkStart w:id="416" w:name="_Toc297120473"/>
      <w:bookmarkStart w:id="417" w:name="_Toc292559378"/>
      <w:bookmarkStart w:id="418" w:name="_Toc267251428"/>
      <w:bookmarkStart w:id="419" w:name="_Toc292559883"/>
      <w:bookmarkStart w:id="420" w:name="_Toc296891001"/>
      <w:bookmarkStart w:id="421" w:name="_Toc296503173"/>
      <w:bookmarkStart w:id="422" w:name="_Toc297048359"/>
      <w:bookmarkStart w:id="423" w:name="_Toc296347172"/>
      <w:bookmarkStart w:id="424" w:name="_Toc296346674"/>
      <w:bookmarkStart w:id="425" w:name="_Toc267251427"/>
      <w:r>
        <w:rPr>
          <w:rFonts w:ascii="仿宋" w:hAnsi="仿宋" w:eastAsia="仿宋" w:cs="仿宋"/>
          <w:b/>
          <w:sz w:val="24"/>
          <w:szCs w:val="24"/>
        </w:rPr>
        <w:t xml:space="preserve">. </w:t>
      </w:r>
      <w:r>
        <w:rPr>
          <w:rFonts w:hint="eastAsia" w:ascii="仿宋" w:hAnsi="仿宋" w:eastAsia="仿宋" w:cs="仿宋"/>
          <w:b/>
          <w:sz w:val="24"/>
          <w:szCs w:val="24"/>
        </w:rPr>
        <w:t>试验与检验</w:t>
      </w:r>
      <w:bookmarkEnd w:id="406"/>
    </w:p>
    <w:bookmarkEnd w:id="407"/>
    <w:bookmarkEnd w:id="408"/>
    <w:bookmarkEnd w:id="409"/>
    <w:bookmarkEnd w:id="410"/>
    <w:bookmarkEnd w:id="411"/>
    <w:bookmarkEnd w:id="412"/>
    <w:bookmarkEnd w:id="413"/>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9</w:t>
      </w:r>
      <w:bookmarkStart w:id="426" w:name="_Toc303539140"/>
      <w:bookmarkStart w:id="427" w:name="_Toc312677496"/>
      <w:bookmarkStart w:id="428" w:name="_Toc297216193"/>
      <w:bookmarkStart w:id="429" w:name="_Toc312678022"/>
      <w:bookmarkStart w:id="430" w:name="_Toc297123534"/>
      <w:bookmarkStart w:id="431" w:name="_Toc304295560"/>
      <w:bookmarkStart w:id="432" w:name="_Toc300934983"/>
      <w:r>
        <w:rPr>
          <w:rFonts w:ascii="仿宋" w:hAnsi="仿宋" w:eastAsia="仿宋" w:cs="仿宋"/>
          <w:b/>
          <w:sz w:val="24"/>
          <w:szCs w:val="24"/>
        </w:rPr>
        <w:t>.1</w:t>
      </w:r>
      <w:r>
        <w:rPr>
          <w:rFonts w:hint="eastAsia" w:ascii="仿宋" w:hAnsi="仿宋" w:eastAsia="仿宋" w:cs="仿宋"/>
          <w:b/>
          <w:sz w:val="24"/>
          <w:szCs w:val="24"/>
        </w:rPr>
        <w:t>试验设备与试验人员</w:t>
      </w:r>
    </w:p>
    <w:bookmarkEnd w:id="426"/>
    <w:bookmarkEnd w:id="427"/>
    <w:bookmarkEnd w:id="428"/>
    <w:bookmarkEnd w:id="429"/>
    <w:bookmarkEnd w:id="430"/>
    <w:bookmarkEnd w:id="431"/>
    <w:bookmarkEnd w:id="432"/>
    <w:p>
      <w:pPr>
        <w:spacing w:line="360" w:lineRule="auto"/>
        <w:ind w:firstLine="480" w:firstLineChars="200"/>
        <w:rPr>
          <w:rFonts w:ascii="仿宋" w:hAnsi="仿宋" w:eastAsia="仿宋" w:cs="仿宋"/>
          <w:sz w:val="24"/>
          <w:szCs w:val="24"/>
        </w:rPr>
      </w:pPr>
      <w:r>
        <w:rPr>
          <w:rFonts w:ascii="仿宋" w:hAnsi="仿宋" w:eastAsia="仿宋" w:cs="仿宋"/>
          <w:sz w:val="24"/>
          <w:szCs w:val="24"/>
        </w:rPr>
        <w:t>9</w:t>
      </w:r>
      <w:bookmarkStart w:id="433" w:name="_Toc297216194"/>
      <w:bookmarkStart w:id="434" w:name="_Toc304295561"/>
      <w:bookmarkStart w:id="435" w:name="_Toc300934984"/>
      <w:bookmarkStart w:id="436" w:name="_Toc312678023"/>
      <w:bookmarkStart w:id="437" w:name="_Toc312677497"/>
      <w:bookmarkStart w:id="438" w:name="_Toc303539141"/>
      <w:bookmarkStart w:id="439" w:name="_Toc297123535"/>
      <w:bookmarkStart w:id="440" w:name="_Toc318581174"/>
      <w:r>
        <w:rPr>
          <w:rFonts w:ascii="仿宋" w:hAnsi="仿宋" w:eastAsia="仿宋" w:cs="仿宋"/>
          <w:sz w:val="24"/>
          <w:szCs w:val="24"/>
        </w:rPr>
        <w:t xml:space="preserve">.1.1 </w:t>
      </w:r>
      <w:r>
        <w:rPr>
          <w:rFonts w:hint="eastAsia" w:ascii="仿宋" w:hAnsi="仿宋" w:eastAsia="仿宋" w:cs="仿宋"/>
          <w:sz w:val="24"/>
          <w:szCs w:val="24"/>
        </w:rPr>
        <w:t>试验设备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施工现场需要配置的试验场所：</w:t>
      </w:r>
      <w:bookmarkEnd w:id="433"/>
      <w:bookmarkEnd w:id="434"/>
      <w:bookmarkEnd w:id="435"/>
      <w:bookmarkEnd w:id="436"/>
      <w:bookmarkEnd w:id="437"/>
      <w:bookmarkEnd w:id="438"/>
      <w:bookmarkEnd w:id="439"/>
      <w:bookmarkStart w:id="441" w:name="_Toc297216195"/>
      <w:bookmarkStart w:id="442" w:name="_Toc300934985"/>
      <w:bookmarkStart w:id="443" w:name="_Toc312677498"/>
      <w:bookmarkStart w:id="444" w:name="_Toc312678024"/>
      <w:bookmarkStart w:id="445" w:name="_Toc304295562"/>
      <w:bookmarkStart w:id="446" w:name="_Toc303539142"/>
      <w:bookmarkStart w:id="447" w:name="_Toc297123536"/>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施工现场需要具备的其他试验条件：。</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9.2 </w:t>
      </w:r>
      <w:r>
        <w:rPr>
          <w:rFonts w:hint="eastAsia" w:ascii="仿宋" w:hAnsi="仿宋" w:eastAsia="仿宋" w:cs="仿宋"/>
          <w:b/>
          <w:sz w:val="24"/>
          <w:szCs w:val="24"/>
        </w:rPr>
        <w:t>现场工艺试验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现场工艺试验的有关约定：。</w:t>
      </w:r>
    </w:p>
    <w:bookmarkEnd w:id="440"/>
    <w:bookmarkEnd w:id="441"/>
    <w:bookmarkEnd w:id="442"/>
    <w:bookmarkEnd w:id="443"/>
    <w:bookmarkEnd w:id="444"/>
    <w:bookmarkEnd w:id="445"/>
    <w:bookmarkEnd w:id="446"/>
    <w:bookmarkEnd w:id="447"/>
    <w:p>
      <w:pPr>
        <w:keepNext/>
        <w:keepLines/>
        <w:spacing w:before="240" w:after="120" w:line="360" w:lineRule="auto"/>
        <w:outlineLvl w:val="3"/>
        <w:rPr>
          <w:rFonts w:ascii="仿宋" w:hAnsi="仿宋" w:eastAsia="仿宋" w:cs="仿宋"/>
          <w:b/>
          <w:sz w:val="24"/>
          <w:szCs w:val="24"/>
        </w:rPr>
      </w:pPr>
      <w:bookmarkStart w:id="448" w:name="_Toc351203642"/>
      <w:r>
        <w:rPr>
          <w:rFonts w:ascii="仿宋" w:hAnsi="仿宋" w:eastAsia="仿宋" w:cs="仿宋"/>
          <w:b/>
          <w:sz w:val="24"/>
          <w:szCs w:val="24"/>
        </w:rPr>
        <w:t>1</w:t>
      </w:r>
      <w:bookmarkEnd w:id="414"/>
      <w:bookmarkEnd w:id="415"/>
      <w:bookmarkEnd w:id="416"/>
      <w:bookmarkEnd w:id="417"/>
      <w:bookmarkEnd w:id="418"/>
      <w:bookmarkEnd w:id="419"/>
      <w:bookmarkEnd w:id="420"/>
      <w:bookmarkEnd w:id="421"/>
      <w:bookmarkEnd w:id="422"/>
      <w:bookmarkEnd w:id="423"/>
      <w:bookmarkEnd w:id="424"/>
      <w:bookmarkEnd w:id="425"/>
      <w:bookmarkStart w:id="449" w:name="_Toc300934989"/>
      <w:bookmarkStart w:id="450" w:name="_Toc296346694"/>
      <w:bookmarkStart w:id="451" w:name="_Toc296347192"/>
      <w:bookmarkStart w:id="452" w:name="_Toc304295566"/>
      <w:bookmarkStart w:id="453" w:name="_Toc296891021"/>
      <w:bookmarkStart w:id="454" w:name="_Toc292559903"/>
      <w:bookmarkStart w:id="455" w:name="_Toc296891233"/>
      <w:bookmarkStart w:id="456" w:name="_Toc303539146"/>
      <w:bookmarkStart w:id="457" w:name="_Toc292559398"/>
      <w:bookmarkStart w:id="458" w:name="_Toc297120493"/>
      <w:bookmarkStart w:id="459" w:name="_Toc296503193"/>
      <w:bookmarkStart w:id="460" w:name="_Toc297216199"/>
      <w:bookmarkStart w:id="461" w:name="_Toc297123540"/>
      <w:bookmarkStart w:id="462" w:name="_Toc296944532"/>
      <w:bookmarkStart w:id="463" w:name="_Toc297048379"/>
      <w:bookmarkStart w:id="464" w:name="_Toc312677499"/>
      <w:bookmarkStart w:id="465" w:name="_Toc312678025"/>
      <w:bookmarkStart w:id="466" w:name="_Toc267251441"/>
      <w:bookmarkStart w:id="467" w:name="_Toc267251433"/>
      <w:bookmarkStart w:id="468" w:name="_Toc267251435"/>
      <w:bookmarkStart w:id="469" w:name="_Toc267251440"/>
      <w:bookmarkStart w:id="470" w:name="_Toc267251437"/>
      <w:bookmarkStart w:id="471" w:name="_Toc267251439"/>
      <w:bookmarkStart w:id="472" w:name="_Toc267251442"/>
      <w:r>
        <w:rPr>
          <w:rFonts w:ascii="仿宋" w:hAnsi="仿宋" w:eastAsia="仿宋" w:cs="仿宋"/>
          <w:b/>
          <w:sz w:val="24"/>
          <w:szCs w:val="24"/>
        </w:rPr>
        <w:t xml:space="preserve">0. </w:t>
      </w:r>
      <w:r>
        <w:rPr>
          <w:rFonts w:hint="eastAsia" w:ascii="仿宋" w:hAnsi="仿宋" w:eastAsia="仿宋" w:cs="仿宋"/>
          <w:b/>
          <w:sz w:val="24"/>
          <w:szCs w:val="24"/>
        </w:rPr>
        <w:t>变更</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bookmarkEnd w:id="464"/>
    <w:bookmarkEnd w:id="465"/>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1</w:t>
      </w:r>
      <w:bookmarkStart w:id="473" w:name="_Toc312678026"/>
      <w:bookmarkStart w:id="474" w:name="_Toc292559399"/>
      <w:bookmarkStart w:id="475" w:name="_Toc303539147"/>
      <w:bookmarkStart w:id="476" w:name="_Toc296891022"/>
      <w:bookmarkStart w:id="477" w:name="_Toc304295567"/>
      <w:bookmarkStart w:id="478" w:name="_Toc312677500"/>
      <w:bookmarkStart w:id="479" w:name="_Toc296347193"/>
      <w:bookmarkStart w:id="480" w:name="_Toc296891234"/>
      <w:bookmarkStart w:id="481" w:name="_Toc296944533"/>
      <w:bookmarkStart w:id="482" w:name="_Toc297216200"/>
      <w:bookmarkStart w:id="483" w:name="_Toc297123541"/>
      <w:bookmarkStart w:id="484" w:name="_Toc296346695"/>
      <w:bookmarkStart w:id="485" w:name="_Toc296503194"/>
      <w:bookmarkStart w:id="486" w:name="_Toc292559904"/>
      <w:bookmarkStart w:id="487" w:name="_Toc297120494"/>
      <w:bookmarkStart w:id="488" w:name="_Toc300934990"/>
      <w:bookmarkStart w:id="489" w:name="_Toc297048380"/>
      <w:r>
        <w:rPr>
          <w:rFonts w:ascii="仿宋" w:hAnsi="仿宋" w:eastAsia="仿宋" w:cs="仿宋"/>
          <w:b/>
          <w:sz w:val="24"/>
          <w:szCs w:val="24"/>
        </w:rPr>
        <w:t>0.1</w:t>
      </w:r>
      <w:r>
        <w:rPr>
          <w:rFonts w:hint="eastAsia" w:ascii="仿宋" w:hAnsi="仿宋" w:eastAsia="仿宋" w:cs="仿宋"/>
          <w:b/>
          <w:sz w:val="24"/>
          <w:szCs w:val="24"/>
        </w:rPr>
        <w:t>变更的范围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关于变更的范围的约定：。</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10.2 </w:t>
      </w:r>
      <w:r>
        <w:rPr>
          <w:rFonts w:hint="eastAsia" w:ascii="仿宋" w:hAnsi="仿宋" w:eastAsia="仿宋" w:cs="仿宋"/>
          <w:b/>
          <w:sz w:val="24"/>
          <w:szCs w:val="24"/>
        </w:rPr>
        <w:t>变更估价</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10.2.1 </w:t>
      </w:r>
      <w:r>
        <w:rPr>
          <w:rFonts w:hint="eastAsia" w:ascii="仿宋" w:hAnsi="仿宋" w:eastAsia="仿宋" w:cs="仿宋"/>
          <w:sz w:val="24"/>
          <w:szCs w:val="24"/>
        </w:rPr>
        <w:t>变更估价原则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关于变更估价的约定</w:t>
      </w:r>
      <w:r>
        <w:rPr>
          <w:rFonts w:ascii="仿宋" w:hAnsi="仿宋" w:eastAsia="仿宋" w:cs="仿宋"/>
          <w:sz w:val="24"/>
          <w:szCs w:val="24"/>
        </w:rPr>
        <w:t xml:space="preserve">: </w:t>
      </w:r>
      <w:r>
        <w:rPr>
          <w:rFonts w:hint="eastAsia" w:ascii="仿宋" w:hAnsi="仿宋" w:eastAsia="仿宋" w:cs="仿宋"/>
          <w:sz w:val="24"/>
          <w:szCs w:val="24"/>
        </w:rPr>
        <w:t>。</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1</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Start w:id="490" w:name="_Toc296891237"/>
      <w:bookmarkStart w:id="491" w:name="_Toc297216203"/>
      <w:bookmarkStart w:id="492" w:name="_Toc297048383"/>
      <w:bookmarkStart w:id="493" w:name="_Toc297123544"/>
      <w:bookmarkStart w:id="494" w:name="_Toc296503197"/>
      <w:bookmarkStart w:id="495" w:name="_Toc303539150"/>
      <w:bookmarkStart w:id="496" w:name="_Toc292559402"/>
      <w:bookmarkStart w:id="497" w:name="_Toc296347196"/>
      <w:bookmarkStart w:id="498" w:name="_Toc297120497"/>
      <w:bookmarkStart w:id="499" w:name="_Toc296891025"/>
      <w:bookmarkStart w:id="500" w:name="_Toc300934993"/>
      <w:bookmarkStart w:id="501" w:name="_Toc296346698"/>
      <w:bookmarkStart w:id="502" w:name="_Toc296944536"/>
      <w:bookmarkStart w:id="503" w:name="_Toc292559907"/>
      <w:bookmarkStart w:id="504" w:name="_Toc304295570"/>
      <w:bookmarkStart w:id="505" w:name="_Toc312678029"/>
      <w:bookmarkStart w:id="506" w:name="_Toc312677503"/>
      <w:r>
        <w:rPr>
          <w:rFonts w:ascii="仿宋" w:hAnsi="仿宋" w:eastAsia="仿宋" w:cs="仿宋"/>
          <w:b/>
          <w:sz w:val="24"/>
          <w:szCs w:val="24"/>
        </w:rPr>
        <w:t xml:space="preserve">0.3 </w:t>
      </w:r>
      <w:r>
        <w:rPr>
          <w:rFonts w:hint="eastAsia" w:ascii="仿宋" w:hAnsi="仿宋" w:eastAsia="仿宋" w:cs="仿宋"/>
          <w:b/>
          <w:sz w:val="24"/>
          <w:szCs w:val="24"/>
        </w:rPr>
        <w:t>承</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Start w:id="507" w:name="_Toc297048389"/>
      <w:bookmarkStart w:id="508" w:name="_Toc303539151"/>
      <w:bookmarkStart w:id="509" w:name="_Toc292559408"/>
      <w:bookmarkStart w:id="510" w:name="_Toc296347202"/>
      <w:bookmarkStart w:id="511" w:name="_Toc300934994"/>
      <w:bookmarkStart w:id="512" w:name="_Toc296346704"/>
      <w:bookmarkStart w:id="513" w:name="_Toc297123545"/>
      <w:bookmarkStart w:id="514" w:name="_Toc296891243"/>
      <w:bookmarkStart w:id="515" w:name="_Toc296503203"/>
      <w:bookmarkStart w:id="516" w:name="_Toc297216204"/>
      <w:bookmarkStart w:id="517" w:name="_Toc296891031"/>
      <w:bookmarkStart w:id="518" w:name="_Toc292559913"/>
      <w:bookmarkStart w:id="519" w:name="_Toc297120503"/>
      <w:bookmarkStart w:id="520" w:name="_Toc296944542"/>
      <w:r>
        <w:rPr>
          <w:rFonts w:hint="eastAsia" w:ascii="仿宋" w:hAnsi="仿宋" w:eastAsia="仿宋" w:cs="仿宋"/>
          <w:b/>
          <w:sz w:val="24"/>
          <w:szCs w:val="24"/>
        </w:rPr>
        <w:t>包人的合理化建议</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w:t>
      </w:r>
      <w:bookmarkStart w:id="521" w:name="_Toc297120504"/>
      <w:bookmarkStart w:id="522" w:name="_Toc303539152"/>
      <w:bookmarkStart w:id="523" w:name="_Toc297123546"/>
      <w:bookmarkStart w:id="524" w:name="_Toc318581175"/>
      <w:bookmarkStart w:id="525" w:name="_Toc296346705"/>
      <w:bookmarkStart w:id="526" w:name="_Toc300934995"/>
      <w:bookmarkStart w:id="527" w:name="_Toc296347203"/>
      <w:bookmarkStart w:id="528" w:name="_Toc292559409"/>
      <w:bookmarkStart w:id="529" w:name="_Toc292559914"/>
      <w:bookmarkStart w:id="530" w:name="_Toc296891244"/>
      <w:bookmarkStart w:id="531" w:name="_Toc296891032"/>
      <w:bookmarkStart w:id="532" w:name="_Toc304295571"/>
      <w:bookmarkStart w:id="533" w:name="_Toc312678030"/>
      <w:bookmarkStart w:id="534" w:name="_Toc312677504"/>
      <w:bookmarkStart w:id="535" w:name="_Toc296944543"/>
      <w:bookmarkStart w:id="536" w:name="_Toc297048390"/>
      <w:bookmarkStart w:id="537" w:name="_Toc296503204"/>
      <w:bookmarkStart w:id="538" w:name="_Toc297216205"/>
      <w:r>
        <w:rPr>
          <w:rFonts w:hint="eastAsia" w:ascii="仿宋" w:hAnsi="仿宋" w:eastAsia="仿宋" w:cs="仿宋"/>
          <w:sz w:val="24"/>
          <w:szCs w:val="24"/>
        </w:rPr>
        <w:t>包人提出的合理化建议降低了合同价格或者提高了工程经济效益的奖励的方法和金额为：。</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1</w:t>
      </w:r>
      <w:bookmarkStart w:id="539" w:name="_Toc296347198"/>
      <w:bookmarkStart w:id="540" w:name="_Toc292559404"/>
      <w:bookmarkStart w:id="541" w:name="_Toc312678033"/>
      <w:bookmarkStart w:id="542" w:name="_Toc312677507"/>
      <w:bookmarkStart w:id="543" w:name="_Toc297048385"/>
      <w:bookmarkStart w:id="544" w:name="_Toc297123548"/>
      <w:bookmarkStart w:id="545" w:name="_Toc297120499"/>
      <w:bookmarkStart w:id="546" w:name="_Toc297216207"/>
      <w:bookmarkStart w:id="547" w:name="_Toc304295574"/>
      <w:bookmarkStart w:id="548" w:name="_Toc296944538"/>
      <w:bookmarkStart w:id="549" w:name="_Toc296503199"/>
      <w:bookmarkStart w:id="550" w:name="_Toc296346700"/>
      <w:bookmarkStart w:id="551" w:name="_Toc303539154"/>
      <w:bookmarkStart w:id="552" w:name="_Toc296891239"/>
      <w:bookmarkStart w:id="553" w:name="_Toc292559909"/>
      <w:bookmarkStart w:id="554" w:name="_Toc300934997"/>
      <w:bookmarkStart w:id="555" w:name="_Toc296891027"/>
      <w:r>
        <w:rPr>
          <w:rFonts w:ascii="仿宋" w:hAnsi="仿宋" w:eastAsia="仿宋" w:cs="仿宋"/>
          <w:b/>
          <w:sz w:val="24"/>
          <w:szCs w:val="24"/>
        </w:rPr>
        <w:t xml:space="preserve">0.4 </w:t>
      </w:r>
      <w:r>
        <w:rPr>
          <w:rFonts w:hint="eastAsia" w:ascii="仿宋" w:hAnsi="仿宋" w:eastAsia="仿宋" w:cs="仿宋"/>
          <w:b/>
          <w:sz w:val="24"/>
          <w:szCs w:val="24"/>
        </w:rPr>
        <w:t>暂估价</w:t>
      </w:r>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Pr>
        <w:spacing w:line="360" w:lineRule="auto"/>
        <w:ind w:firstLine="480" w:firstLineChars="200"/>
        <w:rPr>
          <w:rFonts w:ascii="仿宋" w:hAnsi="仿宋" w:eastAsia="仿宋" w:cs="仿宋"/>
          <w:sz w:val="24"/>
          <w:szCs w:val="24"/>
        </w:rPr>
      </w:pPr>
      <w:r>
        <w:rPr>
          <w:rFonts w:ascii="仿宋" w:hAnsi="仿宋" w:eastAsia="仿宋" w:cs="仿宋"/>
          <w:sz w:val="24"/>
          <w:szCs w:val="24"/>
        </w:rPr>
        <w:t>1</w:t>
      </w:r>
      <w:bookmarkStart w:id="556" w:name="_Toc312677509"/>
      <w:bookmarkStart w:id="557" w:name="_Toc318581177"/>
      <w:bookmarkStart w:id="558" w:name="_Toc312678035"/>
      <w:r>
        <w:rPr>
          <w:rFonts w:ascii="仿宋" w:hAnsi="仿宋" w:eastAsia="仿宋" w:cs="仿宋"/>
          <w:sz w:val="24"/>
          <w:szCs w:val="24"/>
        </w:rPr>
        <w:t xml:space="preserve">0.4.1 </w:t>
      </w:r>
      <w:r>
        <w:rPr>
          <w:rFonts w:hint="eastAsia" w:ascii="仿宋" w:hAnsi="仿宋" w:eastAsia="仿宋" w:cs="仿宋"/>
          <w:sz w:val="24"/>
          <w:szCs w:val="24"/>
        </w:rPr>
        <w:t>依法必须招标的暂估价项目</w:t>
      </w:r>
    </w:p>
    <w:bookmarkEnd w:id="556"/>
    <w:bookmarkEnd w:id="557"/>
    <w:bookmarkEnd w:id="558"/>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对于依法必须招标的暂估价项目的确认和批准采取第</w:t>
      </w:r>
      <w:r>
        <w:rPr>
          <w:rFonts w:ascii="仿宋" w:hAnsi="仿宋" w:eastAsia="仿宋" w:cs="仿宋"/>
          <w:sz w:val="24"/>
          <w:szCs w:val="24"/>
        </w:rPr>
        <w:t>X</w:t>
      </w:r>
      <w:r>
        <w:rPr>
          <w:rFonts w:hint="eastAsia" w:ascii="仿宋" w:hAnsi="仿宋" w:eastAsia="仿宋" w:cs="仿宋"/>
          <w:sz w:val="24"/>
          <w:szCs w:val="24"/>
        </w:rPr>
        <w:t>种方式确定。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10.4.2 </w:t>
      </w:r>
      <w:r>
        <w:rPr>
          <w:rFonts w:hint="eastAsia" w:ascii="仿宋" w:hAnsi="仿宋" w:eastAsia="仿宋" w:cs="仿宋"/>
          <w:sz w:val="24"/>
          <w:szCs w:val="24"/>
        </w:rPr>
        <w:t>不属于依法必须招标的暂估价项目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对于不属于依法必须招标的暂估价项目的确认和批准采取第</w:t>
      </w:r>
      <w:r>
        <w:rPr>
          <w:rFonts w:ascii="仿宋" w:hAnsi="仿宋" w:eastAsia="仿宋" w:cs="仿宋"/>
          <w:sz w:val="24"/>
          <w:szCs w:val="24"/>
        </w:rPr>
        <w:t>X</w:t>
      </w:r>
      <w:r>
        <w:rPr>
          <w:rFonts w:hint="eastAsia" w:ascii="仿宋" w:hAnsi="仿宋" w:eastAsia="仿宋" w:cs="仿宋"/>
          <w:sz w:val="24"/>
          <w:szCs w:val="24"/>
        </w:rPr>
        <w:t>种方式确定。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3</w:t>
      </w:r>
      <w:r>
        <w:rPr>
          <w:rFonts w:hint="eastAsia" w:ascii="仿宋" w:hAnsi="仿宋" w:eastAsia="仿宋" w:cs="仿宋"/>
          <w:sz w:val="24"/>
          <w:szCs w:val="24"/>
        </w:rPr>
        <w:t>种方式：承包人直接实施的暂估价项目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承包人直接实施的暂估价项目的约定：。</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10.5 </w:t>
      </w:r>
      <w:r>
        <w:rPr>
          <w:rFonts w:hint="eastAsia" w:ascii="仿宋" w:hAnsi="仿宋" w:eastAsia="仿宋" w:cs="仿宋"/>
          <w:b/>
          <w:sz w:val="24"/>
          <w:szCs w:val="24"/>
        </w:rPr>
        <w:t>暂列金额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合同当事人关于暂列金额使用的约定：。</w:t>
      </w:r>
    </w:p>
    <w:p>
      <w:pPr>
        <w:keepNext/>
        <w:keepLines/>
        <w:spacing w:before="240" w:after="120" w:line="360" w:lineRule="auto"/>
        <w:outlineLvl w:val="3"/>
        <w:rPr>
          <w:rFonts w:ascii="仿宋" w:hAnsi="仿宋" w:eastAsia="仿宋" w:cs="仿宋"/>
          <w:b/>
          <w:sz w:val="24"/>
          <w:szCs w:val="24"/>
        </w:rPr>
      </w:pPr>
      <w:bookmarkStart w:id="559" w:name="_Toc351203643"/>
      <w:r>
        <w:rPr>
          <w:rFonts w:ascii="仿宋" w:hAnsi="仿宋" w:eastAsia="仿宋" w:cs="仿宋"/>
          <w:b/>
          <w:sz w:val="24"/>
          <w:szCs w:val="24"/>
        </w:rPr>
        <w:t xml:space="preserve">11. </w:t>
      </w:r>
      <w:r>
        <w:rPr>
          <w:rFonts w:hint="eastAsia" w:ascii="仿宋" w:hAnsi="仿宋" w:eastAsia="仿宋" w:cs="仿宋"/>
          <w:b/>
          <w:sz w:val="24"/>
          <w:szCs w:val="24"/>
        </w:rPr>
        <w:t>价格调整</w:t>
      </w:r>
      <w:bookmarkEnd w:id="559"/>
    </w:p>
    <w:p>
      <w:pPr>
        <w:spacing w:line="360" w:lineRule="auto"/>
        <w:ind w:firstLine="472" w:firstLineChars="196"/>
        <w:rPr>
          <w:rFonts w:ascii="仿宋" w:hAnsi="仿宋" w:eastAsia="仿宋" w:cs="仿宋"/>
          <w:b/>
          <w:sz w:val="24"/>
          <w:szCs w:val="24"/>
        </w:rPr>
      </w:pPr>
      <w:bookmarkStart w:id="560" w:name="_Toc296944540"/>
      <w:bookmarkStart w:id="561" w:name="_Toc296346702"/>
      <w:bookmarkStart w:id="562" w:name="_Toc303539157"/>
      <w:bookmarkStart w:id="563" w:name="_Toc296891241"/>
      <w:bookmarkStart w:id="564" w:name="_Toc297216209"/>
      <w:bookmarkStart w:id="565" w:name="_Toc297048387"/>
      <w:bookmarkStart w:id="566" w:name="_Toc312678039"/>
      <w:bookmarkStart w:id="567" w:name="_Toc296503201"/>
      <w:bookmarkStart w:id="568" w:name="_Toc304295577"/>
      <w:bookmarkStart w:id="569" w:name="_Toc292559406"/>
      <w:bookmarkStart w:id="570" w:name="_Toc300935000"/>
      <w:bookmarkStart w:id="571" w:name="_Toc296891029"/>
      <w:bookmarkStart w:id="572" w:name="_Toc297123550"/>
      <w:bookmarkStart w:id="573" w:name="_Toc296347200"/>
      <w:bookmarkStart w:id="574" w:name="_Toc292559911"/>
      <w:bookmarkStart w:id="575" w:name="_Toc297120501"/>
      <w:r>
        <w:rPr>
          <w:rFonts w:ascii="仿宋" w:hAnsi="仿宋" w:eastAsia="仿宋" w:cs="仿宋"/>
          <w:b/>
          <w:sz w:val="24"/>
          <w:szCs w:val="24"/>
        </w:rPr>
        <w:t xml:space="preserve">11.1 </w:t>
      </w:r>
      <w:r>
        <w:rPr>
          <w:rFonts w:hint="eastAsia" w:ascii="仿宋" w:hAnsi="仿宋" w:eastAsia="仿宋" w:cs="仿宋"/>
          <w:b/>
          <w:sz w:val="24"/>
          <w:szCs w:val="24"/>
        </w:rPr>
        <w:t>市场价格波动引起的调整</w:t>
      </w:r>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Pr>
        <w:spacing w:line="460" w:lineRule="exact"/>
        <w:ind w:firstLine="480" w:firstLineChars="200"/>
        <w:jc w:val="left"/>
        <w:rPr>
          <w:rFonts w:hint="eastAsia" w:ascii="宋体" w:hAnsi="宋体" w:cs="宋体"/>
          <w:color w:val="FF0000"/>
          <w:szCs w:val="21"/>
          <w:u w:val="single"/>
        </w:rPr>
      </w:pPr>
      <w:r>
        <w:rPr>
          <w:rFonts w:hint="eastAsia" w:ascii="仿宋" w:hAnsi="仿宋" w:eastAsia="仿宋" w:cs="仿宋"/>
          <w:sz w:val="24"/>
          <w:szCs w:val="24"/>
        </w:rPr>
        <w:t>市场价格波动是否调整合同价格的约定：</w:t>
      </w:r>
      <w:r>
        <w:rPr>
          <w:rFonts w:hint="eastAsia" w:ascii="宋体" w:hAnsi="宋体" w:eastAsia="仿宋" w:cs="宋体"/>
          <w:color w:val="FF0000"/>
          <w:szCs w:val="21"/>
          <w:u w:val="single"/>
          <w:lang w:val="en-US" w:eastAsia="zh-CN"/>
        </w:rPr>
        <w:t>xxx</w:t>
      </w:r>
      <w:r>
        <w:rPr>
          <w:rFonts w:hint="eastAsia" w:ascii="宋体" w:hAnsi="宋体" w:cs="宋体"/>
          <w:color w:val="FF0000"/>
          <w:szCs w:val="21"/>
          <w:u w:val="single"/>
        </w:rPr>
        <w:t>。</w:t>
      </w:r>
    </w:p>
    <w:p>
      <w:pPr>
        <w:spacing w:line="360" w:lineRule="auto"/>
        <w:ind w:firstLine="480" w:firstLineChars="200"/>
        <w:rPr>
          <w:rFonts w:ascii="仿宋" w:hAnsi="仿宋" w:eastAsia="仿宋" w:cs="仿宋"/>
          <w:color w:val="FF0000"/>
          <w:sz w:val="24"/>
          <w:szCs w:val="24"/>
        </w:rPr>
      </w:pPr>
      <w:r>
        <w:rPr>
          <w:rFonts w:hint="eastAsia" w:ascii="宋体" w:hAnsi="宋体" w:cs="宋体"/>
          <w:color w:val="FF0000"/>
          <w:szCs w:val="21"/>
          <w:u w:val="single"/>
        </w:rPr>
        <w:t>可调价材料范围如下：</w:t>
      </w:r>
      <w:r>
        <w:rPr>
          <w:rFonts w:hint="eastAsia" w:ascii="宋体" w:hAnsi="宋体" w:cs="宋体"/>
          <w:color w:val="FF0000"/>
          <w:szCs w:val="21"/>
          <w:u w:val="single"/>
          <w:lang w:val="en-US" w:eastAsia="zh-CN"/>
        </w:rPr>
        <w:t>xxx</w:t>
      </w:r>
      <w:r>
        <w:rPr>
          <w:rFonts w:hint="eastAsia" w:ascii="宋体" w:hAnsi="宋体" w:cs="宋体"/>
          <w:color w:val="FF0000"/>
          <w:szCs w:val="21"/>
          <w:u w:val="single"/>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因市场价格波动调整合同价格，采用以下</w:t>
      </w:r>
      <w:r>
        <w:rPr>
          <w:rFonts w:hint="eastAsia" w:ascii="仿宋" w:hAnsi="仿宋" w:eastAsia="仿宋" w:cs="仿宋"/>
          <w:color w:val="FF0000"/>
          <w:sz w:val="24"/>
          <w:szCs w:val="24"/>
        </w:rPr>
        <w:t>第</w:t>
      </w:r>
      <w:r>
        <w:rPr>
          <w:rFonts w:hint="eastAsia" w:ascii="仿宋" w:hAnsi="仿宋" w:eastAsia="仿宋" w:cs="仿宋"/>
          <w:color w:val="FF0000"/>
          <w:sz w:val="24"/>
          <w:szCs w:val="24"/>
          <w:lang w:val="en-US" w:eastAsia="zh-CN"/>
        </w:rPr>
        <w:t>x</w:t>
      </w:r>
      <w:r>
        <w:rPr>
          <w:rFonts w:hint="eastAsia" w:ascii="仿宋" w:hAnsi="仿宋" w:eastAsia="仿宋" w:cs="仿宋"/>
          <w:color w:val="FF0000"/>
          <w:sz w:val="24"/>
          <w:szCs w:val="24"/>
        </w:rPr>
        <w:t>种方</w:t>
      </w:r>
      <w:r>
        <w:rPr>
          <w:rFonts w:hint="eastAsia" w:ascii="仿宋" w:hAnsi="仿宋" w:eastAsia="仿宋" w:cs="仿宋"/>
          <w:sz w:val="24"/>
          <w:szCs w:val="24"/>
        </w:rPr>
        <w:t>式对合同价格进行调整：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种方式：采用价格指数进行价格调整。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种方式：采用造价信息进行价格调整。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关于基准价格的约定：</w:t>
      </w:r>
      <w:r>
        <w:rPr>
          <w:rFonts w:hint="eastAsia" w:ascii="宋体" w:hAnsi="宋体" w:eastAsia="仿宋" w:cs="宋体"/>
          <w:color w:val="FF0000"/>
          <w:szCs w:val="21"/>
          <w:u w:val="single"/>
          <w:lang w:val="en-US" w:eastAsia="zh-CN"/>
        </w:rPr>
        <w:t>xxx</w:t>
      </w:r>
      <w:r>
        <w:rPr>
          <w:rFonts w:hint="eastAsia" w:ascii="宋体" w:hAnsi="宋体" w:cs="宋体"/>
          <w:szCs w:val="21"/>
          <w:u w:val="single"/>
        </w:rPr>
        <w:t xml:space="preserve"> </w:t>
      </w:r>
      <w:r>
        <w:rPr>
          <w:rFonts w:hint="eastAsia" w:ascii="仿宋" w:hAnsi="仿宋" w:eastAsia="仿宋" w:cs="仿宋"/>
          <w:sz w:val="24"/>
          <w:szCs w:val="24"/>
        </w:rPr>
        <w:t>。</w:t>
      </w:r>
    </w:p>
    <w:p>
      <w:pPr>
        <w:spacing w:line="460" w:lineRule="exact"/>
        <w:ind w:firstLine="480" w:firstLineChars="200"/>
        <w:jc w:val="left"/>
        <w:rPr>
          <w:rFonts w:hint="eastAsia" w:ascii="宋体" w:hAnsi="宋体" w:cs="宋体"/>
          <w:color w:val="FF0000"/>
          <w:szCs w:val="21"/>
        </w:rPr>
      </w:pPr>
      <w:r>
        <w:rPr>
          <w:rFonts w:hint="eastAsia" w:ascii="宋体" w:hAnsi="宋体" w:cs="宋体"/>
          <w:color w:val="FF0000"/>
          <w:szCs w:val="21"/>
        </w:rPr>
        <w:t>关于材料、工程设备价格变化风险范围约定如下：</w:t>
      </w:r>
    </w:p>
    <w:p>
      <w:pPr>
        <w:pStyle w:val="16"/>
        <w:ind w:firstLine="420" w:firstLineChars="200"/>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xxx</w:t>
      </w:r>
    </w:p>
    <w:p>
      <w:pPr>
        <w:spacing w:line="460" w:lineRule="exact"/>
        <w:ind w:firstLine="480" w:firstLineChars="200"/>
        <w:jc w:val="left"/>
        <w:rPr>
          <w:rFonts w:hint="eastAsia" w:ascii="宋体" w:hAnsi="宋体" w:cs="宋体"/>
          <w:color w:val="FF0000"/>
          <w:szCs w:val="21"/>
        </w:rPr>
      </w:pPr>
      <w:r>
        <w:rPr>
          <w:rFonts w:hint="eastAsia" w:ascii="宋体" w:hAnsi="宋体" w:cs="宋体"/>
          <w:color w:val="FF0000"/>
          <w:szCs w:val="21"/>
        </w:rPr>
        <w:t>采用成都市《工程造价信息》的价格按以下办法执行：</w:t>
      </w:r>
    </w:p>
    <w:p>
      <w:pPr>
        <w:pStyle w:val="16"/>
        <w:ind w:firstLine="420" w:firstLineChars="200"/>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xxx</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3</w:t>
      </w:r>
      <w:r>
        <w:rPr>
          <w:rFonts w:hint="eastAsia" w:ascii="仿宋" w:hAnsi="仿宋" w:eastAsia="仿宋" w:cs="仿宋"/>
          <w:sz w:val="24"/>
          <w:szCs w:val="24"/>
        </w:rPr>
        <w:t>种方式：其他价格调整方式：</w:t>
      </w:r>
      <w:r>
        <w:rPr>
          <w:rFonts w:hint="eastAsia" w:ascii="仿宋" w:hAnsi="仿宋" w:eastAsia="仿宋" w:cs="仿宋"/>
          <w:color w:val="FF0000"/>
          <w:sz w:val="24"/>
          <w:szCs w:val="24"/>
          <w:u w:val="single"/>
          <w:lang w:val="en-US" w:eastAsia="zh-CN"/>
        </w:rPr>
        <w:t xml:space="preserve"> / </w:t>
      </w:r>
      <w:r>
        <w:rPr>
          <w:rFonts w:hint="eastAsia" w:ascii="仿宋" w:hAnsi="仿宋" w:eastAsia="仿宋" w:cs="仿宋"/>
          <w:color w:val="FF0000"/>
          <w:sz w:val="24"/>
          <w:szCs w:val="24"/>
        </w:rPr>
        <w:t>。</w:t>
      </w:r>
    </w:p>
    <w:bookmarkEnd w:id="466"/>
    <w:bookmarkEnd w:id="467"/>
    <w:bookmarkEnd w:id="468"/>
    <w:bookmarkEnd w:id="469"/>
    <w:bookmarkEnd w:id="470"/>
    <w:bookmarkEnd w:id="471"/>
    <w:p>
      <w:pPr>
        <w:keepNext/>
        <w:keepLines/>
        <w:spacing w:before="240" w:after="120" w:line="360" w:lineRule="auto"/>
        <w:outlineLvl w:val="3"/>
        <w:rPr>
          <w:rFonts w:ascii="仿宋" w:hAnsi="仿宋" w:eastAsia="仿宋" w:cs="仿宋"/>
          <w:b/>
          <w:sz w:val="24"/>
          <w:szCs w:val="24"/>
        </w:rPr>
      </w:pPr>
      <w:bookmarkStart w:id="576" w:name="_Toc296346706"/>
      <w:bookmarkStart w:id="577" w:name="_Toc296891033"/>
      <w:bookmarkStart w:id="578" w:name="_Toc296891245"/>
      <w:bookmarkStart w:id="579" w:name="_Toc292559410"/>
      <w:bookmarkStart w:id="580" w:name="_Toc297048391"/>
      <w:bookmarkStart w:id="581" w:name="_Toc297120505"/>
      <w:bookmarkStart w:id="582" w:name="_Toc296503205"/>
      <w:bookmarkStart w:id="583" w:name="_Toc292559915"/>
      <w:bookmarkStart w:id="584" w:name="_Toc296347204"/>
      <w:bookmarkStart w:id="585" w:name="_Toc296944544"/>
      <w:bookmarkStart w:id="586" w:name="_Toc351203644"/>
      <w:bookmarkStart w:id="587" w:name="_Toc312678040"/>
      <w:bookmarkStart w:id="588" w:name="_Toc304295579"/>
      <w:bookmarkStart w:id="589" w:name="_Toc303539159"/>
      <w:bookmarkStart w:id="590" w:name="_Toc297123552"/>
      <w:bookmarkStart w:id="591" w:name="_Toc297216211"/>
      <w:bookmarkStart w:id="592" w:name="_Toc300935002"/>
      <w:r>
        <w:rPr>
          <w:rFonts w:ascii="仿宋" w:hAnsi="仿宋" w:eastAsia="仿宋" w:cs="仿宋"/>
          <w:b/>
          <w:sz w:val="24"/>
          <w:szCs w:val="24"/>
        </w:rPr>
        <w:t xml:space="preserve">12. </w:t>
      </w:r>
      <w:bookmarkEnd w:id="576"/>
      <w:bookmarkEnd w:id="577"/>
      <w:bookmarkEnd w:id="578"/>
      <w:bookmarkEnd w:id="579"/>
      <w:bookmarkEnd w:id="580"/>
      <w:bookmarkEnd w:id="581"/>
      <w:bookmarkEnd w:id="582"/>
      <w:bookmarkEnd w:id="583"/>
      <w:bookmarkEnd w:id="584"/>
      <w:bookmarkEnd w:id="585"/>
      <w:r>
        <w:rPr>
          <w:rFonts w:hint="eastAsia" w:ascii="仿宋" w:hAnsi="仿宋" w:eastAsia="仿宋" w:cs="仿宋"/>
          <w:b/>
          <w:sz w:val="24"/>
          <w:szCs w:val="24"/>
        </w:rPr>
        <w:t>合同价格、计量与支付</w:t>
      </w:r>
      <w:bookmarkEnd w:id="586"/>
    </w:p>
    <w:bookmarkEnd w:id="587"/>
    <w:bookmarkEnd w:id="588"/>
    <w:bookmarkEnd w:id="589"/>
    <w:bookmarkEnd w:id="590"/>
    <w:bookmarkEnd w:id="591"/>
    <w:bookmarkEnd w:id="592"/>
    <w:p>
      <w:pPr>
        <w:spacing w:line="360" w:lineRule="auto"/>
        <w:ind w:firstLine="472" w:firstLineChars="196"/>
        <w:rPr>
          <w:rFonts w:ascii="仿宋" w:hAnsi="仿宋" w:eastAsia="仿宋" w:cs="仿宋"/>
          <w:b/>
          <w:sz w:val="24"/>
          <w:szCs w:val="24"/>
        </w:rPr>
      </w:pPr>
      <w:bookmarkStart w:id="593" w:name="_Toc292559916"/>
      <w:bookmarkStart w:id="594" w:name="_Toc267251461"/>
      <w:bookmarkStart w:id="595" w:name="_Toc292559411"/>
      <w:bookmarkStart w:id="596" w:name="_Toc296346707"/>
      <w:bookmarkStart w:id="597" w:name="_Toc297048392"/>
      <w:bookmarkStart w:id="598" w:name="_Toc296891246"/>
      <w:bookmarkStart w:id="599" w:name="_Toc296944545"/>
      <w:bookmarkStart w:id="600" w:name="_Toc296503206"/>
      <w:bookmarkStart w:id="601" w:name="_Toc296347205"/>
      <w:bookmarkStart w:id="602" w:name="_Toc297120506"/>
      <w:bookmarkStart w:id="603" w:name="_Toc296891034"/>
      <w:bookmarkStart w:id="604" w:name="_Toc304295580"/>
      <w:bookmarkStart w:id="605" w:name="_Toc297216212"/>
      <w:bookmarkStart w:id="606" w:name="_Toc297123553"/>
      <w:bookmarkStart w:id="607" w:name="_Toc300935003"/>
      <w:bookmarkStart w:id="608" w:name="_Toc312678041"/>
      <w:bookmarkStart w:id="609" w:name="_Toc303539160"/>
      <w:r>
        <w:rPr>
          <w:rFonts w:ascii="仿宋" w:hAnsi="仿宋" w:eastAsia="仿宋" w:cs="仿宋"/>
          <w:b/>
          <w:sz w:val="24"/>
          <w:szCs w:val="24"/>
        </w:rPr>
        <w:t xml:space="preserve">12.1 </w:t>
      </w:r>
      <w:r>
        <w:rPr>
          <w:rFonts w:hint="eastAsia" w:ascii="仿宋" w:hAnsi="仿宋" w:eastAsia="仿宋" w:cs="仿宋"/>
          <w:b/>
          <w:sz w:val="24"/>
          <w:szCs w:val="24"/>
        </w:rPr>
        <w:t>合</w:t>
      </w:r>
      <w:bookmarkEnd w:id="593"/>
      <w:bookmarkEnd w:id="594"/>
      <w:bookmarkEnd w:id="595"/>
      <w:r>
        <w:rPr>
          <w:rFonts w:hint="eastAsia" w:ascii="仿宋" w:hAnsi="仿宋" w:eastAsia="仿宋" w:cs="仿宋"/>
          <w:b/>
          <w:sz w:val="24"/>
          <w:szCs w:val="24"/>
        </w:rPr>
        <w:t>同价</w:t>
      </w:r>
      <w:bookmarkEnd w:id="596"/>
      <w:bookmarkEnd w:id="597"/>
      <w:bookmarkEnd w:id="598"/>
      <w:bookmarkEnd w:id="599"/>
      <w:bookmarkEnd w:id="600"/>
      <w:bookmarkEnd w:id="601"/>
      <w:bookmarkEnd w:id="602"/>
      <w:bookmarkEnd w:id="603"/>
      <w:r>
        <w:rPr>
          <w:rFonts w:hint="eastAsia" w:ascii="仿宋" w:hAnsi="仿宋" w:eastAsia="仿宋" w:cs="仿宋"/>
          <w:b/>
          <w:sz w:val="24"/>
          <w:szCs w:val="24"/>
        </w:rPr>
        <w:t>格形式</w:t>
      </w:r>
    </w:p>
    <w:bookmarkEnd w:id="604"/>
    <w:bookmarkEnd w:id="605"/>
    <w:bookmarkEnd w:id="606"/>
    <w:bookmarkEnd w:id="607"/>
    <w:bookmarkEnd w:id="608"/>
    <w:bookmarkEnd w:id="609"/>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12.1.1 </w:t>
      </w:r>
      <w:r>
        <w:rPr>
          <w:rFonts w:hint="eastAsia" w:ascii="仿宋" w:hAnsi="仿宋" w:eastAsia="仿宋" w:cs="仿宋"/>
          <w:sz w:val="24"/>
          <w:szCs w:val="24"/>
        </w:rPr>
        <w:t>单价合同。</w:t>
      </w:r>
    </w:p>
    <w:p>
      <w:pPr>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综合单价包含的风险范围：</w:t>
      </w:r>
      <w:r>
        <w:rPr>
          <w:rFonts w:hint="eastAsia" w:ascii="宋体" w:hAnsi="宋体" w:eastAsia="仿宋" w:cs="宋体"/>
          <w:color w:val="FF0000"/>
          <w:szCs w:val="21"/>
          <w:u w:val="single"/>
          <w:lang w:val="en-US" w:eastAsia="zh-CN"/>
        </w:rPr>
        <w:t>xxx</w:t>
      </w:r>
      <w:r>
        <w:rPr>
          <w:rFonts w:hint="eastAsia" w:ascii="宋体" w:hAnsi="宋体" w:cs="宋体"/>
          <w:color w:val="FF0000"/>
          <w:szCs w:val="21"/>
          <w:u w:val="single"/>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风险费用的计算方法：</w:t>
      </w:r>
      <w:r>
        <w:rPr>
          <w:rFonts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12.1.2 </w:t>
      </w:r>
      <w:r>
        <w:rPr>
          <w:rFonts w:hint="eastAsia" w:ascii="仿宋" w:hAnsi="仿宋" w:eastAsia="仿宋" w:cs="仿宋"/>
          <w:sz w:val="24"/>
          <w:szCs w:val="24"/>
        </w:rPr>
        <w:t>总价合同。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总价包含的风险范围：。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风险费用的计算方法：。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12.1.3 </w:t>
      </w:r>
      <w:r>
        <w:rPr>
          <w:rFonts w:hint="eastAsia" w:ascii="仿宋" w:hAnsi="仿宋" w:eastAsia="仿宋" w:cs="仿宋"/>
          <w:sz w:val="24"/>
          <w:szCs w:val="24"/>
        </w:rPr>
        <w:t>其他价格方式：。</w:t>
      </w:r>
    </w:p>
    <w:p>
      <w:pPr>
        <w:spacing w:before="312" w:beforeLines="100" w:line="360" w:lineRule="auto"/>
        <w:ind w:firstLine="472" w:firstLineChars="196"/>
        <w:rPr>
          <w:rFonts w:ascii="仿宋" w:hAnsi="仿宋" w:eastAsia="仿宋" w:cs="仿宋"/>
          <w:b/>
          <w:sz w:val="24"/>
          <w:szCs w:val="24"/>
        </w:rPr>
      </w:pPr>
      <w:bookmarkStart w:id="610" w:name="_Toc312678042"/>
      <w:bookmarkStart w:id="611" w:name="_Toc297216213"/>
      <w:bookmarkStart w:id="612" w:name="_Toc300935004"/>
      <w:bookmarkStart w:id="613" w:name="_Toc304295581"/>
      <w:bookmarkStart w:id="614" w:name="_Toc297123554"/>
      <w:bookmarkStart w:id="615" w:name="_Toc303539161"/>
      <w:bookmarkStart w:id="616" w:name="_Toc292559917"/>
      <w:bookmarkStart w:id="617" w:name="_Toc296944546"/>
      <w:bookmarkStart w:id="618" w:name="_Toc297120507"/>
      <w:bookmarkStart w:id="619" w:name="_Toc297048393"/>
      <w:bookmarkStart w:id="620" w:name="_Toc292559412"/>
      <w:bookmarkStart w:id="621" w:name="_Toc296891035"/>
      <w:bookmarkStart w:id="622" w:name="_Toc296891247"/>
      <w:bookmarkStart w:id="623" w:name="_Toc296347206"/>
      <w:bookmarkStart w:id="624" w:name="_Toc296346708"/>
      <w:bookmarkStart w:id="625" w:name="_Toc296503207"/>
      <w:r>
        <w:rPr>
          <w:rFonts w:ascii="仿宋" w:hAnsi="仿宋" w:eastAsia="仿宋" w:cs="仿宋"/>
          <w:b/>
          <w:sz w:val="24"/>
          <w:szCs w:val="24"/>
        </w:rPr>
        <w:t xml:space="preserve">12.2 </w:t>
      </w:r>
      <w:r>
        <w:rPr>
          <w:rFonts w:hint="eastAsia" w:ascii="仿宋" w:hAnsi="仿宋" w:eastAsia="仿宋" w:cs="仿宋"/>
          <w:b/>
          <w:sz w:val="24"/>
          <w:szCs w:val="24"/>
        </w:rPr>
        <w:t>预付款</w:t>
      </w:r>
    </w:p>
    <w:bookmarkEnd w:id="610"/>
    <w:bookmarkEnd w:id="611"/>
    <w:bookmarkEnd w:id="612"/>
    <w:bookmarkEnd w:id="613"/>
    <w:bookmarkEnd w:id="614"/>
    <w:bookmarkEnd w:id="615"/>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12.2.1 </w:t>
      </w:r>
      <w:r>
        <w:rPr>
          <w:rFonts w:hint="eastAsia" w:ascii="仿宋" w:hAnsi="仿宋" w:eastAsia="仿宋" w:cs="仿宋"/>
          <w:sz w:val="24"/>
          <w:szCs w:val="24"/>
        </w:rPr>
        <w:t>预付款的支付</w:t>
      </w:r>
    </w:p>
    <w:p>
      <w:pPr>
        <w:spacing w:line="360" w:lineRule="auto"/>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预付款支付比例或金额：</w:t>
      </w:r>
      <w:r>
        <w:rPr>
          <w:rFonts w:hint="eastAsia" w:ascii="仿宋" w:hAnsi="仿宋" w:eastAsia="仿宋" w:cs="仿宋"/>
          <w:color w:val="FF0000"/>
          <w:sz w:val="24"/>
          <w:szCs w:val="24"/>
          <w:u w:val="single"/>
          <w:lang w:val="en-US" w:eastAsia="zh-CN"/>
        </w:rPr>
        <w:t xml:space="preserve">  xxx </w:t>
      </w:r>
      <w:r>
        <w:rPr>
          <w:rFonts w:hint="eastAsia" w:ascii="仿宋" w:hAnsi="仿宋" w:eastAsia="仿宋" w:cs="仿宋"/>
          <w:color w:val="FF0000"/>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预付款支付期限：。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预付款扣回的方式：。</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12.2.2 </w:t>
      </w:r>
      <w:r>
        <w:rPr>
          <w:rFonts w:hint="eastAsia" w:ascii="仿宋" w:hAnsi="仿宋" w:eastAsia="仿宋" w:cs="仿宋"/>
          <w:sz w:val="24"/>
          <w:szCs w:val="24"/>
        </w:rPr>
        <w:t>预付款担保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承包人提交预付款担保的期限：。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预付款担保的形式为：。</w:t>
      </w:r>
    </w:p>
    <w:bookmarkEnd w:id="616"/>
    <w:bookmarkEnd w:id="617"/>
    <w:bookmarkEnd w:id="618"/>
    <w:bookmarkEnd w:id="619"/>
    <w:bookmarkEnd w:id="620"/>
    <w:bookmarkEnd w:id="621"/>
    <w:bookmarkEnd w:id="622"/>
    <w:bookmarkEnd w:id="623"/>
    <w:bookmarkEnd w:id="624"/>
    <w:bookmarkEnd w:id="625"/>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12.3 </w:t>
      </w:r>
      <w:r>
        <w:rPr>
          <w:rFonts w:hint="eastAsia" w:ascii="仿宋" w:hAnsi="仿宋" w:eastAsia="仿宋" w:cs="仿宋"/>
          <w:b/>
          <w:sz w:val="24"/>
          <w:szCs w:val="24"/>
        </w:rPr>
        <w:t>计量</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12.3.1 </w:t>
      </w:r>
      <w:r>
        <w:rPr>
          <w:rFonts w:hint="eastAsia" w:ascii="仿宋" w:hAnsi="仿宋" w:eastAsia="仿宋" w:cs="仿宋"/>
          <w:sz w:val="24"/>
          <w:szCs w:val="24"/>
        </w:rPr>
        <w:t>计量原则</w:t>
      </w:r>
    </w:p>
    <w:p>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工程量计算规则：。</w:t>
      </w:r>
    </w:p>
    <w:p>
      <w:pPr>
        <w:spacing w:line="360" w:lineRule="auto"/>
        <w:ind w:firstLine="480" w:firstLineChars="200"/>
        <w:rPr>
          <w:rFonts w:ascii="仿宋" w:hAnsi="仿宋" w:eastAsia="仿宋" w:cs="仿宋"/>
          <w:b w:val="0"/>
          <w:bCs w:val="0"/>
          <w:sz w:val="24"/>
          <w:szCs w:val="24"/>
        </w:rPr>
      </w:pPr>
      <w:r>
        <w:rPr>
          <w:rFonts w:ascii="仿宋" w:hAnsi="仿宋" w:eastAsia="仿宋" w:cs="仿宋"/>
          <w:b w:val="0"/>
          <w:bCs w:val="0"/>
          <w:sz w:val="24"/>
          <w:szCs w:val="24"/>
        </w:rPr>
        <w:t xml:space="preserve">12.3.1.1 </w:t>
      </w:r>
      <w:r>
        <w:rPr>
          <w:rFonts w:hint="eastAsia" w:ascii="仿宋" w:hAnsi="仿宋" w:eastAsia="仿宋" w:cs="仿宋"/>
          <w:b w:val="0"/>
          <w:bCs w:val="0"/>
          <w:sz w:val="24"/>
          <w:szCs w:val="24"/>
        </w:rPr>
        <w:t>总价措施项目的计量</w:t>
      </w:r>
    </w:p>
    <w:p>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安全文明施工费的计量、支付与结算按川建发〔</w:t>
      </w:r>
      <w:r>
        <w:rPr>
          <w:rFonts w:ascii="仿宋" w:hAnsi="仿宋" w:eastAsia="仿宋" w:cs="仿宋"/>
          <w:b w:val="0"/>
          <w:bCs w:val="0"/>
          <w:sz w:val="24"/>
          <w:szCs w:val="24"/>
        </w:rPr>
        <w:t>2017</w:t>
      </w:r>
      <w:r>
        <w:rPr>
          <w:rFonts w:hint="eastAsia" w:ascii="仿宋" w:hAnsi="仿宋" w:eastAsia="仿宋" w:cs="仿宋"/>
          <w:b w:val="0"/>
          <w:bCs w:val="0"/>
          <w:sz w:val="24"/>
          <w:szCs w:val="24"/>
        </w:rPr>
        <w:t>〕</w:t>
      </w:r>
      <w:r>
        <w:rPr>
          <w:rFonts w:ascii="仿宋" w:hAnsi="仿宋" w:eastAsia="仿宋" w:cs="仿宋"/>
          <w:b w:val="0"/>
          <w:bCs w:val="0"/>
          <w:sz w:val="24"/>
          <w:szCs w:val="24"/>
        </w:rPr>
        <w:t>5</w:t>
      </w:r>
      <w:r>
        <w:rPr>
          <w:rFonts w:hint="eastAsia" w:ascii="仿宋" w:hAnsi="仿宋" w:eastAsia="仿宋" w:cs="仿宋"/>
          <w:b w:val="0"/>
          <w:bCs w:val="0"/>
          <w:sz w:val="24"/>
          <w:szCs w:val="24"/>
        </w:rPr>
        <w:t>号执行。</w:t>
      </w:r>
    </w:p>
    <w:p>
      <w:pPr>
        <w:spacing w:line="360" w:lineRule="auto"/>
        <w:ind w:firstLine="480" w:firstLineChars="200"/>
        <w:rPr>
          <w:rFonts w:ascii="仿宋" w:hAnsi="仿宋" w:eastAsia="仿宋" w:cs="仿宋"/>
          <w:b w:val="0"/>
          <w:bCs w:val="0"/>
          <w:sz w:val="24"/>
          <w:szCs w:val="24"/>
        </w:rPr>
      </w:pPr>
      <w:r>
        <w:rPr>
          <w:rFonts w:ascii="仿宋" w:hAnsi="仿宋" w:eastAsia="仿宋" w:cs="仿宋"/>
          <w:b w:val="0"/>
          <w:bCs w:val="0"/>
          <w:sz w:val="24"/>
          <w:szCs w:val="24"/>
        </w:rPr>
        <w:t>12.3.1.2</w:t>
      </w:r>
      <w:r>
        <w:rPr>
          <w:rFonts w:hint="eastAsia" w:ascii="仿宋" w:hAnsi="仿宋" w:eastAsia="仿宋" w:cs="仿宋"/>
          <w:b w:val="0"/>
          <w:bCs w:val="0"/>
          <w:sz w:val="24"/>
          <w:szCs w:val="24"/>
        </w:rPr>
        <w:t>规费的计量</w:t>
      </w:r>
    </w:p>
    <w:p>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按建设行政主管部门核定的承包人规费费率计量和结算。</w:t>
      </w:r>
    </w:p>
    <w:p>
      <w:pPr>
        <w:spacing w:line="360" w:lineRule="auto"/>
        <w:ind w:firstLine="480" w:firstLineChars="200"/>
        <w:rPr>
          <w:rFonts w:ascii="仿宋" w:hAnsi="仿宋" w:eastAsia="仿宋" w:cs="仿宋"/>
          <w:b w:val="0"/>
          <w:bCs w:val="0"/>
          <w:sz w:val="24"/>
          <w:szCs w:val="24"/>
        </w:rPr>
      </w:pPr>
      <w:r>
        <w:rPr>
          <w:rFonts w:ascii="仿宋" w:hAnsi="仿宋" w:eastAsia="仿宋" w:cs="仿宋"/>
          <w:b w:val="0"/>
          <w:bCs w:val="0"/>
          <w:sz w:val="24"/>
          <w:szCs w:val="24"/>
        </w:rPr>
        <w:t>12.3.1.3</w:t>
      </w:r>
      <w:r>
        <w:rPr>
          <w:rFonts w:hint="eastAsia" w:ascii="仿宋" w:hAnsi="仿宋" w:eastAsia="仿宋" w:cs="仿宋"/>
          <w:b w:val="0"/>
          <w:bCs w:val="0"/>
          <w:sz w:val="24"/>
          <w:szCs w:val="24"/>
        </w:rPr>
        <w:t>税金</w:t>
      </w:r>
    </w:p>
    <w:p>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税金按国家或省级、行业建设主管部门的规定计取。</w:t>
      </w:r>
    </w:p>
    <w:p>
      <w:pPr>
        <w:spacing w:line="360" w:lineRule="auto"/>
        <w:ind w:firstLine="480" w:firstLineChars="200"/>
        <w:rPr>
          <w:rFonts w:ascii="仿宋" w:hAnsi="仿宋" w:eastAsia="仿宋" w:cs="仿宋"/>
          <w:b w:val="0"/>
          <w:bCs w:val="0"/>
          <w:sz w:val="24"/>
          <w:szCs w:val="24"/>
        </w:rPr>
      </w:pPr>
      <w:r>
        <w:rPr>
          <w:rFonts w:ascii="仿宋" w:hAnsi="仿宋" w:eastAsia="仿宋" w:cs="仿宋"/>
          <w:b w:val="0"/>
          <w:bCs w:val="0"/>
          <w:sz w:val="24"/>
          <w:szCs w:val="24"/>
        </w:rPr>
        <w:t xml:space="preserve">12.3.2 </w:t>
      </w:r>
      <w:r>
        <w:rPr>
          <w:rFonts w:hint="eastAsia" w:ascii="仿宋" w:hAnsi="仿宋" w:eastAsia="仿宋" w:cs="仿宋"/>
          <w:b w:val="0"/>
          <w:bCs w:val="0"/>
          <w:sz w:val="24"/>
          <w:szCs w:val="24"/>
        </w:rPr>
        <w:t>计量周期</w:t>
      </w:r>
    </w:p>
    <w:p>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关于计量周期的约定：。</w:t>
      </w:r>
    </w:p>
    <w:p>
      <w:pPr>
        <w:spacing w:line="360" w:lineRule="auto"/>
        <w:ind w:firstLine="480" w:firstLineChars="200"/>
        <w:rPr>
          <w:rFonts w:ascii="仿宋" w:hAnsi="仿宋" w:eastAsia="仿宋" w:cs="仿宋"/>
          <w:b w:val="0"/>
          <w:bCs w:val="0"/>
          <w:sz w:val="24"/>
          <w:szCs w:val="24"/>
        </w:rPr>
      </w:pPr>
      <w:r>
        <w:rPr>
          <w:rFonts w:ascii="仿宋" w:hAnsi="仿宋" w:eastAsia="仿宋" w:cs="仿宋"/>
          <w:b w:val="0"/>
          <w:bCs w:val="0"/>
          <w:sz w:val="24"/>
          <w:szCs w:val="24"/>
        </w:rPr>
        <w:t xml:space="preserve">12.3.3 </w:t>
      </w:r>
      <w:r>
        <w:rPr>
          <w:rFonts w:hint="eastAsia" w:ascii="仿宋" w:hAnsi="仿宋" w:eastAsia="仿宋" w:cs="仿宋"/>
          <w:b w:val="0"/>
          <w:bCs w:val="0"/>
          <w:sz w:val="24"/>
          <w:szCs w:val="24"/>
        </w:rPr>
        <w:t>单价合同的计量</w:t>
      </w:r>
    </w:p>
    <w:p>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关于单价合同计量的约定：。</w:t>
      </w:r>
    </w:p>
    <w:p>
      <w:pPr>
        <w:spacing w:line="360" w:lineRule="auto"/>
        <w:ind w:firstLine="480" w:firstLineChars="200"/>
        <w:rPr>
          <w:rFonts w:ascii="仿宋" w:hAnsi="仿宋" w:eastAsia="仿宋" w:cs="仿宋"/>
          <w:b w:val="0"/>
          <w:bCs w:val="0"/>
          <w:sz w:val="24"/>
          <w:szCs w:val="24"/>
        </w:rPr>
      </w:pPr>
      <w:r>
        <w:rPr>
          <w:rFonts w:ascii="仿宋" w:hAnsi="仿宋" w:eastAsia="仿宋" w:cs="仿宋"/>
          <w:b w:val="0"/>
          <w:bCs w:val="0"/>
          <w:sz w:val="24"/>
          <w:szCs w:val="24"/>
        </w:rPr>
        <w:t xml:space="preserve">12.3.4 </w:t>
      </w:r>
      <w:r>
        <w:rPr>
          <w:rFonts w:hint="eastAsia" w:ascii="仿宋" w:hAnsi="仿宋" w:eastAsia="仿宋" w:cs="仿宋"/>
          <w:b w:val="0"/>
          <w:bCs w:val="0"/>
          <w:sz w:val="24"/>
          <w:szCs w:val="24"/>
        </w:rPr>
        <w:t>总价合同的计量</w:t>
      </w:r>
    </w:p>
    <w:p>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关于总价合同计量的约定：。</w:t>
      </w:r>
    </w:p>
    <w:p>
      <w:pPr>
        <w:spacing w:line="360" w:lineRule="auto"/>
        <w:ind w:firstLine="480" w:firstLineChars="200"/>
        <w:rPr>
          <w:rFonts w:ascii="仿宋" w:hAnsi="仿宋" w:eastAsia="仿宋" w:cs="仿宋"/>
          <w:b w:val="0"/>
          <w:bCs w:val="0"/>
          <w:sz w:val="24"/>
          <w:szCs w:val="24"/>
        </w:rPr>
      </w:pPr>
      <w:r>
        <w:rPr>
          <w:rFonts w:ascii="仿宋" w:hAnsi="仿宋" w:eastAsia="仿宋" w:cs="仿宋"/>
          <w:b w:val="0"/>
          <w:bCs w:val="0"/>
          <w:sz w:val="24"/>
          <w:szCs w:val="24"/>
        </w:rPr>
        <w:t>12.3.5</w:t>
      </w:r>
      <w:r>
        <w:rPr>
          <w:rFonts w:hint="eastAsia" w:ascii="仿宋" w:hAnsi="仿宋" w:eastAsia="仿宋" w:cs="仿宋"/>
          <w:b w:val="0"/>
          <w:bCs w:val="0"/>
          <w:sz w:val="24"/>
          <w:szCs w:val="24"/>
        </w:rPr>
        <w:t>总价合同采用支付分解表计量支付的，是否适用第</w:t>
      </w:r>
      <w:r>
        <w:rPr>
          <w:rFonts w:ascii="仿宋" w:hAnsi="仿宋" w:eastAsia="仿宋" w:cs="仿宋"/>
          <w:b w:val="0"/>
          <w:bCs w:val="0"/>
          <w:sz w:val="24"/>
          <w:szCs w:val="24"/>
        </w:rPr>
        <w:t xml:space="preserve">12.3.4 </w:t>
      </w:r>
      <w:r>
        <w:rPr>
          <w:rFonts w:hint="eastAsia" w:ascii="仿宋" w:hAnsi="仿宋" w:eastAsia="仿宋" w:cs="仿宋"/>
          <w:b w:val="0"/>
          <w:bCs w:val="0"/>
          <w:sz w:val="24"/>
          <w:szCs w:val="24"/>
        </w:rPr>
        <w:t>项〔总价合同的计量〕约定进行计量：。</w:t>
      </w:r>
    </w:p>
    <w:p>
      <w:pPr>
        <w:spacing w:line="360" w:lineRule="auto"/>
        <w:ind w:firstLine="480" w:firstLineChars="200"/>
        <w:rPr>
          <w:rFonts w:ascii="仿宋" w:hAnsi="仿宋" w:eastAsia="仿宋" w:cs="仿宋"/>
          <w:b w:val="0"/>
          <w:bCs w:val="0"/>
          <w:sz w:val="24"/>
          <w:szCs w:val="24"/>
        </w:rPr>
      </w:pPr>
      <w:r>
        <w:rPr>
          <w:rFonts w:ascii="仿宋" w:hAnsi="仿宋" w:eastAsia="仿宋" w:cs="仿宋"/>
          <w:b w:val="0"/>
          <w:bCs w:val="0"/>
          <w:sz w:val="24"/>
          <w:szCs w:val="24"/>
        </w:rPr>
        <w:t xml:space="preserve">12.3.6 </w:t>
      </w:r>
      <w:r>
        <w:rPr>
          <w:rFonts w:hint="eastAsia" w:ascii="仿宋" w:hAnsi="仿宋" w:eastAsia="仿宋" w:cs="仿宋"/>
          <w:b w:val="0"/>
          <w:bCs w:val="0"/>
          <w:sz w:val="24"/>
          <w:szCs w:val="24"/>
        </w:rPr>
        <w:t>其他价格形式合同的计量</w:t>
      </w:r>
    </w:p>
    <w:p>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其他价格形式的计量方式和程序：。</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12.4 </w:t>
      </w:r>
      <w:r>
        <w:rPr>
          <w:rFonts w:hint="eastAsia" w:ascii="仿宋" w:hAnsi="仿宋" w:eastAsia="仿宋" w:cs="仿宋"/>
          <w:b/>
          <w:sz w:val="24"/>
          <w:szCs w:val="24"/>
        </w:rPr>
        <w:t>工程进度款支付</w:t>
      </w:r>
    </w:p>
    <w:p>
      <w:pPr>
        <w:spacing w:line="360" w:lineRule="auto"/>
        <w:ind w:firstLine="480" w:firstLineChars="200"/>
        <w:rPr>
          <w:rFonts w:ascii="仿宋" w:hAnsi="仿宋" w:eastAsia="仿宋" w:cs="仿宋"/>
          <w:sz w:val="24"/>
          <w:szCs w:val="24"/>
        </w:rPr>
      </w:pPr>
      <w:bookmarkStart w:id="626" w:name="_Toc297048397"/>
      <w:bookmarkStart w:id="627" w:name="_Toc297120511"/>
      <w:bookmarkStart w:id="628" w:name="_Toc303539163"/>
      <w:bookmarkStart w:id="629" w:name="_Toc297216215"/>
      <w:bookmarkStart w:id="630" w:name="_Toc296347210"/>
      <w:bookmarkStart w:id="631" w:name="_Toc296891039"/>
      <w:bookmarkStart w:id="632" w:name="_Toc292559416"/>
      <w:bookmarkStart w:id="633" w:name="_Toc296346712"/>
      <w:bookmarkStart w:id="634" w:name="_Toc296891251"/>
      <w:bookmarkStart w:id="635" w:name="_Toc292559921"/>
      <w:bookmarkStart w:id="636" w:name="_Toc300935006"/>
      <w:bookmarkStart w:id="637" w:name="_Toc296944550"/>
      <w:bookmarkStart w:id="638" w:name="_Toc296503211"/>
      <w:bookmarkStart w:id="639" w:name="_Toc297123556"/>
      <w:r>
        <w:rPr>
          <w:rFonts w:ascii="仿宋" w:hAnsi="仿宋" w:eastAsia="仿宋" w:cs="仿宋"/>
          <w:sz w:val="24"/>
          <w:szCs w:val="24"/>
        </w:rPr>
        <w:t xml:space="preserve">12.4.1 </w:t>
      </w:r>
      <w:r>
        <w:rPr>
          <w:rFonts w:hint="eastAsia" w:ascii="仿宋" w:hAnsi="仿宋" w:eastAsia="仿宋" w:cs="仿宋"/>
          <w:sz w:val="24"/>
          <w:szCs w:val="24"/>
        </w:rPr>
        <w:t>付款周期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关于付款周期的约定：。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12.4.2 </w:t>
      </w:r>
      <w:r>
        <w:rPr>
          <w:rFonts w:hint="eastAsia" w:ascii="仿宋" w:hAnsi="仿宋" w:eastAsia="仿宋" w:cs="仿宋"/>
          <w:sz w:val="24"/>
          <w:szCs w:val="24"/>
        </w:rPr>
        <w:t>进度付款申请单的编制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Pr>
          <w:rFonts w:ascii="仿宋" w:hAnsi="仿宋" w:eastAsia="仿宋" w:cs="仿宋"/>
          <w:sz w:val="24"/>
          <w:szCs w:val="24"/>
        </w:rPr>
        <w:t xml:space="preserve">2.4.3 </w:t>
      </w:r>
      <w:r>
        <w:rPr>
          <w:rFonts w:hint="eastAsia" w:ascii="仿宋" w:hAnsi="仿宋" w:eastAsia="仿宋" w:cs="仿宋"/>
          <w:sz w:val="24"/>
          <w:szCs w:val="24"/>
        </w:rPr>
        <w:t>进度付款申请单的提交</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）单价合同进度付款申请单提交的约定：。</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）总价合同进度付款申请单提交的约定：。</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）其他价格形式合同进度付款申请单提交的约定：。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12.4.4 </w:t>
      </w:r>
      <w:r>
        <w:rPr>
          <w:rFonts w:hint="eastAsia" w:ascii="仿宋" w:hAnsi="仿宋" w:eastAsia="仿宋" w:cs="仿宋"/>
          <w:sz w:val="24"/>
          <w:szCs w:val="24"/>
        </w:rPr>
        <w:t>进度款审核和支付</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）监理人审查并报送发包人的期限：。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发包人完成审批并签发进度款支付证书的期限：。</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）发包人支付进度款的期限：。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发包人逾期支付进度款的违约金的计算方式：。</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12.4.5 </w:t>
      </w:r>
      <w:r>
        <w:rPr>
          <w:rFonts w:hint="eastAsia" w:ascii="仿宋" w:hAnsi="仿宋" w:eastAsia="仿宋" w:cs="仿宋"/>
          <w:sz w:val="24"/>
          <w:szCs w:val="24"/>
        </w:rPr>
        <w:t>支付分解表的编制</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）总价合同支付分解表的编制与审批：。</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）单价合同的总价项目支付分解表的编制与审批：。</w:t>
      </w:r>
    </w:p>
    <w:bookmarkEnd w:id="472"/>
    <w:p>
      <w:pPr>
        <w:keepNext/>
        <w:keepLines/>
        <w:spacing w:before="240" w:after="120" w:line="360" w:lineRule="auto"/>
        <w:outlineLvl w:val="3"/>
        <w:rPr>
          <w:rFonts w:ascii="仿宋" w:hAnsi="仿宋" w:eastAsia="仿宋" w:cs="仿宋"/>
          <w:b/>
          <w:sz w:val="24"/>
          <w:szCs w:val="24"/>
        </w:rPr>
      </w:pPr>
      <w:bookmarkStart w:id="640" w:name="_Toc351203645"/>
      <w:bookmarkStart w:id="641" w:name="_Toc292559424"/>
      <w:bookmarkStart w:id="642" w:name="_Toc312678053"/>
      <w:bookmarkStart w:id="643" w:name="_Toc304295593"/>
      <w:bookmarkStart w:id="644" w:name="_Toc296944558"/>
      <w:bookmarkStart w:id="645" w:name="_Toc297048405"/>
      <w:bookmarkStart w:id="646" w:name="_Toc296891047"/>
      <w:bookmarkStart w:id="647" w:name="_Toc296503219"/>
      <w:bookmarkStart w:id="648" w:name="_Toc297123564"/>
      <w:bookmarkStart w:id="649" w:name="_Toc297216223"/>
      <w:bookmarkStart w:id="650" w:name="_Toc300935015"/>
      <w:bookmarkStart w:id="651" w:name="_Toc296891259"/>
      <w:bookmarkStart w:id="652" w:name="_Toc296346720"/>
      <w:bookmarkStart w:id="653" w:name="_Toc297120519"/>
      <w:bookmarkStart w:id="654" w:name="_Toc292559929"/>
      <w:bookmarkStart w:id="655" w:name="_Toc303539172"/>
      <w:bookmarkStart w:id="656" w:name="_Toc296347218"/>
      <w:r>
        <w:rPr>
          <w:rFonts w:ascii="仿宋" w:hAnsi="仿宋" w:eastAsia="仿宋" w:cs="仿宋"/>
          <w:b/>
          <w:sz w:val="24"/>
          <w:szCs w:val="24"/>
        </w:rPr>
        <w:t>13.</w:t>
      </w:r>
      <w:r>
        <w:rPr>
          <w:rFonts w:hint="eastAsia" w:ascii="仿宋" w:hAnsi="仿宋" w:eastAsia="仿宋" w:cs="仿宋"/>
          <w:b/>
          <w:sz w:val="24"/>
          <w:szCs w:val="24"/>
        </w:rPr>
        <w:t>验收和工程试车</w:t>
      </w:r>
      <w:bookmarkEnd w:id="640"/>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13.1 </w:t>
      </w:r>
      <w:r>
        <w:rPr>
          <w:rFonts w:hint="eastAsia" w:ascii="仿宋" w:hAnsi="仿宋" w:eastAsia="仿宋" w:cs="仿宋"/>
          <w:b/>
          <w:sz w:val="24"/>
          <w:szCs w:val="24"/>
        </w:rPr>
        <w:t>分部分项工程验收</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13.1.1</w:t>
      </w:r>
      <w:r>
        <w:rPr>
          <w:rFonts w:hint="eastAsia" w:ascii="仿宋" w:hAnsi="仿宋" w:eastAsia="仿宋" w:cs="仿宋"/>
          <w:sz w:val="24"/>
          <w:szCs w:val="24"/>
        </w:rPr>
        <w:t>监理人不能按时进行验收时，应提前</w:t>
      </w:r>
      <w:r>
        <w:rPr>
          <w:rFonts w:ascii="仿宋" w:hAnsi="仿宋" w:eastAsia="仿宋" w:cs="仿宋"/>
          <w:sz w:val="24"/>
          <w:szCs w:val="24"/>
        </w:rPr>
        <w:t>X</w:t>
      </w:r>
      <w:r>
        <w:rPr>
          <w:rFonts w:hint="eastAsia" w:ascii="仿宋" w:hAnsi="仿宋" w:eastAsia="仿宋" w:cs="仿宋"/>
          <w:sz w:val="24"/>
          <w:szCs w:val="24"/>
        </w:rPr>
        <w:t>小时提交书面延期要求。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关于延期最长不得超过：</w:t>
      </w:r>
      <w:r>
        <w:rPr>
          <w:rFonts w:ascii="仿宋" w:hAnsi="仿宋" w:eastAsia="仿宋" w:cs="仿宋"/>
          <w:sz w:val="24"/>
          <w:szCs w:val="24"/>
        </w:rPr>
        <w:t>X</w:t>
      </w:r>
      <w:r>
        <w:rPr>
          <w:rFonts w:hint="eastAsia" w:ascii="仿宋" w:hAnsi="仿宋" w:eastAsia="仿宋" w:cs="仿宋"/>
          <w:sz w:val="24"/>
          <w:szCs w:val="24"/>
        </w:rPr>
        <w:t>小时。</w:t>
      </w:r>
    </w:p>
    <w:p>
      <w:pPr>
        <w:spacing w:before="312" w:beforeLines="100" w:line="360" w:lineRule="auto"/>
        <w:ind w:firstLine="472" w:firstLineChars="196"/>
        <w:rPr>
          <w:rFonts w:ascii="仿宋" w:hAnsi="仿宋" w:eastAsia="仿宋" w:cs="仿宋"/>
          <w:b/>
          <w:sz w:val="24"/>
          <w:szCs w:val="24"/>
        </w:rPr>
      </w:pPr>
      <w:bookmarkStart w:id="657" w:name="_Toc296944562"/>
      <w:bookmarkStart w:id="658" w:name="_Toc296346724"/>
      <w:bookmarkStart w:id="659" w:name="_Toc296891051"/>
      <w:bookmarkStart w:id="660" w:name="_Toc292559933"/>
      <w:bookmarkStart w:id="661" w:name="_Toc303539173"/>
      <w:bookmarkStart w:id="662" w:name="_Toc297216224"/>
      <w:bookmarkStart w:id="663" w:name="_Toc297123565"/>
      <w:bookmarkStart w:id="664" w:name="_Toc312678056"/>
      <w:bookmarkStart w:id="665" w:name="_Toc296347222"/>
      <w:bookmarkStart w:id="666" w:name="_Toc300935016"/>
      <w:bookmarkStart w:id="667" w:name="_Toc296891263"/>
      <w:bookmarkStart w:id="668" w:name="_Toc297048409"/>
      <w:bookmarkStart w:id="669" w:name="_Toc297120523"/>
      <w:bookmarkStart w:id="670" w:name="_Toc304295596"/>
      <w:bookmarkStart w:id="671" w:name="_Toc296503223"/>
      <w:bookmarkStart w:id="672" w:name="_Toc292559428"/>
      <w:bookmarkStart w:id="673" w:name="_Toc267251475"/>
      <w:bookmarkStart w:id="674" w:name="_Toc267251470"/>
      <w:bookmarkStart w:id="675" w:name="_Toc267251474"/>
      <w:bookmarkStart w:id="676" w:name="_Toc267251472"/>
      <w:bookmarkStart w:id="677" w:name="_Toc267251473"/>
      <w:bookmarkStart w:id="678" w:name="_Toc267251471"/>
      <w:bookmarkStart w:id="679" w:name="_Toc267251476"/>
      <w:r>
        <w:rPr>
          <w:rFonts w:ascii="仿宋" w:hAnsi="仿宋" w:eastAsia="仿宋" w:cs="仿宋"/>
          <w:b/>
          <w:sz w:val="24"/>
          <w:szCs w:val="24"/>
        </w:rPr>
        <w:t xml:space="preserve">13.2 </w:t>
      </w:r>
      <w:r>
        <w:rPr>
          <w:rFonts w:hint="eastAsia" w:ascii="仿宋" w:hAnsi="仿宋" w:eastAsia="仿宋" w:cs="仿宋"/>
          <w:b/>
          <w:sz w:val="24"/>
          <w:szCs w:val="24"/>
        </w:rPr>
        <w:t>竣工验收</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Pr>
        <w:spacing w:line="360" w:lineRule="auto"/>
        <w:ind w:firstLine="480" w:firstLineChars="200"/>
        <w:rPr>
          <w:rFonts w:ascii="仿宋" w:hAnsi="仿宋" w:eastAsia="仿宋" w:cs="仿宋"/>
          <w:sz w:val="24"/>
          <w:szCs w:val="24"/>
        </w:rPr>
      </w:pPr>
      <w:bookmarkStart w:id="680" w:name="_Toc280868704"/>
      <w:bookmarkStart w:id="681" w:name="_Toc280868705"/>
      <w:bookmarkStart w:id="682" w:name="_Toc280868706"/>
      <w:bookmarkStart w:id="683" w:name="_Toc280868707"/>
      <w:bookmarkStart w:id="684" w:name="_Toc280868708"/>
      <w:bookmarkStart w:id="685" w:name="_Toc280868709"/>
      <w:r>
        <w:rPr>
          <w:rFonts w:ascii="仿宋" w:hAnsi="仿宋" w:eastAsia="仿宋" w:cs="仿宋"/>
          <w:sz w:val="24"/>
          <w:szCs w:val="24"/>
        </w:rPr>
        <w:t xml:space="preserve">13.2.1 </w:t>
      </w:r>
      <w:r>
        <w:rPr>
          <w:rFonts w:hint="eastAsia" w:ascii="仿宋" w:hAnsi="仿宋" w:eastAsia="仿宋" w:cs="仿宋"/>
          <w:sz w:val="24"/>
          <w:szCs w:val="24"/>
        </w:rPr>
        <w:t>竣工验收程序</w:t>
      </w:r>
    </w:p>
    <w:bookmarkEnd w:id="680"/>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关于竣工验收程序的约定：。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发包人不按照本项约定组织竣工验收、颁发工程接收证书的违约金的计算方法：。</w:t>
      </w:r>
    </w:p>
    <w:bookmarkEnd w:id="681"/>
    <w:p>
      <w:pPr>
        <w:spacing w:line="360" w:lineRule="auto"/>
        <w:ind w:firstLine="480" w:firstLineChars="200"/>
        <w:rPr>
          <w:rFonts w:ascii="仿宋" w:hAnsi="仿宋" w:eastAsia="仿宋" w:cs="仿宋"/>
          <w:sz w:val="24"/>
          <w:szCs w:val="24"/>
        </w:rPr>
      </w:pPr>
      <w:r>
        <w:rPr>
          <w:rFonts w:ascii="仿宋" w:hAnsi="仿宋" w:eastAsia="仿宋" w:cs="仿宋"/>
          <w:sz w:val="24"/>
          <w:szCs w:val="24"/>
        </w:rPr>
        <w:t>13.2.2</w:t>
      </w:r>
      <w:r>
        <w:rPr>
          <w:rFonts w:hint="eastAsia" w:ascii="仿宋" w:hAnsi="仿宋" w:eastAsia="仿宋" w:cs="仿宋"/>
          <w:sz w:val="24"/>
          <w:szCs w:val="24"/>
        </w:rPr>
        <w:t>移交、接收全部与部分工程</w:t>
      </w:r>
    </w:p>
    <w:bookmarkEnd w:id="682"/>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承包人向发包人移交工程的期限：。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发包人未按本合同约定接收全部或部分工程的，违约金的计算方法为：。</w:t>
      </w:r>
    </w:p>
    <w:bookmarkEnd w:id="683"/>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承包人未按时移交工程的，违约金的计算方法为：。</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13.3 </w:t>
      </w:r>
      <w:r>
        <w:rPr>
          <w:rFonts w:hint="eastAsia" w:ascii="仿宋" w:hAnsi="仿宋" w:eastAsia="仿宋" w:cs="仿宋"/>
          <w:b/>
          <w:sz w:val="24"/>
          <w:szCs w:val="24"/>
        </w:rPr>
        <w:t>工程试车</w:t>
      </w:r>
    </w:p>
    <w:bookmarkEnd w:id="684"/>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13.3.1 </w:t>
      </w:r>
      <w:r>
        <w:rPr>
          <w:rFonts w:hint="eastAsia" w:ascii="仿宋" w:hAnsi="仿宋" w:eastAsia="仿宋" w:cs="仿宋"/>
          <w:sz w:val="24"/>
          <w:szCs w:val="24"/>
        </w:rPr>
        <w:t>试车程序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工程试车内容：。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）单机无负荷试车费用由承担；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）无负荷联动试车费用由承担。</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13.3.2 </w:t>
      </w:r>
      <w:r>
        <w:rPr>
          <w:rFonts w:hint="eastAsia" w:ascii="仿宋" w:hAnsi="仿宋" w:eastAsia="仿宋" w:cs="仿宋"/>
          <w:sz w:val="24"/>
          <w:szCs w:val="24"/>
        </w:rPr>
        <w:t>投料试车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关于投料试车相关事项的约定：。</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13.4 </w:t>
      </w:r>
      <w:r>
        <w:rPr>
          <w:rFonts w:hint="eastAsia" w:ascii="仿宋" w:hAnsi="仿宋" w:eastAsia="仿宋" w:cs="仿宋"/>
          <w:b/>
          <w:sz w:val="24"/>
          <w:szCs w:val="24"/>
        </w:rPr>
        <w:t>竣工退场</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13.4.1 </w:t>
      </w:r>
      <w:r>
        <w:rPr>
          <w:rFonts w:hint="eastAsia" w:ascii="仿宋" w:hAnsi="仿宋" w:eastAsia="仿宋" w:cs="仿宋"/>
          <w:sz w:val="24"/>
          <w:szCs w:val="24"/>
        </w:rPr>
        <w:t>竣工退场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承包人完成竣工退场的期限：。</w:t>
      </w:r>
    </w:p>
    <w:p>
      <w:pPr>
        <w:keepNext/>
        <w:keepLines/>
        <w:spacing w:before="240" w:after="120" w:line="360" w:lineRule="auto"/>
        <w:outlineLvl w:val="3"/>
        <w:rPr>
          <w:rFonts w:ascii="仿宋" w:hAnsi="仿宋" w:eastAsia="仿宋" w:cs="仿宋"/>
          <w:b/>
          <w:sz w:val="24"/>
          <w:szCs w:val="24"/>
        </w:rPr>
      </w:pPr>
      <w:bookmarkStart w:id="686" w:name="_Toc351203646"/>
      <w:r>
        <w:rPr>
          <w:rFonts w:ascii="仿宋" w:hAnsi="仿宋" w:eastAsia="仿宋" w:cs="仿宋"/>
          <w:b/>
          <w:sz w:val="24"/>
          <w:szCs w:val="24"/>
        </w:rPr>
        <w:t xml:space="preserve">14. </w:t>
      </w:r>
      <w:r>
        <w:rPr>
          <w:rFonts w:hint="eastAsia" w:ascii="仿宋" w:hAnsi="仿宋" w:eastAsia="仿宋" w:cs="仿宋"/>
          <w:b/>
          <w:sz w:val="24"/>
          <w:szCs w:val="24"/>
        </w:rPr>
        <w:t>竣工结算</w:t>
      </w:r>
      <w:bookmarkEnd w:id="686"/>
    </w:p>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14.1 </w:t>
      </w:r>
      <w:r>
        <w:rPr>
          <w:rFonts w:hint="eastAsia" w:ascii="仿宋" w:hAnsi="仿宋" w:eastAsia="仿宋" w:cs="仿宋"/>
          <w:b/>
          <w:sz w:val="24"/>
          <w:szCs w:val="24"/>
        </w:rPr>
        <w:t>竣工结算申请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竣工结算申请单应包括的内容：。</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14.2 </w:t>
      </w:r>
      <w:r>
        <w:rPr>
          <w:rFonts w:hint="eastAsia" w:ascii="仿宋" w:hAnsi="仿宋" w:eastAsia="仿宋" w:cs="仿宋"/>
          <w:b/>
          <w:sz w:val="24"/>
          <w:szCs w:val="24"/>
        </w:rPr>
        <w:t>竣工结算审核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发包人完成竣工付款的期限：。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关于竣工付款证书异议部分复核的方式和程序：。</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14.3 </w:t>
      </w:r>
      <w:r>
        <w:rPr>
          <w:rFonts w:hint="eastAsia" w:ascii="仿宋" w:hAnsi="仿宋" w:eastAsia="仿宋" w:cs="仿宋"/>
          <w:b/>
          <w:sz w:val="24"/>
          <w:szCs w:val="24"/>
        </w:rPr>
        <w:t>最终结清</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14.3.1 </w:t>
      </w:r>
      <w:r>
        <w:rPr>
          <w:rFonts w:hint="eastAsia" w:ascii="仿宋" w:hAnsi="仿宋" w:eastAsia="仿宋" w:cs="仿宋"/>
          <w:sz w:val="24"/>
          <w:szCs w:val="24"/>
        </w:rPr>
        <w:t>最终结清申请单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承包人提交最终结清申请单的份数：。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承包人提交最终结算申请单的期限：。</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14.3.2 </w:t>
      </w:r>
      <w:r>
        <w:rPr>
          <w:rFonts w:hint="eastAsia" w:ascii="仿宋" w:hAnsi="仿宋" w:eastAsia="仿宋" w:cs="仿宋"/>
          <w:sz w:val="24"/>
          <w:szCs w:val="24"/>
        </w:rPr>
        <w:t>最终结清证书和支付</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）发包人完成最终结清申请单的审批并颁发最终结清证书的期限：。</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）发包人完成支付的期限：。</w:t>
      </w:r>
    </w:p>
    <w:bookmarkEnd w:id="673"/>
    <w:bookmarkEnd w:id="674"/>
    <w:bookmarkEnd w:id="675"/>
    <w:bookmarkEnd w:id="676"/>
    <w:bookmarkEnd w:id="677"/>
    <w:bookmarkEnd w:id="678"/>
    <w:bookmarkEnd w:id="679"/>
    <w:bookmarkEnd w:id="685"/>
    <w:p>
      <w:pPr>
        <w:keepNext/>
        <w:keepLines/>
        <w:spacing w:before="240" w:after="120" w:line="360" w:lineRule="auto"/>
        <w:outlineLvl w:val="3"/>
        <w:rPr>
          <w:rFonts w:ascii="仿宋" w:hAnsi="仿宋" w:eastAsia="仿宋" w:cs="仿宋"/>
          <w:b/>
          <w:sz w:val="24"/>
          <w:szCs w:val="24"/>
        </w:rPr>
      </w:pPr>
      <w:bookmarkStart w:id="687" w:name="_Toc351203647"/>
      <w:bookmarkStart w:id="688" w:name="_Toc267251483"/>
      <w:bookmarkStart w:id="689" w:name="_Toc267251482"/>
      <w:bookmarkStart w:id="690" w:name="_Toc267251484"/>
      <w:bookmarkStart w:id="691" w:name="_Toc267251485"/>
      <w:bookmarkStart w:id="692" w:name="_Toc267251486"/>
      <w:bookmarkStart w:id="693" w:name="_Toc267251489"/>
      <w:bookmarkStart w:id="694" w:name="_Toc267251490"/>
      <w:bookmarkStart w:id="695" w:name="_Toc267251488"/>
      <w:bookmarkStart w:id="696" w:name="_Toc267251499"/>
      <w:bookmarkStart w:id="697" w:name="_Toc267251501"/>
      <w:bookmarkStart w:id="698" w:name="_Toc267251493"/>
      <w:bookmarkStart w:id="699" w:name="_Toc267251494"/>
      <w:bookmarkStart w:id="700" w:name="_Toc267251496"/>
      <w:bookmarkStart w:id="701" w:name="_Toc267251503"/>
      <w:bookmarkStart w:id="702" w:name="_Toc267251502"/>
      <w:bookmarkStart w:id="703" w:name="_Toc267251495"/>
      <w:bookmarkStart w:id="704" w:name="_Toc267251492"/>
      <w:bookmarkStart w:id="705" w:name="_Toc267251497"/>
      <w:bookmarkStart w:id="706" w:name="_Toc267251491"/>
      <w:bookmarkStart w:id="707" w:name="_Toc267251498"/>
      <w:bookmarkStart w:id="708" w:name="_Toc267251506"/>
      <w:bookmarkStart w:id="709" w:name="_Toc267251504"/>
      <w:bookmarkStart w:id="710" w:name="_Toc267251507"/>
      <w:bookmarkStart w:id="711" w:name="_Toc267251508"/>
      <w:bookmarkStart w:id="712" w:name="_Toc267251510"/>
      <w:bookmarkStart w:id="713" w:name="_Toc267251509"/>
      <w:bookmarkStart w:id="714" w:name="_Toc267251513"/>
      <w:bookmarkStart w:id="715" w:name="_Toc267251511"/>
      <w:bookmarkStart w:id="716" w:name="_Toc267251515"/>
      <w:bookmarkStart w:id="717" w:name="_Toc267251514"/>
      <w:r>
        <w:rPr>
          <w:rFonts w:ascii="仿宋" w:hAnsi="仿宋" w:eastAsia="仿宋" w:cs="仿宋"/>
          <w:b/>
          <w:sz w:val="24"/>
          <w:szCs w:val="24"/>
        </w:rPr>
        <w:t xml:space="preserve">15. </w:t>
      </w:r>
      <w:r>
        <w:rPr>
          <w:rFonts w:hint="eastAsia" w:ascii="仿宋" w:hAnsi="仿宋" w:eastAsia="仿宋" w:cs="仿宋"/>
          <w:b/>
          <w:sz w:val="24"/>
          <w:szCs w:val="24"/>
        </w:rPr>
        <w:t>缺陷责任期与保修</w:t>
      </w:r>
      <w:bookmarkEnd w:id="687"/>
    </w:p>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15.1</w:t>
      </w:r>
      <w:r>
        <w:rPr>
          <w:rFonts w:hint="eastAsia" w:ascii="仿宋" w:hAnsi="仿宋" w:eastAsia="仿宋" w:cs="仿宋"/>
          <w:b/>
          <w:sz w:val="24"/>
          <w:szCs w:val="24"/>
        </w:rPr>
        <w:t>缺陷责任期</w:t>
      </w:r>
      <w:bookmarkEnd w:id="68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缺陷责任期的具体期限：。</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15.2 </w:t>
      </w:r>
      <w:r>
        <w:rPr>
          <w:rFonts w:hint="eastAsia" w:ascii="仿宋" w:hAnsi="仿宋" w:eastAsia="仿宋" w:cs="仿宋"/>
          <w:b/>
          <w:sz w:val="24"/>
          <w:szCs w:val="24"/>
        </w:rPr>
        <w:t>质量保证金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关于是否扣留质量保证金的约定：。在工程项目竣工前，承包人按专用合同条款第</w:t>
      </w:r>
      <w:r>
        <w:rPr>
          <w:rFonts w:ascii="仿宋" w:hAnsi="仿宋" w:eastAsia="仿宋" w:cs="仿宋"/>
          <w:sz w:val="24"/>
          <w:szCs w:val="24"/>
        </w:rPr>
        <w:t>3.7</w:t>
      </w:r>
      <w:r>
        <w:rPr>
          <w:rFonts w:hint="eastAsia" w:ascii="仿宋" w:hAnsi="仿宋" w:eastAsia="仿宋" w:cs="仿宋"/>
          <w:sz w:val="24"/>
          <w:szCs w:val="24"/>
        </w:rPr>
        <w:t>条提供履约担保的，发包人不得同时预留工程质量保证金。</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15.2.1 </w:t>
      </w:r>
      <w:r>
        <w:rPr>
          <w:rFonts w:hint="eastAsia" w:ascii="仿宋" w:hAnsi="仿宋" w:eastAsia="仿宋" w:cs="仿宋"/>
          <w:sz w:val="24"/>
          <w:szCs w:val="24"/>
        </w:rPr>
        <w:t>承包人提供质量保证金的方式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质量保证金采用以下第种方式：</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）质量保证金保函，保证金额为：；</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的工程款；</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）其他方式</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15.2.2 </w:t>
      </w:r>
      <w:r>
        <w:rPr>
          <w:rFonts w:hint="eastAsia" w:ascii="仿宋" w:hAnsi="仿宋" w:eastAsia="仿宋" w:cs="仿宋"/>
          <w:sz w:val="24"/>
          <w:szCs w:val="24"/>
        </w:rPr>
        <w:t>质量保证金的扣留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w:t>
      </w:r>
      <w:r>
        <w:rPr>
          <w:rFonts w:ascii="仿宋" w:hAnsi="仿宋" w:eastAsia="仿宋" w:cs="仿宋"/>
          <w:sz w:val="24"/>
          <w:szCs w:val="24"/>
          <w:u w:val="single"/>
        </w:rPr>
        <w:t>2</w:t>
      </w:r>
      <w:r>
        <w:rPr>
          <w:rFonts w:hint="eastAsia" w:ascii="仿宋" w:hAnsi="仿宋" w:eastAsia="仿宋" w:cs="仿宋"/>
          <w:sz w:val="24"/>
          <w:szCs w:val="24"/>
          <w:u w:val="single"/>
        </w:rPr>
        <w:t>）</w:t>
      </w:r>
      <w:r>
        <w:rPr>
          <w:rFonts w:hint="eastAsia" w:ascii="仿宋" w:hAnsi="仿宋" w:eastAsia="仿宋" w:cs="仿宋"/>
          <w:sz w:val="24"/>
          <w:szCs w:val="24"/>
        </w:rPr>
        <w:t>种方式：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）在支付工程进度款时逐次扣留，在此情形下，质量保证金的计算基数不包括预付款的支付、扣回以及价格调整的金额；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）工程竣工结算时一次性扣留质量保证金；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）其他扣留方式</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关于质量保证金的补充约定：。</w:t>
      </w:r>
    </w:p>
    <w:bookmarkEnd w:id="689"/>
    <w:bookmarkEnd w:id="690"/>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15.3</w:t>
      </w:r>
      <w:r>
        <w:rPr>
          <w:rFonts w:hint="eastAsia" w:ascii="仿宋" w:hAnsi="仿宋" w:eastAsia="仿宋" w:cs="仿宋"/>
          <w:b/>
          <w:sz w:val="24"/>
          <w:szCs w:val="24"/>
        </w:rPr>
        <w:t>保修</w:t>
      </w:r>
    </w:p>
    <w:bookmarkEnd w:id="691"/>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15.3.1 </w:t>
      </w:r>
      <w:r>
        <w:rPr>
          <w:rFonts w:hint="eastAsia" w:ascii="仿宋" w:hAnsi="仿宋" w:eastAsia="仿宋" w:cs="仿宋"/>
          <w:sz w:val="24"/>
          <w:szCs w:val="24"/>
        </w:rPr>
        <w:t>保修责任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工程保修期为：。</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15.3.2 </w:t>
      </w:r>
      <w:r>
        <w:rPr>
          <w:rFonts w:hint="eastAsia" w:ascii="仿宋" w:hAnsi="仿宋" w:eastAsia="仿宋" w:cs="仿宋"/>
          <w:sz w:val="24"/>
          <w:szCs w:val="24"/>
        </w:rPr>
        <w:t>修复通知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承包人收到保修通知并到达工程现场的合理时间：。</w:t>
      </w:r>
    </w:p>
    <w:bookmarkEnd w:id="692"/>
    <w:bookmarkEnd w:id="693"/>
    <w:bookmarkEnd w:id="694"/>
    <w:bookmarkEnd w:id="695"/>
    <w:p>
      <w:pPr>
        <w:keepNext/>
        <w:keepLines/>
        <w:spacing w:before="240" w:after="120" w:line="360" w:lineRule="auto"/>
        <w:outlineLvl w:val="3"/>
        <w:rPr>
          <w:rFonts w:ascii="仿宋" w:hAnsi="仿宋" w:eastAsia="仿宋" w:cs="仿宋"/>
          <w:b/>
          <w:sz w:val="24"/>
          <w:szCs w:val="24"/>
        </w:rPr>
      </w:pPr>
      <w:bookmarkStart w:id="718" w:name="_Toc351203648"/>
      <w:bookmarkStart w:id="719" w:name="_Toc280868717"/>
      <w:bookmarkStart w:id="720" w:name="_Toc280868718"/>
      <w:r>
        <w:rPr>
          <w:rFonts w:ascii="仿宋" w:hAnsi="仿宋" w:eastAsia="仿宋" w:cs="仿宋"/>
          <w:b/>
          <w:sz w:val="24"/>
          <w:szCs w:val="24"/>
        </w:rPr>
        <w:t xml:space="preserve">16. </w:t>
      </w:r>
      <w:r>
        <w:rPr>
          <w:rFonts w:hint="eastAsia" w:ascii="仿宋" w:hAnsi="仿宋" w:eastAsia="仿宋" w:cs="仿宋"/>
          <w:b/>
          <w:sz w:val="24"/>
          <w:szCs w:val="24"/>
        </w:rPr>
        <w:t>违约</w:t>
      </w:r>
      <w:bookmarkEnd w:id="718"/>
    </w:p>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16.1 </w:t>
      </w:r>
      <w:r>
        <w:rPr>
          <w:rFonts w:hint="eastAsia" w:ascii="仿宋" w:hAnsi="仿宋" w:eastAsia="仿宋" w:cs="仿宋"/>
          <w:b/>
          <w:sz w:val="24"/>
          <w:szCs w:val="24"/>
        </w:rPr>
        <w:t>发包人违约</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16.1.1</w:t>
      </w:r>
      <w:r>
        <w:rPr>
          <w:rFonts w:hint="eastAsia" w:ascii="仿宋" w:hAnsi="仿宋" w:eastAsia="仿宋" w:cs="仿宋"/>
          <w:sz w:val="24"/>
          <w:szCs w:val="24"/>
        </w:rPr>
        <w:t>发包人违约的情形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发包人违约的其他情形：。</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16.1.2 </w:t>
      </w:r>
      <w:r>
        <w:rPr>
          <w:rFonts w:hint="eastAsia" w:ascii="仿宋" w:hAnsi="仿宋" w:eastAsia="仿宋" w:cs="仿宋"/>
          <w:sz w:val="24"/>
          <w:szCs w:val="24"/>
        </w:rPr>
        <w:t>发包人违约的责任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发包人违约责任的承担方式和计算方法：</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）因发包人原因未能在计划开工日期前</w:t>
      </w:r>
      <w:r>
        <w:rPr>
          <w:rFonts w:ascii="仿宋" w:hAnsi="仿宋" w:eastAsia="仿宋" w:cs="仿宋"/>
          <w:sz w:val="24"/>
          <w:szCs w:val="24"/>
        </w:rPr>
        <w:t>7</w:t>
      </w:r>
      <w:r>
        <w:rPr>
          <w:rFonts w:hint="eastAsia" w:ascii="仿宋" w:hAnsi="仿宋" w:eastAsia="仿宋" w:cs="仿宋"/>
          <w:sz w:val="24"/>
          <w:szCs w:val="24"/>
        </w:rPr>
        <w:t>天内下达开工通知的违约责任：。</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）因发包人原因未能按合同约定支付合同价款的违约责任：。</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）发包人违反第</w:t>
      </w:r>
      <w:r>
        <w:rPr>
          <w:rFonts w:ascii="仿宋" w:hAnsi="仿宋" w:eastAsia="仿宋" w:cs="仿宋"/>
          <w:sz w:val="24"/>
          <w:szCs w:val="24"/>
        </w:rPr>
        <w:t>10.1</w:t>
      </w:r>
      <w:r>
        <w:rPr>
          <w:rFonts w:hint="eastAsia" w:ascii="仿宋" w:hAnsi="仿宋" w:eastAsia="仿宋" w:cs="仿宋"/>
          <w:sz w:val="24"/>
          <w:szCs w:val="24"/>
        </w:rPr>
        <w:t>款〔变更的范围〕第（</w:t>
      </w:r>
      <w:r>
        <w:rPr>
          <w:rFonts w:ascii="仿宋" w:hAnsi="仿宋" w:eastAsia="仿宋" w:cs="仿宋"/>
          <w:sz w:val="24"/>
          <w:szCs w:val="24"/>
        </w:rPr>
        <w:t>2</w:t>
      </w:r>
      <w:r>
        <w:rPr>
          <w:rFonts w:hint="eastAsia" w:ascii="仿宋" w:hAnsi="仿宋" w:eastAsia="仿宋" w:cs="仿宋"/>
          <w:sz w:val="24"/>
          <w:szCs w:val="24"/>
        </w:rPr>
        <w:t>）项约定，自行实施被取消的工作或转由他人实施的违约责任：。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）发包人提供的材料、工程设备的规格、数量或质量不符合合同约定，或因发包人原因导致交货日期延误或交货地点变更等情况的违约责任：。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）因发包人违反合同约定造成暂停施工的违约责任：。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）发包人无正当理由没有在约定期限内发出复工指示，导致承包人无法复工的违约责任：。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）其他：。</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16.1.3 </w:t>
      </w:r>
      <w:r>
        <w:rPr>
          <w:rFonts w:hint="eastAsia" w:ascii="仿宋" w:hAnsi="仿宋" w:eastAsia="仿宋" w:cs="仿宋"/>
          <w:sz w:val="24"/>
          <w:szCs w:val="24"/>
        </w:rPr>
        <w:t>因发包人违约解除合同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承包人按</w:t>
      </w:r>
      <w:r>
        <w:rPr>
          <w:rFonts w:ascii="仿宋" w:hAnsi="仿宋" w:eastAsia="仿宋" w:cs="仿宋"/>
          <w:sz w:val="24"/>
          <w:szCs w:val="24"/>
        </w:rPr>
        <w:t>16.1.1</w:t>
      </w:r>
      <w:r>
        <w:rPr>
          <w:rFonts w:hint="eastAsia" w:ascii="仿宋" w:hAnsi="仿宋" w:eastAsia="仿宋" w:cs="仿宋"/>
          <w:sz w:val="24"/>
          <w:szCs w:val="24"/>
        </w:rPr>
        <w:t>项〔发包人违约的情形〕约定暂停施工满天后发包人仍不纠正其违约行为并致使合同目的不能实现的，承包人有权解除合同。</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16.2 </w:t>
      </w:r>
      <w:r>
        <w:rPr>
          <w:rFonts w:hint="eastAsia" w:ascii="仿宋" w:hAnsi="仿宋" w:eastAsia="仿宋" w:cs="仿宋"/>
          <w:b/>
          <w:sz w:val="24"/>
          <w:szCs w:val="24"/>
        </w:rPr>
        <w:t>承包人违约</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16.2.1 </w:t>
      </w:r>
      <w:r>
        <w:rPr>
          <w:rFonts w:hint="eastAsia" w:ascii="仿宋" w:hAnsi="仿宋" w:eastAsia="仿宋" w:cs="仿宋"/>
          <w:sz w:val="24"/>
          <w:szCs w:val="24"/>
        </w:rPr>
        <w:t>承包人违约的情形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承包人违约的其他情形：。</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16.2.2</w:t>
      </w:r>
      <w:r>
        <w:rPr>
          <w:rFonts w:hint="eastAsia" w:ascii="仿宋" w:hAnsi="仿宋" w:eastAsia="仿宋" w:cs="仿宋"/>
          <w:sz w:val="24"/>
          <w:szCs w:val="24"/>
        </w:rPr>
        <w:t>承包人违约的责任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承包人违约责任的承担方式和计算方法：。</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16.2.3 </w:t>
      </w:r>
      <w:r>
        <w:rPr>
          <w:rFonts w:hint="eastAsia" w:ascii="仿宋" w:hAnsi="仿宋" w:eastAsia="仿宋" w:cs="仿宋"/>
          <w:sz w:val="24"/>
          <w:szCs w:val="24"/>
        </w:rPr>
        <w:t>因承包人违约解除合同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关于承包人违约解除合同的特别约定：。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发包人继续使用承包人在施工现场的材料、设备、临时工程、承包人文件和由承包人或以其名义编制的其他文件的费用承担方式：。</w:t>
      </w:r>
    </w:p>
    <w:p>
      <w:pPr>
        <w:keepNext/>
        <w:keepLines/>
        <w:spacing w:before="240" w:after="120" w:line="360" w:lineRule="auto"/>
        <w:outlineLvl w:val="3"/>
        <w:rPr>
          <w:rFonts w:ascii="仿宋" w:hAnsi="仿宋" w:eastAsia="仿宋" w:cs="仿宋"/>
          <w:b/>
          <w:sz w:val="24"/>
          <w:szCs w:val="24"/>
        </w:rPr>
      </w:pPr>
      <w:bookmarkStart w:id="721" w:name="_Toc351203649"/>
      <w:r>
        <w:rPr>
          <w:rFonts w:ascii="仿宋" w:hAnsi="仿宋" w:eastAsia="仿宋" w:cs="仿宋"/>
          <w:b/>
          <w:sz w:val="24"/>
          <w:szCs w:val="24"/>
        </w:rPr>
        <w:t xml:space="preserve">17. </w:t>
      </w:r>
      <w:r>
        <w:rPr>
          <w:rFonts w:hint="eastAsia" w:ascii="仿宋" w:hAnsi="仿宋" w:eastAsia="仿宋" w:cs="仿宋"/>
          <w:b/>
          <w:sz w:val="24"/>
          <w:szCs w:val="24"/>
        </w:rPr>
        <w:t>不可抗力</w:t>
      </w:r>
      <w:bookmarkEnd w:id="719"/>
      <w:bookmarkEnd w:id="721"/>
    </w:p>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17.1 </w:t>
      </w:r>
      <w:r>
        <w:rPr>
          <w:rFonts w:hint="eastAsia" w:ascii="仿宋" w:hAnsi="仿宋" w:eastAsia="仿宋" w:cs="仿宋"/>
          <w:b/>
          <w:sz w:val="24"/>
          <w:szCs w:val="24"/>
        </w:rPr>
        <w:t>不可抗力的确认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除通用合同条款约定的不可抗力事件之外，视为不可抗力的其他情形：。</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17.2 </w:t>
      </w:r>
      <w:r>
        <w:rPr>
          <w:rFonts w:hint="eastAsia" w:ascii="仿宋" w:hAnsi="仿宋" w:eastAsia="仿宋" w:cs="仿宋"/>
          <w:b/>
          <w:sz w:val="24"/>
          <w:szCs w:val="24"/>
        </w:rPr>
        <w:t>因不可抗力解除合同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合同解除后，发包人应在商定或确定发包人应支付款项后天内完成款项的支付。</w:t>
      </w:r>
    </w:p>
    <w:p>
      <w:pPr>
        <w:keepNext/>
        <w:keepLines/>
        <w:spacing w:before="240" w:after="120" w:line="360" w:lineRule="auto"/>
        <w:outlineLvl w:val="3"/>
        <w:rPr>
          <w:rFonts w:ascii="仿宋" w:hAnsi="仿宋" w:eastAsia="仿宋" w:cs="仿宋"/>
          <w:b/>
          <w:sz w:val="24"/>
          <w:szCs w:val="24"/>
        </w:rPr>
      </w:pPr>
      <w:bookmarkStart w:id="722" w:name="_Toc351203650"/>
      <w:r>
        <w:rPr>
          <w:rFonts w:ascii="仿宋" w:hAnsi="仿宋" w:eastAsia="仿宋" w:cs="仿宋"/>
          <w:b/>
          <w:sz w:val="24"/>
          <w:szCs w:val="24"/>
        </w:rPr>
        <w:t xml:space="preserve">18. </w:t>
      </w:r>
      <w:r>
        <w:rPr>
          <w:rFonts w:hint="eastAsia" w:ascii="仿宋" w:hAnsi="仿宋" w:eastAsia="仿宋" w:cs="仿宋"/>
          <w:b/>
          <w:sz w:val="24"/>
          <w:szCs w:val="24"/>
        </w:rPr>
        <w:t>保险</w:t>
      </w:r>
      <w:bookmarkEnd w:id="722"/>
    </w:p>
    <w:bookmarkEnd w:id="720"/>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18.1 </w:t>
      </w:r>
      <w:r>
        <w:rPr>
          <w:rFonts w:hint="eastAsia" w:ascii="仿宋" w:hAnsi="仿宋" w:eastAsia="仿宋" w:cs="仿宋"/>
          <w:b/>
          <w:sz w:val="24"/>
          <w:szCs w:val="24"/>
        </w:rPr>
        <w:t>工程保险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关于工程保险的特别约定：。</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18.2 </w:t>
      </w:r>
      <w:r>
        <w:rPr>
          <w:rFonts w:hint="eastAsia" w:ascii="仿宋" w:hAnsi="仿宋" w:eastAsia="仿宋" w:cs="仿宋"/>
          <w:b/>
          <w:sz w:val="24"/>
          <w:szCs w:val="24"/>
        </w:rPr>
        <w:t>其他保险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关于其他保险的约定：。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18.3 </w:t>
      </w:r>
      <w:r>
        <w:rPr>
          <w:rFonts w:hint="eastAsia" w:ascii="仿宋" w:hAnsi="仿宋" w:eastAsia="仿宋" w:cs="仿宋"/>
          <w:b/>
          <w:sz w:val="24"/>
          <w:szCs w:val="24"/>
        </w:rPr>
        <w:t>通知义务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关于变更保险合同时的通知义务的约定：。</w:t>
      </w:r>
    </w:p>
    <w:bookmarkEnd w:id="696"/>
    <w:bookmarkEnd w:id="697"/>
    <w:bookmarkEnd w:id="698"/>
    <w:bookmarkEnd w:id="699"/>
    <w:bookmarkEnd w:id="700"/>
    <w:bookmarkEnd w:id="701"/>
    <w:bookmarkEnd w:id="702"/>
    <w:bookmarkEnd w:id="703"/>
    <w:bookmarkEnd w:id="704"/>
    <w:bookmarkEnd w:id="705"/>
    <w:bookmarkEnd w:id="706"/>
    <w:bookmarkEnd w:id="707"/>
    <w:p>
      <w:pPr>
        <w:keepNext/>
        <w:keepLines/>
        <w:spacing w:before="240" w:after="120" w:line="360" w:lineRule="auto"/>
        <w:outlineLvl w:val="3"/>
        <w:rPr>
          <w:rFonts w:ascii="仿宋" w:hAnsi="仿宋" w:eastAsia="仿宋" w:cs="仿宋"/>
          <w:b/>
          <w:sz w:val="24"/>
          <w:szCs w:val="24"/>
        </w:rPr>
      </w:pPr>
      <w:bookmarkStart w:id="723" w:name="_Toc351203651"/>
      <w:r>
        <w:rPr>
          <w:rFonts w:ascii="仿宋" w:hAnsi="仿宋" w:eastAsia="仿宋" w:cs="仿宋"/>
          <w:b/>
          <w:sz w:val="24"/>
          <w:szCs w:val="24"/>
        </w:rPr>
        <w:t xml:space="preserve">19. </w:t>
      </w:r>
      <w:r>
        <w:rPr>
          <w:rFonts w:hint="eastAsia" w:ascii="仿宋" w:hAnsi="仿宋" w:eastAsia="仿宋" w:cs="仿宋"/>
          <w:b/>
          <w:sz w:val="24"/>
          <w:szCs w:val="24"/>
        </w:rPr>
        <w:t>争议解决</w:t>
      </w:r>
      <w:bookmarkEnd w:id="723"/>
    </w:p>
    <w:bookmarkEnd w:id="708"/>
    <w:bookmarkEnd w:id="709"/>
    <w:p>
      <w:pPr>
        <w:spacing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19.1 </w:t>
      </w:r>
      <w:r>
        <w:rPr>
          <w:rFonts w:hint="eastAsia" w:ascii="仿宋" w:hAnsi="仿宋" w:eastAsia="仿宋" w:cs="仿宋"/>
          <w:b/>
          <w:sz w:val="24"/>
          <w:szCs w:val="24"/>
        </w:rPr>
        <w:t>争</w:t>
      </w:r>
      <w:bookmarkEnd w:id="710"/>
      <w:r>
        <w:rPr>
          <w:rFonts w:hint="eastAsia" w:ascii="仿宋" w:hAnsi="仿宋" w:eastAsia="仿宋" w:cs="仿宋"/>
          <w:b/>
          <w:sz w:val="24"/>
          <w:szCs w:val="24"/>
        </w:rPr>
        <w:t>议评审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19.1.1 </w:t>
      </w:r>
      <w:r>
        <w:rPr>
          <w:rFonts w:hint="eastAsia" w:ascii="仿宋" w:hAnsi="仿宋" w:eastAsia="仿宋" w:cs="仿宋"/>
          <w:sz w:val="24"/>
          <w:szCs w:val="24"/>
        </w:rPr>
        <w:t>争议评审小组的确定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争议评审小组成员的确定：。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选定争议评审员的期限：。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其他事项的约定：。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19.1.2 </w:t>
      </w:r>
      <w:r>
        <w:rPr>
          <w:rFonts w:hint="eastAsia" w:ascii="仿宋" w:hAnsi="仿宋" w:eastAsia="仿宋" w:cs="仿宋"/>
          <w:sz w:val="24"/>
          <w:szCs w:val="24"/>
        </w:rPr>
        <w:t>争议评审小组的决定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合同当事人关于本项的约定：。</w:t>
      </w:r>
    </w:p>
    <w:p>
      <w:pPr>
        <w:spacing w:before="312" w:beforeLines="100" w:line="360" w:lineRule="auto"/>
        <w:ind w:firstLine="472" w:firstLineChars="196"/>
        <w:rPr>
          <w:rFonts w:ascii="仿宋" w:hAnsi="仿宋" w:eastAsia="仿宋" w:cs="仿宋"/>
          <w:b/>
          <w:sz w:val="24"/>
          <w:szCs w:val="24"/>
        </w:rPr>
      </w:pPr>
      <w:r>
        <w:rPr>
          <w:rFonts w:ascii="仿宋" w:hAnsi="仿宋" w:eastAsia="仿宋" w:cs="仿宋"/>
          <w:b/>
          <w:sz w:val="24"/>
          <w:szCs w:val="24"/>
        </w:rPr>
        <w:t xml:space="preserve">19.2 </w:t>
      </w:r>
      <w:r>
        <w:rPr>
          <w:rFonts w:hint="eastAsia" w:ascii="仿宋" w:hAnsi="仿宋" w:eastAsia="仿宋" w:cs="仿宋"/>
          <w:b/>
          <w:sz w:val="24"/>
          <w:szCs w:val="24"/>
        </w:rPr>
        <w:t>仲裁或诉讼</w:t>
      </w:r>
      <w:bookmarkEnd w:id="71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）向仲裁委员会申请仲裁；</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）向人民法院起诉。</w:t>
      </w:r>
      <w:bookmarkEnd w:id="712"/>
      <w:bookmarkEnd w:id="713"/>
      <w:bookmarkEnd w:id="714"/>
      <w:bookmarkEnd w:id="715"/>
      <w:bookmarkEnd w:id="716"/>
      <w:bookmarkEnd w:id="717"/>
    </w:p>
    <w:p>
      <w:pPr>
        <w:rPr>
          <w:rFonts w:ascii="仿宋" w:hAnsi="仿宋" w:eastAsia="仿宋"/>
        </w:rPr>
      </w:pPr>
    </w:p>
    <w:p>
      <w:pPr>
        <w:pStyle w:val="4"/>
        <w:numPr>
          <w:ilvl w:val="0"/>
          <w:numId w:val="0"/>
        </w:numPr>
        <w:spacing w:before="0" w:after="0"/>
        <w:ind w:leftChars="0"/>
        <w:jc w:val="center"/>
        <w:rPr>
          <w:rFonts w:hint="eastAsia" w:ascii="仿宋" w:hAnsi="仿宋" w:eastAsia="仿宋" w:cs="仿宋"/>
          <w:bCs w:val="0"/>
          <w:lang w:eastAsia="zh-CN"/>
        </w:rPr>
      </w:pPr>
      <w:bookmarkStart w:id="724" w:name="_Toc18471"/>
      <w:bookmarkStart w:id="725" w:name="_Toc19381"/>
      <w:bookmarkStart w:id="726" w:name="_Toc20467"/>
      <w:r>
        <w:rPr>
          <w:rFonts w:hint="eastAsia" w:ascii="仿宋" w:hAnsi="仿宋" w:eastAsia="仿宋" w:cs="仿宋"/>
          <w:bCs w:val="0"/>
          <w:lang w:eastAsia="zh-CN"/>
        </w:rPr>
        <w:t>第四节</w:t>
      </w:r>
      <w:r>
        <w:rPr>
          <w:rFonts w:hint="eastAsia" w:ascii="仿宋" w:hAnsi="仿宋" w:eastAsia="仿宋" w:cs="仿宋"/>
          <w:bCs w:val="0"/>
          <w:lang w:val="en-US" w:eastAsia="zh-CN"/>
        </w:rPr>
        <w:t xml:space="preserve"> </w:t>
      </w:r>
      <w:r>
        <w:rPr>
          <w:rFonts w:hint="eastAsia" w:ascii="仿宋" w:hAnsi="仿宋" w:eastAsia="仿宋" w:cs="仿宋"/>
          <w:bCs w:val="0"/>
          <w:lang w:eastAsia="zh-CN"/>
        </w:rPr>
        <w:t>合同附件格式</w:t>
      </w:r>
      <w:bookmarkEnd w:id="724"/>
      <w:bookmarkEnd w:id="725"/>
      <w:bookmarkEnd w:id="726"/>
    </w:p>
    <w:p>
      <w:pPr>
        <w:spacing w:before="312" w:beforeLines="100" w:after="312" w:afterLines="100" w:line="360" w:lineRule="auto"/>
        <w:rPr>
          <w:rFonts w:ascii="仿宋" w:hAnsi="仿宋" w:eastAsia="仿宋" w:cs="仿宋"/>
          <w:b/>
          <w:bCs/>
          <w:sz w:val="24"/>
          <w:szCs w:val="24"/>
        </w:rPr>
      </w:pPr>
      <w:r>
        <w:rPr>
          <w:rFonts w:hint="eastAsia" w:ascii="仿宋" w:hAnsi="仿宋" w:eastAsia="仿宋" w:cs="仿宋"/>
          <w:b/>
          <w:bCs/>
          <w:sz w:val="24"/>
          <w:szCs w:val="24"/>
        </w:rPr>
        <w:t>附件一：工程质量保修书</w:t>
      </w:r>
    </w:p>
    <w:p>
      <w:pPr>
        <w:spacing w:before="312" w:beforeLines="100" w:after="312" w:afterLines="100" w:line="360" w:lineRule="auto"/>
        <w:jc w:val="center"/>
        <w:rPr>
          <w:rFonts w:ascii="仿宋" w:hAnsi="仿宋" w:eastAsia="仿宋" w:cs="仿宋"/>
          <w:b/>
          <w:bCs/>
          <w:sz w:val="24"/>
          <w:szCs w:val="24"/>
        </w:rPr>
      </w:pPr>
      <w:r>
        <w:rPr>
          <w:rFonts w:hint="eastAsia" w:ascii="仿宋" w:hAnsi="仿宋" w:eastAsia="仿宋" w:cs="仿宋"/>
          <w:b/>
          <w:bCs/>
          <w:sz w:val="24"/>
          <w:szCs w:val="24"/>
        </w:rPr>
        <w:t>工程质量保修书</w:t>
      </w:r>
    </w:p>
    <w:p>
      <w:pPr>
        <w:spacing w:line="360" w:lineRule="auto"/>
        <w:rPr>
          <w:rFonts w:ascii="仿宋" w:hAnsi="仿宋" w:eastAsia="仿宋" w:cs="仿宋"/>
          <w:sz w:val="24"/>
          <w:szCs w:val="24"/>
        </w:rPr>
      </w:pPr>
      <w:r>
        <w:rPr>
          <w:rFonts w:hint="eastAsia" w:ascii="仿宋" w:hAnsi="仿宋" w:eastAsia="仿宋" w:cs="仿宋"/>
          <w:sz w:val="24"/>
          <w:szCs w:val="24"/>
        </w:rPr>
        <w:t>发包人（全称）：</w:t>
      </w:r>
    </w:p>
    <w:p>
      <w:pPr>
        <w:spacing w:line="360" w:lineRule="auto"/>
        <w:rPr>
          <w:rFonts w:ascii="仿宋" w:hAnsi="仿宋" w:eastAsia="仿宋" w:cs="仿宋"/>
          <w:sz w:val="24"/>
          <w:szCs w:val="24"/>
        </w:rPr>
      </w:pPr>
      <w:r>
        <w:rPr>
          <w:rFonts w:hint="eastAsia" w:ascii="仿宋" w:hAnsi="仿宋" w:eastAsia="仿宋" w:cs="仿宋"/>
          <w:sz w:val="24"/>
          <w:szCs w:val="24"/>
        </w:rPr>
        <w:t>承包人（全称）：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．工程质量保修范围和内容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w:t>
      </w:r>
      <w:r>
        <w:rPr>
          <w:rFonts w:ascii="仿宋" w:hAnsi="仿宋" w:eastAsia="仿宋" w:cs="仿宋"/>
          <w:sz w:val="24"/>
          <w:szCs w:val="24"/>
          <w:u w:val="single"/>
        </w:rPr>
        <w:t>39—42</w:t>
      </w:r>
      <w:r>
        <w:rPr>
          <w:rFonts w:hint="eastAsia" w:ascii="仿宋" w:hAnsi="仿宋" w:eastAsia="仿宋" w:cs="仿宋"/>
          <w:sz w:val="24"/>
          <w:szCs w:val="24"/>
          <w:u w:val="single"/>
        </w:rPr>
        <w:t>条</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．质量保修期</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2.1</w:t>
      </w:r>
      <w:r>
        <w:rPr>
          <w:rFonts w:hint="eastAsia" w:ascii="仿宋" w:hAnsi="仿宋" w:eastAsia="仿宋" w:cs="仿宋"/>
          <w:sz w:val="24"/>
          <w:szCs w:val="24"/>
        </w:rPr>
        <w:t>双方根据《建设工程质量管理条例》及有关规定，约定本工程的质量保修期如下：</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（1）基础设施工程、房屋建筑的地基基础工程和主体结构工程为设计文件规定的该工程合理使用年限；</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）屋面防水工程、有防水要求的卫生间、房间和外墙面的防渗漏为</w:t>
      </w:r>
      <w:r>
        <w:rPr>
          <w:rFonts w:ascii="仿宋" w:hAnsi="仿宋" w:eastAsia="仿宋" w:cs="仿宋"/>
          <w:sz w:val="24"/>
          <w:szCs w:val="24"/>
        </w:rPr>
        <w:t>5</w:t>
      </w:r>
      <w:r>
        <w:rPr>
          <w:rFonts w:hint="eastAsia" w:ascii="仿宋" w:hAnsi="仿宋" w:eastAsia="仿宋" w:cs="仿宋"/>
          <w:sz w:val="24"/>
          <w:szCs w:val="24"/>
        </w:rPr>
        <w:t>年；</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）装修工程为</w:t>
      </w:r>
      <w:r>
        <w:rPr>
          <w:rFonts w:ascii="仿宋" w:hAnsi="仿宋" w:eastAsia="仿宋" w:cs="仿宋"/>
          <w:sz w:val="24"/>
          <w:szCs w:val="24"/>
        </w:rPr>
        <w:t>2</w:t>
      </w:r>
      <w:r>
        <w:rPr>
          <w:rFonts w:hint="eastAsia" w:ascii="仿宋" w:hAnsi="仿宋" w:eastAsia="仿宋" w:cs="仿宋"/>
          <w:sz w:val="24"/>
          <w:szCs w:val="24"/>
        </w:rPr>
        <w:t>年；</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）供热与供冷系统为</w:t>
      </w:r>
      <w:r>
        <w:rPr>
          <w:rFonts w:ascii="仿宋" w:hAnsi="仿宋" w:eastAsia="仿宋" w:cs="仿宋"/>
          <w:sz w:val="24"/>
          <w:szCs w:val="24"/>
        </w:rPr>
        <w:t>2</w:t>
      </w:r>
      <w:r>
        <w:rPr>
          <w:rFonts w:hint="eastAsia" w:ascii="仿宋" w:hAnsi="仿宋" w:eastAsia="仿宋" w:cs="仿宋"/>
          <w:sz w:val="24"/>
          <w:szCs w:val="24"/>
        </w:rPr>
        <w:t>个采暖期、供冷期；</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）电气管线、给排水管道、设备安装工程为</w:t>
      </w:r>
      <w:r>
        <w:rPr>
          <w:rFonts w:ascii="仿宋" w:hAnsi="仿宋" w:eastAsia="仿宋" w:cs="仿宋"/>
          <w:sz w:val="24"/>
          <w:szCs w:val="24"/>
        </w:rPr>
        <w:t>2</w:t>
      </w:r>
      <w:r>
        <w:rPr>
          <w:rFonts w:hint="eastAsia" w:ascii="仿宋" w:hAnsi="仿宋" w:eastAsia="仿宋" w:cs="仿宋"/>
          <w:sz w:val="24"/>
          <w:szCs w:val="24"/>
        </w:rPr>
        <w:t>年；</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）住宅小区内的给排水设施、道路等配套工程为</w:t>
      </w:r>
      <w:r>
        <w:rPr>
          <w:rFonts w:ascii="仿宋" w:hAnsi="仿宋" w:eastAsia="仿宋" w:cs="仿宋"/>
          <w:sz w:val="24"/>
          <w:szCs w:val="24"/>
        </w:rPr>
        <w:t>2</w:t>
      </w:r>
      <w:r>
        <w:rPr>
          <w:rFonts w:hint="eastAsia" w:ascii="仿宋" w:hAnsi="仿宋" w:eastAsia="仿宋" w:cs="仿宋"/>
          <w:sz w:val="24"/>
          <w:szCs w:val="24"/>
        </w:rPr>
        <w:t>年；</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）其他项目的保修期限为</w:t>
      </w:r>
      <w:r>
        <w:rPr>
          <w:rFonts w:ascii="仿宋" w:hAnsi="仿宋" w:eastAsia="仿宋" w:cs="仿宋"/>
          <w:sz w:val="24"/>
          <w:szCs w:val="24"/>
        </w:rPr>
        <w:t xml:space="preserve">  2  </w:t>
      </w:r>
      <w:r>
        <w:rPr>
          <w:rFonts w:hint="eastAsia" w:ascii="仿宋" w:hAnsi="仿宋" w:eastAsia="仿宋" w:cs="仿宋"/>
          <w:sz w:val="24"/>
          <w:szCs w:val="24"/>
        </w:rPr>
        <w:t>年。</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2.2 </w:t>
      </w:r>
      <w:r>
        <w:rPr>
          <w:rFonts w:hint="eastAsia" w:ascii="仿宋" w:hAnsi="仿宋" w:eastAsia="仿宋" w:cs="仿宋"/>
          <w:sz w:val="24"/>
          <w:szCs w:val="24"/>
        </w:rPr>
        <w:t>质量保修期自工程竣工验收合格之日起计算。</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．质量保修责任</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3.1 </w:t>
      </w:r>
      <w:r>
        <w:rPr>
          <w:rFonts w:hint="eastAsia" w:ascii="仿宋" w:hAnsi="仿宋" w:eastAsia="仿宋" w:cs="仿宋"/>
          <w:sz w:val="24"/>
          <w:szCs w:val="24"/>
        </w:rPr>
        <w:t>属于保修范围、内容的项目，承包人应当在接到保修通知之日起</w:t>
      </w:r>
      <w:r>
        <w:rPr>
          <w:rFonts w:ascii="仿宋" w:hAnsi="仿宋" w:eastAsia="仿宋" w:cs="仿宋"/>
          <w:sz w:val="24"/>
          <w:szCs w:val="24"/>
        </w:rPr>
        <w:t>7</w:t>
      </w:r>
      <w:r>
        <w:rPr>
          <w:rFonts w:hint="eastAsia" w:ascii="仿宋" w:hAnsi="仿宋" w:eastAsia="仿宋" w:cs="仿宋"/>
          <w:sz w:val="24"/>
          <w:szCs w:val="24"/>
        </w:rPr>
        <w:t>天内派人保修。承包人不在约定期限内派人保修的，发包人可以委托他人修理。</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发生紧急抢修事故的，承包人在接到事故通知后，应当立即到达事故现场抢修。</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质量保修完成后，由发包人组织验收。</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．保修费用</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4.1</w:t>
      </w:r>
      <w:r>
        <w:rPr>
          <w:rFonts w:hint="eastAsia" w:ascii="仿宋" w:hAnsi="仿宋" w:eastAsia="仿宋" w:cs="仿宋"/>
          <w:sz w:val="24"/>
          <w:szCs w:val="24"/>
        </w:rPr>
        <w:t>保修费用由造成质量缺陷的责任方承担。</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．其他</w:t>
      </w:r>
    </w:p>
    <w:p>
      <w:pPr>
        <w:spacing w:line="360" w:lineRule="auto"/>
        <w:ind w:firstLine="480" w:firstLineChars="200"/>
        <w:rPr>
          <w:rFonts w:ascii="仿宋" w:hAnsi="仿宋" w:eastAsia="仿宋" w:cs="仿宋"/>
          <w:sz w:val="24"/>
          <w:szCs w:val="24"/>
        </w:rPr>
      </w:pPr>
      <w:bookmarkStart w:id="727" w:name="_Toc207526821"/>
      <w:bookmarkStart w:id="728" w:name="_Toc435626179"/>
      <w:bookmarkStart w:id="729" w:name="_Toc199318336"/>
      <w:bookmarkStart w:id="730" w:name="_Toc247945911"/>
      <w:bookmarkStart w:id="731" w:name="_Toc211643904"/>
      <w:r>
        <w:rPr>
          <w:rFonts w:ascii="仿宋" w:hAnsi="仿宋" w:eastAsia="仿宋" w:cs="仿宋"/>
          <w:sz w:val="24"/>
          <w:szCs w:val="24"/>
        </w:rPr>
        <w:t xml:space="preserve">5.1 </w:t>
      </w:r>
      <w:r>
        <w:rPr>
          <w:rFonts w:hint="eastAsia" w:ascii="仿宋" w:hAnsi="仿宋" w:eastAsia="仿宋" w:cs="仿宋"/>
          <w:sz w:val="24"/>
          <w:szCs w:val="24"/>
        </w:rPr>
        <w:t>双方约定的其他工程质量保修事项</w:t>
      </w:r>
      <w:r>
        <w:rPr>
          <w:rFonts w:ascii="仿宋" w:hAnsi="仿宋" w:eastAsia="仿宋" w:cs="仿宋"/>
          <w:sz w:val="24"/>
          <w:szCs w:val="24"/>
        </w:rPr>
        <w:t>:</w:t>
      </w:r>
      <w:bookmarkEnd w:id="727"/>
      <w:bookmarkEnd w:id="728"/>
      <w:bookmarkEnd w:id="729"/>
      <w:bookmarkEnd w:id="730"/>
      <w:bookmarkEnd w:id="73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质量保证金按工程竣工结算价的</w:t>
      </w:r>
      <w:r>
        <w:rPr>
          <w:rFonts w:ascii="仿宋" w:hAnsi="仿宋" w:eastAsia="仿宋" w:cs="仿宋"/>
          <w:sz w:val="24"/>
          <w:szCs w:val="24"/>
        </w:rPr>
        <w:t>3%</w:t>
      </w:r>
      <w:r>
        <w:rPr>
          <w:rFonts w:hint="eastAsia" w:ascii="仿宋" w:hAnsi="仿宋" w:eastAsia="仿宋" w:cs="仿宋"/>
          <w:sz w:val="24"/>
          <w:szCs w:val="24"/>
        </w:rPr>
        <w:t>计算，质量保证金的退还按合同约定，不计利息。承包方接到保修通知书后三天内必须到场保修，否则发包方可请人保修，所发生的费用在保修金中支付。</w:t>
      </w:r>
    </w:p>
    <w:p>
      <w:pPr>
        <w:spacing w:line="360" w:lineRule="auto"/>
        <w:ind w:firstLine="480" w:firstLineChars="200"/>
        <w:rPr>
          <w:rFonts w:ascii="仿宋" w:hAnsi="仿宋" w:eastAsia="仿宋" w:cs="仿宋"/>
          <w:sz w:val="24"/>
          <w:szCs w:val="24"/>
        </w:rPr>
      </w:pPr>
      <w:bookmarkStart w:id="732" w:name="_Toc435626180"/>
      <w:bookmarkStart w:id="733" w:name="_Toc199318337"/>
      <w:bookmarkStart w:id="734" w:name="_Toc247945912"/>
      <w:bookmarkStart w:id="735" w:name="_Toc207526822"/>
      <w:bookmarkStart w:id="736" w:name="_Toc211643905"/>
      <w:r>
        <w:rPr>
          <w:rFonts w:ascii="仿宋" w:hAnsi="仿宋" w:eastAsia="仿宋" w:cs="仿宋"/>
          <w:sz w:val="24"/>
          <w:szCs w:val="24"/>
        </w:rPr>
        <w:t xml:space="preserve">5.2 </w:t>
      </w:r>
      <w:r>
        <w:rPr>
          <w:rFonts w:hint="eastAsia" w:ascii="仿宋" w:hAnsi="仿宋" w:eastAsia="仿宋" w:cs="仿宋"/>
          <w:sz w:val="24"/>
          <w:szCs w:val="24"/>
        </w:rPr>
        <w:t>本工程质量保修书</w:t>
      </w:r>
      <w:r>
        <w:rPr>
          <w:rFonts w:ascii="仿宋" w:hAnsi="仿宋" w:eastAsia="仿宋" w:cs="仿宋"/>
          <w:sz w:val="24"/>
          <w:szCs w:val="24"/>
        </w:rPr>
        <w:t>,</w:t>
      </w:r>
      <w:r>
        <w:rPr>
          <w:rFonts w:hint="eastAsia" w:ascii="仿宋" w:hAnsi="仿宋" w:eastAsia="仿宋" w:cs="仿宋"/>
          <w:sz w:val="24"/>
          <w:szCs w:val="24"/>
        </w:rPr>
        <w:t>由施工合同发包人、承包人双方在竣工验收前共同签署，作为施工合同附件，其有效期限至保修期满。</w:t>
      </w:r>
      <w:bookmarkEnd w:id="732"/>
      <w:bookmarkEnd w:id="733"/>
      <w:bookmarkEnd w:id="734"/>
      <w:bookmarkEnd w:id="735"/>
      <w:bookmarkEnd w:id="736"/>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人（公章）：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人（公章）：</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rPr>
          <w:rFonts w:ascii="仿宋" w:hAnsi="仿宋" w:eastAsia="仿宋"/>
          <w:sz w:val="24"/>
          <w:szCs w:val="24"/>
        </w:rPr>
      </w:pPr>
    </w:p>
    <w:p>
      <w:pPr>
        <w:autoSpaceDE w:val="0"/>
        <w:autoSpaceDN w:val="0"/>
        <w:adjustRightIn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年   月  日</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年   月  日</w:t>
      </w:r>
    </w:p>
    <w:p>
      <w:pPr>
        <w:pStyle w:val="16"/>
        <w:rPr>
          <w:rFonts w:hint="eastAsia" w:ascii="仿宋" w:hAnsi="仿宋" w:eastAsia="仿宋" w:cs="仿宋"/>
          <w:sz w:val="24"/>
          <w:szCs w:val="24"/>
        </w:rPr>
      </w:pPr>
    </w:p>
    <w:p>
      <w:pPr>
        <w:pStyle w:val="16"/>
        <w:rPr>
          <w:rFonts w:hint="eastAsia" w:ascii="仿宋" w:hAnsi="仿宋" w:eastAsia="仿宋" w:cs="仿宋"/>
          <w:color w:val="auto"/>
          <w:sz w:val="48"/>
          <w:szCs w:val="48"/>
          <w:lang w:eastAsia="zh-CN"/>
        </w:rPr>
      </w:pPr>
    </w:p>
    <w:p>
      <w:pPr>
        <w:pStyle w:val="16"/>
        <w:rPr>
          <w:rFonts w:hint="eastAsia" w:ascii="仿宋" w:hAnsi="仿宋" w:eastAsia="仿宋" w:cs="仿宋"/>
          <w:color w:val="auto"/>
          <w:sz w:val="48"/>
          <w:szCs w:val="48"/>
          <w:lang w:eastAsia="zh-CN"/>
        </w:rPr>
      </w:pPr>
    </w:p>
    <w:bookmarkEnd w:id="166"/>
    <w:bookmarkEnd w:id="167"/>
    <w:bookmarkEnd w:id="168"/>
    <w:p>
      <w:pPr>
        <w:pStyle w:val="3"/>
        <w:numPr>
          <w:ilvl w:val="0"/>
          <w:numId w:val="1"/>
        </w:numPr>
        <w:spacing w:before="0" w:after="0"/>
        <w:ind w:left="0" w:firstLine="0"/>
        <w:rPr>
          <w:color w:val="auto"/>
        </w:rPr>
        <w:sectPr>
          <w:footerReference r:id="rId8" w:type="default"/>
          <w:pgSz w:w="11906" w:h="16838"/>
          <w:pgMar w:top="1440" w:right="1800" w:bottom="1440" w:left="1800" w:header="851" w:footer="992" w:gutter="0"/>
          <w:cols w:space="425" w:num="1"/>
          <w:docGrid w:type="lines" w:linePitch="312" w:charSpace="0"/>
        </w:sectPr>
      </w:pPr>
      <w:bookmarkStart w:id="737" w:name="_Toc45897714"/>
      <w:bookmarkStart w:id="738" w:name="_Toc41037911"/>
    </w:p>
    <w:p>
      <w:pPr>
        <w:pStyle w:val="3"/>
        <w:numPr>
          <w:ilvl w:val="0"/>
          <w:numId w:val="1"/>
        </w:numPr>
        <w:spacing w:before="0" w:after="0"/>
        <w:ind w:left="0" w:firstLine="0"/>
        <w:rPr>
          <w:color w:val="auto"/>
        </w:rPr>
      </w:pPr>
      <w:bookmarkStart w:id="739" w:name="_Toc26828"/>
      <w:r>
        <w:rPr>
          <w:rFonts w:hint="eastAsia"/>
          <w:color w:val="auto"/>
        </w:rPr>
        <w:t>工程量清单</w:t>
      </w:r>
      <w:bookmarkEnd w:id="737"/>
      <w:bookmarkEnd w:id="738"/>
      <w:r>
        <w:rPr>
          <w:rFonts w:hint="eastAsia"/>
          <w:color w:val="auto"/>
        </w:rPr>
        <w:t>和图纸</w:t>
      </w:r>
      <w:bookmarkEnd w:id="739"/>
    </w:p>
    <w:p>
      <w:pPr>
        <w:rPr>
          <w:color w:val="auto"/>
        </w:rPr>
      </w:pPr>
    </w:p>
    <w:p>
      <w:pPr>
        <w:jc w:val="center"/>
        <w:rPr>
          <w:color w:val="auto"/>
          <w:sz w:val="28"/>
          <w:szCs w:val="28"/>
        </w:rPr>
      </w:pPr>
      <w:r>
        <w:rPr>
          <w:rFonts w:hint="eastAsia" w:cs="宋体"/>
          <w:color w:val="auto"/>
          <w:sz w:val="28"/>
          <w:szCs w:val="28"/>
        </w:rPr>
        <w:t>另册。</w:t>
      </w:r>
    </w:p>
    <w:p>
      <w:pPr>
        <w:rPr>
          <w:rFonts w:ascii="宋体" w:hAnsi="宋体"/>
          <w:color w:val="auto"/>
          <w:sz w:val="28"/>
          <w:szCs w:val="28"/>
        </w:rPr>
      </w:pPr>
    </w:p>
    <w:p>
      <w:pPr>
        <w:rPr>
          <w:rFonts w:ascii="宋体" w:hAnsi="宋体"/>
          <w:color w:val="auto"/>
          <w:sz w:val="28"/>
          <w:szCs w:val="28"/>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rPr>
          <w:color w:val="auto"/>
        </w:rPr>
      </w:pPr>
    </w:p>
    <w:bookmarkEnd w:id="70"/>
    <w:bookmarkEnd w:id="71"/>
    <w:bookmarkEnd w:id="72"/>
    <w:bookmarkEnd w:id="73"/>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12" w:type="first"/>
      <w:headerReference r:id="rId9" w:type="default"/>
      <w:footerReference r:id="rId10" w:type="default"/>
      <w:footerReference r:id="rId11"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à.ā">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 New (W1)">
    <w:altName w:val="Segoe Print"/>
    <w:panose1 w:val="00000000000000000000"/>
    <w:charset w:val="00"/>
    <w:family w:val="roman"/>
    <w:pitch w:val="default"/>
    <w:sig w:usb0="00000000" w:usb1="00000000" w:usb2="00000000" w:usb3="00000000" w:csb0="00000000" w:csb1="00000000"/>
  </w:font>
  <w:font w:name="方正仿宋">
    <w:altName w:val="微软雅黑"/>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panose1 w:val="020B0604020202020204"/>
    <w:charset w:val="00"/>
    <w:family w:val="swiss"/>
    <w:pitch w:val="default"/>
    <w:sig w:usb0="00000000" w:usb1="00000000" w:usb2="00000000" w:usb3="00000000" w:csb0="00000000" w:csb1="00000000"/>
  </w:font>
  <w:font w:name="Cambria Math">
    <w:panose1 w:val="02040503050406030204"/>
    <w:charset w:val="01"/>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8"/>
      </w:rPr>
    </w:pPr>
    <w:r>
      <w:fldChar w:fldCharType="begin"/>
    </w:r>
    <w:r>
      <w:rPr>
        <w:rStyle w:val="48"/>
      </w:rPr>
      <w:instrText xml:space="preserve">PAGE  </w:instrText>
    </w:r>
    <w:r>
      <w:fldChar w:fldCharType="separate"/>
    </w:r>
    <w:r>
      <w:rPr>
        <w:rStyle w:val="48"/>
      </w:rPr>
      <w:t>31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8"/>
      </w:rPr>
    </w:pPr>
    <w:r>
      <w:fldChar w:fldCharType="begin"/>
    </w:r>
    <w:r>
      <w:rPr>
        <w:rStyle w:val="48"/>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32"/>
          <w:jc w:val="center"/>
        </w:pPr>
        <w:r>
          <w:fldChar w:fldCharType="begin"/>
        </w:r>
        <w:r>
          <w:instrText xml:space="preserve">PAGE   \* MERGEFORMAT</w:instrText>
        </w:r>
        <w:r>
          <w:fldChar w:fldCharType="separate"/>
        </w:r>
        <w:r>
          <w:rPr>
            <w:lang w:val="zh-CN"/>
          </w:rPr>
          <w:t>72</w:t>
        </w:r>
        <w:r>
          <w:fldChar w:fldCharType="end"/>
        </w:r>
      </w:p>
    </w:sdtContent>
  </w:sdt>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67</w:t>
    </w:r>
    <w:r>
      <w:rPr>
        <w:lang w:val="zh-CN"/>
      </w:rPr>
      <w:fldChar w:fldCharType="end"/>
    </w:r>
  </w:p>
  <w:p>
    <w:pPr>
      <w:pStyle w:val="32"/>
      <w:tabs>
        <w:tab w:val="center" w:pos="4533"/>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640"/>
      <w:jc w:val="center"/>
    </w:pPr>
    <w:r>
      <w:fldChar w:fldCharType="begin"/>
    </w:r>
    <w:r>
      <w:instrText xml:space="preserve">PAGE   \* MERGEFORMAT</w:instrText>
    </w:r>
    <w:r>
      <w:fldChar w:fldCharType="separate"/>
    </w:r>
    <w:r>
      <w:rPr>
        <w:lang w:val="zh-CN"/>
      </w:rPr>
      <w:t>112</w:t>
    </w:r>
    <w:r>
      <w:rPr>
        <w:lang w:val="zh-CN"/>
      </w:rPr>
      <w:fldChar w:fldCharType="end"/>
    </w:r>
  </w:p>
  <w:p>
    <w:pPr>
      <w:pStyle w:val="32"/>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8"/>
      </w:rPr>
    </w:pPr>
    <w:r>
      <w:fldChar w:fldCharType="begin"/>
    </w:r>
    <w:r>
      <w:rPr>
        <w:rStyle w:val="48"/>
      </w:rPr>
      <w:instrText xml:space="preserve">PAGE  </w:instrText>
    </w:r>
    <w:r>
      <w:fldChar w:fldCharType="separate"/>
    </w:r>
    <w:r>
      <w:rPr>
        <w:rStyle w:val="48"/>
      </w:rPr>
      <w:t>121</w:t>
    </w:r>
    <w:r>
      <w:fldChar w:fldCharType="end"/>
    </w:r>
  </w:p>
  <w:p>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8"/>
      </w:rPr>
    </w:pPr>
    <w:r>
      <w:fldChar w:fldCharType="begin"/>
    </w:r>
    <w:r>
      <w:rPr>
        <w:rStyle w:val="48"/>
      </w:rPr>
      <w:instrText xml:space="preserve">PAGE  </w:instrText>
    </w:r>
    <w:r>
      <w:fldChar w:fldCharType="end"/>
    </w:r>
  </w:p>
  <w:p>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7</w:t>
    </w:r>
    <w:r>
      <w:rPr>
        <w:lang w:val="zh-CN"/>
      </w:rP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8">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9">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36E4BF1"/>
    <w:multiLevelType w:val="multilevel"/>
    <w:tmpl w:val="036E4BF1"/>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3">
    <w:nsid w:val="14F1104D"/>
    <w:multiLevelType w:val="multilevel"/>
    <w:tmpl w:val="14F1104D"/>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5">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6">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9">
    <w:nsid w:val="28D371C0"/>
    <w:multiLevelType w:val="multilevel"/>
    <w:tmpl w:val="28D371C0"/>
    <w:lvl w:ilvl="0" w:tentative="0">
      <w:start w:val="1"/>
      <w:numFmt w:val="decimalFullWidth"/>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2BC84537"/>
    <w:multiLevelType w:val="multilevel"/>
    <w:tmpl w:val="2BC84537"/>
    <w:lvl w:ilvl="0" w:tentative="0">
      <w:start w:val="1"/>
      <w:numFmt w:val="japaneseCounting"/>
      <w:lvlText w:val="%1、"/>
      <w:lvlJc w:val="left"/>
      <w:pPr>
        <w:ind w:left="1856" w:hanging="1005"/>
      </w:pPr>
      <w:rPr>
        <w:color w:val="auto"/>
        <w:sz w:val="28"/>
        <w:szCs w:val="28"/>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2E0076D2"/>
    <w:multiLevelType w:val="multilevel"/>
    <w:tmpl w:val="2E0076D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4">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5">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6">
    <w:nsid w:val="343F0848"/>
    <w:multiLevelType w:val="multilevel"/>
    <w:tmpl w:val="343F0848"/>
    <w:lvl w:ilvl="0" w:tentative="0">
      <w:start w:val="1"/>
      <w:numFmt w:val="decimalFullWidth"/>
      <w:lvlText w:val="（%1）"/>
      <w:lvlJc w:val="left"/>
      <w:pPr>
        <w:ind w:left="720" w:hanging="7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85C6F59"/>
    <w:multiLevelType w:val="multilevel"/>
    <w:tmpl w:val="385C6F59"/>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0">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1">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2">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4">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5">
    <w:nsid w:val="45B731EA"/>
    <w:multiLevelType w:val="multilevel"/>
    <w:tmpl w:val="45B731EA"/>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chineseCountingThousand"/>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36">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0">
    <w:nsid w:val="52902F4C"/>
    <w:multiLevelType w:val="multilevel"/>
    <w:tmpl w:val="52902F4C"/>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3">
    <w:nsid w:val="56C33A13"/>
    <w:multiLevelType w:val="multilevel"/>
    <w:tmpl w:val="56C33A13"/>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88F3FBC"/>
    <w:multiLevelType w:val="multilevel"/>
    <w:tmpl w:val="588F3FBC"/>
    <w:lvl w:ilvl="0" w:tentative="0">
      <w:start w:val="1"/>
      <w:numFmt w:val="chineseCountingThousand"/>
      <w:lvlText w:val="%1、"/>
      <w:lvlJc w:val="left"/>
      <w:pPr>
        <w:ind w:left="2831" w:hanging="420"/>
      </w:pPr>
      <w:rPr>
        <w:color w:val="auto"/>
      </w:r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45">
    <w:nsid w:val="58E76E2A"/>
    <w:multiLevelType w:val="multilevel"/>
    <w:tmpl w:val="58E76E2A"/>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141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6">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5F143CBF"/>
    <w:multiLevelType w:val="multilevel"/>
    <w:tmpl w:val="5F143CBF"/>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japaneseCounting"/>
      <w:lvlText w:val="%3、"/>
      <w:lvlJc w:val="left"/>
      <w:pPr>
        <w:ind w:left="2432" w:hanging="1008"/>
      </w:pPr>
      <w:rPr>
        <w:rFonts w:hint="default"/>
      </w:r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9">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0">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1">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2">
    <w:nsid w:val="61780E46"/>
    <w:multiLevelType w:val="multilevel"/>
    <w:tmpl w:val="61780E46"/>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japaneseCounting"/>
      <w:lvlText w:val="（%3）"/>
      <w:lvlJc w:val="left"/>
      <w:pPr>
        <w:ind w:left="2975" w:hanging="855"/>
      </w:pPr>
      <w:rPr>
        <w:rFonts w:hint="default"/>
      </w:r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53">
    <w:nsid w:val="61C76959"/>
    <w:multiLevelType w:val="multilevel"/>
    <w:tmpl w:val="61C76959"/>
    <w:lvl w:ilvl="0" w:tentative="0">
      <w:start w:val="1"/>
      <w:numFmt w:val="chineseCountingThousand"/>
      <w:lvlText w:val="%1、"/>
      <w:lvlJc w:val="left"/>
      <w:pPr>
        <w:ind w:left="2264" w:hanging="420"/>
      </w:pPr>
      <w:rPr>
        <w:color w:val="auto"/>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4">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5">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6">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7">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58">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60">
    <w:nsid w:val="7E722EC0"/>
    <w:multiLevelType w:val="multilevel"/>
    <w:tmpl w:val="7E722EC0"/>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7"/>
  </w:num>
  <w:num w:numId="2">
    <w:abstractNumId w:val="17"/>
  </w:num>
  <w:num w:numId="3">
    <w:abstractNumId w:val="40"/>
  </w:num>
  <w:num w:numId="4">
    <w:abstractNumId w:val="57"/>
  </w:num>
  <w:num w:numId="5">
    <w:abstractNumId w:val="46"/>
  </w:num>
  <w:num w:numId="6">
    <w:abstractNumId w:val="42"/>
  </w:num>
  <w:num w:numId="7">
    <w:abstractNumId w:val="6"/>
  </w:num>
  <w:num w:numId="8">
    <w:abstractNumId w:val="28"/>
  </w:num>
  <w:num w:numId="9">
    <w:abstractNumId w:val="58"/>
  </w:num>
  <w:num w:numId="10">
    <w:abstractNumId w:val="45"/>
  </w:num>
  <w:num w:numId="11">
    <w:abstractNumId w:val="3"/>
  </w:num>
  <w:num w:numId="12">
    <w:abstractNumId w:val="14"/>
  </w:num>
  <w:num w:numId="13">
    <w:abstractNumId w:val="15"/>
  </w:num>
  <w:num w:numId="14">
    <w:abstractNumId w:val="43"/>
  </w:num>
  <w:num w:numId="15">
    <w:abstractNumId w:val="19"/>
  </w:num>
  <w:num w:numId="16">
    <w:abstractNumId w:val="23"/>
  </w:num>
  <w:num w:numId="17">
    <w:abstractNumId w:val="49"/>
  </w:num>
  <w:num w:numId="18">
    <w:abstractNumId w:val="24"/>
  </w:num>
  <w:num w:numId="19">
    <w:abstractNumId w:val="27"/>
  </w:num>
  <w:num w:numId="20">
    <w:abstractNumId w:val="8"/>
  </w:num>
  <w:num w:numId="21">
    <w:abstractNumId w:val="56"/>
  </w:num>
  <w:num w:numId="22">
    <w:abstractNumId w:val="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7"/>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2"/>
  </w:num>
  <w:num w:numId="30">
    <w:abstractNumId w:val="1"/>
  </w:num>
  <w:num w:numId="31">
    <w:abstractNumId w:val="4"/>
  </w:num>
  <w:num w:numId="32">
    <w:abstractNumId w:val="0"/>
  </w:num>
  <w:num w:numId="33">
    <w:abstractNumId w:val="54"/>
  </w:num>
  <w:num w:numId="34">
    <w:abstractNumId w:val="36"/>
  </w:num>
  <w:num w:numId="35">
    <w:abstractNumId w:val="47"/>
  </w:num>
  <w:num w:numId="36">
    <w:abstractNumId w:val="21"/>
  </w:num>
  <w:num w:numId="37">
    <w:abstractNumId w:val="35"/>
  </w:num>
  <w:num w:numId="38">
    <w:abstractNumId w:val="48"/>
  </w:num>
  <w:num w:numId="39">
    <w:abstractNumId w:val="53"/>
  </w:num>
  <w:num w:numId="40">
    <w:abstractNumId w:val="9"/>
  </w:num>
  <w:num w:numId="41">
    <w:abstractNumId w:val="41"/>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0"/>
  </w:num>
  <w:num w:numId="45">
    <w:abstractNumId w:val="50"/>
  </w:num>
  <w:num w:numId="46">
    <w:abstractNumId w:val="13"/>
  </w:num>
  <w:num w:numId="47">
    <w:abstractNumId w:val="26"/>
  </w:num>
  <w:num w:numId="48">
    <w:abstractNumId w:val="52"/>
  </w:num>
  <w:num w:numId="49">
    <w:abstractNumId w:val="34"/>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60"/>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699"/>
    <w:rsid w:val="000317DF"/>
    <w:rsid w:val="00055B3A"/>
    <w:rsid w:val="000800EF"/>
    <w:rsid w:val="00090BA6"/>
    <w:rsid w:val="000B2FA4"/>
    <w:rsid w:val="000C4C74"/>
    <w:rsid w:val="000C5490"/>
    <w:rsid w:val="000C6CE2"/>
    <w:rsid w:val="000E65EA"/>
    <w:rsid w:val="000F4809"/>
    <w:rsid w:val="000F6B7C"/>
    <w:rsid w:val="00114B69"/>
    <w:rsid w:val="00134EB4"/>
    <w:rsid w:val="00136D53"/>
    <w:rsid w:val="001415FC"/>
    <w:rsid w:val="00154EA1"/>
    <w:rsid w:val="0019383B"/>
    <w:rsid w:val="00197B45"/>
    <w:rsid w:val="001A07E3"/>
    <w:rsid w:val="001C66BE"/>
    <w:rsid w:val="001D1EAF"/>
    <w:rsid w:val="001F2DA3"/>
    <w:rsid w:val="00205A63"/>
    <w:rsid w:val="00211D04"/>
    <w:rsid w:val="0023687E"/>
    <w:rsid w:val="002619C0"/>
    <w:rsid w:val="00262C45"/>
    <w:rsid w:val="0028699C"/>
    <w:rsid w:val="002D0C65"/>
    <w:rsid w:val="002D160A"/>
    <w:rsid w:val="002D5D94"/>
    <w:rsid w:val="002E56D2"/>
    <w:rsid w:val="0031657A"/>
    <w:rsid w:val="00365C5B"/>
    <w:rsid w:val="00366676"/>
    <w:rsid w:val="0037555F"/>
    <w:rsid w:val="00394685"/>
    <w:rsid w:val="003A549F"/>
    <w:rsid w:val="003C0D99"/>
    <w:rsid w:val="003C1B31"/>
    <w:rsid w:val="003D590F"/>
    <w:rsid w:val="003D798F"/>
    <w:rsid w:val="0040670A"/>
    <w:rsid w:val="004212EA"/>
    <w:rsid w:val="00423109"/>
    <w:rsid w:val="00453C58"/>
    <w:rsid w:val="0045562D"/>
    <w:rsid w:val="0047395B"/>
    <w:rsid w:val="00475776"/>
    <w:rsid w:val="00495E22"/>
    <w:rsid w:val="00495E4F"/>
    <w:rsid w:val="00497260"/>
    <w:rsid w:val="004B053A"/>
    <w:rsid w:val="004B4C27"/>
    <w:rsid w:val="004B77FE"/>
    <w:rsid w:val="004C5C1A"/>
    <w:rsid w:val="004D56B9"/>
    <w:rsid w:val="004E3223"/>
    <w:rsid w:val="004F508C"/>
    <w:rsid w:val="004F7EE8"/>
    <w:rsid w:val="00534A7E"/>
    <w:rsid w:val="0054488D"/>
    <w:rsid w:val="00545DE6"/>
    <w:rsid w:val="00550B07"/>
    <w:rsid w:val="00576299"/>
    <w:rsid w:val="00584E99"/>
    <w:rsid w:val="005A3991"/>
    <w:rsid w:val="005A427B"/>
    <w:rsid w:val="005A53A8"/>
    <w:rsid w:val="005B4FD3"/>
    <w:rsid w:val="005D0E78"/>
    <w:rsid w:val="005E1BD1"/>
    <w:rsid w:val="005E3AFD"/>
    <w:rsid w:val="005F320F"/>
    <w:rsid w:val="00611BF3"/>
    <w:rsid w:val="006126A5"/>
    <w:rsid w:val="00635038"/>
    <w:rsid w:val="00641F64"/>
    <w:rsid w:val="00645288"/>
    <w:rsid w:val="006455C8"/>
    <w:rsid w:val="006616C4"/>
    <w:rsid w:val="0066449E"/>
    <w:rsid w:val="00667360"/>
    <w:rsid w:val="00670CDC"/>
    <w:rsid w:val="00675A16"/>
    <w:rsid w:val="00676040"/>
    <w:rsid w:val="00694460"/>
    <w:rsid w:val="006A2EF7"/>
    <w:rsid w:val="006B2564"/>
    <w:rsid w:val="006F52AB"/>
    <w:rsid w:val="00727809"/>
    <w:rsid w:val="0075399D"/>
    <w:rsid w:val="00760F65"/>
    <w:rsid w:val="007627EB"/>
    <w:rsid w:val="00767686"/>
    <w:rsid w:val="0077444D"/>
    <w:rsid w:val="00780349"/>
    <w:rsid w:val="007B16B7"/>
    <w:rsid w:val="007B2356"/>
    <w:rsid w:val="007B7306"/>
    <w:rsid w:val="007C73FF"/>
    <w:rsid w:val="007D38CA"/>
    <w:rsid w:val="007D6A85"/>
    <w:rsid w:val="00843959"/>
    <w:rsid w:val="00853161"/>
    <w:rsid w:val="008535E1"/>
    <w:rsid w:val="00862422"/>
    <w:rsid w:val="00871E3A"/>
    <w:rsid w:val="00875944"/>
    <w:rsid w:val="008800E8"/>
    <w:rsid w:val="00887F2C"/>
    <w:rsid w:val="008A65FB"/>
    <w:rsid w:val="008B032E"/>
    <w:rsid w:val="008B472D"/>
    <w:rsid w:val="008C76D8"/>
    <w:rsid w:val="0092448C"/>
    <w:rsid w:val="00924EB7"/>
    <w:rsid w:val="00946DC1"/>
    <w:rsid w:val="009623F1"/>
    <w:rsid w:val="00963F02"/>
    <w:rsid w:val="00981D11"/>
    <w:rsid w:val="00984181"/>
    <w:rsid w:val="009B2BA5"/>
    <w:rsid w:val="009B533B"/>
    <w:rsid w:val="009F0A01"/>
    <w:rsid w:val="00A126F3"/>
    <w:rsid w:val="00A33CE8"/>
    <w:rsid w:val="00A3552C"/>
    <w:rsid w:val="00A44299"/>
    <w:rsid w:val="00A768B6"/>
    <w:rsid w:val="00AA3983"/>
    <w:rsid w:val="00AB2F81"/>
    <w:rsid w:val="00AB6DFB"/>
    <w:rsid w:val="00AC1469"/>
    <w:rsid w:val="00AE5249"/>
    <w:rsid w:val="00AF3B32"/>
    <w:rsid w:val="00AF7B4C"/>
    <w:rsid w:val="00B06C14"/>
    <w:rsid w:val="00B35130"/>
    <w:rsid w:val="00B4323E"/>
    <w:rsid w:val="00B57B42"/>
    <w:rsid w:val="00B60851"/>
    <w:rsid w:val="00B9216B"/>
    <w:rsid w:val="00BB28E3"/>
    <w:rsid w:val="00BC6F31"/>
    <w:rsid w:val="00C03D13"/>
    <w:rsid w:val="00C166A8"/>
    <w:rsid w:val="00C16790"/>
    <w:rsid w:val="00C22BD9"/>
    <w:rsid w:val="00C22EF9"/>
    <w:rsid w:val="00C263D0"/>
    <w:rsid w:val="00C352B9"/>
    <w:rsid w:val="00C52705"/>
    <w:rsid w:val="00C60594"/>
    <w:rsid w:val="00C75D17"/>
    <w:rsid w:val="00C76D6E"/>
    <w:rsid w:val="00C86D71"/>
    <w:rsid w:val="00C9048A"/>
    <w:rsid w:val="00C91C5E"/>
    <w:rsid w:val="00C92F1D"/>
    <w:rsid w:val="00CA0302"/>
    <w:rsid w:val="00CA26A2"/>
    <w:rsid w:val="00CD2A58"/>
    <w:rsid w:val="00CF1154"/>
    <w:rsid w:val="00CF5080"/>
    <w:rsid w:val="00CF713C"/>
    <w:rsid w:val="00D00193"/>
    <w:rsid w:val="00D130A9"/>
    <w:rsid w:val="00D21D44"/>
    <w:rsid w:val="00D32ED4"/>
    <w:rsid w:val="00D367AB"/>
    <w:rsid w:val="00D47C21"/>
    <w:rsid w:val="00D72C15"/>
    <w:rsid w:val="00D81A05"/>
    <w:rsid w:val="00DA16DE"/>
    <w:rsid w:val="00DA3C93"/>
    <w:rsid w:val="00DB2AC4"/>
    <w:rsid w:val="00DB3BD1"/>
    <w:rsid w:val="00DB6B28"/>
    <w:rsid w:val="00DB7AB0"/>
    <w:rsid w:val="00DC0F33"/>
    <w:rsid w:val="00DC6B3E"/>
    <w:rsid w:val="00DD022E"/>
    <w:rsid w:val="00DD341F"/>
    <w:rsid w:val="00DE2BE2"/>
    <w:rsid w:val="00DF6235"/>
    <w:rsid w:val="00E52268"/>
    <w:rsid w:val="00E61631"/>
    <w:rsid w:val="00E861E3"/>
    <w:rsid w:val="00E93215"/>
    <w:rsid w:val="00E94E24"/>
    <w:rsid w:val="00EB1C8B"/>
    <w:rsid w:val="00EB7EF3"/>
    <w:rsid w:val="00EC51CF"/>
    <w:rsid w:val="00ED500E"/>
    <w:rsid w:val="00EE4AB3"/>
    <w:rsid w:val="00EF419C"/>
    <w:rsid w:val="00EF65F2"/>
    <w:rsid w:val="00F020A9"/>
    <w:rsid w:val="00F201D2"/>
    <w:rsid w:val="00F334EB"/>
    <w:rsid w:val="00F442D2"/>
    <w:rsid w:val="00F73616"/>
    <w:rsid w:val="00F76C83"/>
    <w:rsid w:val="00F810D4"/>
    <w:rsid w:val="00F877E5"/>
    <w:rsid w:val="00F9261F"/>
    <w:rsid w:val="00FB5009"/>
    <w:rsid w:val="00FB501F"/>
    <w:rsid w:val="00FB54A0"/>
    <w:rsid w:val="00FC524D"/>
    <w:rsid w:val="00FD4483"/>
    <w:rsid w:val="00FE64E1"/>
    <w:rsid w:val="00FF43F7"/>
    <w:rsid w:val="00FF5F08"/>
    <w:rsid w:val="032B3339"/>
    <w:rsid w:val="038F03B8"/>
    <w:rsid w:val="042416D6"/>
    <w:rsid w:val="062A32B1"/>
    <w:rsid w:val="084F72FD"/>
    <w:rsid w:val="09F80944"/>
    <w:rsid w:val="0A4B5EB7"/>
    <w:rsid w:val="0B550412"/>
    <w:rsid w:val="0C151120"/>
    <w:rsid w:val="0D5D7597"/>
    <w:rsid w:val="0F222C0B"/>
    <w:rsid w:val="103D2A6F"/>
    <w:rsid w:val="106D30A5"/>
    <w:rsid w:val="10E60866"/>
    <w:rsid w:val="11517BE6"/>
    <w:rsid w:val="116F0359"/>
    <w:rsid w:val="14AF4AC0"/>
    <w:rsid w:val="1817058E"/>
    <w:rsid w:val="18704495"/>
    <w:rsid w:val="1925056D"/>
    <w:rsid w:val="194C05D1"/>
    <w:rsid w:val="19CA2B2B"/>
    <w:rsid w:val="1B067A23"/>
    <w:rsid w:val="1C652DFC"/>
    <w:rsid w:val="1CBE223B"/>
    <w:rsid w:val="1D523EDA"/>
    <w:rsid w:val="20215629"/>
    <w:rsid w:val="224457E9"/>
    <w:rsid w:val="226457A7"/>
    <w:rsid w:val="238D45A1"/>
    <w:rsid w:val="259D51B0"/>
    <w:rsid w:val="26411350"/>
    <w:rsid w:val="27CE3FAF"/>
    <w:rsid w:val="27CF2478"/>
    <w:rsid w:val="2ACF35F5"/>
    <w:rsid w:val="2AE3737C"/>
    <w:rsid w:val="2BC249A8"/>
    <w:rsid w:val="2EB454E9"/>
    <w:rsid w:val="2F3A2DE4"/>
    <w:rsid w:val="30514FD7"/>
    <w:rsid w:val="32782C0C"/>
    <w:rsid w:val="33696A45"/>
    <w:rsid w:val="33ED5CC9"/>
    <w:rsid w:val="37650937"/>
    <w:rsid w:val="38BD4B48"/>
    <w:rsid w:val="3A3A5B91"/>
    <w:rsid w:val="3B2D4DD5"/>
    <w:rsid w:val="3C6674C7"/>
    <w:rsid w:val="3DEB22D2"/>
    <w:rsid w:val="3E204B6F"/>
    <w:rsid w:val="41E077F2"/>
    <w:rsid w:val="42A47699"/>
    <w:rsid w:val="431E26EC"/>
    <w:rsid w:val="438C7549"/>
    <w:rsid w:val="43A858A2"/>
    <w:rsid w:val="43C344A9"/>
    <w:rsid w:val="450C3B48"/>
    <w:rsid w:val="4A286A60"/>
    <w:rsid w:val="4C685582"/>
    <w:rsid w:val="4FBE57B8"/>
    <w:rsid w:val="5275627B"/>
    <w:rsid w:val="529242B8"/>
    <w:rsid w:val="54E9754D"/>
    <w:rsid w:val="5988574F"/>
    <w:rsid w:val="5A697BE5"/>
    <w:rsid w:val="5C2442D2"/>
    <w:rsid w:val="5CF97248"/>
    <w:rsid w:val="5E810DBD"/>
    <w:rsid w:val="5E942C6C"/>
    <w:rsid w:val="5F323CA0"/>
    <w:rsid w:val="61607AD2"/>
    <w:rsid w:val="617331A3"/>
    <w:rsid w:val="62780E73"/>
    <w:rsid w:val="6A247265"/>
    <w:rsid w:val="6A62054D"/>
    <w:rsid w:val="6DC61521"/>
    <w:rsid w:val="713B72AE"/>
    <w:rsid w:val="74200909"/>
    <w:rsid w:val="74D4199D"/>
    <w:rsid w:val="76334F49"/>
    <w:rsid w:val="771B5989"/>
    <w:rsid w:val="7C346A91"/>
    <w:rsid w:val="7C7E7052"/>
    <w:rsid w:val="7DBE1E74"/>
    <w:rsid w:val="7E67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3"/>
    <w:qFormat/>
    <w:uiPriority w:val="99"/>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4"/>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5"/>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6"/>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7"/>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68"/>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6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70"/>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6">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12">
    <w:name w:val="annotation subject"/>
    <w:basedOn w:val="13"/>
    <w:next w:val="13"/>
    <w:link w:val="72"/>
    <w:qFormat/>
    <w:uiPriority w:val="99"/>
    <w:rPr>
      <w:b/>
    </w:rPr>
  </w:style>
  <w:style w:type="paragraph" w:styleId="13">
    <w:name w:val="annotation text"/>
    <w:basedOn w:val="1"/>
    <w:link w:val="74"/>
    <w:qFormat/>
    <w:uiPriority w:val="99"/>
    <w:pPr>
      <w:widowControl w:val="0"/>
    </w:pPr>
    <w:rPr>
      <w:rFonts w:asciiTheme="minorHAnsi" w:hAnsiTheme="minorHAnsi" w:eastAsiaTheme="minorEastAsia" w:cstheme="minorBidi"/>
      <w:kern w:val="2"/>
      <w:sz w:val="18"/>
      <w:szCs w:val="22"/>
    </w:rPr>
  </w:style>
  <w:style w:type="paragraph" w:styleId="14">
    <w:name w:val="toc 7"/>
    <w:basedOn w:val="1"/>
    <w:next w:val="1"/>
    <w:qFormat/>
    <w:uiPriority w:val="39"/>
    <w:pPr>
      <w:widowControl w:val="0"/>
      <w:ind w:left="1080"/>
    </w:pPr>
    <w:rPr>
      <w:kern w:val="2"/>
      <w:sz w:val="18"/>
      <w:szCs w:val="20"/>
    </w:rPr>
  </w:style>
  <w:style w:type="paragraph" w:styleId="15">
    <w:name w:val="Body Text First Indent"/>
    <w:basedOn w:val="16"/>
    <w:link w:val="96"/>
    <w:qFormat/>
    <w:uiPriority w:val="0"/>
    <w:pPr>
      <w:widowControl w:val="0"/>
      <w:ind w:firstLine="420" w:firstLineChars="100"/>
      <w:jc w:val="both"/>
    </w:pPr>
    <w:rPr>
      <w:rFonts w:ascii="宋体" w:hAnsi="宋体"/>
      <w:sz w:val="21"/>
    </w:rPr>
  </w:style>
  <w:style w:type="paragraph" w:styleId="16">
    <w:name w:val="Body Text"/>
    <w:basedOn w:val="1"/>
    <w:next w:val="1"/>
    <w:link w:val="99"/>
    <w:qFormat/>
    <w:uiPriority w:val="0"/>
    <w:pPr>
      <w:spacing w:after="120"/>
    </w:pPr>
    <w:rPr>
      <w:rFonts w:asciiTheme="minorHAnsi" w:hAnsiTheme="minorHAnsi" w:eastAsiaTheme="minorEastAsia" w:cstheme="minorBidi"/>
      <w:kern w:val="2"/>
    </w:rPr>
  </w:style>
  <w:style w:type="paragraph" w:styleId="17">
    <w:name w:val="Normal Indent"/>
    <w:basedOn w:val="1"/>
    <w:link w:val="97"/>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8">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9">
    <w:name w:val="Document Map"/>
    <w:basedOn w:val="1"/>
    <w:link w:val="90"/>
    <w:unhideWhenUsed/>
    <w:qFormat/>
    <w:uiPriority w:val="0"/>
    <w:rPr>
      <w:rFonts w:ascii="宋体" w:hAnsiTheme="minorHAnsi" w:eastAsiaTheme="minorEastAsia" w:cstheme="minorBidi"/>
      <w:kern w:val="2"/>
      <w:sz w:val="18"/>
      <w:szCs w:val="18"/>
    </w:rPr>
  </w:style>
  <w:style w:type="paragraph" w:styleId="20">
    <w:name w:val="Salutation"/>
    <w:basedOn w:val="1"/>
    <w:next w:val="1"/>
    <w:link w:val="98"/>
    <w:qFormat/>
    <w:uiPriority w:val="0"/>
    <w:pPr>
      <w:widowControl w:val="0"/>
      <w:jc w:val="both"/>
    </w:pPr>
    <w:rPr>
      <w:rFonts w:eastAsia="黑体" w:asciiTheme="minorHAnsi" w:hAnsiTheme="minorHAnsi" w:cstheme="minorBidi"/>
      <w:kern w:val="2"/>
      <w:szCs w:val="22"/>
    </w:rPr>
  </w:style>
  <w:style w:type="paragraph" w:styleId="21">
    <w:name w:val="Body Text 3"/>
    <w:basedOn w:val="1"/>
    <w:link w:val="107"/>
    <w:qFormat/>
    <w:uiPriority w:val="0"/>
    <w:pPr>
      <w:spacing w:after="120"/>
    </w:pPr>
    <w:rPr>
      <w:rFonts w:asciiTheme="minorHAnsi" w:hAnsiTheme="minorHAnsi" w:eastAsiaTheme="minorEastAsia" w:cstheme="minorBidi"/>
      <w:kern w:val="2"/>
      <w:sz w:val="16"/>
      <w:szCs w:val="16"/>
    </w:rPr>
  </w:style>
  <w:style w:type="paragraph" w:styleId="22">
    <w:name w:val="Body Text Indent"/>
    <w:basedOn w:val="1"/>
    <w:link w:val="95"/>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3">
    <w:name w:val="Block Text"/>
    <w:basedOn w:val="1"/>
    <w:qFormat/>
    <w:uiPriority w:val="0"/>
    <w:pPr>
      <w:widowControl w:val="0"/>
      <w:ind w:left="-540" w:leftChars="-257" w:right="-334" w:rightChars="-159" w:firstLine="540" w:firstLineChars="180"/>
      <w:jc w:val="both"/>
    </w:pPr>
    <w:rPr>
      <w:kern w:val="2"/>
      <w:sz w:val="30"/>
    </w:rPr>
  </w:style>
  <w:style w:type="paragraph" w:styleId="24">
    <w:name w:val="index 4"/>
    <w:basedOn w:val="1"/>
    <w:next w:val="1"/>
    <w:qFormat/>
    <w:uiPriority w:val="0"/>
    <w:pPr>
      <w:widowControl w:val="0"/>
      <w:ind w:left="600" w:leftChars="600"/>
      <w:jc w:val="both"/>
    </w:pPr>
    <w:rPr>
      <w:kern w:val="2"/>
      <w:sz w:val="21"/>
    </w:rPr>
  </w:style>
  <w:style w:type="paragraph" w:styleId="25">
    <w:name w:val="toc 5"/>
    <w:basedOn w:val="1"/>
    <w:next w:val="1"/>
    <w:qFormat/>
    <w:uiPriority w:val="39"/>
    <w:pPr>
      <w:widowControl w:val="0"/>
      <w:ind w:left="720"/>
    </w:pPr>
    <w:rPr>
      <w:kern w:val="2"/>
      <w:sz w:val="18"/>
      <w:szCs w:val="20"/>
    </w:rPr>
  </w:style>
  <w:style w:type="paragraph" w:styleId="26">
    <w:name w:val="toc 3"/>
    <w:basedOn w:val="1"/>
    <w:next w:val="1"/>
    <w:qFormat/>
    <w:uiPriority w:val="39"/>
    <w:pPr>
      <w:widowControl w:val="0"/>
      <w:ind w:left="360"/>
    </w:pPr>
    <w:rPr>
      <w:i/>
      <w:kern w:val="2"/>
      <w:sz w:val="20"/>
      <w:szCs w:val="20"/>
    </w:rPr>
  </w:style>
  <w:style w:type="paragraph" w:styleId="27">
    <w:name w:val="Plain Text"/>
    <w:basedOn w:val="1"/>
    <w:link w:val="110"/>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8">
    <w:name w:val="toc 8"/>
    <w:basedOn w:val="1"/>
    <w:next w:val="1"/>
    <w:qFormat/>
    <w:uiPriority w:val="39"/>
    <w:pPr>
      <w:widowControl w:val="0"/>
      <w:ind w:left="1260"/>
    </w:pPr>
    <w:rPr>
      <w:kern w:val="2"/>
      <w:sz w:val="18"/>
      <w:szCs w:val="20"/>
    </w:rPr>
  </w:style>
  <w:style w:type="paragraph" w:styleId="29">
    <w:name w:val="Date"/>
    <w:basedOn w:val="1"/>
    <w:next w:val="1"/>
    <w:link w:val="91"/>
    <w:qFormat/>
    <w:uiPriority w:val="0"/>
    <w:pPr>
      <w:ind w:left="100" w:leftChars="2500"/>
    </w:pPr>
    <w:rPr>
      <w:rFonts w:asciiTheme="minorHAnsi" w:hAnsiTheme="minorHAnsi" w:eastAsiaTheme="minorEastAsia" w:cstheme="minorBidi"/>
      <w:kern w:val="2"/>
    </w:rPr>
  </w:style>
  <w:style w:type="paragraph" w:styleId="30">
    <w:name w:val="Body Text Indent 2"/>
    <w:basedOn w:val="1"/>
    <w:link w:val="106"/>
    <w:qFormat/>
    <w:uiPriority w:val="0"/>
    <w:pPr>
      <w:widowControl w:val="0"/>
      <w:ind w:firstLine="540" w:firstLineChars="257"/>
      <w:jc w:val="both"/>
    </w:pPr>
    <w:rPr>
      <w:rFonts w:asciiTheme="minorHAnsi" w:hAnsiTheme="minorHAnsi" w:eastAsiaTheme="minorEastAsia" w:cstheme="minorBidi"/>
      <w:kern w:val="2"/>
      <w:sz w:val="21"/>
    </w:rPr>
  </w:style>
  <w:style w:type="paragraph" w:styleId="31">
    <w:name w:val="Balloon Text"/>
    <w:basedOn w:val="1"/>
    <w:link w:val="101"/>
    <w:qFormat/>
    <w:uiPriority w:val="0"/>
    <w:rPr>
      <w:rFonts w:asciiTheme="minorHAnsi" w:hAnsiTheme="minorHAnsi" w:eastAsiaTheme="minorEastAsia" w:cstheme="minorBidi"/>
      <w:kern w:val="2"/>
      <w:sz w:val="18"/>
      <w:szCs w:val="18"/>
    </w:rPr>
  </w:style>
  <w:style w:type="paragraph" w:styleId="32">
    <w:name w:val="footer"/>
    <w:basedOn w:val="1"/>
    <w:link w:val="88"/>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3">
    <w:name w:val="header"/>
    <w:basedOn w:val="1"/>
    <w:link w:val="10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4">
    <w:name w:val="toc 1"/>
    <w:basedOn w:val="1"/>
    <w:next w:val="1"/>
    <w:qFormat/>
    <w:uiPriority w:val="39"/>
    <w:pPr>
      <w:tabs>
        <w:tab w:val="left" w:pos="840"/>
        <w:tab w:val="right" w:leader="dot" w:pos="9204"/>
      </w:tabs>
      <w:spacing w:before="120" w:after="120"/>
    </w:pPr>
    <w:rPr>
      <w:b/>
      <w:bCs/>
      <w:caps/>
      <w:szCs w:val="20"/>
    </w:rPr>
  </w:style>
  <w:style w:type="paragraph" w:styleId="35">
    <w:name w:val="toc 4"/>
    <w:basedOn w:val="1"/>
    <w:next w:val="1"/>
    <w:qFormat/>
    <w:uiPriority w:val="39"/>
    <w:pPr>
      <w:widowControl w:val="0"/>
      <w:ind w:left="540"/>
    </w:pPr>
    <w:rPr>
      <w:kern w:val="2"/>
      <w:sz w:val="18"/>
      <w:szCs w:val="20"/>
    </w:rPr>
  </w:style>
  <w:style w:type="paragraph" w:styleId="36">
    <w:name w:val="Subtitle"/>
    <w:basedOn w:val="1"/>
    <w:next w:val="1"/>
    <w:link w:val="249"/>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7">
    <w:name w:val="footnote text"/>
    <w:basedOn w:val="1"/>
    <w:link w:val="211"/>
    <w:unhideWhenUsed/>
    <w:qFormat/>
    <w:uiPriority w:val="0"/>
    <w:pPr>
      <w:widowControl w:val="0"/>
      <w:snapToGrid w:val="0"/>
    </w:pPr>
    <w:rPr>
      <w:rFonts w:ascii="Calibri" w:hAnsi="Calibri" w:eastAsiaTheme="minorEastAsia" w:cstheme="minorBidi"/>
      <w:kern w:val="2"/>
      <w:sz w:val="18"/>
      <w:szCs w:val="18"/>
    </w:rPr>
  </w:style>
  <w:style w:type="paragraph" w:styleId="38">
    <w:name w:val="toc 6"/>
    <w:basedOn w:val="1"/>
    <w:next w:val="1"/>
    <w:qFormat/>
    <w:uiPriority w:val="39"/>
    <w:pPr>
      <w:ind w:left="1200"/>
    </w:pPr>
    <w:rPr>
      <w:sz w:val="18"/>
      <w:szCs w:val="18"/>
    </w:rPr>
  </w:style>
  <w:style w:type="paragraph" w:styleId="39">
    <w:name w:val="Body Text Indent 3"/>
    <w:basedOn w:val="1"/>
    <w:link w:val="94"/>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40">
    <w:name w:val="index 7"/>
    <w:basedOn w:val="1"/>
    <w:next w:val="1"/>
    <w:semiHidden/>
    <w:unhideWhenUsed/>
    <w:qFormat/>
    <w:uiPriority w:val="99"/>
    <w:pPr>
      <w:widowControl w:val="0"/>
      <w:ind w:left="1200" w:leftChars="1200"/>
      <w:jc w:val="both"/>
    </w:pPr>
    <w:rPr>
      <w:kern w:val="2"/>
      <w:sz w:val="21"/>
      <w:szCs w:val="20"/>
    </w:rPr>
  </w:style>
  <w:style w:type="paragraph" w:styleId="41">
    <w:name w:val="toc 2"/>
    <w:basedOn w:val="1"/>
    <w:next w:val="1"/>
    <w:qFormat/>
    <w:uiPriority w:val="39"/>
    <w:pPr>
      <w:ind w:left="240"/>
    </w:pPr>
    <w:rPr>
      <w:smallCaps/>
      <w:szCs w:val="20"/>
    </w:rPr>
  </w:style>
  <w:style w:type="paragraph" w:styleId="42">
    <w:name w:val="toc 9"/>
    <w:basedOn w:val="1"/>
    <w:next w:val="1"/>
    <w:qFormat/>
    <w:uiPriority w:val="39"/>
    <w:pPr>
      <w:widowControl w:val="0"/>
      <w:ind w:left="1440"/>
    </w:pPr>
    <w:rPr>
      <w:kern w:val="2"/>
      <w:sz w:val="18"/>
      <w:szCs w:val="20"/>
    </w:rPr>
  </w:style>
  <w:style w:type="paragraph" w:styleId="43">
    <w:name w:val="Body Text 2"/>
    <w:basedOn w:val="1"/>
    <w:link w:val="84"/>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4">
    <w:name w:val="Normal (Web)"/>
    <w:basedOn w:val="1"/>
    <w:qFormat/>
    <w:uiPriority w:val="0"/>
    <w:pPr>
      <w:spacing w:before="100" w:beforeAutospacing="1" w:after="100" w:afterAutospacing="1"/>
    </w:pPr>
    <w:rPr>
      <w:rFonts w:ascii="宋体" w:hAnsi="宋体"/>
    </w:rPr>
  </w:style>
  <w:style w:type="paragraph" w:styleId="45">
    <w:name w:val="Title"/>
    <w:basedOn w:val="1"/>
    <w:next w:val="1"/>
    <w:link w:val="109"/>
    <w:qFormat/>
    <w:uiPriority w:val="0"/>
    <w:pPr>
      <w:widowControl w:val="0"/>
      <w:spacing w:before="240" w:after="60"/>
      <w:jc w:val="center"/>
      <w:outlineLvl w:val="0"/>
    </w:pPr>
    <w:rPr>
      <w:rFonts w:ascii="Cambria" w:hAnsi="Cambria" w:eastAsiaTheme="minorEastAsia" w:cstheme="minorBidi"/>
      <w:b/>
      <w:bCs/>
      <w:kern w:val="2"/>
      <w:sz w:val="32"/>
      <w:szCs w:val="32"/>
    </w:rPr>
  </w:style>
  <w:style w:type="character" w:styleId="47">
    <w:name w:val="Strong"/>
    <w:qFormat/>
    <w:uiPriority w:val="0"/>
    <w:rPr>
      <w:b/>
    </w:rPr>
  </w:style>
  <w:style w:type="character" w:styleId="48">
    <w:name w:val="page number"/>
    <w:basedOn w:val="46"/>
    <w:qFormat/>
    <w:uiPriority w:val="0"/>
  </w:style>
  <w:style w:type="character" w:styleId="49">
    <w:name w:val="FollowedHyperlink"/>
    <w:unhideWhenUsed/>
    <w:qFormat/>
    <w:uiPriority w:val="0"/>
    <w:rPr>
      <w:color w:val="800080"/>
      <w:u w:val="single"/>
    </w:rPr>
  </w:style>
  <w:style w:type="character" w:styleId="50">
    <w:name w:val="Emphasis"/>
    <w:qFormat/>
    <w:uiPriority w:val="0"/>
    <w:rPr>
      <w:i/>
      <w:iCs/>
    </w:rPr>
  </w:style>
  <w:style w:type="character" w:styleId="51">
    <w:name w:val="HTML Definition"/>
    <w:unhideWhenUsed/>
    <w:qFormat/>
    <w:uiPriority w:val="99"/>
    <w:rPr>
      <w:b/>
      <w:i/>
      <w:color w:val="FFFFFF"/>
      <w:sz w:val="15"/>
      <w:szCs w:val="15"/>
      <w:shd w:val="clear" w:color="auto" w:fill="777777"/>
      <w:vertAlign w:val="baseline"/>
    </w:rPr>
  </w:style>
  <w:style w:type="character" w:styleId="52">
    <w:name w:val="HTML Variable"/>
    <w:basedOn w:val="46"/>
    <w:unhideWhenUsed/>
    <w:qFormat/>
    <w:uiPriority w:val="99"/>
  </w:style>
  <w:style w:type="character" w:styleId="53">
    <w:name w:val="Hyperlink"/>
    <w:qFormat/>
    <w:uiPriority w:val="99"/>
    <w:rPr>
      <w:color w:val="0000FF"/>
      <w:u w:val="single"/>
    </w:rPr>
  </w:style>
  <w:style w:type="character" w:styleId="54">
    <w:name w:val="HTML Code"/>
    <w:unhideWhenUsed/>
    <w:qFormat/>
    <w:uiPriority w:val="99"/>
    <w:rPr>
      <w:rFonts w:hint="default" w:ascii="Consolas" w:hAnsi="Consolas" w:eastAsia="Consolas" w:cs="Consolas"/>
      <w:color w:val="C7254E"/>
      <w:sz w:val="21"/>
      <w:szCs w:val="21"/>
      <w:shd w:val="clear" w:color="auto" w:fill="F9F2F4"/>
    </w:rPr>
  </w:style>
  <w:style w:type="character" w:styleId="55">
    <w:name w:val="annotation reference"/>
    <w:qFormat/>
    <w:uiPriority w:val="99"/>
    <w:rPr>
      <w:sz w:val="21"/>
    </w:rPr>
  </w:style>
  <w:style w:type="character" w:styleId="56">
    <w:name w:val="HTML Cite"/>
    <w:basedOn w:val="46"/>
    <w:unhideWhenUsed/>
    <w:qFormat/>
    <w:uiPriority w:val="99"/>
  </w:style>
  <w:style w:type="character" w:styleId="57">
    <w:name w:val="footnote reference"/>
    <w:unhideWhenUsed/>
    <w:qFormat/>
    <w:uiPriority w:val="0"/>
    <w:rPr>
      <w:vertAlign w:val="superscript"/>
    </w:rPr>
  </w:style>
  <w:style w:type="character" w:styleId="58">
    <w:name w:val="HTML Keyboard"/>
    <w:unhideWhenUsed/>
    <w:qFormat/>
    <w:uiPriority w:val="99"/>
    <w:rPr>
      <w:rFonts w:hint="default" w:ascii="Consolas" w:hAnsi="Consolas" w:eastAsia="Consolas" w:cs="Consolas"/>
      <w:color w:val="FFFFFF"/>
      <w:sz w:val="21"/>
      <w:szCs w:val="21"/>
      <w:shd w:val="clear" w:color="auto" w:fill="333333"/>
    </w:rPr>
  </w:style>
  <w:style w:type="character" w:styleId="59">
    <w:name w:val="HTML Sample"/>
    <w:unhideWhenUsed/>
    <w:qFormat/>
    <w:uiPriority w:val="99"/>
    <w:rPr>
      <w:rFonts w:ascii="Consolas" w:hAnsi="Consolas" w:eastAsia="Consolas" w:cs="Consolas"/>
      <w:sz w:val="21"/>
      <w:szCs w:val="21"/>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2">
    <w:name w:val="Table Elegant"/>
    <w:basedOn w:val="6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63">
    <w:name w:val="标题 1 Char"/>
    <w:basedOn w:val="46"/>
    <w:link w:val="3"/>
    <w:qFormat/>
    <w:uiPriority w:val="0"/>
    <w:rPr>
      <w:rFonts w:ascii="宋体" w:hAnsi="宋体" w:eastAsia="宋体" w:cs="Times New Roman"/>
      <w:b/>
      <w:bCs/>
      <w:kern w:val="44"/>
      <w:sz w:val="32"/>
      <w:szCs w:val="32"/>
    </w:rPr>
  </w:style>
  <w:style w:type="character" w:customStyle="1" w:styleId="64">
    <w:name w:val="标题 2 Char"/>
    <w:basedOn w:val="46"/>
    <w:link w:val="4"/>
    <w:qFormat/>
    <w:uiPriority w:val="99"/>
    <w:rPr>
      <w:rFonts w:ascii="宋体" w:hAnsi="宋体" w:eastAsia="宋体" w:cs="Times New Roman"/>
      <w:b/>
      <w:bCs/>
      <w:iCs/>
      <w:kern w:val="0"/>
      <w:sz w:val="28"/>
      <w:szCs w:val="28"/>
    </w:rPr>
  </w:style>
  <w:style w:type="character" w:customStyle="1" w:styleId="65">
    <w:name w:val="标题 3 Char"/>
    <w:basedOn w:val="46"/>
    <w:link w:val="5"/>
    <w:qFormat/>
    <w:uiPriority w:val="99"/>
    <w:rPr>
      <w:rFonts w:ascii="宋体" w:hAnsi="宋体" w:eastAsia="宋体" w:cs="Times New Roman"/>
      <w:b/>
      <w:bCs/>
      <w:color w:val="000000"/>
      <w:sz w:val="28"/>
      <w:szCs w:val="28"/>
    </w:rPr>
  </w:style>
  <w:style w:type="character" w:customStyle="1" w:styleId="66">
    <w:name w:val="标题 4 Char"/>
    <w:basedOn w:val="46"/>
    <w:link w:val="6"/>
    <w:qFormat/>
    <w:uiPriority w:val="0"/>
    <w:rPr>
      <w:rFonts w:ascii="宋体" w:hAnsi="宋体" w:eastAsia="宋体" w:cs="Times New Roman"/>
      <w:b/>
      <w:bCs/>
      <w:kern w:val="0"/>
      <w:sz w:val="28"/>
      <w:szCs w:val="28"/>
    </w:rPr>
  </w:style>
  <w:style w:type="character" w:customStyle="1" w:styleId="67">
    <w:name w:val="标题 5 Char"/>
    <w:basedOn w:val="46"/>
    <w:link w:val="7"/>
    <w:qFormat/>
    <w:uiPriority w:val="0"/>
    <w:rPr>
      <w:rFonts w:ascii="Times New Roman" w:hAnsi="Times New Roman" w:eastAsia="宋体" w:cs="Times New Roman"/>
      <w:b/>
      <w:bCs/>
      <w:kern w:val="0"/>
      <w:sz w:val="28"/>
      <w:szCs w:val="28"/>
    </w:rPr>
  </w:style>
  <w:style w:type="character" w:customStyle="1" w:styleId="68">
    <w:name w:val="标题 6 Char"/>
    <w:basedOn w:val="46"/>
    <w:link w:val="8"/>
    <w:qFormat/>
    <w:uiPriority w:val="0"/>
    <w:rPr>
      <w:rFonts w:ascii="Arial" w:hAnsi="Arial" w:eastAsia="黑体" w:cs="Times New Roman"/>
      <w:b/>
      <w:bCs/>
      <w:sz w:val="24"/>
      <w:szCs w:val="24"/>
    </w:rPr>
  </w:style>
  <w:style w:type="character" w:customStyle="1" w:styleId="69">
    <w:name w:val="标题 7 Char"/>
    <w:basedOn w:val="46"/>
    <w:link w:val="9"/>
    <w:qFormat/>
    <w:uiPriority w:val="0"/>
    <w:rPr>
      <w:rFonts w:ascii="Arial Narrow" w:hAnsi="Arial Narrow" w:eastAsia="宋体" w:cs="Times New Roman"/>
      <w:b/>
      <w:kern w:val="0"/>
      <w:sz w:val="20"/>
      <w:szCs w:val="20"/>
      <w:lang w:eastAsia="en-US"/>
    </w:rPr>
  </w:style>
  <w:style w:type="character" w:customStyle="1" w:styleId="70">
    <w:name w:val="标题 8 Char"/>
    <w:basedOn w:val="46"/>
    <w:link w:val="10"/>
    <w:qFormat/>
    <w:uiPriority w:val="0"/>
    <w:rPr>
      <w:rFonts w:ascii="Arial" w:hAnsi="Arial" w:eastAsia="黑体" w:cs="Times New Roman"/>
      <w:sz w:val="24"/>
      <w:szCs w:val="20"/>
    </w:rPr>
  </w:style>
  <w:style w:type="character" w:customStyle="1" w:styleId="71">
    <w:name w:val="标题 9 Char"/>
    <w:basedOn w:val="46"/>
    <w:link w:val="11"/>
    <w:qFormat/>
    <w:uiPriority w:val="0"/>
    <w:rPr>
      <w:rFonts w:ascii="Arial" w:hAnsi="Arial" w:eastAsia="黑体" w:cs="Times New Roman"/>
      <w:szCs w:val="20"/>
    </w:rPr>
  </w:style>
  <w:style w:type="character" w:customStyle="1" w:styleId="72">
    <w:name w:val="批注主题 Char"/>
    <w:link w:val="12"/>
    <w:qFormat/>
    <w:uiPriority w:val="99"/>
    <w:rPr>
      <w:b/>
      <w:sz w:val="18"/>
    </w:rPr>
  </w:style>
  <w:style w:type="character" w:customStyle="1" w:styleId="73">
    <w:name w:val="访问过的超链接1"/>
    <w:qFormat/>
    <w:uiPriority w:val="0"/>
    <w:rPr>
      <w:color w:val="800080"/>
      <w:u w:val="single"/>
    </w:rPr>
  </w:style>
  <w:style w:type="character" w:customStyle="1" w:styleId="74">
    <w:name w:val="批注文字 Char3"/>
    <w:link w:val="13"/>
    <w:qFormat/>
    <w:uiPriority w:val="0"/>
    <w:rPr>
      <w:sz w:val="18"/>
    </w:rPr>
  </w:style>
  <w:style w:type="character" w:customStyle="1" w:styleId="75">
    <w:name w:val="fontblank12"/>
    <w:basedOn w:val="46"/>
    <w:qFormat/>
    <w:uiPriority w:val="0"/>
  </w:style>
  <w:style w:type="character" w:customStyle="1" w:styleId="76">
    <w:name w:val="标书（正文） Char"/>
    <w:link w:val="77"/>
    <w:qFormat/>
    <w:uiPriority w:val="0"/>
    <w:rPr>
      <w:rFonts w:ascii="宋体" w:hAnsi="宋体"/>
      <w:b/>
      <w:kern w:val="10"/>
    </w:rPr>
  </w:style>
  <w:style w:type="paragraph" w:customStyle="1" w:styleId="77">
    <w:name w:val="标书（正文）"/>
    <w:basedOn w:val="1"/>
    <w:link w:val="76"/>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8">
    <w:name w:val="Char Char4"/>
    <w:qFormat/>
    <w:uiPriority w:val="0"/>
    <w:rPr>
      <w:rFonts w:ascii="宋体" w:hAnsi="Courier New" w:eastAsia="宋体"/>
      <w:kern w:val="2"/>
      <w:sz w:val="21"/>
      <w:lang w:val="en-US" w:eastAsia="zh-CN"/>
    </w:rPr>
  </w:style>
  <w:style w:type="character" w:customStyle="1" w:styleId="79">
    <w:name w:val="textnormchn1"/>
    <w:basedOn w:val="46"/>
    <w:qFormat/>
    <w:uiPriority w:val="0"/>
  </w:style>
  <w:style w:type="character" w:customStyle="1" w:styleId="80">
    <w:name w:val="列出段落 Char"/>
    <w:link w:val="81"/>
    <w:qFormat/>
    <w:uiPriority w:val="0"/>
    <w:rPr>
      <w:sz w:val="24"/>
      <w:szCs w:val="24"/>
    </w:rPr>
  </w:style>
  <w:style w:type="paragraph" w:styleId="81">
    <w:name w:val="List Paragraph"/>
    <w:basedOn w:val="1"/>
    <w:link w:val="80"/>
    <w:qFormat/>
    <w:uiPriority w:val="0"/>
    <w:pPr>
      <w:ind w:firstLine="420" w:firstLineChars="200"/>
    </w:pPr>
    <w:rPr>
      <w:rFonts w:asciiTheme="minorHAnsi" w:hAnsiTheme="minorHAnsi" w:eastAsiaTheme="minorEastAsia" w:cstheme="minorBidi"/>
      <w:kern w:val="2"/>
    </w:rPr>
  </w:style>
  <w:style w:type="character" w:customStyle="1" w:styleId="82">
    <w:name w:val="CD正文 Char"/>
    <w:link w:val="83"/>
    <w:qFormat/>
    <w:uiPriority w:val="0"/>
    <w:rPr>
      <w:sz w:val="30"/>
      <w:szCs w:val="28"/>
    </w:rPr>
  </w:style>
  <w:style w:type="paragraph" w:customStyle="1" w:styleId="83">
    <w:name w:val="CD正文"/>
    <w:basedOn w:val="1"/>
    <w:link w:val="82"/>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4">
    <w:name w:val="正文文本 2 Char"/>
    <w:link w:val="43"/>
    <w:qFormat/>
    <w:uiPriority w:val="0"/>
    <w:rPr>
      <w:szCs w:val="21"/>
    </w:rPr>
  </w:style>
  <w:style w:type="character" w:customStyle="1" w:styleId="85">
    <w:name w:val="（符号）三标题1.1 Char Char"/>
    <w:link w:val="86"/>
    <w:qFormat/>
    <w:uiPriority w:val="0"/>
    <w:rPr>
      <w:rFonts w:ascii="宋体" w:hAnsi="宋体"/>
      <w:sz w:val="24"/>
      <w:szCs w:val="24"/>
    </w:rPr>
  </w:style>
  <w:style w:type="paragraph" w:customStyle="1" w:styleId="86">
    <w:name w:val="（符号）三标题1.1"/>
    <w:basedOn w:val="1"/>
    <w:link w:val="85"/>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7">
    <w:name w:val="grame"/>
    <w:basedOn w:val="46"/>
    <w:qFormat/>
    <w:uiPriority w:val="0"/>
  </w:style>
  <w:style w:type="character" w:customStyle="1" w:styleId="88">
    <w:name w:val="页脚 Char"/>
    <w:link w:val="32"/>
    <w:qFormat/>
    <w:uiPriority w:val="99"/>
    <w:rPr>
      <w:sz w:val="18"/>
      <w:szCs w:val="18"/>
    </w:rPr>
  </w:style>
  <w:style w:type="character" w:customStyle="1" w:styleId="89">
    <w:name w:val="keyword"/>
    <w:basedOn w:val="46"/>
    <w:qFormat/>
    <w:uiPriority w:val="0"/>
  </w:style>
  <w:style w:type="character" w:customStyle="1" w:styleId="90">
    <w:name w:val="文档结构图 Char"/>
    <w:link w:val="19"/>
    <w:qFormat/>
    <w:uiPriority w:val="0"/>
    <w:rPr>
      <w:rFonts w:ascii="宋体"/>
      <w:sz w:val="18"/>
      <w:szCs w:val="18"/>
    </w:rPr>
  </w:style>
  <w:style w:type="character" w:customStyle="1" w:styleId="91">
    <w:name w:val="日期 Char"/>
    <w:link w:val="29"/>
    <w:qFormat/>
    <w:uiPriority w:val="0"/>
    <w:rPr>
      <w:sz w:val="24"/>
      <w:szCs w:val="24"/>
    </w:rPr>
  </w:style>
  <w:style w:type="character" w:customStyle="1" w:styleId="92">
    <w:name w:val="文章正文 Char"/>
    <w:link w:val="93"/>
    <w:qFormat/>
    <w:uiPriority w:val="0"/>
    <w:rPr>
      <w:sz w:val="24"/>
      <w:szCs w:val="24"/>
    </w:rPr>
  </w:style>
  <w:style w:type="paragraph" w:customStyle="1" w:styleId="93">
    <w:name w:val="文章正文"/>
    <w:basedOn w:val="1"/>
    <w:link w:val="92"/>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4">
    <w:name w:val="正文文本缩进 3 Char"/>
    <w:link w:val="39"/>
    <w:qFormat/>
    <w:uiPriority w:val="0"/>
    <w:rPr>
      <w:sz w:val="16"/>
      <w:szCs w:val="16"/>
    </w:rPr>
  </w:style>
  <w:style w:type="character" w:customStyle="1" w:styleId="95">
    <w:name w:val="正文文本缩进 Char"/>
    <w:link w:val="22"/>
    <w:qFormat/>
    <w:uiPriority w:val="0"/>
    <w:rPr>
      <w:rFonts w:ascii="宋体"/>
      <w:sz w:val="30"/>
      <w:szCs w:val="24"/>
    </w:rPr>
  </w:style>
  <w:style w:type="character" w:customStyle="1" w:styleId="96">
    <w:name w:val="正文首行缩进 Char"/>
    <w:link w:val="15"/>
    <w:qFormat/>
    <w:uiPriority w:val="0"/>
    <w:rPr>
      <w:rFonts w:ascii="宋体" w:hAnsi="宋体"/>
      <w:szCs w:val="24"/>
    </w:rPr>
  </w:style>
  <w:style w:type="character" w:customStyle="1" w:styleId="97">
    <w:name w:val="正文缩进 Char2"/>
    <w:link w:val="17"/>
    <w:qFormat/>
    <w:uiPriority w:val="99"/>
    <w:rPr>
      <w:szCs w:val="24"/>
    </w:rPr>
  </w:style>
  <w:style w:type="character" w:customStyle="1" w:styleId="98">
    <w:name w:val="称呼 Char"/>
    <w:link w:val="20"/>
    <w:qFormat/>
    <w:uiPriority w:val="0"/>
    <w:rPr>
      <w:rFonts w:eastAsia="黑体"/>
      <w:sz w:val="24"/>
    </w:rPr>
  </w:style>
  <w:style w:type="character" w:customStyle="1" w:styleId="99">
    <w:name w:val="正文文本 Char3"/>
    <w:link w:val="16"/>
    <w:qFormat/>
    <w:uiPriority w:val="0"/>
    <w:rPr>
      <w:sz w:val="24"/>
      <w:szCs w:val="24"/>
    </w:rPr>
  </w:style>
  <w:style w:type="character" w:customStyle="1" w:styleId="100">
    <w:name w:val="Char Char40"/>
    <w:qFormat/>
    <w:uiPriority w:val="0"/>
    <w:rPr>
      <w:kern w:val="2"/>
      <w:sz w:val="24"/>
      <w:szCs w:val="24"/>
    </w:rPr>
  </w:style>
  <w:style w:type="character" w:customStyle="1" w:styleId="101">
    <w:name w:val="批注框文本 Char"/>
    <w:link w:val="31"/>
    <w:qFormat/>
    <w:uiPriority w:val="0"/>
    <w:rPr>
      <w:sz w:val="18"/>
      <w:szCs w:val="18"/>
    </w:rPr>
  </w:style>
  <w:style w:type="character" w:customStyle="1" w:styleId="102">
    <w:name w:val="WW8Num9z0"/>
    <w:qFormat/>
    <w:uiPriority w:val="0"/>
    <w:rPr>
      <w:rFonts w:ascii="Wingdings" w:hAnsi="Wingdings"/>
    </w:rPr>
  </w:style>
  <w:style w:type="character" w:customStyle="1" w:styleId="103">
    <w:name w:val="magic-list1"/>
    <w:qFormat/>
    <w:uiPriority w:val="0"/>
    <w:rPr>
      <w:rFonts w:hint="default" w:ascii="ˎ̥" w:hAnsi="ˎ̥"/>
      <w:color w:val="000000"/>
      <w:sz w:val="20"/>
      <w:u w:val="none"/>
    </w:rPr>
  </w:style>
  <w:style w:type="character" w:customStyle="1" w:styleId="104">
    <w:name w:val="small"/>
    <w:basedOn w:val="46"/>
    <w:qFormat/>
    <w:uiPriority w:val="0"/>
  </w:style>
  <w:style w:type="character" w:customStyle="1" w:styleId="105">
    <w:name w:val="页眉 Char"/>
    <w:link w:val="33"/>
    <w:qFormat/>
    <w:uiPriority w:val="0"/>
    <w:rPr>
      <w:sz w:val="18"/>
      <w:szCs w:val="18"/>
    </w:rPr>
  </w:style>
  <w:style w:type="character" w:customStyle="1" w:styleId="106">
    <w:name w:val="正文文本缩进 2 Char"/>
    <w:link w:val="30"/>
    <w:qFormat/>
    <w:uiPriority w:val="0"/>
    <w:rPr>
      <w:szCs w:val="24"/>
    </w:rPr>
  </w:style>
  <w:style w:type="character" w:customStyle="1" w:styleId="107">
    <w:name w:val="正文文本 3 Char"/>
    <w:link w:val="21"/>
    <w:qFormat/>
    <w:uiPriority w:val="0"/>
    <w:rPr>
      <w:sz w:val="16"/>
      <w:szCs w:val="16"/>
    </w:rPr>
  </w:style>
  <w:style w:type="character" w:customStyle="1" w:styleId="108">
    <w:name w:val="纯文本 Char1"/>
    <w:unhideWhenUsed/>
    <w:qFormat/>
    <w:uiPriority w:val="99"/>
    <w:rPr>
      <w:rFonts w:hint="eastAsia" w:ascii="宋体" w:hAnsi="Tms Rmn" w:eastAsia="宋体"/>
      <w:sz w:val="21"/>
      <w:lang w:val="en-US" w:eastAsia="zh-CN"/>
    </w:rPr>
  </w:style>
  <w:style w:type="character" w:customStyle="1" w:styleId="109">
    <w:name w:val="标题 Char"/>
    <w:link w:val="45"/>
    <w:qFormat/>
    <w:uiPriority w:val="0"/>
    <w:rPr>
      <w:rFonts w:ascii="Cambria" w:hAnsi="Cambria"/>
      <w:b/>
      <w:bCs/>
      <w:sz w:val="32"/>
      <w:szCs w:val="32"/>
    </w:rPr>
  </w:style>
  <w:style w:type="character" w:customStyle="1" w:styleId="110">
    <w:name w:val="纯文本 Char3"/>
    <w:link w:val="27"/>
    <w:qFormat/>
    <w:uiPriority w:val="0"/>
    <w:rPr>
      <w:rFonts w:ascii="宋体" w:hAnsi="Tms Rmn" w:cs="宋体"/>
      <w:szCs w:val="21"/>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正文缩进 Char1"/>
    <w:qFormat/>
    <w:uiPriority w:val="0"/>
    <w:rPr>
      <w:kern w:val="2"/>
      <w:sz w:val="21"/>
      <w:szCs w:val="24"/>
    </w:rPr>
  </w:style>
  <w:style w:type="paragraph" w:customStyle="1" w:styleId="113">
    <w:name w:val="MM Topic 9"/>
    <w:basedOn w:val="11"/>
    <w:qFormat/>
    <w:uiPriority w:val="0"/>
    <w:pPr>
      <w:tabs>
        <w:tab w:val="left" w:pos="5102"/>
      </w:tabs>
    </w:pPr>
  </w:style>
  <w:style w:type="paragraph" w:customStyle="1" w:styleId="114">
    <w:name w:val="默认段落字体 Para Char Char Char Char Char Char Char Char Char Char Char Char Char Char Char Char"/>
    <w:basedOn w:val="19"/>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5">
    <w:name w:val="强调2"/>
    <w:basedOn w:val="116"/>
    <w:qFormat/>
    <w:uiPriority w:val="0"/>
    <w:pPr>
      <w:tabs>
        <w:tab w:val="left" w:pos="360"/>
        <w:tab w:val="left" w:pos="1918"/>
      </w:tabs>
      <w:ind w:left="1918" w:hanging="420"/>
    </w:pPr>
  </w:style>
  <w:style w:type="paragraph" w:customStyle="1" w:styleId="116">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7">
    <w:name w:val="Char Char Char Char"/>
    <w:basedOn w:val="1"/>
    <w:next w:val="1"/>
    <w:qFormat/>
    <w:uiPriority w:val="0"/>
    <w:pPr>
      <w:widowControl w:val="0"/>
      <w:spacing w:line="240" w:lineRule="atLeast"/>
      <w:ind w:left="420" w:firstLine="420"/>
    </w:pPr>
    <w:rPr>
      <w:sz w:val="21"/>
      <w:szCs w:val="21"/>
    </w:rPr>
  </w:style>
  <w:style w:type="paragraph" w:customStyle="1" w:styleId="11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0">
    <w:name w:val="默认段落字体 Para Char Char Char Char"/>
    <w:basedOn w:val="1"/>
    <w:qFormat/>
    <w:uiPriority w:val="0"/>
    <w:pPr>
      <w:widowControl w:val="0"/>
      <w:jc w:val="both"/>
    </w:pPr>
    <w:rPr>
      <w:kern w:val="2"/>
      <w:sz w:val="21"/>
    </w:rPr>
  </w:style>
  <w:style w:type="character" w:customStyle="1" w:styleId="121">
    <w:name w:val="纯文本 Char2"/>
    <w:basedOn w:val="46"/>
    <w:qFormat/>
    <w:uiPriority w:val="0"/>
    <w:rPr>
      <w:rFonts w:ascii="宋体" w:hAnsi="Courier New" w:eastAsia="宋体" w:cs="Courier New"/>
      <w:kern w:val="0"/>
      <w:szCs w:val="21"/>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3">
    <w:name w:val="页眉 Char1"/>
    <w:basedOn w:val="46"/>
    <w:semiHidden/>
    <w:qFormat/>
    <w:uiPriority w:val="99"/>
    <w:rPr>
      <w:rFonts w:ascii="Times New Roman" w:hAnsi="Times New Roman" w:eastAsia="宋体" w:cs="Times New Roman"/>
      <w:kern w:val="0"/>
      <w:sz w:val="18"/>
      <w:szCs w:val="18"/>
    </w:rPr>
  </w:style>
  <w:style w:type="character" w:customStyle="1" w:styleId="124">
    <w:name w:val="正文文本 Char1"/>
    <w:basedOn w:val="46"/>
    <w:qFormat/>
    <w:uiPriority w:val="0"/>
    <w:rPr>
      <w:rFonts w:ascii="Times New Roman" w:hAnsi="Times New Roman" w:eastAsia="宋体" w:cs="Times New Roman"/>
      <w:kern w:val="0"/>
      <w:sz w:val="24"/>
      <w:szCs w:val="24"/>
    </w:rPr>
  </w:style>
  <w:style w:type="character" w:customStyle="1" w:styleId="125">
    <w:name w:val="批注框文本 Char1"/>
    <w:basedOn w:val="46"/>
    <w:qFormat/>
    <w:uiPriority w:val="0"/>
    <w:rPr>
      <w:rFonts w:ascii="Times New Roman" w:hAnsi="Times New Roman" w:eastAsia="宋体" w:cs="Times New Roman"/>
      <w:kern w:val="0"/>
      <w:sz w:val="18"/>
      <w:szCs w:val="18"/>
    </w:rPr>
  </w:style>
  <w:style w:type="character" w:customStyle="1" w:styleId="126">
    <w:name w:val="称呼 Char1"/>
    <w:basedOn w:val="46"/>
    <w:semiHidden/>
    <w:qFormat/>
    <w:uiPriority w:val="99"/>
    <w:rPr>
      <w:rFonts w:ascii="Times New Roman" w:hAnsi="Times New Roman" w:eastAsia="宋体" w:cs="Times New Roman"/>
      <w:kern w:val="0"/>
      <w:sz w:val="24"/>
      <w:szCs w:val="24"/>
    </w:rPr>
  </w:style>
  <w:style w:type="character" w:customStyle="1" w:styleId="127">
    <w:name w:val="批注文字 Char1"/>
    <w:basedOn w:val="46"/>
    <w:semiHidden/>
    <w:qFormat/>
    <w:uiPriority w:val="0"/>
    <w:rPr>
      <w:rFonts w:ascii="Times New Roman" w:hAnsi="Times New Roman" w:eastAsia="宋体" w:cs="Times New Roman"/>
      <w:kern w:val="0"/>
      <w:sz w:val="24"/>
      <w:szCs w:val="24"/>
    </w:rPr>
  </w:style>
  <w:style w:type="paragraph" w:customStyle="1" w:styleId="128">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29">
    <w:name w:val="正文文本缩进 Char1"/>
    <w:basedOn w:val="46"/>
    <w:qFormat/>
    <w:uiPriority w:val="99"/>
    <w:rPr>
      <w:rFonts w:ascii="Times New Roman" w:hAnsi="Times New Roman" w:eastAsia="宋体" w:cs="Times New Roman"/>
      <w:kern w:val="0"/>
      <w:sz w:val="24"/>
      <w:szCs w:val="24"/>
    </w:rPr>
  </w:style>
  <w:style w:type="character" w:customStyle="1" w:styleId="130">
    <w:name w:val="页脚 Char1"/>
    <w:basedOn w:val="46"/>
    <w:qFormat/>
    <w:uiPriority w:val="99"/>
    <w:rPr>
      <w:rFonts w:ascii="Times New Roman" w:hAnsi="Times New Roman" w:eastAsia="宋体" w:cs="Times New Roman"/>
      <w:kern w:val="0"/>
      <w:sz w:val="18"/>
      <w:szCs w:val="18"/>
    </w:rPr>
  </w:style>
  <w:style w:type="character" w:customStyle="1" w:styleId="131">
    <w:name w:val="正文文本 3 Char1"/>
    <w:basedOn w:val="46"/>
    <w:qFormat/>
    <w:uiPriority w:val="0"/>
    <w:rPr>
      <w:rFonts w:ascii="Times New Roman" w:hAnsi="Times New Roman" w:eastAsia="宋体" w:cs="Times New Roman"/>
      <w:kern w:val="0"/>
      <w:sz w:val="16"/>
      <w:szCs w:val="16"/>
    </w:rPr>
  </w:style>
  <w:style w:type="character" w:customStyle="1" w:styleId="132">
    <w:name w:val="批注主题 Char1"/>
    <w:basedOn w:val="127"/>
    <w:qFormat/>
    <w:uiPriority w:val="0"/>
    <w:rPr>
      <w:rFonts w:ascii="Times New Roman" w:hAnsi="Times New Roman" w:eastAsia="宋体" w:cs="Times New Roman"/>
      <w:b/>
      <w:bCs/>
      <w:kern w:val="0"/>
      <w:sz w:val="24"/>
      <w:szCs w:val="24"/>
    </w:rPr>
  </w:style>
  <w:style w:type="character" w:customStyle="1" w:styleId="133">
    <w:name w:val="正文首行缩进 Char1"/>
    <w:basedOn w:val="124"/>
    <w:qFormat/>
    <w:uiPriority w:val="0"/>
    <w:rPr>
      <w:rFonts w:ascii="Times New Roman" w:hAnsi="Times New Roman" w:eastAsia="宋体" w:cs="Times New Roman"/>
      <w:kern w:val="0"/>
      <w:sz w:val="24"/>
      <w:szCs w:val="24"/>
    </w:rPr>
  </w:style>
  <w:style w:type="character" w:customStyle="1" w:styleId="134">
    <w:name w:val="文档结构图 Char1"/>
    <w:basedOn w:val="46"/>
    <w:qFormat/>
    <w:uiPriority w:val="0"/>
    <w:rPr>
      <w:rFonts w:ascii="宋体" w:hAnsi="Times New Roman" w:eastAsia="宋体" w:cs="Times New Roman"/>
      <w:kern w:val="0"/>
      <w:sz w:val="18"/>
      <w:szCs w:val="18"/>
    </w:rPr>
  </w:style>
  <w:style w:type="paragraph" w:customStyle="1" w:styleId="13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6">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7">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38">
    <w:name w:val="日期 Char1"/>
    <w:basedOn w:val="46"/>
    <w:qFormat/>
    <w:uiPriority w:val="0"/>
    <w:rPr>
      <w:rFonts w:ascii="Times New Roman" w:hAnsi="Times New Roman" w:eastAsia="宋体" w:cs="Times New Roman"/>
      <w:kern w:val="0"/>
      <w:sz w:val="24"/>
      <w:szCs w:val="24"/>
    </w:rPr>
  </w:style>
  <w:style w:type="character" w:customStyle="1" w:styleId="139">
    <w:name w:val="正文文本缩进 2 Char1"/>
    <w:basedOn w:val="46"/>
    <w:semiHidden/>
    <w:qFormat/>
    <w:uiPriority w:val="0"/>
    <w:rPr>
      <w:rFonts w:ascii="Times New Roman" w:hAnsi="Times New Roman" w:eastAsia="宋体" w:cs="Times New Roman"/>
      <w:kern w:val="0"/>
      <w:sz w:val="24"/>
      <w:szCs w:val="24"/>
    </w:rPr>
  </w:style>
  <w:style w:type="paragraph" w:customStyle="1" w:styleId="140">
    <w:name w:val="MM Topic 6"/>
    <w:basedOn w:val="8"/>
    <w:qFormat/>
    <w:uiPriority w:val="0"/>
    <w:pPr>
      <w:tabs>
        <w:tab w:val="left" w:pos="3260"/>
      </w:tabs>
      <w:spacing w:line="317" w:lineRule="auto"/>
      <w:ind w:left="0" w:firstLine="0"/>
    </w:pPr>
    <w:rPr>
      <w:bCs w:val="0"/>
      <w:sz w:val="28"/>
      <w:szCs w:val="20"/>
    </w:rPr>
  </w:style>
  <w:style w:type="character" w:customStyle="1" w:styleId="141">
    <w:name w:val="正文文本缩进 3 Char1"/>
    <w:basedOn w:val="46"/>
    <w:qFormat/>
    <w:uiPriority w:val="0"/>
    <w:rPr>
      <w:rFonts w:ascii="Times New Roman" w:hAnsi="Times New Roman" w:eastAsia="宋体" w:cs="Times New Roman"/>
      <w:kern w:val="0"/>
      <w:sz w:val="16"/>
      <w:szCs w:val="16"/>
    </w:rPr>
  </w:style>
  <w:style w:type="character" w:customStyle="1" w:styleId="142">
    <w:name w:val="正文文本 2 Char1"/>
    <w:basedOn w:val="46"/>
    <w:qFormat/>
    <w:uiPriority w:val="0"/>
    <w:rPr>
      <w:rFonts w:ascii="Times New Roman" w:hAnsi="Times New Roman" w:eastAsia="宋体" w:cs="Times New Roman"/>
      <w:kern w:val="0"/>
      <w:sz w:val="24"/>
      <w:szCs w:val="24"/>
    </w:rPr>
  </w:style>
  <w:style w:type="character" w:customStyle="1" w:styleId="143">
    <w:name w:val="标题 Char1"/>
    <w:basedOn w:val="46"/>
    <w:qFormat/>
    <w:uiPriority w:val="10"/>
    <w:rPr>
      <w:rFonts w:eastAsia="宋体" w:asciiTheme="majorHAnsi" w:hAnsiTheme="majorHAnsi" w:cstheme="majorBidi"/>
      <w:b/>
      <w:bCs/>
      <w:kern w:val="0"/>
      <w:sz w:val="32"/>
      <w:szCs w:val="32"/>
    </w:rPr>
  </w:style>
  <w:style w:type="paragraph" w:customStyle="1" w:styleId="14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5">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6">
    <w:name w:val="标题 5 + 首行缩进:  2 字符"/>
    <w:basedOn w:val="7"/>
    <w:next w:val="22"/>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9">
    <w:name w:val="Char11"/>
    <w:basedOn w:val="1"/>
    <w:next w:val="1"/>
    <w:qFormat/>
    <w:uiPriority w:val="0"/>
    <w:pPr>
      <w:widowControl w:val="0"/>
      <w:spacing w:line="240" w:lineRule="atLeast"/>
      <w:ind w:left="420" w:firstLine="420"/>
    </w:pPr>
    <w:rPr>
      <w:sz w:val="21"/>
      <w:szCs w:val="21"/>
    </w:rPr>
  </w:style>
  <w:style w:type="paragraph" w:customStyle="1" w:styleId="150">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1">
    <w:name w:val="默认段落字体 Para Char Char Char Char Char Char Char"/>
    <w:basedOn w:val="1"/>
    <w:qFormat/>
    <w:uiPriority w:val="0"/>
    <w:pPr>
      <w:widowControl w:val="0"/>
      <w:jc w:val="both"/>
    </w:pPr>
    <w:rPr>
      <w:rFonts w:ascii="Tahoma" w:hAnsi="Tahoma"/>
      <w:kern w:val="2"/>
      <w:szCs w:val="20"/>
    </w:rPr>
  </w:style>
  <w:style w:type="paragraph" w:customStyle="1" w:styleId="152">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3">
    <w:name w:val="样式2"/>
    <w:basedOn w:val="1"/>
    <w:qFormat/>
    <w:uiPriority w:val="0"/>
    <w:pPr>
      <w:widowControl w:val="0"/>
      <w:adjustRightInd w:val="0"/>
      <w:spacing w:line="410" w:lineRule="atLeast"/>
      <w:jc w:val="both"/>
      <w:textAlignment w:val="baseline"/>
    </w:pPr>
    <w:rPr>
      <w:szCs w:val="20"/>
    </w:rPr>
  </w:style>
  <w:style w:type="paragraph" w:customStyle="1" w:styleId="154">
    <w:name w:val="列出段落1"/>
    <w:basedOn w:val="1"/>
    <w:qFormat/>
    <w:uiPriority w:val="34"/>
    <w:pPr>
      <w:ind w:firstLine="420" w:firstLineChars="200"/>
    </w:pPr>
    <w:rPr>
      <w:lang w:val="zh-CN"/>
    </w:rPr>
  </w:style>
  <w:style w:type="paragraph" w:customStyle="1" w:styleId="155">
    <w:name w:val="p4"/>
    <w:basedOn w:val="1"/>
    <w:qFormat/>
    <w:uiPriority w:val="0"/>
    <w:pPr>
      <w:spacing w:before="100" w:beforeAutospacing="1" w:after="100" w:afterAutospacing="1" w:line="360" w:lineRule="auto"/>
      <w:ind w:firstLine="360"/>
    </w:pPr>
    <w:rPr>
      <w:rFonts w:ascii="宋体" w:hAnsi="宋体"/>
    </w:rPr>
  </w:style>
  <w:style w:type="paragraph" w:customStyle="1" w:styleId="156">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57">
    <w:name w:val="默认段落字体 Para Char Char"/>
    <w:basedOn w:val="1"/>
    <w:qFormat/>
    <w:uiPriority w:val="0"/>
    <w:pPr>
      <w:widowControl w:val="0"/>
      <w:jc w:val="both"/>
    </w:pPr>
    <w:rPr>
      <w:kern w:val="2"/>
      <w:sz w:val="21"/>
      <w:szCs w:val="20"/>
    </w:rPr>
  </w:style>
  <w:style w:type="paragraph" w:customStyle="1" w:styleId="158">
    <w:name w:val="Char1 Char Char Char"/>
    <w:basedOn w:val="1"/>
    <w:next w:val="1"/>
    <w:qFormat/>
    <w:uiPriority w:val="0"/>
    <w:pPr>
      <w:widowControl w:val="0"/>
      <w:spacing w:line="240" w:lineRule="atLeast"/>
      <w:ind w:left="420" w:firstLine="420"/>
    </w:pPr>
    <w:rPr>
      <w:sz w:val="21"/>
      <w:szCs w:val="20"/>
    </w:rPr>
  </w:style>
  <w:style w:type="paragraph" w:customStyle="1" w:styleId="159">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0">
    <w:name w:val="1 Char"/>
    <w:basedOn w:val="1"/>
    <w:qFormat/>
    <w:uiPriority w:val="0"/>
    <w:pPr>
      <w:spacing w:after="160" w:line="240" w:lineRule="exact"/>
    </w:pPr>
    <w:rPr>
      <w:rFonts w:ascii="Tahoma" w:hAnsi="Tahoma" w:eastAsia="Times New Roman"/>
      <w:lang w:eastAsia="en-US"/>
    </w:rPr>
  </w:style>
  <w:style w:type="paragraph" w:customStyle="1" w:styleId="161">
    <w:name w:val="MM Topic 8"/>
    <w:basedOn w:val="10"/>
    <w:qFormat/>
    <w:uiPriority w:val="0"/>
    <w:pPr>
      <w:tabs>
        <w:tab w:val="left" w:pos="4394"/>
      </w:tabs>
    </w:pPr>
  </w:style>
  <w:style w:type="paragraph" w:customStyle="1" w:styleId="162">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4">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5">
    <w:name w:val="论文正文"/>
    <w:basedOn w:val="1"/>
    <w:qFormat/>
    <w:uiPriority w:val="0"/>
    <w:pPr>
      <w:widowControl w:val="0"/>
      <w:spacing w:line="300" w:lineRule="auto"/>
      <w:ind w:firstLine="200" w:firstLineChars="200"/>
      <w:jc w:val="both"/>
    </w:pPr>
    <w:rPr>
      <w:kern w:val="2"/>
    </w:rPr>
  </w:style>
  <w:style w:type="paragraph" w:customStyle="1" w:styleId="166">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7">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8">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69">
    <w:name w:val="正文段落"/>
    <w:basedOn w:val="1"/>
    <w:qFormat/>
    <w:uiPriority w:val="0"/>
    <w:pPr>
      <w:widowControl w:val="0"/>
      <w:spacing w:line="300" w:lineRule="auto"/>
      <w:ind w:firstLine="510"/>
      <w:jc w:val="both"/>
    </w:pPr>
    <w:rPr>
      <w:kern w:val="2"/>
      <w:szCs w:val="20"/>
    </w:rPr>
  </w:style>
  <w:style w:type="paragraph" w:customStyle="1" w:styleId="170">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1">
    <w:name w:val="Char1 Char Char Char Char Char Char"/>
    <w:basedOn w:val="1"/>
    <w:qFormat/>
    <w:uiPriority w:val="0"/>
    <w:pPr>
      <w:widowControl w:val="0"/>
      <w:jc w:val="both"/>
    </w:pPr>
    <w:rPr>
      <w:rFonts w:ascii="Tahoma" w:hAnsi="Tahoma"/>
      <w:kern w:val="2"/>
      <w:szCs w:val="20"/>
    </w:rPr>
  </w:style>
  <w:style w:type="paragraph" w:customStyle="1" w:styleId="172">
    <w:name w:val="文章正文 Char Char1"/>
    <w:basedOn w:val="1"/>
    <w:qFormat/>
    <w:uiPriority w:val="0"/>
    <w:pPr>
      <w:widowControl w:val="0"/>
      <w:spacing w:line="360" w:lineRule="auto"/>
      <w:ind w:firstLine="420"/>
      <w:jc w:val="both"/>
    </w:pPr>
    <w:rPr>
      <w:kern w:val="2"/>
      <w:szCs w:val="20"/>
    </w:rPr>
  </w:style>
  <w:style w:type="paragraph" w:customStyle="1" w:styleId="173">
    <w:name w:val="Char"/>
    <w:basedOn w:val="1"/>
    <w:next w:val="1"/>
    <w:qFormat/>
    <w:uiPriority w:val="0"/>
    <w:pPr>
      <w:widowControl w:val="0"/>
      <w:spacing w:line="240" w:lineRule="atLeast"/>
      <w:ind w:left="420" w:firstLine="420"/>
    </w:pPr>
    <w:rPr>
      <w:sz w:val="21"/>
      <w:szCs w:val="21"/>
    </w:rPr>
  </w:style>
  <w:style w:type="paragraph" w:customStyle="1" w:styleId="174">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5">
    <w:name w:val="文章正文 Char Char1 Char"/>
    <w:basedOn w:val="1"/>
    <w:qFormat/>
    <w:uiPriority w:val="0"/>
    <w:pPr>
      <w:widowControl w:val="0"/>
      <w:spacing w:line="360" w:lineRule="auto"/>
      <w:ind w:firstLine="420"/>
      <w:jc w:val="both"/>
    </w:pPr>
    <w:rPr>
      <w:kern w:val="2"/>
    </w:rPr>
  </w:style>
  <w:style w:type="paragraph" w:customStyle="1" w:styleId="176">
    <w:name w:val="正文 首行缩进:  2 字符 Char Char"/>
    <w:basedOn w:val="1"/>
    <w:qFormat/>
    <w:uiPriority w:val="0"/>
    <w:pPr>
      <w:widowControl w:val="0"/>
      <w:spacing w:line="360" w:lineRule="auto"/>
      <w:ind w:firstLine="480"/>
      <w:jc w:val="both"/>
    </w:pPr>
    <w:rPr>
      <w:kern w:val="2"/>
      <w:szCs w:val="20"/>
    </w:rPr>
  </w:style>
  <w:style w:type="paragraph" w:customStyle="1" w:styleId="177">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8">
    <w:name w:val="标题 2 + 楷体_GB2312"/>
    <w:basedOn w:val="1"/>
    <w:qFormat/>
    <w:uiPriority w:val="0"/>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p0"/>
    <w:basedOn w:val="1"/>
    <w:qFormat/>
    <w:uiPriority w:val="0"/>
    <w:pPr>
      <w:jc w:val="both"/>
    </w:pPr>
    <w:rPr>
      <w:sz w:val="21"/>
      <w:szCs w:val="20"/>
    </w:rPr>
  </w:style>
  <w:style w:type="paragraph" w:customStyle="1" w:styleId="181">
    <w:name w:val="gb_master正文"/>
    <w:basedOn w:val="1"/>
    <w:qFormat/>
    <w:uiPriority w:val="0"/>
    <w:pPr>
      <w:widowControl w:val="0"/>
      <w:ind w:firstLine="200" w:firstLineChars="200"/>
      <w:jc w:val="both"/>
    </w:pPr>
    <w:rPr>
      <w:kern w:val="2"/>
      <w:sz w:val="21"/>
    </w:rPr>
  </w:style>
  <w:style w:type="paragraph" w:customStyle="1" w:styleId="182">
    <w:name w:val="Char1"/>
    <w:basedOn w:val="1"/>
    <w:next w:val="1"/>
    <w:qFormat/>
    <w:uiPriority w:val="0"/>
    <w:pPr>
      <w:widowControl w:val="0"/>
      <w:spacing w:line="240" w:lineRule="atLeast"/>
      <w:ind w:left="420" w:firstLine="420"/>
    </w:pPr>
    <w:rPr>
      <w:sz w:val="21"/>
      <w:szCs w:val="21"/>
    </w:rPr>
  </w:style>
  <w:style w:type="paragraph" w:customStyle="1" w:styleId="183">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4">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5">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6">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7">
    <w:name w:val="样式 正文缩进 + (中文) 仿宋_GB2312 小四 Char"/>
    <w:basedOn w:val="17"/>
    <w:qFormat/>
    <w:uiPriority w:val="0"/>
    <w:pPr>
      <w:ind w:firstLine="480"/>
    </w:pPr>
    <w:rPr>
      <w:rFonts w:ascii="宋体" w:hAnsi="宋体"/>
      <w:sz w:val="24"/>
      <w:szCs w:val="20"/>
    </w:rPr>
  </w:style>
  <w:style w:type="paragraph" w:customStyle="1" w:styleId="18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89">
    <w:name w:val="Char2 Char Char Char Char Char Char"/>
    <w:basedOn w:val="1"/>
    <w:qFormat/>
    <w:uiPriority w:val="0"/>
    <w:pPr>
      <w:widowControl w:val="0"/>
      <w:jc w:val="both"/>
    </w:pPr>
    <w:rPr>
      <w:rFonts w:ascii="仿宋_GB2312"/>
      <w:b/>
      <w:kern w:val="2"/>
      <w:sz w:val="30"/>
      <w:szCs w:val="20"/>
    </w:rPr>
  </w:style>
  <w:style w:type="paragraph" w:customStyle="1" w:styleId="190">
    <w:name w:val="项目符号：一级"/>
    <w:basedOn w:val="185"/>
    <w:next w:val="185"/>
    <w:qFormat/>
    <w:uiPriority w:val="0"/>
    <w:pPr>
      <w:tabs>
        <w:tab w:val="left" w:pos="700"/>
      </w:tabs>
      <w:spacing w:beforeLines="0"/>
      <w:ind w:left="630" w:hanging="290" w:firstLineChars="0"/>
    </w:pPr>
  </w:style>
  <w:style w:type="paragraph" w:customStyle="1" w:styleId="191">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2">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3">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4">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5">
    <w:name w:val="Char Char Char Char Char Char Char Char Char Char Char Char Char"/>
    <w:basedOn w:val="19"/>
    <w:qFormat/>
    <w:uiPriority w:val="0"/>
    <w:pPr>
      <w:widowControl w:val="0"/>
      <w:shd w:val="clear" w:color="auto" w:fill="000080"/>
      <w:jc w:val="both"/>
    </w:pPr>
    <w:rPr>
      <w:rFonts w:ascii="Tahoma" w:hAnsi="Tahoma"/>
      <w:sz w:val="24"/>
      <w:szCs w:val="20"/>
    </w:rPr>
  </w:style>
  <w:style w:type="paragraph" w:customStyle="1" w:styleId="196">
    <w:name w:val="大纲正文"/>
    <w:basedOn w:val="1"/>
    <w:qFormat/>
    <w:uiPriority w:val="0"/>
    <w:pPr>
      <w:widowControl w:val="0"/>
      <w:spacing w:line="360" w:lineRule="auto"/>
      <w:ind w:firstLine="480" w:firstLineChars="200"/>
      <w:jc w:val="both"/>
    </w:pPr>
    <w:rPr>
      <w:kern w:val="2"/>
      <w:szCs w:val="20"/>
    </w:rPr>
  </w:style>
  <w:style w:type="paragraph" w:customStyle="1" w:styleId="197">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8">
    <w:name w:val="Char2"/>
    <w:basedOn w:val="1"/>
    <w:next w:val="1"/>
    <w:qFormat/>
    <w:uiPriority w:val="0"/>
    <w:pPr>
      <w:widowControl w:val="0"/>
      <w:spacing w:line="240" w:lineRule="atLeast"/>
      <w:ind w:left="420" w:firstLine="420"/>
    </w:pPr>
    <w:rPr>
      <w:kern w:val="2"/>
      <w:szCs w:val="20"/>
    </w:rPr>
  </w:style>
  <w:style w:type="paragraph" w:customStyle="1" w:styleId="199">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0">
    <w:name w:val="Char2 Char Char Char"/>
    <w:basedOn w:val="1"/>
    <w:qFormat/>
    <w:uiPriority w:val="0"/>
    <w:pPr>
      <w:widowControl w:val="0"/>
      <w:jc w:val="both"/>
    </w:pPr>
    <w:rPr>
      <w:rFonts w:ascii="仿宋_GB2312"/>
      <w:b/>
      <w:kern w:val="2"/>
      <w:sz w:val="30"/>
      <w:szCs w:val="20"/>
    </w:rPr>
  </w:style>
  <w:style w:type="paragraph" w:customStyle="1" w:styleId="201">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2">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3">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4">
    <w:name w:val="列出段落2"/>
    <w:basedOn w:val="1"/>
    <w:qFormat/>
    <w:uiPriority w:val="34"/>
    <w:pPr>
      <w:widowControl w:val="0"/>
      <w:ind w:firstLine="420" w:firstLineChars="200"/>
      <w:jc w:val="both"/>
    </w:pPr>
    <w:rPr>
      <w:rFonts w:eastAsia="方正仿宋"/>
      <w:kern w:val="2"/>
      <w:sz w:val="32"/>
    </w:rPr>
  </w:style>
  <w:style w:type="paragraph" w:customStyle="1" w:styleId="205">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6">
    <w:name w:val="彩色列表 - 强调文字颜色 1 Char"/>
    <w:link w:val="207"/>
    <w:qFormat/>
    <w:uiPriority w:val="0"/>
    <w:rPr>
      <w:rFonts w:ascii="Calibri" w:hAnsi="Calibri"/>
    </w:rPr>
  </w:style>
  <w:style w:type="paragraph" w:customStyle="1" w:styleId="207">
    <w:name w:val="彩色列表 - 强调文字颜色 11"/>
    <w:basedOn w:val="1"/>
    <w:link w:val="206"/>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8">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09">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0">
    <w:name w:val="Char Char2"/>
    <w:qFormat/>
    <w:uiPriority w:val="0"/>
    <w:rPr>
      <w:kern w:val="2"/>
      <w:sz w:val="18"/>
      <w:szCs w:val="18"/>
    </w:rPr>
  </w:style>
  <w:style w:type="character" w:customStyle="1" w:styleId="211">
    <w:name w:val="脚注文本 Char"/>
    <w:link w:val="37"/>
    <w:qFormat/>
    <w:uiPriority w:val="0"/>
    <w:rPr>
      <w:rFonts w:ascii="Calibri" w:hAnsi="Calibri"/>
      <w:sz w:val="18"/>
      <w:szCs w:val="18"/>
    </w:rPr>
  </w:style>
  <w:style w:type="character" w:customStyle="1" w:styleId="212">
    <w:name w:val="文章正文 Char Char"/>
    <w:qFormat/>
    <w:uiPriority w:val="0"/>
    <w:rPr>
      <w:rFonts w:hint="eastAsia" w:ascii="宋体" w:hAnsi="宋体" w:eastAsia="宋体"/>
      <w:kern w:val="2"/>
      <w:sz w:val="24"/>
      <w:szCs w:val="24"/>
      <w:lang w:val="en-US" w:eastAsia="zh-CN" w:bidi="ar-SA"/>
    </w:rPr>
  </w:style>
  <w:style w:type="character" w:customStyle="1" w:styleId="213">
    <w:name w:val="Char Char5"/>
    <w:qFormat/>
    <w:uiPriority w:val="0"/>
    <w:rPr>
      <w:kern w:val="2"/>
      <w:sz w:val="21"/>
      <w:szCs w:val="24"/>
    </w:rPr>
  </w:style>
  <w:style w:type="character" w:customStyle="1" w:styleId="214">
    <w:name w:val="CD正文 Char Char"/>
    <w:qFormat/>
    <w:uiPriority w:val="0"/>
    <w:rPr>
      <w:rFonts w:hint="eastAsia" w:ascii="宋体" w:hAnsi="宋体" w:eastAsia="宋体"/>
      <w:kern w:val="2"/>
      <w:sz w:val="30"/>
      <w:szCs w:val="28"/>
      <w:lang w:val="en-US" w:eastAsia="zh-CN" w:bidi="ar-SA"/>
    </w:rPr>
  </w:style>
  <w:style w:type="character" w:customStyle="1" w:styleId="215">
    <w:name w:val="表正文 Char1"/>
    <w:qFormat/>
    <w:uiPriority w:val="0"/>
    <w:rPr>
      <w:rFonts w:hint="eastAsia" w:ascii="宋体" w:hAnsi="宋体" w:eastAsia="宋体"/>
      <w:kern w:val="2"/>
      <w:sz w:val="21"/>
      <w:lang w:val="en-US" w:eastAsia="zh-CN" w:bidi="ar-SA"/>
    </w:rPr>
  </w:style>
  <w:style w:type="character" w:customStyle="1" w:styleId="216">
    <w:name w:val="列出段落 Char Char"/>
    <w:qFormat/>
    <w:uiPriority w:val="0"/>
    <w:rPr>
      <w:rFonts w:hint="default" w:ascii="Calibri" w:hAnsi="Calibri" w:cs="Calibri"/>
      <w:kern w:val="2"/>
      <w:sz w:val="21"/>
      <w:szCs w:val="22"/>
    </w:rPr>
  </w:style>
  <w:style w:type="character" w:customStyle="1" w:styleId="217">
    <w:name w:val="font11"/>
    <w:qFormat/>
    <w:uiPriority w:val="0"/>
    <w:rPr>
      <w:rFonts w:hint="eastAsia" w:ascii="宋体" w:hAnsi="宋体" w:eastAsia="宋体" w:cs="宋体"/>
      <w:b/>
      <w:color w:val="000000"/>
      <w:sz w:val="22"/>
      <w:szCs w:val="22"/>
      <w:u w:val="none"/>
    </w:rPr>
  </w:style>
  <w:style w:type="character" w:customStyle="1" w:styleId="218">
    <w:name w:val="Char Char9"/>
    <w:qFormat/>
    <w:uiPriority w:val="0"/>
    <w:rPr>
      <w:kern w:val="2"/>
      <w:sz w:val="18"/>
      <w:szCs w:val="18"/>
    </w:rPr>
  </w:style>
  <w:style w:type="character" w:customStyle="1" w:styleId="219">
    <w:name w:val="Legal Level 1.1.1. Char"/>
    <w:qFormat/>
    <w:uiPriority w:val="0"/>
    <w:rPr>
      <w:rFonts w:hint="default" w:ascii="Arial" w:hAnsi="Arial" w:eastAsia="黑体" w:cs="Arial"/>
      <w:kern w:val="2"/>
      <w:sz w:val="24"/>
      <w:szCs w:val="24"/>
    </w:rPr>
  </w:style>
  <w:style w:type="character" w:customStyle="1" w:styleId="220">
    <w:name w:val="font01"/>
    <w:qFormat/>
    <w:uiPriority w:val="0"/>
    <w:rPr>
      <w:rFonts w:hint="eastAsia" w:ascii="宋体" w:hAnsi="宋体" w:eastAsia="宋体" w:cs="宋体"/>
      <w:color w:val="000000"/>
      <w:sz w:val="22"/>
      <w:szCs w:val="22"/>
      <w:u w:val="none"/>
    </w:rPr>
  </w:style>
  <w:style w:type="character" w:customStyle="1" w:styleId="221">
    <w:name w:val="Char Char3"/>
    <w:qFormat/>
    <w:uiPriority w:val="0"/>
    <w:rPr>
      <w:b/>
      <w:bCs/>
      <w:kern w:val="2"/>
      <w:sz w:val="18"/>
      <w:szCs w:val="18"/>
    </w:rPr>
  </w:style>
  <w:style w:type="character" w:customStyle="1" w:styleId="222">
    <w:name w:val="MM Topic 3 Char Char"/>
    <w:qFormat/>
    <w:uiPriority w:val="0"/>
    <w:rPr>
      <w:rFonts w:hint="eastAsia" w:ascii="宋体" w:hAnsi="宋体" w:eastAsia="宋体"/>
      <w:b/>
      <w:bCs/>
      <w:color w:val="000000"/>
      <w:kern w:val="2"/>
      <w:sz w:val="28"/>
      <w:szCs w:val="28"/>
    </w:rPr>
  </w:style>
  <w:style w:type="character" w:customStyle="1" w:styleId="223">
    <w:name w:val="标题 3 Char Char Char"/>
    <w:qFormat/>
    <w:uiPriority w:val="0"/>
    <w:rPr>
      <w:rFonts w:hint="eastAsia" w:ascii="宋体" w:hAnsi="宋体" w:eastAsia="宋体"/>
      <w:b/>
      <w:kern w:val="2"/>
      <w:sz w:val="32"/>
      <w:lang w:val="en-US" w:eastAsia="zh-CN" w:bidi="ar-SA"/>
    </w:rPr>
  </w:style>
  <w:style w:type="character" w:customStyle="1" w:styleId="224">
    <w:name w:val="line2"/>
    <w:basedOn w:val="46"/>
    <w:qFormat/>
    <w:uiPriority w:val="0"/>
  </w:style>
  <w:style w:type="character" w:customStyle="1" w:styleId="225">
    <w:name w:val="正文文本 Char"/>
    <w:qFormat/>
    <w:uiPriority w:val="0"/>
    <w:rPr>
      <w:rFonts w:ascii="Calibri" w:hAnsi="Calibri" w:eastAsia="宋体" w:cs="Times New Roman"/>
    </w:rPr>
  </w:style>
  <w:style w:type="character" w:customStyle="1" w:styleId="226">
    <w:name w:val="apple-converted-space"/>
    <w:basedOn w:val="46"/>
    <w:qFormat/>
    <w:uiPriority w:val="0"/>
  </w:style>
  <w:style w:type="character" w:customStyle="1" w:styleId="227">
    <w:name w:val="样式 小四2 Char Char"/>
    <w:qFormat/>
    <w:uiPriority w:val="0"/>
    <w:rPr>
      <w:rFonts w:hint="eastAsia" w:ascii="宋体" w:hAnsi="宋体" w:eastAsia="宋体"/>
      <w:kern w:val="2"/>
      <w:sz w:val="24"/>
      <w:szCs w:val="24"/>
    </w:rPr>
  </w:style>
  <w:style w:type="character" w:customStyle="1" w:styleId="228">
    <w:name w:val="apple-style-span"/>
    <w:basedOn w:val="46"/>
    <w:qFormat/>
    <w:uiPriority w:val="0"/>
  </w:style>
  <w:style w:type="character" w:customStyle="1" w:styleId="229">
    <w:name w:val="tt Char"/>
    <w:qFormat/>
    <w:uiPriority w:val="0"/>
    <w:rPr>
      <w:rFonts w:hint="default" w:ascii="Arial" w:hAnsi="Arial" w:eastAsia="黑体" w:cs="Arial"/>
      <w:kern w:val="2"/>
      <w:sz w:val="21"/>
      <w:szCs w:val="21"/>
    </w:rPr>
  </w:style>
  <w:style w:type="character" w:customStyle="1" w:styleId="230">
    <w:name w:val="副标题 Char2"/>
    <w:qFormat/>
    <w:uiPriority w:val="0"/>
    <w:rPr>
      <w:rFonts w:ascii="Cambria" w:hAnsi="Cambria" w:eastAsia="宋体" w:cs="Times New Roman"/>
      <w:b/>
      <w:bCs/>
      <w:kern w:val="28"/>
      <w:sz w:val="32"/>
      <w:szCs w:val="32"/>
    </w:rPr>
  </w:style>
  <w:style w:type="character" w:customStyle="1" w:styleId="231">
    <w:name w:val="标书正文:  0.74 厘米 Char Char"/>
    <w:qFormat/>
    <w:uiPriority w:val="0"/>
    <w:rPr>
      <w:kern w:val="2"/>
      <w:sz w:val="24"/>
    </w:rPr>
  </w:style>
  <w:style w:type="character" w:customStyle="1" w:styleId="232">
    <w:name w:val="批注文字 Char2"/>
    <w:qFormat/>
    <w:uiPriority w:val="0"/>
    <w:rPr>
      <w:rFonts w:hint="eastAsia" w:ascii="宋体" w:hAnsi="宋体" w:eastAsia="宋体"/>
      <w:sz w:val="18"/>
      <w:szCs w:val="18"/>
    </w:rPr>
  </w:style>
  <w:style w:type="character" w:customStyle="1" w:styleId="233">
    <w:name w:val="img"/>
    <w:basedOn w:val="46"/>
    <w:qFormat/>
    <w:uiPriority w:val="0"/>
  </w:style>
  <w:style w:type="character" w:customStyle="1" w:styleId="234">
    <w:name w:val="批注文字 Char"/>
    <w:qFormat/>
    <w:uiPriority w:val="99"/>
    <w:rPr>
      <w:rFonts w:ascii="Times New Roman" w:hAnsi="Times New Roman" w:eastAsia="宋体" w:cs="Times New Roman"/>
      <w:kern w:val="0"/>
      <w:sz w:val="18"/>
      <w:szCs w:val="18"/>
    </w:rPr>
  </w:style>
  <w:style w:type="character" w:customStyle="1" w:styleId="235">
    <w:name w:val="Char Char Char"/>
    <w:qFormat/>
    <w:uiPriority w:val="0"/>
    <w:rPr>
      <w:rFonts w:hint="eastAsia" w:ascii="宋体" w:hAnsi="宋体" w:eastAsia="宋体"/>
      <w:kern w:val="2"/>
      <w:sz w:val="18"/>
      <w:szCs w:val="18"/>
      <w:lang w:val="en-US" w:eastAsia="zh-CN" w:bidi="ar-SA"/>
    </w:rPr>
  </w:style>
  <w:style w:type="character" w:customStyle="1" w:styleId="236">
    <w:name w:val="正文文本 Char Char"/>
    <w:qFormat/>
    <w:uiPriority w:val="0"/>
    <w:rPr>
      <w:kern w:val="2"/>
      <w:sz w:val="21"/>
      <w:szCs w:val="24"/>
    </w:rPr>
  </w:style>
  <w:style w:type="character" w:customStyle="1" w:styleId="237">
    <w:name w:val="Char Char10"/>
    <w:qFormat/>
    <w:uiPriority w:val="0"/>
    <w:rPr>
      <w:kern w:val="2"/>
      <w:sz w:val="24"/>
      <w:szCs w:val="24"/>
    </w:rPr>
  </w:style>
  <w:style w:type="character" w:customStyle="1" w:styleId="238">
    <w:name w:val="0-CD Char"/>
    <w:link w:val="239"/>
    <w:qFormat/>
    <w:locked/>
    <w:uiPriority w:val="0"/>
    <w:rPr>
      <w:rFonts w:ascii="宋体" w:hAnsi="宋体"/>
      <w:sz w:val="28"/>
      <w:szCs w:val="24"/>
    </w:rPr>
  </w:style>
  <w:style w:type="paragraph" w:customStyle="1" w:styleId="239">
    <w:name w:val="0-CD"/>
    <w:basedOn w:val="1"/>
    <w:link w:val="238"/>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0">
    <w:name w:val="Char Char8"/>
    <w:qFormat/>
    <w:uiPriority w:val="0"/>
    <w:rPr>
      <w:rFonts w:hint="eastAsia" w:ascii="宋体" w:hAnsi="宋体" w:eastAsia="宋体"/>
      <w:kern w:val="2"/>
      <w:sz w:val="28"/>
      <w:szCs w:val="28"/>
    </w:rPr>
  </w:style>
  <w:style w:type="character" w:customStyle="1" w:styleId="241">
    <w:name w:val="正文缩进 Char"/>
    <w:qFormat/>
    <w:uiPriority w:val="0"/>
    <w:rPr>
      <w:kern w:val="2"/>
      <w:sz w:val="21"/>
      <w:lang w:val="zh-CN" w:eastAsia="zh-CN"/>
    </w:rPr>
  </w:style>
  <w:style w:type="character" w:customStyle="1" w:styleId="242">
    <w:name w:val="正文文本 Char2"/>
    <w:qFormat/>
    <w:locked/>
    <w:uiPriority w:val="99"/>
    <w:rPr>
      <w:rFonts w:ascii="Calibri" w:hAnsi="Calibri" w:eastAsia="宋体" w:cs="Times New Roman"/>
    </w:rPr>
  </w:style>
  <w:style w:type="character" w:customStyle="1" w:styleId="243">
    <w:name w:val="Char Char7"/>
    <w:qFormat/>
    <w:uiPriority w:val="0"/>
    <w:rPr>
      <w:kern w:val="2"/>
      <w:sz w:val="18"/>
      <w:szCs w:val="18"/>
    </w:rPr>
  </w:style>
  <w:style w:type="character" w:customStyle="1" w:styleId="244">
    <w:name w:val="纯文本 Char"/>
    <w:qFormat/>
    <w:uiPriority w:val="99"/>
    <w:rPr>
      <w:rFonts w:ascii="宋体" w:hAnsi="Courier New" w:eastAsia="宋体" w:cs="Courier New"/>
      <w:szCs w:val="21"/>
    </w:rPr>
  </w:style>
  <w:style w:type="character" w:customStyle="1" w:styleId="245">
    <w:name w:val="Char Char6"/>
    <w:qFormat/>
    <w:uiPriority w:val="0"/>
    <w:rPr>
      <w:kern w:val="2"/>
      <w:sz w:val="21"/>
      <w:szCs w:val="24"/>
    </w:rPr>
  </w:style>
  <w:style w:type="character" w:customStyle="1" w:styleId="246">
    <w:name w:val="副标题 Char1"/>
    <w:qFormat/>
    <w:uiPriority w:val="11"/>
    <w:rPr>
      <w:rFonts w:hint="default" w:ascii="Cambria" w:hAnsi="Cambria" w:cs="Times New Roman"/>
      <w:b/>
      <w:bCs/>
      <w:kern w:val="28"/>
      <w:sz w:val="32"/>
      <w:szCs w:val="32"/>
    </w:rPr>
  </w:style>
  <w:style w:type="character" w:customStyle="1" w:styleId="247">
    <w:name w:val="标题 1 Char1"/>
    <w:qFormat/>
    <w:uiPriority w:val="0"/>
    <w:rPr>
      <w:b/>
      <w:bCs/>
      <w:kern w:val="44"/>
      <w:sz w:val="44"/>
      <w:szCs w:val="44"/>
    </w:rPr>
  </w:style>
  <w:style w:type="character" w:customStyle="1" w:styleId="248">
    <w:name w:val="（符号）邀请函中一、"/>
    <w:qFormat/>
    <w:uiPriority w:val="0"/>
    <w:rPr>
      <w:rFonts w:hint="eastAsia" w:ascii="黑体" w:hAnsi="黑体" w:eastAsia="黑体"/>
      <w:b/>
      <w:bCs/>
      <w:sz w:val="24"/>
    </w:rPr>
  </w:style>
  <w:style w:type="character" w:customStyle="1" w:styleId="249">
    <w:name w:val="副标题 Char"/>
    <w:link w:val="36"/>
    <w:qFormat/>
    <w:uiPriority w:val="0"/>
    <w:rPr>
      <w:rFonts w:ascii="Cambria" w:hAnsi="Cambria"/>
      <w:b/>
      <w:bCs/>
      <w:kern w:val="28"/>
      <w:sz w:val="32"/>
      <w:szCs w:val="32"/>
    </w:rPr>
  </w:style>
  <w:style w:type="character" w:customStyle="1" w:styleId="250">
    <w:name w:val="标书（正文） Char Char"/>
    <w:qFormat/>
    <w:uiPriority w:val="0"/>
    <w:rPr>
      <w:rFonts w:hint="eastAsia" w:ascii="宋体" w:hAnsi="宋体" w:eastAsia="宋体"/>
      <w:b/>
      <w:kern w:val="10"/>
      <w:sz w:val="21"/>
      <w:szCs w:val="21"/>
      <w:lang w:val="en-US" w:eastAsia="zh-CN" w:bidi="ar-SA"/>
    </w:rPr>
  </w:style>
  <w:style w:type="character" w:customStyle="1" w:styleId="251">
    <w:name w:val="MM Topic 4 Char Char"/>
    <w:qFormat/>
    <w:uiPriority w:val="0"/>
    <w:rPr>
      <w:rFonts w:hint="default" w:ascii="Arial" w:hAnsi="Arial" w:cs="Arial"/>
      <w:b/>
      <w:bCs/>
      <w:kern w:val="2"/>
      <w:sz w:val="28"/>
      <w:szCs w:val="28"/>
    </w:rPr>
  </w:style>
  <w:style w:type="character" w:customStyle="1" w:styleId="252">
    <w:name w:val="列出段落 Char1"/>
    <w:qFormat/>
    <w:uiPriority w:val="34"/>
    <w:rPr>
      <w:rFonts w:hint="default" w:ascii="Calibri" w:hAnsi="Calibri"/>
      <w:kern w:val="2"/>
      <w:sz w:val="21"/>
      <w:szCs w:val="22"/>
    </w:rPr>
  </w:style>
  <w:style w:type="character" w:customStyle="1" w:styleId="253">
    <w:name w:val="Char Char11"/>
    <w:qFormat/>
    <w:uiPriority w:val="0"/>
    <w:rPr>
      <w:rFonts w:hint="default" w:ascii="Arial Narrow" w:hAnsi="Arial Narrow"/>
      <w:b/>
      <w:bCs/>
      <w:iCs/>
      <w:szCs w:val="24"/>
      <w:lang w:eastAsia="en-US"/>
    </w:rPr>
  </w:style>
  <w:style w:type="character" w:customStyle="1" w:styleId="254">
    <w:name w:val="脚注文本 Char1"/>
    <w:qFormat/>
    <w:uiPriority w:val="0"/>
    <w:rPr>
      <w:rFonts w:ascii="Calibri" w:hAnsi="Calibri" w:eastAsia="宋体" w:cs="Times New Roman"/>
      <w:sz w:val="18"/>
      <w:szCs w:val="18"/>
    </w:rPr>
  </w:style>
  <w:style w:type="paragraph" w:customStyle="1" w:styleId="255">
    <w:name w:val="样式1"/>
    <w:basedOn w:val="1"/>
    <w:qFormat/>
    <w:uiPriority w:val="0"/>
    <w:pPr>
      <w:widowControl w:val="0"/>
      <w:jc w:val="both"/>
    </w:pPr>
    <w:rPr>
      <w:rFonts w:eastAsia="隶书"/>
      <w:i/>
      <w:dstrike/>
      <w:kern w:val="2"/>
      <w:sz w:val="28"/>
      <w:szCs w:val="18"/>
    </w:rPr>
  </w:style>
  <w:style w:type="paragraph" w:customStyle="1" w:styleId="256">
    <w:name w:val="列出段落3"/>
    <w:basedOn w:val="1"/>
    <w:qFormat/>
    <w:uiPriority w:val="0"/>
    <w:pPr>
      <w:ind w:firstLine="420" w:firstLineChars="200"/>
    </w:pPr>
  </w:style>
  <w:style w:type="paragraph" w:customStyle="1" w:styleId="257">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8">
    <w:name w:val="副标题 字符1"/>
    <w:basedOn w:val="46"/>
    <w:qFormat/>
    <w:uiPriority w:val="11"/>
    <w:rPr>
      <w:b/>
      <w:bCs/>
      <w:kern w:val="28"/>
      <w:sz w:val="32"/>
      <w:szCs w:val="32"/>
    </w:rPr>
  </w:style>
  <w:style w:type="paragraph" w:customStyle="1" w:styleId="259">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0">
    <w:name w:val="正文文本缩进 2 字符1"/>
    <w:basedOn w:val="46"/>
    <w:semiHidden/>
    <w:qFormat/>
    <w:uiPriority w:val="99"/>
    <w:rPr>
      <w:rFonts w:ascii="Calibri" w:hAnsi="Calibri" w:eastAsia="宋体" w:cs="Times New Roman"/>
    </w:rPr>
  </w:style>
  <w:style w:type="paragraph" w:customStyle="1" w:styleId="261">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2">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3">
    <w:name w:val="正文文本缩进 3 字符1"/>
    <w:basedOn w:val="46"/>
    <w:semiHidden/>
    <w:qFormat/>
    <w:uiPriority w:val="99"/>
    <w:rPr>
      <w:rFonts w:ascii="Calibri" w:hAnsi="Calibri" w:eastAsia="宋体" w:cs="Times New Roman"/>
      <w:sz w:val="16"/>
      <w:szCs w:val="16"/>
    </w:rPr>
  </w:style>
  <w:style w:type="character" w:customStyle="1" w:styleId="264">
    <w:name w:val="批注文字 字符1"/>
    <w:basedOn w:val="46"/>
    <w:semiHidden/>
    <w:qFormat/>
    <w:uiPriority w:val="99"/>
    <w:rPr>
      <w:rFonts w:ascii="Calibri" w:hAnsi="Calibri" w:eastAsia="宋体" w:cs="Times New Roman"/>
    </w:rPr>
  </w:style>
  <w:style w:type="character" w:customStyle="1" w:styleId="265">
    <w:name w:val="正文文本 2 字符1"/>
    <w:basedOn w:val="46"/>
    <w:semiHidden/>
    <w:qFormat/>
    <w:uiPriority w:val="99"/>
    <w:rPr>
      <w:rFonts w:ascii="Calibri" w:hAnsi="Calibri" w:eastAsia="宋体" w:cs="Times New Roman"/>
    </w:rPr>
  </w:style>
  <w:style w:type="character" w:customStyle="1" w:styleId="266">
    <w:name w:val="正文文本缩进 字符1"/>
    <w:basedOn w:val="46"/>
    <w:semiHidden/>
    <w:qFormat/>
    <w:uiPriority w:val="99"/>
    <w:rPr>
      <w:rFonts w:ascii="Calibri" w:hAnsi="Calibri" w:eastAsia="宋体" w:cs="Times New Roman"/>
    </w:rPr>
  </w:style>
  <w:style w:type="character" w:customStyle="1" w:styleId="267">
    <w:name w:val="批注框文本 字符1"/>
    <w:basedOn w:val="46"/>
    <w:semiHidden/>
    <w:qFormat/>
    <w:uiPriority w:val="99"/>
    <w:rPr>
      <w:rFonts w:ascii="Calibri" w:hAnsi="Calibri" w:eastAsia="宋体" w:cs="Times New Roman"/>
      <w:sz w:val="18"/>
      <w:szCs w:val="18"/>
    </w:rPr>
  </w:style>
  <w:style w:type="paragraph" w:customStyle="1" w:styleId="268">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69">
    <w:name w:val="修订11"/>
    <w:qFormat/>
    <w:uiPriority w:val="99"/>
    <w:rPr>
      <w:rFonts w:ascii="Times New Roman" w:hAnsi="Times New Roman" w:eastAsia="宋体" w:cs="Times New Roman"/>
      <w:kern w:val="2"/>
      <w:sz w:val="21"/>
      <w:szCs w:val="22"/>
      <w:lang w:val="en-US" w:eastAsia="zh-CN" w:bidi="ar-SA"/>
    </w:rPr>
  </w:style>
  <w:style w:type="character" w:customStyle="1" w:styleId="270">
    <w:name w:val="脚注文本 字符1"/>
    <w:basedOn w:val="46"/>
    <w:semiHidden/>
    <w:qFormat/>
    <w:uiPriority w:val="99"/>
    <w:rPr>
      <w:rFonts w:ascii="Times New Roman" w:hAnsi="Times New Roman" w:eastAsia="宋体" w:cs="Times New Roman"/>
      <w:kern w:val="0"/>
      <w:sz w:val="18"/>
      <w:szCs w:val="18"/>
    </w:rPr>
  </w:style>
  <w:style w:type="paragraph" w:customStyle="1" w:styleId="271">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2">
    <w:name w:val="正文文本 字符1"/>
    <w:basedOn w:val="46"/>
    <w:semiHidden/>
    <w:qFormat/>
    <w:uiPriority w:val="99"/>
    <w:rPr>
      <w:rFonts w:ascii="Calibri" w:hAnsi="Calibri" w:eastAsia="宋体" w:cs="Times New Roman"/>
    </w:rPr>
  </w:style>
  <w:style w:type="paragraph" w:customStyle="1" w:styleId="273">
    <w:name w:val="列出段落5"/>
    <w:basedOn w:val="1"/>
    <w:unhideWhenUsed/>
    <w:qFormat/>
    <w:uiPriority w:val="99"/>
    <w:pPr>
      <w:widowControl w:val="0"/>
      <w:ind w:firstLine="420" w:firstLineChars="200"/>
      <w:jc w:val="both"/>
    </w:pPr>
    <w:rPr>
      <w:kern w:val="2"/>
      <w:sz w:val="21"/>
    </w:rPr>
  </w:style>
  <w:style w:type="character" w:customStyle="1" w:styleId="274">
    <w:name w:val="批注主题 字符1"/>
    <w:basedOn w:val="264"/>
    <w:semiHidden/>
    <w:qFormat/>
    <w:uiPriority w:val="99"/>
    <w:rPr>
      <w:rFonts w:ascii="Calibri" w:hAnsi="Calibri" w:eastAsia="宋体" w:cs="Times New Roman"/>
      <w:b/>
      <w:bCs/>
    </w:rPr>
  </w:style>
  <w:style w:type="paragraph" w:customStyle="1" w:styleId="27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6">
    <w:name w:val="日期 字符1"/>
    <w:basedOn w:val="46"/>
    <w:semiHidden/>
    <w:qFormat/>
    <w:uiPriority w:val="99"/>
    <w:rPr>
      <w:rFonts w:ascii="Calibri" w:hAnsi="Calibri" w:eastAsia="宋体" w:cs="Times New Roman"/>
    </w:rPr>
  </w:style>
  <w:style w:type="character" w:customStyle="1" w:styleId="277">
    <w:name w:val="正文文本 3 字符1"/>
    <w:basedOn w:val="46"/>
    <w:semiHidden/>
    <w:qFormat/>
    <w:uiPriority w:val="99"/>
    <w:rPr>
      <w:rFonts w:ascii="Calibri" w:hAnsi="Calibri" w:eastAsia="宋体" w:cs="Times New Roman"/>
      <w:sz w:val="16"/>
      <w:szCs w:val="16"/>
    </w:rPr>
  </w:style>
  <w:style w:type="character" w:customStyle="1" w:styleId="278">
    <w:name w:val="文档结构图 字符1"/>
    <w:basedOn w:val="46"/>
    <w:semiHidden/>
    <w:qFormat/>
    <w:uiPriority w:val="99"/>
    <w:rPr>
      <w:rFonts w:ascii="Microsoft YaHei UI" w:hAnsi="Calibri" w:eastAsia="Microsoft YaHei UI" w:cs="Times New Roman"/>
      <w:sz w:val="18"/>
      <w:szCs w:val="18"/>
    </w:rPr>
  </w:style>
  <w:style w:type="paragraph" w:customStyle="1" w:styleId="279">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0">
    <w:name w:val="标书正文:  0.74 厘米"/>
    <w:basedOn w:val="1"/>
    <w:qFormat/>
    <w:uiPriority w:val="0"/>
    <w:pPr>
      <w:widowControl w:val="0"/>
      <w:snapToGrid w:val="0"/>
      <w:spacing w:line="360" w:lineRule="auto"/>
      <w:ind w:firstLine="420"/>
      <w:jc w:val="both"/>
    </w:pPr>
    <w:rPr>
      <w:kern w:val="2"/>
      <w:szCs w:val="18"/>
    </w:rPr>
  </w:style>
  <w:style w:type="paragraph" w:customStyle="1" w:styleId="281">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2">
    <w:name w:val="页脚 字符1"/>
    <w:basedOn w:val="46"/>
    <w:semiHidden/>
    <w:qFormat/>
    <w:uiPriority w:val="99"/>
    <w:rPr>
      <w:rFonts w:ascii="Calibri" w:hAnsi="Calibri" w:eastAsia="宋体" w:cs="Times New Roman"/>
      <w:sz w:val="18"/>
      <w:szCs w:val="18"/>
    </w:rPr>
  </w:style>
  <w:style w:type="paragraph" w:customStyle="1" w:styleId="283">
    <w:name w:val="图"/>
    <w:basedOn w:val="1"/>
    <w:qFormat/>
    <w:uiPriority w:val="0"/>
    <w:pPr>
      <w:adjustRightInd w:val="0"/>
      <w:snapToGrid w:val="0"/>
      <w:jc w:val="center"/>
    </w:pPr>
    <w:rPr>
      <w:rFonts w:ascii="宋体" w:hAnsi="宋体"/>
      <w:bCs/>
      <w:kern w:val="2"/>
      <w:sz w:val="21"/>
    </w:rPr>
  </w:style>
  <w:style w:type="character" w:customStyle="1" w:styleId="284">
    <w:name w:val="纯文本 字符1"/>
    <w:basedOn w:val="46"/>
    <w:semiHidden/>
    <w:qFormat/>
    <w:uiPriority w:val="99"/>
    <w:rPr>
      <w:rFonts w:hAnsi="Courier New" w:cs="Courier New" w:asciiTheme="minorEastAsia"/>
    </w:rPr>
  </w:style>
  <w:style w:type="paragraph" w:customStyle="1" w:styleId="285">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6">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7">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8">
    <w:name w:val="zw1"/>
    <w:basedOn w:val="1"/>
    <w:qFormat/>
    <w:uiPriority w:val="0"/>
    <w:pPr>
      <w:spacing w:line="360" w:lineRule="auto"/>
      <w:ind w:firstLine="480" w:firstLineChars="200"/>
      <w:jc w:val="both"/>
    </w:pPr>
    <w:rPr>
      <w:szCs w:val="20"/>
    </w:rPr>
  </w:style>
  <w:style w:type="character" w:customStyle="1" w:styleId="289">
    <w:name w:val="页眉 字符1"/>
    <w:basedOn w:val="46"/>
    <w:semiHidden/>
    <w:qFormat/>
    <w:uiPriority w:val="99"/>
    <w:rPr>
      <w:rFonts w:ascii="Calibri" w:hAnsi="Calibri" w:eastAsia="宋体" w:cs="Times New Roman"/>
      <w:sz w:val="18"/>
      <w:szCs w:val="18"/>
    </w:rPr>
  </w:style>
  <w:style w:type="character" w:customStyle="1" w:styleId="290">
    <w:name w:val="正文文本首行缩进 字符1"/>
    <w:basedOn w:val="272"/>
    <w:semiHidden/>
    <w:qFormat/>
    <w:uiPriority w:val="99"/>
    <w:rPr>
      <w:rFonts w:ascii="Calibri" w:hAnsi="Calibri" w:eastAsia="宋体" w:cs="Times New Roman"/>
    </w:rPr>
  </w:style>
  <w:style w:type="paragraph" w:customStyle="1" w:styleId="291">
    <w:name w:val="_Style 3"/>
    <w:basedOn w:val="1"/>
    <w:qFormat/>
    <w:uiPriority w:val="34"/>
    <w:pPr>
      <w:ind w:firstLine="420" w:firstLineChars="200"/>
    </w:pPr>
  </w:style>
  <w:style w:type="paragraph" w:customStyle="1" w:styleId="292">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3">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4">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5">
    <w:name w:val="Char1 Char Char Char Char Char Char_0"/>
    <w:basedOn w:val="1"/>
    <w:qFormat/>
    <w:uiPriority w:val="0"/>
    <w:pPr>
      <w:widowControl w:val="0"/>
      <w:jc w:val="both"/>
    </w:pPr>
    <w:rPr>
      <w:rFonts w:ascii="Tahoma" w:hAnsi="Tahoma"/>
      <w:kern w:val="2"/>
      <w:szCs w:val="20"/>
    </w:rPr>
  </w:style>
  <w:style w:type="paragraph" w:customStyle="1" w:styleId="296">
    <w:name w:val="RFI Heading 3rd Level"/>
    <w:basedOn w:val="1"/>
    <w:qFormat/>
    <w:uiPriority w:val="0"/>
    <w:pPr>
      <w:tabs>
        <w:tab w:val="left" w:pos="720"/>
      </w:tabs>
      <w:ind w:left="720" w:hanging="720"/>
    </w:pPr>
    <w:rPr>
      <w:rFonts w:ascii="Arial (W1)" w:hAnsi="Arial (W1)"/>
      <w:color w:val="000000"/>
      <w:lang w:val="en-GB" w:eastAsia="en-US"/>
    </w:rPr>
  </w:style>
  <w:style w:type="paragraph" w:styleId="2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99">
    <w:name w:val="Char1 Char Char Char Char Char Char1"/>
    <w:basedOn w:val="1"/>
    <w:qFormat/>
    <w:uiPriority w:val="0"/>
    <w:pPr>
      <w:widowControl w:val="0"/>
      <w:jc w:val="both"/>
    </w:pPr>
    <w:rPr>
      <w:rFonts w:ascii="Tahoma" w:hAnsi="Tahoma"/>
      <w:kern w:val="2"/>
      <w:szCs w:val="20"/>
    </w:rPr>
  </w:style>
  <w:style w:type="paragraph" w:customStyle="1" w:styleId="300">
    <w:name w:val="默认段落字体 Para Char"/>
    <w:basedOn w:val="1"/>
    <w:qFormat/>
    <w:uiPriority w:val="0"/>
    <w:pPr>
      <w:widowControl w:val="0"/>
      <w:jc w:val="both"/>
    </w:pPr>
    <w:rPr>
      <w:rFonts w:ascii="Tahoma" w:hAnsi="Tahoma"/>
      <w:kern w:val="2"/>
      <w:szCs w:val="20"/>
    </w:rPr>
  </w:style>
  <w:style w:type="paragraph" w:customStyle="1" w:styleId="301">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2">
    <w:name w:val="列出段落11"/>
    <w:basedOn w:val="1"/>
    <w:qFormat/>
    <w:uiPriority w:val="99"/>
    <w:pPr>
      <w:widowControl w:val="0"/>
      <w:ind w:firstLine="420" w:firstLineChars="200"/>
      <w:jc w:val="both"/>
    </w:pPr>
    <w:rPr>
      <w:kern w:val="2"/>
      <w:sz w:val="21"/>
      <w:szCs w:val="22"/>
    </w:rPr>
  </w:style>
  <w:style w:type="paragraph" w:customStyle="1" w:styleId="30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4">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5">
    <w:name w:val="样式 小四2"/>
    <w:basedOn w:val="1"/>
    <w:qFormat/>
    <w:uiPriority w:val="0"/>
    <w:pPr>
      <w:widowControl w:val="0"/>
      <w:jc w:val="both"/>
    </w:pPr>
    <w:rPr>
      <w:rFonts w:ascii="宋体" w:hAnsi="宋体"/>
      <w:kern w:val="2"/>
    </w:rPr>
  </w:style>
  <w:style w:type="paragraph" w:customStyle="1" w:styleId="306">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7">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8">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09">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0">
    <w:name w:val="表格"/>
    <w:basedOn w:val="1"/>
    <w:qFormat/>
    <w:uiPriority w:val="0"/>
    <w:pPr>
      <w:widowControl w:val="0"/>
      <w:spacing w:line="400" w:lineRule="exact"/>
      <w:jc w:val="both"/>
    </w:pPr>
    <w:rPr>
      <w:kern w:val="2"/>
    </w:rPr>
  </w:style>
  <w:style w:type="paragraph" w:customStyle="1" w:styleId="311">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2">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3">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4">
    <w:name w:val="列出段落4"/>
    <w:basedOn w:val="1"/>
    <w:qFormat/>
    <w:uiPriority w:val="0"/>
    <w:pPr>
      <w:widowControl w:val="0"/>
      <w:spacing w:after="200" w:line="276" w:lineRule="auto"/>
      <w:ind w:firstLine="420" w:firstLineChars="200"/>
      <w:jc w:val="both"/>
    </w:pPr>
    <w:rPr>
      <w:kern w:val="2"/>
      <w:sz w:val="21"/>
    </w:rPr>
  </w:style>
  <w:style w:type="paragraph" w:customStyle="1" w:styleId="315">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6">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7">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8">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19">
    <w:name w:val="列表段落1"/>
    <w:basedOn w:val="1"/>
    <w:qFormat/>
    <w:uiPriority w:val="34"/>
    <w:pPr>
      <w:widowControl w:val="0"/>
      <w:tabs>
        <w:tab w:val="left" w:pos="0"/>
      </w:tabs>
      <w:ind w:firstLine="420"/>
      <w:jc w:val="both"/>
    </w:pPr>
    <w:rPr>
      <w:kern w:val="2"/>
      <w:sz w:val="21"/>
      <w:szCs w:val="22"/>
    </w:rPr>
  </w:style>
  <w:style w:type="table" w:customStyle="1" w:styleId="320">
    <w:name w:val="网格型1"/>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1">
    <w:name w:val="标题 5 + 首行缩进:"/>
    <w:basedOn w:val="7"/>
    <w:next w:val="22"/>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2">
    <w:name w:val="样式 首行缩进:"/>
    <w:basedOn w:val="1"/>
    <w:qFormat/>
    <w:uiPriority w:val="0"/>
    <w:pPr>
      <w:widowControl w:val="0"/>
      <w:ind w:firstLine="420" w:firstLineChars="200"/>
      <w:jc w:val="both"/>
    </w:pPr>
    <w:rPr>
      <w:rFonts w:cs="宋体"/>
      <w:kern w:val="2"/>
      <w:sz w:val="21"/>
      <w:szCs w:val="20"/>
    </w:rPr>
  </w:style>
  <w:style w:type="paragraph" w:customStyle="1" w:styleId="323">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4">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5">
    <w:name w:val="qowt-font2"/>
    <w:basedOn w:val="46"/>
    <w:qFormat/>
    <w:uiPriority w:val="0"/>
  </w:style>
  <w:style w:type="paragraph" w:customStyle="1" w:styleId="326">
    <w:name w:val="Plain Text1"/>
    <w:basedOn w:val="1"/>
    <w:qFormat/>
    <w:uiPriority w:val="99"/>
    <w:pPr>
      <w:widowControl w:val="0"/>
      <w:adjustRightInd w:val="0"/>
      <w:textAlignment w:val="baseline"/>
    </w:pPr>
    <w:rPr>
      <w:rFonts w:ascii="宋体" w:hAnsi="Courier New"/>
      <w:kern w:val="2"/>
      <w:szCs w:val="20"/>
    </w:rPr>
  </w:style>
  <w:style w:type="paragraph" w:customStyle="1" w:styleId="327">
    <w:name w:val="GW-正文"/>
    <w:basedOn w:val="1"/>
    <w:link w:val="328"/>
    <w:qFormat/>
    <w:uiPriority w:val="0"/>
    <w:pPr>
      <w:widowControl w:val="0"/>
      <w:spacing w:line="360" w:lineRule="auto"/>
      <w:ind w:firstLine="200" w:firstLineChars="200"/>
      <w:jc w:val="both"/>
    </w:pPr>
    <w:rPr>
      <w:rFonts w:eastAsia="仿宋_GB2312"/>
      <w:kern w:val="2"/>
    </w:rPr>
  </w:style>
  <w:style w:type="character" w:customStyle="1" w:styleId="328">
    <w:name w:val="GW-正文 Char"/>
    <w:link w:val="327"/>
    <w:qFormat/>
    <w:uiPriority w:val="0"/>
    <w:rPr>
      <w:rFonts w:ascii="Times New Roman" w:hAnsi="Times New Roman" w:eastAsia="仿宋_GB2312" w:cs="Times New Roman"/>
      <w:sz w:val="24"/>
      <w:szCs w:val="24"/>
    </w:rPr>
  </w:style>
  <w:style w:type="paragraph" w:customStyle="1" w:styleId="329">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0">
    <w:name w:val="font31"/>
    <w:basedOn w:val="46"/>
    <w:qFormat/>
    <w:uiPriority w:val="0"/>
    <w:rPr>
      <w:rFonts w:hint="eastAsia" w:ascii="宋体" w:hAnsi="宋体" w:eastAsia="宋体" w:cs="宋体"/>
      <w:color w:val="000000"/>
      <w:sz w:val="21"/>
      <w:szCs w:val="21"/>
      <w:u w:val="none"/>
    </w:rPr>
  </w:style>
  <w:style w:type="character" w:customStyle="1" w:styleId="331">
    <w:name w:val="无间距字符"/>
    <w:link w:val="332"/>
    <w:qFormat/>
    <w:uiPriority w:val="0"/>
    <w:rPr>
      <w:rFonts w:ascii="Calibri" w:hAnsi="Calibri"/>
      <w:sz w:val="22"/>
    </w:rPr>
  </w:style>
  <w:style w:type="paragraph" w:customStyle="1" w:styleId="332">
    <w:name w:val="无间距"/>
    <w:link w:val="331"/>
    <w:qFormat/>
    <w:uiPriority w:val="0"/>
    <w:rPr>
      <w:rFonts w:ascii="Calibri" w:hAnsi="Calibri" w:eastAsiaTheme="minorEastAsia" w:cstheme="minorBidi"/>
      <w:kern w:val="2"/>
      <w:sz w:val="22"/>
      <w:szCs w:val="22"/>
      <w:lang w:val="en-US" w:eastAsia="zh-CN" w:bidi="ar-SA"/>
    </w:rPr>
  </w:style>
  <w:style w:type="character" w:customStyle="1" w:styleId="333">
    <w:name w:val="tdrownotice1"/>
    <w:qFormat/>
    <w:uiPriority w:val="0"/>
    <w:rPr>
      <w:sz w:val="22"/>
    </w:rPr>
  </w:style>
  <w:style w:type="paragraph" w:customStyle="1" w:styleId="334">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5">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6">
    <w:name w:val="bf.1"/>
    <w:basedOn w:val="17"/>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7">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8">
    <w:name w:val="blockquote"/>
    <w:basedOn w:val="1"/>
    <w:qFormat/>
    <w:uiPriority w:val="99"/>
    <w:pPr>
      <w:spacing w:before="100" w:beforeAutospacing="1" w:after="100" w:afterAutospacing="1"/>
      <w:jc w:val="both"/>
    </w:pPr>
    <w:rPr>
      <w:rFonts w:ascii="宋体" w:hAnsi="宋体"/>
      <w:szCs w:val="20"/>
    </w:rPr>
  </w:style>
  <w:style w:type="paragraph" w:customStyle="1" w:styleId="339">
    <w:name w:val="Char Char1 Char"/>
    <w:basedOn w:val="1"/>
    <w:qFormat/>
    <w:uiPriority w:val="0"/>
    <w:pPr>
      <w:widowControl w:val="0"/>
      <w:jc w:val="both"/>
    </w:pPr>
    <w:rPr>
      <w:kern w:val="2"/>
      <w:sz w:val="21"/>
      <w:szCs w:val="20"/>
    </w:rPr>
  </w:style>
  <w:style w:type="paragraph" w:customStyle="1" w:styleId="340">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1">
    <w:name w:val="明显引用 Char"/>
    <w:link w:val="342"/>
    <w:qFormat/>
    <w:uiPriority w:val="0"/>
    <w:rPr>
      <w:b/>
      <w:bCs/>
      <w:i/>
      <w:iCs/>
      <w:color w:val="4F81BD"/>
    </w:rPr>
  </w:style>
  <w:style w:type="paragraph" w:styleId="342">
    <w:name w:val="Intense Quote"/>
    <w:basedOn w:val="1"/>
    <w:next w:val="1"/>
    <w:link w:val="341"/>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3">
    <w:name w:val="不明显强调1"/>
    <w:qFormat/>
    <w:uiPriority w:val="0"/>
    <w:rPr>
      <w:i/>
      <w:iCs/>
      <w:color w:val="808080"/>
    </w:rPr>
  </w:style>
  <w:style w:type="character" w:customStyle="1" w:styleId="344">
    <w:name w:val="标题4 Char Char"/>
    <w:qFormat/>
    <w:uiPriority w:val="0"/>
    <w:rPr>
      <w:rFonts w:ascii="Arial" w:hAnsi="Arial"/>
      <w:b/>
      <w:bCs/>
      <w:sz w:val="24"/>
      <w:szCs w:val="32"/>
    </w:rPr>
  </w:style>
  <w:style w:type="character" w:customStyle="1" w:styleId="345">
    <w:name w:val="标题5 Char Char"/>
    <w:link w:val="346"/>
    <w:qFormat/>
    <w:uiPriority w:val="0"/>
    <w:rPr>
      <w:rFonts w:ascii="Arial" w:hAnsi="Arial"/>
      <w:b/>
      <w:bCs/>
      <w:sz w:val="24"/>
      <w:szCs w:val="32"/>
    </w:rPr>
  </w:style>
  <w:style w:type="paragraph" w:customStyle="1" w:styleId="346">
    <w:name w:val="标题5"/>
    <w:basedOn w:val="5"/>
    <w:link w:val="345"/>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7">
    <w:name w:val="明显参考1"/>
    <w:qFormat/>
    <w:uiPriority w:val="0"/>
    <w:rPr>
      <w:b/>
      <w:bCs/>
      <w:smallCaps/>
      <w:color w:val="C0504D"/>
      <w:spacing w:val="5"/>
      <w:u w:val="single"/>
    </w:rPr>
  </w:style>
  <w:style w:type="character" w:customStyle="1" w:styleId="348">
    <w:name w:val="书籍标题1"/>
    <w:qFormat/>
    <w:uiPriority w:val="0"/>
    <w:rPr>
      <w:b/>
      <w:bCs/>
      <w:smallCaps/>
      <w:spacing w:val="5"/>
    </w:rPr>
  </w:style>
  <w:style w:type="character" w:customStyle="1" w:styleId="349">
    <w:name w:val="引用 Char"/>
    <w:link w:val="350"/>
    <w:qFormat/>
    <w:uiPriority w:val="0"/>
    <w:rPr>
      <w:i/>
      <w:iCs/>
      <w:color w:val="000000"/>
    </w:rPr>
  </w:style>
  <w:style w:type="paragraph" w:styleId="350">
    <w:name w:val="Quote"/>
    <w:basedOn w:val="1"/>
    <w:next w:val="1"/>
    <w:link w:val="349"/>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1">
    <w:name w:val="明显强调1"/>
    <w:qFormat/>
    <w:uiPriority w:val="0"/>
    <w:rPr>
      <w:b/>
      <w:bCs/>
      <w:i/>
      <w:iCs/>
      <w:color w:val="4F81BD"/>
    </w:rPr>
  </w:style>
  <w:style w:type="character" w:customStyle="1" w:styleId="352">
    <w:name w:val="textcontents"/>
    <w:qFormat/>
    <w:uiPriority w:val="0"/>
    <w:rPr>
      <w:rFonts w:cs="Times New Roman"/>
    </w:rPr>
  </w:style>
  <w:style w:type="character" w:customStyle="1" w:styleId="353">
    <w:name w:val="不明显参考1"/>
    <w:qFormat/>
    <w:uiPriority w:val="0"/>
    <w:rPr>
      <w:smallCaps/>
      <w:color w:val="C0504D"/>
      <w:u w:val="single"/>
    </w:rPr>
  </w:style>
  <w:style w:type="character" w:customStyle="1" w:styleId="354">
    <w:name w:val="批注文字 Char Char"/>
    <w:qFormat/>
    <w:uiPriority w:val="0"/>
    <w:rPr>
      <w:rFonts w:ascii="宋体" w:hAnsi="Times New Roman" w:eastAsia="宋体" w:cs="Times New Roman"/>
      <w:sz w:val="28"/>
      <w:szCs w:val="20"/>
    </w:rPr>
  </w:style>
  <w:style w:type="character" w:customStyle="1" w:styleId="355">
    <w:name w:val="批注框文本 Char2"/>
    <w:semiHidden/>
    <w:qFormat/>
    <w:uiPriority w:val="99"/>
    <w:rPr>
      <w:kern w:val="2"/>
      <w:sz w:val="18"/>
      <w:szCs w:val="18"/>
    </w:rPr>
  </w:style>
  <w:style w:type="character" w:customStyle="1" w:styleId="356">
    <w:name w:val="批注主题 Char2"/>
    <w:semiHidden/>
    <w:qFormat/>
    <w:uiPriority w:val="99"/>
    <w:rPr>
      <w:b/>
      <w:bCs/>
      <w:kern w:val="2"/>
      <w:sz w:val="21"/>
      <w:szCs w:val="22"/>
    </w:rPr>
  </w:style>
  <w:style w:type="character" w:customStyle="1" w:styleId="357">
    <w:name w:val="文档结构图 Char2"/>
    <w:semiHidden/>
    <w:qFormat/>
    <w:uiPriority w:val="99"/>
    <w:rPr>
      <w:rFonts w:ascii="宋体"/>
      <w:kern w:val="2"/>
      <w:sz w:val="18"/>
      <w:szCs w:val="18"/>
    </w:rPr>
  </w:style>
  <w:style w:type="character" w:customStyle="1" w:styleId="358">
    <w:name w:val="日期 Char2"/>
    <w:semiHidden/>
    <w:qFormat/>
    <w:uiPriority w:val="99"/>
    <w:rPr>
      <w:kern w:val="2"/>
      <w:sz w:val="21"/>
      <w:szCs w:val="22"/>
    </w:rPr>
  </w:style>
  <w:style w:type="paragraph" w:customStyle="1" w:styleId="359">
    <w:name w:val="TOC 标题2"/>
    <w:basedOn w:val="3"/>
    <w:next w:val="1"/>
    <w:qFormat/>
    <w:uiPriority w:val="0"/>
    <w:pPr>
      <w:widowControl w:val="0"/>
      <w:spacing w:line="576" w:lineRule="auto"/>
      <w:jc w:val="both"/>
      <w:outlineLvl w:val="9"/>
    </w:pPr>
    <w:rPr>
      <w:rFonts w:ascii="Calibri" w:hAnsi="Calibri"/>
      <w:sz w:val="44"/>
      <w:szCs w:val="44"/>
    </w:rPr>
  </w:style>
  <w:style w:type="character" w:customStyle="1" w:styleId="360">
    <w:name w:val="明显引用 字符1"/>
    <w:basedOn w:val="46"/>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1">
    <w:name w:val="明显引用 Char1"/>
    <w:basedOn w:val="46"/>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2">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3">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4">
    <w:name w:val="引用 字符1"/>
    <w:basedOn w:val="46"/>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5">
    <w:name w:val="引用 Char1"/>
    <w:basedOn w:val="46"/>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6">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7">
    <w:name w:val="Title Char"/>
    <w:qFormat/>
    <w:locked/>
    <w:uiPriority w:val="99"/>
    <w:rPr>
      <w:rFonts w:ascii="Cambria" w:hAnsi="Cambria" w:cs="Cambria"/>
      <w:b/>
      <w:bCs/>
      <w:kern w:val="2"/>
      <w:sz w:val="32"/>
      <w:szCs w:val="32"/>
    </w:rPr>
  </w:style>
  <w:style w:type="paragraph" w:customStyle="1" w:styleId="368">
    <w:name w:val="纯文本1"/>
    <w:basedOn w:val="1"/>
    <w:qFormat/>
    <w:uiPriority w:val="0"/>
    <w:pPr>
      <w:widowControl w:val="0"/>
      <w:spacing w:line="480" w:lineRule="exact"/>
      <w:ind w:firstLine="200" w:firstLineChars="200"/>
    </w:pPr>
    <w:rPr>
      <w:rFonts w:ascii="宋体" w:hAnsi="宋体" w:eastAsia="等线" w:cs="Arial"/>
      <w:color w:val="000000"/>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0298F-2BDC-4580-8DEF-9EC0AD62AA5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91</Pages>
  <Words>38806</Words>
  <Characters>40282</Characters>
  <Lines>373</Lines>
  <Paragraphs>105</Paragraphs>
  <TotalTime>3</TotalTime>
  <ScaleCrop>false</ScaleCrop>
  <LinksUpToDate>false</LinksUpToDate>
  <CharactersWithSpaces>41755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2021-05-26T08:12:00Z</dcterms:created>
  <dc:creator>罗川</dc:creator>
  <cp:lastModifiedBy>黄志平</cp:lastModifiedBy>
  <cp:lastPrinted>2021-05-27T03:36:00Z</cp:lastPrinted>
  <dcterms:modified xsi:type="dcterms:W3CDTF">2021-10-22T05:33:53Z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