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华文中宋" w:hAnsi="华文中宋" w:eastAsia="华文中宋"/>
          <w:spacing w:val="42"/>
          <w:sz w:val="84"/>
        </w:rPr>
      </w:pPr>
    </w:p>
    <w:p>
      <w:pPr>
        <w:spacing w:line="360" w:lineRule="auto"/>
        <w:jc w:val="center"/>
        <w:rPr>
          <w:rFonts w:ascii="华文中宋" w:hAnsi="华文中宋" w:eastAsia="华文中宋"/>
          <w:spacing w:val="42"/>
          <w:sz w:val="130"/>
          <w:szCs w:val="130"/>
        </w:rPr>
      </w:pPr>
      <w:r>
        <w:rPr>
          <w:rFonts w:hint="eastAsia" w:ascii="华文中宋" w:hAnsi="华文中宋" w:eastAsia="华文中宋"/>
          <w:spacing w:val="42"/>
          <w:sz w:val="130"/>
          <w:szCs w:val="130"/>
        </w:rPr>
        <w:t>招 标 文 件</w:t>
      </w:r>
    </w:p>
    <w:p>
      <w:pPr>
        <w:spacing w:line="360" w:lineRule="auto"/>
        <w:rPr>
          <w:rFonts w:ascii="华文中宋" w:hAnsi="华文中宋" w:eastAsia="华文中宋"/>
        </w:rPr>
      </w:pPr>
    </w:p>
    <w:p>
      <w:pPr>
        <w:spacing w:line="360" w:lineRule="auto"/>
        <w:rPr>
          <w:rFonts w:ascii="华文中宋" w:hAnsi="华文中宋" w:eastAsia="华文中宋"/>
          <w:sz w:val="32"/>
          <w:szCs w:val="32"/>
        </w:rPr>
      </w:pPr>
      <w:r>
        <w:rPr>
          <w:rFonts w:hint="eastAsia" w:ascii="华文中宋" w:hAnsi="华文中宋" w:eastAsia="华文中宋"/>
          <w:sz w:val="32"/>
          <w:szCs w:val="32"/>
        </w:rPr>
        <w:t>项目名称：</w:t>
      </w:r>
      <w:r>
        <w:rPr>
          <w:rFonts w:hint="eastAsia" w:ascii="华文中宋" w:hAnsi="华文中宋" w:eastAsia="华文中宋"/>
          <w:sz w:val="32"/>
          <w:szCs w:val="32"/>
          <w:lang w:eastAsia="zh-CN"/>
        </w:rPr>
        <w:t>成都市武侯实验小学</w:t>
      </w:r>
      <w:r>
        <w:rPr>
          <w:rFonts w:hint="eastAsia" w:ascii="华文中宋" w:hAnsi="华文中宋" w:eastAsia="华文中宋"/>
          <w:sz w:val="32"/>
          <w:szCs w:val="32"/>
          <w:lang w:val="en-US" w:eastAsia="zh-CN"/>
        </w:rPr>
        <w:t>LED显示屏采购项目（二次）</w:t>
      </w:r>
      <w:r>
        <w:rPr>
          <w:rFonts w:ascii="华文中宋" w:hAnsi="华文中宋" w:eastAsia="华文中宋"/>
          <w:sz w:val="32"/>
          <w:szCs w:val="32"/>
        </w:rPr>
        <w:t xml:space="preserve"> </w:t>
      </w:r>
    </w:p>
    <w:p>
      <w:pPr>
        <w:spacing w:line="360" w:lineRule="auto"/>
        <w:rPr>
          <w:rFonts w:hint="eastAsia" w:ascii="华文中宋" w:hAnsi="华文中宋" w:eastAsia="华文中宋"/>
          <w:sz w:val="32"/>
          <w:szCs w:val="32"/>
          <w:lang w:val="en-US" w:eastAsia="zh-CN"/>
        </w:rPr>
      </w:pPr>
      <w:r>
        <w:rPr>
          <w:rFonts w:hint="eastAsia" w:ascii="华文中宋" w:hAnsi="华文中宋" w:eastAsia="华文中宋"/>
          <w:sz w:val="32"/>
          <w:szCs w:val="32"/>
          <w:lang w:val="en-US" w:eastAsia="zh-CN"/>
        </w:rPr>
        <w:t>项目编号：武侯政采（2021）A0054号-1</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华文中宋" w:hAnsi="华文中宋" w:eastAsia="华文中宋"/>
          <w:sz w:val="32"/>
          <w:szCs w:val="32"/>
          <w:lang w:val="en-US" w:eastAsia="zh-CN"/>
        </w:rPr>
      </w:pPr>
    </w:p>
    <w:p>
      <w:pPr>
        <w:spacing w:line="360" w:lineRule="auto"/>
        <w:rPr>
          <w:rFonts w:ascii="华文中宋" w:hAnsi="华文中宋" w:eastAsia="华文中宋"/>
          <w:sz w:val="36"/>
          <w:szCs w:val="36"/>
        </w:rPr>
      </w:pPr>
    </w:p>
    <w:p>
      <w:pPr>
        <w:spacing w:line="360" w:lineRule="auto"/>
        <w:ind w:firstLine="1280" w:firstLineChars="400"/>
        <w:rPr>
          <w:rFonts w:ascii="华文中宋" w:hAnsi="华文中宋" w:eastAsia="华文中宋"/>
          <w:sz w:val="32"/>
          <w:szCs w:val="32"/>
        </w:rPr>
      </w:pPr>
    </w:p>
    <w:p>
      <w:pPr>
        <w:spacing w:line="360" w:lineRule="auto"/>
        <w:ind w:firstLine="1256" w:firstLineChars="349"/>
        <w:rPr>
          <w:rFonts w:ascii="华文中宋" w:hAnsi="华文中宋" w:eastAsia="华文中宋"/>
          <w:spacing w:val="20"/>
          <w:sz w:val="32"/>
          <w:szCs w:val="32"/>
        </w:rPr>
      </w:pPr>
    </w:p>
    <w:p>
      <w:pPr>
        <w:spacing w:line="360" w:lineRule="auto"/>
        <w:jc w:val="center"/>
        <w:rPr>
          <w:rFonts w:ascii="华文中宋" w:hAnsi="华文中宋" w:eastAsia="华文中宋"/>
          <w:sz w:val="32"/>
          <w:szCs w:val="32"/>
        </w:rPr>
      </w:pPr>
    </w:p>
    <w:p>
      <w:pPr>
        <w:spacing w:line="360" w:lineRule="auto"/>
        <w:jc w:val="center"/>
        <w:rPr>
          <w:rFonts w:ascii="华文中宋" w:hAnsi="华文中宋" w:eastAsia="华文中宋"/>
          <w:sz w:val="32"/>
          <w:szCs w:val="32"/>
        </w:rPr>
      </w:pPr>
    </w:p>
    <w:p>
      <w:pPr>
        <w:spacing w:line="360" w:lineRule="auto"/>
        <w:jc w:val="center"/>
        <w:rPr>
          <w:rFonts w:hint="eastAsia" w:ascii="华文中宋" w:hAnsi="华文中宋" w:eastAsia="华文中宋"/>
          <w:sz w:val="32"/>
          <w:szCs w:val="32"/>
          <w:lang w:eastAsia="zh-CN"/>
        </w:rPr>
      </w:pPr>
      <w:r>
        <w:rPr>
          <w:rFonts w:hint="eastAsia" w:ascii="华文中宋" w:hAnsi="华文中宋" w:eastAsia="华文中宋"/>
          <w:sz w:val="32"/>
          <w:szCs w:val="32"/>
          <w:lang w:eastAsia="zh-CN"/>
        </w:rPr>
        <w:t>成都市武侯实验小学</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成都市武侯区政府采购中心共同编制</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二〇二一年</w:t>
      </w:r>
      <w:r>
        <w:rPr>
          <w:rFonts w:hint="eastAsia" w:ascii="华文中宋" w:hAnsi="华文中宋" w:eastAsia="华文中宋"/>
          <w:sz w:val="32"/>
          <w:szCs w:val="32"/>
          <w:lang w:eastAsia="zh-CN"/>
        </w:rPr>
        <w:t>九</w:t>
      </w:r>
      <w:r>
        <w:rPr>
          <w:rFonts w:hint="eastAsia" w:ascii="华文中宋" w:hAnsi="华文中宋" w:eastAsia="华文中宋"/>
          <w:sz w:val="32"/>
          <w:szCs w:val="32"/>
        </w:rPr>
        <w:t>月</w:t>
      </w:r>
    </w:p>
    <w:p>
      <w:pPr>
        <w:spacing w:line="360" w:lineRule="auto"/>
        <w:jc w:val="center"/>
        <w:rPr>
          <w:rFonts w:ascii="宋体" w:hAnsi="宋体"/>
          <w:b/>
          <w:sz w:val="32"/>
          <w:szCs w:val="32"/>
        </w:rPr>
      </w:pPr>
      <w:bookmarkStart w:id="0" w:name="_Toc148505181"/>
      <w:bookmarkStart w:id="1" w:name="_Toc101234248"/>
      <w:bookmarkStart w:id="2" w:name="_Toc101247312"/>
      <w:bookmarkStart w:id="3" w:name="_Toc101328520"/>
    </w:p>
    <w:p>
      <w:pPr>
        <w:spacing w:line="360" w:lineRule="auto"/>
        <w:jc w:val="center"/>
        <w:rPr>
          <w:rFonts w:ascii="宋体" w:hAnsi="宋体"/>
          <w:b/>
          <w:sz w:val="36"/>
        </w:rPr>
      </w:pPr>
      <w:r>
        <w:rPr>
          <w:rFonts w:hint="eastAsia" w:ascii="宋体" w:hAnsi="宋体"/>
          <w:b/>
          <w:sz w:val="32"/>
          <w:szCs w:val="32"/>
        </w:rPr>
        <w:t>目 录</w:t>
      </w:r>
    </w:p>
    <w:p>
      <w:pPr>
        <w:pStyle w:val="31"/>
        <w:rPr>
          <w:rFonts w:asciiTheme="minorHAnsi" w:hAnsiTheme="minorHAnsi" w:eastAsiaTheme="minorEastAsia" w:cstheme="minorBidi"/>
          <w:bCs w:val="0"/>
          <w:caps w:val="0"/>
          <w:sz w:val="21"/>
          <w:szCs w:val="22"/>
        </w:rPr>
      </w:pPr>
      <w:r>
        <w:rPr>
          <w:rFonts w:hint="eastAsia"/>
        </w:rPr>
        <w:fldChar w:fldCharType="begin"/>
      </w:r>
      <w:r>
        <w:rPr>
          <w:rFonts w:hint="eastAsia" w:ascii="宋体" w:hAnsi="宋体"/>
          <w:smallCaps/>
        </w:rPr>
        <w:instrText xml:space="preserve"> TOC \o "1-2" \h \z \u </w:instrText>
      </w:r>
      <w:r>
        <w:rPr>
          <w:rFonts w:hint="eastAsia"/>
        </w:rPr>
        <w:fldChar w:fldCharType="separate"/>
      </w:r>
      <w:r>
        <w:fldChar w:fldCharType="begin"/>
      </w:r>
      <w:r>
        <w:instrText xml:space="preserve"> HYPERLINK \l "_Toc74752318" </w:instrText>
      </w:r>
      <w:r>
        <w:fldChar w:fldCharType="separate"/>
      </w:r>
      <w:r>
        <w:rPr>
          <w:rStyle w:val="43"/>
          <w:rFonts w:ascii="Times New Roman" w:hAnsi="Times New Roman"/>
          <w:b/>
          <w:spacing w:val="-20"/>
          <w:kern w:val="44"/>
        </w:rPr>
        <w:t>第1章</w:t>
      </w:r>
      <w:r>
        <w:rPr>
          <w:rFonts w:asciiTheme="minorHAnsi" w:hAnsiTheme="minorHAnsi" w:eastAsiaTheme="minorEastAsia" w:cstheme="minorBidi"/>
          <w:bCs w:val="0"/>
          <w:caps w:val="0"/>
          <w:sz w:val="21"/>
          <w:szCs w:val="22"/>
        </w:rPr>
        <w:tab/>
      </w:r>
      <w:r>
        <w:rPr>
          <w:rStyle w:val="43"/>
          <w:rFonts w:ascii="宋体" w:hAnsi="宋体"/>
          <w:b/>
          <w:spacing w:val="-20"/>
          <w:kern w:val="44"/>
        </w:rPr>
        <w:t>投标邀请</w:t>
      </w:r>
      <w:r>
        <w:tab/>
      </w:r>
      <w:r>
        <w:fldChar w:fldCharType="begin"/>
      </w:r>
      <w:r>
        <w:instrText xml:space="preserve"> PAGEREF _Toc74752318 \h </w:instrText>
      </w:r>
      <w:r>
        <w:fldChar w:fldCharType="separate"/>
      </w:r>
      <w:r>
        <w:t>3</w:t>
      </w:r>
      <w:r>
        <w:fldChar w:fldCharType="end"/>
      </w:r>
      <w:r>
        <w:fldChar w:fldCharType="end"/>
      </w:r>
    </w:p>
    <w:p>
      <w:pPr>
        <w:pStyle w:val="31"/>
        <w:rPr>
          <w:rFonts w:asciiTheme="minorHAnsi" w:hAnsiTheme="minorHAnsi" w:eastAsiaTheme="minorEastAsia" w:cstheme="minorBidi"/>
          <w:bCs w:val="0"/>
          <w:caps w:val="0"/>
          <w:sz w:val="21"/>
          <w:szCs w:val="22"/>
        </w:rPr>
      </w:pPr>
      <w:r>
        <w:fldChar w:fldCharType="begin"/>
      </w:r>
      <w:r>
        <w:instrText xml:space="preserve"> HYPERLINK \l "_Toc74752319" </w:instrText>
      </w:r>
      <w:r>
        <w:fldChar w:fldCharType="separate"/>
      </w:r>
      <w:r>
        <w:rPr>
          <w:rStyle w:val="43"/>
          <w:rFonts w:ascii="Times New Roman" w:hAnsi="Times New Roman"/>
          <w:b/>
          <w:spacing w:val="-20"/>
          <w:kern w:val="44"/>
        </w:rPr>
        <w:t>第2章</w:t>
      </w:r>
      <w:r>
        <w:rPr>
          <w:rFonts w:asciiTheme="minorHAnsi" w:hAnsiTheme="minorHAnsi" w:eastAsiaTheme="minorEastAsia" w:cstheme="minorBidi"/>
          <w:bCs w:val="0"/>
          <w:caps w:val="0"/>
          <w:sz w:val="21"/>
          <w:szCs w:val="22"/>
        </w:rPr>
        <w:tab/>
      </w:r>
      <w:r>
        <w:rPr>
          <w:rStyle w:val="43"/>
          <w:rFonts w:ascii="宋体" w:hAnsi="宋体"/>
          <w:b/>
          <w:spacing w:val="-20"/>
          <w:kern w:val="44"/>
        </w:rPr>
        <w:t>投标人须知</w:t>
      </w:r>
      <w:r>
        <w:tab/>
      </w:r>
      <w:r>
        <w:fldChar w:fldCharType="begin"/>
      </w:r>
      <w:r>
        <w:instrText xml:space="preserve"> PAGEREF _Toc74752319 \h </w:instrText>
      </w:r>
      <w:r>
        <w:fldChar w:fldCharType="separate"/>
      </w:r>
      <w:r>
        <w:t>7</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"_Toc74752320" </w:instrText>
      </w:r>
      <w:r>
        <w:fldChar w:fldCharType="separate"/>
      </w:r>
      <w:r>
        <w:rPr>
          <w:rStyle w:val="43"/>
          <w:rFonts w:ascii="Times New Roman" w:hAnsi="Times New Roman"/>
          <w:b/>
          <w:bCs/>
        </w:rPr>
        <w:t>2.1</w:t>
      </w:r>
      <w:r>
        <w:rPr>
          <w:rStyle w:val="43"/>
          <w:rFonts w:ascii="宋体" w:hAnsi="宋体"/>
          <w:b/>
          <w:bCs/>
        </w:rPr>
        <w:t xml:space="preserve"> 投标人须知前附表</w:t>
      </w:r>
      <w:r>
        <w:tab/>
      </w:r>
      <w:r>
        <w:fldChar w:fldCharType="begin"/>
      </w:r>
      <w:r>
        <w:instrText xml:space="preserve"> PAGEREF _Toc74752320 \h </w:instrText>
      </w:r>
      <w:r>
        <w:fldChar w:fldCharType="separate"/>
      </w:r>
      <w:r>
        <w:t>7</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"_Toc74752321" </w:instrText>
      </w:r>
      <w:r>
        <w:fldChar w:fldCharType="separate"/>
      </w:r>
      <w:r>
        <w:rPr>
          <w:rStyle w:val="43"/>
          <w:rFonts w:ascii="Times New Roman" w:hAnsi="Times New Roman"/>
          <w:b/>
          <w:bCs/>
        </w:rPr>
        <w:t>2.2</w:t>
      </w:r>
      <w:r>
        <w:rPr>
          <w:rStyle w:val="43"/>
          <w:rFonts w:ascii="宋体" w:hAnsi="宋体"/>
          <w:b/>
          <w:bCs/>
        </w:rPr>
        <w:t xml:space="preserve"> 总则</w:t>
      </w:r>
      <w:r>
        <w:tab/>
      </w:r>
      <w:r>
        <w:fldChar w:fldCharType="begin"/>
      </w:r>
      <w:r>
        <w:instrText xml:space="preserve"> PAGEREF _Toc74752321 \h </w:instrText>
      </w:r>
      <w:r>
        <w:fldChar w:fldCharType="separate"/>
      </w:r>
      <w:r>
        <w:t>10</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"_Toc74752322" </w:instrText>
      </w:r>
      <w:r>
        <w:fldChar w:fldCharType="separate"/>
      </w:r>
      <w:r>
        <w:rPr>
          <w:rStyle w:val="43"/>
          <w:rFonts w:ascii="Times New Roman" w:hAnsi="Times New Roman"/>
          <w:b/>
          <w:bCs/>
        </w:rPr>
        <w:t>2.3</w:t>
      </w:r>
      <w:r>
        <w:rPr>
          <w:rStyle w:val="43"/>
          <w:rFonts w:ascii="宋体" w:hAnsi="宋体"/>
          <w:b/>
          <w:bCs/>
        </w:rPr>
        <w:t xml:space="preserve"> 招标文件</w:t>
      </w:r>
      <w:r>
        <w:tab/>
      </w:r>
      <w:r>
        <w:fldChar w:fldCharType="begin"/>
      </w:r>
      <w:r>
        <w:instrText xml:space="preserve"> PAGEREF _Toc74752322 \h </w:instrText>
      </w:r>
      <w:r>
        <w:fldChar w:fldCharType="separate"/>
      </w:r>
      <w:r>
        <w:t>12</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"_Toc74752323" </w:instrText>
      </w:r>
      <w:r>
        <w:fldChar w:fldCharType="separate"/>
      </w:r>
      <w:r>
        <w:rPr>
          <w:rStyle w:val="43"/>
          <w:rFonts w:ascii="Times New Roman" w:hAnsi="Times New Roman"/>
          <w:b/>
          <w:bCs/>
        </w:rPr>
        <w:t>2.4</w:t>
      </w:r>
      <w:r>
        <w:rPr>
          <w:rStyle w:val="43"/>
          <w:rFonts w:ascii="宋体" w:hAnsi="宋体"/>
          <w:b/>
          <w:bCs/>
        </w:rPr>
        <w:t xml:space="preserve"> 投标文件</w:t>
      </w:r>
      <w:r>
        <w:tab/>
      </w:r>
      <w:r>
        <w:fldChar w:fldCharType="begin"/>
      </w:r>
      <w:r>
        <w:instrText xml:space="preserve"> PAGEREF _Toc74752323 \h </w:instrText>
      </w:r>
      <w:r>
        <w:fldChar w:fldCharType="separate"/>
      </w:r>
      <w:r>
        <w:t>13</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"_Toc74752324" </w:instrText>
      </w:r>
      <w:r>
        <w:fldChar w:fldCharType="separate"/>
      </w:r>
      <w:r>
        <w:rPr>
          <w:rStyle w:val="43"/>
          <w:rFonts w:ascii="Times New Roman" w:hAnsi="Times New Roman"/>
          <w:b/>
          <w:bCs/>
        </w:rPr>
        <w:t>2.5</w:t>
      </w:r>
      <w:r>
        <w:rPr>
          <w:rStyle w:val="43"/>
          <w:rFonts w:ascii="宋体" w:hAnsi="宋体"/>
          <w:b/>
          <w:bCs/>
        </w:rPr>
        <w:t xml:space="preserve"> 开标、资格审查、评标和中标</w:t>
      </w:r>
      <w:r>
        <w:tab/>
      </w:r>
      <w:r>
        <w:fldChar w:fldCharType="begin"/>
      </w:r>
      <w:r>
        <w:instrText xml:space="preserve"> PAGEREF _Toc74752324 \h </w:instrText>
      </w:r>
      <w:r>
        <w:fldChar w:fldCharType="separate"/>
      </w:r>
      <w:r>
        <w:t>20</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"_Toc74752325" </w:instrText>
      </w:r>
      <w:r>
        <w:fldChar w:fldCharType="separate"/>
      </w:r>
      <w:r>
        <w:rPr>
          <w:rStyle w:val="43"/>
          <w:rFonts w:ascii="Times New Roman" w:hAnsi="Times New Roman"/>
          <w:b/>
          <w:bCs/>
        </w:rPr>
        <w:t>2.6</w:t>
      </w:r>
      <w:r>
        <w:rPr>
          <w:rStyle w:val="43"/>
          <w:rFonts w:ascii="宋体" w:hAnsi="宋体"/>
          <w:b/>
          <w:bCs/>
        </w:rPr>
        <w:t xml:space="preserve"> 签订及履行合同和验收</w:t>
      </w:r>
      <w:r>
        <w:tab/>
      </w:r>
      <w:r>
        <w:fldChar w:fldCharType="begin"/>
      </w:r>
      <w:r>
        <w:instrText xml:space="preserve"> PAGEREF _Toc74752325 \h </w:instrText>
      </w:r>
      <w:r>
        <w:fldChar w:fldCharType="separate"/>
      </w:r>
      <w:r>
        <w:t>22</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"_Toc74752326" </w:instrText>
      </w:r>
      <w:r>
        <w:fldChar w:fldCharType="separate"/>
      </w:r>
      <w:r>
        <w:rPr>
          <w:rStyle w:val="43"/>
          <w:rFonts w:ascii="Times New Roman" w:hAnsi="Times New Roman"/>
          <w:b/>
          <w:bCs/>
        </w:rPr>
        <w:t>2.7</w:t>
      </w:r>
      <w:r>
        <w:rPr>
          <w:rStyle w:val="43"/>
          <w:rFonts w:ascii="宋体" w:hAnsi="宋体"/>
          <w:b/>
          <w:bCs/>
        </w:rPr>
        <w:t xml:space="preserve"> 投标纪律要求</w:t>
      </w:r>
      <w:r>
        <w:tab/>
      </w:r>
      <w:r>
        <w:fldChar w:fldCharType="begin"/>
      </w:r>
      <w:r>
        <w:instrText xml:space="preserve"> PAGEREF _Toc74752326 \h </w:instrText>
      </w:r>
      <w:r>
        <w:fldChar w:fldCharType="separate"/>
      </w:r>
      <w:r>
        <w:t>24</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"_Toc74752327" </w:instrText>
      </w:r>
      <w:r>
        <w:fldChar w:fldCharType="separate"/>
      </w:r>
      <w:r>
        <w:rPr>
          <w:rStyle w:val="43"/>
          <w:rFonts w:ascii="Times New Roman" w:hAnsi="Times New Roman"/>
          <w:b/>
          <w:bCs/>
        </w:rPr>
        <w:t>2.8</w:t>
      </w:r>
      <w:r>
        <w:rPr>
          <w:rStyle w:val="43"/>
          <w:rFonts w:ascii="宋体" w:hAnsi="宋体"/>
          <w:b/>
          <w:bCs/>
        </w:rPr>
        <w:t xml:space="preserve"> 询问、质疑和投诉</w:t>
      </w:r>
      <w:r>
        <w:tab/>
      </w:r>
      <w:r>
        <w:fldChar w:fldCharType="begin"/>
      </w:r>
      <w:r>
        <w:instrText xml:space="preserve"> PAGEREF _Toc74752327 \h </w:instrText>
      </w:r>
      <w:r>
        <w:fldChar w:fldCharType="separate"/>
      </w:r>
      <w:r>
        <w:t>27</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"_Toc74752328" </w:instrText>
      </w:r>
      <w:r>
        <w:fldChar w:fldCharType="separate"/>
      </w:r>
      <w:r>
        <w:rPr>
          <w:rStyle w:val="43"/>
          <w:rFonts w:ascii="Times New Roman" w:hAnsi="Times New Roman"/>
          <w:b/>
          <w:bCs/>
        </w:rPr>
        <w:t>2.9</w:t>
      </w:r>
      <w:r>
        <w:rPr>
          <w:rStyle w:val="43"/>
          <w:rFonts w:ascii="宋体" w:hAnsi="宋体"/>
          <w:b/>
          <w:bCs/>
        </w:rPr>
        <w:t xml:space="preserve"> 中小企业政府采购信用融资</w:t>
      </w:r>
      <w:r>
        <w:tab/>
      </w:r>
      <w:r>
        <w:fldChar w:fldCharType="begin"/>
      </w:r>
      <w:r>
        <w:instrText xml:space="preserve"> PAGEREF _Toc74752328 \h </w:instrText>
      </w:r>
      <w:r>
        <w:fldChar w:fldCharType="separate"/>
      </w:r>
      <w:r>
        <w:t>28</w:t>
      </w:r>
      <w:r>
        <w:fldChar w:fldCharType="end"/>
      </w:r>
      <w:r>
        <w:fldChar w:fldCharType="end"/>
      </w:r>
    </w:p>
    <w:p>
      <w:pPr>
        <w:pStyle w:val="31"/>
        <w:rPr>
          <w:rFonts w:asciiTheme="minorHAnsi" w:hAnsiTheme="minorHAnsi" w:eastAsiaTheme="minorEastAsia" w:cstheme="minorBidi"/>
          <w:bCs w:val="0"/>
          <w:caps w:val="0"/>
          <w:sz w:val="21"/>
          <w:szCs w:val="22"/>
        </w:rPr>
      </w:pPr>
      <w:r>
        <w:fldChar w:fldCharType="begin"/>
      </w:r>
      <w:r>
        <w:instrText xml:space="preserve"> HYPERLINK \l "_Toc74752329" </w:instrText>
      </w:r>
      <w:r>
        <w:fldChar w:fldCharType="separate"/>
      </w:r>
      <w:r>
        <w:rPr>
          <w:rStyle w:val="43"/>
          <w:rFonts w:ascii="Times New Roman" w:hAnsi="Times New Roman"/>
          <w:b/>
          <w:spacing w:val="-20"/>
          <w:kern w:val="44"/>
        </w:rPr>
        <w:t>第3章</w:t>
      </w:r>
      <w:r>
        <w:rPr>
          <w:rFonts w:asciiTheme="minorHAnsi" w:hAnsiTheme="minorHAnsi" w:eastAsiaTheme="minorEastAsia" w:cstheme="minorBidi"/>
          <w:bCs w:val="0"/>
          <w:caps w:val="0"/>
          <w:sz w:val="21"/>
          <w:szCs w:val="22"/>
        </w:rPr>
        <w:tab/>
      </w:r>
      <w:r>
        <w:rPr>
          <w:rStyle w:val="43"/>
          <w:rFonts w:ascii="宋体" w:hAnsi="宋体"/>
          <w:b/>
          <w:spacing w:val="-20"/>
          <w:kern w:val="44"/>
        </w:rPr>
        <w:t>投标文件格式</w:t>
      </w:r>
      <w:r>
        <w:tab/>
      </w:r>
      <w:r>
        <w:fldChar w:fldCharType="begin"/>
      </w:r>
      <w:r>
        <w:instrText xml:space="preserve"> PAGEREF _Toc74752329 \h </w:instrText>
      </w:r>
      <w:r>
        <w:fldChar w:fldCharType="separate"/>
      </w:r>
      <w:r>
        <w:t>29</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"_Toc74752330" </w:instrText>
      </w:r>
      <w:r>
        <w:fldChar w:fldCharType="separate"/>
      </w:r>
      <w:r>
        <w:rPr>
          <w:rStyle w:val="43"/>
          <w:rFonts w:ascii="Times New Roman" w:hAnsi="Times New Roman"/>
          <w:b/>
          <w:bCs/>
        </w:rPr>
        <w:t>3.1</w:t>
      </w:r>
      <w:r>
        <w:rPr>
          <w:rStyle w:val="43"/>
          <w:rFonts w:ascii="宋体" w:hAnsi="宋体"/>
          <w:b/>
          <w:bCs/>
        </w:rPr>
        <w:t xml:space="preserve"> 投标文件封面格式</w:t>
      </w:r>
      <w:r>
        <w:tab/>
      </w:r>
      <w:r>
        <w:fldChar w:fldCharType="begin"/>
      </w:r>
      <w:r>
        <w:instrText xml:space="preserve"> PAGEREF _Toc74752330 \h </w:instrText>
      </w:r>
      <w:r>
        <w:fldChar w:fldCharType="separate"/>
      </w:r>
      <w:r>
        <w:t>29</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"_Toc74752331" </w:instrText>
      </w:r>
      <w:r>
        <w:fldChar w:fldCharType="separate"/>
      </w:r>
      <w:r>
        <w:rPr>
          <w:rStyle w:val="43"/>
          <w:rFonts w:ascii="Times New Roman" w:hAnsi="Times New Roman"/>
          <w:b/>
          <w:bCs/>
        </w:rPr>
        <w:t>3.2</w:t>
      </w:r>
      <w:r>
        <w:rPr>
          <w:rStyle w:val="43"/>
          <w:rFonts w:ascii="宋体" w:hAnsi="宋体"/>
          <w:b/>
          <w:bCs/>
        </w:rPr>
        <w:t xml:space="preserve"> 资格响应文件</w:t>
      </w:r>
      <w:r>
        <w:tab/>
      </w:r>
      <w:r>
        <w:fldChar w:fldCharType="begin"/>
      </w:r>
      <w:r>
        <w:instrText xml:space="preserve"> PAGEREF _Toc74752331 \h </w:instrText>
      </w:r>
      <w:r>
        <w:fldChar w:fldCharType="separate"/>
      </w:r>
      <w:r>
        <w:t>30</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"_Toc74752332" </w:instrText>
      </w:r>
      <w:r>
        <w:fldChar w:fldCharType="separate"/>
      </w:r>
      <w:r>
        <w:rPr>
          <w:rStyle w:val="43"/>
          <w:rFonts w:ascii="Times New Roman" w:hAnsi="Times New Roman"/>
          <w:b/>
          <w:bCs/>
        </w:rPr>
        <w:t>3.3</w:t>
      </w:r>
      <w:r>
        <w:rPr>
          <w:rStyle w:val="43"/>
          <w:rFonts w:ascii="宋体" w:hAnsi="宋体"/>
          <w:b/>
          <w:bCs/>
        </w:rPr>
        <w:t xml:space="preserve"> 商务技术响应文件</w:t>
      </w:r>
      <w:r>
        <w:tab/>
      </w:r>
      <w:r>
        <w:fldChar w:fldCharType="begin"/>
      </w:r>
      <w:r>
        <w:instrText xml:space="preserve"> PAGEREF _Toc74752332 \h </w:instrText>
      </w:r>
      <w:r>
        <w:fldChar w:fldCharType="separate"/>
      </w:r>
      <w:r>
        <w:t>34</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"_Toc74752333" </w:instrText>
      </w:r>
      <w:r>
        <w:fldChar w:fldCharType="separate"/>
      </w:r>
      <w:r>
        <w:rPr>
          <w:rStyle w:val="43"/>
          <w:rFonts w:ascii="Times New Roman" w:hAnsi="Times New Roman"/>
          <w:b/>
          <w:bCs/>
        </w:rPr>
        <w:t>3.4</w:t>
      </w:r>
      <w:r>
        <w:rPr>
          <w:rStyle w:val="43"/>
          <w:rFonts w:ascii="宋体" w:hAnsi="宋体"/>
          <w:b/>
          <w:bCs/>
        </w:rPr>
        <w:t xml:space="preserve"> 报价要求响应文件</w:t>
      </w:r>
      <w:r>
        <w:tab/>
      </w:r>
      <w:r>
        <w:fldChar w:fldCharType="begin"/>
      </w:r>
      <w:r>
        <w:instrText xml:space="preserve"> PAGEREF _Toc74752333 \h </w:instrText>
      </w:r>
      <w:r>
        <w:fldChar w:fldCharType="separate"/>
      </w:r>
      <w:r>
        <w:t>41</w:t>
      </w:r>
      <w:r>
        <w:fldChar w:fldCharType="end"/>
      </w:r>
      <w:r>
        <w:fldChar w:fldCharType="end"/>
      </w:r>
    </w:p>
    <w:p>
      <w:pPr>
        <w:pStyle w:val="31"/>
        <w:rPr>
          <w:rFonts w:asciiTheme="minorHAnsi" w:hAnsiTheme="minorHAnsi" w:eastAsiaTheme="minorEastAsia" w:cstheme="minorBidi"/>
          <w:bCs w:val="0"/>
          <w:caps w:val="0"/>
          <w:sz w:val="21"/>
          <w:szCs w:val="22"/>
        </w:rPr>
      </w:pPr>
      <w:r>
        <w:fldChar w:fldCharType="begin"/>
      </w:r>
      <w:r>
        <w:instrText xml:space="preserve"> HYPERLINK \l "_Toc74752334" </w:instrText>
      </w:r>
      <w:r>
        <w:fldChar w:fldCharType="separate"/>
      </w:r>
      <w:r>
        <w:rPr>
          <w:rStyle w:val="43"/>
          <w:rFonts w:ascii="Times New Roman" w:hAnsi="Times New Roman"/>
          <w:b/>
          <w:spacing w:val="-20"/>
          <w:kern w:val="44"/>
        </w:rPr>
        <w:t>第4章</w:t>
      </w:r>
      <w:r>
        <w:rPr>
          <w:rFonts w:asciiTheme="minorHAnsi" w:hAnsiTheme="minorHAnsi" w:eastAsiaTheme="minorEastAsia" w:cstheme="minorBidi"/>
          <w:bCs w:val="0"/>
          <w:caps w:val="0"/>
          <w:sz w:val="21"/>
          <w:szCs w:val="22"/>
        </w:rPr>
        <w:tab/>
      </w:r>
      <w:r>
        <w:rPr>
          <w:rStyle w:val="43"/>
          <w:rFonts w:ascii="宋体" w:hAnsi="宋体"/>
          <w:b/>
          <w:spacing w:val="-20"/>
          <w:kern w:val="44"/>
        </w:rPr>
        <w:t>招标项目技术、服务、商务及其他要求</w:t>
      </w:r>
      <w:r>
        <w:tab/>
      </w:r>
      <w:r>
        <w:fldChar w:fldCharType="begin"/>
      </w:r>
      <w:r>
        <w:instrText xml:space="preserve"> PAGEREF _Toc74752334 \h </w:instrText>
      </w:r>
      <w:r>
        <w:fldChar w:fldCharType="separate"/>
      </w:r>
      <w:r>
        <w:t>48</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"_Toc74752335" </w:instrText>
      </w:r>
      <w:r>
        <w:fldChar w:fldCharType="separate"/>
      </w:r>
      <w:r>
        <w:rPr>
          <w:rStyle w:val="43"/>
          <w:rFonts w:ascii="Times New Roman" w:hAnsi="Times New Roman"/>
          <w:b/>
          <w:bCs/>
        </w:rPr>
        <w:t>4.1</w:t>
      </w:r>
      <w:r>
        <w:rPr>
          <w:rStyle w:val="43"/>
          <w:rFonts w:ascii="宋体" w:hAnsi="宋体"/>
          <w:b/>
          <w:bCs/>
        </w:rPr>
        <w:t xml:space="preserve"> 项目概况</w:t>
      </w:r>
      <w:r>
        <w:tab/>
      </w:r>
      <w:r>
        <w:rPr>
          <w:rFonts w:hint="eastAsia"/>
          <w:lang w:val="en-US" w:eastAsia="zh-CN"/>
        </w:rPr>
        <w:t xml:space="preserve"> 4</w:t>
      </w:r>
      <w:r>
        <w:fldChar w:fldCharType="end"/>
      </w:r>
      <w:r>
        <w:rPr>
          <w:rFonts w:hint="eastAsia"/>
          <w:lang w:val="en-US" w:eastAsia="zh-CN"/>
        </w:rPr>
        <w:t>8</w:t>
      </w:r>
    </w:p>
    <w:p>
      <w:pPr>
        <w:pStyle w:val="37"/>
        <w:rPr>
          <w:rFonts w:asciiTheme="minorHAnsi" w:hAnsiTheme="minorHAnsi" w:eastAsiaTheme="minorEastAsia" w:cstheme="minorBidi"/>
          <w:smallCaps w:val="0"/>
          <w:sz w:val="21"/>
          <w:szCs w:val="22"/>
        </w:rPr>
      </w:pPr>
      <w:r>
        <w:fldChar w:fldCharType="begin"/>
      </w:r>
      <w:r>
        <w:instrText xml:space="preserve"> HYPERLINK \l "_Toc74752336" </w:instrText>
      </w:r>
      <w:r>
        <w:fldChar w:fldCharType="separate"/>
      </w:r>
      <w:r>
        <w:rPr>
          <w:rStyle w:val="43"/>
          <w:rFonts w:ascii="Times New Roman" w:hAnsi="Times New Roman"/>
          <w:b/>
          <w:bCs/>
        </w:rPr>
        <w:t>4.2</w:t>
      </w:r>
      <w:r>
        <w:rPr>
          <w:rStyle w:val="43"/>
          <w:rFonts w:ascii="宋体" w:hAnsi="宋体"/>
          <w:b/>
          <w:bCs/>
        </w:rPr>
        <w:t xml:space="preserve"> 采购内容</w:t>
      </w:r>
      <w:r>
        <w:tab/>
      </w:r>
      <w:r>
        <w:rPr>
          <w:rFonts w:hint="eastAsia"/>
          <w:lang w:val="en-US" w:eastAsia="zh-CN"/>
        </w:rPr>
        <w:t>4</w:t>
      </w:r>
      <w:r>
        <w:fldChar w:fldCharType="end"/>
      </w:r>
      <w:r>
        <w:rPr>
          <w:rFonts w:hint="eastAsia"/>
          <w:lang w:val="en-US" w:eastAsia="zh-CN"/>
        </w:rPr>
        <w:t>9</w:t>
      </w:r>
    </w:p>
    <w:p>
      <w:pPr>
        <w:pStyle w:val="37"/>
        <w:rPr>
          <w:rFonts w:asciiTheme="minorHAnsi" w:hAnsiTheme="minorHAnsi" w:eastAsiaTheme="minorEastAsia" w:cstheme="minorBidi"/>
          <w:smallCaps w:val="0"/>
          <w:sz w:val="21"/>
          <w:szCs w:val="22"/>
        </w:rPr>
      </w:pPr>
      <w:r>
        <w:fldChar w:fldCharType="begin"/>
      </w:r>
      <w:r>
        <w:instrText xml:space="preserve"> HYPERLINK \l "_Toc74752337" </w:instrText>
      </w:r>
      <w:r>
        <w:fldChar w:fldCharType="separate"/>
      </w:r>
      <w:r>
        <w:rPr>
          <w:rStyle w:val="43"/>
          <w:rFonts w:ascii="Times New Roman" w:hAnsi="Times New Roman"/>
          <w:b/>
          <w:bCs/>
        </w:rPr>
        <w:t>4.3</w:t>
      </w:r>
      <w:r>
        <w:rPr>
          <w:rStyle w:val="43"/>
          <w:rFonts w:ascii="宋体" w:hAnsi="宋体"/>
          <w:b/>
          <w:bCs/>
        </w:rPr>
        <w:t xml:space="preserve"> 技术参数及要求</w:t>
      </w:r>
      <w:r>
        <w:tab/>
      </w:r>
      <w:r>
        <w:rPr>
          <w:rFonts w:hint="eastAsia"/>
          <w:lang w:val="en-US" w:eastAsia="zh-CN"/>
        </w:rPr>
        <w:t>5</w:t>
      </w:r>
      <w:r>
        <w:fldChar w:fldCharType="end"/>
      </w:r>
      <w:r>
        <w:rPr>
          <w:rFonts w:hint="eastAsia"/>
          <w:lang w:val="en-US" w:eastAsia="zh-CN"/>
        </w:rPr>
        <w:t>0</w:t>
      </w:r>
    </w:p>
    <w:p>
      <w:pPr>
        <w:pStyle w:val="37"/>
        <w:rPr>
          <w:rFonts w:asciiTheme="minorHAnsi" w:hAnsiTheme="minorHAnsi" w:eastAsiaTheme="minorEastAsia" w:cstheme="minorBidi"/>
          <w:smallCaps w:val="0"/>
          <w:sz w:val="21"/>
          <w:szCs w:val="22"/>
        </w:rPr>
      </w:pPr>
      <w:r>
        <w:fldChar w:fldCharType="begin"/>
      </w:r>
      <w:r>
        <w:instrText xml:space="preserve"> HYPERLINK \l "_Toc74752338" </w:instrText>
      </w:r>
      <w:r>
        <w:fldChar w:fldCharType="separate"/>
      </w:r>
      <w:r>
        <w:rPr>
          <w:rStyle w:val="43"/>
          <w:rFonts w:ascii="Times New Roman" w:hAnsi="Times New Roman"/>
          <w:b/>
          <w:bCs/>
        </w:rPr>
        <w:t>4.4</w:t>
      </w:r>
      <w:r>
        <w:rPr>
          <w:rStyle w:val="43"/>
          <w:rFonts w:ascii="宋体" w:hAnsi="宋体"/>
          <w:b/>
          <w:bCs/>
        </w:rPr>
        <w:t xml:space="preserve"> 商务要求</w:t>
      </w:r>
      <w:r>
        <w:tab/>
      </w:r>
      <w:r>
        <w:rPr>
          <w:rFonts w:hint="eastAsia"/>
          <w:lang w:val="en-US" w:eastAsia="zh-CN"/>
        </w:rPr>
        <w:t>5</w:t>
      </w:r>
      <w:r>
        <w:fldChar w:fldCharType="end"/>
      </w:r>
      <w:r>
        <w:rPr>
          <w:rFonts w:hint="eastAsia"/>
          <w:lang w:val="en-US" w:eastAsia="zh-CN"/>
        </w:rPr>
        <w:t>8</w:t>
      </w:r>
    </w:p>
    <w:p>
      <w:pPr>
        <w:pStyle w:val="31"/>
        <w:rPr>
          <w:rFonts w:asciiTheme="minorHAnsi" w:hAnsiTheme="minorHAnsi" w:eastAsiaTheme="minorEastAsia" w:cstheme="minorBidi"/>
          <w:bCs w:val="0"/>
          <w:caps w:val="0"/>
          <w:sz w:val="21"/>
          <w:szCs w:val="22"/>
        </w:rPr>
      </w:pPr>
      <w:r>
        <w:fldChar w:fldCharType="begin"/>
      </w:r>
      <w:r>
        <w:instrText xml:space="preserve"> HYPERLINK \l "_Toc74752339" </w:instrText>
      </w:r>
      <w:r>
        <w:fldChar w:fldCharType="separate"/>
      </w:r>
      <w:r>
        <w:rPr>
          <w:rStyle w:val="43"/>
          <w:rFonts w:ascii="Times New Roman" w:hAnsi="Times New Roman"/>
          <w:b/>
          <w:spacing w:val="-20"/>
          <w:kern w:val="44"/>
        </w:rPr>
        <w:t>第5章</w:t>
      </w:r>
      <w:r>
        <w:rPr>
          <w:rFonts w:asciiTheme="minorHAnsi" w:hAnsiTheme="minorHAnsi" w:eastAsiaTheme="minorEastAsia" w:cstheme="minorBidi"/>
          <w:bCs w:val="0"/>
          <w:caps w:val="0"/>
          <w:sz w:val="21"/>
          <w:szCs w:val="22"/>
        </w:rPr>
        <w:tab/>
      </w:r>
      <w:r>
        <w:rPr>
          <w:rStyle w:val="43"/>
          <w:rFonts w:ascii="宋体" w:hAnsi="宋体"/>
          <w:b/>
          <w:spacing w:val="-20"/>
          <w:kern w:val="44"/>
        </w:rPr>
        <w:t>资格性审查</w:t>
      </w:r>
      <w:r>
        <w:tab/>
      </w:r>
      <w:r>
        <w:rPr>
          <w:rFonts w:hint="eastAsia"/>
          <w:lang w:val="en-US" w:eastAsia="zh-CN"/>
        </w:rPr>
        <w:t>6</w:t>
      </w:r>
      <w:r>
        <w:fldChar w:fldCharType="end"/>
      </w:r>
      <w:r>
        <w:rPr>
          <w:rFonts w:hint="eastAsia"/>
          <w:lang w:val="en-US" w:eastAsia="zh-CN"/>
        </w:rPr>
        <w:t>2</w:t>
      </w:r>
    </w:p>
    <w:p>
      <w:pPr>
        <w:pStyle w:val="31"/>
        <w:rPr>
          <w:rFonts w:asciiTheme="minorHAnsi" w:hAnsiTheme="minorHAnsi" w:eastAsiaTheme="minorEastAsia" w:cstheme="minorBidi"/>
          <w:bCs w:val="0"/>
          <w:caps w:val="0"/>
          <w:sz w:val="21"/>
          <w:szCs w:val="22"/>
        </w:rPr>
      </w:pPr>
      <w:r>
        <w:fldChar w:fldCharType="begin"/>
      </w:r>
      <w:r>
        <w:instrText xml:space="preserve"> HYPERLINK \l "_Toc74752340" </w:instrText>
      </w:r>
      <w:r>
        <w:fldChar w:fldCharType="separate"/>
      </w:r>
      <w:r>
        <w:rPr>
          <w:rStyle w:val="43"/>
          <w:rFonts w:ascii="Times New Roman" w:hAnsi="Times New Roman"/>
          <w:b/>
          <w:spacing w:val="-20"/>
          <w:kern w:val="44"/>
        </w:rPr>
        <w:t>第6章</w:t>
      </w:r>
      <w:r>
        <w:rPr>
          <w:rFonts w:asciiTheme="minorHAnsi" w:hAnsiTheme="minorHAnsi" w:eastAsiaTheme="minorEastAsia" w:cstheme="minorBidi"/>
          <w:bCs w:val="0"/>
          <w:caps w:val="0"/>
          <w:sz w:val="21"/>
          <w:szCs w:val="22"/>
        </w:rPr>
        <w:tab/>
      </w:r>
      <w:r>
        <w:rPr>
          <w:rStyle w:val="43"/>
          <w:rFonts w:ascii="宋体" w:hAnsi="宋体"/>
          <w:b/>
          <w:spacing w:val="-20"/>
          <w:kern w:val="44"/>
        </w:rPr>
        <w:t>评标办法</w:t>
      </w:r>
      <w:r>
        <w:tab/>
      </w:r>
      <w:r>
        <w:fldChar w:fldCharType="begin"/>
      </w:r>
      <w:r>
        <w:instrText xml:space="preserve"> PAGEREF _Toc74752340 \h </w:instrText>
      </w:r>
      <w:r>
        <w:fldChar w:fldCharType="separate"/>
      </w:r>
      <w:r>
        <w:t>66</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"_Toc74752341" </w:instrText>
      </w:r>
      <w:r>
        <w:fldChar w:fldCharType="separate"/>
      </w:r>
      <w:r>
        <w:rPr>
          <w:rStyle w:val="43"/>
          <w:rFonts w:ascii="Times New Roman" w:hAnsi="Times New Roman"/>
          <w:b/>
          <w:bCs/>
        </w:rPr>
        <w:t>6.1</w:t>
      </w:r>
      <w:r>
        <w:rPr>
          <w:rStyle w:val="43"/>
          <w:rFonts w:ascii="宋体" w:hAnsi="宋体"/>
          <w:b/>
          <w:bCs/>
        </w:rPr>
        <w:t xml:space="preserve"> 总则</w:t>
      </w:r>
      <w:r>
        <w:tab/>
      </w:r>
      <w:r>
        <w:fldChar w:fldCharType="begin"/>
      </w:r>
      <w:r>
        <w:instrText xml:space="preserve"> PAGEREF _Toc74752341 \h </w:instrText>
      </w:r>
      <w:r>
        <w:fldChar w:fldCharType="separate"/>
      </w:r>
      <w:r>
        <w:t>66</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"_Toc74752342" </w:instrText>
      </w:r>
      <w:r>
        <w:fldChar w:fldCharType="separate"/>
      </w:r>
      <w:r>
        <w:rPr>
          <w:rStyle w:val="43"/>
          <w:rFonts w:ascii="Times New Roman" w:hAnsi="Times New Roman"/>
          <w:b/>
          <w:bCs/>
        </w:rPr>
        <w:t>6.2</w:t>
      </w:r>
      <w:r>
        <w:rPr>
          <w:rStyle w:val="43"/>
          <w:rFonts w:ascii="宋体" w:hAnsi="宋体"/>
          <w:b/>
          <w:bCs/>
        </w:rPr>
        <w:t xml:space="preserve"> 评标方法</w:t>
      </w:r>
      <w:r>
        <w:tab/>
      </w:r>
      <w:r>
        <w:fldChar w:fldCharType="begin"/>
      </w:r>
      <w:r>
        <w:instrText xml:space="preserve"> PAGEREF _Toc74752342 \h </w:instrText>
      </w:r>
      <w:r>
        <w:fldChar w:fldCharType="separate"/>
      </w:r>
      <w:r>
        <w:t>67</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"_Toc74752343" </w:instrText>
      </w:r>
      <w:r>
        <w:fldChar w:fldCharType="separate"/>
      </w:r>
      <w:r>
        <w:rPr>
          <w:rStyle w:val="43"/>
          <w:rFonts w:ascii="Times New Roman" w:hAnsi="Times New Roman"/>
          <w:b/>
          <w:bCs/>
        </w:rPr>
        <w:t>6.3</w:t>
      </w:r>
      <w:r>
        <w:rPr>
          <w:rStyle w:val="43"/>
          <w:rFonts w:ascii="宋体" w:hAnsi="宋体"/>
          <w:b/>
          <w:bCs/>
        </w:rPr>
        <w:t xml:space="preserve"> 评标程序</w:t>
      </w:r>
      <w:r>
        <w:tab/>
      </w:r>
      <w:r>
        <w:fldChar w:fldCharType="begin"/>
      </w:r>
      <w:r>
        <w:instrText xml:space="preserve"> PAGEREF _Toc74752343 \h </w:instrText>
      </w:r>
      <w:r>
        <w:fldChar w:fldCharType="separate"/>
      </w:r>
      <w:r>
        <w:t>67</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"_Toc74752344" </w:instrText>
      </w:r>
      <w:r>
        <w:fldChar w:fldCharType="separate"/>
      </w:r>
      <w:r>
        <w:rPr>
          <w:rStyle w:val="43"/>
          <w:rFonts w:ascii="Times New Roman" w:hAnsi="Times New Roman"/>
          <w:b/>
          <w:bCs/>
        </w:rPr>
        <w:t>6.4</w:t>
      </w:r>
      <w:r>
        <w:rPr>
          <w:rStyle w:val="43"/>
          <w:rFonts w:ascii="宋体" w:hAnsi="宋体"/>
          <w:b/>
          <w:bCs/>
        </w:rPr>
        <w:t xml:space="preserve"> 评标争议处理规则</w:t>
      </w:r>
      <w:r>
        <w:tab/>
      </w:r>
      <w:r>
        <w:fldChar w:fldCharType="begin"/>
      </w:r>
      <w:r>
        <w:instrText xml:space="preserve"> PAGEREF _Toc74752344 \h </w:instrText>
      </w:r>
      <w:r>
        <w:fldChar w:fldCharType="separate"/>
      </w:r>
      <w:r>
        <w:t>73</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"_Toc74752345" </w:instrText>
      </w:r>
      <w:r>
        <w:fldChar w:fldCharType="separate"/>
      </w:r>
      <w:r>
        <w:rPr>
          <w:rStyle w:val="43"/>
          <w:rFonts w:ascii="Times New Roman" w:hAnsi="Times New Roman"/>
          <w:b/>
          <w:bCs/>
        </w:rPr>
        <w:t>6.5</w:t>
      </w:r>
      <w:r>
        <w:rPr>
          <w:rStyle w:val="43"/>
          <w:rFonts w:ascii="宋体" w:hAnsi="宋体"/>
          <w:b/>
          <w:bCs/>
        </w:rPr>
        <w:t xml:space="preserve"> 评标细则及标准</w:t>
      </w:r>
      <w:r>
        <w:tab/>
      </w:r>
      <w:r>
        <w:fldChar w:fldCharType="begin"/>
      </w:r>
      <w:r>
        <w:instrText xml:space="preserve"> PAGEREF _Toc74752345 \h </w:instrText>
      </w:r>
      <w:r>
        <w:fldChar w:fldCharType="separate"/>
      </w:r>
      <w:r>
        <w:t>74</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"_Toc74752346" </w:instrText>
      </w:r>
      <w:r>
        <w:fldChar w:fldCharType="separate"/>
      </w:r>
      <w:r>
        <w:rPr>
          <w:rStyle w:val="43"/>
          <w:rFonts w:ascii="Times New Roman" w:hAnsi="Times New Roman"/>
          <w:b/>
          <w:bCs/>
        </w:rPr>
        <w:t>6.6</w:t>
      </w:r>
      <w:r>
        <w:rPr>
          <w:rStyle w:val="43"/>
          <w:rFonts w:ascii="宋体" w:hAnsi="宋体"/>
          <w:b/>
          <w:bCs/>
        </w:rPr>
        <w:t xml:space="preserve"> 废标</w:t>
      </w:r>
      <w:r>
        <w:tab/>
      </w:r>
      <w:r>
        <w:fldChar w:fldCharType="begin"/>
      </w:r>
      <w:r>
        <w:instrText xml:space="preserve"> PAGEREF _Toc74752346 \h </w:instrText>
      </w:r>
      <w:r>
        <w:fldChar w:fldCharType="separate"/>
      </w:r>
      <w:r>
        <w:t>79</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"_Toc74752347" </w:instrText>
      </w:r>
      <w:r>
        <w:fldChar w:fldCharType="separate"/>
      </w:r>
      <w:r>
        <w:rPr>
          <w:rStyle w:val="43"/>
          <w:rFonts w:ascii="Times New Roman" w:hAnsi="Times New Roman"/>
          <w:b/>
          <w:bCs/>
        </w:rPr>
        <w:t>6.7</w:t>
      </w:r>
      <w:r>
        <w:rPr>
          <w:rStyle w:val="43"/>
          <w:rFonts w:ascii="宋体" w:hAnsi="宋体"/>
          <w:b/>
          <w:bCs/>
        </w:rPr>
        <w:t xml:space="preserve"> 定标</w:t>
      </w:r>
      <w:r>
        <w:tab/>
      </w:r>
      <w:r>
        <w:fldChar w:fldCharType="begin"/>
      </w:r>
      <w:r>
        <w:instrText xml:space="preserve"> PAGEREF _Toc74752347 \h </w:instrText>
      </w:r>
      <w:r>
        <w:fldChar w:fldCharType="separate"/>
      </w:r>
      <w:r>
        <w:t>80</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"_Toc74752348" </w:instrText>
      </w:r>
      <w:r>
        <w:fldChar w:fldCharType="separate"/>
      </w:r>
      <w:r>
        <w:rPr>
          <w:rStyle w:val="43"/>
          <w:rFonts w:ascii="Times New Roman" w:hAnsi="Times New Roman"/>
          <w:b/>
          <w:bCs/>
        </w:rPr>
        <w:t>6.8</w:t>
      </w:r>
      <w:r>
        <w:rPr>
          <w:rStyle w:val="43"/>
          <w:rFonts w:ascii="宋体" w:hAnsi="宋体"/>
          <w:b/>
          <w:bCs/>
        </w:rPr>
        <w:t xml:space="preserve"> 评标专家在政府采购活动中承担以下义务</w:t>
      </w:r>
      <w:r>
        <w:tab/>
      </w:r>
      <w:r>
        <w:fldChar w:fldCharType="begin"/>
      </w:r>
      <w:r>
        <w:instrText xml:space="preserve"> PAGEREF _Toc74752348 \h </w:instrText>
      </w:r>
      <w:r>
        <w:fldChar w:fldCharType="separate"/>
      </w:r>
      <w:r>
        <w:t>81</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"_Toc74752349" </w:instrText>
      </w:r>
      <w:r>
        <w:fldChar w:fldCharType="separate"/>
      </w:r>
      <w:r>
        <w:rPr>
          <w:rStyle w:val="43"/>
          <w:rFonts w:ascii="Times New Roman" w:hAnsi="Times New Roman"/>
          <w:b/>
          <w:bCs/>
        </w:rPr>
        <w:t>6.9</w:t>
      </w:r>
      <w:r>
        <w:rPr>
          <w:rStyle w:val="43"/>
          <w:rFonts w:ascii="宋体" w:hAnsi="宋体"/>
          <w:b/>
          <w:bCs/>
        </w:rPr>
        <w:t xml:space="preserve"> 评标委员会及其成员不得有下列行为</w:t>
      </w:r>
      <w:r>
        <w:tab/>
      </w:r>
      <w:r>
        <w:fldChar w:fldCharType="begin"/>
      </w:r>
      <w:r>
        <w:instrText xml:space="preserve"> PAGEREF _Toc74752349 \h </w:instrText>
      </w:r>
      <w:r>
        <w:fldChar w:fldCharType="separate"/>
      </w:r>
      <w:r>
        <w:t>82</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"_Toc74752350" </w:instrText>
      </w:r>
      <w:r>
        <w:fldChar w:fldCharType="separate"/>
      </w:r>
      <w:r>
        <w:rPr>
          <w:rStyle w:val="43"/>
          <w:rFonts w:ascii="Times New Roman" w:hAnsi="Times New Roman"/>
          <w:b/>
          <w:bCs/>
        </w:rPr>
        <w:t>6.10</w:t>
      </w:r>
      <w:r>
        <w:rPr>
          <w:rStyle w:val="43"/>
          <w:rFonts w:ascii="宋体" w:hAnsi="宋体"/>
          <w:b/>
          <w:bCs/>
        </w:rPr>
        <w:t xml:space="preserve"> 评审专家在政府采购活动中应当遵守以下工作纪律</w:t>
      </w:r>
      <w:r>
        <w:tab/>
      </w:r>
      <w:r>
        <w:fldChar w:fldCharType="begin"/>
      </w:r>
      <w:r>
        <w:instrText xml:space="preserve"> PAGEREF _Toc74752350 \h </w:instrText>
      </w:r>
      <w:r>
        <w:fldChar w:fldCharType="separate"/>
      </w:r>
      <w:r>
        <w:t>82</w:t>
      </w:r>
      <w:r>
        <w:fldChar w:fldCharType="end"/>
      </w:r>
      <w:r>
        <w:fldChar w:fldCharType="end"/>
      </w:r>
    </w:p>
    <w:p>
      <w:pPr>
        <w:pStyle w:val="31"/>
        <w:rPr>
          <w:rFonts w:asciiTheme="minorHAnsi" w:hAnsiTheme="minorHAnsi" w:eastAsiaTheme="minorEastAsia" w:cstheme="minorBidi"/>
          <w:bCs w:val="0"/>
          <w:caps w:val="0"/>
          <w:sz w:val="21"/>
          <w:szCs w:val="22"/>
        </w:rPr>
      </w:pPr>
      <w:r>
        <w:fldChar w:fldCharType="begin"/>
      </w:r>
      <w:r>
        <w:instrText xml:space="preserve"> HYPERLINK \l "_Toc74752351" </w:instrText>
      </w:r>
      <w:r>
        <w:fldChar w:fldCharType="separate"/>
      </w:r>
      <w:r>
        <w:rPr>
          <w:rStyle w:val="43"/>
          <w:rFonts w:ascii="Times New Roman" w:hAnsi="Times New Roman"/>
          <w:b/>
          <w:spacing w:val="-20"/>
          <w:kern w:val="44"/>
        </w:rPr>
        <w:t>第7章</w:t>
      </w:r>
      <w:r>
        <w:rPr>
          <w:rFonts w:asciiTheme="minorHAnsi" w:hAnsiTheme="minorHAnsi" w:eastAsiaTheme="minorEastAsia" w:cstheme="minorBidi"/>
          <w:bCs w:val="0"/>
          <w:caps w:val="0"/>
          <w:sz w:val="21"/>
          <w:szCs w:val="22"/>
        </w:rPr>
        <w:tab/>
      </w:r>
      <w:r>
        <w:rPr>
          <w:rStyle w:val="43"/>
          <w:rFonts w:ascii="宋体" w:hAnsi="宋体"/>
          <w:b/>
          <w:spacing w:val="-20"/>
          <w:kern w:val="44"/>
        </w:rPr>
        <w:t>拟签订合同文本</w:t>
      </w:r>
      <w:r>
        <w:tab/>
      </w:r>
      <w:r>
        <w:fldChar w:fldCharType="begin"/>
      </w:r>
      <w:r>
        <w:instrText xml:space="preserve"> PAGEREF _Toc74752351 \h </w:instrText>
      </w:r>
      <w:r>
        <w:fldChar w:fldCharType="separate"/>
      </w:r>
      <w:r>
        <w:t>85</w:t>
      </w:r>
      <w:r>
        <w:fldChar w:fldCharType="end"/>
      </w:r>
      <w:r>
        <w:fldChar w:fldCharType="end"/>
      </w:r>
    </w:p>
    <w:p>
      <w:pPr>
        <w:tabs>
          <w:tab w:val="left" w:pos="620"/>
          <w:tab w:val="right" w:leader="dot" w:pos="8364"/>
        </w:tabs>
        <w:spacing w:line="360" w:lineRule="exact"/>
      </w:pPr>
      <w:r>
        <w:rPr>
          <w:rFonts w:hint="eastAsia"/>
        </w:rPr>
        <w:fldChar w:fldCharType="end"/>
      </w:r>
    </w:p>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4" w:name="_Toc181610856"/>
      <w:bookmarkStart w:id="5" w:name="_Toc181591102"/>
      <w:bookmarkStart w:id="6" w:name="_Toc74752318"/>
      <w:bookmarkStart w:id="7" w:name="_Toc204575871"/>
      <w:r>
        <w:rPr>
          <w:rFonts w:hint="eastAsia" w:ascii="宋体" w:hAnsi="宋体"/>
          <w:b/>
          <w:bCs/>
          <w:spacing w:val="-20"/>
          <w:kern w:val="44"/>
          <w:sz w:val="32"/>
          <w:szCs w:val="32"/>
        </w:rPr>
        <w:t>投标邀请</w:t>
      </w:r>
      <w:bookmarkEnd w:id="4"/>
      <w:bookmarkEnd w:id="5"/>
      <w:bookmarkEnd w:id="6"/>
      <w:bookmarkEnd w:id="7"/>
    </w:p>
    <w:p>
      <w:pPr>
        <w:spacing w:line="360" w:lineRule="auto"/>
        <w:ind w:firstLine="566" w:firstLineChars="202"/>
        <w:rPr>
          <w:rFonts w:ascii="宋体" w:hAnsi="宋体"/>
          <w:sz w:val="28"/>
          <w:szCs w:val="28"/>
        </w:rPr>
      </w:pPr>
      <w:r>
        <w:rPr>
          <w:rFonts w:hint="eastAsia" w:ascii="宋体" w:hAnsi="宋体"/>
          <w:sz w:val="28"/>
          <w:szCs w:val="28"/>
        </w:rPr>
        <w:t>成都市武侯区政府采购中心(以下简称“采购中心”)受</w:t>
      </w:r>
      <w:r>
        <w:rPr>
          <w:rFonts w:hint="eastAsia" w:ascii="宋体" w:hAnsi="宋体"/>
          <w:b/>
          <w:bCs/>
          <w:sz w:val="28"/>
          <w:szCs w:val="28"/>
          <w:u w:val="single"/>
          <w:lang w:eastAsia="zh-CN"/>
        </w:rPr>
        <w:t>成都市武侯实验小学</w:t>
      </w:r>
      <w:r>
        <w:rPr>
          <w:rFonts w:hint="eastAsia" w:ascii="宋体" w:hAnsi="宋体"/>
          <w:b/>
          <w:bCs/>
          <w:sz w:val="28"/>
          <w:szCs w:val="28"/>
          <w:u w:val="single"/>
          <w:lang w:val="en-US" w:eastAsia="zh-CN"/>
        </w:rPr>
        <w:t xml:space="preserve"> </w:t>
      </w:r>
      <w:r>
        <w:rPr>
          <w:rFonts w:hint="eastAsia" w:ascii="宋体" w:hAnsi="宋体"/>
          <w:sz w:val="28"/>
          <w:szCs w:val="28"/>
        </w:rPr>
        <w:t>委托，拟对</w:t>
      </w:r>
      <w:r>
        <w:rPr>
          <w:rFonts w:hint="eastAsia" w:ascii="宋体" w:hAnsi="宋体"/>
          <w:b/>
          <w:bCs/>
          <w:sz w:val="28"/>
          <w:szCs w:val="28"/>
          <w:u w:val="single"/>
          <w:lang w:eastAsia="zh-CN"/>
        </w:rPr>
        <w:t>成都市武侯实验小学</w:t>
      </w:r>
      <w:r>
        <w:rPr>
          <w:rFonts w:hint="eastAsia" w:ascii="宋体" w:hAnsi="宋体"/>
          <w:b/>
          <w:bCs/>
          <w:sz w:val="28"/>
          <w:szCs w:val="28"/>
          <w:u w:val="single"/>
          <w:lang w:val="en-US" w:eastAsia="zh-CN"/>
        </w:rPr>
        <w:t>LED显示屏采购项目（二次）</w:t>
      </w:r>
      <w:r>
        <w:rPr>
          <w:rFonts w:hint="eastAsia" w:ascii="宋体" w:hAnsi="宋体"/>
          <w:sz w:val="28"/>
          <w:szCs w:val="28"/>
        </w:rPr>
        <w:t>进行国内公开招标，兹邀请符合本次招标要求的供应商参加投标。</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项目编号：</w:t>
      </w:r>
      <w:r>
        <w:rPr>
          <w:rFonts w:hint="eastAsia" w:ascii="宋体" w:hAnsi="宋体"/>
          <w:b/>
          <w:bCs/>
          <w:sz w:val="28"/>
          <w:szCs w:val="28"/>
          <w:u w:val="single"/>
          <w:lang w:val="en-US" w:eastAsia="zh-CN"/>
        </w:rPr>
        <w:t xml:space="preserve"> 武侯政采（2021）A0054号-1 </w:t>
      </w:r>
    </w:p>
    <w:p>
      <w:pPr>
        <w:numPr>
          <w:ilvl w:val="0"/>
          <w:numId w:val="6"/>
        </w:numPr>
        <w:spacing w:line="360" w:lineRule="auto"/>
        <w:ind w:left="0" w:firstLine="568"/>
        <w:rPr>
          <w:rFonts w:ascii="宋体" w:hAnsi="宋体"/>
          <w:b/>
          <w:sz w:val="28"/>
          <w:szCs w:val="28"/>
        </w:rPr>
      </w:pPr>
      <w:r>
        <w:rPr>
          <w:rFonts w:hint="eastAsia" w:ascii="宋体" w:hAnsi="宋体"/>
          <w:b/>
          <w:sz w:val="28"/>
          <w:szCs w:val="28"/>
        </w:rPr>
        <w:t>项目名称：</w:t>
      </w:r>
      <w:r>
        <w:rPr>
          <w:rFonts w:hint="eastAsia" w:ascii="宋体" w:hAnsi="宋体"/>
          <w:b/>
          <w:bCs/>
          <w:sz w:val="28"/>
          <w:szCs w:val="28"/>
          <w:u w:val="single"/>
          <w:lang w:eastAsia="zh-CN"/>
        </w:rPr>
        <w:t>成都市武侯实验小学</w:t>
      </w:r>
      <w:r>
        <w:rPr>
          <w:rFonts w:hint="eastAsia" w:ascii="宋体" w:hAnsi="宋体"/>
          <w:b/>
          <w:bCs/>
          <w:sz w:val="28"/>
          <w:szCs w:val="28"/>
          <w:u w:val="single"/>
          <w:lang w:val="en-US" w:eastAsia="zh-CN"/>
        </w:rPr>
        <w:t>LED显示屏采购项目（二次）</w:t>
      </w:r>
    </w:p>
    <w:p>
      <w:pPr>
        <w:numPr>
          <w:ilvl w:val="0"/>
          <w:numId w:val="6"/>
        </w:numPr>
        <w:spacing w:line="360" w:lineRule="auto"/>
        <w:ind w:left="0" w:firstLine="568"/>
        <w:rPr>
          <w:rFonts w:ascii="宋体" w:hAnsi="宋体"/>
          <w:b/>
          <w:sz w:val="28"/>
          <w:szCs w:val="28"/>
        </w:rPr>
      </w:pPr>
      <w:r>
        <w:rPr>
          <w:rFonts w:hint="eastAsia" w:ascii="宋体" w:hAnsi="宋体"/>
          <w:b/>
          <w:sz w:val="28"/>
          <w:szCs w:val="28"/>
        </w:rPr>
        <w:t>资金来源、预算金额及最高限价：</w:t>
      </w:r>
      <w:r>
        <w:rPr>
          <w:rFonts w:hint="eastAsia" w:ascii="宋体" w:hAnsi="宋体"/>
          <w:sz w:val="28"/>
          <w:szCs w:val="28"/>
        </w:rPr>
        <w:t>财政性资金，政府采购实施计划备案表号：</w:t>
      </w:r>
      <w:r>
        <w:rPr>
          <w:rFonts w:hint="eastAsia" w:ascii="宋体" w:hAnsi="宋体"/>
          <w:sz w:val="28"/>
          <w:szCs w:val="28"/>
          <w:u w:val="single"/>
          <w:lang w:eastAsia="zh-CN"/>
        </w:rPr>
        <w:t>（</w:t>
      </w:r>
      <w:r>
        <w:rPr>
          <w:rFonts w:hint="eastAsia" w:ascii="宋体" w:hAnsi="宋体"/>
          <w:sz w:val="28"/>
          <w:szCs w:val="28"/>
          <w:u w:val="single"/>
          <w:lang w:val="en-US" w:eastAsia="zh-CN"/>
        </w:rPr>
        <w:t>2021</w:t>
      </w:r>
      <w:r>
        <w:rPr>
          <w:rFonts w:hint="eastAsia" w:ascii="宋体" w:hAnsi="宋体"/>
          <w:sz w:val="28"/>
          <w:szCs w:val="28"/>
          <w:u w:val="single"/>
          <w:lang w:eastAsia="zh-CN"/>
        </w:rPr>
        <w:t>）</w:t>
      </w:r>
      <w:r>
        <w:rPr>
          <w:rFonts w:hint="eastAsia" w:ascii="宋体" w:hAnsi="宋体"/>
          <w:sz w:val="28"/>
          <w:szCs w:val="28"/>
          <w:u w:val="single"/>
          <w:lang w:val="en-US" w:eastAsia="zh-CN"/>
        </w:rPr>
        <w:t>0503</w:t>
      </w:r>
      <w:r>
        <w:rPr>
          <w:rFonts w:hint="eastAsia" w:ascii="宋体" w:hAnsi="宋体"/>
          <w:sz w:val="28"/>
          <w:szCs w:val="28"/>
          <w:u w:val="single"/>
        </w:rPr>
        <w:t>号</w:t>
      </w:r>
      <w:r>
        <w:rPr>
          <w:rFonts w:hint="eastAsia" w:ascii="宋体" w:hAnsi="宋体"/>
          <w:sz w:val="28"/>
          <w:szCs w:val="28"/>
        </w:rPr>
        <w:t>；预算品目：</w:t>
      </w:r>
      <w:r>
        <w:rPr>
          <w:rFonts w:hint="eastAsia" w:ascii="宋体" w:hAnsi="宋体"/>
          <w:sz w:val="28"/>
          <w:szCs w:val="28"/>
          <w:u w:val="single"/>
          <w:lang w:val="en-US" w:eastAsia="zh-CN"/>
        </w:rPr>
        <w:t>LED显示屏</w:t>
      </w:r>
      <w:r>
        <w:rPr>
          <w:rFonts w:hint="eastAsia" w:ascii="宋体" w:hAnsi="宋体"/>
          <w:sz w:val="28"/>
          <w:szCs w:val="28"/>
        </w:rPr>
        <w:t>；预算金额：</w:t>
      </w:r>
      <w:r>
        <w:rPr>
          <w:rFonts w:hint="eastAsia" w:ascii="宋体" w:hAnsi="宋体"/>
          <w:sz w:val="28"/>
          <w:szCs w:val="28"/>
          <w:u w:val="single"/>
          <w:lang w:val="en-US" w:eastAsia="zh-CN"/>
        </w:rPr>
        <w:t>21.2</w:t>
      </w:r>
      <w:r>
        <w:rPr>
          <w:rFonts w:hint="eastAsia" w:ascii="宋体" w:hAnsi="宋体"/>
          <w:sz w:val="28"/>
          <w:szCs w:val="28"/>
        </w:rPr>
        <w:t>万元</w:t>
      </w:r>
      <w:r>
        <w:rPr>
          <w:rFonts w:hint="eastAsia" w:ascii="宋体" w:hAnsi="宋体"/>
          <w:sz w:val="28"/>
        </w:rPr>
        <w:t>；最高限价：</w:t>
      </w:r>
      <w:r>
        <w:rPr>
          <w:rFonts w:hint="eastAsia" w:ascii="宋体" w:hAnsi="宋体"/>
          <w:sz w:val="28"/>
          <w:u w:val="single"/>
          <w:lang w:val="en-US" w:eastAsia="zh-CN"/>
        </w:rPr>
        <w:t>21.2</w:t>
      </w:r>
      <w:r>
        <w:rPr>
          <w:rFonts w:hint="eastAsia" w:ascii="宋体" w:hAnsi="宋体"/>
          <w:sz w:val="28"/>
        </w:rPr>
        <w:t>万</w:t>
      </w:r>
      <w:r>
        <w:rPr>
          <w:rFonts w:hint="eastAsia" w:ascii="宋体" w:hAnsi="宋体"/>
          <w:sz w:val="28"/>
          <w:szCs w:val="28"/>
        </w:rPr>
        <w:t>元。</w:t>
      </w:r>
    </w:p>
    <w:p>
      <w:pPr>
        <w:numPr>
          <w:ilvl w:val="0"/>
          <w:numId w:val="6"/>
        </w:numPr>
        <w:spacing w:line="360" w:lineRule="auto"/>
        <w:ind w:left="0" w:firstLine="562" w:firstLineChars="200"/>
        <w:rPr>
          <w:rFonts w:ascii="宋体" w:hAnsi="宋体"/>
          <w:sz w:val="28"/>
          <w:szCs w:val="28"/>
        </w:rPr>
      </w:pPr>
      <w:r>
        <w:rPr>
          <w:rFonts w:hint="eastAsia" w:ascii="宋体" w:hAnsi="宋体"/>
          <w:b/>
          <w:sz w:val="28"/>
          <w:szCs w:val="28"/>
        </w:rPr>
        <w:t>招标项目简介</w:t>
      </w:r>
    </w:p>
    <w:p>
      <w:pPr>
        <w:spacing w:line="360" w:lineRule="auto"/>
        <w:ind w:firstLine="560" w:firstLineChars="200"/>
        <w:rPr>
          <w:rFonts w:ascii="宋体" w:hAnsi="宋体"/>
          <w:sz w:val="28"/>
          <w:szCs w:val="28"/>
        </w:rPr>
      </w:pPr>
      <w:r>
        <w:rPr>
          <w:rFonts w:hint="eastAsia" w:ascii="宋体" w:hAnsi="宋体"/>
          <w:sz w:val="28"/>
          <w:szCs w:val="28"/>
        </w:rPr>
        <w:t>详细的技术、服务、商务及其他要求见招标文件第4章。</w:t>
      </w:r>
    </w:p>
    <w:p>
      <w:pPr>
        <w:spacing w:line="360" w:lineRule="auto"/>
        <w:ind w:firstLine="560" w:firstLineChars="200"/>
        <w:rPr>
          <w:rFonts w:ascii="宋体" w:hAnsi="宋体"/>
          <w:sz w:val="28"/>
          <w:szCs w:val="28"/>
        </w:rPr>
      </w:pPr>
      <w:r>
        <w:rPr>
          <w:rFonts w:hint="eastAsia" w:ascii="宋体" w:hAnsi="宋体"/>
          <w:sz w:val="28"/>
          <w:szCs w:val="28"/>
        </w:rPr>
        <w:t>采购标的对应的中小企业划分标准所属行业：</w:t>
      </w:r>
      <w:r>
        <w:rPr>
          <w:rFonts w:hint="eastAsia" w:ascii="宋体" w:hAnsi="宋体"/>
          <w:sz w:val="28"/>
          <w:szCs w:val="28"/>
          <w:u w:val="single"/>
          <w:lang w:eastAsia="zh-CN"/>
        </w:rPr>
        <w:t>工业</w:t>
      </w:r>
      <w:r>
        <w:rPr>
          <w:rFonts w:hint="eastAsia" w:ascii="宋体" w:hAnsi="宋体"/>
          <w:sz w:val="28"/>
          <w:szCs w:val="28"/>
        </w:rPr>
        <w:t>。</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供应商参加本次政府采购活动应具备的条件</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符合《政府采购法》第二十二条第一款规定的条件；</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在中华人民共和国境内依法登记注册，并有效存续具有独立法人资格的供应商；</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未被列入失信被执行人、重大税收违法案件当事人名单、政府采购严重违法失信行为记录名单；</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在行贿犯罪信息查询期限内，投标人及其现任法定代表人、主要负责人没有行贿犯罪记录；</w:t>
      </w:r>
    </w:p>
    <w:p>
      <w:pPr>
        <w:numPr>
          <w:ilvl w:val="1"/>
          <w:numId w:val="7"/>
        </w:numPr>
        <w:tabs>
          <w:tab w:val="left" w:pos="1260"/>
        </w:tabs>
        <w:spacing w:line="360" w:lineRule="auto"/>
        <w:ind w:left="0" w:firstLine="630"/>
        <w:rPr>
          <w:rFonts w:ascii="宋体" w:hAnsi="宋体"/>
          <w:sz w:val="28"/>
          <w:szCs w:val="28"/>
        </w:rPr>
      </w:pPr>
      <w:r>
        <w:rPr>
          <w:rFonts w:ascii="宋体" w:hAnsi="宋体"/>
          <w:sz w:val="28"/>
          <w:szCs w:val="28"/>
        </w:rPr>
        <w:t>未处于被行政部门禁止参与政府采购活动的期限内</w:t>
      </w:r>
      <w:r>
        <w:rPr>
          <w:rFonts w:hint="eastAsia" w:ascii="宋体" w:hAnsi="宋体"/>
          <w:sz w:val="28"/>
          <w:szCs w:val="28"/>
        </w:rPr>
        <w:t>；</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不属于其他国家相关法律法规规定的禁止参加投标的供应商；</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本项目</w:t>
      </w:r>
      <w:r>
        <w:rPr>
          <w:rFonts w:hint="eastAsia" w:ascii="宋体" w:hAnsi="宋体"/>
          <w:b/>
          <w:sz w:val="28"/>
          <w:szCs w:val="28"/>
          <w:highlight w:val="none"/>
        </w:rPr>
        <w:t>不接受</w:t>
      </w:r>
      <w:r>
        <w:rPr>
          <w:rFonts w:hint="eastAsia" w:ascii="宋体" w:hAnsi="宋体"/>
          <w:sz w:val="28"/>
          <w:szCs w:val="28"/>
        </w:rPr>
        <w:t>联合体投标。</w:t>
      </w:r>
    </w:p>
    <w:p>
      <w:pPr>
        <w:numPr>
          <w:ilvl w:val="0"/>
          <w:numId w:val="6"/>
        </w:numPr>
        <w:spacing w:line="360" w:lineRule="auto"/>
        <w:ind w:left="0" w:firstLine="567"/>
        <w:rPr>
          <w:rFonts w:ascii="宋体" w:hAnsi="宋体"/>
          <w:i/>
          <w:sz w:val="28"/>
        </w:rPr>
      </w:pPr>
      <w:r>
        <w:rPr>
          <w:rFonts w:hint="eastAsia" w:ascii="宋体" w:hAnsi="宋体"/>
          <w:b/>
          <w:sz w:val="28"/>
          <w:szCs w:val="28"/>
        </w:rPr>
        <w:t>招标文件获取时间</w:t>
      </w:r>
    </w:p>
    <w:p>
      <w:pPr>
        <w:numPr>
          <w:ilvl w:val="0"/>
          <w:numId w:val="8"/>
        </w:numPr>
        <w:spacing w:line="360" w:lineRule="auto"/>
        <w:ind w:left="0" w:firstLine="567"/>
        <w:rPr>
          <w:rFonts w:ascii="宋体" w:hAnsi="宋体"/>
          <w:sz w:val="28"/>
        </w:rPr>
      </w:pPr>
      <w:r>
        <w:rPr>
          <w:rFonts w:hint="eastAsia" w:ascii="宋体" w:hAnsi="宋体"/>
          <w:sz w:val="28"/>
          <w:szCs w:val="28"/>
        </w:rPr>
        <w:t>招标文件获取时间：2021年</w:t>
      </w:r>
      <w:r>
        <w:rPr>
          <w:rFonts w:hint="eastAsia" w:ascii="宋体" w:hAnsi="宋体"/>
          <w:sz w:val="28"/>
          <w:szCs w:val="28"/>
          <w:lang w:val="en-US" w:eastAsia="zh-CN"/>
        </w:rPr>
        <w:t xml:space="preserve"> 9</w:t>
      </w:r>
      <w:r>
        <w:rPr>
          <w:rFonts w:hint="eastAsia" w:ascii="宋体" w:hAnsi="宋体"/>
          <w:sz w:val="28"/>
          <w:szCs w:val="28"/>
        </w:rPr>
        <w:t>月</w:t>
      </w:r>
      <w:r>
        <w:rPr>
          <w:rFonts w:hint="eastAsia" w:ascii="宋体" w:hAnsi="宋体"/>
          <w:sz w:val="28"/>
          <w:szCs w:val="28"/>
          <w:lang w:val="en-US" w:eastAsia="zh-CN"/>
        </w:rPr>
        <w:t xml:space="preserve">17 </w:t>
      </w:r>
      <w:r>
        <w:rPr>
          <w:rFonts w:hint="eastAsia" w:ascii="宋体" w:hAnsi="宋体"/>
          <w:sz w:val="28"/>
          <w:szCs w:val="28"/>
        </w:rPr>
        <w:t>日至</w:t>
      </w:r>
      <w:r>
        <w:rPr>
          <w:rFonts w:hint="eastAsia" w:ascii="宋体" w:hAnsi="宋体"/>
          <w:sz w:val="28"/>
          <w:szCs w:val="28"/>
          <w:lang w:val="en-US" w:eastAsia="zh-CN"/>
        </w:rPr>
        <w:t xml:space="preserve"> 9</w:t>
      </w:r>
      <w:r>
        <w:rPr>
          <w:rFonts w:hint="eastAsia" w:ascii="宋体" w:hAnsi="宋体"/>
          <w:sz w:val="28"/>
          <w:szCs w:val="28"/>
        </w:rPr>
        <w:t>月</w:t>
      </w:r>
      <w:r>
        <w:rPr>
          <w:rFonts w:hint="eastAsia" w:ascii="宋体" w:hAnsi="宋体"/>
          <w:sz w:val="28"/>
          <w:szCs w:val="28"/>
          <w:lang w:val="en-US" w:eastAsia="zh-CN"/>
        </w:rPr>
        <w:t xml:space="preserve">24 </w:t>
      </w:r>
      <w:r>
        <w:rPr>
          <w:rFonts w:hint="eastAsia" w:ascii="宋体" w:hAnsi="宋体"/>
          <w:sz w:val="28"/>
          <w:szCs w:val="28"/>
        </w:rPr>
        <w:t>日。</w:t>
      </w:r>
    </w:p>
    <w:p>
      <w:pPr>
        <w:numPr>
          <w:ilvl w:val="0"/>
          <w:numId w:val="8"/>
        </w:numPr>
        <w:spacing w:line="360" w:lineRule="auto"/>
        <w:ind w:left="0" w:firstLine="567"/>
        <w:rPr>
          <w:rFonts w:ascii="宋体" w:hAnsi="宋体"/>
          <w:sz w:val="28"/>
          <w:szCs w:val="28"/>
        </w:rPr>
      </w:pPr>
      <w:r>
        <w:rPr>
          <w:rFonts w:hint="eastAsia" w:ascii="宋体" w:hAnsi="宋体"/>
          <w:sz w:val="28"/>
          <w:szCs w:val="28"/>
        </w:rPr>
        <w:t>公告期限：2021年</w:t>
      </w:r>
      <w:r>
        <w:rPr>
          <w:rFonts w:hint="eastAsia" w:ascii="宋体" w:hAnsi="宋体"/>
          <w:sz w:val="28"/>
          <w:szCs w:val="28"/>
          <w:lang w:val="en-US" w:eastAsia="zh-CN"/>
        </w:rPr>
        <w:t xml:space="preserve"> 9</w:t>
      </w:r>
      <w:r>
        <w:rPr>
          <w:rFonts w:hint="eastAsia" w:ascii="宋体" w:hAnsi="宋体"/>
          <w:sz w:val="28"/>
          <w:szCs w:val="28"/>
        </w:rPr>
        <w:t>月</w:t>
      </w:r>
      <w:r>
        <w:rPr>
          <w:rFonts w:hint="eastAsia" w:ascii="宋体" w:hAnsi="宋体"/>
          <w:sz w:val="28"/>
          <w:szCs w:val="28"/>
          <w:lang w:val="en-US" w:eastAsia="zh-CN"/>
        </w:rPr>
        <w:t xml:space="preserve">17 </w:t>
      </w:r>
      <w:r>
        <w:rPr>
          <w:rFonts w:hint="eastAsia" w:ascii="宋体" w:hAnsi="宋体"/>
          <w:sz w:val="28"/>
          <w:szCs w:val="28"/>
        </w:rPr>
        <w:t>日至</w:t>
      </w:r>
      <w:r>
        <w:rPr>
          <w:rFonts w:hint="eastAsia" w:ascii="宋体" w:hAnsi="宋体"/>
          <w:sz w:val="28"/>
          <w:szCs w:val="28"/>
          <w:lang w:val="en-US" w:eastAsia="zh-CN"/>
        </w:rPr>
        <w:t xml:space="preserve"> 9</w:t>
      </w:r>
      <w:r>
        <w:rPr>
          <w:rFonts w:hint="eastAsia" w:ascii="宋体" w:hAnsi="宋体"/>
          <w:sz w:val="28"/>
          <w:szCs w:val="28"/>
        </w:rPr>
        <w:t>月</w:t>
      </w:r>
      <w:r>
        <w:rPr>
          <w:rFonts w:hint="eastAsia" w:ascii="宋体" w:hAnsi="宋体"/>
          <w:sz w:val="28"/>
          <w:szCs w:val="28"/>
          <w:lang w:val="en-US" w:eastAsia="zh-CN"/>
        </w:rPr>
        <w:t xml:space="preserve"> 24</w:t>
      </w:r>
      <w:r>
        <w:rPr>
          <w:rFonts w:hint="eastAsia" w:ascii="宋体" w:hAnsi="宋体"/>
          <w:sz w:val="28"/>
          <w:szCs w:val="28"/>
        </w:rPr>
        <w:t>日。</w:t>
      </w:r>
    </w:p>
    <w:p>
      <w:pPr>
        <w:numPr>
          <w:ilvl w:val="0"/>
          <w:numId w:val="8"/>
        </w:numPr>
        <w:spacing w:line="360" w:lineRule="auto"/>
        <w:ind w:left="0" w:firstLine="567"/>
        <w:rPr>
          <w:rFonts w:ascii="宋体" w:hAnsi="宋体"/>
          <w:sz w:val="28"/>
          <w:szCs w:val="28"/>
        </w:rPr>
      </w:pPr>
      <w:r>
        <w:rPr>
          <w:rFonts w:hint="eastAsia" w:ascii="宋体" w:hAnsi="宋体"/>
          <w:sz w:val="28"/>
          <w:szCs w:val="28"/>
        </w:rPr>
        <w:t>供应商如对招标文件有质疑的，应于公告期限届满之日起七个工作日内以书面形式提出。</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招标文件获取方式</w:t>
      </w:r>
    </w:p>
    <w:p>
      <w:pPr>
        <w:spacing w:line="360" w:lineRule="auto"/>
        <w:ind w:firstLine="560" w:firstLineChars="200"/>
        <w:rPr>
          <w:rFonts w:ascii="宋体" w:hAnsi="宋体"/>
          <w:sz w:val="28"/>
          <w:szCs w:val="28"/>
        </w:rPr>
      </w:pPr>
      <w:r>
        <w:rPr>
          <w:rFonts w:hint="eastAsia" w:ascii="宋体" w:hAnsi="宋体"/>
          <w:sz w:val="28"/>
          <w:szCs w:val="28"/>
        </w:rPr>
        <w:t>投标人要参加投标，应在成都市公共资源交易服务中心“政府采购云平台”获取采购文件。登录成都市公共资源交易服务中心门户网站（https://www.cdggzy.com/）—用户中心—政府采购云平台—项目采购—获取采购文件—申请获取采购文件。</w:t>
      </w:r>
    </w:p>
    <w:p>
      <w:pPr>
        <w:spacing w:line="360" w:lineRule="auto"/>
        <w:ind w:firstLine="560" w:firstLineChars="200"/>
        <w:rPr>
          <w:rFonts w:ascii="宋体" w:hAnsi="宋体"/>
          <w:sz w:val="28"/>
          <w:szCs w:val="28"/>
        </w:rPr>
      </w:pPr>
      <w:r>
        <w:rPr>
          <w:rFonts w:hint="eastAsia" w:ascii="宋体" w:hAnsi="宋体"/>
          <w:sz w:val="28"/>
          <w:szCs w:val="28"/>
        </w:rPr>
        <w:t>提示：</w:t>
      </w:r>
    </w:p>
    <w:p>
      <w:pPr>
        <w:spacing w:line="360" w:lineRule="auto"/>
        <w:ind w:firstLine="560" w:firstLineChars="200"/>
        <w:rPr>
          <w:rFonts w:ascii="宋体" w:hAnsi="宋体"/>
          <w:sz w:val="28"/>
          <w:szCs w:val="28"/>
        </w:rPr>
      </w:pPr>
      <w:r>
        <w:rPr>
          <w:rFonts w:hint="eastAsia" w:ascii="宋体" w:hAnsi="宋体"/>
          <w:sz w:val="28"/>
          <w:szCs w:val="28"/>
        </w:rPr>
        <w:t>（1）本项目采购文件免费获取。</w:t>
      </w:r>
    </w:p>
    <w:p>
      <w:pPr>
        <w:spacing w:line="360" w:lineRule="auto"/>
        <w:ind w:firstLine="560" w:firstLineChars="200"/>
        <w:rPr>
          <w:rFonts w:ascii="宋体" w:hAnsi="宋体"/>
          <w:sz w:val="28"/>
          <w:szCs w:val="28"/>
        </w:rPr>
      </w:pPr>
      <w:r>
        <w:rPr>
          <w:rFonts w:hint="eastAsia" w:ascii="宋体" w:hAnsi="宋体"/>
          <w:sz w:val="28"/>
          <w:szCs w:val="28"/>
        </w:rPr>
        <w:t>（2）成都市公共资源交易服务中心门户网站上采购公告附件内的采购文件仅供下载阅览使用，投标人只有在“政府采购云平台”完成获取采购文件申请并下载采购文件后才视作依法参与本项目。如未在“政府采购云平台”内完成相关流程，引起的投标无效责任自负。</w:t>
      </w:r>
    </w:p>
    <w:p>
      <w:pPr>
        <w:spacing w:line="360" w:lineRule="auto"/>
        <w:ind w:firstLine="560" w:firstLineChars="200"/>
        <w:rPr>
          <w:rFonts w:ascii="宋体" w:hAnsi="宋体"/>
          <w:sz w:val="28"/>
          <w:szCs w:val="28"/>
        </w:rPr>
      </w:pPr>
      <w:r>
        <w:rPr>
          <w:rFonts w:hint="eastAsia" w:ascii="宋体" w:hAnsi="宋体"/>
          <w:sz w:val="28"/>
          <w:szCs w:val="28"/>
        </w:rPr>
        <w:t>（3）首次登录成都市公共资源交易服务中心门户网站的新用户应先点击“注册新用户”，注册成功后再登录。</w:t>
      </w:r>
    </w:p>
    <w:p>
      <w:pPr>
        <w:spacing w:line="360" w:lineRule="auto"/>
        <w:ind w:firstLine="560" w:firstLineChars="200"/>
        <w:rPr>
          <w:rFonts w:ascii="宋体" w:hAnsi="宋体"/>
          <w:sz w:val="28"/>
          <w:szCs w:val="28"/>
        </w:rPr>
      </w:pPr>
      <w:r>
        <w:rPr>
          <w:rFonts w:hint="eastAsia" w:ascii="宋体" w:hAnsi="宋体"/>
          <w:sz w:val="28"/>
          <w:szCs w:val="28"/>
        </w:rPr>
        <w:t>（4）本项目为电子招标投标项目，投标人参与本项目全过程中凡涉及系统操作请详见《成都市全流程电子化采购系统操作指南——供应商版》（操作指南请登录政府采购云平台后，点击“前台大厅</w:t>
      </w:r>
      <w:r>
        <w:rPr>
          <w:rFonts w:ascii="宋体" w:hAnsi="宋体"/>
          <w:sz w:val="28"/>
          <w:szCs w:val="28"/>
        </w:rPr>
        <w:t>—</w:t>
      </w:r>
      <w:r>
        <w:rPr>
          <w:rFonts w:hint="eastAsia" w:ascii="宋体" w:hAnsi="宋体"/>
          <w:sz w:val="28"/>
          <w:szCs w:val="28"/>
        </w:rPr>
        <w:t>操作指南</w:t>
      </w:r>
      <w:r>
        <w:rPr>
          <w:rFonts w:ascii="宋体" w:hAnsi="宋体"/>
          <w:sz w:val="28"/>
          <w:szCs w:val="28"/>
        </w:rPr>
        <w:t>—</w:t>
      </w:r>
      <w:r>
        <w:rPr>
          <w:rFonts w:hint="eastAsia" w:ascii="宋体" w:hAnsi="宋体"/>
          <w:sz w:val="28"/>
          <w:szCs w:val="28"/>
        </w:rPr>
        <w:t>供应商”处下载查看）。</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招标文件获取地点</w:t>
      </w:r>
    </w:p>
    <w:p>
      <w:pPr>
        <w:spacing w:line="360" w:lineRule="auto"/>
        <w:ind w:firstLine="560" w:firstLineChars="200"/>
        <w:rPr>
          <w:rFonts w:ascii="宋体" w:hAnsi="宋体"/>
          <w:sz w:val="28"/>
          <w:szCs w:val="28"/>
        </w:rPr>
      </w:pPr>
      <w:bookmarkStart w:id="8" w:name="_Toc186274101"/>
      <w:bookmarkStart w:id="9" w:name="_Toc180051012"/>
      <w:bookmarkStart w:id="10" w:name="_Toc174185149"/>
      <w:bookmarkStart w:id="11" w:name="_Toc184013605"/>
      <w:bookmarkStart w:id="12" w:name="_Toc184023104"/>
      <w:r>
        <w:rPr>
          <w:rFonts w:hint="eastAsia" w:ascii="宋体" w:hAnsi="宋体"/>
          <w:sz w:val="28"/>
          <w:szCs w:val="28"/>
        </w:rPr>
        <w:t>登录成都市公共资源交易服务中心门户网站（https://www.cdggzy.com/）—用户中心—政府采购云平台获取</w:t>
      </w:r>
      <w:r>
        <w:rPr>
          <w:rFonts w:hint="eastAsia" w:ascii="宋体" w:hAnsi="宋体"/>
          <w:sz w:val="28"/>
        </w:rPr>
        <w:t>。</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投标文件递交截止时间及开标时间</w:t>
      </w:r>
      <w:bookmarkEnd w:id="8"/>
      <w:bookmarkEnd w:id="9"/>
      <w:bookmarkEnd w:id="10"/>
      <w:bookmarkEnd w:id="11"/>
      <w:bookmarkEnd w:id="12"/>
      <w:r>
        <w:rPr>
          <w:rFonts w:hint="eastAsia" w:ascii="宋体" w:hAnsi="宋体"/>
          <w:b/>
          <w:sz w:val="28"/>
          <w:szCs w:val="28"/>
        </w:rPr>
        <w:t>(北京时间)、地点、方式</w:t>
      </w:r>
    </w:p>
    <w:p>
      <w:pPr>
        <w:spacing w:line="560" w:lineRule="exact"/>
        <w:ind w:firstLine="566" w:firstLineChars="202"/>
        <w:rPr>
          <w:rFonts w:ascii="宋体" w:hAnsi="宋体"/>
          <w:b/>
          <w:sz w:val="28"/>
          <w:szCs w:val="28"/>
        </w:rPr>
      </w:pPr>
      <w:r>
        <w:rPr>
          <w:rFonts w:hint="eastAsia" w:ascii="宋体" w:hAnsi="宋体"/>
          <w:sz w:val="28"/>
          <w:szCs w:val="28"/>
        </w:rPr>
        <w:t>（一）投标文件递交截止时间及开标时间：</w:t>
      </w:r>
      <w:r>
        <w:rPr>
          <w:rFonts w:hint="eastAsia" w:ascii="宋体" w:hAnsi="宋体"/>
          <w:b/>
          <w:sz w:val="28"/>
          <w:szCs w:val="28"/>
        </w:rPr>
        <w:t>202</w:t>
      </w:r>
      <w:r>
        <w:rPr>
          <w:rFonts w:ascii="宋体" w:hAnsi="宋体"/>
          <w:b/>
          <w:sz w:val="28"/>
          <w:szCs w:val="28"/>
        </w:rPr>
        <w:t>1</w:t>
      </w:r>
      <w:r>
        <w:rPr>
          <w:rFonts w:hint="eastAsia" w:ascii="宋体" w:hAnsi="宋体"/>
          <w:b/>
          <w:sz w:val="28"/>
          <w:szCs w:val="28"/>
        </w:rPr>
        <w:t>年</w:t>
      </w:r>
      <w:r>
        <w:rPr>
          <w:rFonts w:hint="eastAsia" w:ascii="宋体" w:hAnsi="宋体"/>
          <w:b/>
          <w:sz w:val="28"/>
          <w:szCs w:val="28"/>
          <w:lang w:val="en-US" w:eastAsia="zh-CN"/>
        </w:rPr>
        <w:t xml:space="preserve"> 10 </w:t>
      </w:r>
      <w:r>
        <w:rPr>
          <w:rFonts w:hint="eastAsia" w:ascii="宋体" w:hAnsi="宋体"/>
          <w:b/>
          <w:sz w:val="28"/>
          <w:szCs w:val="28"/>
        </w:rPr>
        <w:t>月</w:t>
      </w:r>
      <w:r>
        <w:rPr>
          <w:rFonts w:hint="eastAsia" w:ascii="宋体" w:hAnsi="宋体"/>
          <w:b/>
          <w:sz w:val="28"/>
          <w:szCs w:val="28"/>
          <w:lang w:val="en-US" w:eastAsia="zh-CN"/>
        </w:rPr>
        <w:t xml:space="preserve"> 13</w:t>
      </w:r>
      <w:bookmarkStart w:id="208" w:name="_GoBack"/>
      <w:bookmarkEnd w:id="208"/>
      <w:r>
        <w:rPr>
          <w:rFonts w:hint="eastAsia" w:ascii="宋体" w:hAnsi="宋体"/>
          <w:b/>
          <w:sz w:val="28"/>
          <w:szCs w:val="28"/>
          <w:lang w:val="en-US" w:eastAsia="zh-CN"/>
        </w:rPr>
        <w:t xml:space="preserve"> </w:t>
      </w:r>
      <w:r>
        <w:rPr>
          <w:rFonts w:hint="eastAsia" w:ascii="宋体" w:hAnsi="宋体"/>
          <w:b/>
          <w:sz w:val="28"/>
          <w:szCs w:val="28"/>
        </w:rPr>
        <w:t>日上午</w:t>
      </w:r>
      <w:r>
        <w:rPr>
          <w:rFonts w:hint="eastAsia" w:ascii="宋体" w:hAnsi="宋体"/>
          <w:b/>
          <w:sz w:val="28"/>
          <w:szCs w:val="28"/>
          <w:lang w:val="en-US" w:eastAsia="zh-CN"/>
        </w:rPr>
        <w:t>10:00</w:t>
      </w:r>
      <w:r>
        <w:rPr>
          <w:rFonts w:hint="eastAsia" w:ascii="宋体" w:hAnsi="宋体"/>
          <w:b/>
          <w:sz w:val="28"/>
          <w:szCs w:val="28"/>
        </w:rPr>
        <w:t>。</w:t>
      </w:r>
    </w:p>
    <w:p>
      <w:pPr>
        <w:spacing w:line="560" w:lineRule="exact"/>
        <w:ind w:firstLine="566" w:firstLineChars="202"/>
        <w:rPr>
          <w:rFonts w:ascii="宋体" w:hAnsi="宋体"/>
          <w:sz w:val="28"/>
          <w:szCs w:val="28"/>
        </w:rPr>
      </w:pPr>
      <w:r>
        <w:rPr>
          <w:rFonts w:hint="eastAsia" w:ascii="宋体" w:hAnsi="宋体"/>
          <w:sz w:val="28"/>
          <w:szCs w:val="28"/>
        </w:rPr>
        <w:t>（二）投标文件递交方式、地点：投标截止时间前，投标人应将加密的投标文件递交至“政府采购云平台”对应项目（包件）。</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开标地点</w:t>
      </w:r>
    </w:p>
    <w:p>
      <w:pPr>
        <w:spacing w:line="360" w:lineRule="auto"/>
        <w:ind w:firstLine="422" w:firstLineChars="150"/>
        <w:jc w:val="left"/>
        <w:rPr>
          <w:rFonts w:ascii="宋体" w:hAnsi="宋体"/>
          <w:b/>
          <w:sz w:val="28"/>
          <w:szCs w:val="28"/>
        </w:rPr>
      </w:pPr>
      <w:r>
        <w:rPr>
          <w:rFonts w:hint="eastAsia" w:ascii="宋体" w:hAnsi="宋体"/>
          <w:b/>
          <w:sz w:val="28"/>
          <w:szCs w:val="28"/>
        </w:rPr>
        <w:t>本项目为不见面开标项目。</w:t>
      </w:r>
    </w:p>
    <w:p>
      <w:pPr>
        <w:spacing w:line="360" w:lineRule="auto"/>
        <w:ind w:firstLine="420" w:firstLineChars="150"/>
        <w:jc w:val="left"/>
        <w:rPr>
          <w:rFonts w:ascii="宋体" w:hAnsi="宋体"/>
          <w:sz w:val="28"/>
          <w:szCs w:val="28"/>
        </w:rPr>
      </w:pPr>
      <w:r>
        <w:rPr>
          <w:rFonts w:hint="eastAsia" w:ascii="宋体" w:hAnsi="宋体"/>
          <w:sz w:val="28"/>
          <w:szCs w:val="28"/>
        </w:rPr>
        <w:t>开标地点为：成都市公共资源交易服务中心“政府采购云平台”。登录成都市公共资源交易服务中心网站（https://www.cdggzy.com）—用户中心—政府采购云平台。</w:t>
      </w:r>
    </w:p>
    <w:p>
      <w:pPr>
        <w:spacing w:line="360" w:lineRule="auto"/>
        <w:ind w:firstLine="420" w:firstLineChars="150"/>
        <w:jc w:val="left"/>
        <w:rPr>
          <w:rFonts w:ascii="宋体" w:hAnsi="宋体"/>
          <w:sz w:val="28"/>
          <w:szCs w:val="28"/>
        </w:rPr>
      </w:pPr>
      <w:r>
        <w:rPr>
          <w:rFonts w:hint="eastAsia" w:ascii="宋体" w:hAnsi="宋体"/>
          <w:sz w:val="28"/>
          <w:szCs w:val="28"/>
        </w:rPr>
        <w:t>本项目只接受投标人加密并递交至“政府采购云平台”的投标文件。</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政采中小企业政府采购信用担保融资</w:t>
      </w:r>
    </w:p>
    <w:p>
      <w:pPr>
        <w:spacing w:line="560" w:lineRule="exact"/>
        <w:ind w:firstLine="566" w:firstLineChars="202"/>
        <w:rPr>
          <w:rFonts w:ascii="宋体" w:hAnsi="宋体"/>
          <w:sz w:val="28"/>
          <w:szCs w:val="28"/>
        </w:rPr>
      </w:pPr>
      <w:r>
        <w:rPr>
          <w:rFonts w:hint="eastAsia" w:ascii="宋体" w:hAnsi="宋体"/>
          <w:sz w:val="28"/>
          <w:szCs w:val="28"/>
        </w:rPr>
        <w:t>参加本次招标活动中标的中小企业无需提供财产抵押或第三方担保，凭借政府采购合同可向融资机构申请融资。具体内容详见招标文件附件《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工作的通知》（成财采发〔2020〕20号）。</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本投标邀请在“四川政府采购网”和“成都市公共资源交易服务中心”网站上以公告形式发布</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联系方式</w:t>
      </w:r>
    </w:p>
    <w:p>
      <w:pPr>
        <w:spacing w:line="360" w:lineRule="auto"/>
        <w:ind w:firstLine="568" w:firstLineChars="202"/>
        <w:rPr>
          <w:rFonts w:ascii="宋体" w:hAnsi="宋体"/>
          <w:b/>
          <w:sz w:val="28"/>
          <w:szCs w:val="28"/>
        </w:rPr>
      </w:pPr>
      <w:r>
        <w:rPr>
          <w:rFonts w:hint="eastAsia" w:ascii="宋体" w:hAnsi="宋体"/>
          <w:b/>
          <w:sz w:val="28"/>
          <w:szCs w:val="28"/>
        </w:rPr>
        <w:t>采购人：</w:t>
      </w:r>
      <w:r>
        <w:rPr>
          <w:rFonts w:hint="eastAsia" w:ascii="宋体" w:hAnsi="宋体"/>
          <w:b/>
          <w:sz w:val="28"/>
          <w:szCs w:val="28"/>
          <w:lang w:eastAsia="zh-CN"/>
        </w:rPr>
        <w:t>成都市武侯实验小学</w:t>
      </w:r>
      <w:r>
        <w:rPr>
          <w:rFonts w:ascii="宋体" w:hAnsi="宋体"/>
          <w:b/>
          <w:sz w:val="28"/>
          <w:szCs w:val="28"/>
        </w:rPr>
        <w:t xml:space="preserve"> </w:t>
      </w:r>
    </w:p>
    <w:p>
      <w:pPr>
        <w:pStyle w:val="146"/>
        <w:ind w:firstLine="560"/>
        <w:rPr>
          <w:rFonts w:ascii="宋体" w:hAnsi="宋体"/>
          <w:kern w:val="0"/>
          <w:sz w:val="28"/>
          <w:szCs w:val="22"/>
        </w:rPr>
      </w:pPr>
      <w:r>
        <w:rPr>
          <w:rFonts w:hint="eastAsia" w:ascii="宋体" w:hAnsi="宋体"/>
          <w:sz w:val="28"/>
          <w:szCs w:val="28"/>
        </w:rPr>
        <w:t xml:space="preserve">地  址： </w:t>
      </w:r>
      <w:r>
        <w:rPr>
          <w:rFonts w:hint="eastAsia" w:ascii="宋体" w:hAnsi="宋体" w:eastAsia="宋体" w:cs="Times New Roman"/>
          <w:kern w:val="2"/>
          <w:sz w:val="28"/>
          <w:szCs w:val="28"/>
          <w:lang w:val="en-US" w:eastAsia="zh-CN" w:bidi="ar-SA"/>
        </w:rPr>
        <w:t>成都市武侯区少陵路16号</w:t>
      </w:r>
    </w:p>
    <w:p>
      <w:pPr>
        <w:spacing w:line="360" w:lineRule="auto"/>
        <w:ind w:firstLine="566" w:firstLineChars="202"/>
        <w:rPr>
          <w:rFonts w:ascii="宋体" w:hAnsi="宋体"/>
          <w:sz w:val="28"/>
          <w:szCs w:val="28"/>
        </w:rPr>
      </w:pPr>
      <w:r>
        <w:rPr>
          <w:rFonts w:hint="eastAsia" w:ascii="宋体" w:hAnsi="宋体"/>
          <w:sz w:val="28"/>
          <w:szCs w:val="28"/>
        </w:rPr>
        <w:t>邮  编：</w:t>
      </w:r>
      <w:r>
        <w:rPr>
          <w:rFonts w:hint="eastAsia" w:ascii="宋体" w:hAnsi="宋体"/>
          <w:sz w:val="28"/>
          <w:szCs w:val="28"/>
          <w:lang w:val="en-US" w:eastAsia="zh-CN"/>
        </w:rPr>
        <w:t>610041</w:t>
      </w:r>
    </w:p>
    <w:p>
      <w:pPr>
        <w:spacing w:line="360" w:lineRule="auto"/>
        <w:ind w:firstLine="566" w:firstLineChars="202"/>
        <w:rPr>
          <w:rFonts w:ascii="宋体" w:hAnsi="宋体"/>
          <w:sz w:val="28"/>
          <w:szCs w:val="28"/>
        </w:rPr>
      </w:pPr>
      <w:r>
        <w:rPr>
          <w:rFonts w:hint="eastAsia" w:ascii="宋体" w:hAnsi="宋体"/>
          <w:sz w:val="28"/>
          <w:szCs w:val="28"/>
        </w:rPr>
        <w:t>联系人：</w:t>
      </w:r>
      <w:r>
        <w:rPr>
          <w:rFonts w:hint="eastAsia" w:ascii="宋体" w:hAnsi="宋体"/>
          <w:sz w:val="28"/>
          <w:szCs w:val="28"/>
          <w:lang w:eastAsia="zh-CN"/>
        </w:rPr>
        <w:t>何先华</w:t>
      </w:r>
    </w:p>
    <w:p>
      <w:pPr>
        <w:spacing w:line="360" w:lineRule="auto"/>
        <w:ind w:firstLine="566" w:firstLineChars="202"/>
        <w:rPr>
          <w:rFonts w:ascii="宋体" w:hAnsi="宋体"/>
          <w:sz w:val="28"/>
          <w:szCs w:val="28"/>
        </w:rPr>
      </w:pPr>
      <w:r>
        <w:rPr>
          <w:rFonts w:hint="eastAsia" w:ascii="宋体" w:hAnsi="宋体"/>
          <w:sz w:val="28"/>
          <w:szCs w:val="28"/>
        </w:rPr>
        <w:t>联系电话：</w:t>
      </w:r>
      <w:r>
        <w:rPr>
          <w:rFonts w:hint="eastAsia" w:ascii="宋体" w:hAnsi="宋体"/>
          <w:sz w:val="28"/>
          <w:szCs w:val="28"/>
          <w:lang w:val="en-US" w:eastAsia="zh-CN"/>
        </w:rPr>
        <w:t>18980703089</w:t>
      </w:r>
    </w:p>
    <w:p>
      <w:pPr>
        <w:spacing w:line="360" w:lineRule="auto"/>
        <w:ind w:firstLine="568" w:firstLineChars="202"/>
        <w:rPr>
          <w:rFonts w:ascii="宋体" w:hAnsi="宋体"/>
          <w:b/>
          <w:sz w:val="28"/>
          <w:szCs w:val="28"/>
        </w:rPr>
      </w:pPr>
      <w:r>
        <w:rPr>
          <w:rFonts w:hint="eastAsia" w:ascii="宋体" w:hAnsi="宋体"/>
          <w:b/>
          <w:sz w:val="28"/>
          <w:szCs w:val="28"/>
        </w:rPr>
        <w:t>集中采购机构：成都市武侯区政府采购中心</w:t>
      </w:r>
    </w:p>
    <w:p>
      <w:pPr>
        <w:spacing w:line="360" w:lineRule="auto"/>
        <w:ind w:firstLine="566" w:firstLineChars="202"/>
        <w:rPr>
          <w:rFonts w:ascii="宋体" w:hAnsi="宋体"/>
          <w:sz w:val="28"/>
          <w:szCs w:val="28"/>
        </w:rPr>
      </w:pPr>
      <w:r>
        <w:rPr>
          <w:rFonts w:hint="eastAsia" w:ascii="宋体" w:hAnsi="宋体"/>
          <w:sz w:val="28"/>
          <w:szCs w:val="28"/>
        </w:rPr>
        <w:t>地  址：</w:t>
      </w:r>
      <w:r>
        <w:rPr>
          <w:rFonts w:hint="eastAsia"/>
          <w:sz w:val="24"/>
        </w:rPr>
        <w:t>武侯区</w:t>
      </w:r>
      <w:r>
        <w:rPr>
          <w:sz w:val="24"/>
        </w:rPr>
        <w:t>武科西五路360号武侯</w:t>
      </w:r>
      <w:r>
        <w:rPr>
          <w:rFonts w:hint="eastAsia"/>
          <w:sz w:val="24"/>
        </w:rPr>
        <w:t>区</w:t>
      </w:r>
      <w:r>
        <w:rPr>
          <w:sz w:val="24"/>
        </w:rPr>
        <w:t>市民中心2栋5单元</w:t>
      </w:r>
      <w:r>
        <w:rPr>
          <w:rFonts w:hint="eastAsia"/>
          <w:sz w:val="24"/>
        </w:rPr>
        <w:t xml:space="preserve"> 5楼</w:t>
      </w:r>
    </w:p>
    <w:p>
      <w:pPr>
        <w:spacing w:line="360" w:lineRule="auto"/>
        <w:ind w:firstLine="566" w:firstLineChars="202"/>
        <w:rPr>
          <w:rFonts w:ascii="宋体" w:hAnsi="宋体"/>
          <w:sz w:val="28"/>
          <w:szCs w:val="28"/>
        </w:rPr>
      </w:pPr>
      <w:r>
        <w:rPr>
          <w:rFonts w:hint="eastAsia" w:ascii="宋体" w:hAnsi="宋体"/>
          <w:sz w:val="28"/>
          <w:szCs w:val="28"/>
        </w:rPr>
        <w:t>邮  编：610041</w:t>
      </w:r>
    </w:p>
    <w:p>
      <w:pPr>
        <w:spacing w:line="360" w:lineRule="auto"/>
        <w:ind w:firstLine="566" w:firstLineChars="202"/>
        <w:rPr>
          <w:rFonts w:ascii="宋体" w:hAnsi="宋体"/>
          <w:sz w:val="28"/>
          <w:szCs w:val="28"/>
        </w:rPr>
      </w:pPr>
      <w:r>
        <w:rPr>
          <w:rFonts w:hint="eastAsia" w:ascii="宋体" w:hAnsi="宋体"/>
          <w:sz w:val="28"/>
          <w:szCs w:val="28"/>
        </w:rPr>
        <w:t>联系人：</w:t>
      </w:r>
      <w:r>
        <w:rPr>
          <w:rFonts w:hint="eastAsia" w:ascii="宋体" w:hAnsi="宋体"/>
          <w:sz w:val="28"/>
          <w:szCs w:val="28"/>
          <w:lang w:eastAsia="zh-CN"/>
        </w:rPr>
        <w:t>吴崟路</w:t>
      </w:r>
    </w:p>
    <w:p>
      <w:pPr>
        <w:spacing w:line="360" w:lineRule="auto"/>
        <w:ind w:firstLine="566" w:firstLineChars="202"/>
        <w:rPr>
          <w:rFonts w:ascii="宋体" w:hAnsi="宋体"/>
          <w:sz w:val="28"/>
          <w:szCs w:val="28"/>
        </w:rPr>
      </w:pPr>
      <w:r>
        <w:rPr>
          <w:rFonts w:hint="eastAsia" w:ascii="宋体" w:hAnsi="宋体"/>
          <w:sz w:val="28"/>
          <w:szCs w:val="28"/>
        </w:rPr>
        <w:t>联系电话：</w:t>
      </w:r>
      <w:r>
        <w:rPr>
          <w:rFonts w:hint="eastAsia" w:ascii="宋体" w:hAnsi="宋体"/>
          <w:sz w:val="28"/>
          <w:szCs w:val="28"/>
          <w:lang w:val="en-US" w:eastAsia="zh-CN"/>
        </w:rPr>
        <w:t>028-61069825</w:t>
      </w:r>
    </w:p>
    <w:p>
      <w:pPr>
        <w:spacing w:line="360" w:lineRule="auto"/>
        <w:ind w:firstLine="568" w:firstLineChars="202"/>
        <w:rPr>
          <w:rFonts w:ascii="宋体" w:hAnsi="宋体"/>
          <w:sz w:val="28"/>
          <w:szCs w:val="28"/>
        </w:rPr>
      </w:pPr>
      <w:r>
        <w:rPr>
          <w:rFonts w:hint="eastAsia" w:ascii="宋体" w:hAnsi="宋体" w:cstheme="minorBidi"/>
          <w:b/>
          <w:sz w:val="28"/>
          <w:szCs w:val="28"/>
        </w:rPr>
        <w:t>技术支持电话：400—881—7190</w:t>
      </w:r>
    </w:p>
    <w:p>
      <w:pPr>
        <w:spacing w:line="360" w:lineRule="auto"/>
        <w:ind w:firstLine="562" w:firstLineChars="200"/>
        <w:rPr>
          <w:rFonts w:ascii="宋体" w:hAnsi="宋体"/>
          <w:b/>
          <w:sz w:val="28"/>
          <w:szCs w:val="28"/>
        </w:rPr>
      </w:pPr>
      <w:r>
        <w:rPr>
          <w:rFonts w:hint="eastAsia" w:ascii="宋体" w:hAnsi="宋体"/>
          <w:b/>
          <w:sz w:val="28"/>
          <w:szCs w:val="28"/>
        </w:rPr>
        <w:t>集中采购监督机构：成都市武侯区财政局</w:t>
      </w:r>
    </w:p>
    <w:p>
      <w:pPr>
        <w:spacing w:line="360" w:lineRule="auto"/>
        <w:ind w:firstLine="560" w:firstLineChars="200"/>
        <w:rPr>
          <w:rFonts w:ascii="宋体" w:hAnsi="宋体"/>
          <w:sz w:val="28"/>
          <w:szCs w:val="28"/>
        </w:rPr>
      </w:pPr>
      <w:r>
        <w:rPr>
          <w:rFonts w:hint="eastAsia" w:ascii="宋体" w:hAnsi="宋体"/>
          <w:sz w:val="28"/>
          <w:szCs w:val="28"/>
        </w:rPr>
        <w:t>地 址：成都市武侯区武科西五路360号武侯区市民中心2栋5单元801室</w:t>
      </w:r>
    </w:p>
    <w:p>
      <w:pPr>
        <w:tabs>
          <w:tab w:val="left" w:pos="900"/>
        </w:tabs>
        <w:spacing w:line="360" w:lineRule="auto"/>
        <w:ind w:firstLine="560" w:firstLineChars="200"/>
        <w:rPr>
          <w:rFonts w:ascii="宋体" w:hAnsi="宋体" w:cstheme="minorBidi"/>
          <w:sz w:val="28"/>
          <w:szCs w:val="28"/>
        </w:rPr>
      </w:pPr>
      <w:r>
        <w:rPr>
          <w:rFonts w:hint="eastAsia" w:ascii="宋体" w:hAnsi="宋体" w:cstheme="minorBidi"/>
          <w:sz w:val="28"/>
          <w:szCs w:val="28"/>
        </w:rPr>
        <w:t>联系电话：</w:t>
      </w:r>
      <w:r>
        <w:rPr>
          <w:rFonts w:ascii="宋体" w:hAnsi="宋体" w:cstheme="minorBidi"/>
          <w:sz w:val="28"/>
          <w:szCs w:val="28"/>
        </w:rPr>
        <w:t>028-85558345</w:t>
      </w:r>
      <w:r>
        <w:rPr>
          <w:rFonts w:hint="eastAsia" w:ascii="宋体" w:hAnsi="宋体" w:cstheme="minorBidi"/>
          <w:sz w:val="28"/>
          <w:szCs w:val="28"/>
          <w:lang w:val="en-US" w:eastAsia="zh-CN"/>
        </w:rPr>
        <w:t xml:space="preserve"> </w:t>
      </w:r>
    </w:p>
    <w:p>
      <w:pPr>
        <w:tabs>
          <w:tab w:val="left" w:pos="900"/>
        </w:tabs>
        <w:spacing w:line="360" w:lineRule="auto"/>
        <w:ind w:firstLine="562" w:firstLineChars="200"/>
        <w:rPr>
          <w:rFonts w:ascii="宋体" w:hAnsi="宋体" w:cstheme="minorBidi"/>
          <w:b/>
          <w:sz w:val="28"/>
          <w:szCs w:val="28"/>
        </w:rPr>
      </w:pPr>
    </w:p>
    <w:p>
      <w:pPr>
        <w:tabs>
          <w:tab w:val="left" w:pos="900"/>
        </w:tabs>
        <w:spacing w:line="360" w:lineRule="auto"/>
        <w:ind w:firstLine="562" w:firstLineChars="200"/>
        <w:rPr>
          <w:rFonts w:hint="eastAsia" w:ascii="宋体" w:hAnsi="宋体" w:eastAsia="宋体" w:cstheme="minorBidi"/>
          <w:b/>
          <w:sz w:val="28"/>
          <w:szCs w:val="28"/>
          <w:lang w:val="en-US" w:eastAsia="zh-CN"/>
        </w:rPr>
      </w:pPr>
      <w:r>
        <w:rPr>
          <w:rFonts w:hint="eastAsia" w:ascii="宋体" w:hAnsi="宋体" w:cstheme="minorBidi"/>
          <w:b/>
          <w:sz w:val="28"/>
          <w:szCs w:val="28"/>
          <w:lang w:val="en-US" w:eastAsia="zh-CN"/>
        </w:rPr>
        <w:t xml:space="preserve"> </w:t>
      </w:r>
    </w:p>
    <w:p>
      <w:pPr>
        <w:tabs>
          <w:tab w:val="left" w:pos="900"/>
        </w:tabs>
        <w:spacing w:line="360" w:lineRule="auto"/>
        <w:ind w:firstLine="562" w:firstLineChars="200"/>
        <w:rPr>
          <w:rFonts w:ascii="宋体" w:hAnsi="宋体" w:cstheme="minorBidi"/>
          <w:b/>
          <w:sz w:val="28"/>
          <w:szCs w:val="28"/>
        </w:rPr>
      </w:pPr>
    </w:p>
    <w:p>
      <w:pPr>
        <w:tabs>
          <w:tab w:val="left" w:pos="900"/>
        </w:tabs>
        <w:spacing w:line="360" w:lineRule="auto"/>
        <w:ind w:firstLine="562" w:firstLineChars="200"/>
        <w:rPr>
          <w:rFonts w:ascii="宋体" w:hAnsi="宋体" w:cstheme="minorBidi"/>
          <w:b/>
          <w:sz w:val="28"/>
          <w:szCs w:val="28"/>
        </w:rPr>
      </w:pPr>
    </w:p>
    <w:p>
      <w:pPr>
        <w:tabs>
          <w:tab w:val="left" w:pos="900"/>
        </w:tabs>
        <w:spacing w:line="360" w:lineRule="auto"/>
        <w:ind w:firstLine="562" w:firstLineChars="200"/>
        <w:rPr>
          <w:rFonts w:ascii="宋体" w:hAnsi="宋体" w:cstheme="minorBidi"/>
          <w:b/>
          <w:sz w:val="28"/>
          <w:szCs w:val="28"/>
        </w:rPr>
      </w:pPr>
    </w:p>
    <w:p>
      <w:pPr>
        <w:tabs>
          <w:tab w:val="left" w:pos="900"/>
        </w:tabs>
        <w:spacing w:line="360" w:lineRule="auto"/>
        <w:ind w:firstLine="562" w:firstLineChars="200"/>
        <w:rPr>
          <w:rFonts w:ascii="宋体" w:hAnsi="宋体" w:cstheme="minorBidi"/>
          <w:b/>
          <w:sz w:val="28"/>
          <w:szCs w:val="28"/>
        </w:rPr>
      </w:pPr>
    </w:p>
    <w:p>
      <w:pPr>
        <w:tabs>
          <w:tab w:val="left" w:pos="900"/>
        </w:tabs>
        <w:spacing w:line="360" w:lineRule="auto"/>
        <w:rPr>
          <w:rFonts w:ascii="宋体" w:hAnsi="宋体" w:cstheme="minorBidi"/>
          <w:b/>
          <w:sz w:val="28"/>
          <w:szCs w:val="28"/>
        </w:rPr>
      </w:pPr>
    </w:p>
    <w:p>
      <w:pPr>
        <w:tabs>
          <w:tab w:val="left" w:pos="900"/>
        </w:tabs>
        <w:spacing w:line="360" w:lineRule="auto"/>
        <w:ind w:firstLine="562" w:firstLineChars="200"/>
        <w:rPr>
          <w:rFonts w:ascii="宋体" w:hAnsi="宋体" w:cstheme="minorBidi"/>
          <w:b/>
          <w:sz w:val="28"/>
          <w:szCs w:val="28"/>
        </w:rPr>
      </w:pPr>
    </w:p>
    <w:p>
      <w:pPr>
        <w:keepNext/>
        <w:keepLines/>
        <w:numPr>
          <w:ilvl w:val="0"/>
          <w:numId w:val="5"/>
        </w:numPr>
        <w:spacing w:before="340" w:after="330" w:line="400" w:lineRule="exact"/>
        <w:ind w:left="0" w:firstLine="0"/>
        <w:jc w:val="center"/>
        <w:outlineLvl w:val="0"/>
        <w:rPr>
          <w:rFonts w:ascii="宋体" w:hAnsi="宋体"/>
          <w:b/>
          <w:bCs/>
          <w:spacing w:val="-20"/>
          <w:kern w:val="44"/>
          <w:sz w:val="32"/>
          <w:szCs w:val="32"/>
        </w:rPr>
      </w:pPr>
      <w:bookmarkStart w:id="13" w:name="_Toc74752319"/>
      <w:r>
        <w:rPr>
          <w:rFonts w:hint="eastAsia" w:ascii="宋体" w:hAnsi="宋体"/>
          <w:b/>
          <w:bCs/>
          <w:spacing w:val="-20"/>
          <w:kern w:val="44"/>
          <w:sz w:val="32"/>
          <w:szCs w:val="32"/>
        </w:rPr>
        <w:t>投标人须知</w:t>
      </w:r>
      <w:bookmarkEnd w:id="13"/>
    </w:p>
    <w:p>
      <w:pPr>
        <w:keepNext/>
        <w:keepLines/>
        <w:numPr>
          <w:ilvl w:val="1"/>
          <w:numId w:val="5"/>
        </w:numPr>
        <w:spacing w:before="260" w:after="260" w:line="360" w:lineRule="auto"/>
        <w:jc w:val="left"/>
        <w:outlineLvl w:val="1"/>
        <w:rPr>
          <w:rFonts w:ascii="宋体" w:hAnsi="宋体"/>
          <w:b/>
          <w:bCs/>
          <w:sz w:val="28"/>
          <w:szCs w:val="28"/>
        </w:rPr>
      </w:pPr>
      <w:bookmarkStart w:id="14" w:name="_Toc217446032"/>
      <w:bookmarkStart w:id="15" w:name="_Toc74752320"/>
      <w:bookmarkStart w:id="16" w:name="_Toc316462344"/>
      <w:bookmarkStart w:id="17" w:name="_Toc189727030"/>
      <w:bookmarkStart w:id="18" w:name="_Toc213496268"/>
      <w:bookmarkStart w:id="19" w:name="_Toc213397010"/>
      <w:bookmarkStart w:id="20" w:name="_Toc213396946"/>
      <w:bookmarkStart w:id="21" w:name="_Toc213396760"/>
      <w:r>
        <w:rPr>
          <w:rFonts w:hint="eastAsia" w:ascii="宋体" w:hAnsi="宋体"/>
          <w:b/>
          <w:bCs/>
          <w:sz w:val="28"/>
          <w:szCs w:val="28"/>
        </w:rPr>
        <w:t>投标人须知前附表</w:t>
      </w:r>
      <w:bookmarkEnd w:id="14"/>
      <w:bookmarkEnd w:id="15"/>
      <w:bookmarkEnd w:id="16"/>
      <w:bookmarkEnd w:id="17"/>
      <w:bookmarkEnd w:id="18"/>
      <w:bookmarkEnd w:id="19"/>
      <w:bookmarkEnd w:id="20"/>
      <w:bookmarkEnd w:id="21"/>
    </w:p>
    <w:tbl>
      <w:tblPr>
        <w:tblStyle w:val="46"/>
        <w:tblW w:w="9510"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1716"/>
        <w:gridCol w:w="691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1" w:hRule="exact"/>
          <w:jc w:val="center"/>
        </w:trPr>
        <w:tc>
          <w:tcPr>
            <w:tcW w:w="884" w:type="dxa"/>
            <w:tcBorders>
              <w:top w:val="single" w:color="auto" w:sz="18" w:space="0"/>
              <w:left w:val="single" w:color="auto" w:sz="18" w:space="0"/>
              <w:bottom w:val="single" w:color="auto" w:sz="8" w:space="0"/>
              <w:right w:val="single" w:color="auto" w:sz="8" w:space="0"/>
            </w:tcBorders>
            <w:vAlign w:val="center"/>
          </w:tcPr>
          <w:p>
            <w:pPr>
              <w:snapToGrid w:val="0"/>
              <w:jc w:val="center"/>
              <w:rPr>
                <w:rFonts w:ascii="宋体" w:hAnsi="宋体"/>
                <w:b/>
              </w:rPr>
            </w:pPr>
            <w:r>
              <w:rPr>
                <w:rFonts w:hint="eastAsia" w:ascii="宋体" w:hAnsi="宋体"/>
                <w:b/>
                <w:sz w:val="28"/>
                <w:szCs w:val="28"/>
                <w:lang w:val="zh-CN"/>
              </w:rPr>
              <w:t>序号</w:t>
            </w:r>
          </w:p>
        </w:tc>
        <w:tc>
          <w:tcPr>
            <w:tcW w:w="1716" w:type="dxa"/>
            <w:tcBorders>
              <w:top w:val="single" w:color="auto" w:sz="18" w:space="0"/>
              <w:left w:val="single" w:color="auto" w:sz="8" w:space="0"/>
              <w:bottom w:val="single" w:color="auto" w:sz="8" w:space="0"/>
              <w:right w:val="single" w:color="auto" w:sz="8" w:space="0"/>
            </w:tcBorders>
            <w:vAlign w:val="center"/>
          </w:tcPr>
          <w:p>
            <w:pPr>
              <w:autoSpaceDE w:val="0"/>
              <w:autoSpaceDN w:val="0"/>
              <w:adjustRightInd w:val="0"/>
              <w:spacing w:line="360" w:lineRule="auto"/>
              <w:ind w:left="38"/>
              <w:jc w:val="center"/>
              <w:rPr>
                <w:rFonts w:ascii="宋体" w:hAnsi="宋体" w:cs="宋体"/>
                <w:b/>
                <w:lang w:val="zh-CN"/>
              </w:rPr>
            </w:pPr>
            <w:r>
              <w:rPr>
                <w:rFonts w:hint="eastAsia" w:ascii="宋体" w:hAnsi="宋体" w:cs="宋体"/>
                <w:b/>
                <w:sz w:val="28"/>
                <w:szCs w:val="28"/>
                <w:lang w:val="zh-CN"/>
              </w:rPr>
              <w:t>应知事项</w:t>
            </w:r>
          </w:p>
        </w:tc>
        <w:tc>
          <w:tcPr>
            <w:tcW w:w="6910" w:type="dxa"/>
            <w:tcBorders>
              <w:top w:val="single" w:color="auto" w:sz="18" w:space="0"/>
              <w:left w:val="single" w:color="auto" w:sz="8" w:space="0"/>
              <w:bottom w:val="single" w:color="auto" w:sz="8" w:space="0"/>
              <w:right w:val="single" w:color="auto" w:sz="18" w:space="0"/>
            </w:tcBorders>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sz w:val="28"/>
                <w:szCs w:val="28"/>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91"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ind w:right="210" w:rightChars="100"/>
              <w:rPr>
                <w:rFonts w:ascii="宋体" w:hAnsi="宋体"/>
              </w:rPr>
            </w:pPr>
            <w:r>
              <w:rPr>
                <w:rFonts w:hint="eastAsia" w:ascii="宋体" w:hAnsi="宋体"/>
              </w:rPr>
              <w:t>采购预算</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ind w:right="210"/>
              <w:rPr>
                <w:rFonts w:eastAsia="仿宋_GB2312" w:cs="宋体"/>
                <w:b/>
                <w:lang w:val="zh-CN"/>
              </w:rPr>
            </w:pPr>
            <w:r>
              <w:rPr>
                <w:rFonts w:hint="eastAsia" w:ascii="宋体" w:hAnsi="宋体"/>
                <w:b/>
              </w:rPr>
              <w:t>人民币</w:t>
            </w:r>
            <w:r>
              <w:rPr>
                <w:rFonts w:hint="eastAsia" w:ascii="宋体" w:hAnsi="宋体"/>
                <w:b/>
                <w:lang w:val="en-US" w:eastAsia="zh-CN"/>
              </w:rPr>
              <w:t>21.2</w:t>
            </w:r>
            <w:r>
              <w:rPr>
                <w:rFonts w:hint="eastAsia" w:ascii="宋体" w:hAnsi="宋体"/>
                <w:b/>
              </w:rPr>
              <w:t>万元</w:t>
            </w:r>
            <w:r>
              <w:rPr>
                <w:rFonts w:hint="eastAsia"/>
                <w:b/>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52"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最高限价</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b/>
                <w:lang w:val="zh-CN"/>
              </w:rPr>
            </w:pPr>
            <w:r>
              <w:rPr>
                <w:rFonts w:hint="eastAsia" w:ascii="宋体" w:hAnsi="宋体" w:cs="宋体"/>
                <w:b/>
                <w:lang w:val="zh-CN"/>
              </w:rPr>
              <w:t>最高限价：</w:t>
            </w:r>
            <w:r>
              <w:rPr>
                <w:rFonts w:hint="eastAsia" w:ascii="宋体" w:hAnsi="宋体" w:cs="宋体"/>
                <w:b/>
                <w:lang w:val="en-US" w:eastAsia="zh-CN"/>
              </w:rPr>
              <w:t>21.2</w:t>
            </w:r>
            <w:r>
              <w:rPr>
                <w:rFonts w:hint="eastAsia" w:ascii="宋体" w:hAnsi="宋体" w:cs="宋体"/>
                <w:b/>
                <w:lang w:val="zh-CN"/>
              </w:rPr>
              <w:t>万元，</w:t>
            </w:r>
            <w:r>
              <w:rPr>
                <w:rFonts w:hint="eastAsia"/>
                <w:b/>
                <w:lang w:val="zh-CN"/>
              </w:rPr>
              <w:t>投标人投标报价高于最高限价的则其投标文件将按无效投标文件处理。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08"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采购方式</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评标方法</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综合评分法(详见第6章)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eastAsia="仿宋_GB2312" w:cs="宋体"/>
                <w:lang w:val="zh-CN"/>
              </w:rPr>
            </w:pPr>
            <w:r>
              <w:rPr>
                <w:rFonts w:hint="eastAsia" w:ascii="宋体" w:hAnsi="宋体" w:cs="宋体"/>
                <w:lang w:val="zh-CN"/>
              </w:rPr>
              <w:t>低于成本价不正当竞争预防措施</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rPr>
            </w:pPr>
            <w:r>
              <w:rPr>
                <w:rFonts w:hint="eastAsia" w:ascii="宋体" w:hAnsi="宋体" w:cs="宋体"/>
                <w:lang w:val="zh-CN"/>
              </w:rPr>
              <w:t>在评标过程中，评标委员会认为投标人投标报价明显低于其他通过符合性审查投标人的投标报价，有可能影响产品质量或者不能诚信履约的，评标委员会应当要求其在合理的时间内提供书面说明，必要时提交相关证明材料。投标人提交的书面说明、相关证明材料（如涉及），应当加盖投标人（法定名称）电子签章，在评标委员会要求的时间内通过政府采购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小微企业价格扣除</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1.根据《政府采购促进中小企业发展管理办法》（财库[2020]46号）的规定，对小微企业制造的货物的价格给予10%的价格扣除，用扣除后的价格参加评审。供应商提供的货物既有中小企业制造货物，也有大型企业制造货物的，不享受该办法</w:t>
            </w:r>
            <w:r>
              <w:rPr>
                <w:rFonts w:ascii="宋体" w:hAnsi="宋体" w:cs="宋体"/>
                <w:lang w:val="zh-CN"/>
              </w:rPr>
              <w:t>规定的中小企业</w:t>
            </w:r>
            <w:r>
              <w:rPr>
                <w:rFonts w:hint="eastAsia" w:ascii="宋体" w:hAnsi="宋体" w:cs="宋体"/>
                <w:lang w:val="zh-CN"/>
              </w:rPr>
              <w:t>扶持</w:t>
            </w:r>
            <w:r>
              <w:rPr>
                <w:rFonts w:ascii="宋体" w:hAnsi="宋体" w:cs="宋体"/>
                <w:lang w:val="zh-CN"/>
              </w:rPr>
              <w:t>政策</w:t>
            </w:r>
            <w:r>
              <w:rPr>
                <w:rFonts w:hint="eastAsia" w:ascii="宋体" w:hAnsi="宋体" w:cs="宋体"/>
                <w:lang w:val="zh-CN"/>
              </w:rPr>
              <w:t>。</w:t>
            </w:r>
          </w:p>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2.投标人应提供《中小企业声明函》。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06"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监狱企业价格扣除</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1.根据《关于政府采购支持监狱企业发展有关问题的通知》（财库[2014]68号）的规定，</w:t>
            </w:r>
            <w:r>
              <w:rPr>
                <w:rFonts w:hint="eastAsia" w:ascii="宋体" w:hAnsi="宋体"/>
              </w:rPr>
              <w:t>监狱企业视同小型、微型企业，</w:t>
            </w:r>
            <w:r>
              <w:rPr>
                <w:rFonts w:hint="eastAsia" w:ascii="宋体" w:hAnsi="宋体" w:cs="宋体"/>
                <w:lang w:val="zh-CN"/>
              </w:rPr>
              <w:t>对监狱企业制造的货物给予10%的价格扣除，用扣除后的价格参与评标。</w:t>
            </w:r>
          </w:p>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2.投标产品中为监狱企业制造的货物应提供由省级以上监狱管理局、戒毒管理局（含新疆生产建设兵团）出具的制造商属于监狱企业的证明文件复印件。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残疾人福利性单位价格扣除</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1.根据《三部门联合发布关于促进残疾人就业政府采购政策的通知》（财库[2017]141号）的规定，残疾人福利性单位视同小型、微型企业，对残疾人福利性单位制造的货物给予10%的价格扣除，用扣除后的价格参与评标。</w:t>
            </w:r>
          </w:p>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2.投标人应提供《残疾人福利性单位声明函》。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4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投标保证金</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b/>
              </w:rPr>
            </w:pPr>
            <w:r>
              <w:rPr>
                <w:rFonts w:hint="eastAsia" w:ascii="宋体" w:hAnsi="宋体"/>
                <w:b/>
              </w:rPr>
              <w:t>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履约保证金</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详见投标人须知2.6.4</w:t>
            </w:r>
          </w:p>
          <w:p>
            <w:pPr>
              <w:spacing w:line="360" w:lineRule="auto"/>
              <w:rPr>
                <w:rFonts w:ascii="宋体" w:hAnsi="宋体" w:cs="宋体"/>
                <w:lang w:val="zh-CN"/>
              </w:rPr>
            </w:pPr>
            <w:r>
              <w:rPr>
                <w:rFonts w:hint="eastAsia" w:ascii="宋体" w:hAnsi="宋体" w:cs="宋体"/>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投标有效期</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提交投标文件的截止之日起</w:t>
            </w:r>
            <w:r>
              <w:rPr>
                <w:rFonts w:hint="eastAsia" w:ascii="宋体" w:hAnsi="宋体" w:cs="宋体"/>
                <w:u w:val="single"/>
                <w:lang w:val="zh-CN"/>
              </w:rPr>
              <w:t>120</w:t>
            </w:r>
            <w:r>
              <w:rPr>
                <w:rFonts w:hint="eastAsia" w:ascii="宋体" w:hAnsi="宋体" w:cs="宋体"/>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投标文件的制作和签章、加密</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投标文件的递交</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详见投标人须知2.4.12</w:t>
            </w:r>
          </w:p>
          <w:p>
            <w:pPr>
              <w:tabs>
                <w:tab w:val="left" w:pos="7665"/>
              </w:tabs>
              <w:snapToGrid w:val="0"/>
              <w:jc w:val="left"/>
              <w:rPr>
                <w:b/>
              </w:rPr>
            </w:pPr>
            <w:r>
              <w:rPr>
                <w:rFonts w:hint="eastAsia" w:ascii="宋体" w:hAnsi="宋体"/>
                <w:b/>
              </w:rPr>
              <w:t>注：投标人使用</w:t>
            </w:r>
            <w:r>
              <w:rPr>
                <w:rFonts w:ascii="宋体" w:hAnsi="宋体"/>
                <w:b/>
              </w:rPr>
              <w:t>CA证书在</w:t>
            </w:r>
            <w:r>
              <w:rPr>
                <w:rFonts w:hint="eastAsia" w:ascii="宋体" w:hAnsi="宋体"/>
                <w:b/>
              </w:rPr>
              <w:t>投标截止时间前，将投标文件上传至政府</w:t>
            </w:r>
            <w:r>
              <w:rPr>
                <w:rFonts w:ascii="宋体" w:hAnsi="宋体"/>
                <w:b/>
              </w:rPr>
              <w:t>采购</w:t>
            </w:r>
            <w:r>
              <w:rPr>
                <w:rFonts w:hint="eastAsia" w:ascii="宋体" w:hAnsi="宋体"/>
                <w:b/>
              </w:rPr>
              <w:t>云平台，上传前须对投标文件是否有电子签章等进行核对。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投标文件的补充、修改</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投标文件的撤回</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b/>
              </w:rPr>
              <w:t>开标及开标程序</w:t>
            </w:r>
          </w:p>
        </w:tc>
        <w:tc>
          <w:tcPr>
            <w:tcW w:w="6910" w:type="dxa"/>
            <w:tcBorders>
              <w:top w:val="single" w:color="auto" w:sz="8" w:space="0"/>
              <w:left w:val="single" w:color="auto" w:sz="8" w:space="0"/>
              <w:bottom w:val="single" w:color="auto" w:sz="8" w:space="0"/>
              <w:right w:val="single" w:color="auto" w:sz="18" w:space="0"/>
            </w:tcBorders>
            <w:vAlign w:val="center"/>
          </w:tcPr>
          <w:p>
            <w:pPr>
              <w:snapToGrid w:val="0"/>
              <w:spacing w:line="360" w:lineRule="auto"/>
              <w:rPr>
                <w:rFonts w:ascii="宋体" w:hAnsi="宋体"/>
                <w:b/>
              </w:rPr>
            </w:pPr>
            <w:r>
              <w:rPr>
                <w:rFonts w:hint="eastAsia" w:ascii="宋体" w:hAnsi="宋体"/>
                <w:b/>
              </w:rPr>
              <w:t>详见投标人须知2.5.1。</w:t>
            </w:r>
          </w:p>
          <w:p>
            <w:pPr>
              <w:snapToGrid w:val="0"/>
              <w:spacing w:line="360" w:lineRule="auto"/>
              <w:rPr>
                <w:rFonts w:ascii="宋体" w:hAnsi="宋体"/>
                <w:b/>
              </w:rPr>
            </w:pPr>
            <w:r>
              <w:rPr>
                <w:rFonts w:hint="eastAsia" w:ascii="宋体" w:hAnsi="宋体"/>
                <w:b/>
              </w:rPr>
              <w:t>投标文件解密：开启解密后，投标人应在系统提示的解密开始时间后</w:t>
            </w:r>
            <w:r>
              <w:rPr>
                <w:rFonts w:ascii="宋体" w:hAnsi="宋体"/>
                <w:b/>
              </w:rPr>
              <w:t>60</w:t>
            </w:r>
            <w:r>
              <w:rPr>
                <w:rFonts w:hint="eastAsia" w:ascii="宋体" w:hAnsi="宋体"/>
                <w:b/>
              </w:rPr>
              <w:t>分钟内 ，使用对投标文件进行加密的CA证书在线完成对投标人递交至政府采购云平台的投标文件的解密。</w:t>
            </w:r>
          </w:p>
          <w:p>
            <w:pPr>
              <w:snapToGrid w:val="0"/>
              <w:spacing w:line="360" w:lineRule="auto"/>
              <w:rPr>
                <w:rFonts w:ascii="宋体" w:hAnsi="宋体"/>
                <w:b/>
              </w:rPr>
            </w:pPr>
            <w:r>
              <w:rPr>
                <w:rFonts w:hint="eastAsia" w:ascii="宋体" w:hAnsi="宋体"/>
                <w:b/>
              </w:rPr>
              <w:t>投标人电脑终端等硬件设备和软件系统配置：投标人电脑终端等硬件设备和软件系统配置应符合开标大厅投标人电脑终端配置要求并运行正常，投标人承担因未尽职责产生的不利后果。</w:t>
            </w:r>
          </w:p>
          <w:p>
            <w:pPr>
              <w:tabs>
                <w:tab w:val="left" w:pos="7665"/>
              </w:tabs>
              <w:snapToGrid w:val="0"/>
              <w:jc w:val="left"/>
              <w:rPr>
                <w:rFonts w:ascii="宋体" w:hAnsi="宋体"/>
              </w:rPr>
            </w:pPr>
            <w:r>
              <w:rPr>
                <w:rFonts w:hint="eastAsia" w:ascii="宋体" w:hAnsi="宋体"/>
                <w:b/>
              </w:rPr>
              <w:t>开标、投标文件的解密详见《成都市全流程电子化采购系统操作指南——供应商版》。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rPr>
              <w:t>对招标文件中供应商参加本次政府采购活动应当具备的条件,招标项目技术、服务、商务及其他要求,评标细则及标准,以及</w:t>
            </w:r>
            <w:r>
              <w:rPr>
                <w:rFonts w:ascii="宋体" w:hAnsi="宋体"/>
              </w:rPr>
              <w:t>关于资格审查</w:t>
            </w:r>
            <w:r>
              <w:rPr>
                <w:rFonts w:hint="eastAsia" w:ascii="宋体" w:hAnsi="宋体"/>
              </w:rPr>
              <w:t>的询问、质疑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ascii="宋体" w:hAnsi="宋体" w:eastAsia="仿宋_GB2312" w:cs="宋体"/>
              </w:rPr>
            </w:pPr>
            <w:r>
              <w:rPr>
                <w:rFonts w:hint="eastAsia" w:ascii="宋体" w:hAnsi="宋体"/>
              </w:rPr>
              <w:t>向采购人提出，并由采购人按相关规定作出答复（详见投标人须知2.8）。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93"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rPr>
              <w:t>对招标文件中的其他内容、采购过程及中标结果（除</w:t>
            </w:r>
            <w:r>
              <w:rPr>
                <w:rFonts w:ascii="宋体" w:hAnsi="宋体"/>
              </w:rPr>
              <w:t>资格审查</w:t>
            </w:r>
            <w:r>
              <w:rPr>
                <w:rFonts w:hint="eastAsia" w:ascii="宋体" w:hAnsi="宋体"/>
              </w:rPr>
              <w:t>）的询问、质疑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ascii="宋体" w:hAnsi="宋体" w:eastAsia="仿宋_GB2312" w:cs="宋体"/>
              </w:rPr>
            </w:pPr>
            <w:r>
              <w:rPr>
                <w:rFonts w:hint="eastAsia" w:ascii="宋体" w:hAnsi="宋体"/>
              </w:rPr>
              <w:t>向采购中心提出，并由采购中心按相关规定作出答复（详见投标人须知2.8）。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527"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10" w:rightChars="100"/>
              <w:rPr>
                <w:rFonts w:ascii="宋体" w:hAnsi="宋体"/>
              </w:rPr>
            </w:pPr>
            <w:r>
              <w:rPr>
                <w:rFonts w:hint="eastAsia" w:ascii="宋体" w:hAnsi="宋体"/>
              </w:rPr>
              <w:t>投标人投诉</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left="183" w:right="210" w:rightChars="100" w:hanging="183" w:hangingChars="87"/>
              <w:rPr>
                <w:rFonts w:ascii="宋体" w:hAnsi="宋体" w:eastAsia="仿宋_GB2312" w:cs="宋体"/>
              </w:rPr>
            </w:pPr>
            <w:r>
              <w:rPr>
                <w:rFonts w:hint="eastAsia" w:ascii="宋体" w:hAnsi="宋体"/>
              </w:rPr>
              <w:t>投诉受理单位：本项目同级财政部门，即成都市武侯区财政局。</w:t>
            </w:r>
          </w:p>
          <w:p>
            <w:pPr>
              <w:tabs>
                <w:tab w:val="left" w:pos="7665"/>
              </w:tabs>
              <w:snapToGrid w:val="0"/>
              <w:spacing w:line="360" w:lineRule="auto"/>
              <w:rPr>
                <w:rFonts w:ascii="宋体" w:hAnsi="宋体"/>
              </w:rPr>
            </w:pPr>
            <w:r>
              <w:rPr>
                <w:rFonts w:hint="eastAsia" w:ascii="宋体" w:hAnsi="宋体"/>
              </w:rPr>
              <w:t>联系电话：</w:t>
            </w:r>
            <w:r>
              <w:rPr>
                <w:rFonts w:ascii="宋体" w:hAnsi="宋体"/>
              </w:rPr>
              <w:t>028-85558345</w:t>
            </w:r>
            <w:r>
              <w:rPr>
                <w:rFonts w:hint="eastAsia" w:ascii="宋体" w:hAnsi="宋体"/>
              </w:rPr>
              <w:t>。</w:t>
            </w:r>
          </w:p>
          <w:p>
            <w:pPr>
              <w:tabs>
                <w:tab w:val="left" w:pos="7665"/>
              </w:tabs>
              <w:snapToGrid w:val="0"/>
              <w:spacing w:line="360" w:lineRule="auto"/>
              <w:rPr>
                <w:rFonts w:ascii="宋体" w:hAnsi="宋体"/>
              </w:rPr>
            </w:pPr>
            <w:r>
              <w:rPr>
                <w:rFonts w:hint="eastAsia" w:ascii="宋体" w:hAnsi="宋体"/>
              </w:rPr>
              <w:t>地址：成都市武侯区武科西五路360号武侯区市民中心2栋5单元801室。</w:t>
            </w:r>
          </w:p>
          <w:p>
            <w:pPr>
              <w:tabs>
                <w:tab w:val="left" w:pos="7665"/>
              </w:tabs>
              <w:snapToGrid w:val="0"/>
              <w:spacing w:line="360" w:lineRule="auto"/>
              <w:rPr>
                <w:rFonts w:ascii="宋体" w:hAnsi="宋体"/>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433"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cs="宋体"/>
                <w:lang w:val="zh-CN"/>
              </w:rPr>
            </w:pPr>
            <w:r>
              <w:rPr>
                <w:rFonts w:hint="eastAsia" w:ascii="宋体" w:hAnsi="宋体" w:cs="宋体"/>
                <w:lang w:val="zh-CN"/>
              </w:rPr>
              <w:t>评标情况公告</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pacing w:line="360" w:lineRule="auto"/>
              <w:rPr>
                <w:rFonts w:ascii="宋体" w:hAnsi="宋体" w:cs="宋体"/>
                <w:lang w:val="zh-CN"/>
              </w:rPr>
            </w:pPr>
            <w:r>
              <w:rPr>
                <w:rFonts w:hint="eastAsia" w:ascii="宋体" w:hAnsi="宋体" w:cs="宋体"/>
                <w:lang w:val="zh-CN"/>
              </w:rPr>
              <w:t>所有</w:t>
            </w:r>
            <w:r>
              <w:rPr>
                <w:rFonts w:hint="eastAsia" w:ascii="宋体" w:hAnsi="宋体"/>
              </w:rPr>
              <w:t>投标人</w:t>
            </w:r>
            <w:r>
              <w:rPr>
                <w:rFonts w:hint="eastAsia" w:ascii="宋体" w:hAnsi="宋体" w:cs="宋体"/>
                <w:lang w:val="zh-CN"/>
              </w:rPr>
              <w:t>投标文件资格性、符合性检查情况、采用综合评分法时的总得分和分项汇总得分情况、评标结果等将在成都市公共资源交易服务中心网、四川政府采购网上采购结果公告栏中予以公告。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127"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cs="宋体"/>
                <w:lang w:val="zh-CN"/>
              </w:rPr>
              <w:t>中标通知书</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cs="宋体"/>
                <w:lang w:val="zh-CN"/>
              </w:rPr>
              <w:t>中标公告在四川政府采购网上公告后，中标供应商自行登录政府采购云平台下载中标通知书。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0"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合同签订地点</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四川省成都市。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7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ind w:right="210" w:rightChars="100"/>
              <w:rPr>
                <w:rFonts w:ascii="宋体" w:hAnsi="宋体"/>
              </w:rPr>
            </w:pPr>
            <w:r>
              <w:rPr>
                <w:rFonts w:hint="eastAsia" w:ascii="宋体" w:hAnsi="宋体"/>
              </w:rPr>
              <w:t>政府采购合同公告、备案</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ind w:left="-4" w:leftChars="-2" w:right="210" w:firstLine="13" w:firstLineChars="6"/>
              <w:rPr>
                <w:rFonts w:ascii="宋体" w:hAnsi="宋体"/>
              </w:rPr>
            </w:pPr>
            <w:r>
              <w:rPr>
                <w:rFonts w:hint="eastAsia" w:ascii="宋体"/>
              </w:rPr>
              <w:t>政府采购合同签订之日起2个工作日内，采购人将在四川政府采购网公告政府采购合同；疫情防控期间，采购人原则上在5个工作日内与供应商签订政府采购合同及向本采购项目同级财政部门，即成都市财政局备案政府采购合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343"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ascii="宋体" w:hAnsi="宋体"/>
                <w:b/>
              </w:rPr>
            </w:pPr>
            <w:r>
              <w:rPr>
                <w:rFonts w:hint="eastAsia" w:ascii="宋体" w:hAnsi="宋体"/>
              </w:rPr>
              <w:t>中小企业政府采购信用融资（“蓉采贷”）</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参加本次招标活动中标的中小企业无需提供财产抵押或第三方担保，凭借政府采购合同可向融资机构申请融资。具体内容详见招标文件附件《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w:t>
            </w:r>
            <w:r>
              <w:rPr>
                <w:rFonts w:hint="eastAsia" w:ascii="宋体" w:hAnsi="宋体"/>
                <w:sz w:val="24"/>
              </w:rPr>
              <w:t>工作的通知》</w:t>
            </w:r>
            <w:r>
              <w:rPr>
                <w:rFonts w:hint="eastAsia" w:ascii="宋体" w:hAnsi="宋体"/>
              </w:rPr>
              <w:t>（成财采〔2020〕20号）</w:t>
            </w:r>
            <w:r>
              <w:rPr>
                <w:rFonts w:hint="eastAsia" w:ascii="宋体" w:hAnsi="宋体"/>
                <w:sz w:val="24"/>
              </w:rPr>
              <w:t>见附件</w:t>
            </w:r>
            <w:r>
              <w:rPr>
                <w:rFonts w:hint="eastAsia" w:ascii="宋体" w:hAnsi="宋体"/>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68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进口产品</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招标文件中未载明“允许采购进口产品”的产品，拒绝进口产品的投标。招标文件中载明“允许采购进口产品”的产品，允许国产产品参与投标竞争。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410"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采购人可以要求参加政府采购的供应商提供有关资质证明文件和业绩情况，并根据《中华人民共和国政府采购法》规定的供应商条件和采购项目对供应商的特定要求，对供应商的资格进行审查。</w:t>
            </w:r>
          </w:p>
        </w:tc>
      </w:tr>
    </w:tbl>
    <w:p>
      <w:pPr>
        <w:keepNext/>
        <w:keepLines/>
        <w:numPr>
          <w:ilvl w:val="1"/>
          <w:numId w:val="5"/>
        </w:numPr>
        <w:spacing w:before="260" w:after="260" w:line="360" w:lineRule="auto"/>
        <w:jc w:val="left"/>
        <w:outlineLvl w:val="1"/>
        <w:rPr>
          <w:rFonts w:ascii="宋体" w:hAnsi="宋体"/>
          <w:b/>
          <w:bCs/>
          <w:sz w:val="28"/>
          <w:szCs w:val="28"/>
        </w:rPr>
      </w:pPr>
      <w:bookmarkStart w:id="22" w:name="_Toc74752321"/>
      <w:r>
        <w:rPr>
          <w:rFonts w:hint="eastAsia" w:ascii="宋体" w:hAnsi="宋体"/>
          <w:b/>
          <w:bCs/>
          <w:sz w:val="28"/>
          <w:szCs w:val="28"/>
        </w:rPr>
        <w:t>总则</w:t>
      </w:r>
      <w:bookmarkEnd w:id="22"/>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适用范围</w:t>
      </w:r>
    </w:p>
    <w:p>
      <w:pPr>
        <w:numPr>
          <w:ilvl w:val="0"/>
          <w:numId w:val="10"/>
        </w:numPr>
        <w:tabs>
          <w:tab w:val="left" w:pos="1134"/>
        </w:tabs>
        <w:spacing w:line="360" w:lineRule="auto"/>
        <w:ind w:left="0" w:firstLine="566" w:firstLineChars="202"/>
        <w:rPr>
          <w:rFonts w:ascii="宋体" w:hAnsi="宋体"/>
          <w:sz w:val="28"/>
          <w:szCs w:val="28"/>
        </w:rPr>
      </w:pPr>
      <w:r>
        <w:rPr>
          <w:rFonts w:hint="eastAsia" w:ascii="宋体" w:hAnsi="宋体"/>
          <w:sz w:val="28"/>
          <w:szCs w:val="28"/>
        </w:rPr>
        <w:t>本招标文件仅适用于本次公开招标采购项目。</w:t>
      </w:r>
    </w:p>
    <w:p>
      <w:pPr>
        <w:numPr>
          <w:ilvl w:val="0"/>
          <w:numId w:val="10"/>
        </w:numPr>
        <w:tabs>
          <w:tab w:val="left" w:pos="1134"/>
        </w:tabs>
        <w:spacing w:line="360" w:lineRule="auto"/>
        <w:ind w:left="0" w:firstLine="566" w:firstLineChars="202"/>
        <w:rPr>
          <w:rFonts w:ascii="宋体" w:hAnsi="宋体"/>
          <w:sz w:val="28"/>
          <w:szCs w:val="28"/>
        </w:rPr>
      </w:pPr>
      <w:r>
        <w:rPr>
          <w:rFonts w:hint="eastAsia" w:ascii="宋体" w:hAnsi="宋体"/>
          <w:sz w:val="28"/>
          <w:szCs w:val="28"/>
        </w:rPr>
        <w:t>本招标文件的最终解释权由采购人或采购中心享有。对招标文件中供应商参加本次政府采购活动应当具备的条件，招标项目技术、服务、商务及其他要求，评标细则及标准由采购人负责解释。除上述招标文件内容，其他内容由采购中心负责解释。</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有关定义</w:t>
      </w:r>
    </w:p>
    <w:p>
      <w:pPr>
        <w:numPr>
          <w:ilvl w:val="0"/>
          <w:numId w:val="11"/>
        </w:numPr>
        <w:tabs>
          <w:tab w:val="left" w:pos="1134"/>
        </w:tabs>
        <w:spacing w:line="360" w:lineRule="auto"/>
        <w:rPr>
          <w:rFonts w:ascii="宋体" w:hAnsi="宋体"/>
          <w:sz w:val="28"/>
          <w:szCs w:val="28"/>
        </w:rPr>
      </w:pPr>
      <w:r>
        <w:rPr>
          <w:rFonts w:hint="eastAsia" w:ascii="宋体" w:hAnsi="宋体"/>
          <w:sz w:val="28"/>
          <w:szCs w:val="28"/>
        </w:rPr>
        <w:t>“采购人”、“甲方”系指依法进行政府采购的成都市武侯区区级机关、事业单位、团体组织。本项目的采购人（甲方）为</w:t>
      </w:r>
      <w:r>
        <w:rPr>
          <w:rFonts w:hint="eastAsia" w:ascii="宋体" w:hAnsi="宋体"/>
          <w:b/>
          <w:bCs/>
          <w:sz w:val="28"/>
          <w:szCs w:val="28"/>
          <w:highlight w:val="none"/>
          <w:u w:val="single"/>
          <w:lang w:eastAsia="zh-CN"/>
        </w:rPr>
        <w:t>成都市武侯实验小学</w:t>
      </w:r>
      <w:r>
        <w:rPr>
          <w:rFonts w:hint="eastAsia" w:ascii="宋体" w:hAnsi="宋体"/>
          <w:sz w:val="28"/>
          <w:szCs w:val="28"/>
        </w:rPr>
        <w:t>。</w:t>
      </w:r>
    </w:p>
    <w:p>
      <w:pPr>
        <w:numPr>
          <w:ilvl w:val="0"/>
          <w:numId w:val="11"/>
        </w:numPr>
        <w:tabs>
          <w:tab w:val="left" w:pos="1134"/>
        </w:tabs>
        <w:spacing w:line="360" w:lineRule="auto"/>
        <w:ind w:left="0" w:firstLine="567"/>
        <w:rPr>
          <w:rFonts w:ascii="宋体" w:hAnsi="宋体"/>
          <w:sz w:val="28"/>
          <w:szCs w:val="28"/>
        </w:rPr>
      </w:pPr>
      <w:r>
        <w:rPr>
          <w:rFonts w:hint="eastAsia" w:ascii="宋体" w:hAnsi="宋体"/>
          <w:sz w:val="28"/>
          <w:szCs w:val="28"/>
        </w:rPr>
        <w:t>“投标人”系指在系统中成功提交《采购文件获取登记表》拟参加投标和向采购人提供货物及服务的供应商。</w:t>
      </w:r>
    </w:p>
    <w:p>
      <w:pPr>
        <w:numPr>
          <w:ilvl w:val="0"/>
          <w:numId w:val="11"/>
        </w:numPr>
        <w:tabs>
          <w:tab w:val="left" w:pos="1134"/>
        </w:tabs>
        <w:spacing w:line="360" w:lineRule="auto"/>
        <w:ind w:left="0" w:firstLine="567"/>
        <w:rPr>
          <w:rFonts w:ascii="宋体" w:hAnsi="宋体"/>
          <w:sz w:val="28"/>
          <w:szCs w:val="28"/>
        </w:rPr>
      </w:pPr>
      <w:r>
        <w:rPr>
          <w:rFonts w:hint="eastAsia" w:ascii="宋体" w:hAnsi="宋体"/>
          <w:sz w:val="28"/>
          <w:szCs w:val="28"/>
        </w:rPr>
        <w:t>本招标文件各部分规定的期间以时、日、月、年计算。期间开始的时和日，不计算在期间内，而从次日开始计算。期间届满的最后一天是节假日的，以节假日后的第一日为期间届满的日期。</w:t>
      </w:r>
    </w:p>
    <w:p>
      <w:pPr>
        <w:numPr>
          <w:ilvl w:val="0"/>
          <w:numId w:val="11"/>
        </w:numPr>
        <w:tabs>
          <w:tab w:val="left" w:pos="1134"/>
        </w:tabs>
        <w:spacing w:line="360" w:lineRule="auto"/>
        <w:ind w:left="0" w:firstLine="568"/>
        <w:rPr>
          <w:rFonts w:ascii="宋体" w:hAnsi="宋体"/>
          <w:sz w:val="28"/>
          <w:szCs w:val="28"/>
        </w:rPr>
      </w:pPr>
      <w:r>
        <w:rPr>
          <w:rFonts w:hint="eastAsia" w:ascii="宋体" w:hAnsi="宋体"/>
          <w:sz w:val="28"/>
          <w:szCs w:val="28"/>
        </w:rPr>
        <w:t>本招标文件各部分规定的“以上”、“以下”、“内”、“以内”，包括本数；所称的“不足”，不包括本数。</w:t>
      </w:r>
    </w:p>
    <w:p>
      <w:pPr>
        <w:numPr>
          <w:ilvl w:val="0"/>
          <w:numId w:val="11"/>
        </w:numPr>
        <w:tabs>
          <w:tab w:val="left" w:pos="1134"/>
        </w:tabs>
        <w:spacing w:line="360" w:lineRule="auto"/>
        <w:ind w:left="0" w:firstLine="568"/>
        <w:rPr>
          <w:rFonts w:ascii="宋体" w:hAnsi="宋体"/>
          <w:sz w:val="28"/>
          <w:szCs w:val="28"/>
        </w:rPr>
      </w:pPr>
      <w:r>
        <w:rPr>
          <w:rFonts w:ascii="宋体" w:hAnsi="宋体"/>
          <w:sz w:val="28"/>
          <w:szCs w:val="28"/>
        </w:rPr>
        <w:t>重大违法记录是指供应商因违法经营受到刑事处罚或者责令停产停业、吊销许可证或者执照、较大数额罚款等行政处罚</w:t>
      </w:r>
      <w:r>
        <w:rPr>
          <w:rFonts w:hint="eastAsia" w:ascii="宋体" w:hAnsi="宋体"/>
          <w:sz w:val="28"/>
          <w:szCs w:val="28"/>
        </w:rPr>
        <w:t>。</w:t>
      </w:r>
    </w:p>
    <w:p>
      <w:pPr>
        <w:numPr>
          <w:ilvl w:val="0"/>
          <w:numId w:val="11"/>
        </w:numPr>
        <w:tabs>
          <w:tab w:val="left" w:pos="1134"/>
        </w:tabs>
        <w:spacing w:line="360" w:lineRule="auto"/>
        <w:ind w:left="0" w:firstLine="568"/>
        <w:rPr>
          <w:rFonts w:ascii="宋体" w:hAnsi="宋体"/>
          <w:sz w:val="28"/>
          <w:szCs w:val="28"/>
        </w:rPr>
      </w:pPr>
      <w:r>
        <w:rPr>
          <w:rFonts w:hint="eastAsia" w:ascii="宋体" w:hAnsi="宋体"/>
          <w:sz w:val="28"/>
          <w:szCs w:val="28"/>
        </w:rPr>
        <w:t>不见面开标是指，采购中心依托政府采购云平台组织开标活动，供应商在线参与开标的一种组织形式。</w:t>
      </w:r>
    </w:p>
    <w:p>
      <w:pPr>
        <w:keepNext/>
        <w:keepLines/>
        <w:numPr>
          <w:ilvl w:val="2"/>
          <w:numId w:val="5"/>
        </w:numPr>
        <w:spacing w:line="360" w:lineRule="auto"/>
        <w:ind w:left="3119" w:hanging="3119"/>
        <w:outlineLvl w:val="2"/>
        <w:rPr>
          <w:rFonts w:ascii="宋体" w:hAnsi="宋体"/>
          <w:b/>
          <w:bCs/>
          <w:sz w:val="28"/>
          <w:szCs w:val="28"/>
        </w:rPr>
      </w:pPr>
      <w:bookmarkStart w:id="23" w:name="_Toc217390843"/>
      <w:bookmarkStart w:id="24" w:name="_Toc217446036"/>
      <w:bookmarkStart w:id="25" w:name="_Toc183682344"/>
      <w:bookmarkStart w:id="26" w:name="_Toc183582207"/>
      <w:r>
        <w:rPr>
          <w:rFonts w:hint="eastAsia" w:ascii="宋体" w:hAnsi="宋体"/>
          <w:b/>
          <w:bCs/>
          <w:sz w:val="28"/>
          <w:szCs w:val="28"/>
        </w:rPr>
        <w:t>合格的投标人</w:t>
      </w:r>
      <w:bookmarkEnd w:id="23"/>
      <w:bookmarkEnd w:id="24"/>
      <w:bookmarkEnd w:id="25"/>
      <w:bookmarkEnd w:id="26"/>
    </w:p>
    <w:p>
      <w:pPr>
        <w:tabs>
          <w:tab w:val="left" w:pos="7665"/>
        </w:tabs>
        <w:spacing w:line="360" w:lineRule="auto"/>
        <w:ind w:firstLine="566" w:firstLineChars="202"/>
        <w:rPr>
          <w:rFonts w:ascii="宋体" w:hAnsi="宋体"/>
          <w:sz w:val="28"/>
          <w:szCs w:val="28"/>
        </w:rPr>
      </w:pPr>
      <w:r>
        <w:rPr>
          <w:rFonts w:hint="eastAsia" w:ascii="宋体" w:hAnsi="宋体"/>
          <w:sz w:val="28"/>
          <w:szCs w:val="28"/>
        </w:rPr>
        <w:t>合格的投标人应具备以下条件：</w:t>
      </w:r>
    </w:p>
    <w:p>
      <w:pPr>
        <w:numPr>
          <w:ilvl w:val="0"/>
          <w:numId w:val="12"/>
        </w:numPr>
        <w:tabs>
          <w:tab w:val="left" w:pos="1134"/>
        </w:tabs>
        <w:spacing w:line="360" w:lineRule="auto"/>
        <w:rPr>
          <w:rFonts w:ascii="宋体" w:hAnsi="宋体"/>
          <w:sz w:val="28"/>
          <w:szCs w:val="28"/>
        </w:rPr>
      </w:pPr>
      <w:r>
        <w:rPr>
          <w:rFonts w:hint="eastAsia" w:ascii="宋体" w:hAnsi="宋体"/>
          <w:sz w:val="28"/>
          <w:szCs w:val="28"/>
        </w:rPr>
        <w:t>本招标文件“投标邀请”第五条规定的条件；</w:t>
      </w:r>
    </w:p>
    <w:p>
      <w:pPr>
        <w:numPr>
          <w:ilvl w:val="0"/>
          <w:numId w:val="12"/>
        </w:numPr>
        <w:tabs>
          <w:tab w:val="left" w:pos="1134"/>
        </w:tabs>
        <w:spacing w:line="360" w:lineRule="auto"/>
        <w:ind w:left="0" w:firstLine="568"/>
        <w:rPr>
          <w:rFonts w:ascii="宋体" w:hAnsi="宋体"/>
          <w:sz w:val="28"/>
          <w:szCs w:val="28"/>
        </w:rPr>
      </w:pPr>
      <w:r>
        <w:rPr>
          <w:rFonts w:hint="eastAsia" w:ascii="宋体" w:hAnsi="宋体"/>
          <w:sz w:val="28"/>
          <w:szCs w:val="28"/>
        </w:rPr>
        <w:t>按照招标文件“投标邀请”中第六、七、八条规定获取了招标文件。</w:t>
      </w:r>
    </w:p>
    <w:p>
      <w:pPr>
        <w:tabs>
          <w:tab w:val="left" w:pos="1134"/>
        </w:tabs>
        <w:spacing w:line="360" w:lineRule="auto"/>
        <w:ind w:left="568"/>
        <w:rPr>
          <w:rFonts w:ascii="宋体" w:hAnsi="宋体"/>
          <w:sz w:val="28"/>
          <w:szCs w:val="28"/>
        </w:rPr>
      </w:pPr>
      <w:r>
        <w:rPr>
          <w:rFonts w:hint="eastAsia" w:ascii="宋体" w:hAnsi="宋体"/>
          <w:sz w:val="28"/>
          <w:szCs w:val="28"/>
        </w:rPr>
        <w:t xml:space="preserve">  </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投标费用</w:t>
      </w:r>
    </w:p>
    <w:p>
      <w:pPr>
        <w:spacing w:line="360" w:lineRule="auto"/>
        <w:ind w:firstLine="661" w:firstLineChars="236"/>
        <w:rPr>
          <w:rFonts w:ascii="宋体" w:hAnsi="宋体"/>
          <w:sz w:val="28"/>
          <w:szCs w:val="28"/>
        </w:rPr>
      </w:pPr>
      <w:r>
        <w:rPr>
          <w:rFonts w:hint="eastAsia" w:ascii="宋体" w:hAnsi="宋体"/>
          <w:sz w:val="28"/>
          <w:szCs w:val="28"/>
        </w:rPr>
        <w:t>投标人应自行承担参加投标的全部费用。</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充分、公平竞争保障措施</w:t>
      </w:r>
    </w:p>
    <w:p>
      <w:pPr>
        <w:numPr>
          <w:ilvl w:val="0"/>
          <w:numId w:val="13"/>
        </w:numPr>
        <w:tabs>
          <w:tab w:val="left" w:pos="1134"/>
        </w:tabs>
        <w:adjustRightInd w:val="0"/>
        <w:spacing w:line="360" w:lineRule="auto"/>
        <w:ind w:left="0" w:firstLine="567"/>
        <w:rPr>
          <w:rFonts w:ascii="宋体" w:hAnsi="宋体"/>
          <w:sz w:val="28"/>
          <w:szCs w:val="28"/>
        </w:rPr>
      </w:pPr>
      <w:r>
        <w:rPr>
          <w:rFonts w:hint="eastAsia" w:ascii="宋体" w:hAnsi="宋体"/>
          <w:sz w:val="28"/>
          <w:szCs w:val="28"/>
        </w:rPr>
        <w:t>单位负责人为同一人或者存在直接控股、管理关系的不同供应商，不得参加同一项目的投标。</w:t>
      </w:r>
    </w:p>
    <w:p>
      <w:pPr>
        <w:numPr>
          <w:ilvl w:val="0"/>
          <w:numId w:val="13"/>
        </w:numPr>
        <w:tabs>
          <w:tab w:val="left" w:pos="1134"/>
        </w:tabs>
        <w:adjustRightInd w:val="0"/>
        <w:spacing w:line="360" w:lineRule="auto"/>
        <w:ind w:left="0" w:firstLine="567"/>
        <w:rPr>
          <w:rFonts w:ascii="宋体" w:hAnsi="宋体"/>
          <w:b/>
          <w:sz w:val="28"/>
          <w:szCs w:val="28"/>
        </w:rPr>
      </w:pPr>
      <w:r>
        <w:rPr>
          <w:rFonts w:hint="eastAsia" w:ascii="宋体" w:hAnsi="宋体"/>
          <w:sz w:val="28"/>
          <w:szCs w:val="28"/>
        </w:rPr>
        <w:t>为采购项目提供整体设计、规范编制或者项目管理、监理、检测等服务的供应商，不得再参加该采购项目的其他采购活动。供应商为采购人、</w:t>
      </w:r>
      <w:r>
        <w:rPr>
          <w:rFonts w:hint="eastAsia" w:ascii="宋体" w:cs="Arial"/>
          <w:sz w:val="28"/>
          <w:szCs w:val="28"/>
        </w:rPr>
        <w:t>采购代理机构</w:t>
      </w:r>
      <w:r>
        <w:rPr>
          <w:rFonts w:hint="eastAsia" w:ascii="宋体" w:hAnsi="宋体"/>
          <w:sz w:val="28"/>
          <w:szCs w:val="28"/>
        </w:rPr>
        <w:t>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hint="eastAsia" w:ascii="宋体" w:hAnsi="宋体"/>
          <w:b/>
          <w:sz w:val="28"/>
          <w:szCs w:val="28"/>
        </w:rPr>
        <w:t>（说明：无供应商为本项目提供整体设计、规范编制或者项目管理、监理、检测等服务。）</w:t>
      </w:r>
    </w:p>
    <w:p>
      <w:pPr>
        <w:numPr>
          <w:ilvl w:val="0"/>
          <w:numId w:val="13"/>
        </w:numPr>
        <w:tabs>
          <w:tab w:val="left" w:pos="1134"/>
        </w:tabs>
        <w:adjustRightInd w:val="0"/>
        <w:spacing w:line="360" w:lineRule="auto"/>
        <w:ind w:left="0" w:firstLine="567"/>
        <w:rPr>
          <w:rFonts w:ascii="宋体" w:hAnsi="宋体"/>
          <w:b/>
          <w:sz w:val="28"/>
          <w:szCs w:val="28"/>
        </w:rPr>
      </w:pPr>
      <w:r>
        <w:rPr>
          <w:rFonts w:hint="eastAsia" w:ascii="宋体" w:hAnsi="宋体"/>
          <w:sz w:val="28"/>
          <w:szCs w:val="28"/>
        </w:rPr>
        <w:t>本项</w:t>
      </w:r>
      <w:r>
        <w:rPr>
          <w:rFonts w:hint="eastAsia" w:asciiTheme="minorEastAsia" w:hAnsiTheme="minorEastAsia"/>
          <w:sz w:val="28"/>
          <w:szCs w:val="28"/>
          <w:lang w:val="zh-CN"/>
        </w:rPr>
        <w:t>目</w:t>
      </w:r>
      <w:r>
        <w:rPr>
          <w:rFonts w:hint="eastAsia" w:asciiTheme="minorEastAsia" w:hAnsiTheme="minorEastAsia"/>
          <w:b/>
          <w:sz w:val="28"/>
          <w:szCs w:val="28"/>
          <w:highlight w:val="yellow"/>
        </w:rPr>
        <w:t>核心产品为</w:t>
      </w:r>
      <w:r>
        <w:rPr>
          <w:rFonts w:hint="eastAsia" w:hAnsi="宋体"/>
          <w:b/>
          <w:sz w:val="28"/>
          <w:szCs w:val="28"/>
          <w:highlight w:val="yellow"/>
          <w:u w:val="single"/>
          <w:lang w:eastAsia="zh-CN"/>
        </w:rPr>
        <w:t>室内全彩屏</w:t>
      </w:r>
      <w:r>
        <w:rPr>
          <w:rFonts w:hint="eastAsia" w:asciiTheme="minorEastAsia" w:hAnsiTheme="minorEastAsia"/>
          <w:sz w:val="28"/>
          <w:szCs w:val="28"/>
          <w:lang w:val="zh-CN"/>
        </w:rPr>
        <w:t>。</w:t>
      </w:r>
      <w:r>
        <w:rPr>
          <w:rFonts w:hint="eastAsia" w:hAnsi="宋体"/>
          <w:sz w:val="28"/>
          <w:szCs w:val="28"/>
        </w:rPr>
        <w:t>提供核心产品品牌相</w:t>
      </w:r>
      <w:r>
        <w:rPr>
          <w:rFonts w:hint="eastAsia" w:hAnsi="宋体"/>
          <w:sz w:val="28"/>
          <w:szCs w:val="28"/>
          <w:lang w:val="zh-CN"/>
        </w:rPr>
        <w:t>同且通过资格检查和符合性检查的不同投标人参加同一项目投标的，按一家投标人计算，评审后得分最高的投标人获得中标候选人推荐资格；评审得分相同的，报价最低的投标人获得中标候选人推荐资格；评审得分相同且报价相同的，由评标委员会采取随机抽取的方式确定一个投标人获得中标候选人推荐资格。</w:t>
      </w:r>
    </w:p>
    <w:p>
      <w:pPr>
        <w:keepNext/>
        <w:keepLines/>
        <w:numPr>
          <w:ilvl w:val="1"/>
          <w:numId w:val="5"/>
        </w:numPr>
        <w:spacing w:line="360" w:lineRule="auto"/>
        <w:jc w:val="left"/>
        <w:outlineLvl w:val="1"/>
        <w:rPr>
          <w:rFonts w:ascii="宋体" w:hAnsi="宋体"/>
          <w:b/>
          <w:bCs/>
          <w:sz w:val="28"/>
          <w:szCs w:val="28"/>
        </w:rPr>
      </w:pPr>
      <w:bookmarkStart w:id="27" w:name="_Toc183582210"/>
      <w:bookmarkStart w:id="28" w:name="_Toc74752322"/>
      <w:bookmarkStart w:id="29" w:name="_Toc217446039"/>
      <w:bookmarkStart w:id="30" w:name="_Toc183682347"/>
      <w:r>
        <w:rPr>
          <w:rFonts w:hint="eastAsia" w:ascii="宋体" w:hAnsi="宋体"/>
          <w:b/>
          <w:bCs/>
          <w:sz w:val="28"/>
          <w:szCs w:val="28"/>
        </w:rPr>
        <w:t>招标文件</w:t>
      </w:r>
      <w:bookmarkEnd w:id="27"/>
      <w:bookmarkEnd w:id="28"/>
      <w:bookmarkEnd w:id="29"/>
      <w:bookmarkEnd w:id="30"/>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招标文件的构成</w:t>
      </w:r>
    </w:p>
    <w:p>
      <w:pPr>
        <w:numPr>
          <w:ilvl w:val="0"/>
          <w:numId w:val="14"/>
        </w:numPr>
        <w:tabs>
          <w:tab w:val="left" w:pos="1134"/>
        </w:tabs>
        <w:spacing w:line="360" w:lineRule="auto"/>
        <w:ind w:left="0" w:firstLine="567"/>
        <w:rPr>
          <w:rFonts w:ascii="宋体" w:hAnsi="宋体"/>
          <w:sz w:val="28"/>
          <w:szCs w:val="28"/>
        </w:rPr>
      </w:pPr>
      <w:r>
        <w:rPr>
          <w:rFonts w:hint="eastAsia" w:ascii="宋体" w:hAnsi="宋体"/>
          <w:sz w:val="28"/>
          <w:szCs w:val="28"/>
        </w:rPr>
        <w:t>招标文件是供应商准备投标文件和参加投标的依据，同时也是评标的重要依据。招标文件用以阐明招标项目所需的资质、技术、服务及报价等要求、招标投标程序、有关规定和注意事项以及合同主要条款等。本招标文件包括以下内容：</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投标邀请；</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投标人须知；</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投标文件格式；</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招标项目技术、服务、商务及其他要求；</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资格性审查；</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评标办法；</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拟签订合同文本。</w:t>
      </w:r>
    </w:p>
    <w:p>
      <w:pPr>
        <w:numPr>
          <w:ilvl w:val="0"/>
          <w:numId w:val="14"/>
        </w:numPr>
        <w:tabs>
          <w:tab w:val="left" w:pos="1134"/>
        </w:tabs>
        <w:spacing w:line="360" w:lineRule="auto"/>
        <w:ind w:left="0" w:firstLine="567"/>
        <w:rPr>
          <w:rFonts w:ascii="宋体" w:hAnsi="宋体"/>
          <w:sz w:val="28"/>
          <w:szCs w:val="28"/>
        </w:rPr>
      </w:pPr>
      <w:r>
        <w:rPr>
          <w:rFonts w:hint="eastAsia" w:ascii="宋体" w:hAnsi="宋体"/>
          <w:sz w:val="28"/>
          <w:szCs w:val="28"/>
        </w:rPr>
        <w:t>投标人应认真阅读和充分理解招标文件中所有的事项、格式条款和规范要求。投标人没有对招标文件全面做出实质性响应所产生的风险由投标人承担。</w:t>
      </w:r>
    </w:p>
    <w:p>
      <w:pPr>
        <w:keepNext/>
        <w:keepLines/>
        <w:numPr>
          <w:ilvl w:val="2"/>
          <w:numId w:val="5"/>
        </w:numPr>
        <w:spacing w:line="360" w:lineRule="auto"/>
        <w:ind w:left="0" w:firstLine="0"/>
        <w:outlineLvl w:val="2"/>
        <w:rPr>
          <w:rFonts w:ascii="宋体" w:hAnsi="宋体"/>
          <w:b/>
          <w:bCs/>
          <w:sz w:val="28"/>
          <w:szCs w:val="28"/>
        </w:rPr>
      </w:pPr>
      <w:bookmarkStart w:id="31" w:name="_Toc183682348"/>
      <w:bookmarkStart w:id="32" w:name="_Toc183582211"/>
      <w:bookmarkStart w:id="33" w:name="_Toc217446040"/>
      <w:r>
        <w:rPr>
          <w:rFonts w:hint="eastAsia" w:ascii="宋体" w:hAnsi="宋体"/>
          <w:b/>
          <w:bCs/>
          <w:sz w:val="28"/>
          <w:szCs w:val="28"/>
        </w:rPr>
        <w:t>招标文件的澄清</w:t>
      </w:r>
      <w:bookmarkEnd w:id="31"/>
      <w:bookmarkEnd w:id="32"/>
      <w:r>
        <w:rPr>
          <w:rFonts w:hint="eastAsia" w:ascii="宋体" w:hAnsi="宋体"/>
          <w:b/>
          <w:bCs/>
          <w:sz w:val="28"/>
          <w:szCs w:val="28"/>
        </w:rPr>
        <w:t>和修改</w:t>
      </w:r>
      <w:bookmarkEnd w:id="33"/>
      <w:bookmarkStart w:id="34" w:name="_Toc217446042"/>
      <w:bookmarkStart w:id="35" w:name="_Toc183582214"/>
      <w:bookmarkStart w:id="36" w:name="_Toc183682351"/>
      <w:bookmarkStart w:id="37" w:name="_Toc77400780"/>
      <w:bookmarkStart w:id="38" w:name="_Toc89075876"/>
    </w:p>
    <w:p>
      <w:pPr>
        <w:numPr>
          <w:ilvl w:val="0"/>
          <w:numId w:val="16"/>
        </w:numPr>
        <w:tabs>
          <w:tab w:val="left" w:pos="142"/>
          <w:tab w:val="left" w:pos="1134"/>
        </w:tabs>
        <w:spacing w:line="360" w:lineRule="auto"/>
        <w:ind w:left="0" w:firstLine="560"/>
        <w:rPr>
          <w:rFonts w:ascii="宋体" w:hAnsi="宋体"/>
          <w:sz w:val="28"/>
          <w:szCs w:val="28"/>
        </w:rPr>
      </w:pPr>
      <w:r>
        <w:rPr>
          <w:rFonts w:hint="eastAsia" w:ascii="宋体" w:hAnsi="宋体"/>
          <w:sz w:val="28"/>
          <w:szCs w:val="28"/>
        </w:rPr>
        <w:t>在投标截止时间前，采购人或者</w:t>
      </w:r>
      <w:r>
        <w:rPr>
          <w:rFonts w:hint="eastAsia" w:cs="Arial"/>
          <w:sz w:val="28"/>
          <w:szCs w:val="28"/>
        </w:rPr>
        <w:t>采购中心</w:t>
      </w:r>
      <w:r>
        <w:rPr>
          <w:rFonts w:hint="eastAsia" w:ascii="宋体" w:hAnsi="宋体"/>
          <w:sz w:val="28"/>
          <w:szCs w:val="28"/>
        </w:rPr>
        <w:t>可以对已发出的招标文件进行必要的澄清或者修改。</w:t>
      </w:r>
    </w:p>
    <w:p>
      <w:pPr>
        <w:numPr>
          <w:ilvl w:val="0"/>
          <w:numId w:val="16"/>
        </w:numPr>
        <w:tabs>
          <w:tab w:val="left" w:pos="142"/>
          <w:tab w:val="left" w:pos="1134"/>
        </w:tabs>
        <w:spacing w:line="360" w:lineRule="auto"/>
        <w:ind w:left="0" w:firstLine="560"/>
        <w:rPr>
          <w:rFonts w:ascii="宋体" w:hAnsi="宋体"/>
          <w:sz w:val="28"/>
          <w:szCs w:val="28"/>
        </w:rPr>
      </w:pPr>
      <w:r>
        <w:rPr>
          <w:rFonts w:hint="eastAsia" w:ascii="宋体" w:hAnsi="宋体"/>
          <w:sz w:val="28"/>
          <w:szCs w:val="28"/>
        </w:rPr>
        <w:t>澄清或者修改的内容，采购中心将在“四川政府采购网”和“成都市武侯区政府采购中心”网站上发布澄清公告，同时通过政府采购云平台将澄清或者修改的内容告知所有在系统中成功获取招标文件的潜在投标人（投标人通过账号或CA证书登录政府采购云平台查看）</w:t>
      </w:r>
    </w:p>
    <w:p>
      <w:pPr>
        <w:numPr>
          <w:ilvl w:val="0"/>
          <w:numId w:val="16"/>
        </w:numPr>
        <w:tabs>
          <w:tab w:val="left" w:pos="142"/>
          <w:tab w:val="left" w:pos="1134"/>
        </w:tabs>
        <w:spacing w:line="360" w:lineRule="auto"/>
        <w:ind w:left="0" w:firstLine="560"/>
        <w:rPr>
          <w:rFonts w:ascii="宋体" w:hAnsi="宋体"/>
          <w:sz w:val="28"/>
          <w:szCs w:val="28"/>
        </w:rPr>
      </w:pPr>
      <w:r>
        <w:rPr>
          <w:rFonts w:hint="eastAsia" w:ascii="宋体" w:hAnsi="宋体"/>
          <w:sz w:val="28"/>
          <w:szCs w:val="28"/>
        </w:rPr>
        <w:t>澄清或者修改的内容可能影响投标文件编制的，采购中心应当在投标截止时间至少15日前，通过云平台通知所有获取招标文件的潜在投标人；不足15日的，采购人或采购中心应当顺延提交投标文件的截止时间。</w:t>
      </w:r>
    </w:p>
    <w:p>
      <w:pPr>
        <w:keepNext/>
        <w:keepLines/>
        <w:numPr>
          <w:ilvl w:val="1"/>
          <w:numId w:val="5"/>
        </w:numPr>
        <w:spacing w:line="360" w:lineRule="auto"/>
        <w:jc w:val="left"/>
        <w:outlineLvl w:val="1"/>
        <w:rPr>
          <w:rFonts w:ascii="宋体" w:hAnsi="宋体"/>
          <w:b/>
          <w:bCs/>
          <w:sz w:val="28"/>
          <w:szCs w:val="28"/>
        </w:rPr>
      </w:pPr>
      <w:bookmarkStart w:id="39" w:name="_Toc74752323"/>
      <w:r>
        <w:rPr>
          <w:rFonts w:hint="eastAsia" w:ascii="宋体" w:hAnsi="宋体"/>
          <w:b/>
          <w:bCs/>
          <w:sz w:val="28"/>
          <w:szCs w:val="28"/>
        </w:rPr>
        <w:t>投标文件</w:t>
      </w:r>
      <w:bookmarkEnd w:id="34"/>
      <w:bookmarkEnd w:id="35"/>
      <w:bookmarkEnd w:id="36"/>
      <w:bookmarkEnd w:id="37"/>
      <w:bookmarkEnd w:id="38"/>
      <w:bookmarkEnd w:id="39"/>
    </w:p>
    <w:p>
      <w:pPr>
        <w:keepNext/>
        <w:keepLines/>
        <w:numPr>
          <w:ilvl w:val="2"/>
          <w:numId w:val="5"/>
        </w:numPr>
        <w:spacing w:line="360" w:lineRule="auto"/>
        <w:ind w:left="0" w:firstLine="0"/>
        <w:outlineLvl w:val="2"/>
        <w:rPr>
          <w:rFonts w:ascii="宋体" w:hAnsi="宋体"/>
          <w:b/>
          <w:bCs/>
          <w:sz w:val="28"/>
          <w:szCs w:val="28"/>
        </w:rPr>
      </w:pPr>
      <w:bookmarkStart w:id="40" w:name="_Toc183682352"/>
      <w:bookmarkStart w:id="41" w:name="_Toc183582215"/>
      <w:bookmarkStart w:id="42" w:name="_Toc217446043"/>
      <w:r>
        <w:rPr>
          <w:rFonts w:hint="eastAsia" w:ascii="宋体" w:hAnsi="宋体"/>
          <w:b/>
          <w:bCs/>
          <w:sz w:val="28"/>
          <w:szCs w:val="28"/>
        </w:rPr>
        <w:t>投标文件的语言</w:t>
      </w:r>
      <w:bookmarkEnd w:id="40"/>
      <w:bookmarkEnd w:id="41"/>
      <w:bookmarkEnd w:id="42"/>
    </w:p>
    <w:p>
      <w:pPr>
        <w:numPr>
          <w:ilvl w:val="0"/>
          <w:numId w:val="17"/>
        </w:numPr>
        <w:tabs>
          <w:tab w:val="left" w:pos="1134"/>
        </w:tabs>
        <w:spacing w:line="360" w:lineRule="auto"/>
        <w:ind w:left="0" w:firstLine="560"/>
        <w:rPr>
          <w:rFonts w:ascii="宋体" w:hAnsi="宋体"/>
          <w:sz w:val="28"/>
          <w:szCs w:val="28"/>
        </w:rPr>
      </w:pPr>
      <w:r>
        <w:rPr>
          <w:rFonts w:hint="eastAsia" w:ascii="宋体" w:hAnsi="宋体"/>
          <w:sz w:val="28"/>
          <w:szCs w:val="28"/>
        </w:rPr>
        <w:t>投标人提交的投标文件以及投标人与采购人或</w:t>
      </w:r>
      <w:r>
        <w:rPr>
          <w:rFonts w:hint="eastAsia" w:cs="Arial"/>
          <w:sz w:val="28"/>
          <w:szCs w:val="28"/>
        </w:rPr>
        <w:t>采购中心</w:t>
      </w:r>
      <w:r>
        <w:rPr>
          <w:rFonts w:hint="eastAsia" w:ascii="宋体" w:hAnsi="宋体"/>
          <w:sz w:val="28"/>
          <w:szCs w:val="28"/>
        </w:rPr>
        <w:t>就有关投标的所有来往书面文件均须使用中文，投标文件中所附或引用的外文资料，应翻译成中文附在相关外文资料后面。（说明：投标人的法定代表人为外籍人士的，则法定代表人的签字和护照除外）。</w:t>
      </w:r>
    </w:p>
    <w:p>
      <w:pPr>
        <w:numPr>
          <w:ilvl w:val="0"/>
          <w:numId w:val="17"/>
        </w:numPr>
        <w:tabs>
          <w:tab w:val="left" w:pos="1134"/>
        </w:tabs>
        <w:spacing w:line="360" w:lineRule="auto"/>
        <w:ind w:left="0" w:firstLine="560"/>
        <w:rPr>
          <w:rFonts w:ascii="宋体" w:hAnsi="宋体"/>
          <w:sz w:val="28"/>
          <w:szCs w:val="28"/>
        </w:rPr>
      </w:pPr>
      <w:r>
        <w:rPr>
          <w:rFonts w:hint="eastAsia" w:ascii="宋体" w:hAnsi="宋体"/>
          <w:sz w:val="28"/>
          <w:szCs w:val="28"/>
        </w:rPr>
        <w:t xml:space="preserve">对不同文字文本投标文件的解释发生异议的，以中文文本为准。若投标人投标文件中提供的外文资料未翻译成中文，则评标委员会可将其视为无效材料。 </w:t>
      </w:r>
    </w:p>
    <w:p>
      <w:pPr>
        <w:keepNext/>
        <w:keepLines/>
        <w:numPr>
          <w:ilvl w:val="2"/>
          <w:numId w:val="5"/>
        </w:numPr>
        <w:spacing w:line="360" w:lineRule="auto"/>
        <w:ind w:left="0" w:firstLine="0"/>
        <w:outlineLvl w:val="2"/>
        <w:rPr>
          <w:rFonts w:ascii="宋体" w:hAnsi="宋体"/>
          <w:b/>
          <w:bCs/>
          <w:sz w:val="28"/>
          <w:szCs w:val="28"/>
        </w:rPr>
      </w:pPr>
      <w:bookmarkStart w:id="43" w:name="_Toc183582216"/>
      <w:bookmarkStart w:id="44" w:name="_Toc183682353"/>
      <w:bookmarkStart w:id="45" w:name="_Toc217446044"/>
      <w:r>
        <w:rPr>
          <w:rFonts w:hint="eastAsia" w:ascii="宋体" w:hAnsi="宋体"/>
          <w:b/>
          <w:bCs/>
          <w:sz w:val="28"/>
          <w:szCs w:val="28"/>
        </w:rPr>
        <w:t>计量单位</w:t>
      </w:r>
      <w:bookmarkEnd w:id="43"/>
      <w:bookmarkEnd w:id="44"/>
      <w:bookmarkEnd w:id="45"/>
    </w:p>
    <w:p>
      <w:pPr>
        <w:tabs>
          <w:tab w:val="left" w:pos="7665"/>
        </w:tabs>
        <w:spacing w:line="360" w:lineRule="auto"/>
        <w:ind w:left="13" w:firstLine="554"/>
        <w:rPr>
          <w:rFonts w:ascii="宋体" w:hAnsi="宋体"/>
          <w:sz w:val="28"/>
          <w:szCs w:val="28"/>
        </w:rPr>
      </w:pPr>
      <w:r>
        <w:rPr>
          <w:rFonts w:hint="eastAsia" w:ascii="宋体" w:hAnsi="宋体"/>
          <w:sz w:val="28"/>
          <w:szCs w:val="28"/>
        </w:rPr>
        <w:t>除招标文件中另有规定外，本次采购项目所有合同项下的投标均采用国家法定的计量单位。</w:t>
      </w:r>
    </w:p>
    <w:p>
      <w:pPr>
        <w:keepNext/>
        <w:keepLines/>
        <w:numPr>
          <w:ilvl w:val="2"/>
          <w:numId w:val="5"/>
        </w:numPr>
        <w:spacing w:line="360" w:lineRule="auto"/>
        <w:ind w:left="0" w:firstLine="0"/>
        <w:outlineLvl w:val="2"/>
        <w:rPr>
          <w:rFonts w:ascii="宋体" w:hAnsi="宋体"/>
          <w:b/>
          <w:bCs/>
          <w:sz w:val="28"/>
          <w:szCs w:val="28"/>
        </w:rPr>
      </w:pPr>
      <w:bookmarkStart w:id="46" w:name="_Toc217446045"/>
      <w:r>
        <w:rPr>
          <w:rFonts w:hint="eastAsia" w:ascii="宋体" w:hAnsi="宋体"/>
          <w:b/>
          <w:bCs/>
          <w:sz w:val="28"/>
          <w:szCs w:val="28"/>
        </w:rPr>
        <w:t>投标货币</w:t>
      </w:r>
      <w:bookmarkEnd w:id="46"/>
    </w:p>
    <w:p>
      <w:pPr>
        <w:tabs>
          <w:tab w:val="left" w:pos="7665"/>
        </w:tabs>
        <w:spacing w:line="360" w:lineRule="auto"/>
        <w:ind w:left="13" w:firstLine="554"/>
        <w:rPr>
          <w:rFonts w:ascii="宋体" w:hAnsi="宋体"/>
          <w:sz w:val="28"/>
          <w:szCs w:val="28"/>
        </w:rPr>
      </w:pPr>
      <w:r>
        <w:rPr>
          <w:rFonts w:hint="eastAsia" w:ascii="宋体" w:hAnsi="宋体"/>
          <w:sz w:val="28"/>
          <w:szCs w:val="28"/>
        </w:rPr>
        <w:t>本次招标项目的投标均以人民币报价。</w:t>
      </w:r>
    </w:p>
    <w:p>
      <w:pPr>
        <w:keepNext/>
        <w:keepLines/>
        <w:numPr>
          <w:ilvl w:val="2"/>
          <w:numId w:val="5"/>
        </w:numPr>
        <w:spacing w:line="360" w:lineRule="auto"/>
        <w:ind w:left="0" w:firstLine="0"/>
        <w:outlineLvl w:val="2"/>
        <w:rPr>
          <w:rFonts w:ascii="宋体" w:hAnsi="宋体"/>
          <w:b/>
          <w:bCs/>
          <w:sz w:val="28"/>
          <w:szCs w:val="28"/>
        </w:rPr>
      </w:pPr>
      <w:bookmarkStart w:id="47" w:name="_Toc217446046"/>
      <w:r>
        <w:rPr>
          <w:rFonts w:hint="eastAsia" w:ascii="宋体" w:hAnsi="宋体"/>
          <w:b/>
          <w:bCs/>
          <w:sz w:val="28"/>
          <w:szCs w:val="28"/>
        </w:rPr>
        <w:t>联合体投标</w:t>
      </w:r>
      <w:bookmarkEnd w:id="47"/>
    </w:p>
    <w:p>
      <w:pPr>
        <w:tabs>
          <w:tab w:val="left" w:pos="1134"/>
        </w:tabs>
        <w:spacing w:line="360" w:lineRule="auto"/>
        <w:ind w:left="546"/>
        <w:rPr>
          <w:rFonts w:ascii="宋体" w:hAnsi="宋体"/>
          <w:sz w:val="28"/>
          <w:szCs w:val="28"/>
        </w:rPr>
      </w:pPr>
      <w:r>
        <w:rPr>
          <w:rFonts w:hint="eastAsia" w:ascii="宋体" w:hAnsi="宋体"/>
          <w:sz w:val="28"/>
          <w:szCs w:val="28"/>
        </w:rPr>
        <w:t>本次政府采购活动</w:t>
      </w:r>
      <w:r>
        <w:rPr>
          <w:rFonts w:hint="eastAsia" w:ascii="宋体" w:hAnsi="宋体"/>
          <w:b/>
          <w:sz w:val="28"/>
          <w:szCs w:val="28"/>
          <w:highlight w:val="none"/>
        </w:rPr>
        <w:t>不接受</w:t>
      </w:r>
      <w:r>
        <w:rPr>
          <w:rFonts w:hint="eastAsia" w:ascii="宋体" w:hAnsi="宋体"/>
          <w:sz w:val="28"/>
          <w:szCs w:val="28"/>
        </w:rPr>
        <w:t>联合体投标。</w:t>
      </w:r>
    </w:p>
    <w:p>
      <w:pPr>
        <w:keepNext/>
        <w:keepLines/>
        <w:numPr>
          <w:ilvl w:val="2"/>
          <w:numId w:val="5"/>
        </w:numPr>
        <w:spacing w:line="360" w:lineRule="auto"/>
        <w:ind w:left="0" w:firstLine="0"/>
        <w:outlineLvl w:val="2"/>
        <w:rPr>
          <w:rFonts w:ascii="宋体" w:hAnsi="宋体"/>
          <w:b/>
          <w:bCs/>
          <w:sz w:val="28"/>
          <w:szCs w:val="28"/>
        </w:rPr>
      </w:pPr>
      <w:bookmarkStart w:id="48" w:name="_Toc217446047"/>
      <w:r>
        <w:rPr>
          <w:rFonts w:hint="eastAsia" w:ascii="宋体" w:hAnsi="宋体"/>
          <w:b/>
          <w:bCs/>
          <w:sz w:val="28"/>
          <w:szCs w:val="28"/>
        </w:rPr>
        <w:t>知识产权</w:t>
      </w:r>
      <w:bookmarkEnd w:id="48"/>
    </w:p>
    <w:p>
      <w:pPr>
        <w:numPr>
          <w:ilvl w:val="0"/>
          <w:numId w:val="18"/>
        </w:numPr>
        <w:tabs>
          <w:tab w:val="left" w:pos="1134"/>
        </w:tabs>
        <w:spacing w:line="360" w:lineRule="auto"/>
        <w:ind w:left="0" w:firstLine="549"/>
        <w:rPr>
          <w:rFonts w:ascii="宋体" w:hAnsi="宋体"/>
          <w:sz w:val="28"/>
          <w:szCs w:val="28"/>
        </w:rPr>
      </w:pPr>
      <w:r>
        <w:rPr>
          <w:rFonts w:hint="eastAsia" w:ascii="宋体" w:hAnsi="宋体"/>
          <w:sz w:val="28"/>
          <w:szCs w:val="28"/>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0"/>
          <w:numId w:val="18"/>
        </w:numPr>
        <w:tabs>
          <w:tab w:val="left" w:pos="1134"/>
        </w:tabs>
        <w:spacing w:line="360" w:lineRule="auto"/>
        <w:ind w:left="0" w:firstLine="549"/>
        <w:rPr>
          <w:rFonts w:ascii="宋体" w:hAnsi="宋体"/>
          <w:sz w:val="28"/>
          <w:szCs w:val="28"/>
        </w:rPr>
      </w:pPr>
      <w:r>
        <w:rPr>
          <w:rFonts w:hint="eastAsia" w:ascii="宋体" w:hAnsi="宋体"/>
          <w:sz w:val="28"/>
          <w:szCs w:val="28"/>
        </w:rPr>
        <w:t>采购人享有本项目实施过程中产生的知识成果及知识产权。</w:t>
      </w:r>
    </w:p>
    <w:p>
      <w:pPr>
        <w:numPr>
          <w:ilvl w:val="0"/>
          <w:numId w:val="18"/>
        </w:numPr>
        <w:tabs>
          <w:tab w:val="left" w:pos="1134"/>
        </w:tabs>
        <w:spacing w:line="360" w:lineRule="auto"/>
        <w:ind w:left="0" w:firstLine="549"/>
        <w:rPr>
          <w:rFonts w:ascii="宋体" w:hAnsi="宋体"/>
          <w:sz w:val="28"/>
          <w:szCs w:val="28"/>
        </w:rPr>
      </w:pPr>
      <w:r>
        <w:rPr>
          <w:rFonts w:hint="eastAsia" w:ascii="宋体" w:hAnsi="宋体"/>
          <w:sz w:val="28"/>
          <w:szCs w:val="28"/>
        </w:rPr>
        <w:t>投标人如拟在项目实施过程中采用自有知识成果，需在投标文件中声明，并提供相关知识产权证明文件。使用该知识成果后，投标人需提供开发接口和开发手册等技术文档，并提供无限期技术支持，采购人享有永久使用权（含采购人委托第三方在该项目后续开发的使用权）。</w:t>
      </w:r>
    </w:p>
    <w:p>
      <w:pPr>
        <w:numPr>
          <w:ilvl w:val="0"/>
          <w:numId w:val="18"/>
        </w:numPr>
        <w:tabs>
          <w:tab w:val="left" w:pos="1134"/>
        </w:tabs>
        <w:spacing w:line="360" w:lineRule="auto"/>
        <w:ind w:left="0" w:firstLine="549"/>
        <w:rPr>
          <w:rFonts w:ascii="宋体" w:hAnsi="宋体"/>
          <w:sz w:val="28"/>
          <w:szCs w:val="28"/>
        </w:rPr>
      </w:pPr>
      <w:r>
        <w:rPr>
          <w:rFonts w:hint="eastAsia" w:ascii="宋体" w:hAnsi="宋体"/>
          <w:sz w:val="28"/>
          <w:szCs w:val="28"/>
        </w:rPr>
        <w:t>如采用投标人所不拥有的知识产权，则在投标报价中必须包括合法获取该知识产权的相关费用。</w:t>
      </w:r>
    </w:p>
    <w:p>
      <w:pPr>
        <w:keepNext/>
        <w:keepLines/>
        <w:numPr>
          <w:ilvl w:val="2"/>
          <w:numId w:val="5"/>
        </w:numPr>
        <w:spacing w:line="360" w:lineRule="auto"/>
        <w:ind w:left="0" w:firstLine="0"/>
        <w:outlineLvl w:val="2"/>
        <w:rPr>
          <w:rFonts w:ascii="宋体" w:hAnsi="宋体"/>
          <w:b/>
          <w:bCs/>
          <w:sz w:val="28"/>
          <w:szCs w:val="28"/>
        </w:rPr>
      </w:pPr>
      <w:bookmarkStart w:id="49" w:name="_Toc217446048"/>
      <w:bookmarkStart w:id="50" w:name="_Toc183582217"/>
      <w:bookmarkStart w:id="51" w:name="_Toc183682354"/>
      <w:r>
        <w:rPr>
          <w:rFonts w:hint="eastAsia" w:ascii="宋体" w:hAnsi="宋体"/>
          <w:b/>
          <w:bCs/>
          <w:sz w:val="28"/>
          <w:szCs w:val="28"/>
        </w:rPr>
        <w:t>投标文件的组成</w:t>
      </w:r>
      <w:bookmarkEnd w:id="49"/>
      <w:bookmarkEnd w:id="50"/>
      <w:bookmarkEnd w:id="51"/>
    </w:p>
    <w:p>
      <w:pPr>
        <w:spacing w:line="360" w:lineRule="auto"/>
        <w:ind w:firstLine="549" w:firstLineChars="196"/>
        <w:rPr>
          <w:rFonts w:ascii="宋体" w:hAnsi="宋体"/>
          <w:sz w:val="28"/>
          <w:szCs w:val="28"/>
        </w:rPr>
      </w:pPr>
      <w:r>
        <w:rPr>
          <w:rFonts w:hint="eastAsia" w:ascii="宋体" w:hAnsi="宋体"/>
          <w:sz w:val="28"/>
          <w:szCs w:val="28"/>
        </w:rPr>
        <w:t>投标人应按照招标文件的规定和要求编制投标文件。投标人拟在中标后将中标项目的非主体、非关键性工作交由他人完成的，应当在投标文件中载明。投标人编写的投标文件应包括下列部分：</w:t>
      </w:r>
    </w:p>
    <w:p>
      <w:pPr>
        <w:pStyle w:val="6"/>
        <w:numPr>
          <w:ilvl w:val="3"/>
          <w:numId w:val="5"/>
        </w:numPr>
        <w:rPr>
          <w:rFonts w:ascii="宋体" w:hAnsi="宋体"/>
        </w:rPr>
      </w:pPr>
      <w:r>
        <w:rPr>
          <w:rFonts w:hint="eastAsia" w:ascii="宋体" w:hAnsi="宋体"/>
        </w:rPr>
        <w:t>资格响应文件：</w:t>
      </w:r>
    </w:p>
    <w:p>
      <w:pPr>
        <w:numPr>
          <w:ilvl w:val="0"/>
          <w:numId w:val="19"/>
        </w:numPr>
        <w:tabs>
          <w:tab w:val="left" w:pos="1134"/>
        </w:tabs>
        <w:spacing w:line="360" w:lineRule="auto"/>
        <w:ind w:left="0" w:firstLine="546"/>
        <w:rPr>
          <w:rFonts w:ascii="宋体" w:hAnsi="宋体"/>
          <w:b/>
          <w:sz w:val="28"/>
          <w:szCs w:val="28"/>
        </w:rPr>
      </w:pPr>
      <w:r>
        <w:rPr>
          <w:rFonts w:hint="eastAsia" w:ascii="宋体" w:hAnsi="宋体"/>
          <w:b/>
          <w:sz w:val="28"/>
          <w:szCs w:val="28"/>
        </w:rPr>
        <w:t>关于投标人资格申明的函；</w:t>
      </w:r>
    </w:p>
    <w:p>
      <w:pPr>
        <w:numPr>
          <w:ilvl w:val="0"/>
          <w:numId w:val="19"/>
        </w:numPr>
        <w:tabs>
          <w:tab w:val="left" w:pos="1134"/>
        </w:tabs>
        <w:spacing w:line="360" w:lineRule="auto"/>
        <w:ind w:left="0" w:firstLine="546"/>
        <w:rPr>
          <w:rFonts w:ascii="宋体" w:hAnsi="宋体"/>
          <w:b/>
          <w:sz w:val="28"/>
          <w:szCs w:val="28"/>
        </w:rPr>
      </w:pPr>
      <w:r>
        <w:rPr>
          <w:rFonts w:hint="eastAsia" w:ascii="宋体" w:hAnsi="宋体"/>
          <w:b/>
          <w:sz w:val="28"/>
          <w:szCs w:val="28"/>
        </w:rPr>
        <w:t>声明；</w:t>
      </w:r>
    </w:p>
    <w:p>
      <w:pPr>
        <w:numPr>
          <w:ilvl w:val="0"/>
          <w:numId w:val="19"/>
        </w:numPr>
        <w:tabs>
          <w:tab w:val="left" w:pos="1134"/>
        </w:tabs>
        <w:spacing w:line="360" w:lineRule="auto"/>
        <w:ind w:left="0" w:firstLine="546"/>
        <w:rPr>
          <w:rFonts w:ascii="宋体" w:hAnsi="宋体"/>
          <w:b/>
          <w:sz w:val="28"/>
          <w:szCs w:val="28"/>
        </w:rPr>
      </w:pPr>
      <w:r>
        <w:rPr>
          <w:rFonts w:hint="eastAsia" w:ascii="宋体" w:hAnsi="宋体"/>
          <w:b/>
          <w:sz w:val="28"/>
          <w:szCs w:val="28"/>
        </w:rPr>
        <w:t>投标人应提交的相关资格证明材料：</w:t>
      </w:r>
    </w:p>
    <w:p>
      <w:pPr>
        <w:pStyle w:val="77"/>
        <w:numPr>
          <w:ilvl w:val="0"/>
          <w:numId w:val="20"/>
        </w:numPr>
        <w:spacing w:before="60" w:line="360" w:lineRule="auto"/>
        <w:ind w:left="0" w:firstLine="546" w:firstLineChars="0"/>
        <w:rPr>
          <w:rFonts w:ascii="宋体" w:hAnsi="宋体"/>
          <w:b/>
          <w:sz w:val="28"/>
          <w:szCs w:val="28"/>
        </w:rPr>
      </w:pPr>
      <w:r>
        <w:rPr>
          <w:rFonts w:hint="eastAsia" w:ascii="宋体" w:hAnsi="宋体"/>
          <w:b/>
          <w:sz w:val="28"/>
          <w:szCs w:val="28"/>
        </w:rPr>
        <w:t>营业执照复印件（正本或副本）或法人证书复印件（正本或副本）；</w:t>
      </w:r>
    </w:p>
    <w:p>
      <w:pPr>
        <w:pStyle w:val="77"/>
        <w:numPr>
          <w:ilvl w:val="0"/>
          <w:numId w:val="20"/>
        </w:numPr>
        <w:spacing w:before="60" w:line="360" w:lineRule="auto"/>
        <w:ind w:left="0" w:firstLine="546" w:firstLineChars="0"/>
        <w:rPr>
          <w:rFonts w:ascii="宋体" w:hAnsi="宋体"/>
          <w:b/>
          <w:sz w:val="28"/>
          <w:szCs w:val="28"/>
        </w:rPr>
      </w:pPr>
      <w:r>
        <w:rPr>
          <w:rFonts w:hint="eastAsia" w:ascii="宋体" w:hAnsi="宋体"/>
          <w:b/>
          <w:sz w:val="28"/>
          <w:szCs w:val="28"/>
        </w:rPr>
        <w:t>2019或2020会计年度资产负债表复印件 （说明：投标人成立时间至递交投标文件截止时间止不足一年的，提供成立后任意时段的资产负债表复印件）；</w:t>
      </w:r>
    </w:p>
    <w:p>
      <w:pPr>
        <w:pStyle w:val="77"/>
        <w:numPr>
          <w:ilvl w:val="0"/>
          <w:numId w:val="20"/>
        </w:numPr>
        <w:spacing w:before="60" w:line="360" w:lineRule="auto"/>
        <w:ind w:left="0" w:firstLine="546" w:firstLineChars="0"/>
        <w:rPr>
          <w:rFonts w:ascii="宋体" w:hAnsi="宋体"/>
          <w:b/>
          <w:sz w:val="28"/>
          <w:szCs w:val="28"/>
        </w:rPr>
      </w:pPr>
      <w:r>
        <w:rPr>
          <w:rFonts w:hint="eastAsia" w:ascii="宋体" w:hAnsi="宋体"/>
          <w:b/>
          <w:sz w:val="28"/>
          <w:szCs w:val="28"/>
        </w:rPr>
        <w:t>投标人缴纳2020或2021年任意时段的税收的银行电子回单或者行政部门出具的纳税证明或完税证明复印件；</w:t>
      </w:r>
    </w:p>
    <w:p>
      <w:pPr>
        <w:pStyle w:val="77"/>
        <w:numPr>
          <w:ilvl w:val="0"/>
          <w:numId w:val="20"/>
        </w:numPr>
        <w:spacing w:before="60" w:line="360" w:lineRule="auto"/>
        <w:ind w:left="0" w:firstLine="546" w:firstLineChars="0"/>
        <w:rPr>
          <w:rFonts w:ascii="宋体" w:hAnsi="宋体"/>
          <w:b/>
          <w:sz w:val="28"/>
          <w:szCs w:val="28"/>
        </w:rPr>
      </w:pPr>
      <w:r>
        <w:rPr>
          <w:rFonts w:hint="eastAsia" w:ascii="宋体" w:hAnsi="宋体"/>
          <w:b/>
          <w:sz w:val="28"/>
          <w:szCs w:val="28"/>
        </w:rPr>
        <w:t>采购人对投标人履行合同所必须的设备和专业技术能力无特殊要求，投标人具有有效的营业执照或法人证书，可不提供其他证明材料；</w:t>
      </w:r>
    </w:p>
    <w:p>
      <w:pPr>
        <w:pStyle w:val="77"/>
        <w:numPr>
          <w:ilvl w:val="0"/>
          <w:numId w:val="20"/>
        </w:numPr>
        <w:spacing w:before="60" w:line="360" w:lineRule="auto"/>
        <w:ind w:left="0" w:firstLine="546" w:firstLineChars="0"/>
        <w:rPr>
          <w:rFonts w:ascii="宋体" w:hAnsi="宋体"/>
          <w:b/>
          <w:sz w:val="28"/>
          <w:szCs w:val="28"/>
        </w:rPr>
      </w:pPr>
      <w:r>
        <w:rPr>
          <w:rFonts w:hint="eastAsia" w:ascii="宋体" w:hAnsi="宋体"/>
          <w:b/>
          <w:sz w:val="28"/>
          <w:szCs w:val="28"/>
        </w:rPr>
        <w:t>投标人缴纳2020或2021年任意时段的社保的银行电子回单或行政部门出具的社保缴纳证明材料复印件；</w:t>
      </w:r>
    </w:p>
    <w:p>
      <w:pPr>
        <w:pStyle w:val="77"/>
        <w:numPr>
          <w:ilvl w:val="0"/>
          <w:numId w:val="20"/>
        </w:numPr>
        <w:spacing w:before="60" w:line="360" w:lineRule="auto"/>
        <w:ind w:left="0" w:firstLine="546" w:firstLineChars="0"/>
        <w:rPr>
          <w:rFonts w:ascii="宋体" w:hAnsi="宋体"/>
          <w:b/>
          <w:sz w:val="28"/>
          <w:szCs w:val="28"/>
        </w:rPr>
      </w:pPr>
      <w:r>
        <w:rPr>
          <w:rFonts w:hint="eastAsia" w:ascii="宋体" w:hAnsi="宋体"/>
          <w:b/>
          <w:sz w:val="28"/>
          <w:szCs w:val="28"/>
        </w:rPr>
        <w:t>采购人对法律、行政法规规定的其他条件无特殊要求，投标人具有有效的营业执照或法人证书，可不提供其他证明材料。</w:t>
      </w:r>
    </w:p>
    <w:p>
      <w:pPr>
        <w:pStyle w:val="6"/>
        <w:numPr>
          <w:ilvl w:val="3"/>
          <w:numId w:val="5"/>
        </w:numPr>
        <w:rPr>
          <w:rFonts w:ascii="宋体" w:hAnsi="宋体"/>
        </w:rPr>
      </w:pPr>
      <w:r>
        <w:rPr>
          <w:rFonts w:hint="eastAsia" w:ascii="宋体" w:hAnsi="宋体"/>
        </w:rPr>
        <w:t>商务技术</w:t>
      </w:r>
      <w:r>
        <w:rPr>
          <w:rFonts w:ascii="宋体" w:hAnsi="宋体"/>
        </w:rPr>
        <w:t>响应</w:t>
      </w:r>
      <w:r>
        <w:rPr>
          <w:rFonts w:hint="eastAsia" w:ascii="宋体" w:hAnsi="宋体"/>
        </w:rPr>
        <w:t>文件</w:t>
      </w:r>
    </w:p>
    <w:p>
      <w:pPr>
        <w:numPr>
          <w:ilvl w:val="0"/>
          <w:numId w:val="21"/>
        </w:numPr>
        <w:tabs>
          <w:tab w:val="left" w:pos="1134"/>
        </w:tabs>
        <w:spacing w:line="360" w:lineRule="auto"/>
        <w:ind w:hanging="279"/>
        <w:jc w:val="left"/>
        <w:rPr>
          <w:rFonts w:ascii="宋体" w:hAnsi="宋体"/>
          <w:b/>
          <w:sz w:val="28"/>
          <w:szCs w:val="28"/>
        </w:rPr>
      </w:pPr>
      <w:r>
        <w:rPr>
          <w:rFonts w:hint="eastAsia" w:ascii="宋体" w:hAnsi="宋体"/>
          <w:b/>
          <w:sz w:val="28"/>
          <w:szCs w:val="28"/>
        </w:rPr>
        <w:t>投标函；</w:t>
      </w:r>
    </w:p>
    <w:p>
      <w:pPr>
        <w:numPr>
          <w:ilvl w:val="0"/>
          <w:numId w:val="21"/>
        </w:numPr>
        <w:tabs>
          <w:tab w:val="left" w:pos="1134"/>
        </w:tabs>
        <w:spacing w:line="360" w:lineRule="auto"/>
        <w:ind w:left="0" w:firstLine="546"/>
        <w:rPr>
          <w:rFonts w:ascii="宋体" w:hAnsi="宋体"/>
          <w:b/>
          <w:sz w:val="28"/>
          <w:szCs w:val="28"/>
        </w:rPr>
      </w:pPr>
      <w:r>
        <w:rPr>
          <w:rFonts w:hint="eastAsia" w:ascii="宋体" w:hAnsi="宋体"/>
          <w:b/>
          <w:sz w:val="28"/>
          <w:szCs w:val="28"/>
        </w:rPr>
        <w:t>法定代表人身份证明书；</w:t>
      </w:r>
    </w:p>
    <w:p>
      <w:pPr>
        <w:numPr>
          <w:ilvl w:val="0"/>
          <w:numId w:val="21"/>
        </w:numPr>
        <w:tabs>
          <w:tab w:val="left" w:pos="1134"/>
        </w:tabs>
        <w:spacing w:line="360" w:lineRule="auto"/>
        <w:ind w:left="0" w:firstLine="546"/>
        <w:rPr>
          <w:rFonts w:ascii="宋体" w:hAnsi="宋体"/>
          <w:b/>
          <w:sz w:val="28"/>
          <w:szCs w:val="28"/>
        </w:rPr>
      </w:pPr>
      <w:r>
        <w:rPr>
          <w:rFonts w:hint="eastAsia" w:ascii="宋体" w:hAnsi="宋体"/>
          <w:b/>
          <w:sz w:val="28"/>
          <w:szCs w:val="28"/>
        </w:rPr>
        <w:t>投标人基本情况表；</w:t>
      </w:r>
    </w:p>
    <w:p>
      <w:pPr>
        <w:numPr>
          <w:ilvl w:val="0"/>
          <w:numId w:val="21"/>
        </w:numPr>
        <w:tabs>
          <w:tab w:val="left" w:pos="1134"/>
        </w:tabs>
        <w:spacing w:line="360" w:lineRule="auto"/>
        <w:ind w:left="0" w:firstLine="546"/>
        <w:rPr>
          <w:rFonts w:ascii="宋体" w:hAnsi="宋体"/>
          <w:b/>
          <w:sz w:val="28"/>
          <w:szCs w:val="28"/>
        </w:rPr>
      </w:pPr>
      <w:r>
        <w:rPr>
          <w:rFonts w:hint="eastAsia" w:ascii="宋体" w:hAnsi="宋体"/>
          <w:b/>
          <w:sz w:val="28"/>
          <w:szCs w:val="28"/>
        </w:rPr>
        <w:t>投标产品技术性能、技术参数和配置的详细描述；</w:t>
      </w:r>
    </w:p>
    <w:p>
      <w:pPr>
        <w:numPr>
          <w:ilvl w:val="0"/>
          <w:numId w:val="21"/>
        </w:numPr>
        <w:tabs>
          <w:tab w:val="left" w:pos="1134"/>
        </w:tabs>
        <w:spacing w:line="360" w:lineRule="auto"/>
        <w:ind w:left="0" w:firstLine="546"/>
        <w:rPr>
          <w:rFonts w:ascii="宋体" w:hAnsi="宋体"/>
          <w:b/>
          <w:sz w:val="28"/>
          <w:szCs w:val="28"/>
        </w:rPr>
      </w:pPr>
      <w:r>
        <w:rPr>
          <w:rFonts w:hint="eastAsia" w:ascii="宋体" w:hAnsi="宋体"/>
          <w:b/>
          <w:sz w:val="28"/>
          <w:szCs w:val="28"/>
        </w:rPr>
        <w:t>售后服务及承诺；</w:t>
      </w:r>
    </w:p>
    <w:p>
      <w:pPr>
        <w:numPr>
          <w:ilvl w:val="0"/>
          <w:numId w:val="21"/>
        </w:numPr>
        <w:tabs>
          <w:tab w:val="left" w:pos="1134"/>
        </w:tabs>
        <w:spacing w:line="360" w:lineRule="auto"/>
        <w:ind w:left="0" w:firstLine="546"/>
        <w:rPr>
          <w:rFonts w:ascii="宋体" w:hAnsi="宋体"/>
          <w:b/>
          <w:sz w:val="28"/>
          <w:szCs w:val="28"/>
        </w:rPr>
      </w:pPr>
      <w:r>
        <w:rPr>
          <w:rFonts w:hint="eastAsia" w:ascii="宋体" w:hAnsi="宋体"/>
          <w:b/>
          <w:sz w:val="28"/>
          <w:szCs w:val="28"/>
        </w:rPr>
        <w:t>项目实施方案；</w:t>
      </w:r>
    </w:p>
    <w:p>
      <w:pPr>
        <w:numPr>
          <w:ilvl w:val="0"/>
          <w:numId w:val="21"/>
        </w:numPr>
        <w:tabs>
          <w:tab w:val="left" w:pos="1134"/>
        </w:tabs>
        <w:spacing w:line="360" w:lineRule="auto"/>
        <w:ind w:left="0" w:firstLine="546"/>
        <w:rPr>
          <w:rFonts w:ascii="宋体" w:hAnsi="宋体"/>
          <w:b/>
          <w:sz w:val="28"/>
          <w:szCs w:val="28"/>
        </w:rPr>
      </w:pPr>
      <w:r>
        <w:rPr>
          <w:rFonts w:hint="eastAsia" w:ascii="宋体" w:hAnsi="宋体"/>
          <w:b/>
          <w:sz w:val="28"/>
          <w:szCs w:val="28"/>
        </w:rPr>
        <w:t>承诺函。</w:t>
      </w:r>
    </w:p>
    <w:p>
      <w:pPr>
        <w:pStyle w:val="6"/>
        <w:numPr>
          <w:ilvl w:val="3"/>
          <w:numId w:val="5"/>
        </w:numPr>
        <w:rPr>
          <w:rFonts w:ascii="宋体" w:hAnsi="宋体"/>
        </w:rPr>
      </w:pPr>
      <w:r>
        <w:rPr>
          <w:rFonts w:hint="eastAsia" w:ascii="宋体" w:hAnsi="宋体"/>
        </w:rPr>
        <w:t>报价</w:t>
      </w:r>
      <w:r>
        <w:rPr>
          <w:rFonts w:ascii="宋体" w:hAnsi="宋体"/>
        </w:rPr>
        <w:t>要求响应文件</w:t>
      </w:r>
    </w:p>
    <w:p>
      <w:pPr>
        <w:pStyle w:val="77"/>
        <w:numPr>
          <w:ilvl w:val="0"/>
          <w:numId w:val="22"/>
        </w:numPr>
        <w:tabs>
          <w:tab w:val="left" w:pos="1134"/>
        </w:tabs>
        <w:spacing w:line="360" w:lineRule="auto"/>
        <w:ind w:firstLineChars="0"/>
        <w:rPr>
          <w:rFonts w:ascii="宋体" w:hAnsi="宋体"/>
          <w:b/>
          <w:sz w:val="28"/>
          <w:szCs w:val="28"/>
        </w:rPr>
      </w:pPr>
      <w:r>
        <w:rPr>
          <w:rFonts w:hint="eastAsia" w:ascii="宋体" w:hAnsi="宋体"/>
          <w:b/>
          <w:sz w:val="28"/>
          <w:szCs w:val="28"/>
        </w:rPr>
        <w:t>开标一览表（投标报价以投标人在政府采购云平台开标一览表</w:t>
      </w:r>
    </w:p>
    <w:p>
      <w:pPr>
        <w:tabs>
          <w:tab w:val="left" w:pos="1134"/>
        </w:tabs>
        <w:spacing w:line="360" w:lineRule="auto"/>
        <w:rPr>
          <w:rFonts w:ascii="宋体" w:hAnsi="宋体"/>
          <w:b/>
          <w:sz w:val="28"/>
          <w:szCs w:val="28"/>
        </w:rPr>
      </w:pPr>
      <w:r>
        <w:rPr>
          <w:rFonts w:hint="eastAsia" w:ascii="宋体" w:hAnsi="宋体"/>
          <w:b/>
          <w:sz w:val="28"/>
          <w:szCs w:val="28"/>
        </w:rPr>
        <w:t>中填写的报价为准。）；</w:t>
      </w:r>
    </w:p>
    <w:p>
      <w:pPr>
        <w:pStyle w:val="77"/>
        <w:numPr>
          <w:ilvl w:val="0"/>
          <w:numId w:val="22"/>
        </w:numPr>
        <w:tabs>
          <w:tab w:val="left" w:pos="1134"/>
        </w:tabs>
        <w:spacing w:line="360" w:lineRule="auto"/>
        <w:ind w:left="0" w:firstLine="546" w:firstLineChars="0"/>
        <w:rPr>
          <w:rFonts w:ascii="宋体" w:hAnsi="宋体"/>
          <w:b/>
          <w:sz w:val="28"/>
          <w:szCs w:val="28"/>
        </w:rPr>
      </w:pPr>
      <w:r>
        <w:rPr>
          <w:rFonts w:hint="eastAsia" w:ascii="宋体" w:hAnsi="宋体"/>
          <w:b/>
          <w:sz w:val="28"/>
          <w:szCs w:val="28"/>
        </w:rPr>
        <w:t>分项报价明细表(</w:t>
      </w:r>
      <w:r>
        <w:rPr>
          <w:rFonts w:ascii="宋体" w:hAnsi="宋体"/>
          <w:b/>
          <w:sz w:val="28"/>
          <w:szCs w:val="28"/>
        </w:rPr>
        <w:t>1.</w:t>
      </w:r>
      <w:r>
        <w:rPr>
          <w:rFonts w:hint="eastAsia" w:ascii="宋体" w:hAnsi="宋体"/>
          <w:b/>
          <w:sz w:val="28"/>
          <w:szCs w:val="28"/>
        </w:rPr>
        <w:t>分项报价明细表中要求填写品牌、规格型号、制造商、进口或国产的，投标人必须载明其投标产品的品牌、规格型号、制造商、进口或国产；2.报价</w:t>
      </w:r>
      <w:r>
        <w:rPr>
          <w:rFonts w:ascii="宋体" w:hAnsi="宋体"/>
          <w:b/>
          <w:sz w:val="28"/>
          <w:szCs w:val="28"/>
        </w:rPr>
        <w:t>明细以投标人在政府采购云平台</w:t>
      </w:r>
      <w:r>
        <w:rPr>
          <w:rFonts w:hint="eastAsia" w:ascii="宋体" w:hAnsi="宋体"/>
          <w:b/>
          <w:sz w:val="28"/>
          <w:szCs w:val="28"/>
        </w:rPr>
        <w:t>报价</w:t>
      </w:r>
      <w:r>
        <w:rPr>
          <w:rFonts w:ascii="宋体" w:hAnsi="宋体"/>
          <w:b/>
          <w:sz w:val="28"/>
          <w:szCs w:val="28"/>
        </w:rPr>
        <w:t>明细表中填写的</w:t>
      </w:r>
      <w:r>
        <w:rPr>
          <w:rFonts w:hint="eastAsia" w:ascii="宋体" w:hAnsi="宋体"/>
          <w:b/>
          <w:sz w:val="28"/>
          <w:szCs w:val="28"/>
        </w:rPr>
        <w:t>为准</w:t>
      </w:r>
      <w:r>
        <w:rPr>
          <w:rFonts w:ascii="宋体" w:hAnsi="宋体"/>
          <w:b/>
          <w:sz w:val="28"/>
          <w:szCs w:val="28"/>
        </w:rPr>
        <w:t>。</w:t>
      </w:r>
      <w:r>
        <w:rPr>
          <w:rFonts w:hint="eastAsia" w:ascii="宋体" w:hAnsi="宋体"/>
          <w:b/>
          <w:sz w:val="28"/>
          <w:szCs w:val="28"/>
        </w:rPr>
        <w:t>)；</w:t>
      </w:r>
    </w:p>
    <w:p>
      <w:pPr>
        <w:pStyle w:val="77"/>
        <w:numPr>
          <w:ilvl w:val="0"/>
          <w:numId w:val="22"/>
        </w:numPr>
        <w:tabs>
          <w:tab w:val="left" w:pos="1134"/>
        </w:tabs>
        <w:spacing w:line="360" w:lineRule="auto"/>
        <w:ind w:left="0" w:firstLine="546" w:firstLineChars="0"/>
        <w:rPr>
          <w:rFonts w:ascii="宋体" w:hAnsi="宋体"/>
          <w:b/>
          <w:sz w:val="28"/>
          <w:szCs w:val="28"/>
        </w:rPr>
      </w:pPr>
      <w:r>
        <w:rPr>
          <w:rFonts w:hint="eastAsia" w:ascii="宋体" w:hAnsi="宋体"/>
          <w:b/>
          <w:sz w:val="28"/>
        </w:rPr>
        <w:t>监狱企业、残疾人福利性单位制造的货物清单及价格</w:t>
      </w:r>
      <w:r>
        <w:rPr>
          <w:rFonts w:hint="eastAsia" w:ascii="宋体" w:hAnsi="宋体"/>
          <w:b/>
          <w:sz w:val="28"/>
          <w:szCs w:val="28"/>
        </w:rPr>
        <w:t>（如未提供</w:t>
      </w:r>
      <w:r>
        <w:rPr>
          <w:rFonts w:hint="eastAsia" w:ascii="宋体" w:hAnsi="宋体"/>
          <w:b/>
          <w:sz w:val="28"/>
        </w:rPr>
        <w:t>监狱企业、残疾人福利性单位制造的货物清单及价格</w:t>
      </w:r>
      <w:r>
        <w:rPr>
          <w:rFonts w:hint="eastAsia" w:ascii="宋体" w:hAnsi="宋体"/>
          <w:b/>
          <w:sz w:val="28"/>
          <w:szCs w:val="28"/>
        </w:rPr>
        <w:t>，则其投标产品中的</w:t>
      </w:r>
      <w:r>
        <w:rPr>
          <w:rFonts w:hint="eastAsia" w:ascii="宋体" w:hAnsi="宋体"/>
          <w:b/>
          <w:sz w:val="28"/>
        </w:rPr>
        <w:t>监狱企业、残疾人福利性单位</w:t>
      </w:r>
      <w:r>
        <w:rPr>
          <w:rFonts w:hint="eastAsia" w:ascii="宋体" w:hAnsi="宋体"/>
          <w:b/>
          <w:sz w:val="28"/>
          <w:szCs w:val="28"/>
        </w:rPr>
        <w:t>制造的货物不能享受招标文件规定的价格扣除，但不影响投标人投标文件的有效性）；</w:t>
      </w:r>
    </w:p>
    <w:p>
      <w:pPr>
        <w:pStyle w:val="77"/>
        <w:numPr>
          <w:ilvl w:val="0"/>
          <w:numId w:val="22"/>
        </w:numPr>
        <w:tabs>
          <w:tab w:val="left" w:pos="1134"/>
        </w:tabs>
        <w:spacing w:line="360" w:lineRule="auto"/>
        <w:ind w:left="0" w:firstLine="546" w:firstLineChars="0"/>
        <w:rPr>
          <w:rFonts w:ascii="宋体" w:hAnsi="宋体"/>
          <w:b/>
          <w:sz w:val="28"/>
          <w:szCs w:val="28"/>
        </w:rPr>
      </w:pPr>
      <w:r>
        <w:rPr>
          <w:rFonts w:hint="eastAsia" w:ascii="宋体" w:hAnsi="宋体"/>
          <w:b/>
          <w:sz w:val="28"/>
          <w:szCs w:val="28"/>
        </w:rPr>
        <w:t>中小企业声明函（如未提供中小企业声明函，则其投标产品中的小型、微型企业制造的货物不能享受招标文件规定的价格扣除，但不影响投标人投标文件的有效性）；</w:t>
      </w:r>
    </w:p>
    <w:p>
      <w:pPr>
        <w:pStyle w:val="77"/>
        <w:numPr>
          <w:ilvl w:val="0"/>
          <w:numId w:val="22"/>
        </w:numPr>
        <w:tabs>
          <w:tab w:val="left" w:pos="1134"/>
        </w:tabs>
        <w:spacing w:line="360" w:lineRule="auto"/>
        <w:ind w:left="0" w:firstLine="546" w:firstLineChars="0"/>
        <w:rPr>
          <w:rFonts w:ascii="宋体" w:hAnsi="宋体"/>
          <w:b/>
          <w:sz w:val="28"/>
          <w:szCs w:val="28"/>
        </w:rPr>
      </w:pPr>
      <w:r>
        <w:rPr>
          <w:rFonts w:hint="eastAsia" w:ascii="宋体" w:hAnsi="宋体"/>
          <w:b/>
          <w:sz w:val="28"/>
          <w:szCs w:val="28"/>
        </w:rPr>
        <w:t>残疾人福利性单位声明函（如未提供残疾人福利性单位声明函，则其投标产品中的残疾人福利性单位制造的货物不能享受招标文件规定的价格扣除，但不影响投标人投标文件的有效性）；</w:t>
      </w:r>
    </w:p>
    <w:p>
      <w:pPr>
        <w:pStyle w:val="77"/>
        <w:numPr>
          <w:ilvl w:val="0"/>
          <w:numId w:val="22"/>
        </w:numPr>
        <w:tabs>
          <w:tab w:val="left" w:pos="1134"/>
        </w:tabs>
        <w:spacing w:line="360" w:lineRule="auto"/>
        <w:ind w:left="0" w:firstLine="546" w:firstLineChars="0"/>
        <w:rPr>
          <w:rFonts w:ascii="宋体" w:hAnsi="宋体"/>
          <w:b/>
          <w:sz w:val="28"/>
          <w:szCs w:val="28"/>
        </w:rPr>
      </w:pPr>
      <w:r>
        <w:rPr>
          <w:rFonts w:hint="eastAsia" w:ascii="宋体" w:hAnsi="宋体"/>
          <w:b/>
          <w:sz w:val="28"/>
          <w:szCs w:val="28"/>
        </w:rPr>
        <w:t>投标产品</w:t>
      </w:r>
      <w:r>
        <w:rPr>
          <w:rFonts w:ascii="宋体" w:hAnsi="宋体"/>
          <w:b/>
          <w:sz w:val="28"/>
          <w:szCs w:val="28"/>
        </w:rPr>
        <w:t>制造商属于监狱企业的证明文件复印件</w:t>
      </w:r>
      <w:r>
        <w:rPr>
          <w:rFonts w:hint="eastAsia" w:ascii="宋体" w:hAnsi="宋体"/>
          <w:b/>
          <w:sz w:val="28"/>
          <w:szCs w:val="28"/>
        </w:rPr>
        <w:t>（1、</w:t>
      </w:r>
      <w:r>
        <w:rPr>
          <w:rFonts w:ascii="宋体" w:hAnsi="宋体"/>
          <w:b/>
          <w:sz w:val="28"/>
          <w:szCs w:val="28"/>
        </w:rPr>
        <w:t>投标产品中为监狱企业制造的货物应提供由省级以上监狱管理局、戒毒管理局（含新疆生产建设兵团）出具的制造商属于监狱企业的证明文件复印件</w:t>
      </w:r>
      <w:r>
        <w:rPr>
          <w:rFonts w:hint="eastAsia" w:ascii="宋体" w:hAnsi="宋体"/>
          <w:b/>
          <w:sz w:val="28"/>
          <w:szCs w:val="28"/>
        </w:rPr>
        <w:t>；2、如未提供</w:t>
      </w:r>
      <w:r>
        <w:rPr>
          <w:rFonts w:ascii="宋体" w:hAnsi="宋体"/>
          <w:b/>
          <w:sz w:val="28"/>
          <w:szCs w:val="28"/>
        </w:rPr>
        <w:t>监狱企业的证明文件</w:t>
      </w:r>
      <w:r>
        <w:rPr>
          <w:rFonts w:hint="eastAsia" w:ascii="宋体" w:hAnsi="宋体"/>
          <w:b/>
          <w:sz w:val="28"/>
          <w:szCs w:val="28"/>
        </w:rPr>
        <w:t>复印件，则其</w:t>
      </w:r>
      <w:r>
        <w:rPr>
          <w:rFonts w:ascii="宋体" w:hAnsi="宋体"/>
          <w:b/>
          <w:sz w:val="28"/>
          <w:szCs w:val="28"/>
        </w:rPr>
        <w:t>投标产品中为监狱企业制造的货物</w:t>
      </w:r>
      <w:r>
        <w:rPr>
          <w:rFonts w:hint="eastAsia" w:ascii="宋体" w:hAnsi="宋体"/>
          <w:b/>
          <w:sz w:val="28"/>
          <w:szCs w:val="28"/>
        </w:rPr>
        <w:t>不能享受招标文件规定的价格扣除，但不影响投标人投标文件的有效性。）。</w:t>
      </w:r>
    </w:p>
    <w:p>
      <w:pPr>
        <w:keepNext/>
        <w:keepLines/>
        <w:numPr>
          <w:ilvl w:val="2"/>
          <w:numId w:val="5"/>
        </w:numPr>
        <w:spacing w:line="360" w:lineRule="auto"/>
        <w:ind w:left="0" w:firstLine="0"/>
        <w:outlineLvl w:val="2"/>
        <w:rPr>
          <w:rFonts w:ascii="宋体" w:hAnsi="宋体"/>
          <w:b/>
          <w:bCs/>
          <w:sz w:val="28"/>
          <w:szCs w:val="28"/>
        </w:rPr>
      </w:pPr>
      <w:bookmarkStart w:id="52" w:name="_Toc316292019"/>
      <w:bookmarkEnd w:id="52"/>
      <w:bookmarkStart w:id="53" w:name="_Toc316292020"/>
      <w:bookmarkEnd w:id="53"/>
      <w:bookmarkStart w:id="54" w:name="_Toc316291395"/>
      <w:bookmarkEnd w:id="54"/>
      <w:bookmarkStart w:id="55" w:name="_Toc316291396"/>
      <w:bookmarkEnd w:id="55"/>
      <w:bookmarkStart w:id="56" w:name="_Toc183682355"/>
      <w:bookmarkStart w:id="57" w:name="_Toc217446049"/>
      <w:bookmarkStart w:id="58" w:name="_Toc183582218"/>
      <w:r>
        <w:rPr>
          <w:rFonts w:hint="eastAsia" w:ascii="宋体" w:hAnsi="宋体"/>
          <w:b/>
          <w:bCs/>
          <w:sz w:val="28"/>
          <w:szCs w:val="28"/>
        </w:rPr>
        <w:t>投标文件格式</w:t>
      </w:r>
      <w:bookmarkEnd w:id="56"/>
      <w:bookmarkEnd w:id="57"/>
      <w:bookmarkEnd w:id="58"/>
      <w:r>
        <w:rPr>
          <w:rFonts w:hint="eastAsia" w:ascii="宋体" w:hAnsi="宋体"/>
          <w:b/>
          <w:bCs/>
          <w:sz w:val="28"/>
          <w:szCs w:val="28"/>
        </w:rPr>
        <w:tab/>
      </w:r>
    </w:p>
    <w:p>
      <w:pPr>
        <w:numPr>
          <w:ilvl w:val="0"/>
          <w:numId w:val="23"/>
        </w:numPr>
        <w:tabs>
          <w:tab w:val="left" w:pos="1134"/>
        </w:tabs>
        <w:spacing w:line="360" w:lineRule="auto"/>
        <w:ind w:left="0" w:firstLine="567"/>
        <w:rPr>
          <w:rFonts w:ascii="宋体" w:hAnsi="宋体"/>
          <w:sz w:val="28"/>
          <w:szCs w:val="28"/>
        </w:rPr>
      </w:pPr>
      <w:r>
        <w:rPr>
          <w:rFonts w:hint="eastAsia" w:ascii="宋体" w:hAnsi="宋体"/>
          <w:sz w:val="28"/>
          <w:szCs w:val="28"/>
        </w:rPr>
        <w:t>投标人应按照招标文件第3章中提供的“投标文件格式”填写相关内容。</w:t>
      </w:r>
    </w:p>
    <w:p>
      <w:pPr>
        <w:numPr>
          <w:ilvl w:val="0"/>
          <w:numId w:val="23"/>
        </w:numPr>
        <w:tabs>
          <w:tab w:val="left" w:pos="1134"/>
        </w:tabs>
        <w:spacing w:line="360" w:lineRule="auto"/>
        <w:ind w:left="0" w:firstLine="567"/>
        <w:rPr>
          <w:rFonts w:ascii="宋体" w:hAnsi="宋体"/>
          <w:sz w:val="28"/>
          <w:szCs w:val="28"/>
        </w:rPr>
      </w:pPr>
      <w:r>
        <w:rPr>
          <w:rFonts w:hint="eastAsia" w:ascii="宋体" w:hAnsi="宋体"/>
          <w:sz w:val="28"/>
          <w:szCs w:val="28"/>
        </w:rPr>
        <w:t>对于没有格式要求的投标文件由投标人自行编写。</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投标报价</w:t>
      </w:r>
    </w:p>
    <w:p>
      <w:pPr>
        <w:numPr>
          <w:ilvl w:val="0"/>
          <w:numId w:val="24"/>
        </w:numPr>
        <w:tabs>
          <w:tab w:val="left" w:pos="1134"/>
        </w:tabs>
        <w:spacing w:line="360" w:lineRule="auto"/>
        <w:ind w:left="0" w:firstLine="560"/>
        <w:rPr>
          <w:rFonts w:ascii="宋体" w:hAnsi="宋体"/>
          <w:sz w:val="28"/>
          <w:szCs w:val="28"/>
        </w:rPr>
      </w:pPr>
      <w:r>
        <w:rPr>
          <w:rFonts w:hint="eastAsia" w:ascii="宋体" w:hAnsi="宋体"/>
          <w:sz w:val="28"/>
          <w:szCs w:val="28"/>
        </w:rPr>
        <w:t>投标人的报价是投标人响应招标项目要求的全部工作内容的价格体现，包括投标人完成本项目所需的一切费用。</w:t>
      </w:r>
    </w:p>
    <w:p>
      <w:pPr>
        <w:numPr>
          <w:ilvl w:val="0"/>
          <w:numId w:val="24"/>
        </w:numPr>
        <w:tabs>
          <w:tab w:val="left" w:pos="1134"/>
        </w:tabs>
        <w:spacing w:line="360" w:lineRule="auto"/>
        <w:ind w:left="0" w:firstLine="560"/>
        <w:rPr>
          <w:rFonts w:ascii="宋体" w:hAnsi="宋体"/>
          <w:sz w:val="28"/>
          <w:szCs w:val="28"/>
        </w:rPr>
      </w:pPr>
      <w:r>
        <w:rPr>
          <w:rFonts w:hint="eastAsia" w:ascii="宋体" w:hAnsi="宋体"/>
          <w:sz w:val="28"/>
          <w:szCs w:val="28"/>
        </w:rPr>
        <w:t>投标人每种货物及服务内容只允许有一个报价，并且在合同履行过程中是固定不变的，任何有选择或可调整的报价将不予接受，并按无效投标处理。</w:t>
      </w:r>
    </w:p>
    <w:p>
      <w:pPr>
        <w:tabs>
          <w:tab w:val="left" w:pos="1134"/>
        </w:tabs>
        <w:spacing w:line="360" w:lineRule="auto"/>
        <w:ind w:firstLine="566" w:firstLineChars="202"/>
        <w:rPr>
          <w:rFonts w:ascii="宋体" w:hAnsi="宋体"/>
          <w:sz w:val="28"/>
          <w:szCs w:val="28"/>
        </w:rPr>
      </w:pPr>
      <w:bookmarkStart w:id="59" w:name="_Toc217446050"/>
      <w:bookmarkStart w:id="60" w:name="_Toc183682360"/>
      <w:bookmarkStart w:id="61" w:name="_Toc183582223"/>
      <w:r>
        <w:rPr>
          <w:rFonts w:hint="eastAsia" w:ascii="宋体" w:hAnsi="宋体"/>
          <w:sz w:val="28"/>
          <w:szCs w:val="28"/>
        </w:rPr>
        <w:t>三、投标文件报价出现前后不一致的，按照下列规定修正：（1）大写金额和小写金额不一致的，以大写金额为准，但大写金额出现文字错误，导致金额无法判断的除外；（</w:t>
      </w:r>
      <w:r>
        <w:rPr>
          <w:rFonts w:ascii="宋体" w:hAnsi="宋体"/>
          <w:sz w:val="28"/>
          <w:szCs w:val="28"/>
        </w:rPr>
        <w:t>2</w:t>
      </w:r>
      <w:r>
        <w:rPr>
          <w:rFonts w:hint="eastAsia" w:ascii="宋体" w:hAnsi="宋体"/>
          <w:sz w:val="28"/>
          <w:szCs w:val="28"/>
        </w:rPr>
        <w:t>）单价金额小数点或者百分比有明显错位的，应以总价为准，并修改单价；（</w:t>
      </w:r>
      <w:r>
        <w:rPr>
          <w:rFonts w:ascii="宋体" w:hAnsi="宋体"/>
          <w:sz w:val="28"/>
          <w:szCs w:val="28"/>
        </w:rPr>
        <w:t>3</w:t>
      </w:r>
      <w:r>
        <w:rPr>
          <w:rFonts w:hint="eastAsia" w:ascii="宋体" w:hAnsi="宋体"/>
          <w:sz w:val="28"/>
          <w:szCs w:val="28"/>
        </w:rPr>
        <w:t>）总价金额与按单价汇总金额不一致的，以单价金额计算结果为准。</w:t>
      </w:r>
    </w:p>
    <w:p>
      <w:pPr>
        <w:tabs>
          <w:tab w:val="left" w:pos="1134"/>
        </w:tabs>
        <w:spacing w:line="360" w:lineRule="auto"/>
        <w:ind w:firstLine="566" w:firstLineChars="202"/>
        <w:rPr>
          <w:rFonts w:ascii="宋体" w:hAnsi="宋体"/>
          <w:sz w:val="28"/>
          <w:szCs w:val="28"/>
        </w:rPr>
      </w:pPr>
      <w:r>
        <w:rPr>
          <w:rFonts w:hint="eastAsia" w:cs="Arial"/>
          <w:sz w:val="28"/>
          <w:szCs w:val="28"/>
        </w:rPr>
        <w:t>同时出现两种以上不一致的，按照前款规定的顺序修正。修正后的报价经投标人以书面形式通过云平台进行确认，并加盖投标人（法定名称）电子签章，投标人逾时确认的，其投标无效。</w:t>
      </w:r>
      <w:r>
        <w:rPr>
          <w:rFonts w:hint="eastAsia" w:ascii="宋体" w:hAnsi="宋体"/>
          <w:sz w:val="28"/>
          <w:szCs w:val="28"/>
        </w:rPr>
        <w:t>如因断电、断网、系统故障或其他不可抗力等因素</w:t>
      </w:r>
      <w:r>
        <w:rPr>
          <w:rFonts w:hint="eastAsia" w:cs="Arial"/>
          <w:sz w:val="28"/>
          <w:szCs w:val="28"/>
        </w:rPr>
        <w:t>，导致系统无法使用的，由投标人按评标委员会的要求进行澄清或者说明。</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投标保证金</w:t>
      </w:r>
      <w:bookmarkEnd w:id="59"/>
      <w:bookmarkEnd w:id="60"/>
      <w:bookmarkEnd w:id="61"/>
    </w:p>
    <w:p>
      <w:pPr>
        <w:spacing w:line="360" w:lineRule="auto"/>
        <w:ind w:firstLine="560" w:firstLineChars="200"/>
        <w:rPr>
          <w:rFonts w:ascii="宋体" w:hAnsi="宋体"/>
          <w:sz w:val="28"/>
          <w:szCs w:val="28"/>
        </w:rPr>
      </w:pPr>
      <w:r>
        <w:rPr>
          <w:rFonts w:hint="eastAsia" w:cs="Arial"/>
          <w:sz w:val="28"/>
          <w:szCs w:val="28"/>
        </w:rPr>
        <w:t>本项目不收取投标保证金。</w:t>
      </w:r>
    </w:p>
    <w:p>
      <w:pPr>
        <w:keepNext/>
        <w:keepLines/>
        <w:numPr>
          <w:ilvl w:val="2"/>
          <w:numId w:val="5"/>
        </w:numPr>
        <w:tabs>
          <w:tab w:val="left" w:pos="851"/>
        </w:tabs>
        <w:spacing w:line="360" w:lineRule="auto"/>
        <w:ind w:left="0" w:firstLine="0"/>
        <w:outlineLvl w:val="2"/>
        <w:rPr>
          <w:rFonts w:ascii="宋体" w:hAnsi="宋体"/>
          <w:b/>
          <w:bCs/>
          <w:sz w:val="28"/>
          <w:szCs w:val="28"/>
        </w:rPr>
      </w:pPr>
      <w:bookmarkStart w:id="62" w:name="_Toc316292024"/>
      <w:bookmarkEnd w:id="62"/>
      <w:bookmarkStart w:id="63" w:name="_Toc316291400"/>
      <w:bookmarkEnd w:id="63"/>
      <w:bookmarkStart w:id="64" w:name="_Toc183682361"/>
      <w:bookmarkStart w:id="65" w:name="_Toc217446051"/>
      <w:bookmarkStart w:id="66" w:name="_Toc183582224"/>
      <w:r>
        <w:rPr>
          <w:rFonts w:hint="eastAsia" w:ascii="宋体" w:hAnsi="宋体"/>
          <w:b/>
          <w:bCs/>
          <w:sz w:val="28"/>
          <w:szCs w:val="28"/>
        </w:rPr>
        <w:t>投标有效期</w:t>
      </w:r>
      <w:bookmarkEnd w:id="64"/>
      <w:bookmarkEnd w:id="65"/>
      <w:bookmarkEnd w:id="66"/>
    </w:p>
    <w:p>
      <w:pPr>
        <w:numPr>
          <w:ilvl w:val="0"/>
          <w:numId w:val="25"/>
        </w:numPr>
        <w:tabs>
          <w:tab w:val="left" w:pos="1134"/>
        </w:tabs>
        <w:spacing w:line="360" w:lineRule="auto"/>
        <w:ind w:left="0" w:firstLine="567"/>
        <w:rPr>
          <w:rFonts w:ascii="宋体" w:hAnsi="宋体"/>
          <w:sz w:val="28"/>
          <w:szCs w:val="28"/>
        </w:rPr>
      </w:pPr>
      <w:r>
        <w:rPr>
          <w:rFonts w:hint="eastAsia" w:ascii="宋体" w:hAnsi="宋体"/>
          <w:sz w:val="28"/>
          <w:szCs w:val="28"/>
        </w:rPr>
        <w:t>投标有效期为</w:t>
      </w:r>
      <w:r>
        <w:rPr>
          <w:rFonts w:hint="eastAsia" w:ascii="Helvetica" w:hAnsi="Helvetica" w:cs="Helvetica"/>
          <w:sz w:val="28"/>
          <w:szCs w:val="28"/>
        </w:rPr>
        <w:t>提交投标文件的截止之日起</w:t>
      </w:r>
      <w:r>
        <w:rPr>
          <w:rFonts w:hint="eastAsia" w:ascii="宋体" w:hAnsi="宋体"/>
          <w:sz w:val="28"/>
          <w:szCs w:val="28"/>
          <w:u w:val="single"/>
        </w:rPr>
        <w:t>120</w:t>
      </w:r>
      <w:r>
        <w:rPr>
          <w:rFonts w:hint="eastAsia" w:ascii="宋体" w:hAnsi="宋体"/>
          <w:sz w:val="28"/>
          <w:szCs w:val="28"/>
        </w:rPr>
        <w:t>天。投标有效期短于此规定期限的或不作响应的，则其投标文件将按无效投标文件处理。</w:t>
      </w:r>
    </w:p>
    <w:p>
      <w:pPr>
        <w:numPr>
          <w:ilvl w:val="0"/>
          <w:numId w:val="25"/>
        </w:numPr>
        <w:tabs>
          <w:tab w:val="left" w:pos="1134"/>
        </w:tabs>
        <w:spacing w:line="360" w:lineRule="auto"/>
        <w:ind w:left="0" w:firstLine="567"/>
        <w:rPr>
          <w:rFonts w:ascii="宋体" w:hAnsi="宋体"/>
          <w:sz w:val="28"/>
          <w:szCs w:val="28"/>
        </w:rPr>
      </w:pPr>
      <w:r>
        <w:rPr>
          <w:rFonts w:hint="eastAsia" w:ascii="宋体" w:hAnsi="宋体"/>
          <w:sz w:val="28"/>
          <w:szCs w:val="28"/>
        </w:rPr>
        <w:t>特殊情况下，采购人可于投标有效期满之前要求投标人同意延长有效期，要求与答复均应为书面形式。投标人可以拒绝上述要求，其投标保证金不被没收。同意延长投标有效期的投标人不能修改其投标文件，关于投标保证金的有关规定在延长的投标有效期内继续有效。</w:t>
      </w:r>
    </w:p>
    <w:p>
      <w:pPr>
        <w:pStyle w:val="5"/>
        <w:numPr>
          <w:ilvl w:val="2"/>
          <w:numId w:val="5"/>
        </w:numPr>
        <w:tabs>
          <w:tab w:val="left" w:pos="851"/>
        </w:tabs>
        <w:spacing w:after="200"/>
        <w:ind w:left="0" w:firstLine="0"/>
        <w:rPr>
          <w:color w:val="auto"/>
        </w:rPr>
      </w:pPr>
      <w:bookmarkStart w:id="67" w:name="_Toc183682364"/>
      <w:bookmarkStart w:id="68" w:name="_Toc183582227"/>
      <w:bookmarkStart w:id="69" w:name="_Toc217446054"/>
      <w:r>
        <w:rPr>
          <w:rFonts w:hint="eastAsia"/>
          <w:color w:val="auto"/>
        </w:rPr>
        <w:t>投标文件的制作和签章、加密</w:t>
      </w:r>
    </w:p>
    <w:p>
      <w:pPr>
        <w:spacing w:line="360" w:lineRule="auto"/>
        <w:ind w:firstLine="562" w:firstLineChars="200"/>
        <w:rPr>
          <w:rFonts w:ascii="宋体" w:hAnsi="宋体"/>
          <w:sz w:val="28"/>
          <w:szCs w:val="28"/>
        </w:rPr>
      </w:pPr>
      <w:r>
        <w:rPr>
          <w:rFonts w:hint="eastAsia" w:ascii="宋体" w:hAnsi="宋体"/>
          <w:b/>
          <w:sz w:val="28"/>
          <w:szCs w:val="28"/>
        </w:rPr>
        <w:t>一、投标文件应根据招标文件的要求进行制作。</w:t>
      </w:r>
      <w:r>
        <w:rPr>
          <w:rFonts w:hint="eastAsia" w:ascii="宋体" w:hAnsi="宋体"/>
          <w:sz w:val="28"/>
          <w:szCs w:val="28"/>
        </w:rPr>
        <w:t>（说明：1、招标文件中要求提供复印件证明材料的，包含提供原件的影印件或复印件。2、要求提供复印件的证明材料须清晰可辨。）</w:t>
      </w:r>
    </w:p>
    <w:p>
      <w:pPr>
        <w:spacing w:line="360" w:lineRule="auto"/>
        <w:ind w:firstLine="560" w:firstLineChars="200"/>
        <w:rPr>
          <w:rFonts w:ascii="宋体" w:hAnsi="宋体"/>
          <w:sz w:val="28"/>
          <w:szCs w:val="28"/>
        </w:rPr>
      </w:pPr>
      <w:r>
        <w:rPr>
          <w:rFonts w:hint="eastAsia" w:ascii="宋体" w:hAnsi="宋体"/>
          <w:sz w:val="28"/>
          <w:szCs w:val="28"/>
        </w:rPr>
        <w:t>二、投标文件制作详情：</w:t>
      </w:r>
    </w:p>
    <w:p>
      <w:pPr>
        <w:spacing w:line="360" w:lineRule="auto"/>
        <w:ind w:firstLine="560" w:firstLineChars="200"/>
        <w:rPr>
          <w:rFonts w:ascii="宋体" w:hAnsi="宋体"/>
          <w:sz w:val="28"/>
          <w:szCs w:val="28"/>
        </w:rPr>
      </w:pPr>
      <w:r>
        <w:rPr>
          <w:rFonts w:hint="eastAsia" w:ascii="宋体" w:hAnsi="宋体"/>
          <w:sz w:val="28"/>
          <w:szCs w:val="28"/>
        </w:rPr>
        <w:t>1、本项目实行电子投标。投标人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w:t>
      </w:r>
      <w:r>
        <w:rPr>
          <w:rFonts w:hint="eastAsia" w:ascii="宋体" w:hAnsi="宋体"/>
          <w:b/>
          <w:sz w:val="28"/>
          <w:szCs w:val="28"/>
        </w:rPr>
        <w:t>投标人应按招标文件要求，通过“政采云投标客户端”制作、加密并提交投标文件。</w:t>
      </w:r>
    </w:p>
    <w:p>
      <w:pPr>
        <w:spacing w:line="360" w:lineRule="auto"/>
        <w:ind w:firstLine="562" w:firstLineChars="200"/>
        <w:rPr>
          <w:rFonts w:ascii="宋体" w:hAnsi="宋体"/>
          <w:b/>
          <w:sz w:val="28"/>
          <w:szCs w:val="28"/>
        </w:rPr>
      </w:pPr>
      <w:r>
        <w:rPr>
          <w:rFonts w:hint="eastAsia" w:ascii="宋体" w:hAnsi="宋体"/>
          <w:b/>
          <w:sz w:val="28"/>
          <w:szCs w:val="28"/>
        </w:rPr>
        <w:t>2、投标文件应加盖投标人（法定名称）电子签章，不得使用投标人专用章（如经济合同章、投标专用章等）或下属单位印章代替。</w:t>
      </w:r>
    </w:p>
    <w:p>
      <w:pPr>
        <w:spacing w:line="360" w:lineRule="auto"/>
        <w:ind w:firstLine="562" w:firstLineChars="200"/>
        <w:rPr>
          <w:rFonts w:ascii="宋体" w:hAnsi="宋体"/>
          <w:b/>
          <w:sz w:val="28"/>
          <w:szCs w:val="28"/>
        </w:rPr>
      </w:pPr>
      <w:r>
        <w:rPr>
          <w:rFonts w:hint="eastAsia" w:ascii="宋体" w:hAnsi="宋体"/>
          <w:b/>
          <w:sz w:val="28"/>
          <w:szCs w:val="28"/>
        </w:rPr>
        <w:t>3、投标人应使用本企业CA数字证书对投标文件进行加密。</w:t>
      </w:r>
    </w:p>
    <w:p>
      <w:pPr>
        <w:spacing w:line="360" w:lineRule="auto"/>
        <w:ind w:firstLine="562" w:firstLineChars="200"/>
        <w:rPr>
          <w:rFonts w:ascii="宋体" w:hAnsi="宋体"/>
          <w:b/>
          <w:sz w:val="28"/>
          <w:szCs w:val="28"/>
        </w:rPr>
      </w:pPr>
      <w:r>
        <w:rPr>
          <w:rFonts w:hint="eastAsia" w:ascii="宋体" w:hAnsi="宋体"/>
          <w:b/>
          <w:sz w:val="28"/>
          <w:szCs w:val="28"/>
        </w:rPr>
        <w:t>4、招标文件有修改的，投标人须重新下载修改后的招标文件（修改后的招标文件在更正公告中下载），根据修改后的招标文件制作、撤回修改，并递交投标文件。</w:t>
      </w:r>
    </w:p>
    <w:p>
      <w:pPr>
        <w:spacing w:line="360" w:lineRule="auto"/>
        <w:ind w:firstLine="560" w:firstLineChars="200"/>
        <w:rPr>
          <w:rFonts w:ascii="宋体" w:hAnsi="宋体"/>
          <w:sz w:val="28"/>
          <w:szCs w:val="28"/>
        </w:rPr>
      </w:pPr>
      <w:r>
        <w:rPr>
          <w:rFonts w:hint="eastAsia" w:ascii="宋体" w:hAnsi="宋体"/>
          <w:sz w:val="28"/>
          <w:szCs w:val="28"/>
        </w:rPr>
        <w:t>5、使用“政府采购云平台”（含政采云电子交易客户端）需要提前申领CA数字证书及电子签章，请自行前往四川CA、CFCA、天威CA服务点办理，只需办理其中一家CA数字证书及签章（提示：办理时请说明参与成都市政府采购项目）。投标人应及时完成在“政府采购云平台”的CA账号绑定，确保顺利参与电子投标。</w:t>
      </w:r>
    </w:p>
    <w:p>
      <w:pPr>
        <w:pStyle w:val="5"/>
        <w:numPr>
          <w:ilvl w:val="2"/>
          <w:numId w:val="5"/>
        </w:numPr>
        <w:spacing w:after="200"/>
        <w:ind w:left="0" w:firstLine="0"/>
        <w:rPr>
          <w:color w:val="auto"/>
        </w:rPr>
      </w:pPr>
      <w:r>
        <w:rPr>
          <w:rFonts w:hint="eastAsia"/>
          <w:color w:val="auto"/>
        </w:rPr>
        <w:t>投标文件的</w:t>
      </w:r>
      <w:bookmarkEnd w:id="67"/>
      <w:bookmarkEnd w:id="68"/>
      <w:r>
        <w:rPr>
          <w:rFonts w:hint="eastAsia"/>
          <w:color w:val="auto"/>
        </w:rPr>
        <w:t>递交</w:t>
      </w:r>
      <w:bookmarkEnd w:id="69"/>
    </w:p>
    <w:p>
      <w:pPr>
        <w:tabs>
          <w:tab w:val="left" w:pos="0"/>
        </w:tabs>
        <w:spacing w:line="360" w:lineRule="auto"/>
        <w:ind w:firstLine="420" w:firstLineChars="150"/>
        <w:rPr>
          <w:rFonts w:ascii="宋体" w:hAnsi="宋体" w:eastAsiaTheme="minorEastAsia" w:cstheme="minorBidi"/>
          <w:bCs/>
          <w:sz w:val="28"/>
          <w:szCs w:val="28"/>
        </w:rPr>
      </w:pPr>
      <w:r>
        <w:rPr>
          <w:rFonts w:hint="eastAsia" w:ascii="宋体" w:hAnsi="宋体" w:eastAsiaTheme="minorEastAsia" w:cstheme="minorBidi"/>
          <w:bCs/>
          <w:sz w:val="28"/>
          <w:szCs w:val="28"/>
        </w:rPr>
        <w:t>一、投标人应当在投标文件递交截止时间前，将生成的已加密的投标文件成功递交至“政府采购云平台”。</w:t>
      </w:r>
    </w:p>
    <w:p>
      <w:pPr>
        <w:tabs>
          <w:tab w:val="left" w:pos="0"/>
        </w:tabs>
        <w:spacing w:line="360" w:lineRule="auto"/>
        <w:ind w:firstLine="420" w:firstLineChars="150"/>
        <w:rPr>
          <w:rFonts w:ascii="宋体" w:hAnsi="宋体" w:eastAsiaTheme="minorEastAsia" w:cstheme="minorBidi"/>
          <w:bCs/>
          <w:sz w:val="28"/>
          <w:szCs w:val="28"/>
        </w:rPr>
      </w:pPr>
      <w:r>
        <w:rPr>
          <w:rFonts w:hint="eastAsia" w:ascii="宋体" w:hAnsi="宋体" w:eastAsiaTheme="minorEastAsia" w:cstheme="minorBidi"/>
          <w:bCs/>
          <w:sz w:val="28"/>
          <w:szCs w:val="28"/>
        </w:rPr>
        <w:t>二、因招标文件的修改推迟投标截止日期的，投标人按采购中心在“四川政府采购网”和“成都市武侯区政府采购中心”网站上发布的澄清公告中修改的时间递交投标文件，同时通过“政府采购云平台”将澄清或者修改的内容告知所有在系统中成功获取招标文件的潜在投标人。</w:t>
      </w:r>
    </w:p>
    <w:p>
      <w:pPr>
        <w:tabs>
          <w:tab w:val="left" w:pos="0"/>
        </w:tabs>
        <w:spacing w:line="360" w:lineRule="auto"/>
        <w:ind w:firstLine="420" w:firstLineChars="150"/>
        <w:rPr>
          <w:rFonts w:ascii="宋体" w:hAnsi="宋体"/>
          <w:bCs/>
          <w:sz w:val="28"/>
          <w:szCs w:val="28"/>
        </w:rPr>
      </w:pPr>
      <w:r>
        <w:rPr>
          <w:rFonts w:hint="eastAsia" w:ascii="宋体" w:hAnsi="宋体" w:eastAsiaTheme="minorEastAsia" w:cstheme="minorBidi"/>
          <w:bCs/>
          <w:sz w:val="28"/>
          <w:szCs w:val="28"/>
        </w:rPr>
        <w:t>三、投标人应充分考虑递交文件的不可预见因素，未在投标截止时间前完成递交的，在投标截止时间后将无法递交</w:t>
      </w:r>
      <w:r>
        <w:rPr>
          <w:rFonts w:hint="eastAsia" w:ascii="宋体" w:hAnsi="宋体"/>
          <w:bCs/>
          <w:sz w:val="28"/>
          <w:szCs w:val="28"/>
        </w:rPr>
        <w:t>。</w:t>
      </w:r>
    </w:p>
    <w:p>
      <w:pPr>
        <w:pStyle w:val="5"/>
        <w:numPr>
          <w:ilvl w:val="2"/>
          <w:numId w:val="5"/>
        </w:numPr>
        <w:spacing w:after="200"/>
        <w:ind w:left="0" w:firstLine="0"/>
        <w:rPr>
          <w:color w:val="auto"/>
        </w:rPr>
      </w:pPr>
      <w:r>
        <w:rPr>
          <w:rFonts w:hint="eastAsia"/>
          <w:color w:val="auto"/>
        </w:rPr>
        <w:t>投标文件的补充、修改</w:t>
      </w:r>
    </w:p>
    <w:p>
      <w:pPr>
        <w:numPr>
          <w:ilvl w:val="0"/>
          <w:numId w:val="26"/>
        </w:numPr>
        <w:tabs>
          <w:tab w:val="left" w:pos="1134"/>
        </w:tabs>
        <w:spacing w:before="120" w:after="200" w:line="360" w:lineRule="auto"/>
        <w:ind w:left="0" w:firstLine="567"/>
        <w:rPr>
          <w:rFonts w:ascii="宋体" w:hAnsi="宋体"/>
          <w:sz w:val="28"/>
          <w:szCs w:val="28"/>
        </w:rPr>
      </w:pPr>
      <w:r>
        <w:rPr>
          <w:rFonts w:hint="eastAsia" w:ascii="宋体" w:hAnsi="宋体"/>
          <w:sz w:val="28"/>
          <w:szCs w:val="28"/>
        </w:rPr>
        <w:t>在投标截止时间之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numPr>
          <w:ilvl w:val="0"/>
          <w:numId w:val="26"/>
        </w:numPr>
        <w:tabs>
          <w:tab w:val="left" w:pos="1134"/>
        </w:tabs>
        <w:spacing w:before="120" w:after="200" w:line="360" w:lineRule="auto"/>
        <w:ind w:left="0" w:firstLine="567"/>
        <w:rPr>
          <w:rFonts w:ascii="宋体" w:hAnsi="宋体"/>
          <w:sz w:val="28"/>
          <w:szCs w:val="28"/>
        </w:rPr>
      </w:pPr>
      <w:r>
        <w:rPr>
          <w:rFonts w:hint="eastAsia" w:ascii="宋体" w:hAnsi="宋体"/>
          <w:sz w:val="28"/>
          <w:szCs w:val="28"/>
        </w:rPr>
        <w:t>在投标截止时间之后，投标人不得对其递交的投标文件做任何补充、修改。</w:t>
      </w:r>
    </w:p>
    <w:p>
      <w:pPr>
        <w:pStyle w:val="5"/>
        <w:numPr>
          <w:ilvl w:val="2"/>
          <w:numId w:val="5"/>
        </w:numPr>
        <w:spacing w:after="200"/>
        <w:ind w:left="0" w:firstLine="0"/>
        <w:rPr>
          <w:color w:val="auto"/>
        </w:rPr>
      </w:pPr>
      <w:bookmarkStart w:id="70" w:name="_Toc316475587"/>
      <w:bookmarkEnd w:id="70"/>
      <w:bookmarkStart w:id="71" w:name="_Toc316475586"/>
      <w:bookmarkEnd w:id="71"/>
      <w:bookmarkStart w:id="72" w:name="_Toc183682365"/>
      <w:bookmarkStart w:id="73" w:name="_Toc183582228"/>
      <w:bookmarkStart w:id="74" w:name="_Toc217446055"/>
      <w:r>
        <w:rPr>
          <w:rFonts w:hint="eastAsia"/>
          <w:color w:val="auto"/>
        </w:rPr>
        <w:t>投标文件的</w:t>
      </w:r>
      <w:bookmarkEnd w:id="72"/>
      <w:bookmarkEnd w:id="73"/>
      <w:bookmarkEnd w:id="74"/>
      <w:r>
        <w:rPr>
          <w:rFonts w:hint="eastAsia"/>
          <w:color w:val="auto"/>
        </w:rPr>
        <w:t>撤回</w:t>
      </w:r>
    </w:p>
    <w:p>
      <w:pPr>
        <w:spacing w:before="120" w:after="200" w:line="360" w:lineRule="auto"/>
        <w:ind w:firstLine="560" w:firstLineChars="200"/>
        <w:rPr>
          <w:rFonts w:ascii="宋体" w:hAnsi="宋体"/>
          <w:bCs/>
          <w:sz w:val="28"/>
          <w:szCs w:val="28"/>
        </w:rPr>
      </w:pPr>
      <w:r>
        <w:rPr>
          <w:rFonts w:hint="eastAsia" w:ascii="宋体" w:hAnsi="宋体"/>
          <w:bCs/>
          <w:sz w:val="28"/>
          <w:szCs w:val="28"/>
        </w:rPr>
        <w:t>在投标截止时间之前，投标人可对已递交的投标文件进行撤回。在投标截止时间之后，投标人不得撤回投标文件。</w:t>
      </w:r>
    </w:p>
    <w:p>
      <w:pPr>
        <w:pStyle w:val="5"/>
        <w:numPr>
          <w:ilvl w:val="2"/>
          <w:numId w:val="5"/>
        </w:numPr>
        <w:spacing w:after="200" w:line="240" w:lineRule="auto"/>
        <w:rPr>
          <w:color w:val="auto"/>
        </w:rPr>
      </w:pPr>
      <w:r>
        <w:rPr>
          <w:rFonts w:hint="eastAsia"/>
          <w:color w:val="auto"/>
        </w:rPr>
        <w:t>投标文件的解密</w:t>
      </w:r>
    </w:p>
    <w:p>
      <w:pPr>
        <w:tabs>
          <w:tab w:val="left" w:pos="1134"/>
        </w:tabs>
        <w:spacing w:before="120" w:line="360" w:lineRule="auto"/>
        <w:ind w:firstLine="566" w:firstLineChars="202"/>
        <w:rPr>
          <w:rFonts w:ascii="宋体" w:hAnsi="宋体"/>
          <w:bCs/>
          <w:sz w:val="28"/>
          <w:szCs w:val="28"/>
        </w:rPr>
      </w:pPr>
      <w:r>
        <w:rPr>
          <w:rFonts w:hint="eastAsia" w:ascii="宋体" w:hAnsi="宋体"/>
          <w:bCs/>
          <w:sz w:val="28"/>
          <w:szCs w:val="28"/>
        </w:rPr>
        <w:t>投标人</w:t>
      </w:r>
      <w:r>
        <w:rPr>
          <w:rFonts w:hint="eastAsia" w:ascii="宋体" w:hAnsi="宋体"/>
          <w:sz w:val="28"/>
          <w:szCs w:val="28"/>
        </w:rPr>
        <w:t>登录政府采购云平台，点击“项目采购—开标评标”模块，找到对应项目，进入“开标大厅”，等待采购中心开启解密后，进行线上解密。</w:t>
      </w:r>
      <w:r>
        <w:rPr>
          <w:rFonts w:hint="eastAsia" w:ascii="宋体" w:hAnsi="宋体"/>
          <w:bCs/>
          <w:sz w:val="28"/>
          <w:szCs w:val="28"/>
        </w:rPr>
        <w:t>除因</w:t>
      </w:r>
      <w:r>
        <w:rPr>
          <w:rFonts w:hint="eastAsia" w:ascii="宋体" w:hAnsi="宋体"/>
          <w:sz w:val="28"/>
          <w:szCs w:val="28"/>
        </w:rPr>
        <w:t>采购中心</w:t>
      </w:r>
      <w:r>
        <w:rPr>
          <w:rFonts w:hint="eastAsia" w:ascii="宋体" w:hAnsi="宋体"/>
          <w:bCs/>
          <w:sz w:val="28"/>
          <w:szCs w:val="28"/>
        </w:rPr>
        <w:t>断电、断网、系统故障或其他不可抗力等因素，导致系统无法使用外，投标人在规定的解密时间内，未成功解密的投标文件将视为无效投标文件。</w:t>
      </w:r>
    </w:p>
    <w:p>
      <w:pPr>
        <w:keepNext/>
        <w:keepLines/>
        <w:numPr>
          <w:ilvl w:val="1"/>
          <w:numId w:val="5"/>
        </w:numPr>
        <w:spacing w:line="360" w:lineRule="auto"/>
        <w:jc w:val="left"/>
        <w:outlineLvl w:val="1"/>
        <w:rPr>
          <w:rFonts w:ascii="宋体" w:hAnsi="宋体"/>
          <w:b/>
          <w:bCs/>
          <w:sz w:val="28"/>
          <w:szCs w:val="28"/>
        </w:rPr>
      </w:pPr>
      <w:bookmarkStart w:id="75" w:name="_Toc74752324"/>
      <w:bookmarkStart w:id="76" w:name="_Toc217446056"/>
      <w:bookmarkStart w:id="77" w:name="_Toc89075878"/>
      <w:bookmarkStart w:id="78" w:name="_Toc183582231"/>
      <w:bookmarkStart w:id="79" w:name="_Toc77400782"/>
      <w:bookmarkStart w:id="80" w:name="_Toc183682368"/>
      <w:r>
        <w:rPr>
          <w:rFonts w:hint="eastAsia" w:ascii="宋体" w:hAnsi="宋体"/>
          <w:b/>
          <w:bCs/>
          <w:sz w:val="28"/>
          <w:szCs w:val="28"/>
        </w:rPr>
        <w:t>开标、资格审查、评标和中标</w:t>
      </w:r>
      <w:bookmarkEnd w:id="75"/>
      <w:bookmarkEnd w:id="76"/>
      <w:bookmarkEnd w:id="77"/>
      <w:bookmarkEnd w:id="78"/>
      <w:bookmarkEnd w:id="79"/>
      <w:bookmarkEnd w:id="80"/>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开标及开标程序</w:t>
      </w:r>
    </w:p>
    <w:p>
      <w:pPr>
        <w:pStyle w:val="77"/>
        <w:numPr>
          <w:ilvl w:val="0"/>
          <w:numId w:val="27"/>
        </w:numPr>
        <w:tabs>
          <w:tab w:val="left" w:pos="1134"/>
        </w:tabs>
        <w:spacing w:before="120" w:after="200" w:line="360" w:lineRule="auto"/>
        <w:ind w:left="0" w:right="210" w:firstLine="567" w:firstLineChars="0"/>
        <w:rPr>
          <w:rFonts w:ascii="宋体" w:hAnsi="宋体" w:eastAsia="宋体" w:cs="宋体"/>
          <w:sz w:val="28"/>
          <w:szCs w:val="28"/>
        </w:rPr>
      </w:pPr>
      <w:r>
        <w:rPr>
          <w:rFonts w:hint="eastAsia" w:ascii="宋体" w:hAnsi="宋体" w:eastAsia="宋体" w:cs="宋体"/>
          <w:sz w:val="28"/>
          <w:szCs w:val="28"/>
        </w:rPr>
        <w:t>本项目为不见面开标项目。递交投标文件的投标人不足3家的，不予开标。</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开标准备工作。投标人需在开标当日、投标截止时间前登录“政府采购云平台”，通过“开标大厅”参与不见面开标。登录成都市公共资源交易服务中心门户网站（https://www.cdggzy.com/）—政府采购云平台—项目采购—开标评标—开标大厅（找到对应项目）。提示：投标人未按时登录不见面开标系统，错过开标解密时间的，由投标人自行承担不利后果。</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解密投标文件。等待采购中心开启解密后，投标人进行线上解密。开启解密后，投标人应在60分钟内，使用加密该投标文件的CA数字证书在线完成投标文件的解密。除因采购中心断电、断网、系统故障或其他不可抗力等因素，导致系统无法使用外，投标人在规定的解密时间内，未成功解密的投标文件将视为无效投标文件。</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投标人对开标过程和开标记录有疑义，以及认为采购人、采购中心相关工作人员有需要回避的情形的，及时向工作人员提出询问或者回避申请。采购人、采购中心对投标人提出的询问或者回避申请应当及时处理。</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投标人电脑终端等硬件设备和软件系统配置：投标人电脑终端等硬件设备和软件系统配置应符合电子投标（含不见面开标大厅）投标人电脑终端配置要求并运行正常，投标人承担因未尽职责产生的不利后果。</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因采购中心断电、断网、系统故障或其他不可抗力等因素导致不见面开标系统无法正常运行的，开标活动中止或延迟，待系统恢复正常后继续进行开标活动。</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不见面开标过程中，各方主体均应遵守互联网有关规定，不得发表与交易活动无关的言论。</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资格审查</w:t>
      </w:r>
    </w:p>
    <w:p>
      <w:pPr>
        <w:spacing w:line="360" w:lineRule="auto"/>
        <w:ind w:firstLine="495"/>
        <w:rPr>
          <w:rFonts w:ascii="宋体" w:hAnsi="宋体"/>
          <w:sz w:val="28"/>
          <w:szCs w:val="28"/>
        </w:rPr>
      </w:pPr>
      <w:r>
        <w:rPr>
          <w:rFonts w:hint="eastAsia" w:ascii="宋体" w:hAnsi="宋体"/>
          <w:sz w:val="28"/>
          <w:szCs w:val="28"/>
        </w:rPr>
        <w:t>详见招标文件第5章。</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评标</w:t>
      </w:r>
    </w:p>
    <w:p>
      <w:pPr>
        <w:spacing w:line="360" w:lineRule="auto"/>
        <w:ind w:firstLine="495"/>
        <w:rPr>
          <w:rFonts w:ascii="宋体" w:hAnsi="宋体"/>
          <w:sz w:val="28"/>
          <w:szCs w:val="28"/>
        </w:rPr>
      </w:pPr>
      <w:r>
        <w:rPr>
          <w:rFonts w:hint="eastAsia" w:ascii="宋体" w:hAnsi="宋体"/>
          <w:sz w:val="28"/>
          <w:szCs w:val="28"/>
        </w:rPr>
        <w:t>详见招标文件第6章。</w:t>
      </w:r>
    </w:p>
    <w:p>
      <w:pPr>
        <w:keepNext/>
        <w:keepLines/>
        <w:numPr>
          <w:ilvl w:val="2"/>
          <w:numId w:val="5"/>
        </w:numPr>
        <w:spacing w:line="360" w:lineRule="auto"/>
        <w:ind w:left="0" w:firstLine="0"/>
        <w:outlineLvl w:val="2"/>
        <w:rPr>
          <w:rFonts w:ascii="宋体" w:hAnsi="宋体"/>
          <w:b/>
          <w:bCs/>
          <w:sz w:val="28"/>
          <w:szCs w:val="28"/>
        </w:rPr>
      </w:pPr>
      <w:bookmarkStart w:id="81" w:name="_Toc183682375"/>
      <w:bookmarkStart w:id="82" w:name="_Toc183582238"/>
      <w:bookmarkStart w:id="83" w:name="_Toc217446063"/>
      <w:r>
        <w:rPr>
          <w:rFonts w:hint="eastAsia" w:ascii="宋体" w:hAnsi="宋体"/>
          <w:b/>
          <w:bCs/>
          <w:sz w:val="28"/>
          <w:szCs w:val="28"/>
        </w:rPr>
        <w:t>中标通知</w:t>
      </w:r>
      <w:bookmarkEnd w:id="81"/>
      <w:bookmarkEnd w:id="82"/>
      <w:r>
        <w:rPr>
          <w:rFonts w:hint="eastAsia" w:ascii="宋体" w:hAnsi="宋体"/>
          <w:b/>
          <w:bCs/>
          <w:sz w:val="28"/>
          <w:szCs w:val="28"/>
        </w:rPr>
        <w:t>书</w:t>
      </w:r>
      <w:bookmarkEnd w:id="83"/>
    </w:p>
    <w:p>
      <w:pPr>
        <w:spacing w:line="360" w:lineRule="auto"/>
        <w:ind w:right="210" w:firstLine="560" w:firstLineChars="200"/>
        <w:rPr>
          <w:rFonts w:ascii="宋体" w:hAnsi="宋体"/>
          <w:sz w:val="28"/>
          <w:szCs w:val="28"/>
        </w:rPr>
      </w:pPr>
      <w:bookmarkStart w:id="84" w:name="_Toc217446064"/>
      <w:bookmarkStart w:id="85" w:name="_Toc183582240"/>
      <w:bookmarkStart w:id="86" w:name="_Toc183682377"/>
      <w:r>
        <w:rPr>
          <w:rFonts w:hint="eastAsia" w:ascii="宋体" w:hAnsi="宋体"/>
          <w:sz w:val="28"/>
          <w:szCs w:val="28"/>
        </w:rPr>
        <w:t>一、中标通知书为采购人签订政府采购合同的依据，是合同的有效组成部分。如果出现政府采购法律法规、规章制度规定的中标无效情形的，将以公告形式宣布发出的中标通知书无效，中标通知书将自动失效，并依法重新确定中标人或者重新开展采购活动。</w:t>
      </w:r>
    </w:p>
    <w:p>
      <w:pPr>
        <w:spacing w:line="360" w:lineRule="auto"/>
        <w:ind w:firstLine="560" w:firstLineChars="200"/>
        <w:rPr>
          <w:rFonts w:ascii="宋体" w:hAnsi="宋体"/>
          <w:sz w:val="28"/>
          <w:szCs w:val="28"/>
        </w:rPr>
      </w:pPr>
      <w:r>
        <w:rPr>
          <w:rFonts w:hint="eastAsia" w:ascii="宋体" w:hAnsi="宋体"/>
          <w:sz w:val="28"/>
          <w:szCs w:val="28"/>
        </w:rPr>
        <w:t>二、中标通知书对采购人和中标人均具有法律效力。中标通知书发出后，采购人改变中标结果，或者中标人无正当理由放弃中标的，应当承担相应的法律责任。</w:t>
      </w:r>
    </w:p>
    <w:p>
      <w:pPr>
        <w:spacing w:line="360" w:lineRule="auto"/>
        <w:ind w:firstLine="560" w:firstLineChars="200"/>
        <w:rPr>
          <w:rFonts w:ascii="宋体" w:hAnsi="宋体"/>
          <w:sz w:val="28"/>
          <w:szCs w:val="28"/>
        </w:rPr>
      </w:pPr>
      <w:r>
        <w:rPr>
          <w:rFonts w:hint="eastAsia" w:ascii="宋体" w:hAnsi="宋体"/>
          <w:sz w:val="28"/>
          <w:szCs w:val="28"/>
        </w:rPr>
        <w:t>三、中标公告在四川政府采购网上公告后，中标供应商自行登录政府采购云平台下载中标通知书。</w:t>
      </w:r>
    </w:p>
    <w:p>
      <w:pPr>
        <w:keepNext/>
        <w:keepLines/>
        <w:numPr>
          <w:ilvl w:val="1"/>
          <w:numId w:val="5"/>
        </w:numPr>
        <w:spacing w:before="240" w:line="360" w:lineRule="auto"/>
        <w:jc w:val="left"/>
        <w:outlineLvl w:val="1"/>
        <w:rPr>
          <w:rFonts w:ascii="宋体" w:hAnsi="宋体"/>
          <w:b/>
          <w:bCs/>
          <w:sz w:val="28"/>
          <w:szCs w:val="28"/>
        </w:rPr>
      </w:pPr>
      <w:bookmarkStart w:id="87" w:name="_Toc74752325"/>
      <w:r>
        <w:rPr>
          <w:rFonts w:hint="eastAsia" w:ascii="宋体" w:hAnsi="宋体"/>
          <w:b/>
          <w:bCs/>
          <w:sz w:val="28"/>
          <w:szCs w:val="28"/>
        </w:rPr>
        <w:t>签订及履行合同和验收</w:t>
      </w:r>
      <w:bookmarkEnd w:id="84"/>
      <w:bookmarkEnd w:id="87"/>
    </w:p>
    <w:p>
      <w:pPr>
        <w:keepNext/>
        <w:keepLines/>
        <w:numPr>
          <w:ilvl w:val="2"/>
          <w:numId w:val="5"/>
        </w:numPr>
        <w:spacing w:line="360" w:lineRule="auto"/>
        <w:ind w:left="0" w:firstLine="0"/>
        <w:outlineLvl w:val="2"/>
        <w:rPr>
          <w:rFonts w:ascii="宋体" w:hAnsi="宋体"/>
          <w:b/>
          <w:bCs/>
          <w:sz w:val="28"/>
          <w:szCs w:val="28"/>
        </w:rPr>
      </w:pPr>
      <w:bookmarkStart w:id="88" w:name="_Toc217446065"/>
      <w:r>
        <w:rPr>
          <w:rFonts w:hint="eastAsia" w:ascii="宋体" w:hAnsi="宋体"/>
          <w:b/>
          <w:bCs/>
          <w:sz w:val="28"/>
          <w:szCs w:val="28"/>
        </w:rPr>
        <w:t>签订合同</w:t>
      </w:r>
      <w:bookmarkEnd w:id="88"/>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采购人应当将政府采购合同副本自签订（双方当事人均已签字盖章）之日起七个工作日报同级财政部门备案。因中标人的原因在中标通知书发出之日起30日内未与采购人签订采购合同或者中标人拒绝与采购人签订合同的，采购人可以按照评审报告推荐的中标候选人名单排序，确定下一候选人为中标供应商，也可以重新开展政府采购活动。</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二、采购人不得向中标人提出任何不合理的要求，作为签订合同的条件，不得与中标人私下订立背离合同实质性内容的任何协议，所签订的合同不得对招标文件和中标人投标文件作实质性修改。</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三、招标文件、投标文件、中标通知书等一切与本项目评标结果有关且经责任主体确认的资料均为合同的有效组成部分。</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四、询问或者质疑事项可能影响中标、成交结果的，采购人应当暂停签订合同，已经签订合同的，应当中止履行合同。</w:t>
      </w:r>
    </w:p>
    <w:p>
      <w:pPr>
        <w:keepNext/>
        <w:keepLines/>
        <w:numPr>
          <w:ilvl w:val="2"/>
          <w:numId w:val="5"/>
        </w:numPr>
        <w:spacing w:line="360" w:lineRule="auto"/>
        <w:ind w:left="3119" w:hanging="3119"/>
        <w:outlineLvl w:val="2"/>
        <w:rPr>
          <w:rFonts w:ascii="宋体" w:hAnsi="宋体"/>
          <w:b/>
          <w:bCs/>
          <w:sz w:val="28"/>
          <w:szCs w:val="28"/>
        </w:rPr>
      </w:pPr>
      <w:bookmarkStart w:id="89" w:name="_Toc315871033"/>
      <w:bookmarkEnd w:id="89"/>
      <w:bookmarkStart w:id="90" w:name="_Toc217446066"/>
      <w:r>
        <w:rPr>
          <w:rFonts w:hint="eastAsia" w:ascii="宋体" w:hAnsi="宋体"/>
          <w:b/>
          <w:bCs/>
          <w:sz w:val="28"/>
          <w:szCs w:val="28"/>
        </w:rPr>
        <w:t>合同分包</w:t>
      </w:r>
      <w:bookmarkEnd w:id="90"/>
      <w:r>
        <w:rPr>
          <w:rFonts w:hint="eastAsia" w:ascii="宋体" w:hAnsi="宋体"/>
          <w:b/>
          <w:bCs/>
          <w:sz w:val="28"/>
          <w:szCs w:val="28"/>
        </w:rPr>
        <w:t>和转包</w:t>
      </w:r>
    </w:p>
    <w:p>
      <w:pPr>
        <w:keepNext/>
        <w:keepLines/>
        <w:numPr>
          <w:ilvl w:val="3"/>
          <w:numId w:val="5"/>
        </w:numPr>
        <w:spacing w:line="360" w:lineRule="auto"/>
        <w:ind w:left="1275" w:hanging="1275"/>
        <w:outlineLvl w:val="2"/>
        <w:rPr>
          <w:rFonts w:ascii="宋体" w:hAnsi="宋体"/>
          <w:b/>
          <w:bCs/>
          <w:sz w:val="28"/>
          <w:szCs w:val="28"/>
        </w:rPr>
      </w:pPr>
      <w:r>
        <w:rPr>
          <w:rFonts w:hint="eastAsia" w:ascii="宋体" w:hAnsi="宋体"/>
          <w:b/>
          <w:bCs/>
          <w:sz w:val="28"/>
          <w:szCs w:val="28"/>
        </w:rPr>
        <w:t>合同分包</w:t>
      </w:r>
    </w:p>
    <w:p>
      <w:pPr>
        <w:pStyle w:val="117"/>
        <w:spacing w:line="360" w:lineRule="auto"/>
        <w:ind w:firstLine="560" w:firstLineChars="200"/>
        <w:rPr>
          <w:rFonts w:cs="Times New Roman"/>
          <w:sz w:val="28"/>
          <w:szCs w:val="28"/>
          <w:lang w:val="zh-CN"/>
        </w:rPr>
      </w:pPr>
      <w:r>
        <w:rPr>
          <w:rFonts w:hint="eastAsia" w:cs="Times New Roman"/>
          <w:sz w:val="28"/>
          <w:szCs w:val="28"/>
          <w:lang w:val="zh-CN"/>
        </w:rPr>
        <w:t>本</w:t>
      </w:r>
      <w:r>
        <w:rPr>
          <w:rFonts w:cs="Times New Roman"/>
          <w:sz w:val="28"/>
          <w:szCs w:val="28"/>
          <w:lang w:val="zh-CN"/>
        </w:rPr>
        <w:t>项目不允许分包</w:t>
      </w:r>
      <w:r>
        <w:rPr>
          <w:rFonts w:hint="eastAsia" w:cs="Times New Roman"/>
          <w:sz w:val="28"/>
          <w:szCs w:val="28"/>
          <w:lang w:val="zh-CN"/>
        </w:rPr>
        <w:t>。</w:t>
      </w:r>
    </w:p>
    <w:p>
      <w:pPr>
        <w:keepNext/>
        <w:keepLines/>
        <w:numPr>
          <w:ilvl w:val="3"/>
          <w:numId w:val="5"/>
        </w:numPr>
        <w:spacing w:line="360" w:lineRule="auto"/>
        <w:ind w:left="1275" w:hanging="1275"/>
        <w:outlineLvl w:val="2"/>
        <w:rPr>
          <w:rFonts w:ascii="宋体" w:hAnsi="宋体"/>
          <w:b/>
          <w:bCs/>
          <w:sz w:val="28"/>
          <w:szCs w:val="28"/>
        </w:rPr>
      </w:pPr>
      <w:r>
        <w:rPr>
          <w:rFonts w:hint="eastAsia" w:ascii="宋体" w:hAnsi="宋体"/>
          <w:b/>
          <w:bCs/>
          <w:sz w:val="28"/>
          <w:szCs w:val="28"/>
        </w:rPr>
        <w:t>合同转包</w:t>
      </w:r>
    </w:p>
    <w:p>
      <w:pPr>
        <w:spacing w:line="360" w:lineRule="auto"/>
        <w:ind w:firstLine="560" w:firstLineChars="200"/>
        <w:rPr>
          <w:rFonts w:ascii="宋体" w:hAnsi="宋体" w:cs="宋体"/>
          <w:sz w:val="28"/>
          <w:szCs w:val="28"/>
        </w:rPr>
      </w:pPr>
      <w:r>
        <w:rPr>
          <w:rFonts w:hint="eastAsia" w:ascii="宋体" w:hAnsi="宋体"/>
          <w:sz w:val="28"/>
          <w:szCs w:val="28"/>
        </w:rPr>
        <w:t>一、严禁中标供应商将本项目转包。本项目所称转包，是指</w:t>
      </w:r>
      <w:r>
        <w:rPr>
          <w:rFonts w:hint="eastAsia" w:ascii="宋体" w:hAnsi="宋体" w:cs="宋体"/>
          <w:sz w:val="28"/>
          <w:szCs w:val="28"/>
        </w:rPr>
        <w:t xml:space="preserve">将本项目转给他人或者将本项目全部肢解以后以分包的名义分别转给他人的行为。 </w:t>
      </w:r>
    </w:p>
    <w:p>
      <w:pPr>
        <w:spacing w:line="360" w:lineRule="auto"/>
        <w:ind w:firstLine="495"/>
        <w:rPr>
          <w:rFonts w:ascii="宋体" w:hAnsi="宋体"/>
          <w:sz w:val="28"/>
          <w:szCs w:val="28"/>
        </w:rPr>
      </w:pPr>
      <w:r>
        <w:rPr>
          <w:rFonts w:hint="eastAsia" w:ascii="宋体" w:hAnsi="宋体"/>
          <w:sz w:val="28"/>
          <w:szCs w:val="28"/>
        </w:rPr>
        <w:t>二、中标供应商转包的，视同拒绝履行政府采购合同，将依法追究法律责任。</w:t>
      </w:r>
    </w:p>
    <w:p>
      <w:pPr>
        <w:keepNext/>
        <w:keepLines/>
        <w:numPr>
          <w:ilvl w:val="2"/>
          <w:numId w:val="5"/>
        </w:numPr>
        <w:spacing w:before="240" w:line="360" w:lineRule="auto"/>
        <w:ind w:left="0" w:firstLine="0"/>
        <w:outlineLvl w:val="2"/>
        <w:rPr>
          <w:rFonts w:ascii="宋体" w:hAnsi="宋体"/>
          <w:b/>
          <w:bCs/>
          <w:sz w:val="28"/>
          <w:szCs w:val="28"/>
        </w:rPr>
      </w:pPr>
      <w:bookmarkStart w:id="91" w:name="_Toc217446067"/>
      <w:r>
        <w:rPr>
          <w:rFonts w:hint="eastAsia" w:ascii="宋体" w:hAnsi="宋体"/>
          <w:b/>
          <w:bCs/>
          <w:sz w:val="28"/>
          <w:szCs w:val="28"/>
        </w:rPr>
        <w:t>采购人增加合同标的的权</w:t>
      </w:r>
      <w:bookmarkEnd w:id="91"/>
      <w:r>
        <w:rPr>
          <w:rFonts w:hint="eastAsia" w:ascii="宋体" w:hAnsi="宋体"/>
          <w:b/>
          <w:bCs/>
          <w:sz w:val="28"/>
          <w:szCs w:val="28"/>
        </w:rPr>
        <w:t>利</w:t>
      </w:r>
    </w:p>
    <w:p>
      <w:pPr>
        <w:spacing w:after="180" w:line="360" w:lineRule="auto"/>
        <w:ind w:firstLine="560" w:firstLineChars="200"/>
        <w:rPr>
          <w:rFonts w:ascii="宋体" w:hAnsi="宋体"/>
          <w:sz w:val="28"/>
          <w:szCs w:val="28"/>
        </w:rPr>
      </w:pPr>
      <w:r>
        <w:rPr>
          <w:rFonts w:hint="eastAsia" w:ascii="宋体" w:hAnsi="宋体"/>
          <w:sz w:val="28"/>
          <w:szCs w:val="28"/>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pPr>
        <w:keepNext/>
        <w:keepLines/>
        <w:numPr>
          <w:ilvl w:val="2"/>
          <w:numId w:val="5"/>
        </w:numPr>
        <w:spacing w:line="360" w:lineRule="auto"/>
        <w:ind w:left="0" w:firstLine="0"/>
        <w:outlineLvl w:val="2"/>
        <w:rPr>
          <w:rFonts w:ascii="宋体" w:hAnsi="宋体"/>
          <w:b/>
          <w:bCs/>
          <w:sz w:val="28"/>
          <w:szCs w:val="28"/>
        </w:rPr>
      </w:pPr>
      <w:bookmarkStart w:id="92" w:name="_Toc217446068"/>
      <w:r>
        <w:rPr>
          <w:rFonts w:hint="eastAsia" w:ascii="宋体" w:hAnsi="宋体"/>
          <w:b/>
          <w:bCs/>
          <w:sz w:val="28"/>
          <w:szCs w:val="28"/>
        </w:rPr>
        <w:t>履约保证金</w:t>
      </w:r>
      <w:bookmarkEnd w:id="92"/>
    </w:p>
    <w:p>
      <w:pPr>
        <w:pStyle w:val="13"/>
        <w:rPr>
          <w:rFonts w:ascii="宋体" w:hAnsi="宋体"/>
          <w:kern w:val="2"/>
          <w:sz w:val="28"/>
          <w:szCs w:val="28"/>
        </w:rPr>
      </w:pPr>
      <w:bookmarkStart w:id="93" w:name="_Toc217446069"/>
      <w:r>
        <w:rPr>
          <w:rFonts w:hint="eastAsia" w:ascii="宋体" w:hAnsi="宋体"/>
          <w:kern w:val="2"/>
          <w:sz w:val="28"/>
          <w:szCs w:val="28"/>
        </w:rPr>
        <w:t xml:space="preserve">    本项目的履约保证金</w:t>
      </w:r>
      <w:r>
        <w:rPr>
          <w:rFonts w:hint="eastAsia" w:ascii="宋体" w:hAnsi="宋体"/>
          <w:kern w:val="2"/>
          <w:sz w:val="28"/>
          <w:szCs w:val="28"/>
          <w:lang w:eastAsia="zh-CN"/>
        </w:rPr>
        <w:t>为</w:t>
      </w:r>
      <w:r>
        <w:rPr>
          <w:rFonts w:hint="eastAsia" w:ascii="宋体" w:hAnsi="宋体"/>
          <w:kern w:val="2"/>
          <w:sz w:val="28"/>
          <w:szCs w:val="28"/>
        </w:rPr>
        <w:t>合同总价的</w:t>
      </w:r>
      <w:r>
        <w:rPr>
          <w:rFonts w:hint="eastAsia" w:ascii="宋体" w:hAnsi="宋体"/>
          <w:kern w:val="2"/>
          <w:sz w:val="28"/>
          <w:szCs w:val="28"/>
          <w:lang w:val="en-US" w:eastAsia="zh-CN"/>
        </w:rPr>
        <w:t>5</w:t>
      </w:r>
      <w:r>
        <w:rPr>
          <w:rFonts w:hint="eastAsia" w:ascii="宋体" w:hAnsi="宋体"/>
          <w:kern w:val="2"/>
          <w:sz w:val="28"/>
          <w:szCs w:val="28"/>
        </w:rPr>
        <w:t>%，供应商收到成交通知书后、签订合同前须提供履约保证金（银行转账或银行保函）到采购人指定账户，履约完毕后采购人无息退还。</w:t>
      </w:r>
    </w:p>
    <w:p>
      <w:pPr>
        <w:pStyle w:val="13"/>
        <w:rPr>
          <w:rFonts w:ascii="宋体" w:hAnsi="宋体"/>
          <w:kern w:val="2"/>
          <w:sz w:val="28"/>
          <w:szCs w:val="28"/>
        </w:rPr>
      </w:pP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合同公告</w:t>
      </w:r>
    </w:p>
    <w:p>
      <w:pPr>
        <w:spacing w:after="180" w:line="360" w:lineRule="auto"/>
        <w:ind w:firstLine="560" w:firstLineChars="200"/>
        <w:rPr>
          <w:rFonts w:ascii="宋体" w:hAnsi="宋体"/>
          <w:sz w:val="28"/>
          <w:szCs w:val="28"/>
        </w:rPr>
      </w:pPr>
      <w:r>
        <w:rPr>
          <w:rFonts w:hint="eastAsia" w:ascii="宋体" w:hAnsi="宋体"/>
          <w:sz w:val="28"/>
          <w:szCs w:val="28"/>
        </w:rPr>
        <w:t>采购人应当自政府采购合同签订之日起2个工作日内，在四川政府采购网公告，但政府采购合同中涉及国家秘密、商业秘密的内容除外。</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合同备案</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疫情防控期间，采购人原则上在5个工作日内与供应商签订政府采购合同及按成都市武侯区财政局的要求完成合同备案工作。</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履行合同</w:t>
      </w:r>
      <w:bookmarkEnd w:id="93"/>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一、合同一经签订，双方应严格履行合同规定的义务。</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二、在合同履行过程中，如发生合同纠纷，合同双方应按照《中华人民共和国民法典》及合同条款的有关规定进行处理。</w:t>
      </w:r>
    </w:p>
    <w:p>
      <w:pPr>
        <w:keepNext/>
        <w:keepLines/>
        <w:numPr>
          <w:ilvl w:val="2"/>
          <w:numId w:val="5"/>
        </w:numPr>
        <w:spacing w:line="360" w:lineRule="auto"/>
        <w:ind w:left="0" w:firstLine="0"/>
        <w:outlineLvl w:val="2"/>
        <w:rPr>
          <w:rFonts w:ascii="宋体" w:hAnsi="宋体"/>
          <w:b/>
          <w:bCs/>
          <w:sz w:val="28"/>
          <w:szCs w:val="28"/>
        </w:rPr>
      </w:pPr>
      <w:bookmarkStart w:id="94" w:name="_Toc217446070"/>
      <w:r>
        <w:rPr>
          <w:rFonts w:hint="eastAsia" w:ascii="宋体" w:hAnsi="宋体"/>
          <w:b/>
          <w:bCs/>
          <w:sz w:val="28"/>
          <w:szCs w:val="28"/>
        </w:rPr>
        <w:t>验收</w:t>
      </w:r>
      <w:bookmarkEnd w:id="94"/>
      <w:r>
        <w:rPr>
          <w:rFonts w:hint="eastAsia" w:ascii="宋体" w:hAnsi="宋体"/>
          <w:b/>
          <w:bCs/>
          <w:sz w:val="28"/>
          <w:szCs w:val="28"/>
        </w:rPr>
        <w:t>或考核</w:t>
      </w:r>
    </w:p>
    <w:bookmarkEnd w:id="85"/>
    <w:bookmarkEnd w:id="86"/>
    <w:p>
      <w:pPr>
        <w:spacing w:line="360" w:lineRule="auto"/>
        <w:ind w:firstLine="560" w:firstLineChars="200"/>
        <w:rPr>
          <w:rFonts w:ascii="宋体" w:hAnsi="宋体"/>
          <w:sz w:val="28"/>
          <w:szCs w:val="28"/>
        </w:rPr>
      </w:pPr>
      <w:bookmarkStart w:id="95" w:name="_Toc217446074"/>
      <w:bookmarkStart w:id="96" w:name="_Toc183582243"/>
      <w:bookmarkStart w:id="97" w:name="_Toc183682380"/>
      <w:r>
        <w:rPr>
          <w:rFonts w:hint="eastAsia" w:ascii="宋体" w:hAnsi="宋体"/>
          <w:sz w:val="28"/>
          <w:szCs w:val="28"/>
        </w:rPr>
        <w:t>采购人严格按照国家相关法律法规的要求组织验收或考核。</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资金支付</w:t>
      </w:r>
    </w:p>
    <w:p>
      <w:pPr>
        <w:shd w:val="clear" w:color="auto" w:fill="FFFFFF"/>
        <w:spacing w:line="360" w:lineRule="auto"/>
        <w:ind w:firstLine="570"/>
        <w:rPr>
          <w:rFonts w:ascii="宋体" w:hAnsi="宋体" w:cs="Helvetica"/>
          <w:sz w:val="28"/>
          <w:szCs w:val="28"/>
        </w:rPr>
      </w:pPr>
      <w:r>
        <w:rPr>
          <w:rFonts w:hint="eastAsia" w:ascii="宋体" w:hAnsi="宋体" w:cs="Helvetica"/>
          <w:sz w:val="28"/>
          <w:szCs w:val="28"/>
        </w:rPr>
        <w:t>采购人按财政部门的相关规定及采购合同的约定进行支付。</w:t>
      </w:r>
    </w:p>
    <w:p>
      <w:pPr>
        <w:keepNext/>
        <w:keepLines/>
        <w:numPr>
          <w:ilvl w:val="1"/>
          <w:numId w:val="5"/>
        </w:numPr>
        <w:spacing w:line="360" w:lineRule="auto"/>
        <w:jc w:val="left"/>
        <w:outlineLvl w:val="1"/>
        <w:rPr>
          <w:rFonts w:ascii="宋体" w:hAnsi="宋体"/>
          <w:b/>
          <w:bCs/>
          <w:sz w:val="28"/>
          <w:szCs w:val="28"/>
        </w:rPr>
      </w:pPr>
      <w:bookmarkStart w:id="98" w:name="_Toc74752326"/>
      <w:r>
        <w:rPr>
          <w:rFonts w:hint="eastAsia" w:ascii="宋体" w:hAnsi="宋体"/>
          <w:b/>
          <w:bCs/>
          <w:sz w:val="28"/>
          <w:szCs w:val="28"/>
        </w:rPr>
        <w:t>投标纪律要求</w:t>
      </w:r>
      <w:bookmarkEnd w:id="95"/>
      <w:bookmarkEnd w:id="98"/>
    </w:p>
    <w:p>
      <w:pPr>
        <w:keepNext/>
        <w:keepLines/>
        <w:numPr>
          <w:ilvl w:val="2"/>
          <w:numId w:val="5"/>
        </w:numPr>
        <w:spacing w:line="360" w:lineRule="auto"/>
        <w:ind w:left="0" w:firstLine="0"/>
        <w:outlineLvl w:val="2"/>
        <w:rPr>
          <w:rFonts w:ascii="宋体" w:hAnsi="宋体"/>
          <w:b/>
          <w:bCs/>
          <w:sz w:val="28"/>
          <w:szCs w:val="28"/>
        </w:rPr>
      </w:pPr>
      <w:bookmarkStart w:id="99" w:name="_Toc217446075"/>
      <w:r>
        <w:rPr>
          <w:rFonts w:hint="eastAsia" w:ascii="宋体" w:hAnsi="宋体"/>
          <w:b/>
          <w:bCs/>
          <w:sz w:val="28"/>
          <w:szCs w:val="28"/>
        </w:rPr>
        <w:t>投标人不得具有的情形</w:t>
      </w:r>
      <w:bookmarkEnd w:id="99"/>
    </w:p>
    <w:p>
      <w:pPr>
        <w:spacing w:after="180" w:line="360" w:lineRule="auto"/>
        <w:ind w:firstLine="567"/>
        <w:rPr>
          <w:rFonts w:ascii="宋体" w:hAnsi="宋体"/>
          <w:sz w:val="28"/>
          <w:szCs w:val="28"/>
        </w:rPr>
      </w:pPr>
      <w:r>
        <w:rPr>
          <w:rFonts w:hint="eastAsia" w:ascii="宋体" w:hAnsi="宋体"/>
          <w:sz w:val="28"/>
          <w:szCs w:val="28"/>
        </w:rPr>
        <w:t>投标人参加投标不得有下列情形：</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有下列情形之一的，视为投标人串通投标：</w:t>
      </w:r>
    </w:p>
    <w:p>
      <w:pPr>
        <w:tabs>
          <w:tab w:val="left" w:pos="1134"/>
        </w:tabs>
        <w:spacing w:line="360" w:lineRule="auto"/>
        <w:ind w:left="420"/>
        <w:rPr>
          <w:rFonts w:ascii="宋体" w:hAnsi="宋体"/>
          <w:sz w:val="28"/>
          <w:szCs w:val="28"/>
        </w:rPr>
      </w:pPr>
      <w:r>
        <w:rPr>
          <w:rFonts w:hint="eastAsia" w:ascii="宋体" w:hAnsi="宋体"/>
          <w:sz w:val="28"/>
          <w:szCs w:val="28"/>
        </w:rPr>
        <w:t>（一）不同投标人的投标文件由同一单位或者个人编制；</w:t>
      </w:r>
    </w:p>
    <w:p>
      <w:pPr>
        <w:tabs>
          <w:tab w:val="left" w:pos="1134"/>
        </w:tabs>
        <w:spacing w:line="360" w:lineRule="auto"/>
        <w:ind w:left="420"/>
        <w:rPr>
          <w:rFonts w:ascii="宋体" w:hAnsi="宋体"/>
          <w:sz w:val="28"/>
          <w:szCs w:val="28"/>
        </w:rPr>
      </w:pPr>
      <w:r>
        <w:rPr>
          <w:rFonts w:hint="eastAsia" w:ascii="宋体" w:hAnsi="宋体"/>
          <w:sz w:val="28"/>
          <w:szCs w:val="28"/>
        </w:rPr>
        <w:t>（二）不同投标人委托同一单位或者个人办理投标事宜；</w:t>
      </w:r>
    </w:p>
    <w:p>
      <w:pPr>
        <w:tabs>
          <w:tab w:val="left" w:pos="1134"/>
        </w:tabs>
        <w:spacing w:line="360" w:lineRule="auto"/>
        <w:ind w:left="420"/>
        <w:rPr>
          <w:rFonts w:ascii="宋体" w:hAnsi="宋体"/>
          <w:sz w:val="28"/>
          <w:szCs w:val="28"/>
        </w:rPr>
      </w:pPr>
      <w:r>
        <w:rPr>
          <w:rFonts w:hint="eastAsia" w:ascii="宋体" w:hAnsi="宋体"/>
          <w:sz w:val="28"/>
          <w:szCs w:val="28"/>
        </w:rPr>
        <w:t>（三）不同投标人的投标文件载明的项目管理成员或者联系人员为同一人；</w:t>
      </w:r>
    </w:p>
    <w:p>
      <w:pPr>
        <w:tabs>
          <w:tab w:val="left" w:pos="1134"/>
        </w:tabs>
        <w:spacing w:line="360" w:lineRule="auto"/>
        <w:ind w:firstLine="420" w:firstLineChars="150"/>
        <w:rPr>
          <w:rFonts w:ascii="宋体" w:hAnsi="宋体"/>
          <w:sz w:val="28"/>
          <w:szCs w:val="28"/>
        </w:rPr>
      </w:pPr>
      <w:r>
        <w:rPr>
          <w:rFonts w:hint="eastAsia" w:ascii="宋体" w:hAnsi="宋体"/>
          <w:sz w:val="28"/>
          <w:szCs w:val="28"/>
        </w:rPr>
        <w:t>（四）不同投标人的投标文件异常一致或者投标报价呈规律性差异；</w:t>
      </w:r>
    </w:p>
    <w:p>
      <w:pPr>
        <w:tabs>
          <w:tab w:val="left" w:pos="1134"/>
        </w:tabs>
        <w:spacing w:line="360" w:lineRule="auto"/>
        <w:ind w:firstLine="420" w:firstLineChars="150"/>
        <w:rPr>
          <w:rFonts w:ascii="宋体" w:hAnsi="宋体"/>
          <w:sz w:val="28"/>
          <w:szCs w:val="28"/>
        </w:rPr>
      </w:pPr>
      <w:r>
        <w:rPr>
          <w:rFonts w:hint="eastAsia" w:ascii="宋体" w:hAnsi="宋体"/>
          <w:sz w:val="28"/>
          <w:szCs w:val="28"/>
        </w:rPr>
        <w:t>（五）不同投标人的投标文件相互混装；</w:t>
      </w:r>
    </w:p>
    <w:p>
      <w:pPr>
        <w:tabs>
          <w:tab w:val="left" w:pos="1134"/>
        </w:tabs>
        <w:spacing w:line="360" w:lineRule="auto"/>
        <w:ind w:left="420"/>
        <w:rPr>
          <w:rFonts w:ascii="宋体" w:hAnsi="宋体"/>
          <w:sz w:val="28"/>
          <w:szCs w:val="28"/>
        </w:rPr>
      </w:pPr>
      <w:r>
        <w:rPr>
          <w:rFonts w:hint="eastAsia" w:ascii="宋体" w:hAnsi="宋体"/>
          <w:sz w:val="28"/>
          <w:szCs w:val="28"/>
        </w:rPr>
        <w:t>（六）不同投标人的投标保证金从同一单位或者个人的账户转出；</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提供虚假材料谋取中标；</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采取不正当手段诋毁、排挤其他投标人；</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与采购人或</w:t>
      </w:r>
      <w:r>
        <w:rPr>
          <w:rFonts w:hint="eastAsia" w:cs="Arial"/>
          <w:sz w:val="28"/>
          <w:szCs w:val="28"/>
        </w:rPr>
        <w:t>采购中心</w:t>
      </w:r>
      <w:r>
        <w:rPr>
          <w:rFonts w:hint="eastAsia" w:ascii="宋体" w:hAnsi="宋体"/>
          <w:sz w:val="28"/>
          <w:szCs w:val="28"/>
        </w:rPr>
        <w:t>、其他投标人恶意串通；</w:t>
      </w:r>
    </w:p>
    <w:p>
      <w:pPr>
        <w:numPr>
          <w:ilvl w:val="1"/>
          <w:numId w:val="28"/>
        </w:numPr>
        <w:tabs>
          <w:tab w:val="left" w:pos="1134"/>
        </w:tabs>
        <w:spacing w:line="360" w:lineRule="auto"/>
        <w:ind w:left="0" w:firstLine="567"/>
        <w:rPr>
          <w:rFonts w:ascii="宋体" w:hAnsi="宋体"/>
          <w:sz w:val="28"/>
          <w:szCs w:val="28"/>
        </w:rPr>
      </w:pPr>
      <w:r>
        <w:rPr>
          <w:rFonts w:hint="eastAsia" w:ascii="宋体" w:hAnsi="宋体"/>
          <w:sz w:val="28"/>
          <w:szCs w:val="28"/>
        </w:rPr>
        <w:t>向采购人或</w:t>
      </w:r>
      <w:r>
        <w:rPr>
          <w:rFonts w:hint="eastAsia" w:cs="Arial"/>
          <w:sz w:val="28"/>
          <w:szCs w:val="28"/>
        </w:rPr>
        <w:t>采购中心</w:t>
      </w:r>
      <w:r>
        <w:rPr>
          <w:rFonts w:hint="eastAsia" w:ascii="宋体" w:hAnsi="宋体"/>
          <w:sz w:val="28"/>
          <w:szCs w:val="28"/>
        </w:rPr>
        <w:t>、评标委员会成员行贿或者提供其他不正当利益；</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在招标过程中与采购人或</w:t>
      </w:r>
      <w:r>
        <w:rPr>
          <w:rFonts w:hint="eastAsia" w:cs="Arial"/>
          <w:sz w:val="28"/>
          <w:szCs w:val="28"/>
        </w:rPr>
        <w:t>采购中心</w:t>
      </w:r>
      <w:r>
        <w:rPr>
          <w:rFonts w:hint="eastAsia" w:ascii="宋体" w:hAnsi="宋体"/>
          <w:sz w:val="28"/>
          <w:szCs w:val="28"/>
        </w:rPr>
        <w:t>进行协商谈判；</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中标后无正当理由拒不与采购人签订政府采购合同；</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未按照采购文件确定的事项签订政府采购合同；</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将政府采购合同转包或者违规分包；</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提供假冒伪劣产品；</w:t>
      </w:r>
    </w:p>
    <w:p>
      <w:pPr>
        <w:numPr>
          <w:ilvl w:val="1"/>
          <w:numId w:val="28"/>
        </w:numPr>
        <w:tabs>
          <w:tab w:val="left" w:pos="1134"/>
          <w:tab w:val="left" w:pos="1418"/>
        </w:tabs>
        <w:spacing w:line="360" w:lineRule="auto"/>
        <w:ind w:left="420" w:firstLine="147"/>
        <w:rPr>
          <w:rFonts w:ascii="宋体" w:hAnsi="宋体"/>
          <w:sz w:val="28"/>
          <w:szCs w:val="28"/>
        </w:rPr>
      </w:pPr>
      <w:r>
        <w:rPr>
          <w:rFonts w:hint="eastAsia" w:ascii="宋体" w:hAnsi="宋体"/>
          <w:sz w:val="28"/>
          <w:szCs w:val="28"/>
        </w:rPr>
        <w:t>擅自变更、中止或者终止政府采购合同；</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十二、被列入失信被执行人、重大税收违法案件当事人名单、政府采购严重违法失信行为记录名单。参加政府采购活动前三年内，在经营活动中有重大违法记录；</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十三、在行贿犯罪信息查询期限内，根据中国裁判文书网（https://wenshu.court.gov.cn）查询结果供应商及其现任法定代表人、主要负责人有行贿犯罪记录；</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十四、处于被行政部门禁止参与政府采购活动的期限内；</w:t>
      </w:r>
    </w:p>
    <w:p>
      <w:pPr>
        <w:tabs>
          <w:tab w:val="left" w:pos="1134"/>
        </w:tabs>
        <w:spacing w:line="360" w:lineRule="auto"/>
        <w:ind w:left="567"/>
        <w:rPr>
          <w:rFonts w:ascii="宋体" w:hAnsi="宋体"/>
          <w:sz w:val="28"/>
          <w:szCs w:val="28"/>
        </w:rPr>
      </w:pPr>
      <w:r>
        <w:rPr>
          <w:rFonts w:hint="eastAsia" w:ascii="宋体" w:hAnsi="宋体"/>
          <w:sz w:val="28"/>
          <w:szCs w:val="28"/>
        </w:rPr>
        <w:t>十五、拒绝有关部门的监督检查或者向监督检查部门提供虚假情况；</w:t>
      </w:r>
    </w:p>
    <w:p>
      <w:pPr>
        <w:spacing w:after="180" w:line="360" w:lineRule="auto"/>
        <w:ind w:firstLine="566" w:firstLineChars="202"/>
        <w:rPr>
          <w:rFonts w:ascii="宋体" w:hAnsi="宋体"/>
          <w:sz w:val="28"/>
          <w:szCs w:val="28"/>
        </w:rPr>
      </w:pPr>
      <w:r>
        <w:rPr>
          <w:rFonts w:hint="eastAsia" w:ascii="宋体" w:hAnsi="宋体"/>
          <w:sz w:val="28"/>
          <w:szCs w:val="28"/>
        </w:rPr>
        <w:t>十六、法律法规规定的其他情形。</w:t>
      </w:r>
    </w:p>
    <w:p>
      <w:pPr>
        <w:spacing w:after="180" w:line="360" w:lineRule="auto"/>
        <w:ind w:firstLine="568" w:firstLineChars="202"/>
        <w:rPr>
          <w:rFonts w:ascii="宋体" w:hAnsi="宋体"/>
          <w:b/>
          <w:sz w:val="28"/>
          <w:szCs w:val="28"/>
        </w:rPr>
      </w:pPr>
      <w:r>
        <w:rPr>
          <w:rFonts w:hint="eastAsia" w:ascii="宋体" w:hAnsi="宋体"/>
          <w:b/>
          <w:sz w:val="28"/>
          <w:szCs w:val="28"/>
        </w:rPr>
        <w:t>投标人有上述情形的，按照规定追究法律责任，具备一至十四条情形之一的，同时将认定投标人投标无效或不确定其为中标人，或者取消中标资格或认定中标无效。</w:t>
      </w:r>
    </w:p>
    <w:p>
      <w:pPr>
        <w:keepNext/>
        <w:keepLines/>
        <w:numPr>
          <w:ilvl w:val="2"/>
          <w:numId w:val="5"/>
        </w:numPr>
        <w:spacing w:line="360" w:lineRule="auto"/>
        <w:ind w:left="0" w:firstLine="0"/>
        <w:outlineLvl w:val="2"/>
        <w:rPr>
          <w:rFonts w:ascii="宋体" w:hAnsi="宋体"/>
          <w:b/>
          <w:bCs/>
          <w:sz w:val="28"/>
          <w:szCs w:val="28"/>
        </w:rPr>
      </w:pPr>
      <w:bookmarkStart w:id="100" w:name="_Toc314574786"/>
      <w:r>
        <w:rPr>
          <w:rFonts w:hint="eastAsia" w:ascii="宋体" w:hAnsi="宋体"/>
          <w:b/>
          <w:bCs/>
          <w:sz w:val="28"/>
          <w:szCs w:val="28"/>
        </w:rPr>
        <w:t>保密</w:t>
      </w:r>
      <w:bookmarkEnd w:id="100"/>
    </w:p>
    <w:p>
      <w:pPr>
        <w:numPr>
          <w:ilvl w:val="0"/>
          <w:numId w:val="29"/>
        </w:numPr>
        <w:tabs>
          <w:tab w:val="left" w:pos="0"/>
          <w:tab w:val="left" w:pos="1134"/>
        </w:tabs>
        <w:spacing w:line="360" w:lineRule="auto"/>
        <w:ind w:left="0" w:firstLine="567"/>
        <w:rPr>
          <w:rFonts w:ascii="宋体" w:hAnsi="宋体"/>
          <w:sz w:val="28"/>
          <w:szCs w:val="28"/>
        </w:rPr>
      </w:pPr>
      <w:r>
        <w:rPr>
          <w:rFonts w:hint="eastAsia" w:ascii="宋体" w:hAnsi="宋体"/>
          <w:sz w:val="28"/>
          <w:szCs w:val="28"/>
        </w:rPr>
        <w:t>不得透露有关在系统中成功提交《采购文件获取登记表》的潜在投标人的任何情况。</w:t>
      </w:r>
    </w:p>
    <w:p>
      <w:pPr>
        <w:numPr>
          <w:ilvl w:val="0"/>
          <w:numId w:val="29"/>
        </w:numPr>
        <w:tabs>
          <w:tab w:val="left" w:pos="0"/>
          <w:tab w:val="left" w:pos="1134"/>
        </w:tabs>
        <w:spacing w:line="360" w:lineRule="auto"/>
        <w:ind w:left="0" w:firstLine="567"/>
        <w:rPr>
          <w:rFonts w:ascii="宋体" w:hAnsi="宋体"/>
          <w:sz w:val="28"/>
          <w:szCs w:val="28"/>
        </w:rPr>
      </w:pPr>
      <w:r>
        <w:rPr>
          <w:rFonts w:hint="eastAsia" w:ascii="宋体" w:hAnsi="宋体"/>
          <w:sz w:val="28"/>
          <w:szCs w:val="28"/>
        </w:rPr>
        <w:t>有关投标文件的审查、澄清、评估和比较以及合同授予意向等情况都不得对外透露。</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回避</w:t>
      </w:r>
    </w:p>
    <w:p>
      <w:pPr>
        <w:shd w:val="clear" w:color="auto" w:fill="FFFFFF"/>
        <w:spacing w:line="360" w:lineRule="auto"/>
        <w:ind w:firstLine="560" w:firstLineChars="200"/>
        <w:rPr>
          <w:rFonts w:ascii="宋体" w:hAnsi="宋体" w:cs="Helvetica"/>
          <w:sz w:val="28"/>
          <w:szCs w:val="28"/>
        </w:rPr>
      </w:pPr>
      <w:r>
        <w:rPr>
          <w:rFonts w:hint="eastAsia" w:ascii="宋体" w:hAnsi="宋体" w:cs="Helvetica"/>
          <w:sz w:val="28"/>
          <w:szCs w:val="28"/>
        </w:rPr>
        <w:t>在政府采购活动中，采购人员</w:t>
      </w:r>
      <w:r>
        <w:rPr>
          <w:rFonts w:hint="eastAsia" w:cs="Helvetica"/>
          <w:sz w:val="28"/>
          <w:szCs w:val="28"/>
        </w:rPr>
        <w:t>（如</w:t>
      </w:r>
      <w:r>
        <w:rPr>
          <w:rFonts w:hint="eastAsia"/>
          <w:sz w:val="28"/>
          <w:szCs w:val="28"/>
        </w:rPr>
        <w:t>采购人内部负责采购项目的具体经办工作人员或直接分管采购项目的负责人、</w:t>
      </w:r>
      <w:r>
        <w:rPr>
          <w:rFonts w:hint="eastAsia" w:cs="Arial"/>
          <w:sz w:val="28"/>
          <w:szCs w:val="28"/>
        </w:rPr>
        <w:t>采购中心</w:t>
      </w:r>
      <w:r>
        <w:rPr>
          <w:rFonts w:hint="eastAsia"/>
          <w:sz w:val="28"/>
          <w:szCs w:val="28"/>
        </w:rPr>
        <w:t>负责采购项目的具体经办工作人员或直接分管采购活动的负责人等</w:t>
      </w:r>
      <w:r>
        <w:rPr>
          <w:rFonts w:hint="eastAsia" w:cs="Helvetica"/>
          <w:sz w:val="28"/>
          <w:szCs w:val="28"/>
        </w:rPr>
        <w:t>）</w:t>
      </w:r>
      <w:r>
        <w:rPr>
          <w:rFonts w:hint="eastAsia" w:ascii="宋体" w:hAnsi="宋体" w:cs="Helvetica"/>
          <w:sz w:val="28"/>
          <w:szCs w:val="28"/>
        </w:rPr>
        <w:t>及相关人员与</w:t>
      </w:r>
      <w:r>
        <w:rPr>
          <w:rFonts w:hint="eastAsia" w:ascii="宋体" w:hAnsi="宋体"/>
          <w:sz w:val="28"/>
          <w:szCs w:val="28"/>
        </w:rPr>
        <w:t>供应商</w:t>
      </w:r>
      <w:r>
        <w:rPr>
          <w:rFonts w:hint="eastAsia" w:ascii="宋体" w:hAnsi="宋体" w:cs="Helvetica"/>
          <w:sz w:val="28"/>
          <w:szCs w:val="28"/>
        </w:rPr>
        <w:t>有下列利害关系之一的，应当回避：</w:t>
      </w:r>
    </w:p>
    <w:p>
      <w:pPr>
        <w:shd w:val="clear" w:color="auto" w:fill="FFFFFF"/>
        <w:spacing w:line="360" w:lineRule="auto"/>
        <w:ind w:left="708" w:hanging="708" w:hangingChars="253"/>
        <w:rPr>
          <w:rFonts w:ascii="宋体" w:hAnsi="宋体" w:cs="Helvetica"/>
          <w:sz w:val="28"/>
          <w:szCs w:val="28"/>
        </w:rPr>
      </w:pPr>
      <w:r>
        <w:rPr>
          <w:rFonts w:hint="eastAsia" w:ascii="宋体" w:hAnsi="宋体" w:cs="Helvetica"/>
          <w:sz w:val="28"/>
          <w:szCs w:val="28"/>
        </w:rPr>
        <w:t>　　（一）参加采购活动前3年内与</w:t>
      </w:r>
      <w:r>
        <w:rPr>
          <w:rFonts w:hint="eastAsia" w:ascii="宋体" w:hAnsi="宋体"/>
          <w:sz w:val="28"/>
          <w:szCs w:val="28"/>
        </w:rPr>
        <w:t>供应商</w:t>
      </w:r>
      <w:r>
        <w:rPr>
          <w:rFonts w:hint="eastAsia" w:ascii="宋体" w:hAnsi="宋体" w:cs="Helvetica"/>
          <w:sz w:val="28"/>
          <w:szCs w:val="28"/>
        </w:rPr>
        <w:t>存在劳动关系；</w:t>
      </w:r>
    </w:p>
    <w:p>
      <w:pPr>
        <w:shd w:val="clear" w:color="auto" w:fill="FFFFFF"/>
        <w:spacing w:line="360" w:lineRule="auto"/>
        <w:rPr>
          <w:rFonts w:ascii="宋体" w:hAnsi="宋体" w:cs="Helvetica"/>
          <w:sz w:val="28"/>
          <w:szCs w:val="28"/>
        </w:rPr>
      </w:pPr>
      <w:r>
        <w:rPr>
          <w:rFonts w:hint="eastAsia" w:ascii="宋体" w:hAnsi="宋体" w:cs="Helvetica"/>
          <w:sz w:val="28"/>
          <w:szCs w:val="28"/>
        </w:rPr>
        <w:t>　　（二）参加采购活动前3年内担任</w:t>
      </w:r>
      <w:r>
        <w:rPr>
          <w:rFonts w:hint="eastAsia" w:ascii="宋体" w:hAnsi="宋体"/>
          <w:sz w:val="28"/>
          <w:szCs w:val="28"/>
        </w:rPr>
        <w:t>供应商</w:t>
      </w:r>
      <w:r>
        <w:rPr>
          <w:rFonts w:hint="eastAsia" w:ascii="宋体" w:hAnsi="宋体" w:cs="Helvetica"/>
          <w:sz w:val="28"/>
          <w:szCs w:val="28"/>
        </w:rPr>
        <w:t>的董事、监事；</w:t>
      </w:r>
    </w:p>
    <w:p>
      <w:pPr>
        <w:shd w:val="clear" w:color="auto" w:fill="FFFFFF"/>
        <w:spacing w:line="360" w:lineRule="auto"/>
        <w:ind w:firstLine="560" w:firstLineChars="200"/>
        <w:rPr>
          <w:rFonts w:ascii="宋体" w:hAnsi="宋体" w:cs="Helvetica"/>
          <w:sz w:val="28"/>
          <w:szCs w:val="28"/>
        </w:rPr>
      </w:pPr>
      <w:r>
        <w:rPr>
          <w:rFonts w:hint="eastAsia" w:ascii="宋体" w:hAnsi="宋体" w:cs="Helvetica"/>
          <w:sz w:val="28"/>
          <w:szCs w:val="28"/>
        </w:rPr>
        <w:t>（三）参加采购活动前3年内是</w:t>
      </w:r>
      <w:r>
        <w:rPr>
          <w:rFonts w:hint="eastAsia" w:ascii="宋体" w:hAnsi="宋体"/>
          <w:sz w:val="28"/>
          <w:szCs w:val="28"/>
        </w:rPr>
        <w:t>供应商</w:t>
      </w:r>
      <w:r>
        <w:rPr>
          <w:rFonts w:hint="eastAsia" w:ascii="宋体" w:hAnsi="宋体" w:cs="Helvetica"/>
          <w:sz w:val="28"/>
          <w:szCs w:val="28"/>
        </w:rPr>
        <w:t>的控股股东或者实际控制人；</w:t>
      </w:r>
    </w:p>
    <w:p>
      <w:pPr>
        <w:shd w:val="clear" w:color="auto" w:fill="FFFFFF"/>
        <w:spacing w:line="360" w:lineRule="auto"/>
        <w:ind w:firstLine="570"/>
        <w:rPr>
          <w:rFonts w:ascii="宋体" w:hAnsi="宋体" w:cs="Helvetica"/>
          <w:sz w:val="28"/>
          <w:szCs w:val="28"/>
        </w:rPr>
      </w:pPr>
      <w:r>
        <w:rPr>
          <w:rFonts w:hint="eastAsia" w:ascii="宋体" w:hAnsi="宋体" w:cs="Helvetica"/>
          <w:sz w:val="28"/>
          <w:szCs w:val="28"/>
        </w:rPr>
        <w:t>（四）与</w:t>
      </w:r>
      <w:r>
        <w:rPr>
          <w:rFonts w:hint="eastAsia" w:ascii="宋体" w:hAnsi="宋体"/>
          <w:sz w:val="28"/>
          <w:szCs w:val="28"/>
        </w:rPr>
        <w:t>供应商</w:t>
      </w:r>
      <w:r>
        <w:rPr>
          <w:rFonts w:hint="eastAsia" w:ascii="宋体" w:hAnsi="宋体" w:cs="Helvetica"/>
          <w:sz w:val="28"/>
          <w:szCs w:val="28"/>
        </w:rPr>
        <w:t>的法定代表人或者负责人有夫妻、直系血亲、三代以内旁系血亲或者近姻亲关系；</w:t>
      </w:r>
    </w:p>
    <w:p>
      <w:pPr>
        <w:shd w:val="clear" w:color="auto" w:fill="FFFFFF"/>
        <w:spacing w:line="360" w:lineRule="auto"/>
        <w:ind w:firstLine="570"/>
        <w:rPr>
          <w:rFonts w:ascii="宋体" w:hAnsi="宋体" w:cs="Helvetica"/>
          <w:sz w:val="28"/>
          <w:szCs w:val="28"/>
        </w:rPr>
      </w:pPr>
      <w:r>
        <w:rPr>
          <w:rFonts w:hint="eastAsia" w:ascii="宋体" w:hAnsi="宋体" w:cs="Helvetica"/>
          <w:sz w:val="28"/>
          <w:szCs w:val="28"/>
        </w:rPr>
        <w:t>（五）与</w:t>
      </w:r>
      <w:r>
        <w:rPr>
          <w:rFonts w:hint="eastAsia" w:ascii="宋体" w:hAnsi="宋体"/>
          <w:sz w:val="28"/>
          <w:szCs w:val="28"/>
        </w:rPr>
        <w:t>供应商</w:t>
      </w:r>
      <w:r>
        <w:rPr>
          <w:rFonts w:hint="eastAsia" w:ascii="宋体" w:hAnsi="宋体" w:cs="Helvetica"/>
          <w:sz w:val="28"/>
          <w:szCs w:val="28"/>
        </w:rPr>
        <w:t>有其他可能影响政府采购活动公平、公正进行的关系。</w:t>
      </w:r>
    </w:p>
    <w:p>
      <w:pPr>
        <w:shd w:val="clear" w:color="auto" w:fill="FFFFFF"/>
        <w:spacing w:line="360" w:lineRule="auto"/>
        <w:ind w:firstLine="570"/>
        <w:rPr>
          <w:rFonts w:ascii="宋体" w:hAnsi="宋体" w:cs="Helvetica"/>
          <w:sz w:val="28"/>
          <w:szCs w:val="28"/>
        </w:rPr>
      </w:pPr>
      <w:r>
        <w:rPr>
          <w:rFonts w:hint="eastAsia" w:ascii="宋体" w:hAnsi="宋体"/>
          <w:sz w:val="28"/>
          <w:szCs w:val="28"/>
        </w:rPr>
        <w:t>供应商</w:t>
      </w:r>
      <w:r>
        <w:rPr>
          <w:rFonts w:hint="eastAsia" w:ascii="宋体" w:hAnsi="宋体" w:cs="Helvetica"/>
          <w:sz w:val="28"/>
          <w:szCs w:val="28"/>
        </w:rPr>
        <w:t>认为采购人员及相关人员与其他</w:t>
      </w:r>
      <w:r>
        <w:rPr>
          <w:rFonts w:hint="eastAsia" w:ascii="宋体" w:hAnsi="宋体"/>
          <w:sz w:val="28"/>
          <w:szCs w:val="28"/>
        </w:rPr>
        <w:t>供应商</w:t>
      </w:r>
      <w:r>
        <w:rPr>
          <w:rFonts w:hint="eastAsia" w:ascii="宋体" w:hAnsi="宋体" w:cs="Helvetica"/>
          <w:sz w:val="28"/>
          <w:szCs w:val="28"/>
        </w:rPr>
        <w:t>有利害关系的，可以向采购人或者</w:t>
      </w:r>
      <w:r>
        <w:rPr>
          <w:rFonts w:hint="eastAsia" w:ascii="宋体" w:hAnsi="宋体" w:cs="Arial"/>
          <w:sz w:val="28"/>
          <w:szCs w:val="28"/>
        </w:rPr>
        <w:t>采购代理机构</w:t>
      </w:r>
      <w:r>
        <w:rPr>
          <w:rFonts w:hint="eastAsia" w:ascii="宋体" w:hAnsi="宋体" w:cs="Helvetica"/>
          <w:sz w:val="28"/>
          <w:szCs w:val="28"/>
        </w:rPr>
        <w:t>书面提出回避申请，并说明理由。采购人或者</w:t>
      </w:r>
      <w:r>
        <w:rPr>
          <w:rFonts w:hint="eastAsia" w:ascii="宋体" w:hAnsi="宋体" w:cs="Arial"/>
          <w:sz w:val="28"/>
          <w:szCs w:val="28"/>
        </w:rPr>
        <w:t>采购代理机构</w:t>
      </w:r>
      <w:r>
        <w:rPr>
          <w:rFonts w:hint="eastAsia" w:ascii="宋体" w:hAnsi="宋体" w:cs="Helvetica"/>
          <w:sz w:val="28"/>
          <w:szCs w:val="28"/>
        </w:rPr>
        <w:t>应当及时询问被申请回避人员，有利害关系的被申请回避人员应当回避。</w:t>
      </w:r>
    </w:p>
    <w:p>
      <w:pPr>
        <w:keepNext/>
        <w:keepLines/>
        <w:numPr>
          <w:ilvl w:val="1"/>
          <w:numId w:val="5"/>
        </w:numPr>
        <w:spacing w:line="360" w:lineRule="auto"/>
        <w:jc w:val="left"/>
        <w:outlineLvl w:val="1"/>
        <w:rPr>
          <w:rFonts w:ascii="宋体" w:hAnsi="宋体"/>
          <w:b/>
          <w:bCs/>
          <w:sz w:val="28"/>
          <w:szCs w:val="28"/>
        </w:rPr>
      </w:pPr>
      <w:bookmarkStart w:id="101" w:name="_Toc217446078"/>
      <w:bookmarkStart w:id="102" w:name="_Toc74752327"/>
      <w:r>
        <w:rPr>
          <w:rFonts w:hint="eastAsia" w:ascii="宋体" w:hAnsi="宋体"/>
          <w:b/>
          <w:bCs/>
          <w:sz w:val="28"/>
          <w:szCs w:val="28"/>
        </w:rPr>
        <w:t>询问、质疑和投诉</w:t>
      </w:r>
      <w:bookmarkEnd w:id="101"/>
      <w:bookmarkEnd w:id="102"/>
      <w:bookmarkStart w:id="103" w:name="_Toc217446079"/>
    </w:p>
    <w:bookmarkEnd w:id="96"/>
    <w:bookmarkEnd w:id="97"/>
    <w:bookmarkEnd w:id="103"/>
    <w:p>
      <w:pPr>
        <w:numPr>
          <w:ilvl w:val="0"/>
          <w:numId w:val="30"/>
        </w:numPr>
        <w:spacing w:line="360" w:lineRule="auto"/>
        <w:ind w:left="0" w:firstLine="567"/>
        <w:jc w:val="left"/>
        <w:rPr>
          <w:sz w:val="28"/>
          <w:szCs w:val="28"/>
        </w:rPr>
      </w:pPr>
      <w:r>
        <w:rPr>
          <w:rFonts w:hint="eastAsia"/>
          <w:sz w:val="28"/>
          <w:szCs w:val="28"/>
        </w:rPr>
        <w:t>询问、质疑、投诉的接收和处理严格按照《中华人民共和国政府采购法》、《中华人民共和国政府采购法实施条例》《中华人民共和国财政部货物和服务招投标管理办法》（财政部第</w:t>
      </w:r>
      <w:r>
        <w:rPr>
          <w:sz w:val="28"/>
          <w:szCs w:val="28"/>
        </w:rPr>
        <w:t>87</w:t>
      </w:r>
      <w:r>
        <w:rPr>
          <w:rFonts w:hint="eastAsia"/>
          <w:sz w:val="28"/>
          <w:szCs w:val="28"/>
        </w:rPr>
        <w:t>号令）和《政府采购质疑和投诉办法》（财政部</w:t>
      </w:r>
      <w:r>
        <w:rPr>
          <w:sz w:val="28"/>
          <w:szCs w:val="28"/>
        </w:rPr>
        <w:t>94</w:t>
      </w:r>
      <w:r>
        <w:rPr>
          <w:rFonts w:hint="eastAsia"/>
          <w:sz w:val="28"/>
          <w:szCs w:val="28"/>
        </w:rPr>
        <w:t>号令）的规定办理。</w:t>
      </w:r>
    </w:p>
    <w:p>
      <w:pPr>
        <w:numPr>
          <w:ilvl w:val="0"/>
          <w:numId w:val="30"/>
        </w:numPr>
        <w:spacing w:line="360" w:lineRule="auto"/>
        <w:ind w:left="0" w:firstLine="567"/>
        <w:jc w:val="left"/>
        <w:rPr>
          <w:sz w:val="28"/>
          <w:szCs w:val="28"/>
        </w:rPr>
      </w:pPr>
      <w:r>
        <w:rPr>
          <w:rFonts w:hint="eastAsia"/>
          <w:sz w:val="28"/>
          <w:szCs w:val="28"/>
        </w:rPr>
        <w:t>供应商</w:t>
      </w:r>
      <w:r>
        <w:rPr>
          <w:rFonts w:hint="eastAsia" w:ascii="宋体" w:hAnsi="宋体"/>
          <w:sz w:val="28"/>
          <w:szCs w:val="28"/>
        </w:rPr>
        <w:t>询问、质疑的对象</w:t>
      </w:r>
    </w:p>
    <w:p>
      <w:pPr>
        <w:numPr>
          <w:ilvl w:val="1"/>
          <w:numId w:val="31"/>
        </w:numPr>
        <w:tabs>
          <w:tab w:val="left" w:pos="0"/>
          <w:tab w:val="left" w:pos="1276"/>
        </w:tabs>
        <w:spacing w:after="120" w:line="360" w:lineRule="auto"/>
        <w:ind w:left="0" w:firstLine="567"/>
        <w:rPr>
          <w:rFonts w:ascii="宋体" w:hAnsi="宋体"/>
          <w:sz w:val="28"/>
          <w:szCs w:val="28"/>
        </w:rPr>
      </w:pPr>
      <w:r>
        <w:rPr>
          <w:rFonts w:hint="eastAsia"/>
          <w:sz w:val="28"/>
          <w:szCs w:val="28"/>
        </w:rPr>
        <w:t>供应商</w:t>
      </w:r>
      <w:r>
        <w:rPr>
          <w:rFonts w:hint="eastAsia" w:ascii="宋体" w:hAnsi="宋体"/>
          <w:sz w:val="28"/>
          <w:szCs w:val="28"/>
        </w:rPr>
        <w:t>对招标文件中</w:t>
      </w:r>
      <w:r>
        <w:rPr>
          <w:rFonts w:hint="eastAsia"/>
          <w:sz w:val="28"/>
          <w:szCs w:val="28"/>
        </w:rPr>
        <w:t>供应商</w:t>
      </w:r>
      <w:r>
        <w:rPr>
          <w:rFonts w:hint="eastAsia" w:ascii="宋体" w:hAnsi="宋体"/>
          <w:sz w:val="28"/>
          <w:szCs w:val="28"/>
        </w:rPr>
        <w:t>参加本次政府采购活动应当具备的条件，招标项目技术、服务、商务及其他要求，评标细则及标准，和中标结果中关于资格审查提出询问或质疑的，应通过</w:t>
      </w:r>
      <w:r>
        <w:rPr>
          <w:rFonts w:ascii="宋体" w:hAnsi="宋体"/>
          <w:sz w:val="28"/>
          <w:szCs w:val="28"/>
        </w:rPr>
        <w:t>云平台</w:t>
      </w:r>
      <w:r>
        <w:rPr>
          <w:rFonts w:hint="eastAsia" w:ascii="宋体" w:hAnsi="宋体"/>
          <w:sz w:val="28"/>
          <w:szCs w:val="28"/>
        </w:rPr>
        <w:t>向采购人提出；</w:t>
      </w:r>
    </w:p>
    <w:p>
      <w:pPr>
        <w:numPr>
          <w:ilvl w:val="1"/>
          <w:numId w:val="31"/>
        </w:numPr>
        <w:tabs>
          <w:tab w:val="left" w:pos="1276"/>
        </w:tabs>
        <w:spacing w:after="120" w:line="360" w:lineRule="auto"/>
        <w:ind w:left="0" w:firstLine="567"/>
        <w:rPr>
          <w:rFonts w:ascii="宋体" w:hAnsi="宋体"/>
          <w:sz w:val="28"/>
          <w:szCs w:val="28"/>
        </w:rPr>
      </w:pPr>
      <w:r>
        <w:rPr>
          <w:rFonts w:hint="eastAsia"/>
          <w:sz w:val="28"/>
          <w:szCs w:val="28"/>
        </w:rPr>
        <w:t>供应商对除上述招标文件中的其他内容，采购过程及中标结果中除资格审查</w:t>
      </w:r>
      <w:r>
        <w:rPr>
          <w:rFonts w:hint="eastAsia" w:ascii="宋体" w:hAnsi="宋体"/>
          <w:sz w:val="28"/>
          <w:szCs w:val="28"/>
        </w:rPr>
        <w:t>提出询问或质疑的，应通过</w:t>
      </w:r>
      <w:r>
        <w:rPr>
          <w:rFonts w:ascii="宋体" w:hAnsi="宋体"/>
          <w:sz w:val="28"/>
          <w:szCs w:val="28"/>
        </w:rPr>
        <w:t>云平台</w:t>
      </w:r>
      <w:r>
        <w:rPr>
          <w:rFonts w:hint="eastAsia" w:ascii="宋体" w:hAnsi="宋体"/>
          <w:sz w:val="28"/>
          <w:szCs w:val="28"/>
        </w:rPr>
        <w:t>向</w:t>
      </w:r>
      <w:r>
        <w:rPr>
          <w:rFonts w:hint="eastAsia" w:ascii="宋体" w:hAnsi="宋体" w:cs="Arial"/>
          <w:sz w:val="28"/>
          <w:szCs w:val="28"/>
        </w:rPr>
        <w:t>采购中心</w:t>
      </w:r>
      <w:r>
        <w:rPr>
          <w:rFonts w:hint="eastAsia" w:ascii="宋体" w:hAnsi="宋体"/>
          <w:sz w:val="28"/>
          <w:szCs w:val="28"/>
        </w:rPr>
        <w:t>提出。</w:t>
      </w:r>
    </w:p>
    <w:p>
      <w:pPr>
        <w:numPr>
          <w:ilvl w:val="0"/>
          <w:numId w:val="30"/>
        </w:numPr>
        <w:tabs>
          <w:tab w:val="left" w:pos="1134"/>
        </w:tabs>
        <w:spacing w:after="120" w:line="360" w:lineRule="auto"/>
        <w:ind w:left="0" w:firstLine="567"/>
        <w:rPr>
          <w:rFonts w:ascii="宋体" w:hAnsi="宋体"/>
          <w:sz w:val="28"/>
          <w:szCs w:val="28"/>
        </w:rPr>
      </w:pPr>
      <w:r>
        <w:rPr>
          <w:rFonts w:hint="eastAsia" w:ascii="宋体" w:hAnsi="宋体"/>
          <w:sz w:val="28"/>
          <w:szCs w:val="28"/>
        </w:rPr>
        <w:t>供应商提出的询问，应当明确询问事项，如以书面形式提出的，应由供应商签字并加盖公章。</w:t>
      </w:r>
    </w:p>
    <w:p>
      <w:pPr>
        <w:numPr>
          <w:ilvl w:val="0"/>
          <w:numId w:val="30"/>
        </w:numPr>
        <w:tabs>
          <w:tab w:val="left" w:pos="1134"/>
        </w:tabs>
        <w:spacing w:after="120" w:line="360" w:lineRule="auto"/>
        <w:ind w:left="0" w:firstLine="567"/>
        <w:rPr>
          <w:rFonts w:ascii="宋体" w:hAnsi="宋体"/>
          <w:sz w:val="28"/>
          <w:szCs w:val="28"/>
        </w:rPr>
      </w:pPr>
      <w:r>
        <w:rPr>
          <w:rFonts w:hint="eastAsia" w:ascii="宋体" w:hAnsi="宋体"/>
          <w:sz w:val="28"/>
          <w:szCs w:val="28"/>
        </w:rPr>
        <w:t>供应商应在法定质疑期内一次性提出针对同一采购程序环节的质疑。</w:t>
      </w:r>
    </w:p>
    <w:p>
      <w:pPr>
        <w:numPr>
          <w:ilvl w:val="0"/>
          <w:numId w:val="30"/>
        </w:numPr>
        <w:tabs>
          <w:tab w:val="left" w:pos="1134"/>
        </w:tabs>
        <w:spacing w:after="120" w:line="360" w:lineRule="auto"/>
        <w:ind w:left="0" w:firstLine="567"/>
        <w:rPr>
          <w:rFonts w:ascii="宋体" w:hAnsi="宋体"/>
          <w:sz w:val="28"/>
          <w:szCs w:val="28"/>
        </w:rPr>
      </w:pPr>
      <w:r>
        <w:rPr>
          <w:rFonts w:hint="eastAsia" w:ascii="宋体" w:hAnsi="宋体"/>
          <w:sz w:val="28"/>
          <w:szCs w:val="28"/>
        </w:rPr>
        <w:t>供应商提出质疑时应当准备的资料</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（一）质疑书正本1份；</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（二）法定代表人授权委托书1份（委托代理人办理质疑事宜的需提供）；</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（三）营业执照或法人证书复印件1份（加盖公章）；</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（四）法定代表人身份证复印件1份；</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（五）委托代理人身份证复印件1份（委托代理人办理质疑事宜的需提供）；</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（六）针对质疑事项必要的证明材料。</w:t>
      </w:r>
    </w:p>
    <w:p>
      <w:pPr>
        <w:numPr>
          <w:ilvl w:val="0"/>
          <w:numId w:val="30"/>
        </w:numPr>
        <w:tabs>
          <w:tab w:val="left" w:pos="1134"/>
        </w:tabs>
        <w:spacing w:line="360" w:lineRule="auto"/>
        <w:ind w:left="0" w:firstLine="567"/>
        <w:rPr>
          <w:rFonts w:ascii="宋体" w:hAnsi="宋体"/>
          <w:sz w:val="28"/>
          <w:szCs w:val="28"/>
        </w:rPr>
      </w:pPr>
      <w:r>
        <w:rPr>
          <w:rFonts w:hint="eastAsia" w:ascii="宋体" w:hAnsi="宋体"/>
          <w:sz w:val="28"/>
          <w:szCs w:val="28"/>
        </w:rPr>
        <w:t>供应商对采购中心的质疑答复不满意，或者采购中心未在规定期限内作出答复的，供应商可以在答复期满后15个工作日内向同级财政部门提起投诉。</w:t>
      </w:r>
    </w:p>
    <w:p>
      <w:pPr>
        <w:keepNext/>
        <w:keepLines/>
        <w:numPr>
          <w:ilvl w:val="1"/>
          <w:numId w:val="5"/>
        </w:numPr>
        <w:spacing w:before="260" w:line="360" w:lineRule="auto"/>
        <w:jc w:val="left"/>
        <w:outlineLvl w:val="1"/>
        <w:rPr>
          <w:rFonts w:ascii="宋体" w:hAnsi="宋体"/>
          <w:b/>
          <w:bCs/>
          <w:sz w:val="28"/>
          <w:szCs w:val="28"/>
        </w:rPr>
      </w:pPr>
      <w:bookmarkStart w:id="104" w:name="_Toc74752328"/>
      <w:r>
        <w:rPr>
          <w:rFonts w:hint="eastAsia" w:ascii="宋体" w:hAnsi="宋体"/>
          <w:b/>
          <w:bCs/>
          <w:sz w:val="28"/>
          <w:szCs w:val="28"/>
        </w:rPr>
        <w:t>中小企业政府采购信用融资</w:t>
      </w:r>
      <w:bookmarkEnd w:id="104"/>
    </w:p>
    <w:p>
      <w:pPr>
        <w:numPr>
          <w:ilvl w:val="0"/>
          <w:numId w:val="32"/>
        </w:numPr>
        <w:tabs>
          <w:tab w:val="left" w:pos="1134"/>
        </w:tabs>
        <w:spacing w:line="360" w:lineRule="auto"/>
        <w:ind w:left="0" w:firstLine="567"/>
        <w:rPr>
          <w:rFonts w:ascii="宋体" w:hAnsi="宋体"/>
          <w:sz w:val="28"/>
          <w:szCs w:val="28"/>
        </w:rPr>
      </w:pPr>
      <w:r>
        <w:rPr>
          <w:rFonts w:hint="eastAsia" w:ascii="宋体" w:hAnsi="宋体"/>
          <w:sz w:val="28"/>
          <w:szCs w:val="28"/>
        </w:rPr>
        <w:t>参与本次招标活动中标的中小企业投标人无需提供财产抵押或第三方担保，凭借政府采购合同可向融资机构申请融资。</w:t>
      </w:r>
    </w:p>
    <w:p>
      <w:pPr>
        <w:numPr>
          <w:ilvl w:val="0"/>
          <w:numId w:val="32"/>
        </w:numPr>
        <w:tabs>
          <w:tab w:val="left" w:pos="1134"/>
        </w:tabs>
        <w:spacing w:line="360" w:lineRule="auto"/>
        <w:ind w:left="0" w:firstLine="567"/>
        <w:rPr>
          <w:rFonts w:ascii="宋体" w:hAnsi="宋体"/>
          <w:sz w:val="28"/>
          <w:szCs w:val="28"/>
        </w:rPr>
      </w:pPr>
      <w:r>
        <w:rPr>
          <w:rFonts w:hint="eastAsia" w:ascii="宋体" w:hAnsi="宋体"/>
          <w:sz w:val="28"/>
          <w:szCs w:val="28"/>
        </w:rPr>
        <w:t>《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工作的通知》（成财采发〔2020〕20号）见附件。</w:t>
      </w:r>
    </w:p>
    <w:p>
      <w:pPr>
        <w:tabs>
          <w:tab w:val="left" w:pos="1276"/>
        </w:tabs>
        <w:spacing w:line="360" w:lineRule="auto"/>
        <w:rPr>
          <w:rFonts w:ascii="宋体" w:hAnsi="宋体"/>
          <w:sz w:val="28"/>
          <w:szCs w:val="28"/>
        </w:rPr>
      </w:pPr>
    </w:p>
    <w:p>
      <w:pPr>
        <w:tabs>
          <w:tab w:val="left" w:pos="1276"/>
        </w:tabs>
        <w:spacing w:line="360" w:lineRule="auto"/>
        <w:rPr>
          <w:rFonts w:ascii="宋体" w:hAnsi="宋体"/>
          <w:sz w:val="28"/>
          <w:szCs w:val="28"/>
        </w:rPr>
      </w:pPr>
    </w:p>
    <w:p>
      <w:pPr>
        <w:tabs>
          <w:tab w:val="left" w:pos="1276"/>
        </w:tabs>
        <w:spacing w:line="360" w:lineRule="auto"/>
        <w:rPr>
          <w:rFonts w:ascii="宋体" w:hAnsi="宋体"/>
          <w:sz w:val="28"/>
          <w:szCs w:val="28"/>
        </w:rPr>
      </w:pPr>
    </w:p>
    <w:p>
      <w:pPr>
        <w:tabs>
          <w:tab w:val="left" w:pos="1276"/>
        </w:tabs>
        <w:spacing w:line="360" w:lineRule="auto"/>
        <w:rPr>
          <w:rFonts w:ascii="宋体" w:hAnsi="宋体"/>
          <w:sz w:val="28"/>
          <w:szCs w:val="28"/>
        </w:rPr>
      </w:pPr>
    </w:p>
    <w:p>
      <w:pPr>
        <w:tabs>
          <w:tab w:val="left" w:pos="1276"/>
        </w:tabs>
        <w:spacing w:line="360" w:lineRule="auto"/>
        <w:rPr>
          <w:rFonts w:ascii="宋体" w:hAnsi="宋体"/>
          <w:sz w:val="28"/>
          <w:szCs w:val="28"/>
        </w:rPr>
      </w:pPr>
    </w:p>
    <w:p>
      <w:pPr>
        <w:tabs>
          <w:tab w:val="left" w:pos="1276"/>
        </w:tabs>
        <w:spacing w:line="360" w:lineRule="auto"/>
        <w:rPr>
          <w:rFonts w:ascii="宋体" w:hAnsi="宋体"/>
          <w:sz w:val="28"/>
          <w:szCs w:val="28"/>
        </w:rPr>
      </w:pPr>
    </w:p>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105" w:name="_Toc315871045"/>
      <w:bookmarkEnd w:id="105"/>
      <w:bookmarkStart w:id="106" w:name="_Toc316292052"/>
      <w:bookmarkEnd w:id="106"/>
      <w:bookmarkStart w:id="107" w:name="_Toc316292051"/>
      <w:bookmarkEnd w:id="107"/>
      <w:bookmarkStart w:id="108" w:name="_Toc315871049"/>
      <w:bookmarkEnd w:id="108"/>
      <w:bookmarkStart w:id="109" w:name="_Toc316292050"/>
      <w:bookmarkEnd w:id="109"/>
      <w:bookmarkStart w:id="110" w:name="_Toc315871046"/>
      <w:bookmarkEnd w:id="110"/>
      <w:bookmarkStart w:id="111" w:name="_Toc316292048"/>
      <w:bookmarkEnd w:id="111"/>
      <w:bookmarkStart w:id="112" w:name="_Toc316292049"/>
      <w:bookmarkEnd w:id="112"/>
      <w:bookmarkStart w:id="113" w:name="_Toc315871048"/>
      <w:bookmarkEnd w:id="113"/>
      <w:bookmarkStart w:id="114" w:name="_Toc315871047"/>
      <w:bookmarkEnd w:id="114"/>
      <w:bookmarkStart w:id="115" w:name="_Toc315871050"/>
      <w:bookmarkEnd w:id="115"/>
      <w:bookmarkStart w:id="116" w:name="_Toc74752329"/>
      <w:r>
        <w:rPr>
          <w:rFonts w:hint="eastAsia" w:ascii="宋体" w:hAnsi="宋体"/>
          <w:b/>
          <w:bCs/>
          <w:spacing w:val="-20"/>
          <w:kern w:val="44"/>
          <w:sz w:val="32"/>
          <w:szCs w:val="32"/>
        </w:rPr>
        <w:t>投标文件格式</w:t>
      </w:r>
      <w:bookmarkEnd w:id="116"/>
    </w:p>
    <w:p>
      <w:pPr>
        <w:keepNext/>
        <w:keepLines/>
        <w:numPr>
          <w:ilvl w:val="1"/>
          <w:numId w:val="5"/>
        </w:numPr>
        <w:spacing w:before="260" w:after="260" w:line="360" w:lineRule="auto"/>
        <w:jc w:val="left"/>
        <w:outlineLvl w:val="1"/>
        <w:rPr>
          <w:rFonts w:ascii="宋体" w:hAnsi="宋体"/>
          <w:b/>
          <w:bCs/>
          <w:sz w:val="28"/>
          <w:szCs w:val="28"/>
        </w:rPr>
      </w:pPr>
      <w:bookmarkStart w:id="117" w:name="_Toc74752330"/>
      <w:r>
        <w:rPr>
          <w:rFonts w:hint="eastAsia" w:ascii="宋体" w:hAnsi="宋体"/>
          <w:b/>
          <w:bCs/>
          <w:sz w:val="28"/>
          <w:szCs w:val="28"/>
        </w:rPr>
        <w:t>投标文件封面格式</w:t>
      </w:r>
      <w:bookmarkEnd w:id="117"/>
    </w:p>
    <w:p>
      <w:pPr>
        <w:spacing w:line="360" w:lineRule="auto"/>
        <w:rPr>
          <w:rFonts w:ascii="宋体" w:hAnsi="宋体"/>
          <w:bCs/>
          <w:szCs w:val="21"/>
        </w:rPr>
      </w:pPr>
    </w:p>
    <w:p>
      <w:pPr>
        <w:spacing w:line="360" w:lineRule="auto"/>
        <w:rPr>
          <w:rFonts w:ascii="宋体" w:hAnsi="宋体"/>
          <w:bCs/>
          <w:szCs w:val="21"/>
        </w:rPr>
      </w:pPr>
    </w:p>
    <w:p>
      <w:pPr>
        <w:spacing w:line="360" w:lineRule="auto"/>
        <w:jc w:val="right"/>
        <w:rPr>
          <w:rFonts w:ascii="宋体" w:hAnsi="宋体"/>
        </w:rPr>
      </w:pPr>
    </w:p>
    <w:p>
      <w:pPr>
        <w:spacing w:line="360" w:lineRule="auto"/>
        <w:jc w:val="center"/>
        <w:rPr>
          <w:rFonts w:ascii="宋体" w:hAnsi="宋体"/>
          <w:spacing w:val="78"/>
          <w:sz w:val="96"/>
          <w:szCs w:val="120"/>
        </w:rPr>
      </w:pPr>
      <w:r>
        <w:rPr>
          <w:rFonts w:hint="eastAsia" w:ascii="宋体" w:hAnsi="宋体"/>
          <w:spacing w:val="78"/>
          <w:sz w:val="96"/>
          <w:szCs w:val="120"/>
        </w:rPr>
        <w:t>投标文件</w:t>
      </w:r>
    </w:p>
    <w:p>
      <w:pPr>
        <w:spacing w:line="360" w:lineRule="auto"/>
        <w:jc w:val="center"/>
        <w:rPr>
          <w:rFonts w:ascii="宋体" w:hAnsi="宋体"/>
          <w:bCs/>
          <w:sz w:val="36"/>
        </w:rPr>
      </w:pPr>
    </w:p>
    <w:p>
      <w:pPr>
        <w:spacing w:line="360" w:lineRule="auto"/>
        <w:jc w:val="center"/>
        <w:rPr>
          <w:rFonts w:ascii="宋体" w:hAnsi="宋体"/>
          <w:bCs/>
          <w:sz w:val="36"/>
        </w:rPr>
      </w:pPr>
    </w:p>
    <w:p>
      <w:pPr>
        <w:spacing w:line="360" w:lineRule="auto"/>
        <w:ind w:left="1751" w:hanging="1751" w:hangingChars="545"/>
        <w:rPr>
          <w:rFonts w:ascii="宋体" w:hAnsi="宋体"/>
          <w:b/>
          <w:bCs/>
          <w:sz w:val="32"/>
          <w:szCs w:val="32"/>
        </w:rPr>
      </w:pPr>
      <w:r>
        <w:rPr>
          <w:rFonts w:hint="eastAsia" w:ascii="宋体" w:hAnsi="宋体"/>
          <w:b/>
          <w:bCs/>
          <w:sz w:val="32"/>
          <w:szCs w:val="32"/>
        </w:rPr>
        <w:t xml:space="preserve">项目名称： </w:t>
      </w:r>
    </w:p>
    <w:p>
      <w:pPr>
        <w:spacing w:line="360" w:lineRule="auto"/>
        <w:rPr>
          <w:rFonts w:ascii="宋体" w:hAnsi="宋体"/>
          <w:b/>
          <w:sz w:val="32"/>
          <w:szCs w:val="32"/>
          <w:u w:val="single"/>
        </w:rPr>
      </w:pPr>
      <w:r>
        <w:rPr>
          <w:rFonts w:hint="eastAsia" w:ascii="宋体" w:hAnsi="宋体"/>
          <w:b/>
          <w:bCs/>
          <w:sz w:val="32"/>
          <w:szCs w:val="32"/>
        </w:rPr>
        <w:t xml:space="preserve">项目编号： </w:t>
      </w: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ind w:firstLine="630" w:firstLineChars="196"/>
        <w:rPr>
          <w:rFonts w:ascii="宋体" w:hAnsi="宋体"/>
          <w:b/>
          <w:bCs/>
          <w:sz w:val="32"/>
          <w:szCs w:val="32"/>
        </w:rPr>
      </w:pPr>
      <w:r>
        <w:rPr>
          <w:rFonts w:hint="eastAsia" w:ascii="宋体" w:hAnsi="宋体"/>
          <w:b/>
          <w:bCs/>
          <w:sz w:val="32"/>
          <w:szCs w:val="32"/>
        </w:rPr>
        <w:t>投标人名称：XXXX</w:t>
      </w:r>
    </w:p>
    <w:p>
      <w:pPr>
        <w:spacing w:line="360" w:lineRule="auto"/>
        <w:ind w:firstLine="569" w:firstLineChars="177"/>
        <w:rPr>
          <w:rFonts w:ascii="宋体" w:hAnsi="宋体"/>
          <w:b/>
          <w:bCs/>
          <w:sz w:val="32"/>
          <w:szCs w:val="32"/>
        </w:rPr>
      </w:pPr>
      <w:r>
        <w:rPr>
          <w:rFonts w:hint="eastAsia" w:ascii="宋体" w:hAnsi="宋体"/>
          <w:b/>
          <w:bCs/>
          <w:sz w:val="32"/>
          <w:szCs w:val="32"/>
        </w:rPr>
        <w:t>日       期：202X年XX月XX日</w:t>
      </w:r>
    </w:p>
    <w:p>
      <w:pPr>
        <w:spacing w:line="360" w:lineRule="auto"/>
        <w:ind w:firstLine="569" w:firstLineChars="177"/>
        <w:rPr>
          <w:rFonts w:ascii="宋体" w:hAnsi="宋体"/>
          <w:b/>
          <w:bCs/>
          <w:sz w:val="32"/>
          <w:szCs w:val="32"/>
        </w:rPr>
      </w:pPr>
    </w:p>
    <w:p>
      <w:pPr>
        <w:spacing w:line="360" w:lineRule="auto"/>
        <w:ind w:firstLine="569" w:firstLineChars="177"/>
        <w:rPr>
          <w:rFonts w:ascii="宋体" w:hAnsi="宋体"/>
          <w:b/>
          <w:bCs/>
          <w:sz w:val="32"/>
          <w:szCs w:val="32"/>
        </w:rPr>
      </w:pPr>
    </w:p>
    <w:p>
      <w:pPr>
        <w:spacing w:line="360" w:lineRule="auto"/>
        <w:ind w:firstLine="569" w:firstLineChars="177"/>
        <w:rPr>
          <w:rFonts w:ascii="宋体" w:hAnsi="宋体"/>
          <w:b/>
          <w:bCs/>
          <w:sz w:val="32"/>
          <w:szCs w:val="32"/>
        </w:rPr>
      </w:pPr>
    </w:p>
    <w:p>
      <w:pPr>
        <w:keepNext/>
        <w:keepLines/>
        <w:numPr>
          <w:ilvl w:val="1"/>
          <w:numId w:val="5"/>
        </w:numPr>
        <w:spacing w:before="260" w:after="260" w:line="360" w:lineRule="auto"/>
        <w:jc w:val="left"/>
        <w:outlineLvl w:val="1"/>
        <w:rPr>
          <w:rFonts w:ascii="宋体" w:hAnsi="宋体"/>
          <w:b/>
          <w:bCs/>
          <w:sz w:val="28"/>
          <w:szCs w:val="28"/>
        </w:rPr>
      </w:pPr>
      <w:bookmarkStart w:id="118" w:name="_Toc74752331"/>
      <w:r>
        <w:rPr>
          <w:rFonts w:hint="eastAsia" w:ascii="宋体" w:hAnsi="宋体"/>
          <w:b/>
          <w:bCs/>
          <w:sz w:val="28"/>
          <w:szCs w:val="28"/>
        </w:rPr>
        <w:t>资格响应文件</w:t>
      </w:r>
      <w:bookmarkEnd w:id="118"/>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关于投标人资格申明的函</w:t>
      </w:r>
    </w:p>
    <w:p>
      <w:pPr>
        <w:spacing w:line="360" w:lineRule="auto"/>
        <w:rPr>
          <w:rFonts w:ascii="宋体" w:hAnsi="宋体"/>
          <w:sz w:val="28"/>
          <w:szCs w:val="28"/>
        </w:rPr>
      </w:pPr>
      <w:bookmarkStart w:id="119" w:name="_Toc238581782"/>
      <w:bookmarkStart w:id="120" w:name="_Toc119296788"/>
      <w:bookmarkStart w:id="121" w:name="_Toc119295087"/>
      <w:bookmarkStart w:id="122" w:name="_Toc119203988"/>
      <w:bookmarkStart w:id="123" w:name="_Toc146903609"/>
      <w:bookmarkStart w:id="124" w:name="_Toc52184753"/>
      <w:r>
        <w:rPr>
          <w:rFonts w:hint="eastAsia" w:ascii="宋体" w:hAnsi="宋体"/>
          <w:sz w:val="28"/>
          <w:szCs w:val="28"/>
        </w:rPr>
        <w:t>致：成都市</w:t>
      </w:r>
      <w:bookmarkEnd w:id="119"/>
      <w:r>
        <w:rPr>
          <w:rFonts w:hint="eastAsia" w:ascii="宋体" w:hAnsi="宋体"/>
          <w:sz w:val="28"/>
          <w:szCs w:val="28"/>
        </w:rPr>
        <w:t>武侯区政府采购中心</w:t>
      </w:r>
    </w:p>
    <w:p>
      <w:pPr>
        <w:spacing w:line="360" w:lineRule="auto"/>
        <w:ind w:firstLine="566" w:firstLineChars="202"/>
        <w:rPr>
          <w:rFonts w:ascii="宋体" w:hAnsi="宋体"/>
          <w:sz w:val="28"/>
          <w:szCs w:val="28"/>
        </w:rPr>
      </w:pPr>
      <w:bookmarkStart w:id="125" w:name="_Toc238581783"/>
      <w:r>
        <w:rPr>
          <w:rFonts w:hint="eastAsia" w:ascii="宋体" w:hAnsi="宋体"/>
          <w:sz w:val="28"/>
          <w:szCs w:val="28"/>
        </w:rPr>
        <w:t>关于我方对</w:t>
      </w:r>
      <w:r>
        <w:rPr>
          <w:rFonts w:hint="eastAsia" w:ascii="宋体" w:hAnsi="宋体"/>
          <w:b/>
          <w:sz w:val="28"/>
          <w:szCs w:val="28"/>
          <w:u w:val="single"/>
        </w:rPr>
        <w:t>XX（项目编号：XX）</w:t>
      </w:r>
      <w:r>
        <w:rPr>
          <w:rFonts w:hint="eastAsia" w:ascii="宋体" w:hAnsi="宋体"/>
          <w:sz w:val="28"/>
          <w:szCs w:val="28"/>
        </w:rPr>
        <w:t>的公开招标，提交的下列文件和说明是准确的和真实的。</w:t>
      </w:r>
      <w:bookmarkEnd w:id="125"/>
    </w:p>
    <w:p>
      <w:pPr>
        <w:widowControl/>
        <w:numPr>
          <w:ilvl w:val="2"/>
          <w:numId w:val="33"/>
        </w:numPr>
        <w:spacing w:line="360" w:lineRule="auto"/>
        <w:ind w:left="0" w:firstLine="560" w:firstLineChars="200"/>
        <w:rPr>
          <w:rFonts w:ascii="宋体" w:hAnsi="宋体"/>
          <w:sz w:val="28"/>
          <w:szCs w:val="28"/>
        </w:rPr>
      </w:pPr>
      <w:bookmarkStart w:id="126" w:name="_Toc238581784"/>
      <w:r>
        <w:rPr>
          <w:rFonts w:hint="eastAsia" w:ascii="宋体" w:hAnsi="宋体"/>
          <w:sz w:val="28"/>
          <w:szCs w:val="28"/>
        </w:rPr>
        <w:t>投标人名称及概况：</w:t>
      </w:r>
      <w:bookmarkEnd w:id="120"/>
      <w:bookmarkEnd w:id="121"/>
      <w:bookmarkEnd w:id="122"/>
      <w:bookmarkEnd w:id="123"/>
      <w:bookmarkEnd w:id="124"/>
      <w:bookmarkEnd w:id="126"/>
    </w:p>
    <w:p>
      <w:pPr>
        <w:widowControl/>
        <w:numPr>
          <w:ilvl w:val="0"/>
          <w:numId w:val="34"/>
        </w:numPr>
        <w:spacing w:line="360" w:lineRule="auto"/>
        <w:ind w:left="0" w:firstLine="560" w:firstLineChars="200"/>
        <w:jc w:val="left"/>
        <w:rPr>
          <w:rFonts w:ascii="宋体" w:hAnsi="宋体"/>
          <w:sz w:val="28"/>
          <w:szCs w:val="28"/>
        </w:rPr>
      </w:pPr>
      <w:r>
        <w:rPr>
          <w:rFonts w:hint="eastAsia" w:ascii="宋体" w:hAnsi="宋体"/>
          <w:sz w:val="28"/>
          <w:szCs w:val="28"/>
        </w:rPr>
        <w:t>投标人名称：XXXX</w:t>
      </w:r>
    </w:p>
    <w:p>
      <w:pPr>
        <w:widowControl/>
        <w:numPr>
          <w:ilvl w:val="0"/>
          <w:numId w:val="34"/>
        </w:numPr>
        <w:spacing w:line="360" w:lineRule="auto"/>
        <w:ind w:left="0" w:firstLine="560" w:firstLineChars="200"/>
        <w:jc w:val="left"/>
        <w:rPr>
          <w:rFonts w:ascii="宋体" w:hAnsi="宋体"/>
          <w:sz w:val="28"/>
          <w:szCs w:val="28"/>
        </w:rPr>
      </w:pPr>
      <w:r>
        <w:rPr>
          <w:rFonts w:hint="eastAsia" w:ascii="宋体" w:hAnsi="宋体"/>
          <w:sz w:val="28"/>
          <w:szCs w:val="28"/>
        </w:rPr>
        <w:t>地址：XXXX           邮编：XXXX</w:t>
      </w:r>
    </w:p>
    <w:p>
      <w:pPr>
        <w:spacing w:line="360" w:lineRule="auto"/>
        <w:ind w:firstLine="700" w:firstLineChars="250"/>
        <w:rPr>
          <w:rFonts w:ascii="宋体" w:hAnsi="宋体"/>
          <w:sz w:val="28"/>
          <w:szCs w:val="28"/>
          <w:u w:val="single"/>
        </w:rPr>
      </w:pPr>
      <w:r>
        <w:rPr>
          <w:rFonts w:hint="eastAsia" w:ascii="宋体" w:hAnsi="宋体"/>
          <w:sz w:val="28"/>
          <w:szCs w:val="28"/>
        </w:rPr>
        <w:t>传真/电话：XXXX</w:t>
      </w:r>
    </w:p>
    <w:p>
      <w:pPr>
        <w:widowControl/>
        <w:numPr>
          <w:ilvl w:val="0"/>
          <w:numId w:val="34"/>
        </w:numPr>
        <w:spacing w:line="360" w:lineRule="auto"/>
        <w:ind w:left="0" w:firstLine="560" w:firstLineChars="200"/>
        <w:jc w:val="left"/>
        <w:rPr>
          <w:rFonts w:ascii="宋体" w:hAnsi="宋体"/>
          <w:sz w:val="28"/>
          <w:szCs w:val="28"/>
        </w:rPr>
      </w:pPr>
      <w:r>
        <w:rPr>
          <w:rFonts w:hint="eastAsia" w:ascii="宋体" w:hAnsi="宋体"/>
          <w:sz w:val="28"/>
          <w:szCs w:val="28"/>
        </w:rPr>
        <w:t>成立日期或注册日期：XXXX</w:t>
      </w:r>
    </w:p>
    <w:p>
      <w:pPr>
        <w:widowControl/>
        <w:numPr>
          <w:ilvl w:val="0"/>
          <w:numId w:val="34"/>
        </w:numPr>
        <w:spacing w:line="360" w:lineRule="auto"/>
        <w:ind w:left="0" w:firstLine="560" w:firstLineChars="200"/>
        <w:jc w:val="left"/>
        <w:rPr>
          <w:rFonts w:ascii="宋体" w:hAnsi="宋体"/>
          <w:sz w:val="28"/>
          <w:szCs w:val="28"/>
          <w:u w:val="single"/>
        </w:rPr>
      </w:pPr>
      <w:r>
        <w:rPr>
          <w:rFonts w:hint="eastAsia" w:ascii="宋体" w:hAnsi="宋体"/>
          <w:sz w:val="28"/>
          <w:szCs w:val="28"/>
        </w:rPr>
        <w:t>法定代表人姓名：XXXX</w:t>
      </w:r>
    </w:p>
    <w:p>
      <w:pPr>
        <w:widowControl/>
        <w:numPr>
          <w:ilvl w:val="2"/>
          <w:numId w:val="33"/>
        </w:numPr>
        <w:tabs>
          <w:tab w:val="left" w:pos="1276"/>
        </w:tabs>
        <w:spacing w:line="360" w:lineRule="auto"/>
        <w:ind w:left="0" w:firstLine="567"/>
        <w:rPr>
          <w:rFonts w:ascii="宋体" w:hAnsi="宋体"/>
          <w:sz w:val="28"/>
          <w:szCs w:val="28"/>
        </w:rPr>
      </w:pPr>
      <w:r>
        <w:rPr>
          <w:rFonts w:hint="eastAsia" w:ascii="宋体" w:hAnsi="宋体"/>
          <w:sz w:val="28"/>
          <w:szCs w:val="28"/>
        </w:rPr>
        <w:t>开户银行名称：XXXX</w:t>
      </w:r>
    </w:p>
    <w:p>
      <w:pPr>
        <w:spacing w:line="360" w:lineRule="auto"/>
        <w:ind w:firstLine="1260" w:firstLineChars="450"/>
        <w:rPr>
          <w:rFonts w:ascii="宋体" w:hAnsi="宋体"/>
          <w:sz w:val="28"/>
          <w:szCs w:val="28"/>
          <w:u w:val="single"/>
        </w:rPr>
      </w:pPr>
      <w:r>
        <w:rPr>
          <w:rFonts w:hint="eastAsia" w:ascii="宋体" w:hAnsi="宋体"/>
          <w:sz w:val="28"/>
          <w:szCs w:val="28"/>
        </w:rPr>
        <w:t>地址：XXXX</w:t>
      </w:r>
    </w:p>
    <w:p>
      <w:pPr>
        <w:spacing w:line="360" w:lineRule="auto"/>
        <w:ind w:firstLine="1260" w:firstLineChars="450"/>
        <w:rPr>
          <w:rFonts w:ascii="宋体" w:hAnsi="宋体"/>
          <w:sz w:val="28"/>
          <w:szCs w:val="28"/>
        </w:rPr>
      </w:pPr>
      <w:r>
        <w:rPr>
          <w:rFonts w:hint="eastAsia" w:ascii="宋体" w:hAnsi="宋体"/>
          <w:sz w:val="28"/>
          <w:szCs w:val="28"/>
        </w:rPr>
        <w:t>账号：XXXX</w:t>
      </w: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firstLine="560" w:firstLineChars="200"/>
        <w:rPr>
          <w:rFonts w:ascii="宋体" w:hAnsi="宋体"/>
          <w:sz w:val="28"/>
          <w:szCs w:val="28"/>
        </w:rPr>
      </w:pPr>
      <w:r>
        <w:rPr>
          <w:rFonts w:hint="eastAsia" w:ascii="宋体" w:hAnsi="宋体"/>
          <w:sz w:val="28"/>
          <w:szCs w:val="28"/>
        </w:rPr>
        <w:t>投标人名称：</w:t>
      </w:r>
      <w:r>
        <w:rPr>
          <w:rFonts w:hint="eastAsia" w:ascii="宋体" w:hAnsi="宋体"/>
          <w:sz w:val="28"/>
          <w:szCs w:val="28"/>
          <w:u w:val="single"/>
        </w:rPr>
        <w:t>XXXX</w:t>
      </w:r>
    </w:p>
    <w:p>
      <w:pPr>
        <w:spacing w:line="360" w:lineRule="auto"/>
        <w:ind w:left="283" w:leftChars="135" w:firstLine="280" w:firstLineChars="100"/>
        <w:rPr>
          <w:rFonts w:ascii="宋体" w:hAnsi="宋体"/>
          <w:bCs/>
          <w:sz w:val="28"/>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spacing w:line="360" w:lineRule="auto"/>
        <w:ind w:left="283" w:leftChars="135" w:firstLine="280" w:firstLineChars="100"/>
        <w:rPr>
          <w:rFonts w:ascii="宋体" w:hAnsi="宋体"/>
          <w:sz w:val="28"/>
          <w:szCs w:val="28"/>
          <w:u w:val="single"/>
        </w:rPr>
      </w:pP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声明</w:t>
      </w:r>
    </w:p>
    <w:p>
      <w:pPr>
        <w:spacing w:line="360" w:lineRule="auto"/>
        <w:rPr>
          <w:rFonts w:ascii="宋体" w:hAnsi="宋体"/>
          <w:sz w:val="28"/>
          <w:szCs w:val="28"/>
        </w:rPr>
      </w:pPr>
      <w:r>
        <w:rPr>
          <w:rFonts w:hint="eastAsia" w:ascii="宋体" w:hAnsi="宋体"/>
          <w:sz w:val="28"/>
          <w:szCs w:val="28"/>
        </w:rPr>
        <w:t>致：成都市武侯区政府采购中心</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我单位作为</w:t>
      </w:r>
      <w:r>
        <w:rPr>
          <w:rFonts w:hint="eastAsia" w:ascii="宋体" w:hAnsi="宋体"/>
          <w:b/>
          <w:sz w:val="28"/>
          <w:szCs w:val="28"/>
          <w:u w:val="single"/>
        </w:rPr>
        <w:t>XX（项目编号：XX）</w:t>
      </w:r>
      <w:r>
        <w:rPr>
          <w:rFonts w:hint="eastAsia" w:ascii="宋体" w:hAnsi="宋体"/>
          <w:sz w:val="28"/>
          <w:szCs w:val="28"/>
        </w:rPr>
        <w:t>的投标人，在此郑重声明：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一、我单位参加政府采购活动前三年内，在经营活动中</w:t>
      </w:r>
      <w:r>
        <w:rPr>
          <w:rFonts w:hint="eastAsia" w:ascii="宋体" w:hAnsi="宋体"/>
          <w:b/>
          <w:sz w:val="28"/>
          <w:szCs w:val="28"/>
          <w:u w:val="single"/>
        </w:rPr>
        <w:t>（说明：填写“没有”或“有”）</w:t>
      </w:r>
      <w:r>
        <w:rPr>
          <w:rFonts w:hint="eastAsia" w:ascii="宋体" w:hAnsi="宋体"/>
          <w:sz w:val="28"/>
          <w:szCs w:val="28"/>
        </w:rPr>
        <w:t>重大违法记录。</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二、我单位</w:t>
      </w:r>
      <w:r>
        <w:rPr>
          <w:rFonts w:hint="eastAsia" w:ascii="宋体" w:hAnsi="宋体"/>
          <w:b/>
          <w:sz w:val="28"/>
          <w:szCs w:val="28"/>
          <w:u w:val="single"/>
        </w:rPr>
        <w:t>（说明：填写“具有”或“不具有”）</w:t>
      </w:r>
      <w:r>
        <w:rPr>
          <w:rFonts w:hint="eastAsia" w:ascii="宋体" w:hAnsi="宋体"/>
          <w:sz w:val="28"/>
          <w:szCs w:val="28"/>
        </w:rPr>
        <w:t>良好的商业信誉。</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三、与我单位负责人为同一人或者存在直接控股、管理关系的相关供应商：</w:t>
      </w:r>
      <w:r>
        <w:rPr>
          <w:rFonts w:hint="eastAsia" w:ascii="宋体" w:hAnsi="宋体"/>
          <w:b/>
          <w:sz w:val="28"/>
          <w:szCs w:val="28"/>
          <w:u w:val="single"/>
        </w:rPr>
        <w:t>（说明：填写“无”或“（一）供应商名称１；（二）供应商名称２；（三）……”）</w:t>
      </w:r>
      <w:r>
        <w:rPr>
          <w:rFonts w:hint="eastAsia" w:ascii="宋体" w:hAnsi="宋体"/>
          <w:b/>
          <w:sz w:val="28"/>
          <w:szCs w:val="28"/>
        </w:rPr>
        <w:t xml:space="preserve"> </w:t>
      </w:r>
      <w:r>
        <w:rPr>
          <w:rFonts w:hint="eastAsia" w:ascii="宋体" w:hAnsi="宋体"/>
          <w:sz w:val="28"/>
          <w:szCs w:val="28"/>
        </w:rPr>
        <w:t>。</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四、在行贿犯罪信息查询期限内，我单位及我单位现任法定代表人、主要负责人</w:t>
      </w:r>
      <w:r>
        <w:rPr>
          <w:rFonts w:hint="eastAsia" w:ascii="宋体" w:hAnsi="宋体"/>
          <w:b/>
          <w:sz w:val="28"/>
          <w:szCs w:val="28"/>
          <w:u w:val="single"/>
        </w:rPr>
        <w:t>（说明：填写“没有”或“有”）</w:t>
      </w:r>
      <w:r>
        <w:rPr>
          <w:rFonts w:hint="eastAsia" w:ascii="宋体" w:hAnsi="宋体"/>
          <w:sz w:val="28"/>
          <w:szCs w:val="28"/>
        </w:rPr>
        <w:t>行贿犯罪记录。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五、我单位</w:t>
      </w:r>
      <w:r>
        <w:rPr>
          <w:rFonts w:hint="eastAsia" w:ascii="宋体" w:hAnsi="宋体"/>
          <w:b/>
          <w:sz w:val="28"/>
          <w:szCs w:val="28"/>
          <w:u w:val="single"/>
        </w:rPr>
        <w:t>（说明：填写“未列入”或“被列入”）</w:t>
      </w:r>
      <w:r>
        <w:rPr>
          <w:rFonts w:hint="eastAsia" w:ascii="宋体" w:hAnsi="宋体"/>
          <w:sz w:val="28"/>
          <w:szCs w:val="28"/>
        </w:rPr>
        <w:t>失信被执行人、重大税收违法案件当事人名单。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我单位</w:t>
      </w:r>
      <w:r>
        <w:rPr>
          <w:rFonts w:hint="eastAsia" w:ascii="宋体" w:hAnsi="宋体"/>
          <w:b/>
          <w:sz w:val="28"/>
          <w:szCs w:val="28"/>
          <w:u w:val="single"/>
        </w:rPr>
        <w:t>（说明：填写“未列入”或“被列入”）</w:t>
      </w:r>
      <w:r>
        <w:rPr>
          <w:rFonts w:hint="eastAsia" w:ascii="宋体" w:hAnsi="宋体"/>
          <w:sz w:val="28"/>
          <w:szCs w:val="28"/>
        </w:rPr>
        <w:t>政府采购严重违法失信行为记录名单。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六、我单位</w:t>
      </w:r>
      <w:r>
        <w:rPr>
          <w:rFonts w:hint="eastAsia" w:ascii="宋体" w:hAnsi="宋体"/>
          <w:b/>
          <w:sz w:val="28"/>
          <w:szCs w:val="28"/>
          <w:u w:val="single"/>
        </w:rPr>
        <w:t>（说明：填写“未处于”或“处于”）</w:t>
      </w:r>
      <w:r>
        <w:rPr>
          <w:rFonts w:hint="eastAsia" w:ascii="宋体" w:hAnsi="宋体"/>
          <w:bCs/>
          <w:sz w:val="28"/>
          <w:szCs w:val="28"/>
        </w:rPr>
        <w:t>被行政部门禁止参与政府采购活动的期限内。</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特此声明。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投标人名称：</w:t>
      </w:r>
      <w:r>
        <w:rPr>
          <w:rFonts w:hint="eastAsia" w:ascii="宋体" w:hAnsi="宋体"/>
          <w:sz w:val="28"/>
          <w:szCs w:val="28"/>
          <w:u w:val="single"/>
        </w:rPr>
        <w:t>XXXX</w:t>
      </w:r>
    </w:p>
    <w:p>
      <w:pPr>
        <w:tabs>
          <w:tab w:val="left" w:pos="1260"/>
        </w:tabs>
        <w:spacing w:line="560" w:lineRule="exact"/>
        <w:ind w:firstLine="560" w:firstLineChars="200"/>
        <w:rPr>
          <w:rFonts w:ascii="宋体" w:hAnsi="宋体"/>
          <w:sz w:val="28"/>
          <w:szCs w:val="28"/>
          <w:u w:val="single"/>
        </w:rPr>
      </w:pPr>
      <w:r>
        <w:rPr>
          <w:rFonts w:hint="eastAsia" w:ascii="宋体" w:hAnsi="宋体"/>
          <w:sz w:val="28"/>
          <w:szCs w:val="28"/>
        </w:rPr>
        <w:t>日    期：202</w:t>
      </w:r>
      <w:r>
        <w:rPr>
          <w:rFonts w:hint="eastAsia" w:ascii="宋体" w:hAnsi="宋体"/>
          <w:sz w:val="28"/>
          <w:szCs w:val="28"/>
          <w:u w:val="single"/>
        </w:rPr>
        <w:t>X</w:t>
      </w:r>
      <w:r>
        <w:rPr>
          <w:rFonts w:hint="eastAsia" w:ascii="宋体" w:hAnsi="宋体"/>
          <w:sz w:val="28"/>
          <w:szCs w:val="28"/>
        </w:rPr>
        <w:t>年</w:t>
      </w:r>
      <w:r>
        <w:rPr>
          <w:rFonts w:hint="eastAsia" w:ascii="宋体" w:hAnsi="宋体"/>
          <w:sz w:val="28"/>
          <w:szCs w:val="28"/>
          <w:u w:val="single"/>
        </w:rPr>
        <w:t>XX</w:t>
      </w:r>
      <w:r>
        <w:rPr>
          <w:rFonts w:hint="eastAsia" w:ascii="宋体" w:hAnsi="宋体"/>
          <w:sz w:val="28"/>
          <w:szCs w:val="28"/>
        </w:rPr>
        <w:t>月</w:t>
      </w:r>
      <w:r>
        <w:rPr>
          <w:rFonts w:hint="eastAsia" w:ascii="宋体" w:hAnsi="宋体"/>
          <w:sz w:val="28"/>
          <w:szCs w:val="28"/>
          <w:u w:val="single"/>
        </w:rPr>
        <w:t>XX</w:t>
      </w:r>
      <w:r>
        <w:rPr>
          <w:rFonts w:hint="eastAsia" w:ascii="宋体" w:hAnsi="宋体"/>
          <w:sz w:val="28"/>
          <w:szCs w:val="28"/>
        </w:rPr>
        <w:t>日</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说明：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1.对声明中第一条的说明：如投标人在参加政府采购活动前三年内，在经营活动中有重大违法记录的，应填写“有”，投标人将被认定投标无效或被取消中标资格；</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2.</w:t>
      </w:r>
      <w:r>
        <w:rPr>
          <w:rFonts w:ascii="宋体" w:hAnsi="宋体"/>
          <w:sz w:val="28"/>
          <w:szCs w:val="28"/>
        </w:rPr>
        <w:t xml:space="preserve"> </w:t>
      </w:r>
      <w:r>
        <w:rPr>
          <w:rFonts w:hint="eastAsia" w:ascii="宋体" w:hAnsi="宋体"/>
          <w:sz w:val="28"/>
          <w:szCs w:val="28"/>
        </w:rPr>
        <w:t>对声明中第三条的说明：单位负责人为同一人或者存在直接控股、管理关系的不同供应商，不得参加同一合同项下的政府采购活动；</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3.对声明中第四条的说明：在行贿犯罪信息查询期限内，投标人根据中国裁判文书网（https://wenshu.court.gov.cn）查询结果，如果投标人及其现任法定代表人、主要负责人有行贿犯罪记录的，投标人应填写“有”，投标人将被认定投标无效或被取消中标资格；</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4.对声明中第五条的说明：投标人如被列入失信被执行人、重大税收违法案件当事人名单，应填写“被列入”，投标人将被认定投标无效或被取消中标资格；投标人如被列入政府采购严重违法失信行为记录名单，应填写“被列入”，投标人将被认定投标无效或被取消中标资格；</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5.对声明中第六条的说明：如投标人处于被行政部门禁止参加政府采购活动期限内的，该声明填“处于”，投标人将被认定投标无效或被取消中标资格。</w:t>
      </w: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投标人应提交的相关资格证明材料</w:t>
      </w:r>
    </w:p>
    <w:p>
      <w:pPr>
        <w:ind w:firstLine="560" w:firstLineChars="200"/>
        <w:rPr>
          <w:sz w:val="28"/>
          <w:szCs w:val="28"/>
        </w:rPr>
      </w:pPr>
    </w:p>
    <w:p>
      <w:pPr>
        <w:spacing w:line="360" w:lineRule="auto"/>
        <w:ind w:firstLine="560" w:firstLineChars="200"/>
        <w:rPr>
          <w:sz w:val="28"/>
          <w:szCs w:val="28"/>
        </w:rPr>
      </w:pPr>
      <w:r>
        <w:rPr>
          <w:rFonts w:hint="eastAsia"/>
          <w:sz w:val="28"/>
          <w:szCs w:val="28"/>
        </w:rPr>
        <w:t>投标人按招标文件要求，应提供以下相关资格证明材料：</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营业执照复印件（正本或副本）或法人证书复印件（正本或副本）；</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ascii="宋体" w:hAnsi="宋体"/>
          <w:sz w:val="28"/>
          <w:szCs w:val="28"/>
        </w:rPr>
        <w:t>20</w:t>
      </w:r>
      <w:r>
        <w:rPr>
          <w:rFonts w:hint="eastAsia" w:ascii="宋体" w:hAnsi="宋体"/>
          <w:sz w:val="28"/>
          <w:szCs w:val="28"/>
        </w:rPr>
        <w:t>19或</w:t>
      </w:r>
      <w:r>
        <w:rPr>
          <w:rFonts w:ascii="宋体" w:hAnsi="宋体"/>
          <w:sz w:val="28"/>
          <w:szCs w:val="28"/>
        </w:rPr>
        <w:t>20</w:t>
      </w:r>
      <w:r>
        <w:rPr>
          <w:rFonts w:hint="eastAsia" w:ascii="宋体" w:hAnsi="宋体"/>
          <w:sz w:val="28"/>
          <w:szCs w:val="28"/>
        </w:rPr>
        <w:t>20会计年度资产负债表复印件（说明：投标人成立时间至递交投标文件截止时间止不足一年的，提供成立后任意时段的资产负债表复印件）；</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投标人缴纳</w:t>
      </w:r>
      <w:r>
        <w:rPr>
          <w:rFonts w:ascii="宋体" w:hAnsi="宋体"/>
          <w:sz w:val="28"/>
          <w:szCs w:val="28"/>
        </w:rPr>
        <w:t>20</w:t>
      </w:r>
      <w:r>
        <w:rPr>
          <w:rFonts w:hint="eastAsia" w:ascii="宋体" w:hAnsi="宋体"/>
          <w:sz w:val="28"/>
          <w:szCs w:val="28"/>
        </w:rPr>
        <w:t>20或</w:t>
      </w:r>
      <w:r>
        <w:rPr>
          <w:rFonts w:ascii="宋体" w:hAnsi="宋体"/>
          <w:sz w:val="28"/>
          <w:szCs w:val="28"/>
        </w:rPr>
        <w:t>20</w:t>
      </w:r>
      <w:r>
        <w:rPr>
          <w:rFonts w:hint="eastAsia" w:ascii="宋体" w:hAnsi="宋体"/>
          <w:sz w:val="28"/>
          <w:szCs w:val="28"/>
        </w:rPr>
        <w:t>21年任意时段的税收的银行电子回单或者行政部门出具的纳税证明或完税证明复印件；</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采购人对投标人履行合同所必须的设备和专业技术能力无其他特殊要求，投标人具有有效的营业执照或法人证书即可，可不提供其他证明材料；</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投标人缴纳</w:t>
      </w:r>
      <w:r>
        <w:rPr>
          <w:rFonts w:ascii="宋体" w:hAnsi="宋体"/>
          <w:sz w:val="28"/>
          <w:szCs w:val="28"/>
        </w:rPr>
        <w:t>20</w:t>
      </w:r>
      <w:r>
        <w:rPr>
          <w:rFonts w:hint="eastAsia" w:ascii="宋体" w:hAnsi="宋体"/>
          <w:sz w:val="28"/>
          <w:szCs w:val="28"/>
        </w:rPr>
        <w:t>20或</w:t>
      </w:r>
      <w:r>
        <w:rPr>
          <w:rFonts w:ascii="宋体" w:hAnsi="宋体"/>
          <w:sz w:val="28"/>
          <w:szCs w:val="28"/>
        </w:rPr>
        <w:t>20</w:t>
      </w:r>
      <w:r>
        <w:rPr>
          <w:rFonts w:hint="eastAsia" w:ascii="宋体" w:hAnsi="宋体"/>
          <w:sz w:val="28"/>
          <w:szCs w:val="28"/>
        </w:rPr>
        <w:t>21年任意时段的社保的银行电子回单或行政部门出具的社保缴纳证明材料复印件；</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采购人对法律、行政法规规定的其他条件无其他特殊要求，投标人具有有效的营业执照或法人证书即可，可不提供其他证明材料。</w:t>
      </w: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keepNext/>
        <w:keepLines/>
        <w:numPr>
          <w:ilvl w:val="1"/>
          <w:numId w:val="5"/>
        </w:numPr>
        <w:spacing w:line="520" w:lineRule="exact"/>
        <w:jc w:val="left"/>
        <w:outlineLvl w:val="1"/>
        <w:rPr>
          <w:rFonts w:ascii="宋体" w:hAnsi="宋体"/>
          <w:b/>
          <w:bCs/>
          <w:sz w:val="28"/>
          <w:szCs w:val="28"/>
        </w:rPr>
      </w:pPr>
      <w:bookmarkStart w:id="127" w:name="_Toc74752332"/>
      <w:r>
        <w:rPr>
          <w:rFonts w:hint="eastAsia" w:ascii="宋体" w:hAnsi="宋体"/>
          <w:b/>
          <w:bCs/>
          <w:sz w:val="28"/>
          <w:szCs w:val="28"/>
        </w:rPr>
        <w:t>商务技术</w:t>
      </w:r>
      <w:r>
        <w:rPr>
          <w:rFonts w:ascii="宋体" w:hAnsi="宋体"/>
          <w:b/>
          <w:bCs/>
          <w:sz w:val="28"/>
          <w:szCs w:val="28"/>
        </w:rPr>
        <w:t>响应文件</w:t>
      </w:r>
      <w:bookmarkEnd w:id="127"/>
    </w:p>
    <w:p>
      <w:pPr>
        <w:keepNext/>
        <w:keepLines/>
        <w:numPr>
          <w:ilvl w:val="2"/>
          <w:numId w:val="5"/>
        </w:numPr>
        <w:spacing w:line="520" w:lineRule="exact"/>
        <w:ind w:left="569" w:hanging="569"/>
        <w:outlineLvl w:val="2"/>
        <w:rPr>
          <w:rFonts w:ascii="宋体" w:hAnsi="宋体"/>
          <w:b/>
          <w:bCs/>
          <w:sz w:val="28"/>
          <w:szCs w:val="28"/>
        </w:rPr>
      </w:pPr>
      <w:r>
        <w:rPr>
          <w:rFonts w:hint="eastAsia" w:ascii="宋体" w:hAnsi="宋体"/>
          <w:b/>
          <w:bCs/>
          <w:sz w:val="28"/>
          <w:szCs w:val="28"/>
        </w:rPr>
        <w:t>投标函</w:t>
      </w:r>
    </w:p>
    <w:p>
      <w:pPr>
        <w:spacing w:line="520" w:lineRule="exact"/>
        <w:rPr>
          <w:rFonts w:ascii="宋体" w:hAnsi="宋体"/>
          <w:bCs/>
          <w:sz w:val="28"/>
          <w:szCs w:val="28"/>
        </w:rPr>
      </w:pPr>
      <w:r>
        <w:rPr>
          <w:rFonts w:hint="eastAsia" w:ascii="宋体" w:hAnsi="宋体"/>
          <w:bCs/>
          <w:sz w:val="28"/>
          <w:szCs w:val="28"/>
        </w:rPr>
        <w:t>成都市武侯区政府采购中心：</w:t>
      </w:r>
    </w:p>
    <w:p>
      <w:pPr>
        <w:spacing w:line="520" w:lineRule="exact"/>
        <w:ind w:firstLine="566" w:firstLineChars="202"/>
        <w:rPr>
          <w:rFonts w:ascii="宋体" w:hAnsi="宋体"/>
          <w:bCs/>
          <w:sz w:val="28"/>
          <w:szCs w:val="28"/>
        </w:rPr>
      </w:pPr>
      <w:r>
        <w:rPr>
          <w:rFonts w:hint="eastAsia" w:ascii="宋体" w:hAnsi="宋体"/>
          <w:bCs/>
          <w:sz w:val="28"/>
          <w:szCs w:val="28"/>
        </w:rPr>
        <w:t>我方全面研究了“</w:t>
      </w:r>
      <w:r>
        <w:rPr>
          <w:rFonts w:hint="eastAsia" w:ascii="宋体" w:hAnsi="宋体"/>
          <w:b/>
          <w:sz w:val="28"/>
          <w:szCs w:val="28"/>
          <w:u w:val="single"/>
        </w:rPr>
        <w:t xml:space="preserve">XX </w:t>
      </w:r>
      <w:r>
        <w:rPr>
          <w:rFonts w:hint="eastAsia" w:ascii="宋体" w:hAnsi="宋体"/>
          <w:b/>
          <w:bCs/>
          <w:sz w:val="28"/>
          <w:szCs w:val="28"/>
          <w:u w:val="single"/>
        </w:rPr>
        <w:t>”（项目编号：  ）</w:t>
      </w:r>
      <w:r>
        <w:rPr>
          <w:rFonts w:hint="eastAsia" w:ascii="宋体" w:hAnsi="宋体"/>
          <w:bCs/>
          <w:sz w:val="28"/>
          <w:szCs w:val="28"/>
        </w:rPr>
        <w:t>招标文件，决定参加贵单位组织的本项目投标。我方授权</w:t>
      </w:r>
      <w:r>
        <w:rPr>
          <w:rFonts w:hint="eastAsia" w:ascii="宋体" w:hAnsi="宋体"/>
          <w:bCs/>
          <w:sz w:val="28"/>
          <w:szCs w:val="28"/>
          <w:u w:val="single"/>
        </w:rPr>
        <w:t>XXXX（姓名、职务）</w:t>
      </w:r>
      <w:r>
        <w:rPr>
          <w:rFonts w:hint="eastAsia" w:ascii="宋体" w:hAnsi="宋体"/>
          <w:bCs/>
          <w:sz w:val="28"/>
          <w:szCs w:val="28"/>
        </w:rPr>
        <w:t xml:space="preserve">代表我方 </w:t>
      </w:r>
      <w:r>
        <w:rPr>
          <w:rFonts w:hint="eastAsia" w:ascii="宋体" w:hAnsi="宋体"/>
          <w:bCs/>
          <w:sz w:val="28"/>
          <w:szCs w:val="28"/>
          <w:u w:val="single"/>
        </w:rPr>
        <w:t>XXXX（投标人名称）</w:t>
      </w:r>
      <w:r>
        <w:rPr>
          <w:rFonts w:hint="eastAsia" w:ascii="宋体" w:hAnsi="宋体"/>
          <w:bCs/>
          <w:sz w:val="28"/>
          <w:szCs w:val="28"/>
        </w:rPr>
        <w:t>全权处理本项目投标的有关事宜。</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我方自愿按照招标文件规定的各项要求向采购人提供所需</w:t>
      </w:r>
      <w:r>
        <w:rPr>
          <w:rFonts w:hint="eastAsia" w:ascii="宋体" w:hAnsi="宋体"/>
          <w:color w:val="auto"/>
          <w:sz w:val="28"/>
          <w:szCs w:val="28"/>
        </w:rPr>
        <w:t>货物及服务，</w:t>
      </w:r>
      <w:r>
        <w:rPr>
          <w:rFonts w:hint="eastAsia" w:ascii="宋体" w:hAnsi="宋体"/>
          <w:b/>
          <w:sz w:val="28"/>
          <w:szCs w:val="28"/>
        </w:rPr>
        <w:t>投标报价以《开标一览表》为准</w:t>
      </w:r>
      <w:r>
        <w:rPr>
          <w:rFonts w:hint="eastAsia" w:ascii="宋体" w:hAnsi="宋体"/>
          <w:sz w:val="28"/>
          <w:szCs w:val="28"/>
        </w:rPr>
        <w:t>。</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如果我方中标，我方将严格履行合同规定的责任和义务，否则将承担由此产生的一切责任。</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我方已知晓全部招标文件的内容，包括修改文件（如有）以及全部相关资料和有关附件，并对上述文件均无异议。</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投标有效期为从投标截止之日起120天。</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我方愿意提供贵中心可能另外要求的，与投标有关的文件资料，并保证我方已提供和将要提供的文件资料是真实、准确的，并对此承担一切法律后果。</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我单位联系方式：</w:t>
      </w:r>
      <w:r>
        <w:rPr>
          <w:rFonts w:hint="eastAsia" w:ascii="宋体" w:hAnsi="宋体"/>
          <w:sz w:val="28"/>
          <w:szCs w:val="28"/>
          <w:u w:val="single"/>
        </w:rPr>
        <w:t>XXXX</w:t>
      </w:r>
    </w:p>
    <w:p>
      <w:pPr>
        <w:spacing w:line="520" w:lineRule="exact"/>
        <w:ind w:left="420" w:firstLine="566" w:firstLineChars="202"/>
        <w:rPr>
          <w:rFonts w:ascii="宋体" w:hAnsi="宋体"/>
          <w:sz w:val="28"/>
          <w:szCs w:val="28"/>
          <w:u w:val="single"/>
        </w:rPr>
      </w:pPr>
      <w:r>
        <w:rPr>
          <w:rFonts w:hint="eastAsia" w:ascii="宋体" w:hAnsi="宋体"/>
          <w:sz w:val="28"/>
          <w:szCs w:val="28"/>
        </w:rPr>
        <w:t>地    址：</w:t>
      </w:r>
      <w:r>
        <w:rPr>
          <w:rFonts w:hint="eastAsia" w:ascii="宋体" w:hAnsi="宋体"/>
          <w:sz w:val="28"/>
          <w:szCs w:val="28"/>
          <w:u w:val="single"/>
        </w:rPr>
        <w:t>XXXX</w:t>
      </w:r>
    </w:p>
    <w:p>
      <w:pPr>
        <w:spacing w:line="520" w:lineRule="exact"/>
        <w:ind w:left="420" w:firstLine="566" w:firstLineChars="202"/>
        <w:rPr>
          <w:rFonts w:ascii="宋体" w:hAnsi="宋体"/>
          <w:sz w:val="28"/>
          <w:szCs w:val="28"/>
          <w:u w:val="single"/>
        </w:rPr>
      </w:pPr>
      <w:r>
        <w:rPr>
          <w:rFonts w:hint="eastAsia" w:ascii="宋体" w:hAnsi="宋体"/>
          <w:sz w:val="28"/>
          <w:szCs w:val="28"/>
        </w:rPr>
        <w:t>传    真：</w:t>
      </w:r>
      <w:r>
        <w:rPr>
          <w:rFonts w:hint="eastAsia" w:ascii="宋体" w:hAnsi="宋体"/>
          <w:sz w:val="28"/>
          <w:szCs w:val="28"/>
          <w:u w:val="single"/>
        </w:rPr>
        <w:t>XXXX</w:t>
      </w:r>
    </w:p>
    <w:p>
      <w:pPr>
        <w:spacing w:line="520" w:lineRule="exact"/>
        <w:ind w:left="420" w:firstLine="566" w:firstLineChars="202"/>
        <w:rPr>
          <w:rFonts w:ascii="宋体" w:hAnsi="宋体"/>
          <w:sz w:val="28"/>
          <w:szCs w:val="28"/>
          <w:u w:val="single"/>
        </w:rPr>
      </w:pPr>
      <w:r>
        <w:rPr>
          <w:rFonts w:hint="eastAsia" w:ascii="宋体" w:hAnsi="宋体"/>
          <w:sz w:val="28"/>
          <w:szCs w:val="28"/>
        </w:rPr>
        <w:t>邮政编码：</w:t>
      </w:r>
      <w:r>
        <w:rPr>
          <w:rFonts w:hint="eastAsia" w:ascii="宋体" w:hAnsi="宋体"/>
          <w:sz w:val="28"/>
          <w:szCs w:val="28"/>
          <w:u w:val="single"/>
        </w:rPr>
        <w:t>XXXX</w:t>
      </w:r>
    </w:p>
    <w:p>
      <w:pPr>
        <w:spacing w:after="120" w:line="520" w:lineRule="exact"/>
        <w:ind w:left="420" w:leftChars="200" w:firstLine="560" w:firstLine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spacing w:line="520" w:lineRule="exact"/>
        <w:ind w:left="283" w:leftChars="135" w:firstLine="700" w:firstLineChars="250"/>
        <w:rPr>
          <w:rFonts w:ascii="宋体" w:hAnsi="宋体"/>
          <w:bCs/>
          <w:sz w:val="28"/>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bookmarkStart w:id="128" w:name="_Toc240367172"/>
      <w:bookmarkStart w:id="129" w:name="_Toc314574804"/>
      <w:bookmarkStart w:id="130" w:name="_Toc231030275"/>
      <w:bookmarkStart w:id="131" w:name="_Toc265494342"/>
      <w:bookmarkStart w:id="132" w:name="_Toc239846734"/>
      <w:bookmarkStart w:id="133" w:name="_Toc239849853"/>
      <w:bookmarkStart w:id="134" w:name="_Toc240865266"/>
      <w:bookmarkStart w:id="135" w:name="_Toc229802674"/>
      <w:bookmarkStart w:id="136" w:name="_Toc237145395"/>
    </w:p>
    <w:p>
      <w:pPr>
        <w:spacing w:line="520" w:lineRule="exact"/>
        <w:ind w:left="283" w:leftChars="135" w:firstLine="700" w:firstLineChars="250"/>
        <w:rPr>
          <w:rFonts w:ascii="宋体" w:hAnsi="宋体"/>
          <w:bCs/>
          <w:sz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法定代表人身份证明书</w:t>
      </w:r>
    </w:p>
    <w:p>
      <w:pPr>
        <w:tabs>
          <w:tab w:val="left" w:pos="6300"/>
        </w:tabs>
        <w:spacing w:line="360" w:lineRule="auto"/>
        <w:ind w:firstLine="573"/>
        <w:rPr>
          <w:rFonts w:ascii="宋体" w:hAnsi="宋体"/>
          <w:sz w:val="28"/>
          <w:u w:val="single"/>
          <w:lang w:val="zh-CN"/>
        </w:rPr>
      </w:pPr>
    </w:p>
    <w:p>
      <w:pPr>
        <w:tabs>
          <w:tab w:val="left" w:pos="6300"/>
        </w:tabs>
        <w:spacing w:line="360" w:lineRule="auto"/>
        <w:ind w:firstLine="573"/>
        <w:rPr>
          <w:rFonts w:ascii="宋体" w:hAnsi="宋体"/>
          <w:sz w:val="28"/>
          <w:lang w:val="zh-CN"/>
        </w:rPr>
      </w:pPr>
      <w:r>
        <w:rPr>
          <w:rFonts w:hint="eastAsia" w:ascii="宋体" w:hAnsi="宋体"/>
          <w:sz w:val="28"/>
          <w:u w:val="single"/>
          <w:lang w:val="zh-CN"/>
        </w:rPr>
        <w:t>XXXX（法定代表人姓名）</w:t>
      </w:r>
      <w:r>
        <w:rPr>
          <w:rFonts w:hint="eastAsia" w:ascii="宋体" w:hAnsi="宋体"/>
          <w:sz w:val="28"/>
          <w:lang w:val="zh-CN"/>
        </w:rPr>
        <w:t>在</w:t>
      </w:r>
      <w:r>
        <w:rPr>
          <w:rFonts w:hint="eastAsia" w:ascii="宋体" w:hAnsi="宋体"/>
          <w:sz w:val="28"/>
          <w:u w:val="single"/>
          <w:lang w:val="zh-CN"/>
        </w:rPr>
        <w:t>XXXX（投标人名称）</w:t>
      </w:r>
      <w:r>
        <w:rPr>
          <w:rFonts w:hint="eastAsia" w:ascii="宋体" w:hAnsi="宋体"/>
          <w:sz w:val="28"/>
          <w:lang w:val="zh-CN"/>
        </w:rPr>
        <w:t>处任</w:t>
      </w:r>
      <w:r>
        <w:rPr>
          <w:rFonts w:hint="eastAsia" w:ascii="宋体" w:hAnsi="宋体"/>
          <w:sz w:val="28"/>
          <w:u w:val="single"/>
          <w:lang w:val="zh-CN"/>
        </w:rPr>
        <w:t>XXXX（职务名称）</w:t>
      </w:r>
      <w:r>
        <w:rPr>
          <w:rFonts w:hint="eastAsia" w:ascii="宋体" w:hAnsi="宋体"/>
          <w:sz w:val="28"/>
          <w:lang w:val="zh-CN"/>
        </w:rPr>
        <w:t>职务，是</w:t>
      </w:r>
      <w:r>
        <w:rPr>
          <w:rFonts w:hint="eastAsia" w:ascii="宋体" w:hAnsi="宋体"/>
          <w:sz w:val="28"/>
          <w:u w:val="single"/>
          <w:lang w:val="zh-CN"/>
        </w:rPr>
        <w:t>XXXX（投标人名称）</w:t>
      </w:r>
      <w:r>
        <w:rPr>
          <w:rFonts w:hint="eastAsia" w:ascii="宋体" w:hAnsi="宋体"/>
          <w:sz w:val="28"/>
          <w:lang w:val="zh-CN"/>
        </w:rPr>
        <w:t>的法定代表人。</w:t>
      </w: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bookmarkStart w:id="137" w:name="_Toc263768866"/>
      <w:r>
        <w:rPr>
          <w:rFonts w:hint="eastAsia" w:ascii="宋体" w:hAnsi="宋体"/>
          <w:sz w:val="28"/>
          <w:lang w:val="zh-CN"/>
        </w:rPr>
        <w:t>特此证明。</w:t>
      </w:r>
      <w:bookmarkEnd w:id="137"/>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spacing w:line="360" w:lineRule="auto"/>
        <w:rPr>
          <w:rFonts w:ascii="宋体" w:hAnsi="宋体"/>
          <w:sz w:val="28"/>
          <w:lang w:val="zh-CN"/>
        </w:rPr>
      </w:pPr>
      <w:r>
        <w:rPr>
          <w:rFonts w:hint="eastAsia" w:ascii="宋体" w:hAnsi="宋体"/>
          <w:sz w:val="28"/>
          <w:lang w:val="zh-CN"/>
        </w:rPr>
        <w:t>投标人名称：</w:t>
      </w:r>
      <w:r>
        <w:rPr>
          <w:rFonts w:hint="eastAsia" w:ascii="宋体" w:hAnsi="宋体"/>
          <w:sz w:val="28"/>
          <w:u w:val="single"/>
          <w:lang w:val="zh-CN"/>
        </w:rPr>
        <w:t>XXXX</w:t>
      </w:r>
    </w:p>
    <w:p>
      <w:pPr>
        <w:spacing w:line="360" w:lineRule="auto"/>
        <w:rPr>
          <w:rFonts w:ascii="宋体" w:hAnsi="宋体"/>
          <w:b/>
          <w:sz w:val="28"/>
          <w:u w:val="single"/>
          <w:lang w:val="zh-CN"/>
        </w:rPr>
      </w:pPr>
      <w:r>
        <w:rPr>
          <w:rFonts w:hint="eastAsia" w:ascii="宋体" w:hAnsi="宋体"/>
          <w:sz w:val="28"/>
        </w:rPr>
        <w:t>日期：</w:t>
      </w:r>
      <w:r>
        <w:rPr>
          <w:rFonts w:hint="eastAsia" w:ascii="宋体" w:hAnsi="宋体"/>
          <w:bCs/>
          <w:sz w:val="28"/>
        </w:rPr>
        <w:t>20</w:t>
      </w:r>
      <w:r>
        <w:rPr>
          <w:rFonts w:hint="eastAsia" w:ascii="宋体" w:hAnsi="宋体"/>
          <w:sz w:val="28"/>
          <w:lang w:val="zh-CN"/>
        </w:rPr>
        <w:t>2</w:t>
      </w:r>
      <w:r>
        <w:rPr>
          <w:rFonts w:hint="eastAsia" w:ascii="宋体" w:hAnsi="宋体"/>
          <w:sz w:val="28"/>
          <w:u w:val="single"/>
          <w:lang w:val="zh-CN"/>
        </w:rPr>
        <w:t>X</w:t>
      </w:r>
      <w:r>
        <w:rPr>
          <w:rFonts w:hint="eastAsia" w:ascii="宋体" w:hAnsi="宋体"/>
          <w:bCs/>
          <w:sz w:val="28"/>
        </w:rPr>
        <w:t>年</w:t>
      </w:r>
      <w:r>
        <w:rPr>
          <w:rFonts w:hint="eastAsia" w:ascii="宋体" w:hAnsi="宋体"/>
          <w:sz w:val="28"/>
          <w:u w:val="single"/>
          <w:lang w:val="zh-CN"/>
        </w:rPr>
        <w:t>XX</w:t>
      </w:r>
      <w:r>
        <w:rPr>
          <w:rFonts w:hint="eastAsia" w:ascii="宋体" w:hAnsi="宋体"/>
          <w:bCs/>
          <w:sz w:val="28"/>
        </w:rPr>
        <w:t>月</w:t>
      </w:r>
      <w:r>
        <w:rPr>
          <w:rFonts w:hint="eastAsia" w:ascii="宋体" w:hAnsi="宋体"/>
          <w:sz w:val="28"/>
          <w:u w:val="single"/>
          <w:lang w:val="zh-CN"/>
        </w:rPr>
        <w:t>XX</w:t>
      </w:r>
      <w:r>
        <w:rPr>
          <w:rFonts w:hint="eastAsia" w:ascii="宋体" w:hAnsi="宋体"/>
          <w:bCs/>
          <w:sz w:val="28"/>
        </w:rPr>
        <w:t>日</w:t>
      </w:r>
    </w:p>
    <w:p>
      <w:pPr>
        <w:spacing w:after="180" w:line="360" w:lineRule="auto"/>
        <w:ind w:firstLine="568" w:firstLineChars="202"/>
        <w:rPr>
          <w:rFonts w:ascii="宋体" w:hAnsi="宋体"/>
          <w:b/>
          <w:sz w:val="28"/>
          <w:szCs w:val="28"/>
        </w:rPr>
      </w:pPr>
    </w:p>
    <w:p>
      <w:pPr>
        <w:spacing w:after="180" w:line="360" w:lineRule="auto"/>
        <w:ind w:firstLine="568" w:firstLineChars="202"/>
        <w:rPr>
          <w:rFonts w:ascii="宋体" w:hAnsi="宋体"/>
          <w:b/>
          <w:sz w:val="28"/>
          <w:szCs w:val="28"/>
        </w:rPr>
      </w:pPr>
      <w:r>
        <w:rPr>
          <w:rFonts w:hint="eastAsia" w:ascii="宋体" w:hAnsi="宋体"/>
          <w:b/>
          <w:sz w:val="28"/>
          <w:szCs w:val="28"/>
        </w:rPr>
        <w:t>说明：上述证明文件在投标文件中附有法定代表人身份证复印件（身份证两面均应复印）或护照复印件（投标人的法定代表人为外籍人士的，则提供护照复印件）时才能生效。</w:t>
      </w:r>
    </w:p>
    <w:p>
      <w:pPr>
        <w:spacing w:after="180" w:line="360" w:lineRule="auto"/>
        <w:ind w:firstLine="568" w:firstLineChars="202"/>
        <w:rPr>
          <w:rFonts w:ascii="宋体" w:hAnsi="宋体"/>
          <w:b/>
          <w:sz w:val="28"/>
          <w:szCs w:val="28"/>
        </w:rPr>
      </w:pPr>
    </w:p>
    <w:bookmarkEnd w:id="128"/>
    <w:bookmarkEnd w:id="129"/>
    <w:bookmarkEnd w:id="130"/>
    <w:bookmarkEnd w:id="131"/>
    <w:bookmarkEnd w:id="132"/>
    <w:bookmarkEnd w:id="133"/>
    <w:bookmarkEnd w:id="134"/>
    <w:bookmarkEnd w:id="135"/>
    <w:bookmarkEnd w:id="136"/>
    <w:p>
      <w:pPr>
        <w:keepNext/>
        <w:keepLines/>
        <w:numPr>
          <w:ilvl w:val="2"/>
          <w:numId w:val="5"/>
        </w:numPr>
        <w:spacing w:line="360" w:lineRule="auto"/>
        <w:ind w:left="3119" w:hanging="3119"/>
        <w:outlineLvl w:val="2"/>
        <w:rPr>
          <w:rFonts w:ascii="宋体" w:hAnsi="宋体"/>
          <w:b/>
          <w:bCs/>
          <w:sz w:val="28"/>
          <w:szCs w:val="28"/>
        </w:rPr>
      </w:pPr>
      <w:bookmarkStart w:id="138" w:name="_Toc315871054"/>
      <w:bookmarkEnd w:id="138"/>
      <w:bookmarkStart w:id="139" w:name="_Toc302997926"/>
      <w:bookmarkStart w:id="140" w:name="_Toc263753605"/>
      <w:bookmarkStart w:id="141" w:name="_Toc263768870"/>
      <w:bookmarkStart w:id="142" w:name="_Toc220299393"/>
      <w:bookmarkStart w:id="143" w:name="_Toc217446083"/>
      <w:r>
        <w:rPr>
          <w:rFonts w:hint="eastAsia" w:ascii="宋体" w:hAnsi="宋体"/>
          <w:b/>
          <w:bCs/>
          <w:sz w:val="28"/>
          <w:szCs w:val="28"/>
        </w:rPr>
        <w:t>投标人基本情况表</w:t>
      </w:r>
      <w:bookmarkEnd w:id="139"/>
    </w:p>
    <w:tbl>
      <w:tblPr>
        <w:tblStyle w:val="46"/>
        <w:tblW w:w="852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6"/>
        <w:gridCol w:w="978"/>
        <w:gridCol w:w="1215"/>
        <w:gridCol w:w="1248"/>
        <w:gridCol w:w="8"/>
        <w:gridCol w:w="1318"/>
        <w:gridCol w:w="160"/>
        <w:gridCol w:w="1012"/>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doub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投标人名称</w:t>
            </w:r>
          </w:p>
        </w:tc>
        <w:tc>
          <w:tcPr>
            <w:tcW w:w="7006" w:type="dxa"/>
            <w:gridSpan w:val="8"/>
            <w:tcBorders>
              <w:top w:val="doub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注册地址</w:t>
            </w:r>
          </w:p>
        </w:tc>
        <w:tc>
          <w:tcPr>
            <w:tcW w:w="3449"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邮政编码</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vMerge w:val="restart"/>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联系方式</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联系人</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48" w:hRule="atLeast"/>
          <w:jc w:val="center"/>
        </w:trPr>
        <w:tc>
          <w:tcPr>
            <w:tcW w:w="1516" w:type="dxa"/>
            <w:vMerge w:val="continue"/>
            <w:tcBorders>
              <w:top w:val="single" w:color="auto" w:sz="6" w:space="0"/>
              <w:left w:val="double" w:color="auto" w:sz="4" w:space="0"/>
              <w:bottom w:val="single" w:color="auto" w:sz="6" w:space="0"/>
              <w:right w:val="single" w:color="auto" w:sz="6" w:space="0"/>
            </w:tcBorders>
            <w:vAlign w:val="center"/>
          </w:tcPr>
          <w:p>
            <w:pPr>
              <w:rPr>
                <w:rFonts w:ascii="宋体" w:hAnsi="宋体"/>
                <w:szCs w:val="21"/>
              </w:rPr>
            </w:pP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传真</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网址</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单位性质</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法定代表人</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2" w:hRule="atLeast"/>
          <w:jc w:val="center"/>
        </w:trPr>
        <w:tc>
          <w:tcPr>
            <w:tcW w:w="1516" w:type="dxa"/>
            <w:tcBorders>
              <w:top w:val="single" w:color="auto" w:sz="6" w:space="0"/>
              <w:left w:val="double" w:color="auto" w:sz="4"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技术负责人</w:t>
            </w:r>
          </w:p>
        </w:tc>
        <w:tc>
          <w:tcPr>
            <w:tcW w:w="97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8" w:hRule="atLeast"/>
          <w:jc w:val="center"/>
        </w:trPr>
        <w:tc>
          <w:tcPr>
            <w:tcW w:w="1516" w:type="dxa"/>
            <w:tcBorders>
              <w:top w:val="sing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财务负责人</w:t>
            </w:r>
          </w:p>
        </w:tc>
        <w:tc>
          <w:tcPr>
            <w:tcW w:w="97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成立时间</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4813" w:type="dxa"/>
            <w:gridSpan w:val="6"/>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ind w:firstLine="1470" w:firstLineChars="700"/>
              <w:rPr>
                <w:rFonts w:ascii="宋体" w:hAnsi="宋体"/>
                <w:szCs w:val="21"/>
              </w:rPr>
            </w:pPr>
            <w:r>
              <w:rPr>
                <w:rFonts w:hint="eastAsia" w:ascii="宋体" w:hAnsi="宋体"/>
                <w:szCs w:val="21"/>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企业资质等级</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其中</w:t>
            </w: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项目经理</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营业执照号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高级职称人员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注册资金</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中级职称人员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开户银行</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初级职称人员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账号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技工</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经营范围</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2" w:hRule="atLeast"/>
          <w:jc w:val="center"/>
        </w:trPr>
        <w:tc>
          <w:tcPr>
            <w:tcW w:w="1516" w:type="dxa"/>
            <w:tcBorders>
              <w:top w:val="single" w:color="auto" w:sz="6" w:space="0"/>
              <w:left w:val="double" w:color="auto" w:sz="4" w:space="0"/>
              <w:bottom w:val="double" w:color="auto" w:sz="4" w:space="0"/>
              <w:right w:val="single" w:color="auto" w:sz="6" w:space="0"/>
            </w:tcBorders>
          </w:tcPr>
          <w:p>
            <w:pPr>
              <w:autoSpaceDE w:val="0"/>
              <w:autoSpaceDN w:val="0"/>
              <w:adjustRightInd w:val="0"/>
              <w:spacing w:line="400" w:lineRule="exact"/>
              <w:jc w:val="center"/>
              <w:rPr>
                <w:rFonts w:ascii="宋体" w:hAnsi="宋体"/>
                <w:szCs w:val="21"/>
              </w:rPr>
            </w:pPr>
            <w:r>
              <w:rPr>
                <w:rFonts w:hint="eastAsia" w:ascii="宋体" w:hAnsi="宋体"/>
                <w:szCs w:val="21"/>
              </w:rPr>
              <w:t>备注</w:t>
            </w:r>
          </w:p>
        </w:tc>
        <w:tc>
          <w:tcPr>
            <w:tcW w:w="7006" w:type="dxa"/>
            <w:gridSpan w:val="8"/>
            <w:tcBorders>
              <w:top w:val="single" w:color="auto" w:sz="6" w:space="0"/>
              <w:left w:val="single" w:color="auto" w:sz="6" w:space="0"/>
              <w:bottom w:val="double" w:color="auto" w:sz="4" w:space="0"/>
              <w:right w:val="double" w:color="auto" w:sz="4" w:space="0"/>
            </w:tcBorders>
          </w:tcPr>
          <w:p>
            <w:pPr>
              <w:autoSpaceDE w:val="0"/>
              <w:autoSpaceDN w:val="0"/>
              <w:adjustRightInd w:val="0"/>
              <w:spacing w:line="400" w:lineRule="exact"/>
              <w:rPr>
                <w:rFonts w:ascii="宋体" w:hAnsi="宋体"/>
                <w:szCs w:val="21"/>
              </w:rPr>
            </w:pPr>
          </w:p>
        </w:tc>
      </w:tr>
    </w:tbl>
    <w:p>
      <w:pPr>
        <w:adjustRightInd w:val="0"/>
        <w:spacing w:line="400" w:lineRule="exact"/>
        <w:rPr>
          <w:rFonts w:ascii="宋体" w:hAnsi="宋体"/>
          <w:bCs/>
          <w:sz w:val="28"/>
          <w:szCs w:val="28"/>
        </w:rPr>
      </w:pPr>
    </w:p>
    <w:p>
      <w:pPr>
        <w:spacing w:after="120" w:line="360" w:lineRule="auto"/>
        <w:ind w:left="420" w:leftChars="200" w:firstLine="288" w:firstLineChars="103"/>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ab/>
      </w:r>
      <w:r>
        <w:rPr>
          <w:rFonts w:hint="eastAsia" w:ascii="宋体" w:hAnsi="宋体"/>
          <w:bCs/>
          <w:sz w:val="28"/>
          <w:szCs w:val="28"/>
          <w:u w:val="single"/>
        </w:rPr>
        <w:t>XXXX</w:t>
      </w:r>
    </w:p>
    <w:p>
      <w:pPr>
        <w:adjustRightInd w:val="0"/>
        <w:spacing w:line="400" w:lineRule="exact"/>
        <w:ind w:firstLine="700" w:firstLineChars="2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700" w:firstLineChars="250"/>
        <w:rPr>
          <w:rFonts w:ascii="宋体" w:hAnsi="宋体"/>
          <w:bCs/>
          <w:sz w:val="28"/>
          <w:u w:val="single"/>
        </w:rPr>
      </w:pPr>
    </w:p>
    <w:bookmarkEnd w:id="140"/>
    <w:bookmarkEnd w:id="141"/>
    <w:bookmarkEnd w:id="142"/>
    <w:p>
      <w:pPr>
        <w:keepNext/>
        <w:keepLines/>
        <w:numPr>
          <w:ilvl w:val="2"/>
          <w:numId w:val="5"/>
        </w:numPr>
        <w:spacing w:line="360" w:lineRule="auto"/>
        <w:ind w:left="142" w:hanging="142"/>
        <w:outlineLvl w:val="2"/>
        <w:rPr>
          <w:rFonts w:ascii="宋体" w:hAnsi="宋体"/>
          <w:b/>
          <w:bCs/>
          <w:sz w:val="28"/>
          <w:szCs w:val="28"/>
        </w:rPr>
      </w:pPr>
      <w:bookmarkStart w:id="144" w:name="_Toc263753619"/>
      <w:bookmarkStart w:id="145" w:name="_Toc263768877"/>
      <w:bookmarkStart w:id="146" w:name="_Toc302997928"/>
      <w:r>
        <w:rPr>
          <w:rFonts w:hint="eastAsia" w:ascii="宋体" w:hAnsi="宋体"/>
          <w:b/>
          <w:bCs/>
          <w:sz w:val="28"/>
          <w:szCs w:val="28"/>
        </w:rPr>
        <w:t>投标产品技术性能、技术参数和配置的详细描述</w:t>
      </w:r>
    </w:p>
    <w:p>
      <w:pPr>
        <w:snapToGrid w:val="0"/>
        <w:spacing w:line="360" w:lineRule="auto"/>
        <w:ind w:right="-624" w:rightChars="-297"/>
        <w:rPr>
          <w:rFonts w:ascii="宋体" w:hAnsi="宋体"/>
          <w:b/>
          <w:sz w:val="28"/>
        </w:rPr>
      </w:pPr>
      <w:r>
        <w:rPr>
          <w:rFonts w:hint="eastAsia" w:ascii="宋体" w:hAnsi="宋体"/>
          <w:b/>
          <w:sz w:val="28"/>
        </w:rPr>
        <w:t>项目名称：</w:t>
      </w:r>
      <w:r>
        <w:rPr>
          <w:rFonts w:hint="eastAsia" w:ascii="宋体" w:hAnsi="宋体"/>
          <w:b/>
          <w:sz w:val="28"/>
          <w:u w:val="single"/>
        </w:rPr>
        <w:t>XX</w:t>
      </w:r>
    </w:p>
    <w:p>
      <w:pPr>
        <w:snapToGrid w:val="0"/>
        <w:spacing w:line="360" w:lineRule="auto"/>
        <w:ind w:right="-624" w:rightChars="-297"/>
        <w:rPr>
          <w:rFonts w:ascii="宋体" w:hAnsi="宋体"/>
        </w:rPr>
      </w:pPr>
      <w:r>
        <w:rPr>
          <w:rFonts w:hint="eastAsia" w:ascii="宋体" w:hAnsi="宋体"/>
          <w:b/>
          <w:sz w:val="28"/>
        </w:rPr>
        <w:t>项目编号：</w:t>
      </w:r>
      <w:r>
        <w:rPr>
          <w:rFonts w:hint="eastAsia" w:ascii="宋体" w:hAnsi="宋体"/>
          <w:b/>
          <w:sz w:val="28"/>
          <w:szCs w:val="28"/>
          <w:u w:val="single"/>
        </w:rPr>
        <w:t>XX</w:t>
      </w:r>
    </w:p>
    <w:p>
      <w:pPr>
        <w:spacing w:line="360" w:lineRule="auto"/>
        <w:rPr>
          <w:rFonts w:ascii="宋体" w:hAnsi="宋体"/>
          <w:b/>
          <w:sz w:val="28"/>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u w:val="single"/>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rPr>
          <w:rFonts w:ascii="宋体" w:hAnsi="宋体"/>
          <w:bCs/>
          <w:sz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售后服务及承诺</w:t>
      </w:r>
      <w:bookmarkEnd w:id="144"/>
      <w:bookmarkEnd w:id="145"/>
      <w:bookmarkEnd w:id="146"/>
    </w:p>
    <w:p>
      <w:pPr>
        <w:snapToGrid w:val="0"/>
        <w:spacing w:line="360" w:lineRule="auto"/>
        <w:ind w:right="-624" w:rightChars="-297"/>
        <w:rPr>
          <w:rFonts w:ascii="宋体" w:hAnsi="宋体"/>
          <w:b/>
          <w:sz w:val="28"/>
          <w:szCs w:val="28"/>
        </w:rPr>
      </w:pPr>
      <w:r>
        <w:rPr>
          <w:rFonts w:hint="eastAsia" w:ascii="宋体" w:hAnsi="宋体"/>
          <w:b/>
          <w:sz w:val="28"/>
        </w:rPr>
        <w:t>项目名称：</w:t>
      </w:r>
      <w:r>
        <w:rPr>
          <w:rFonts w:hint="eastAsia" w:ascii="宋体" w:hAnsi="宋体"/>
          <w:b/>
          <w:sz w:val="28"/>
          <w:szCs w:val="28"/>
          <w:u w:val="single"/>
        </w:rPr>
        <w:t>XX</w:t>
      </w:r>
    </w:p>
    <w:p>
      <w:pPr>
        <w:snapToGrid w:val="0"/>
        <w:spacing w:line="360" w:lineRule="auto"/>
        <w:ind w:right="-624" w:rightChars="-297"/>
        <w:rPr>
          <w:rFonts w:ascii="宋体" w:hAnsi="宋体"/>
          <w:b/>
          <w:sz w:val="28"/>
        </w:rPr>
      </w:pPr>
      <w:r>
        <w:rPr>
          <w:rFonts w:hint="eastAsia" w:ascii="宋体" w:hAnsi="宋体"/>
          <w:b/>
          <w:sz w:val="28"/>
        </w:rPr>
        <w:t>项目编号：</w:t>
      </w:r>
      <w:r>
        <w:rPr>
          <w:rFonts w:hint="eastAsia" w:ascii="宋体" w:hAnsi="宋体"/>
          <w:b/>
          <w:sz w:val="28"/>
          <w:u w:val="single"/>
        </w:rPr>
        <w:t>XX</w:t>
      </w:r>
    </w:p>
    <w:p>
      <w:pPr>
        <w:tabs>
          <w:tab w:val="left" w:pos="720"/>
        </w:tabs>
        <w:spacing w:line="360" w:lineRule="auto"/>
        <w:ind w:firstLine="560" w:firstLineChars="200"/>
        <w:rPr>
          <w:rFonts w:ascii="宋体" w:hAnsi="宋体"/>
          <w:sz w:val="28"/>
        </w:rPr>
      </w:pPr>
      <w:r>
        <w:rPr>
          <w:rFonts w:hint="eastAsia" w:ascii="宋体" w:hAnsi="宋体"/>
          <w:sz w:val="28"/>
        </w:rPr>
        <w:t>一、验收标准</w:t>
      </w:r>
    </w:p>
    <w:p>
      <w:pPr>
        <w:spacing w:line="360" w:lineRule="auto"/>
        <w:ind w:firstLine="566" w:firstLineChars="202"/>
        <w:rPr>
          <w:rFonts w:ascii="宋体" w:hAnsi="宋体"/>
          <w:sz w:val="28"/>
        </w:rPr>
      </w:pPr>
      <w:r>
        <w:rPr>
          <w:rFonts w:hint="eastAsia" w:ascii="宋体" w:hAnsi="宋体"/>
          <w:sz w:val="28"/>
        </w:rPr>
        <w:t xml:space="preserve">    （投标人应提出详细的验收程序和所执行的验收标准）</w:t>
      </w:r>
    </w:p>
    <w:p>
      <w:pPr>
        <w:spacing w:line="360" w:lineRule="auto"/>
        <w:ind w:firstLine="566" w:firstLineChars="202"/>
        <w:rPr>
          <w:rFonts w:ascii="宋体" w:hAnsi="宋体"/>
          <w:sz w:val="28"/>
        </w:rPr>
      </w:pPr>
    </w:p>
    <w:p>
      <w:pPr>
        <w:spacing w:line="360" w:lineRule="auto"/>
        <w:ind w:firstLine="566" w:firstLineChars="202"/>
        <w:rPr>
          <w:rFonts w:ascii="宋体" w:hAnsi="宋体"/>
          <w:sz w:val="28"/>
        </w:rPr>
      </w:pPr>
      <w:r>
        <w:rPr>
          <w:rFonts w:hint="eastAsia" w:ascii="宋体" w:hAnsi="宋体"/>
          <w:sz w:val="28"/>
        </w:rPr>
        <w:t>二、交货进度计划及保障措施</w:t>
      </w:r>
    </w:p>
    <w:p>
      <w:pPr>
        <w:spacing w:line="360" w:lineRule="auto"/>
        <w:ind w:firstLine="566" w:firstLineChars="202"/>
        <w:rPr>
          <w:rFonts w:ascii="宋体" w:hAnsi="宋体"/>
          <w:sz w:val="28"/>
        </w:rPr>
      </w:pPr>
    </w:p>
    <w:p>
      <w:pPr>
        <w:spacing w:line="360" w:lineRule="auto"/>
        <w:ind w:firstLine="566" w:firstLineChars="202"/>
        <w:rPr>
          <w:rFonts w:ascii="宋体" w:hAnsi="宋体"/>
          <w:sz w:val="28"/>
        </w:rPr>
      </w:pPr>
    </w:p>
    <w:p>
      <w:pPr>
        <w:tabs>
          <w:tab w:val="left" w:pos="720"/>
        </w:tabs>
        <w:spacing w:line="360" w:lineRule="auto"/>
        <w:ind w:firstLine="560" w:firstLineChars="200"/>
        <w:rPr>
          <w:rFonts w:ascii="宋体" w:hAnsi="宋体"/>
          <w:sz w:val="28"/>
        </w:rPr>
      </w:pPr>
      <w:r>
        <w:rPr>
          <w:rFonts w:hint="eastAsia" w:ascii="宋体" w:hAnsi="宋体"/>
          <w:sz w:val="28"/>
        </w:rPr>
        <w:t>三、售后服务承诺</w:t>
      </w:r>
    </w:p>
    <w:p>
      <w:pPr>
        <w:ind w:firstLine="566" w:firstLineChars="202"/>
        <w:rPr>
          <w:rFonts w:ascii="宋体" w:hAnsi="宋体"/>
          <w:sz w:val="28"/>
        </w:rPr>
      </w:pPr>
      <w:r>
        <w:rPr>
          <w:rFonts w:hint="eastAsia" w:ascii="宋体" w:hAnsi="宋体"/>
          <w:sz w:val="28"/>
        </w:rPr>
        <w:t>（售后服务承诺应包括但不限于以下内容）</w:t>
      </w:r>
    </w:p>
    <w:p>
      <w:pPr>
        <w:spacing w:line="400" w:lineRule="exact"/>
        <w:ind w:firstLine="560" w:firstLineChars="200"/>
        <w:rPr>
          <w:rFonts w:ascii="宋体" w:hAnsi="宋体"/>
          <w:sz w:val="28"/>
        </w:rPr>
      </w:pPr>
      <w:r>
        <w:rPr>
          <w:rFonts w:hint="eastAsia" w:ascii="宋体" w:hAnsi="宋体"/>
          <w:sz w:val="28"/>
        </w:rPr>
        <w:t>（一）产品制造厂家或投标人设立的售后服务机构网点清单、服务电话和维修人员名单；</w:t>
      </w:r>
    </w:p>
    <w:p>
      <w:pPr>
        <w:spacing w:line="400" w:lineRule="exact"/>
        <w:ind w:firstLine="560" w:firstLineChars="200"/>
        <w:rPr>
          <w:rFonts w:ascii="宋体" w:hAnsi="宋体"/>
          <w:sz w:val="28"/>
        </w:rPr>
      </w:pPr>
      <w:r>
        <w:rPr>
          <w:rFonts w:hint="eastAsia" w:ascii="宋体" w:hAnsi="宋体"/>
          <w:sz w:val="28"/>
        </w:rPr>
        <w:t>（二）说明投标产品的保修时间、保修期内的保修内容与范围、维修响应时间等；</w:t>
      </w:r>
    </w:p>
    <w:p>
      <w:pPr>
        <w:ind w:firstLine="566" w:firstLineChars="202"/>
        <w:rPr>
          <w:rFonts w:ascii="宋体" w:hAnsi="宋体"/>
          <w:sz w:val="28"/>
        </w:rPr>
      </w:pPr>
      <w:r>
        <w:rPr>
          <w:rFonts w:hint="eastAsia" w:ascii="宋体" w:hAnsi="宋体"/>
          <w:sz w:val="28"/>
        </w:rPr>
        <w:t>（三）……</w:t>
      </w:r>
    </w:p>
    <w:p>
      <w:pPr>
        <w:ind w:firstLine="566" w:firstLineChars="202"/>
        <w:rPr>
          <w:rFonts w:ascii="宋体" w:hAnsi="宋体"/>
          <w:sz w:val="28"/>
        </w:rPr>
      </w:pPr>
      <w:r>
        <w:rPr>
          <w:rFonts w:hint="eastAsia" w:ascii="宋体" w:hAnsi="宋体"/>
          <w:sz w:val="28"/>
        </w:rPr>
        <w:t>四、技术支持的能力及方案</w:t>
      </w:r>
    </w:p>
    <w:p>
      <w:pPr>
        <w:ind w:firstLine="566" w:firstLineChars="202"/>
        <w:rPr>
          <w:rFonts w:ascii="宋体" w:hAnsi="宋体"/>
          <w:sz w:val="28"/>
        </w:rPr>
      </w:pPr>
    </w:p>
    <w:p>
      <w:pPr>
        <w:ind w:firstLine="566" w:firstLineChars="202"/>
        <w:rPr>
          <w:rFonts w:ascii="宋体" w:hAnsi="宋体"/>
          <w:sz w:val="28"/>
        </w:rPr>
      </w:pPr>
    </w:p>
    <w:p>
      <w:pPr>
        <w:tabs>
          <w:tab w:val="left" w:pos="720"/>
        </w:tabs>
        <w:ind w:firstLine="560" w:firstLineChars="200"/>
        <w:rPr>
          <w:rFonts w:ascii="宋体" w:hAnsi="宋体"/>
          <w:sz w:val="28"/>
        </w:rPr>
      </w:pPr>
      <w:r>
        <w:rPr>
          <w:rFonts w:hint="eastAsia" w:ascii="宋体" w:hAnsi="宋体"/>
          <w:sz w:val="28"/>
        </w:rPr>
        <w:t>五、其他说明的内容</w:t>
      </w:r>
      <w:bookmarkEnd w:id="143"/>
      <w:bookmarkStart w:id="147" w:name="_Toc316475719"/>
    </w:p>
    <w:p>
      <w:pPr>
        <w:ind w:firstLine="566" w:firstLineChars="202"/>
        <w:rPr>
          <w:rFonts w:ascii="宋体" w:hAnsi="宋体"/>
          <w:sz w:val="28"/>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u w:val="single"/>
        </w:rPr>
      </w:pPr>
    </w:p>
    <w:p>
      <w:pPr>
        <w:ind w:firstLine="566" w:firstLineChars="202"/>
        <w:rPr>
          <w:rFonts w:ascii="宋体" w:hAnsi="宋体"/>
          <w:bCs/>
          <w:sz w:val="28"/>
          <w:szCs w:val="28"/>
        </w:rPr>
      </w:pPr>
    </w:p>
    <w:p>
      <w:pPr>
        <w:rPr>
          <w:rFonts w:ascii="宋体" w:hAnsi="宋体"/>
          <w:bCs/>
          <w:sz w:val="28"/>
          <w:szCs w:val="28"/>
        </w:rPr>
      </w:pPr>
    </w:p>
    <w:p>
      <w:pPr>
        <w:keepNext/>
        <w:keepLines/>
        <w:numPr>
          <w:ilvl w:val="2"/>
          <w:numId w:val="5"/>
        </w:numPr>
        <w:spacing w:line="360" w:lineRule="auto"/>
        <w:outlineLvl w:val="2"/>
        <w:rPr>
          <w:rFonts w:ascii="宋体" w:hAnsi="宋体"/>
          <w:b/>
          <w:bCs/>
          <w:sz w:val="28"/>
          <w:szCs w:val="28"/>
        </w:rPr>
      </w:pPr>
      <w:r>
        <w:rPr>
          <w:rFonts w:hint="eastAsia" w:ascii="宋体" w:hAnsi="宋体"/>
          <w:b/>
          <w:bCs/>
          <w:sz w:val="28"/>
          <w:szCs w:val="28"/>
        </w:rPr>
        <w:t>项目实施方案</w:t>
      </w:r>
    </w:p>
    <w:p>
      <w:pPr>
        <w:snapToGrid w:val="0"/>
        <w:spacing w:line="360" w:lineRule="auto"/>
        <w:ind w:right="-624" w:rightChars="-297"/>
        <w:rPr>
          <w:rFonts w:ascii="宋体" w:hAnsi="宋体"/>
          <w:b/>
          <w:sz w:val="28"/>
          <w:szCs w:val="28"/>
        </w:rPr>
      </w:pPr>
      <w:r>
        <w:rPr>
          <w:rFonts w:hint="eastAsia" w:ascii="宋体" w:hAnsi="宋体"/>
          <w:b/>
          <w:sz w:val="28"/>
          <w:szCs w:val="28"/>
        </w:rPr>
        <w:t>项目名称：</w:t>
      </w:r>
      <w:r>
        <w:rPr>
          <w:rFonts w:hint="eastAsia" w:ascii="宋体" w:hAnsi="宋体"/>
          <w:b/>
          <w:sz w:val="28"/>
          <w:szCs w:val="28"/>
          <w:u w:val="single"/>
        </w:rPr>
        <w:t>XX</w:t>
      </w:r>
    </w:p>
    <w:p>
      <w:pPr>
        <w:snapToGrid w:val="0"/>
        <w:spacing w:line="360" w:lineRule="auto"/>
        <w:rPr>
          <w:rFonts w:ascii="宋体" w:hAnsi="宋体"/>
          <w:b/>
          <w:sz w:val="28"/>
          <w:szCs w:val="28"/>
        </w:rPr>
      </w:pPr>
      <w:r>
        <w:rPr>
          <w:rFonts w:hint="eastAsia" w:ascii="宋体" w:hAnsi="宋体"/>
          <w:b/>
          <w:sz w:val="28"/>
          <w:szCs w:val="28"/>
        </w:rPr>
        <w:t>项目编号：</w:t>
      </w:r>
      <w:r>
        <w:rPr>
          <w:rFonts w:hint="eastAsia" w:ascii="宋体" w:hAnsi="宋体"/>
          <w:b/>
          <w:sz w:val="28"/>
          <w:u w:val="single"/>
        </w:rPr>
        <w:t>XX</w:t>
      </w: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2021年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u w:val="single"/>
        </w:rPr>
      </w:pPr>
    </w:p>
    <w:p>
      <w:pPr>
        <w:adjustRightInd w:val="0"/>
        <w:spacing w:line="400" w:lineRule="exact"/>
        <w:ind w:firstLine="420" w:firstLineChars="150"/>
        <w:rPr>
          <w:rFonts w:ascii="宋体" w:hAnsi="宋体"/>
          <w:bCs/>
          <w:sz w:val="28"/>
          <w:u w:val="single"/>
        </w:rPr>
      </w:pPr>
    </w:p>
    <w:p>
      <w:pPr>
        <w:rPr>
          <w:rFonts w:ascii="宋体" w:hAnsi="宋体"/>
          <w:bCs/>
          <w:sz w:val="28"/>
          <w:szCs w:val="28"/>
        </w:rPr>
      </w:pPr>
    </w:p>
    <w:p>
      <w:pPr>
        <w:keepNext/>
        <w:keepLines/>
        <w:numPr>
          <w:ilvl w:val="2"/>
          <w:numId w:val="5"/>
        </w:numPr>
        <w:spacing w:line="560" w:lineRule="exact"/>
        <w:outlineLvl w:val="2"/>
        <w:rPr>
          <w:rFonts w:ascii="宋体" w:hAnsi="宋体"/>
          <w:b/>
          <w:sz w:val="28"/>
          <w:szCs w:val="28"/>
        </w:rPr>
      </w:pPr>
      <w:r>
        <w:rPr>
          <w:rFonts w:hint="eastAsia" w:ascii="宋体" w:hAnsi="宋体"/>
          <w:b/>
          <w:sz w:val="28"/>
          <w:szCs w:val="28"/>
        </w:rPr>
        <w:t>承诺函</w:t>
      </w:r>
    </w:p>
    <w:p>
      <w:pPr>
        <w:snapToGrid w:val="0"/>
        <w:spacing w:line="560" w:lineRule="exact"/>
        <w:rPr>
          <w:rFonts w:ascii="宋体" w:hAnsi="宋体"/>
          <w:b/>
          <w:sz w:val="28"/>
          <w:szCs w:val="28"/>
        </w:rPr>
      </w:pPr>
      <w:r>
        <w:rPr>
          <w:rFonts w:hint="eastAsia" w:ascii="宋体" w:hAnsi="宋体"/>
          <w:b/>
          <w:sz w:val="28"/>
          <w:szCs w:val="28"/>
        </w:rPr>
        <w:t>项目名称：</w:t>
      </w:r>
      <w:r>
        <w:rPr>
          <w:rFonts w:hint="eastAsia" w:ascii="宋体" w:hAnsi="宋体"/>
          <w:b/>
          <w:sz w:val="28"/>
          <w:szCs w:val="28"/>
          <w:u w:val="single"/>
        </w:rPr>
        <w:t>XX</w:t>
      </w:r>
    </w:p>
    <w:p>
      <w:pPr>
        <w:snapToGrid w:val="0"/>
        <w:spacing w:line="560" w:lineRule="exact"/>
        <w:rPr>
          <w:rFonts w:ascii="宋体" w:hAnsi="宋体"/>
          <w:b/>
          <w:sz w:val="28"/>
          <w:szCs w:val="28"/>
        </w:rPr>
      </w:pPr>
      <w:r>
        <w:rPr>
          <w:rFonts w:hint="eastAsia" w:ascii="宋体" w:hAnsi="宋体"/>
          <w:b/>
          <w:sz w:val="28"/>
          <w:szCs w:val="28"/>
        </w:rPr>
        <w:t>项目编号：</w:t>
      </w:r>
      <w:r>
        <w:rPr>
          <w:rFonts w:hint="eastAsia" w:ascii="宋体" w:hAnsi="宋体"/>
          <w:b/>
          <w:sz w:val="28"/>
          <w:szCs w:val="28"/>
          <w:u w:val="single"/>
        </w:rPr>
        <w:t>XX</w:t>
      </w:r>
    </w:p>
    <w:p>
      <w:pPr>
        <w:snapToGrid w:val="0"/>
        <w:spacing w:line="560" w:lineRule="exact"/>
        <w:ind w:firstLine="560" w:firstLineChars="200"/>
        <w:rPr>
          <w:rFonts w:ascii="宋体" w:hAnsi="宋体"/>
          <w:sz w:val="28"/>
        </w:rPr>
      </w:pPr>
      <w:r>
        <w:rPr>
          <w:rFonts w:hint="eastAsia" w:ascii="宋体" w:hAnsi="宋体"/>
          <w:sz w:val="28"/>
        </w:rPr>
        <w:t>我公司作为参加本项目的投标人，在此郑重承诺：</w:t>
      </w:r>
    </w:p>
    <w:p>
      <w:pPr>
        <w:pStyle w:val="149"/>
        <w:numPr>
          <w:ilvl w:val="0"/>
          <w:numId w:val="37"/>
        </w:numPr>
        <w:tabs>
          <w:tab w:val="left" w:pos="1134"/>
        </w:tabs>
        <w:snapToGrid w:val="0"/>
        <w:spacing w:before="60" w:after="200" w:line="560" w:lineRule="exact"/>
        <w:ind w:left="0" w:right="210" w:firstLine="567" w:firstLineChars="0"/>
        <w:rPr>
          <w:rFonts w:ascii="宋体" w:hAnsi="宋体"/>
          <w:sz w:val="28"/>
          <w:szCs w:val="28"/>
        </w:rPr>
      </w:pPr>
      <w:r>
        <w:rPr>
          <w:rFonts w:hint="eastAsia" w:ascii="宋体" w:hAnsi="宋体"/>
          <w:sz w:val="28"/>
          <w:szCs w:val="28"/>
        </w:rPr>
        <w:t>为本项目提供的所有产品、辅材中</w:t>
      </w:r>
      <w:r>
        <w:rPr>
          <w:rFonts w:ascii="宋体" w:hAnsi="宋体" w:cs="宋体"/>
          <w:kern w:val="0"/>
          <w:sz w:val="28"/>
          <w:szCs w:val="28"/>
        </w:rPr>
        <w:t>属于《国家强制性产品认证目录》范围内产品的，均通过国家强制性产品认证并取得认证证书。</w:t>
      </w:r>
    </w:p>
    <w:p>
      <w:pPr>
        <w:pStyle w:val="149"/>
        <w:numPr>
          <w:ilvl w:val="0"/>
          <w:numId w:val="37"/>
        </w:numPr>
        <w:tabs>
          <w:tab w:val="left" w:pos="1134"/>
        </w:tabs>
        <w:snapToGrid w:val="0"/>
        <w:spacing w:before="60" w:after="200" w:line="560" w:lineRule="exact"/>
        <w:ind w:left="0" w:right="210" w:firstLine="567" w:firstLineChars="0"/>
        <w:rPr>
          <w:rFonts w:ascii="宋体" w:hAnsi="宋体" w:cs="宋体"/>
          <w:kern w:val="0"/>
          <w:sz w:val="28"/>
          <w:szCs w:val="28"/>
        </w:rPr>
      </w:pPr>
      <w:r>
        <w:rPr>
          <w:rFonts w:hint="eastAsia" w:ascii="宋体" w:hAnsi="宋体"/>
          <w:sz w:val="28"/>
          <w:szCs w:val="28"/>
        </w:rPr>
        <w:t>为本项目提供的所有产品、辅材符合现行的强制性国家相关标准、行业标准。</w:t>
      </w:r>
    </w:p>
    <w:p>
      <w:pPr>
        <w:pStyle w:val="149"/>
        <w:numPr>
          <w:ilvl w:val="0"/>
          <w:numId w:val="37"/>
        </w:numPr>
        <w:tabs>
          <w:tab w:val="left" w:pos="1134"/>
        </w:tabs>
        <w:snapToGrid w:val="0"/>
        <w:spacing w:before="60" w:after="200" w:line="560" w:lineRule="exact"/>
        <w:ind w:left="0" w:right="210" w:firstLine="567" w:firstLineChars="0"/>
        <w:rPr>
          <w:rFonts w:ascii="宋体" w:hAnsi="宋体"/>
          <w:sz w:val="28"/>
          <w:szCs w:val="28"/>
        </w:rPr>
      </w:pPr>
      <w:r>
        <w:rPr>
          <w:rFonts w:hint="eastAsia" w:ascii="宋体" w:hAnsi="宋体"/>
          <w:sz w:val="28"/>
          <w:szCs w:val="28"/>
        </w:rPr>
        <w:t>我方为本项目提供的所有产品中属于节能产品政府采购品目清单中的政府强制采购产品的，均应具有国家确定的认证机构出具的有效期内的节能产品认证证书。</w:t>
      </w:r>
    </w:p>
    <w:p>
      <w:pPr>
        <w:snapToGrid w:val="0"/>
        <w:spacing w:line="560" w:lineRule="exact"/>
        <w:ind w:firstLine="560" w:firstLineChars="200"/>
      </w:pPr>
      <w:r>
        <w:rPr>
          <w:rFonts w:hint="eastAsia" w:ascii="宋体" w:hAnsi="宋体"/>
          <w:sz w:val="28"/>
          <w:szCs w:val="28"/>
        </w:rPr>
        <w:t>特此承诺。</w:t>
      </w:r>
    </w:p>
    <w:p>
      <w:pPr>
        <w:snapToGrid w:val="0"/>
        <w:spacing w:line="560" w:lineRule="exact"/>
        <w:ind w:firstLine="560" w:firstLineChars="200"/>
        <w:rPr>
          <w:rFonts w:ascii="宋体" w:hAnsi="宋体"/>
          <w:sz w:val="28"/>
          <w:szCs w:val="28"/>
        </w:rPr>
      </w:pPr>
    </w:p>
    <w:p>
      <w:pPr>
        <w:snapToGrid w:val="0"/>
        <w:spacing w:line="560" w:lineRule="exact"/>
        <w:ind w:firstLine="560" w:firstLineChars="200"/>
        <w:rPr>
          <w:rFonts w:ascii="宋体" w:hAnsi="宋体"/>
          <w:sz w:val="28"/>
          <w:szCs w:val="28"/>
        </w:rPr>
      </w:pPr>
    </w:p>
    <w:p>
      <w:pPr>
        <w:spacing w:after="120" w:line="560" w:lineRule="exact"/>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56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2021年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rPr>
          <w:rFonts w:ascii="宋体" w:hAnsi="宋体"/>
          <w:bCs/>
          <w:sz w:val="28"/>
        </w:rPr>
      </w:pPr>
    </w:p>
    <w:p>
      <w:pPr>
        <w:keepNext/>
        <w:keepLines/>
        <w:numPr>
          <w:ilvl w:val="1"/>
          <w:numId w:val="5"/>
        </w:numPr>
        <w:spacing w:line="360" w:lineRule="auto"/>
        <w:jc w:val="left"/>
        <w:outlineLvl w:val="1"/>
        <w:rPr>
          <w:rFonts w:ascii="宋体" w:hAnsi="宋体"/>
          <w:b/>
          <w:bCs/>
          <w:sz w:val="28"/>
          <w:szCs w:val="28"/>
        </w:rPr>
      </w:pPr>
      <w:r>
        <w:rPr>
          <w:rFonts w:hint="eastAsia" w:ascii="宋体" w:hAnsi="宋体"/>
          <w:b/>
          <w:bCs/>
          <w:sz w:val="28"/>
          <w:szCs w:val="28"/>
        </w:rPr>
        <w:t xml:space="preserve"> </w:t>
      </w:r>
      <w:bookmarkStart w:id="148" w:name="_Toc74752333"/>
      <w:r>
        <w:rPr>
          <w:rFonts w:hint="eastAsia" w:ascii="宋体" w:hAnsi="宋体"/>
          <w:b/>
          <w:bCs/>
          <w:sz w:val="28"/>
          <w:szCs w:val="28"/>
        </w:rPr>
        <w:t>报价</w:t>
      </w:r>
      <w:r>
        <w:rPr>
          <w:rFonts w:ascii="宋体" w:hAnsi="宋体"/>
          <w:b/>
          <w:bCs/>
          <w:sz w:val="28"/>
          <w:szCs w:val="28"/>
        </w:rPr>
        <w:t>要求响应文件</w:t>
      </w:r>
      <w:bookmarkEnd w:id="148"/>
    </w:p>
    <w:p>
      <w:pPr>
        <w:keepNext/>
        <w:keepLines/>
        <w:numPr>
          <w:ilvl w:val="2"/>
          <w:numId w:val="5"/>
        </w:numPr>
        <w:spacing w:line="360" w:lineRule="auto"/>
        <w:outlineLvl w:val="2"/>
        <w:rPr>
          <w:rFonts w:ascii="宋体" w:hAnsi="宋体"/>
          <w:b/>
          <w:bCs/>
          <w:sz w:val="28"/>
          <w:szCs w:val="28"/>
        </w:rPr>
      </w:pPr>
      <w:r>
        <w:rPr>
          <w:rFonts w:hint="eastAsia" w:ascii="宋体" w:hAnsi="宋体"/>
          <w:b/>
          <w:bCs/>
          <w:sz w:val="28"/>
          <w:szCs w:val="28"/>
        </w:rPr>
        <w:t>开标</w:t>
      </w:r>
      <w:r>
        <w:rPr>
          <w:rFonts w:ascii="宋体" w:hAnsi="宋体"/>
          <w:b/>
          <w:bCs/>
          <w:sz w:val="28"/>
          <w:szCs w:val="28"/>
        </w:rPr>
        <w:t>一览表</w:t>
      </w:r>
    </w:p>
    <w:tbl>
      <w:tblPr>
        <w:tblStyle w:val="46"/>
        <w:tblW w:w="860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7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598" w:type="dxa"/>
            <w:vAlign w:val="center"/>
          </w:tcPr>
          <w:p>
            <w:pPr>
              <w:spacing w:line="580" w:lineRule="exact"/>
              <w:jc w:val="center"/>
              <w:rPr>
                <w:rFonts w:ascii="宋体" w:hAnsi="宋体"/>
                <w:b/>
                <w:caps/>
                <w:sz w:val="24"/>
                <w:szCs w:val="24"/>
              </w:rPr>
            </w:pPr>
            <w:r>
              <w:rPr>
                <w:rFonts w:ascii="宋体" w:hAnsi="宋体"/>
                <w:sz w:val="24"/>
                <w:szCs w:val="24"/>
              </w:rPr>
              <w:t>项目编号</w:t>
            </w:r>
          </w:p>
        </w:tc>
        <w:tc>
          <w:tcPr>
            <w:tcW w:w="7003" w:type="dxa"/>
            <w:vAlign w:val="center"/>
          </w:tcPr>
          <w:p>
            <w:pPr>
              <w:spacing w:line="58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598" w:type="dxa"/>
            <w:vAlign w:val="center"/>
          </w:tcPr>
          <w:p>
            <w:pPr>
              <w:spacing w:line="580" w:lineRule="exact"/>
              <w:jc w:val="center"/>
              <w:rPr>
                <w:rFonts w:ascii="宋体" w:hAnsi="宋体"/>
                <w:sz w:val="24"/>
                <w:szCs w:val="24"/>
              </w:rPr>
            </w:pPr>
            <w:r>
              <w:rPr>
                <w:rFonts w:ascii="宋体" w:hAnsi="宋体"/>
                <w:sz w:val="24"/>
                <w:szCs w:val="24"/>
              </w:rPr>
              <w:t>项目名称</w:t>
            </w:r>
          </w:p>
        </w:tc>
        <w:tc>
          <w:tcPr>
            <w:tcW w:w="7003" w:type="dxa"/>
            <w:vAlign w:val="center"/>
          </w:tcPr>
          <w:p>
            <w:pPr>
              <w:spacing w:line="58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98" w:type="dxa"/>
            <w:vAlign w:val="center"/>
          </w:tcPr>
          <w:p>
            <w:pPr>
              <w:spacing w:line="580" w:lineRule="exact"/>
              <w:jc w:val="center"/>
              <w:rPr>
                <w:rFonts w:ascii="宋体" w:hAnsi="宋体"/>
                <w:b/>
                <w:sz w:val="24"/>
                <w:szCs w:val="24"/>
              </w:rPr>
            </w:pPr>
            <w:r>
              <w:rPr>
                <w:rFonts w:ascii="宋体" w:hAnsi="宋体"/>
                <w:sz w:val="24"/>
                <w:szCs w:val="24"/>
              </w:rPr>
              <w:t>投标人</w:t>
            </w:r>
            <w:r>
              <w:rPr>
                <w:rFonts w:hint="eastAsia" w:ascii="宋体" w:hAnsi="宋体"/>
                <w:sz w:val="24"/>
                <w:szCs w:val="24"/>
              </w:rPr>
              <w:t>名</w:t>
            </w:r>
            <w:r>
              <w:rPr>
                <w:rFonts w:ascii="宋体" w:hAnsi="宋体"/>
                <w:sz w:val="24"/>
                <w:szCs w:val="24"/>
              </w:rPr>
              <w:t>称</w:t>
            </w:r>
          </w:p>
        </w:tc>
        <w:tc>
          <w:tcPr>
            <w:tcW w:w="7003" w:type="dxa"/>
            <w:vAlign w:val="center"/>
          </w:tcPr>
          <w:p>
            <w:pPr>
              <w:spacing w:line="580" w:lineRule="exact"/>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6" w:hRule="atLeast"/>
        </w:trPr>
        <w:tc>
          <w:tcPr>
            <w:tcW w:w="1598" w:type="dxa"/>
            <w:vAlign w:val="center"/>
          </w:tcPr>
          <w:p>
            <w:pPr>
              <w:spacing w:line="580" w:lineRule="exact"/>
              <w:jc w:val="center"/>
              <w:rPr>
                <w:rFonts w:ascii="宋体" w:hAnsi="宋体"/>
                <w:bCs/>
                <w:sz w:val="24"/>
                <w:szCs w:val="24"/>
              </w:rPr>
            </w:pPr>
            <w:r>
              <w:rPr>
                <w:rFonts w:ascii="宋体" w:hAnsi="宋体"/>
                <w:bCs/>
                <w:sz w:val="24"/>
                <w:szCs w:val="24"/>
              </w:rPr>
              <w:t>投标</w:t>
            </w:r>
            <w:r>
              <w:rPr>
                <w:rFonts w:hint="eastAsia" w:ascii="宋体" w:hAnsi="宋体"/>
                <w:bCs/>
                <w:sz w:val="24"/>
                <w:szCs w:val="24"/>
              </w:rPr>
              <w:t>报价</w:t>
            </w:r>
          </w:p>
        </w:tc>
        <w:tc>
          <w:tcPr>
            <w:tcW w:w="7003" w:type="dxa"/>
            <w:vAlign w:val="center"/>
          </w:tcPr>
          <w:p>
            <w:pPr>
              <w:spacing w:line="400" w:lineRule="exact"/>
              <w:jc w:val="left"/>
              <w:rPr>
                <w:rFonts w:ascii="宋体" w:hAnsi="宋体"/>
                <w:sz w:val="24"/>
                <w:szCs w:val="24"/>
                <w:u w:val="single"/>
              </w:rPr>
            </w:pPr>
            <w:r>
              <w:rPr>
                <w:rFonts w:hint="eastAsia" w:ascii="宋体" w:hAnsi="宋体"/>
                <w:sz w:val="24"/>
                <w:szCs w:val="24"/>
              </w:rPr>
              <w:t>大写：</w:t>
            </w:r>
            <w:r>
              <w:rPr>
                <w:rFonts w:hint="eastAsia" w:ascii="宋体" w:hAnsi="宋体"/>
                <w:sz w:val="24"/>
                <w:szCs w:val="24"/>
                <w:u w:val="single"/>
              </w:rPr>
              <w:t xml:space="preserve">                      </w:t>
            </w:r>
          </w:p>
          <w:p>
            <w:pPr>
              <w:spacing w:line="400" w:lineRule="exact"/>
              <w:rPr>
                <w:rFonts w:ascii="宋体" w:hAnsi="宋体"/>
                <w:sz w:val="24"/>
                <w:szCs w:val="24"/>
                <w:u w:val="single"/>
              </w:rPr>
            </w:pPr>
            <w:r>
              <w:rPr>
                <w:rFonts w:hint="eastAsia" w:ascii="宋体" w:hAnsi="宋体"/>
                <w:sz w:val="24"/>
                <w:szCs w:val="24"/>
              </w:rPr>
              <w:t>小写：</w:t>
            </w:r>
            <w:r>
              <w:rPr>
                <w:rFonts w:hint="eastAsia" w:ascii="宋体" w:hAnsi="宋体"/>
                <w:sz w:val="24"/>
                <w:szCs w:val="24"/>
                <w:u w:val="single"/>
              </w:rPr>
              <w:t xml:space="preserve">                      </w:t>
            </w:r>
          </w:p>
        </w:tc>
      </w:tr>
    </w:tbl>
    <w:p>
      <w:pPr>
        <w:spacing w:line="360" w:lineRule="auto"/>
        <w:ind w:left="283" w:leftChars="135" w:firstLine="700" w:firstLineChars="250"/>
        <w:rPr>
          <w:rFonts w:ascii="宋体" w:hAnsi="宋体"/>
          <w:bCs/>
          <w:sz w:val="28"/>
        </w:rPr>
      </w:pPr>
    </w:p>
    <w:p>
      <w:pPr>
        <w:tabs>
          <w:tab w:val="left" w:pos="1134"/>
        </w:tabs>
        <w:spacing w:line="560" w:lineRule="exact"/>
        <w:ind w:firstLine="427" w:firstLineChars="152"/>
        <w:rPr>
          <w:rFonts w:ascii="宋体" w:hAnsi="宋体"/>
          <w:b/>
          <w:bCs/>
          <w:sz w:val="28"/>
        </w:rPr>
      </w:pPr>
      <w:r>
        <w:rPr>
          <w:rFonts w:ascii="宋体" w:hAnsi="宋体"/>
          <w:b/>
          <w:sz w:val="28"/>
          <w:szCs w:val="28"/>
        </w:rPr>
        <w:t>投标报价</w:t>
      </w:r>
      <w:r>
        <w:rPr>
          <w:rFonts w:hint="eastAsia" w:ascii="宋体" w:hAnsi="宋体"/>
          <w:b/>
          <w:sz w:val="28"/>
          <w:szCs w:val="28"/>
        </w:rPr>
        <w:t>以投标人</w:t>
      </w:r>
      <w:r>
        <w:rPr>
          <w:rFonts w:ascii="宋体" w:hAnsi="宋体"/>
          <w:b/>
          <w:sz w:val="28"/>
          <w:szCs w:val="28"/>
        </w:rPr>
        <w:t>在</w:t>
      </w:r>
      <w:r>
        <w:rPr>
          <w:rFonts w:hint="eastAsia" w:ascii="宋体" w:hAnsi="宋体"/>
          <w:b/>
          <w:sz w:val="28"/>
          <w:szCs w:val="28"/>
        </w:rPr>
        <w:t>政府采购</w:t>
      </w:r>
      <w:r>
        <w:rPr>
          <w:rFonts w:ascii="宋体" w:hAnsi="宋体"/>
          <w:b/>
          <w:sz w:val="28"/>
          <w:szCs w:val="28"/>
        </w:rPr>
        <w:t>云平台</w:t>
      </w:r>
      <w:r>
        <w:rPr>
          <w:rFonts w:hint="eastAsia" w:ascii="宋体" w:hAnsi="宋体"/>
          <w:b/>
          <w:sz w:val="28"/>
          <w:szCs w:val="28"/>
        </w:rPr>
        <w:t>开标</w:t>
      </w:r>
      <w:r>
        <w:rPr>
          <w:rFonts w:ascii="宋体" w:hAnsi="宋体"/>
          <w:b/>
          <w:sz w:val="28"/>
          <w:szCs w:val="28"/>
        </w:rPr>
        <w:t>一览表中填写的报价为准</w:t>
      </w:r>
      <w:r>
        <w:rPr>
          <w:rFonts w:hint="eastAsia" w:ascii="宋体" w:hAnsi="宋体"/>
          <w:b/>
          <w:sz w:val="28"/>
          <w:szCs w:val="28"/>
        </w:rPr>
        <w:t>。</w:t>
      </w: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rPr>
          <w:rFonts w:ascii="宋体" w:hAnsi="宋体"/>
          <w:bCs/>
          <w:sz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分项报价明细表</w:t>
      </w:r>
    </w:p>
    <w:p>
      <w:pPr>
        <w:tabs>
          <w:tab w:val="left" w:pos="630"/>
          <w:tab w:val="left" w:pos="720"/>
          <w:tab w:val="left" w:pos="7560"/>
        </w:tabs>
        <w:spacing w:after="200" w:line="360" w:lineRule="auto"/>
        <w:ind w:firstLine="565" w:firstLineChars="201"/>
        <w:rPr>
          <w:rFonts w:ascii="宋体" w:hAnsi="宋体"/>
          <w:b/>
          <w:sz w:val="28"/>
        </w:rPr>
      </w:pPr>
      <w:r>
        <w:rPr>
          <w:rFonts w:hint="eastAsia" w:ascii="宋体" w:hAnsi="宋体"/>
          <w:b/>
          <w:sz w:val="28"/>
        </w:rPr>
        <w:t>分项报价明细表（说明：投标人应根据其投标报价的构成提供详细的分项价格明细表。）</w:t>
      </w:r>
    </w:p>
    <w:tbl>
      <w:tblPr>
        <w:tblStyle w:val="46"/>
        <w:tblpPr w:leftFromText="180" w:rightFromText="180" w:vertAnchor="text" w:horzAnchor="margin" w:tblpY="1"/>
        <w:tblOverlap w:val="never"/>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630"/>
        <w:gridCol w:w="816"/>
        <w:gridCol w:w="672"/>
        <w:gridCol w:w="992"/>
        <w:gridCol w:w="920"/>
        <w:gridCol w:w="850"/>
        <w:gridCol w:w="708"/>
        <w:gridCol w:w="782"/>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序号</w:t>
            </w:r>
          </w:p>
        </w:tc>
        <w:tc>
          <w:tcPr>
            <w:tcW w:w="1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货物名称（标的</w:t>
            </w:r>
            <w:r>
              <w:rPr>
                <w:rFonts w:ascii="宋体" w:hAnsi="宋体"/>
                <w:b/>
                <w:szCs w:val="28"/>
              </w:rPr>
              <w:t>名称</w:t>
            </w:r>
            <w:r>
              <w:rPr>
                <w:rFonts w:hint="eastAsia" w:ascii="宋体" w:hAnsi="宋体"/>
                <w:b/>
                <w:szCs w:val="28"/>
              </w:rPr>
              <w:t>）</w:t>
            </w:r>
          </w:p>
        </w:tc>
        <w:tc>
          <w:tcPr>
            <w:tcW w:w="8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品牌</w:t>
            </w:r>
          </w:p>
        </w:tc>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规格型号</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制造商</w:t>
            </w:r>
          </w:p>
        </w:tc>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进口或国产</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数量</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单位</w:t>
            </w: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单价</w:t>
            </w: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总价（元）</w:t>
            </w:r>
            <w:r>
              <w:rPr>
                <w:rFonts w:hint="eastAsia" w:ascii="宋体" w:hAnsi="宋体"/>
                <w:b/>
                <w:bCs/>
                <w:sz w:val="24"/>
                <w:szCs w:val="28"/>
              </w:rPr>
              <w:t>（单价×数量）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1</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2</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3</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4</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5</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6</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7</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8</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9</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bl>
    <w:p>
      <w:pPr>
        <w:spacing w:line="360" w:lineRule="auto"/>
        <w:ind w:firstLine="419" w:firstLineChars="149"/>
        <w:rPr>
          <w:rFonts w:ascii="宋体" w:hAnsi="宋体"/>
          <w:b/>
          <w:sz w:val="28"/>
          <w:szCs w:val="28"/>
        </w:rPr>
      </w:pPr>
      <w:r>
        <w:rPr>
          <w:rFonts w:hint="eastAsia" w:ascii="宋体" w:hAnsi="宋体"/>
          <w:b/>
          <w:sz w:val="28"/>
          <w:szCs w:val="28"/>
        </w:rPr>
        <w:t>说明：</w:t>
      </w:r>
    </w:p>
    <w:p>
      <w:pPr>
        <w:spacing w:line="360" w:lineRule="auto"/>
        <w:ind w:firstLine="419" w:firstLineChars="149"/>
        <w:rPr>
          <w:rFonts w:ascii="宋体" w:hAnsi="宋体"/>
          <w:b/>
          <w:sz w:val="28"/>
          <w:szCs w:val="28"/>
        </w:rPr>
      </w:pPr>
      <w:r>
        <w:rPr>
          <w:rFonts w:hint="eastAsia" w:ascii="宋体" w:hAnsi="宋体"/>
          <w:b/>
          <w:sz w:val="28"/>
          <w:szCs w:val="28"/>
        </w:rPr>
        <w:t>1、进口产品是指通过中国海关报关验放进入中国境内且产自关境外的产品。</w:t>
      </w:r>
    </w:p>
    <w:p>
      <w:pPr>
        <w:spacing w:line="360" w:lineRule="auto"/>
        <w:ind w:firstLine="422" w:firstLineChars="150"/>
        <w:rPr>
          <w:rFonts w:ascii="宋体" w:hAnsi="宋体"/>
          <w:b/>
          <w:sz w:val="28"/>
          <w:szCs w:val="28"/>
        </w:rPr>
      </w:pPr>
      <w:r>
        <w:rPr>
          <w:rFonts w:ascii="宋体" w:hAnsi="宋体"/>
          <w:b/>
          <w:sz w:val="28"/>
          <w:szCs w:val="28"/>
        </w:rPr>
        <w:t>2</w:t>
      </w:r>
      <w:r>
        <w:rPr>
          <w:rFonts w:hint="eastAsia" w:ascii="宋体" w:hAnsi="宋体"/>
          <w:b/>
          <w:sz w:val="28"/>
          <w:szCs w:val="28"/>
        </w:rPr>
        <w:t>、分项报价明细表格式中要求填写品牌、规格型号、制造商、进口或国产的，投标人必须载明其投标产品的品牌、规格型号、制造商、进口或国产。</w:t>
      </w:r>
    </w:p>
    <w:p>
      <w:pPr>
        <w:spacing w:line="360" w:lineRule="auto"/>
        <w:ind w:firstLine="422" w:firstLineChars="150"/>
        <w:rPr>
          <w:rFonts w:ascii="宋体" w:hAnsi="宋体"/>
          <w:b/>
          <w:sz w:val="28"/>
          <w:szCs w:val="28"/>
        </w:rPr>
      </w:pPr>
      <w:r>
        <w:rPr>
          <w:rFonts w:hint="eastAsia" w:ascii="宋体" w:hAnsi="宋体"/>
          <w:b/>
          <w:sz w:val="28"/>
          <w:szCs w:val="28"/>
        </w:rPr>
        <w:t>3.报价</w:t>
      </w:r>
      <w:r>
        <w:rPr>
          <w:rFonts w:ascii="宋体" w:hAnsi="宋体"/>
          <w:b/>
          <w:sz w:val="28"/>
          <w:szCs w:val="28"/>
        </w:rPr>
        <w:t>明细以投标人在政府采购云平台</w:t>
      </w:r>
      <w:r>
        <w:rPr>
          <w:rFonts w:hint="eastAsia" w:ascii="宋体" w:hAnsi="宋体"/>
          <w:b/>
          <w:sz w:val="28"/>
          <w:szCs w:val="28"/>
        </w:rPr>
        <w:t>报价</w:t>
      </w:r>
      <w:r>
        <w:rPr>
          <w:rFonts w:ascii="宋体" w:hAnsi="宋体"/>
          <w:b/>
          <w:sz w:val="28"/>
          <w:szCs w:val="28"/>
        </w:rPr>
        <w:t>明细表中填写的</w:t>
      </w:r>
      <w:r>
        <w:rPr>
          <w:rFonts w:hint="eastAsia" w:ascii="宋体" w:hAnsi="宋体"/>
          <w:b/>
          <w:sz w:val="28"/>
          <w:szCs w:val="28"/>
        </w:rPr>
        <w:t>为准</w:t>
      </w:r>
      <w:r>
        <w:rPr>
          <w:rFonts w:ascii="宋体" w:hAnsi="宋体"/>
          <w:b/>
          <w:sz w:val="28"/>
          <w:szCs w:val="28"/>
        </w:rPr>
        <w:t>。</w:t>
      </w:r>
    </w:p>
    <w:p>
      <w:pPr>
        <w:spacing w:line="520" w:lineRule="exact"/>
        <w:ind w:left="1463" w:leftChars="228" w:hanging="984" w:hangingChars="350"/>
        <w:rPr>
          <w:rFonts w:ascii="宋体" w:hAnsi="宋体"/>
          <w:b/>
          <w:sz w:val="28"/>
          <w:szCs w:val="28"/>
        </w:rPr>
      </w:pPr>
      <w:r>
        <w:rPr>
          <w:rFonts w:hint="eastAsia" w:ascii="宋体" w:hAnsi="宋体"/>
          <w:b/>
          <w:sz w:val="28"/>
          <w:szCs w:val="28"/>
        </w:rPr>
        <w:t>4. “分项报价明细表”为多页的，每页均需加盖投标人公章。</w:t>
      </w: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keepNext/>
        <w:keepLines/>
        <w:numPr>
          <w:ilvl w:val="2"/>
          <w:numId w:val="5"/>
        </w:numPr>
        <w:spacing w:line="360" w:lineRule="auto"/>
        <w:ind w:left="1134" w:hanging="1134"/>
        <w:outlineLvl w:val="2"/>
        <w:rPr>
          <w:rFonts w:ascii="宋体" w:hAnsi="宋体"/>
          <w:b/>
          <w:bCs/>
          <w:sz w:val="28"/>
          <w:szCs w:val="28"/>
        </w:rPr>
      </w:pPr>
      <w:r>
        <w:rPr>
          <w:rFonts w:hint="eastAsia" w:ascii="宋体" w:hAnsi="宋体"/>
          <w:b/>
          <w:sz w:val="28"/>
        </w:rPr>
        <w:t>监狱企业、残疾人福利性单位制造的货物清单及价格</w:t>
      </w:r>
    </w:p>
    <w:p>
      <w:pPr>
        <w:numPr>
          <w:ilvl w:val="0"/>
          <w:numId w:val="38"/>
        </w:numPr>
        <w:tabs>
          <w:tab w:val="left" w:pos="1134"/>
          <w:tab w:val="clear" w:pos="720"/>
        </w:tabs>
        <w:spacing w:after="200" w:line="360" w:lineRule="auto"/>
        <w:ind w:left="0" w:firstLine="565" w:firstLineChars="201"/>
        <w:rPr>
          <w:rFonts w:ascii="宋体" w:hAnsi="宋体"/>
          <w:b/>
          <w:sz w:val="28"/>
        </w:rPr>
      </w:pPr>
      <w:r>
        <w:rPr>
          <w:rFonts w:hint="eastAsia" w:ascii="宋体" w:hAnsi="宋体"/>
          <w:b/>
          <w:sz w:val="28"/>
          <w:szCs w:val="28"/>
        </w:rPr>
        <w:t>投标人</w:t>
      </w:r>
      <w:r>
        <w:rPr>
          <w:rFonts w:hint="eastAsia" w:ascii="宋体" w:hAnsi="宋体"/>
          <w:b/>
          <w:sz w:val="28"/>
        </w:rPr>
        <w:t>投标产品中为监狱企业制造的货物清单及价格（说明：</w:t>
      </w:r>
      <w:r>
        <w:rPr>
          <w:rFonts w:ascii="宋体" w:hAnsi="宋体"/>
          <w:b/>
          <w:sz w:val="28"/>
        </w:rPr>
        <w:t>1、提供由省级以上监狱管理局、戒毒管理局（含新疆生产建设兵团）出具的</w:t>
      </w:r>
      <w:r>
        <w:rPr>
          <w:rFonts w:hint="eastAsia" w:ascii="宋体" w:hAnsi="宋体"/>
          <w:b/>
          <w:sz w:val="28"/>
        </w:rPr>
        <w:t>制造</w:t>
      </w:r>
      <w:r>
        <w:rPr>
          <w:rFonts w:ascii="宋体" w:hAnsi="宋体"/>
          <w:b/>
          <w:sz w:val="28"/>
        </w:rPr>
        <w:t>商属于监狱企业的证明文件复印件；2、如未提供</w:t>
      </w:r>
      <w:r>
        <w:rPr>
          <w:rFonts w:hint="eastAsia" w:ascii="宋体" w:hAnsi="宋体"/>
          <w:b/>
          <w:sz w:val="28"/>
        </w:rPr>
        <w:t>货物</w:t>
      </w:r>
      <w:r>
        <w:rPr>
          <w:rFonts w:ascii="宋体" w:hAnsi="宋体"/>
          <w:b/>
          <w:sz w:val="28"/>
        </w:rPr>
        <w:t>清单及价格以及相关证明材料复印件，则不能享受对监狱企业</w:t>
      </w:r>
      <w:r>
        <w:rPr>
          <w:rFonts w:hint="eastAsia" w:ascii="宋体" w:hAnsi="宋体"/>
          <w:b/>
          <w:sz w:val="28"/>
        </w:rPr>
        <w:t>制造的货物</w:t>
      </w:r>
      <w:r>
        <w:rPr>
          <w:rFonts w:ascii="宋体" w:hAnsi="宋体"/>
          <w:b/>
          <w:sz w:val="28"/>
        </w:rPr>
        <w:t>的价格扣除，但不影响投标文件的有效性。）</w:t>
      </w:r>
    </w:p>
    <w:tbl>
      <w:tblPr>
        <w:tblStyle w:val="46"/>
        <w:tblW w:w="92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720"/>
        <w:gridCol w:w="694"/>
        <w:gridCol w:w="1253"/>
        <w:gridCol w:w="1417"/>
        <w:gridCol w:w="851"/>
        <w:gridCol w:w="980"/>
        <w:gridCol w:w="12"/>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Align w:val="center"/>
          </w:tcPr>
          <w:p>
            <w:pPr>
              <w:spacing w:before="120" w:beforeLines="50" w:line="360" w:lineRule="auto"/>
              <w:jc w:val="center"/>
              <w:rPr>
                <w:rFonts w:ascii="宋体" w:hAnsi="宋体"/>
                <w:b/>
              </w:rPr>
            </w:pPr>
            <w:r>
              <w:rPr>
                <w:rFonts w:hint="eastAsia" w:ascii="宋体" w:hAnsi="宋体"/>
                <w:b/>
              </w:rPr>
              <w:t>序号</w:t>
            </w:r>
          </w:p>
        </w:tc>
        <w:tc>
          <w:tcPr>
            <w:tcW w:w="1720" w:type="dxa"/>
            <w:vAlign w:val="center"/>
          </w:tcPr>
          <w:p>
            <w:pPr>
              <w:spacing w:before="120" w:beforeLines="50" w:line="360" w:lineRule="auto"/>
              <w:jc w:val="center"/>
              <w:rPr>
                <w:rFonts w:ascii="宋体" w:hAnsi="宋体"/>
                <w:b/>
              </w:rPr>
            </w:pPr>
            <w:r>
              <w:rPr>
                <w:rFonts w:hint="eastAsia" w:ascii="宋体" w:hAnsi="宋体"/>
                <w:b/>
              </w:rPr>
              <w:t>货物名称</w:t>
            </w:r>
          </w:p>
        </w:tc>
        <w:tc>
          <w:tcPr>
            <w:tcW w:w="694" w:type="dxa"/>
            <w:vAlign w:val="center"/>
          </w:tcPr>
          <w:p>
            <w:pPr>
              <w:spacing w:before="120" w:beforeLines="50" w:line="360" w:lineRule="auto"/>
              <w:jc w:val="center"/>
              <w:rPr>
                <w:rFonts w:ascii="宋体" w:hAnsi="宋体"/>
                <w:b/>
              </w:rPr>
            </w:pPr>
            <w:r>
              <w:rPr>
                <w:rFonts w:hint="eastAsia" w:ascii="宋体" w:hAnsi="宋体"/>
                <w:b/>
              </w:rPr>
              <w:t>品牌</w:t>
            </w:r>
          </w:p>
        </w:tc>
        <w:tc>
          <w:tcPr>
            <w:tcW w:w="1253" w:type="dxa"/>
            <w:vAlign w:val="center"/>
          </w:tcPr>
          <w:p>
            <w:pPr>
              <w:spacing w:before="120" w:beforeLines="50" w:line="360" w:lineRule="auto"/>
              <w:jc w:val="center"/>
              <w:rPr>
                <w:rFonts w:ascii="宋体" w:hAnsi="宋体"/>
                <w:b/>
              </w:rPr>
            </w:pPr>
            <w:r>
              <w:rPr>
                <w:rFonts w:hint="eastAsia" w:ascii="宋体" w:hAnsi="宋体"/>
                <w:b/>
              </w:rPr>
              <w:t>规格型号</w:t>
            </w:r>
          </w:p>
        </w:tc>
        <w:tc>
          <w:tcPr>
            <w:tcW w:w="1417" w:type="dxa"/>
            <w:vAlign w:val="center"/>
          </w:tcPr>
          <w:p>
            <w:pPr>
              <w:spacing w:before="120" w:beforeLines="50" w:line="360" w:lineRule="auto"/>
              <w:jc w:val="center"/>
              <w:rPr>
                <w:rFonts w:ascii="宋体" w:hAnsi="宋体"/>
                <w:b/>
              </w:rPr>
            </w:pPr>
            <w:r>
              <w:rPr>
                <w:rFonts w:hint="eastAsia" w:ascii="宋体" w:hAnsi="宋体"/>
                <w:b/>
              </w:rPr>
              <w:t>制造商</w:t>
            </w:r>
          </w:p>
        </w:tc>
        <w:tc>
          <w:tcPr>
            <w:tcW w:w="851" w:type="dxa"/>
            <w:vAlign w:val="center"/>
          </w:tcPr>
          <w:p>
            <w:pPr>
              <w:spacing w:before="120" w:beforeLines="50" w:line="360" w:lineRule="auto"/>
              <w:jc w:val="center"/>
              <w:rPr>
                <w:rFonts w:ascii="宋体" w:hAnsi="宋体"/>
                <w:b/>
              </w:rPr>
            </w:pPr>
            <w:r>
              <w:rPr>
                <w:rFonts w:hint="eastAsia" w:ascii="宋体" w:hAnsi="宋体"/>
                <w:b/>
              </w:rPr>
              <w:t>数量</w:t>
            </w:r>
          </w:p>
        </w:tc>
        <w:tc>
          <w:tcPr>
            <w:tcW w:w="992" w:type="dxa"/>
            <w:gridSpan w:val="2"/>
            <w:vAlign w:val="center"/>
          </w:tcPr>
          <w:p>
            <w:pPr>
              <w:spacing w:before="120" w:beforeLines="50" w:line="360" w:lineRule="auto"/>
              <w:jc w:val="center"/>
              <w:rPr>
                <w:rFonts w:ascii="宋体" w:hAnsi="宋体"/>
                <w:b/>
              </w:rPr>
            </w:pPr>
            <w:r>
              <w:rPr>
                <w:rFonts w:hint="eastAsia" w:ascii="宋体" w:hAnsi="宋体"/>
                <w:b/>
              </w:rPr>
              <w:t>单价</w:t>
            </w:r>
          </w:p>
        </w:tc>
        <w:tc>
          <w:tcPr>
            <w:tcW w:w="1406" w:type="dxa"/>
            <w:vAlign w:val="center"/>
          </w:tcPr>
          <w:p>
            <w:pPr>
              <w:spacing w:before="120" w:beforeLines="50" w:line="360" w:lineRule="auto"/>
              <w:jc w:val="center"/>
              <w:rPr>
                <w:rFonts w:ascii="宋体" w:hAnsi="宋体"/>
                <w:b/>
              </w:rPr>
            </w:pPr>
            <w:r>
              <w:rPr>
                <w:rFonts w:hint="eastAsia" w:ascii="宋体" w:hAnsi="宋体"/>
                <w:b/>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694" w:type="dxa"/>
            <w:vAlign w:val="center"/>
          </w:tcPr>
          <w:p>
            <w:pPr>
              <w:spacing w:line="360" w:lineRule="auto"/>
              <w:jc w:val="center"/>
              <w:rPr>
                <w:rFonts w:ascii="宋体" w:hAnsi="宋体"/>
              </w:rPr>
            </w:pPr>
          </w:p>
        </w:tc>
        <w:tc>
          <w:tcPr>
            <w:tcW w:w="1253"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gridSpan w:val="2"/>
            <w:vAlign w:val="center"/>
          </w:tcPr>
          <w:p>
            <w:pPr>
              <w:spacing w:line="360" w:lineRule="auto"/>
              <w:jc w:val="center"/>
              <w:rPr>
                <w:rFonts w:ascii="宋体" w:hAnsi="宋体"/>
              </w:rPr>
            </w:pPr>
          </w:p>
        </w:tc>
        <w:tc>
          <w:tcPr>
            <w:tcW w:w="140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694" w:type="dxa"/>
            <w:vAlign w:val="center"/>
          </w:tcPr>
          <w:p>
            <w:pPr>
              <w:spacing w:line="360" w:lineRule="auto"/>
              <w:jc w:val="center"/>
              <w:rPr>
                <w:rFonts w:ascii="宋体" w:hAnsi="宋体"/>
              </w:rPr>
            </w:pPr>
          </w:p>
        </w:tc>
        <w:tc>
          <w:tcPr>
            <w:tcW w:w="1253"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gridSpan w:val="2"/>
            <w:vAlign w:val="center"/>
          </w:tcPr>
          <w:p>
            <w:pPr>
              <w:spacing w:line="360" w:lineRule="auto"/>
              <w:jc w:val="center"/>
              <w:rPr>
                <w:rFonts w:ascii="宋体" w:hAnsi="宋体"/>
              </w:rPr>
            </w:pPr>
          </w:p>
        </w:tc>
        <w:tc>
          <w:tcPr>
            <w:tcW w:w="140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694" w:type="dxa"/>
            <w:vAlign w:val="center"/>
          </w:tcPr>
          <w:p>
            <w:pPr>
              <w:spacing w:line="360" w:lineRule="auto"/>
              <w:jc w:val="center"/>
              <w:rPr>
                <w:rFonts w:ascii="宋体" w:hAnsi="宋体"/>
              </w:rPr>
            </w:pPr>
          </w:p>
        </w:tc>
        <w:tc>
          <w:tcPr>
            <w:tcW w:w="1253"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gridSpan w:val="2"/>
            <w:vAlign w:val="center"/>
          </w:tcPr>
          <w:p>
            <w:pPr>
              <w:spacing w:line="360" w:lineRule="auto"/>
              <w:jc w:val="center"/>
              <w:rPr>
                <w:rFonts w:ascii="宋体" w:hAnsi="宋体"/>
              </w:rPr>
            </w:pPr>
          </w:p>
        </w:tc>
        <w:tc>
          <w:tcPr>
            <w:tcW w:w="140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7875" w:type="dxa"/>
            <w:gridSpan w:val="7"/>
            <w:vAlign w:val="center"/>
          </w:tcPr>
          <w:p>
            <w:pPr>
              <w:spacing w:line="360" w:lineRule="auto"/>
              <w:jc w:val="center"/>
              <w:rPr>
                <w:rFonts w:ascii="宋体" w:hAnsi="宋体"/>
              </w:rPr>
            </w:pPr>
            <w:r>
              <w:rPr>
                <w:rFonts w:hint="eastAsia" w:ascii="宋体" w:hAnsi="宋体" w:cs="宋体"/>
                <w:b/>
              </w:rPr>
              <w:t>监狱企业制造的货物</w:t>
            </w:r>
            <w:r>
              <w:rPr>
                <w:rFonts w:hint="eastAsia" w:ascii="宋体" w:hAnsi="宋体"/>
                <w:b/>
              </w:rPr>
              <w:t>总价合计</w:t>
            </w:r>
          </w:p>
        </w:tc>
        <w:tc>
          <w:tcPr>
            <w:tcW w:w="1418" w:type="dxa"/>
            <w:gridSpan w:val="2"/>
            <w:vAlign w:val="center"/>
          </w:tcPr>
          <w:p>
            <w:pPr>
              <w:spacing w:line="360" w:lineRule="auto"/>
              <w:rPr>
                <w:rFonts w:ascii="宋体" w:hAnsi="宋体"/>
              </w:rPr>
            </w:pPr>
            <w:r>
              <w:rPr>
                <w:rFonts w:hint="eastAsia" w:ascii="宋体" w:hAnsi="宋体"/>
              </w:rPr>
              <w:t>￥</w:t>
            </w:r>
          </w:p>
        </w:tc>
      </w:tr>
    </w:tbl>
    <w:p>
      <w:pPr>
        <w:numPr>
          <w:ilvl w:val="0"/>
          <w:numId w:val="38"/>
        </w:numPr>
        <w:tabs>
          <w:tab w:val="left" w:pos="630"/>
          <w:tab w:val="left" w:pos="7560"/>
        </w:tabs>
        <w:spacing w:after="200" w:line="360" w:lineRule="auto"/>
        <w:ind w:left="0" w:firstLine="0"/>
        <w:rPr>
          <w:rFonts w:ascii="宋体" w:hAnsi="宋体"/>
          <w:b/>
          <w:sz w:val="28"/>
        </w:rPr>
      </w:pPr>
      <w:r>
        <w:rPr>
          <w:rFonts w:hint="eastAsia" w:ascii="宋体" w:hAnsi="宋体"/>
          <w:b/>
          <w:sz w:val="28"/>
        </w:rPr>
        <w:t>投标人投标产品中为残疾人福利性单位制造的货物清单及价格（说明：如未提供则不能享受对残疾人福利性单位制造的货物的价格扣除，</w:t>
      </w:r>
      <w:r>
        <w:rPr>
          <w:rFonts w:ascii="宋体" w:hAnsi="宋体"/>
          <w:b/>
          <w:sz w:val="28"/>
        </w:rPr>
        <w:t>但不影响投标文件的有效性。</w:t>
      </w:r>
      <w:r>
        <w:rPr>
          <w:rFonts w:hint="eastAsia" w:ascii="宋体" w:hAnsi="宋体"/>
          <w:b/>
          <w:sz w:val="28"/>
        </w:rPr>
        <w:t>）</w:t>
      </w:r>
    </w:p>
    <w:tbl>
      <w:tblPr>
        <w:tblStyle w:val="46"/>
        <w:tblW w:w="101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720"/>
        <w:gridCol w:w="1418"/>
        <w:gridCol w:w="1418"/>
        <w:gridCol w:w="1417"/>
        <w:gridCol w:w="851"/>
        <w:gridCol w:w="992"/>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Align w:val="center"/>
          </w:tcPr>
          <w:p>
            <w:pPr>
              <w:spacing w:before="120" w:beforeLines="50" w:line="360" w:lineRule="auto"/>
              <w:jc w:val="center"/>
              <w:rPr>
                <w:rFonts w:ascii="宋体" w:hAnsi="宋体"/>
                <w:b/>
              </w:rPr>
            </w:pPr>
            <w:r>
              <w:rPr>
                <w:rFonts w:hint="eastAsia" w:ascii="宋体" w:hAnsi="宋体"/>
                <w:b/>
              </w:rPr>
              <w:t>序号</w:t>
            </w:r>
          </w:p>
        </w:tc>
        <w:tc>
          <w:tcPr>
            <w:tcW w:w="1720" w:type="dxa"/>
            <w:vAlign w:val="center"/>
          </w:tcPr>
          <w:p>
            <w:pPr>
              <w:spacing w:before="120" w:beforeLines="50" w:line="360" w:lineRule="auto"/>
              <w:jc w:val="center"/>
              <w:rPr>
                <w:rFonts w:ascii="宋体" w:hAnsi="宋体"/>
                <w:b/>
              </w:rPr>
            </w:pPr>
            <w:r>
              <w:rPr>
                <w:rFonts w:hint="eastAsia" w:ascii="宋体" w:hAnsi="宋体"/>
                <w:b/>
              </w:rPr>
              <w:t>货物名称</w:t>
            </w:r>
          </w:p>
        </w:tc>
        <w:tc>
          <w:tcPr>
            <w:tcW w:w="1418" w:type="dxa"/>
          </w:tcPr>
          <w:p>
            <w:pPr>
              <w:spacing w:before="120" w:beforeLines="50" w:line="360" w:lineRule="auto"/>
              <w:jc w:val="center"/>
              <w:rPr>
                <w:rFonts w:ascii="宋体" w:hAnsi="宋体"/>
                <w:b/>
              </w:rPr>
            </w:pPr>
            <w:r>
              <w:rPr>
                <w:rFonts w:hint="eastAsia" w:ascii="宋体" w:hAnsi="宋体"/>
                <w:b/>
              </w:rPr>
              <w:t>品牌</w:t>
            </w:r>
          </w:p>
        </w:tc>
        <w:tc>
          <w:tcPr>
            <w:tcW w:w="1418" w:type="dxa"/>
            <w:vAlign w:val="center"/>
          </w:tcPr>
          <w:p>
            <w:pPr>
              <w:spacing w:before="120" w:beforeLines="50" w:line="360" w:lineRule="auto"/>
              <w:jc w:val="center"/>
              <w:rPr>
                <w:rFonts w:ascii="宋体" w:hAnsi="宋体"/>
                <w:b/>
              </w:rPr>
            </w:pPr>
            <w:r>
              <w:rPr>
                <w:rFonts w:hint="eastAsia" w:ascii="宋体" w:hAnsi="宋体"/>
                <w:b/>
              </w:rPr>
              <w:t>规格型号</w:t>
            </w:r>
          </w:p>
        </w:tc>
        <w:tc>
          <w:tcPr>
            <w:tcW w:w="1417" w:type="dxa"/>
            <w:vAlign w:val="center"/>
          </w:tcPr>
          <w:p>
            <w:pPr>
              <w:spacing w:before="120" w:beforeLines="50" w:line="360" w:lineRule="auto"/>
              <w:jc w:val="center"/>
              <w:rPr>
                <w:rFonts w:ascii="宋体" w:hAnsi="宋体"/>
                <w:b/>
              </w:rPr>
            </w:pPr>
            <w:r>
              <w:rPr>
                <w:rFonts w:hint="eastAsia" w:ascii="宋体" w:hAnsi="宋体"/>
                <w:b/>
              </w:rPr>
              <w:t>制造商</w:t>
            </w:r>
          </w:p>
        </w:tc>
        <w:tc>
          <w:tcPr>
            <w:tcW w:w="851" w:type="dxa"/>
            <w:vAlign w:val="center"/>
          </w:tcPr>
          <w:p>
            <w:pPr>
              <w:spacing w:before="120" w:beforeLines="50" w:line="360" w:lineRule="auto"/>
              <w:jc w:val="center"/>
              <w:rPr>
                <w:rFonts w:ascii="宋体" w:hAnsi="宋体"/>
                <w:b/>
              </w:rPr>
            </w:pPr>
            <w:r>
              <w:rPr>
                <w:rFonts w:hint="eastAsia" w:ascii="宋体" w:hAnsi="宋体"/>
                <w:b/>
              </w:rPr>
              <w:t>数量</w:t>
            </w:r>
          </w:p>
        </w:tc>
        <w:tc>
          <w:tcPr>
            <w:tcW w:w="992" w:type="dxa"/>
            <w:vAlign w:val="center"/>
          </w:tcPr>
          <w:p>
            <w:pPr>
              <w:spacing w:before="120" w:beforeLines="50" w:line="360" w:lineRule="auto"/>
              <w:jc w:val="center"/>
              <w:rPr>
                <w:rFonts w:ascii="宋体" w:hAnsi="宋体"/>
                <w:b/>
              </w:rPr>
            </w:pPr>
            <w:r>
              <w:rPr>
                <w:rFonts w:hint="eastAsia" w:ascii="宋体" w:hAnsi="宋体"/>
                <w:b/>
              </w:rPr>
              <w:t>单价</w:t>
            </w:r>
          </w:p>
        </w:tc>
        <w:tc>
          <w:tcPr>
            <w:tcW w:w="1346" w:type="dxa"/>
            <w:vAlign w:val="center"/>
          </w:tcPr>
          <w:p>
            <w:pPr>
              <w:spacing w:before="120" w:beforeLines="50" w:line="360" w:lineRule="auto"/>
              <w:jc w:val="center"/>
              <w:rPr>
                <w:rFonts w:ascii="宋体" w:hAnsi="宋体"/>
                <w:b/>
              </w:rPr>
            </w:pPr>
            <w:r>
              <w:rPr>
                <w:rFonts w:hint="eastAsia" w:ascii="宋体" w:hAnsi="宋体"/>
                <w:b/>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1418" w:type="dxa"/>
          </w:tcPr>
          <w:p>
            <w:pPr>
              <w:spacing w:line="360" w:lineRule="auto"/>
              <w:jc w:val="center"/>
              <w:rPr>
                <w:rFonts w:ascii="宋体" w:hAnsi="宋体"/>
              </w:rPr>
            </w:pPr>
          </w:p>
        </w:tc>
        <w:tc>
          <w:tcPr>
            <w:tcW w:w="1418"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vAlign w:val="center"/>
          </w:tcPr>
          <w:p>
            <w:pPr>
              <w:spacing w:line="360" w:lineRule="auto"/>
              <w:jc w:val="center"/>
              <w:rPr>
                <w:rFonts w:ascii="宋体" w:hAnsi="宋体"/>
              </w:rPr>
            </w:pPr>
          </w:p>
        </w:tc>
        <w:tc>
          <w:tcPr>
            <w:tcW w:w="134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1418" w:type="dxa"/>
          </w:tcPr>
          <w:p>
            <w:pPr>
              <w:spacing w:line="360" w:lineRule="auto"/>
              <w:jc w:val="center"/>
              <w:rPr>
                <w:rFonts w:ascii="宋体" w:hAnsi="宋体"/>
              </w:rPr>
            </w:pPr>
          </w:p>
        </w:tc>
        <w:tc>
          <w:tcPr>
            <w:tcW w:w="1418"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vAlign w:val="center"/>
          </w:tcPr>
          <w:p>
            <w:pPr>
              <w:spacing w:line="360" w:lineRule="auto"/>
              <w:jc w:val="center"/>
              <w:rPr>
                <w:rFonts w:ascii="宋体" w:hAnsi="宋体"/>
              </w:rPr>
            </w:pPr>
          </w:p>
        </w:tc>
        <w:tc>
          <w:tcPr>
            <w:tcW w:w="134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1418" w:type="dxa"/>
          </w:tcPr>
          <w:p>
            <w:pPr>
              <w:spacing w:line="360" w:lineRule="auto"/>
              <w:jc w:val="center"/>
              <w:rPr>
                <w:rFonts w:ascii="宋体" w:hAnsi="宋体"/>
              </w:rPr>
            </w:pPr>
          </w:p>
        </w:tc>
        <w:tc>
          <w:tcPr>
            <w:tcW w:w="1418"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vAlign w:val="center"/>
          </w:tcPr>
          <w:p>
            <w:pPr>
              <w:spacing w:line="360" w:lineRule="auto"/>
              <w:jc w:val="center"/>
              <w:rPr>
                <w:rFonts w:ascii="宋体" w:hAnsi="宋体"/>
              </w:rPr>
            </w:pPr>
          </w:p>
        </w:tc>
        <w:tc>
          <w:tcPr>
            <w:tcW w:w="134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8776" w:type="dxa"/>
            <w:gridSpan w:val="7"/>
          </w:tcPr>
          <w:p>
            <w:pPr>
              <w:spacing w:line="360" w:lineRule="auto"/>
              <w:jc w:val="center"/>
              <w:rPr>
                <w:rFonts w:ascii="宋体" w:hAnsi="宋体"/>
              </w:rPr>
            </w:pPr>
            <w:r>
              <w:rPr>
                <w:rFonts w:hint="eastAsia" w:ascii="宋体" w:hAnsi="宋体" w:cs="宋体"/>
                <w:b/>
              </w:rPr>
              <w:t>残疾人福利性单位制造的货物</w:t>
            </w:r>
            <w:r>
              <w:rPr>
                <w:rFonts w:hint="eastAsia" w:ascii="宋体" w:hAnsi="宋体"/>
                <w:b/>
              </w:rPr>
              <w:t>总价合计</w:t>
            </w:r>
          </w:p>
        </w:tc>
        <w:tc>
          <w:tcPr>
            <w:tcW w:w="1346" w:type="dxa"/>
            <w:vAlign w:val="center"/>
          </w:tcPr>
          <w:p>
            <w:pPr>
              <w:spacing w:line="360" w:lineRule="auto"/>
              <w:rPr>
                <w:rFonts w:ascii="宋体" w:hAnsi="宋体"/>
              </w:rPr>
            </w:pPr>
            <w:r>
              <w:rPr>
                <w:rFonts w:hint="eastAsia" w:ascii="宋体" w:hAnsi="宋体"/>
              </w:rPr>
              <w:t>￥</w:t>
            </w:r>
          </w:p>
        </w:tc>
      </w:tr>
    </w:tbl>
    <w:p>
      <w:pPr>
        <w:tabs>
          <w:tab w:val="left" w:pos="630"/>
          <w:tab w:val="left" w:pos="7560"/>
        </w:tabs>
        <w:spacing w:line="360" w:lineRule="auto"/>
        <w:rPr>
          <w:rFonts w:ascii="宋体" w:hAnsi="宋体"/>
          <w:sz w:val="28"/>
          <w:szCs w:val="28"/>
        </w:rPr>
      </w:pPr>
    </w:p>
    <w:p>
      <w:pPr>
        <w:pStyle w:val="16"/>
        <w:spacing w:line="360" w:lineRule="auto"/>
        <w:ind w:firstLine="566" w:firstLineChars="202"/>
        <w:rPr>
          <w:rFonts w:ascii="宋体" w:hAnsi="宋体"/>
          <w:sz w:val="28"/>
        </w:rPr>
      </w:pPr>
    </w:p>
    <w:p>
      <w:pPr>
        <w:spacing w:line="360" w:lineRule="auto"/>
        <w:rPr>
          <w:rFonts w:ascii="宋体" w:hAnsi="宋体"/>
          <w:sz w:val="28"/>
          <w:lang w:val="zh-CN"/>
        </w:rPr>
      </w:pPr>
      <w:r>
        <w:rPr>
          <w:rFonts w:hint="eastAsia" w:ascii="宋体" w:hAnsi="宋体"/>
          <w:sz w:val="28"/>
          <w:lang w:val="zh-CN"/>
        </w:rPr>
        <w:t>投标人名称：</w:t>
      </w:r>
      <w:r>
        <w:rPr>
          <w:rFonts w:ascii="宋体" w:hAnsi="宋体"/>
          <w:sz w:val="28"/>
          <w:u w:val="single"/>
          <w:lang w:val="zh-CN"/>
        </w:rPr>
        <w:t>XXXXXXXX</w:t>
      </w:r>
    </w:p>
    <w:p>
      <w:pPr>
        <w:spacing w:line="360" w:lineRule="auto"/>
        <w:rPr>
          <w:rFonts w:ascii="宋体" w:hAnsi="宋体"/>
          <w:bCs/>
          <w:sz w:val="28"/>
        </w:rPr>
      </w:pPr>
      <w:r>
        <w:rPr>
          <w:rFonts w:ascii="宋体" w:hAnsi="宋体"/>
          <w:sz w:val="28"/>
        </w:rPr>
        <w:t>日期：</w:t>
      </w:r>
      <w:r>
        <w:rPr>
          <w:rFonts w:ascii="宋体" w:hAnsi="宋体"/>
          <w:bCs/>
          <w:sz w:val="28"/>
        </w:rPr>
        <w:t>202X年XX月XX日</w:t>
      </w:r>
    </w:p>
    <w:p>
      <w:pPr>
        <w:spacing w:line="360" w:lineRule="auto"/>
        <w:rPr>
          <w:rFonts w:ascii="宋体" w:hAnsi="宋体"/>
          <w:bCs/>
          <w:sz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中小企业声明函</w:t>
      </w:r>
    </w:p>
    <w:p>
      <w:pPr>
        <w:spacing w:line="440" w:lineRule="exact"/>
        <w:ind w:firstLine="574" w:firstLineChars="196"/>
        <w:jc w:val="center"/>
        <w:rPr>
          <w:rFonts w:ascii="宋体" w:hAnsi="宋体"/>
          <w:b/>
          <w:sz w:val="28"/>
          <w:szCs w:val="28"/>
        </w:rPr>
      </w:pPr>
      <w:r>
        <w:rPr>
          <w:rFonts w:hint="eastAsia" w:ascii="宋体" w:hAnsi="宋体"/>
          <w:b/>
          <w:spacing w:val="6"/>
          <w:sz w:val="28"/>
          <w:szCs w:val="28"/>
        </w:rPr>
        <w:t>中小企业声明函</w:t>
      </w:r>
    </w:p>
    <w:p>
      <w:pPr>
        <w:spacing w:line="480" w:lineRule="exact"/>
        <w:ind w:firstLine="561"/>
        <w:rPr>
          <w:rFonts w:ascii="宋体" w:hAnsi="宋体"/>
          <w:sz w:val="28"/>
          <w:szCs w:val="28"/>
        </w:rPr>
      </w:pPr>
      <w:r>
        <w:rPr>
          <w:rFonts w:hint="eastAsia" w:ascii="宋体" w:hAnsi="宋体"/>
          <w:sz w:val="28"/>
          <w:szCs w:val="28"/>
        </w:rPr>
        <w:t>本公司郑重声明，根据《政府采购促进中小企业发展管理办法》（财库﹝2020﹞46 号）的规定，本公司参加</w:t>
      </w:r>
      <w:r>
        <w:rPr>
          <w:rFonts w:hint="eastAsia" w:ascii="宋体" w:hAnsi="宋体"/>
          <w:b/>
          <w:sz w:val="28"/>
          <w:szCs w:val="28"/>
          <w:u w:val="single"/>
        </w:rPr>
        <w:t>XX</w:t>
      </w:r>
      <w:r>
        <w:rPr>
          <w:rFonts w:hint="eastAsia" w:ascii="宋体" w:hAnsi="宋体"/>
          <w:sz w:val="28"/>
          <w:szCs w:val="28"/>
        </w:rPr>
        <w:t>（单位名称）的</w:t>
      </w:r>
      <w:r>
        <w:rPr>
          <w:rFonts w:hint="eastAsia" w:ascii="宋体" w:hAnsi="宋体"/>
          <w:b/>
          <w:sz w:val="28"/>
          <w:szCs w:val="28"/>
          <w:u w:val="single"/>
        </w:rPr>
        <w:t>XX</w:t>
      </w:r>
      <w:r>
        <w:rPr>
          <w:rFonts w:hint="eastAsia" w:ascii="宋体" w:hAnsi="宋体"/>
          <w:sz w:val="28"/>
          <w:szCs w:val="28"/>
        </w:rPr>
        <w:t>（项目名称）采购活动，</w:t>
      </w:r>
      <w:r>
        <w:rPr>
          <w:rFonts w:hint="eastAsia" w:ascii="宋体" w:hAnsi="宋体"/>
          <w:b/>
          <w:sz w:val="28"/>
          <w:szCs w:val="28"/>
        </w:rPr>
        <w:t>提供的</w:t>
      </w:r>
      <w:r>
        <w:rPr>
          <w:rFonts w:hint="eastAsia" w:ascii="宋体" w:hAnsi="宋体"/>
          <w:b/>
          <w:sz w:val="28"/>
          <w:szCs w:val="28"/>
          <w:highlight w:val="none"/>
        </w:rPr>
        <w:t>货物</w:t>
      </w:r>
      <w:r>
        <w:rPr>
          <w:rFonts w:hint="eastAsia" w:ascii="宋体" w:hAnsi="宋体"/>
          <w:b/>
          <w:sz w:val="28"/>
          <w:szCs w:val="28"/>
        </w:rPr>
        <w:t>全部由符合政策要求的中小企业制造。</w:t>
      </w:r>
      <w:r>
        <w:rPr>
          <w:rFonts w:hint="eastAsia" w:ascii="宋体" w:hAnsi="宋体"/>
          <w:sz w:val="28"/>
          <w:szCs w:val="28"/>
        </w:rPr>
        <w:t>相关企业的具体情况如下：</w:t>
      </w:r>
    </w:p>
    <w:p>
      <w:pPr>
        <w:spacing w:line="480" w:lineRule="exact"/>
        <w:ind w:firstLine="561"/>
        <w:rPr>
          <w:rFonts w:ascii="宋体" w:hAnsi="宋体"/>
          <w:sz w:val="28"/>
          <w:szCs w:val="28"/>
        </w:rPr>
      </w:pPr>
      <w:r>
        <w:rPr>
          <w:rFonts w:hint="eastAsia" w:ascii="宋体" w:hAnsi="宋体"/>
          <w:sz w:val="28"/>
          <w:szCs w:val="28"/>
        </w:rPr>
        <w:t xml:space="preserve"> 1. </w:t>
      </w:r>
      <w:r>
        <w:rPr>
          <w:rFonts w:hint="eastAsia" w:ascii="宋体" w:hAnsi="宋体"/>
          <w:sz w:val="28"/>
          <w:szCs w:val="28"/>
          <w:u w:val="single"/>
        </w:rPr>
        <w:t>___XXXX____</w:t>
      </w:r>
      <w:r>
        <w:rPr>
          <w:rFonts w:hint="eastAsia" w:ascii="宋体" w:hAnsi="宋体"/>
          <w:sz w:val="28"/>
          <w:szCs w:val="28"/>
        </w:rPr>
        <w:t>（标的名称），属于</w:t>
      </w:r>
      <w:r>
        <w:rPr>
          <w:rFonts w:hint="eastAsia" w:ascii="宋体" w:hAnsi="宋体"/>
          <w:sz w:val="28"/>
          <w:szCs w:val="28"/>
          <w:u w:val="single"/>
        </w:rPr>
        <w:t>___XXXX____</w:t>
      </w:r>
      <w:r>
        <w:rPr>
          <w:rFonts w:hint="eastAsia" w:ascii="宋体" w:hAnsi="宋体"/>
          <w:sz w:val="28"/>
          <w:szCs w:val="28"/>
        </w:rPr>
        <w:t>（采购文件中明确的所属行业）行业；制造商为</w:t>
      </w:r>
      <w:r>
        <w:rPr>
          <w:rFonts w:hint="eastAsia" w:ascii="宋体" w:hAnsi="宋体"/>
          <w:sz w:val="28"/>
          <w:szCs w:val="28"/>
          <w:u w:val="single"/>
        </w:rPr>
        <w:t>___XXXX__</w:t>
      </w:r>
      <w:r>
        <w:rPr>
          <w:rFonts w:hint="eastAsia" w:ascii="宋体" w:hAnsi="宋体"/>
          <w:sz w:val="28"/>
          <w:szCs w:val="28"/>
        </w:rPr>
        <w:t>（企业名称），从业人员</w:t>
      </w:r>
      <w:r>
        <w:rPr>
          <w:rFonts w:hint="eastAsia" w:ascii="宋体" w:hAnsi="宋体"/>
          <w:sz w:val="28"/>
          <w:szCs w:val="28"/>
          <w:u w:val="single"/>
        </w:rPr>
        <w:t>___XXXX___</w:t>
      </w:r>
      <w:r>
        <w:rPr>
          <w:rFonts w:hint="eastAsia" w:ascii="宋体" w:hAnsi="宋体"/>
          <w:sz w:val="28"/>
          <w:szCs w:val="28"/>
        </w:rPr>
        <w:t>人，营业收入为</w:t>
      </w:r>
      <w:r>
        <w:rPr>
          <w:rFonts w:hint="eastAsia" w:ascii="宋体" w:hAnsi="宋体"/>
          <w:sz w:val="28"/>
          <w:szCs w:val="28"/>
          <w:u w:val="single"/>
        </w:rPr>
        <w:t>__XXXX__</w:t>
      </w:r>
      <w:r>
        <w:rPr>
          <w:rFonts w:hint="eastAsia" w:ascii="宋体" w:hAnsi="宋体"/>
          <w:sz w:val="28"/>
          <w:szCs w:val="28"/>
        </w:rPr>
        <w:t>万元，资产总额为</w:t>
      </w:r>
      <w:r>
        <w:rPr>
          <w:rFonts w:hint="eastAsia" w:ascii="宋体" w:hAnsi="宋体"/>
          <w:sz w:val="28"/>
          <w:szCs w:val="28"/>
          <w:u w:val="single"/>
        </w:rPr>
        <w:t>___XXXX___</w:t>
      </w:r>
      <w:r>
        <w:rPr>
          <w:rFonts w:hint="eastAsia" w:ascii="宋体" w:hAnsi="宋体"/>
          <w:sz w:val="28"/>
          <w:szCs w:val="28"/>
        </w:rPr>
        <w:t>万元</w:t>
      </w:r>
      <w:r>
        <w:rPr>
          <w:rFonts w:hint="eastAsia" w:ascii="宋体" w:hAnsi="宋体"/>
          <w:sz w:val="28"/>
          <w:szCs w:val="28"/>
          <w:vertAlign w:val="superscript"/>
        </w:rPr>
        <w:t>1</w:t>
      </w:r>
      <w:r>
        <w:rPr>
          <w:rFonts w:hint="eastAsia" w:ascii="宋体" w:hAnsi="宋体"/>
          <w:sz w:val="28"/>
          <w:szCs w:val="28"/>
        </w:rPr>
        <w:t>，属于</w:t>
      </w:r>
      <w:r>
        <w:rPr>
          <w:rFonts w:hint="eastAsia" w:ascii="宋体" w:hAnsi="宋体"/>
          <w:sz w:val="28"/>
          <w:szCs w:val="28"/>
          <w:u w:val="single"/>
        </w:rPr>
        <w:t>___XXXX__</w:t>
      </w:r>
      <w:r>
        <w:rPr>
          <w:rFonts w:hint="eastAsia" w:ascii="宋体" w:hAnsi="宋体"/>
          <w:sz w:val="28"/>
          <w:szCs w:val="28"/>
        </w:rPr>
        <w:t>（中型企业、小型企业、微型企业）。</w:t>
      </w:r>
    </w:p>
    <w:p>
      <w:pPr>
        <w:spacing w:line="480" w:lineRule="exact"/>
        <w:ind w:firstLine="561"/>
        <w:rPr>
          <w:rFonts w:ascii="宋体" w:hAnsi="宋体"/>
          <w:sz w:val="28"/>
          <w:szCs w:val="28"/>
        </w:rPr>
      </w:pPr>
      <w:r>
        <w:rPr>
          <w:rFonts w:hint="eastAsia" w:ascii="宋体" w:hAnsi="宋体"/>
          <w:sz w:val="28"/>
          <w:szCs w:val="28"/>
        </w:rPr>
        <w:t xml:space="preserve">2. </w:t>
      </w:r>
      <w:r>
        <w:rPr>
          <w:rFonts w:hint="eastAsia" w:ascii="宋体" w:hAnsi="宋体"/>
          <w:sz w:val="28"/>
          <w:szCs w:val="28"/>
          <w:u w:val="single"/>
        </w:rPr>
        <w:t>___XXXX____</w:t>
      </w:r>
      <w:r>
        <w:rPr>
          <w:rFonts w:hint="eastAsia" w:ascii="宋体" w:hAnsi="宋体"/>
          <w:sz w:val="28"/>
          <w:szCs w:val="28"/>
        </w:rPr>
        <w:t>（标的名称），属于</w:t>
      </w:r>
      <w:r>
        <w:rPr>
          <w:rFonts w:hint="eastAsia" w:ascii="宋体" w:hAnsi="宋体"/>
          <w:sz w:val="28"/>
          <w:szCs w:val="28"/>
          <w:u w:val="single"/>
        </w:rPr>
        <w:t>___XXXX____</w:t>
      </w:r>
      <w:r>
        <w:rPr>
          <w:rFonts w:hint="eastAsia" w:ascii="宋体" w:hAnsi="宋体"/>
          <w:sz w:val="28"/>
          <w:szCs w:val="28"/>
        </w:rPr>
        <w:t>（采购文件中明确的所属行业）行业；制造商为</w:t>
      </w:r>
      <w:r>
        <w:rPr>
          <w:rFonts w:hint="eastAsia" w:ascii="宋体" w:hAnsi="宋体"/>
          <w:sz w:val="28"/>
          <w:szCs w:val="28"/>
          <w:u w:val="single"/>
        </w:rPr>
        <w:t>___XXXX__</w:t>
      </w:r>
      <w:r>
        <w:rPr>
          <w:rFonts w:hint="eastAsia" w:ascii="宋体" w:hAnsi="宋体"/>
          <w:sz w:val="28"/>
          <w:szCs w:val="28"/>
        </w:rPr>
        <w:t>（企业名称），从业人员</w:t>
      </w:r>
      <w:r>
        <w:rPr>
          <w:rFonts w:hint="eastAsia" w:ascii="宋体" w:hAnsi="宋体"/>
          <w:sz w:val="28"/>
          <w:szCs w:val="28"/>
          <w:u w:val="single"/>
        </w:rPr>
        <w:t>___XXXX___</w:t>
      </w:r>
      <w:r>
        <w:rPr>
          <w:rFonts w:hint="eastAsia" w:ascii="宋体" w:hAnsi="宋体"/>
          <w:sz w:val="28"/>
          <w:szCs w:val="28"/>
        </w:rPr>
        <w:t>人，营业收入为</w:t>
      </w:r>
      <w:r>
        <w:rPr>
          <w:rFonts w:hint="eastAsia" w:ascii="宋体" w:hAnsi="宋体"/>
          <w:sz w:val="28"/>
          <w:szCs w:val="28"/>
          <w:u w:val="single"/>
        </w:rPr>
        <w:t>__XXXX__</w:t>
      </w:r>
      <w:r>
        <w:rPr>
          <w:rFonts w:hint="eastAsia" w:ascii="宋体" w:hAnsi="宋体"/>
          <w:sz w:val="28"/>
          <w:szCs w:val="28"/>
        </w:rPr>
        <w:t>万元，资产总额为</w:t>
      </w:r>
      <w:r>
        <w:rPr>
          <w:rFonts w:hint="eastAsia" w:ascii="宋体" w:hAnsi="宋体"/>
          <w:sz w:val="28"/>
          <w:szCs w:val="28"/>
          <w:u w:val="single"/>
        </w:rPr>
        <w:t>___XXXX___</w:t>
      </w:r>
      <w:r>
        <w:rPr>
          <w:rFonts w:hint="eastAsia" w:ascii="宋体" w:hAnsi="宋体"/>
          <w:sz w:val="28"/>
          <w:szCs w:val="28"/>
        </w:rPr>
        <w:t>万元</w:t>
      </w:r>
      <w:r>
        <w:rPr>
          <w:rFonts w:hint="eastAsia" w:ascii="宋体" w:hAnsi="宋体"/>
          <w:sz w:val="28"/>
          <w:szCs w:val="28"/>
          <w:vertAlign w:val="superscript"/>
        </w:rPr>
        <w:t>1</w:t>
      </w:r>
      <w:r>
        <w:rPr>
          <w:rFonts w:hint="eastAsia" w:ascii="宋体" w:hAnsi="宋体"/>
          <w:sz w:val="28"/>
          <w:szCs w:val="28"/>
        </w:rPr>
        <w:t>，属于</w:t>
      </w:r>
      <w:r>
        <w:rPr>
          <w:rFonts w:hint="eastAsia" w:ascii="宋体" w:hAnsi="宋体"/>
          <w:sz w:val="28"/>
          <w:szCs w:val="28"/>
          <w:u w:val="single"/>
        </w:rPr>
        <w:t>___XXXX__</w:t>
      </w:r>
      <w:r>
        <w:rPr>
          <w:rFonts w:hint="eastAsia" w:ascii="宋体" w:hAnsi="宋体"/>
          <w:sz w:val="28"/>
          <w:szCs w:val="28"/>
        </w:rPr>
        <w:t>（中型企业、小型企业、微型企业）。</w:t>
      </w:r>
    </w:p>
    <w:p>
      <w:pPr>
        <w:spacing w:line="480" w:lineRule="exact"/>
        <w:ind w:firstLine="561"/>
        <w:rPr>
          <w:rFonts w:ascii="宋体" w:hAnsi="宋体"/>
          <w:sz w:val="28"/>
          <w:szCs w:val="28"/>
        </w:rPr>
      </w:pPr>
      <w:r>
        <w:rPr>
          <w:rFonts w:hint="eastAsia" w:ascii="宋体" w:hAnsi="宋体"/>
          <w:sz w:val="28"/>
          <w:szCs w:val="28"/>
        </w:rPr>
        <w:t>…………</w:t>
      </w:r>
    </w:p>
    <w:p>
      <w:pPr>
        <w:spacing w:line="480" w:lineRule="exact"/>
        <w:ind w:firstLine="561"/>
        <w:rPr>
          <w:rFonts w:ascii="宋体" w:hAnsi="宋体"/>
          <w:sz w:val="28"/>
          <w:szCs w:val="28"/>
        </w:rPr>
      </w:pPr>
      <w:r>
        <w:rPr>
          <w:rFonts w:hint="eastAsia" w:ascii="宋体" w:hAnsi="宋体"/>
          <w:sz w:val="28"/>
          <w:szCs w:val="28"/>
        </w:rPr>
        <w:t>以上企业，不属于大企业的分支机构，不存在控股股东 为大企业的情形，也不存在与大企业的负责人为同一人的情形。</w:t>
      </w:r>
    </w:p>
    <w:p>
      <w:pPr>
        <w:spacing w:line="480" w:lineRule="exact"/>
        <w:ind w:firstLine="561"/>
        <w:rPr>
          <w:rFonts w:ascii="宋体" w:hAnsi="宋体"/>
          <w:sz w:val="28"/>
          <w:szCs w:val="28"/>
        </w:rPr>
      </w:pPr>
      <w:r>
        <w:rPr>
          <w:rFonts w:hint="eastAsia" w:ascii="宋体" w:hAnsi="宋体"/>
          <w:sz w:val="28"/>
          <w:szCs w:val="28"/>
        </w:rPr>
        <w:t>本企业对上述声明内容的真实性负责。如有虚假，将依法承担相应责任。</w:t>
      </w:r>
    </w:p>
    <w:p>
      <w:pPr>
        <w:spacing w:line="480" w:lineRule="exact"/>
        <w:ind w:right="280" w:firstLine="561"/>
        <w:jc w:val="right"/>
        <w:rPr>
          <w:rFonts w:ascii="宋体" w:hAnsi="宋体"/>
          <w:sz w:val="28"/>
          <w:szCs w:val="28"/>
        </w:rPr>
      </w:pPr>
      <w:r>
        <w:rPr>
          <w:rFonts w:hint="eastAsia" w:ascii="宋体" w:hAnsi="宋体"/>
          <w:sz w:val="28"/>
          <w:szCs w:val="28"/>
        </w:rPr>
        <w:t>企业名称：</w:t>
      </w:r>
      <w:r>
        <w:rPr>
          <w:rFonts w:hint="eastAsia" w:ascii="宋体" w:hAnsi="宋体"/>
          <w:sz w:val="28"/>
          <w:szCs w:val="28"/>
          <w:u w:val="single"/>
        </w:rPr>
        <w:t>___XXXX____</w:t>
      </w:r>
    </w:p>
    <w:p>
      <w:pPr>
        <w:spacing w:line="480" w:lineRule="exact"/>
        <w:ind w:firstLine="561"/>
        <w:rPr>
          <w:rFonts w:ascii="宋体" w:hAnsi="宋体"/>
          <w:sz w:val="28"/>
          <w:szCs w:val="28"/>
        </w:rPr>
      </w:pPr>
      <w:r>
        <w:rPr>
          <w:rFonts w:hint="eastAsia" w:ascii="宋体" w:hAnsi="宋体"/>
          <w:sz w:val="28"/>
          <w:szCs w:val="28"/>
        </w:rPr>
        <w:t xml:space="preserve">                                日 期：202X年XX月XX日</w:t>
      </w:r>
    </w:p>
    <w:p>
      <w:pPr>
        <w:pStyle w:val="77"/>
        <w:tabs>
          <w:tab w:val="left" w:pos="567"/>
          <w:tab w:val="left" w:pos="709"/>
          <w:tab w:val="left" w:pos="851"/>
        </w:tabs>
        <w:spacing w:line="520" w:lineRule="exact"/>
        <w:ind w:firstLine="0" w:firstLineChars="0"/>
        <w:rPr>
          <w:rFonts w:ascii="宋体" w:hAnsi="宋体" w:eastAsia="宋体"/>
          <w:b/>
          <w:sz w:val="28"/>
          <w:szCs w:val="28"/>
        </w:rPr>
      </w:pPr>
    </w:p>
    <w:p>
      <w:pPr>
        <w:pStyle w:val="77"/>
        <w:tabs>
          <w:tab w:val="left" w:pos="567"/>
          <w:tab w:val="left" w:pos="709"/>
          <w:tab w:val="left" w:pos="851"/>
        </w:tabs>
        <w:spacing w:line="520" w:lineRule="exact"/>
        <w:ind w:firstLine="0" w:firstLineChars="0"/>
        <w:rPr>
          <w:rFonts w:ascii="宋体" w:hAnsi="宋体" w:eastAsia="宋体"/>
          <w:b/>
          <w:sz w:val="28"/>
          <w:szCs w:val="28"/>
        </w:rPr>
      </w:pPr>
      <w:r>
        <w:rPr>
          <w:rFonts w:hint="eastAsia" w:ascii="宋体" w:hAnsi="宋体" w:eastAsia="宋体"/>
          <w:b/>
          <w:sz w:val="28"/>
          <w:szCs w:val="28"/>
        </w:rPr>
        <w:t>说明：</w:t>
      </w:r>
      <w:r>
        <w:rPr>
          <w:rFonts w:hint="eastAsia" w:ascii="宋体" w:hAnsi="宋体" w:eastAsia="宋体"/>
          <w:b/>
          <w:sz w:val="28"/>
          <w:szCs w:val="28"/>
          <w:vertAlign w:val="superscript"/>
        </w:rPr>
        <w:t>1</w:t>
      </w:r>
      <w:r>
        <w:rPr>
          <w:rFonts w:hint="eastAsia" w:ascii="宋体" w:hAnsi="宋体" w:eastAsia="宋体"/>
          <w:b/>
          <w:sz w:val="28"/>
          <w:szCs w:val="28"/>
        </w:rPr>
        <w:t>从业人员、营业收入、资产总额填报上一年度数据，无上一年度数据的新成立企业可不填报。</w:t>
      </w:r>
    </w:p>
    <w:p>
      <w:pPr>
        <w:pStyle w:val="77"/>
        <w:tabs>
          <w:tab w:val="left" w:pos="567"/>
          <w:tab w:val="left" w:pos="709"/>
          <w:tab w:val="left" w:pos="851"/>
        </w:tabs>
        <w:spacing w:line="520" w:lineRule="exact"/>
        <w:ind w:firstLine="0" w:firstLineChars="0"/>
        <w:rPr>
          <w:rFonts w:ascii="宋体" w:hAnsi="宋体" w:eastAsia="宋体"/>
          <w:b/>
          <w:sz w:val="28"/>
          <w:szCs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残疾人福利性单位声明函</w:t>
      </w:r>
    </w:p>
    <w:p>
      <w:pPr>
        <w:spacing w:line="588" w:lineRule="exact"/>
        <w:ind w:firstLine="562" w:firstLineChars="200"/>
        <w:jc w:val="center"/>
        <w:rPr>
          <w:b/>
          <w:sz w:val="28"/>
          <w:szCs w:val="28"/>
        </w:rPr>
      </w:pPr>
      <w:r>
        <w:rPr>
          <w:rFonts w:hint="eastAsia"/>
          <w:b/>
          <w:sz w:val="28"/>
          <w:szCs w:val="28"/>
        </w:rPr>
        <w:t>残疾人福利性单位声明函</w:t>
      </w:r>
    </w:p>
    <w:p>
      <w:pPr>
        <w:spacing w:line="588" w:lineRule="exact"/>
        <w:ind w:firstLine="584" w:firstLineChars="200"/>
        <w:rPr>
          <w:rFonts w:ascii="宋体" w:hAnsi="宋体"/>
          <w:spacing w:val="6"/>
          <w:sz w:val="28"/>
          <w:szCs w:val="28"/>
        </w:rPr>
      </w:pPr>
      <w:r>
        <w:rPr>
          <w:rFonts w:hint="eastAsia" w:ascii="宋体" w:hAnsi="宋体"/>
          <w:spacing w:val="6"/>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b/>
          <w:sz w:val="28"/>
          <w:szCs w:val="28"/>
          <w:u w:val="single"/>
        </w:rPr>
        <w:t>XX</w:t>
      </w:r>
      <w:r>
        <w:rPr>
          <w:rFonts w:hint="eastAsia" w:ascii="宋体" w:hAnsi="宋体"/>
          <w:spacing w:val="6"/>
          <w:sz w:val="28"/>
          <w:szCs w:val="28"/>
        </w:rPr>
        <w:t>单位</w:t>
      </w:r>
      <w:r>
        <w:rPr>
          <w:rFonts w:ascii="宋体" w:hAnsi="宋体"/>
          <w:spacing w:val="6"/>
          <w:sz w:val="28"/>
          <w:szCs w:val="28"/>
        </w:rPr>
        <w:t>的</w:t>
      </w:r>
      <w:r>
        <w:rPr>
          <w:rFonts w:hint="eastAsia" w:ascii="宋体" w:hAnsi="宋体"/>
          <w:b/>
          <w:sz w:val="28"/>
          <w:szCs w:val="28"/>
          <w:u w:val="single"/>
        </w:rPr>
        <w:t>XX</w:t>
      </w:r>
      <w:r>
        <w:rPr>
          <w:rFonts w:hint="eastAsia" w:ascii="宋体" w:hAnsi="宋体"/>
          <w:spacing w:val="6"/>
          <w:sz w:val="28"/>
          <w:szCs w:val="28"/>
        </w:rPr>
        <w:t>采购活动提供本单位制造的货物，或者提供其他残疾人福利性单位制造的货物（不包括使用非残疾人福利性单位注册商标的货物）。</w:t>
      </w:r>
    </w:p>
    <w:p>
      <w:pPr>
        <w:spacing w:line="588" w:lineRule="exact"/>
        <w:ind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spacing w:line="588" w:lineRule="exact"/>
        <w:ind w:firstLine="584" w:firstLineChars="200"/>
        <w:rPr>
          <w:rFonts w:ascii="宋体" w:hAnsi="宋体"/>
          <w:spacing w:val="6"/>
          <w:sz w:val="28"/>
          <w:szCs w:val="28"/>
        </w:rPr>
      </w:pPr>
    </w:p>
    <w:p>
      <w:pPr>
        <w:spacing w:line="588" w:lineRule="exact"/>
        <w:ind w:firstLine="584" w:firstLineChars="200"/>
        <w:rPr>
          <w:rFonts w:ascii="宋体" w:hAnsi="宋体"/>
          <w:spacing w:val="6"/>
          <w:sz w:val="28"/>
          <w:szCs w:val="28"/>
        </w:rPr>
      </w:pPr>
    </w:p>
    <w:p>
      <w:pPr>
        <w:spacing w:line="588" w:lineRule="exact"/>
        <w:jc w:val="right"/>
        <w:rPr>
          <w:rFonts w:ascii="宋体" w:hAnsi="宋体"/>
          <w:spacing w:val="6"/>
          <w:sz w:val="28"/>
          <w:szCs w:val="28"/>
        </w:rPr>
      </w:pPr>
    </w:p>
    <w:p>
      <w:pPr>
        <w:tabs>
          <w:tab w:val="left" w:pos="3969"/>
        </w:tabs>
        <w:spacing w:line="588" w:lineRule="exact"/>
        <w:ind w:right="526" w:firstLine="5244" w:firstLineChars="1796"/>
        <w:rPr>
          <w:rFonts w:ascii="宋体" w:hAnsi="宋体"/>
          <w:spacing w:val="6"/>
          <w:sz w:val="28"/>
          <w:szCs w:val="28"/>
        </w:rPr>
      </w:pPr>
      <w:r>
        <w:rPr>
          <w:rFonts w:hint="eastAsia" w:ascii="宋体" w:hAnsi="宋体"/>
          <w:spacing w:val="6"/>
          <w:sz w:val="28"/>
          <w:szCs w:val="28"/>
        </w:rPr>
        <w:t>单位名称：</w:t>
      </w:r>
      <w:r>
        <w:rPr>
          <w:rFonts w:hint="eastAsia" w:ascii="宋体" w:hAnsi="宋体"/>
          <w:spacing w:val="6"/>
          <w:sz w:val="28"/>
          <w:szCs w:val="28"/>
          <w:u w:val="single"/>
        </w:rPr>
        <w:t>XXXX</w:t>
      </w:r>
    </w:p>
    <w:p>
      <w:pPr>
        <w:tabs>
          <w:tab w:val="left" w:pos="3969"/>
        </w:tabs>
        <w:spacing w:line="588" w:lineRule="exact"/>
        <w:ind w:right="-58"/>
        <w:jc w:val="right"/>
        <w:rPr>
          <w:rFonts w:ascii="宋体" w:hAnsi="宋体"/>
          <w:bCs/>
          <w:sz w:val="28"/>
        </w:rPr>
      </w:pPr>
      <w:r>
        <w:rPr>
          <w:rFonts w:hint="eastAsia" w:ascii="宋体" w:hAnsi="宋体"/>
          <w:spacing w:val="6"/>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keepNext/>
        <w:keepLines/>
        <w:numPr>
          <w:ilvl w:val="2"/>
          <w:numId w:val="5"/>
        </w:numPr>
        <w:spacing w:line="360" w:lineRule="auto"/>
        <w:ind w:left="3119" w:hanging="3119"/>
        <w:outlineLvl w:val="2"/>
        <w:rPr>
          <w:rFonts w:ascii="宋体" w:hAnsi="宋体"/>
          <w:sz w:val="28"/>
        </w:rPr>
      </w:pPr>
      <w:r>
        <w:rPr>
          <w:rFonts w:hint="eastAsia" w:ascii="宋体" w:hAnsi="宋体"/>
          <w:b/>
          <w:sz w:val="28"/>
          <w:szCs w:val="28"/>
        </w:rPr>
        <w:t>投标产品</w:t>
      </w:r>
      <w:r>
        <w:rPr>
          <w:rFonts w:ascii="宋体" w:hAnsi="宋体"/>
          <w:b/>
          <w:sz w:val="28"/>
          <w:szCs w:val="28"/>
        </w:rPr>
        <w:t>制造商属于监狱企业的证明文件复印件</w:t>
      </w:r>
    </w:p>
    <w:p>
      <w:pPr>
        <w:tabs>
          <w:tab w:val="left" w:pos="3969"/>
        </w:tabs>
        <w:spacing w:line="588" w:lineRule="exact"/>
        <w:ind w:right="-58"/>
        <w:rPr>
          <w:rFonts w:ascii="宋体" w:hAnsi="宋体"/>
          <w:spacing w:val="6"/>
          <w:sz w:val="28"/>
          <w:szCs w:val="28"/>
        </w:rPr>
      </w:pPr>
    </w:p>
    <w:p>
      <w:pPr>
        <w:tabs>
          <w:tab w:val="left" w:pos="3969"/>
        </w:tabs>
        <w:spacing w:line="588" w:lineRule="exact"/>
        <w:ind w:right="-58" w:firstLine="708" w:firstLineChars="253"/>
        <w:rPr>
          <w:rFonts w:ascii="宋体" w:hAnsi="宋体"/>
          <w:spacing w:val="6"/>
          <w:sz w:val="28"/>
          <w:szCs w:val="28"/>
        </w:rPr>
      </w:pPr>
      <w:r>
        <w:rPr>
          <w:rFonts w:hint="eastAsia"/>
          <w:sz w:val="28"/>
          <w:szCs w:val="28"/>
        </w:rPr>
        <w:t>投标</w:t>
      </w:r>
      <w:r>
        <w:rPr>
          <w:sz w:val="28"/>
          <w:szCs w:val="28"/>
        </w:rPr>
        <w:t>投标产品中为监狱企业制造的货物应提供由省级以上监狱管理局、戒毒管理局（含新疆生产建设兵团）出具的制造商属于监狱企业的证明文件复印件</w:t>
      </w:r>
      <w:r>
        <w:rPr>
          <w:rFonts w:hint="eastAsia"/>
          <w:sz w:val="28"/>
          <w:szCs w:val="28"/>
        </w:rPr>
        <w:t>。</w:t>
      </w: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spacing w:line="588" w:lineRule="exact"/>
        <w:ind w:firstLine="563"/>
        <w:rPr>
          <w:rFonts w:ascii="宋体" w:hAnsi="宋体"/>
          <w:b/>
          <w:sz w:val="28"/>
          <w:szCs w:val="28"/>
        </w:rPr>
      </w:pPr>
      <w:r>
        <w:rPr>
          <w:rFonts w:hint="eastAsia" w:ascii="宋体" w:hAnsi="宋体"/>
          <w:b/>
          <w:spacing w:val="6"/>
          <w:sz w:val="28"/>
          <w:szCs w:val="28"/>
        </w:rPr>
        <w:t>说明：</w:t>
      </w:r>
      <w:r>
        <w:rPr>
          <w:rFonts w:hint="eastAsia" w:ascii="宋体" w:hAnsi="宋体"/>
          <w:b/>
          <w:sz w:val="28"/>
          <w:szCs w:val="28"/>
        </w:rPr>
        <w:t>如未提供投标产品</w:t>
      </w:r>
      <w:r>
        <w:rPr>
          <w:rFonts w:ascii="宋体" w:hAnsi="宋体"/>
          <w:b/>
          <w:sz w:val="28"/>
          <w:szCs w:val="28"/>
        </w:rPr>
        <w:t>制造商属于监狱企业的证明文件</w:t>
      </w:r>
      <w:r>
        <w:rPr>
          <w:rFonts w:hint="eastAsia" w:ascii="宋体" w:hAnsi="宋体"/>
          <w:b/>
          <w:sz w:val="28"/>
          <w:szCs w:val="28"/>
        </w:rPr>
        <w:t>复印件的，不能享受招标文件规定的价格扣除，但不影响投标人投标文件的有效性。</w:t>
      </w:r>
    </w:p>
    <w:p>
      <w:pPr>
        <w:spacing w:line="440" w:lineRule="atLeast"/>
        <w:rPr>
          <w:rFonts w:ascii="宋体" w:hAnsi="宋体"/>
          <w:b/>
          <w:sz w:val="28"/>
          <w:szCs w:val="28"/>
        </w:rPr>
      </w:pPr>
    </w:p>
    <w:bookmarkEnd w:id="147"/>
    <w:p>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149" w:name="_Toc217446093"/>
      <w:bookmarkStart w:id="150" w:name="_Toc74752334"/>
      <w:bookmarkStart w:id="151" w:name="_Toc321382057"/>
      <w:bookmarkStart w:id="152" w:name="_Toc316292231"/>
      <w:r>
        <w:rPr>
          <w:rFonts w:hint="eastAsia" w:ascii="宋体" w:hAnsi="宋体"/>
          <w:b/>
          <w:bCs/>
          <w:spacing w:val="-20"/>
          <w:kern w:val="44"/>
          <w:sz w:val="32"/>
          <w:szCs w:val="32"/>
        </w:rPr>
        <w:t>招标项目技术、服务、商务及其他要求</w:t>
      </w:r>
      <w:bookmarkEnd w:id="149"/>
      <w:bookmarkEnd w:id="150"/>
    </w:p>
    <w:p>
      <w:pPr>
        <w:pStyle w:val="2"/>
        <w:keepNext w:val="0"/>
        <w:keepLines w:val="0"/>
        <w:pageBreakBefore w:val="0"/>
        <w:widowControl w:val="0"/>
        <w:numPr>
          <w:ilvl w:val="0"/>
          <w:numId w:val="39"/>
        </w:numPr>
        <w:kinsoku/>
        <w:wordWrap/>
        <w:overflowPunct/>
        <w:topLinePunct w:val="0"/>
        <w:autoSpaceDE/>
        <w:autoSpaceDN/>
        <w:bidi w:val="0"/>
        <w:adjustRightInd/>
        <w:snapToGrid/>
        <w:spacing w:after="0" w:line="480" w:lineRule="exact"/>
        <w:ind w:left="0" w:leftChars="0" w:firstLine="0" w:firstLineChars="0"/>
        <w:jc w:val="both"/>
        <w:textAlignment w:val="auto"/>
        <w:outlineLvl w:val="9"/>
        <w:rPr>
          <w:rFonts w:hint="eastAsia" w:ascii="宋体" w:hAnsi="宋体"/>
          <w:b/>
          <w:bCs/>
          <w:spacing w:val="-20"/>
          <w:kern w:val="44"/>
          <w:sz w:val="32"/>
          <w:szCs w:val="32"/>
          <w:lang w:eastAsia="zh-CN"/>
        </w:rPr>
      </w:pPr>
      <w:r>
        <w:rPr>
          <w:rFonts w:hint="eastAsia" w:ascii="宋体" w:hAnsi="宋体"/>
          <w:b/>
          <w:bCs/>
          <w:spacing w:val="-20"/>
          <w:kern w:val="44"/>
          <w:sz w:val="32"/>
          <w:szCs w:val="32"/>
          <w:lang w:eastAsia="zh-CN"/>
        </w:rPr>
        <w:t>项目概述</w:t>
      </w:r>
    </w:p>
    <w:p>
      <w:pPr>
        <w:keepNext w:val="0"/>
        <w:keepLines w:val="0"/>
        <w:pageBreakBefore w:val="0"/>
        <w:widowControl w:val="0"/>
        <w:tabs>
          <w:tab w:val="left" w:pos="3969"/>
        </w:tabs>
        <w:kinsoku/>
        <w:wordWrap/>
        <w:overflowPunct/>
        <w:topLinePunct w:val="0"/>
        <w:autoSpaceDE/>
        <w:autoSpaceDN/>
        <w:bidi w:val="0"/>
        <w:adjustRightInd/>
        <w:snapToGrid/>
        <w:spacing w:line="480" w:lineRule="exact"/>
        <w:ind w:left="0" w:leftChars="0" w:right="-58" w:firstLine="0" w:firstLineChars="0"/>
        <w:jc w:val="both"/>
        <w:textAlignment w:val="auto"/>
        <w:outlineLvl w:val="9"/>
        <w:rPr>
          <w:rFonts w:hint="eastAsia"/>
          <w:sz w:val="28"/>
          <w:szCs w:val="28"/>
          <w:lang w:eastAsia="zh-CN"/>
        </w:rPr>
      </w:pPr>
      <w:r>
        <w:rPr>
          <w:rFonts w:hint="eastAsia"/>
          <w:lang w:val="en-US" w:eastAsia="zh-CN"/>
        </w:rPr>
        <w:t xml:space="preserve"> </w:t>
      </w:r>
      <w:r>
        <w:rPr>
          <w:rFonts w:hint="eastAsia"/>
          <w:sz w:val="28"/>
          <w:szCs w:val="28"/>
          <w:lang w:val="en-US" w:eastAsia="zh-CN"/>
        </w:rPr>
        <w:t xml:space="preserve">  </w:t>
      </w:r>
      <w:r>
        <w:rPr>
          <w:rFonts w:hint="eastAsia"/>
          <w:sz w:val="28"/>
          <w:szCs w:val="28"/>
        </w:rPr>
        <w:t>按照《成都市中小学教育技术装备标准》的要求，满足教育教学的需求，采购（会议室LED屏、功能室电子白板多媒体）项目</w:t>
      </w:r>
      <w:r>
        <w:rPr>
          <w:rFonts w:hint="eastAsia"/>
          <w:sz w:val="28"/>
          <w:szCs w:val="28"/>
          <w:lang w:eastAsia="zh-CN"/>
        </w:rPr>
        <w:t>。</w:t>
      </w:r>
    </w:p>
    <w:p>
      <w:pPr>
        <w:pageBreakBefore w:val="0"/>
        <w:widowControl w:val="0"/>
        <w:tabs>
          <w:tab w:val="left" w:pos="3969"/>
        </w:tabs>
        <w:kinsoku/>
        <w:wordWrap/>
        <w:overflowPunct/>
        <w:topLinePunct w:val="0"/>
        <w:autoSpaceDE/>
        <w:autoSpaceDN/>
        <w:bidi w:val="0"/>
        <w:adjustRightInd/>
        <w:snapToGrid/>
        <w:spacing w:line="480" w:lineRule="exact"/>
        <w:ind w:left="0" w:leftChars="0" w:right="-58"/>
        <w:jc w:val="both"/>
        <w:textAlignment w:val="auto"/>
        <w:rPr>
          <w:sz w:val="28"/>
          <w:szCs w:val="28"/>
        </w:rPr>
      </w:pPr>
      <w:r>
        <w:rPr>
          <w:rFonts w:hint="eastAsia"/>
          <w:sz w:val="28"/>
          <w:szCs w:val="28"/>
          <w:lang w:val="en-US" w:eastAsia="zh-CN"/>
        </w:rPr>
        <w:t xml:space="preserve">   </w:t>
      </w:r>
      <w:r>
        <w:rPr>
          <w:rFonts w:hint="eastAsia"/>
          <w:sz w:val="28"/>
          <w:szCs w:val="28"/>
        </w:rPr>
        <w:t>成都市武侯实验小学会议室室内全彩LED显示屏及音箱系统的建设，能有效解决学校举行会议、培训、讲座、活动时现场多媒体视频、音频同步播放的实际需求，提升学校宣传工作的成效，增强现场的互动性，是一项急需尽快实施的多媒体系统建设工程。</w:t>
      </w:r>
    </w:p>
    <w:p>
      <w:pPr>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rPr>
          <w:sz w:val="28"/>
          <w:szCs w:val="28"/>
        </w:rPr>
      </w:pPr>
      <w:r>
        <w:rPr>
          <w:rFonts w:hint="eastAsia"/>
          <w:sz w:val="28"/>
          <w:szCs w:val="28"/>
          <w:lang w:val="en-US" w:eastAsia="zh-CN"/>
        </w:rPr>
        <w:t xml:space="preserve">    </w:t>
      </w:r>
      <w:r>
        <w:rPr>
          <w:rFonts w:hint="eastAsia"/>
          <w:sz w:val="28"/>
          <w:szCs w:val="28"/>
        </w:rPr>
        <w:t>1.满足举行会议、培训、讲座、活动时现场多媒体视频、音频的同步播放，提升工作效率。</w:t>
      </w:r>
    </w:p>
    <w:p>
      <w:pPr>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rPr>
          <w:rFonts w:hint="eastAsia"/>
          <w:sz w:val="28"/>
          <w:szCs w:val="28"/>
        </w:rPr>
      </w:pPr>
      <w:r>
        <w:rPr>
          <w:rFonts w:hint="eastAsia"/>
          <w:sz w:val="28"/>
          <w:szCs w:val="28"/>
          <w:lang w:val="en-US" w:eastAsia="zh-CN"/>
        </w:rPr>
        <w:t xml:space="preserve">    </w:t>
      </w:r>
      <w:r>
        <w:rPr>
          <w:rFonts w:hint="eastAsia"/>
          <w:sz w:val="28"/>
          <w:szCs w:val="28"/>
        </w:rPr>
        <w:t>2.实时播放学校宣传视频、宣传标语、各类教育活动的口号、主题背景等，提高宣传工作提高效率。</w:t>
      </w:r>
    </w:p>
    <w:p>
      <w:pPr>
        <w:keepNext/>
        <w:keepLines/>
        <w:pageBreakBefore w:val="0"/>
        <w:widowControl w:val="0"/>
        <w:numPr>
          <w:ilvl w:val="0"/>
          <w:numId w:val="0"/>
        </w:numPr>
        <w:kinsoku/>
        <w:wordWrap/>
        <w:overflowPunct/>
        <w:topLinePunct w:val="0"/>
        <w:autoSpaceDE/>
        <w:autoSpaceDN/>
        <w:bidi w:val="0"/>
        <w:adjustRightInd/>
        <w:snapToGrid/>
        <w:spacing w:line="480" w:lineRule="exact"/>
        <w:jc w:val="both"/>
        <w:textAlignment w:val="auto"/>
        <w:outlineLvl w:val="0"/>
        <w:rPr>
          <w:sz w:val="28"/>
          <w:szCs w:val="28"/>
        </w:rPr>
      </w:pPr>
      <w:bookmarkStart w:id="153" w:name="_Toc74752339"/>
      <w:r>
        <w:rPr>
          <w:rFonts w:hint="eastAsia" w:ascii="宋体" w:hAnsi="宋体" w:cs="宋体"/>
          <w:b/>
          <w:bCs/>
          <w:spacing w:val="-20"/>
          <w:kern w:val="44"/>
          <w:sz w:val="32"/>
          <w:szCs w:val="32"/>
          <w:lang w:eastAsia="zh-CN"/>
        </w:rPr>
        <w:t>二、</w:t>
      </w:r>
      <w:r>
        <w:rPr>
          <w:rFonts w:hint="eastAsia" w:ascii="宋体" w:hAnsi="宋体" w:eastAsia="宋体" w:cs="宋体"/>
          <w:b/>
          <w:bCs/>
          <w:spacing w:val="-20"/>
          <w:kern w:val="44"/>
          <w:sz w:val="32"/>
          <w:szCs w:val="32"/>
          <w:lang w:eastAsia="zh-CN"/>
        </w:rPr>
        <w:t>技术要求</w:t>
      </w:r>
    </w:p>
    <w:p>
      <w:pPr>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rPr>
          <w:sz w:val="28"/>
          <w:szCs w:val="28"/>
        </w:rPr>
      </w:pPr>
      <w:r>
        <w:rPr>
          <w:rFonts w:hint="eastAsia"/>
          <w:sz w:val="28"/>
          <w:szCs w:val="28"/>
        </w:rPr>
        <w:t>（一）采购内容：</w:t>
      </w:r>
    </w:p>
    <w:p>
      <w:pPr>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rPr>
          <w:sz w:val="28"/>
          <w:szCs w:val="28"/>
        </w:rPr>
      </w:pPr>
      <w:r>
        <w:rPr>
          <w:rFonts w:hint="eastAsia"/>
          <w:sz w:val="28"/>
          <w:szCs w:val="28"/>
          <w:lang w:val="en-US" w:eastAsia="zh-CN"/>
        </w:rPr>
        <w:t xml:space="preserve">    </w:t>
      </w:r>
      <w:r>
        <w:rPr>
          <w:rFonts w:hint="eastAsia"/>
          <w:sz w:val="28"/>
          <w:szCs w:val="28"/>
        </w:rPr>
        <w:t>1.室内全彩屏体建设，屏体尺寸3.2米*1.92米，及控制系统；</w:t>
      </w:r>
    </w:p>
    <w:p>
      <w:pPr>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rPr>
          <w:sz w:val="28"/>
          <w:szCs w:val="28"/>
        </w:rPr>
      </w:pPr>
      <w:r>
        <w:rPr>
          <w:rFonts w:hint="eastAsia"/>
          <w:sz w:val="28"/>
          <w:szCs w:val="28"/>
          <w:lang w:val="en-US" w:eastAsia="zh-CN"/>
        </w:rPr>
        <w:t xml:space="preserve">    </w:t>
      </w:r>
      <w:r>
        <w:rPr>
          <w:rFonts w:hint="eastAsia"/>
          <w:sz w:val="28"/>
          <w:szCs w:val="28"/>
        </w:rPr>
        <w:t>2.功能室2套电子白板多媒体。</w:t>
      </w:r>
    </w:p>
    <w:p>
      <w:pPr>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rPr>
          <w:sz w:val="28"/>
          <w:szCs w:val="28"/>
        </w:rPr>
      </w:pPr>
      <w:r>
        <w:rPr>
          <w:rFonts w:hint="eastAsia"/>
          <w:sz w:val="28"/>
          <w:szCs w:val="28"/>
        </w:rPr>
        <w:t>（二）用途的简要说明：</w:t>
      </w:r>
    </w:p>
    <w:p>
      <w:pPr>
        <w:pageBreakBefore w:val="0"/>
        <w:widowControl w:val="0"/>
        <w:tabs>
          <w:tab w:val="left" w:pos="3969"/>
        </w:tabs>
        <w:kinsoku/>
        <w:wordWrap/>
        <w:overflowPunct/>
        <w:topLinePunct w:val="0"/>
        <w:autoSpaceDE/>
        <w:autoSpaceDN/>
        <w:bidi w:val="0"/>
        <w:adjustRightInd/>
        <w:snapToGrid/>
        <w:spacing w:line="480" w:lineRule="exact"/>
        <w:ind w:left="0" w:leftChars="0" w:right="-58" w:firstLine="708" w:firstLineChars="253"/>
        <w:jc w:val="both"/>
        <w:textAlignment w:val="auto"/>
        <w:rPr>
          <w:sz w:val="28"/>
          <w:szCs w:val="28"/>
        </w:rPr>
      </w:pPr>
      <w:r>
        <w:rPr>
          <w:rFonts w:hint="eastAsia"/>
          <w:sz w:val="28"/>
          <w:szCs w:val="28"/>
        </w:rPr>
        <w:t>有效解决学校举行会议、培训、讲座、活动时现场多媒体视频、音频同步播放的实际需求，提升学校宣传工作的成效，增强现场的互动性。</w:t>
      </w:r>
    </w:p>
    <w:p>
      <w:pPr>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rPr>
          <w:sz w:val="28"/>
          <w:szCs w:val="28"/>
        </w:rPr>
      </w:pPr>
      <w:r>
        <w:rPr>
          <w:rFonts w:hint="eastAsia"/>
          <w:sz w:val="28"/>
          <w:szCs w:val="28"/>
          <w:lang w:val="en-US" w:eastAsia="zh-CN"/>
        </w:rPr>
        <w:t xml:space="preserve">   </w:t>
      </w:r>
      <w:r>
        <w:rPr>
          <w:rFonts w:hint="eastAsia"/>
          <w:sz w:val="28"/>
          <w:szCs w:val="28"/>
        </w:rPr>
        <w:t xml:space="preserve">  功能室电子白板多媒体，为师生教学发挥重要的教学技术支持。</w:t>
      </w:r>
    </w:p>
    <w:p>
      <w:pPr>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rPr>
          <w:sz w:val="28"/>
          <w:szCs w:val="28"/>
        </w:rPr>
      </w:pPr>
      <w:r>
        <w:rPr>
          <w:rFonts w:hint="eastAsia"/>
          <w:sz w:val="28"/>
          <w:szCs w:val="28"/>
        </w:rPr>
        <w:t>（三）技术参数及要求：</w:t>
      </w:r>
    </w:p>
    <w:p>
      <w:pPr>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rPr>
          <w:sz w:val="28"/>
          <w:szCs w:val="28"/>
        </w:rPr>
      </w:pPr>
      <w:r>
        <w:rPr>
          <w:rFonts w:hint="eastAsia"/>
          <w:sz w:val="28"/>
          <w:szCs w:val="28"/>
          <w:lang w:val="en-US" w:eastAsia="zh-CN"/>
        </w:rPr>
        <w:t xml:space="preserve">    </w:t>
      </w:r>
      <w:r>
        <w:rPr>
          <w:rFonts w:hint="eastAsia"/>
          <w:sz w:val="28"/>
          <w:szCs w:val="28"/>
        </w:rPr>
        <w:t>1、采购系统规格</w:t>
      </w:r>
    </w:p>
    <w:p>
      <w:pPr>
        <w:pageBreakBefore w:val="0"/>
        <w:widowControl w:val="0"/>
        <w:tabs>
          <w:tab w:val="left" w:pos="3969"/>
        </w:tabs>
        <w:kinsoku/>
        <w:wordWrap/>
        <w:overflowPunct/>
        <w:topLinePunct w:val="0"/>
        <w:autoSpaceDE/>
        <w:autoSpaceDN/>
        <w:bidi w:val="0"/>
        <w:adjustRightInd/>
        <w:snapToGrid/>
        <w:spacing w:line="480" w:lineRule="exact"/>
        <w:ind w:left="0" w:leftChars="0" w:right="-58" w:firstLine="708" w:firstLineChars="253"/>
        <w:jc w:val="both"/>
        <w:textAlignment w:val="auto"/>
        <w:rPr>
          <w:sz w:val="28"/>
          <w:szCs w:val="28"/>
        </w:rPr>
      </w:pPr>
      <w:r>
        <w:rPr>
          <w:rFonts w:hint="eastAsia"/>
          <w:sz w:val="28"/>
          <w:szCs w:val="28"/>
        </w:rPr>
        <w:t>A、LEDP1.666室内全彩屏屏体钢架结构及外装饰建设，总体尺寸3.3米*2.02米；</w:t>
      </w:r>
    </w:p>
    <w:p>
      <w:pPr>
        <w:pageBreakBefore w:val="0"/>
        <w:widowControl w:val="0"/>
        <w:tabs>
          <w:tab w:val="left" w:pos="3969"/>
        </w:tabs>
        <w:kinsoku/>
        <w:wordWrap/>
        <w:overflowPunct/>
        <w:topLinePunct w:val="0"/>
        <w:autoSpaceDE/>
        <w:autoSpaceDN/>
        <w:bidi w:val="0"/>
        <w:adjustRightInd/>
        <w:snapToGrid/>
        <w:spacing w:line="480" w:lineRule="exact"/>
        <w:ind w:left="0" w:leftChars="0" w:right="-58" w:firstLine="708" w:firstLineChars="253"/>
        <w:jc w:val="both"/>
        <w:textAlignment w:val="auto"/>
        <w:rPr>
          <w:sz w:val="28"/>
          <w:szCs w:val="28"/>
        </w:rPr>
      </w:pPr>
      <w:r>
        <w:rPr>
          <w:rFonts w:hint="eastAsia"/>
          <w:sz w:val="28"/>
          <w:szCs w:val="28"/>
        </w:rPr>
        <w:t>B、LEDP1.666室内全彩屏体建设，屏体尺寸3.2米*1.92米，面积6.144㎡，施工周期预计25天；</w:t>
      </w:r>
    </w:p>
    <w:p>
      <w:pPr>
        <w:pageBreakBefore w:val="0"/>
        <w:widowControl w:val="0"/>
        <w:tabs>
          <w:tab w:val="left" w:pos="3969"/>
        </w:tabs>
        <w:kinsoku/>
        <w:wordWrap/>
        <w:overflowPunct/>
        <w:topLinePunct w:val="0"/>
        <w:autoSpaceDE/>
        <w:autoSpaceDN/>
        <w:bidi w:val="0"/>
        <w:adjustRightInd/>
        <w:snapToGrid/>
        <w:spacing w:line="480" w:lineRule="exact"/>
        <w:ind w:left="0" w:leftChars="0" w:right="-58" w:firstLine="708" w:firstLineChars="253"/>
        <w:jc w:val="both"/>
        <w:textAlignment w:val="auto"/>
        <w:rPr>
          <w:sz w:val="28"/>
          <w:szCs w:val="28"/>
        </w:rPr>
      </w:pPr>
      <w:r>
        <w:rPr>
          <w:rFonts w:hint="eastAsia"/>
          <w:sz w:val="28"/>
          <w:szCs w:val="28"/>
        </w:rPr>
        <w:t>C、LEDP1.666室内全彩屏控制系统建设；（音频接入会议室音箱系统）</w:t>
      </w:r>
    </w:p>
    <w:p>
      <w:pPr>
        <w:pageBreakBefore w:val="0"/>
        <w:widowControl w:val="0"/>
        <w:tabs>
          <w:tab w:val="left" w:pos="630"/>
          <w:tab w:val="left" w:pos="3969"/>
        </w:tabs>
        <w:kinsoku/>
        <w:wordWrap/>
        <w:overflowPunct/>
        <w:topLinePunct w:val="0"/>
        <w:autoSpaceDE/>
        <w:autoSpaceDN/>
        <w:bidi w:val="0"/>
        <w:adjustRightInd/>
        <w:snapToGrid/>
        <w:spacing w:line="480" w:lineRule="exact"/>
        <w:ind w:right="-58"/>
        <w:jc w:val="both"/>
        <w:textAlignment w:val="auto"/>
        <w:rPr>
          <w:sz w:val="28"/>
          <w:szCs w:val="28"/>
        </w:rPr>
      </w:pPr>
      <w:r>
        <w:rPr>
          <w:rFonts w:hint="eastAsia"/>
          <w:sz w:val="28"/>
          <w:szCs w:val="28"/>
          <w:lang w:val="en-US" w:eastAsia="zh-CN"/>
        </w:rPr>
        <w:t xml:space="preserve">    </w:t>
      </w:r>
      <w:r>
        <w:rPr>
          <w:rFonts w:hint="eastAsia"/>
          <w:sz w:val="28"/>
          <w:szCs w:val="28"/>
        </w:rPr>
        <w:t>2、系统功能和性能需求分析</w:t>
      </w:r>
    </w:p>
    <w:p>
      <w:pPr>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rPr>
          <w:sz w:val="28"/>
          <w:szCs w:val="28"/>
        </w:rPr>
      </w:pPr>
      <w:r>
        <w:rPr>
          <w:rFonts w:hint="eastAsia"/>
          <w:sz w:val="28"/>
          <w:szCs w:val="28"/>
          <w:lang w:val="en-US" w:eastAsia="zh-CN"/>
        </w:rPr>
        <w:t xml:space="preserve">   </w:t>
      </w:r>
      <w:r>
        <w:rPr>
          <w:rFonts w:hint="eastAsia"/>
          <w:sz w:val="28"/>
          <w:szCs w:val="28"/>
        </w:rPr>
        <w:t>（1）综合信号输入输出功能要求：</w:t>
      </w:r>
    </w:p>
    <w:p>
      <w:pPr>
        <w:pageBreakBefore w:val="0"/>
        <w:widowControl w:val="0"/>
        <w:tabs>
          <w:tab w:val="left" w:pos="3969"/>
        </w:tabs>
        <w:kinsoku/>
        <w:wordWrap/>
        <w:overflowPunct/>
        <w:topLinePunct w:val="0"/>
        <w:autoSpaceDE/>
        <w:autoSpaceDN/>
        <w:bidi w:val="0"/>
        <w:adjustRightInd/>
        <w:snapToGrid/>
        <w:spacing w:line="480" w:lineRule="exact"/>
        <w:ind w:left="0" w:leftChars="0" w:right="-58" w:firstLine="708" w:firstLineChars="253"/>
        <w:jc w:val="both"/>
        <w:textAlignment w:val="auto"/>
        <w:rPr>
          <w:sz w:val="28"/>
          <w:szCs w:val="28"/>
        </w:rPr>
      </w:pPr>
      <w:r>
        <w:rPr>
          <w:rFonts w:hint="eastAsia"/>
          <w:sz w:val="28"/>
          <w:szCs w:val="28"/>
        </w:rPr>
        <w:t xml:space="preserve">   1、满足高\标清数字信号进入显示、播放功能。</w:t>
      </w:r>
    </w:p>
    <w:p>
      <w:pPr>
        <w:pageBreakBefore w:val="0"/>
        <w:widowControl w:val="0"/>
        <w:tabs>
          <w:tab w:val="left" w:pos="3969"/>
        </w:tabs>
        <w:kinsoku/>
        <w:wordWrap/>
        <w:overflowPunct/>
        <w:topLinePunct w:val="0"/>
        <w:autoSpaceDE/>
        <w:autoSpaceDN/>
        <w:bidi w:val="0"/>
        <w:adjustRightInd/>
        <w:snapToGrid/>
        <w:spacing w:line="480" w:lineRule="exact"/>
        <w:ind w:left="0" w:leftChars="0" w:right="-58" w:firstLine="708" w:firstLineChars="253"/>
        <w:jc w:val="both"/>
        <w:textAlignment w:val="auto"/>
        <w:rPr>
          <w:sz w:val="28"/>
          <w:szCs w:val="28"/>
        </w:rPr>
      </w:pPr>
      <w:r>
        <w:rPr>
          <w:rFonts w:hint="eastAsia"/>
          <w:sz w:val="28"/>
          <w:szCs w:val="28"/>
        </w:rPr>
        <w:t xml:space="preserve">   2、满足多信号画中画显示及屏体分割。</w:t>
      </w:r>
    </w:p>
    <w:p>
      <w:pPr>
        <w:pageBreakBefore w:val="0"/>
        <w:widowControl w:val="0"/>
        <w:tabs>
          <w:tab w:val="left" w:pos="3969"/>
        </w:tabs>
        <w:kinsoku/>
        <w:wordWrap/>
        <w:overflowPunct/>
        <w:topLinePunct w:val="0"/>
        <w:autoSpaceDE/>
        <w:autoSpaceDN/>
        <w:bidi w:val="0"/>
        <w:adjustRightInd/>
        <w:snapToGrid/>
        <w:spacing w:line="480" w:lineRule="exact"/>
        <w:ind w:left="0" w:leftChars="0" w:right="-58" w:firstLine="708" w:firstLineChars="253"/>
        <w:jc w:val="both"/>
        <w:textAlignment w:val="auto"/>
        <w:rPr>
          <w:sz w:val="28"/>
          <w:szCs w:val="28"/>
        </w:rPr>
      </w:pPr>
      <w:r>
        <w:rPr>
          <w:rFonts w:hint="eastAsia"/>
          <w:sz w:val="28"/>
          <w:szCs w:val="28"/>
        </w:rPr>
        <w:t xml:space="preserve">   3、满足外部信号同步切换功能。</w:t>
      </w:r>
    </w:p>
    <w:p>
      <w:pPr>
        <w:pageBreakBefore w:val="0"/>
        <w:widowControl w:val="0"/>
        <w:tabs>
          <w:tab w:val="left" w:pos="3969"/>
        </w:tabs>
        <w:kinsoku/>
        <w:wordWrap/>
        <w:overflowPunct/>
        <w:topLinePunct w:val="0"/>
        <w:autoSpaceDE/>
        <w:autoSpaceDN/>
        <w:bidi w:val="0"/>
        <w:adjustRightInd/>
        <w:snapToGrid/>
        <w:spacing w:line="480" w:lineRule="exact"/>
        <w:ind w:left="0" w:leftChars="0" w:right="-58" w:firstLine="708" w:firstLineChars="253"/>
        <w:jc w:val="both"/>
        <w:textAlignment w:val="auto"/>
        <w:rPr>
          <w:sz w:val="28"/>
          <w:szCs w:val="28"/>
        </w:rPr>
      </w:pPr>
      <w:r>
        <w:rPr>
          <w:rFonts w:hint="eastAsia"/>
          <w:sz w:val="28"/>
          <w:szCs w:val="28"/>
        </w:rPr>
        <w:t xml:space="preserve">   4、满足现场信号同步对外输出功能。</w:t>
      </w:r>
    </w:p>
    <w:p>
      <w:pPr>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rPr>
          <w:sz w:val="28"/>
          <w:szCs w:val="28"/>
        </w:rPr>
      </w:pPr>
      <w:r>
        <w:rPr>
          <w:rFonts w:hint="eastAsia"/>
          <w:sz w:val="28"/>
          <w:szCs w:val="28"/>
          <w:lang w:val="en-US" w:eastAsia="zh-CN"/>
        </w:rPr>
        <w:t xml:space="preserve">   </w:t>
      </w:r>
      <w:r>
        <w:rPr>
          <w:rFonts w:hint="eastAsia"/>
          <w:sz w:val="28"/>
          <w:szCs w:val="28"/>
        </w:rPr>
        <w:t>（2）多媒体播放功能</w:t>
      </w:r>
    </w:p>
    <w:p>
      <w:pPr>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rPr>
          <w:sz w:val="28"/>
          <w:szCs w:val="28"/>
        </w:rPr>
      </w:pPr>
      <w:r>
        <w:rPr>
          <w:rFonts w:hint="eastAsia"/>
          <w:sz w:val="28"/>
          <w:szCs w:val="28"/>
          <w:lang w:val="en-US" w:eastAsia="zh-CN"/>
        </w:rPr>
        <w:t xml:space="preserve">     </w:t>
      </w:r>
      <w:r>
        <w:rPr>
          <w:rFonts w:hint="eastAsia"/>
          <w:sz w:val="28"/>
          <w:szCs w:val="28"/>
        </w:rPr>
        <w:t xml:space="preserve"> A、视频播放功能</w:t>
      </w:r>
    </w:p>
    <w:p>
      <w:pPr>
        <w:pageBreakBefore w:val="0"/>
        <w:widowControl w:val="0"/>
        <w:tabs>
          <w:tab w:val="left" w:pos="3969"/>
        </w:tabs>
        <w:kinsoku/>
        <w:wordWrap/>
        <w:overflowPunct/>
        <w:topLinePunct w:val="0"/>
        <w:autoSpaceDE/>
        <w:autoSpaceDN/>
        <w:bidi w:val="0"/>
        <w:adjustRightInd/>
        <w:snapToGrid/>
        <w:spacing w:line="480" w:lineRule="exact"/>
        <w:ind w:left="0" w:leftChars="0" w:right="-58" w:firstLine="708" w:firstLineChars="253"/>
        <w:jc w:val="both"/>
        <w:textAlignment w:val="auto"/>
        <w:rPr>
          <w:sz w:val="28"/>
          <w:szCs w:val="28"/>
        </w:rPr>
      </w:pPr>
      <w:r>
        <w:rPr>
          <w:rFonts w:hint="eastAsia"/>
          <w:sz w:val="28"/>
          <w:szCs w:val="28"/>
        </w:rPr>
        <w:t xml:space="preserve">1、实时显示真彩色视频图像，实现现场转播，广告宣传，文艺演出，电视、摄像、影碟（VCR、VCD、DVD、LD）等视频信号的即时播放，即时信息发布等； </w:t>
      </w:r>
    </w:p>
    <w:p>
      <w:pPr>
        <w:pageBreakBefore w:val="0"/>
        <w:widowControl w:val="0"/>
        <w:tabs>
          <w:tab w:val="left" w:pos="3969"/>
        </w:tabs>
        <w:kinsoku/>
        <w:wordWrap/>
        <w:overflowPunct/>
        <w:topLinePunct w:val="0"/>
        <w:autoSpaceDE/>
        <w:autoSpaceDN/>
        <w:bidi w:val="0"/>
        <w:adjustRightInd/>
        <w:snapToGrid/>
        <w:spacing w:line="480" w:lineRule="exact"/>
        <w:ind w:left="0" w:leftChars="0" w:right="-58" w:firstLine="708" w:firstLineChars="253"/>
        <w:jc w:val="both"/>
        <w:textAlignment w:val="auto"/>
        <w:rPr>
          <w:sz w:val="28"/>
          <w:szCs w:val="28"/>
        </w:rPr>
      </w:pPr>
      <w:r>
        <w:rPr>
          <w:rFonts w:hint="eastAsia"/>
          <w:sz w:val="28"/>
          <w:szCs w:val="28"/>
        </w:rPr>
        <w:t xml:space="preserve">2、支持多种信号源输入方式：VGA、DVI、 CVBS 、 Y/C、YPbPr、HDMI等； </w:t>
      </w:r>
    </w:p>
    <w:p>
      <w:pPr>
        <w:pageBreakBefore w:val="0"/>
        <w:widowControl w:val="0"/>
        <w:tabs>
          <w:tab w:val="left" w:pos="3969"/>
        </w:tabs>
        <w:kinsoku/>
        <w:wordWrap/>
        <w:overflowPunct/>
        <w:topLinePunct w:val="0"/>
        <w:autoSpaceDE/>
        <w:autoSpaceDN/>
        <w:bidi w:val="0"/>
        <w:adjustRightInd/>
        <w:snapToGrid/>
        <w:spacing w:line="480" w:lineRule="exact"/>
        <w:ind w:left="0" w:leftChars="0" w:right="-58" w:firstLine="708" w:firstLineChars="253"/>
        <w:jc w:val="both"/>
        <w:textAlignment w:val="auto"/>
        <w:rPr>
          <w:sz w:val="28"/>
          <w:szCs w:val="28"/>
        </w:rPr>
      </w:pPr>
      <w:r>
        <w:rPr>
          <w:rFonts w:hint="eastAsia"/>
          <w:sz w:val="28"/>
          <w:szCs w:val="28"/>
        </w:rPr>
        <w:t>3、支持VGA/DVI接口，能显示各种计算机视频、图形、图像；</w:t>
      </w:r>
    </w:p>
    <w:p>
      <w:pPr>
        <w:pageBreakBefore w:val="0"/>
        <w:widowControl w:val="0"/>
        <w:tabs>
          <w:tab w:val="left" w:pos="3969"/>
        </w:tabs>
        <w:kinsoku/>
        <w:wordWrap/>
        <w:overflowPunct/>
        <w:topLinePunct w:val="0"/>
        <w:autoSpaceDE/>
        <w:autoSpaceDN/>
        <w:bidi w:val="0"/>
        <w:adjustRightInd/>
        <w:snapToGrid/>
        <w:spacing w:line="480" w:lineRule="exact"/>
        <w:ind w:left="0" w:leftChars="0" w:right="-58" w:firstLine="708" w:firstLineChars="253"/>
        <w:jc w:val="both"/>
        <w:textAlignment w:val="auto"/>
        <w:rPr>
          <w:sz w:val="28"/>
          <w:szCs w:val="28"/>
        </w:rPr>
      </w:pPr>
      <w:r>
        <w:rPr>
          <w:rFonts w:hint="eastAsia"/>
          <w:sz w:val="28"/>
          <w:szCs w:val="28"/>
        </w:rPr>
        <w:t>4、支持广播电视、卫星电视及有线电视信号播放；</w:t>
      </w:r>
    </w:p>
    <w:p>
      <w:pPr>
        <w:pageBreakBefore w:val="0"/>
        <w:widowControl w:val="0"/>
        <w:tabs>
          <w:tab w:val="left" w:pos="3969"/>
        </w:tabs>
        <w:kinsoku/>
        <w:wordWrap/>
        <w:overflowPunct/>
        <w:topLinePunct w:val="0"/>
        <w:autoSpaceDE/>
        <w:autoSpaceDN/>
        <w:bidi w:val="0"/>
        <w:adjustRightInd/>
        <w:snapToGrid/>
        <w:spacing w:line="480" w:lineRule="exact"/>
        <w:ind w:left="0" w:leftChars="0" w:right="-58" w:firstLine="708" w:firstLineChars="253"/>
        <w:jc w:val="both"/>
        <w:textAlignment w:val="auto"/>
        <w:rPr>
          <w:sz w:val="28"/>
          <w:szCs w:val="28"/>
        </w:rPr>
      </w:pPr>
      <w:r>
        <w:rPr>
          <w:rFonts w:hint="eastAsia"/>
          <w:sz w:val="28"/>
          <w:szCs w:val="28"/>
        </w:rPr>
        <w:t xml:space="preserve">5、支持现场摄像机视频信号接入，实现各类比赛或演出类节目的现场直播； </w:t>
      </w:r>
    </w:p>
    <w:p>
      <w:pPr>
        <w:pageBreakBefore w:val="0"/>
        <w:widowControl w:val="0"/>
        <w:tabs>
          <w:tab w:val="left" w:pos="3969"/>
        </w:tabs>
        <w:kinsoku/>
        <w:wordWrap/>
        <w:overflowPunct/>
        <w:topLinePunct w:val="0"/>
        <w:autoSpaceDE/>
        <w:autoSpaceDN/>
        <w:bidi w:val="0"/>
        <w:adjustRightInd/>
        <w:snapToGrid/>
        <w:spacing w:line="480" w:lineRule="exact"/>
        <w:ind w:left="0" w:leftChars="0" w:right="-58" w:firstLine="708" w:firstLineChars="253"/>
        <w:jc w:val="both"/>
        <w:textAlignment w:val="auto"/>
        <w:rPr>
          <w:sz w:val="28"/>
          <w:szCs w:val="28"/>
        </w:rPr>
      </w:pPr>
      <w:r>
        <w:rPr>
          <w:rFonts w:hint="eastAsia"/>
          <w:sz w:val="28"/>
          <w:szCs w:val="28"/>
        </w:rPr>
        <w:t>6、支持会议扩音及视频声音播放；</w:t>
      </w:r>
    </w:p>
    <w:p>
      <w:pPr>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rPr>
          <w:sz w:val="28"/>
          <w:szCs w:val="28"/>
        </w:rPr>
      </w:pPr>
      <w:r>
        <w:rPr>
          <w:rFonts w:hint="eastAsia"/>
          <w:sz w:val="28"/>
          <w:szCs w:val="28"/>
          <w:lang w:val="en-US" w:eastAsia="zh-CN"/>
        </w:rPr>
        <w:t xml:space="preserve">   </w:t>
      </w:r>
      <w:r>
        <w:rPr>
          <w:rFonts w:hint="eastAsia"/>
          <w:sz w:val="28"/>
          <w:szCs w:val="28"/>
        </w:rPr>
        <w:t>（3）系统运行及控制功能</w:t>
      </w:r>
    </w:p>
    <w:p>
      <w:pPr>
        <w:keepNext w:val="0"/>
        <w:keepLines w:val="0"/>
        <w:pageBreakBefore w:val="0"/>
        <w:widowControl w:val="0"/>
        <w:tabs>
          <w:tab w:val="left" w:pos="3969"/>
        </w:tabs>
        <w:kinsoku/>
        <w:wordWrap/>
        <w:overflowPunct/>
        <w:topLinePunct w:val="0"/>
        <w:autoSpaceDE/>
        <w:autoSpaceDN/>
        <w:bidi w:val="0"/>
        <w:adjustRightInd/>
        <w:snapToGrid/>
        <w:spacing w:line="480" w:lineRule="exact"/>
        <w:ind w:left="0" w:leftChars="0" w:right="-58" w:firstLine="708" w:firstLineChars="253"/>
        <w:jc w:val="both"/>
        <w:textAlignment w:val="auto"/>
        <w:outlineLvl w:val="9"/>
        <w:rPr>
          <w:rFonts w:hint="eastAsia"/>
          <w:sz w:val="28"/>
          <w:szCs w:val="28"/>
        </w:rPr>
      </w:pPr>
      <w:r>
        <w:rPr>
          <w:rFonts w:hint="eastAsia"/>
          <w:sz w:val="28"/>
          <w:szCs w:val="28"/>
        </w:rPr>
        <w:t>本项目采用单机直连方式进行屏幕显示内容的控制，采用视频处理器进行多信号源输入及输出的切换工作；音频采用音箱系统播放。</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jc w:val="both"/>
        <w:textAlignment w:val="auto"/>
        <w:outlineLvl w:val="9"/>
        <w:rPr>
          <w:rFonts w:hint="eastAsia" w:ascii="Calibri" w:hAnsi="Calibri" w:eastAsia="宋体" w:cs="Times New Roman"/>
          <w:kern w:val="2"/>
          <w:sz w:val="28"/>
          <w:szCs w:val="28"/>
          <w:lang w:val="en-US" w:eastAsia="zh-CN" w:bidi="ar-SA"/>
        </w:rPr>
      </w:pPr>
      <w:r>
        <w:rPr>
          <w:rFonts w:hint="eastAsia" w:cs="Times New Roman"/>
          <w:kern w:val="2"/>
          <w:sz w:val="28"/>
          <w:szCs w:val="28"/>
          <w:lang w:val="en-US" w:eastAsia="zh-CN" w:bidi="ar-SA"/>
        </w:rPr>
        <w:t xml:space="preserve">   </w:t>
      </w:r>
      <w:r>
        <w:rPr>
          <w:rFonts w:hint="eastAsia" w:ascii="Calibri" w:hAnsi="Calibri" w:eastAsia="宋体" w:cs="Times New Roman"/>
          <w:kern w:val="2"/>
          <w:sz w:val="28"/>
          <w:szCs w:val="28"/>
          <w:lang w:val="en-US" w:eastAsia="zh-CN" w:bidi="ar-SA"/>
        </w:rPr>
        <w:t xml:space="preserve">3、货物清单及技术要求 </w:t>
      </w:r>
    </w:p>
    <w:p>
      <w:pPr>
        <w:rPr>
          <w:rFonts w:hint="eastAsia" w:ascii="宋体" w:hAnsi="宋体"/>
          <w:sz w:val="24"/>
          <w:szCs w:val="24"/>
        </w:rPr>
      </w:pPr>
    </w:p>
    <w:p>
      <w:pPr>
        <w:pStyle w:val="2"/>
      </w:pPr>
    </w:p>
    <w:tbl>
      <w:tblPr>
        <w:tblStyle w:val="46"/>
        <w:tblW w:w="9440" w:type="dxa"/>
        <w:tblInd w:w="-1115" w:type="dxa"/>
        <w:tblLayout w:type="fixed"/>
        <w:tblCellMar>
          <w:top w:w="0" w:type="dxa"/>
          <w:left w:w="108" w:type="dxa"/>
          <w:bottom w:w="0" w:type="dxa"/>
          <w:right w:w="108" w:type="dxa"/>
        </w:tblCellMar>
      </w:tblPr>
      <w:tblGrid>
        <w:gridCol w:w="1080"/>
        <w:gridCol w:w="1080"/>
        <w:gridCol w:w="5120"/>
        <w:gridCol w:w="1080"/>
        <w:gridCol w:w="1080"/>
      </w:tblGrid>
      <w:tr>
        <w:tblPrEx>
          <w:tblLayout w:type="fixed"/>
          <w:tblCellMar>
            <w:top w:w="0" w:type="dxa"/>
            <w:left w:w="108" w:type="dxa"/>
            <w:bottom w:w="0" w:type="dxa"/>
            <w:right w:w="108" w:type="dxa"/>
          </w:tblCellMar>
        </w:tblPrEx>
        <w:trPr>
          <w:trHeight w:val="300" w:hRule="atLeast"/>
        </w:trPr>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序号</w:t>
            </w:r>
          </w:p>
        </w:tc>
        <w:tc>
          <w:tcPr>
            <w:tcW w:w="10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设备名称</w:t>
            </w:r>
          </w:p>
        </w:tc>
        <w:tc>
          <w:tcPr>
            <w:tcW w:w="512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参数</w:t>
            </w:r>
          </w:p>
        </w:tc>
        <w:tc>
          <w:tcPr>
            <w:tcW w:w="10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数量</w:t>
            </w:r>
          </w:p>
        </w:tc>
        <w:tc>
          <w:tcPr>
            <w:tcW w:w="10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单位</w:t>
            </w:r>
          </w:p>
        </w:tc>
      </w:tr>
      <w:tr>
        <w:tblPrEx>
          <w:tblLayout w:type="fixed"/>
          <w:tblCellMar>
            <w:top w:w="0" w:type="dxa"/>
            <w:left w:w="108" w:type="dxa"/>
            <w:bottom w:w="0" w:type="dxa"/>
            <w:right w:w="108" w:type="dxa"/>
          </w:tblCellMar>
        </w:tblPrEx>
        <w:trPr>
          <w:trHeight w:val="285" w:hRule="atLeast"/>
        </w:trPr>
        <w:tc>
          <w:tcPr>
            <w:tcW w:w="1080" w:type="dxa"/>
            <w:vMerge w:val="restart"/>
            <w:tcBorders>
              <w:top w:val="nil"/>
              <w:left w:val="single" w:color="auto" w:sz="4" w:space="0"/>
              <w:bottom w:val="single" w:color="000000" w:sz="8"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1</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室内全彩屏</w:t>
            </w:r>
          </w:p>
        </w:tc>
        <w:tc>
          <w:tcPr>
            <w:tcW w:w="5120" w:type="dxa"/>
            <w:tcBorders>
              <w:top w:val="nil"/>
              <w:left w:val="nil"/>
              <w:bottom w:val="nil"/>
              <w:right w:val="single" w:color="auto" w:sz="8" w:space="0"/>
            </w:tcBorders>
            <w:shd w:val="clear" w:color="auto" w:fill="auto"/>
            <w:textDirection w:val="lrTb"/>
            <w:vAlign w:val="center"/>
          </w:tcPr>
          <w:p>
            <w:pPr>
              <w:widowControl/>
              <w:spacing w:line="240" w:lineRule="atLeast"/>
              <w:jc w:val="left"/>
              <w:rPr>
                <w:rFonts w:ascii="宋体" w:hAnsi="宋体"/>
                <w:color w:val="000000"/>
                <w:kern w:val="0"/>
                <w:szCs w:val="21"/>
              </w:rPr>
            </w:pPr>
            <w:r>
              <w:rPr>
                <w:rFonts w:hint="eastAsia" w:ascii="宋体" w:hAnsi="宋体"/>
                <w:color w:val="000000"/>
                <w:kern w:val="0"/>
                <w:szCs w:val="21"/>
              </w:rPr>
              <w:t>1、模组尺寸 :320mm*160mm</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6.14</w:t>
            </w:r>
          </w:p>
        </w:tc>
        <w:tc>
          <w:tcPr>
            <w:tcW w:w="1080" w:type="dxa"/>
            <w:vMerge w:val="restart"/>
            <w:tcBorders>
              <w:top w:val="nil"/>
              <w:left w:val="single" w:color="auto" w:sz="8" w:space="0"/>
              <w:bottom w:val="single" w:color="000000" w:sz="8" w:space="0"/>
              <w:right w:val="single" w:color="auto" w:sz="4"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w:t>
            </w:r>
          </w:p>
        </w:tc>
      </w:tr>
      <w:tr>
        <w:tblPrEx>
          <w:tblLayout w:type="fixed"/>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5120" w:type="dxa"/>
            <w:tcBorders>
              <w:top w:val="nil"/>
              <w:left w:val="nil"/>
              <w:bottom w:val="nil"/>
              <w:right w:val="single" w:color="auto" w:sz="8" w:space="0"/>
            </w:tcBorders>
            <w:shd w:val="clear" w:color="auto" w:fill="auto"/>
            <w:textDirection w:val="lrTb"/>
            <w:vAlign w:val="center"/>
          </w:tcPr>
          <w:p>
            <w:pPr>
              <w:widowControl/>
              <w:spacing w:line="240" w:lineRule="atLeast"/>
              <w:jc w:val="left"/>
              <w:rPr>
                <w:rFonts w:ascii="宋体" w:hAnsi="宋体"/>
                <w:color w:val="000000"/>
                <w:kern w:val="0"/>
                <w:szCs w:val="21"/>
              </w:rPr>
            </w:pPr>
            <w:r>
              <w:rPr>
                <w:rFonts w:hint="eastAsia" w:ascii="宋体" w:hAnsi="宋体" w:cs="宋体"/>
                <w:sz w:val="24"/>
                <w:szCs w:val="24"/>
              </w:rPr>
              <w:t>★</w:t>
            </w:r>
            <w:r>
              <w:rPr>
                <w:rFonts w:hint="eastAsia" w:ascii="宋体" w:hAnsi="宋体"/>
                <w:color w:val="000000"/>
                <w:kern w:val="0"/>
                <w:szCs w:val="21"/>
              </w:rPr>
              <w:t>2、物理点间距:≤ 1.666mm</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5120" w:type="dxa"/>
            <w:tcBorders>
              <w:top w:val="nil"/>
              <w:left w:val="nil"/>
              <w:bottom w:val="nil"/>
              <w:right w:val="single" w:color="auto" w:sz="8" w:space="0"/>
            </w:tcBorders>
            <w:shd w:val="clear" w:color="auto" w:fill="auto"/>
            <w:textDirection w:val="lrTb"/>
            <w:vAlign w:val="center"/>
          </w:tcPr>
          <w:p>
            <w:pPr>
              <w:widowControl/>
              <w:spacing w:line="240" w:lineRule="atLeast"/>
              <w:jc w:val="left"/>
              <w:rPr>
                <w:rFonts w:ascii="宋体" w:hAnsi="宋体"/>
                <w:color w:val="000000"/>
                <w:kern w:val="0"/>
                <w:szCs w:val="21"/>
              </w:rPr>
            </w:pPr>
            <w:r>
              <w:rPr>
                <w:rFonts w:hint="eastAsia" w:ascii="宋体" w:hAnsi="宋体"/>
                <w:color w:val="000000"/>
                <w:kern w:val="0"/>
                <w:szCs w:val="21"/>
              </w:rPr>
              <w:t>3、物理密度 :≥360000Dots/㎡</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345" w:hRule="atLeast"/>
        </w:trPr>
        <w:tc>
          <w:tcPr>
            <w:tcW w:w="1080" w:type="dxa"/>
            <w:vMerge w:val="continue"/>
            <w:tcBorders>
              <w:top w:val="nil"/>
              <w:left w:val="single" w:color="auto" w:sz="4"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5120" w:type="dxa"/>
            <w:tcBorders>
              <w:top w:val="nil"/>
              <w:left w:val="nil"/>
              <w:bottom w:val="nil"/>
              <w:right w:val="single" w:color="auto" w:sz="8" w:space="0"/>
            </w:tcBorders>
            <w:shd w:val="clear" w:color="auto" w:fill="auto"/>
            <w:textDirection w:val="lrTb"/>
            <w:vAlign w:val="center"/>
          </w:tcPr>
          <w:p>
            <w:pPr>
              <w:widowControl/>
              <w:spacing w:line="240" w:lineRule="atLeast"/>
              <w:jc w:val="left"/>
              <w:rPr>
                <w:rFonts w:ascii="宋体" w:hAnsi="宋体"/>
                <w:color w:val="000000"/>
                <w:kern w:val="0"/>
                <w:szCs w:val="21"/>
              </w:rPr>
            </w:pPr>
            <w:r>
              <w:rPr>
                <w:rFonts w:hint="eastAsia" w:ascii="宋体" w:hAnsi="宋体"/>
                <w:color w:val="000000"/>
                <w:kern w:val="0"/>
                <w:szCs w:val="21"/>
              </w:rPr>
              <w:t>4、LED规格：1R1G1B,封装方式采用SMD1010封装</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5120" w:type="dxa"/>
            <w:tcBorders>
              <w:top w:val="nil"/>
              <w:left w:val="nil"/>
              <w:bottom w:val="nil"/>
              <w:right w:val="single" w:color="auto" w:sz="8" w:space="0"/>
            </w:tcBorders>
            <w:shd w:val="clear" w:color="auto" w:fill="auto"/>
            <w:textDirection w:val="lrTb"/>
            <w:vAlign w:val="center"/>
          </w:tcPr>
          <w:p>
            <w:pPr>
              <w:widowControl/>
              <w:spacing w:line="240" w:lineRule="atLeast"/>
              <w:jc w:val="left"/>
              <w:rPr>
                <w:rFonts w:ascii="宋体" w:hAnsi="宋体"/>
                <w:color w:val="000000"/>
                <w:kern w:val="0"/>
                <w:szCs w:val="21"/>
              </w:rPr>
            </w:pPr>
            <w:r>
              <w:rPr>
                <w:rFonts w:hint="eastAsia" w:ascii="宋体" w:hAnsi="宋体"/>
                <w:color w:val="000000"/>
                <w:kern w:val="0"/>
                <w:szCs w:val="21"/>
              </w:rPr>
              <w:t>5、最佳视距：≥1.25m；最佳视角：水平≥160度，垂直≥160度</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5120" w:type="dxa"/>
            <w:tcBorders>
              <w:top w:val="nil"/>
              <w:left w:val="nil"/>
              <w:bottom w:val="nil"/>
              <w:right w:val="single" w:color="auto" w:sz="8" w:space="0"/>
            </w:tcBorders>
            <w:shd w:val="clear" w:color="auto" w:fill="auto"/>
            <w:textDirection w:val="lrTb"/>
            <w:vAlign w:val="center"/>
          </w:tcPr>
          <w:p>
            <w:pPr>
              <w:widowControl/>
              <w:spacing w:line="240" w:lineRule="atLeast"/>
              <w:jc w:val="left"/>
              <w:rPr>
                <w:rFonts w:ascii="宋体" w:hAnsi="宋体"/>
                <w:color w:val="000000"/>
                <w:kern w:val="0"/>
                <w:szCs w:val="21"/>
              </w:rPr>
            </w:pPr>
            <w:r>
              <w:rPr>
                <w:rFonts w:ascii="宋体" w:hAnsi="宋体"/>
                <w:color w:val="000000"/>
                <w:kern w:val="0"/>
                <w:szCs w:val="21"/>
              </w:rPr>
              <w:t>6</w:t>
            </w:r>
            <w:r>
              <w:rPr>
                <w:rFonts w:hint="eastAsia" w:ascii="宋体" w:hAnsi="宋体"/>
                <w:color w:val="000000"/>
                <w:kern w:val="0"/>
                <w:szCs w:val="21"/>
              </w:rPr>
              <w:t>、尺寸：3.2m*1.92m=6.14平方</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5120" w:type="dxa"/>
            <w:tcBorders>
              <w:top w:val="nil"/>
              <w:left w:val="nil"/>
              <w:bottom w:val="nil"/>
              <w:right w:val="single" w:color="auto" w:sz="8" w:space="0"/>
            </w:tcBorders>
            <w:shd w:val="clear" w:color="auto" w:fill="auto"/>
            <w:textDirection w:val="lrTb"/>
            <w:vAlign w:val="center"/>
          </w:tcPr>
          <w:p>
            <w:pPr>
              <w:widowControl/>
              <w:spacing w:line="240" w:lineRule="atLeast"/>
              <w:jc w:val="left"/>
              <w:rPr>
                <w:rFonts w:ascii="宋体" w:hAnsi="宋体"/>
                <w:color w:val="000000"/>
                <w:kern w:val="0"/>
                <w:szCs w:val="21"/>
              </w:rPr>
            </w:pPr>
            <w:r>
              <w:rPr>
                <w:rFonts w:ascii="宋体" w:hAnsi="宋体"/>
                <w:color w:val="000000"/>
                <w:kern w:val="0"/>
                <w:szCs w:val="21"/>
              </w:rPr>
              <w:t>7</w:t>
            </w:r>
            <w:r>
              <w:rPr>
                <w:rFonts w:hint="eastAsia" w:ascii="宋体" w:hAnsi="宋体"/>
                <w:color w:val="000000"/>
                <w:kern w:val="0"/>
                <w:szCs w:val="21"/>
              </w:rPr>
              <w:t>、最大功耗：≤580W /㎡</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5120" w:type="dxa"/>
            <w:tcBorders>
              <w:top w:val="nil"/>
              <w:left w:val="nil"/>
              <w:bottom w:val="nil"/>
              <w:right w:val="single" w:color="auto" w:sz="8" w:space="0"/>
            </w:tcBorders>
            <w:shd w:val="clear" w:color="auto" w:fill="auto"/>
            <w:textDirection w:val="lrTb"/>
            <w:vAlign w:val="center"/>
          </w:tcPr>
          <w:p>
            <w:pPr>
              <w:widowControl/>
              <w:spacing w:line="240" w:lineRule="atLeast"/>
              <w:jc w:val="left"/>
              <w:rPr>
                <w:rFonts w:ascii="宋体" w:hAnsi="宋体"/>
                <w:color w:val="000000"/>
                <w:kern w:val="0"/>
                <w:szCs w:val="21"/>
              </w:rPr>
            </w:pPr>
            <w:r>
              <w:rPr>
                <w:rFonts w:ascii="宋体" w:hAnsi="宋体"/>
                <w:color w:val="000000"/>
                <w:kern w:val="0"/>
                <w:szCs w:val="21"/>
              </w:rPr>
              <w:t>8</w:t>
            </w:r>
            <w:r>
              <w:rPr>
                <w:rFonts w:hint="eastAsia" w:ascii="宋体" w:hAnsi="宋体"/>
                <w:color w:val="000000"/>
                <w:kern w:val="0"/>
                <w:szCs w:val="21"/>
              </w:rPr>
              <w:t>、色温：3000K-18000K具有可调整性</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5120" w:type="dxa"/>
            <w:tcBorders>
              <w:top w:val="nil"/>
              <w:left w:val="nil"/>
              <w:bottom w:val="nil"/>
              <w:right w:val="single" w:color="auto" w:sz="8" w:space="0"/>
            </w:tcBorders>
            <w:shd w:val="clear" w:color="auto" w:fill="auto"/>
            <w:textDirection w:val="lrTb"/>
            <w:vAlign w:val="center"/>
          </w:tcPr>
          <w:p>
            <w:pPr>
              <w:widowControl/>
              <w:spacing w:line="240" w:lineRule="atLeast"/>
              <w:jc w:val="left"/>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9</w:t>
            </w:r>
            <w:r>
              <w:rPr>
                <w:rFonts w:hint="eastAsia" w:ascii="宋体" w:hAnsi="宋体"/>
                <w:color w:val="000000"/>
                <w:kern w:val="0"/>
                <w:szCs w:val="21"/>
              </w:rPr>
              <w:t>、平均无故障时间：≥2万小时（提供由CNAS检测机构出具的检测报告复印件）</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570" w:hRule="atLeast"/>
        </w:trPr>
        <w:tc>
          <w:tcPr>
            <w:tcW w:w="1080" w:type="dxa"/>
            <w:vMerge w:val="continue"/>
            <w:tcBorders>
              <w:top w:val="nil"/>
              <w:left w:val="single" w:color="auto" w:sz="4"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5120" w:type="dxa"/>
            <w:tcBorders>
              <w:top w:val="nil"/>
              <w:left w:val="nil"/>
              <w:bottom w:val="nil"/>
              <w:right w:val="single" w:color="auto" w:sz="8" w:space="0"/>
            </w:tcBorders>
            <w:shd w:val="clear" w:color="auto" w:fill="auto"/>
            <w:textDirection w:val="lrTb"/>
            <w:vAlign w:val="center"/>
          </w:tcPr>
          <w:p>
            <w:pPr>
              <w:widowControl/>
              <w:spacing w:line="240" w:lineRule="atLeast"/>
              <w:jc w:val="left"/>
              <w:rPr>
                <w:rFonts w:ascii="宋体" w:hAnsi="宋体"/>
                <w:color w:val="000000"/>
                <w:kern w:val="0"/>
                <w:szCs w:val="21"/>
              </w:rPr>
            </w:pPr>
            <w:r>
              <w:rPr>
                <w:rFonts w:hint="eastAsia" w:ascii="宋体" w:hAnsi="宋体"/>
                <w:color w:val="000000"/>
                <w:kern w:val="0"/>
                <w:szCs w:val="21"/>
              </w:rPr>
              <w:t>1</w:t>
            </w:r>
            <w:r>
              <w:rPr>
                <w:rFonts w:ascii="宋体" w:hAnsi="宋体"/>
                <w:color w:val="000000"/>
                <w:kern w:val="0"/>
                <w:szCs w:val="21"/>
              </w:rPr>
              <w:t>0</w:t>
            </w:r>
            <w:r>
              <w:rPr>
                <w:rFonts w:hint="eastAsia" w:ascii="宋体" w:hAnsi="宋体"/>
                <w:color w:val="000000"/>
                <w:kern w:val="0"/>
                <w:szCs w:val="21"/>
              </w:rPr>
              <w:t>、盲点率：小于十万分之一</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5120" w:type="dxa"/>
            <w:tcBorders>
              <w:top w:val="nil"/>
              <w:left w:val="nil"/>
              <w:bottom w:val="nil"/>
              <w:right w:val="single" w:color="auto" w:sz="8" w:space="0"/>
            </w:tcBorders>
            <w:shd w:val="clear" w:color="auto" w:fill="auto"/>
            <w:textDirection w:val="lrTb"/>
            <w:vAlign w:val="center"/>
          </w:tcPr>
          <w:p>
            <w:pPr>
              <w:widowControl/>
              <w:spacing w:line="240" w:lineRule="atLeast"/>
              <w:jc w:val="left"/>
              <w:rPr>
                <w:rFonts w:ascii="宋体" w:hAnsi="宋体"/>
                <w:color w:val="000000"/>
                <w:kern w:val="0"/>
                <w:szCs w:val="21"/>
              </w:rPr>
            </w:pPr>
            <w:r>
              <w:rPr>
                <w:rFonts w:hint="eastAsia" w:ascii="宋体" w:hAnsi="宋体"/>
                <w:color w:val="000000"/>
                <w:kern w:val="0"/>
                <w:szCs w:val="21"/>
              </w:rPr>
              <w:t>1</w:t>
            </w:r>
            <w:r>
              <w:rPr>
                <w:rFonts w:ascii="宋体" w:hAnsi="宋体"/>
                <w:color w:val="000000"/>
                <w:kern w:val="0"/>
                <w:szCs w:val="21"/>
              </w:rPr>
              <w:t>1</w:t>
            </w:r>
            <w:r>
              <w:rPr>
                <w:rFonts w:hint="eastAsia" w:ascii="宋体" w:hAnsi="宋体"/>
                <w:color w:val="000000"/>
                <w:kern w:val="0"/>
                <w:szCs w:val="21"/>
              </w:rPr>
              <w:t>、工作温度： -20℃ ～ 40℃</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5120" w:type="dxa"/>
            <w:tcBorders>
              <w:top w:val="nil"/>
              <w:left w:val="nil"/>
              <w:bottom w:val="nil"/>
              <w:right w:val="single" w:color="auto" w:sz="8" w:space="0"/>
            </w:tcBorders>
            <w:shd w:val="clear" w:color="auto" w:fill="auto"/>
            <w:textDirection w:val="lrTb"/>
            <w:vAlign w:val="center"/>
          </w:tcPr>
          <w:p>
            <w:pPr>
              <w:widowControl/>
              <w:spacing w:line="240" w:lineRule="atLeast"/>
              <w:jc w:val="left"/>
              <w:rPr>
                <w:rFonts w:ascii="宋体" w:hAnsi="宋体"/>
                <w:color w:val="000000"/>
                <w:kern w:val="0"/>
                <w:szCs w:val="21"/>
              </w:rPr>
            </w:pPr>
            <w:r>
              <w:rPr>
                <w:rFonts w:hint="eastAsia" w:ascii="宋体" w:hAnsi="宋体"/>
                <w:color w:val="000000"/>
                <w:kern w:val="0"/>
                <w:szCs w:val="21"/>
              </w:rPr>
              <w:t>1</w:t>
            </w:r>
            <w:r>
              <w:rPr>
                <w:rFonts w:ascii="宋体" w:hAnsi="宋体"/>
                <w:color w:val="000000"/>
                <w:kern w:val="0"/>
                <w:szCs w:val="21"/>
              </w:rPr>
              <w:t>2</w:t>
            </w:r>
            <w:r>
              <w:rPr>
                <w:rFonts w:hint="eastAsia" w:ascii="宋体" w:hAnsi="宋体"/>
                <w:color w:val="000000"/>
                <w:kern w:val="0"/>
                <w:szCs w:val="21"/>
              </w:rPr>
              <w:t>、白平衡亮度(cd/㎡)：≥500；刷新频率：≥3840HZ</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5120" w:type="dxa"/>
            <w:tcBorders>
              <w:top w:val="nil"/>
              <w:left w:val="nil"/>
              <w:bottom w:val="nil"/>
              <w:right w:val="single" w:color="auto" w:sz="8" w:space="0"/>
            </w:tcBorders>
            <w:shd w:val="clear" w:color="auto" w:fill="auto"/>
            <w:textDirection w:val="lrTb"/>
            <w:vAlign w:val="center"/>
          </w:tcPr>
          <w:p>
            <w:pPr>
              <w:widowControl/>
              <w:spacing w:line="240" w:lineRule="atLeast"/>
              <w:jc w:val="left"/>
              <w:rPr>
                <w:rFonts w:ascii="宋体" w:hAnsi="宋体"/>
                <w:color w:val="000000"/>
                <w:kern w:val="0"/>
                <w:szCs w:val="21"/>
              </w:rPr>
            </w:pPr>
            <w:r>
              <w:rPr>
                <w:rFonts w:hint="eastAsia" w:ascii="宋体" w:hAnsi="宋体"/>
                <w:color w:val="000000"/>
                <w:kern w:val="0"/>
                <w:szCs w:val="21"/>
              </w:rPr>
              <w:t>▲1</w:t>
            </w:r>
            <w:r>
              <w:rPr>
                <w:rFonts w:ascii="宋体" w:hAnsi="宋体"/>
                <w:color w:val="000000"/>
                <w:kern w:val="0"/>
                <w:szCs w:val="21"/>
              </w:rPr>
              <w:t>3</w:t>
            </w:r>
            <w:r>
              <w:rPr>
                <w:rFonts w:hint="eastAsia" w:ascii="宋体" w:hAnsi="宋体"/>
                <w:color w:val="000000"/>
                <w:kern w:val="0"/>
                <w:szCs w:val="21"/>
              </w:rPr>
              <w:t>、为确保不影响观众的健康，要求投标人所投LED显示屏不存在蓝光视网膜危害，其蓝光威害安全系数须达0类、无风险等级，并提供具有CMA(中国计量认证)或CNAS(中国合格评定国家认可委员会认证)标识的检测机构出具的第三方检测报告(</w:t>
            </w:r>
            <w:r>
              <w:rPr>
                <w:rFonts w:hint="eastAsia" w:ascii="宋体" w:hAnsi="宋体"/>
                <w:kern w:val="0"/>
                <w:szCs w:val="21"/>
              </w:rPr>
              <w:t>复印件加盖供应商公章)。</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5120" w:type="dxa"/>
            <w:tcBorders>
              <w:top w:val="nil"/>
              <w:left w:val="nil"/>
              <w:bottom w:val="nil"/>
              <w:right w:val="single" w:color="auto" w:sz="8" w:space="0"/>
            </w:tcBorders>
            <w:shd w:val="clear" w:color="auto" w:fill="auto"/>
            <w:textDirection w:val="lrTb"/>
            <w:vAlign w:val="center"/>
          </w:tcPr>
          <w:p>
            <w:pPr>
              <w:widowControl/>
              <w:spacing w:line="240" w:lineRule="atLeast"/>
              <w:jc w:val="left"/>
              <w:rPr>
                <w:rFonts w:ascii="宋体" w:hAnsi="宋体"/>
                <w:color w:val="000000"/>
                <w:kern w:val="0"/>
                <w:szCs w:val="21"/>
              </w:rPr>
            </w:pPr>
            <w:r>
              <w:rPr>
                <w:rFonts w:hint="eastAsia" w:ascii="宋体" w:hAnsi="宋体"/>
                <w:color w:val="000000"/>
                <w:kern w:val="0"/>
                <w:szCs w:val="21"/>
              </w:rPr>
              <w:t>▲1</w:t>
            </w:r>
            <w:r>
              <w:rPr>
                <w:rFonts w:ascii="宋体" w:hAnsi="宋体"/>
                <w:color w:val="000000"/>
                <w:kern w:val="0"/>
                <w:szCs w:val="21"/>
              </w:rPr>
              <w:t>4</w:t>
            </w:r>
            <w:r>
              <w:rPr>
                <w:rFonts w:hint="eastAsia" w:ascii="宋体" w:hAnsi="宋体"/>
                <w:color w:val="000000"/>
                <w:kern w:val="0"/>
                <w:szCs w:val="21"/>
              </w:rPr>
              <w:t>、为确保屏体的安全性，要求投标人所投LED显示屏所使用的PCB防火阻燃达V-0等级 （提供由CNAS或CMA检测机构出具的检测报告复印件并提供证书加盖生产厂家鲜章)</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1710" w:hRule="atLeast"/>
        </w:trPr>
        <w:tc>
          <w:tcPr>
            <w:tcW w:w="1080" w:type="dxa"/>
            <w:vMerge w:val="continue"/>
            <w:tcBorders>
              <w:top w:val="nil"/>
              <w:left w:val="single" w:color="auto" w:sz="4" w:space="0"/>
              <w:bottom w:val="single" w:color="auto" w:sz="4"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auto" w:sz="4" w:space="0"/>
              <w:right w:val="single" w:color="auto" w:sz="8" w:space="0"/>
            </w:tcBorders>
            <w:vAlign w:val="center"/>
          </w:tcPr>
          <w:p>
            <w:pPr>
              <w:widowControl/>
              <w:jc w:val="left"/>
              <w:rPr>
                <w:rFonts w:ascii="宋体" w:hAnsi="宋体"/>
                <w:color w:val="000000"/>
                <w:kern w:val="0"/>
                <w:szCs w:val="21"/>
              </w:rPr>
            </w:pPr>
          </w:p>
        </w:tc>
        <w:tc>
          <w:tcPr>
            <w:tcW w:w="5120" w:type="dxa"/>
            <w:tcBorders>
              <w:top w:val="nil"/>
              <w:left w:val="nil"/>
              <w:bottom w:val="single" w:color="auto" w:sz="4" w:space="0"/>
              <w:right w:val="single" w:color="auto" w:sz="8" w:space="0"/>
            </w:tcBorders>
            <w:shd w:val="clear" w:color="auto" w:fill="auto"/>
            <w:textDirection w:val="lrTb"/>
            <w:vAlign w:val="center"/>
          </w:tcPr>
          <w:p>
            <w:pPr>
              <w:widowControl/>
              <w:spacing w:line="240" w:lineRule="atLeast"/>
              <w:jc w:val="left"/>
              <w:rPr>
                <w:rFonts w:ascii="宋体" w:hAnsi="宋体"/>
                <w:color w:val="000000"/>
                <w:kern w:val="0"/>
                <w:szCs w:val="21"/>
              </w:rPr>
            </w:pPr>
            <w:r>
              <w:rPr>
                <w:rFonts w:hint="eastAsia" w:ascii="宋体" w:hAnsi="宋体"/>
                <w:color w:val="000000"/>
                <w:kern w:val="0"/>
                <w:szCs w:val="21"/>
              </w:rPr>
              <w:t>▲1</w:t>
            </w:r>
            <w:r>
              <w:rPr>
                <w:rFonts w:ascii="宋体" w:hAnsi="宋体"/>
                <w:color w:val="000000"/>
                <w:kern w:val="0"/>
                <w:szCs w:val="21"/>
              </w:rPr>
              <w:t>5</w:t>
            </w:r>
            <w:r>
              <w:rPr>
                <w:rFonts w:hint="eastAsia" w:ascii="宋体" w:hAnsi="宋体"/>
                <w:color w:val="000000"/>
                <w:kern w:val="0"/>
                <w:szCs w:val="21"/>
              </w:rPr>
              <w:t>、为不影响屏体周边人员的健康，要求投标人所投LED显示屏工作噪音在方圆1米内，噪音声压须低于20dB（A），并提供具有CMA(中国计量认证)或CNAS(中国合格评定国家认可委员会认证)标识的构出具的第三方检测报告复印件加盖制造商鲜章)。</w:t>
            </w:r>
          </w:p>
        </w:tc>
        <w:tc>
          <w:tcPr>
            <w:tcW w:w="1080" w:type="dxa"/>
            <w:vMerge w:val="continue"/>
            <w:tcBorders>
              <w:top w:val="nil"/>
              <w:left w:val="single" w:color="auto" w:sz="8" w:space="0"/>
              <w:bottom w:val="single" w:color="auto" w:sz="4"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1140" w:hRule="atLeast"/>
        </w:trPr>
        <w:tc>
          <w:tcPr>
            <w:tcW w:w="1080" w:type="dxa"/>
            <w:vMerge w:val="continue"/>
            <w:tcBorders>
              <w:top w:val="single" w:color="auto" w:sz="4" w:space="0"/>
              <w:left w:val="single" w:color="auto" w:sz="4" w:space="0"/>
              <w:bottom w:val="single" w:color="auto" w:sz="4"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宋体" w:hAnsi="宋体"/>
                <w:color w:val="000000"/>
                <w:kern w:val="0"/>
                <w:szCs w:val="21"/>
              </w:rPr>
            </w:pPr>
          </w:p>
        </w:tc>
        <w:tc>
          <w:tcPr>
            <w:tcW w:w="5120" w:type="dxa"/>
            <w:tcBorders>
              <w:top w:val="single" w:color="auto" w:sz="4" w:space="0"/>
              <w:left w:val="nil"/>
              <w:bottom w:val="single" w:color="auto" w:sz="4" w:space="0"/>
              <w:right w:val="single" w:color="auto" w:sz="8" w:space="0"/>
            </w:tcBorders>
            <w:shd w:val="clear" w:color="auto" w:fill="auto"/>
            <w:textDirection w:val="lrTb"/>
            <w:vAlign w:val="center"/>
          </w:tcPr>
          <w:p>
            <w:pPr>
              <w:widowControl/>
              <w:spacing w:line="240" w:lineRule="atLeast"/>
              <w:jc w:val="left"/>
              <w:rPr>
                <w:rFonts w:ascii="宋体" w:hAnsi="宋体"/>
                <w:color w:val="000000"/>
                <w:kern w:val="0"/>
                <w:szCs w:val="21"/>
              </w:rPr>
            </w:pPr>
            <w:r>
              <w:rPr>
                <w:rFonts w:hint="eastAsia" w:ascii="宋体" w:hAnsi="宋体"/>
                <w:color w:val="000000"/>
                <w:kern w:val="0"/>
                <w:szCs w:val="21"/>
              </w:rPr>
              <w:t>▲1</w:t>
            </w:r>
            <w:r>
              <w:rPr>
                <w:rFonts w:ascii="宋体" w:hAnsi="宋体"/>
                <w:color w:val="000000"/>
                <w:kern w:val="0"/>
                <w:szCs w:val="21"/>
              </w:rPr>
              <w:t>6</w:t>
            </w:r>
            <w:r>
              <w:rPr>
                <w:rFonts w:hint="eastAsia" w:ascii="宋体" w:hAnsi="宋体"/>
                <w:color w:val="000000"/>
                <w:kern w:val="0"/>
                <w:szCs w:val="21"/>
              </w:rPr>
              <w:t>、防护性能：具有防静电、防电磁干扰、防潮、防腐蚀、防虫、抗震动、抗雷击等功能，具有电源过压、过流、断电保护、分布上电措施，防护等级达到IP50。提供第三方检测报告复印件并加盖供应商公章。</w:t>
            </w:r>
          </w:p>
        </w:tc>
        <w:tc>
          <w:tcPr>
            <w:tcW w:w="1080" w:type="dxa"/>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570" w:hRule="atLeast"/>
        </w:trPr>
        <w:tc>
          <w:tcPr>
            <w:tcW w:w="1080"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2</w:t>
            </w:r>
          </w:p>
        </w:tc>
        <w:tc>
          <w:tcPr>
            <w:tcW w:w="108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开关电源</w:t>
            </w:r>
          </w:p>
        </w:tc>
        <w:tc>
          <w:tcPr>
            <w:tcW w:w="5120" w:type="dxa"/>
            <w:tcBorders>
              <w:top w:val="single" w:color="auto" w:sz="4" w:space="0"/>
              <w:left w:val="nil"/>
              <w:bottom w:val="single" w:color="auto" w:sz="4" w:space="0"/>
              <w:right w:val="single" w:color="auto" w:sz="8" w:space="0"/>
            </w:tcBorders>
            <w:shd w:val="clear" w:color="auto" w:fill="auto"/>
            <w:vAlign w:val="center"/>
          </w:tcPr>
          <w:p>
            <w:pPr>
              <w:widowControl/>
              <w:jc w:val="left"/>
              <w:rPr>
                <w:rFonts w:ascii="宋体" w:hAnsi="宋体"/>
                <w:color w:val="000000"/>
                <w:kern w:val="0"/>
                <w:szCs w:val="21"/>
              </w:rPr>
            </w:pPr>
            <w:r>
              <w:rPr>
                <w:rFonts w:hint="eastAsia" w:ascii="宋体" w:hAnsi="宋体"/>
                <w:color w:val="000000"/>
                <w:kern w:val="0"/>
                <w:szCs w:val="21"/>
              </w:rPr>
              <w:t>1、直流电压：4.5v；额定电流：40A；电压调节范围：4.05～4.95V；负载调整率：±2%；过负载：110～150% rated；短路：输出端短路后电源保护，消除短路后可自动恢复输出；工作温度：-20℃～+50℃\</w:t>
            </w:r>
          </w:p>
        </w:tc>
        <w:tc>
          <w:tcPr>
            <w:tcW w:w="108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40</w:t>
            </w:r>
          </w:p>
        </w:tc>
        <w:tc>
          <w:tcPr>
            <w:tcW w:w="108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个</w:t>
            </w:r>
          </w:p>
        </w:tc>
      </w:tr>
      <w:tr>
        <w:tblPrEx>
          <w:tblLayout w:type="fixed"/>
          <w:tblCellMar>
            <w:top w:w="0" w:type="dxa"/>
            <w:left w:w="108" w:type="dxa"/>
            <w:bottom w:w="0" w:type="dxa"/>
            <w:right w:w="108" w:type="dxa"/>
          </w:tblCellMar>
        </w:tblPrEx>
        <w:trPr>
          <w:trHeight w:val="855" w:hRule="atLeast"/>
        </w:trPr>
        <w:tc>
          <w:tcPr>
            <w:tcW w:w="1080" w:type="dxa"/>
            <w:vMerge w:val="restart"/>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3</w:t>
            </w:r>
          </w:p>
        </w:tc>
        <w:tc>
          <w:tcPr>
            <w:tcW w:w="1080" w:type="dxa"/>
            <w:vMerge w:val="restart"/>
            <w:tcBorders>
              <w:top w:val="single" w:color="auto" w:sz="4" w:space="0"/>
              <w:left w:val="single" w:color="auto" w:sz="8" w:space="0"/>
              <w:bottom w:val="single" w:color="auto" w:sz="4"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接收卡</w:t>
            </w:r>
          </w:p>
        </w:tc>
        <w:tc>
          <w:tcPr>
            <w:tcW w:w="5120" w:type="dxa"/>
            <w:tcBorders>
              <w:top w:val="single" w:color="auto" w:sz="4" w:space="0"/>
              <w:left w:val="nil"/>
              <w:bottom w:val="single" w:color="auto" w:sz="4" w:space="0"/>
              <w:right w:val="single" w:color="auto" w:sz="8" w:space="0"/>
            </w:tcBorders>
            <w:shd w:val="clear" w:color="auto" w:fill="auto"/>
            <w:vAlign w:val="center"/>
          </w:tcPr>
          <w:p>
            <w:pPr>
              <w:widowControl/>
              <w:jc w:val="left"/>
              <w:rPr>
                <w:rFonts w:ascii="宋体" w:hAnsi="宋体"/>
                <w:color w:val="000000"/>
                <w:kern w:val="0"/>
                <w:szCs w:val="21"/>
              </w:rPr>
            </w:pPr>
            <w:r>
              <w:rPr>
                <w:rFonts w:hint="eastAsia" w:ascii="宋体" w:hAnsi="宋体" w:cs="等线"/>
                <w:color w:val="000000"/>
                <w:kern w:val="0"/>
                <w:szCs w:val="21"/>
              </w:rPr>
              <w:t>1、集成HUB75，无需再配转接板，更方便，成本更低；细节处理更完美，可消除单元板设计引起的某行偏暗、低灰偏红、鬼影等细节问题</w:t>
            </w:r>
          </w:p>
        </w:tc>
        <w:tc>
          <w:tcPr>
            <w:tcW w:w="1080" w:type="dxa"/>
            <w:vMerge w:val="restart"/>
            <w:tcBorders>
              <w:top w:val="single" w:color="auto" w:sz="4" w:space="0"/>
              <w:left w:val="single" w:color="auto" w:sz="8" w:space="0"/>
              <w:bottom w:val="single" w:color="auto" w:sz="4"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30</w:t>
            </w:r>
          </w:p>
        </w:tc>
        <w:tc>
          <w:tcPr>
            <w:tcW w:w="108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张</w:t>
            </w:r>
          </w:p>
        </w:tc>
      </w:tr>
      <w:tr>
        <w:tblPrEx>
          <w:tblLayout w:type="fixed"/>
          <w:tblCellMar>
            <w:top w:w="0" w:type="dxa"/>
            <w:left w:w="108" w:type="dxa"/>
            <w:bottom w:w="0" w:type="dxa"/>
            <w:right w:w="108" w:type="dxa"/>
          </w:tblCellMar>
        </w:tblPrEx>
        <w:trPr>
          <w:trHeight w:val="1710" w:hRule="atLeast"/>
        </w:trPr>
        <w:tc>
          <w:tcPr>
            <w:tcW w:w="1080" w:type="dxa"/>
            <w:vMerge w:val="continue"/>
            <w:tcBorders>
              <w:top w:val="single" w:color="auto" w:sz="4" w:space="0"/>
              <w:left w:val="single" w:color="auto" w:sz="4"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single" w:color="auto" w:sz="4" w:space="0"/>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5120" w:type="dxa"/>
            <w:tcBorders>
              <w:top w:val="single" w:color="auto" w:sz="4" w:space="0"/>
              <w:left w:val="nil"/>
              <w:bottom w:val="nil"/>
              <w:right w:val="single" w:color="auto" w:sz="8" w:space="0"/>
            </w:tcBorders>
            <w:shd w:val="clear" w:color="auto" w:fill="auto"/>
            <w:vAlign w:val="center"/>
          </w:tcPr>
          <w:p>
            <w:pPr>
              <w:widowControl/>
              <w:jc w:val="left"/>
              <w:rPr>
                <w:rFonts w:ascii="宋体" w:hAnsi="宋体"/>
                <w:color w:val="000000"/>
                <w:kern w:val="0"/>
                <w:szCs w:val="21"/>
              </w:rPr>
            </w:pPr>
            <w:r>
              <w:rPr>
                <w:rFonts w:hint="eastAsia" w:ascii="宋体" w:hAnsi="宋体"/>
                <w:color w:val="000000"/>
                <w:kern w:val="0"/>
                <w:szCs w:val="21"/>
              </w:rPr>
              <w:t>2、支持常规芯片实现高刷新、高灰度、高亮度；支持14bit精度逐点校正；支持所有常规芯片、PWM芯片和灯饰芯片；支持静态屏、1/2~1/32扫之间的任意扫描类型；支持任意抽点，支持数据偏移，可轻松实现各种异型屏、球形屏、创意显示屏；支持电源反接保护电路。</w:t>
            </w:r>
          </w:p>
        </w:tc>
        <w:tc>
          <w:tcPr>
            <w:tcW w:w="1080" w:type="dxa"/>
            <w:vMerge w:val="continue"/>
            <w:tcBorders>
              <w:top w:val="single" w:color="auto" w:sz="4" w:space="0"/>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single" w:color="auto" w:sz="4" w:space="0"/>
              <w:left w:val="single" w:color="auto" w:sz="8" w:space="0"/>
              <w:bottom w:val="single" w:color="000000" w:sz="8" w:space="0"/>
              <w:right w:val="single" w:color="auto" w:sz="4"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570" w:hRule="atLeast"/>
        </w:trPr>
        <w:tc>
          <w:tcPr>
            <w:tcW w:w="1080" w:type="dxa"/>
            <w:vMerge w:val="continue"/>
            <w:tcBorders>
              <w:top w:val="nil"/>
              <w:left w:val="single" w:color="auto" w:sz="4"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5120" w:type="dxa"/>
            <w:tcBorders>
              <w:top w:val="nil"/>
              <w:left w:val="nil"/>
              <w:bottom w:val="nil"/>
              <w:right w:val="single" w:color="auto" w:sz="8" w:space="0"/>
            </w:tcBorders>
            <w:shd w:val="clear" w:color="auto" w:fill="auto"/>
            <w:vAlign w:val="center"/>
          </w:tcPr>
          <w:p>
            <w:pPr>
              <w:widowControl/>
              <w:jc w:val="left"/>
              <w:rPr>
                <w:rFonts w:ascii="宋体" w:hAnsi="宋体"/>
                <w:color w:val="000000"/>
                <w:kern w:val="0"/>
                <w:szCs w:val="21"/>
              </w:rPr>
            </w:pPr>
            <w:r>
              <w:rPr>
                <w:rFonts w:hint="eastAsia" w:ascii="宋体" w:hAnsi="宋体"/>
                <w:color w:val="000000"/>
                <w:kern w:val="0"/>
                <w:szCs w:val="21"/>
              </w:rPr>
              <w:t>3、单卡支持32组RGB信号输出；支持超大带载面积,单卡带载128*1024，256*512；</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855" w:hRule="atLeast"/>
        </w:trPr>
        <w:tc>
          <w:tcPr>
            <w:tcW w:w="1080" w:type="dxa"/>
            <w:vMerge w:val="continue"/>
            <w:tcBorders>
              <w:top w:val="nil"/>
              <w:left w:val="single" w:color="auto" w:sz="4"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5120" w:type="dxa"/>
            <w:tcBorders>
              <w:top w:val="nil"/>
              <w:left w:val="nil"/>
              <w:bottom w:val="nil"/>
              <w:right w:val="single" w:color="auto" w:sz="8" w:space="0"/>
            </w:tcBorders>
            <w:shd w:val="clear" w:color="auto" w:fill="auto"/>
            <w:vAlign w:val="center"/>
          </w:tcPr>
          <w:p>
            <w:pPr>
              <w:widowControl/>
              <w:jc w:val="left"/>
              <w:rPr>
                <w:rFonts w:ascii="宋体" w:hAnsi="宋体"/>
                <w:color w:val="000000"/>
                <w:kern w:val="0"/>
                <w:szCs w:val="21"/>
              </w:rPr>
            </w:pPr>
            <w:r>
              <w:rPr>
                <w:rFonts w:hint="eastAsia" w:ascii="宋体" w:hAnsi="宋体"/>
                <w:color w:val="000000"/>
                <w:kern w:val="0"/>
                <w:szCs w:val="21"/>
              </w:rPr>
              <w:t>▲4、为确保接收卡能够持久运行，需通过电击和能量危险的防护测试合格，并提供第三方检测报告并加盖投标人公章；</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1635" w:hRule="atLeast"/>
        </w:trPr>
        <w:tc>
          <w:tcPr>
            <w:tcW w:w="1080" w:type="dxa"/>
            <w:vMerge w:val="continue"/>
            <w:tcBorders>
              <w:top w:val="nil"/>
              <w:left w:val="single" w:color="auto" w:sz="4"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5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olor w:val="000000"/>
                <w:kern w:val="0"/>
                <w:szCs w:val="21"/>
              </w:rPr>
            </w:pPr>
            <w:r>
              <w:rPr>
                <w:rFonts w:hint="eastAsia" w:ascii="宋体" w:hAnsi="宋体"/>
                <w:color w:val="000000"/>
                <w:kern w:val="0"/>
                <w:szCs w:val="21"/>
              </w:rPr>
              <w:t>▲5、为确保显示屏整体亮度的一致性，接收卡需支持一键修缝功能，并提供获得中国合格评定国家认可委员会认可的第三方检测报告并加盖投标人公章；                                                                                                                                                                                                                             ▲6、为确保产品色彩一致性，接收卡具备专业的校正功能，需提供led专业大屏幕校正软件著作证书复印件并加盖</w:t>
            </w:r>
            <w:r>
              <w:rPr>
                <w:rFonts w:hint="eastAsia" w:ascii="宋体" w:hAnsi="宋体"/>
                <w:color w:val="000000"/>
                <w:kern w:val="0"/>
                <w:szCs w:val="21"/>
                <w:lang w:eastAsia="zh-CN"/>
              </w:rPr>
              <w:t>投标人</w:t>
            </w:r>
            <w:r>
              <w:rPr>
                <w:rFonts w:hint="eastAsia" w:ascii="宋体" w:hAnsi="宋体"/>
                <w:color w:val="000000"/>
                <w:kern w:val="0"/>
                <w:szCs w:val="21"/>
              </w:rPr>
              <w:t>公章</w:t>
            </w:r>
            <w:r>
              <w:rPr>
                <w:rFonts w:hint="eastAsia" w:ascii="宋体" w:hAnsi="宋体"/>
                <w:color w:val="000000"/>
                <w:kern w:val="0"/>
                <w:szCs w:val="21"/>
                <w:lang w:eastAsia="zh-CN"/>
              </w:rPr>
              <w:t>。</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2565" w:hRule="atLeast"/>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4</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视频处理器</w:t>
            </w:r>
          </w:p>
        </w:tc>
        <w:tc>
          <w:tcPr>
            <w:tcW w:w="5120" w:type="dxa"/>
            <w:tcBorders>
              <w:top w:val="nil"/>
              <w:left w:val="nil"/>
              <w:bottom w:val="nil"/>
              <w:right w:val="single" w:color="auto" w:sz="8" w:space="0"/>
            </w:tcBorders>
            <w:shd w:val="clear" w:color="auto" w:fill="auto"/>
            <w:textDirection w:val="lrTb"/>
            <w:vAlign w:val="center"/>
          </w:tcPr>
          <w:p>
            <w:pPr>
              <w:widowControl/>
              <w:jc w:val="left"/>
              <w:rPr>
                <w:rFonts w:ascii="宋体" w:hAnsi="宋体"/>
                <w:color w:val="000000"/>
                <w:kern w:val="0"/>
                <w:szCs w:val="21"/>
              </w:rPr>
            </w:pPr>
            <w:r>
              <w:rPr>
                <w:rFonts w:hint="eastAsia" w:ascii="宋体" w:hAnsi="宋体"/>
                <w:color w:val="000000"/>
                <w:kern w:val="0"/>
                <w:szCs w:val="21"/>
              </w:rPr>
              <w:t>1、专业主控是专业级LED显示屏控制设备；具备强大的视频信号接收和处理能力，最大可接收1920×1200像素的高清数字信号；支持HDMI和DVI高清数字接口，多路信号间无缝切换；支持视频源任意缩放和裁剪。具备4个千兆网口输出，单机可支持最宽4096像素或最高2560像素的LED显示屏。同时，具备一系列丰富实用的功能，提供灵活的屏幕控制和高品质的图像显示，在LED媒体应用领域有显著优势。</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1</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台</w:t>
            </w:r>
          </w:p>
        </w:tc>
      </w:tr>
      <w:tr>
        <w:tblPrEx>
          <w:tblLayout w:type="fixed"/>
          <w:tblCellMar>
            <w:top w:w="0" w:type="dxa"/>
            <w:left w:w="108" w:type="dxa"/>
            <w:bottom w:w="0" w:type="dxa"/>
            <w:right w:w="108" w:type="dxa"/>
          </w:tblCellMar>
        </w:tblPrEx>
        <w:trPr>
          <w:trHeight w:val="57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5120" w:type="dxa"/>
            <w:tcBorders>
              <w:top w:val="nil"/>
              <w:left w:val="nil"/>
              <w:bottom w:val="nil"/>
              <w:right w:val="single" w:color="auto" w:sz="8" w:space="0"/>
            </w:tcBorders>
            <w:shd w:val="clear" w:color="auto" w:fill="auto"/>
            <w:textDirection w:val="lrTb"/>
            <w:vAlign w:val="center"/>
          </w:tcPr>
          <w:p>
            <w:pPr>
              <w:widowControl/>
              <w:jc w:val="left"/>
              <w:rPr>
                <w:rFonts w:ascii="宋体" w:hAnsi="宋体"/>
                <w:color w:val="000000"/>
                <w:kern w:val="0"/>
                <w:szCs w:val="21"/>
              </w:rPr>
            </w:pPr>
            <w:r>
              <w:rPr>
                <w:rFonts w:hint="eastAsia" w:ascii="宋体" w:hAnsi="宋体"/>
                <w:color w:val="000000"/>
                <w:kern w:val="0"/>
                <w:szCs w:val="21"/>
              </w:rPr>
              <w:t>2、具有2类视频输入接口，包括1路HDMI和2路DVI；最大输入分辨率1920×1200@60Hz，支持分辨率任意设置；</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57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5120" w:type="dxa"/>
            <w:tcBorders>
              <w:top w:val="nil"/>
              <w:left w:val="nil"/>
              <w:bottom w:val="nil"/>
              <w:right w:val="single" w:color="auto" w:sz="8" w:space="0"/>
            </w:tcBorders>
            <w:shd w:val="clear" w:color="auto" w:fill="auto"/>
            <w:textDirection w:val="lrTb"/>
            <w:vAlign w:val="center"/>
          </w:tcPr>
          <w:p>
            <w:pPr>
              <w:widowControl/>
              <w:jc w:val="left"/>
              <w:rPr>
                <w:rFonts w:ascii="宋体" w:hAnsi="宋体"/>
                <w:color w:val="000000"/>
                <w:kern w:val="0"/>
                <w:szCs w:val="21"/>
              </w:rPr>
            </w:pPr>
            <w:r>
              <w:rPr>
                <w:rFonts w:ascii="宋体" w:hAnsi="宋体"/>
                <w:color w:val="000000"/>
                <w:kern w:val="0"/>
                <w:szCs w:val="21"/>
              </w:rPr>
              <w:t>3</w:t>
            </w:r>
            <w:r>
              <w:rPr>
                <w:rFonts w:hint="eastAsia" w:ascii="宋体" w:hAnsi="宋体"/>
                <w:color w:val="000000"/>
                <w:kern w:val="0"/>
                <w:szCs w:val="21"/>
              </w:rPr>
              <w:t>、最大带载260万像素，最宽可达4096点，或最高可达2560点；</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57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5120" w:type="dxa"/>
            <w:tcBorders>
              <w:top w:val="nil"/>
              <w:left w:val="nil"/>
              <w:bottom w:val="nil"/>
              <w:right w:val="single" w:color="auto" w:sz="8" w:space="0"/>
            </w:tcBorders>
            <w:shd w:val="clear" w:color="auto" w:fill="auto"/>
            <w:textDirection w:val="lrTb"/>
            <w:vAlign w:val="center"/>
          </w:tcPr>
          <w:p>
            <w:pPr>
              <w:widowControl/>
              <w:jc w:val="left"/>
              <w:rPr>
                <w:rFonts w:ascii="宋体" w:hAnsi="宋体"/>
                <w:color w:val="000000"/>
                <w:kern w:val="0"/>
                <w:szCs w:val="21"/>
              </w:rPr>
            </w:pPr>
            <w:r>
              <w:rPr>
                <w:rFonts w:ascii="宋体" w:hAnsi="宋体"/>
                <w:color w:val="000000"/>
                <w:kern w:val="0"/>
                <w:szCs w:val="21"/>
              </w:rPr>
              <w:t>4</w:t>
            </w:r>
            <w:r>
              <w:rPr>
                <w:rFonts w:hint="eastAsia" w:ascii="宋体" w:hAnsi="宋体"/>
                <w:color w:val="000000"/>
                <w:kern w:val="0"/>
                <w:szCs w:val="21"/>
              </w:rPr>
              <w:t>、支持视频源任意切换，缩放和裁剪；支持画面偏移；支持亮度和色温调节；支持低亮高灰；支持HDCP 1.4；</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85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5120" w:type="dxa"/>
            <w:tcBorders>
              <w:top w:val="nil"/>
              <w:left w:val="nil"/>
              <w:bottom w:val="nil"/>
              <w:right w:val="single" w:color="auto" w:sz="8" w:space="0"/>
            </w:tcBorders>
            <w:shd w:val="clear" w:color="auto" w:fill="auto"/>
            <w:textDirection w:val="lrTb"/>
            <w:vAlign w:val="center"/>
          </w:tcPr>
          <w:p>
            <w:pPr>
              <w:widowControl/>
              <w:jc w:val="left"/>
              <w:rPr>
                <w:rFonts w:ascii="宋体" w:hAnsi="宋体"/>
                <w:color w:val="000000"/>
                <w:kern w:val="0"/>
                <w:szCs w:val="21"/>
              </w:rPr>
            </w:pPr>
            <w:r>
              <w:rPr>
                <w:rFonts w:ascii="宋体" w:hAnsi="宋体"/>
                <w:color w:val="000000"/>
                <w:kern w:val="0"/>
                <w:szCs w:val="21"/>
              </w:rPr>
              <w:t>5</w:t>
            </w:r>
            <w:r>
              <w:rPr>
                <w:rFonts w:hint="eastAsia" w:ascii="宋体" w:hAnsi="宋体"/>
                <w:color w:val="000000"/>
                <w:kern w:val="0"/>
                <w:szCs w:val="21"/>
              </w:rPr>
              <w:t>、双USB 2.0高速通讯接口，用于电脑调试和主控间任意级联；</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85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5120" w:type="dxa"/>
            <w:tcBorders>
              <w:top w:val="nil"/>
              <w:left w:val="nil"/>
              <w:bottom w:val="nil"/>
              <w:right w:val="single" w:color="auto" w:sz="8" w:space="0"/>
            </w:tcBorders>
            <w:shd w:val="clear" w:color="auto" w:fill="auto"/>
            <w:textDirection w:val="lrTb"/>
            <w:vAlign w:val="center"/>
          </w:tcPr>
          <w:p>
            <w:pPr>
              <w:widowControl/>
              <w:jc w:val="left"/>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6</w:t>
            </w:r>
            <w:r>
              <w:rPr>
                <w:rFonts w:hint="eastAsia" w:ascii="宋体" w:hAnsi="宋体"/>
                <w:color w:val="000000"/>
                <w:kern w:val="0"/>
                <w:szCs w:val="21"/>
              </w:rPr>
              <w:t>、为确保高清视频的安全性,设备需通过高带宽数字内容保护技术测试合格，并提供获得中国合格评定国家认可委员会认可的第三方检测报告复印件并加盖供应商公章；</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1140" w:hRule="atLeast"/>
        </w:trPr>
        <w:tc>
          <w:tcPr>
            <w:tcW w:w="1080" w:type="dxa"/>
            <w:vMerge w:val="continue"/>
            <w:tcBorders>
              <w:top w:val="nil"/>
              <w:left w:val="single" w:color="auto" w:sz="8" w:space="0"/>
              <w:bottom w:val="single" w:color="auto" w:sz="4"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auto" w:sz="4" w:space="0"/>
              <w:right w:val="single" w:color="auto" w:sz="8" w:space="0"/>
            </w:tcBorders>
            <w:vAlign w:val="center"/>
          </w:tcPr>
          <w:p>
            <w:pPr>
              <w:widowControl/>
              <w:jc w:val="left"/>
              <w:rPr>
                <w:rFonts w:ascii="宋体" w:hAnsi="宋体"/>
                <w:color w:val="000000"/>
                <w:kern w:val="0"/>
                <w:szCs w:val="21"/>
              </w:rPr>
            </w:pPr>
          </w:p>
        </w:tc>
        <w:tc>
          <w:tcPr>
            <w:tcW w:w="5120" w:type="dxa"/>
            <w:tcBorders>
              <w:top w:val="nil"/>
              <w:left w:val="nil"/>
              <w:bottom w:val="single" w:color="auto" w:sz="4" w:space="0"/>
              <w:right w:val="single" w:color="auto" w:sz="8" w:space="0"/>
            </w:tcBorders>
            <w:shd w:val="clear" w:color="auto" w:fill="auto"/>
            <w:textDirection w:val="lrTb"/>
            <w:vAlign w:val="center"/>
          </w:tcPr>
          <w:p>
            <w:pPr>
              <w:widowControl/>
              <w:jc w:val="left"/>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7</w:t>
            </w:r>
            <w:r>
              <w:rPr>
                <w:rFonts w:hint="eastAsia" w:ascii="宋体" w:hAnsi="宋体"/>
                <w:color w:val="000000"/>
                <w:kern w:val="0"/>
                <w:szCs w:val="21"/>
              </w:rPr>
              <w:t>、为实现高品质的画面处理效果，设备需通过广播级缩放测试合格，并提供获得中国合格评定国家认可委员会认可的第三方检测报告复印件并加盖供应商公章；</w:t>
            </w:r>
          </w:p>
        </w:tc>
        <w:tc>
          <w:tcPr>
            <w:tcW w:w="1080" w:type="dxa"/>
            <w:vMerge w:val="continue"/>
            <w:tcBorders>
              <w:top w:val="nil"/>
              <w:left w:val="single" w:color="auto" w:sz="8" w:space="0"/>
              <w:bottom w:val="single" w:color="auto" w:sz="4"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auto" w:sz="4"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570" w:hRule="atLeast"/>
        </w:trPr>
        <w:tc>
          <w:tcPr>
            <w:tcW w:w="1080" w:type="dxa"/>
            <w:vMerge w:val="restart"/>
            <w:tcBorders>
              <w:top w:val="single" w:color="auto" w:sz="4"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5</w:t>
            </w:r>
          </w:p>
        </w:tc>
        <w:tc>
          <w:tcPr>
            <w:tcW w:w="1080" w:type="dxa"/>
            <w:vMerge w:val="restart"/>
            <w:tcBorders>
              <w:top w:val="single" w:color="auto" w:sz="4"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智能管理一体机</w:t>
            </w:r>
          </w:p>
        </w:tc>
        <w:tc>
          <w:tcPr>
            <w:tcW w:w="5120" w:type="dxa"/>
            <w:tcBorders>
              <w:top w:val="single" w:color="auto" w:sz="4" w:space="0"/>
              <w:left w:val="nil"/>
              <w:bottom w:val="nil"/>
              <w:right w:val="single" w:color="auto" w:sz="8" w:space="0"/>
            </w:tcBorders>
            <w:shd w:val="clear" w:color="auto" w:fill="auto"/>
            <w:textDirection w:val="lrTb"/>
            <w:vAlign w:val="center"/>
          </w:tcPr>
          <w:p>
            <w:pPr>
              <w:widowControl/>
              <w:jc w:val="left"/>
              <w:rPr>
                <w:rFonts w:ascii="宋体" w:hAnsi="宋体"/>
                <w:color w:val="000000"/>
                <w:kern w:val="0"/>
                <w:szCs w:val="21"/>
              </w:rPr>
            </w:pPr>
            <w:r>
              <w:rPr>
                <w:rFonts w:hint="eastAsia" w:ascii="宋体" w:hAnsi="宋体"/>
                <w:color w:val="000000"/>
                <w:kern w:val="0"/>
                <w:szCs w:val="21"/>
              </w:rPr>
              <w:t>1、工业化设计，良好的散热系统，自带散热风扇；</w:t>
            </w:r>
          </w:p>
        </w:tc>
        <w:tc>
          <w:tcPr>
            <w:tcW w:w="1080" w:type="dxa"/>
            <w:vMerge w:val="restart"/>
            <w:tcBorders>
              <w:top w:val="single" w:color="auto" w:sz="4"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1</w:t>
            </w:r>
          </w:p>
        </w:tc>
        <w:tc>
          <w:tcPr>
            <w:tcW w:w="1080" w:type="dxa"/>
            <w:vMerge w:val="restart"/>
            <w:tcBorders>
              <w:top w:val="single" w:color="auto" w:sz="4"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台</w:t>
            </w:r>
          </w:p>
        </w:tc>
      </w:tr>
      <w:tr>
        <w:tblPrEx>
          <w:tblLayout w:type="fixed"/>
          <w:tblCellMar>
            <w:top w:w="0" w:type="dxa"/>
            <w:left w:w="108" w:type="dxa"/>
            <w:bottom w:w="0" w:type="dxa"/>
            <w:right w:w="108" w:type="dxa"/>
          </w:tblCellMar>
        </w:tblPrEx>
        <w:trPr>
          <w:trHeight w:val="57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5120" w:type="dxa"/>
            <w:tcBorders>
              <w:top w:val="nil"/>
              <w:left w:val="nil"/>
              <w:bottom w:val="nil"/>
              <w:right w:val="single" w:color="auto" w:sz="8" w:space="0"/>
            </w:tcBorders>
            <w:shd w:val="clear" w:color="auto" w:fill="auto"/>
            <w:textDirection w:val="lrTb"/>
            <w:vAlign w:val="center"/>
          </w:tcPr>
          <w:p>
            <w:pPr>
              <w:widowControl/>
              <w:jc w:val="left"/>
              <w:rPr>
                <w:rFonts w:ascii="宋体" w:hAnsi="宋体"/>
                <w:color w:val="000000"/>
                <w:kern w:val="0"/>
                <w:szCs w:val="21"/>
              </w:rPr>
            </w:pPr>
            <w:r>
              <w:rPr>
                <w:rFonts w:hint="eastAsia" w:ascii="宋体" w:hAnsi="宋体"/>
                <w:color w:val="000000"/>
                <w:kern w:val="0"/>
                <w:szCs w:val="21"/>
              </w:rPr>
              <w:t>2、输出接口：HDMI≥1、VGA≥1、DP≥1(可选)；其它接口：WIFI双天线、RJ45×1、mic×1、audio×1、USB3.0≥2、USB2.0≥3；</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57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5120" w:type="dxa"/>
            <w:tcBorders>
              <w:top w:val="nil"/>
              <w:left w:val="nil"/>
              <w:bottom w:val="nil"/>
              <w:right w:val="single" w:color="auto" w:sz="8" w:space="0"/>
            </w:tcBorders>
            <w:shd w:val="clear" w:color="auto" w:fill="auto"/>
            <w:textDirection w:val="lrTb"/>
            <w:vAlign w:val="center"/>
          </w:tcPr>
          <w:p>
            <w:pPr>
              <w:widowControl/>
              <w:jc w:val="left"/>
              <w:rPr>
                <w:rFonts w:ascii="宋体" w:hAnsi="宋体"/>
                <w:color w:val="000000"/>
                <w:kern w:val="0"/>
                <w:szCs w:val="21"/>
              </w:rPr>
            </w:pPr>
            <w:r>
              <w:rPr>
                <w:rFonts w:ascii="宋体" w:hAnsi="宋体"/>
                <w:color w:val="000000"/>
                <w:kern w:val="0"/>
                <w:szCs w:val="21"/>
              </w:rPr>
              <w:t>3</w:t>
            </w:r>
            <w:r>
              <w:rPr>
                <w:rFonts w:hint="eastAsia" w:ascii="宋体" w:hAnsi="宋体"/>
                <w:color w:val="000000"/>
                <w:kern w:val="0"/>
                <w:szCs w:val="21"/>
              </w:rPr>
              <w:t>、设备支持7*24小时不间断工作；支持密码登录开机；</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5120" w:type="dxa"/>
            <w:tcBorders>
              <w:top w:val="nil"/>
              <w:left w:val="nil"/>
              <w:bottom w:val="nil"/>
              <w:right w:val="single" w:color="auto" w:sz="8" w:space="0"/>
            </w:tcBorders>
            <w:shd w:val="clear" w:color="auto" w:fill="auto"/>
            <w:textDirection w:val="lrTb"/>
            <w:vAlign w:val="center"/>
          </w:tcPr>
          <w:p>
            <w:pPr>
              <w:widowControl/>
              <w:jc w:val="left"/>
              <w:rPr>
                <w:rFonts w:ascii="宋体" w:hAnsi="宋体"/>
                <w:color w:val="000000"/>
                <w:kern w:val="0"/>
                <w:szCs w:val="21"/>
              </w:rPr>
            </w:pPr>
            <w:r>
              <w:rPr>
                <w:rFonts w:hint="eastAsia" w:ascii="宋体" w:hAnsi="宋体"/>
                <w:color w:val="000000"/>
                <w:kern w:val="0"/>
                <w:szCs w:val="21"/>
              </w:rPr>
              <w:t>LED节目发布系统：</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5120" w:type="dxa"/>
            <w:tcBorders>
              <w:top w:val="nil"/>
              <w:left w:val="nil"/>
              <w:bottom w:val="nil"/>
              <w:right w:val="single" w:color="auto" w:sz="8" w:space="0"/>
            </w:tcBorders>
            <w:shd w:val="clear" w:color="auto" w:fill="auto"/>
            <w:textDirection w:val="lrTb"/>
            <w:vAlign w:val="center"/>
          </w:tcPr>
          <w:p>
            <w:pPr>
              <w:widowControl/>
              <w:jc w:val="left"/>
              <w:rPr>
                <w:rFonts w:ascii="宋体" w:hAnsi="宋体"/>
                <w:color w:val="000000"/>
                <w:kern w:val="0"/>
                <w:szCs w:val="21"/>
              </w:rPr>
            </w:pPr>
            <w:r>
              <w:rPr>
                <w:rFonts w:hint="eastAsia" w:ascii="宋体" w:hAnsi="宋体"/>
                <w:color w:val="000000"/>
                <w:kern w:val="0"/>
                <w:szCs w:val="21"/>
              </w:rPr>
              <w:t>1、可根据LED显示屏大小，自定义屏幕的分辨率设置，灵活多样的界面布局，分屏全屏自由随心；</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57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5120" w:type="dxa"/>
            <w:tcBorders>
              <w:top w:val="nil"/>
              <w:left w:val="nil"/>
              <w:bottom w:val="nil"/>
              <w:right w:val="single" w:color="auto" w:sz="8" w:space="0"/>
            </w:tcBorders>
            <w:shd w:val="clear" w:color="auto" w:fill="auto"/>
            <w:textDirection w:val="lrTb"/>
            <w:vAlign w:val="center"/>
          </w:tcPr>
          <w:p>
            <w:pPr>
              <w:widowControl/>
              <w:jc w:val="left"/>
              <w:rPr>
                <w:rFonts w:ascii="宋体" w:hAnsi="宋体"/>
                <w:color w:val="000000"/>
                <w:kern w:val="0"/>
                <w:szCs w:val="21"/>
              </w:rPr>
            </w:pPr>
            <w:r>
              <w:rPr>
                <w:rFonts w:hint="eastAsia" w:ascii="宋体" w:hAnsi="宋体"/>
                <w:color w:val="000000"/>
                <w:kern w:val="0"/>
                <w:szCs w:val="21"/>
              </w:rPr>
              <w:t>2、支持图片、视频、文本、网址、音频、时钟、混播、天气、PDF、FLASH、PPT、WORD等多种媒体样式；</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5120" w:type="dxa"/>
            <w:tcBorders>
              <w:top w:val="nil"/>
              <w:left w:val="nil"/>
              <w:bottom w:val="nil"/>
              <w:right w:val="single" w:color="auto" w:sz="8" w:space="0"/>
            </w:tcBorders>
            <w:shd w:val="clear" w:color="auto" w:fill="auto"/>
            <w:textDirection w:val="lrTb"/>
            <w:vAlign w:val="center"/>
          </w:tcPr>
          <w:p>
            <w:pPr>
              <w:widowControl/>
              <w:jc w:val="left"/>
              <w:rPr>
                <w:rFonts w:ascii="宋体" w:hAnsi="宋体"/>
                <w:color w:val="000000"/>
                <w:kern w:val="0"/>
                <w:szCs w:val="21"/>
              </w:rPr>
            </w:pPr>
            <w:r>
              <w:rPr>
                <w:rFonts w:hint="eastAsia" w:ascii="宋体" w:hAnsi="宋体"/>
                <w:color w:val="000000"/>
                <w:kern w:val="0"/>
                <w:szCs w:val="21"/>
              </w:rPr>
              <w:t>3、支持拖拽式的节目编排，所见即所得的编辑效果；</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85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5120" w:type="dxa"/>
            <w:tcBorders>
              <w:top w:val="nil"/>
              <w:left w:val="nil"/>
              <w:bottom w:val="nil"/>
              <w:right w:val="single" w:color="auto" w:sz="8" w:space="0"/>
            </w:tcBorders>
            <w:shd w:val="clear" w:color="auto" w:fill="auto"/>
            <w:textDirection w:val="lrTb"/>
            <w:vAlign w:val="center"/>
          </w:tcPr>
          <w:p>
            <w:pPr>
              <w:widowControl/>
              <w:jc w:val="left"/>
              <w:rPr>
                <w:rFonts w:ascii="宋体" w:hAnsi="宋体"/>
                <w:color w:val="000000"/>
                <w:kern w:val="0"/>
                <w:szCs w:val="21"/>
              </w:rPr>
            </w:pPr>
            <w:r>
              <w:rPr>
                <w:rFonts w:hint="eastAsia" w:ascii="宋体" w:hAnsi="宋体"/>
                <w:color w:val="000000"/>
                <w:kern w:val="0"/>
                <w:szCs w:val="21"/>
              </w:rPr>
              <w:t>4、支持节目和节目单实时预览，提前预知显示效果；</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85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5120" w:type="dxa"/>
            <w:tcBorders>
              <w:top w:val="nil"/>
              <w:left w:val="nil"/>
              <w:bottom w:val="nil"/>
              <w:right w:val="single" w:color="auto" w:sz="8" w:space="0"/>
            </w:tcBorders>
            <w:shd w:val="clear" w:color="auto" w:fill="auto"/>
            <w:textDirection w:val="lrTb"/>
            <w:vAlign w:val="center"/>
          </w:tcPr>
          <w:p>
            <w:pPr>
              <w:widowControl/>
              <w:jc w:val="left"/>
              <w:rPr>
                <w:rFonts w:ascii="宋体" w:hAnsi="宋体"/>
                <w:color w:val="000000"/>
                <w:kern w:val="0"/>
                <w:szCs w:val="21"/>
              </w:rPr>
            </w:pPr>
            <w:r>
              <w:rPr>
                <w:rFonts w:hint="eastAsia" w:ascii="宋体" w:hAnsi="宋体"/>
                <w:color w:val="000000"/>
                <w:kern w:val="0"/>
                <w:szCs w:val="21"/>
              </w:rPr>
              <w:t>▲5、支持节目轮播；支持节目插播，便于发布紧急显示任务信息，提供第三方检测机构对该功能的检测报告复印件并加盖供应商公章；</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57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5120" w:type="dxa"/>
            <w:tcBorders>
              <w:top w:val="nil"/>
              <w:left w:val="nil"/>
              <w:bottom w:val="nil"/>
              <w:right w:val="single" w:color="auto" w:sz="8" w:space="0"/>
            </w:tcBorders>
            <w:shd w:val="clear" w:color="auto" w:fill="auto"/>
            <w:textDirection w:val="lrTb"/>
            <w:vAlign w:val="center"/>
          </w:tcPr>
          <w:p>
            <w:pPr>
              <w:widowControl/>
              <w:jc w:val="left"/>
              <w:rPr>
                <w:rFonts w:ascii="宋体" w:hAnsi="宋体"/>
                <w:color w:val="000000"/>
                <w:kern w:val="0"/>
                <w:szCs w:val="21"/>
              </w:rPr>
            </w:pPr>
            <w:r>
              <w:rPr>
                <w:rFonts w:hint="eastAsia" w:ascii="宋体" w:hAnsi="宋体"/>
                <w:color w:val="000000"/>
                <w:kern w:val="0"/>
                <w:szCs w:val="21"/>
              </w:rPr>
              <w:t>6、支持节目排程，实现提前规划节目播放显示时间；</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57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5120" w:type="dxa"/>
            <w:tcBorders>
              <w:top w:val="nil"/>
              <w:left w:val="nil"/>
              <w:bottom w:val="nil"/>
              <w:right w:val="single" w:color="auto" w:sz="8" w:space="0"/>
            </w:tcBorders>
            <w:shd w:val="clear" w:color="auto" w:fill="auto"/>
            <w:textDirection w:val="lrTb"/>
            <w:vAlign w:val="center"/>
          </w:tcPr>
          <w:p>
            <w:pPr>
              <w:widowControl/>
              <w:jc w:val="left"/>
              <w:rPr>
                <w:rFonts w:ascii="宋体" w:hAnsi="宋体"/>
                <w:color w:val="000000"/>
                <w:kern w:val="0"/>
                <w:szCs w:val="21"/>
              </w:rPr>
            </w:pPr>
            <w:r>
              <w:rPr>
                <w:rFonts w:hint="eastAsia" w:ascii="宋体" w:hAnsi="宋体"/>
                <w:color w:val="000000"/>
                <w:kern w:val="0"/>
                <w:szCs w:val="21"/>
              </w:rPr>
              <w:t>7、支持节目场景模板化，模板数量用户可自行增减；</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85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5120" w:type="dxa"/>
            <w:tcBorders>
              <w:top w:val="nil"/>
              <w:left w:val="nil"/>
              <w:bottom w:val="nil"/>
              <w:right w:val="single" w:color="auto" w:sz="8" w:space="0"/>
            </w:tcBorders>
            <w:shd w:val="clear" w:color="auto" w:fill="auto"/>
            <w:textDirection w:val="lrTb"/>
            <w:vAlign w:val="center"/>
          </w:tcPr>
          <w:p>
            <w:pPr>
              <w:widowControl/>
              <w:jc w:val="left"/>
              <w:rPr>
                <w:rFonts w:ascii="宋体" w:hAnsi="宋体"/>
                <w:color w:val="000000"/>
                <w:kern w:val="0"/>
                <w:szCs w:val="21"/>
              </w:rPr>
            </w:pPr>
            <w:r>
              <w:rPr>
                <w:rFonts w:hint="eastAsia" w:ascii="宋体" w:hAnsi="宋体"/>
                <w:color w:val="000000"/>
                <w:kern w:val="0"/>
                <w:szCs w:val="21"/>
              </w:rPr>
              <w:t>▲8、支持UGC（实时数据）功能，可对接第三方接口，实时推送第三方信息进行显示播放，发布系统自带UGC（实时数据）功能按钮，提供厂家对此项功能的参数承诺函，并提供发布系统UGC（实时数据）接口演示证明视频，供应商须提供电子介质如U盘、光盘等，并提供相关视频播放软件保证演示视频顺利打开，注明功能演示电子文件）；</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57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5120" w:type="dxa"/>
            <w:tcBorders>
              <w:top w:val="nil"/>
              <w:left w:val="nil"/>
              <w:bottom w:val="nil"/>
              <w:right w:val="single" w:color="auto" w:sz="8" w:space="0"/>
            </w:tcBorders>
            <w:shd w:val="clear" w:color="auto" w:fill="auto"/>
            <w:textDirection w:val="lrTb"/>
            <w:vAlign w:val="center"/>
          </w:tcPr>
          <w:p>
            <w:pPr>
              <w:widowControl/>
              <w:jc w:val="left"/>
              <w:rPr>
                <w:rFonts w:ascii="宋体" w:hAnsi="宋体"/>
                <w:color w:val="000000"/>
                <w:kern w:val="0"/>
                <w:szCs w:val="21"/>
              </w:rPr>
            </w:pPr>
            <w:r>
              <w:rPr>
                <w:rFonts w:hint="eastAsia" w:ascii="宋体" w:hAnsi="宋体"/>
                <w:color w:val="000000"/>
                <w:kern w:val="0"/>
                <w:szCs w:val="21"/>
              </w:rPr>
              <w:t>▲9、支持多屏异显功能，可同时通过智能管理一体机输出接口模拟多路信号源同步输出节目到不同LED显示屏显示，为客户节省信号源设备成本，提供该项功能厂家参数承诺函，产品交付后需对该功能进行查验，无此功能将不通过验收；</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57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5120" w:type="dxa"/>
            <w:tcBorders>
              <w:top w:val="nil"/>
              <w:left w:val="nil"/>
              <w:bottom w:val="nil"/>
              <w:right w:val="single" w:color="auto" w:sz="8" w:space="0"/>
            </w:tcBorders>
            <w:shd w:val="clear" w:color="auto" w:fill="auto"/>
            <w:textDirection w:val="lrTb"/>
            <w:vAlign w:val="center"/>
          </w:tcPr>
          <w:p>
            <w:pPr>
              <w:widowControl/>
              <w:jc w:val="left"/>
              <w:rPr>
                <w:rFonts w:ascii="宋体" w:hAnsi="宋体"/>
                <w:color w:val="000000"/>
                <w:kern w:val="0"/>
                <w:szCs w:val="21"/>
              </w:rPr>
            </w:pPr>
            <w:r>
              <w:rPr>
                <w:rFonts w:hint="eastAsia" w:ascii="宋体" w:hAnsi="宋体"/>
                <w:color w:val="000000"/>
                <w:kern w:val="0"/>
                <w:szCs w:val="21"/>
              </w:rPr>
              <w:t>▲10、发布系统具备信息安全性：具备子账户功能，可以自定义二级账户，即具有用户权限限制及权限管理功能，提供第三方检测机构对该功能的检测报告复印件并加盖供应商公章；</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9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5120" w:type="dxa"/>
            <w:tcBorders>
              <w:top w:val="nil"/>
              <w:left w:val="nil"/>
              <w:bottom w:val="nil"/>
              <w:right w:val="single" w:color="auto" w:sz="8" w:space="0"/>
            </w:tcBorders>
            <w:shd w:val="clear" w:color="auto" w:fill="auto"/>
            <w:textDirection w:val="lrTb"/>
            <w:vAlign w:val="center"/>
          </w:tcPr>
          <w:p>
            <w:pPr>
              <w:widowControl/>
              <w:jc w:val="left"/>
              <w:rPr>
                <w:rFonts w:ascii="宋体" w:hAnsi="宋体"/>
                <w:color w:val="000000"/>
                <w:kern w:val="0"/>
                <w:szCs w:val="21"/>
              </w:rPr>
            </w:pPr>
            <w:r>
              <w:rPr>
                <w:rFonts w:hint="eastAsia" w:ascii="宋体" w:hAnsi="宋体"/>
                <w:color w:val="000000"/>
                <w:kern w:val="0"/>
                <w:szCs w:val="21"/>
              </w:rPr>
              <w:t>11、支持软件操作界面背景自定义设置，用户可根据自己喜好更换软件背景图片；</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71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5120" w:type="dxa"/>
            <w:tcBorders>
              <w:top w:val="nil"/>
              <w:left w:val="nil"/>
              <w:bottom w:val="single" w:color="auto" w:sz="4" w:space="0"/>
              <w:right w:val="single" w:color="auto" w:sz="8" w:space="0"/>
            </w:tcBorders>
            <w:shd w:val="clear" w:color="auto" w:fill="auto"/>
            <w:textDirection w:val="lrTb"/>
            <w:vAlign w:val="center"/>
          </w:tcPr>
          <w:p>
            <w:pPr>
              <w:widowControl/>
              <w:jc w:val="left"/>
              <w:rPr>
                <w:rFonts w:ascii="宋体" w:hAnsi="宋体"/>
                <w:color w:val="000000"/>
                <w:kern w:val="0"/>
                <w:szCs w:val="21"/>
              </w:rPr>
            </w:pPr>
            <w:r>
              <w:rPr>
                <w:rFonts w:hint="eastAsia" w:ascii="宋体" w:hAnsi="宋体"/>
                <w:color w:val="000000"/>
                <w:kern w:val="0"/>
                <w:szCs w:val="21"/>
              </w:rPr>
              <w:t>12、支持节目本地化存储，也可以通过U盘导出到其它授权播放设备；</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104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5120" w:type="dxa"/>
            <w:tcBorders>
              <w:top w:val="single" w:color="auto" w:sz="4" w:space="0"/>
              <w:left w:val="nil"/>
              <w:bottom w:val="nil"/>
              <w:right w:val="single" w:color="auto" w:sz="8" w:space="0"/>
            </w:tcBorders>
            <w:shd w:val="clear" w:color="auto" w:fill="auto"/>
            <w:textDirection w:val="lrTb"/>
            <w:vAlign w:val="center"/>
          </w:tcPr>
          <w:p>
            <w:pPr>
              <w:widowControl/>
              <w:jc w:val="left"/>
              <w:rPr>
                <w:rFonts w:ascii="宋体" w:hAnsi="宋体"/>
                <w:color w:val="000000"/>
                <w:kern w:val="0"/>
                <w:szCs w:val="21"/>
              </w:rPr>
            </w:pPr>
            <w:r>
              <w:rPr>
                <w:rFonts w:hint="eastAsia" w:ascii="宋体" w:hAnsi="宋体"/>
                <w:color w:val="000000"/>
                <w:kern w:val="0"/>
                <w:szCs w:val="21"/>
              </w:rPr>
              <w:t>▲13、支持嵌套外部应用程序，即可在播放节目中加入APP按键，直接调用其它应用程序，提供该项功能厂家参数承诺函，并提供软件截图加以辅证；</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57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5120" w:type="dxa"/>
            <w:tcBorders>
              <w:top w:val="nil"/>
              <w:left w:val="nil"/>
              <w:bottom w:val="single" w:color="auto" w:sz="4" w:space="0"/>
              <w:right w:val="single" w:color="auto" w:sz="8" w:space="0"/>
            </w:tcBorders>
            <w:shd w:val="clear" w:color="auto" w:fill="auto"/>
            <w:textDirection w:val="lrTb"/>
            <w:vAlign w:val="center"/>
          </w:tcPr>
          <w:p>
            <w:pPr>
              <w:widowControl/>
              <w:jc w:val="left"/>
              <w:rPr>
                <w:rFonts w:ascii="宋体" w:hAnsi="宋体"/>
                <w:color w:val="000000"/>
                <w:kern w:val="0"/>
                <w:szCs w:val="21"/>
              </w:rPr>
            </w:pPr>
            <w:r>
              <w:rPr>
                <w:rFonts w:hint="eastAsia" w:ascii="宋体" w:hAnsi="宋体"/>
                <w:color w:val="000000"/>
                <w:kern w:val="0"/>
                <w:szCs w:val="21"/>
              </w:rPr>
              <w:t>14、支持远程操作，可通过局域网或广域网，发布显示节目；</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57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color w:val="000000"/>
                <w:kern w:val="0"/>
                <w:szCs w:val="21"/>
              </w:rPr>
            </w:pPr>
          </w:p>
        </w:tc>
        <w:tc>
          <w:tcPr>
            <w:tcW w:w="512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left"/>
              <w:rPr>
                <w:rFonts w:ascii="宋体" w:hAnsi="宋体"/>
                <w:color w:val="000000"/>
                <w:kern w:val="0"/>
                <w:szCs w:val="21"/>
              </w:rPr>
            </w:pPr>
            <w:r>
              <w:rPr>
                <w:rFonts w:hint="eastAsia" w:ascii="宋体" w:hAnsi="宋体"/>
                <w:color w:val="000000"/>
                <w:kern w:val="0"/>
                <w:szCs w:val="21"/>
              </w:rPr>
              <w:t>▲15、为避免不必要的知识产权纠纷，LED节目发布系统软件为智能管理一体机制造商自主研发产品，提供该软件国家版权局计算机软件著作权登记证书复印件并加盖供应商公章，并提供第三方权威机构网站或手机APP查询截图进行辅证。</w:t>
            </w:r>
          </w:p>
        </w:tc>
        <w:tc>
          <w:tcPr>
            <w:tcW w:w="1080" w:type="dxa"/>
            <w:vMerge w:val="continue"/>
            <w:tcBorders>
              <w:top w:val="nil"/>
              <w:left w:val="single" w:color="auto" w:sz="4"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1155"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6</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配电柜</w:t>
            </w:r>
          </w:p>
        </w:tc>
        <w:tc>
          <w:tcPr>
            <w:tcW w:w="5120" w:type="dxa"/>
            <w:tcBorders>
              <w:top w:val="single" w:color="auto" w:sz="4" w:space="0"/>
              <w:left w:val="nil"/>
              <w:bottom w:val="single" w:color="auto" w:sz="8" w:space="0"/>
              <w:right w:val="single" w:color="auto" w:sz="8" w:space="0"/>
            </w:tcBorders>
            <w:shd w:val="clear" w:color="auto" w:fill="auto"/>
            <w:vAlign w:val="center"/>
          </w:tcPr>
          <w:p>
            <w:pPr>
              <w:widowControl/>
              <w:jc w:val="left"/>
              <w:rPr>
                <w:rFonts w:ascii="宋体" w:hAnsi="宋体"/>
                <w:color w:val="000000"/>
                <w:kern w:val="0"/>
                <w:szCs w:val="21"/>
              </w:rPr>
            </w:pPr>
            <w:r>
              <w:rPr>
                <w:rFonts w:hint="eastAsia" w:ascii="宋体" w:hAnsi="宋体"/>
                <w:color w:val="000000"/>
                <w:kern w:val="0"/>
                <w:szCs w:val="21"/>
              </w:rPr>
              <w:t>1、电压:380V /220V ；防雷防浪涌；高温断电；烟雾报警断电；光耦隔离控制系统，分步式上下电，5级；维修照明插座</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1</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套</w:t>
            </w:r>
          </w:p>
        </w:tc>
      </w:tr>
      <w:tr>
        <w:tblPrEx>
          <w:tblLayout w:type="fixed"/>
          <w:tblCellMar>
            <w:top w:w="0" w:type="dxa"/>
            <w:left w:w="108" w:type="dxa"/>
            <w:bottom w:w="0" w:type="dxa"/>
            <w:right w:w="108" w:type="dxa"/>
          </w:tblCellMar>
        </w:tblPrEx>
        <w:trPr>
          <w:trHeight w:val="585"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7</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钢结构以及美化</w:t>
            </w:r>
          </w:p>
        </w:tc>
        <w:tc>
          <w:tcPr>
            <w:tcW w:w="5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olor w:val="000000"/>
                <w:kern w:val="0"/>
                <w:szCs w:val="21"/>
              </w:rPr>
            </w:pPr>
            <w:r>
              <w:rPr>
                <w:rFonts w:hint="eastAsia" w:ascii="宋体" w:hAnsi="宋体"/>
                <w:color w:val="000000"/>
                <w:kern w:val="0"/>
                <w:szCs w:val="21"/>
              </w:rPr>
              <w:t>根据现场环境需求制作显示屏专用钢结构、以及不锈钢包边</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1</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批</w:t>
            </w:r>
          </w:p>
        </w:tc>
      </w:tr>
      <w:tr>
        <w:tblPrEx>
          <w:tblLayout w:type="fixed"/>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8</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机柜</w:t>
            </w:r>
          </w:p>
        </w:tc>
        <w:tc>
          <w:tcPr>
            <w:tcW w:w="5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olor w:val="000000"/>
                <w:kern w:val="0"/>
                <w:szCs w:val="21"/>
              </w:rPr>
            </w:pPr>
            <w:r>
              <w:rPr>
                <w:rFonts w:hint="eastAsia" w:ascii="宋体" w:hAnsi="宋体"/>
                <w:color w:val="000000"/>
                <w:kern w:val="0"/>
                <w:szCs w:val="21"/>
              </w:rPr>
              <w:t>600</w:t>
            </w:r>
            <w:r>
              <w:rPr>
                <w:rFonts w:hint="eastAsia" w:ascii="宋体" w:hAnsi="宋体"/>
                <w:color w:val="000000"/>
                <w:kern w:val="0"/>
                <w:szCs w:val="21"/>
                <w:lang w:val="en-US" w:eastAsia="zh-CN"/>
              </w:rPr>
              <w:t>mm</w:t>
            </w:r>
            <w:r>
              <w:rPr>
                <w:rFonts w:hint="eastAsia" w:ascii="宋体" w:hAnsi="宋体"/>
                <w:color w:val="000000"/>
                <w:kern w:val="0"/>
                <w:szCs w:val="21"/>
              </w:rPr>
              <w:t>*800</w:t>
            </w:r>
            <w:r>
              <w:rPr>
                <w:rFonts w:hint="eastAsia" w:ascii="宋体" w:hAnsi="宋体"/>
                <w:color w:val="000000"/>
                <w:kern w:val="0"/>
                <w:szCs w:val="21"/>
                <w:lang w:val="en-US" w:eastAsia="zh-CN"/>
              </w:rPr>
              <w:t>mm</w:t>
            </w:r>
            <w:r>
              <w:rPr>
                <w:rFonts w:hint="eastAsia" w:ascii="宋体" w:hAnsi="宋体"/>
                <w:color w:val="000000"/>
                <w:kern w:val="0"/>
                <w:szCs w:val="21"/>
              </w:rPr>
              <w:t>*2000</w:t>
            </w:r>
            <w:r>
              <w:rPr>
                <w:rFonts w:hint="eastAsia" w:ascii="宋体" w:hAnsi="宋体"/>
                <w:color w:val="000000"/>
                <w:kern w:val="0"/>
                <w:szCs w:val="21"/>
                <w:lang w:val="en-US" w:eastAsia="zh-CN"/>
              </w:rPr>
              <w:t>mm</w:t>
            </w:r>
            <w:r>
              <w:rPr>
                <w:rFonts w:hint="eastAsia" w:ascii="宋体" w:hAnsi="宋体"/>
                <w:color w:val="000000"/>
                <w:kern w:val="0"/>
                <w:szCs w:val="21"/>
              </w:rPr>
              <w:t>（宽*深*高）前后网孔门</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1</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个</w:t>
            </w:r>
          </w:p>
        </w:tc>
      </w:tr>
      <w:tr>
        <w:tblPrEx>
          <w:tblLayout w:type="fixed"/>
          <w:tblCellMar>
            <w:top w:w="0" w:type="dxa"/>
            <w:left w:w="108" w:type="dxa"/>
            <w:bottom w:w="0" w:type="dxa"/>
            <w:right w:w="108" w:type="dxa"/>
          </w:tblCellMar>
        </w:tblPrEx>
        <w:trPr>
          <w:trHeight w:val="585"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9</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无线同屏器</w:t>
            </w:r>
          </w:p>
        </w:tc>
        <w:tc>
          <w:tcPr>
            <w:tcW w:w="5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olor w:val="000000"/>
                <w:kern w:val="0"/>
                <w:szCs w:val="21"/>
              </w:rPr>
            </w:pPr>
            <w:r>
              <w:rPr>
                <w:rFonts w:hint="eastAsia" w:ascii="宋体" w:hAnsi="宋体"/>
                <w:color w:val="000000"/>
                <w:kern w:val="0"/>
                <w:szCs w:val="21"/>
              </w:rPr>
              <w:t>支持4K无线传输</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1</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个</w:t>
            </w:r>
          </w:p>
        </w:tc>
      </w:tr>
      <w:tr>
        <w:tblPrEx>
          <w:tblLayout w:type="fixed"/>
          <w:tblCellMar>
            <w:top w:w="0" w:type="dxa"/>
            <w:left w:w="108" w:type="dxa"/>
            <w:bottom w:w="0" w:type="dxa"/>
            <w:right w:w="108" w:type="dxa"/>
          </w:tblCellMar>
        </w:tblPrEx>
        <w:trPr>
          <w:trHeight w:val="585"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1</w:t>
            </w:r>
            <w:r>
              <w:rPr>
                <w:rFonts w:ascii="宋体" w:hAnsi="宋体"/>
                <w:color w:val="000000"/>
                <w:kern w:val="0"/>
                <w:szCs w:val="21"/>
              </w:rPr>
              <w:t>0</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音频分离器</w:t>
            </w:r>
          </w:p>
        </w:tc>
        <w:tc>
          <w:tcPr>
            <w:tcW w:w="5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olor w:val="000000"/>
                <w:kern w:val="0"/>
                <w:szCs w:val="21"/>
              </w:rPr>
            </w:pPr>
            <w:r>
              <w:rPr>
                <w:rFonts w:hint="eastAsia" w:ascii="宋体" w:hAnsi="宋体"/>
                <w:color w:val="000000"/>
                <w:kern w:val="0"/>
                <w:szCs w:val="21"/>
              </w:rPr>
              <w:t>hdmi音频分离器</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2</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个</w:t>
            </w:r>
          </w:p>
        </w:tc>
      </w:tr>
      <w:tr>
        <w:tblPrEx>
          <w:tblLayout w:type="fixed"/>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1</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b/>
                <w:bCs/>
                <w:color w:val="000000"/>
                <w:kern w:val="0"/>
                <w:szCs w:val="21"/>
              </w:rPr>
            </w:pPr>
            <w:r>
              <w:rPr>
                <w:rFonts w:hint="eastAsia" w:ascii="宋体" w:hAnsi="宋体" w:cs="宋体"/>
                <w:b/>
                <w:bCs/>
                <w:color w:val="000000"/>
                <w:kern w:val="0"/>
                <w:szCs w:val="21"/>
              </w:rPr>
              <w:t>激光投影机</w:t>
            </w:r>
          </w:p>
        </w:tc>
        <w:tc>
          <w:tcPr>
            <w:tcW w:w="5120" w:type="dxa"/>
            <w:tcBorders>
              <w:top w:val="nil"/>
              <w:left w:val="nil"/>
              <w:bottom w:val="nil"/>
              <w:right w:val="single" w:color="auto" w:sz="8" w:space="0"/>
            </w:tcBorders>
            <w:shd w:val="clear" w:color="auto" w:fill="auto"/>
            <w:vAlign w:val="center"/>
          </w:tcPr>
          <w:p>
            <w:pPr>
              <w:widowControl/>
              <w:jc w:val="left"/>
              <w:rPr>
                <w:rFonts w:ascii="宋体" w:hAnsi="宋体"/>
                <w:color w:val="000000"/>
                <w:kern w:val="0"/>
                <w:szCs w:val="21"/>
              </w:rPr>
            </w:pPr>
            <w:r>
              <w:rPr>
                <w:rFonts w:hint="eastAsia" w:ascii="宋体" w:hAnsi="宋体" w:cs="宋体"/>
                <w:color w:val="000000"/>
                <w:kern w:val="0"/>
                <w:szCs w:val="21"/>
              </w:rPr>
              <w:t>1、DLP技术，纯激光固态光源</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s="宋体"/>
                <w:color w:val="000000"/>
                <w:kern w:val="0"/>
                <w:szCs w:val="21"/>
              </w:rPr>
              <w:t>2</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s="宋体"/>
                <w:color w:val="000000"/>
                <w:kern w:val="0"/>
                <w:szCs w:val="21"/>
              </w:rPr>
              <w:t>台</w:t>
            </w:r>
          </w:p>
        </w:tc>
      </w:tr>
      <w:tr>
        <w:tblPrEx>
          <w:tblLayout w:type="fixed"/>
          <w:tblCellMar>
            <w:top w:w="0" w:type="dxa"/>
            <w:left w:w="108" w:type="dxa"/>
            <w:bottom w:w="0" w:type="dxa"/>
            <w:right w:w="108" w:type="dxa"/>
          </w:tblCellMar>
        </w:tblPrEx>
        <w:trPr>
          <w:trHeight w:val="57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Cs w:val="21"/>
              </w:rPr>
            </w:pPr>
          </w:p>
        </w:tc>
        <w:tc>
          <w:tcPr>
            <w:tcW w:w="5120" w:type="dxa"/>
            <w:tcBorders>
              <w:top w:val="nil"/>
              <w:left w:val="nil"/>
              <w:bottom w:val="nil"/>
              <w:right w:val="single" w:color="auto" w:sz="8" w:space="0"/>
            </w:tcBorders>
            <w:shd w:val="clear" w:color="auto" w:fill="auto"/>
            <w:vAlign w:val="center"/>
          </w:tcPr>
          <w:p>
            <w:pPr>
              <w:widowControl/>
              <w:jc w:val="left"/>
              <w:rPr>
                <w:rFonts w:ascii="宋体" w:hAnsi="宋体"/>
                <w:color w:val="000000"/>
                <w:kern w:val="0"/>
                <w:szCs w:val="21"/>
              </w:rPr>
            </w:pPr>
            <w:r>
              <w:rPr>
                <w:rFonts w:hint="eastAsia" w:ascii="宋体" w:hAnsi="宋体"/>
                <w:color w:val="000000"/>
                <w:kern w:val="0"/>
                <w:szCs w:val="21"/>
              </w:rPr>
              <w:t>2、亮度≥4000流明，分辨率：1920*1200，对比度≥55000:1。</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57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Cs w:val="21"/>
              </w:rPr>
            </w:pPr>
          </w:p>
        </w:tc>
        <w:tc>
          <w:tcPr>
            <w:tcW w:w="5120" w:type="dxa"/>
            <w:tcBorders>
              <w:top w:val="nil"/>
              <w:left w:val="nil"/>
              <w:bottom w:val="nil"/>
              <w:right w:val="single" w:color="auto" w:sz="8" w:space="0"/>
            </w:tcBorders>
            <w:shd w:val="clear" w:color="auto" w:fill="auto"/>
            <w:vAlign w:val="center"/>
          </w:tcPr>
          <w:p>
            <w:pPr>
              <w:widowControl/>
              <w:jc w:val="left"/>
              <w:rPr>
                <w:rFonts w:ascii="宋体" w:hAnsi="宋体"/>
                <w:color w:val="000000"/>
                <w:kern w:val="0"/>
                <w:szCs w:val="21"/>
              </w:rPr>
            </w:pPr>
            <w:r>
              <w:rPr>
                <w:rFonts w:hint="eastAsia" w:ascii="宋体" w:hAnsi="宋体"/>
                <w:color w:val="000000"/>
                <w:kern w:val="0"/>
                <w:szCs w:val="21"/>
              </w:rPr>
              <w:t>3、投射90英寸16：10画面，投影机光源到白板板面的距离≤0.55M。</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Cs w:val="21"/>
              </w:rPr>
            </w:pPr>
          </w:p>
        </w:tc>
        <w:tc>
          <w:tcPr>
            <w:tcW w:w="5120" w:type="dxa"/>
            <w:tcBorders>
              <w:top w:val="nil"/>
              <w:left w:val="nil"/>
              <w:bottom w:val="nil"/>
              <w:right w:val="single" w:color="auto" w:sz="8" w:space="0"/>
            </w:tcBorders>
            <w:shd w:val="clear" w:color="auto" w:fill="auto"/>
            <w:vAlign w:val="center"/>
          </w:tcPr>
          <w:p>
            <w:pPr>
              <w:widowControl/>
              <w:jc w:val="left"/>
              <w:rPr>
                <w:rFonts w:ascii="宋体" w:hAnsi="宋体"/>
                <w:color w:val="000000"/>
                <w:kern w:val="0"/>
                <w:szCs w:val="21"/>
              </w:rPr>
            </w:pPr>
            <w:r>
              <w:rPr>
                <w:rFonts w:hint="eastAsia" w:ascii="宋体" w:hAnsi="宋体"/>
                <w:color w:val="000000"/>
                <w:kern w:val="0"/>
                <w:szCs w:val="21"/>
              </w:rPr>
              <w:t>4、旋钮式调焦技术，可实现精准调焦。</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57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Cs w:val="21"/>
              </w:rPr>
            </w:pPr>
          </w:p>
        </w:tc>
        <w:tc>
          <w:tcPr>
            <w:tcW w:w="5120" w:type="dxa"/>
            <w:tcBorders>
              <w:top w:val="nil"/>
              <w:left w:val="nil"/>
              <w:bottom w:val="nil"/>
              <w:right w:val="single" w:color="auto" w:sz="8" w:space="0"/>
            </w:tcBorders>
            <w:shd w:val="clear" w:color="auto" w:fill="auto"/>
            <w:vAlign w:val="center"/>
          </w:tcPr>
          <w:p>
            <w:pPr>
              <w:widowControl/>
              <w:jc w:val="left"/>
              <w:rPr>
                <w:rFonts w:ascii="宋体" w:hAnsi="宋体"/>
                <w:color w:val="000000"/>
                <w:kern w:val="0"/>
                <w:szCs w:val="21"/>
              </w:rPr>
            </w:pPr>
            <w:r>
              <w:rPr>
                <w:rFonts w:hint="eastAsia" w:ascii="宋体" w:hAnsi="宋体"/>
                <w:color w:val="000000"/>
                <w:kern w:val="0"/>
                <w:szCs w:val="21"/>
              </w:rPr>
              <w:t>5、具有RGB输入接口、RGB输出接口，HDMI输入接口，Video 输入接口，RS232接口；</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Cs w:val="21"/>
              </w:rPr>
            </w:pPr>
          </w:p>
        </w:tc>
        <w:tc>
          <w:tcPr>
            <w:tcW w:w="5120" w:type="dxa"/>
            <w:tcBorders>
              <w:top w:val="nil"/>
              <w:left w:val="nil"/>
              <w:bottom w:val="nil"/>
              <w:right w:val="single" w:color="auto" w:sz="8" w:space="0"/>
            </w:tcBorders>
            <w:shd w:val="clear" w:color="auto" w:fill="auto"/>
            <w:vAlign w:val="center"/>
          </w:tcPr>
          <w:p>
            <w:pPr>
              <w:widowControl/>
              <w:jc w:val="left"/>
              <w:rPr>
                <w:rFonts w:ascii="宋体" w:hAnsi="宋体"/>
                <w:color w:val="000000"/>
                <w:kern w:val="0"/>
                <w:szCs w:val="21"/>
              </w:rPr>
            </w:pPr>
            <w:r>
              <w:rPr>
                <w:rFonts w:hint="eastAsia" w:ascii="宋体" w:hAnsi="宋体"/>
                <w:color w:val="000000"/>
                <w:kern w:val="0"/>
                <w:szCs w:val="21"/>
              </w:rPr>
              <w:t>6、具有防尘过滤网和安全锁控；</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85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Cs w:val="21"/>
              </w:rPr>
            </w:pPr>
          </w:p>
        </w:tc>
        <w:tc>
          <w:tcPr>
            <w:tcW w:w="5120" w:type="dxa"/>
            <w:tcBorders>
              <w:top w:val="nil"/>
              <w:left w:val="nil"/>
              <w:bottom w:val="nil"/>
              <w:right w:val="single" w:color="auto" w:sz="8" w:space="0"/>
            </w:tcBorders>
            <w:shd w:val="clear" w:color="auto" w:fill="auto"/>
            <w:vAlign w:val="center"/>
          </w:tcPr>
          <w:p>
            <w:pPr>
              <w:widowControl/>
              <w:jc w:val="left"/>
              <w:rPr>
                <w:rFonts w:ascii="宋体" w:hAnsi="宋体"/>
                <w:color w:val="000000"/>
                <w:kern w:val="0"/>
                <w:szCs w:val="21"/>
              </w:rPr>
            </w:pPr>
            <w:r>
              <w:rPr>
                <w:rFonts w:hint="eastAsia" w:ascii="宋体" w:hAnsi="宋体"/>
                <w:color w:val="000000"/>
                <w:kern w:val="0"/>
                <w:szCs w:val="21"/>
              </w:rPr>
              <w:t>7、提供两路USB接口，支持与电子白板智能互连，可通过白板直接对投影机进行开关和信号切换以及对投影机维护升级。</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Cs w:val="21"/>
              </w:rPr>
            </w:pPr>
          </w:p>
        </w:tc>
        <w:tc>
          <w:tcPr>
            <w:tcW w:w="5120" w:type="dxa"/>
            <w:tcBorders>
              <w:top w:val="nil"/>
              <w:left w:val="nil"/>
              <w:bottom w:val="single" w:color="000000" w:sz="8" w:space="0"/>
              <w:right w:val="single" w:color="auto" w:sz="8" w:space="0"/>
            </w:tcBorders>
            <w:shd w:val="clear" w:color="auto" w:fill="auto"/>
            <w:vAlign w:val="center"/>
          </w:tcPr>
          <w:p>
            <w:pPr>
              <w:widowControl/>
              <w:jc w:val="left"/>
              <w:rPr>
                <w:rFonts w:ascii="宋体" w:hAnsi="宋体"/>
                <w:color w:val="000000"/>
                <w:kern w:val="0"/>
                <w:szCs w:val="21"/>
              </w:rPr>
            </w:pPr>
            <w:r>
              <w:rPr>
                <w:rFonts w:hint="eastAsia" w:ascii="宋体" w:hAnsi="宋体"/>
                <w:color w:val="000000"/>
                <w:kern w:val="0"/>
                <w:szCs w:val="21"/>
              </w:rPr>
              <w:t>8、按键和接口具有中文标识；</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2</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b/>
                <w:bCs/>
                <w:color w:val="000000"/>
                <w:kern w:val="0"/>
                <w:szCs w:val="21"/>
              </w:rPr>
            </w:pPr>
            <w:r>
              <w:rPr>
                <w:rFonts w:hint="eastAsia" w:ascii="宋体" w:hAnsi="宋体" w:cs="宋体"/>
                <w:b/>
                <w:bCs/>
                <w:color w:val="000000"/>
                <w:kern w:val="0"/>
                <w:szCs w:val="21"/>
              </w:rPr>
              <w:t>交互式电子白板</w:t>
            </w:r>
          </w:p>
        </w:tc>
        <w:tc>
          <w:tcPr>
            <w:tcW w:w="5120" w:type="dxa"/>
            <w:tcBorders>
              <w:top w:val="nil"/>
              <w:left w:val="nil"/>
              <w:bottom w:val="nil"/>
              <w:right w:val="single" w:color="auto" w:sz="8" w:space="0"/>
            </w:tcBorders>
            <w:shd w:val="clear" w:color="auto" w:fill="auto"/>
            <w:vAlign w:val="center"/>
          </w:tcPr>
          <w:p>
            <w:pPr>
              <w:widowControl/>
              <w:jc w:val="left"/>
              <w:rPr>
                <w:rFonts w:ascii="宋体" w:hAnsi="宋体"/>
                <w:color w:val="000000"/>
                <w:kern w:val="0"/>
                <w:szCs w:val="21"/>
              </w:rPr>
            </w:pPr>
            <w:r>
              <w:rPr>
                <w:rFonts w:hint="eastAsia" w:ascii="宋体" w:hAnsi="宋体" w:cs="宋体"/>
                <w:color w:val="000000"/>
                <w:kern w:val="0"/>
                <w:szCs w:val="21"/>
              </w:rPr>
              <w:t>一、硬件:</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s="宋体"/>
                <w:color w:val="000000"/>
                <w:kern w:val="0"/>
                <w:szCs w:val="21"/>
              </w:rPr>
              <w:t>2</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s="宋体"/>
                <w:color w:val="000000"/>
                <w:kern w:val="0"/>
                <w:szCs w:val="21"/>
              </w:rPr>
              <w:t>张</w:t>
            </w:r>
          </w:p>
        </w:tc>
      </w:tr>
      <w:tr>
        <w:tblPrEx>
          <w:tblLayout w:type="fixed"/>
          <w:tblCellMar>
            <w:top w:w="0" w:type="dxa"/>
            <w:left w:w="108" w:type="dxa"/>
            <w:bottom w:w="0" w:type="dxa"/>
            <w:right w:w="108" w:type="dxa"/>
          </w:tblCellMar>
        </w:tblPrEx>
        <w:trPr>
          <w:trHeight w:val="57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Cs w:val="21"/>
              </w:rPr>
            </w:pPr>
          </w:p>
        </w:tc>
        <w:tc>
          <w:tcPr>
            <w:tcW w:w="5120" w:type="dxa"/>
            <w:tcBorders>
              <w:top w:val="nil"/>
              <w:left w:val="nil"/>
              <w:bottom w:val="nil"/>
              <w:right w:val="single" w:color="auto" w:sz="8" w:space="0"/>
            </w:tcBorders>
            <w:shd w:val="clear" w:color="auto" w:fill="auto"/>
            <w:vAlign w:val="center"/>
          </w:tcPr>
          <w:p>
            <w:pPr>
              <w:widowControl/>
              <w:jc w:val="left"/>
              <w:rPr>
                <w:rFonts w:ascii="宋体" w:hAnsi="宋体"/>
                <w:color w:val="000000"/>
                <w:kern w:val="0"/>
                <w:szCs w:val="21"/>
              </w:rPr>
            </w:pPr>
            <w:r>
              <w:rPr>
                <w:rFonts w:hint="eastAsia" w:ascii="宋体" w:hAnsi="宋体"/>
                <w:color w:val="000000"/>
                <w:kern w:val="0"/>
                <w:szCs w:val="21"/>
              </w:rPr>
              <w:t>1、红外线感应技术，尺寸≥90英寸,显示比例16:10，支持十点触控，五笔同时书写；</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85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Cs w:val="21"/>
              </w:rPr>
            </w:pPr>
          </w:p>
        </w:tc>
        <w:tc>
          <w:tcPr>
            <w:tcW w:w="5120" w:type="dxa"/>
            <w:tcBorders>
              <w:top w:val="nil"/>
              <w:left w:val="nil"/>
              <w:bottom w:val="nil"/>
              <w:right w:val="single" w:color="auto" w:sz="8" w:space="0"/>
            </w:tcBorders>
            <w:shd w:val="clear" w:color="auto" w:fill="auto"/>
            <w:vAlign w:val="center"/>
          </w:tcPr>
          <w:p>
            <w:pPr>
              <w:widowControl/>
              <w:jc w:val="left"/>
              <w:rPr>
                <w:rFonts w:ascii="宋体" w:hAnsi="宋体"/>
                <w:color w:val="000000"/>
                <w:kern w:val="0"/>
                <w:szCs w:val="21"/>
              </w:rPr>
            </w:pPr>
            <w:r>
              <w:rPr>
                <w:rFonts w:hint="eastAsia" w:ascii="宋体" w:hAnsi="宋体"/>
                <w:color w:val="000000"/>
                <w:kern w:val="0"/>
                <w:szCs w:val="21"/>
              </w:rPr>
              <w:t>2、白板两侧具有中文标识快捷按键，快捷键具有触控开关、关闭当前窗口，开启展台，前后翻页等功能；</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Cs w:val="21"/>
              </w:rPr>
            </w:pPr>
          </w:p>
        </w:tc>
        <w:tc>
          <w:tcPr>
            <w:tcW w:w="5120" w:type="dxa"/>
            <w:tcBorders>
              <w:top w:val="nil"/>
              <w:left w:val="nil"/>
              <w:bottom w:val="nil"/>
              <w:right w:val="single" w:color="auto" w:sz="8" w:space="0"/>
            </w:tcBorders>
            <w:shd w:val="clear" w:color="auto" w:fill="auto"/>
            <w:vAlign w:val="center"/>
          </w:tcPr>
          <w:p>
            <w:pPr>
              <w:widowControl/>
              <w:jc w:val="left"/>
              <w:rPr>
                <w:rFonts w:ascii="宋体" w:hAnsi="宋体"/>
                <w:color w:val="000000"/>
                <w:kern w:val="0"/>
                <w:szCs w:val="21"/>
              </w:rPr>
            </w:pPr>
            <w:r>
              <w:rPr>
                <w:rFonts w:hint="eastAsia" w:ascii="宋体" w:hAnsi="宋体"/>
                <w:color w:val="000000"/>
                <w:kern w:val="0"/>
                <w:szCs w:val="21"/>
              </w:rPr>
              <w:t>3、面板支持水性笔书写。</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Cs w:val="21"/>
              </w:rPr>
            </w:pPr>
          </w:p>
        </w:tc>
        <w:tc>
          <w:tcPr>
            <w:tcW w:w="512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olor w:val="000000"/>
                <w:kern w:val="0"/>
                <w:szCs w:val="21"/>
              </w:rPr>
            </w:pPr>
            <w:r>
              <w:rPr>
                <w:rFonts w:hint="eastAsia" w:ascii="宋体" w:hAnsi="宋体"/>
                <w:color w:val="000000"/>
                <w:kern w:val="0"/>
                <w:szCs w:val="21"/>
              </w:rPr>
              <w:t>二、软件平台：</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57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Cs w:val="21"/>
              </w:rPr>
            </w:pPr>
          </w:p>
        </w:tc>
        <w:tc>
          <w:tcPr>
            <w:tcW w:w="5120" w:type="dxa"/>
            <w:tcBorders>
              <w:top w:val="single" w:color="auto" w:sz="4" w:space="0"/>
              <w:left w:val="nil"/>
              <w:bottom w:val="nil"/>
              <w:right w:val="single" w:color="auto" w:sz="8" w:space="0"/>
            </w:tcBorders>
            <w:shd w:val="clear" w:color="auto" w:fill="auto"/>
            <w:vAlign w:val="center"/>
          </w:tcPr>
          <w:p>
            <w:pPr>
              <w:widowControl/>
              <w:jc w:val="left"/>
              <w:rPr>
                <w:rFonts w:ascii="宋体" w:hAnsi="宋体"/>
                <w:color w:val="000000"/>
                <w:kern w:val="0"/>
                <w:szCs w:val="21"/>
              </w:rPr>
            </w:pPr>
            <w:r>
              <w:rPr>
                <w:rFonts w:hint="eastAsia" w:ascii="宋体" w:hAnsi="宋体"/>
                <w:color w:val="000000"/>
                <w:kern w:val="0"/>
                <w:szCs w:val="21"/>
              </w:rPr>
              <w:t>1、具有教学云平台，注册即提供不少于40个GB云盘存储容量。</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114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Cs w:val="21"/>
              </w:rPr>
            </w:pPr>
          </w:p>
        </w:tc>
        <w:tc>
          <w:tcPr>
            <w:tcW w:w="5120" w:type="dxa"/>
            <w:tcBorders>
              <w:top w:val="nil"/>
              <w:left w:val="nil"/>
              <w:bottom w:val="nil"/>
              <w:right w:val="single" w:color="auto" w:sz="8" w:space="0"/>
            </w:tcBorders>
            <w:shd w:val="clear" w:color="auto" w:fill="auto"/>
            <w:vAlign w:val="center"/>
          </w:tcPr>
          <w:p>
            <w:pPr>
              <w:widowControl/>
              <w:jc w:val="left"/>
              <w:rPr>
                <w:rFonts w:ascii="宋体" w:hAnsi="宋体"/>
                <w:color w:val="000000"/>
                <w:kern w:val="0"/>
                <w:szCs w:val="21"/>
              </w:rPr>
            </w:pPr>
            <w:r>
              <w:rPr>
                <w:rFonts w:hint="eastAsia" w:ascii="宋体" w:hAnsi="宋体"/>
                <w:color w:val="000000"/>
                <w:kern w:val="0"/>
                <w:szCs w:val="21"/>
              </w:rPr>
              <w:t>2、提供三种及以上登录方式，所有软件应用模块的入口均在统一界面上，包括白板软件、教学资源、多屏互动、展台软件、微课等内容。</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142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Cs w:val="21"/>
              </w:rPr>
            </w:pPr>
          </w:p>
        </w:tc>
        <w:tc>
          <w:tcPr>
            <w:tcW w:w="5120" w:type="dxa"/>
            <w:tcBorders>
              <w:top w:val="nil"/>
              <w:left w:val="nil"/>
              <w:bottom w:val="nil"/>
              <w:right w:val="single" w:color="auto" w:sz="8" w:space="0"/>
            </w:tcBorders>
            <w:shd w:val="clear" w:color="auto" w:fill="auto"/>
            <w:vAlign w:val="center"/>
          </w:tcPr>
          <w:p>
            <w:pPr>
              <w:widowControl/>
              <w:jc w:val="left"/>
              <w:rPr>
                <w:rFonts w:ascii="宋体" w:hAnsi="宋体"/>
                <w:color w:val="000000"/>
                <w:kern w:val="0"/>
                <w:szCs w:val="21"/>
              </w:rPr>
            </w:pPr>
            <w:r>
              <w:rPr>
                <w:rFonts w:hint="eastAsia" w:ascii="宋体" w:hAnsi="宋体"/>
                <w:color w:val="000000"/>
                <w:kern w:val="0"/>
                <w:szCs w:val="21"/>
              </w:rPr>
              <w:t>3、具有课件制作工具，提供教学情景导入、教学内容精讲、课堂同步习题和测试、小组竞赛和讨论等环节。可自动推送任课老师的学科资源。教案可实时同步至云端；提供教案管理功能，支持教案与教师教学日历关联。</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85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Cs w:val="21"/>
              </w:rPr>
            </w:pPr>
          </w:p>
        </w:tc>
        <w:tc>
          <w:tcPr>
            <w:tcW w:w="5120" w:type="dxa"/>
            <w:tcBorders>
              <w:top w:val="nil"/>
              <w:left w:val="nil"/>
              <w:bottom w:val="nil"/>
              <w:right w:val="single" w:color="auto" w:sz="8" w:space="0"/>
            </w:tcBorders>
            <w:shd w:val="clear" w:color="auto" w:fill="auto"/>
            <w:vAlign w:val="center"/>
          </w:tcPr>
          <w:p>
            <w:pPr>
              <w:widowControl/>
              <w:jc w:val="left"/>
              <w:rPr>
                <w:rFonts w:ascii="宋体" w:hAnsi="宋体"/>
                <w:color w:val="000000"/>
                <w:kern w:val="0"/>
                <w:szCs w:val="21"/>
              </w:rPr>
            </w:pPr>
            <w:r>
              <w:rPr>
                <w:rFonts w:hint="eastAsia" w:ascii="宋体" w:hAnsi="宋体"/>
                <w:color w:val="000000"/>
                <w:kern w:val="0"/>
                <w:szCs w:val="21"/>
              </w:rPr>
              <w:t>4、支持教师通过移动端发布学习任务，学生完成提交后，系统自动统计提交情况、完成率等，以及查看学生学习效果、难点等。</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114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Cs w:val="21"/>
              </w:rPr>
            </w:pPr>
          </w:p>
        </w:tc>
        <w:tc>
          <w:tcPr>
            <w:tcW w:w="5120" w:type="dxa"/>
            <w:tcBorders>
              <w:top w:val="nil"/>
              <w:left w:val="nil"/>
              <w:bottom w:val="nil"/>
              <w:right w:val="single" w:color="auto" w:sz="8" w:space="0"/>
            </w:tcBorders>
            <w:shd w:val="clear" w:color="auto" w:fill="auto"/>
            <w:vAlign w:val="center"/>
          </w:tcPr>
          <w:p>
            <w:pPr>
              <w:widowControl/>
              <w:jc w:val="left"/>
              <w:rPr>
                <w:rFonts w:ascii="宋体" w:hAnsi="宋体"/>
                <w:color w:val="000000"/>
                <w:kern w:val="0"/>
                <w:szCs w:val="21"/>
              </w:rPr>
            </w:pPr>
            <w:r>
              <w:rPr>
                <w:rFonts w:hint="eastAsia" w:ascii="宋体" w:hAnsi="宋体"/>
                <w:color w:val="000000"/>
                <w:kern w:val="0"/>
                <w:szCs w:val="21"/>
              </w:rPr>
              <w:t>5、提供常用图形，包括线段、圆、三角形、四边形、多边形、对话框、单双箭头、大中括号、加减乘除等，所有图形均可填充颜色、修改边框颜色粗细以及设置图形透明度；</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114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Cs w:val="21"/>
              </w:rPr>
            </w:pPr>
          </w:p>
        </w:tc>
        <w:tc>
          <w:tcPr>
            <w:tcW w:w="5120" w:type="dxa"/>
            <w:tcBorders>
              <w:top w:val="nil"/>
              <w:left w:val="nil"/>
              <w:bottom w:val="nil"/>
              <w:right w:val="single" w:color="auto" w:sz="8" w:space="0"/>
            </w:tcBorders>
            <w:shd w:val="clear" w:color="auto" w:fill="auto"/>
            <w:vAlign w:val="center"/>
          </w:tcPr>
          <w:p>
            <w:pPr>
              <w:widowControl/>
              <w:jc w:val="left"/>
              <w:rPr>
                <w:rFonts w:ascii="宋体" w:hAnsi="宋体"/>
                <w:color w:val="000000"/>
                <w:kern w:val="0"/>
                <w:szCs w:val="21"/>
              </w:rPr>
            </w:pPr>
            <w:r>
              <w:rPr>
                <w:rFonts w:hint="eastAsia" w:ascii="宋体" w:hAnsi="宋体"/>
                <w:color w:val="000000"/>
                <w:kern w:val="0"/>
                <w:szCs w:val="21"/>
              </w:rPr>
              <w:t>6、提供逻辑图、鱼骨图、组织结构图等思维导图，可轻松增删或拖拽编辑内容、节点，并支持在节点上插入图片、音频、视频、文档等附件、网页链接、课件页面等。</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142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Cs w:val="21"/>
              </w:rPr>
            </w:pPr>
          </w:p>
        </w:tc>
        <w:tc>
          <w:tcPr>
            <w:tcW w:w="5120" w:type="dxa"/>
            <w:tcBorders>
              <w:top w:val="nil"/>
              <w:left w:val="nil"/>
              <w:bottom w:val="nil"/>
              <w:right w:val="single" w:color="auto" w:sz="8" w:space="0"/>
            </w:tcBorders>
            <w:shd w:val="clear" w:color="auto" w:fill="auto"/>
            <w:vAlign w:val="center"/>
          </w:tcPr>
          <w:p>
            <w:pPr>
              <w:widowControl/>
              <w:jc w:val="left"/>
              <w:rPr>
                <w:rFonts w:ascii="宋体" w:hAnsi="宋体"/>
                <w:color w:val="000000"/>
                <w:kern w:val="0"/>
                <w:szCs w:val="21"/>
              </w:rPr>
            </w:pPr>
            <w:r>
              <w:rPr>
                <w:rFonts w:hint="eastAsia" w:ascii="宋体" w:hAnsi="宋体"/>
                <w:color w:val="000000"/>
                <w:kern w:val="0"/>
                <w:szCs w:val="21"/>
              </w:rPr>
              <w:t>7、提供学科工具，包含语文、数学、英语、物理、化学、生物、地理、历史、音乐、体育、书法、美术等常用学科。学科工具至少包含静态图片、动画等素材。每种学科工具下方标注中文提示；</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142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Cs w:val="21"/>
              </w:rPr>
            </w:pPr>
          </w:p>
        </w:tc>
        <w:tc>
          <w:tcPr>
            <w:tcW w:w="5120" w:type="dxa"/>
            <w:tcBorders>
              <w:top w:val="nil"/>
              <w:left w:val="nil"/>
              <w:bottom w:val="nil"/>
              <w:right w:val="single" w:color="auto" w:sz="8" w:space="0"/>
            </w:tcBorders>
            <w:shd w:val="clear" w:color="auto" w:fill="auto"/>
            <w:vAlign w:val="center"/>
          </w:tcPr>
          <w:p>
            <w:pPr>
              <w:widowControl/>
              <w:jc w:val="left"/>
              <w:rPr>
                <w:rFonts w:ascii="宋体" w:hAnsi="宋体"/>
                <w:color w:val="000000"/>
                <w:kern w:val="0"/>
                <w:szCs w:val="21"/>
              </w:rPr>
            </w:pPr>
            <w:r>
              <w:rPr>
                <w:rFonts w:hint="eastAsia" w:ascii="宋体" w:hAnsi="宋体"/>
                <w:color w:val="000000"/>
                <w:kern w:val="0"/>
                <w:szCs w:val="21"/>
              </w:rPr>
              <w:t>8、仿真实验：提供理、化、生、科学的本地仿真实验资源，仿真实验包括实验目的、实验原理、实验器材、注意事项、实验演示、开始实验、实验检测、实验应用等环节；单科实验数量不少于20个。</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114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Cs w:val="21"/>
              </w:rPr>
            </w:pPr>
          </w:p>
        </w:tc>
        <w:tc>
          <w:tcPr>
            <w:tcW w:w="5120" w:type="dxa"/>
            <w:tcBorders>
              <w:top w:val="nil"/>
              <w:left w:val="nil"/>
              <w:bottom w:val="nil"/>
              <w:right w:val="single" w:color="auto" w:sz="8" w:space="0"/>
            </w:tcBorders>
            <w:shd w:val="clear" w:color="auto" w:fill="auto"/>
            <w:vAlign w:val="center"/>
          </w:tcPr>
          <w:p>
            <w:pPr>
              <w:widowControl/>
              <w:jc w:val="left"/>
              <w:rPr>
                <w:rFonts w:ascii="宋体" w:hAnsi="宋体"/>
                <w:color w:val="000000"/>
                <w:kern w:val="0"/>
                <w:szCs w:val="21"/>
              </w:rPr>
            </w:pPr>
            <w:r>
              <w:rPr>
                <w:rFonts w:hint="eastAsia" w:ascii="宋体" w:hAnsi="宋体"/>
                <w:color w:val="000000"/>
                <w:kern w:val="0"/>
                <w:szCs w:val="21"/>
              </w:rPr>
              <w:t>9、提供智能笔、激光笔、粉笔、手势笔等10种以上的书写工具。通过智能笔可识别平面图形；通过手势笔可实现书写、擦除、前后翻页，聚光灯，放大镜等功能。</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114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Cs w:val="21"/>
              </w:rPr>
            </w:pPr>
          </w:p>
        </w:tc>
        <w:tc>
          <w:tcPr>
            <w:tcW w:w="512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olor w:val="000000"/>
                <w:kern w:val="0"/>
                <w:szCs w:val="21"/>
              </w:rPr>
            </w:pPr>
            <w:r>
              <w:rPr>
                <w:rFonts w:hint="eastAsia" w:ascii="宋体" w:hAnsi="宋体"/>
                <w:color w:val="000000"/>
                <w:kern w:val="0"/>
                <w:szCs w:val="21"/>
              </w:rPr>
              <w:t>10、PPT课件批注功能：PPT全屏播放时可自动开启工具菜单，提供PPT课件的播放控制(如前后翻页)、聚光灯、放大镜、草稿纸和书写批注等功能,支持生成二维码，快速分享课件。</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199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Cs w:val="21"/>
              </w:rPr>
            </w:pPr>
          </w:p>
        </w:tc>
        <w:tc>
          <w:tcPr>
            <w:tcW w:w="5120" w:type="dxa"/>
            <w:tcBorders>
              <w:top w:val="single" w:color="auto" w:sz="4" w:space="0"/>
              <w:left w:val="nil"/>
              <w:bottom w:val="nil"/>
              <w:right w:val="single" w:color="auto" w:sz="8" w:space="0"/>
            </w:tcBorders>
            <w:shd w:val="clear" w:color="auto" w:fill="auto"/>
            <w:vAlign w:val="center"/>
          </w:tcPr>
          <w:p>
            <w:pPr>
              <w:widowControl/>
              <w:jc w:val="left"/>
              <w:rPr>
                <w:rFonts w:ascii="宋体" w:hAnsi="宋体"/>
                <w:color w:val="000000"/>
                <w:kern w:val="0"/>
                <w:szCs w:val="21"/>
              </w:rPr>
            </w:pPr>
            <w:r>
              <w:rPr>
                <w:rFonts w:hint="eastAsia" w:ascii="宋体" w:hAnsi="宋体"/>
                <w:color w:val="000000"/>
                <w:kern w:val="0"/>
                <w:szCs w:val="21"/>
              </w:rPr>
              <w:t>11、多屏互动功能：支持手机、pad移动端与交互平板连接后，可实现常用功能如影像上传、投屏、播放课件、直播。支持对上传的图片内容再次编辑，可同时上传多张照片进行同屏对比，双向批注；一键打开电脑桌面课件并播放，课件支持播放列表，可快速选择PPT或白板课件进行播放。</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114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Cs w:val="21"/>
              </w:rPr>
            </w:pPr>
          </w:p>
        </w:tc>
        <w:tc>
          <w:tcPr>
            <w:tcW w:w="5120" w:type="dxa"/>
            <w:tcBorders>
              <w:top w:val="nil"/>
              <w:left w:val="nil"/>
              <w:bottom w:val="nil"/>
              <w:right w:val="single" w:color="auto" w:sz="8" w:space="0"/>
            </w:tcBorders>
            <w:shd w:val="clear" w:color="auto" w:fill="auto"/>
            <w:vAlign w:val="center"/>
          </w:tcPr>
          <w:p>
            <w:pPr>
              <w:widowControl/>
              <w:jc w:val="left"/>
              <w:rPr>
                <w:rFonts w:ascii="宋体" w:hAnsi="宋体"/>
                <w:color w:val="000000"/>
                <w:kern w:val="0"/>
                <w:szCs w:val="21"/>
              </w:rPr>
            </w:pPr>
            <w:r>
              <w:rPr>
                <w:rFonts w:hint="eastAsia" w:ascii="宋体" w:hAnsi="宋体"/>
                <w:color w:val="000000"/>
                <w:kern w:val="0"/>
                <w:szCs w:val="21"/>
              </w:rPr>
              <w:t>12、提供课堂评价系统，支持老师对全班或单个学生进行评价和查看所有班级学生的评价得分。支持家长通过安卓手机端、苹果手机端端查看学生表现。</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171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Cs w:val="21"/>
              </w:rPr>
            </w:pPr>
          </w:p>
        </w:tc>
        <w:tc>
          <w:tcPr>
            <w:tcW w:w="5120" w:type="dxa"/>
            <w:tcBorders>
              <w:top w:val="nil"/>
              <w:left w:val="nil"/>
              <w:bottom w:val="nil"/>
              <w:right w:val="single" w:color="auto" w:sz="8" w:space="0"/>
            </w:tcBorders>
            <w:shd w:val="clear" w:color="auto" w:fill="auto"/>
            <w:vAlign w:val="center"/>
          </w:tcPr>
          <w:p>
            <w:pPr>
              <w:widowControl/>
              <w:jc w:val="left"/>
              <w:rPr>
                <w:rFonts w:ascii="宋体" w:hAnsi="宋体"/>
                <w:color w:val="000000"/>
                <w:kern w:val="0"/>
                <w:szCs w:val="21"/>
              </w:rPr>
            </w:pPr>
            <w:r>
              <w:rPr>
                <w:rFonts w:hint="eastAsia" w:ascii="宋体" w:hAnsi="宋体"/>
                <w:color w:val="000000"/>
                <w:kern w:val="0"/>
                <w:szCs w:val="21"/>
              </w:rPr>
              <w:t>13、微课工具：具有便捷工具条，可控制录制的视频、音频，拍摄区域的选择，在屏幕录制的情况下可以一键选择录制的开始、暂停和结束，屏幕录制显示录制时长，方便老师对视频长短进行把握；可设置录制的帧率、码率、录制内容的保存路径。</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85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Cs w:val="21"/>
              </w:rPr>
            </w:pPr>
          </w:p>
        </w:tc>
        <w:tc>
          <w:tcPr>
            <w:tcW w:w="5120" w:type="dxa"/>
            <w:tcBorders>
              <w:top w:val="nil"/>
              <w:left w:val="nil"/>
              <w:bottom w:val="nil"/>
              <w:right w:val="single" w:color="auto" w:sz="8" w:space="0"/>
            </w:tcBorders>
            <w:shd w:val="clear" w:color="auto" w:fill="auto"/>
            <w:vAlign w:val="center"/>
          </w:tcPr>
          <w:p>
            <w:pPr>
              <w:widowControl/>
              <w:jc w:val="left"/>
              <w:rPr>
                <w:rFonts w:ascii="宋体" w:hAnsi="宋体"/>
                <w:color w:val="000000"/>
                <w:kern w:val="0"/>
                <w:szCs w:val="21"/>
              </w:rPr>
            </w:pPr>
            <w:r>
              <w:rPr>
                <w:rFonts w:hint="eastAsia" w:ascii="宋体" w:hAnsi="宋体"/>
                <w:color w:val="000000"/>
                <w:kern w:val="0"/>
                <w:szCs w:val="21"/>
              </w:rPr>
              <w:t>14、软件内嵌中华古诗词、健康教育、公共安全教育动画、中国传统节日动画等素质教育资源，资源总数≥100个；</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Cs w:val="21"/>
              </w:rPr>
            </w:pPr>
          </w:p>
        </w:tc>
        <w:tc>
          <w:tcPr>
            <w:tcW w:w="5120" w:type="dxa"/>
            <w:tcBorders>
              <w:top w:val="nil"/>
              <w:left w:val="nil"/>
              <w:bottom w:val="nil"/>
              <w:right w:val="single" w:color="auto" w:sz="8" w:space="0"/>
            </w:tcBorders>
            <w:shd w:val="clear" w:color="auto" w:fill="auto"/>
            <w:vAlign w:val="center"/>
          </w:tcPr>
          <w:p>
            <w:pPr>
              <w:widowControl/>
              <w:jc w:val="left"/>
              <w:rPr>
                <w:rFonts w:ascii="宋体" w:hAnsi="宋体"/>
                <w:color w:val="000000"/>
                <w:kern w:val="0"/>
                <w:szCs w:val="21"/>
              </w:rPr>
            </w:pPr>
            <w:r>
              <w:rPr>
                <w:rFonts w:hint="eastAsia" w:ascii="宋体" w:hAnsi="宋体"/>
                <w:color w:val="000000"/>
                <w:kern w:val="0"/>
                <w:szCs w:val="21"/>
              </w:rPr>
              <w:t>三、备课工具：</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114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Cs w:val="21"/>
              </w:rPr>
            </w:pPr>
          </w:p>
        </w:tc>
        <w:tc>
          <w:tcPr>
            <w:tcW w:w="5120" w:type="dxa"/>
            <w:tcBorders>
              <w:top w:val="nil"/>
              <w:left w:val="nil"/>
              <w:bottom w:val="nil"/>
              <w:right w:val="single" w:color="auto" w:sz="8" w:space="0"/>
            </w:tcBorders>
            <w:shd w:val="clear" w:color="auto" w:fill="auto"/>
            <w:vAlign w:val="center"/>
          </w:tcPr>
          <w:p>
            <w:pPr>
              <w:widowControl/>
              <w:jc w:val="left"/>
              <w:rPr>
                <w:rFonts w:ascii="宋体" w:hAnsi="宋体"/>
                <w:color w:val="000000"/>
                <w:kern w:val="0"/>
                <w:szCs w:val="21"/>
              </w:rPr>
            </w:pPr>
            <w:r>
              <w:rPr>
                <w:rFonts w:hint="eastAsia" w:ascii="宋体" w:hAnsi="宋体"/>
                <w:color w:val="000000"/>
                <w:kern w:val="0"/>
                <w:szCs w:val="21"/>
              </w:rPr>
              <w:t>1、内置课件素材，老师可在网页端、移动端、电脑端进行内容的选择与组合，快速生成课件并浏览。所有制作的课件均实时保存至云端，老师只需登录即可查看。</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114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Cs w:val="21"/>
              </w:rPr>
            </w:pPr>
          </w:p>
        </w:tc>
        <w:tc>
          <w:tcPr>
            <w:tcW w:w="5120" w:type="dxa"/>
            <w:tcBorders>
              <w:top w:val="nil"/>
              <w:left w:val="nil"/>
              <w:bottom w:val="nil"/>
              <w:right w:val="single" w:color="auto" w:sz="8" w:space="0"/>
            </w:tcBorders>
            <w:shd w:val="clear" w:color="auto" w:fill="auto"/>
            <w:vAlign w:val="center"/>
          </w:tcPr>
          <w:p>
            <w:pPr>
              <w:widowControl/>
              <w:jc w:val="left"/>
              <w:rPr>
                <w:rFonts w:ascii="宋体" w:hAnsi="宋体"/>
                <w:color w:val="000000"/>
                <w:kern w:val="0"/>
                <w:szCs w:val="21"/>
              </w:rPr>
            </w:pPr>
            <w:r>
              <w:rPr>
                <w:rFonts w:hint="eastAsia" w:ascii="宋体" w:hAnsi="宋体"/>
                <w:color w:val="000000"/>
                <w:kern w:val="0"/>
                <w:szCs w:val="21"/>
              </w:rPr>
              <w:t>2、老师可根据知识点选择对应的教学内容。老师可按每个教学环节选择所需的教学模块即可快速生成一份课件。每个课时均提供教学设计和课件内容。</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85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Cs w:val="21"/>
              </w:rPr>
            </w:pPr>
          </w:p>
        </w:tc>
        <w:tc>
          <w:tcPr>
            <w:tcW w:w="5120" w:type="dxa"/>
            <w:tcBorders>
              <w:top w:val="nil"/>
              <w:left w:val="nil"/>
              <w:bottom w:val="nil"/>
              <w:right w:val="single" w:color="auto" w:sz="8" w:space="0"/>
            </w:tcBorders>
            <w:shd w:val="clear" w:color="auto" w:fill="auto"/>
            <w:vAlign w:val="center"/>
          </w:tcPr>
          <w:p>
            <w:pPr>
              <w:widowControl/>
              <w:jc w:val="left"/>
              <w:rPr>
                <w:rFonts w:ascii="宋体" w:hAnsi="宋体"/>
                <w:color w:val="000000"/>
                <w:kern w:val="0"/>
                <w:szCs w:val="21"/>
              </w:rPr>
            </w:pPr>
            <w:r>
              <w:rPr>
                <w:rFonts w:hint="eastAsia" w:ascii="宋体" w:hAnsi="宋体"/>
                <w:color w:val="000000"/>
                <w:kern w:val="0"/>
                <w:szCs w:val="21"/>
              </w:rPr>
              <w:t>3、老师可自主选择课件所需内容，如课堂导入、知识讲解，例题与变式，拓展延伸，课外活动等。课件总课时量不低于1000个课时。</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85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Cs w:val="21"/>
              </w:rPr>
            </w:pPr>
          </w:p>
        </w:tc>
        <w:tc>
          <w:tcPr>
            <w:tcW w:w="5120" w:type="dxa"/>
            <w:tcBorders>
              <w:top w:val="nil"/>
              <w:left w:val="nil"/>
              <w:bottom w:val="nil"/>
              <w:right w:val="single" w:color="auto" w:sz="8" w:space="0"/>
            </w:tcBorders>
            <w:shd w:val="clear" w:color="auto" w:fill="auto"/>
            <w:vAlign w:val="center"/>
          </w:tcPr>
          <w:p>
            <w:pPr>
              <w:widowControl/>
              <w:jc w:val="left"/>
              <w:rPr>
                <w:rFonts w:ascii="宋体" w:hAnsi="宋体"/>
                <w:color w:val="000000"/>
                <w:kern w:val="0"/>
                <w:szCs w:val="21"/>
              </w:rPr>
            </w:pPr>
            <w:r>
              <w:rPr>
                <w:rFonts w:hint="eastAsia" w:ascii="宋体" w:hAnsi="宋体"/>
                <w:color w:val="000000"/>
                <w:kern w:val="0"/>
                <w:szCs w:val="21"/>
              </w:rPr>
              <w:t>4、内置交互式动画，提供不少于1000个制作完成交互式动画课件素材，可直接选用插入到课件中。</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142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Cs w:val="21"/>
              </w:rPr>
            </w:pPr>
          </w:p>
        </w:tc>
        <w:tc>
          <w:tcPr>
            <w:tcW w:w="512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olor w:val="000000"/>
                <w:kern w:val="0"/>
                <w:szCs w:val="21"/>
              </w:rPr>
            </w:pPr>
            <w:r>
              <w:rPr>
                <w:rFonts w:hint="eastAsia" w:ascii="宋体" w:hAnsi="宋体"/>
                <w:color w:val="000000"/>
                <w:kern w:val="0"/>
                <w:szCs w:val="21"/>
              </w:rPr>
              <w:t>5、提供数学公式编辑器，提供近百种数学符号，提供数学公式上标、下标、分式的快捷键输入方式。输入后的公式与文本处于同一个文本框内，拖动文本框后公式随文本框变化位置。</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171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Cs w:val="21"/>
              </w:rPr>
            </w:pPr>
          </w:p>
        </w:tc>
        <w:tc>
          <w:tcPr>
            <w:tcW w:w="5120" w:type="dxa"/>
            <w:tcBorders>
              <w:top w:val="single" w:color="auto" w:sz="4" w:space="0"/>
              <w:left w:val="nil"/>
              <w:bottom w:val="nil"/>
              <w:right w:val="single" w:color="auto" w:sz="8" w:space="0"/>
            </w:tcBorders>
            <w:shd w:val="clear" w:color="auto" w:fill="auto"/>
            <w:vAlign w:val="center"/>
          </w:tcPr>
          <w:p>
            <w:pPr>
              <w:widowControl/>
              <w:jc w:val="left"/>
              <w:rPr>
                <w:rFonts w:ascii="宋体" w:hAnsi="宋体"/>
                <w:color w:val="000000"/>
                <w:kern w:val="0"/>
                <w:szCs w:val="21"/>
              </w:rPr>
            </w:pPr>
            <w:r>
              <w:rPr>
                <w:rFonts w:hint="eastAsia" w:ascii="宋体" w:hAnsi="宋体"/>
                <w:color w:val="000000"/>
                <w:kern w:val="0"/>
                <w:szCs w:val="21"/>
              </w:rPr>
              <w:t>6、支持老师创建交互式动态课件，提供教学画板工具。支持通过拖动或输入的方式改变对象的参数数值，相应的图像和函数随数值的变化而发生变化。支持调节缩放坐标轴，图像生成后可重新编辑。画板工具支持通过指令快速绘制平面图形、立体图形和函数图像。</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171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Cs w:val="21"/>
              </w:rPr>
            </w:pPr>
          </w:p>
        </w:tc>
        <w:tc>
          <w:tcPr>
            <w:tcW w:w="5120" w:type="dxa"/>
            <w:tcBorders>
              <w:top w:val="nil"/>
              <w:left w:val="nil"/>
              <w:bottom w:val="nil"/>
              <w:right w:val="single" w:color="auto" w:sz="8" w:space="0"/>
            </w:tcBorders>
            <w:shd w:val="clear" w:color="auto" w:fill="auto"/>
            <w:vAlign w:val="center"/>
          </w:tcPr>
          <w:p>
            <w:pPr>
              <w:widowControl/>
              <w:jc w:val="left"/>
              <w:rPr>
                <w:rFonts w:ascii="宋体" w:hAnsi="宋体"/>
                <w:color w:val="000000"/>
                <w:kern w:val="0"/>
                <w:szCs w:val="21"/>
              </w:rPr>
            </w:pPr>
            <w:r>
              <w:rPr>
                <w:rFonts w:hint="eastAsia" w:ascii="宋体" w:hAnsi="宋体"/>
                <w:color w:val="000000"/>
                <w:kern w:val="0"/>
                <w:szCs w:val="21"/>
              </w:rPr>
              <w:t>7、支持绘制任意平面图形：例如：多边形，圆，圆锥曲线，向量，函数图形等。可以绘制任意几何图形。例如：棱柱，棱锥，几何体展开图，曲线，曲面等。可以制作任意3D动态课件，例如：震荡，视图旋转，空间运动，投影等。</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57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Cs w:val="21"/>
              </w:rPr>
            </w:pPr>
          </w:p>
        </w:tc>
        <w:tc>
          <w:tcPr>
            <w:tcW w:w="5120" w:type="dxa"/>
            <w:tcBorders>
              <w:top w:val="nil"/>
              <w:left w:val="nil"/>
              <w:bottom w:val="nil"/>
              <w:right w:val="single" w:color="auto" w:sz="8" w:space="0"/>
            </w:tcBorders>
            <w:shd w:val="clear" w:color="auto" w:fill="auto"/>
            <w:vAlign w:val="center"/>
          </w:tcPr>
          <w:p>
            <w:pPr>
              <w:widowControl/>
              <w:jc w:val="left"/>
              <w:rPr>
                <w:rFonts w:ascii="宋体" w:hAnsi="宋体"/>
                <w:color w:val="000000"/>
                <w:kern w:val="0"/>
                <w:szCs w:val="21"/>
              </w:rPr>
            </w:pPr>
            <w:r>
              <w:rPr>
                <w:rFonts w:hint="eastAsia" w:ascii="宋体" w:hAnsi="宋体"/>
                <w:color w:val="000000"/>
                <w:kern w:val="0"/>
                <w:szCs w:val="21"/>
              </w:rPr>
              <w:t>8、支持使用移动端进行备课，备课内容可以同步到交互书写屏的云盘中供上课使用。</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87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Cs w:val="21"/>
              </w:rPr>
            </w:pPr>
          </w:p>
        </w:tc>
        <w:tc>
          <w:tcPr>
            <w:tcW w:w="5120" w:type="dxa"/>
            <w:tcBorders>
              <w:top w:val="nil"/>
              <w:left w:val="nil"/>
              <w:bottom w:val="single" w:color="000000" w:sz="8" w:space="0"/>
              <w:right w:val="single" w:color="auto" w:sz="8" w:space="0"/>
            </w:tcBorders>
            <w:shd w:val="clear" w:color="auto" w:fill="auto"/>
            <w:vAlign w:val="center"/>
          </w:tcPr>
          <w:p>
            <w:pPr>
              <w:widowControl/>
              <w:jc w:val="left"/>
              <w:rPr>
                <w:rFonts w:ascii="宋体" w:hAnsi="宋体"/>
                <w:color w:val="000000"/>
                <w:kern w:val="0"/>
                <w:szCs w:val="21"/>
              </w:rPr>
            </w:pPr>
            <w:r>
              <w:rPr>
                <w:rFonts w:hint="eastAsia" w:ascii="宋体" w:hAnsi="宋体"/>
                <w:color w:val="000000"/>
                <w:kern w:val="0"/>
                <w:szCs w:val="21"/>
              </w:rPr>
              <w:t>9、支持将做好的课件打印成纸质版或导出成PDF。支持将做好的课件以链接的形式分享和扫码分享到微信或QQ上。</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2295"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3</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b/>
                <w:bCs/>
                <w:color w:val="000000"/>
                <w:kern w:val="0"/>
                <w:szCs w:val="21"/>
              </w:rPr>
            </w:pPr>
            <w:r>
              <w:rPr>
                <w:rFonts w:hint="eastAsia" w:ascii="宋体" w:hAnsi="宋体" w:cs="宋体"/>
                <w:b/>
                <w:bCs/>
                <w:color w:val="000000"/>
                <w:kern w:val="0"/>
                <w:szCs w:val="21"/>
              </w:rPr>
              <w:t>组合式推拉绿板</w:t>
            </w:r>
          </w:p>
        </w:tc>
        <w:tc>
          <w:tcPr>
            <w:tcW w:w="512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olor w:val="000000"/>
                <w:kern w:val="0"/>
                <w:szCs w:val="21"/>
              </w:rPr>
            </w:pPr>
            <w:r>
              <w:rPr>
                <w:rFonts w:hint="eastAsia" w:ascii="宋体" w:hAnsi="宋体" w:cs="宋体"/>
                <w:color w:val="000000"/>
                <w:kern w:val="0"/>
                <w:szCs w:val="21"/>
              </w:rPr>
              <w:t>采用双层设计，推拉绿板可左右滑动并能完全覆盖电子白板。要求不拆卸绿板外框，即可拆卸电子白板，方便维修。整体尺寸≥1200*4000mm，外框壁厚≥1.5mm，耐磨，耐腐蚀达到GB/T5237.3－2017标准。内框铝合金尺寸≥18X35mm，绿板面板，书写流畅，不打滑，颜色均匀，中间夹层采用瓦棱纸，甲醛释放量&lt;1.5mg/L。背板釆用镀锌板。有锁设计。</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s="宋体"/>
                <w:color w:val="000000"/>
                <w:kern w:val="0"/>
                <w:szCs w:val="21"/>
              </w:rPr>
              <w:t>2</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s="宋体"/>
                <w:color w:val="000000"/>
                <w:kern w:val="0"/>
                <w:szCs w:val="21"/>
              </w:rPr>
              <w:t>套</w:t>
            </w:r>
          </w:p>
        </w:tc>
      </w:tr>
      <w:tr>
        <w:tblPrEx>
          <w:tblLayout w:type="fixed"/>
          <w:tblCellMar>
            <w:top w:w="0" w:type="dxa"/>
            <w:left w:w="108" w:type="dxa"/>
            <w:bottom w:w="0" w:type="dxa"/>
            <w:right w:w="108" w:type="dxa"/>
          </w:tblCellMar>
        </w:tblPrEx>
        <w:trPr>
          <w:trHeight w:val="1539" w:hRule="atLeast"/>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4</w:t>
            </w:r>
          </w:p>
        </w:tc>
        <w:tc>
          <w:tcPr>
            <w:tcW w:w="1080" w:type="dxa"/>
            <w:vMerge w:val="restart"/>
            <w:tcBorders>
              <w:top w:val="nil"/>
              <w:left w:val="single" w:color="auto" w:sz="8" w:space="0"/>
              <w:bottom w:val="single" w:color="000000" w:sz="8" w:space="0"/>
              <w:right w:val="single" w:color="auto" w:sz="4" w:space="0"/>
            </w:tcBorders>
            <w:shd w:val="clear" w:color="auto" w:fill="auto"/>
            <w:vAlign w:val="center"/>
          </w:tcPr>
          <w:p>
            <w:pPr>
              <w:widowControl/>
              <w:jc w:val="center"/>
              <w:rPr>
                <w:rFonts w:ascii="宋体" w:hAnsi="宋体"/>
                <w:b/>
                <w:bCs/>
                <w:color w:val="000000"/>
                <w:kern w:val="0"/>
                <w:szCs w:val="21"/>
              </w:rPr>
            </w:pPr>
            <w:r>
              <w:rPr>
                <w:rFonts w:hint="eastAsia" w:ascii="宋体" w:hAnsi="宋体" w:cs="宋体"/>
                <w:b/>
                <w:bCs/>
                <w:color w:val="000000"/>
                <w:kern w:val="0"/>
                <w:szCs w:val="21"/>
              </w:rPr>
              <w:t>智能教学一体机</w:t>
            </w:r>
          </w:p>
        </w:tc>
        <w:tc>
          <w:tcPr>
            <w:tcW w:w="5120" w:type="dxa"/>
            <w:tcBorders>
              <w:top w:val="single" w:color="auto" w:sz="4" w:space="0"/>
              <w:left w:val="single" w:color="auto" w:sz="4" w:space="0"/>
              <w:right w:val="single" w:color="auto" w:sz="4" w:space="0"/>
            </w:tcBorders>
            <w:shd w:val="clear" w:color="auto" w:fill="auto"/>
            <w:textDirection w:val="lrTb"/>
            <w:vAlign w:val="center"/>
          </w:tcPr>
          <w:p>
            <w:pPr>
              <w:widowControl/>
              <w:rPr>
                <w:rFonts w:ascii="宋体" w:hAnsi="宋体"/>
                <w:color w:val="000000"/>
                <w:kern w:val="0"/>
                <w:szCs w:val="21"/>
              </w:rPr>
            </w:pPr>
            <w:r>
              <w:rPr>
                <w:rFonts w:hint="eastAsia" w:ascii="宋体" w:hAnsi="宋体" w:cs="宋体"/>
                <w:color w:val="000000"/>
                <w:kern w:val="0"/>
                <w:szCs w:val="21"/>
              </w:rPr>
              <w:t>1、ABS工程塑料外壳，一体化设计防尘机箱，内置LINUX操作系统。集成电脑主机、触摸显示屏、中控系统、高清音视频解码、功放、展台、网络交换机、IC卡读卡器、无线物联、强电控制、无线麦克风接收器、网络集控管理功能。</w:t>
            </w:r>
          </w:p>
        </w:tc>
        <w:tc>
          <w:tcPr>
            <w:tcW w:w="1080" w:type="dxa"/>
            <w:vMerge w:val="restart"/>
            <w:tcBorders>
              <w:top w:val="nil"/>
              <w:left w:val="single" w:color="auto" w:sz="4" w:space="0"/>
              <w:bottom w:val="single" w:color="000000" w:sz="8"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s="宋体"/>
                <w:color w:val="000000"/>
                <w:kern w:val="0"/>
                <w:szCs w:val="21"/>
              </w:rPr>
              <w:t>2</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s="宋体"/>
                <w:color w:val="000000"/>
                <w:kern w:val="0"/>
                <w:szCs w:val="21"/>
              </w:rPr>
              <w:t>台</w:t>
            </w:r>
          </w:p>
        </w:tc>
      </w:tr>
      <w:tr>
        <w:tblPrEx>
          <w:tblLayout w:type="fixed"/>
          <w:tblCellMar>
            <w:top w:w="0" w:type="dxa"/>
            <w:left w:w="108" w:type="dxa"/>
            <w:bottom w:w="0" w:type="dxa"/>
            <w:right w:w="108" w:type="dxa"/>
          </w:tblCellMar>
        </w:tblPrEx>
        <w:trPr>
          <w:trHeight w:val="1122"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b/>
                <w:bCs/>
                <w:color w:val="000000"/>
                <w:kern w:val="0"/>
                <w:szCs w:val="21"/>
              </w:rPr>
            </w:pPr>
          </w:p>
        </w:tc>
        <w:tc>
          <w:tcPr>
            <w:tcW w:w="5120" w:type="dxa"/>
            <w:tcBorders>
              <w:left w:val="single" w:color="auto" w:sz="4" w:space="0"/>
              <w:right w:val="single" w:color="auto" w:sz="4" w:space="0"/>
            </w:tcBorders>
            <w:shd w:val="clear" w:color="auto" w:fill="auto"/>
            <w:textDirection w:val="lrTb"/>
            <w:vAlign w:val="center"/>
          </w:tcPr>
          <w:p>
            <w:pPr>
              <w:widowControl/>
              <w:rPr>
                <w:rFonts w:ascii="宋体" w:hAnsi="宋体"/>
                <w:color w:val="000000"/>
                <w:kern w:val="0"/>
                <w:szCs w:val="21"/>
              </w:rPr>
            </w:pPr>
            <w:r>
              <w:rPr>
                <w:rFonts w:hint="eastAsia" w:ascii="宋体" w:hAnsi="宋体" w:cs="宋体"/>
                <w:color w:val="000000"/>
                <w:kern w:val="0"/>
                <w:szCs w:val="21"/>
              </w:rPr>
              <w:t>2、嵌入式X86工控主板，cpu性能≥i5，主频≥1.8GHz，内存≥8G DDR3，固态硬盘≥256G，集成显卡，千兆网卡，声卡，集成≥14英寸触控显示屏.屏幕分辨率≥1366*768，触摸点数≥10点。</w:t>
            </w:r>
          </w:p>
        </w:tc>
        <w:tc>
          <w:tcPr>
            <w:tcW w:w="1080" w:type="dxa"/>
            <w:vMerge w:val="continue"/>
            <w:tcBorders>
              <w:top w:val="nil"/>
              <w:left w:val="single" w:color="auto" w:sz="4" w:space="0"/>
              <w:bottom w:val="single" w:color="000000" w:sz="8" w:space="0"/>
              <w:right w:val="single" w:color="auto" w:sz="8" w:space="0"/>
            </w:tcBorders>
            <w:vAlign w:val="center"/>
          </w:tcPr>
          <w:p>
            <w:pPr>
              <w:widowControl/>
              <w:jc w:val="left"/>
              <w:rPr>
                <w:rFonts w:ascii="宋体" w:hAnsi="宋体"/>
                <w:color w:val="FF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254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b/>
                <w:bCs/>
                <w:color w:val="000000"/>
                <w:kern w:val="0"/>
                <w:szCs w:val="21"/>
              </w:rPr>
            </w:pPr>
          </w:p>
        </w:tc>
        <w:tc>
          <w:tcPr>
            <w:tcW w:w="5120" w:type="dxa"/>
            <w:tcBorders>
              <w:left w:val="single" w:color="auto" w:sz="4" w:space="0"/>
              <w:bottom w:val="single" w:color="auto" w:sz="4" w:space="0"/>
              <w:right w:val="single" w:color="auto" w:sz="4" w:space="0"/>
            </w:tcBorders>
            <w:shd w:val="clear" w:color="auto" w:fill="auto"/>
            <w:textDirection w:val="lrTb"/>
            <w:vAlign w:val="center"/>
          </w:tcPr>
          <w:p>
            <w:pPr>
              <w:widowControl/>
              <w:rPr>
                <w:rFonts w:ascii="宋体" w:hAnsi="宋体"/>
                <w:color w:val="000000"/>
                <w:kern w:val="0"/>
                <w:szCs w:val="21"/>
              </w:rPr>
            </w:pPr>
            <w:r>
              <w:rPr>
                <w:rFonts w:hint="eastAsia" w:ascii="宋体" w:hAnsi="宋体" w:cs="宋体"/>
                <w:color w:val="000000"/>
                <w:kern w:val="0"/>
                <w:szCs w:val="21"/>
              </w:rPr>
              <w:t>3、内置实物展示台≥500万象素，自动对焦，带辅助灯光，采用触摸式开关；集成≥2*40W数字智能功放，≥1路立体声功放输出端口，≥1路AUX线性输出接口，≥2进2出HDMI接口； 1路RS232、≥5路千兆RJ45接口；≥6路以上USB电脑接口和1路USB通信接口；机箱柜门配备12V电磁控锁，可实现一键开关柜门；集成触控式按键，触摸按键数量≥8个，通过触摸式按键可管理投影机开关及信号切换，以及可控制一体机音视频广播暂停、播放等功能。</w:t>
            </w:r>
          </w:p>
        </w:tc>
        <w:tc>
          <w:tcPr>
            <w:tcW w:w="1080" w:type="dxa"/>
            <w:vMerge w:val="continue"/>
            <w:tcBorders>
              <w:top w:val="nil"/>
              <w:left w:val="single" w:color="auto" w:sz="4" w:space="0"/>
              <w:bottom w:val="single" w:color="000000" w:sz="8" w:space="0"/>
              <w:right w:val="single" w:color="auto" w:sz="8" w:space="0"/>
            </w:tcBorders>
            <w:vAlign w:val="center"/>
          </w:tcPr>
          <w:p>
            <w:pPr>
              <w:widowControl/>
              <w:jc w:val="left"/>
              <w:rPr>
                <w:rFonts w:ascii="宋体" w:hAnsi="宋体"/>
                <w:color w:val="FF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2534"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b/>
                <w:bCs/>
                <w:color w:val="000000"/>
                <w:kern w:val="0"/>
                <w:szCs w:val="21"/>
              </w:rPr>
            </w:pPr>
          </w:p>
        </w:tc>
        <w:tc>
          <w:tcPr>
            <w:tcW w:w="5120" w:type="dxa"/>
            <w:tcBorders>
              <w:top w:val="single" w:color="auto" w:sz="4" w:space="0"/>
              <w:left w:val="single" w:color="auto" w:sz="4" w:space="0"/>
              <w:right w:val="single" w:color="auto" w:sz="4" w:space="0"/>
            </w:tcBorders>
            <w:shd w:val="clear" w:color="auto" w:fill="auto"/>
            <w:textDirection w:val="lrTb"/>
            <w:vAlign w:val="center"/>
          </w:tcPr>
          <w:p>
            <w:pPr>
              <w:widowControl/>
              <w:rPr>
                <w:rFonts w:ascii="宋体" w:hAnsi="宋体"/>
                <w:color w:val="000000"/>
                <w:kern w:val="0"/>
                <w:szCs w:val="21"/>
              </w:rPr>
            </w:pPr>
            <w:r>
              <w:rPr>
                <w:rFonts w:hint="eastAsia" w:ascii="宋体" w:hAnsi="宋体"/>
                <w:color w:val="000000"/>
                <w:kern w:val="0"/>
                <w:szCs w:val="21"/>
              </w:rPr>
              <w:t>▲</w:t>
            </w:r>
            <w:r>
              <w:rPr>
                <w:rFonts w:hint="eastAsia" w:ascii="宋体" w:hAnsi="宋体" w:cs="宋体"/>
                <w:color w:val="000000"/>
                <w:kern w:val="0"/>
                <w:szCs w:val="21"/>
              </w:rPr>
              <w:t>4、为方便教室多媒体管理，一体机需集成强电管理，采用防脱落电源插口，独立电源输出接口≥3路，每路负载电流≥10A，支持自定义电源输出延时设置，支持能耗检测；集成无线麦克风接收器，可接入1路同品牌无线麦克风；集成物联接口，可编程RS232控制通信端口≥1路，USB通信接口≥2路， IO控制接口≥2路，支持无线物联功能，可接入≥10路无线物联模块，精确统计接入设备的能耗及使用时长，支持列表或图表显示。（提供具备有CMA或CNAS标识的检测报告复印件</w:t>
            </w:r>
            <w:r>
              <w:rPr>
                <w:rFonts w:hint="eastAsia" w:ascii="宋体" w:hAnsi="宋体"/>
                <w:color w:val="000000"/>
                <w:kern w:val="0"/>
                <w:szCs w:val="21"/>
              </w:rPr>
              <w:t>并加盖</w:t>
            </w:r>
            <w:r>
              <w:rPr>
                <w:rFonts w:hint="eastAsia" w:ascii="宋体" w:hAnsi="宋体"/>
                <w:color w:val="000000"/>
                <w:kern w:val="0"/>
                <w:szCs w:val="21"/>
                <w:lang w:eastAsia="zh-CN"/>
              </w:rPr>
              <w:t>投标人</w:t>
            </w:r>
            <w:r>
              <w:rPr>
                <w:rFonts w:hint="eastAsia" w:ascii="宋体" w:hAnsi="宋体"/>
                <w:color w:val="000000"/>
                <w:kern w:val="0"/>
                <w:szCs w:val="21"/>
              </w:rPr>
              <w:t>公章</w:t>
            </w:r>
            <w:r>
              <w:rPr>
                <w:rFonts w:hint="eastAsia" w:ascii="宋体" w:hAnsi="宋体" w:cs="宋体"/>
                <w:color w:val="000000"/>
                <w:kern w:val="0"/>
                <w:szCs w:val="21"/>
              </w:rPr>
              <w:t>）</w:t>
            </w:r>
          </w:p>
        </w:tc>
        <w:tc>
          <w:tcPr>
            <w:tcW w:w="1080" w:type="dxa"/>
            <w:vMerge w:val="continue"/>
            <w:tcBorders>
              <w:top w:val="nil"/>
              <w:left w:val="single" w:color="auto" w:sz="4" w:space="0"/>
              <w:bottom w:val="single" w:color="000000" w:sz="8" w:space="0"/>
              <w:right w:val="single" w:color="auto" w:sz="8" w:space="0"/>
            </w:tcBorders>
            <w:vAlign w:val="center"/>
          </w:tcPr>
          <w:p>
            <w:pPr>
              <w:widowControl/>
              <w:jc w:val="left"/>
              <w:rPr>
                <w:rFonts w:ascii="宋体" w:hAnsi="宋体"/>
                <w:color w:val="FF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1678"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b/>
                <w:bCs/>
                <w:color w:val="000000"/>
                <w:kern w:val="0"/>
                <w:szCs w:val="21"/>
              </w:rPr>
            </w:pPr>
          </w:p>
        </w:tc>
        <w:tc>
          <w:tcPr>
            <w:tcW w:w="5120" w:type="dxa"/>
            <w:tcBorders>
              <w:left w:val="single" w:color="auto" w:sz="4" w:space="0"/>
              <w:right w:val="single" w:color="auto" w:sz="4" w:space="0"/>
            </w:tcBorders>
            <w:shd w:val="clear" w:color="auto" w:fill="auto"/>
            <w:textDirection w:val="lrTb"/>
            <w:vAlign w:val="center"/>
          </w:tcPr>
          <w:p>
            <w:pPr>
              <w:widowControl/>
              <w:rPr>
                <w:rFonts w:ascii="宋体" w:hAnsi="宋体"/>
                <w:color w:val="000000"/>
                <w:kern w:val="0"/>
                <w:szCs w:val="21"/>
              </w:rPr>
            </w:pPr>
            <w:r>
              <w:rPr>
                <w:rFonts w:hint="eastAsia" w:ascii="宋体" w:hAnsi="宋体" w:cs="宋体"/>
                <w:color w:val="000000"/>
                <w:kern w:val="0"/>
                <w:szCs w:val="21"/>
              </w:rPr>
              <w:t>5、内置WEB管理端，可配置系统参数和所控制设备参数配置；支持双路投影机同步或异步显示；支持在同网段和跨网段进行集控管理，实现一套设备的多业务融合；支持通过融合平台软件及微信小程序实现远程对终端设备及物联模块进行定时集控管理包括设备的开机、关机、禁用，物联模块通电、断电等。</w:t>
            </w:r>
          </w:p>
        </w:tc>
        <w:tc>
          <w:tcPr>
            <w:tcW w:w="1080" w:type="dxa"/>
            <w:vMerge w:val="continue"/>
            <w:tcBorders>
              <w:top w:val="nil"/>
              <w:left w:val="single" w:color="auto" w:sz="4" w:space="0"/>
              <w:bottom w:val="single" w:color="000000" w:sz="8" w:space="0"/>
              <w:right w:val="single" w:color="auto" w:sz="8" w:space="0"/>
            </w:tcBorders>
            <w:vAlign w:val="center"/>
          </w:tcPr>
          <w:p>
            <w:pPr>
              <w:widowControl/>
              <w:jc w:val="left"/>
              <w:rPr>
                <w:rFonts w:ascii="宋体" w:hAnsi="宋体"/>
                <w:color w:val="FF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1971"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b/>
                <w:bCs/>
                <w:color w:val="000000"/>
                <w:kern w:val="0"/>
                <w:szCs w:val="21"/>
              </w:rPr>
            </w:pPr>
          </w:p>
        </w:tc>
        <w:tc>
          <w:tcPr>
            <w:tcW w:w="5120" w:type="dxa"/>
            <w:tcBorders>
              <w:left w:val="single" w:color="auto" w:sz="4" w:space="0"/>
              <w:bottom w:val="single" w:color="auto" w:sz="4" w:space="0"/>
              <w:right w:val="single" w:color="auto" w:sz="4" w:space="0"/>
            </w:tcBorders>
            <w:shd w:val="clear" w:color="auto" w:fill="auto"/>
            <w:textDirection w:val="lrTb"/>
            <w:vAlign w:val="center"/>
          </w:tcPr>
          <w:p>
            <w:pPr>
              <w:widowControl/>
              <w:rPr>
                <w:rFonts w:ascii="宋体" w:hAnsi="宋体"/>
                <w:color w:val="000000"/>
                <w:kern w:val="0"/>
                <w:szCs w:val="21"/>
              </w:rPr>
            </w:pPr>
            <w:r>
              <w:rPr>
                <w:rFonts w:hint="eastAsia" w:ascii="宋体" w:hAnsi="宋体"/>
                <w:color w:val="000000"/>
                <w:kern w:val="0"/>
                <w:szCs w:val="21"/>
              </w:rPr>
              <w:t>▲</w:t>
            </w:r>
            <w:r>
              <w:rPr>
                <w:rFonts w:hint="eastAsia" w:ascii="宋体" w:hAnsi="宋体" w:cs="宋体"/>
                <w:color w:val="000000"/>
                <w:kern w:val="0"/>
                <w:szCs w:val="21"/>
              </w:rPr>
              <w:t>6、支持IP数字广播、高清视频的实时接收、解码及播放，配合融合平台软件可设置优先级为0-99级音视频广播任务的切换，实现调课管理，可支持HTTP、RTSP、UDP、RTP等主流流媒体协议，在待机状态下可接收服务器预设的高清流媒体内容或在线电视节目进行自动播放，自动开启显示设备，无需人工到教室开机。（提供具备有CMA或CNAS标识的检测报告复印件</w:t>
            </w:r>
            <w:r>
              <w:rPr>
                <w:rFonts w:hint="eastAsia" w:ascii="宋体" w:hAnsi="宋体"/>
                <w:color w:val="000000"/>
                <w:kern w:val="0"/>
                <w:szCs w:val="21"/>
              </w:rPr>
              <w:t>并加盖</w:t>
            </w:r>
            <w:r>
              <w:rPr>
                <w:rFonts w:hint="eastAsia" w:ascii="宋体" w:hAnsi="宋体"/>
                <w:color w:val="000000"/>
                <w:kern w:val="0"/>
                <w:szCs w:val="21"/>
                <w:lang w:eastAsia="zh-CN"/>
              </w:rPr>
              <w:t>投标人</w:t>
            </w:r>
            <w:r>
              <w:rPr>
                <w:rFonts w:hint="eastAsia" w:ascii="宋体" w:hAnsi="宋体"/>
                <w:color w:val="000000"/>
                <w:kern w:val="0"/>
                <w:szCs w:val="21"/>
              </w:rPr>
              <w:t>公章</w:t>
            </w:r>
            <w:r>
              <w:rPr>
                <w:rFonts w:hint="eastAsia" w:ascii="宋体" w:hAnsi="宋体" w:cs="宋体"/>
                <w:color w:val="000000"/>
                <w:kern w:val="0"/>
                <w:szCs w:val="21"/>
              </w:rPr>
              <w:t>）</w:t>
            </w:r>
          </w:p>
        </w:tc>
        <w:tc>
          <w:tcPr>
            <w:tcW w:w="1080" w:type="dxa"/>
            <w:vMerge w:val="continue"/>
            <w:tcBorders>
              <w:top w:val="nil"/>
              <w:left w:val="single" w:color="auto" w:sz="4" w:space="0"/>
              <w:bottom w:val="single" w:color="000000" w:sz="8" w:space="0"/>
              <w:right w:val="single" w:color="auto" w:sz="8" w:space="0"/>
            </w:tcBorders>
            <w:vAlign w:val="center"/>
          </w:tcPr>
          <w:p>
            <w:pPr>
              <w:widowControl/>
              <w:jc w:val="left"/>
              <w:rPr>
                <w:rFonts w:ascii="宋体" w:hAnsi="宋体"/>
                <w:color w:val="FF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369" w:hRule="atLeast"/>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5</w:t>
            </w:r>
          </w:p>
        </w:tc>
        <w:tc>
          <w:tcPr>
            <w:tcW w:w="1080" w:type="dxa"/>
            <w:vMerge w:val="restart"/>
            <w:tcBorders>
              <w:top w:val="nil"/>
              <w:left w:val="single" w:color="auto" w:sz="8" w:space="0"/>
              <w:bottom w:val="single" w:color="000000" w:sz="8" w:space="0"/>
              <w:right w:val="single" w:color="auto" w:sz="4" w:space="0"/>
            </w:tcBorders>
            <w:shd w:val="clear" w:color="auto" w:fill="auto"/>
            <w:vAlign w:val="center"/>
          </w:tcPr>
          <w:p>
            <w:pPr>
              <w:widowControl/>
              <w:jc w:val="center"/>
              <w:rPr>
                <w:rFonts w:ascii="宋体" w:hAnsi="宋体"/>
                <w:b/>
                <w:bCs/>
                <w:color w:val="000000"/>
                <w:kern w:val="0"/>
                <w:szCs w:val="21"/>
              </w:rPr>
            </w:pPr>
            <w:r>
              <w:rPr>
                <w:rFonts w:hint="eastAsia" w:ascii="宋体" w:hAnsi="宋体" w:cs="宋体"/>
                <w:b/>
                <w:bCs/>
                <w:color w:val="000000"/>
                <w:kern w:val="0"/>
                <w:szCs w:val="21"/>
              </w:rPr>
              <w:t>教师无线麦克风</w:t>
            </w:r>
          </w:p>
        </w:tc>
        <w:tc>
          <w:tcPr>
            <w:tcW w:w="5120" w:type="dxa"/>
            <w:tcBorders>
              <w:top w:val="single" w:color="auto" w:sz="4" w:space="0"/>
              <w:left w:val="single" w:color="auto" w:sz="4" w:space="0"/>
              <w:right w:val="single" w:color="auto" w:sz="4" w:space="0"/>
            </w:tcBorders>
            <w:shd w:val="clear" w:color="auto" w:fill="auto"/>
            <w:vAlign w:val="center"/>
          </w:tcPr>
          <w:p>
            <w:pPr>
              <w:widowControl/>
              <w:jc w:val="left"/>
              <w:rPr>
                <w:rFonts w:ascii="宋体" w:hAnsi="宋体"/>
                <w:color w:val="000000"/>
                <w:kern w:val="0"/>
                <w:szCs w:val="21"/>
              </w:rPr>
            </w:pPr>
            <w:r>
              <w:rPr>
                <w:rFonts w:hint="eastAsia" w:ascii="宋体" w:hAnsi="宋体" w:cs="宋体"/>
                <w:color w:val="000000"/>
                <w:kern w:val="0"/>
                <w:szCs w:val="21"/>
              </w:rPr>
              <w:t>1、采用一体化共形天线，2.4GHz/U段双频自适应。</w:t>
            </w:r>
          </w:p>
        </w:tc>
        <w:tc>
          <w:tcPr>
            <w:tcW w:w="1080" w:type="dxa"/>
            <w:vMerge w:val="restart"/>
            <w:tcBorders>
              <w:top w:val="nil"/>
              <w:left w:val="single" w:color="auto" w:sz="4" w:space="0"/>
              <w:bottom w:val="single" w:color="000000" w:sz="8"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s="宋体"/>
                <w:color w:val="000000"/>
                <w:kern w:val="0"/>
                <w:szCs w:val="21"/>
              </w:rPr>
              <w:t>2</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s="宋体"/>
                <w:color w:val="000000"/>
                <w:kern w:val="0"/>
                <w:szCs w:val="21"/>
              </w:rPr>
              <w:t>只</w:t>
            </w:r>
          </w:p>
        </w:tc>
      </w:tr>
      <w:tr>
        <w:tblPrEx>
          <w:tblLayout w:type="fixed"/>
          <w:tblCellMar>
            <w:top w:w="0" w:type="dxa"/>
            <w:left w:w="108" w:type="dxa"/>
            <w:bottom w:w="0" w:type="dxa"/>
            <w:right w:w="108" w:type="dxa"/>
          </w:tblCellMar>
        </w:tblPrEx>
        <w:trPr>
          <w:trHeight w:val="844"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b/>
                <w:bCs/>
                <w:color w:val="000000"/>
                <w:kern w:val="0"/>
                <w:szCs w:val="21"/>
              </w:rPr>
            </w:pPr>
          </w:p>
        </w:tc>
        <w:tc>
          <w:tcPr>
            <w:tcW w:w="5120" w:type="dxa"/>
            <w:tcBorders>
              <w:left w:val="single" w:color="auto" w:sz="4" w:space="0"/>
              <w:right w:val="single" w:color="auto" w:sz="4" w:space="0"/>
            </w:tcBorders>
            <w:shd w:val="clear" w:color="auto" w:fill="auto"/>
            <w:vAlign w:val="center"/>
          </w:tcPr>
          <w:p>
            <w:pPr>
              <w:widowControl/>
              <w:jc w:val="left"/>
              <w:rPr>
                <w:rFonts w:ascii="宋体" w:hAnsi="宋体"/>
                <w:color w:val="000000"/>
                <w:kern w:val="0"/>
                <w:szCs w:val="21"/>
              </w:rPr>
            </w:pPr>
            <w:r>
              <w:rPr>
                <w:rFonts w:hint="eastAsia" w:ascii="宋体" w:hAnsi="宋体" w:cs="宋体"/>
                <w:color w:val="000000"/>
                <w:kern w:val="0"/>
                <w:szCs w:val="21"/>
              </w:rPr>
              <w:t>2、ISM频段，频率范围：2400 ~ 2483.5MHz，选取128个channel。868MHz频段，频率范围：868 ~ 920MHz，选取27个channel。</w:t>
            </w:r>
          </w:p>
        </w:tc>
        <w:tc>
          <w:tcPr>
            <w:tcW w:w="1080" w:type="dxa"/>
            <w:vMerge w:val="continue"/>
            <w:tcBorders>
              <w:top w:val="nil"/>
              <w:left w:val="single" w:color="auto" w:sz="4" w:space="0"/>
              <w:bottom w:val="single" w:color="000000" w:sz="8" w:space="0"/>
              <w:right w:val="single" w:color="auto" w:sz="8" w:space="0"/>
            </w:tcBorders>
            <w:vAlign w:val="center"/>
          </w:tcPr>
          <w:p>
            <w:pPr>
              <w:widowControl/>
              <w:jc w:val="left"/>
              <w:rPr>
                <w:rFonts w:ascii="宋体" w:hAnsi="宋体"/>
                <w:color w:val="FF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1114"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b/>
                <w:bCs/>
                <w:color w:val="000000"/>
                <w:kern w:val="0"/>
                <w:szCs w:val="21"/>
              </w:rPr>
            </w:pPr>
          </w:p>
        </w:tc>
        <w:tc>
          <w:tcPr>
            <w:tcW w:w="5120" w:type="dxa"/>
            <w:tcBorders>
              <w:left w:val="single" w:color="auto" w:sz="4" w:space="0"/>
              <w:right w:val="single" w:color="auto" w:sz="4" w:space="0"/>
            </w:tcBorders>
            <w:shd w:val="clear" w:color="auto" w:fill="auto"/>
            <w:vAlign w:val="center"/>
          </w:tcPr>
          <w:p>
            <w:pPr>
              <w:widowControl/>
              <w:jc w:val="left"/>
              <w:rPr>
                <w:rFonts w:ascii="宋体" w:hAnsi="宋体"/>
                <w:color w:val="000000"/>
                <w:kern w:val="0"/>
                <w:szCs w:val="21"/>
              </w:rPr>
            </w:pPr>
            <w:r>
              <w:rPr>
                <w:rFonts w:hint="eastAsia" w:ascii="宋体" w:hAnsi="宋体" w:cs="宋体"/>
                <w:color w:val="000000"/>
                <w:kern w:val="0"/>
                <w:szCs w:val="21"/>
              </w:rPr>
              <w:t>3、采用GFSK调制模式，射频接收灵敏度2.4G:-90dBm/868M:-96dBm。频率偏移&lt;10KHz，发射功率2.4G&lt;10dBm/868M&lt;15dBm，电磁辐射密度小于30uw/cm2。</w:t>
            </w:r>
          </w:p>
        </w:tc>
        <w:tc>
          <w:tcPr>
            <w:tcW w:w="1080" w:type="dxa"/>
            <w:vMerge w:val="continue"/>
            <w:tcBorders>
              <w:top w:val="nil"/>
              <w:left w:val="single" w:color="auto" w:sz="4" w:space="0"/>
              <w:bottom w:val="single" w:color="000000" w:sz="8" w:space="0"/>
              <w:right w:val="single" w:color="auto" w:sz="8" w:space="0"/>
            </w:tcBorders>
            <w:vAlign w:val="center"/>
          </w:tcPr>
          <w:p>
            <w:pPr>
              <w:widowControl/>
              <w:jc w:val="left"/>
              <w:rPr>
                <w:rFonts w:ascii="宋体" w:hAnsi="宋体"/>
                <w:color w:val="FF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918"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b/>
                <w:bCs/>
                <w:color w:val="000000"/>
                <w:kern w:val="0"/>
                <w:szCs w:val="21"/>
              </w:rPr>
            </w:pPr>
          </w:p>
        </w:tc>
        <w:tc>
          <w:tcPr>
            <w:tcW w:w="5120" w:type="dxa"/>
            <w:tcBorders>
              <w:left w:val="single" w:color="auto" w:sz="4" w:space="0"/>
              <w:right w:val="single" w:color="auto" w:sz="4" w:space="0"/>
            </w:tcBorders>
            <w:shd w:val="clear" w:color="auto" w:fill="auto"/>
            <w:vAlign w:val="center"/>
          </w:tcPr>
          <w:p>
            <w:pPr>
              <w:widowControl/>
              <w:jc w:val="left"/>
              <w:rPr>
                <w:rFonts w:ascii="宋体" w:hAnsi="宋体"/>
                <w:color w:val="000000"/>
                <w:kern w:val="0"/>
                <w:szCs w:val="21"/>
              </w:rPr>
            </w:pPr>
            <w:r>
              <w:rPr>
                <w:rFonts w:hint="eastAsia" w:ascii="宋体" w:hAnsi="宋体" w:cs="宋体"/>
                <w:color w:val="000000"/>
                <w:kern w:val="0"/>
                <w:szCs w:val="21"/>
              </w:rPr>
              <w:t>4、外壳采用工程环保塑料，无外露天线。低功耗设计，内置动圈式咪头，支持3.5mm接口话筒输入，支持电量和状态显示，支持本地音量调节及音量记忆。</w:t>
            </w:r>
          </w:p>
        </w:tc>
        <w:tc>
          <w:tcPr>
            <w:tcW w:w="1080" w:type="dxa"/>
            <w:vMerge w:val="continue"/>
            <w:tcBorders>
              <w:top w:val="nil"/>
              <w:left w:val="single" w:color="auto" w:sz="4" w:space="0"/>
              <w:bottom w:val="single" w:color="000000" w:sz="8" w:space="0"/>
              <w:right w:val="single" w:color="auto" w:sz="8" w:space="0"/>
            </w:tcBorders>
            <w:vAlign w:val="center"/>
          </w:tcPr>
          <w:p>
            <w:pPr>
              <w:widowControl/>
              <w:jc w:val="left"/>
              <w:rPr>
                <w:rFonts w:ascii="宋体" w:hAnsi="宋体"/>
                <w:color w:val="FF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83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b/>
                <w:bCs/>
                <w:color w:val="000000"/>
                <w:kern w:val="0"/>
                <w:szCs w:val="21"/>
              </w:rPr>
            </w:pPr>
          </w:p>
        </w:tc>
        <w:tc>
          <w:tcPr>
            <w:tcW w:w="5120" w:type="dxa"/>
            <w:tcBorders>
              <w:left w:val="single" w:color="auto" w:sz="4" w:space="0"/>
              <w:right w:val="single" w:color="auto" w:sz="4" w:space="0"/>
            </w:tcBorders>
            <w:shd w:val="clear" w:color="auto" w:fill="auto"/>
            <w:vAlign w:val="center"/>
          </w:tcPr>
          <w:p>
            <w:pPr>
              <w:widowControl/>
              <w:jc w:val="left"/>
              <w:rPr>
                <w:rFonts w:ascii="宋体" w:hAnsi="宋体"/>
                <w:color w:val="000000"/>
                <w:kern w:val="0"/>
                <w:szCs w:val="21"/>
              </w:rPr>
            </w:pPr>
            <w:r>
              <w:rPr>
                <w:rFonts w:hint="eastAsia" w:ascii="宋体" w:hAnsi="宋体" w:cs="宋体"/>
                <w:color w:val="000000"/>
                <w:kern w:val="0"/>
                <w:szCs w:val="21"/>
              </w:rPr>
              <w:t>5、内置≥900mAh可充电锂电池，充电范围4.35V-6V/500mA-1.2A，续航&gt;7h。不小于2种充电方式，可通过TYPE-C接口充电。</w:t>
            </w:r>
          </w:p>
        </w:tc>
        <w:tc>
          <w:tcPr>
            <w:tcW w:w="1080" w:type="dxa"/>
            <w:vMerge w:val="continue"/>
            <w:tcBorders>
              <w:top w:val="nil"/>
              <w:left w:val="single" w:color="auto" w:sz="4" w:space="0"/>
              <w:bottom w:val="single" w:color="000000" w:sz="8" w:space="0"/>
              <w:right w:val="single" w:color="auto" w:sz="8" w:space="0"/>
            </w:tcBorders>
            <w:vAlign w:val="center"/>
          </w:tcPr>
          <w:p>
            <w:pPr>
              <w:widowControl/>
              <w:jc w:val="left"/>
              <w:rPr>
                <w:rFonts w:ascii="宋体" w:hAnsi="宋体"/>
                <w:color w:val="FF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55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b/>
                <w:bCs/>
                <w:color w:val="000000"/>
                <w:kern w:val="0"/>
                <w:szCs w:val="21"/>
              </w:rPr>
            </w:pPr>
          </w:p>
        </w:tc>
        <w:tc>
          <w:tcPr>
            <w:tcW w:w="5120" w:type="dxa"/>
            <w:tcBorders>
              <w:left w:val="single" w:color="auto" w:sz="4" w:space="0"/>
              <w:right w:val="single" w:color="auto" w:sz="4" w:space="0"/>
            </w:tcBorders>
            <w:shd w:val="clear" w:color="auto" w:fill="auto"/>
            <w:vAlign w:val="center"/>
          </w:tcPr>
          <w:p>
            <w:pPr>
              <w:widowControl/>
              <w:jc w:val="left"/>
              <w:rPr>
                <w:rFonts w:ascii="宋体" w:hAnsi="宋体"/>
                <w:color w:val="000000"/>
                <w:kern w:val="0"/>
                <w:szCs w:val="21"/>
              </w:rPr>
            </w:pPr>
            <w:r>
              <w:rPr>
                <w:rFonts w:hint="eastAsia" w:ascii="宋体" w:hAnsi="宋体" w:cs="宋体"/>
                <w:color w:val="000000"/>
                <w:kern w:val="0"/>
                <w:szCs w:val="21"/>
              </w:rPr>
              <w:t>6、有效接收距离不低于20米（开阔无障碍物，接收与发射处于静止状态下测试结果），无背景噪音。</w:t>
            </w:r>
          </w:p>
        </w:tc>
        <w:tc>
          <w:tcPr>
            <w:tcW w:w="1080" w:type="dxa"/>
            <w:vMerge w:val="continue"/>
            <w:tcBorders>
              <w:top w:val="nil"/>
              <w:left w:val="single" w:color="auto" w:sz="4" w:space="0"/>
              <w:bottom w:val="single" w:color="000000" w:sz="8" w:space="0"/>
              <w:right w:val="single" w:color="auto" w:sz="8" w:space="0"/>
            </w:tcBorders>
            <w:vAlign w:val="center"/>
          </w:tcPr>
          <w:p>
            <w:pPr>
              <w:widowControl/>
              <w:jc w:val="left"/>
              <w:rPr>
                <w:rFonts w:ascii="宋体" w:hAnsi="宋体"/>
                <w:color w:val="FF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87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b/>
                <w:bCs/>
                <w:color w:val="000000"/>
                <w:kern w:val="0"/>
                <w:szCs w:val="21"/>
              </w:rPr>
            </w:pPr>
          </w:p>
        </w:tc>
        <w:tc>
          <w:tcPr>
            <w:tcW w:w="5120" w:type="dxa"/>
            <w:tcBorders>
              <w:left w:val="single" w:color="auto" w:sz="4" w:space="0"/>
              <w:right w:val="single" w:color="auto" w:sz="4" w:space="0"/>
            </w:tcBorders>
            <w:shd w:val="clear" w:color="auto" w:fill="auto"/>
            <w:vAlign w:val="center"/>
          </w:tcPr>
          <w:p>
            <w:pPr>
              <w:widowControl/>
              <w:jc w:val="left"/>
              <w:rPr>
                <w:rFonts w:ascii="宋体" w:hAnsi="宋体"/>
                <w:color w:val="000000"/>
                <w:kern w:val="0"/>
                <w:szCs w:val="21"/>
              </w:rPr>
            </w:pPr>
            <w:r>
              <w:rPr>
                <w:rFonts w:hint="eastAsia" w:ascii="宋体" w:hAnsi="宋体" w:cs="宋体"/>
                <w:color w:val="000000"/>
                <w:kern w:val="0"/>
                <w:szCs w:val="21"/>
              </w:rPr>
              <w:t>7、支持点对多点的动态接入方式。采用动态跳频和协议对码的方式，无线麦克风可接入到任何一个具有接收模块的设备中。</w:t>
            </w:r>
          </w:p>
        </w:tc>
        <w:tc>
          <w:tcPr>
            <w:tcW w:w="1080" w:type="dxa"/>
            <w:vMerge w:val="continue"/>
            <w:tcBorders>
              <w:top w:val="nil"/>
              <w:left w:val="single" w:color="auto" w:sz="4" w:space="0"/>
              <w:bottom w:val="single" w:color="000000" w:sz="8" w:space="0"/>
              <w:right w:val="single" w:color="auto" w:sz="8" w:space="0"/>
            </w:tcBorders>
            <w:vAlign w:val="center"/>
          </w:tcPr>
          <w:p>
            <w:pPr>
              <w:widowControl/>
              <w:jc w:val="left"/>
              <w:rPr>
                <w:rFonts w:ascii="宋体" w:hAnsi="宋体"/>
                <w:color w:val="FF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auto" w:sz="4" w:space="0"/>
              <w:right w:val="single" w:color="auto" w:sz="8" w:space="0"/>
            </w:tcBorders>
            <w:vAlign w:val="center"/>
          </w:tcPr>
          <w:p>
            <w:pPr>
              <w:widowControl/>
              <w:jc w:val="left"/>
              <w:rPr>
                <w:rFonts w:ascii="宋体" w:hAnsi="宋体"/>
                <w:color w:val="000000"/>
                <w:kern w:val="0"/>
                <w:szCs w:val="21"/>
              </w:rPr>
            </w:pPr>
          </w:p>
        </w:tc>
        <w:tc>
          <w:tcPr>
            <w:tcW w:w="10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b/>
                <w:bCs/>
                <w:color w:val="000000"/>
                <w:kern w:val="0"/>
                <w:szCs w:val="21"/>
              </w:rPr>
            </w:pPr>
          </w:p>
        </w:tc>
        <w:tc>
          <w:tcPr>
            <w:tcW w:w="5120" w:type="dxa"/>
            <w:tcBorders>
              <w:left w:val="single" w:color="auto" w:sz="4" w:space="0"/>
              <w:bottom w:val="single" w:color="auto" w:sz="4" w:space="0"/>
              <w:right w:val="single" w:color="auto" w:sz="4" w:space="0"/>
            </w:tcBorders>
            <w:shd w:val="clear" w:color="auto" w:fill="auto"/>
            <w:vAlign w:val="center"/>
          </w:tcPr>
          <w:p>
            <w:pPr>
              <w:widowControl/>
              <w:rPr>
                <w:rFonts w:ascii="宋体" w:hAnsi="宋体"/>
                <w:color w:val="000000"/>
                <w:kern w:val="0"/>
                <w:szCs w:val="21"/>
              </w:rPr>
            </w:pPr>
            <w:r>
              <w:rPr>
                <w:rFonts w:hint="eastAsia" w:ascii="宋体" w:hAnsi="宋体" w:cs="宋体"/>
                <w:color w:val="000000"/>
                <w:kern w:val="0"/>
                <w:szCs w:val="21"/>
              </w:rPr>
              <w:t>8、无线话筒可与智能教学一体机无缝兼容。</w:t>
            </w:r>
          </w:p>
        </w:tc>
        <w:tc>
          <w:tcPr>
            <w:tcW w:w="1080" w:type="dxa"/>
            <w:vMerge w:val="continue"/>
            <w:tcBorders>
              <w:top w:val="nil"/>
              <w:left w:val="single" w:color="auto" w:sz="4" w:space="0"/>
              <w:bottom w:val="single" w:color="auto" w:sz="4" w:space="0"/>
              <w:right w:val="single" w:color="auto" w:sz="8" w:space="0"/>
            </w:tcBorders>
            <w:vAlign w:val="center"/>
          </w:tcPr>
          <w:p>
            <w:pPr>
              <w:widowControl/>
              <w:jc w:val="left"/>
              <w:rPr>
                <w:rFonts w:ascii="宋体" w:hAnsi="宋体"/>
                <w:color w:val="FF0000"/>
                <w:kern w:val="0"/>
                <w:szCs w:val="21"/>
              </w:rPr>
            </w:pPr>
          </w:p>
        </w:tc>
        <w:tc>
          <w:tcPr>
            <w:tcW w:w="1080" w:type="dxa"/>
            <w:vMerge w:val="continue"/>
            <w:tcBorders>
              <w:top w:val="nil"/>
              <w:left w:val="single" w:color="auto" w:sz="8" w:space="0"/>
              <w:bottom w:val="single" w:color="auto" w:sz="4" w:space="0"/>
              <w:right w:val="single" w:color="auto" w:sz="8" w:space="0"/>
            </w:tcBorders>
            <w:vAlign w:val="center"/>
          </w:tcPr>
          <w:p>
            <w:pPr>
              <w:widowControl/>
              <w:jc w:val="left"/>
              <w:rPr>
                <w:rFonts w:ascii="宋体" w:hAnsi="宋体"/>
                <w:color w:val="000000"/>
                <w:kern w:val="0"/>
                <w:szCs w:val="21"/>
              </w:rPr>
            </w:pPr>
          </w:p>
        </w:tc>
      </w:tr>
      <w:tr>
        <w:tblPrEx>
          <w:tblLayout w:type="fixed"/>
          <w:tblCellMar>
            <w:top w:w="0" w:type="dxa"/>
            <w:left w:w="108" w:type="dxa"/>
            <w:bottom w:w="0" w:type="dxa"/>
            <w:right w:w="108" w:type="dxa"/>
          </w:tblCellMar>
        </w:tblPrEx>
        <w:trPr>
          <w:trHeight w:val="300" w:hRule="atLeast"/>
        </w:trPr>
        <w:tc>
          <w:tcPr>
            <w:tcW w:w="1080"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6</w:t>
            </w:r>
          </w:p>
        </w:tc>
        <w:tc>
          <w:tcPr>
            <w:tcW w:w="108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b/>
                <w:bCs/>
                <w:color w:val="000000"/>
                <w:kern w:val="0"/>
                <w:szCs w:val="21"/>
              </w:rPr>
            </w:pPr>
            <w:r>
              <w:rPr>
                <w:rFonts w:hint="eastAsia" w:ascii="宋体" w:hAnsi="宋体" w:cs="宋体"/>
                <w:b/>
                <w:bCs/>
                <w:color w:val="000000"/>
                <w:kern w:val="0"/>
                <w:szCs w:val="21"/>
              </w:rPr>
              <w:t>壁挂音箱</w:t>
            </w:r>
          </w:p>
        </w:tc>
        <w:tc>
          <w:tcPr>
            <w:tcW w:w="5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r>
              <w:rPr>
                <w:rFonts w:hint="eastAsia" w:ascii="宋体" w:hAnsi="宋体" w:cs="宋体"/>
                <w:color w:val="000000"/>
                <w:kern w:val="0"/>
                <w:szCs w:val="21"/>
              </w:rPr>
              <w:t>最大功率：60W；额定功率：40W；灵敏度：88dB；频率范围：70Hz-20KHz；额定阻抗：1KΩ/500Ω/250Ω/8Ω（定阻）；材料：ABS；</w:t>
            </w:r>
          </w:p>
        </w:tc>
        <w:tc>
          <w:tcPr>
            <w:tcW w:w="1080"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s="宋体"/>
                <w:color w:val="000000"/>
                <w:kern w:val="0"/>
                <w:szCs w:val="21"/>
              </w:rPr>
              <w:t>2</w:t>
            </w:r>
          </w:p>
        </w:tc>
        <w:tc>
          <w:tcPr>
            <w:tcW w:w="108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hint="eastAsia" w:ascii="宋体" w:hAnsi="宋体" w:cs="宋体"/>
                <w:color w:val="000000"/>
                <w:kern w:val="0"/>
                <w:szCs w:val="21"/>
              </w:rPr>
              <w:t>对</w:t>
            </w:r>
          </w:p>
        </w:tc>
      </w:tr>
      <w:tr>
        <w:tblPrEx>
          <w:tblLayout w:type="fixed"/>
          <w:tblCellMar>
            <w:top w:w="0" w:type="dxa"/>
            <w:left w:w="108" w:type="dxa"/>
            <w:bottom w:w="0" w:type="dxa"/>
            <w:right w:w="108" w:type="dxa"/>
          </w:tblCellMar>
        </w:tblPrEx>
        <w:trPr>
          <w:trHeight w:val="585" w:hRule="atLeast"/>
        </w:trPr>
        <w:tc>
          <w:tcPr>
            <w:tcW w:w="1080"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7</w:t>
            </w:r>
          </w:p>
        </w:tc>
        <w:tc>
          <w:tcPr>
            <w:tcW w:w="1080"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宋体" w:hAnsi="宋体"/>
                <w:b/>
                <w:bCs/>
                <w:color w:val="000000"/>
                <w:kern w:val="0"/>
                <w:szCs w:val="21"/>
              </w:rPr>
            </w:pPr>
            <w:r>
              <w:rPr>
                <w:rFonts w:hint="eastAsia" w:ascii="宋体" w:hAnsi="宋体" w:cs="宋体"/>
                <w:b/>
                <w:bCs/>
                <w:color w:val="000000"/>
                <w:kern w:val="0"/>
                <w:szCs w:val="21"/>
              </w:rPr>
              <w:t>辅材辅料</w:t>
            </w:r>
          </w:p>
        </w:tc>
        <w:tc>
          <w:tcPr>
            <w:tcW w:w="5120" w:type="dxa"/>
            <w:tcBorders>
              <w:top w:val="single" w:color="auto" w:sz="4" w:space="0"/>
              <w:left w:val="nil"/>
              <w:bottom w:val="single" w:color="auto" w:sz="8" w:space="0"/>
              <w:right w:val="single" w:color="auto" w:sz="8" w:space="0"/>
            </w:tcBorders>
            <w:shd w:val="clear" w:color="auto" w:fill="auto"/>
            <w:vAlign w:val="center"/>
          </w:tcPr>
          <w:p>
            <w:pPr>
              <w:widowControl/>
              <w:jc w:val="left"/>
              <w:rPr>
                <w:rFonts w:ascii="宋体" w:hAnsi="宋体"/>
                <w:color w:val="000000"/>
                <w:kern w:val="0"/>
                <w:szCs w:val="21"/>
              </w:rPr>
            </w:pPr>
            <w:r>
              <w:rPr>
                <w:rFonts w:hint="eastAsia" w:ascii="宋体" w:hAnsi="宋体" w:cs="宋体"/>
                <w:color w:val="000000"/>
                <w:kern w:val="0"/>
                <w:szCs w:val="21"/>
              </w:rPr>
              <w:t>含类辅材配件，弱电布线施工、调试、软件安装。</w:t>
            </w:r>
          </w:p>
        </w:tc>
        <w:tc>
          <w:tcPr>
            <w:tcW w:w="1080"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s="宋体"/>
                <w:color w:val="000000"/>
                <w:kern w:val="0"/>
                <w:szCs w:val="21"/>
              </w:rPr>
              <w:t>1</w:t>
            </w:r>
          </w:p>
        </w:tc>
        <w:tc>
          <w:tcPr>
            <w:tcW w:w="1080"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s="宋体"/>
                <w:color w:val="000000"/>
                <w:kern w:val="0"/>
                <w:szCs w:val="21"/>
              </w:rPr>
              <w:t>批</w:t>
            </w:r>
          </w:p>
        </w:tc>
      </w:tr>
    </w:tbl>
    <w:p>
      <w:pPr>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rPr>
          <w:sz w:val="28"/>
          <w:szCs w:val="28"/>
        </w:rPr>
      </w:pPr>
      <w:r>
        <w:rPr>
          <w:rFonts w:hint="eastAsia"/>
          <w:sz w:val="28"/>
          <w:szCs w:val="28"/>
        </w:rPr>
        <w:t>（四）采购标的需执行的国家相关标准：</w:t>
      </w:r>
    </w:p>
    <w:p>
      <w:pPr>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rPr>
          <w:sz w:val="28"/>
          <w:szCs w:val="28"/>
        </w:rPr>
      </w:pPr>
      <w:r>
        <w:rPr>
          <w:rFonts w:hint="eastAsia"/>
          <w:sz w:val="28"/>
          <w:szCs w:val="28"/>
          <w:lang w:val="en-US" w:eastAsia="zh-CN"/>
        </w:rPr>
        <w:t xml:space="preserve">    </w:t>
      </w:r>
      <w:r>
        <w:rPr>
          <w:rFonts w:hint="eastAsia"/>
          <w:sz w:val="28"/>
          <w:szCs w:val="28"/>
        </w:rPr>
        <w:t>符合以下各项技术标准：</w:t>
      </w:r>
    </w:p>
    <w:p>
      <w:pPr>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rPr>
          <w:sz w:val="28"/>
          <w:szCs w:val="28"/>
        </w:rPr>
      </w:pPr>
      <w:r>
        <w:rPr>
          <w:rFonts w:hint="eastAsia"/>
          <w:sz w:val="28"/>
          <w:szCs w:val="28"/>
          <w:lang w:val="en-US" w:eastAsia="zh-CN"/>
        </w:rPr>
        <w:t xml:space="preserve">    </w:t>
      </w:r>
      <w:r>
        <w:rPr>
          <w:sz w:val="28"/>
          <w:szCs w:val="28"/>
        </w:rPr>
        <w:t>SJ/T11141-</w:t>
      </w:r>
      <w:r>
        <w:rPr>
          <w:rFonts w:hint="eastAsia"/>
          <w:sz w:val="28"/>
          <w:szCs w:val="28"/>
        </w:rPr>
        <w:t>《</w:t>
      </w:r>
      <w:r>
        <w:rPr>
          <w:sz w:val="28"/>
          <w:szCs w:val="28"/>
        </w:rPr>
        <w:t>LED</w:t>
      </w:r>
      <w:r>
        <w:rPr>
          <w:rFonts w:hint="eastAsia"/>
          <w:sz w:val="28"/>
          <w:szCs w:val="28"/>
        </w:rPr>
        <w:t>显示屏通用规范》；</w:t>
      </w:r>
    </w:p>
    <w:p>
      <w:pPr>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rPr>
          <w:sz w:val="28"/>
          <w:szCs w:val="28"/>
        </w:rPr>
      </w:pPr>
      <w:bookmarkStart w:id="154" w:name="_Toc302721768"/>
      <w:bookmarkStart w:id="155" w:name="_Toc388877659"/>
      <w:r>
        <w:rPr>
          <w:rFonts w:hint="eastAsia"/>
          <w:sz w:val="28"/>
          <w:szCs w:val="28"/>
          <w:lang w:val="en-US" w:eastAsia="zh-CN"/>
        </w:rPr>
        <w:t xml:space="preserve">    </w:t>
      </w:r>
      <w:r>
        <w:rPr>
          <w:rFonts w:hint="eastAsia"/>
          <w:sz w:val="28"/>
          <w:szCs w:val="28"/>
        </w:rPr>
        <w:t>系统工作边界条件</w:t>
      </w:r>
      <w:bookmarkEnd w:id="154"/>
      <w:bookmarkEnd w:id="155"/>
    </w:p>
    <w:p>
      <w:pPr>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rPr>
          <w:sz w:val="28"/>
          <w:szCs w:val="28"/>
        </w:rPr>
      </w:pPr>
      <w:r>
        <w:rPr>
          <w:rFonts w:hint="eastAsia"/>
          <w:sz w:val="28"/>
          <w:szCs w:val="28"/>
          <w:lang w:val="en-US" w:eastAsia="zh-CN"/>
        </w:rPr>
        <w:t xml:space="preserve">    </w:t>
      </w:r>
      <w:r>
        <w:rPr>
          <w:rFonts w:hint="eastAsia"/>
          <w:sz w:val="28"/>
          <w:szCs w:val="28"/>
        </w:rPr>
        <w:t>依据成都市气候条件和室内使用环境条件，达到正常工作要求。</w:t>
      </w:r>
    </w:p>
    <w:p>
      <w:pPr>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rPr>
          <w:sz w:val="28"/>
          <w:szCs w:val="28"/>
        </w:rPr>
      </w:pPr>
      <w:r>
        <w:rPr>
          <w:rFonts w:hint="eastAsia"/>
          <w:sz w:val="28"/>
          <w:szCs w:val="28"/>
          <w:lang w:val="en-US" w:eastAsia="zh-CN"/>
        </w:rPr>
        <w:t xml:space="preserve">    </w:t>
      </w:r>
      <w:r>
        <w:rPr>
          <w:rFonts w:hint="eastAsia"/>
          <w:sz w:val="28"/>
          <w:szCs w:val="28"/>
        </w:rPr>
        <w:t>GB50300—2001《建筑工程施工质量验收统一标准》；</w:t>
      </w:r>
    </w:p>
    <w:p>
      <w:pPr>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rPr>
          <w:sz w:val="28"/>
          <w:szCs w:val="28"/>
        </w:rPr>
      </w:pPr>
      <w:r>
        <w:rPr>
          <w:rFonts w:hint="eastAsia"/>
          <w:sz w:val="28"/>
          <w:szCs w:val="28"/>
          <w:lang w:val="en-US" w:eastAsia="zh-CN"/>
        </w:rPr>
        <w:t xml:space="preserve">    </w:t>
      </w:r>
      <w:r>
        <w:rPr>
          <w:rFonts w:hint="eastAsia"/>
          <w:sz w:val="28"/>
          <w:szCs w:val="28"/>
        </w:rPr>
        <w:t>GB50202—2002《建筑地基基础工程施工质量验收规范》；</w:t>
      </w:r>
    </w:p>
    <w:p>
      <w:pPr>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rPr>
          <w:sz w:val="28"/>
          <w:szCs w:val="28"/>
        </w:rPr>
      </w:pPr>
      <w:r>
        <w:rPr>
          <w:rFonts w:hint="eastAsia"/>
          <w:sz w:val="28"/>
          <w:szCs w:val="28"/>
          <w:lang w:val="en-US" w:eastAsia="zh-CN"/>
        </w:rPr>
        <w:t xml:space="preserve">    </w:t>
      </w:r>
      <w:r>
        <w:rPr>
          <w:rFonts w:hint="eastAsia"/>
          <w:sz w:val="28"/>
          <w:szCs w:val="28"/>
        </w:rPr>
        <w:t>GB50205—2001《钢结构工程施工质量验收规范》；</w:t>
      </w:r>
    </w:p>
    <w:p>
      <w:pPr>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rPr>
          <w:sz w:val="28"/>
          <w:szCs w:val="28"/>
        </w:rPr>
      </w:pPr>
      <w:r>
        <w:rPr>
          <w:rFonts w:hint="eastAsia"/>
          <w:sz w:val="28"/>
          <w:szCs w:val="28"/>
          <w:lang w:val="en-US" w:eastAsia="zh-CN"/>
        </w:rPr>
        <w:t xml:space="preserve">    </w:t>
      </w:r>
      <w:r>
        <w:rPr>
          <w:rFonts w:hint="eastAsia"/>
          <w:sz w:val="28"/>
          <w:szCs w:val="28"/>
        </w:rPr>
        <w:t>GBJ81—91《建筑钢结构焊接规程》；</w:t>
      </w:r>
    </w:p>
    <w:p>
      <w:pPr>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rPr>
          <w:sz w:val="28"/>
          <w:szCs w:val="28"/>
        </w:rPr>
      </w:pPr>
      <w:r>
        <w:rPr>
          <w:rFonts w:hint="eastAsia"/>
          <w:sz w:val="28"/>
          <w:szCs w:val="28"/>
          <w:lang w:val="en-US" w:eastAsia="zh-CN"/>
        </w:rPr>
        <w:t xml:space="preserve">    </w:t>
      </w:r>
      <w:r>
        <w:rPr>
          <w:rFonts w:hint="eastAsia"/>
          <w:sz w:val="28"/>
          <w:szCs w:val="28"/>
        </w:rPr>
        <w:t>电子白板多媒体功能，符合教育局的标准。</w:t>
      </w:r>
    </w:p>
    <w:p>
      <w:pPr>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rPr>
          <w:sz w:val="28"/>
          <w:szCs w:val="28"/>
        </w:rPr>
      </w:pPr>
      <w:r>
        <w:rPr>
          <w:rFonts w:hint="eastAsia"/>
          <w:sz w:val="28"/>
          <w:szCs w:val="28"/>
        </w:rPr>
        <w:t>（五）附件及零配件（包括专用工具）、备品备件的要求：</w:t>
      </w:r>
    </w:p>
    <w:p>
      <w:pPr>
        <w:pageBreakBefore w:val="0"/>
        <w:widowControl w:val="0"/>
        <w:tabs>
          <w:tab w:val="left" w:pos="3969"/>
        </w:tabs>
        <w:kinsoku/>
        <w:wordWrap/>
        <w:overflowPunct/>
        <w:topLinePunct w:val="0"/>
        <w:autoSpaceDE/>
        <w:autoSpaceDN/>
        <w:bidi w:val="0"/>
        <w:adjustRightInd/>
        <w:snapToGrid/>
        <w:spacing w:line="480" w:lineRule="exact"/>
        <w:ind w:left="0" w:leftChars="0" w:right="-58" w:firstLine="708" w:firstLineChars="253"/>
        <w:jc w:val="both"/>
        <w:textAlignment w:val="auto"/>
        <w:rPr>
          <w:rFonts w:hint="eastAsia" w:eastAsia="宋体"/>
          <w:lang w:val="en-US" w:eastAsia="zh-CN"/>
        </w:rPr>
      </w:pPr>
      <w:r>
        <w:rPr>
          <w:rFonts w:hint="eastAsia"/>
          <w:sz w:val="28"/>
          <w:szCs w:val="28"/>
        </w:rPr>
        <w:t>相应的附件和零配件，要符合相关的法律法规标准要求，安全性能的要求。</w:t>
      </w:r>
    </w:p>
    <w:p>
      <w:pPr>
        <w:keepNext w:val="0"/>
        <w:keepLines w:val="0"/>
        <w:pageBreakBefore w:val="0"/>
        <w:widowControl w:val="0"/>
        <w:kinsoku/>
        <w:wordWrap/>
        <w:overflowPunct/>
        <w:topLinePunct w:val="0"/>
        <w:autoSpaceDE/>
        <w:autoSpaceDN/>
        <w:bidi w:val="0"/>
        <w:adjustRightInd/>
        <w:snapToGrid/>
        <w:spacing w:line="480" w:lineRule="exact"/>
        <w:ind w:left="0" w:leftChars="0"/>
        <w:jc w:val="both"/>
        <w:textAlignment w:val="auto"/>
        <w:outlineLvl w:val="9"/>
        <w:rPr>
          <w:rFonts w:hint="eastAsia" w:ascii="宋体" w:hAnsi="宋体" w:eastAsia="宋体" w:cs="宋体"/>
          <w:b/>
          <w:bCs/>
          <w:sz w:val="30"/>
          <w:szCs w:val="30"/>
        </w:rPr>
      </w:pPr>
      <w:r>
        <w:rPr>
          <w:rFonts w:hint="eastAsia" w:ascii="宋体" w:hAnsi="宋体" w:cs="宋体"/>
          <w:b/>
          <w:bCs/>
          <w:sz w:val="30"/>
          <w:szCs w:val="30"/>
          <w:lang w:eastAsia="zh-CN"/>
        </w:rPr>
        <w:t>三</w:t>
      </w:r>
      <w:r>
        <w:rPr>
          <w:rFonts w:hint="eastAsia" w:ascii="宋体" w:hAnsi="宋体" w:eastAsia="宋体" w:cs="宋体"/>
          <w:b/>
          <w:bCs/>
          <w:sz w:val="30"/>
          <w:szCs w:val="30"/>
        </w:rPr>
        <w:t>、商务要求（指取得采购标的的时间、地点、财务和服务要求）</w:t>
      </w:r>
    </w:p>
    <w:p>
      <w:pPr>
        <w:keepNext w:val="0"/>
        <w:keepLines w:val="0"/>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outlineLvl w:val="9"/>
        <w:rPr>
          <w:rFonts w:hint="eastAsia"/>
          <w:sz w:val="28"/>
          <w:szCs w:val="28"/>
        </w:rPr>
      </w:pPr>
      <w:r>
        <w:rPr>
          <w:rFonts w:hint="eastAsia"/>
          <w:sz w:val="28"/>
          <w:szCs w:val="28"/>
        </w:rPr>
        <w:t>（一）包装、运输及保管、保险:确保包装完整，安全，运输过程与保管安全，完整无损。</w:t>
      </w:r>
    </w:p>
    <w:p>
      <w:pPr>
        <w:keepNext w:val="0"/>
        <w:keepLines w:val="0"/>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outlineLvl w:val="9"/>
        <w:rPr>
          <w:rFonts w:hint="eastAsia"/>
          <w:sz w:val="28"/>
          <w:szCs w:val="28"/>
        </w:rPr>
      </w:pPr>
      <w:r>
        <w:rPr>
          <w:rFonts w:hint="eastAsia"/>
          <w:sz w:val="28"/>
          <w:szCs w:val="28"/>
        </w:rPr>
        <w:t>（二）质量保证与安装调试</w:t>
      </w:r>
    </w:p>
    <w:p>
      <w:pPr>
        <w:keepNext w:val="0"/>
        <w:keepLines w:val="0"/>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outlineLvl w:val="9"/>
        <w:rPr>
          <w:rFonts w:hint="eastAsia"/>
          <w:sz w:val="28"/>
          <w:szCs w:val="28"/>
        </w:rPr>
      </w:pPr>
      <w:r>
        <w:rPr>
          <w:rFonts w:hint="eastAsia"/>
          <w:sz w:val="28"/>
          <w:szCs w:val="28"/>
          <w:lang w:val="en-US" w:eastAsia="zh-CN"/>
        </w:rPr>
        <w:t xml:space="preserve">   </w:t>
      </w:r>
      <w:r>
        <w:rPr>
          <w:rFonts w:hint="eastAsia"/>
          <w:sz w:val="28"/>
          <w:szCs w:val="28"/>
        </w:rPr>
        <w:t xml:space="preserve">1)质量保证承诺: </w:t>
      </w:r>
    </w:p>
    <w:p>
      <w:pPr>
        <w:keepNext w:val="0"/>
        <w:keepLines w:val="0"/>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outlineLvl w:val="9"/>
        <w:rPr>
          <w:rFonts w:hint="eastAsia"/>
          <w:sz w:val="28"/>
          <w:szCs w:val="28"/>
        </w:rPr>
      </w:pPr>
      <w:r>
        <w:rPr>
          <w:rFonts w:hint="eastAsia"/>
          <w:sz w:val="28"/>
          <w:szCs w:val="28"/>
          <w:lang w:val="en-US" w:eastAsia="zh-CN"/>
        </w:rPr>
        <w:t xml:space="preserve">    </w:t>
      </w:r>
      <w:r>
        <w:rPr>
          <w:rFonts w:hint="eastAsia"/>
          <w:sz w:val="28"/>
          <w:szCs w:val="28"/>
        </w:rPr>
        <w:t>1、质量保修期为3年，终身维护和技术咨询服务，经验收合格算起。</w:t>
      </w:r>
    </w:p>
    <w:p>
      <w:pPr>
        <w:keepNext w:val="0"/>
        <w:keepLines w:val="0"/>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outlineLvl w:val="9"/>
        <w:rPr>
          <w:rFonts w:hint="eastAsia"/>
          <w:sz w:val="28"/>
          <w:szCs w:val="28"/>
        </w:rPr>
      </w:pPr>
      <w:r>
        <w:rPr>
          <w:rFonts w:hint="eastAsia"/>
          <w:sz w:val="28"/>
          <w:szCs w:val="28"/>
          <w:lang w:val="en-US" w:eastAsia="zh-CN"/>
        </w:rPr>
        <w:t xml:space="preserve">    </w:t>
      </w:r>
      <w:r>
        <w:rPr>
          <w:rFonts w:hint="eastAsia"/>
          <w:sz w:val="28"/>
          <w:szCs w:val="28"/>
        </w:rPr>
        <w:t>2、成立专项小组，定期对系统进行维护，检修。</w:t>
      </w:r>
    </w:p>
    <w:p>
      <w:pPr>
        <w:keepNext w:val="0"/>
        <w:keepLines w:val="0"/>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outlineLvl w:val="9"/>
        <w:rPr>
          <w:rFonts w:hint="eastAsia"/>
          <w:sz w:val="28"/>
          <w:szCs w:val="28"/>
        </w:rPr>
      </w:pPr>
      <w:r>
        <w:rPr>
          <w:rFonts w:hint="eastAsia"/>
          <w:sz w:val="28"/>
          <w:szCs w:val="28"/>
          <w:lang w:val="en-US" w:eastAsia="zh-CN"/>
        </w:rPr>
        <w:t xml:space="preserve">    3</w:t>
      </w:r>
      <w:r>
        <w:rPr>
          <w:rFonts w:hint="eastAsia"/>
          <w:sz w:val="28"/>
          <w:szCs w:val="28"/>
        </w:rPr>
        <w:t>、免费提供1人、2天以上的技术培训，直至使用者能熟练的独立操作。</w:t>
      </w:r>
    </w:p>
    <w:p>
      <w:pPr>
        <w:keepNext w:val="0"/>
        <w:keepLines w:val="0"/>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outlineLvl w:val="9"/>
        <w:rPr>
          <w:rFonts w:hint="eastAsia"/>
          <w:sz w:val="28"/>
          <w:szCs w:val="28"/>
        </w:rPr>
      </w:pPr>
      <w:r>
        <w:rPr>
          <w:rFonts w:hint="eastAsia"/>
          <w:sz w:val="28"/>
          <w:szCs w:val="28"/>
          <w:lang w:val="en-US" w:eastAsia="zh-CN"/>
        </w:rPr>
        <w:t xml:space="preserve">    </w:t>
      </w:r>
      <w:r>
        <w:rPr>
          <w:rFonts w:hint="eastAsia"/>
          <w:sz w:val="28"/>
          <w:szCs w:val="28"/>
        </w:rPr>
        <w:t>2)安装完成，进行72小时调试，确保设备的正常使用。</w:t>
      </w:r>
    </w:p>
    <w:p>
      <w:pPr>
        <w:keepNext w:val="0"/>
        <w:keepLines w:val="0"/>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outlineLvl w:val="9"/>
        <w:rPr>
          <w:rFonts w:hint="eastAsia"/>
          <w:sz w:val="28"/>
          <w:szCs w:val="28"/>
        </w:rPr>
      </w:pPr>
      <w:r>
        <w:rPr>
          <w:rFonts w:hint="eastAsia"/>
          <w:sz w:val="28"/>
          <w:szCs w:val="28"/>
        </w:rPr>
        <w:t>（三）与采购标的有关的服务要求，包括但不限于售后服务、技术服务（含培训）等</w:t>
      </w:r>
    </w:p>
    <w:p>
      <w:pPr>
        <w:keepNext w:val="0"/>
        <w:keepLines w:val="0"/>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outlineLvl w:val="9"/>
        <w:rPr>
          <w:rFonts w:hint="eastAsia"/>
          <w:sz w:val="28"/>
          <w:szCs w:val="28"/>
        </w:rPr>
      </w:pPr>
      <w:r>
        <w:rPr>
          <w:rFonts w:hint="eastAsia"/>
          <w:sz w:val="28"/>
          <w:szCs w:val="28"/>
          <w:lang w:val="en-US" w:eastAsia="zh-CN"/>
        </w:rPr>
        <w:t xml:space="preserve">    </w:t>
      </w:r>
      <w:r>
        <w:rPr>
          <w:rFonts w:hint="eastAsia"/>
          <w:sz w:val="28"/>
          <w:szCs w:val="28"/>
        </w:rPr>
        <w:t>1) 投标人对该项目的所有设备及附属设备提供终身技术支持服务。</w:t>
      </w:r>
    </w:p>
    <w:p>
      <w:pPr>
        <w:keepNext w:val="0"/>
        <w:keepLines w:val="0"/>
        <w:pageBreakBefore w:val="0"/>
        <w:widowControl w:val="0"/>
        <w:tabs>
          <w:tab w:val="left" w:pos="3969"/>
        </w:tabs>
        <w:kinsoku/>
        <w:wordWrap/>
        <w:overflowPunct/>
        <w:topLinePunct w:val="0"/>
        <w:autoSpaceDE/>
        <w:autoSpaceDN/>
        <w:bidi w:val="0"/>
        <w:adjustRightInd/>
        <w:snapToGrid/>
        <w:spacing w:line="480" w:lineRule="exact"/>
        <w:ind w:left="0" w:leftChars="0" w:right="-58" w:firstLine="708" w:firstLineChars="253"/>
        <w:jc w:val="both"/>
        <w:textAlignment w:val="auto"/>
        <w:outlineLvl w:val="9"/>
        <w:rPr>
          <w:rFonts w:hint="eastAsia"/>
          <w:sz w:val="28"/>
          <w:szCs w:val="28"/>
        </w:rPr>
      </w:pPr>
      <w:r>
        <w:rPr>
          <w:rFonts w:hint="eastAsia"/>
          <w:sz w:val="28"/>
          <w:szCs w:val="28"/>
        </w:rPr>
        <w:t>A、电话响应及远程调试。</w:t>
      </w:r>
    </w:p>
    <w:p>
      <w:pPr>
        <w:keepNext w:val="0"/>
        <w:keepLines w:val="0"/>
        <w:pageBreakBefore w:val="0"/>
        <w:widowControl w:val="0"/>
        <w:tabs>
          <w:tab w:val="left" w:pos="3969"/>
        </w:tabs>
        <w:kinsoku/>
        <w:wordWrap/>
        <w:overflowPunct/>
        <w:topLinePunct w:val="0"/>
        <w:autoSpaceDE/>
        <w:autoSpaceDN/>
        <w:bidi w:val="0"/>
        <w:adjustRightInd/>
        <w:snapToGrid/>
        <w:spacing w:line="480" w:lineRule="exact"/>
        <w:ind w:left="0" w:leftChars="0" w:right="-58" w:firstLine="708" w:firstLineChars="253"/>
        <w:jc w:val="both"/>
        <w:textAlignment w:val="auto"/>
        <w:outlineLvl w:val="9"/>
        <w:rPr>
          <w:rFonts w:hint="eastAsia"/>
          <w:sz w:val="28"/>
          <w:szCs w:val="28"/>
        </w:rPr>
      </w:pPr>
      <w:r>
        <w:rPr>
          <w:rFonts w:hint="eastAsia"/>
          <w:sz w:val="28"/>
          <w:szCs w:val="28"/>
        </w:rPr>
        <w:t>B、现场服务。</w:t>
      </w:r>
    </w:p>
    <w:p>
      <w:pPr>
        <w:keepNext w:val="0"/>
        <w:keepLines w:val="0"/>
        <w:pageBreakBefore w:val="0"/>
        <w:widowControl w:val="0"/>
        <w:tabs>
          <w:tab w:val="left" w:pos="3969"/>
        </w:tabs>
        <w:kinsoku/>
        <w:wordWrap/>
        <w:overflowPunct/>
        <w:topLinePunct w:val="0"/>
        <w:autoSpaceDE/>
        <w:autoSpaceDN/>
        <w:bidi w:val="0"/>
        <w:adjustRightInd/>
        <w:snapToGrid/>
        <w:spacing w:line="480" w:lineRule="exact"/>
        <w:ind w:left="0" w:leftChars="0" w:right="-58" w:firstLine="708" w:firstLineChars="253"/>
        <w:jc w:val="both"/>
        <w:textAlignment w:val="auto"/>
        <w:outlineLvl w:val="9"/>
        <w:rPr>
          <w:rFonts w:hint="eastAsia"/>
          <w:sz w:val="28"/>
          <w:szCs w:val="28"/>
        </w:rPr>
      </w:pPr>
      <w:r>
        <w:rPr>
          <w:rFonts w:hint="eastAsia"/>
          <w:sz w:val="28"/>
          <w:szCs w:val="28"/>
        </w:rPr>
        <w:t>C、培训服务。</w:t>
      </w:r>
    </w:p>
    <w:p>
      <w:pPr>
        <w:keepNext w:val="0"/>
        <w:keepLines w:val="0"/>
        <w:pageBreakBefore w:val="0"/>
        <w:widowControl w:val="0"/>
        <w:tabs>
          <w:tab w:val="left" w:pos="3969"/>
        </w:tabs>
        <w:kinsoku/>
        <w:wordWrap/>
        <w:overflowPunct/>
        <w:topLinePunct w:val="0"/>
        <w:autoSpaceDE/>
        <w:autoSpaceDN/>
        <w:bidi w:val="0"/>
        <w:adjustRightInd/>
        <w:snapToGrid/>
        <w:spacing w:line="480" w:lineRule="exact"/>
        <w:ind w:left="0" w:leftChars="0" w:right="-58" w:firstLine="708" w:firstLineChars="253"/>
        <w:jc w:val="both"/>
        <w:textAlignment w:val="auto"/>
        <w:outlineLvl w:val="9"/>
        <w:rPr>
          <w:rFonts w:hint="eastAsia"/>
          <w:sz w:val="28"/>
          <w:szCs w:val="28"/>
        </w:rPr>
      </w:pPr>
      <w:r>
        <w:rPr>
          <w:rFonts w:hint="eastAsia"/>
          <w:sz w:val="28"/>
          <w:szCs w:val="28"/>
        </w:rPr>
        <w:t>D、系统调优。</w:t>
      </w:r>
    </w:p>
    <w:p>
      <w:pPr>
        <w:keepNext w:val="0"/>
        <w:keepLines w:val="0"/>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outlineLvl w:val="9"/>
        <w:rPr>
          <w:rFonts w:hint="eastAsia"/>
          <w:sz w:val="28"/>
          <w:szCs w:val="28"/>
        </w:rPr>
      </w:pPr>
      <w:r>
        <w:rPr>
          <w:rFonts w:hint="eastAsia"/>
          <w:sz w:val="28"/>
          <w:szCs w:val="28"/>
          <w:lang w:val="en-US" w:eastAsia="zh-CN"/>
        </w:rPr>
        <w:t xml:space="preserve">    </w:t>
      </w:r>
      <w:r>
        <w:rPr>
          <w:rFonts w:hint="eastAsia"/>
          <w:sz w:val="28"/>
          <w:szCs w:val="28"/>
        </w:rPr>
        <w:t>2)技术支持服务要求</w:t>
      </w:r>
      <w:r>
        <w:rPr>
          <w:rFonts w:hint="eastAsia"/>
          <w:sz w:val="28"/>
          <w:szCs w:val="28"/>
        </w:rPr>
        <w:tab/>
      </w:r>
    </w:p>
    <w:p>
      <w:pPr>
        <w:keepNext w:val="0"/>
        <w:keepLines w:val="0"/>
        <w:pageBreakBefore w:val="0"/>
        <w:widowControl w:val="0"/>
        <w:tabs>
          <w:tab w:val="left" w:pos="3969"/>
        </w:tabs>
        <w:kinsoku/>
        <w:wordWrap/>
        <w:overflowPunct/>
        <w:topLinePunct w:val="0"/>
        <w:autoSpaceDE/>
        <w:autoSpaceDN/>
        <w:bidi w:val="0"/>
        <w:adjustRightInd/>
        <w:snapToGrid/>
        <w:spacing w:line="480" w:lineRule="exact"/>
        <w:ind w:left="0" w:leftChars="0" w:right="-58" w:firstLine="708" w:firstLineChars="253"/>
        <w:jc w:val="both"/>
        <w:textAlignment w:val="auto"/>
        <w:outlineLvl w:val="9"/>
        <w:rPr>
          <w:rFonts w:hint="eastAsia"/>
          <w:sz w:val="28"/>
          <w:szCs w:val="28"/>
        </w:rPr>
      </w:pPr>
      <w:r>
        <w:rPr>
          <w:rFonts w:hint="eastAsia"/>
          <w:sz w:val="28"/>
          <w:szCs w:val="28"/>
        </w:rPr>
        <w:t xml:space="preserve"> 保修期内，在设备出现故障时，接到书面维修通知后,中标供应商承诺在2小时内及时响应，在最短的时间内，单位技术人员到达现场，提供免费服务。严重故障48小时内给予修复，如48小时内无法修复的,保修期内自动更换新产品或免费提供代用产品。</w:t>
      </w:r>
    </w:p>
    <w:p>
      <w:pPr>
        <w:keepNext w:val="0"/>
        <w:keepLines w:val="0"/>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outlineLvl w:val="9"/>
        <w:rPr>
          <w:rFonts w:hint="eastAsia"/>
          <w:sz w:val="28"/>
          <w:szCs w:val="28"/>
        </w:rPr>
      </w:pPr>
      <w:r>
        <w:rPr>
          <w:rFonts w:hint="eastAsia"/>
          <w:sz w:val="28"/>
          <w:szCs w:val="28"/>
        </w:rPr>
        <w:t>（四）采购标的其他技术、服务等要求</w:t>
      </w:r>
    </w:p>
    <w:p>
      <w:pPr>
        <w:keepNext w:val="0"/>
        <w:keepLines w:val="0"/>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outlineLvl w:val="9"/>
        <w:rPr>
          <w:rFonts w:hint="eastAsia"/>
          <w:sz w:val="28"/>
          <w:szCs w:val="28"/>
        </w:rPr>
      </w:pPr>
      <w:r>
        <w:rPr>
          <w:rFonts w:hint="eastAsia"/>
          <w:sz w:val="28"/>
          <w:szCs w:val="28"/>
          <w:lang w:val="en-US" w:eastAsia="zh-CN"/>
        </w:rPr>
        <w:t xml:space="preserve">    </w:t>
      </w:r>
      <w:r>
        <w:rPr>
          <w:rFonts w:hint="eastAsia"/>
          <w:sz w:val="28"/>
          <w:szCs w:val="28"/>
        </w:rPr>
        <w:t>中标供应商对此项目电子显示屏实行终身维护、维修、保养措施。</w:t>
      </w:r>
    </w:p>
    <w:p>
      <w:pPr>
        <w:keepNext w:val="0"/>
        <w:keepLines w:val="0"/>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outlineLvl w:val="9"/>
        <w:rPr>
          <w:rFonts w:hint="eastAsia"/>
          <w:sz w:val="28"/>
          <w:szCs w:val="28"/>
        </w:rPr>
      </w:pPr>
      <w:r>
        <w:rPr>
          <w:rFonts w:hint="eastAsia"/>
          <w:sz w:val="28"/>
          <w:szCs w:val="28"/>
          <w:lang w:val="en-US" w:eastAsia="zh-CN"/>
        </w:rPr>
        <w:t xml:space="preserve">    </w:t>
      </w:r>
      <w:r>
        <w:rPr>
          <w:rFonts w:hint="eastAsia"/>
          <w:sz w:val="28"/>
          <w:szCs w:val="28"/>
        </w:rPr>
        <w:t>提供7*24小时的售后服务:每周7天，每天24小时提供服务。</w:t>
      </w:r>
    </w:p>
    <w:p>
      <w:pPr>
        <w:keepNext w:val="0"/>
        <w:keepLines w:val="0"/>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outlineLvl w:val="9"/>
        <w:rPr>
          <w:rFonts w:hint="eastAsia"/>
          <w:sz w:val="28"/>
          <w:szCs w:val="28"/>
        </w:rPr>
      </w:pPr>
      <w:r>
        <w:rPr>
          <w:rFonts w:hint="eastAsia"/>
          <w:sz w:val="28"/>
          <w:szCs w:val="28"/>
        </w:rPr>
        <w:t>（五）交付（实施）的时间（期限）：合同签订后30日内完成。</w:t>
      </w:r>
    </w:p>
    <w:p>
      <w:pPr>
        <w:keepNext w:val="0"/>
        <w:keepLines w:val="0"/>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outlineLvl w:val="9"/>
        <w:rPr>
          <w:rFonts w:hint="eastAsia"/>
          <w:sz w:val="28"/>
          <w:szCs w:val="28"/>
        </w:rPr>
      </w:pPr>
      <w:r>
        <w:rPr>
          <w:rFonts w:hint="eastAsia"/>
          <w:sz w:val="28"/>
          <w:szCs w:val="28"/>
        </w:rPr>
        <w:t>（六）交付（实施）的地点：成都市武侯实验小学</w:t>
      </w:r>
    </w:p>
    <w:p>
      <w:pPr>
        <w:keepNext w:val="0"/>
        <w:keepLines w:val="0"/>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outlineLvl w:val="9"/>
        <w:rPr>
          <w:rFonts w:hint="eastAsia"/>
          <w:sz w:val="28"/>
          <w:szCs w:val="28"/>
        </w:rPr>
      </w:pPr>
      <w:r>
        <w:rPr>
          <w:rFonts w:hint="eastAsia"/>
          <w:sz w:val="28"/>
          <w:szCs w:val="28"/>
        </w:rPr>
        <w:t>（七）采购资金支付方式、时间、条件：</w:t>
      </w:r>
    </w:p>
    <w:p>
      <w:pPr>
        <w:keepNext w:val="0"/>
        <w:keepLines w:val="0"/>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outlineLvl w:val="9"/>
        <w:rPr>
          <w:rFonts w:hint="eastAsia"/>
          <w:sz w:val="28"/>
          <w:szCs w:val="28"/>
        </w:rPr>
      </w:pPr>
      <w:r>
        <w:rPr>
          <w:rFonts w:hint="eastAsia"/>
          <w:sz w:val="28"/>
          <w:szCs w:val="28"/>
          <w:lang w:val="en-US" w:eastAsia="zh-CN"/>
        </w:rPr>
        <w:t xml:space="preserve">   </w:t>
      </w:r>
      <w:r>
        <w:rPr>
          <w:rFonts w:hint="eastAsia"/>
          <w:sz w:val="28"/>
          <w:szCs w:val="28"/>
        </w:rPr>
        <w:t xml:space="preserve"> 施工完成，经调试，验收完成后，完备所有资料，开具相应发票；校方收到发票后30日内支付采购相应资金，逾期按采购资金的0.3%支付违约金。</w:t>
      </w:r>
    </w:p>
    <w:p>
      <w:pPr>
        <w:keepNext w:val="0"/>
        <w:keepLines w:val="0"/>
        <w:pageBreakBefore w:val="0"/>
        <w:widowControl w:val="0"/>
        <w:tabs>
          <w:tab w:val="left" w:pos="3969"/>
        </w:tabs>
        <w:kinsoku/>
        <w:wordWrap/>
        <w:overflowPunct/>
        <w:topLinePunct w:val="0"/>
        <w:autoSpaceDE/>
        <w:autoSpaceDN/>
        <w:bidi w:val="0"/>
        <w:adjustRightInd/>
        <w:snapToGrid/>
        <w:spacing w:line="480" w:lineRule="exact"/>
        <w:ind w:left="0" w:leftChars="0" w:right="-58"/>
        <w:jc w:val="both"/>
        <w:textAlignment w:val="auto"/>
        <w:outlineLvl w:val="9"/>
        <w:rPr>
          <w:rFonts w:hint="eastAsia"/>
          <w:sz w:val="28"/>
          <w:szCs w:val="28"/>
        </w:rPr>
      </w:pPr>
      <w:r>
        <w:rPr>
          <w:rFonts w:hint="eastAsia"/>
          <w:sz w:val="28"/>
          <w:szCs w:val="28"/>
        </w:rPr>
        <w:t>（八）履约验收的标准、时间、方式</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150"/>
        <w:jc w:val="both"/>
        <w:textAlignment w:val="auto"/>
        <w:rPr>
          <w:rFonts w:hint="eastAsia" w:ascii="Calibri" w:hAnsi="Calibri" w:eastAsia="宋体" w:cs="Times New Roman"/>
          <w:kern w:val="2"/>
          <w:sz w:val="28"/>
          <w:szCs w:val="28"/>
          <w:lang w:val="en-US" w:eastAsia="zh-CN" w:bidi="ar-SA"/>
        </w:rPr>
      </w:pPr>
      <w:r>
        <w:rPr>
          <w:rFonts w:hint="eastAsia"/>
          <w:sz w:val="28"/>
          <w:szCs w:val="28"/>
          <w:lang w:val="en-US" w:eastAsia="zh-CN"/>
        </w:rPr>
        <w:t xml:space="preserve">  </w:t>
      </w:r>
      <w:r>
        <w:rPr>
          <w:rFonts w:hint="eastAsia" w:ascii="Calibri" w:hAnsi="Calibri" w:eastAsia="宋体" w:cs="Times New Roman"/>
          <w:kern w:val="2"/>
          <w:sz w:val="28"/>
          <w:szCs w:val="28"/>
          <w:lang w:val="en-US" w:eastAsia="zh-CN" w:bidi="ar-SA"/>
        </w:rPr>
        <w:t>验收的标准: 按国家有关规定以及</w:t>
      </w:r>
      <w:r>
        <w:rPr>
          <w:rFonts w:hint="eastAsia" w:cs="Times New Roman"/>
          <w:kern w:val="2"/>
          <w:sz w:val="28"/>
          <w:szCs w:val="28"/>
          <w:lang w:val="en-US" w:eastAsia="zh-CN" w:bidi="ar-SA"/>
        </w:rPr>
        <w:t>招标</w:t>
      </w:r>
      <w:r>
        <w:rPr>
          <w:rFonts w:hint="eastAsia" w:ascii="Calibri" w:hAnsi="Calibri" w:eastAsia="宋体" w:cs="Times New Roman"/>
          <w:kern w:val="2"/>
          <w:sz w:val="28"/>
          <w:szCs w:val="28"/>
          <w:lang w:val="en-US" w:eastAsia="zh-CN" w:bidi="ar-SA"/>
        </w:rPr>
        <w:t>文件的质量要求和技术指标、中标</w:t>
      </w:r>
      <w:r>
        <w:rPr>
          <w:rFonts w:hint="eastAsia" w:cs="Times New Roman"/>
          <w:kern w:val="2"/>
          <w:sz w:val="28"/>
          <w:szCs w:val="28"/>
          <w:lang w:val="en-US" w:eastAsia="zh-CN" w:bidi="ar-SA"/>
        </w:rPr>
        <w:t>供应商</w:t>
      </w:r>
      <w:r>
        <w:rPr>
          <w:rFonts w:hint="eastAsia" w:ascii="Calibri" w:hAnsi="Calibri" w:eastAsia="宋体" w:cs="Times New Roman"/>
          <w:kern w:val="2"/>
          <w:sz w:val="28"/>
          <w:szCs w:val="28"/>
          <w:lang w:val="en-US" w:eastAsia="zh-CN" w:bidi="ar-SA"/>
        </w:rPr>
        <w:t>的</w:t>
      </w:r>
      <w:r>
        <w:rPr>
          <w:rFonts w:hint="eastAsia" w:cs="Times New Roman"/>
          <w:kern w:val="2"/>
          <w:sz w:val="28"/>
          <w:szCs w:val="28"/>
          <w:lang w:val="en-US" w:eastAsia="zh-CN" w:bidi="ar-SA"/>
        </w:rPr>
        <w:t>投标</w:t>
      </w:r>
      <w:r>
        <w:rPr>
          <w:rFonts w:hint="eastAsia" w:ascii="Calibri" w:hAnsi="Calibri" w:eastAsia="宋体" w:cs="Times New Roman"/>
          <w:kern w:val="2"/>
          <w:sz w:val="28"/>
          <w:szCs w:val="28"/>
          <w:lang w:val="en-US" w:eastAsia="zh-CN" w:bidi="ar-SA"/>
        </w:rPr>
        <w:t>文件及承诺与本合同约定标准进行验收。</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150"/>
        <w:jc w:val="both"/>
        <w:textAlignment w:val="auto"/>
        <w:rPr>
          <w:rFonts w:hint="eastAsia" w:ascii="Calibri" w:hAnsi="Calibri" w:eastAsia="宋体" w:cs="Times New Roman"/>
          <w:kern w:val="2"/>
          <w:sz w:val="28"/>
          <w:szCs w:val="28"/>
          <w:lang w:val="en-US" w:eastAsia="zh-CN" w:bidi="ar-SA"/>
        </w:rPr>
      </w:pPr>
      <w:r>
        <w:rPr>
          <w:rFonts w:hint="eastAsia" w:cs="Times New Roman"/>
          <w:kern w:val="2"/>
          <w:sz w:val="28"/>
          <w:szCs w:val="28"/>
          <w:lang w:val="en-US" w:eastAsia="zh-CN" w:bidi="ar-SA"/>
        </w:rPr>
        <w:t xml:space="preserve">  </w:t>
      </w:r>
      <w:r>
        <w:rPr>
          <w:rFonts w:hint="eastAsia" w:ascii="Calibri" w:hAnsi="Calibri" w:eastAsia="宋体" w:cs="Times New Roman"/>
          <w:kern w:val="2"/>
          <w:sz w:val="28"/>
          <w:szCs w:val="28"/>
          <w:lang w:val="en-US" w:eastAsia="zh-CN" w:bidi="ar-SA"/>
        </w:rPr>
        <w:t>验收的时间：</w:t>
      </w:r>
      <w:bookmarkStart w:id="156" w:name="_Hlk79877442"/>
      <w:r>
        <w:rPr>
          <w:rFonts w:hint="eastAsia" w:ascii="Calibri" w:hAnsi="Calibri" w:eastAsia="宋体" w:cs="Times New Roman"/>
          <w:kern w:val="2"/>
          <w:sz w:val="28"/>
          <w:szCs w:val="28"/>
          <w:lang w:val="en-US" w:eastAsia="zh-CN" w:bidi="ar-SA"/>
        </w:rPr>
        <w:t>安装完成后进行72小时调试，调试正常后30日内组织验收，</w:t>
      </w:r>
      <w:bookmarkStart w:id="157" w:name="_Hlk79877580"/>
      <w:bookmarkEnd w:id="156"/>
      <w:r>
        <w:rPr>
          <w:rFonts w:hint="eastAsia" w:ascii="Calibri" w:hAnsi="Calibri" w:eastAsia="宋体" w:cs="Times New Roman"/>
          <w:kern w:val="2"/>
          <w:sz w:val="28"/>
          <w:szCs w:val="28"/>
          <w:lang w:val="en-US" w:eastAsia="zh-CN" w:bidi="ar-SA"/>
        </w:rPr>
        <w:t>经双方进行试运行，且先培训采购人（具体操作人）现场操作。</w:t>
      </w:r>
      <w:bookmarkEnd w:id="157"/>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150"/>
        <w:jc w:val="both"/>
        <w:textAlignment w:val="auto"/>
        <w:rPr>
          <w:rFonts w:hint="eastAsia" w:ascii="Calibri" w:hAnsi="Calibri" w:eastAsia="宋体" w:cs="Times New Roman"/>
          <w:kern w:val="2"/>
          <w:sz w:val="28"/>
          <w:szCs w:val="28"/>
          <w:lang w:val="en-US" w:eastAsia="zh-CN" w:bidi="ar-SA"/>
        </w:rPr>
      </w:pPr>
      <w:r>
        <w:rPr>
          <w:rFonts w:hint="eastAsia" w:cs="Times New Roman"/>
          <w:kern w:val="2"/>
          <w:sz w:val="28"/>
          <w:szCs w:val="28"/>
          <w:lang w:val="en-US" w:eastAsia="zh-CN" w:bidi="ar-SA"/>
        </w:rPr>
        <w:t xml:space="preserve">  </w:t>
      </w:r>
      <w:r>
        <w:rPr>
          <w:rFonts w:hint="eastAsia" w:ascii="Calibri" w:hAnsi="Calibri" w:eastAsia="宋体" w:cs="Times New Roman"/>
          <w:kern w:val="2"/>
          <w:sz w:val="28"/>
          <w:szCs w:val="28"/>
          <w:lang w:val="en-US" w:eastAsia="zh-CN" w:bidi="ar-SA"/>
        </w:rPr>
        <w:t>验收的方式：由采购人组织，供应商配合进行。</w:t>
      </w:r>
      <w:r>
        <w:rPr>
          <w:rFonts w:hint="eastAsia" w:cs="Times New Roman"/>
          <w:kern w:val="2"/>
          <w:sz w:val="28"/>
          <w:szCs w:val="28"/>
          <w:lang w:val="en-US" w:eastAsia="zh-CN" w:bidi="ar-SA"/>
        </w:rPr>
        <w:tab/>
      </w:r>
    </w:p>
    <w:p>
      <w:pPr>
        <w:keepNext w:val="0"/>
        <w:keepLines w:val="0"/>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outlineLvl w:val="9"/>
        <w:rPr>
          <w:rFonts w:hint="eastAsia"/>
          <w:sz w:val="28"/>
          <w:szCs w:val="28"/>
        </w:rPr>
      </w:pPr>
      <w:r>
        <w:rPr>
          <w:rFonts w:hint="eastAsia"/>
          <w:sz w:val="28"/>
          <w:szCs w:val="28"/>
        </w:rPr>
        <w:t>（九）明确是否收取履约保证金：</w:t>
      </w:r>
    </w:p>
    <w:p>
      <w:pPr>
        <w:keepNext w:val="0"/>
        <w:keepLines w:val="0"/>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outlineLvl w:val="9"/>
        <w:rPr>
          <w:rFonts w:hint="eastAsia"/>
          <w:sz w:val="28"/>
          <w:szCs w:val="28"/>
        </w:rPr>
      </w:pPr>
      <w:r>
        <w:rPr>
          <w:rFonts w:hint="eastAsia"/>
          <w:sz w:val="28"/>
          <w:szCs w:val="28"/>
          <w:lang w:val="en-US" w:eastAsia="zh-CN"/>
        </w:rPr>
        <w:t xml:space="preserve">    </w:t>
      </w:r>
      <w:r>
        <w:rPr>
          <w:rFonts w:hint="eastAsia"/>
          <w:sz w:val="28"/>
          <w:szCs w:val="28"/>
        </w:rPr>
        <w:t xml:space="preserve"> 为保障按时有效的履约，中标供应商应向采购人缴纳合同金额5%的履约保证金。若施工完成经调试运行正常后，双方验收合格，采购人在验收合格10日内全额退还履约保证金给中标供应商；若中标供应商未按合同要求执行施工任务，导致采购项目失败，则不退还履约金。若经验收合格后，书面提出退还履约金，校方在10日内未按时退还，按履约保证金的0.3%/天支付中标供应商。</w:t>
      </w:r>
    </w:p>
    <w:p>
      <w:pPr>
        <w:keepNext w:val="0"/>
        <w:keepLines w:val="0"/>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outlineLvl w:val="9"/>
        <w:rPr>
          <w:rFonts w:hint="eastAsia"/>
          <w:sz w:val="28"/>
          <w:szCs w:val="28"/>
        </w:rPr>
      </w:pPr>
      <w:r>
        <w:rPr>
          <w:rFonts w:hint="eastAsia"/>
          <w:sz w:val="28"/>
          <w:szCs w:val="28"/>
        </w:rPr>
        <w:t>（十）违约责任</w:t>
      </w:r>
    </w:p>
    <w:p>
      <w:pPr>
        <w:keepNext w:val="0"/>
        <w:keepLines w:val="0"/>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outlineLvl w:val="9"/>
        <w:rPr>
          <w:rFonts w:hint="eastAsia"/>
          <w:sz w:val="28"/>
          <w:szCs w:val="28"/>
          <w:lang w:val="en-US"/>
        </w:rPr>
      </w:pPr>
      <w:r>
        <w:rPr>
          <w:rFonts w:hint="eastAsia"/>
          <w:sz w:val="28"/>
          <w:szCs w:val="28"/>
          <w:lang w:val="en-US" w:eastAsia="zh-CN"/>
        </w:rPr>
        <w:t xml:space="preserve">   1、 </w:t>
      </w:r>
      <w:r>
        <w:rPr>
          <w:rFonts w:hint="eastAsia"/>
          <w:sz w:val="28"/>
          <w:szCs w:val="28"/>
          <w:lang w:val="en-US"/>
        </w:rPr>
        <w:t>甲方违约责任</w:t>
      </w:r>
    </w:p>
    <w:p>
      <w:pPr>
        <w:keepNext w:val="0"/>
        <w:keepLines w:val="0"/>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outlineLvl w:val="9"/>
        <w:rPr>
          <w:rFonts w:hint="eastAsia"/>
          <w:sz w:val="28"/>
          <w:szCs w:val="28"/>
          <w:lang w:val="en-US"/>
        </w:rPr>
      </w:pPr>
      <w:r>
        <w:rPr>
          <w:rFonts w:hint="eastAsia"/>
          <w:sz w:val="28"/>
          <w:szCs w:val="28"/>
          <w:lang w:val="en-US" w:eastAsia="zh-CN"/>
        </w:rPr>
        <w:t xml:space="preserve">  </w:t>
      </w:r>
      <w:r>
        <w:rPr>
          <w:rFonts w:hint="eastAsia"/>
          <w:sz w:val="28"/>
          <w:szCs w:val="28"/>
          <w:lang w:val="en-US"/>
        </w:rPr>
        <w:t>（1）甲方无正当理由拒收货物的，甲方应偿付合同总价3%的违约金；</w:t>
      </w:r>
    </w:p>
    <w:p>
      <w:pPr>
        <w:keepNext w:val="0"/>
        <w:keepLines w:val="0"/>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outlineLvl w:val="9"/>
        <w:rPr>
          <w:rFonts w:hint="eastAsia"/>
          <w:sz w:val="28"/>
          <w:szCs w:val="28"/>
          <w:lang w:val="en-US"/>
        </w:rPr>
      </w:pPr>
      <w:r>
        <w:rPr>
          <w:rFonts w:hint="eastAsia"/>
          <w:sz w:val="28"/>
          <w:szCs w:val="28"/>
          <w:lang w:val="en-US" w:eastAsia="zh-CN"/>
        </w:rPr>
        <w:t xml:space="preserve">  </w:t>
      </w:r>
      <w:r>
        <w:rPr>
          <w:rFonts w:hint="eastAsia"/>
          <w:sz w:val="28"/>
          <w:szCs w:val="28"/>
          <w:lang w:val="en-US"/>
        </w:rPr>
        <w:t>（2）甲方逾期支付货款的，除应及时付足货款外，应向乙方偿付欠款总額0.01%/天的违约金；逾期付款超过30天的，乙方有权终止合同；</w:t>
      </w:r>
    </w:p>
    <w:p>
      <w:pPr>
        <w:keepNext w:val="0"/>
        <w:keepLines w:val="0"/>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outlineLvl w:val="9"/>
        <w:rPr>
          <w:rFonts w:hint="eastAsia"/>
          <w:sz w:val="28"/>
          <w:szCs w:val="28"/>
          <w:lang w:val="en-US"/>
        </w:rPr>
      </w:pPr>
      <w:r>
        <w:rPr>
          <w:rFonts w:hint="eastAsia"/>
          <w:sz w:val="28"/>
          <w:szCs w:val="28"/>
          <w:lang w:val="en-US" w:eastAsia="zh-CN"/>
        </w:rPr>
        <w:t xml:space="preserve">  </w:t>
      </w:r>
      <w:r>
        <w:rPr>
          <w:rFonts w:hint="eastAsia"/>
          <w:sz w:val="28"/>
          <w:szCs w:val="28"/>
          <w:lang w:val="en-US"/>
        </w:rPr>
        <w:t>（3）甲方偿付的违约金不足以弥补乙方损失的，还应按乙方损失尚未弥补的部分，支付賠偿金给乙方。</w:t>
      </w:r>
    </w:p>
    <w:p>
      <w:pPr>
        <w:keepNext w:val="0"/>
        <w:keepLines w:val="0"/>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outlineLvl w:val="9"/>
        <w:rPr>
          <w:rFonts w:hint="eastAsia"/>
          <w:sz w:val="28"/>
          <w:szCs w:val="28"/>
          <w:lang w:val="en-US"/>
        </w:rPr>
      </w:pPr>
      <w:r>
        <w:rPr>
          <w:rFonts w:hint="eastAsia"/>
          <w:sz w:val="28"/>
          <w:szCs w:val="28"/>
          <w:lang w:val="en-US" w:eastAsia="zh-CN"/>
        </w:rPr>
        <w:t xml:space="preserve"> 2、</w:t>
      </w:r>
      <w:r>
        <w:rPr>
          <w:rFonts w:hint="eastAsia"/>
          <w:sz w:val="28"/>
          <w:szCs w:val="28"/>
          <w:lang w:val="en-US"/>
        </w:rPr>
        <w:t>乙方违约责任</w:t>
      </w:r>
    </w:p>
    <w:p>
      <w:pPr>
        <w:keepNext w:val="0"/>
        <w:keepLines w:val="0"/>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outlineLvl w:val="9"/>
        <w:rPr>
          <w:rFonts w:hint="eastAsia"/>
          <w:sz w:val="28"/>
          <w:szCs w:val="28"/>
          <w:lang w:val="en-US"/>
        </w:rPr>
      </w:pPr>
      <w:r>
        <w:rPr>
          <w:rFonts w:hint="eastAsia"/>
          <w:sz w:val="28"/>
          <w:szCs w:val="28"/>
          <w:lang w:val="en-US" w:eastAsia="zh-CN"/>
        </w:rPr>
        <w:t xml:space="preserve">  </w:t>
      </w:r>
      <w:r>
        <w:rPr>
          <w:rFonts w:hint="eastAsia"/>
          <w:sz w:val="28"/>
          <w:szCs w:val="28"/>
          <w:lang w:val="en-US"/>
        </w:rPr>
        <w:t>（1）乙方交付的货物质量不符合合同规定的，乙方应向甲方支付合同总价的3%的违约金，并须在合同规定的交货时间内更換合格的货物给甲方，否则，视作乙方不能交付货物而违约，按本条本款下述第“（2）”项规定由乙方偿付违约賠偿金给甲方。</w:t>
      </w:r>
    </w:p>
    <w:p>
      <w:pPr>
        <w:keepNext w:val="0"/>
        <w:keepLines w:val="0"/>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outlineLvl w:val="9"/>
        <w:rPr>
          <w:rFonts w:hint="eastAsia"/>
          <w:sz w:val="28"/>
          <w:szCs w:val="28"/>
          <w:lang w:val="en-US"/>
        </w:rPr>
      </w:pPr>
      <w:r>
        <w:rPr>
          <w:rFonts w:hint="eastAsia"/>
          <w:sz w:val="28"/>
          <w:szCs w:val="28"/>
          <w:lang w:val="en-US" w:eastAsia="zh-CN"/>
        </w:rPr>
        <w:t xml:space="preserve">  </w:t>
      </w:r>
      <w:r>
        <w:rPr>
          <w:rFonts w:hint="eastAsia"/>
          <w:sz w:val="28"/>
          <w:szCs w:val="28"/>
          <w:lang w:val="en-US"/>
        </w:rPr>
        <w:t>（2）乙方不能交付货物或逾期交付货物而违约的，除应及时交足货物外，应向甲方偿付逾期交货部分货款总额的0.01%/天的违约金；逾期交货超过 30 天， 甲方有权终止合同，乙方则应按合同总价的3%的款额向甲方偿付赔偿金， 并须全额退还甲方已经付给乙方的货款返其利息。</w:t>
      </w:r>
    </w:p>
    <w:p>
      <w:pPr>
        <w:keepNext w:val="0"/>
        <w:keepLines w:val="0"/>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outlineLvl w:val="9"/>
        <w:rPr>
          <w:rFonts w:hint="eastAsia"/>
          <w:sz w:val="28"/>
          <w:szCs w:val="28"/>
          <w:lang w:val="en-US"/>
        </w:rPr>
      </w:pPr>
      <w:r>
        <w:rPr>
          <w:rFonts w:hint="eastAsia"/>
          <w:sz w:val="28"/>
          <w:szCs w:val="28"/>
          <w:lang w:val="en-US" w:eastAsia="zh-CN"/>
        </w:rPr>
        <w:t xml:space="preserve">  </w:t>
      </w:r>
      <w:r>
        <w:rPr>
          <w:rFonts w:hint="eastAsia"/>
          <w:sz w:val="28"/>
          <w:szCs w:val="28"/>
          <w:lang w:val="en-US"/>
        </w:rPr>
        <w:t>（3）乙方货物须达甲方质量及参数要求，有相应的合格证件。若发现货物质量不符合本合同规定标准的（经送检确认不达标准的），需按甲方标准进行产品的更换，直到达标为止。</w:t>
      </w:r>
    </w:p>
    <w:p>
      <w:pPr>
        <w:keepNext w:val="0"/>
        <w:keepLines w:val="0"/>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outlineLvl w:val="9"/>
        <w:rPr>
          <w:rFonts w:hint="eastAsia"/>
          <w:sz w:val="28"/>
          <w:szCs w:val="28"/>
          <w:lang w:val="en-US"/>
        </w:rPr>
      </w:pPr>
      <w:r>
        <w:rPr>
          <w:rFonts w:hint="eastAsia"/>
          <w:sz w:val="28"/>
          <w:szCs w:val="28"/>
          <w:lang w:val="en-US" w:eastAsia="zh-CN"/>
        </w:rPr>
        <w:t xml:space="preserve">  </w:t>
      </w:r>
      <w:r>
        <w:rPr>
          <w:rFonts w:hint="eastAsia"/>
          <w:sz w:val="28"/>
          <w:szCs w:val="28"/>
          <w:lang w:val="en-US"/>
        </w:rPr>
        <w:t>（4）乙方保证本合同货物的权利无瑕疵，包括货物所有权及知识产权等权利无 瑕疵。如任何第三方经法院（或仲裁机构）裁决有权对上述货物主张权利或国家 机关依法对货物进行没收查处的，乙方除应向甲方返还已收款项外，还应另按合同总价的3%向甲方支付违约金并赔偿因此给甲方造成的一切损失。</w:t>
      </w:r>
    </w:p>
    <w:p>
      <w:pPr>
        <w:keepNext w:val="0"/>
        <w:keepLines w:val="0"/>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outlineLvl w:val="9"/>
        <w:rPr>
          <w:rFonts w:hint="eastAsia"/>
          <w:sz w:val="28"/>
          <w:szCs w:val="28"/>
        </w:rPr>
      </w:pPr>
      <w:r>
        <w:rPr>
          <w:rFonts w:hint="eastAsia"/>
          <w:sz w:val="28"/>
          <w:szCs w:val="28"/>
          <w:lang w:val="en-US" w:eastAsia="zh-CN"/>
        </w:rPr>
        <w:t xml:space="preserve">  </w:t>
      </w:r>
      <w:r>
        <w:rPr>
          <w:rFonts w:hint="eastAsia"/>
          <w:sz w:val="28"/>
          <w:szCs w:val="28"/>
        </w:rPr>
        <w:t>（5）乙方偿付的违约金不足以弥补甲方损失的，还应按甲方损失尚未弥补的部分，支付賠偿金给甲方。</w:t>
      </w:r>
    </w:p>
    <w:p>
      <w:pPr>
        <w:keepNext w:val="0"/>
        <w:keepLines w:val="0"/>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outlineLvl w:val="9"/>
        <w:rPr>
          <w:rFonts w:hint="eastAsia"/>
          <w:sz w:val="28"/>
          <w:szCs w:val="28"/>
        </w:rPr>
      </w:pPr>
      <w:r>
        <w:rPr>
          <w:rFonts w:hint="eastAsia"/>
          <w:sz w:val="28"/>
          <w:szCs w:val="28"/>
        </w:rPr>
        <w:t>（十一）最高限价：212000元</w:t>
      </w:r>
    </w:p>
    <w:p>
      <w:pPr>
        <w:pStyle w:val="13"/>
        <w:rPr>
          <w:rFonts w:hint="eastAsia" w:ascii="宋体" w:hAnsi="宋体" w:eastAsia="宋体" w:cs="宋体"/>
          <w:b/>
          <w:bCs/>
          <w:sz w:val="32"/>
          <w:szCs w:val="32"/>
        </w:rPr>
      </w:pPr>
      <w:r>
        <w:rPr>
          <w:rFonts w:hint="eastAsia" w:ascii="宋体" w:hAnsi="宋体" w:cs="宋体"/>
          <w:b/>
          <w:bCs/>
          <w:sz w:val="32"/>
          <w:szCs w:val="32"/>
          <w:lang w:eastAsia="zh-CN"/>
        </w:rPr>
        <w:t>四</w:t>
      </w:r>
      <w:r>
        <w:rPr>
          <w:rFonts w:hint="eastAsia" w:ascii="宋体" w:hAnsi="宋体" w:eastAsia="宋体" w:cs="宋体"/>
          <w:b/>
          <w:bCs/>
          <w:sz w:val="32"/>
          <w:szCs w:val="32"/>
        </w:rPr>
        <w:t>、其他 :</w:t>
      </w:r>
    </w:p>
    <w:p>
      <w:pPr>
        <w:keepNext w:val="0"/>
        <w:keepLines w:val="0"/>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outlineLvl w:val="9"/>
        <w:rPr>
          <w:rFonts w:hint="eastAsia"/>
          <w:sz w:val="28"/>
          <w:szCs w:val="28"/>
        </w:rPr>
      </w:pPr>
      <w:r>
        <w:rPr>
          <w:rFonts w:hint="eastAsia"/>
          <w:sz w:val="28"/>
          <w:szCs w:val="28"/>
        </w:rPr>
        <w:t>（一）</w:t>
      </w:r>
      <w:r>
        <w:rPr>
          <w:rFonts w:hint="eastAsia"/>
          <w:sz w:val="28"/>
          <w:szCs w:val="28"/>
          <w:lang w:eastAsia="zh-CN"/>
        </w:rPr>
        <w:t>本</w:t>
      </w:r>
      <w:r>
        <w:rPr>
          <w:rFonts w:hint="eastAsia"/>
          <w:sz w:val="28"/>
          <w:szCs w:val="28"/>
        </w:rPr>
        <w:t>项目</w:t>
      </w:r>
      <w:r>
        <w:rPr>
          <w:rFonts w:hint="eastAsia"/>
          <w:sz w:val="28"/>
          <w:szCs w:val="28"/>
          <w:lang w:eastAsia="zh-CN"/>
        </w:rPr>
        <w:t>非专门</w:t>
      </w:r>
      <w:r>
        <w:rPr>
          <w:rFonts w:hint="eastAsia"/>
          <w:sz w:val="28"/>
          <w:szCs w:val="28"/>
        </w:rPr>
        <w:t>面向中小企业采购；</w:t>
      </w:r>
    </w:p>
    <w:p>
      <w:pPr>
        <w:keepNext w:val="0"/>
        <w:keepLines w:val="0"/>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outlineLvl w:val="9"/>
        <w:rPr>
          <w:rFonts w:hint="eastAsia"/>
          <w:sz w:val="28"/>
          <w:szCs w:val="28"/>
          <w:lang w:val="en-US" w:eastAsia="zh-CN"/>
        </w:rPr>
      </w:pPr>
      <w:r>
        <w:rPr>
          <w:rFonts w:hint="eastAsia"/>
          <w:sz w:val="28"/>
          <w:szCs w:val="28"/>
          <w:lang w:eastAsia="zh-CN"/>
        </w:rPr>
        <w:t>（二）</w:t>
      </w:r>
      <w:r>
        <w:rPr>
          <w:rFonts w:hint="eastAsia"/>
          <w:sz w:val="28"/>
          <w:szCs w:val="28"/>
          <w:lang w:val="en-US" w:eastAsia="zh-CN"/>
        </w:rPr>
        <w:t>购标的对应的中小企业划分标准所属行业：工业</w:t>
      </w:r>
    </w:p>
    <w:p>
      <w:pPr>
        <w:keepNext w:val="0"/>
        <w:keepLines w:val="0"/>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outlineLvl w:val="9"/>
        <w:rPr>
          <w:rFonts w:hint="eastAsia"/>
          <w:sz w:val="28"/>
          <w:szCs w:val="28"/>
          <w:lang w:val="en-US" w:eastAsia="zh-CN"/>
        </w:rPr>
      </w:pPr>
      <w:r>
        <w:rPr>
          <w:rFonts w:hint="eastAsia"/>
          <w:sz w:val="28"/>
          <w:szCs w:val="28"/>
          <w:lang w:val="en-US" w:eastAsia="zh-CN"/>
        </w:rPr>
        <w:t>（三）按照《2019年最新版3C认证目录》列明产品清单中必须提供3C认证产品的产品（如有）；</w:t>
      </w:r>
    </w:p>
    <w:p>
      <w:pPr>
        <w:keepNext w:val="0"/>
        <w:keepLines w:val="0"/>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outlineLvl w:val="9"/>
        <w:rPr>
          <w:rFonts w:hint="eastAsia"/>
          <w:sz w:val="28"/>
          <w:szCs w:val="28"/>
          <w:lang w:val="en-US" w:eastAsia="zh-CN"/>
        </w:rPr>
      </w:pPr>
      <w:r>
        <w:rPr>
          <w:rFonts w:hint="eastAsia"/>
          <w:sz w:val="28"/>
          <w:szCs w:val="28"/>
          <w:lang w:val="en-US" w:eastAsia="zh-CN"/>
        </w:rPr>
        <w:t xml:space="preserve">     ★供应商所投产品涉及国家强制认证的（CCC），在其响应文件中提供符合国家强制认证（CCC）的承诺函，在供货时一并提供相关许可、认证材料。（提供承诺函原件加盖供应商公章）。</w:t>
      </w:r>
    </w:p>
    <w:p>
      <w:pPr>
        <w:keepNext w:val="0"/>
        <w:keepLines w:val="0"/>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outlineLvl w:val="9"/>
        <w:rPr>
          <w:rFonts w:hint="eastAsia"/>
          <w:sz w:val="28"/>
          <w:szCs w:val="28"/>
        </w:rPr>
      </w:pPr>
      <w:r>
        <w:rPr>
          <w:rFonts w:hint="eastAsia"/>
          <w:sz w:val="28"/>
          <w:szCs w:val="28"/>
        </w:rPr>
        <w:t>（</w:t>
      </w:r>
      <w:r>
        <w:rPr>
          <w:rFonts w:hint="eastAsia"/>
          <w:sz w:val="28"/>
          <w:szCs w:val="28"/>
          <w:lang w:eastAsia="zh-CN"/>
        </w:rPr>
        <w:t>四</w:t>
      </w:r>
      <w:r>
        <w:rPr>
          <w:rFonts w:hint="eastAsia"/>
          <w:sz w:val="28"/>
          <w:szCs w:val="28"/>
        </w:rPr>
        <w:t>）本项目不允许分包。</w:t>
      </w:r>
    </w:p>
    <w:p>
      <w:pPr>
        <w:keepNext w:val="0"/>
        <w:keepLines w:val="0"/>
        <w:pageBreakBefore w:val="0"/>
        <w:widowControl w:val="0"/>
        <w:tabs>
          <w:tab w:val="left" w:pos="3969"/>
        </w:tabs>
        <w:kinsoku/>
        <w:wordWrap/>
        <w:overflowPunct/>
        <w:topLinePunct w:val="0"/>
        <w:autoSpaceDE/>
        <w:autoSpaceDN/>
        <w:bidi w:val="0"/>
        <w:adjustRightInd/>
        <w:snapToGrid/>
        <w:spacing w:line="480" w:lineRule="exact"/>
        <w:ind w:right="-58"/>
        <w:jc w:val="both"/>
        <w:textAlignment w:val="auto"/>
        <w:outlineLvl w:val="9"/>
        <w:rPr>
          <w:rFonts w:hint="eastAsia"/>
          <w:sz w:val="28"/>
          <w:szCs w:val="28"/>
        </w:rPr>
      </w:pPr>
      <w:r>
        <w:rPr>
          <w:rFonts w:hint="eastAsia"/>
          <w:sz w:val="28"/>
          <w:szCs w:val="28"/>
        </w:rPr>
        <w:t>（</w:t>
      </w:r>
      <w:r>
        <w:rPr>
          <w:rFonts w:hint="eastAsia"/>
          <w:sz w:val="28"/>
          <w:szCs w:val="28"/>
          <w:lang w:eastAsia="zh-CN"/>
        </w:rPr>
        <w:t>五</w:t>
      </w:r>
      <w:r>
        <w:rPr>
          <w:rFonts w:hint="eastAsia"/>
          <w:sz w:val="28"/>
          <w:szCs w:val="28"/>
        </w:rPr>
        <w:t>）本项目的核心产品：</w:t>
      </w:r>
      <w:r>
        <w:rPr>
          <w:rFonts w:hint="eastAsia"/>
          <w:sz w:val="28"/>
          <w:szCs w:val="28"/>
          <w:u w:val="single"/>
          <w:lang w:eastAsia="zh-CN"/>
        </w:rPr>
        <w:t>室内全彩</w:t>
      </w:r>
      <w:r>
        <w:rPr>
          <w:rFonts w:hint="eastAsia"/>
          <w:sz w:val="28"/>
          <w:szCs w:val="28"/>
          <w:u w:val="single"/>
        </w:rPr>
        <w:t>屏</w:t>
      </w:r>
      <w:r>
        <w:rPr>
          <w:rFonts w:hint="eastAsia"/>
          <w:sz w:val="28"/>
          <w:szCs w:val="28"/>
        </w:rPr>
        <w:t>。</w:t>
      </w:r>
    </w:p>
    <w:p>
      <w:pPr>
        <w:keepNext w:val="0"/>
        <w:keepLines w:val="0"/>
        <w:pageBreakBefore w:val="0"/>
        <w:widowControl w:val="0"/>
        <w:tabs>
          <w:tab w:val="left" w:pos="3969"/>
        </w:tabs>
        <w:kinsoku/>
        <w:wordWrap/>
        <w:overflowPunct/>
        <w:topLinePunct w:val="0"/>
        <w:autoSpaceDE/>
        <w:autoSpaceDN/>
        <w:bidi w:val="0"/>
        <w:adjustRightInd/>
        <w:snapToGrid/>
        <w:spacing w:line="480" w:lineRule="exact"/>
        <w:ind w:left="0" w:leftChars="0" w:right="-58" w:firstLine="708" w:firstLineChars="253"/>
        <w:jc w:val="both"/>
        <w:textAlignment w:val="auto"/>
        <w:outlineLvl w:val="9"/>
        <w:rPr>
          <w:rFonts w:hint="eastAsia"/>
          <w:sz w:val="28"/>
          <w:szCs w:val="28"/>
          <w:lang w:eastAsia="zh-CN"/>
        </w:rPr>
      </w:pPr>
    </w:p>
    <w:p>
      <w:pPr>
        <w:pStyle w:val="2"/>
        <w:rPr>
          <w:rFonts w:hint="eastAsia"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 xml:space="preserve"> 注：标★</w:t>
      </w:r>
      <w:r>
        <w:rPr>
          <w:rFonts w:hint="eastAsia" w:cs="Times New Roman"/>
          <w:kern w:val="2"/>
          <w:sz w:val="28"/>
          <w:szCs w:val="28"/>
          <w:lang w:val="en-US" w:eastAsia="zh-CN" w:bidi="ar-SA"/>
        </w:rPr>
        <w:t>的为实质性要求，不允许负偏离。</w:t>
      </w:r>
    </w:p>
    <w:p>
      <w:pPr>
        <w:pStyle w:val="2"/>
        <w:rPr>
          <w:rFonts w:hint="eastAsia" w:ascii="Calibri" w:hAnsi="Calibri" w:eastAsia="宋体" w:cs="Times New Roman"/>
          <w:kern w:val="2"/>
          <w:sz w:val="28"/>
          <w:szCs w:val="28"/>
          <w:lang w:val="en-US" w:eastAsia="zh-CN" w:bidi="ar-SA"/>
        </w:rPr>
        <w:sectPr>
          <w:footerReference r:id="rId3" w:type="default"/>
          <w:pgSz w:w="12240" w:h="15840"/>
          <w:pgMar w:top="1440" w:right="1800" w:bottom="1440" w:left="1800" w:header="708" w:footer="708" w:gutter="0"/>
          <w:cols w:space="708" w:num="1"/>
          <w:docGrid w:linePitch="360" w:charSpace="0"/>
        </w:sectPr>
      </w:pPr>
      <w:r>
        <w:rPr>
          <w:rFonts w:hint="eastAsia" w:cs="Times New Roman"/>
          <w:kern w:val="2"/>
          <w:sz w:val="28"/>
          <w:szCs w:val="28"/>
          <w:lang w:val="en-US" w:eastAsia="zh-CN" w:bidi="ar-SA"/>
        </w:rPr>
        <w:t xml:space="preserve">     标</w:t>
      </w:r>
      <w:r>
        <w:rPr>
          <w:rFonts w:hint="eastAsia" w:ascii="仿宋_GB2312" w:hAnsi="仿宋_GB2312" w:eastAsia="仿宋_GB2312" w:cs="仿宋_GB2312"/>
          <w:sz w:val="32"/>
          <w:szCs w:val="32"/>
        </w:rPr>
        <w:t>▲</w:t>
      </w:r>
      <w:r>
        <w:rPr>
          <w:rFonts w:hint="eastAsia" w:ascii="Calibri" w:hAnsi="Calibri" w:eastAsia="宋体" w:cs="Times New Roman"/>
          <w:kern w:val="2"/>
          <w:sz w:val="28"/>
          <w:szCs w:val="28"/>
          <w:lang w:val="en-US" w:eastAsia="zh-CN" w:bidi="ar-SA"/>
        </w:rPr>
        <w:t>的为重要参数指标。</w:t>
      </w:r>
    </w:p>
    <w:p>
      <w:pPr>
        <w:keepNext/>
        <w:keepLines/>
        <w:numPr>
          <w:ilvl w:val="0"/>
          <w:numId w:val="5"/>
        </w:numPr>
        <w:spacing w:before="340" w:after="330" w:line="400" w:lineRule="exact"/>
        <w:jc w:val="center"/>
        <w:outlineLvl w:val="0"/>
        <w:rPr>
          <w:rFonts w:ascii="宋体" w:hAnsi="宋体"/>
          <w:b/>
          <w:bCs/>
          <w:spacing w:val="-20"/>
          <w:kern w:val="44"/>
          <w:sz w:val="32"/>
          <w:szCs w:val="32"/>
        </w:rPr>
      </w:pPr>
      <w:r>
        <w:rPr>
          <w:rFonts w:hint="eastAsia" w:ascii="宋体" w:hAnsi="宋体"/>
          <w:b/>
          <w:bCs/>
          <w:spacing w:val="-20"/>
          <w:kern w:val="44"/>
          <w:sz w:val="32"/>
          <w:szCs w:val="32"/>
        </w:rPr>
        <w:t>资格性审查</w:t>
      </w:r>
      <w:bookmarkEnd w:id="153"/>
    </w:p>
    <w:p>
      <w:pPr>
        <w:tabs>
          <w:tab w:val="left" w:pos="851"/>
        </w:tabs>
        <w:spacing w:line="360" w:lineRule="auto"/>
        <w:ind w:firstLine="566" w:firstLineChars="202"/>
        <w:rPr>
          <w:rFonts w:ascii="宋体" w:hAnsi="宋体"/>
          <w:sz w:val="28"/>
          <w:szCs w:val="28"/>
        </w:rPr>
      </w:pPr>
      <w:r>
        <w:rPr>
          <w:rFonts w:hint="eastAsia" w:ascii="宋体" w:hAnsi="宋体"/>
          <w:sz w:val="28"/>
          <w:szCs w:val="28"/>
        </w:rPr>
        <w:t>资格性审查由</w:t>
      </w:r>
      <w:r>
        <w:rPr>
          <w:rFonts w:hint="eastAsia" w:ascii="宋体" w:hAnsi="宋体"/>
          <w:sz w:val="28"/>
          <w:szCs w:val="28"/>
          <w:highlight w:val="none"/>
        </w:rPr>
        <w:t>采购人</w:t>
      </w:r>
      <w:r>
        <w:rPr>
          <w:rFonts w:hint="eastAsia" w:ascii="宋体" w:hAnsi="宋体"/>
          <w:sz w:val="28"/>
          <w:szCs w:val="28"/>
        </w:rPr>
        <w:t>组建的资格审查小组依据法律法规和招标文件的规定，对投标文件中的资格证明等进行审查，以确定投标人是否具备投标资格，并出具资格性审查报告。</w:t>
      </w:r>
    </w:p>
    <w:p>
      <w:pPr>
        <w:tabs>
          <w:tab w:val="left" w:pos="851"/>
        </w:tabs>
        <w:spacing w:line="360" w:lineRule="auto"/>
        <w:ind w:firstLine="566" w:firstLineChars="202"/>
        <w:rPr>
          <w:rFonts w:ascii="宋体" w:hAnsi="宋体"/>
          <w:sz w:val="28"/>
          <w:szCs w:val="28"/>
        </w:rPr>
      </w:pPr>
      <w:r>
        <w:rPr>
          <w:rFonts w:hint="eastAsia" w:ascii="宋体" w:hAnsi="宋体"/>
          <w:sz w:val="28"/>
          <w:szCs w:val="28"/>
        </w:rPr>
        <w:t>资格性审查时因断电、断网、系统故障或其他不可抗力等因素，导致资格审查小组无法通过系统阅读投标文件进行审查的，待系统恢复后继续审查。出现上述情况时，采购中心将以电子邮件形式通知各投标人。资格性审查标准见下表：</w:t>
      </w:r>
    </w:p>
    <w:tbl>
      <w:tblPr>
        <w:tblStyle w:val="46"/>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446"/>
        <w:gridCol w:w="1756"/>
        <w:gridCol w:w="6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7" w:type="dxa"/>
            <w:gridSpan w:val="3"/>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b/>
                <w:sz w:val="20"/>
              </w:rPr>
            </w:pPr>
            <w:r>
              <w:rPr>
                <w:b/>
                <w:sz w:val="20"/>
              </w:rPr>
              <w:t>资格性审查项</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sz w:val="20"/>
              </w:rPr>
            </w:pPr>
            <w:r>
              <w:rPr>
                <w:b/>
                <w:sz w:val="20"/>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在中华人民共和国境内依法登记注册，并有效存续具有独立法人资格的</w:t>
            </w:r>
            <w:r>
              <w:rPr>
                <w:rFonts w:hint="eastAsia"/>
                <w:sz w:val="20"/>
              </w:rPr>
              <w:t>供应商</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营业执照复印件（正本或副本）或法人证书复印件（正本或副本）</w:t>
            </w:r>
            <w:r>
              <w:rPr>
                <w:rFonts w:hint="eastAsia"/>
                <w:sz w:val="20"/>
              </w:rPr>
              <w:t>。</w:t>
            </w:r>
            <w:r>
              <w:rPr>
                <w:sz w:val="20"/>
              </w:rPr>
              <w:t>【说明：</w:t>
            </w:r>
            <w:r>
              <w:rPr>
                <w:rFonts w:hint="eastAsia" w:ascii="宋体" w:hAnsi="宋体"/>
                <w:sz w:val="20"/>
                <w:szCs w:val="28"/>
              </w:rPr>
              <w:t>①</w:t>
            </w:r>
            <w:r>
              <w:rPr>
                <w:sz w:val="20"/>
              </w:rPr>
              <w:t>营业执照或法人证书载明有期限的，应在有效期限内；</w:t>
            </w:r>
            <w:r>
              <w:rPr>
                <w:rFonts w:hint="eastAsia" w:ascii="宋体" w:hAnsi="宋体"/>
                <w:sz w:val="20"/>
                <w:szCs w:val="28"/>
              </w:rPr>
              <w:t>②</w:t>
            </w:r>
            <w:r>
              <w:rPr>
                <w:sz w:val="20"/>
              </w:rPr>
              <w:t>在中华人民共和国境内注册，具有独立法人资格。】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sz w:val="20"/>
              </w:rPr>
              <w:t>2</w:t>
            </w:r>
          </w:p>
        </w:tc>
        <w:tc>
          <w:tcPr>
            <w:tcW w:w="446"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书面声明材料</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具有良好的商业信誉的证明材料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投标人具有良好的商业信誉的书面声明材料。【</w:t>
            </w:r>
            <w:r>
              <w:rPr>
                <w:rFonts w:hint="eastAsia"/>
                <w:sz w:val="20"/>
              </w:rPr>
              <w:t>说明</w:t>
            </w:r>
            <w:r>
              <w:rPr>
                <w:sz w:val="20"/>
              </w:rPr>
              <w:t>：</w:t>
            </w:r>
            <w:r>
              <w:rPr>
                <w:rFonts w:hint="eastAsia" w:ascii="宋体" w:hAnsi="宋体"/>
                <w:sz w:val="20"/>
                <w:szCs w:val="28"/>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ascii="宋体" w:hAnsi="宋体"/>
                <w:sz w:val="20"/>
                <w:szCs w:val="28"/>
              </w:rPr>
              <w:t>；②供应商</w:t>
            </w:r>
            <w:r>
              <w:rPr>
                <w:rFonts w:ascii="宋体" w:hAnsi="宋体"/>
                <w:sz w:val="20"/>
                <w:szCs w:val="28"/>
              </w:rPr>
              <w:t>具有良好的商业信誉</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参加政府采购活动前三年内，在经营活动中没有重大违法记录</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1.投标人参加政府采购活动前三年内，在经营活动中没有重大违法记录的书面声明材料</w:t>
            </w:r>
            <w:r>
              <w:rPr>
                <w:rFonts w:hint="eastAsia"/>
                <w:sz w:val="20"/>
              </w:rPr>
              <w:t>。</w:t>
            </w:r>
            <w:r>
              <w:rPr>
                <w:sz w:val="20"/>
              </w:rPr>
              <w:t>【说明：</w:t>
            </w:r>
            <w:r>
              <w:rPr>
                <w:rFonts w:hint="eastAsia" w:ascii="宋体" w:hAnsi="宋体"/>
                <w:sz w:val="20"/>
                <w:szCs w:val="28"/>
              </w:rPr>
              <w:t>①</w:t>
            </w:r>
            <w:r>
              <w:rPr>
                <w:sz w:val="20"/>
              </w:rPr>
              <w:t>按</w:t>
            </w:r>
            <w:r>
              <w:rPr>
                <w:rFonts w:hint="eastAsia"/>
                <w:sz w:val="20"/>
              </w:rPr>
              <w:t>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sz w:val="20"/>
              </w:rPr>
              <w:t>；</w:t>
            </w:r>
            <w:r>
              <w:rPr>
                <w:rFonts w:hint="eastAsia" w:ascii="宋体" w:hAnsi="宋体"/>
                <w:sz w:val="20"/>
                <w:szCs w:val="28"/>
              </w:rPr>
              <w:t>②供应商参加政府采购活动前三年内，在经营活动中没有重大违法记录</w:t>
            </w:r>
            <w:r>
              <w:rPr>
                <w:sz w:val="20"/>
              </w:rPr>
              <w:t>。】</w:t>
            </w:r>
          </w:p>
          <w:p>
            <w:pPr>
              <w:tabs>
                <w:tab w:val="left" w:pos="851"/>
              </w:tabs>
              <w:spacing w:line="360" w:lineRule="auto"/>
              <w:rPr>
                <w:sz w:val="20"/>
              </w:rPr>
            </w:pPr>
            <w:r>
              <w:rPr>
                <w:sz w:val="20"/>
              </w:rPr>
              <w:t>2. 资格审查小组根据“信用中国”</w:t>
            </w:r>
            <w:r>
              <w:rPr>
                <w:rFonts w:hint="eastAsia"/>
                <w:sz w:val="20"/>
              </w:rPr>
              <w:t>和</w:t>
            </w:r>
            <w:r>
              <w:rPr>
                <w:sz w:val="20"/>
              </w:rPr>
              <w:t>“中国政府采购网”网站的查询结果，在资格审查期间对投标人在参加政府采购活动前三年内，在经营活动中是否有重大违法记录进行审查</w:t>
            </w:r>
            <w:r>
              <w:rPr>
                <w:rFonts w:hint="eastAsia"/>
                <w:sz w:val="20"/>
              </w:rPr>
              <w:t>。</w:t>
            </w:r>
            <w:r>
              <w:rPr>
                <w:sz w:val="20"/>
              </w:rPr>
              <w:t>【说明：投标人参加政府采购活动前三年内，在经营活动中没有重大违法记录</w:t>
            </w:r>
            <w:r>
              <w:rPr>
                <w:rFonts w:hint="eastAsia"/>
                <w:sz w:val="20"/>
              </w:rPr>
              <w:t>。</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未被列入失信被执行人、重大税收违法案件当事人名单、政府采购严重违法失信行为记录名单</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1.投标人未列入失信被执行人、重大税收违法案件当事人名单、政府采购严重违法失信行为记录名单的书面声明材料</w:t>
            </w:r>
            <w:r>
              <w:rPr>
                <w:rFonts w:hint="eastAsia"/>
                <w:sz w:val="20"/>
              </w:rPr>
              <w:t>。</w:t>
            </w:r>
            <w:r>
              <w:rPr>
                <w:sz w:val="20"/>
              </w:rPr>
              <w:t>【说明：</w:t>
            </w:r>
            <w:r>
              <w:rPr>
                <w:rFonts w:hint="eastAsia" w:ascii="宋体" w:hAnsi="宋体" w:cs="宋体"/>
                <w:sz w:val="20"/>
                <w:lang w:eastAsia="ja-JP"/>
              </w:rPr>
              <w:t>①</w:t>
            </w:r>
            <w:r>
              <w:rPr>
                <w:sz w:val="20"/>
              </w:rPr>
              <w:t>投标人未列入失信被执行人、重大税收违法案件当事人名单、政府采购严重违法失信行为记录名单；</w:t>
            </w:r>
            <w:r>
              <w:rPr>
                <w:rFonts w:hint="eastAsia" w:ascii="宋体" w:hAnsi="宋体"/>
                <w:sz w:val="20"/>
                <w:szCs w:val="28"/>
              </w:rPr>
              <w:t>②</w:t>
            </w:r>
            <w:r>
              <w:rPr>
                <w:sz w:val="20"/>
              </w:rPr>
              <w:t>按</w:t>
            </w:r>
            <w:r>
              <w:rPr>
                <w:rFonts w:hint="eastAsia"/>
                <w:sz w:val="20"/>
              </w:rPr>
              <w:t>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p>
          <w:p>
            <w:pPr>
              <w:tabs>
                <w:tab w:val="left" w:pos="851"/>
              </w:tabs>
              <w:spacing w:line="360" w:lineRule="auto"/>
              <w:rPr>
                <w:sz w:val="20"/>
              </w:rPr>
            </w:pPr>
            <w:r>
              <w:rPr>
                <w:sz w:val="20"/>
              </w:rPr>
              <w:t>2. 资格审查小组根据“信用中国”</w:t>
            </w:r>
            <w:r>
              <w:rPr>
                <w:rFonts w:hint="eastAsia"/>
                <w:sz w:val="20"/>
              </w:rPr>
              <w:t>和</w:t>
            </w:r>
            <w:r>
              <w:rPr>
                <w:sz w:val="20"/>
              </w:rPr>
              <w:t>“中国政府采购网”网站的查询结果，在资格审查期间对投标人在参加政府采购活动前三年内，在经营活动中是否被列入失信被执行人、重大税收违法案件当事人名单、政府采购严重违法失信行为记录名单进行审查</w:t>
            </w:r>
            <w:r>
              <w:rPr>
                <w:rFonts w:hint="eastAsia"/>
                <w:sz w:val="20"/>
              </w:rPr>
              <w:t>。</w:t>
            </w:r>
            <w:r>
              <w:rPr>
                <w:sz w:val="20"/>
              </w:rPr>
              <w:t>【说明：投标人未列入失信被执行人、重大税收违法案件当事人名单、政府采购严重违法失信行为记录名单。】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未处于被行政部门禁止参与政府采购活动的期限内</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投标人未处于被行政部门禁止参与政府采购活动的期限内。【说明：</w:t>
            </w:r>
            <w:r>
              <w:rPr>
                <w:rFonts w:hint="eastAsia"/>
                <w:sz w:val="20"/>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ascii="宋体" w:hAnsi="宋体"/>
                <w:sz w:val="20"/>
                <w:szCs w:val="28"/>
              </w:rPr>
              <w:t>；②供应商未处于被行政部门禁止参与政府采购活动的期限内。</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7" w:hRule="atLeast"/>
        </w:trPr>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rPr>
                <w:sz w:val="20"/>
              </w:rPr>
            </w:pPr>
            <w:r>
              <w:rPr>
                <w:sz w:val="20"/>
              </w:rPr>
              <w:t>行贿犯罪记录</w:t>
            </w:r>
          </w:p>
        </w:tc>
        <w:tc>
          <w:tcPr>
            <w:tcW w:w="6299" w:type="dxa"/>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rPr>
                <w:sz w:val="20"/>
              </w:rPr>
            </w:pPr>
            <w:r>
              <w:rPr>
                <w:sz w:val="20"/>
              </w:rPr>
              <w:t>在行贿犯罪信息查询期限内，投标人及其现任法定代表人、主要负责人没有行贿犯罪记录的书面声明材料。【说明：</w:t>
            </w:r>
            <w:r>
              <w:rPr>
                <w:rFonts w:hint="eastAsia" w:ascii="宋体" w:hAnsi="宋体" w:cs="宋体"/>
                <w:sz w:val="20"/>
                <w:lang w:eastAsia="ja-JP"/>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的格式及要求提供书面声明材料，投标文件中不需提供中国裁判文书网（https://wenshu.court.gov.cn）查询结果的证明材料</w:t>
            </w:r>
            <w:r>
              <w:rPr>
                <w:rFonts w:hint="eastAsia"/>
                <w:sz w:val="20"/>
              </w:rPr>
              <w:t>；</w:t>
            </w:r>
            <w:r>
              <w:rPr>
                <w:rFonts w:hint="eastAsia" w:ascii="宋体" w:hAnsi="宋体"/>
                <w:sz w:val="20"/>
                <w:szCs w:val="28"/>
              </w:rPr>
              <w:t>②在行贿犯罪信息查询期限内，供应商及其现任法定代表人、主要负责人没有行贿犯罪记录</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355"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4"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单位负责人为同一人或者存在直接控股、管理关系的不同供应商，不得参加同一项目的投标</w:t>
            </w:r>
          </w:p>
        </w:tc>
        <w:tc>
          <w:tcPr>
            <w:tcW w:w="6299" w:type="dxa"/>
            <w:tcBorders>
              <w:top w:val="single" w:color="auto" w:sz="4"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与投标人单位负责人为同一人或者存在直接控股、管理关系的相关供应商的书面声明材料。</w:t>
            </w:r>
            <w:r>
              <w:rPr>
                <w:sz w:val="20"/>
              </w:rPr>
              <w:t>【说明：</w:t>
            </w:r>
            <w:r>
              <w:rPr>
                <w:rFonts w:hint="eastAsia"/>
                <w:sz w:val="20"/>
              </w:rPr>
              <w:t>①</w:t>
            </w:r>
            <w:r>
              <w:rPr>
                <w:sz w:val="20"/>
              </w:rPr>
              <w:t>按招标文件3.2.2</w:t>
            </w:r>
            <w:r>
              <w:rPr>
                <w:rFonts w:hint="eastAsia"/>
                <w:sz w:val="20"/>
              </w:rPr>
              <w:t>声明</w:t>
            </w:r>
            <w:r>
              <w:rPr>
                <w:sz w:val="20"/>
              </w:rPr>
              <w:t>的格式及要求提供书面声明材料</w:t>
            </w:r>
            <w:r>
              <w:rPr>
                <w:rFonts w:hint="eastAsia"/>
                <w:sz w:val="20"/>
              </w:rPr>
              <w:t>；②参加投标的供应商中无与投标人的单位负责人为同一人或者存在直接控股、管理关系的供应商</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3</w:t>
            </w:r>
          </w:p>
        </w:tc>
        <w:tc>
          <w:tcPr>
            <w:tcW w:w="446"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其他</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不属于其他国家相关法律法规规定的禁止参加投标的供应商</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1、根据招标文件的要求不属于禁止参加投标或投标无效的供应商；</w:t>
            </w:r>
          </w:p>
          <w:p>
            <w:pPr>
              <w:tabs>
                <w:tab w:val="left" w:pos="851"/>
              </w:tabs>
              <w:spacing w:line="360" w:lineRule="auto"/>
              <w:rPr>
                <w:sz w:val="20"/>
              </w:rPr>
            </w:pPr>
            <w:r>
              <w:rPr>
                <w:sz w:val="20"/>
              </w:rPr>
              <w:t>2、资格审查小组未发现或者未知晓投标人存在属于国家相关法律法规规定的禁止参加投标或投标无效的供应商。</w:t>
            </w:r>
          </w:p>
          <w:p>
            <w:pPr>
              <w:tabs>
                <w:tab w:val="left" w:pos="851"/>
              </w:tabs>
              <w:spacing w:line="360" w:lineRule="auto"/>
              <w:rPr>
                <w:sz w:val="20"/>
              </w:rPr>
            </w:pP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具有履行合同所必须的设备和专业技术能力</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采购人对投标人履行合同所必须的设备和专业技术能力无其他特殊要求，投标人具有有效的营业执照或法人证书即可，可不提供其他证明材料。</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法律、行政法规规定的其他条件</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采购人对法律、行政法规规定的其他条件无其他特殊要求，投标人具有有效的营业执照或法人证书即可，可不提供其他证明材料。</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联合体投标</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highlight w:val="yellow"/>
              </w:rPr>
              <w:t>非联合体投标</w:t>
            </w:r>
            <w:r>
              <w:rPr>
                <w:sz w:val="20"/>
              </w:rPr>
              <w:t>。</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资质要求</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highlight w:val="yellow"/>
              </w:rPr>
              <w:t>无</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投标保证金</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无</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6" w:hRule="atLeast"/>
        </w:trPr>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right w:val="single" w:color="auto" w:sz="2" w:space="0"/>
            </w:tcBorders>
            <w:vAlign w:val="center"/>
          </w:tcPr>
          <w:p>
            <w:pPr>
              <w:tabs>
                <w:tab w:val="left" w:pos="851"/>
              </w:tabs>
              <w:spacing w:line="360" w:lineRule="auto"/>
              <w:rPr>
                <w:rFonts w:ascii="宋体" w:hAnsi="宋体"/>
                <w:sz w:val="20"/>
                <w:szCs w:val="28"/>
              </w:rPr>
            </w:pPr>
            <w:r>
              <w:rPr>
                <w:sz w:val="20"/>
              </w:rPr>
              <w:t>投标文件解密情况</w:t>
            </w:r>
          </w:p>
        </w:tc>
        <w:tc>
          <w:tcPr>
            <w:tcW w:w="6299" w:type="dxa"/>
            <w:tcBorders>
              <w:top w:val="single" w:color="auto" w:sz="2" w:space="0"/>
              <w:left w:val="single" w:color="auto" w:sz="2" w:space="0"/>
              <w:right w:val="single" w:color="auto" w:sz="2" w:space="0"/>
            </w:tcBorders>
            <w:vAlign w:val="center"/>
          </w:tcPr>
          <w:p>
            <w:pPr>
              <w:tabs>
                <w:tab w:val="left" w:pos="851"/>
              </w:tabs>
              <w:spacing w:line="360" w:lineRule="auto"/>
              <w:rPr>
                <w:rFonts w:ascii="宋体" w:hAnsi="宋体"/>
                <w:sz w:val="20"/>
                <w:szCs w:val="28"/>
              </w:rPr>
            </w:pPr>
            <w:r>
              <w:rPr>
                <w:rFonts w:hint="eastAsia" w:ascii="宋体" w:hAnsi="宋体"/>
                <w:sz w:val="20"/>
                <w:szCs w:val="28"/>
              </w:rPr>
              <w:t>除因断电、断网、系统故障或其他不可抗力等因素，导致系统无法使用外，投标文件已成功解密。</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投标文件签章</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投标文件加盖有投标人（法定名称）电子签章</w:t>
            </w:r>
            <w:r>
              <w:rPr>
                <w:sz w:val="20"/>
              </w:rPr>
              <w:t>。</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投标文件资格性审查部分的语言</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语言符合招标文件的要求。</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4</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投标文件资格性审查部分组成</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0"/>
                <w:szCs w:val="28"/>
              </w:rPr>
            </w:pPr>
            <w:r>
              <w:rPr>
                <w:rFonts w:hint="eastAsia" w:ascii="宋体" w:hAnsi="宋体"/>
                <w:sz w:val="20"/>
                <w:szCs w:val="28"/>
              </w:rPr>
              <w:t>符合资格预审文件“</w:t>
            </w:r>
            <w:r>
              <w:rPr>
                <w:rFonts w:ascii="宋体" w:hAnsi="宋体"/>
                <w:sz w:val="20"/>
                <w:szCs w:val="28"/>
              </w:rPr>
              <w:t>2.4.</w:t>
            </w:r>
            <w:r>
              <w:rPr>
                <w:rFonts w:hint="eastAsia" w:ascii="宋体" w:hAnsi="宋体"/>
                <w:sz w:val="20"/>
                <w:szCs w:val="28"/>
              </w:rPr>
              <w:t>6投标</w:t>
            </w:r>
            <w:r>
              <w:rPr>
                <w:rFonts w:ascii="宋体" w:hAnsi="宋体"/>
                <w:sz w:val="20"/>
                <w:szCs w:val="28"/>
              </w:rPr>
              <w:t>文件的组成”规定要求。</w:t>
            </w:r>
            <w:r>
              <w:rPr>
                <w:rFonts w:hint="eastAsia" w:ascii="宋体" w:hAnsi="宋体"/>
                <w:sz w:val="20"/>
                <w:szCs w:val="28"/>
              </w:rPr>
              <w:t>【说明：投标人按招标文件3.2.1关于投标人资格资格申明的函格式及要求提供关于投标人资格资格申明的函。】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5</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缴纳社会保障资金的证明材料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投标人缴纳20</w:t>
            </w:r>
            <w:r>
              <w:rPr>
                <w:rFonts w:hint="eastAsia"/>
                <w:sz w:val="20"/>
              </w:rPr>
              <w:t>20</w:t>
            </w:r>
            <w:r>
              <w:rPr>
                <w:sz w:val="20"/>
              </w:rPr>
              <w:t>或20</w:t>
            </w:r>
            <w:r>
              <w:rPr>
                <w:rFonts w:hint="eastAsia"/>
                <w:sz w:val="20"/>
              </w:rPr>
              <w:t>21</w:t>
            </w:r>
            <w:r>
              <w:rPr>
                <w:sz w:val="20"/>
              </w:rPr>
              <w:t>年任意时段的社保的银行电子回单或行政部门出具的社保缴纳证明材料复印件。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6</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缴纳税收的证明材料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投标人缴纳20</w:t>
            </w:r>
            <w:r>
              <w:rPr>
                <w:rFonts w:hint="eastAsia"/>
                <w:sz w:val="20"/>
              </w:rPr>
              <w:t>20</w:t>
            </w:r>
            <w:r>
              <w:rPr>
                <w:sz w:val="20"/>
              </w:rPr>
              <w:t>或20</w:t>
            </w:r>
            <w:r>
              <w:rPr>
                <w:rFonts w:hint="eastAsia"/>
                <w:sz w:val="20"/>
              </w:rPr>
              <w:t>21</w:t>
            </w:r>
            <w:r>
              <w:rPr>
                <w:sz w:val="20"/>
              </w:rPr>
              <w:t>年任意时段的税收的银行电子回单或者行政部门出具的纳税证明或完税证明的复印件。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7</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具有健全的财务会计制度的证明材料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20</w:t>
            </w:r>
            <w:r>
              <w:rPr>
                <w:rFonts w:hint="eastAsia"/>
                <w:sz w:val="20"/>
              </w:rPr>
              <w:t>19</w:t>
            </w:r>
            <w:r>
              <w:rPr>
                <w:sz w:val="20"/>
              </w:rPr>
              <w:t>或20</w:t>
            </w:r>
            <w:r>
              <w:rPr>
                <w:rFonts w:hint="eastAsia"/>
                <w:sz w:val="20"/>
              </w:rPr>
              <w:t>20</w:t>
            </w:r>
            <w:r>
              <w:rPr>
                <w:sz w:val="20"/>
              </w:rPr>
              <w:t>会计年度资产负债表复印件</w:t>
            </w:r>
            <w:r>
              <w:rPr>
                <w:rFonts w:hint="eastAsia"/>
                <w:sz w:val="20"/>
              </w:rPr>
              <w:t>。</w:t>
            </w:r>
            <w:r>
              <w:rPr>
                <w:sz w:val="20"/>
              </w:rPr>
              <w:t>【说明：投标人成立时间至投标截止时间止不足一年的，提供成立后任意时段的资产负债表复印件</w:t>
            </w:r>
            <w:r>
              <w:rPr>
                <w:rFonts w:hint="eastAsia"/>
                <w:sz w:val="20"/>
              </w:rPr>
              <w:t>。</w:t>
            </w:r>
            <w:r>
              <w:rPr>
                <w:sz w:val="20"/>
              </w:rPr>
              <w:t>】</w:t>
            </w:r>
          </w:p>
        </w:tc>
      </w:tr>
    </w:tbl>
    <w:p>
      <w:pPr>
        <w:tabs>
          <w:tab w:val="left" w:pos="851"/>
        </w:tabs>
        <w:spacing w:line="360" w:lineRule="auto"/>
        <w:ind w:firstLine="560" w:firstLineChars="200"/>
        <w:rPr>
          <w:rFonts w:ascii="宋体" w:hAnsi="宋体"/>
          <w:sz w:val="28"/>
          <w:szCs w:val="28"/>
        </w:rPr>
      </w:pPr>
      <w:r>
        <w:rPr>
          <w:rFonts w:hint="eastAsia" w:ascii="宋体" w:hAnsi="宋体"/>
          <w:sz w:val="28"/>
          <w:szCs w:val="28"/>
        </w:rPr>
        <w:t>注：一、以上每一项结论均为“通过”的，则投标人的投标文件通过资格性审查；如有其中任意一项结论为“不通过”的，则投标人的投标文件按无效投标文件处理。如果资格审查小组认为投标人有任意一项不通过的，应在资格性审查报告中载明不通过的具体原因。</w:t>
      </w:r>
    </w:p>
    <w:p>
      <w:pPr>
        <w:tabs>
          <w:tab w:val="left" w:pos="851"/>
        </w:tabs>
        <w:spacing w:line="360" w:lineRule="auto"/>
        <w:ind w:firstLine="566" w:firstLineChars="202"/>
        <w:rPr>
          <w:rFonts w:ascii="宋体" w:hAnsi="宋体"/>
          <w:sz w:val="28"/>
          <w:szCs w:val="28"/>
        </w:rPr>
      </w:pPr>
      <w:r>
        <w:rPr>
          <w:rFonts w:hint="eastAsia" w:ascii="宋体" w:hAnsi="宋体"/>
          <w:sz w:val="28"/>
          <w:szCs w:val="28"/>
        </w:rPr>
        <w:t>二、“</w:t>
      </w:r>
      <w:r>
        <w:rPr>
          <w:rFonts w:hint="eastAsia" w:ascii="宋体" w:hAnsi="宋体"/>
          <w:sz w:val="28"/>
          <w:szCs w:val="28"/>
          <w:highlight w:val="yellow"/>
        </w:rPr>
        <w:t>信用中国</w:t>
      </w:r>
      <w:r>
        <w:rPr>
          <w:rFonts w:hint="eastAsia" w:ascii="宋体" w:hAnsi="宋体"/>
          <w:sz w:val="28"/>
          <w:szCs w:val="28"/>
        </w:rPr>
        <w:t>”和“</w:t>
      </w:r>
      <w:r>
        <w:rPr>
          <w:rFonts w:hint="eastAsia" w:ascii="宋体" w:hAnsi="宋体"/>
          <w:sz w:val="28"/>
          <w:szCs w:val="28"/>
          <w:highlight w:val="yellow"/>
        </w:rPr>
        <w:t>中国政府采购网</w:t>
      </w:r>
      <w:r>
        <w:rPr>
          <w:rFonts w:hint="eastAsia" w:ascii="宋体" w:hAnsi="宋体"/>
          <w:sz w:val="28"/>
          <w:szCs w:val="28"/>
        </w:rPr>
        <w:t>”网站查询结果，将以纸质截图或将截图保存至电子介质的形式留存。</w:t>
      </w:r>
    </w:p>
    <w:p>
      <w:pPr>
        <w:tabs>
          <w:tab w:val="left" w:pos="851"/>
        </w:tabs>
        <w:spacing w:line="360" w:lineRule="auto"/>
        <w:ind w:firstLine="566" w:firstLineChars="202"/>
        <w:rPr>
          <w:rFonts w:ascii="宋体" w:hAnsi="宋体"/>
          <w:sz w:val="28"/>
          <w:szCs w:val="28"/>
        </w:rPr>
      </w:pPr>
      <w:r>
        <w:rPr>
          <w:rFonts w:hint="eastAsia" w:ascii="宋体" w:hAnsi="宋体"/>
          <w:sz w:val="28"/>
          <w:szCs w:val="28"/>
        </w:rPr>
        <w:t>三、投标人的投标文件资格性审查时被判定为无效的，采购中心将通知投标人（以现场公示、电话、短信、成都市公共资源交易中心网站等任一方式）。投标人如对资格审查结论有异议的，应及时向采购中心反馈意见。采购中心将及时告知资格审查小组。（说明：无论投标人是否收到通知或提供反馈意见，均不影响资格审查和评标工作，且采购中心对此将不承担任何的责任。投标人对资格审查结论有异议的，其反馈意见仅限于资格审查小组对资格审查结论的正确性进行复核，避免出现审查错误。）</w:t>
      </w:r>
    </w:p>
    <w:p>
      <w:pPr>
        <w:tabs>
          <w:tab w:val="left" w:pos="851"/>
        </w:tabs>
        <w:spacing w:line="360" w:lineRule="auto"/>
        <w:ind w:firstLine="566" w:firstLineChars="202"/>
        <w:rPr>
          <w:rFonts w:ascii="宋体" w:hAnsi="宋体"/>
          <w:sz w:val="28"/>
          <w:szCs w:val="28"/>
        </w:rPr>
      </w:pPr>
      <w:r>
        <w:rPr>
          <w:rFonts w:hint="eastAsia" w:ascii="宋体" w:hAnsi="宋体"/>
          <w:sz w:val="28"/>
          <w:szCs w:val="28"/>
        </w:rPr>
        <w:t>四、通过资格性审查的供应商＜3名，采购失败。</w:t>
      </w:r>
    </w:p>
    <w:p>
      <w:pPr>
        <w:tabs>
          <w:tab w:val="left" w:pos="851"/>
        </w:tabs>
        <w:spacing w:line="360" w:lineRule="auto"/>
        <w:ind w:firstLine="566" w:firstLineChars="202"/>
        <w:rPr>
          <w:rFonts w:ascii="宋体" w:hAnsi="宋体"/>
          <w:sz w:val="28"/>
          <w:szCs w:val="28"/>
        </w:rPr>
      </w:pPr>
    </w:p>
    <w:p>
      <w:pPr>
        <w:tabs>
          <w:tab w:val="left" w:pos="851"/>
        </w:tabs>
        <w:spacing w:line="360" w:lineRule="auto"/>
        <w:ind w:firstLine="566" w:firstLineChars="202"/>
        <w:rPr>
          <w:rFonts w:ascii="宋体" w:hAnsi="宋体"/>
          <w:sz w:val="28"/>
          <w:szCs w:val="28"/>
        </w:rPr>
      </w:pPr>
    </w:p>
    <w:p>
      <w:pPr>
        <w:tabs>
          <w:tab w:val="left" w:pos="851"/>
        </w:tabs>
        <w:spacing w:line="360" w:lineRule="auto"/>
        <w:ind w:firstLine="566" w:firstLineChars="202"/>
        <w:rPr>
          <w:rFonts w:ascii="宋体" w:hAnsi="宋体"/>
          <w:sz w:val="28"/>
          <w:szCs w:val="28"/>
        </w:rPr>
      </w:pPr>
    </w:p>
    <w:p>
      <w:pPr>
        <w:tabs>
          <w:tab w:val="left" w:pos="851"/>
        </w:tabs>
        <w:spacing w:line="360" w:lineRule="auto"/>
        <w:ind w:firstLine="566" w:firstLineChars="202"/>
        <w:rPr>
          <w:rFonts w:ascii="宋体" w:hAnsi="宋体"/>
          <w:sz w:val="28"/>
          <w:szCs w:val="28"/>
        </w:rPr>
      </w:pPr>
    </w:p>
    <w:p>
      <w:pPr>
        <w:tabs>
          <w:tab w:val="left" w:pos="851"/>
        </w:tabs>
        <w:spacing w:line="360" w:lineRule="auto"/>
        <w:rPr>
          <w:rFonts w:ascii="宋体" w:hAnsi="宋体"/>
          <w:sz w:val="28"/>
          <w:szCs w:val="28"/>
        </w:rPr>
        <w:sectPr>
          <w:pgSz w:w="12240" w:h="15840"/>
          <w:pgMar w:top="1440" w:right="1800" w:bottom="1440" w:left="1800" w:header="708" w:footer="708" w:gutter="0"/>
          <w:cols w:space="708" w:num="1"/>
          <w:docGrid w:linePitch="360" w:charSpace="0"/>
        </w:sectPr>
      </w:pPr>
    </w:p>
    <w:p>
      <w:pPr>
        <w:tabs>
          <w:tab w:val="left" w:pos="851"/>
        </w:tabs>
        <w:spacing w:line="360" w:lineRule="auto"/>
        <w:rPr>
          <w:rFonts w:ascii="宋体" w:hAnsi="宋体"/>
          <w:sz w:val="28"/>
          <w:szCs w:val="28"/>
        </w:rPr>
      </w:pPr>
    </w:p>
    <w:p>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158" w:name="_Toc74752340"/>
      <w:r>
        <w:rPr>
          <w:rFonts w:hint="eastAsia" w:ascii="宋体" w:hAnsi="宋体"/>
          <w:b/>
          <w:bCs/>
          <w:spacing w:val="-20"/>
          <w:kern w:val="44"/>
          <w:sz w:val="32"/>
          <w:szCs w:val="32"/>
        </w:rPr>
        <w:t>评标办法</w:t>
      </w:r>
      <w:bookmarkEnd w:id="158"/>
    </w:p>
    <w:p>
      <w:pPr>
        <w:keepNext/>
        <w:keepLines/>
        <w:numPr>
          <w:ilvl w:val="1"/>
          <w:numId w:val="5"/>
        </w:numPr>
        <w:spacing w:line="360" w:lineRule="auto"/>
        <w:jc w:val="left"/>
        <w:outlineLvl w:val="1"/>
        <w:rPr>
          <w:rFonts w:ascii="宋体" w:hAnsi="宋体"/>
          <w:b/>
          <w:bCs/>
          <w:sz w:val="28"/>
          <w:szCs w:val="28"/>
        </w:rPr>
      </w:pPr>
      <w:bookmarkStart w:id="159" w:name="_Toc74752341"/>
      <w:r>
        <w:rPr>
          <w:rFonts w:hint="eastAsia" w:ascii="宋体" w:hAnsi="宋体"/>
          <w:b/>
          <w:bCs/>
          <w:sz w:val="28"/>
          <w:szCs w:val="28"/>
        </w:rPr>
        <w:t>总则</w:t>
      </w:r>
      <w:bookmarkEnd w:id="159"/>
    </w:p>
    <w:p>
      <w:pPr>
        <w:numPr>
          <w:ilvl w:val="0"/>
          <w:numId w:val="40"/>
        </w:numPr>
        <w:tabs>
          <w:tab w:val="left" w:pos="1134"/>
        </w:tabs>
        <w:spacing w:line="360" w:lineRule="auto"/>
        <w:ind w:left="0" w:firstLine="566" w:firstLineChars="202"/>
        <w:rPr>
          <w:rFonts w:ascii="宋体" w:hAnsi="宋体"/>
          <w:sz w:val="28"/>
          <w:szCs w:val="28"/>
        </w:rPr>
      </w:pPr>
      <w:r>
        <w:rPr>
          <w:rFonts w:hint="eastAsia" w:ascii="宋体" w:hAnsi="宋体"/>
          <w:sz w:val="28"/>
          <w:szCs w:val="28"/>
        </w:rPr>
        <w:t>根据《中华人民共和国政府采购法》、《中华人民共和国政府采购法实施条例》和《政府采购货物和服务招标投标管理办法》等法律规章，结合采购项目特点制定本评标办法。</w:t>
      </w:r>
    </w:p>
    <w:p>
      <w:pPr>
        <w:numPr>
          <w:ilvl w:val="0"/>
          <w:numId w:val="40"/>
        </w:numPr>
        <w:tabs>
          <w:tab w:val="left" w:pos="1134"/>
        </w:tabs>
        <w:spacing w:line="360" w:lineRule="auto"/>
        <w:ind w:left="0" w:firstLine="566" w:firstLineChars="202"/>
        <w:rPr>
          <w:rFonts w:ascii="宋体" w:hAnsi="宋体"/>
          <w:sz w:val="28"/>
          <w:szCs w:val="28"/>
        </w:rPr>
      </w:pPr>
      <w:r>
        <w:rPr>
          <w:rFonts w:hint="eastAsia" w:ascii="宋体" w:hAnsi="宋体"/>
          <w:sz w:val="28"/>
          <w:szCs w:val="28"/>
        </w:rPr>
        <w:t>评标工作由</w:t>
      </w:r>
      <w:r>
        <w:rPr>
          <w:rFonts w:hint="eastAsia" w:cs="Arial"/>
          <w:sz w:val="28"/>
          <w:szCs w:val="28"/>
        </w:rPr>
        <w:t>采购中心</w:t>
      </w:r>
      <w:r>
        <w:rPr>
          <w:rFonts w:hint="eastAsia" w:ascii="宋体" w:hAnsi="宋体"/>
          <w:sz w:val="28"/>
          <w:szCs w:val="28"/>
        </w:rPr>
        <w:t>负责组织，具体评标事务由采购人或</w:t>
      </w:r>
      <w:r>
        <w:rPr>
          <w:rFonts w:hint="eastAsia" w:cs="Arial"/>
          <w:sz w:val="28"/>
          <w:szCs w:val="28"/>
        </w:rPr>
        <w:t>采购中心</w:t>
      </w:r>
      <w:r>
        <w:rPr>
          <w:rFonts w:hint="eastAsia" w:ascii="宋体" w:hAnsi="宋体"/>
          <w:sz w:val="28"/>
          <w:szCs w:val="28"/>
        </w:rPr>
        <w:t>依法组建的评标委员会负责。评标委员会由采购人代表和评审专家组成。</w:t>
      </w:r>
    </w:p>
    <w:p>
      <w:pPr>
        <w:numPr>
          <w:ilvl w:val="0"/>
          <w:numId w:val="40"/>
        </w:numPr>
        <w:tabs>
          <w:tab w:val="left" w:pos="1134"/>
        </w:tabs>
        <w:spacing w:line="360" w:lineRule="auto"/>
        <w:ind w:left="0" w:firstLine="566" w:firstLineChars="202"/>
        <w:rPr>
          <w:rFonts w:ascii="宋体" w:hAnsi="宋体"/>
          <w:sz w:val="28"/>
          <w:szCs w:val="28"/>
        </w:rPr>
      </w:pPr>
      <w:r>
        <w:rPr>
          <w:rFonts w:hint="eastAsia" w:ascii="宋体" w:hAnsi="宋体"/>
          <w:sz w:val="28"/>
          <w:szCs w:val="28"/>
        </w:rPr>
        <w:t>评标工作应遵循公平、公正、科学及择优的原则，并以相同的评标程序和标准对待所有的投标人。</w:t>
      </w:r>
    </w:p>
    <w:p>
      <w:pPr>
        <w:numPr>
          <w:ilvl w:val="0"/>
          <w:numId w:val="40"/>
        </w:numPr>
        <w:tabs>
          <w:tab w:val="left" w:pos="1134"/>
        </w:tabs>
        <w:spacing w:line="360" w:lineRule="auto"/>
        <w:ind w:left="0" w:firstLine="566" w:firstLineChars="202"/>
        <w:rPr>
          <w:rFonts w:ascii="宋体" w:hAnsi="宋体"/>
          <w:sz w:val="28"/>
          <w:szCs w:val="28"/>
        </w:rPr>
      </w:pPr>
      <w:r>
        <w:rPr>
          <w:rFonts w:hint="eastAsia" w:ascii="宋体" w:hAnsi="宋体"/>
          <w:sz w:val="28"/>
          <w:szCs w:val="28"/>
        </w:rPr>
        <w:t>评标委员会按照招标文件规定的评标程序、评标方法和标准进行独立评审，并独立履行下列职责：</w:t>
      </w:r>
    </w:p>
    <w:p>
      <w:pPr>
        <w:numPr>
          <w:ilvl w:val="1"/>
          <w:numId w:val="41"/>
        </w:numPr>
        <w:spacing w:line="360" w:lineRule="auto"/>
        <w:ind w:left="0" w:firstLine="567"/>
        <w:rPr>
          <w:rFonts w:ascii="宋体" w:hAnsi="宋体"/>
          <w:sz w:val="28"/>
          <w:szCs w:val="28"/>
        </w:rPr>
      </w:pPr>
      <w:r>
        <w:rPr>
          <w:rFonts w:hint="eastAsia" w:ascii="宋体" w:hAnsi="宋体"/>
          <w:sz w:val="28"/>
          <w:szCs w:val="28"/>
        </w:rPr>
        <w:t>熟悉和理解招标文件；</w:t>
      </w:r>
    </w:p>
    <w:p>
      <w:pPr>
        <w:numPr>
          <w:ilvl w:val="1"/>
          <w:numId w:val="41"/>
        </w:numPr>
        <w:spacing w:line="360" w:lineRule="auto"/>
        <w:ind w:left="0" w:firstLine="567"/>
        <w:rPr>
          <w:rFonts w:ascii="宋体" w:hAnsi="宋体"/>
          <w:sz w:val="28"/>
          <w:szCs w:val="28"/>
        </w:rPr>
      </w:pPr>
      <w:r>
        <w:rPr>
          <w:rFonts w:hint="eastAsia" w:ascii="宋体" w:hAnsi="宋体"/>
          <w:sz w:val="28"/>
          <w:szCs w:val="28"/>
        </w:rPr>
        <w:t>审查、评价投标文件是否符合招标文件的商务、技术等实质性要求；</w:t>
      </w:r>
    </w:p>
    <w:p>
      <w:pPr>
        <w:numPr>
          <w:ilvl w:val="1"/>
          <w:numId w:val="41"/>
        </w:numPr>
        <w:spacing w:line="360" w:lineRule="auto"/>
        <w:ind w:left="0" w:firstLine="567"/>
        <w:rPr>
          <w:rFonts w:ascii="宋体" w:hAnsi="宋体"/>
          <w:sz w:val="28"/>
          <w:szCs w:val="28"/>
        </w:rPr>
      </w:pPr>
      <w:r>
        <w:rPr>
          <w:rFonts w:hint="eastAsia" w:ascii="宋体" w:hAnsi="宋体"/>
          <w:sz w:val="28"/>
          <w:szCs w:val="28"/>
        </w:rPr>
        <w:t>对投标文件进行比较和评价；</w:t>
      </w:r>
    </w:p>
    <w:p>
      <w:pPr>
        <w:numPr>
          <w:ilvl w:val="1"/>
          <w:numId w:val="41"/>
        </w:numPr>
        <w:spacing w:line="360" w:lineRule="auto"/>
        <w:ind w:left="0" w:firstLine="567"/>
        <w:rPr>
          <w:rFonts w:ascii="宋体" w:hAnsi="宋体"/>
          <w:sz w:val="28"/>
          <w:szCs w:val="28"/>
        </w:rPr>
      </w:pPr>
      <w:r>
        <w:rPr>
          <w:rFonts w:hint="eastAsia" w:ascii="宋体" w:hAnsi="宋体"/>
          <w:sz w:val="28"/>
          <w:szCs w:val="28"/>
        </w:rPr>
        <w:t>根据需要要求采购人对招标文件作出解释；根据需要要求投标人对投标文件有关事项作出解释或者澄清；</w:t>
      </w:r>
    </w:p>
    <w:p>
      <w:pPr>
        <w:numPr>
          <w:ilvl w:val="1"/>
          <w:numId w:val="41"/>
        </w:numPr>
        <w:spacing w:line="360" w:lineRule="auto"/>
        <w:ind w:left="0" w:firstLine="567"/>
        <w:rPr>
          <w:rFonts w:ascii="宋体" w:hAnsi="宋体"/>
          <w:sz w:val="28"/>
          <w:szCs w:val="28"/>
        </w:rPr>
      </w:pPr>
      <w:r>
        <w:rPr>
          <w:rFonts w:hint="eastAsia" w:ascii="宋体" w:hAnsi="宋体"/>
          <w:sz w:val="28"/>
          <w:szCs w:val="28"/>
        </w:rPr>
        <w:t>确定中标候选人名单，以及根据采购人委托直接确定中标人；</w:t>
      </w:r>
    </w:p>
    <w:p>
      <w:pPr>
        <w:numPr>
          <w:ilvl w:val="1"/>
          <w:numId w:val="41"/>
        </w:numPr>
        <w:spacing w:line="360" w:lineRule="auto"/>
        <w:ind w:left="0" w:firstLine="567"/>
        <w:rPr>
          <w:rFonts w:ascii="宋体" w:hAnsi="宋体"/>
          <w:sz w:val="28"/>
          <w:szCs w:val="28"/>
        </w:rPr>
      </w:pPr>
      <w:r>
        <w:rPr>
          <w:rFonts w:hint="eastAsia" w:ascii="宋体" w:hAnsi="宋体"/>
          <w:sz w:val="28"/>
          <w:szCs w:val="28"/>
        </w:rPr>
        <w:t>起草评标报告并进行签署；</w:t>
      </w:r>
    </w:p>
    <w:p>
      <w:pPr>
        <w:numPr>
          <w:ilvl w:val="1"/>
          <w:numId w:val="41"/>
        </w:numPr>
        <w:spacing w:line="360" w:lineRule="auto"/>
        <w:ind w:left="0" w:firstLine="567"/>
        <w:rPr>
          <w:rFonts w:ascii="宋体" w:hAnsi="宋体"/>
          <w:sz w:val="28"/>
          <w:szCs w:val="28"/>
        </w:rPr>
      </w:pPr>
      <w:r>
        <w:rPr>
          <w:rFonts w:hint="eastAsia" w:ascii="宋体" w:hAnsi="宋体"/>
          <w:sz w:val="28"/>
          <w:szCs w:val="28"/>
        </w:rPr>
        <w:t>向采购人、采购中心或者财政、监察等有关部门报告或举报非法干预评标工作的行为；</w:t>
      </w:r>
    </w:p>
    <w:p>
      <w:pPr>
        <w:numPr>
          <w:ilvl w:val="1"/>
          <w:numId w:val="41"/>
        </w:numPr>
        <w:spacing w:line="360" w:lineRule="auto"/>
        <w:ind w:left="0" w:firstLine="567"/>
        <w:rPr>
          <w:rFonts w:ascii="宋体" w:hAnsi="宋体"/>
          <w:sz w:val="28"/>
          <w:szCs w:val="28"/>
        </w:rPr>
      </w:pPr>
      <w:r>
        <w:rPr>
          <w:rFonts w:hint="eastAsia" w:ascii="宋体" w:hAnsi="宋体"/>
          <w:sz w:val="28"/>
          <w:szCs w:val="28"/>
        </w:rPr>
        <w:t>向采购人、</w:t>
      </w:r>
      <w:r>
        <w:rPr>
          <w:rFonts w:hint="eastAsia" w:cs="Arial"/>
          <w:sz w:val="28"/>
          <w:szCs w:val="28"/>
        </w:rPr>
        <w:t>采购中心</w:t>
      </w:r>
      <w:r>
        <w:rPr>
          <w:rFonts w:hint="eastAsia" w:ascii="宋体" w:hAnsi="宋体"/>
          <w:sz w:val="28"/>
          <w:szCs w:val="28"/>
        </w:rPr>
        <w:t>或者有关部门报告评标中发现的违法行为。</w:t>
      </w:r>
    </w:p>
    <w:p>
      <w:pPr>
        <w:numPr>
          <w:ilvl w:val="1"/>
          <w:numId w:val="41"/>
        </w:numPr>
        <w:spacing w:line="360" w:lineRule="auto"/>
        <w:ind w:left="0" w:firstLine="567"/>
        <w:rPr>
          <w:rFonts w:ascii="宋体" w:hAnsi="宋体"/>
          <w:sz w:val="28"/>
          <w:szCs w:val="28"/>
        </w:rPr>
      </w:pPr>
      <w:r>
        <w:rPr>
          <w:rFonts w:hint="eastAsia" w:ascii="宋体" w:hAnsi="宋体"/>
          <w:sz w:val="28"/>
          <w:szCs w:val="28"/>
        </w:rPr>
        <w:t>法律、法规和规章规定的其他职责。</w:t>
      </w:r>
    </w:p>
    <w:p>
      <w:pPr>
        <w:numPr>
          <w:ilvl w:val="0"/>
          <w:numId w:val="40"/>
        </w:numPr>
        <w:tabs>
          <w:tab w:val="left" w:pos="1134"/>
        </w:tabs>
        <w:spacing w:line="360" w:lineRule="auto"/>
        <w:ind w:left="0" w:firstLine="566" w:firstLineChars="202"/>
        <w:rPr>
          <w:rFonts w:ascii="宋体" w:hAnsi="宋体"/>
          <w:sz w:val="28"/>
          <w:szCs w:val="28"/>
        </w:rPr>
      </w:pPr>
      <w:r>
        <w:rPr>
          <w:rFonts w:hint="eastAsia" w:ascii="宋体" w:hAnsi="宋体"/>
          <w:sz w:val="28"/>
          <w:szCs w:val="28"/>
        </w:rPr>
        <w:t>评标过程独立、保密。投标人非法干预评标过程的行为将导致其投标文件作为无效处理。</w:t>
      </w:r>
    </w:p>
    <w:p>
      <w:pPr>
        <w:numPr>
          <w:ilvl w:val="0"/>
          <w:numId w:val="40"/>
        </w:numPr>
        <w:tabs>
          <w:tab w:val="left" w:pos="1134"/>
        </w:tabs>
        <w:spacing w:line="360" w:lineRule="auto"/>
        <w:ind w:left="0" w:firstLine="566" w:firstLineChars="202"/>
        <w:rPr>
          <w:rFonts w:ascii="宋体" w:hAnsi="宋体"/>
          <w:sz w:val="28"/>
          <w:szCs w:val="28"/>
        </w:rPr>
      </w:pPr>
      <w:r>
        <w:rPr>
          <w:rFonts w:hint="eastAsia" w:ascii="宋体" w:hAnsi="宋体"/>
          <w:sz w:val="28"/>
          <w:szCs w:val="28"/>
        </w:rPr>
        <w:t>评标委员会决定投标文件的响应性依据投标文件本身的内容，而不寻求外部的证据，招标文件有明确约定的除外。</w:t>
      </w:r>
    </w:p>
    <w:p>
      <w:pPr>
        <w:numPr>
          <w:ilvl w:val="0"/>
          <w:numId w:val="40"/>
        </w:numPr>
        <w:tabs>
          <w:tab w:val="left" w:pos="1134"/>
        </w:tabs>
        <w:spacing w:line="360" w:lineRule="auto"/>
        <w:ind w:left="0" w:firstLine="566" w:firstLineChars="202"/>
        <w:rPr>
          <w:rFonts w:ascii="宋体" w:hAnsi="宋体"/>
          <w:sz w:val="28"/>
          <w:szCs w:val="28"/>
        </w:rPr>
      </w:pPr>
      <w:r>
        <w:rPr>
          <w:rFonts w:hint="eastAsia" w:ascii="宋体" w:hAnsi="宋体"/>
          <w:sz w:val="28"/>
          <w:szCs w:val="28"/>
        </w:rPr>
        <w:t>评标委员会发现招标文件表述不明确或需要说明的事项，可提请采购人和采购中心书面解释说明。</w:t>
      </w:r>
    </w:p>
    <w:p>
      <w:pPr>
        <w:keepNext/>
        <w:keepLines/>
        <w:numPr>
          <w:ilvl w:val="1"/>
          <w:numId w:val="5"/>
        </w:numPr>
        <w:spacing w:line="360" w:lineRule="auto"/>
        <w:jc w:val="left"/>
        <w:outlineLvl w:val="1"/>
        <w:rPr>
          <w:rFonts w:ascii="宋体" w:hAnsi="宋体"/>
          <w:b/>
          <w:bCs/>
          <w:sz w:val="28"/>
          <w:szCs w:val="28"/>
        </w:rPr>
      </w:pPr>
      <w:bookmarkStart w:id="160" w:name="_Toc74752342"/>
      <w:r>
        <w:rPr>
          <w:rFonts w:hint="eastAsia" w:ascii="宋体" w:hAnsi="宋体"/>
          <w:b/>
          <w:bCs/>
          <w:sz w:val="28"/>
          <w:szCs w:val="28"/>
        </w:rPr>
        <w:t>评标方法</w:t>
      </w:r>
      <w:bookmarkEnd w:id="160"/>
    </w:p>
    <w:p>
      <w:pPr>
        <w:spacing w:line="360" w:lineRule="auto"/>
        <w:ind w:firstLine="566" w:firstLineChars="202"/>
        <w:rPr>
          <w:rFonts w:ascii="宋体" w:hAnsi="宋体"/>
          <w:sz w:val="28"/>
          <w:szCs w:val="28"/>
        </w:rPr>
      </w:pPr>
      <w:r>
        <w:rPr>
          <w:rFonts w:hint="eastAsia" w:ascii="宋体" w:hAnsi="宋体"/>
          <w:sz w:val="28"/>
          <w:szCs w:val="28"/>
        </w:rPr>
        <w:t>综合评分法。</w:t>
      </w:r>
    </w:p>
    <w:p>
      <w:pPr>
        <w:keepNext/>
        <w:keepLines/>
        <w:numPr>
          <w:ilvl w:val="1"/>
          <w:numId w:val="5"/>
        </w:numPr>
        <w:spacing w:line="360" w:lineRule="auto"/>
        <w:jc w:val="left"/>
        <w:outlineLvl w:val="1"/>
        <w:rPr>
          <w:rFonts w:ascii="宋体" w:hAnsi="宋体"/>
          <w:b/>
          <w:bCs/>
          <w:sz w:val="28"/>
          <w:szCs w:val="28"/>
        </w:rPr>
      </w:pPr>
      <w:bookmarkStart w:id="161" w:name="_Toc74752343"/>
      <w:r>
        <w:rPr>
          <w:rFonts w:hint="eastAsia" w:ascii="宋体" w:hAnsi="宋体"/>
          <w:b/>
          <w:bCs/>
          <w:sz w:val="28"/>
          <w:szCs w:val="28"/>
        </w:rPr>
        <w:t>评标程序</w:t>
      </w:r>
      <w:bookmarkEnd w:id="161"/>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符合性审查</w:t>
      </w:r>
    </w:p>
    <w:p>
      <w:pPr>
        <w:tabs>
          <w:tab w:val="left" w:pos="851"/>
        </w:tabs>
        <w:spacing w:line="360" w:lineRule="auto"/>
        <w:ind w:firstLine="566" w:firstLineChars="202"/>
        <w:rPr>
          <w:rFonts w:ascii="宋体" w:hAnsi="宋体"/>
          <w:sz w:val="28"/>
          <w:szCs w:val="28"/>
        </w:rPr>
      </w:pPr>
      <w:r>
        <w:rPr>
          <w:rFonts w:hint="eastAsia" w:ascii="宋体" w:hAnsi="宋体"/>
          <w:sz w:val="28"/>
          <w:szCs w:val="28"/>
        </w:rPr>
        <w:t>符合性审查由评标委员会依据招标文件的规定，从投标文件的有效性、完整性和对招标文件的响应程度进行审查，以确定是否对招标文件的实质性要求作出响应。在投标文件符合性审查过程中，如果出现评标委员会成员意见不一致的情况，按照少数服从多数的原则确定，但不得违背政府采购基本原则和招标文件规定。</w:t>
      </w:r>
    </w:p>
    <w:p>
      <w:pPr>
        <w:tabs>
          <w:tab w:val="left" w:pos="851"/>
        </w:tabs>
        <w:spacing w:line="360" w:lineRule="auto"/>
        <w:ind w:firstLine="566" w:firstLineChars="202"/>
        <w:rPr>
          <w:rFonts w:ascii="宋体" w:hAnsi="宋体"/>
          <w:sz w:val="28"/>
          <w:szCs w:val="28"/>
        </w:rPr>
      </w:pPr>
      <w:r>
        <w:rPr>
          <w:rFonts w:hint="eastAsia" w:ascii="宋体" w:hAnsi="宋体"/>
          <w:sz w:val="28"/>
          <w:szCs w:val="28"/>
        </w:rPr>
        <w:t>符合性审查标准见下表（按以下顺序审查）：</w:t>
      </w:r>
    </w:p>
    <w:tbl>
      <w:tblPr>
        <w:tblStyle w:val="46"/>
        <w:tblW w:w="91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087"/>
        <w:gridCol w:w="6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b/>
                <w:sz w:val="24"/>
                <w:szCs w:val="28"/>
              </w:rPr>
            </w:pPr>
            <w:r>
              <w:rPr>
                <w:rFonts w:hint="eastAsia" w:ascii="宋体" w:hAnsi="宋体"/>
                <w:b/>
                <w:sz w:val="24"/>
                <w:szCs w:val="28"/>
              </w:rPr>
              <w:t>序号</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b/>
                <w:sz w:val="24"/>
                <w:szCs w:val="28"/>
              </w:rPr>
            </w:pPr>
            <w:r>
              <w:rPr>
                <w:rFonts w:hint="eastAsia" w:ascii="宋体" w:hAnsi="宋体"/>
                <w:b/>
                <w:sz w:val="24"/>
                <w:szCs w:val="28"/>
              </w:rPr>
              <w:t>符合性审查项</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firstLine="487" w:firstLineChars="202"/>
              <w:rPr>
                <w:rFonts w:ascii="宋体" w:hAnsi="宋体"/>
                <w:sz w:val="24"/>
                <w:szCs w:val="28"/>
              </w:rPr>
            </w:pPr>
            <w:r>
              <w:rPr>
                <w:rFonts w:hint="eastAsia" w:ascii="宋体" w:hAnsi="宋体"/>
                <w:b/>
                <w:sz w:val="24"/>
                <w:szCs w:val="28"/>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1</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商务</w:t>
            </w:r>
            <w:r>
              <w:rPr>
                <w:rFonts w:ascii="宋体" w:hAnsi="宋体"/>
                <w:sz w:val="24"/>
                <w:szCs w:val="28"/>
              </w:rPr>
              <w:t>技术响应文件和报价要求响应文件</w:t>
            </w:r>
            <w:r>
              <w:rPr>
                <w:rFonts w:hint="eastAsia" w:ascii="宋体" w:hAnsi="宋体"/>
                <w:sz w:val="24"/>
                <w:szCs w:val="28"/>
              </w:rPr>
              <w:t>组成</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符合招标文件“2.4.6投标文件的组成”规定要求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ascii="宋体" w:hAnsi="宋体"/>
                <w:sz w:val="24"/>
                <w:szCs w:val="28"/>
              </w:rPr>
              <w:t>2</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商务</w:t>
            </w:r>
            <w:r>
              <w:rPr>
                <w:rFonts w:ascii="宋体" w:hAnsi="宋体"/>
                <w:sz w:val="24"/>
                <w:szCs w:val="28"/>
              </w:rPr>
              <w:t>技术响应文件和报价要求响应文件</w:t>
            </w:r>
            <w:r>
              <w:rPr>
                <w:rFonts w:hint="eastAsia" w:ascii="宋体" w:hAnsi="宋体"/>
                <w:sz w:val="24"/>
                <w:szCs w:val="28"/>
              </w:rPr>
              <w:t>的计量单位、语言、报价货币、投标有效期</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计量单位、语言、报价货币、投标有效期均符合招标文件的要求。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3</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第4章标★号的技术、服务、商务和其他要求</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投标文件均实质性响应招标文件中加★号的技术、服务、商务和其他要求。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4</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进口产品</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招标文件中未载明“允许采购进口产品”的产品，投标产品为国产产品。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5</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不属于禁止参加投标或投标无效的供应商</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（1）根据招标文件的要求不属于禁止参加投标或投标无效的供应商；</w:t>
            </w:r>
          </w:p>
          <w:p>
            <w:pPr>
              <w:tabs>
                <w:tab w:val="left" w:pos="851"/>
              </w:tabs>
              <w:spacing w:line="360" w:lineRule="auto"/>
              <w:rPr>
                <w:rFonts w:ascii="宋体" w:hAnsi="宋体"/>
                <w:sz w:val="24"/>
                <w:szCs w:val="28"/>
              </w:rPr>
            </w:pPr>
            <w:r>
              <w:rPr>
                <w:rFonts w:hint="eastAsia" w:ascii="宋体" w:hAnsi="宋体"/>
                <w:sz w:val="24"/>
                <w:szCs w:val="28"/>
              </w:rPr>
              <w:t>（2）评标委员会未发现或者未知晓投标人存在属于国家相关法律法规规定的禁止参加投标或投标无效的供应商。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6</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法定代表人身份证复印件或护照复印件</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身份证复印件或护照复印件【注：法定代表人身份证复印件（身份证两面均应复印，在有效期内）或护照复印件（法定代表人为外籍人士的，按此提供）。】。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7</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除资格性审查要求的证明材料外，招标文件要求提供的其他证明材料</w:t>
            </w:r>
          </w:p>
        </w:tc>
        <w:tc>
          <w:tcPr>
            <w:tcW w:w="6275" w:type="dxa"/>
            <w:tcBorders>
              <w:top w:val="single" w:color="auto" w:sz="2" w:space="0"/>
              <w:left w:val="single" w:color="auto" w:sz="2" w:space="0"/>
              <w:bottom w:val="single" w:color="auto" w:sz="2" w:space="0"/>
              <w:right w:val="single" w:color="auto" w:sz="2" w:space="0"/>
            </w:tcBorders>
            <w:vAlign w:val="center"/>
          </w:tcPr>
          <w:p>
            <w:pPr>
              <w:pStyle w:val="152"/>
              <w:spacing w:line="360" w:lineRule="auto"/>
              <w:rPr>
                <w:rFonts w:hAnsi="宋体" w:cs="Times New Roman"/>
                <w:color w:val="auto"/>
                <w:kern w:val="2"/>
                <w:szCs w:val="28"/>
              </w:rPr>
            </w:pPr>
            <w:r>
              <w:rPr>
                <w:rFonts w:hAnsi="宋体" w:cs="Times New Roman"/>
                <w:color w:val="auto"/>
                <w:kern w:val="2"/>
                <w:szCs w:val="28"/>
              </w:rPr>
              <w:t>承诺函【注：①按</w:t>
            </w:r>
            <w:r>
              <w:rPr>
                <w:rFonts w:ascii="Times New Roman" w:hAnsi="Times New Roman" w:cs="Times New Roman"/>
                <w:color w:val="auto"/>
                <w:kern w:val="2"/>
                <w:szCs w:val="28"/>
              </w:rPr>
              <w:t>3.3.7</w:t>
            </w:r>
            <w:r>
              <w:rPr>
                <w:rFonts w:hAnsi="宋体" w:cs="Times New Roman"/>
                <w:color w:val="auto"/>
                <w:kern w:val="2"/>
                <w:szCs w:val="28"/>
              </w:rPr>
              <w:t>的格式及要求提供承诺函；②承诺的内容满足招标文件的要求。】。</w:t>
            </w:r>
          </w:p>
          <w:p>
            <w:pPr>
              <w:tabs>
                <w:tab w:val="left" w:pos="851"/>
              </w:tabs>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8</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报价</w:t>
            </w:r>
            <w:r>
              <w:rPr>
                <w:rFonts w:ascii="宋体" w:hAnsi="宋体"/>
                <w:sz w:val="24"/>
                <w:szCs w:val="28"/>
              </w:rPr>
              <w:t>要求响应文件的</w:t>
            </w:r>
            <w:r>
              <w:rPr>
                <w:rFonts w:hint="eastAsia" w:ascii="宋体" w:hAnsi="宋体"/>
                <w:sz w:val="24"/>
                <w:szCs w:val="28"/>
              </w:rPr>
              <w:t>投标报价</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4"/>
              </w:rPr>
            </w:pPr>
            <w:r>
              <w:rPr>
                <w:rFonts w:hint="eastAsia" w:ascii="宋体" w:hAnsi="宋体"/>
                <w:sz w:val="24"/>
                <w:szCs w:val="28"/>
              </w:rPr>
              <w:t>开标一览表、报价</w:t>
            </w:r>
            <w:r>
              <w:rPr>
                <w:rFonts w:ascii="宋体" w:hAnsi="宋体"/>
                <w:sz w:val="24"/>
                <w:szCs w:val="28"/>
              </w:rPr>
              <w:t>明细表</w:t>
            </w:r>
            <w:r>
              <w:rPr>
                <w:rFonts w:hint="eastAsia" w:ascii="宋体" w:hAnsi="宋体"/>
                <w:sz w:val="24"/>
                <w:szCs w:val="28"/>
              </w:rPr>
              <w:t>、</w:t>
            </w:r>
            <w:r>
              <w:rPr>
                <w:rFonts w:ascii="宋体" w:hAnsi="宋体"/>
                <w:sz w:val="24"/>
                <w:szCs w:val="28"/>
              </w:rPr>
              <w:t>投标文件</w:t>
            </w:r>
            <w:r>
              <w:rPr>
                <w:rFonts w:hint="eastAsia" w:ascii="宋体" w:hAnsi="宋体"/>
                <w:sz w:val="24"/>
                <w:szCs w:val="28"/>
              </w:rPr>
              <w:t>【注：（1）报价唯一（说明：投标报价出现下列情况的，按以下原则处理，并以修正后的价格作为投标人的投标报价：①投标文件中的大写金额和小写金额不一致的，以大写金额为准，但大写金额出现文字错误，导致金额无法判断的除外；</w:t>
            </w:r>
            <w:r>
              <w:rPr>
                <w:rFonts w:hint="eastAsia" w:ascii="宋体" w:hAnsi="宋体" w:cs="宋体"/>
                <w:sz w:val="24"/>
                <w:szCs w:val="28"/>
              </w:rPr>
              <w:t>②</w:t>
            </w:r>
            <w:r>
              <w:rPr>
                <w:rFonts w:hint="eastAsia" w:ascii="宋体" w:hAnsi="宋体"/>
                <w:sz w:val="24"/>
                <w:szCs w:val="28"/>
              </w:rPr>
              <w:t>单价金额小数点或者百分比有明显错位的，以总价为准，并修改单价；</w:t>
            </w:r>
            <w:r>
              <w:rPr>
                <w:rFonts w:hint="eastAsia" w:ascii="宋体" w:hAnsi="宋体" w:cs="宋体"/>
                <w:sz w:val="24"/>
                <w:szCs w:val="28"/>
              </w:rPr>
              <w:t>③</w:t>
            </w:r>
            <w:r>
              <w:rPr>
                <w:rFonts w:hint="eastAsia" w:ascii="宋体" w:hAnsi="宋体"/>
                <w:sz w:val="24"/>
                <w:szCs w:val="28"/>
              </w:rPr>
              <w:t>总价金额与按单价汇总金额不一致的，以单价金额计算结果为准；同时出现两种以上不一致的，按照前款规定的顺序修正。修正后的报价经投标人以书面形式通过政府采购云平台进行确认，并加盖投标人（法定名称）电子签章，投标人逾时确认的，其投标无效。（2）未超过招标文件规定的最高限价；（3）投标报价应包含本次招标要求的所有货物及服务的费用；（4）在评标过程中，评标委员会认为投标人投标报价明显低于其他通过符合性审查投标人的投标报价，有可能影响产品质量或者不能诚信履约的，评标委员会应当要求其在合理的时间内提供书面说明，必要时提交相关证明材料。（说明：①书面说明、相关证明材料（如涉及）加盖投标人（法定名称）章（电子签章），在评标委员会要求的时间内通过政府采购云平台进行递交；②投标人提供了书面说明、相关证明材料（如涉及），且能证明其投标报价合理性）。（</w:t>
            </w:r>
            <w:r>
              <w:rPr>
                <w:rFonts w:ascii="宋体" w:hAnsi="宋体"/>
                <w:sz w:val="24"/>
                <w:szCs w:val="28"/>
              </w:rPr>
              <w:t>5）如因断电、断网、系统故障或其他不可抗力等因素，导致系统无法使用的，由投标人按评标委员会的要求进行澄清或者说明</w:t>
            </w:r>
            <w:r>
              <w:rPr>
                <w:rFonts w:hint="eastAsia" w:ascii="宋体" w:hAnsi="宋体"/>
                <w:sz w:val="24"/>
                <w:szCs w:val="28"/>
              </w:rPr>
              <w:t>。】</w:t>
            </w:r>
          </w:p>
        </w:tc>
      </w:tr>
    </w:tbl>
    <w:p>
      <w:pPr>
        <w:tabs>
          <w:tab w:val="left" w:pos="851"/>
        </w:tabs>
        <w:spacing w:line="360" w:lineRule="auto"/>
        <w:ind w:firstLine="560" w:firstLineChars="200"/>
        <w:rPr>
          <w:rFonts w:ascii="宋体" w:hAnsi="宋体"/>
          <w:sz w:val="28"/>
          <w:szCs w:val="28"/>
        </w:rPr>
      </w:pPr>
      <w:r>
        <w:rPr>
          <w:rFonts w:hint="eastAsia" w:ascii="宋体" w:hAnsi="宋体"/>
          <w:sz w:val="28"/>
          <w:szCs w:val="28"/>
        </w:rPr>
        <w:t>一、以上每一项结论均为“通过”的，则投标人的投标文件通过符合性审查；如有任意一项结论为“不通过”的，则投标人的投标文件按无效投标文件处理。如果评标委员会认为投标人有任意一项不通过的，应在符合性审查报告中载明不通过的具体原因。</w:t>
      </w:r>
    </w:p>
    <w:p>
      <w:pPr>
        <w:tabs>
          <w:tab w:val="left" w:pos="851"/>
        </w:tabs>
        <w:spacing w:line="360" w:lineRule="auto"/>
        <w:ind w:firstLine="566" w:firstLineChars="202"/>
        <w:rPr>
          <w:rFonts w:ascii="宋体" w:hAnsi="宋体"/>
          <w:sz w:val="28"/>
          <w:szCs w:val="28"/>
        </w:rPr>
      </w:pPr>
      <w:r>
        <w:rPr>
          <w:rFonts w:hint="eastAsia" w:ascii="宋体" w:hAnsi="宋体"/>
          <w:sz w:val="28"/>
          <w:szCs w:val="28"/>
        </w:rPr>
        <w:t>二、投标人的投标文件符合性审查时被判定为无效投标文件的，成都市武侯区政府采购中心将通知投标人（以现场公示、电话、短信、成都市公共资源交易中心网站等任一方式）。投标人如对评审结论有异议的，应及时向成都市武侯区政府采购中心反馈意见。成都市武侯区政府采购中心在评审结束前将收到的反馈意见及时告知评标委员会。（说明：无论投标人是否收到通知或提供反馈意见，均不影响评标委员会的评标工作，且成都市武侯区政府采购中心对此将不承担任何的责任。投标人对评审结论有异议的，其反馈意见仅限于评标委员会对评审结论的正确性进行复核，避免出现评审错误。）</w:t>
      </w:r>
    </w:p>
    <w:p>
      <w:pPr>
        <w:tabs>
          <w:tab w:val="left" w:pos="851"/>
        </w:tabs>
        <w:spacing w:line="360" w:lineRule="auto"/>
        <w:ind w:firstLine="566" w:firstLineChars="202"/>
        <w:rPr>
          <w:rFonts w:ascii="宋体" w:hAnsi="宋体"/>
          <w:sz w:val="28"/>
          <w:szCs w:val="28"/>
        </w:rPr>
      </w:pPr>
      <w:r>
        <w:rPr>
          <w:rFonts w:hint="eastAsia" w:ascii="宋体" w:hAnsi="宋体"/>
          <w:sz w:val="28"/>
          <w:szCs w:val="28"/>
        </w:rPr>
        <w:t>三、通过符合性审查的供应商＜3名，本项目采购失败。</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解释、澄清有关问题</w:t>
      </w:r>
    </w:p>
    <w:p>
      <w:pPr>
        <w:numPr>
          <w:ilvl w:val="0"/>
          <w:numId w:val="42"/>
        </w:numPr>
        <w:tabs>
          <w:tab w:val="left" w:pos="1134"/>
        </w:tabs>
        <w:spacing w:line="360" w:lineRule="auto"/>
        <w:ind w:left="0" w:firstLine="525"/>
        <w:rPr>
          <w:rFonts w:ascii="宋体" w:hAnsi="宋体"/>
          <w:sz w:val="28"/>
          <w:szCs w:val="28"/>
        </w:rPr>
      </w:pPr>
      <w:r>
        <w:rPr>
          <w:rFonts w:hint="eastAsia" w:ascii="宋体" w:hAnsi="宋体"/>
          <w:sz w:val="28"/>
          <w:szCs w:val="28"/>
        </w:rPr>
        <w:t>评标过程中，评标委员会认为招标文件有关事项表述不明确或需要说明的，可以提请成都市武侯区政府采购中心书面解释。成都市武侯区政府采购中心的解释不得改变招标文件的原义或者影响公平、公正，解释事项如果涉及投标人权益的以有利于投标人的原则进行解释。</w:t>
      </w:r>
    </w:p>
    <w:p>
      <w:pPr>
        <w:numPr>
          <w:ilvl w:val="0"/>
          <w:numId w:val="42"/>
        </w:numPr>
        <w:tabs>
          <w:tab w:val="left" w:pos="1134"/>
        </w:tabs>
        <w:spacing w:after="200" w:line="560" w:lineRule="exact"/>
        <w:ind w:left="0" w:firstLine="525"/>
        <w:rPr>
          <w:rFonts w:ascii="宋体" w:hAnsi="宋体"/>
          <w:sz w:val="28"/>
          <w:szCs w:val="28"/>
        </w:rPr>
      </w:pPr>
      <w:r>
        <w:rPr>
          <w:rFonts w:hint="eastAsia" w:ascii="宋体" w:hAnsi="宋体"/>
          <w:sz w:val="28"/>
          <w:szCs w:val="28"/>
        </w:rPr>
        <w:t>对投标文件中含义不明确、同类问题表述不一致或者有明显文字和计算错误的内容，评标委员会应当要求投标人作出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pPr>
        <w:numPr>
          <w:ilvl w:val="0"/>
          <w:numId w:val="42"/>
        </w:numPr>
        <w:tabs>
          <w:tab w:val="left" w:pos="1134"/>
        </w:tabs>
        <w:spacing w:line="360" w:lineRule="auto"/>
        <w:ind w:left="0" w:firstLine="525"/>
        <w:rPr>
          <w:rFonts w:ascii="宋体" w:hAnsi="宋体"/>
          <w:sz w:val="28"/>
          <w:szCs w:val="28"/>
        </w:rPr>
      </w:pPr>
      <w:r>
        <w:rPr>
          <w:rFonts w:hint="eastAsia" w:ascii="宋体" w:hAnsi="宋体"/>
          <w:sz w:val="28"/>
          <w:szCs w:val="28"/>
        </w:rPr>
        <w:t>澄清应当不超出投标文件的范围、不实质性改变投标文件的内容、不影响投标人的公平竞争、不导致投标文件从不响应招标文件变为响应招标文件的条件。下列内容不得澄清：</w:t>
      </w:r>
    </w:p>
    <w:p>
      <w:pPr>
        <w:numPr>
          <w:ilvl w:val="0"/>
          <w:numId w:val="43"/>
        </w:numPr>
        <w:tabs>
          <w:tab w:val="left" w:pos="1260"/>
          <w:tab w:val="clear" w:pos="846"/>
        </w:tabs>
        <w:spacing w:line="360" w:lineRule="auto"/>
        <w:ind w:left="0" w:firstLine="525"/>
        <w:rPr>
          <w:rFonts w:ascii="宋体" w:hAnsi="宋体" w:cstheme="minorBidi"/>
          <w:sz w:val="28"/>
          <w:szCs w:val="28"/>
        </w:rPr>
      </w:pPr>
      <w:r>
        <w:rPr>
          <w:rFonts w:hint="eastAsia" w:ascii="宋体" w:hAnsi="宋体" w:cstheme="minorBidi"/>
          <w:sz w:val="28"/>
          <w:szCs w:val="28"/>
        </w:rPr>
        <w:t>投标人投标文件中不响应招标文件规定的技术参数指标和商务应答；</w:t>
      </w:r>
    </w:p>
    <w:p>
      <w:pPr>
        <w:numPr>
          <w:ilvl w:val="0"/>
          <w:numId w:val="43"/>
        </w:numPr>
        <w:tabs>
          <w:tab w:val="left" w:pos="1260"/>
        </w:tabs>
        <w:spacing w:line="360" w:lineRule="auto"/>
        <w:ind w:left="0" w:firstLine="525"/>
        <w:rPr>
          <w:rFonts w:ascii="宋体" w:hAnsi="宋体" w:cstheme="minorBidi"/>
          <w:sz w:val="28"/>
          <w:szCs w:val="28"/>
        </w:rPr>
      </w:pPr>
      <w:r>
        <w:rPr>
          <w:rFonts w:hint="eastAsia" w:ascii="宋体" w:hAnsi="宋体" w:cstheme="minorBidi"/>
          <w:sz w:val="28"/>
          <w:szCs w:val="28"/>
        </w:rPr>
        <w:t>投标人投标文件中未提供的证明其是否符合招标文件资格性、符合性规定要求的相关材料。</w:t>
      </w:r>
    </w:p>
    <w:p>
      <w:pPr>
        <w:numPr>
          <w:ilvl w:val="0"/>
          <w:numId w:val="43"/>
        </w:numPr>
        <w:tabs>
          <w:tab w:val="left" w:pos="993"/>
          <w:tab w:val="left" w:pos="1260"/>
          <w:tab w:val="clear" w:pos="846"/>
        </w:tabs>
        <w:spacing w:line="360" w:lineRule="auto"/>
        <w:ind w:left="0" w:firstLine="525"/>
        <w:rPr>
          <w:rFonts w:ascii="宋体" w:hAnsi="宋体" w:cstheme="minorBidi"/>
          <w:sz w:val="28"/>
          <w:szCs w:val="28"/>
        </w:rPr>
      </w:pPr>
      <w:r>
        <w:rPr>
          <w:rFonts w:hint="eastAsia" w:ascii="宋体" w:hAnsi="宋体" w:cstheme="minorBidi"/>
          <w:sz w:val="28"/>
          <w:szCs w:val="28"/>
        </w:rPr>
        <w:t>投标人投标文件中的材料因印刷、影印等不清晰而难以辨认的。</w:t>
      </w:r>
    </w:p>
    <w:p>
      <w:pPr>
        <w:numPr>
          <w:ilvl w:val="0"/>
          <w:numId w:val="42"/>
        </w:numPr>
        <w:tabs>
          <w:tab w:val="left" w:pos="1134"/>
        </w:tabs>
        <w:spacing w:line="360" w:lineRule="auto"/>
        <w:ind w:left="0" w:firstLine="525"/>
        <w:rPr>
          <w:rFonts w:ascii="宋体" w:hAnsi="宋体"/>
          <w:sz w:val="28"/>
          <w:szCs w:val="28"/>
        </w:rPr>
      </w:pPr>
      <w:r>
        <w:rPr>
          <w:rFonts w:hint="eastAsia" w:ascii="宋体" w:hAnsi="宋体"/>
          <w:sz w:val="28"/>
          <w:szCs w:val="28"/>
        </w:rPr>
        <w:t>投标文件报价出现下列情况的，不需要投标人澄清，按以下原则处理：</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（一）开标现场宣读的投标报价与投标文件中的投标报价不一致的，以投标人</w:t>
      </w:r>
      <w:r>
        <w:rPr>
          <w:rFonts w:ascii="宋体" w:hAnsi="宋体"/>
          <w:sz w:val="28"/>
          <w:szCs w:val="28"/>
        </w:rPr>
        <w:t>在</w:t>
      </w:r>
      <w:r>
        <w:rPr>
          <w:rFonts w:hint="eastAsia" w:ascii="宋体" w:hAnsi="宋体"/>
          <w:sz w:val="28"/>
          <w:szCs w:val="28"/>
        </w:rPr>
        <w:t>政府采购</w:t>
      </w:r>
      <w:r>
        <w:rPr>
          <w:rFonts w:ascii="宋体" w:hAnsi="宋体"/>
          <w:sz w:val="28"/>
          <w:szCs w:val="28"/>
        </w:rPr>
        <w:t>云平台</w:t>
      </w:r>
      <w:r>
        <w:rPr>
          <w:rFonts w:hint="eastAsia" w:ascii="宋体" w:hAnsi="宋体"/>
          <w:sz w:val="28"/>
          <w:szCs w:val="28"/>
        </w:rPr>
        <w:t>开标</w:t>
      </w:r>
      <w:r>
        <w:rPr>
          <w:rFonts w:ascii="宋体" w:hAnsi="宋体"/>
          <w:sz w:val="28"/>
          <w:szCs w:val="28"/>
        </w:rPr>
        <w:t>一览表中填写的报价为准</w:t>
      </w:r>
      <w:r>
        <w:rPr>
          <w:rFonts w:hint="eastAsia" w:ascii="宋体" w:hAnsi="宋体"/>
          <w:sz w:val="28"/>
          <w:szCs w:val="28"/>
        </w:rPr>
        <w:t>；</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（二）大写金额和小写金额不一致的，以大写金额为准，但大写金额出现文字错误，导致金额无法判断的除外；</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（三）单价金额小数点或者百分比有明显错位的，以总价为准，并修改单价；</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（四）总价金额与按单价汇总金额不一致的，以单价金额计算结果为准。</w:t>
      </w:r>
    </w:p>
    <w:p>
      <w:pPr>
        <w:spacing w:line="360" w:lineRule="auto"/>
        <w:ind w:firstLine="561"/>
        <w:rPr>
          <w:sz w:val="28"/>
          <w:szCs w:val="28"/>
        </w:rPr>
      </w:pPr>
      <w:r>
        <w:rPr>
          <w:rFonts w:hint="eastAsia"/>
          <w:sz w:val="28"/>
          <w:szCs w:val="28"/>
        </w:rPr>
        <w:t>同时出现两种以上不一致的，按照前款规定的顺序修正。修正后的报价经投标人确认后产生约束力，投标人不确认的，其投标无效。</w:t>
      </w:r>
    </w:p>
    <w:p>
      <w:pPr>
        <w:tabs>
          <w:tab w:val="left" w:pos="720"/>
        </w:tabs>
        <w:spacing w:line="360" w:lineRule="auto"/>
        <w:ind w:firstLine="561"/>
        <w:rPr>
          <w:sz w:val="28"/>
          <w:szCs w:val="28"/>
        </w:rPr>
      </w:pPr>
      <w:r>
        <w:rPr>
          <w:rFonts w:hint="eastAsia"/>
          <w:sz w:val="28"/>
          <w:szCs w:val="28"/>
        </w:rPr>
        <w:t>五、对不同语言文本投标文件的解释发生异议的，以中文文本为准。</w:t>
      </w:r>
    </w:p>
    <w:p>
      <w:pPr>
        <w:tabs>
          <w:tab w:val="left" w:pos="720"/>
        </w:tabs>
        <w:spacing w:line="560" w:lineRule="exact"/>
        <w:ind w:firstLine="560" w:firstLineChars="200"/>
        <w:rPr>
          <w:sz w:val="28"/>
          <w:szCs w:val="28"/>
        </w:rPr>
      </w:pPr>
      <w:r>
        <w:rPr>
          <w:rFonts w:hint="eastAsia"/>
          <w:sz w:val="28"/>
          <w:szCs w:val="28"/>
        </w:rPr>
        <w:t>六、评标结束之前，投标人应随时关注系统提示，及时通过“政府采购云平台”在线响应评标委员会发出的澄清、说明或补正要求，签章并确认提交成功。逾时回复将不能提交，视为投标人自行放弃，其损失由投标人承担。</w:t>
      </w:r>
    </w:p>
    <w:p>
      <w:pPr>
        <w:tabs>
          <w:tab w:val="left" w:pos="851"/>
        </w:tabs>
        <w:spacing w:line="360" w:lineRule="auto"/>
        <w:ind w:firstLine="568" w:firstLineChars="202"/>
        <w:rPr>
          <w:rFonts w:ascii="宋体" w:hAnsi="宋体"/>
          <w:b/>
          <w:sz w:val="28"/>
          <w:szCs w:val="28"/>
        </w:rPr>
      </w:pPr>
      <w:r>
        <w:rPr>
          <w:rFonts w:hint="eastAsia" w:ascii="宋体" w:hAnsi="宋体"/>
          <w:b/>
          <w:sz w:val="28"/>
          <w:szCs w:val="28"/>
        </w:rPr>
        <w:t>评标委员会应当积极履行澄清、说明或者更正的职责，不得滥用权力。</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比较与评价</w:t>
      </w:r>
    </w:p>
    <w:p>
      <w:pPr>
        <w:tabs>
          <w:tab w:val="left" w:pos="851"/>
        </w:tabs>
        <w:spacing w:line="360" w:lineRule="auto"/>
        <w:ind w:firstLine="566" w:firstLineChars="202"/>
        <w:rPr>
          <w:rFonts w:ascii="宋体" w:hAnsi="宋体"/>
          <w:sz w:val="28"/>
          <w:szCs w:val="28"/>
        </w:rPr>
      </w:pPr>
      <w:r>
        <w:rPr>
          <w:rFonts w:hint="eastAsia" w:ascii="宋体" w:hAnsi="宋体"/>
          <w:sz w:val="28"/>
          <w:szCs w:val="28"/>
        </w:rPr>
        <w:t>按招标文件中规定的评标细则及标准，对符合性检查合格的投标文件进行商务和技术评估，综合比较和评价。</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复核</w:t>
      </w:r>
    </w:p>
    <w:p>
      <w:pPr>
        <w:tabs>
          <w:tab w:val="left" w:pos="851"/>
        </w:tabs>
        <w:spacing w:line="360" w:lineRule="auto"/>
        <w:ind w:firstLine="566" w:firstLineChars="202"/>
        <w:rPr>
          <w:rFonts w:ascii="宋体" w:hAnsi="宋体"/>
          <w:sz w:val="28"/>
          <w:szCs w:val="28"/>
        </w:rPr>
      </w:pPr>
      <w:r>
        <w:rPr>
          <w:rFonts w:hint="eastAsia" w:ascii="宋体" w:hAnsi="宋体"/>
          <w:sz w:val="28"/>
          <w:szCs w:val="28"/>
        </w:rPr>
        <w:t>评分汇总结束后，评标委员会应当进行复核，特别要对拟推荐为中标候选供应商的、报价最低的、投标文件被认定为无效的进行重点复核。</w:t>
      </w:r>
    </w:p>
    <w:p>
      <w:pPr>
        <w:tabs>
          <w:tab w:val="left" w:pos="851"/>
        </w:tabs>
        <w:spacing w:line="360" w:lineRule="auto"/>
        <w:ind w:firstLine="566" w:firstLineChars="202"/>
        <w:rPr>
          <w:rFonts w:ascii="宋体" w:hAnsi="宋体"/>
          <w:sz w:val="28"/>
          <w:szCs w:val="28"/>
        </w:rPr>
      </w:pPr>
      <w:r>
        <w:rPr>
          <w:rFonts w:hint="eastAsia" w:ascii="宋体" w:hAnsi="宋体"/>
          <w:sz w:val="28"/>
          <w:szCs w:val="28"/>
        </w:rPr>
        <w:t>评标结果汇总完成后，评标委员会拟出具评审报告前，</w:t>
      </w:r>
      <w:r>
        <w:rPr>
          <w:rFonts w:hint="eastAsia" w:cs="Arial"/>
          <w:sz w:val="28"/>
          <w:szCs w:val="28"/>
        </w:rPr>
        <w:t>成都市武侯区政府采购中心</w:t>
      </w:r>
      <w:r>
        <w:rPr>
          <w:rFonts w:hint="eastAsia" w:ascii="宋体" w:hAnsi="宋体"/>
          <w:sz w:val="28"/>
          <w:szCs w:val="28"/>
        </w:rPr>
        <w:t>应当组织2名以上的工作人员，在采购现场监督人员的监督之下，依据有关的法律制度和采购文件对评审结果进行复核，出具复核报告。</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评标结果汇总完成后，除下列情形外，任何人不得修改评标结果：</w:t>
      </w:r>
    </w:p>
    <w:p>
      <w:pPr>
        <w:numPr>
          <w:ilvl w:val="0"/>
          <w:numId w:val="44"/>
        </w:numPr>
        <w:tabs>
          <w:tab w:val="left" w:pos="851"/>
          <w:tab w:val="left" w:pos="1276"/>
        </w:tabs>
        <w:spacing w:line="360" w:lineRule="auto"/>
        <w:ind w:left="0" w:firstLine="424"/>
        <w:rPr>
          <w:rFonts w:ascii="宋体" w:hAnsi="宋体" w:cstheme="minorBidi"/>
          <w:sz w:val="28"/>
          <w:szCs w:val="28"/>
        </w:rPr>
      </w:pPr>
      <w:r>
        <w:rPr>
          <w:rFonts w:hint="eastAsia" w:ascii="宋体" w:hAnsi="宋体" w:cstheme="minorBidi"/>
          <w:sz w:val="28"/>
          <w:szCs w:val="28"/>
        </w:rPr>
        <w:t>分值汇总计算错误的；</w:t>
      </w:r>
    </w:p>
    <w:p>
      <w:pPr>
        <w:numPr>
          <w:ilvl w:val="0"/>
          <w:numId w:val="44"/>
        </w:numPr>
        <w:tabs>
          <w:tab w:val="left" w:pos="851"/>
          <w:tab w:val="left" w:pos="1276"/>
        </w:tabs>
        <w:spacing w:line="360" w:lineRule="auto"/>
        <w:ind w:left="0" w:firstLine="424"/>
        <w:rPr>
          <w:rFonts w:ascii="宋体" w:hAnsi="宋体" w:cstheme="minorBidi"/>
          <w:sz w:val="28"/>
          <w:szCs w:val="28"/>
        </w:rPr>
      </w:pPr>
      <w:r>
        <w:rPr>
          <w:rFonts w:hint="eastAsia" w:ascii="宋体" w:hAnsi="宋体" w:cstheme="minorBidi"/>
          <w:sz w:val="28"/>
          <w:szCs w:val="28"/>
        </w:rPr>
        <w:t>分项评分超出评分标准范围的；</w:t>
      </w:r>
    </w:p>
    <w:p>
      <w:pPr>
        <w:numPr>
          <w:ilvl w:val="0"/>
          <w:numId w:val="44"/>
        </w:numPr>
        <w:tabs>
          <w:tab w:val="left" w:pos="851"/>
          <w:tab w:val="left" w:pos="1276"/>
          <w:tab w:val="left" w:pos="1560"/>
        </w:tabs>
        <w:spacing w:line="360" w:lineRule="auto"/>
        <w:ind w:left="0" w:firstLine="424"/>
        <w:rPr>
          <w:rFonts w:ascii="宋体" w:hAnsi="宋体" w:cstheme="minorBidi"/>
          <w:sz w:val="28"/>
          <w:szCs w:val="28"/>
        </w:rPr>
      </w:pPr>
      <w:r>
        <w:rPr>
          <w:rFonts w:hint="eastAsia" w:ascii="宋体" w:hAnsi="宋体" w:cstheme="minorBidi"/>
          <w:sz w:val="28"/>
          <w:szCs w:val="28"/>
        </w:rPr>
        <w:t>评标委员会成员对客观评审因素评分不一致的；</w:t>
      </w:r>
    </w:p>
    <w:p>
      <w:pPr>
        <w:numPr>
          <w:ilvl w:val="0"/>
          <w:numId w:val="44"/>
        </w:numPr>
        <w:tabs>
          <w:tab w:val="left" w:pos="851"/>
          <w:tab w:val="left" w:pos="1276"/>
        </w:tabs>
        <w:spacing w:line="360" w:lineRule="auto"/>
        <w:ind w:left="0" w:firstLine="426"/>
        <w:rPr>
          <w:rFonts w:ascii="宋体" w:hAnsi="宋体" w:cstheme="minorBidi"/>
          <w:sz w:val="28"/>
          <w:szCs w:val="28"/>
        </w:rPr>
      </w:pPr>
      <w:r>
        <w:rPr>
          <w:rFonts w:hint="eastAsia" w:ascii="宋体" w:hAnsi="宋体" w:cstheme="minorBidi"/>
          <w:sz w:val="28"/>
          <w:szCs w:val="28"/>
        </w:rPr>
        <w:t>经评标委员会认定评分畸高、畸低的。</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评标报告签署前，经复核发现存在以上情形之一的，评标委员会应当当场修改评标结果，并在评标报告中记载；评标报告签署后，采购人或者集中机构发现存在以上情形之一的，应当组织原评标委员会进行重新评审，重新评审改变评标结果的，书面报告本级财政部门。</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确定中标候选人名单</w:t>
      </w:r>
    </w:p>
    <w:p>
      <w:pPr>
        <w:tabs>
          <w:tab w:val="left" w:pos="851"/>
        </w:tabs>
        <w:spacing w:line="360" w:lineRule="auto"/>
        <w:ind w:firstLine="566" w:firstLineChars="202"/>
        <w:rPr>
          <w:rFonts w:ascii="Helvetica" w:hAnsi="Helvetica" w:cs="Helvetica"/>
          <w:kern w:val="0"/>
          <w:sz w:val="28"/>
          <w:szCs w:val="28"/>
        </w:rPr>
      </w:pPr>
      <w:r>
        <w:rPr>
          <w:rFonts w:hint="eastAsia" w:ascii="宋体" w:hAnsi="宋体"/>
          <w:sz w:val="28"/>
          <w:szCs w:val="28"/>
        </w:rPr>
        <w:t>按投标人综合得分从高到低进行排序，确定1至3名中标候选人。综合得分相同的，按投标报价由低到高顺序排列，得分且投标报价相同的并列。</w:t>
      </w:r>
      <w:r>
        <w:rPr>
          <w:rFonts w:hint="eastAsia" w:ascii="Helvetica" w:hAnsi="Helvetica" w:cs="Helvetica"/>
          <w:kern w:val="0"/>
          <w:sz w:val="28"/>
          <w:szCs w:val="28"/>
        </w:rPr>
        <w:t>投标文件满足招标文件全部实质性要求，且按照评审因素的量化指标评审得分最高的投标人为排名第一的中标候选人。</w:t>
      </w:r>
    </w:p>
    <w:p>
      <w:pPr>
        <w:tabs>
          <w:tab w:val="left" w:pos="851"/>
        </w:tabs>
        <w:spacing w:line="360" w:lineRule="auto"/>
        <w:ind w:firstLine="566" w:firstLineChars="202"/>
        <w:rPr>
          <w:rFonts w:ascii="宋体" w:hAnsi="宋体"/>
          <w:sz w:val="28"/>
          <w:szCs w:val="28"/>
        </w:rPr>
      </w:pPr>
      <w:r>
        <w:rPr>
          <w:rFonts w:hint="eastAsia" w:ascii="宋体" w:hAnsi="宋体"/>
          <w:sz w:val="28"/>
          <w:szCs w:val="28"/>
          <w:lang w:val="zh-CN"/>
        </w:rPr>
        <w:t>提供所有核心产品品牌相同且通过资格检查和符合性检查的不同投标人参加同一项目投标的，按一家投标人计算，评审后得分最高的投标人获得中标候选人推荐资格；评审得分相同的，报价最低的投标人获得中标候选人推荐资格；评审得分相同且报价相同的，由评标委员会采取随机抽取的方式确定一个投标人获得中标候选人推荐资格。</w:t>
      </w:r>
    </w:p>
    <w:p>
      <w:pPr>
        <w:keepNext/>
        <w:keepLines/>
        <w:numPr>
          <w:ilvl w:val="2"/>
          <w:numId w:val="5"/>
        </w:numPr>
        <w:spacing w:before="240" w:line="360" w:lineRule="auto"/>
        <w:ind w:left="0" w:firstLine="0"/>
        <w:outlineLvl w:val="2"/>
        <w:rPr>
          <w:rFonts w:ascii="宋体" w:hAnsi="宋体"/>
          <w:b/>
          <w:bCs/>
          <w:sz w:val="28"/>
          <w:szCs w:val="28"/>
        </w:rPr>
      </w:pPr>
      <w:r>
        <w:rPr>
          <w:rFonts w:hint="eastAsia" w:ascii="宋体" w:hAnsi="宋体"/>
          <w:b/>
          <w:bCs/>
          <w:sz w:val="28"/>
          <w:szCs w:val="28"/>
        </w:rPr>
        <w:t>编写评标报告</w:t>
      </w:r>
    </w:p>
    <w:p>
      <w:pPr>
        <w:spacing w:line="360" w:lineRule="auto"/>
        <w:ind w:firstLine="560" w:firstLineChars="200"/>
        <w:rPr>
          <w:rFonts w:ascii="宋体" w:hAnsi="宋体"/>
          <w:sz w:val="28"/>
          <w:szCs w:val="28"/>
        </w:rPr>
      </w:pPr>
      <w:r>
        <w:rPr>
          <w:rFonts w:hint="eastAsia" w:ascii="宋体" w:hAnsi="宋体"/>
          <w:sz w:val="28"/>
          <w:szCs w:val="28"/>
        </w:rPr>
        <w:t>评标报告是评标委员会根据全体评标成员签字的原始评标记录和评标结果编写的报告，其主要内容包括：</w:t>
      </w:r>
    </w:p>
    <w:p>
      <w:pPr>
        <w:numPr>
          <w:ilvl w:val="0"/>
          <w:numId w:val="45"/>
        </w:numPr>
        <w:tabs>
          <w:tab w:val="left" w:pos="1155"/>
        </w:tabs>
        <w:spacing w:line="360" w:lineRule="auto"/>
        <w:ind w:left="0" w:firstLine="525"/>
        <w:rPr>
          <w:rFonts w:ascii="宋体" w:hAnsi="宋体"/>
          <w:sz w:val="28"/>
          <w:szCs w:val="28"/>
        </w:rPr>
      </w:pPr>
      <w:r>
        <w:rPr>
          <w:rFonts w:hint="eastAsia" w:ascii="宋体" w:hAnsi="宋体"/>
          <w:sz w:val="28"/>
          <w:szCs w:val="28"/>
        </w:rPr>
        <w:t>招标公告刊登的媒体名称、开标日期和地点；</w:t>
      </w:r>
    </w:p>
    <w:p>
      <w:pPr>
        <w:numPr>
          <w:ilvl w:val="0"/>
          <w:numId w:val="45"/>
        </w:numPr>
        <w:tabs>
          <w:tab w:val="left" w:pos="1155"/>
        </w:tabs>
        <w:spacing w:line="360" w:lineRule="auto"/>
        <w:ind w:left="0" w:firstLine="525"/>
        <w:rPr>
          <w:rFonts w:ascii="宋体" w:hAnsi="宋体"/>
          <w:sz w:val="28"/>
          <w:szCs w:val="28"/>
        </w:rPr>
      </w:pPr>
      <w:r>
        <w:rPr>
          <w:rFonts w:hint="eastAsia" w:ascii="宋体" w:hAnsi="宋体"/>
          <w:sz w:val="28"/>
          <w:szCs w:val="28"/>
        </w:rPr>
        <w:t>投标人名单和评标委员会成员名单；</w:t>
      </w:r>
    </w:p>
    <w:p>
      <w:pPr>
        <w:numPr>
          <w:ilvl w:val="0"/>
          <w:numId w:val="45"/>
        </w:numPr>
        <w:tabs>
          <w:tab w:val="left" w:pos="1155"/>
        </w:tabs>
        <w:spacing w:line="360" w:lineRule="auto"/>
        <w:ind w:left="0" w:firstLine="525"/>
        <w:rPr>
          <w:rFonts w:ascii="宋体" w:hAnsi="宋体"/>
          <w:sz w:val="28"/>
          <w:szCs w:val="28"/>
        </w:rPr>
      </w:pPr>
      <w:r>
        <w:rPr>
          <w:rFonts w:hint="eastAsia" w:ascii="宋体" w:hAnsi="宋体"/>
          <w:sz w:val="28"/>
          <w:szCs w:val="28"/>
        </w:rPr>
        <w:t>评标方法和标准；</w:t>
      </w:r>
    </w:p>
    <w:p>
      <w:pPr>
        <w:numPr>
          <w:ilvl w:val="0"/>
          <w:numId w:val="45"/>
        </w:numPr>
        <w:tabs>
          <w:tab w:val="left" w:pos="1155"/>
        </w:tabs>
        <w:spacing w:line="360" w:lineRule="auto"/>
        <w:ind w:left="0" w:firstLine="525"/>
        <w:rPr>
          <w:rFonts w:ascii="宋体" w:hAnsi="宋体"/>
          <w:sz w:val="28"/>
          <w:szCs w:val="28"/>
        </w:rPr>
      </w:pPr>
      <w:r>
        <w:rPr>
          <w:rFonts w:hint="eastAsia" w:ascii="宋体" w:hAnsi="宋体"/>
          <w:sz w:val="28"/>
          <w:szCs w:val="28"/>
        </w:rPr>
        <w:t>开标记录和评标情况及说明，包括投标无效投标人名单及原因；</w:t>
      </w:r>
    </w:p>
    <w:p>
      <w:pPr>
        <w:numPr>
          <w:ilvl w:val="0"/>
          <w:numId w:val="45"/>
        </w:numPr>
        <w:tabs>
          <w:tab w:val="left" w:pos="1155"/>
        </w:tabs>
        <w:spacing w:line="360" w:lineRule="auto"/>
        <w:ind w:left="0" w:firstLine="525"/>
        <w:rPr>
          <w:rFonts w:ascii="宋体" w:hAnsi="宋体"/>
          <w:sz w:val="28"/>
          <w:szCs w:val="28"/>
        </w:rPr>
      </w:pPr>
      <w:r>
        <w:rPr>
          <w:rFonts w:hint="eastAsia" w:ascii="宋体" w:hAnsi="宋体"/>
          <w:sz w:val="28"/>
          <w:szCs w:val="28"/>
        </w:rPr>
        <w:t>评标结果，确定的中标候选人名单或者经采购人委托直接确定的中标人；</w:t>
      </w:r>
    </w:p>
    <w:p>
      <w:pPr>
        <w:numPr>
          <w:ilvl w:val="0"/>
          <w:numId w:val="45"/>
        </w:numPr>
        <w:tabs>
          <w:tab w:val="left" w:pos="1155"/>
        </w:tabs>
        <w:spacing w:line="360" w:lineRule="auto"/>
        <w:ind w:left="0" w:firstLine="525"/>
        <w:rPr>
          <w:rFonts w:ascii="宋体" w:hAnsi="宋体"/>
          <w:sz w:val="28"/>
          <w:szCs w:val="28"/>
        </w:rPr>
      </w:pPr>
      <w:r>
        <w:rPr>
          <w:rFonts w:hint="eastAsia" w:ascii="宋体" w:hAnsi="宋体"/>
          <w:sz w:val="28"/>
          <w:szCs w:val="28"/>
        </w:rPr>
        <w:t>其他需要说明的情况，包括评标过程中投标人根据评标委员会要求进行的澄清、说明或者补正，评标委员会成员的更换等；</w:t>
      </w:r>
    </w:p>
    <w:p>
      <w:pPr>
        <w:numPr>
          <w:ilvl w:val="0"/>
          <w:numId w:val="45"/>
        </w:numPr>
        <w:tabs>
          <w:tab w:val="left" w:pos="1155"/>
        </w:tabs>
        <w:spacing w:line="360" w:lineRule="auto"/>
        <w:ind w:left="0" w:firstLine="525"/>
        <w:rPr>
          <w:rFonts w:ascii="宋体" w:hAnsi="宋体"/>
          <w:sz w:val="28"/>
          <w:szCs w:val="28"/>
        </w:rPr>
      </w:pPr>
      <w:r>
        <w:rPr>
          <w:rFonts w:hint="eastAsia" w:ascii="宋体" w:hAnsi="宋体"/>
          <w:sz w:val="28"/>
          <w:szCs w:val="28"/>
        </w:rPr>
        <w:t>报价最高的投标人为中标候选人的，评标委员会应当对其报价的合理性予以特别说明。</w:t>
      </w:r>
    </w:p>
    <w:p>
      <w:pPr>
        <w:tabs>
          <w:tab w:val="left" w:pos="1155"/>
        </w:tabs>
        <w:spacing w:line="360" w:lineRule="auto"/>
        <w:ind w:firstLine="524" w:firstLineChars="187"/>
        <w:rPr>
          <w:rFonts w:ascii="宋体" w:hAnsi="宋体"/>
          <w:sz w:val="28"/>
          <w:szCs w:val="28"/>
        </w:rPr>
      </w:pPr>
      <w:r>
        <w:rPr>
          <w:rFonts w:hint="eastAsia" w:ascii="宋体" w:hAnsi="宋体"/>
          <w:sz w:val="28"/>
          <w:szCs w:val="28"/>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keepNext/>
        <w:keepLines/>
        <w:numPr>
          <w:ilvl w:val="1"/>
          <w:numId w:val="5"/>
        </w:numPr>
        <w:spacing w:line="360" w:lineRule="auto"/>
        <w:jc w:val="left"/>
        <w:outlineLvl w:val="1"/>
        <w:rPr>
          <w:rFonts w:ascii="宋体" w:hAnsi="宋体"/>
          <w:b/>
          <w:bCs/>
          <w:sz w:val="28"/>
          <w:szCs w:val="28"/>
        </w:rPr>
      </w:pPr>
      <w:bookmarkStart w:id="162" w:name="_Toc74752344"/>
      <w:r>
        <w:rPr>
          <w:rFonts w:hint="eastAsia" w:ascii="宋体" w:hAnsi="宋体"/>
          <w:b/>
          <w:bCs/>
          <w:sz w:val="28"/>
          <w:szCs w:val="28"/>
        </w:rPr>
        <w:t>评标争议处理规则</w:t>
      </w:r>
      <w:bookmarkEnd w:id="162"/>
    </w:p>
    <w:p>
      <w:pPr>
        <w:tabs>
          <w:tab w:val="left" w:pos="1155"/>
        </w:tabs>
        <w:spacing w:line="360" w:lineRule="auto"/>
        <w:ind w:firstLine="524" w:firstLineChars="187"/>
        <w:rPr>
          <w:rFonts w:ascii="宋体" w:hAnsi="宋体"/>
          <w:sz w:val="28"/>
          <w:szCs w:val="28"/>
        </w:rPr>
      </w:pPr>
      <w:r>
        <w:rPr>
          <w:rFonts w:hint="eastAsia" w:ascii="宋体" w:hAnsi="宋体"/>
          <w:sz w:val="28"/>
          <w:szCs w:val="28"/>
        </w:rPr>
        <w:t>评标委员会在评审过程中，对于符合性审查、对投标人文件做无效投标处理及其他需要共同认定的事项存在争议的，应当以少数服从多数的原则做出结论，但不得违背法律法规和招标文件规定。</w:t>
      </w:r>
      <w:r>
        <w:rPr>
          <w:rFonts w:hint="eastAsia" w:cs="Arial"/>
          <w:sz w:val="28"/>
          <w:szCs w:val="28"/>
        </w:rPr>
        <w:t>持不同意见的评标委员会成员应当在评标报告上签署不同意见及理由，否则视为同意评标报告。</w:t>
      </w:r>
      <w:r>
        <w:rPr>
          <w:rFonts w:hint="eastAsia" w:ascii="宋体" w:hAnsi="宋体"/>
          <w:sz w:val="28"/>
          <w:szCs w:val="28"/>
        </w:rPr>
        <w:t>持不同意见的评标委员会成员认为认定过程和结果不符合法律法规或者招标文件规定的，应当及时向采购人或</w:t>
      </w:r>
      <w:r>
        <w:rPr>
          <w:rFonts w:hint="eastAsia" w:cs="Arial"/>
          <w:sz w:val="28"/>
          <w:szCs w:val="28"/>
        </w:rPr>
        <w:t>成都市武侯区政府采购中心</w:t>
      </w:r>
      <w:r>
        <w:rPr>
          <w:rFonts w:hint="eastAsia" w:ascii="宋体" w:hAnsi="宋体"/>
          <w:sz w:val="28"/>
          <w:szCs w:val="28"/>
        </w:rPr>
        <w:t>书面反映。采购人或</w:t>
      </w:r>
      <w:r>
        <w:rPr>
          <w:rFonts w:hint="eastAsia" w:cs="Arial"/>
          <w:sz w:val="28"/>
          <w:szCs w:val="28"/>
        </w:rPr>
        <w:t>成都市武侯区政府采购中心</w:t>
      </w:r>
      <w:r>
        <w:rPr>
          <w:rFonts w:hint="eastAsia" w:ascii="宋体" w:hAnsi="宋体"/>
          <w:sz w:val="28"/>
          <w:szCs w:val="28"/>
        </w:rPr>
        <w:t>收到书面反映后，应当书面报告采购项目同级财政部门即成都市武侯区财政局依法处理。</w:t>
      </w:r>
    </w:p>
    <w:p>
      <w:pPr>
        <w:keepNext/>
        <w:keepLines/>
        <w:numPr>
          <w:ilvl w:val="1"/>
          <w:numId w:val="5"/>
        </w:numPr>
        <w:spacing w:line="360" w:lineRule="auto"/>
        <w:jc w:val="left"/>
        <w:outlineLvl w:val="1"/>
        <w:rPr>
          <w:rFonts w:ascii="宋体" w:hAnsi="宋体"/>
          <w:b/>
          <w:bCs/>
          <w:sz w:val="28"/>
          <w:szCs w:val="28"/>
        </w:rPr>
      </w:pPr>
      <w:bookmarkStart w:id="163" w:name="_Toc74752345"/>
      <w:r>
        <w:rPr>
          <w:rFonts w:hint="eastAsia" w:ascii="宋体" w:hAnsi="宋体"/>
          <w:b/>
          <w:bCs/>
          <w:sz w:val="28"/>
          <w:szCs w:val="28"/>
        </w:rPr>
        <w:t>评标细则及标准</w:t>
      </w:r>
      <w:bookmarkEnd w:id="163"/>
    </w:p>
    <w:p>
      <w:pPr>
        <w:numPr>
          <w:ilvl w:val="0"/>
          <w:numId w:val="46"/>
        </w:numPr>
        <w:tabs>
          <w:tab w:val="left" w:pos="1155"/>
        </w:tabs>
        <w:spacing w:after="200" w:line="360" w:lineRule="auto"/>
        <w:ind w:left="0" w:firstLine="567"/>
        <w:rPr>
          <w:rFonts w:ascii="宋体" w:hAnsi="宋体"/>
          <w:sz w:val="28"/>
          <w:szCs w:val="28"/>
        </w:rPr>
      </w:pPr>
      <w:r>
        <w:rPr>
          <w:rFonts w:hint="eastAsia" w:ascii="宋体" w:hAnsi="宋体"/>
          <w:sz w:val="28"/>
          <w:szCs w:val="28"/>
        </w:rPr>
        <w:t>评标委员会只对通过初审的投标文件，根据招标文件的要求采用相同的评标程序、评分办法及标准进行评价和比较。</w:t>
      </w:r>
    </w:p>
    <w:p>
      <w:pPr>
        <w:numPr>
          <w:ilvl w:val="0"/>
          <w:numId w:val="46"/>
        </w:numPr>
        <w:tabs>
          <w:tab w:val="left" w:pos="1155"/>
        </w:tabs>
        <w:spacing w:after="200" w:line="360" w:lineRule="auto"/>
        <w:ind w:left="0" w:firstLine="567"/>
        <w:rPr>
          <w:rFonts w:ascii="宋体" w:hAnsi="宋体"/>
          <w:sz w:val="28"/>
          <w:szCs w:val="28"/>
        </w:rPr>
      </w:pPr>
      <w:r>
        <w:rPr>
          <w:rFonts w:hint="eastAsia" w:ascii="宋体" w:hAnsi="宋体"/>
          <w:sz w:val="28"/>
          <w:szCs w:val="28"/>
        </w:rPr>
        <w:t>本次综合评分的因素是：价格、服务、商务等。</w:t>
      </w:r>
    </w:p>
    <w:p>
      <w:pPr>
        <w:numPr>
          <w:ilvl w:val="0"/>
          <w:numId w:val="46"/>
        </w:numPr>
        <w:tabs>
          <w:tab w:val="left" w:pos="1155"/>
        </w:tabs>
        <w:spacing w:after="200" w:line="360" w:lineRule="auto"/>
        <w:ind w:left="0" w:firstLine="525"/>
        <w:rPr>
          <w:rFonts w:ascii="宋体" w:hAnsi="宋体"/>
          <w:sz w:val="28"/>
          <w:szCs w:val="28"/>
        </w:rPr>
      </w:pPr>
      <w:r>
        <w:rPr>
          <w:rFonts w:hint="eastAsia" w:ascii="宋体" w:hAnsi="宋体"/>
          <w:sz w:val="28"/>
          <w:szCs w:val="28"/>
        </w:rPr>
        <w:t>评标委员会成员应依据招标文件规定的评分标准和方法独立打分。</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评分办法</w:t>
      </w:r>
    </w:p>
    <w:p>
      <w:pPr>
        <w:spacing w:line="360" w:lineRule="auto"/>
        <w:ind w:firstLine="630" w:firstLineChars="225"/>
        <w:rPr>
          <w:rFonts w:ascii="宋体" w:hAnsi="宋体"/>
          <w:sz w:val="28"/>
          <w:szCs w:val="28"/>
        </w:rPr>
      </w:pPr>
      <w:r>
        <w:rPr>
          <w:rFonts w:hint="eastAsia" w:ascii="宋体" w:hAnsi="宋体"/>
          <w:sz w:val="28"/>
          <w:szCs w:val="28"/>
        </w:rPr>
        <w:t xml:space="preserve">本次评标采用综合评分法，由评标委员会各成员独立对通过初审（资格检查和符合性检查）的投标人的投标文件进行评审和打分，    </w:t>
      </w:r>
    </w:p>
    <w:p>
      <w:pPr>
        <w:spacing w:line="360" w:lineRule="auto"/>
        <w:ind w:firstLine="630" w:firstLineChars="225"/>
        <w:rPr>
          <w:rFonts w:ascii="宋体" w:hAnsi="宋体"/>
          <w:sz w:val="28"/>
          <w:szCs w:val="28"/>
        </w:rPr>
      </w:pPr>
      <w:r>
        <w:rPr>
          <w:rFonts w:hint="eastAsia" w:ascii="宋体" w:hAnsi="宋体"/>
          <w:sz w:val="28"/>
          <w:szCs w:val="28"/>
        </w:rPr>
        <w:t>评标得分＝（A</w:t>
      </w:r>
      <w:r>
        <w:rPr>
          <w:rFonts w:hint="eastAsia" w:ascii="宋体" w:hAnsi="宋体"/>
          <w:sz w:val="28"/>
          <w:szCs w:val="28"/>
          <w:vertAlign w:val="subscript"/>
        </w:rPr>
        <w:t>1</w:t>
      </w:r>
      <w:r>
        <w:rPr>
          <w:rFonts w:hint="eastAsia" w:ascii="宋体" w:hAnsi="宋体"/>
          <w:sz w:val="28"/>
          <w:szCs w:val="28"/>
        </w:rPr>
        <w:t>＋A</w:t>
      </w:r>
      <w:r>
        <w:rPr>
          <w:rFonts w:hint="eastAsia" w:ascii="宋体" w:hAnsi="宋体"/>
          <w:sz w:val="28"/>
          <w:szCs w:val="28"/>
          <w:vertAlign w:val="subscript"/>
        </w:rPr>
        <w:t>2</w:t>
      </w:r>
      <w:r>
        <w:rPr>
          <w:rFonts w:hint="eastAsia" w:ascii="宋体" w:hAnsi="宋体"/>
          <w:sz w:val="28"/>
          <w:szCs w:val="28"/>
        </w:rPr>
        <w:t>＋……＋A</w:t>
      </w:r>
      <w:r>
        <w:rPr>
          <w:rFonts w:hint="eastAsia" w:ascii="宋体" w:hAnsi="宋体"/>
          <w:sz w:val="28"/>
          <w:szCs w:val="28"/>
          <w:vertAlign w:val="subscript"/>
        </w:rPr>
        <w:t>n</w:t>
      </w:r>
      <w:r>
        <w:rPr>
          <w:rFonts w:hint="eastAsia" w:ascii="宋体" w:hAnsi="宋体"/>
          <w:sz w:val="28"/>
          <w:szCs w:val="28"/>
        </w:rPr>
        <w:t>）/n</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2</w:t>
      </w:r>
      <w:r>
        <w:rPr>
          <w:rFonts w:hint="eastAsia" w:ascii="宋体" w:hAnsi="宋体"/>
          <w:sz w:val="28"/>
          <w:szCs w:val="28"/>
        </w:rPr>
        <w:t>＋……＋B</w:t>
      </w:r>
      <w:r>
        <w:rPr>
          <w:rFonts w:hint="eastAsia" w:ascii="宋体" w:hAnsi="宋体"/>
          <w:sz w:val="28"/>
          <w:szCs w:val="28"/>
          <w:vertAlign w:val="subscript"/>
        </w:rPr>
        <w:t>n</w:t>
      </w:r>
      <w:r>
        <w:rPr>
          <w:rFonts w:hint="eastAsia" w:ascii="宋体" w:hAnsi="宋体"/>
          <w:sz w:val="28"/>
          <w:szCs w:val="28"/>
        </w:rPr>
        <w:t>）/ n</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1</w:t>
      </w:r>
      <w:r>
        <w:rPr>
          <w:rFonts w:hint="eastAsia" w:ascii="宋体" w:hAnsi="宋体"/>
          <w:sz w:val="28"/>
          <w:szCs w:val="28"/>
        </w:rPr>
        <w:t>＋C</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n</w:t>
      </w:r>
      <w:r>
        <w:rPr>
          <w:rFonts w:hint="eastAsia" w:ascii="宋体" w:hAnsi="宋体"/>
          <w:sz w:val="28"/>
          <w:szCs w:val="28"/>
        </w:rPr>
        <w:t>）/ n</w:t>
      </w:r>
      <w:r>
        <w:rPr>
          <w:rFonts w:hint="eastAsia" w:ascii="宋体" w:hAnsi="宋体"/>
          <w:sz w:val="28"/>
          <w:szCs w:val="28"/>
          <w:vertAlign w:val="subscript"/>
        </w:rPr>
        <w:t>3</w:t>
      </w:r>
    </w:p>
    <w:p>
      <w:pPr>
        <w:widowControl/>
        <w:spacing w:line="360" w:lineRule="auto"/>
        <w:ind w:firstLine="560" w:firstLineChars="200"/>
        <w:rPr>
          <w:rFonts w:hint="eastAsia" w:ascii="宋体" w:hAnsi="宋体"/>
          <w:sz w:val="28"/>
          <w:szCs w:val="28"/>
        </w:rPr>
      </w:pPr>
      <w:r>
        <w:rPr>
          <w:rFonts w:hint="eastAsia" w:ascii="宋体" w:hAnsi="宋体"/>
          <w:sz w:val="28"/>
          <w:szCs w:val="28"/>
        </w:rPr>
        <w:t>A</w:t>
      </w:r>
      <w:r>
        <w:rPr>
          <w:rFonts w:hint="eastAsia" w:ascii="宋体" w:hAnsi="宋体"/>
          <w:sz w:val="28"/>
          <w:szCs w:val="28"/>
          <w:vertAlign w:val="subscript"/>
        </w:rPr>
        <w:t>1</w:t>
      </w:r>
      <w:r>
        <w:rPr>
          <w:rFonts w:hint="eastAsia" w:ascii="宋体" w:hAnsi="宋体"/>
          <w:sz w:val="28"/>
          <w:szCs w:val="28"/>
        </w:rPr>
        <w:t>、A</w:t>
      </w:r>
      <w:r>
        <w:rPr>
          <w:rFonts w:hint="eastAsia" w:ascii="宋体" w:hAnsi="宋体"/>
          <w:sz w:val="28"/>
          <w:szCs w:val="28"/>
          <w:vertAlign w:val="subscript"/>
        </w:rPr>
        <w:t>2</w:t>
      </w:r>
      <w:r>
        <w:rPr>
          <w:rFonts w:hint="eastAsia" w:ascii="宋体" w:hAnsi="宋体"/>
          <w:sz w:val="28"/>
          <w:szCs w:val="28"/>
        </w:rPr>
        <w:t>……A</w:t>
      </w:r>
      <w:r>
        <w:rPr>
          <w:rFonts w:hint="eastAsia" w:ascii="宋体" w:hAnsi="宋体"/>
          <w:sz w:val="28"/>
          <w:szCs w:val="28"/>
          <w:vertAlign w:val="subscript"/>
        </w:rPr>
        <w:t>n</w:t>
      </w:r>
      <w:r>
        <w:rPr>
          <w:rFonts w:hint="eastAsia" w:ascii="宋体" w:hAnsi="宋体"/>
          <w:sz w:val="28"/>
          <w:szCs w:val="28"/>
        </w:rPr>
        <w:t>分别为每个</w:t>
      </w:r>
      <w:r>
        <w:rPr>
          <w:rFonts w:hint="eastAsia" w:ascii="宋体" w:hAnsi="宋体" w:cs="宋体"/>
          <w:kern w:val="0"/>
          <w:sz w:val="28"/>
          <w:szCs w:val="28"/>
        </w:rPr>
        <w:t>经济类</w:t>
      </w:r>
      <w:r>
        <w:rPr>
          <w:rFonts w:hint="eastAsia" w:ascii="宋体" w:hAnsi="宋体"/>
          <w:sz w:val="28"/>
          <w:szCs w:val="28"/>
        </w:rPr>
        <w:t>评委的打分，n</w:t>
      </w:r>
      <w:r>
        <w:rPr>
          <w:rFonts w:hint="eastAsia" w:ascii="宋体" w:hAnsi="宋体"/>
          <w:sz w:val="28"/>
          <w:szCs w:val="28"/>
          <w:vertAlign w:val="subscript"/>
        </w:rPr>
        <w:t>1</w:t>
      </w:r>
      <w:r>
        <w:rPr>
          <w:rFonts w:hint="eastAsia" w:ascii="宋体" w:hAnsi="宋体"/>
          <w:sz w:val="28"/>
          <w:szCs w:val="28"/>
        </w:rPr>
        <w:t>为</w:t>
      </w:r>
      <w:r>
        <w:rPr>
          <w:rFonts w:hint="eastAsia" w:ascii="宋体" w:hAnsi="宋体" w:cs="宋体"/>
          <w:kern w:val="0"/>
          <w:sz w:val="28"/>
          <w:szCs w:val="28"/>
        </w:rPr>
        <w:t>经济类</w:t>
      </w:r>
      <w:r>
        <w:rPr>
          <w:rFonts w:hint="eastAsia" w:ascii="宋体" w:hAnsi="宋体"/>
          <w:sz w:val="28"/>
          <w:szCs w:val="28"/>
        </w:rPr>
        <w:t>评委人数；B</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2</w:t>
      </w:r>
      <w:r>
        <w:rPr>
          <w:rFonts w:hint="eastAsia" w:ascii="宋体" w:hAnsi="宋体"/>
          <w:sz w:val="28"/>
          <w:szCs w:val="28"/>
        </w:rPr>
        <w:t>＋……B</w:t>
      </w:r>
      <w:r>
        <w:rPr>
          <w:rFonts w:hint="eastAsia" w:ascii="宋体" w:hAnsi="宋体"/>
          <w:sz w:val="28"/>
          <w:szCs w:val="28"/>
          <w:vertAlign w:val="subscript"/>
        </w:rPr>
        <w:t>n</w:t>
      </w:r>
      <w:r>
        <w:rPr>
          <w:rFonts w:hint="eastAsia" w:ascii="宋体" w:hAnsi="宋体"/>
          <w:sz w:val="28"/>
          <w:szCs w:val="28"/>
        </w:rPr>
        <w:t xml:space="preserve"> 分别为每个技术类评委（含采购人代表）的打分，n</w:t>
      </w:r>
      <w:r>
        <w:rPr>
          <w:rFonts w:hint="eastAsia" w:ascii="宋体" w:hAnsi="宋体"/>
          <w:sz w:val="28"/>
          <w:szCs w:val="28"/>
          <w:vertAlign w:val="subscript"/>
        </w:rPr>
        <w:t>2</w:t>
      </w:r>
      <w:r>
        <w:rPr>
          <w:rFonts w:hint="eastAsia" w:ascii="宋体" w:hAnsi="宋体"/>
          <w:sz w:val="28"/>
          <w:szCs w:val="28"/>
        </w:rPr>
        <w:t>为</w:t>
      </w:r>
      <w:r>
        <w:rPr>
          <w:rFonts w:hint="eastAsia" w:ascii="宋体" w:hAnsi="宋体" w:cs="宋体"/>
          <w:kern w:val="0"/>
          <w:sz w:val="28"/>
          <w:szCs w:val="28"/>
        </w:rPr>
        <w:t>技术类</w:t>
      </w:r>
      <w:r>
        <w:rPr>
          <w:rFonts w:hint="eastAsia" w:ascii="宋体" w:hAnsi="宋体"/>
          <w:sz w:val="28"/>
          <w:szCs w:val="28"/>
        </w:rPr>
        <w:t>评委（含采购人代表）人数；C</w:t>
      </w:r>
      <w:r>
        <w:rPr>
          <w:rFonts w:hint="eastAsia" w:ascii="宋体" w:hAnsi="宋体"/>
          <w:sz w:val="28"/>
          <w:szCs w:val="28"/>
          <w:vertAlign w:val="subscript"/>
        </w:rPr>
        <w:t>1</w:t>
      </w:r>
      <w:r>
        <w:rPr>
          <w:rFonts w:hint="eastAsia" w:ascii="宋体" w:hAnsi="宋体"/>
          <w:sz w:val="28"/>
          <w:szCs w:val="28"/>
        </w:rPr>
        <w:t>、C</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n</w:t>
      </w:r>
      <w:r>
        <w:rPr>
          <w:rFonts w:hint="eastAsia" w:ascii="宋体" w:hAnsi="宋体"/>
          <w:sz w:val="28"/>
          <w:szCs w:val="28"/>
        </w:rPr>
        <w:t xml:space="preserve"> 分别为评审委员会每个成员的打分，n</w:t>
      </w:r>
      <w:r>
        <w:rPr>
          <w:rFonts w:hint="eastAsia" w:ascii="宋体" w:hAnsi="宋体"/>
          <w:sz w:val="28"/>
          <w:szCs w:val="28"/>
          <w:vertAlign w:val="subscript"/>
        </w:rPr>
        <w:t>3</w:t>
      </w:r>
      <w:r>
        <w:rPr>
          <w:rFonts w:hint="eastAsia" w:ascii="宋体" w:hAnsi="宋体"/>
          <w:sz w:val="28"/>
          <w:szCs w:val="28"/>
        </w:rPr>
        <w:t>为评委人数。</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评分标准</w:t>
      </w:r>
    </w:p>
    <w:tbl>
      <w:tblPr>
        <w:tblStyle w:val="46"/>
        <w:tblpPr w:leftFromText="180" w:rightFromText="180" w:vertAnchor="text" w:horzAnchor="page" w:tblpX="1288" w:tblpY="50"/>
        <w:tblOverlap w:val="never"/>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423"/>
        <w:gridCol w:w="888"/>
        <w:gridCol w:w="4919"/>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585" w:type="dxa"/>
            <w:vAlign w:val="center"/>
          </w:tcPr>
          <w:p>
            <w:pPr>
              <w:tabs>
                <w:tab w:val="left" w:pos="1155"/>
              </w:tabs>
              <w:spacing w:line="360" w:lineRule="auto"/>
              <w:rPr>
                <w:rFonts w:hint="eastAsia" w:ascii="宋体" w:hAnsi="宋体"/>
                <w:sz w:val="28"/>
                <w:szCs w:val="28"/>
              </w:rPr>
            </w:pPr>
            <w:r>
              <w:rPr>
                <w:rFonts w:hint="eastAsia" w:ascii="宋体" w:hAnsi="宋体"/>
                <w:sz w:val="28"/>
                <w:szCs w:val="28"/>
              </w:rPr>
              <w:t>序号</w:t>
            </w:r>
          </w:p>
        </w:tc>
        <w:tc>
          <w:tcPr>
            <w:tcW w:w="1423" w:type="dxa"/>
            <w:vAlign w:val="center"/>
          </w:tcPr>
          <w:p>
            <w:pPr>
              <w:tabs>
                <w:tab w:val="left" w:pos="1155"/>
              </w:tabs>
              <w:spacing w:line="360" w:lineRule="auto"/>
              <w:rPr>
                <w:rFonts w:hint="eastAsia" w:ascii="宋体" w:hAnsi="宋体"/>
                <w:sz w:val="28"/>
                <w:szCs w:val="28"/>
              </w:rPr>
            </w:pPr>
            <w:r>
              <w:rPr>
                <w:rFonts w:hint="eastAsia" w:ascii="宋体" w:hAnsi="宋体"/>
                <w:sz w:val="28"/>
                <w:szCs w:val="28"/>
              </w:rPr>
              <w:t>评分因素及权重</w:t>
            </w:r>
          </w:p>
        </w:tc>
        <w:tc>
          <w:tcPr>
            <w:tcW w:w="888" w:type="dxa"/>
            <w:vAlign w:val="center"/>
          </w:tcPr>
          <w:p>
            <w:pPr>
              <w:tabs>
                <w:tab w:val="left" w:pos="1155"/>
              </w:tabs>
              <w:spacing w:line="360" w:lineRule="auto"/>
              <w:rPr>
                <w:rFonts w:hint="eastAsia" w:ascii="宋体" w:hAnsi="宋体"/>
                <w:sz w:val="28"/>
                <w:szCs w:val="28"/>
              </w:rPr>
            </w:pPr>
            <w:r>
              <w:rPr>
                <w:rFonts w:hint="eastAsia" w:ascii="宋体" w:hAnsi="宋体"/>
                <w:sz w:val="28"/>
                <w:szCs w:val="28"/>
              </w:rPr>
              <w:t>分值</w:t>
            </w:r>
          </w:p>
        </w:tc>
        <w:tc>
          <w:tcPr>
            <w:tcW w:w="4919" w:type="dxa"/>
            <w:vAlign w:val="center"/>
          </w:tcPr>
          <w:p>
            <w:pPr>
              <w:tabs>
                <w:tab w:val="left" w:pos="1155"/>
              </w:tabs>
              <w:spacing w:line="360" w:lineRule="auto"/>
              <w:ind w:firstLine="524" w:firstLineChars="187"/>
              <w:rPr>
                <w:rFonts w:hint="eastAsia" w:ascii="宋体" w:hAnsi="宋体"/>
                <w:sz w:val="28"/>
                <w:szCs w:val="28"/>
              </w:rPr>
            </w:pPr>
            <w:r>
              <w:rPr>
                <w:rFonts w:hint="eastAsia" w:ascii="宋体" w:hAnsi="宋体"/>
                <w:sz w:val="28"/>
                <w:szCs w:val="28"/>
              </w:rPr>
              <w:t>评分标准</w:t>
            </w:r>
          </w:p>
        </w:tc>
        <w:tc>
          <w:tcPr>
            <w:tcW w:w="2145" w:type="dxa"/>
            <w:vAlign w:val="center"/>
          </w:tcPr>
          <w:p>
            <w:pPr>
              <w:tabs>
                <w:tab w:val="left" w:pos="1155"/>
              </w:tabs>
              <w:spacing w:line="360" w:lineRule="auto"/>
              <w:ind w:firstLine="524" w:firstLineChars="187"/>
              <w:rPr>
                <w:rFonts w:hint="eastAsia" w:ascii="宋体" w:hAnsi="宋体"/>
                <w:sz w:val="28"/>
                <w:szCs w:val="28"/>
              </w:rPr>
            </w:pPr>
            <w:r>
              <w:rPr>
                <w:rFonts w:hint="eastAsia" w:ascii="宋体" w:hAnsi="宋体"/>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7" w:hRule="atLeast"/>
        </w:trPr>
        <w:tc>
          <w:tcPr>
            <w:tcW w:w="585" w:type="dxa"/>
            <w:vAlign w:val="center"/>
          </w:tcPr>
          <w:p>
            <w:pPr>
              <w:tabs>
                <w:tab w:val="left" w:pos="1155"/>
              </w:tabs>
              <w:spacing w:line="360" w:lineRule="auto"/>
              <w:rPr>
                <w:rFonts w:hint="eastAsia" w:ascii="宋体" w:hAnsi="宋体" w:eastAsia="宋体"/>
                <w:sz w:val="28"/>
                <w:szCs w:val="28"/>
                <w:lang w:val="en-US" w:eastAsia="zh-CN"/>
              </w:rPr>
            </w:pPr>
            <w:r>
              <w:rPr>
                <w:rFonts w:hint="eastAsia" w:ascii="宋体" w:hAnsi="宋体"/>
                <w:sz w:val="28"/>
                <w:szCs w:val="28"/>
                <w:lang w:val="en-US" w:eastAsia="zh-CN"/>
              </w:rPr>
              <w:t>1</w:t>
            </w:r>
          </w:p>
        </w:tc>
        <w:tc>
          <w:tcPr>
            <w:tcW w:w="1423" w:type="dxa"/>
            <w:vAlign w:val="center"/>
          </w:tcPr>
          <w:p>
            <w:pPr>
              <w:tabs>
                <w:tab w:val="left" w:pos="1155"/>
              </w:tabs>
              <w:spacing w:line="360" w:lineRule="auto"/>
              <w:jc w:val="center"/>
              <w:rPr>
                <w:rFonts w:hint="eastAsia" w:ascii="宋体" w:hAnsi="宋体"/>
                <w:sz w:val="28"/>
                <w:szCs w:val="28"/>
              </w:rPr>
            </w:pPr>
            <w:r>
              <w:rPr>
                <w:rFonts w:hint="eastAsia" w:ascii="宋体" w:hAnsi="宋体"/>
                <w:sz w:val="28"/>
                <w:szCs w:val="28"/>
              </w:rPr>
              <w:t>投标</w:t>
            </w:r>
          </w:p>
          <w:p>
            <w:pPr>
              <w:tabs>
                <w:tab w:val="left" w:pos="1155"/>
              </w:tabs>
              <w:spacing w:line="360" w:lineRule="auto"/>
              <w:jc w:val="center"/>
              <w:rPr>
                <w:rFonts w:hint="eastAsia" w:ascii="宋体" w:hAnsi="宋体"/>
                <w:sz w:val="28"/>
                <w:szCs w:val="28"/>
              </w:rPr>
            </w:pPr>
            <w:r>
              <w:rPr>
                <w:rFonts w:hint="eastAsia" w:ascii="宋体" w:hAnsi="宋体"/>
                <w:sz w:val="28"/>
                <w:szCs w:val="28"/>
              </w:rPr>
              <w:t>报价</w:t>
            </w:r>
            <w:r>
              <w:rPr>
                <w:rFonts w:hint="eastAsia" w:ascii="宋体" w:hAnsi="宋体"/>
                <w:sz w:val="28"/>
                <w:szCs w:val="28"/>
                <w:lang w:val="en-US" w:eastAsia="zh-CN"/>
              </w:rPr>
              <w:t xml:space="preserve"> </w:t>
            </w:r>
            <w:r>
              <w:rPr>
                <w:rFonts w:hint="eastAsia" w:ascii="宋体" w:hAnsi="宋体"/>
                <w:sz w:val="28"/>
                <w:szCs w:val="28"/>
              </w:rPr>
              <w:t>30%</w:t>
            </w:r>
            <w:r>
              <w:rPr>
                <w:rFonts w:hint="eastAsia" w:ascii="宋体" w:hAnsi="宋体"/>
                <w:sz w:val="28"/>
                <w:szCs w:val="28"/>
                <w:lang w:eastAsia="zh-CN"/>
              </w:rPr>
              <w:t>（共同评审因素）</w:t>
            </w:r>
          </w:p>
        </w:tc>
        <w:tc>
          <w:tcPr>
            <w:tcW w:w="888" w:type="dxa"/>
            <w:vAlign w:val="center"/>
          </w:tcPr>
          <w:p>
            <w:pPr>
              <w:tabs>
                <w:tab w:val="left" w:pos="1155"/>
              </w:tabs>
              <w:spacing w:line="360" w:lineRule="auto"/>
              <w:rPr>
                <w:rFonts w:hint="eastAsia" w:ascii="宋体" w:hAnsi="宋体"/>
                <w:sz w:val="28"/>
                <w:szCs w:val="28"/>
              </w:rPr>
            </w:pPr>
            <w:r>
              <w:rPr>
                <w:rFonts w:hint="eastAsia" w:ascii="宋体" w:hAnsi="宋体"/>
                <w:sz w:val="28"/>
                <w:szCs w:val="28"/>
              </w:rPr>
              <w:t>30分</w:t>
            </w:r>
          </w:p>
        </w:tc>
        <w:tc>
          <w:tcPr>
            <w:tcW w:w="4919" w:type="dxa"/>
            <w:vAlign w:val="center"/>
          </w:tcPr>
          <w:p>
            <w:pPr>
              <w:tabs>
                <w:tab w:val="left" w:pos="1155"/>
              </w:tabs>
              <w:spacing w:line="360" w:lineRule="auto"/>
              <w:jc w:val="left"/>
              <w:rPr>
                <w:rFonts w:hint="eastAsia" w:ascii="宋体" w:hAnsi="宋体"/>
                <w:sz w:val="28"/>
                <w:szCs w:val="28"/>
              </w:rPr>
            </w:pPr>
            <w:r>
              <w:rPr>
                <w:rFonts w:hint="eastAsia" w:ascii="宋体" w:hAnsi="宋体"/>
                <w:sz w:val="28"/>
                <w:szCs w:val="28"/>
              </w:rPr>
              <w:t>以本次最低有效投标报价为基准价，投标报价得分=(基准价／投标报价)*30</w:t>
            </w:r>
          </w:p>
          <w:p>
            <w:pPr>
              <w:tabs>
                <w:tab w:val="left" w:pos="1155"/>
              </w:tabs>
              <w:spacing w:line="360" w:lineRule="auto"/>
              <w:ind w:firstLine="524" w:firstLineChars="187"/>
              <w:rPr>
                <w:rFonts w:hint="eastAsia" w:ascii="宋体" w:hAnsi="宋体"/>
                <w:sz w:val="28"/>
                <w:szCs w:val="28"/>
              </w:rPr>
            </w:pPr>
          </w:p>
        </w:tc>
        <w:tc>
          <w:tcPr>
            <w:tcW w:w="2145" w:type="dxa"/>
            <w:vAlign w:val="center"/>
          </w:tcPr>
          <w:p>
            <w:pPr>
              <w:tabs>
                <w:tab w:val="left" w:pos="1155"/>
              </w:tabs>
              <w:spacing w:line="360" w:lineRule="auto"/>
              <w:rPr>
                <w:rFonts w:hint="eastAsia" w:ascii="宋体" w:hAnsi="宋体"/>
                <w:sz w:val="28"/>
                <w:szCs w:val="28"/>
              </w:rPr>
            </w:pPr>
            <w:r>
              <w:rPr>
                <w:rFonts w:hint="eastAsia" w:ascii="宋体" w:hAnsi="宋体"/>
                <w:sz w:val="28"/>
                <w:szCs w:val="28"/>
              </w:rPr>
              <w:t>小微企业（监狱企业、残疾人福利性单位视同小微企业）价格扣除按照</w:t>
            </w:r>
            <w:r>
              <w:rPr>
                <w:rFonts w:hint="eastAsia" w:ascii="宋体" w:hAnsi="宋体"/>
                <w:sz w:val="28"/>
                <w:szCs w:val="28"/>
                <w:lang w:eastAsia="zh-CN"/>
              </w:rPr>
              <w:t>投标</w:t>
            </w:r>
            <w:r>
              <w:rPr>
                <w:rFonts w:hint="eastAsia" w:ascii="宋体" w:hAnsi="宋体"/>
                <w:sz w:val="28"/>
                <w:szCs w:val="28"/>
              </w:rPr>
              <w:t>文件须知表规定执行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2" w:hRule="atLeast"/>
        </w:trPr>
        <w:tc>
          <w:tcPr>
            <w:tcW w:w="585" w:type="dxa"/>
            <w:vAlign w:val="center"/>
          </w:tcPr>
          <w:p>
            <w:pPr>
              <w:tabs>
                <w:tab w:val="left" w:pos="1155"/>
              </w:tabs>
              <w:spacing w:line="360" w:lineRule="auto"/>
              <w:rPr>
                <w:rFonts w:hint="eastAsia" w:ascii="宋体" w:hAnsi="宋体"/>
                <w:sz w:val="28"/>
                <w:szCs w:val="28"/>
              </w:rPr>
            </w:pPr>
            <w:r>
              <w:rPr>
                <w:rFonts w:hint="eastAsia" w:ascii="宋体" w:hAnsi="宋体"/>
                <w:sz w:val="28"/>
                <w:szCs w:val="28"/>
              </w:rPr>
              <w:t>2</w:t>
            </w:r>
          </w:p>
        </w:tc>
        <w:tc>
          <w:tcPr>
            <w:tcW w:w="1423" w:type="dxa"/>
            <w:vAlign w:val="center"/>
          </w:tcPr>
          <w:p>
            <w:pPr>
              <w:tabs>
                <w:tab w:val="left" w:pos="1155"/>
              </w:tabs>
              <w:spacing w:line="360" w:lineRule="auto"/>
              <w:rPr>
                <w:rFonts w:hint="eastAsia" w:ascii="宋体" w:hAnsi="宋体"/>
                <w:sz w:val="28"/>
                <w:szCs w:val="28"/>
              </w:rPr>
            </w:pPr>
            <w:r>
              <w:rPr>
                <w:rFonts w:hint="eastAsia" w:ascii="宋体" w:hAnsi="宋体"/>
                <w:sz w:val="28"/>
                <w:szCs w:val="28"/>
              </w:rPr>
              <w:t>技术参数及要求35%</w:t>
            </w:r>
          </w:p>
          <w:p>
            <w:pPr>
              <w:tabs>
                <w:tab w:val="left" w:pos="1155"/>
              </w:tabs>
              <w:spacing w:line="360" w:lineRule="auto"/>
              <w:rPr>
                <w:rFonts w:hint="eastAsia" w:ascii="宋体" w:hAnsi="宋体" w:eastAsia="宋体"/>
                <w:sz w:val="28"/>
                <w:szCs w:val="28"/>
                <w:lang w:eastAsia="zh-CN"/>
              </w:rPr>
            </w:pPr>
            <w:r>
              <w:rPr>
                <w:rFonts w:hint="eastAsia" w:ascii="宋体" w:hAnsi="宋体"/>
                <w:sz w:val="28"/>
                <w:szCs w:val="28"/>
                <w:lang w:eastAsia="zh-CN"/>
              </w:rPr>
              <w:t>（技术类评审因素含采购人代表）</w:t>
            </w:r>
          </w:p>
        </w:tc>
        <w:tc>
          <w:tcPr>
            <w:tcW w:w="888" w:type="dxa"/>
            <w:vAlign w:val="center"/>
          </w:tcPr>
          <w:p>
            <w:pPr>
              <w:tabs>
                <w:tab w:val="left" w:pos="1155"/>
              </w:tabs>
              <w:spacing w:line="360" w:lineRule="auto"/>
              <w:rPr>
                <w:rFonts w:hint="eastAsia" w:ascii="宋体" w:hAnsi="宋体"/>
                <w:sz w:val="28"/>
                <w:szCs w:val="28"/>
              </w:rPr>
            </w:pPr>
            <w:r>
              <w:rPr>
                <w:rFonts w:hint="eastAsia" w:ascii="宋体" w:hAnsi="宋体"/>
                <w:sz w:val="28"/>
                <w:szCs w:val="28"/>
              </w:rPr>
              <w:t>35分</w:t>
            </w:r>
          </w:p>
        </w:tc>
        <w:tc>
          <w:tcPr>
            <w:tcW w:w="4919" w:type="dxa"/>
            <w:vAlign w:val="center"/>
          </w:tcPr>
          <w:p>
            <w:pPr>
              <w:tabs>
                <w:tab w:val="left" w:pos="1155"/>
              </w:tabs>
              <w:spacing w:line="360" w:lineRule="auto"/>
              <w:ind w:firstLine="524" w:firstLineChars="187"/>
              <w:rPr>
                <w:rFonts w:hint="eastAsia" w:ascii="宋体" w:hAnsi="宋体"/>
                <w:sz w:val="28"/>
                <w:szCs w:val="28"/>
              </w:rPr>
            </w:pPr>
            <w:r>
              <w:rPr>
                <w:rFonts w:hint="eastAsia" w:ascii="宋体" w:hAnsi="宋体"/>
                <w:sz w:val="28"/>
                <w:szCs w:val="28"/>
              </w:rPr>
              <w:t>1、投标人完全</w:t>
            </w:r>
            <w:r>
              <w:rPr>
                <w:rFonts w:hint="eastAsia" w:ascii="宋体" w:hAnsi="宋体"/>
                <w:sz w:val="28"/>
                <w:szCs w:val="28"/>
                <w:lang w:eastAsia="zh-CN"/>
              </w:rPr>
              <w:t>满足</w:t>
            </w:r>
            <w:r>
              <w:rPr>
                <w:rFonts w:hint="eastAsia" w:ascii="宋体" w:hAnsi="宋体"/>
                <w:sz w:val="28"/>
                <w:szCs w:val="28"/>
              </w:rPr>
              <w:t>招标文件</w:t>
            </w:r>
            <w:r>
              <w:rPr>
                <w:rFonts w:hint="eastAsia" w:ascii="宋体" w:hAnsi="宋体"/>
                <w:sz w:val="28"/>
                <w:szCs w:val="28"/>
                <w:lang w:eastAsia="zh-CN"/>
              </w:rPr>
              <w:t>“</w:t>
            </w:r>
            <w:r>
              <w:rPr>
                <w:rFonts w:hint="eastAsia" w:ascii="宋体" w:hAnsi="宋体"/>
                <w:sz w:val="28"/>
                <w:szCs w:val="28"/>
              </w:rPr>
              <w:t>货物清单及技术要求</w:t>
            </w:r>
            <w:r>
              <w:rPr>
                <w:rFonts w:hint="eastAsia" w:ascii="宋体" w:hAnsi="宋体"/>
                <w:sz w:val="28"/>
                <w:szCs w:val="28"/>
                <w:lang w:eastAsia="zh-CN"/>
              </w:rPr>
              <w:t>”</w:t>
            </w:r>
            <w:r>
              <w:rPr>
                <w:rFonts w:hint="eastAsia" w:ascii="宋体" w:hAnsi="宋体"/>
                <w:sz w:val="28"/>
                <w:szCs w:val="28"/>
              </w:rPr>
              <w:t>的得35分；</w:t>
            </w:r>
          </w:p>
          <w:p>
            <w:pPr>
              <w:tabs>
                <w:tab w:val="left" w:pos="1155"/>
              </w:tabs>
              <w:spacing w:line="360" w:lineRule="auto"/>
              <w:ind w:firstLine="524" w:firstLineChars="187"/>
              <w:rPr>
                <w:rFonts w:hint="eastAsia" w:ascii="宋体" w:hAnsi="宋体"/>
                <w:sz w:val="28"/>
                <w:szCs w:val="28"/>
              </w:rPr>
            </w:pPr>
            <w:r>
              <w:rPr>
                <w:rFonts w:hint="eastAsia" w:ascii="宋体" w:hAnsi="宋体"/>
                <w:sz w:val="28"/>
                <w:szCs w:val="28"/>
              </w:rPr>
              <w:t>2、</w:t>
            </w:r>
            <w:r>
              <w:rPr>
                <w:rFonts w:hint="eastAsia" w:ascii="宋体" w:hAnsi="宋体"/>
                <w:sz w:val="28"/>
                <w:szCs w:val="28"/>
                <w:lang w:eastAsia="zh-CN"/>
              </w:rPr>
              <w:t>招标文件“</w:t>
            </w:r>
            <w:r>
              <w:rPr>
                <w:rFonts w:hint="eastAsia" w:ascii="宋体" w:hAnsi="宋体"/>
                <w:sz w:val="28"/>
                <w:szCs w:val="28"/>
              </w:rPr>
              <w:t>货物清单及技术要求</w:t>
            </w:r>
            <w:r>
              <w:rPr>
                <w:rFonts w:hint="eastAsia" w:ascii="宋体" w:hAnsi="宋体"/>
                <w:sz w:val="28"/>
                <w:szCs w:val="28"/>
                <w:lang w:eastAsia="zh-CN"/>
              </w:rPr>
              <w:t>”中</w:t>
            </w:r>
            <w:r>
              <w:rPr>
                <w:rFonts w:hint="eastAsia" w:ascii="宋体" w:hAnsi="宋体"/>
                <w:sz w:val="28"/>
                <w:szCs w:val="28"/>
              </w:rPr>
              <w:t>标注“▲”条款</w:t>
            </w:r>
            <w:r>
              <w:rPr>
                <w:rFonts w:hint="eastAsia" w:ascii="宋体" w:hAnsi="宋体"/>
                <w:sz w:val="28"/>
                <w:szCs w:val="28"/>
                <w:lang w:eastAsia="zh-CN"/>
              </w:rPr>
              <w:t>的</w:t>
            </w:r>
            <w:r>
              <w:rPr>
                <w:rFonts w:hint="eastAsia" w:ascii="宋体" w:hAnsi="宋体"/>
                <w:sz w:val="28"/>
                <w:szCs w:val="28"/>
              </w:rPr>
              <w:t>（共18条），每有一项不满足（或负偏离）扣1分；非标注“▲”的条款（共8</w:t>
            </w:r>
            <w:r>
              <w:rPr>
                <w:rFonts w:hint="eastAsia" w:ascii="宋体" w:hAnsi="宋体"/>
                <w:sz w:val="28"/>
                <w:szCs w:val="28"/>
                <w:lang w:val="en-US" w:eastAsia="zh-CN"/>
              </w:rPr>
              <w:t>5</w:t>
            </w:r>
            <w:r>
              <w:rPr>
                <w:rFonts w:hint="eastAsia" w:ascii="宋体" w:hAnsi="宋体"/>
                <w:sz w:val="28"/>
                <w:szCs w:val="28"/>
              </w:rPr>
              <w:t>条），每有一项不满足（或负偏离）扣0.2分</w:t>
            </w:r>
            <w:r>
              <w:rPr>
                <w:rFonts w:hint="eastAsia" w:ascii="宋体" w:hAnsi="宋体"/>
                <w:sz w:val="28"/>
                <w:szCs w:val="28"/>
                <w:lang w:eastAsia="zh-CN"/>
              </w:rPr>
              <w:t>，</w:t>
            </w:r>
            <w:r>
              <w:rPr>
                <w:rFonts w:hint="eastAsia" w:ascii="宋体" w:hAnsi="宋体"/>
                <w:sz w:val="28"/>
                <w:szCs w:val="28"/>
              </w:rPr>
              <w:t>扣完为止。</w:t>
            </w:r>
            <w:r>
              <w:rPr>
                <w:rFonts w:hint="eastAsia" w:ascii="宋体" w:hAnsi="宋体"/>
                <w:sz w:val="28"/>
                <w:szCs w:val="28"/>
              </w:rPr>
              <w:br w:type="textWrapping"/>
            </w:r>
          </w:p>
        </w:tc>
        <w:tc>
          <w:tcPr>
            <w:tcW w:w="2145" w:type="dxa"/>
            <w:vAlign w:val="center"/>
          </w:tcPr>
          <w:p>
            <w:pPr>
              <w:tabs>
                <w:tab w:val="left" w:pos="1155"/>
              </w:tabs>
              <w:spacing w:line="360" w:lineRule="auto"/>
              <w:ind w:firstLine="524" w:firstLineChars="187"/>
              <w:rPr>
                <w:rFonts w:hint="eastAsia" w:ascii="宋体" w:hAnsi="宋体"/>
                <w:sz w:val="28"/>
                <w:szCs w:val="28"/>
              </w:rPr>
            </w:pPr>
            <w:r>
              <w:rPr>
                <w:rFonts w:hint="eastAsia" w:ascii="宋体" w:hAnsi="宋体"/>
                <w:sz w:val="28"/>
                <w:szCs w:val="28"/>
              </w:rPr>
              <w:t>带▲参数提供技术参数证明文件（除明确要求检测报告作为证明材料外，其它可采用产品彩页、厂家技术证明函、产品网页截图等），加盖投标人公章。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8" w:hRule="atLeast"/>
        </w:trPr>
        <w:tc>
          <w:tcPr>
            <w:tcW w:w="585" w:type="dxa"/>
            <w:vAlign w:val="center"/>
          </w:tcPr>
          <w:p>
            <w:pPr>
              <w:tabs>
                <w:tab w:val="left" w:pos="1155"/>
              </w:tabs>
              <w:spacing w:line="360" w:lineRule="auto"/>
              <w:rPr>
                <w:rFonts w:hint="eastAsia" w:ascii="宋体" w:hAnsi="宋体"/>
                <w:sz w:val="28"/>
                <w:szCs w:val="28"/>
              </w:rPr>
            </w:pPr>
            <w:r>
              <w:rPr>
                <w:rFonts w:hint="eastAsia" w:ascii="宋体" w:hAnsi="宋体"/>
                <w:sz w:val="28"/>
                <w:szCs w:val="28"/>
              </w:rPr>
              <w:t>3</w:t>
            </w:r>
          </w:p>
        </w:tc>
        <w:tc>
          <w:tcPr>
            <w:tcW w:w="1423" w:type="dxa"/>
            <w:vAlign w:val="center"/>
          </w:tcPr>
          <w:p>
            <w:pPr>
              <w:tabs>
                <w:tab w:val="left" w:pos="1155"/>
              </w:tabs>
              <w:spacing w:line="360" w:lineRule="auto"/>
              <w:rPr>
                <w:rFonts w:hint="eastAsia" w:ascii="宋体" w:hAnsi="宋体"/>
                <w:sz w:val="28"/>
                <w:szCs w:val="28"/>
              </w:rPr>
            </w:pPr>
            <w:r>
              <w:rPr>
                <w:rFonts w:hint="eastAsia" w:ascii="宋体" w:hAnsi="宋体"/>
                <w:sz w:val="28"/>
                <w:szCs w:val="28"/>
              </w:rPr>
              <w:t>产品实力、履约能力2</w:t>
            </w:r>
            <w:r>
              <w:rPr>
                <w:rFonts w:hint="eastAsia" w:ascii="宋体" w:hAnsi="宋体"/>
                <w:sz w:val="28"/>
                <w:szCs w:val="28"/>
                <w:lang w:val="en-US" w:eastAsia="zh-CN"/>
              </w:rPr>
              <w:t>0</w:t>
            </w:r>
            <w:r>
              <w:rPr>
                <w:rFonts w:hint="eastAsia" w:ascii="宋体" w:hAnsi="宋体"/>
                <w:sz w:val="28"/>
                <w:szCs w:val="28"/>
              </w:rPr>
              <w:t>%</w:t>
            </w:r>
          </w:p>
          <w:p>
            <w:pPr>
              <w:tabs>
                <w:tab w:val="left" w:pos="1155"/>
              </w:tabs>
              <w:spacing w:line="360" w:lineRule="auto"/>
              <w:rPr>
                <w:rFonts w:hint="eastAsia" w:ascii="宋体" w:hAnsi="宋体"/>
                <w:sz w:val="28"/>
                <w:szCs w:val="28"/>
              </w:rPr>
            </w:pPr>
            <w:r>
              <w:rPr>
                <w:rFonts w:hint="eastAsia" w:ascii="宋体" w:hAnsi="宋体"/>
                <w:sz w:val="28"/>
                <w:szCs w:val="28"/>
                <w:lang w:eastAsia="zh-CN"/>
              </w:rPr>
              <w:t>（技术类评审因素含采购人代表）</w:t>
            </w:r>
          </w:p>
        </w:tc>
        <w:tc>
          <w:tcPr>
            <w:tcW w:w="888" w:type="dxa"/>
            <w:vAlign w:val="center"/>
          </w:tcPr>
          <w:p>
            <w:pPr>
              <w:tabs>
                <w:tab w:val="left" w:pos="1155"/>
              </w:tabs>
              <w:spacing w:line="360" w:lineRule="auto"/>
              <w:rPr>
                <w:rFonts w:hint="eastAsia" w:ascii="宋体" w:hAnsi="宋体"/>
                <w:sz w:val="28"/>
                <w:szCs w:val="28"/>
              </w:rPr>
            </w:pPr>
            <w:r>
              <w:rPr>
                <w:rFonts w:hint="eastAsia" w:ascii="宋体" w:hAnsi="宋体"/>
                <w:sz w:val="28"/>
                <w:szCs w:val="28"/>
              </w:rPr>
              <w:t>2</w:t>
            </w:r>
            <w:r>
              <w:rPr>
                <w:rFonts w:hint="eastAsia" w:ascii="宋体" w:hAnsi="宋体"/>
                <w:sz w:val="28"/>
                <w:szCs w:val="28"/>
                <w:lang w:val="en-US" w:eastAsia="zh-CN"/>
              </w:rPr>
              <w:t>0</w:t>
            </w:r>
            <w:r>
              <w:rPr>
                <w:rFonts w:hint="eastAsia" w:ascii="宋体" w:hAnsi="宋体"/>
                <w:sz w:val="28"/>
                <w:szCs w:val="28"/>
              </w:rPr>
              <w:t>分</w:t>
            </w:r>
          </w:p>
        </w:tc>
        <w:tc>
          <w:tcPr>
            <w:tcW w:w="4919" w:type="dxa"/>
            <w:vAlign w:val="center"/>
          </w:tcPr>
          <w:p>
            <w:pPr>
              <w:tabs>
                <w:tab w:val="left" w:pos="1155"/>
              </w:tabs>
              <w:spacing w:line="360" w:lineRule="auto"/>
              <w:ind w:firstLine="524" w:firstLineChars="187"/>
              <w:rPr>
                <w:rFonts w:hint="eastAsia" w:ascii="宋体" w:hAnsi="宋体"/>
                <w:sz w:val="28"/>
                <w:szCs w:val="28"/>
              </w:rPr>
            </w:pPr>
            <w:r>
              <w:rPr>
                <w:rFonts w:hint="eastAsia" w:ascii="宋体" w:hAnsi="宋体"/>
                <w:sz w:val="28"/>
                <w:szCs w:val="28"/>
              </w:rPr>
              <w:t>1、LED制造厂家具有质量</w:t>
            </w:r>
            <w:r>
              <w:rPr>
                <w:rFonts w:hint="eastAsia" w:ascii="宋体" w:hAnsi="宋体"/>
                <w:sz w:val="28"/>
                <w:szCs w:val="28"/>
                <w:lang w:eastAsia="zh-CN"/>
              </w:rPr>
              <w:t>管理</w:t>
            </w:r>
            <w:r>
              <w:rPr>
                <w:rFonts w:hint="eastAsia" w:ascii="宋体" w:hAnsi="宋体"/>
                <w:sz w:val="28"/>
                <w:szCs w:val="28"/>
              </w:rPr>
              <w:t>体系认证、</w:t>
            </w:r>
            <w:r>
              <w:rPr>
                <w:rFonts w:hint="eastAsia" w:ascii="宋体" w:hAnsi="宋体"/>
                <w:sz w:val="28"/>
                <w:szCs w:val="28"/>
                <w:lang w:eastAsia="zh-CN"/>
              </w:rPr>
              <w:t>环境</w:t>
            </w:r>
            <w:r>
              <w:rPr>
                <w:rFonts w:hint="eastAsia" w:ascii="宋体" w:hAnsi="宋体"/>
                <w:sz w:val="28"/>
                <w:szCs w:val="28"/>
              </w:rPr>
              <w:t>管理体系认证、职业健康安全管理认证，每提供一个证书得1分，满分3分。</w:t>
            </w:r>
          </w:p>
          <w:p>
            <w:pPr>
              <w:tabs>
                <w:tab w:val="left" w:pos="1155"/>
              </w:tabs>
              <w:spacing w:line="360" w:lineRule="auto"/>
              <w:ind w:firstLine="524" w:firstLineChars="187"/>
              <w:rPr>
                <w:rFonts w:hint="eastAsia" w:ascii="宋体" w:hAnsi="宋体"/>
                <w:sz w:val="28"/>
                <w:szCs w:val="28"/>
              </w:rPr>
            </w:pPr>
            <w:r>
              <w:rPr>
                <w:rFonts w:hint="eastAsia" w:ascii="宋体" w:hAnsi="宋体"/>
                <w:sz w:val="28"/>
                <w:szCs w:val="28"/>
              </w:rPr>
              <w:t>2、为响应国家节能号召，LED显示屏生产厂家生产的LED显示屏具有：低亮高灰节能LED显示模组的科技成果转化项目证书，提供证书复印件得2分 ，没有不得分。</w:t>
            </w:r>
          </w:p>
          <w:p>
            <w:pPr>
              <w:tabs>
                <w:tab w:val="left" w:pos="1155"/>
              </w:tabs>
              <w:spacing w:line="360" w:lineRule="auto"/>
              <w:ind w:firstLine="524" w:firstLineChars="187"/>
              <w:rPr>
                <w:rFonts w:hint="eastAsia" w:ascii="宋体" w:hAnsi="宋体"/>
                <w:sz w:val="28"/>
                <w:szCs w:val="28"/>
              </w:rPr>
            </w:pPr>
            <w:r>
              <w:rPr>
                <w:rFonts w:hint="eastAsia" w:ascii="宋体" w:hAnsi="宋体"/>
                <w:sz w:val="28"/>
                <w:szCs w:val="28"/>
              </w:rPr>
              <w:t>3、投标人所投LED显示屏制造商需要具有知识产权管理体系认证，提供相应的证书复印件,每提供一个证书得2分，满分4分。</w:t>
            </w:r>
          </w:p>
          <w:p>
            <w:pPr>
              <w:tabs>
                <w:tab w:val="left" w:pos="1155"/>
              </w:tabs>
              <w:spacing w:line="360" w:lineRule="auto"/>
              <w:ind w:firstLine="524" w:firstLineChars="187"/>
              <w:rPr>
                <w:rFonts w:hint="eastAsia" w:ascii="宋体" w:hAnsi="宋体"/>
                <w:sz w:val="28"/>
                <w:szCs w:val="28"/>
              </w:rPr>
            </w:pPr>
            <w:r>
              <w:rPr>
                <w:rFonts w:hint="eastAsia" w:ascii="宋体" w:hAnsi="宋体"/>
                <w:sz w:val="28"/>
                <w:szCs w:val="28"/>
              </w:rPr>
              <w:t>4.根据智能教学一体机产品生产厂家具有的技术专利证书，可得2分。</w:t>
            </w:r>
          </w:p>
          <w:p>
            <w:pPr>
              <w:tabs>
                <w:tab w:val="left" w:pos="1155"/>
              </w:tabs>
              <w:spacing w:line="360" w:lineRule="auto"/>
              <w:ind w:firstLine="524" w:firstLineChars="187"/>
              <w:rPr>
                <w:rFonts w:hint="eastAsia" w:ascii="宋体" w:hAnsi="宋体"/>
                <w:sz w:val="28"/>
                <w:szCs w:val="28"/>
              </w:rPr>
            </w:pPr>
            <w:r>
              <w:rPr>
                <w:rFonts w:hint="eastAsia" w:ascii="宋体" w:hAnsi="宋体"/>
                <w:sz w:val="28"/>
                <w:szCs w:val="28"/>
              </w:rPr>
              <w:t>5.智能教学一体机生产厂家具有质量管理体系、环境管理体系、知识产权管理体系认证证书每有一份得1分。最多得3分。</w:t>
            </w:r>
          </w:p>
          <w:p>
            <w:pPr>
              <w:tabs>
                <w:tab w:val="left" w:pos="1155"/>
              </w:tabs>
              <w:spacing w:line="360" w:lineRule="auto"/>
              <w:ind w:firstLine="524" w:firstLineChars="187"/>
              <w:rPr>
                <w:rFonts w:hint="eastAsia" w:ascii="宋体" w:hAnsi="宋体"/>
                <w:sz w:val="28"/>
                <w:szCs w:val="28"/>
              </w:rPr>
            </w:pPr>
            <w:r>
              <w:rPr>
                <w:rFonts w:hint="eastAsia" w:ascii="宋体" w:hAnsi="宋体"/>
                <w:sz w:val="28"/>
                <w:szCs w:val="28"/>
              </w:rPr>
              <w:t>6.智能教学一体机产品MTBF (平均无故障时间）达到5万小时得3分（具有有效期内MTBF检测报告或证书）。</w:t>
            </w:r>
          </w:p>
          <w:p>
            <w:pPr>
              <w:tabs>
                <w:tab w:val="left" w:pos="1155"/>
              </w:tabs>
              <w:spacing w:line="360" w:lineRule="auto"/>
              <w:rPr>
                <w:rFonts w:hint="eastAsia" w:ascii="宋体" w:hAnsi="宋体"/>
                <w:sz w:val="28"/>
                <w:szCs w:val="28"/>
              </w:rPr>
            </w:pPr>
            <w:r>
              <w:rPr>
                <w:rFonts w:hint="eastAsia" w:ascii="宋体" w:hAnsi="宋体"/>
                <w:sz w:val="28"/>
                <w:szCs w:val="28"/>
              </w:rPr>
              <w:t>7.电子白板配套软件具有自主知识产权，提供图像采集软件、平板设备远程监控系统软件、微课工具软件、设备系统管家、移动教学软件、备授课等相关软件功能的软件著作权登记证书的得</w:t>
            </w:r>
            <w:r>
              <w:rPr>
                <w:rFonts w:hint="eastAsia" w:ascii="宋体" w:hAnsi="宋体"/>
                <w:sz w:val="28"/>
                <w:szCs w:val="28"/>
                <w:lang w:val="en-US" w:eastAsia="zh-CN"/>
              </w:rPr>
              <w:t>3</w:t>
            </w:r>
            <w:r>
              <w:rPr>
                <w:rFonts w:hint="eastAsia" w:ascii="宋体" w:hAnsi="宋体"/>
                <w:sz w:val="28"/>
                <w:szCs w:val="28"/>
              </w:rPr>
              <w:t>分，缺一个扣0.5分</w:t>
            </w:r>
          </w:p>
        </w:tc>
        <w:tc>
          <w:tcPr>
            <w:tcW w:w="2145" w:type="dxa"/>
            <w:vAlign w:val="center"/>
          </w:tcPr>
          <w:p>
            <w:pPr>
              <w:tabs>
                <w:tab w:val="left" w:pos="1155"/>
              </w:tabs>
              <w:spacing w:line="360" w:lineRule="auto"/>
              <w:rPr>
                <w:rFonts w:hint="eastAsia" w:ascii="宋体" w:hAnsi="宋体"/>
                <w:sz w:val="28"/>
                <w:szCs w:val="28"/>
              </w:rPr>
            </w:pPr>
            <w:r>
              <w:rPr>
                <w:rFonts w:hint="eastAsia" w:ascii="宋体" w:hAnsi="宋体"/>
                <w:sz w:val="28"/>
                <w:szCs w:val="28"/>
              </w:rPr>
              <w:t>（提供证书复印件</w:t>
            </w:r>
            <w:r>
              <w:rPr>
                <w:rFonts w:hint="eastAsia" w:ascii="宋体" w:hAnsi="宋体"/>
                <w:sz w:val="28"/>
                <w:szCs w:val="28"/>
                <w:lang w:eastAsia="zh-CN"/>
              </w:rPr>
              <w:t>并加盖投标人公章</w:t>
            </w:r>
            <w:r>
              <w:rPr>
                <w:rFonts w:hint="eastAsia" w:ascii="宋体" w:hAnsi="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2" w:hRule="atLeast"/>
        </w:trPr>
        <w:tc>
          <w:tcPr>
            <w:tcW w:w="585" w:type="dxa"/>
            <w:vAlign w:val="center"/>
          </w:tcPr>
          <w:p>
            <w:pPr>
              <w:tabs>
                <w:tab w:val="left" w:pos="1155"/>
              </w:tabs>
              <w:spacing w:line="360" w:lineRule="auto"/>
              <w:rPr>
                <w:rFonts w:hint="eastAsia" w:ascii="宋体" w:hAnsi="宋体"/>
                <w:sz w:val="28"/>
                <w:szCs w:val="28"/>
              </w:rPr>
            </w:pPr>
            <w:r>
              <w:rPr>
                <w:rFonts w:hint="eastAsia" w:ascii="宋体" w:hAnsi="宋体"/>
                <w:sz w:val="28"/>
                <w:szCs w:val="28"/>
              </w:rPr>
              <w:t>4</w:t>
            </w:r>
          </w:p>
        </w:tc>
        <w:tc>
          <w:tcPr>
            <w:tcW w:w="1423" w:type="dxa"/>
            <w:vAlign w:val="center"/>
          </w:tcPr>
          <w:p>
            <w:pPr>
              <w:tabs>
                <w:tab w:val="left" w:pos="1155"/>
              </w:tabs>
              <w:spacing w:line="360" w:lineRule="auto"/>
              <w:rPr>
                <w:rFonts w:hint="eastAsia" w:ascii="宋体" w:hAnsi="宋体"/>
                <w:sz w:val="28"/>
                <w:szCs w:val="28"/>
              </w:rPr>
            </w:pPr>
            <w:r>
              <w:rPr>
                <w:rFonts w:hint="eastAsia" w:ascii="宋体" w:hAnsi="宋体"/>
                <w:sz w:val="28"/>
                <w:szCs w:val="28"/>
              </w:rPr>
              <w:t>投标人实力</w:t>
            </w:r>
            <w:r>
              <w:rPr>
                <w:rFonts w:hint="eastAsia" w:ascii="宋体" w:hAnsi="宋体"/>
                <w:sz w:val="28"/>
                <w:szCs w:val="28"/>
                <w:lang w:val="en-US" w:eastAsia="zh-CN"/>
              </w:rPr>
              <w:t>6</w:t>
            </w:r>
            <w:r>
              <w:rPr>
                <w:rFonts w:hint="eastAsia" w:ascii="宋体" w:hAnsi="宋体"/>
                <w:sz w:val="28"/>
                <w:szCs w:val="28"/>
              </w:rPr>
              <w:t>%</w:t>
            </w:r>
            <w:r>
              <w:rPr>
                <w:rFonts w:hint="eastAsia" w:ascii="宋体" w:hAnsi="宋体"/>
                <w:sz w:val="28"/>
                <w:szCs w:val="28"/>
                <w:lang w:eastAsia="zh-CN"/>
              </w:rPr>
              <w:t>（共同评审因素）</w:t>
            </w:r>
          </w:p>
        </w:tc>
        <w:tc>
          <w:tcPr>
            <w:tcW w:w="888" w:type="dxa"/>
            <w:vAlign w:val="center"/>
          </w:tcPr>
          <w:p>
            <w:pPr>
              <w:tabs>
                <w:tab w:val="left" w:pos="1155"/>
              </w:tabs>
              <w:spacing w:line="360" w:lineRule="auto"/>
              <w:rPr>
                <w:rFonts w:hint="eastAsia" w:ascii="宋体" w:hAnsi="宋体"/>
                <w:sz w:val="28"/>
                <w:szCs w:val="28"/>
              </w:rPr>
            </w:pPr>
            <w:r>
              <w:rPr>
                <w:rFonts w:hint="eastAsia" w:ascii="宋体" w:hAnsi="宋体"/>
                <w:sz w:val="28"/>
                <w:szCs w:val="28"/>
                <w:lang w:val="en-US" w:eastAsia="zh-CN"/>
              </w:rPr>
              <w:t>6</w:t>
            </w:r>
            <w:r>
              <w:rPr>
                <w:rFonts w:hint="eastAsia" w:ascii="宋体" w:hAnsi="宋体"/>
                <w:sz w:val="28"/>
                <w:szCs w:val="28"/>
                <w:lang w:eastAsia="zh-CN"/>
              </w:rPr>
              <w:t>分</w:t>
            </w:r>
          </w:p>
        </w:tc>
        <w:tc>
          <w:tcPr>
            <w:tcW w:w="4919" w:type="dxa"/>
            <w:vAlign w:val="center"/>
          </w:tcPr>
          <w:p>
            <w:pPr>
              <w:tabs>
                <w:tab w:val="left" w:pos="1155"/>
              </w:tabs>
              <w:spacing w:line="360" w:lineRule="auto"/>
              <w:ind w:firstLine="524" w:firstLineChars="187"/>
              <w:rPr>
                <w:rFonts w:hint="eastAsia" w:ascii="宋体" w:hAnsi="宋体"/>
                <w:sz w:val="28"/>
                <w:szCs w:val="28"/>
              </w:rPr>
            </w:pPr>
            <w:r>
              <w:rPr>
                <w:rFonts w:hint="eastAsia" w:ascii="宋体" w:hAnsi="宋体"/>
                <w:sz w:val="28"/>
                <w:szCs w:val="28"/>
              </w:rPr>
              <w:t>1.投标人提供自2019年1月1日（含1日）以来LED屏业务的业绩，每有1个得1分，每个业绩证明材料未提供或少提供不予得分，最多得</w:t>
            </w:r>
            <w:r>
              <w:rPr>
                <w:rFonts w:hint="eastAsia" w:ascii="宋体" w:hAnsi="宋体"/>
                <w:sz w:val="28"/>
                <w:szCs w:val="28"/>
                <w:lang w:val="en-US" w:eastAsia="zh-CN"/>
              </w:rPr>
              <w:t>3</w:t>
            </w:r>
            <w:r>
              <w:rPr>
                <w:rFonts w:hint="eastAsia" w:ascii="宋体" w:hAnsi="宋体"/>
                <w:sz w:val="28"/>
                <w:szCs w:val="28"/>
              </w:rPr>
              <w:t>分。(提供中标通知书或合同、至少一次合同款项支付票据的复印件并加盖投标人公章)</w:t>
            </w:r>
          </w:p>
          <w:p>
            <w:pPr>
              <w:tabs>
                <w:tab w:val="left" w:pos="1155"/>
              </w:tabs>
              <w:spacing w:line="360" w:lineRule="auto"/>
              <w:ind w:firstLine="524" w:firstLineChars="187"/>
              <w:rPr>
                <w:rFonts w:hint="eastAsia" w:ascii="宋体" w:hAnsi="宋体"/>
                <w:sz w:val="28"/>
                <w:szCs w:val="28"/>
              </w:rPr>
            </w:pPr>
            <w:r>
              <w:rPr>
                <w:rFonts w:hint="eastAsia" w:ascii="宋体" w:hAnsi="宋体"/>
                <w:sz w:val="28"/>
                <w:szCs w:val="28"/>
              </w:rPr>
              <w:t>2.投标人具有质量管理体系认证证书、环境管理体系认证证书、职业健康安全管理体系认证证书，每有1个得1分，最多得3分，未提供不得分。（提供证书复印件加盖投标人公章）</w:t>
            </w:r>
          </w:p>
        </w:tc>
        <w:tc>
          <w:tcPr>
            <w:tcW w:w="2145" w:type="dxa"/>
            <w:vAlign w:val="center"/>
          </w:tcPr>
          <w:p>
            <w:pPr>
              <w:tabs>
                <w:tab w:val="left" w:pos="1155"/>
              </w:tabs>
              <w:spacing w:line="360" w:lineRule="auto"/>
              <w:ind w:firstLine="524" w:firstLineChars="187"/>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585" w:type="dxa"/>
            <w:vAlign w:val="center"/>
          </w:tcPr>
          <w:p>
            <w:pPr>
              <w:tabs>
                <w:tab w:val="left" w:pos="1155"/>
              </w:tabs>
              <w:spacing w:line="360" w:lineRule="auto"/>
              <w:rPr>
                <w:rFonts w:hint="eastAsia" w:ascii="宋体" w:hAnsi="宋体"/>
                <w:sz w:val="28"/>
                <w:szCs w:val="28"/>
              </w:rPr>
            </w:pPr>
            <w:r>
              <w:rPr>
                <w:rFonts w:hint="eastAsia" w:ascii="宋体" w:hAnsi="宋体"/>
                <w:sz w:val="28"/>
                <w:szCs w:val="28"/>
              </w:rPr>
              <w:t>5</w:t>
            </w:r>
          </w:p>
        </w:tc>
        <w:tc>
          <w:tcPr>
            <w:tcW w:w="1423" w:type="dxa"/>
            <w:vAlign w:val="center"/>
          </w:tcPr>
          <w:p>
            <w:pPr>
              <w:tabs>
                <w:tab w:val="left" w:pos="1155"/>
              </w:tabs>
              <w:spacing w:line="360" w:lineRule="auto"/>
              <w:rPr>
                <w:rFonts w:hint="eastAsia" w:ascii="宋体" w:hAnsi="宋体"/>
                <w:sz w:val="28"/>
                <w:szCs w:val="28"/>
              </w:rPr>
            </w:pPr>
            <w:r>
              <w:rPr>
                <w:rFonts w:hint="eastAsia" w:ascii="宋体" w:hAnsi="宋体"/>
                <w:sz w:val="28"/>
                <w:szCs w:val="28"/>
              </w:rPr>
              <w:t>售后服务</w:t>
            </w:r>
          </w:p>
          <w:p>
            <w:pPr>
              <w:tabs>
                <w:tab w:val="left" w:pos="1155"/>
              </w:tabs>
              <w:spacing w:line="360" w:lineRule="auto"/>
              <w:ind w:firstLine="524" w:firstLineChars="187"/>
              <w:rPr>
                <w:rFonts w:hint="eastAsia" w:ascii="宋体" w:hAnsi="宋体"/>
                <w:sz w:val="28"/>
                <w:szCs w:val="28"/>
              </w:rPr>
            </w:pPr>
            <w:r>
              <w:rPr>
                <w:rFonts w:hint="eastAsia" w:ascii="宋体" w:hAnsi="宋体"/>
                <w:sz w:val="28"/>
                <w:szCs w:val="28"/>
              </w:rPr>
              <w:t>5%</w:t>
            </w:r>
            <w:r>
              <w:rPr>
                <w:rFonts w:hint="eastAsia" w:ascii="宋体" w:hAnsi="宋体"/>
                <w:sz w:val="28"/>
                <w:szCs w:val="28"/>
                <w:lang w:eastAsia="zh-CN"/>
              </w:rPr>
              <w:t>（共同评审因素）</w:t>
            </w:r>
          </w:p>
          <w:p>
            <w:pPr>
              <w:tabs>
                <w:tab w:val="left" w:pos="1155"/>
              </w:tabs>
              <w:spacing w:line="360" w:lineRule="auto"/>
              <w:ind w:firstLine="524" w:firstLineChars="187"/>
              <w:rPr>
                <w:rFonts w:hint="eastAsia" w:ascii="宋体" w:hAnsi="宋体"/>
                <w:sz w:val="28"/>
                <w:szCs w:val="28"/>
              </w:rPr>
            </w:pPr>
          </w:p>
        </w:tc>
        <w:tc>
          <w:tcPr>
            <w:tcW w:w="888" w:type="dxa"/>
            <w:vAlign w:val="center"/>
          </w:tcPr>
          <w:p>
            <w:pPr>
              <w:tabs>
                <w:tab w:val="left" w:pos="1155"/>
              </w:tabs>
              <w:spacing w:line="360" w:lineRule="auto"/>
              <w:rPr>
                <w:rFonts w:hint="eastAsia" w:ascii="宋体" w:hAnsi="宋体"/>
                <w:sz w:val="28"/>
                <w:szCs w:val="28"/>
              </w:rPr>
            </w:pPr>
            <w:r>
              <w:rPr>
                <w:rFonts w:hint="eastAsia" w:ascii="宋体" w:hAnsi="宋体"/>
                <w:sz w:val="28"/>
                <w:szCs w:val="28"/>
              </w:rPr>
              <w:t>5分</w:t>
            </w:r>
          </w:p>
        </w:tc>
        <w:tc>
          <w:tcPr>
            <w:tcW w:w="4919" w:type="dxa"/>
            <w:vAlign w:val="center"/>
          </w:tcPr>
          <w:p>
            <w:pPr>
              <w:tabs>
                <w:tab w:val="left" w:pos="1155"/>
              </w:tabs>
              <w:spacing w:line="360" w:lineRule="auto"/>
              <w:ind w:firstLine="524" w:firstLineChars="187"/>
              <w:rPr>
                <w:rFonts w:hint="eastAsia" w:ascii="宋体" w:hAnsi="宋体"/>
                <w:sz w:val="28"/>
                <w:szCs w:val="28"/>
              </w:rPr>
            </w:pPr>
            <w:r>
              <w:rPr>
                <w:rFonts w:hint="eastAsia" w:ascii="宋体" w:hAnsi="宋体"/>
                <w:sz w:val="28"/>
                <w:szCs w:val="28"/>
              </w:rPr>
              <w:t>1、投标人提供详细的售后服务方案，方案应包括①售后服务机构；②售后服务能力；③应急服务响应情况。对售后服务方案的评价，满足一项得1分，共3分。</w:t>
            </w:r>
          </w:p>
          <w:p>
            <w:pPr>
              <w:tabs>
                <w:tab w:val="left" w:pos="1155"/>
              </w:tabs>
              <w:spacing w:line="360" w:lineRule="auto"/>
              <w:ind w:firstLine="524" w:firstLineChars="187"/>
              <w:rPr>
                <w:rFonts w:hint="eastAsia" w:ascii="宋体" w:hAnsi="宋体"/>
                <w:sz w:val="28"/>
                <w:szCs w:val="28"/>
              </w:rPr>
            </w:pPr>
            <w:r>
              <w:rPr>
                <w:rFonts w:hint="eastAsia" w:ascii="宋体" w:hAnsi="宋体"/>
                <w:sz w:val="28"/>
                <w:szCs w:val="28"/>
              </w:rPr>
              <w:t>2、投标人所投LED屏、电子白板、智能教学一体机，供应商提供</w:t>
            </w:r>
            <w:r>
              <w:rPr>
                <w:rFonts w:hint="eastAsia" w:ascii="宋体" w:hAnsi="宋体"/>
                <w:sz w:val="28"/>
                <w:szCs w:val="28"/>
                <w:lang w:val="en-US" w:eastAsia="zh-CN"/>
              </w:rPr>
              <w:t>3年</w:t>
            </w:r>
            <w:r>
              <w:rPr>
                <w:rFonts w:hint="eastAsia" w:ascii="宋体" w:hAnsi="宋体"/>
                <w:sz w:val="28"/>
                <w:szCs w:val="28"/>
              </w:rPr>
              <w:t>质保期内免费上门服务</w:t>
            </w:r>
            <w:r>
              <w:rPr>
                <w:rFonts w:hint="eastAsia" w:ascii="宋体" w:hAnsi="宋体"/>
                <w:sz w:val="28"/>
                <w:szCs w:val="28"/>
                <w:lang w:eastAsia="zh-CN"/>
              </w:rPr>
              <w:t>的</w:t>
            </w:r>
            <w:r>
              <w:rPr>
                <w:rFonts w:hint="eastAsia" w:ascii="宋体" w:hAnsi="宋体"/>
                <w:sz w:val="28"/>
                <w:szCs w:val="28"/>
              </w:rPr>
              <w:t>得2分，需提供生产厂家针对本项目的质保售后服务承诺函原件，</w:t>
            </w:r>
            <w:r>
              <w:rPr>
                <w:rFonts w:hint="eastAsia" w:ascii="宋体" w:hAnsi="宋体"/>
                <w:sz w:val="28"/>
                <w:szCs w:val="28"/>
                <w:lang w:eastAsia="zh-CN"/>
              </w:rPr>
              <w:t>提供不全或</w:t>
            </w:r>
            <w:r>
              <w:rPr>
                <w:rFonts w:hint="eastAsia" w:ascii="宋体" w:hAnsi="宋体"/>
                <w:sz w:val="28"/>
                <w:szCs w:val="28"/>
              </w:rPr>
              <w:t>不提供不得分。</w:t>
            </w:r>
          </w:p>
        </w:tc>
        <w:tc>
          <w:tcPr>
            <w:tcW w:w="2145" w:type="dxa"/>
            <w:vAlign w:val="center"/>
          </w:tcPr>
          <w:p>
            <w:pPr>
              <w:tabs>
                <w:tab w:val="left" w:pos="1155"/>
              </w:tabs>
              <w:spacing w:line="360" w:lineRule="auto"/>
              <w:ind w:firstLine="524" w:firstLineChars="187"/>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8" w:hRule="atLeast"/>
        </w:trPr>
        <w:tc>
          <w:tcPr>
            <w:tcW w:w="585" w:type="dxa"/>
            <w:vAlign w:val="center"/>
          </w:tcPr>
          <w:p>
            <w:pPr>
              <w:tabs>
                <w:tab w:val="left" w:pos="1155"/>
              </w:tabs>
              <w:spacing w:line="360" w:lineRule="auto"/>
              <w:rPr>
                <w:rFonts w:hint="eastAsia" w:ascii="宋体" w:hAnsi="宋体"/>
                <w:sz w:val="28"/>
                <w:szCs w:val="28"/>
              </w:rPr>
            </w:pPr>
            <w:r>
              <w:rPr>
                <w:rFonts w:hint="eastAsia" w:ascii="宋体" w:hAnsi="宋体"/>
                <w:sz w:val="28"/>
                <w:szCs w:val="28"/>
              </w:rPr>
              <w:t>6</w:t>
            </w:r>
          </w:p>
        </w:tc>
        <w:tc>
          <w:tcPr>
            <w:tcW w:w="1423" w:type="dxa"/>
            <w:vAlign w:val="center"/>
          </w:tcPr>
          <w:p>
            <w:pPr>
              <w:tabs>
                <w:tab w:val="left" w:pos="1155"/>
              </w:tabs>
              <w:spacing w:line="360" w:lineRule="auto"/>
              <w:rPr>
                <w:rFonts w:hint="eastAsia" w:ascii="宋体" w:hAnsi="宋体"/>
                <w:sz w:val="28"/>
                <w:szCs w:val="28"/>
              </w:rPr>
            </w:pPr>
            <w:r>
              <w:rPr>
                <w:rFonts w:hint="eastAsia" w:ascii="宋体" w:hAnsi="宋体"/>
                <w:sz w:val="28"/>
                <w:szCs w:val="28"/>
              </w:rPr>
              <w:t>节能、环境标志、无线局域网产品2%</w:t>
            </w:r>
            <w:r>
              <w:rPr>
                <w:rFonts w:hint="eastAsia" w:ascii="宋体" w:hAnsi="宋体"/>
                <w:sz w:val="28"/>
                <w:szCs w:val="28"/>
                <w:lang w:eastAsia="zh-CN"/>
              </w:rPr>
              <w:t>（共同评审因素）</w:t>
            </w:r>
          </w:p>
        </w:tc>
        <w:tc>
          <w:tcPr>
            <w:tcW w:w="888" w:type="dxa"/>
            <w:vAlign w:val="center"/>
          </w:tcPr>
          <w:p>
            <w:pPr>
              <w:tabs>
                <w:tab w:val="left" w:pos="1155"/>
              </w:tabs>
              <w:spacing w:line="360" w:lineRule="auto"/>
              <w:rPr>
                <w:rFonts w:hint="eastAsia" w:ascii="宋体" w:hAnsi="宋体"/>
                <w:sz w:val="28"/>
                <w:szCs w:val="28"/>
              </w:rPr>
            </w:pPr>
            <w:r>
              <w:rPr>
                <w:rFonts w:hint="eastAsia" w:ascii="宋体" w:hAnsi="宋体"/>
                <w:sz w:val="28"/>
                <w:szCs w:val="28"/>
              </w:rPr>
              <w:t>2分</w:t>
            </w:r>
          </w:p>
        </w:tc>
        <w:tc>
          <w:tcPr>
            <w:tcW w:w="4919" w:type="dxa"/>
          </w:tcPr>
          <w:p>
            <w:pPr>
              <w:tabs>
                <w:tab w:val="left" w:pos="1155"/>
              </w:tabs>
              <w:spacing w:line="360" w:lineRule="auto"/>
              <w:rPr>
                <w:rFonts w:hint="eastAsia" w:ascii="宋体" w:hAnsi="宋体"/>
                <w:sz w:val="28"/>
                <w:szCs w:val="28"/>
              </w:rPr>
            </w:pPr>
            <w:r>
              <w:rPr>
                <w:rFonts w:hint="eastAsia" w:ascii="宋体" w:hAnsi="宋体"/>
                <w:sz w:val="28"/>
                <w:szCs w:val="28"/>
              </w:rPr>
              <w:t>投标产品属于财政部、生态环境部印发的 《环境标志产品政府采购品目清单》（财库 〔2019〕18 号）或财政部、发展改革委印发 的《节能产品政府采购品目清单》（ 财库 〔2019〕19 号）内（强制采购的品目产品除外）获得国家确定的认证机构出具的、处于有效期之内的节能产品、环境标志产品认证 证书复印件，每有 1 个得 0.5 分，提供符合国家无线局域网安全标准（GB 15629．11/1102）并通过国家产品认证的产品得 0.5 分，本项最多得 2 分。 投标人所投产品属于优先采购范围内的 无线局域网产品的，需提供《中国政府采购网》公布的无线局域网产品政府采购清单封面及对应页并加盖供应商单位公章（鲜章）。</w:t>
            </w:r>
          </w:p>
          <w:p>
            <w:pPr>
              <w:tabs>
                <w:tab w:val="left" w:pos="1155"/>
              </w:tabs>
              <w:spacing w:line="360" w:lineRule="auto"/>
              <w:ind w:firstLine="524" w:firstLineChars="187"/>
              <w:rPr>
                <w:rFonts w:hint="eastAsia" w:ascii="宋体" w:hAnsi="宋体"/>
                <w:sz w:val="28"/>
                <w:szCs w:val="28"/>
              </w:rPr>
            </w:pPr>
            <w:r>
              <w:rPr>
                <w:rFonts w:hint="eastAsia" w:ascii="宋体" w:hAnsi="宋体"/>
                <w:sz w:val="28"/>
                <w:szCs w:val="28"/>
              </w:rPr>
              <w:t xml:space="preserve"> 注：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为准</w:t>
            </w:r>
          </w:p>
        </w:tc>
        <w:tc>
          <w:tcPr>
            <w:tcW w:w="2145" w:type="dxa"/>
            <w:vAlign w:val="center"/>
          </w:tcPr>
          <w:p>
            <w:pPr>
              <w:tabs>
                <w:tab w:val="left" w:pos="1155"/>
              </w:tabs>
              <w:spacing w:line="360" w:lineRule="auto"/>
              <w:ind w:firstLine="524" w:firstLineChars="187"/>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9" w:hRule="atLeast"/>
        </w:trPr>
        <w:tc>
          <w:tcPr>
            <w:tcW w:w="585" w:type="dxa"/>
            <w:tcBorders>
              <w:bottom w:val="single" w:color="auto" w:sz="4" w:space="0"/>
            </w:tcBorders>
            <w:vAlign w:val="center"/>
          </w:tcPr>
          <w:p>
            <w:pPr>
              <w:tabs>
                <w:tab w:val="left" w:pos="1155"/>
              </w:tabs>
              <w:spacing w:line="360" w:lineRule="auto"/>
              <w:rPr>
                <w:rFonts w:hint="eastAsia" w:ascii="宋体" w:hAnsi="宋体"/>
                <w:sz w:val="28"/>
                <w:szCs w:val="28"/>
              </w:rPr>
            </w:pPr>
            <w:r>
              <w:rPr>
                <w:rFonts w:hint="eastAsia" w:ascii="宋体" w:hAnsi="宋体"/>
                <w:sz w:val="28"/>
                <w:szCs w:val="28"/>
              </w:rPr>
              <w:t>7</w:t>
            </w:r>
          </w:p>
        </w:tc>
        <w:tc>
          <w:tcPr>
            <w:tcW w:w="1423" w:type="dxa"/>
            <w:tcBorders>
              <w:bottom w:val="single" w:color="auto" w:sz="4" w:space="0"/>
            </w:tcBorders>
            <w:vAlign w:val="center"/>
          </w:tcPr>
          <w:p>
            <w:pPr>
              <w:tabs>
                <w:tab w:val="left" w:pos="1155"/>
              </w:tabs>
              <w:spacing w:line="360" w:lineRule="auto"/>
              <w:rPr>
                <w:rFonts w:hint="eastAsia" w:ascii="宋体" w:hAnsi="宋体"/>
                <w:sz w:val="28"/>
                <w:szCs w:val="28"/>
              </w:rPr>
            </w:pPr>
            <w:r>
              <w:rPr>
                <w:rFonts w:hint="eastAsia" w:ascii="宋体" w:hAnsi="宋体"/>
                <w:sz w:val="28"/>
                <w:szCs w:val="28"/>
              </w:rPr>
              <w:t>投标文件的规范性</w:t>
            </w:r>
            <w:r>
              <w:rPr>
                <w:rFonts w:hint="eastAsia" w:ascii="宋体" w:hAnsi="宋体"/>
                <w:sz w:val="28"/>
                <w:szCs w:val="28"/>
                <w:lang w:val="en-US" w:eastAsia="zh-CN"/>
              </w:rPr>
              <w:t>2</w:t>
            </w:r>
            <w:r>
              <w:rPr>
                <w:rFonts w:hint="eastAsia" w:ascii="宋体" w:hAnsi="宋体"/>
                <w:sz w:val="28"/>
                <w:szCs w:val="28"/>
              </w:rPr>
              <w:t>%</w:t>
            </w:r>
            <w:r>
              <w:rPr>
                <w:rFonts w:hint="eastAsia" w:ascii="宋体" w:hAnsi="宋体"/>
                <w:sz w:val="28"/>
                <w:szCs w:val="28"/>
                <w:lang w:eastAsia="zh-CN"/>
              </w:rPr>
              <w:t>（共同评审因素）</w:t>
            </w:r>
          </w:p>
        </w:tc>
        <w:tc>
          <w:tcPr>
            <w:tcW w:w="888" w:type="dxa"/>
            <w:tcBorders>
              <w:bottom w:val="single" w:color="auto" w:sz="4" w:space="0"/>
            </w:tcBorders>
            <w:vAlign w:val="center"/>
          </w:tcPr>
          <w:p>
            <w:pPr>
              <w:tabs>
                <w:tab w:val="left" w:pos="1155"/>
              </w:tabs>
              <w:spacing w:line="360" w:lineRule="auto"/>
              <w:rPr>
                <w:rFonts w:hint="eastAsia" w:ascii="宋体" w:hAnsi="宋体"/>
                <w:sz w:val="28"/>
                <w:szCs w:val="28"/>
              </w:rPr>
            </w:pPr>
            <w:r>
              <w:rPr>
                <w:rFonts w:hint="eastAsia" w:ascii="宋体" w:hAnsi="宋体"/>
                <w:sz w:val="28"/>
                <w:szCs w:val="28"/>
              </w:rPr>
              <w:t>2分</w:t>
            </w:r>
          </w:p>
        </w:tc>
        <w:tc>
          <w:tcPr>
            <w:tcW w:w="4919" w:type="dxa"/>
            <w:tcBorders>
              <w:bottom w:val="single" w:color="auto" w:sz="4" w:space="0"/>
            </w:tcBorders>
            <w:vAlign w:val="center"/>
          </w:tcPr>
          <w:p>
            <w:pPr>
              <w:tabs>
                <w:tab w:val="left" w:pos="1155"/>
              </w:tabs>
              <w:spacing w:line="360" w:lineRule="auto"/>
              <w:rPr>
                <w:rFonts w:hint="eastAsia" w:ascii="宋体" w:hAnsi="宋体"/>
                <w:sz w:val="28"/>
                <w:szCs w:val="28"/>
              </w:rPr>
            </w:pPr>
            <w:r>
              <w:rPr>
                <w:rFonts w:hint="eastAsia" w:ascii="宋体" w:hAnsi="宋体"/>
                <w:sz w:val="28"/>
                <w:szCs w:val="28"/>
              </w:rPr>
              <w:t>投标文件制作规范，没有细微偏差情形的得2分；有一项细微偏差扣0.5分，直至该项分值扣完为止。</w:t>
            </w:r>
          </w:p>
        </w:tc>
        <w:tc>
          <w:tcPr>
            <w:tcW w:w="2145" w:type="dxa"/>
            <w:tcBorders>
              <w:bottom w:val="single" w:color="auto" w:sz="4" w:space="0"/>
            </w:tcBorders>
            <w:vAlign w:val="center"/>
          </w:tcPr>
          <w:p>
            <w:pPr>
              <w:tabs>
                <w:tab w:val="left" w:pos="1155"/>
              </w:tabs>
              <w:spacing w:line="360" w:lineRule="auto"/>
              <w:ind w:firstLine="524" w:firstLineChars="187"/>
              <w:rPr>
                <w:rFonts w:hint="eastAsia" w:ascii="宋体" w:hAnsi="宋体"/>
                <w:sz w:val="28"/>
                <w:szCs w:val="28"/>
              </w:rPr>
            </w:pPr>
          </w:p>
        </w:tc>
      </w:tr>
    </w:tbl>
    <w:p>
      <w:pPr>
        <w:pStyle w:val="2"/>
      </w:pPr>
    </w:p>
    <w:p>
      <w:pPr>
        <w:ind w:firstLine="560" w:firstLineChars="200"/>
        <w:rPr>
          <w:rFonts w:ascii="宋体" w:hAnsi="宋体"/>
          <w:sz w:val="28"/>
        </w:rPr>
      </w:pPr>
      <w:r>
        <w:rPr>
          <w:rFonts w:hint="eastAsia" w:ascii="宋体" w:hAnsi="宋体"/>
          <w:sz w:val="28"/>
        </w:rPr>
        <w:t>说明：</w:t>
      </w:r>
    </w:p>
    <w:p>
      <w:pPr>
        <w:spacing w:line="360" w:lineRule="auto"/>
        <w:ind w:firstLine="560" w:firstLineChars="200"/>
        <w:rPr>
          <w:rFonts w:ascii="宋体" w:hAnsi="宋体"/>
          <w:sz w:val="28"/>
        </w:rPr>
      </w:pPr>
      <w:r>
        <w:rPr>
          <w:rFonts w:hint="eastAsia" w:ascii="宋体" w:hAnsi="宋体"/>
          <w:sz w:val="28"/>
        </w:rPr>
        <w:t>1、评分的取值按四舍五入法，保留小数点后两位；</w:t>
      </w:r>
    </w:p>
    <w:p>
      <w:pPr>
        <w:spacing w:line="360" w:lineRule="auto"/>
        <w:ind w:firstLine="560" w:firstLineChars="200"/>
        <w:rPr>
          <w:rFonts w:ascii="宋体" w:hAnsi="宋体"/>
          <w:sz w:val="28"/>
        </w:rPr>
      </w:pPr>
      <w:r>
        <w:rPr>
          <w:rFonts w:hint="eastAsia" w:ascii="宋体" w:hAnsi="宋体"/>
          <w:sz w:val="28"/>
        </w:rPr>
        <w:t>2、评分标准中要求提供复印件的证明材料须清晰可辨。</w:t>
      </w:r>
    </w:p>
    <w:p>
      <w:pPr>
        <w:keepNext/>
        <w:keepLines/>
        <w:numPr>
          <w:ilvl w:val="1"/>
          <w:numId w:val="5"/>
        </w:numPr>
        <w:spacing w:before="260" w:after="260" w:line="360" w:lineRule="auto"/>
        <w:jc w:val="left"/>
        <w:outlineLvl w:val="1"/>
        <w:rPr>
          <w:rFonts w:ascii="宋体" w:hAnsi="宋体"/>
          <w:b/>
          <w:bCs/>
          <w:sz w:val="28"/>
          <w:szCs w:val="28"/>
        </w:rPr>
      </w:pPr>
      <w:bookmarkStart w:id="164" w:name="_Toc74752346"/>
      <w:r>
        <w:rPr>
          <w:rFonts w:hint="eastAsia" w:ascii="宋体" w:hAnsi="宋体"/>
          <w:b/>
          <w:bCs/>
          <w:sz w:val="28"/>
          <w:szCs w:val="28"/>
        </w:rPr>
        <w:t>废标</w:t>
      </w:r>
      <w:bookmarkEnd w:id="164"/>
    </w:p>
    <w:p>
      <w:pPr>
        <w:spacing w:line="360" w:lineRule="auto"/>
        <w:ind w:firstLine="560" w:firstLineChars="200"/>
        <w:rPr>
          <w:rFonts w:ascii="宋体" w:hAnsi="宋体"/>
          <w:sz w:val="28"/>
          <w:szCs w:val="28"/>
        </w:rPr>
      </w:pPr>
      <w:r>
        <w:rPr>
          <w:rFonts w:hint="eastAsia" w:ascii="宋体" w:hAnsi="宋体"/>
          <w:sz w:val="28"/>
          <w:szCs w:val="28"/>
        </w:rPr>
        <w:t>本次政府采购活动中，出现下列情形之一的，予以废标：</w:t>
      </w:r>
    </w:p>
    <w:p>
      <w:pPr>
        <w:numPr>
          <w:ilvl w:val="0"/>
          <w:numId w:val="47"/>
        </w:numPr>
        <w:tabs>
          <w:tab w:val="left" w:pos="1155"/>
        </w:tabs>
        <w:spacing w:line="360" w:lineRule="auto"/>
        <w:ind w:left="0" w:firstLine="525"/>
        <w:rPr>
          <w:rFonts w:ascii="宋体" w:hAnsi="宋体"/>
          <w:sz w:val="28"/>
          <w:szCs w:val="28"/>
        </w:rPr>
      </w:pPr>
      <w:r>
        <w:rPr>
          <w:rFonts w:hint="eastAsia" w:ascii="宋体" w:hAnsi="宋体"/>
          <w:sz w:val="28"/>
          <w:szCs w:val="28"/>
        </w:rPr>
        <w:t>符合专业条件的投标人或者对招标文件作实质响应的投标人不足三家的；</w:t>
      </w:r>
    </w:p>
    <w:p>
      <w:pPr>
        <w:numPr>
          <w:ilvl w:val="0"/>
          <w:numId w:val="47"/>
        </w:numPr>
        <w:tabs>
          <w:tab w:val="left" w:pos="1155"/>
        </w:tabs>
        <w:spacing w:line="360" w:lineRule="auto"/>
        <w:ind w:left="0" w:firstLine="525"/>
        <w:rPr>
          <w:rFonts w:ascii="宋体" w:hAnsi="宋体"/>
          <w:sz w:val="28"/>
          <w:szCs w:val="28"/>
        </w:rPr>
      </w:pPr>
      <w:r>
        <w:rPr>
          <w:rFonts w:hint="eastAsia" w:ascii="宋体" w:hAnsi="宋体"/>
          <w:sz w:val="28"/>
          <w:szCs w:val="28"/>
        </w:rPr>
        <w:t>出现影响采购公正的违法、违规行为的；</w:t>
      </w:r>
    </w:p>
    <w:p>
      <w:pPr>
        <w:numPr>
          <w:ilvl w:val="0"/>
          <w:numId w:val="47"/>
        </w:numPr>
        <w:tabs>
          <w:tab w:val="left" w:pos="1155"/>
        </w:tabs>
        <w:spacing w:line="360" w:lineRule="auto"/>
        <w:ind w:left="0" w:firstLine="525"/>
        <w:rPr>
          <w:rFonts w:ascii="宋体" w:hAnsi="宋体"/>
          <w:sz w:val="28"/>
          <w:szCs w:val="28"/>
        </w:rPr>
      </w:pPr>
      <w:r>
        <w:rPr>
          <w:rFonts w:hint="eastAsia" w:ascii="宋体" w:hAnsi="宋体"/>
          <w:sz w:val="28"/>
          <w:szCs w:val="28"/>
        </w:rPr>
        <w:t>投标人的报价均超过了采购预算，采购人不能支付的；</w:t>
      </w:r>
    </w:p>
    <w:p>
      <w:pPr>
        <w:numPr>
          <w:ilvl w:val="0"/>
          <w:numId w:val="47"/>
        </w:numPr>
        <w:tabs>
          <w:tab w:val="left" w:pos="1155"/>
        </w:tabs>
        <w:spacing w:line="360" w:lineRule="auto"/>
        <w:ind w:left="0" w:firstLine="525"/>
        <w:rPr>
          <w:rFonts w:ascii="宋体" w:hAnsi="宋体"/>
          <w:sz w:val="28"/>
          <w:szCs w:val="28"/>
        </w:rPr>
      </w:pPr>
      <w:r>
        <w:rPr>
          <w:rFonts w:hint="eastAsia" w:ascii="宋体" w:hAnsi="宋体"/>
          <w:sz w:val="28"/>
          <w:szCs w:val="28"/>
        </w:rPr>
        <w:t>因重大变故，采购任务取消的；</w:t>
      </w:r>
    </w:p>
    <w:p>
      <w:pPr>
        <w:numPr>
          <w:ilvl w:val="0"/>
          <w:numId w:val="47"/>
        </w:numPr>
        <w:tabs>
          <w:tab w:val="left" w:pos="1155"/>
        </w:tabs>
        <w:spacing w:line="360" w:lineRule="auto"/>
        <w:ind w:left="0" w:firstLine="525"/>
        <w:rPr>
          <w:rFonts w:ascii="宋体" w:hAnsi="宋体"/>
          <w:sz w:val="28"/>
          <w:szCs w:val="28"/>
        </w:rPr>
      </w:pPr>
      <w:r>
        <w:rPr>
          <w:rFonts w:hint="eastAsia" w:ascii="宋体" w:hAnsi="宋体"/>
          <w:sz w:val="28"/>
          <w:szCs w:val="28"/>
        </w:rPr>
        <w:t>废标后，成都市武侯区政府采购中心将在“四川政府采购网”和“成都市公共资源交易服务中心”网站上公告。</w:t>
      </w:r>
    </w:p>
    <w:p>
      <w:pPr>
        <w:keepNext/>
        <w:keepLines/>
        <w:numPr>
          <w:ilvl w:val="1"/>
          <w:numId w:val="5"/>
        </w:numPr>
        <w:spacing w:before="260" w:after="260" w:line="360" w:lineRule="auto"/>
        <w:jc w:val="left"/>
        <w:outlineLvl w:val="1"/>
        <w:rPr>
          <w:rFonts w:ascii="宋体" w:hAnsi="宋体"/>
          <w:b/>
          <w:bCs/>
          <w:sz w:val="28"/>
          <w:szCs w:val="28"/>
        </w:rPr>
      </w:pPr>
      <w:bookmarkStart w:id="165" w:name="_Toc74752347"/>
      <w:r>
        <w:rPr>
          <w:rFonts w:hint="eastAsia" w:ascii="宋体" w:hAnsi="宋体"/>
          <w:b/>
          <w:bCs/>
          <w:sz w:val="28"/>
          <w:szCs w:val="28"/>
        </w:rPr>
        <w:t>定标</w:t>
      </w:r>
      <w:bookmarkEnd w:id="165"/>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定标原则</w:t>
      </w:r>
    </w:p>
    <w:p>
      <w:pPr>
        <w:spacing w:line="560" w:lineRule="exact"/>
        <w:ind w:firstLine="560" w:firstLineChars="200"/>
        <w:rPr>
          <w:rFonts w:ascii="宋体"/>
          <w:sz w:val="28"/>
          <w:szCs w:val="28"/>
        </w:rPr>
      </w:pPr>
      <w:r>
        <w:rPr>
          <w:rFonts w:hint="eastAsia" w:ascii="宋体" w:hAnsi="宋体"/>
          <w:sz w:val="28"/>
          <w:szCs w:val="28"/>
        </w:rPr>
        <w:t>本项目根据评标委员会确定的中标候选人名单。</w:t>
      </w:r>
    </w:p>
    <w:p>
      <w:pPr>
        <w:spacing w:line="560" w:lineRule="exact"/>
        <w:ind w:firstLine="560" w:firstLineChars="200"/>
        <w:rPr>
          <w:rFonts w:ascii="宋体" w:hAnsi="宋体"/>
          <w:sz w:val="28"/>
          <w:szCs w:val="28"/>
        </w:rPr>
      </w:pPr>
      <w:r>
        <w:rPr>
          <w:rFonts w:hint="eastAsia" w:cs="Helvetica" w:asciiTheme="minorEastAsia" w:hAnsiTheme="minorEastAsia" w:eastAsiaTheme="minorEastAsia"/>
          <w:kern w:val="0"/>
          <w:sz w:val="28"/>
          <w:szCs w:val="28"/>
        </w:rPr>
        <w:t>采购人在收到评标报告</w:t>
      </w:r>
      <w:r>
        <w:rPr>
          <w:rFonts w:hint="eastAsia" w:cs="宋体" w:asciiTheme="minorEastAsia" w:hAnsiTheme="minorEastAsia" w:eastAsiaTheme="minorEastAsia"/>
          <w:kern w:val="0"/>
          <w:sz w:val="28"/>
          <w:szCs w:val="28"/>
        </w:rPr>
        <w:t>5</w:t>
      </w:r>
      <w:r>
        <w:rPr>
          <w:rFonts w:hint="eastAsia" w:cs="Helvetica" w:asciiTheme="minorEastAsia" w:hAnsiTheme="minorEastAsia" w:eastAsiaTheme="minorEastAsia"/>
          <w:kern w:val="0"/>
          <w:sz w:val="28"/>
          <w:szCs w:val="28"/>
        </w:rPr>
        <w:t>个工作日内未按评标报告推荐的中标候选人顺序确定中标人，又不能说明合法理由的，视同按评标报告推荐的顺序确定排名第一的中标候选人为中标人。</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定标程序</w:t>
      </w:r>
    </w:p>
    <w:p>
      <w:pPr>
        <w:spacing w:line="360" w:lineRule="auto"/>
        <w:ind w:firstLine="560" w:firstLineChars="200"/>
        <w:rPr>
          <w:rFonts w:ascii="宋体" w:hAnsi="宋体" w:cs="Helvetica"/>
          <w:sz w:val="28"/>
          <w:szCs w:val="28"/>
        </w:rPr>
      </w:pPr>
      <w:r>
        <w:rPr>
          <w:rFonts w:hint="eastAsia" w:ascii="宋体" w:hAnsi="宋体" w:cs="Helvetica"/>
          <w:sz w:val="28"/>
          <w:szCs w:val="28"/>
        </w:rPr>
        <w:t>一、评审委员会将评审情况写出书面报告。</w:t>
      </w:r>
    </w:p>
    <w:p>
      <w:pPr>
        <w:spacing w:line="360" w:lineRule="auto"/>
        <w:ind w:firstLine="560" w:firstLineChars="200"/>
        <w:rPr>
          <w:rFonts w:ascii="宋体" w:hAnsi="宋体" w:cs="Helvetica"/>
          <w:sz w:val="28"/>
          <w:szCs w:val="28"/>
        </w:rPr>
      </w:pPr>
      <w:r>
        <w:rPr>
          <w:rFonts w:hint="eastAsia" w:ascii="宋体" w:hAnsi="宋体" w:cs="Helvetica"/>
          <w:sz w:val="28"/>
          <w:szCs w:val="28"/>
        </w:rPr>
        <w:t>二、成都市武侯区政府采购中心在评审结束之日起2个工作日内将评审报告送采购人。</w:t>
      </w:r>
    </w:p>
    <w:p>
      <w:pPr>
        <w:spacing w:line="360" w:lineRule="auto"/>
        <w:ind w:firstLine="560" w:firstLineChars="200"/>
        <w:rPr>
          <w:rFonts w:ascii="宋体" w:hAnsi="宋体" w:cs="Helvetica"/>
          <w:sz w:val="28"/>
          <w:szCs w:val="28"/>
        </w:rPr>
      </w:pPr>
      <w:r>
        <w:rPr>
          <w:rFonts w:hint="eastAsia" w:ascii="宋体" w:hAnsi="宋体" w:cs="Helvetica"/>
          <w:sz w:val="28"/>
          <w:szCs w:val="28"/>
        </w:rPr>
        <w:t>三、采购人在收到评审报告后五个工作日内，按照评审报告中推荐的中标（成交）候选人顺序确定中标（成交）人。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投标人属于不发达地区或者少数民族地区的优先，或由采购人自主采取公平、择优的方式选择中标供应商。如果中标（成交）候选人及其现任法定代表人、主要负责人存在行贿犯罪记录，采购人将不确定其为中标（成交）人。采购人在确认成交供应商前，应到中国裁判文书网（https://wenshu.court.gov.cn）查询成交候选供应商及其现任法定代表人、主要负责人是否存在行贿犯罪记录。</w:t>
      </w:r>
    </w:p>
    <w:p>
      <w:pPr>
        <w:spacing w:line="360" w:lineRule="auto"/>
        <w:ind w:firstLine="560" w:firstLineChars="200"/>
        <w:rPr>
          <w:rFonts w:ascii="宋体" w:hAnsi="宋体" w:cs="Helvetica"/>
          <w:sz w:val="28"/>
          <w:szCs w:val="28"/>
        </w:rPr>
      </w:pPr>
      <w:r>
        <w:rPr>
          <w:rFonts w:hint="eastAsia" w:ascii="宋体" w:hAnsi="宋体" w:cs="Helvetica"/>
          <w:sz w:val="28"/>
          <w:szCs w:val="28"/>
        </w:rPr>
        <w:t>四、根据采购人确定的中标（成交）人，成都市武侯区政府采购中心在“四川政府采购网”和“成都市公共资源交易服务中心”网站上发布中标（成交）公告，同时向中标（成交）人发出中标（成交）通知书。</w:t>
      </w:r>
    </w:p>
    <w:p>
      <w:pPr>
        <w:spacing w:line="360" w:lineRule="auto"/>
        <w:ind w:firstLine="560" w:firstLineChars="200"/>
        <w:rPr>
          <w:rFonts w:ascii="宋体" w:hAnsi="宋体" w:cs="Helvetica"/>
          <w:sz w:val="28"/>
          <w:szCs w:val="28"/>
        </w:rPr>
      </w:pPr>
      <w:r>
        <w:rPr>
          <w:rFonts w:hint="eastAsia" w:ascii="宋体" w:hAnsi="宋体" w:cs="Helvetica"/>
          <w:sz w:val="28"/>
          <w:szCs w:val="28"/>
        </w:rPr>
        <w:t>五、采购人、成都市武侯区政府采购中心不解释中标（成交）或未中标（成交）原因，不退回投标文件和其他投标资料。</w:t>
      </w:r>
    </w:p>
    <w:p>
      <w:pPr>
        <w:keepNext/>
        <w:keepLines/>
        <w:numPr>
          <w:ilvl w:val="1"/>
          <w:numId w:val="5"/>
        </w:numPr>
        <w:spacing w:line="360" w:lineRule="auto"/>
        <w:jc w:val="left"/>
        <w:outlineLvl w:val="1"/>
        <w:rPr>
          <w:rFonts w:ascii="宋体" w:hAnsi="宋体"/>
          <w:b/>
          <w:bCs/>
          <w:sz w:val="28"/>
          <w:szCs w:val="28"/>
        </w:rPr>
      </w:pPr>
      <w:bookmarkStart w:id="166" w:name="_Toc74752348"/>
      <w:r>
        <w:rPr>
          <w:rFonts w:hint="eastAsia" w:ascii="宋体" w:hAnsi="宋体"/>
          <w:b/>
          <w:bCs/>
          <w:sz w:val="28"/>
          <w:szCs w:val="28"/>
        </w:rPr>
        <w:t>评标专家在政府采购活动中承担以下义务</w:t>
      </w:r>
      <w:bookmarkEnd w:id="166"/>
    </w:p>
    <w:p>
      <w:pPr>
        <w:numPr>
          <w:ilvl w:val="0"/>
          <w:numId w:val="48"/>
        </w:numPr>
        <w:tabs>
          <w:tab w:val="left" w:pos="1155"/>
        </w:tabs>
        <w:spacing w:line="360" w:lineRule="auto"/>
        <w:ind w:left="0" w:firstLine="525"/>
        <w:rPr>
          <w:rFonts w:ascii="宋体" w:hAnsi="宋体"/>
          <w:sz w:val="28"/>
          <w:szCs w:val="28"/>
        </w:rPr>
      </w:pPr>
      <w:r>
        <w:rPr>
          <w:rFonts w:hint="eastAsia" w:ascii="宋体" w:hAnsi="宋体"/>
          <w:sz w:val="28"/>
          <w:szCs w:val="28"/>
        </w:rPr>
        <w:t>遵纪守法，客观、公正、廉洁地履行职责。</w:t>
      </w:r>
    </w:p>
    <w:p>
      <w:pPr>
        <w:numPr>
          <w:ilvl w:val="0"/>
          <w:numId w:val="48"/>
        </w:numPr>
        <w:tabs>
          <w:tab w:val="left" w:pos="1155"/>
        </w:tabs>
        <w:spacing w:line="360" w:lineRule="auto"/>
        <w:ind w:left="0" w:firstLine="525"/>
        <w:rPr>
          <w:rFonts w:ascii="宋体" w:hAnsi="宋体"/>
          <w:sz w:val="28"/>
          <w:szCs w:val="28"/>
        </w:rPr>
      </w:pPr>
      <w:r>
        <w:rPr>
          <w:rFonts w:hint="eastAsia" w:ascii="宋体" w:hAnsi="宋体"/>
          <w:sz w:val="28"/>
          <w:szCs w:val="28"/>
        </w:rPr>
        <w:t>按照政府采购法律法规和采购文件的规定要求对投标人的资格条件和投标人提供的产品价格、技术、服务等方面严格进行独立评审，提供科学合理、公平公正的评审意见，参与起草评审报告，并予签字确认。</w:t>
      </w:r>
    </w:p>
    <w:p>
      <w:pPr>
        <w:numPr>
          <w:ilvl w:val="0"/>
          <w:numId w:val="48"/>
        </w:numPr>
        <w:tabs>
          <w:tab w:val="left" w:pos="1155"/>
        </w:tabs>
        <w:spacing w:line="360" w:lineRule="auto"/>
        <w:ind w:left="0" w:firstLine="525"/>
        <w:rPr>
          <w:rFonts w:ascii="宋体" w:hAnsi="宋体"/>
          <w:sz w:val="28"/>
          <w:szCs w:val="28"/>
        </w:rPr>
      </w:pPr>
      <w:r>
        <w:rPr>
          <w:rFonts w:hint="eastAsia" w:ascii="宋体" w:hAnsi="宋体"/>
          <w:sz w:val="28"/>
          <w:szCs w:val="28"/>
        </w:rPr>
        <w:t>保守秘密。不得泄漏投标人的投标文件及知悉的商业秘密，不得向投标人透露评审情况。</w:t>
      </w:r>
    </w:p>
    <w:p>
      <w:pPr>
        <w:numPr>
          <w:ilvl w:val="0"/>
          <w:numId w:val="48"/>
        </w:numPr>
        <w:tabs>
          <w:tab w:val="left" w:pos="1155"/>
        </w:tabs>
        <w:spacing w:line="360" w:lineRule="auto"/>
        <w:ind w:left="0" w:firstLine="525"/>
        <w:rPr>
          <w:rFonts w:ascii="宋体" w:hAnsi="宋体"/>
          <w:sz w:val="28"/>
          <w:szCs w:val="28"/>
        </w:rPr>
      </w:pPr>
      <w:r>
        <w:rPr>
          <w:rFonts w:hint="eastAsia" w:ascii="宋体" w:hAnsi="宋体"/>
          <w:sz w:val="28"/>
          <w:szCs w:val="28"/>
        </w:rPr>
        <w:t>发现投标人在政府采购活动中有不正当竞争或恶意串通等违规行为，及时向政府采购评审工作的组织者或财政部门报告并加以制止。</w:t>
      </w:r>
    </w:p>
    <w:p>
      <w:pPr>
        <w:numPr>
          <w:ilvl w:val="0"/>
          <w:numId w:val="48"/>
        </w:numPr>
        <w:tabs>
          <w:tab w:val="left" w:pos="1155"/>
        </w:tabs>
        <w:spacing w:line="360" w:lineRule="auto"/>
        <w:ind w:left="0" w:firstLine="525"/>
        <w:rPr>
          <w:rFonts w:ascii="宋体" w:hAnsi="宋体"/>
          <w:sz w:val="28"/>
          <w:szCs w:val="28"/>
        </w:rPr>
      </w:pPr>
      <w:r>
        <w:rPr>
          <w:rFonts w:hint="eastAsia" w:ascii="宋体" w:hAnsi="宋体"/>
          <w:sz w:val="28"/>
          <w:szCs w:val="28"/>
        </w:rPr>
        <w:t>发现采购人、成都市武侯区政府采购中心及其工作人员在政府采购活动中有干预评审、发表倾向性和歧视性言论、受贿或者接受投标人的其他好处及其他违法违规行为，及时向财政部门报告。</w:t>
      </w:r>
    </w:p>
    <w:p>
      <w:pPr>
        <w:numPr>
          <w:ilvl w:val="0"/>
          <w:numId w:val="48"/>
        </w:numPr>
        <w:tabs>
          <w:tab w:val="left" w:pos="1155"/>
        </w:tabs>
        <w:spacing w:line="360" w:lineRule="auto"/>
        <w:ind w:left="0" w:firstLine="525"/>
        <w:rPr>
          <w:rFonts w:ascii="宋体" w:hAnsi="宋体"/>
          <w:sz w:val="28"/>
          <w:szCs w:val="28"/>
        </w:rPr>
      </w:pPr>
      <w:r>
        <w:rPr>
          <w:rFonts w:hint="eastAsia" w:ascii="宋体" w:hAnsi="宋体"/>
          <w:sz w:val="28"/>
          <w:szCs w:val="28"/>
        </w:rPr>
        <w:t>解答有关方面对政府采购评审工作中有关问题的询问，配合采购人或者成都市武侯区政府采购中心答复投标人的询问、质疑，配合财政部门的投诉处理工作等事宜。</w:t>
      </w:r>
    </w:p>
    <w:p>
      <w:pPr>
        <w:numPr>
          <w:ilvl w:val="0"/>
          <w:numId w:val="48"/>
        </w:numPr>
        <w:tabs>
          <w:tab w:val="left" w:pos="1155"/>
        </w:tabs>
        <w:spacing w:line="360" w:lineRule="auto"/>
        <w:ind w:left="0" w:firstLine="525"/>
        <w:rPr>
          <w:rFonts w:ascii="宋体" w:hAnsi="宋体"/>
          <w:sz w:val="28"/>
          <w:szCs w:val="28"/>
        </w:rPr>
      </w:pPr>
      <w:r>
        <w:rPr>
          <w:rFonts w:hint="eastAsia" w:ascii="宋体" w:hAnsi="宋体"/>
          <w:sz w:val="28"/>
          <w:szCs w:val="28"/>
        </w:rPr>
        <w:t>法律、法规和规章规定的其他义务。</w:t>
      </w:r>
    </w:p>
    <w:p>
      <w:pPr>
        <w:keepNext/>
        <w:keepLines/>
        <w:numPr>
          <w:ilvl w:val="1"/>
          <w:numId w:val="5"/>
        </w:numPr>
        <w:spacing w:line="360" w:lineRule="auto"/>
        <w:jc w:val="left"/>
        <w:outlineLvl w:val="1"/>
        <w:rPr>
          <w:rFonts w:ascii="宋体" w:hAnsi="宋体"/>
          <w:b/>
          <w:bCs/>
          <w:sz w:val="28"/>
          <w:szCs w:val="28"/>
        </w:rPr>
      </w:pPr>
      <w:bookmarkStart w:id="167" w:name="_Toc74752349"/>
      <w:r>
        <w:rPr>
          <w:rFonts w:hint="eastAsia" w:ascii="宋体" w:hAnsi="宋体"/>
          <w:b/>
          <w:bCs/>
          <w:sz w:val="28"/>
          <w:szCs w:val="28"/>
        </w:rPr>
        <w:t>评标委员会及其成员不得有下列行为</w:t>
      </w:r>
      <w:bookmarkEnd w:id="167"/>
    </w:p>
    <w:p>
      <w:pPr>
        <w:numPr>
          <w:ilvl w:val="0"/>
          <w:numId w:val="49"/>
        </w:numPr>
        <w:tabs>
          <w:tab w:val="left" w:pos="1155"/>
        </w:tabs>
        <w:spacing w:line="360" w:lineRule="auto"/>
        <w:rPr>
          <w:rFonts w:ascii="宋体" w:hAnsi="宋体"/>
          <w:sz w:val="28"/>
          <w:szCs w:val="28"/>
        </w:rPr>
      </w:pPr>
      <w:r>
        <w:rPr>
          <w:rFonts w:hint="eastAsia" w:ascii="宋体" w:hAnsi="宋体"/>
          <w:sz w:val="28"/>
          <w:szCs w:val="28"/>
        </w:rPr>
        <w:t>确定参与评标至评标结束前私自接触投标人；</w:t>
      </w:r>
    </w:p>
    <w:p>
      <w:pPr>
        <w:numPr>
          <w:ilvl w:val="0"/>
          <w:numId w:val="49"/>
        </w:numPr>
        <w:tabs>
          <w:tab w:val="left" w:pos="1155"/>
        </w:tabs>
        <w:spacing w:line="360" w:lineRule="auto"/>
        <w:ind w:left="0" w:firstLine="567"/>
        <w:rPr>
          <w:rFonts w:ascii="宋体" w:hAnsi="宋体"/>
          <w:sz w:val="28"/>
          <w:szCs w:val="28"/>
        </w:rPr>
      </w:pPr>
      <w:r>
        <w:rPr>
          <w:rFonts w:hint="eastAsia" w:ascii="宋体" w:hAnsi="宋体"/>
          <w:sz w:val="28"/>
          <w:szCs w:val="28"/>
        </w:rPr>
        <w:t>接受投标人提出的与投标文件不一致的澄清或者说明，除招标文件明确可以澄清的除外；</w:t>
      </w:r>
    </w:p>
    <w:p>
      <w:pPr>
        <w:numPr>
          <w:ilvl w:val="0"/>
          <w:numId w:val="49"/>
        </w:numPr>
        <w:tabs>
          <w:tab w:val="left" w:pos="1155"/>
        </w:tabs>
        <w:spacing w:line="360" w:lineRule="auto"/>
        <w:ind w:left="0" w:firstLine="567"/>
        <w:rPr>
          <w:rFonts w:ascii="宋体" w:hAnsi="宋体"/>
          <w:sz w:val="28"/>
          <w:szCs w:val="28"/>
        </w:rPr>
      </w:pPr>
      <w:r>
        <w:rPr>
          <w:rFonts w:hint="eastAsia" w:ascii="宋体" w:hAnsi="宋体"/>
          <w:sz w:val="28"/>
          <w:szCs w:val="28"/>
        </w:rPr>
        <w:t>违反评标纪律发表倾向性意见或者征询采购人的倾向性意见；</w:t>
      </w:r>
    </w:p>
    <w:p>
      <w:pPr>
        <w:numPr>
          <w:ilvl w:val="0"/>
          <w:numId w:val="49"/>
        </w:numPr>
        <w:tabs>
          <w:tab w:val="left" w:pos="1155"/>
        </w:tabs>
        <w:spacing w:line="360" w:lineRule="auto"/>
        <w:rPr>
          <w:rFonts w:ascii="宋体" w:hAnsi="宋体"/>
          <w:sz w:val="28"/>
          <w:szCs w:val="28"/>
        </w:rPr>
      </w:pPr>
      <w:r>
        <w:rPr>
          <w:rFonts w:hint="eastAsia" w:ascii="宋体" w:hAnsi="宋体"/>
          <w:sz w:val="28"/>
          <w:szCs w:val="28"/>
        </w:rPr>
        <w:t>对需要专业判断的主观评审因素协商评分；</w:t>
      </w:r>
    </w:p>
    <w:p>
      <w:pPr>
        <w:numPr>
          <w:ilvl w:val="0"/>
          <w:numId w:val="49"/>
        </w:numPr>
        <w:tabs>
          <w:tab w:val="left" w:pos="1155"/>
        </w:tabs>
        <w:spacing w:line="360" w:lineRule="auto"/>
        <w:rPr>
          <w:rFonts w:ascii="宋体" w:hAnsi="宋体"/>
          <w:sz w:val="28"/>
          <w:szCs w:val="28"/>
        </w:rPr>
      </w:pPr>
      <w:r>
        <w:rPr>
          <w:rFonts w:hint="eastAsia" w:ascii="宋体" w:hAnsi="宋体"/>
          <w:sz w:val="28"/>
          <w:szCs w:val="28"/>
        </w:rPr>
        <w:t>在评标过程中擅离职守，影响评标程序正常进行的；</w:t>
      </w:r>
    </w:p>
    <w:p>
      <w:pPr>
        <w:numPr>
          <w:ilvl w:val="0"/>
          <w:numId w:val="49"/>
        </w:numPr>
        <w:tabs>
          <w:tab w:val="left" w:pos="1155"/>
        </w:tabs>
        <w:spacing w:line="360" w:lineRule="auto"/>
        <w:rPr>
          <w:rFonts w:ascii="宋体" w:hAnsi="宋体"/>
          <w:sz w:val="28"/>
          <w:szCs w:val="28"/>
        </w:rPr>
      </w:pPr>
      <w:r>
        <w:rPr>
          <w:rFonts w:hint="eastAsia" w:ascii="宋体" w:hAnsi="宋体"/>
          <w:sz w:val="28"/>
          <w:szCs w:val="28"/>
        </w:rPr>
        <w:t>记录、复制或者带走任何评标资料；</w:t>
      </w:r>
    </w:p>
    <w:p>
      <w:pPr>
        <w:numPr>
          <w:ilvl w:val="0"/>
          <w:numId w:val="49"/>
        </w:numPr>
        <w:tabs>
          <w:tab w:val="left" w:pos="1155"/>
        </w:tabs>
        <w:spacing w:line="360" w:lineRule="auto"/>
        <w:rPr>
          <w:rFonts w:ascii="宋体" w:hAnsi="宋体"/>
          <w:sz w:val="28"/>
          <w:szCs w:val="28"/>
        </w:rPr>
      </w:pPr>
      <w:r>
        <w:rPr>
          <w:rFonts w:hint="eastAsia" w:ascii="宋体" w:hAnsi="宋体"/>
          <w:sz w:val="28"/>
          <w:szCs w:val="28"/>
        </w:rPr>
        <w:t>其他不遵守评标纪律的行为。</w:t>
      </w:r>
    </w:p>
    <w:p>
      <w:pPr>
        <w:spacing w:line="360" w:lineRule="auto"/>
        <w:ind w:firstLine="560" w:firstLineChars="200"/>
        <w:rPr>
          <w:sz w:val="28"/>
          <w:szCs w:val="28"/>
        </w:rPr>
      </w:pPr>
      <w:r>
        <w:rPr>
          <w:rFonts w:hint="eastAsia"/>
          <w:sz w:val="28"/>
          <w:szCs w:val="28"/>
        </w:rPr>
        <w:t>评标委员会成员有前款第一至五项行为之一的，其评审意见无效，并不得获取评审劳务报酬和报销异地评审差旅费。</w:t>
      </w:r>
    </w:p>
    <w:p>
      <w:pPr>
        <w:keepNext/>
        <w:keepLines/>
        <w:numPr>
          <w:ilvl w:val="1"/>
          <w:numId w:val="5"/>
        </w:numPr>
        <w:spacing w:before="240" w:line="360" w:lineRule="auto"/>
        <w:jc w:val="left"/>
        <w:outlineLvl w:val="1"/>
        <w:rPr>
          <w:rFonts w:ascii="宋体" w:hAnsi="宋体"/>
          <w:b/>
          <w:bCs/>
          <w:sz w:val="28"/>
          <w:szCs w:val="28"/>
        </w:rPr>
      </w:pPr>
      <w:bookmarkStart w:id="168" w:name="_Toc74752350"/>
      <w:r>
        <w:rPr>
          <w:rFonts w:hint="eastAsia" w:ascii="宋体" w:hAnsi="宋体"/>
          <w:b/>
          <w:bCs/>
          <w:sz w:val="28"/>
          <w:szCs w:val="28"/>
        </w:rPr>
        <w:t>评审专家在政府采购活动中应当遵守以下工作纪律</w:t>
      </w:r>
      <w:bookmarkEnd w:id="168"/>
    </w:p>
    <w:p>
      <w:pPr>
        <w:numPr>
          <w:ilvl w:val="0"/>
          <w:numId w:val="50"/>
        </w:numPr>
        <w:tabs>
          <w:tab w:val="left" w:pos="1155"/>
        </w:tabs>
        <w:spacing w:line="360" w:lineRule="auto"/>
        <w:ind w:left="0" w:firstLine="527"/>
        <w:rPr>
          <w:rFonts w:ascii="宋体" w:hAnsi="宋体"/>
          <w:sz w:val="28"/>
          <w:szCs w:val="28"/>
        </w:rPr>
      </w:pPr>
      <w:r>
        <w:rPr>
          <w:rFonts w:hint="eastAsia" w:ascii="宋体" w:hAnsi="宋体"/>
          <w:sz w:val="28"/>
          <w:szCs w:val="28"/>
        </w:rPr>
        <w:t>遵行《政府采购法》第十二条和《政府采购法实施条例》第九条及政府采购相关法律法规关于回避的规定。</w:t>
      </w:r>
    </w:p>
    <w:p>
      <w:pPr>
        <w:numPr>
          <w:ilvl w:val="0"/>
          <w:numId w:val="50"/>
        </w:numPr>
        <w:tabs>
          <w:tab w:val="left" w:pos="1155"/>
        </w:tabs>
        <w:spacing w:line="580" w:lineRule="exact"/>
        <w:ind w:left="0" w:firstLine="527"/>
        <w:rPr>
          <w:rFonts w:ascii="宋体" w:hAnsi="宋体"/>
          <w:sz w:val="28"/>
          <w:szCs w:val="28"/>
        </w:rPr>
      </w:pPr>
      <w:r>
        <w:rPr>
          <w:rFonts w:hint="eastAsia" w:ascii="宋体" w:hAnsi="宋体"/>
          <w:sz w:val="28"/>
          <w:szCs w:val="28"/>
        </w:rPr>
        <w:t>应邀按时参加评审和咨询活动，遵守评标区管理规定。</w:t>
      </w:r>
    </w:p>
    <w:p>
      <w:pPr>
        <w:numPr>
          <w:ilvl w:val="0"/>
          <w:numId w:val="50"/>
        </w:numPr>
        <w:tabs>
          <w:tab w:val="left" w:pos="1155"/>
        </w:tabs>
        <w:spacing w:line="580" w:lineRule="exact"/>
        <w:ind w:left="0" w:firstLine="527"/>
        <w:rPr>
          <w:rFonts w:ascii="宋体" w:hAnsi="宋体"/>
          <w:sz w:val="28"/>
          <w:szCs w:val="28"/>
        </w:rPr>
      </w:pPr>
      <w:r>
        <w:rPr>
          <w:rFonts w:hint="eastAsia" w:ascii="宋体" w:hAnsi="宋体"/>
          <w:sz w:val="28"/>
          <w:szCs w:val="28"/>
        </w:rPr>
        <w:t>进入评标区之前应将所有的通信设备存入成都市武侯区政府采购中心指定的存放处。评标专家不得以任何方式将通信设备带入评标区，否则将被取消其当次项目的评标资格。遇特殊情况不能出席或途中遇阻不能按时参加评审或咨询的，应及时告知财政部门或者采购人或者</w:t>
      </w:r>
      <w:r>
        <w:rPr>
          <w:rFonts w:hint="eastAsia" w:cs="Arial"/>
          <w:sz w:val="28"/>
          <w:szCs w:val="28"/>
        </w:rPr>
        <w:t>成都市武侯区政府采购中心</w:t>
      </w:r>
      <w:r>
        <w:rPr>
          <w:rFonts w:hint="eastAsia" w:ascii="宋体" w:hAnsi="宋体"/>
          <w:sz w:val="28"/>
          <w:szCs w:val="28"/>
        </w:rPr>
        <w:t>，不得私自转托他人。</w:t>
      </w:r>
    </w:p>
    <w:p>
      <w:pPr>
        <w:numPr>
          <w:ilvl w:val="0"/>
          <w:numId w:val="50"/>
        </w:numPr>
        <w:tabs>
          <w:tab w:val="left" w:pos="1155"/>
        </w:tabs>
        <w:spacing w:line="580" w:lineRule="exact"/>
        <w:ind w:left="0" w:firstLine="527"/>
        <w:rPr>
          <w:rFonts w:ascii="宋体" w:hAnsi="宋体"/>
          <w:sz w:val="28"/>
          <w:szCs w:val="28"/>
        </w:rPr>
      </w:pPr>
      <w:r>
        <w:rPr>
          <w:rFonts w:hint="eastAsia" w:ascii="宋体" w:hAnsi="宋体"/>
          <w:sz w:val="28"/>
          <w:szCs w:val="28"/>
        </w:rPr>
        <w:t>不得参加与自己有利害关系的政府采购项目的评审活动。对与自己有利害关系的评审项目，如受到邀请，应主动提出回避。财政部门、采购人或</w:t>
      </w:r>
      <w:r>
        <w:rPr>
          <w:rFonts w:hint="eastAsia" w:cs="Arial"/>
          <w:sz w:val="28"/>
          <w:szCs w:val="28"/>
        </w:rPr>
        <w:t>成都市武侯区政府采购中心</w:t>
      </w:r>
      <w:r>
        <w:rPr>
          <w:rFonts w:hint="eastAsia" w:ascii="宋体" w:hAnsi="宋体"/>
          <w:sz w:val="28"/>
          <w:szCs w:val="28"/>
        </w:rPr>
        <w:t>也可要求该评审专家回避。</w:t>
      </w:r>
    </w:p>
    <w:p>
      <w:pPr>
        <w:numPr>
          <w:ilvl w:val="0"/>
          <w:numId w:val="50"/>
        </w:numPr>
        <w:tabs>
          <w:tab w:val="left" w:pos="1155"/>
        </w:tabs>
        <w:spacing w:line="580" w:lineRule="exact"/>
        <w:ind w:left="0" w:firstLine="527"/>
        <w:rPr>
          <w:rFonts w:ascii="宋体" w:hAnsi="宋体"/>
          <w:sz w:val="28"/>
          <w:szCs w:val="28"/>
        </w:rPr>
      </w:pPr>
      <w:r>
        <w:rPr>
          <w:rFonts w:hint="eastAsia" w:ascii="宋体" w:hAnsi="宋体"/>
          <w:sz w:val="28"/>
          <w:szCs w:val="28"/>
        </w:rPr>
        <w:t>评审过程中关闭通讯设备，不得与外界联系。因发生不可预见情况，确实需要与外界联系的，应告知评标区值守人员，使用评标区内由采购职工向您提供的通信设备，在监督人员监督之下办理。</w:t>
      </w:r>
    </w:p>
    <w:p>
      <w:pPr>
        <w:numPr>
          <w:ilvl w:val="0"/>
          <w:numId w:val="50"/>
        </w:numPr>
        <w:tabs>
          <w:tab w:val="left" w:pos="1155"/>
        </w:tabs>
        <w:spacing w:line="580" w:lineRule="exact"/>
        <w:ind w:left="0" w:firstLine="527"/>
        <w:rPr>
          <w:rFonts w:ascii="宋体" w:hAnsi="宋体"/>
          <w:sz w:val="28"/>
          <w:szCs w:val="28"/>
        </w:rPr>
      </w:pPr>
      <w:r>
        <w:rPr>
          <w:rFonts w:hint="eastAsia" w:ascii="宋体" w:hAnsi="宋体"/>
          <w:sz w:val="28"/>
          <w:szCs w:val="28"/>
        </w:rPr>
        <w:t>评审过程中，不得发表影响评审公正的倾向性、歧视性言论；不得征询或者接受采购人的倾向性意见；不得修改或细化招标文件确定的评标程序、评标方法、评标因素和评标标准；不得接受投标人主动提出的澄清和解释；不得协商评分；不得以任何明示或暗示的方式要求参加该采购项目的投标人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numPr>
          <w:ilvl w:val="0"/>
          <w:numId w:val="50"/>
        </w:numPr>
        <w:tabs>
          <w:tab w:val="left" w:pos="1155"/>
        </w:tabs>
        <w:spacing w:line="580" w:lineRule="exact"/>
        <w:ind w:left="0" w:firstLine="527"/>
        <w:rPr>
          <w:rFonts w:ascii="宋体" w:hAnsi="宋体"/>
          <w:sz w:val="28"/>
          <w:szCs w:val="28"/>
        </w:rPr>
      </w:pPr>
      <w:r>
        <w:rPr>
          <w:rFonts w:hint="eastAsia" w:ascii="宋体" w:hAnsi="宋体"/>
          <w:sz w:val="28"/>
          <w:szCs w:val="28"/>
        </w:rPr>
        <w:t>在评标过程中和评标结束后，不得记录、复制或带走任何评标资料，除因规定的义务外，不得向外界透露评标内容。</w:t>
      </w:r>
    </w:p>
    <w:p>
      <w:pPr>
        <w:numPr>
          <w:ilvl w:val="0"/>
          <w:numId w:val="50"/>
        </w:numPr>
        <w:tabs>
          <w:tab w:val="left" w:pos="1155"/>
        </w:tabs>
        <w:spacing w:line="580" w:lineRule="exact"/>
        <w:ind w:left="0" w:firstLine="527"/>
        <w:rPr>
          <w:rFonts w:ascii="宋体" w:hAnsi="宋体"/>
          <w:sz w:val="28"/>
          <w:szCs w:val="28"/>
        </w:rPr>
      </w:pPr>
      <w:r>
        <w:rPr>
          <w:rFonts w:hint="eastAsia" w:ascii="宋体" w:hAnsi="宋体"/>
          <w:sz w:val="28"/>
          <w:szCs w:val="28"/>
        </w:rPr>
        <w:t>服从评标现场</w:t>
      </w:r>
      <w:r>
        <w:rPr>
          <w:rFonts w:hint="eastAsia" w:cs="Arial"/>
          <w:sz w:val="28"/>
          <w:szCs w:val="28"/>
        </w:rPr>
        <w:t>成都市武侯区政府采购中心</w:t>
      </w:r>
      <w:r>
        <w:rPr>
          <w:rFonts w:hint="eastAsia" w:ascii="宋体" w:hAnsi="宋体"/>
          <w:sz w:val="28"/>
          <w:szCs w:val="28"/>
        </w:rPr>
        <w:t>的现场秩序管理，接受评标现场监督人员的合法监督。</w:t>
      </w:r>
    </w:p>
    <w:p>
      <w:pPr>
        <w:numPr>
          <w:ilvl w:val="0"/>
          <w:numId w:val="50"/>
        </w:numPr>
        <w:tabs>
          <w:tab w:val="left" w:pos="1155"/>
        </w:tabs>
        <w:spacing w:line="580" w:lineRule="exact"/>
        <w:ind w:left="0" w:firstLine="527"/>
        <w:rPr>
          <w:rFonts w:ascii="宋体" w:hAnsi="宋体"/>
          <w:sz w:val="28"/>
          <w:szCs w:val="28"/>
        </w:rPr>
      </w:pPr>
      <w:r>
        <w:rPr>
          <w:rFonts w:hint="eastAsia" w:ascii="宋体" w:hAnsi="宋体"/>
          <w:sz w:val="28"/>
          <w:szCs w:val="28"/>
        </w:rPr>
        <w:t>遵守有关廉洁自律规定，不得私下接触投标人，不得收受投标人及有关业务单位和个人的财物或好处，不得接受采购组织单位的请托。</w:t>
      </w:r>
    </w:p>
    <w:p>
      <w:pPr>
        <w:numPr>
          <w:ilvl w:val="0"/>
          <w:numId w:val="50"/>
        </w:numPr>
        <w:tabs>
          <w:tab w:val="left" w:pos="1155"/>
        </w:tabs>
        <w:spacing w:line="580" w:lineRule="exact"/>
        <w:ind w:left="0" w:firstLine="527"/>
        <w:rPr>
          <w:rFonts w:ascii="宋体" w:hAnsi="宋体"/>
          <w:sz w:val="28"/>
          <w:szCs w:val="28"/>
        </w:rPr>
      </w:pPr>
      <w:r>
        <w:rPr>
          <w:rFonts w:hint="eastAsia" w:ascii="宋体" w:hAnsi="宋体"/>
          <w:sz w:val="28"/>
          <w:szCs w:val="28"/>
        </w:rPr>
        <w:t>在咨询工作中，严格执行国家产业政策和产品标准，认真听取咨询方的合理要求，提出科学合理的、无倾向性和歧视性的咨询方案，并对所提出的意见和建议承担个人责任。</w:t>
      </w:r>
    </w:p>
    <w:p>
      <w:pPr>
        <w:numPr>
          <w:ilvl w:val="0"/>
          <w:numId w:val="50"/>
        </w:numPr>
        <w:tabs>
          <w:tab w:val="left" w:pos="1155"/>
          <w:tab w:val="left" w:pos="1276"/>
          <w:tab w:val="left" w:pos="1418"/>
        </w:tabs>
        <w:spacing w:line="580" w:lineRule="exact"/>
        <w:ind w:left="527" w:firstLine="40"/>
        <w:rPr>
          <w:rFonts w:ascii="宋体" w:hAnsi="宋体"/>
          <w:sz w:val="28"/>
          <w:szCs w:val="28"/>
        </w:rPr>
      </w:pPr>
      <w:r>
        <w:rPr>
          <w:rFonts w:hint="eastAsia" w:ascii="宋体" w:hAnsi="宋体"/>
          <w:sz w:val="28"/>
          <w:szCs w:val="28"/>
        </w:rPr>
        <w:t>有关部门（机构）制定的其他评审工作纪律。</w:t>
      </w: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bookmarkEnd w:id="151"/>
    <w:bookmarkEnd w:id="152"/>
    <w:p>
      <w:pPr>
        <w:keepNext/>
        <w:keepLines/>
        <w:numPr>
          <w:ilvl w:val="0"/>
          <w:numId w:val="5"/>
        </w:numPr>
        <w:spacing w:before="340" w:after="330" w:line="400" w:lineRule="exact"/>
        <w:jc w:val="center"/>
        <w:outlineLvl w:val="0"/>
        <w:rPr>
          <w:rFonts w:ascii="宋体" w:hAnsi="宋体"/>
          <w:b/>
          <w:bCs/>
          <w:spacing w:val="-20"/>
          <w:kern w:val="44"/>
          <w:szCs w:val="32"/>
        </w:rPr>
      </w:pPr>
      <w:bookmarkStart w:id="169" w:name="_Toc74752351"/>
      <w:r>
        <w:rPr>
          <w:rFonts w:hint="eastAsia" w:ascii="宋体" w:hAnsi="宋体"/>
          <w:b/>
          <w:bCs/>
          <w:spacing w:val="-20"/>
          <w:kern w:val="44"/>
          <w:sz w:val="32"/>
          <w:szCs w:val="32"/>
        </w:rPr>
        <w:t>拟签订合同</w:t>
      </w:r>
      <w:bookmarkStart w:id="170" w:name="_Toc316475751"/>
      <w:bookmarkEnd w:id="170"/>
      <w:bookmarkStart w:id="171" w:name="_Toc316475675"/>
      <w:bookmarkEnd w:id="171"/>
      <w:bookmarkStart w:id="172" w:name="_Toc316475677"/>
      <w:bookmarkEnd w:id="172"/>
      <w:bookmarkStart w:id="173" w:name="_Toc316475667"/>
      <w:bookmarkEnd w:id="173"/>
      <w:bookmarkStart w:id="174" w:name="_Toc316475754"/>
      <w:bookmarkEnd w:id="174"/>
      <w:bookmarkStart w:id="175" w:name="_Toc316475673"/>
      <w:bookmarkEnd w:id="175"/>
      <w:bookmarkStart w:id="176" w:name="_Toc316475669"/>
      <w:bookmarkEnd w:id="176"/>
      <w:bookmarkStart w:id="177" w:name="_Toc316475760"/>
      <w:bookmarkEnd w:id="177"/>
      <w:bookmarkStart w:id="178" w:name="_Toc316475670"/>
      <w:bookmarkEnd w:id="178"/>
      <w:bookmarkStart w:id="179" w:name="_Toc316475764"/>
      <w:bookmarkEnd w:id="179"/>
      <w:bookmarkStart w:id="180" w:name="_Toc316475758"/>
      <w:bookmarkEnd w:id="180"/>
      <w:bookmarkStart w:id="181" w:name="_Toc316475664"/>
      <w:bookmarkEnd w:id="181"/>
      <w:bookmarkStart w:id="182" w:name="_Toc316475676"/>
      <w:bookmarkEnd w:id="182"/>
      <w:bookmarkStart w:id="183" w:name="_Toc316475666"/>
      <w:bookmarkEnd w:id="183"/>
      <w:bookmarkStart w:id="184" w:name="_Toc316475756"/>
      <w:bookmarkEnd w:id="184"/>
      <w:bookmarkStart w:id="185" w:name="_Toc316475763"/>
      <w:bookmarkEnd w:id="185"/>
      <w:bookmarkStart w:id="186" w:name="_Toc316475668"/>
      <w:bookmarkEnd w:id="186"/>
      <w:bookmarkStart w:id="187" w:name="_Toc316475753"/>
      <w:bookmarkEnd w:id="187"/>
      <w:bookmarkStart w:id="188" w:name="_Toc316475761"/>
      <w:bookmarkEnd w:id="188"/>
      <w:bookmarkStart w:id="189" w:name="_Toc316475752"/>
      <w:bookmarkEnd w:id="189"/>
      <w:bookmarkStart w:id="190" w:name="_Toc316475672"/>
      <w:bookmarkEnd w:id="190"/>
      <w:bookmarkStart w:id="191" w:name="_Toc316475757"/>
      <w:bookmarkEnd w:id="191"/>
      <w:bookmarkStart w:id="192" w:name="_Toc316475762"/>
      <w:bookmarkEnd w:id="192"/>
      <w:bookmarkStart w:id="193" w:name="_Toc316475759"/>
      <w:bookmarkEnd w:id="193"/>
      <w:bookmarkStart w:id="194" w:name="_Toc316475674"/>
      <w:bookmarkEnd w:id="194"/>
      <w:bookmarkStart w:id="195" w:name="_Toc316475671"/>
      <w:bookmarkEnd w:id="195"/>
      <w:bookmarkStart w:id="196" w:name="_Toc316475755"/>
      <w:bookmarkEnd w:id="196"/>
      <w:bookmarkStart w:id="197" w:name="_Toc316475665"/>
      <w:bookmarkEnd w:id="197"/>
      <w:bookmarkStart w:id="198" w:name="_Toc277152521"/>
      <w:bookmarkEnd w:id="198"/>
      <w:bookmarkStart w:id="199" w:name="_Toc277152523"/>
      <w:bookmarkEnd w:id="199"/>
      <w:bookmarkStart w:id="200" w:name="_Toc277152522"/>
      <w:bookmarkEnd w:id="200"/>
      <w:bookmarkStart w:id="201" w:name="_Toc214858832"/>
      <w:bookmarkEnd w:id="201"/>
      <w:bookmarkStart w:id="202" w:name="_Toc299975392"/>
      <w:bookmarkEnd w:id="202"/>
      <w:bookmarkStart w:id="203" w:name="_Toc277152520"/>
      <w:bookmarkEnd w:id="203"/>
      <w:bookmarkStart w:id="204" w:name="_Toc299975364"/>
      <w:bookmarkEnd w:id="204"/>
      <w:bookmarkStart w:id="205" w:name="_Toc34729074"/>
      <w:bookmarkStart w:id="206" w:name="_Toc8573798"/>
      <w:bookmarkStart w:id="207" w:name="_Toc217446108"/>
      <w:bookmarkEnd w:id="0"/>
      <w:bookmarkEnd w:id="1"/>
      <w:bookmarkEnd w:id="2"/>
      <w:bookmarkEnd w:id="3"/>
      <w:r>
        <w:rPr>
          <w:rFonts w:hint="eastAsia" w:ascii="宋体" w:hAnsi="宋体"/>
          <w:b/>
          <w:bCs/>
          <w:spacing w:val="-20"/>
          <w:kern w:val="44"/>
          <w:sz w:val="32"/>
          <w:szCs w:val="32"/>
        </w:rPr>
        <w:t>文本</w:t>
      </w:r>
      <w:bookmarkEnd w:id="169"/>
      <w:r>
        <w:rPr>
          <w:rFonts w:ascii="宋体" w:hAnsi="宋体" w:cs="宋体"/>
          <w:b/>
          <w:strike/>
          <w:sz w:val="30"/>
          <w:szCs w:val="32"/>
        </w:rPr>
        <w:t xml:space="preserve"> </w:t>
      </w:r>
    </w:p>
    <w:p>
      <w:pPr>
        <w:pStyle w:val="2"/>
      </w:pPr>
    </w:p>
    <w:bookmarkEnd w:id="205"/>
    <w:bookmarkEnd w:id="206"/>
    <w:bookmarkEnd w:id="207"/>
    <w:p>
      <w:pPr>
        <w:pStyle w:val="228"/>
        <w:shd w:val="clear" w:color="auto" w:fill="auto"/>
        <w:spacing w:line="276" w:lineRule="auto"/>
        <w:ind w:left="240" w:right="-57" w:rightChars="-27"/>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 xml:space="preserve">合同编号： </w:t>
      </w:r>
    </w:p>
    <w:p>
      <w:pPr>
        <w:pStyle w:val="229"/>
        <w:shd w:val="clear" w:color="auto" w:fill="auto"/>
        <w:spacing w:before="0" w:after="0" w:line="276" w:lineRule="auto"/>
        <w:ind w:left="240" w:right="-57" w:rightChars="-27" w:firstLine="2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签订地点：成都市武侯少陵路16号</w:t>
      </w:r>
    </w:p>
    <w:p>
      <w:pPr>
        <w:pStyle w:val="228"/>
        <w:shd w:val="clear" w:color="auto" w:fill="auto"/>
        <w:spacing w:line="276" w:lineRule="auto"/>
        <w:ind w:left="240" w:right="-57" w:rightChars="-27"/>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签订时间：      年   月    日。</w:t>
      </w:r>
    </w:p>
    <w:p>
      <w:pPr>
        <w:pStyle w:val="228"/>
        <w:shd w:val="clear" w:color="auto" w:fill="auto"/>
        <w:spacing w:line="276" w:lineRule="auto"/>
        <w:ind w:left="240" w:right="-57" w:rightChars="-27"/>
        <w:rPr>
          <w:rFonts w:hint="eastAsia" w:ascii="宋体" w:hAnsi="宋体" w:eastAsia="宋体" w:cs="Times New Roman"/>
          <w:kern w:val="2"/>
          <w:sz w:val="28"/>
          <w:szCs w:val="28"/>
          <w:lang w:val="en-US" w:eastAsia="zh-CN" w:bidi="ar-SA"/>
        </w:rPr>
      </w:pPr>
      <w:r>
        <w:rPr>
          <w:rFonts w:hint="eastAsia" w:cs="Times New Roman"/>
          <w:kern w:val="2"/>
          <w:sz w:val="28"/>
          <w:szCs w:val="28"/>
          <w:lang w:val="en-US" w:eastAsia="zh-CN" w:bidi="ar-SA"/>
        </w:rPr>
        <w:t>采购人</w:t>
      </w:r>
      <w:r>
        <w:rPr>
          <w:rFonts w:hint="eastAsia" w:ascii="宋体" w:hAnsi="宋体" w:eastAsia="宋体" w:cs="Times New Roman"/>
          <w:kern w:val="2"/>
          <w:sz w:val="28"/>
          <w:szCs w:val="28"/>
          <w:lang w:val="en-US" w:eastAsia="zh-CN" w:bidi="ar-SA"/>
        </w:rPr>
        <w:t>（甲方</w:t>
      </w:r>
      <w:r>
        <w:rPr>
          <w:rFonts w:hint="eastAsia" w:cs="Times New Roman"/>
          <w:kern w:val="2"/>
          <w:sz w:val="28"/>
          <w:szCs w:val="28"/>
          <w:lang w:val="en-US" w:eastAsia="zh-CN" w:bidi="ar-SA"/>
        </w:rPr>
        <w:t>）</w:t>
      </w:r>
      <w:r>
        <w:rPr>
          <w:rFonts w:hint="eastAsia" w:ascii="宋体" w:hAnsi="宋体" w:eastAsia="宋体" w:cs="Times New Roman"/>
          <w:kern w:val="2"/>
          <w:sz w:val="28"/>
          <w:szCs w:val="28"/>
          <w:lang w:val="en-US" w:eastAsia="zh-CN" w:bidi="ar-SA"/>
        </w:rPr>
        <w:t>：成都市武侯实验小学</w:t>
      </w:r>
    </w:p>
    <w:p>
      <w:pPr>
        <w:pStyle w:val="228"/>
        <w:shd w:val="clear" w:color="auto" w:fill="auto"/>
        <w:spacing w:after="540" w:line="276" w:lineRule="auto"/>
        <w:ind w:left="240" w:right="-57" w:rightChars="-27"/>
        <w:rPr>
          <w:rFonts w:hint="eastAsia" w:ascii="宋体" w:hAnsi="宋体" w:eastAsia="宋体" w:cs="Times New Roman"/>
          <w:kern w:val="2"/>
          <w:sz w:val="28"/>
          <w:szCs w:val="28"/>
          <w:lang w:val="en-US" w:eastAsia="zh-CN" w:bidi="ar-SA"/>
        </w:rPr>
      </w:pPr>
      <w:r>
        <w:rPr>
          <w:rFonts w:hint="eastAsia" w:cs="Times New Roman"/>
          <w:kern w:val="2"/>
          <w:sz w:val="28"/>
          <w:szCs w:val="28"/>
          <w:lang w:val="en-US" w:eastAsia="zh-CN" w:bidi="ar-SA"/>
        </w:rPr>
        <w:t>供应商</w:t>
      </w:r>
      <w:r>
        <w:rPr>
          <w:rFonts w:hint="eastAsia" w:ascii="宋体" w:hAnsi="宋体" w:eastAsia="宋体" w:cs="Times New Roman"/>
          <w:kern w:val="2"/>
          <w:sz w:val="28"/>
          <w:szCs w:val="28"/>
          <w:lang w:val="en-US" w:eastAsia="zh-CN" w:bidi="ar-SA"/>
        </w:rPr>
        <w:t>（乙方</w:t>
      </w:r>
      <w:r>
        <w:rPr>
          <w:rFonts w:hint="eastAsia" w:cs="Times New Roman"/>
          <w:kern w:val="2"/>
          <w:sz w:val="28"/>
          <w:szCs w:val="28"/>
          <w:lang w:val="en-US" w:eastAsia="zh-CN" w:bidi="ar-SA"/>
        </w:rPr>
        <w:t>）</w:t>
      </w:r>
      <w:r>
        <w:rPr>
          <w:rFonts w:hint="eastAsia" w:ascii="宋体" w:hAnsi="宋体" w:eastAsia="宋体" w:cs="Times New Roman"/>
          <w:kern w:val="2"/>
          <w:sz w:val="28"/>
          <w:szCs w:val="28"/>
          <w:lang w:val="en-US" w:eastAsia="zh-CN" w:bidi="ar-SA"/>
        </w:rPr>
        <w:t xml:space="preserve">： </w:t>
      </w:r>
    </w:p>
    <w:p>
      <w:pPr>
        <w:pStyle w:val="230"/>
        <w:shd w:val="clear" w:color="auto" w:fill="auto"/>
        <w:spacing w:line="276" w:lineRule="auto"/>
        <w:ind w:right="-57" w:rightChars="-27" w:firstLine="426"/>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依据《中华人民共和国政府采购法》、《中华人民共和国民法典》及XX采购项目的《招标文件》、乙方的《投标文件》等，甲、 乙双方同意签订本合同。详细技术说明及其他有关合同项目的特定信息由合同附件予以说明，合同附件及本项目的招标文件、乙方的投标文件等均为本合同不可分割的部分。双方同意共同遵守如下条款：</w:t>
      </w:r>
    </w:p>
    <w:p>
      <w:pPr>
        <w:pStyle w:val="231"/>
        <w:shd w:val="clear" w:color="auto" w:fill="auto"/>
        <w:spacing w:line="276" w:lineRule="auto"/>
        <w:ind w:left="105" w:right="-57" w:rightChars="-27"/>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一、合同货物</w:t>
      </w:r>
    </w:p>
    <w:tbl>
      <w:tblPr>
        <w:tblStyle w:val="46"/>
        <w:tblW w:w="9313" w:type="dxa"/>
        <w:jc w:val="center"/>
        <w:tblInd w:w="0" w:type="dxa"/>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 w:type="dxa"/>
          <w:bottom w:w="0" w:type="dxa"/>
          <w:right w:w="10" w:type="dxa"/>
        </w:tblCellMar>
      </w:tblPr>
      <w:tblGrid>
        <w:gridCol w:w="1575"/>
        <w:gridCol w:w="1050"/>
        <w:gridCol w:w="720"/>
        <w:gridCol w:w="828"/>
        <w:gridCol w:w="1067"/>
        <w:gridCol w:w="1538"/>
        <w:gridCol w:w="1260"/>
        <w:gridCol w:w="1275"/>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 w:type="dxa"/>
            <w:bottom w:w="0" w:type="dxa"/>
            <w:right w:w="10" w:type="dxa"/>
          </w:tblCellMar>
        </w:tblPrEx>
        <w:trPr>
          <w:trHeight w:val="1125" w:hRule="exact"/>
          <w:jc w:val="center"/>
        </w:trPr>
        <w:tc>
          <w:tcPr>
            <w:tcW w:w="1575" w:type="dxa"/>
            <w:shd w:val="clear" w:color="auto" w:fill="FFFFFF"/>
            <w:vAlign w:val="center"/>
          </w:tcPr>
          <w:p>
            <w:pPr>
              <w:spacing w:line="276" w:lineRule="auto"/>
              <w:ind w:right="-57" w:rightChars="-27"/>
              <w:jc w:val="center"/>
              <w:rPr>
                <w:rFonts w:ascii="仿宋" w:hAnsi="仿宋" w:eastAsia="仿宋"/>
                <w:color w:val="000000"/>
                <w:sz w:val="20"/>
                <w:szCs w:val="20"/>
              </w:rPr>
            </w:pPr>
            <w:r>
              <w:rPr>
                <w:rFonts w:ascii="仿宋" w:hAnsi="仿宋" w:eastAsia="仿宋"/>
                <w:color w:val="000000"/>
                <w:sz w:val="20"/>
                <w:szCs w:val="20"/>
              </w:rPr>
              <w:t>货物品名</w:t>
            </w:r>
          </w:p>
        </w:tc>
        <w:tc>
          <w:tcPr>
            <w:tcW w:w="1050" w:type="dxa"/>
            <w:shd w:val="clear" w:color="auto" w:fill="FFFFFF"/>
            <w:vAlign w:val="center"/>
          </w:tcPr>
          <w:p>
            <w:pPr>
              <w:spacing w:line="276" w:lineRule="auto"/>
              <w:ind w:right="-57" w:rightChars="-27"/>
              <w:jc w:val="center"/>
              <w:rPr>
                <w:rFonts w:ascii="仿宋" w:hAnsi="仿宋" w:eastAsia="仿宋"/>
                <w:color w:val="000000"/>
                <w:sz w:val="20"/>
                <w:szCs w:val="20"/>
              </w:rPr>
            </w:pPr>
            <w:r>
              <w:rPr>
                <w:rFonts w:ascii="仿宋" w:hAnsi="仿宋" w:eastAsia="仿宋"/>
                <w:color w:val="000000"/>
                <w:sz w:val="20"/>
                <w:szCs w:val="20"/>
              </w:rPr>
              <w:t>规格</w:t>
            </w:r>
          </w:p>
          <w:p>
            <w:pPr>
              <w:spacing w:line="276" w:lineRule="auto"/>
              <w:ind w:right="-57" w:rightChars="-27"/>
              <w:jc w:val="center"/>
              <w:rPr>
                <w:rFonts w:ascii="仿宋" w:hAnsi="仿宋" w:eastAsia="仿宋"/>
                <w:color w:val="000000"/>
                <w:sz w:val="20"/>
                <w:szCs w:val="20"/>
              </w:rPr>
            </w:pPr>
            <w:r>
              <w:rPr>
                <w:rFonts w:ascii="仿宋" w:hAnsi="仿宋" w:eastAsia="仿宋"/>
                <w:color w:val="000000"/>
                <w:sz w:val="20"/>
                <w:szCs w:val="20"/>
              </w:rPr>
              <w:t>型号</w:t>
            </w:r>
          </w:p>
        </w:tc>
        <w:tc>
          <w:tcPr>
            <w:tcW w:w="720" w:type="dxa"/>
            <w:shd w:val="clear" w:color="auto" w:fill="FFFFFF"/>
            <w:vAlign w:val="center"/>
          </w:tcPr>
          <w:p>
            <w:pPr>
              <w:spacing w:line="276" w:lineRule="auto"/>
              <w:ind w:right="-57" w:rightChars="-27"/>
              <w:jc w:val="center"/>
              <w:rPr>
                <w:rFonts w:ascii="仿宋" w:hAnsi="仿宋" w:eastAsia="仿宋"/>
                <w:color w:val="000000"/>
                <w:sz w:val="20"/>
                <w:szCs w:val="20"/>
              </w:rPr>
            </w:pPr>
            <w:r>
              <w:rPr>
                <w:rFonts w:ascii="仿宋" w:hAnsi="仿宋" w:eastAsia="仿宋"/>
                <w:color w:val="000000"/>
                <w:sz w:val="20"/>
                <w:szCs w:val="20"/>
              </w:rPr>
              <w:t>单位</w:t>
            </w:r>
          </w:p>
        </w:tc>
        <w:tc>
          <w:tcPr>
            <w:tcW w:w="828" w:type="dxa"/>
            <w:shd w:val="clear" w:color="auto" w:fill="FFFFFF"/>
            <w:vAlign w:val="center"/>
          </w:tcPr>
          <w:p>
            <w:pPr>
              <w:spacing w:line="276" w:lineRule="auto"/>
              <w:ind w:right="-57" w:rightChars="-27"/>
              <w:jc w:val="center"/>
              <w:rPr>
                <w:rFonts w:ascii="仿宋" w:hAnsi="仿宋" w:eastAsia="仿宋"/>
                <w:color w:val="000000"/>
                <w:sz w:val="20"/>
                <w:szCs w:val="20"/>
              </w:rPr>
            </w:pPr>
            <w:r>
              <w:rPr>
                <w:rFonts w:ascii="仿宋" w:hAnsi="仿宋" w:eastAsia="仿宋"/>
                <w:color w:val="000000"/>
                <w:sz w:val="20"/>
                <w:szCs w:val="20"/>
              </w:rPr>
              <w:t>数量</w:t>
            </w:r>
          </w:p>
        </w:tc>
        <w:tc>
          <w:tcPr>
            <w:tcW w:w="1067" w:type="dxa"/>
            <w:shd w:val="clear" w:color="auto" w:fill="FFFFFF"/>
            <w:vAlign w:val="center"/>
          </w:tcPr>
          <w:p>
            <w:pPr>
              <w:spacing w:line="276" w:lineRule="auto"/>
              <w:ind w:right="-57" w:rightChars="-27"/>
              <w:jc w:val="center"/>
              <w:rPr>
                <w:rFonts w:ascii="仿宋" w:hAnsi="仿宋" w:eastAsia="仿宋"/>
                <w:color w:val="000000"/>
                <w:sz w:val="20"/>
                <w:szCs w:val="20"/>
              </w:rPr>
            </w:pPr>
            <w:r>
              <w:rPr>
                <w:rFonts w:ascii="仿宋" w:hAnsi="仿宋" w:eastAsia="仿宋"/>
                <w:color w:val="000000"/>
                <w:sz w:val="20"/>
                <w:szCs w:val="20"/>
              </w:rPr>
              <w:t>单价</w:t>
            </w:r>
          </w:p>
          <w:p>
            <w:pPr>
              <w:spacing w:line="276" w:lineRule="auto"/>
              <w:ind w:right="-57" w:rightChars="-27"/>
              <w:jc w:val="center"/>
              <w:rPr>
                <w:rFonts w:ascii="仿宋" w:hAnsi="仿宋" w:eastAsia="仿宋"/>
                <w:color w:val="000000"/>
                <w:sz w:val="20"/>
                <w:szCs w:val="20"/>
              </w:rPr>
            </w:pPr>
            <w:r>
              <w:rPr>
                <w:rFonts w:ascii="仿宋" w:hAnsi="仿宋" w:eastAsia="仿宋"/>
                <w:color w:val="000000"/>
                <w:sz w:val="20"/>
                <w:szCs w:val="20"/>
              </w:rPr>
              <w:t>（万元）</w:t>
            </w:r>
          </w:p>
        </w:tc>
        <w:tc>
          <w:tcPr>
            <w:tcW w:w="1538" w:type="dxa"/>
            <w:shd w:val="clear" w:color="auto" w:fill="FFFFFF"/>
            <w:vAlign w:val="center"/>
          </w:tcPr>
          <w:p>
            <w:pPr>
              <w:spacing w:line="276" w:lineRule="auto"/>
              <w:ind w:right="-57" w:rightChars="-27"/>
              <w:jc w:val="center"/>
              <w:rPr>
                <w:rFonts w:ascii="仿宋" w:hAnsi="仿宋" w:eastAsia="仿宋"/>
                <w:color w:val="000000"/>
                <w:sz w:val="20"/>
                <w:szCs w:val="20"/>
              </w:rPr>
            </w:pPr>
            <w:r>
              <w:rPr>
                <w:rFonts w:ascii="仿宋" w:hAnsi="仿宋" w:eastAsia="仿宋"/>
                <w:color w:val="000000"/>
                <w:sz w:val="20"/>
                <w:szCs w:val="20"/>
              </w:rPr>
              <w:t>总价</w:t>
            </w:r>
          </w:p>
          <w:p>
            <w:pPr>
              <w:spacing w:line="276" w:lineRule="auto"/>
              <w:ind w:right="-57" w:rightChars="-27"/>
              <w:jc w:val="center"/>
              <w:rPr>
                <w:rFonts w:ascii="仿宋" w:hAnsi="仿宋" w:eastAsia="仿宋"/>
                <w:color w:val="000000"/>
                <w:sz w:val="20"/>
                <w:szCs w:val="20"/>
              </w:rPr>
            </w:pPr>
            <w:r>
              <w:rPr>
                <w:rFonts w:ascii="仿宋" w:hAnsi="仿宋" w:eastAsia="仿宋"/>
                <w:color w:val="000000"/>
                <w:sz w:val="20"/>
                <w:szCs w:val="20"/>
              </w:rPr>
              <w:t>（万元〉</w:t>
            </w:r>
          </w:p>
        </w:tc>
        <w:tc>
          <w:tcPr>
            <w:tcW w:w="1260" w:type="dxa"/>
            <w:shd w:val="clear" w:color="auto" w:fill="FFFFFF"/>
            <w:vAlign w:val="center"/>
          </w:tcPr>
          <w:p>
            <w:pPr>
              <w:spacing w:line="276" w:lineRule="auto"/>
              <w:ind w:right="-57" w:rightChars="-27"/>
              <w:jc w:val="center"/>
              <w:rPr>
                <w:rFonts w:ascii="仿宋" w:hAnsi="仿宋" w:eastAsia="仿宋"/>
                <w:color w:val="000000"/>
                <w:sz w:val="20"/>
                <w:szCs w:val="20"/>
              </w:rPr>
            </w:pPr>
            <w:r>
              <w:rPr>
                <w:rFonts w:ascii="仿宋" w:hAnsi="仿宋" w:eastAsia="仿宋"/>
                <w:color w:val="000000"/>
                <w:sz w:val="20"/>
                <w:szCs w:val="20"/>
              </w:rPr>
              <w:t>随机</w:t>
            </w:r>
          </w:p>
          <w:p>
            <w:pPr>
              <w:spacing w:line="276" w:lineRule="auto"/>
              <w:ind w:right="-57" w:rightChars="-27"/>
              <w:jc w:val="center"/>
              <w:rPr>
                <w:rFonts w:ascii="仿宋" w:hAnsi="仿宋" w:eastAsia="仿宋"/>
                <w:color w:val="000000"/>
                <w:sz w:val="20"/>
                <w:szCs w:val="20"/>
              </w:rPr>
            </w:pPr>
            <w:r>
              <w:rPr>
                <w:rFonts w:ascii="仿宋" w:hAnsi="仿宋" w:eastAsia="仿宋"/>
                <w:color w:val="000000"/>
                <w:sz w:val="20"/>
                <w:szCs w:val="20"/>
              </w:rPr>
              <w:t>配件</w:t>
            </w:r>
          </w:p>
        </w:tc>
        <w:tc>
          <w:tcPr>
            <w:tcW w:w="1275" w:type="dxa"/>
            <w:shd w:val="clear" w:color="auto" w:fill="FFFFFF"/>
            <w:vAlign w:val="center"/>
          </w:tcPr>
          <w:p>
            <w:pPr>
              <w:spacing w:line="276" w:lineRule="auto"/>
              <w:ind w:right="-57" w:rightChars="-27"/>
              <w:jc w:val="center"/>
              <w:rPr>
                <w:rFonts w:ascii="仿宋" w:hAnsi="仿宋" w:eastAsia="仿宋"/>
                <w:color w:val="000000"/>
                <w:sz w:val="20"/>
                <w:szCs w:val="20"/>
              </w:rPr>
            </w:pPr>
            <w:r>
              <w:rPr>
                <w:rFonts w:ascii="仿宋" w:hAnsi="仿宋" w:eastAsia="仿宋"/>
                <w:color w:val="000000"/>
                <w:sz w:val="20"/>
                <w:szCs w:val="20"/>
              </w:rPr>
              <w:t>交货期</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 w:type="dxa"/>
            <w:bottom w:w="0" w:type="dxa"/>
            <w:right w:w="10" w:type="dxa"/>
          </w:tblCellMar>
        </w:tblPrEx>
        <w:trPr>
          <w:trHeight w:val="645" w:hRule="exact"/>
          <w:jc w:val="center"/>
        </w:trPr>
        <w:tc>
          <w:tcPr>
            <w:tcW w:w="1575" w:type="dxa"/>
            <w:shd w:val="clear" w:color="auto" w:fill="FFFFFF"/>
            <w:vAlign w:val="center"/>
          </w:tcPr>
          <w:p>
            <w:pPr>
              <w:spacing w:line="276" w:lineRule="auto"/>
              <w:ind w:right="-57" w:rightChars="-27"/>
              <w:jc w:val="center"/>
              <w:rPr>
                <w:rFonts w:ascii="仿宋" w:hAnsi="仿宋" w:eastAsia="仿宋"/>
                <w:color w:val="000000"/>
                <w:sz w:val="20"/>
                <w:szCs w:val="20"/>
              </w:rPr>
            </w:pPr>
          </w:p>
        </w:tc>
        <w:tc>
          <w:tcPr>
            <w:tcW w:w="1050" w:type="dxa"/>
            <w:shd w:val="clear" w:color="auto" w:fill="FFFFFF"/>
            <w:vAlign w:val="center"/>
          </w:tcPr>
          <w:p>
            <w:pPr>
              <w:spacing w:line="276" w:lineRule="auto"/>
              <w:ind w:right="-57" w:rightChars="-27"/>
              <w:jc w:val="center"/>
              <w:rPr>
                <w:rFonts w:ascii="仿宋" w:hAnsi="仿宋" w:eastAsia="仿宋"/>
                <w:color w:val="000000"/>
                <w:sz w:val="20"/>
                <w:szCs w:val="20"/>
              </w:rPr>
            </w:pPr>
          </w:p>
        </w:tc>
        <w:tc>
          <w:tcPr>
            <w:tcW w:w="720" w:type="dxa"/>
            <w:shd w:val="clear" w:color="auto" w:fill="FFFFFF"/>
            <w:vAlign w:val="center"/>
          </w:tcPr>
          <w:p>
            <w:pPr>
              <w:spacing w:line="276" w:lineRule="auto"/>
              <w:ind w:right="-57" w:rightChars="-27"/>
              <w:jc w:val="center"/>
              <w:rPr>
                <w:rFonts w:ascii="仿宋" w:hAnsi="仿宋" w:eastAsia="仿宋"/>
                <w:color w:val="000000"/>
                <w:sz w:val="20"/>
                <w:szCs w:val="20"/>
              </w:rPr>
            </w:pPr>
          </w:p>
        </w:tc>
        <w:tc>
          <w:tcPr>
            <w:tcW w:w="828" w:type="dxa"/>
            <w:shd w:val="clear" w:color="auto" w:fill="FFFFFF"/>
            <w:vAlign w:val="center"/>
          </w:tcPr>
          <w:p>
            <w:pPr>
              <w:spacing w:line="276" w:lineRule="auto"/>
              <w:ind w:right="-57" w:rightChars="-27"/>
              <w:jc w:val="center"/>
              <w:rPr>
                <w:rFonts w:ascii="仿宋" w:hAnsi="仿宋" w:eastAsia="仿宋"/>
                <w:color w:val="000000"/>
                <w:sz w:val="20"/>
                <w:szCs w:val="20"/>
              </w:rPr>
            </w:pPr>
          </w:p>
        </w:tc>
        <w:tc>
          <w:tcPr>
            <w:tcW w:w="1067" w:type="dxa"/>
            <w:shd w:val="clear" w:color="auto" w:fill="FFFFFF"/>
            <w:vAlign w:val="center"/>
          </w:tcPr>
          <w:p>
            <w:pPr>
              <w:spacing w:line="276" w:lineRule="auto"/>
              <w:ind w:right="-57" w:rightChars="-27"/>
              <w:jc w:val="center"/>
              <w:rPr>
                <w:rFonts w:ascii="仿宋" w:hAnsi="仿宋" w:eastAsia="仿宋"/>
                <w:color w:val="000000"/>
                <w:sz w:val="20"/>
                <w:szCs w:val="20"/>
              </w:rPr>
            </w:pPr>
          </w:p>
        </w:tc>
        <w:tc>
          <w:tcPr>
            <w:tcW w:w="1538" w:type="dxa"/>
            <w:shd w:val="clear" w:color="auto" w:fill="FFFFFF"/>
            <w:vAlign w:val="center"/>
          </w:tcPr>
          <w:p>
            <w:pPr>
              <w:spacing w:line="276" w:lineRule="auto"/>
              <w:ind w:right="-57" w:rightChars="-27"/>
              <w:jc w:val="center"/>
              <w:rPr>
                <w:rFonts w:ascii="仿宋" w:hAnsi="仿宋" w:eastAsia="仿宋"/>
                <w:color w:val="000000"/>
                <w:sz w:val="20"/>
                <w:szCs w:val="20"/>
              </w:rPr>
            </w:pPr>
          </w:p>
        </w:tc>
        <w:tc>
          <w:tcPr>
            <w:tcW w:w="1260" w:type="dxa"/>
            <w:shd w:val="clear" w:color="auto" w:fill="FFFFFF"/>
            <w:vAlign w:val="center"/>
          </w:tcPr>
          <w:p>
            <w:pPr>
              <w:spacing w:line="276" w:lineRule="auto"/>
              <w:ind w:right="-57" w:rightChars="-27"/>
              <w:jc w:val="center"/>
              <w:rPr>
                <w:rFonts w:ascii="仿宋" w:hAnsi="仿宋" w:eastAsia="仿宋"/>
                <w:color w:val="000000"/>
                <w:sz w:val="20"/>
                <w:szCs w:val="20"/>
              </w:rPr>
            </w:pPr>
          </w:p>
        </w:tc>
        <w:tc>
          <w:tcPr>
            <w:tcW w:w="1275" w:type="dxa"/>
            <w:vMerge w:val="restart"/>
            <w:shd w:val="clear" w:color="auto" w:fill="FFFFFF"/>
            <w:vAlign w:val="center"/>
          </w:tcPr>
          <w:p>
            <w:pPr>
              <w:spacing w:line="276" w:lineRule="auto"/>
              <w:ind w:right="94" w:rightChars="45"/>
              <w:jc w:val="center"/>
              <w:rPr>
                <w:rFonts w:ascii="仿宋" w:hAnsi="仿宋" w:eastAsia="仿宋"/>
                <w:color w:val="000000"/>
                <w:sz w:val="20"/>
                <w:szCs w:val="20"/>
              </w:rPr>
            </w:pPr>
            <w:r>
              <w:rPr>
                <w:rFonts w:hint="eastAsia" w:ascii="仿宋" w:hAnsi="仿宋" w:eastAsia="仿宋"/>
                <w:color w:val="000000"/>
                <w:sz w:val="20"/>
                <w:szCs w:val="20"/>
              </w:rPr>
              <w:t>签订合同后3</w:t>
            </w:r>
            <w:r>
              <w:rPr>
                <w:rFonts w:ascii="仿宋" w:hAnsi="仿宋" w:eastAsia="仿宋"/>
                <w:color w:val="000000"/>
                <w:sz w:val="20"/>
                <w:szCs w:val="20"/>
              </w:rPr>
              <w:t>0</w:t>
            </w:r>
            <w:r>
              <w:rPr>
                <w:rFonts w:hint="eastAsia" w:ascii="仿宋" w:hAnsi="仿宋" w:eastAsia="仿宋"/>
                <w:color w:val="000000"/>
                <w:sz w:val="20"/>
                <w:szCs w:val="20"/>
              </w:rPr>
              <w:t>日内</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 w:type="dxa"/>
            <w:bottom w:w="0" w:type="dxa"/>
            <w:right w:w="10" w:type="dxa"/>
          </w:tblCellMar>
        </w:tblPrEx>
        <w:trPr>
          <w:trHeight w:val="675" w:hRule="exact"/>
          <w:jc w:val="center"/>
        </w:trPr>
        <w:tc>
          <w:tcPr>
            <w:tcW w:w="1575" w:type="dxa"/>
            <w:shd w:val="clear" w:color="auto" w:fill="FFFFFF"/>
            <w:vAlign w:val="center"/>
          </w:tcPr>
          <w:p>
            <w:pPr>
              <w:spacing w:line="276" w:lineRule="auto"/>
              <w:ind w:right="-57" w:rightChars="-27"/>
              <w:jc w:val="center"/>
              <w:rPr>
                <w:rFonts w:ascii="仿宋" w:hAnsi="仿宋" w:eastAsia="仿宋"/>
                <w:color w:val="000000"/>
                <w:sz w:val="20"/>
                <w:szCs w:val="20"/>
              </w:rPr>
            </w:pPr>
          </w:p>
        </w:tc>
        <w:tc>
          <w:tcPr>
            <w:tcW w:w="1050" w:type="dxa"/>
            <w:shd w:val="clear" w:color="auto" w:fill="FFFFFF"/>
            <w:vAlign w:val="center"/>
          </w:tcPr>
          <w:p>
            <w:pPr>
              <w:spacing w:line="276" w:lineRule="auto"/>
              <w:ind w:right="-57" w:rightChars="-27"/>
              <w:jc w:val="center"/>
              <w:rPr>
                <w:rFonts w:ascii="仿宋" w:hAnsi="仿宋" w:eastAsia="仿宋"/>
                <w:color w:val="000000"/>
                <w:sz w:val="20"/>
                <w:szCs w:val="20"/>
              </w:rPr>
            </w:pPr>
          </w:p>
        </w:tc>
        <w:tc>
          <w:tcPr>
            <w:tcW w:w="720" w:type="dxa"/>
            <w:shd w:val="clear" w:color="auto" w:fill="FFFFFF"/>
            <w:vAlign w:val="center"/>
          </w:tcPr>
          <w:p>
            <w:pPr>
              <w:spacing w:line="276" w:lineRule="auto"/>
              <w:ind w:right="-57" w:rightChars="-27"/>
              <w:jc w:val="center"/>
              <w:rPr>
                <w:rFonts w:ascii="仿宋" w:hAnsi="仿宋" w:eastAsia="仿宋"/>
                <w:color w:val="000000"/>
                <w:sz w:val="20"/>
                <w:szCs w:val="20"/>
              </w:rPr>
            </w:pPr>
          </w:p>
        </w:tc>
        <w:tc>
          <w:tcPr>
            <w:tcW w:w="828" w:type="dxa"/>
            <w:shd w:val="clear" w:color="auto" w:fill="FFFFFF"/>
            <w:vAlign w:val="center"/>
          </w:tcPr>
          <w:p>
            <w:pPr>
              <w:spacing w:line="276" w:lineRule="auto"/>
              <w:ind w:right="-57" w:rightChars="-27"/>
              <w:jc w:val="center"/>
              <w:rPr>
                <w:rFonts w:ascii="仿宋" w:hAnsi="仿宋" w:eastAsia="仿宋"/>
                <w:color w:val="000000"/>
                <w:sz w:val="20"/>
                <w:szCs w:val="20"/>
              </w:rPr>
            </w:pPr>
          </w:p>
        </w:tc>
        <w:tc>
          <w:tcPr>
            <w:tcW w:w="1067" w:type="dxa"/>
            <w:shd w:val="clear" w:color="auto" w:fill="FFFFFF"/>
            <w:vAlign w:val="center"/>
          </w:tcPr>
          <w:p>
            <w:pPr>
              <w:spacing w:line="276" w:lineRule="auto"/>
              <w:ind w:right="-57" w:rightChars="-27"/>
              <w:jc w:val="center"/>
              <w:rPr>
                <w:rFonts w:ascii="仿宋" w:hAnsi="仿宋" w:eastAsia="仿宋"/>
                <w:color w:val="000000"/>
                <w:sz w:val="20"/>
                <w:szCs w:val="20"/>
              </w:rPr>
            </w:pPr>
          </w:p>
        </w:tc>
        <w:tc>
          <w:tcPr>
            <w:tcW w:w="1538" w:type="dxa"/>
            <w:shd w:val="clear" w:color="auto" w:fill="FFFFFF"/>
            <w:vAlign w:val="center"/>
          </w:tcPr>
          <w:p>
            <w:pPr>
              <w:spacing w:line="276" w:lineRule="auto"/>
              <w:ind w:right="-57" w:rightChars="-27"/>
              <w:jc w:val="center"/>
              <w:rPr>
                <w:rFonts w:ascii="仿宋" w:hAnsi="仿宋" w:eastAsia="仿宋"/>
                <w:color w:val="000000"/>
                <w:sz w:val="20"/>
                <w:szCs w:val="20"/>
              </w:rPr>
            </w:pPr>
          </w:p>
        </w:tc>
        <w:tc>
          <w:tcPr>
            <w:tcW w:w="1260" w:type="dxa"/>
            <w:shd w:val="clear" w:color="auto" w:fill="FFFFFF"/>
            <w:vAlign w:val="center"/>
          </w:tcPr>
          <w:p>
            <w:pPr>
              <w:spacing w:line="276" w:lineRule="auto"/>
              <w:ind w:right="-57" w:rightChars="-27"/>
              <w:jc w:val="center"/>
              <w:rPr>
                <w:rFonts w:ascii="仿宋" w:hAnsi="仿宋" w:eastAsia="仿宋"/>
                <w:color w:val="000000"/>
                <w:sz w:val="20"/>
                <w:szCs w:val="20"/>
              </w:rPr>
            </w:pPr>
          </w:p>
        </w:tc>
        <w:tc>
          <w:tcPr>
            <w:tcW w:w="1275" w:type="dxa"/>
            <w:vMerge w:val="continue"/>
            <w:shd w:val="clear" w:color="auto" w:fill="FFFFFF"/>
            <w:vAlign w:val="center"/>
          </w:tcPr>
          <w:p>
            <w:pPr>
              <w:spacing w:line="276" w:lineRule="auto"/>
              <w:ind w:right="-57" w:rightChars="-27"/>
              <w:jc w:val="center"/>
              <w:rPr>
                <w:rFonts w:ascii="仿宋" w:hAnsi="仿宋" w:eastAsia="仿宋"/>
                <w:color w:val="000000"/>
                <w:sz w:val="20"/>
                <w:szCs w:val="20"/>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 w:type="dxa"/>
            <w:bottom w:w="0" w:type="dxa"/>
            <w:right w:w="10" w:type="dxa"/>
          </w:tblCellMar>
        </w:tblPrEx>
        <w:trPr>
          <w:trHeight w:val="675" w:hRule="exact"/>
          <w:jc w:val="center"/>
        </w:trPr>
        <w:tc>
          <w:tcPr>
            <w:tcW w:w="1575" w:type="dxa"/>
            <w:shd w:val="clear" w:color="auto" w:fill="FFFFFF"/>
            <w:vAlign w:val="center"/>
          </w:tcPr>
          <w:p>
            <w:pPr>
              <w:spacing w:line="276" w:lineRule="auto"/>
              <w:ind w:right="-57" w:rightChars="-27"/>
              <w:jc w:val="center"/>
              <w:rPr>
                <w:rFonts w:ascii="仿宋" w:hAnsi="仿宋" w:eastAsia="仿宋"/>
                <w:color w:val="000000"/>
                <w:sz w:val="20"/>
                <w:szCs w:val="20"/>
              </w:rPr>
            </w:pPr>
          </w:p>
        </w:tc>
        <w:tc>
          <w:tcPr>
            <w:tcW w:w="1050" w:type="dxa"/>
            <w:shd w:val="clear" w:color="auto" w:fill="FFFFFF"/>
            <w:vAlign w:val="center"/>
          </w:tcPr>
          <w:p>
            <w:pPr>
              <w:spacing w:line="276" w:lineRule="auto"/>
              <w:ind w:right="-57" w:rightChars="-27"/>
              <w:jc w:val="center"/>
              <w:rPr>
                <w:rFonts w:ascii="仿宋" w:hAnsi="仿宋" w:eastAsia="仿宋"/>
                <w:color w:val="000000"/>
                <w:sz w:val="20"/>
                <w:szCs w:val="20"/>
              </w:rPr>
            </w:pPr>
          </w:p>
        </w:tc>
        <w:tc>
          <w:tcPr>
            <w:tcW w:w="720" w:type="dxa"/>
            <w:shd w:val="clear" w:color="auto" w:fill="FFFFFF"/>
            <w:vAlign w:val="center"/>
          </w:tcPr>
          <w:p>
            <w:pPr>
              <w:spacing w:line="276" w:lineRule="auto"/>
              <w:ind w:right="-57" w:rightChars="-27"/>
              <w:jc w:val="center"/>
              <w:rPr>
                <w:rFonts w:ascii="仿宋" w:hAnsi="仿宋" w:eastAsia="仿宋"/>
                <w:color w:val="000000"/>
                <w:sz w:val="20"/>
                <w:szCs w:val="20"/>
              </w:rPr>
            </w:pPr>
          </w:p>
        </w:tc>
        <w:tc>
          <w:tcPr>
            <w:tcW w:w="828" w:type="dxa"/>
            <w:shd w:val="clear" w:color="auto" w:fill="FFFFFF"/>
            <w:vAlign w:val="center"/>
          </w:tcPr>
          <w:p>
            <w:pPr>
              <w:spacing w:line="276" w:lineRule="auto"/>
              <w:ind w:right="-57" w:rightChars="-27"/>
              <w:jc w:val="center"/>
              <w:rPr>
                <w:rFonts w:ascii="仿宋" w:hAnsi="仿宋" w:eastAsia="仿宋"/>
                <w:color w:val="000000"/>
                <w:sz w:val="20"/>
                <w:szCs w:val="20"/>
              </w:rPr>
            </w:pPr>
          </w:p>
        </w:tc>
        <w:tc>
          <w:tcPr>
            <w:tcW w:w="1067" w:type="dxa"/>
            <w:shd w:val="clear" w:color="auto" w:fill="FFFFFF"/>
            <w:vAlign w:val="center"/>
          </w:tcPr>
          <w:p>
            <w:pPr>
              <w:spacing w:line="276" w:lineRule="auto"/>
              <w:ind w:right="-57" w:rightChars="-27"/>
              <w:jc w:val="center"/>
              <w:rPr>
                <w:rFonts w:ascii="仿宋" w:hAnsi="仿宋" w:eastAsia="仿宋"/>
                <w:color w:val="000000"/>
                <w:sz w:val="20"/>
                <w:szCs w:val="20"/>
              </w:rPr>
            </w:pPr>
          </w:p>
        </w:tc>
        <w:tc>
          <w:tcPr>
            <w:tcW w:w="1538" w:type="dxa"/>
            <w:shd w:val="clear" w:color="auto" w:fill="FFFFFF"/>
            <w:vAlign w:val="center"/>
          </w:tcPr>
          <w:p>
            <w:pPr>
              <w:spacing w:line="276" w:lineRule="auto"/>
              <w:ind w:right="-57" w:rightChars="-27"/>
              <w:jc w:val="center"/>
              <w:rPr>
                <w:rFonts w:ascii="仿宋" w:hAnsi="仿宋" w:eastAsia="仿宋"/>
                <w:color w:val="000000"/>
                <w:sz w:val="20"/>
                <w:szCs w:val="20"/>
              </w:rPr>
            </w:pPr>
          </w:p>
        </w:tc>
        <w:tc>
          <w:tcPr>
            <w:tcW w:w="1260" w:type="dxa"/>
            <w:shd w:val="clear" w:color="auto" w:fill="FFFFFF"/>
            <w:vAlign w:val="center"/>
          </w:tcPr>
          <w:p>
            <w:pPr>
              <w:spacing w:line="276" w:lineRule="auto"/>
              <w:ind w:right="-57" w:rightChars="-27"/>
              <w:jc w:val="center"/>
              <w:rPr>
                <w:rFonts w:ascii="仿宋" w:hAnsi="仿宋" w:eastAsia="仿宋"/>
                <w:color w:val="000000"/>
                <w:sz w:val="20"/>
                <w:szCs w:val="20"/>
              </w:rPr>
            </w:pPr>
          </w:p>
        </w:tc>
        <w:tc>
          <w:tcPr>
            <w:tcW w:w="1275" w:type="dxa"/>
            <w:vMerge w:val="continue"/>
            <w:shd w:val="clear" w:color="auto" w:fill="FFFFFF"/>
            <w:vAlign w:val="center"/>
          </w:tcPr>
          <w:p>
            <w:pPr>
              <w:spacing w:line="276" w:lineRule="auto"/>
              <w:ind w:right="-57" w:rightChars="-27"/>
              <w:jc w:val="center"/>
              <w:rPr>
                <w:rFonts w:ascii="仿宋" w:hAnsi="仿宋" w:eastAsia="仿宋"/>
                <w:color w:val="000000"/>
                <w:sz w:val="20"/>
                <w:szCs w:val="20"/>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 w:type="dxa"/>
            <w:bottom w:w="0" w:type="dxa"/>
            <w:right w:w="10" w:type="dxa"/>
          </w:tblCellMar>
        </w:tblPrEx>
        <w:trPr>
          <w:trHeight w:val="675" w:hRule="exact"/>
          <w:jc w:val="center"/>
        </w:trPr>
        <w:tc>
          <w:tcPr>
            <w:tcW w:w="1575" w:type="dxa"/>
            <w:shd w:val="clear" w:color="auto" w:fill="FFFFFF"/>
            <w:vAlign w:val="center"/>
          </w:tcPr>
          <w:p>
            <w:pPr>
              <w:spacing w:line="276" w:lineRule="auto"/>
              <w:ind w:right="-57" w:rightChars="-27"/>
              <w:jc w:val="center"/>
              <w:rPr>
                <w:rFonts w:ascii="仿宋" w:hAnsi="仿宋" w:eastAsia="仿宋"/>
                <w:color w:val="000000"/>
                <w:sz w:val="20"/>
                <w:szCs w:val="20"/>
              </w:rPr>
            </w:pPr>
          </w:p>
        </w:tc>
        <w:tc>
          <w:tcPr>
            <w:tcW w:w="1050" w:type="dxa"/>
            <w:shd w:val="clear" w:color="auto" w:fill="FFFFFF"/>
            <w:vAlign w:val="center"/>
          </w:tcPr>
          <w:p>
            <w:pPr>
              <w:spacing w:line="276" w:lineRule="auto"/>
              <w:ind w:right="-57" w:rightChars="-27"/>
              <w:jc w:val="center"/>
              <w:rPr>
                <w:rFonts w:ascii="仿宋" w:hAnsi="仿宋" w:eastAsia="仿宋"/>
                <w:color w:val="000000"/>
                <w:sz w:val="20"/>
                <w:szCs w:val="20"/>
              </w:rPr>
            </w:pPr>
          </w:p>
        </w:tc>
        <w:tc>
          <w:tcPr>
            <w:tcW w:w="720" w:type="dxa"/>
            <w:shd w:val="clear" w:color="auto" w:fill="FFFFFF"/>
            <w:vAlign w:val="center"/>
          </w:tcPr>
          <w:p>
            <w:pPr>
              <w:spacing w:line="276" w:lineRule="auto"/>
              <w:ind w:right="-57" w:rightChars="-27"/>
              <w:jc w:val="center"/>
              <w:rPr>
                <w:rFonts w:ascii="仿宋" w:hAnsi="仿宋" w:eastAsia="仿宋"/>
                <w:color w:val="000000"/>
                <w:sz w:val="20"/>
                <w:szCs w:val="20"/>
              </w:rPr>
            </w:pPr>
          </w:p>
        </w:tc>
        <w:tc>
          <w:tcPr>
            <w:tcW w:w="828" w:type="dxa"/>
            <w:shd w:val="clear" w:color="auto" w:fill="FFFFFF"/>
            <w:vAlign w:val="center"/>
          </w:tcPr>
          <w:p>
            <w:pPr>
              <w:spacing w:line="276" w:lineRule="auto"/>
              <w:ind w:right="-57" w:rightChars="-27"/>
              <w:jc w:val="center"/>
              <w:rPr>
                <w:rFonts w:ascii="仿宋" w:hAnsi="仿宋" w:eastAsia="仿宋"/>
                <w:color w:val="000000"/>
                <w:sz w:val="20"/>
                <w:szCs w:val="20"/>
              </w:rPr>
            </w:pPr>
          </w:p>
        </w:tc>
        <w:tc>
          <w:tcPr>
            <w:tcW w:w="1067" w:type="dxa"/>
            <w:shd w:val="clear" w:color="auto" w:fill="FFFFFF"/>
            <w:vAlign w:val="center"/>
          </w:tcPr>
          <w:p>
            <w:pPr>
              <w:spacing w:line="276" w:lineRule="auto"/>
              <w:ind w:right="-57" w:rightChars="-27"/>
              <w:jc w:val="center"/>
              <w:rPr>
                <w:rFonts w:ascii="仿宋" w:hAnsi="仿宋" w:eastAsia="仿宋"/>
                <w:color w:val="000000"/>
                <w:sz w:val="20"/>
                <w:szCs w:val="20"/>
              </w:rPr>
            </w:pPr>
          </w:p>
        </w:tc>
        <w:tc>
          <w:tcPr>
            <w:tcW w:w="1538" w:type="dxa"/>
            <w:shd w:val="clear" w:color="auto" w:fill="FFFFFF"/>
            <w:vAlign w:val="center"/>
          </w:tcPr>
          <w:p>
            <w:pPr>
              <w:spacing w:line="276" w:lineRule="auto"/>
              <w:ind w:right="-57" w:rightChars="-27"/>
              <w:jc w:val="center"/>
              <w:rPr>
                <w:rFonts w:ascii="仿宋" w:hAnsi="仿宋" w:eastAsia="仿宋"/>
                <w:color w:val="000000"/>
                <w:sz w:val="20"/>
                <w:szCs w:val="20"/>
              </w:rPr>
            </w:pPr>
          </w:p>
        </w:tc>
        <w:tc>
          <w:tcPr>
            <w:tcW w:w="1260" w:type="dxa"/>
            <w:shd w:val="clear" w:color="auto" w:fill="FFFFFF"/>
            <w:vAlign w:val="center"/>
          </w:tcPr>
          <w:p>
            <w:pPr>
              <w:spacing w:line="276" w:lineRule="auto"/>
              <w:ind w:right="-57" w:rightChars="-27"/>
              <w:jc w:val="center"/>
              <w:rPr>
                <w:rFonts w:ascii="仿宋" w:hAnsi="仿宋" w:eastAsia="仿宋"/>
                <w:color w:val="000000"/>
                <w:sz w:val="20"/>
                <w:szCs w:val="20"/>
              </w:rPr>
            </w:pPr>
          </w:p>
        </w:tc>
        <w:tc>
          <w:tcPr>
            <w:tcW w:w="1275" w:type="dxa"/>
            <w:vMerge w:val="continue"/>
            <w:shd w:val="clear" w:color="auto" w:fill="FFFFFF"/>
            <w:vAlign w:val="center"/>
          </w:tcPr>
          <w:p>
            <w:pPr>
              <w:spacing w:line="276" w:lineRule="auto"/>
              <w:ind w:right="-57" w:rightChars="-27"/>
              <w:jc w:val="center"/>
              <w:rPr>
                <w:rFonts w:ascii="仿宋" w:hAnsi="仿宋" w:eastAsia="仿宋"/>
                <w:color w:val="000000"/>
                <w:sz w:val="20"/>
                <w:szCs w:val="20"/>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 w:type="dxa"/>
            <w:bottom w:w="0" w:type="dxa"/>
            <w:right w:w="10" w:type="dxa"/>
          </w:tblCellMar>
        </w:tblPrEx>
        <w:trPr>
          <w:trHeight w:val="675" w:hRule="exact"/>
          <w:jc w:val="center"/>
        </w:trPr>
        <w:tc>
          <w:tcPr>
            <w:tcW w:w="1575" w:type="dxa"/>
            <w:shd w:val="clear" w:color="auto" w:fill="FFFFFF"/>
            <w:vAlign w:val="center"/>
          </w:tcPr>
          <w:p>
            <w:pPr>
              <w:spacing w:line="276" w:lineRule="auto"/>
              <w:ind w:right="-57" w:rightChars="-27"/>
              <w:jc w:val="center"/>
              <w:rPr>
                <w:rFonts w:ascii="仿宋" w:hAnsi="仿宋" w:eastAsia="仿宋"/>
                <w:color w:val="000000"/>
                <w:sz w:val="20"/>
                <w:szCs w:val="20"/>
              </w:rPr>
            </w:pPr>
          </w:p>
        </w:tc>
        <w:tc>
          <w:tcPr>
            <w:tcW w:w="1050" w:type="dxa"/>
            <w:shd w:val="clear" w:color="auto" w:fill="FFFFFF"/>
            <w:vAlign w:val="center"/>
          </w:tcPr>
          <w:p>
            <w:pPr>
              <w:spacing w:line="276" w:lineRule="auto"/>
              <w:ind w:right="-57" w:rightChars="-27"/>
              <w:jc w:val="center"/>
              <w:rPr>
                <w:rFonts w:ascii="仿宋" w:hAnsi="仿宋" w:eastAsia="仿宋"/>
                <w:color w:val="000000"/>
                <w:sz w:val="20"/>
                <w:szCs w:val="20"/>
              </w:rPr>
            </w:pPr>
          </w:p>
        </w:tc>
        <w:tc>
          <w:tcPr>
            <w:tcW w:w="720" w:type="dxa"/>
            <w:shd w:val="clear" w:color="auto" w:fill="FFFFFF"/>
            <w:vAlign w:val="center"/>
          </w:tcPr>
          <w:p>
            <w:pPr>
              <w:spacing w:line="276" w:lineRule="auto"/>
              <w:ind w:right="-57" w:rightChars="-27"/>
              <w:jc w:val="center"/>
              <w:rPr>
                <w:rFonts w:ascii="仿宋" w:hAnsi="仿宋" w:eastAsia="仿宋"/>
                <w:color w:val="000000"/>
                <w:sz w:val="20"/>
                <w:szCs w:val="20"/>
              </w:rPr>
            </w:pPr>
          </w:p>
        </w:tc>
        <w:tc>
          <w:tcPr>
            <w:tcW w:w="828" w:type="dxa"/>
            <w:shd w:val="clear" w:color="auto" w:fill="FFFFFF"/>
            <w:vAlign w:val="center"/>
          </w:tcPr>
          <w:p>
            <w:pPr>
              <w:spacing w:line="276" w:lineRule="auto"/>
              <w:ind w:right="-57" w:rightChars="-27"/>
              <w:jc w:val="center"/>
              <w:rPr>
                <w:rFonts w:ascii="仿宋" w:hAnsi="仿宋" w:eastAsia="仿宋"/>
                <w:color w:val="000000"/>
                <w:sz w:val="20"/>
                <w:szCs w:val="20"/>
              </w:rPr>
            </w:pPr>
          </w:p>
        </w:tc>
        <w:tc>
          <w:tcPr>
            <w:tcW w:w="1067" w:type="dxa"/>
            <w:shd w:val="clear" w:color="auto" w:fill="FFFFFF"/>
            <w:vAlign w:val="center"/>
          </w:tcPr>
          <w:p>
            <w:pPr>
              <w:spacing w:line="276" w:lineRule="auto"/>
              <w:ind w:right="-57" w:rightChars="-27"/>
              <w:jc w:val="center"/>
              <w:rPr>
                <w:rFonts w:ascii="仿宋" w:hAnsi="仿宋" w:eastAsia="仿宋"/>
                <w:color w:val="000000"/>
                <w:sz w:val="20"/>
                <w:szCs w:val="20"/>
              </w:rPr>
            </w:pPr>
          </w:p>
        </w:tc>
        <w:tc>
          <w:tcPr>
            <w:tcW w:w="1538" w:type="dxa"/>
            <w:shd w:val="clear" w:color="auto" w:fill="FFFFFF"/>
            <w:vAlign w:val="center"/>
          </w:tcPr>
          <w:p>
            <w:pPr>
              <w:spacing w:line="276" w:lineRule="auto"/>
              <w:ind w:right="-57" w:rightChars="-27"/>
              <w:jc w:val="center"/>
              <w:rPr>
                <w:rFonts w:ascii="仿宋" w:hAnsi="仿宋" w:eastAsia="仿宋"/>
                <w:color w:val="000000"/>
                <w:sz w:val="20"/>
                <w:szCs w:val="20"/>
              </w:rPr>
            </w:pPr>
          </w:p>
        </w:tc>
        <w:tc>
          <w:tcPr>
            <w:tcW w:w="1260" w:type="dxa"/>
            <w:shd w:val="clear" w:color="auto" w:fill="FFFFFF"/>
            <w:vAlign w:val="center"/>
          </w:tcPr>
          <w:p>
            <w:pPr>
              <w:spacing w:line="276" w:lineRule="auto"/>
              <w:ind w:right="-57" w:rightChars="-27"/>
              <w:jc w:val="center"/>
              <w:rPr>
                <w:rFonts w:ascii="仿宋" w:hAnsi="仿宋" w:eastAsia="仿宋"/>
                <w:color w:val="000000"/>
                <w:sz w:val="20"/>
                <w:szCs w:val="20"/>
              </w:rPr>
            </w:pPr>
          </w:p>
        </w:tc>
        <w:tc>
          <w:tcPr>
            <w:tcW w:w="1275" w:type="dxa"/>
            <w:vMerge w:val="continue"/>
            <w:shd w:val="clear" w:color="auto" w:fill="FFFFFF"/>
            <w:vAlign w:val="center"/>
          </w:tcPr>
          <w:p>
            <w:pPr>
              <w:spacing w:line="276" w:lineRule="auto"/>
              <w:ind w:right="-57" w:rightChars="-27"/>
              <w:jc w:val="center"/>
              <w:rPr>
                <w:rFonts w:ascii="仿宋" w:hAnsi="仿宋" w:eastAsia="仿宋"/>
                <w:color w:val="000000"/>
                <w:sz w:val="20"/>
                <w:szCs w:val="20"/>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 w:type="dxa"/>
            <w:bottom w:w="0" w:type="dxa"/>
            <w:right w:w="10" w:type="dxa"/>
          </w:tblCellMar>
        </w:tblPrEx>
        <w:trPr>
          <w:trHeight w:val="675" w:hRule="exact"/>
          <w:jc w:val="center"/>
        </w:trPr>
        <w:tc>
          <w:tcPr>
            <w:tcW w:w="1575" w:type="dxa"/>
            <w:shd w:val="clear" w:color="auto" w:fill="FFFFFF"/>
            <w:vAlign w:val="center"/>
          </w:tcPr>
          <w:p>
            <w:pPr>
              <w:spacing w:line="276" w:lineRule="auto"/>
              <w:ind w:right="-57" w:rightChars="-27"/>
              <w:jc w:val="center"/>
              <w:rPr>
                <w:rFonts w:ascii="仿宋" w:hAnsi="仿宋" w:eastAsia="仿宋"/>
                <w:color w:val="000000"/>
                <w:sz w:val="20"/>
                <w:szCs w:val="20"/>
              </w:rPr>
            </w:pPr>
          </w:p>
        </w:tc>
        <w:tc>
          <w:tcPr>
            <w:tcW w:w="1050" w:type="dxa"/>
            <w:shd w:val="clear" w:color="auto" w:fill="FFFFFF"/>
            <w:vAlign w:val="center"/>
          </w:tcPr>
          <w:p>
            <w:pPr>
              <w:spacing w:line="276" w:lineRule="auto"/>
              <w:ind w:right="-57" w:rightChars="-27"/>
              <w:jc w:val="center"/>
              <w:rPr>
                <w:rFonts w:ascii="仿宋" w:hAnsi="仿宋" w:eastAsia="仿宋"/>
                <w:color w:val="000000"/>
                <w:sz w:val="20"/>
                <w:szCs w:val="20"/>
              </w:rPr>
            </w:pPr>
          </w:p>
        </w:tc>
        <w:tc>
          <w:tcPr>
            <w:tcW w:w="720" w:type="dxa"/>
            <w:shd w:val="clear" w:color="auto" w:fill="FFFFFF"/>
            <w:vAlign w:val="center"/>
          </w:tcPr>
          <w:p>
            <w:pPr>
              <w:spacing w:line="276" w:lineRule="auto"/>
              <w:ind w:right="-57" w:rightChars="-27"/>
              <w:jc w:val="center"/>
              <w:rPr>
                <w:rFonts w:ascii="仿宋" w:hAnsi="仿宋" w:eastAsia="仿宋"/>
                <w:color w:val="000000"/>
                <w:sz w:val="20"/>
                <w:szCs w:val="20"/>
              </w:rPr>
            </w:pPr>
          </w:p>
        </w:tc>
        <w:tc>
          <w:tcPr>
            <w:tcW w:w="828" w:type="dxa"/>
            <w:shd w:val="clear" w:color="auto" w:fill="FFFFFF"/>
            <w:vAlign w:val="center"/>
          </w:tcPr>
          <w:p>
            <w:pPr>
              <w:spacing w:line="276" w:lineRule="auto"/>
              <w:ind w:right="-57" w:rightChars="-27"/>
              <w:jc w:val="center"/>
              <w:rPr>
                <w:rFonts w:ascii="仿宋" w:hAnsi="仿宋" w:eastAsia="仿宋"/>
                <w:color w:val="000000"/>
                <w:sz w:val="20"/>
                <w:szCs w:val="20"/>
              </w:rPr>
            </w:pPr>
          </w:p>
        </w:tc>
        <w:tc>
          <w:tcPr>
            <w:tcW w:w="1067" w:type="dxa"/>
            <w:shd w:val="clear" w:color="auto" w:fill="FFFFFF"/>
            <w:vAlign w:val="center"/>
          </w:tcPr>
          <w:p>
            <w:pPr>
              <w:spacing w:line="276" w:lineRule="auto"/>
              <w:ind w:right="-57" w:rightChars="-27"/>
              <w:jc w:val="center"/>
              <w:rPr>
                <w:rFonts w:ascii="仿宋" w:hAnsi="仿宋" w:eastAsia="仿宋"/>
                <w:color w:val="000000"/>
                <w:sz w:val="20"/>
                <w:szCs w:val="20"/>
              </w:rPr>
            </w:pPr>
          </w:p>
        </w:tc>
        <w:tc>
          <w:tcPr>
            <w:tcW w:w="1538" w:type="dxa"/>
            <w:shd w:val="clear" w:color="auto" w:fill="FFFFFF"/>
            <w:vAlign w:val="center"/>
          </w:tcPr>
          <w:p>
            <w:pPr>
              <w:spacing w:line="276" w:lineRule="auto"/>
              <w:ind w:right="-57" w:rightChars="-27"/>
              <w:jc w:val="center"/>
              <w:rPr>
                <w:rFonts w:ascii="仿宋" w:hAnsi="仿宋" w:eastAsia="仿宋"/>
                <w:color w:val="000000"/>
                <w:sz w:val="20"/>
                <w:szCs w:val="20"/>
              </w:rPr>
            </w:pPr>
          </w:p>
        </w:tc>
        <w:tc>
          <w:tcPr>
            <w:tcW w:w="1260" w:type="dxa"/>
            <w:shd w:val="clear" w:color="auto" w:fill="FFFFFF"/>
            <w:vAlign w:val="center"/>
          </w:tcPr>
          <w:p>
            <w:pPr>
              <w:spacing w:line="276" w:lineRule="auto"/>
              <w:ind w:right="-57" w:rightChars="-27"/>
              <w:jc w:val="center"/>
              <w:rPr>
                <w:rFonts w:ascii="仿宋" w:hAnsi="仿宋" w:eastAsia="仿宋"/>
                <w:color w:val="000000"/>
                <w:sz w:val="20"/>
                <w:szCs w:val="20"/>
              </w:rPr>
            </w:pPr>
          </w:p>
        </w:tc>
        <w:tc>
          <w:tcPr>
            <w:tcW w:w="1275" w:type="dxa"/>
            <w:vMerge w:val="continue"/>
            <w:shd w:val="clear" w:color="auto" w:fill="FFFFFF"/>
            <w:vAlign w:val="center"/>
          </w:tcPr>
          <w:p>
            <w:pPr>
              <w:spacing w:line="276" w:lineRule="auto"/>
              <w:ind w:right="-57" w:rightChars="-27"/>
              <w:jc w:val="center"/>
              <w:rPr>
                <w:rFonts w:ascii="仿宋" w:hAnsi="仿宋" w:eastAsia="仿宋"/>
                <w:color w:val="000000"/>
                <w:sz w:val="20"/>
                <w:szCs w:val="20"/>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 w:type="dxa"/>
            <w:bottom w:w="0" w:type="dxa"/>
            <w:right w:w="10" w:type="dxa"/>
          </w:tblCellMar>
        </w:tblPrEx>
        <w:trPr>
          <w:trHeight w:val="675" w:hRule="exact"/>
          <w:jc w:val="center"/>
        </w:trPr>
        <w:tc>
          <w:tcPr>
            <w:tcW w:w="5240" w:type="dxa"/>
            <w:gridSpan w:val="5"/>
            <w:shd w:val="clear" w:color="auto" w:fill="FFFFFF"/>
            <w:vAlign w:val="center"/>
          </w:tcPr>
          <w:p>
            <w:pPr>
              <w:spacing w:line="276" w:lineRule="auto"/>
              <w:ind w:right="-57" w:rightChars="-27"/>
              <w:jc w:val="center"/>
              <w:rPr>
                <w:rFonts w:ascii="宋体" w:hAnsi="宋体" w:eastAsia="宋体"/>
              </w:rPr>
            </w:pPr>
            <w:r>
              <w:rPr>
                <w:rFonts w:hint="eastAsia" w:ascii="宋体" w:hAnsi="宋体" w:eastAsia="宋体"/>
              </w:rPr>
              <w:t>合计：大写：</w:t>
            </w:r>
            <w:r>
              <w:rPr>
                <w:rFonts w:ascii="宋体" w:hAnsi="宋体" w:eastAsia="宋体"/>
              </w:rPr>
              <w:t xml:space="preserve"> </w:t>
            </w:r>
          </w:p>
        </w:tc>
        <w:tc>
          <w:tcPr>
            <w:tcW w:w="1538" w:type="dxa"/>
            <w:shd w:val="clear" w:color="auto" w:fill="FFFFFF"/>
            <w:vAlign w:val="center"/>
          </w:tcPr>
          <w:p>
            <w:pPr>
              <w:spacing w:line="276" w:lineRule="auto"/>
              <w:ind w:right="-57" w:rightChars="-27"/>
              <w:jc w:val="center"/>
              <w:rPr>
                <w:rFonts w:ascii="宋体" w:hAnsi="宋体" w:eastAsia="宋体"/>
              </w:rPr>
            </w:pPr>
          </w:p>
        </w:tc>
        <w:tc>
          <w:tcPr>
            <w:tcW w:w="1260" w:type="dxa"/>
            <w:shd w:val="clear" w:color="auto" w:fill="FFFFFF"/>
            <w:vAlign w:val="center"/>
          </w:tcPr>
          <w:p>
            <w:pPr>
              <w:spacing w:line="276" w:lineRule="auto"/>
              <w:ind w:right="-57" w:rightChars="-27"/>
              <w:jc w:val="center"/>
              <w:rPr>
                <w:rFonts w:ascii="宋体" w:hAnsi="宋体" w:eastAsia="宋体"/>
              </w:rPr>
            </w:pPr>
          </w:p>
        </w:tc>
        <w:tc>
          <w:tcPr>
            <w:tcW w:w="1275" w:type="dxa"/>
            <w:shd w:val="clear" w:color="auto" w:fill="FFFFFF"/>
            <w:vAlign w:val="center"/>
          </w:tcPr>
          <w:p>
            <w:pPr>
              <w:spacing w:line="276" w:lineRule="auto"/>
              <w:ind w:right="-57" w:rightChars="-27"/>
              <w:jc w:val="center"/>
              <w:rPr>
                <w:rFonts w:ascii="宋体" w:hAnsi="宋体" w:eastAsia="宋体"/>
              </w:rPr>
            </w:pPr>
          </w:p>
        </w:tc>
      </w:tr>
    </w:tbl>
    <w:p>
      <w:pPr>
        <w:pStyle w:val="232"/>
        <w:shd w:val="clear" w:color="auto" w:fill="auto"/>
        <w:spacing w:after="300" w:line="276" w:lineRule="auto"/>
        <w:ind w:left="240" w:right="-57" w:rightChars="-27" w:firstLine="20"/>
      </w:pPr>
    </w:p>
    <w:p>
      <w:pPr>
        <w:pStyle w:val="23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40" w:lineRule="exact"/>
        <w:ind w:left="0" w:leftChars="0" w:right="-57" w:rightChars="-27"/>
        <w:textAlignment w:val="auto"/>
        <w:outlineLvl w:val="9"/>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二、合同总价</w:t>
      </w:r>
    </w:p>
    <w:p>
      <w:pPr>
        <w:pStyle w:val="232"/>
        <w:keepNext w:val="0"/>
        <w:keepLines w:val="0"/>
        <w:pageBreakBefore w:val="0"/>
        <w:widowControl w:val="0"/>
        <w:shd w:val="clear" w:color="auto" w:fill="auto"/>
        <w:tabs>
          <w:tab w:val="left" w:pos="4775"/>
          <w:tab w:val="left" w:pos="7115"/>
        </w:tabs>
        <w:kinsoku/>
        <w:wordWrap/>
        <w:overflowPunct/>
        <w:topLinePunct w:val="0"/>
        <w:autoSpaceDE/>
        <w:autoSpaceDN/>
        <w:bidi w:val="0"/>
        <w:adjustRightInd/>
        <w:snapToGrid/>
        <w:spacing w:line="440" w:lineRule="exact"/>
        <w:ind w:left="0" w:leftChars="0" w:firstLine="480" w:firstLineChars="200"/>
        <w:jc w:val="both"/>
        <w:textAlignment w:val="auto"/>
        <w:outlineLvl w:val="9"/>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合同总价为人民币大写：**元整，即RMBY**.00元；该合同总价已包括货物设计、材料、制造、包装、运输、安装、调试、检测、验收合格交付使用之前及保修期内保修服务与备用物件等等所有其他有关各项的含稅费用。本合同执行期间合同总价不变，甲方无須另向乙方支付本合同规定之外的其他任何费用。</w:t>
      </w:r>
    </w:p>
    <w:p>
      <w:pPr>
        <w:pStyle w:val="228"/>
        <w:shd w:val="clear" w:color="auto" w:fill="auto"/>
        <w:tabs>
          <w:tab w:val="left" w:pos="760"/>
        </w:tabs>
        <w:spacing w:line="276" w:lineRule="auto"/>
        <w:jc w:val="both"/>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三、质量要求</w:t>
      </w:r>
    </w:p>
    <w:p>
      <w:pPr>
        <w:pStyle w:val="228"/>
        <w:numPr>
          <w:ilvl w:val="0"/>
          <w:numId w:val="0"/>
        </w:numPr>
        <w:shd w:val="clear" w:color="auto" w:fill="auto"/>
        <w:tabs>
          <w:tab w:val="left" w:pos="643"/>
        </w:tabs>
        <w:spacing w:line="276" w:lineRule="auto"/>
        <w:jc w:val="both"/>
        <w:rPr>
          <w:rFonts w:hint="eastAsia" w:ascii="宋体" w:hAnsi="宋体" w:eastAsia="宋体" w:cs="Times New Roman"/>
          <w:kern w:val="2"/>
          <w:sz w:val="28"/>
          <w:szCs w:val="28"/>
          <w:lang w:val="en-US" w:eastAsia="zh-CN" w:bidi="ar-SA"/>
        </w:rPr>
      </w:pPr>
      <w:r>
        <w:rPr>
          <w:rFonts w:hint="eastAsia" w:cs="Times New Roman"/>
          <w:kern w:val="2"/>
          <w:sz w:val="28"/>
          <w:szCs w:val="28"/>
          <w:lang w:val="en-US" w:eastAsia="zh-CN" w:bidi="ar-SA"/>
        </w:rPr>
        <w:t xml:space="preserve">   1、</w:t>
      </w:r>
      <w:r>
        <w:rPr>
          <w:rFonts w:hint="eastAsia" w:ascii="宋体" w:hAnsi="宋体" w:eastAsia="宋体" w:cs="Times New Roman"/>
          <w:kern w:val="2"/>
          <w:sz w:val="28"/>
          <w:szCs w:val="28"/>
          <w:lang w:val="en-US" w:eastAsia="zh-CN" w:bidi="ar-SA"/>
        </w:rPr>
        <w:t>乙方须提供全新的货物（含零部件、配件等），表面无划伤、无碰撞痕迹，且权属清楚，不得侵害他人的知识产权。</w:t>
      </w:r>
    </w:p>
    <w:p>
      <w:pPr>
        <w:pStyle w:val="228"/>
        <w:numPr>
          <w:ilvl w:val="0"/>
          <w:numId w:val="0"/>
        </w:numPr>
        <w:shd w:val="clear" w:color="auto" w:fill="auto"/>
        <w:tabs>
          <w:tab w:val="left" w:pos="643"/>
        </w:tabs>
        <w:spacing w:line="276" w:lineRule="auto"/>
        <w:jc w:val="both"/>
        <w:rPr>
          <w:rFonts w:hint="eastAsia" w:ascii="宋体" w:hAnsi="宋体" w:eastAsia="宋体" w:cs="Times New Roman"/>
          <w:kern w:val="2"/>
          <w:sz w:val="28"/>
          <w:szCs w:val="28"/>
          <w:lang w:val="en-US" w:eastAsia="zh-CN" w:bidi="ar-SA"/>
        </w:rPr>
      </w:pPr>
      <w:r>
        <w:rPr>
          <w:rFonts w:hint="eastAsia" w:cs="Times New Roman"/>
          <w:kern w:val="2"/>
          <w:sz w:val="28"/>
          <w:szCs w:val="28"/>
          <w:lang w:val="en-US" w:eastAsia="zh-CN" w:bidi="ar-SA"/>
        </w:rPr>
        <w:t xml:space="preserve">   2、</w:t>
      </w:r>
      <w:r>
        <w:rPr>
          <w:rFonts w:hint="eastAsia" w:ascii="宋体" w:hAnsi="宋体" w:eastAsia="宋体" w:cs="Times New Roman"/>
          <w:kern w:val="2"/>
          <w:sz w:val="28"/>
          <w:szCs w:val="28"/>
          <w:lang w:val="en-US" w:eastAsia="zh-CN" w:bidi="ar-SA"/>
        </w:rPr>
        <w:t>货物必须符合或优于国家（行业）标准，以及本项目招标文件的质量要求和技术参数指标与出厂标准。</w:t>
      </w:r>
    </w:p>
    <w:p>
      <w:pPr>
        <w:pStyle w:val="228"/>
        <w:numPr>
          <w:ilvl w:val="0"/>
          <w:numId w:val="0"/>
        </w:numPr>
        <w:shd w:val="clear" w:color="auto" w:fill="auto"/>
        <w:tabs>
          <w:tab w:val="left" w:pos="655"/>
        </w:tabs>
        <w:spacing w:line="276" w:lineRule="auto"/>
        <w:rPr>
          <w:rFonts w:hint="eastAsia" w:ascii="宋体" w:hAnsi="宋体" w:eastAsia="宋体" w:cs="Times New Roman"/>
          <w:kern w:val="2"/>
          <w:sz w:val="28"/>
          <w:szCs w:val="28"/>
          <w:lang w:val="en-US" w:eastAsia="zh-CN" w:bidi="ar-SA"/>
        </w:rPr>
      </w:pPr>
      <w:r>
        <w:rPr>
          <w:rFonts w:hint="eastAsia" w:cs="Times New Roman"/>
          <w:kern w:val="2"/>
          <w:sz w:val="28"/>
          <w:szCs w:val="28"/>
          <w:lang w:val="en-US" w:eastAsia="zh-CN" w:bidi="ar-SA"/>
        </w:rPr>
        <w:t xml:space="preserve">   3、</w:t>
      </w:r>
      <w:r>
        <w:rPr>
          <w:rFonts w:hint="eastAsia" w:ascii="宋体" w:hAnsi="宋体" w:eastAsia="宋体" w:cs="Times New Roman"/>
          <w:kern w:val="2"/>
          <w:sz w:val="28"/>
          <w:szCs w:val="28"/>
          <w:lang w:val="en-US" w:eastAsia="zh-CN" w:bidi="ar-SA"/>
        </w:rPr>
        <w:t>货物制造质量出现问题，乙方应负责三包（包修、包換、包退），费用由乙方负担，甲方有权到乙方生产场地检查货物质量和生产进度。</w:t>
      </w:r>
    </w:p>
    <w:p>
      <w:pPr>
        <w:pStyle w:val="228"/>
        <w:numPr>
          <w:ilvl w:val="0"/>
          <w:numId w:val="0"/>
        </w:numPr>
        <w:shd w:val="clear" w:color="auto" w:fill="auto"/>
        <w:tabs>
          <w:tab w:val="left" w:pos="655"/>
        </w:tabs>
        <w:spacing w:line="276" w:lineRule="auto"/>
        <w:jc w:val="both"/>
        <w:rPr>
          <w:rFonts w:hint="eastAsia" w:ascii="宋体" w:hAnsi="宋体" w:eastAsia="宋体" w:cs="Times New Roman"/>
          <w:kern w:val="2"/>
          <w:sz w:val="28"/>
          <w:szCs w:val="28"/>
          <w:lang w:val="en-US" w:eastAsia="zh-CN" w:bidi="ar-SA"/>
        </w:rPr>
      </w:pPr>
      <w:r>
        <w:rPr>
          <w:rFonts w:hint="eastAsia" w:cs="Times New Roman"/>
          <w:kern w:val="2"/>
          <w:sz w:val="28"/>
          <w:szCs w:val="28"/>
          <w:lang w:val="en-US" w:eastAsia="zh-CN" w:bidi="ar-SA"/>
        </w:rPr>
        <w:t xml:space="preserve">   4、</w:t>
      </w:r>
      <w:r>
        <w:rPr>
          <w:rFonts w:hint="eastAsia" w:ascii="宋体" w:hAnsi="宋体" w:eastAsia="宋体" w:cs="Times New Roman"/>
          <w:kern w:val="2"/>
          <w:sz w:val="28"/>
          <w:szCs w:val="28"/>
          <w:lang w:val="en-US" w:eastAsia="zh-CN" w:bidi="ar-SA"/>
        </w:rPr>
        <w:t>货到现场后由于甲方保管不当造成的质量问题，乙方亦应负责修理，但费用由甲方负担。</w:t>
      </w:r>
    </w:p>
    <w:p>
      <w:pPr>
        <w:pStyle w:val="228"/>
        <w:shd w:val="clear" w:color="auto" w:fill="auto"/>
        <w:tabs>
          <w:tab w:val="left" w:pos="760"/>
        </w:tabs>
        <w:spacing w:line="276" w:lineRule="auto"/>
        <w:ind w:left="0" w:leftChars="0" w:firstLine="0" w:firstLineChars="0"/>
        <w:jc w:val="both"/>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四、交货及验收</w:t>
      </w:r>
    </w:p>
    <w:p>
      <w:pPr>
        <w:pStyle w:val="228"/>
        <w:shd w:val="clear" w:color="auto" w:fill="auto"/>
        <w:tabs>
          <w:tab w:val="left" w:pos="760"/>
        </w:tabs>
        <w:spacing w:line="276" w:lineRule="auto"/>
        <w:jc w:val="both"/>
        <w:rPr>
          <w:rFonts w:hint="eastAsia" w:cs="Times New Roman"/>
          <w:kern w:val="2"/>
          <w:sz w:val="28"/>
          <w:szCs w:val="28"/>
          <w:lang w:val="en-US" w:eastAsia="zh-CN" w:bidi="ar-SA"/>
        </w:rPr>
      </w:pPr>
      <w:r>
        <w:rPr>
          <w:rFonts w:hint="eastAsia" w:cs="Times New Roman"/>
          <w:kern w:val="2"/>
          <w:sz w:val="28"/>
          <w:szCs w:val="28"/>
          <w:lang w:val="en-US" w:eastAsia="zh-CN" w:bidi="ar-SA"/>
        </w:rPr>
        <w:t xml:space="preserve">   1、</w:t>
      </w:r>
      <w:r>
        <w:rPr>
          <w:rFonts w:hint="eastAsia" w:ascii="宋体" w:hAnsi="宋体" w:eastAsia="宋体" w:cs="Times New Roman"/>
          <w:kern w:val="2"/>
          <w:sz w:val="28"/>
          <w:szCs w:val="28"/>
          <w:lang w:val="en-US" w:eastAsia="zh-CN" w:bidi="ar-SA"/>
        </w:rPr>
        <w:t>乙方交货期限为合同签订生效后的30日内</w:t>
      </w:r>
      <w:r>
        <w:rPr>
          <w:rFonts w:hint="eastAsia" w:cs="Times New Roman"/>
          <w:kern w:val="2"/>
          <w:sz w:val="28"/>
          <w:szCs w:val="28"/>
          <w:lang w:val="en-US" w:eastAsia="zh-CN" w:bidi="ar-SA"/>
        </w:rPr>
        <w:t>。</w:t>
      </w:r>
    </w:p>
    <w:p>
      <w:pPr>
        <w:pStyle w:val="228"/>
        <w:shd w:val="clear" w:color="auto" w:fill="auto"/>
        <w:tabs>
          <w:tab w:val="left" w:pos="760"/>
        </w:tabs>
        <w:spacing w:line="276" w:lineRule="auto"/>
        <w:jc w:val="both"/>
        <w:rPr>
          <w:rFonts w:hint="eastAsia" w:ascii="宋体" w:hAnsi="宋体" w:eastAsia="宋体" w:cs="Times New Roman"/>
          <w:kern w:val="2"/>
          <w:sz w:val="28"/>
          <w:szCs w:val="28"/>
          <w:lang w:val="en-US" w:eastAsia="zh-CN" w:bidi="ar-SA"/>
        </w:rPr>
      </w:pPr>
      <w:r>
        <w:rPr>
          <w:rFonts w:hint="eastAsia" w:cs="Times New Roman"/>
          <w:kern w:val="2"/>
          <w:sz w:val="28"/>
          <w:szCs w:val="28"/>
          <w:lang w:val="en-US" w:eastAsia="zh-CN" w:bidi="ar-SA"/>
        </w:rPr>
        <w:t xml:space="preserve">   2、</w:t>
      </w:r>
      <w:r>
        <w:rPr>
          <w:rFonts w:hint="eastAsia" w:ascii="宋体" w:hAnsi="宋体" w:eastAsia="宋体" w:cs="Times New Roman"/>
          <w:kern w:val="2"/>
          <w:sz w:val="28"/>
          <w:szCs w:val="28"/>
          <w:lang w:val="en-US" w:eastAsia="zh-CN" w:bidi="ar-SA"/>
        </w:rPr>
        <w:t>验收由甲方组织，乙方配合进行：</w:t>
      </w:r>
    </w:p>
    <w:p>
      <w:pPr>
        <w:pStyle w:val="228"/>
        <w:shd w:val="clear" w:color="auto" w:fill="auto"/>
        <w:tabs>
          <w:tab w:val="left" w:pos="760"/>
        </w:tabs>
        <w:spacing w:line="276" w:lineRule="auto"/>
        <w:jc w:val="both"/>
        <w:rPr>
          <w:rFonts w:hint="eastAsia" w:ascii="宋体" w:hAnsi="宋体" w:eastAsia="宋体" w:cs="Times New Roman"/>
          <w:kern w:val="2"/>
          <w:sz w:val="28"/>
          <w:szCs w:val="28"/>
          <w:lang w:val="en-US" w:eastAsia="zh-CN" w:bidi="ar-SA"/>
        </w:rPr>
      </w:pPr>
      <w:r>
        <w:rPr>
          <w:rFonts w:hint="eastAsia" w:cs="Times New Roman"/>
          <w:kern w:val="2"/>
          <w:sz w:val="28"/>
          <w:szCs w:val="28"/>
          <w:lang w:val="en-US" w:eastAsia="zh-CN" w:bidi="ar-SA"/>
        </w:rPr>
        <w:t xml:space="preserve">   </w:t>
      </w:r>
      <w:r>
        <w:rPr>
          <w:rFonts w:hint="eastAsia" w:ascii="宋体" w:hAnsi="宋体" w:eastAsia="宋体" w:cs="Times New Roman"/>
          <w:kern w:val="2"/>
          <w:sz w:val="28"/>
          <w:szCs w:val="28"/>
          <w:lang w:val="en-US" w:eastAsia="zh-CN" w:bidi="ar-SA"/>
        </w:rPr>
        <w:t>（1）安装完成后进行72小时调试，调试正常后30日内组织验收，经双方进行试运行，且先培训采购人（具体操作人）现场操作。</w:t>
      </w:r>
    </w:p>
    <w:p>
      <w:pPr>
        <w:pStyle w:val="228"/>
        <w:shd w:val="clear" w:color="auto" w:fill="auto"/>
        <w:tabs>
          <w:tab w:val="left" w:pos="760"/>
        </w:tabs>
        <w:spacing w:line="276" w:lineRule="auto"/>
        <w:jc w:val="both"/>
        <w:rPr>
          <w:rFonts w:hint="eastAsia" w:ascii="宋体" w:hAnsi="宋体" w:eastAsia="宋体" w:cs="Times New Roman"/>
          <w:color w:val="auto"/>
          <w:kern w:val="2"/>
          <w:sz w:val="28"/>
          <w:szCs w:val="28"/>
          <w:lang w:val="en-US" w:eastAsia="zh-CN" w:bidi="ar-SA"/>
        </w:rPr>
      </w:pPr>
      <w:r>
        <w:rPr>
          <w:rFonts w:hint="eastAsia" w:cs="Times New Roman"/>
          <w:kern w:val="2"/>
          <w:sz w:val="28"/>
          <w:szCs w:val="28"/>
          <w:lang w:val="en-US" w:eastAsia="zh-CN" w:bidi="ar-SA"/>
        </w:rPr>
        <w:t xml:space="preserve">   （2）</w:t>
      </w:r>
      <w:r>
        <w:rPr>
          <w:rFonts w:hint="eastAsia" w:ascii="宋体" w:hAnsi="宋体" w:eastAsia="宋体" w:cs="Times New Roman"/>
          <w:kern w:val="2"/>
          <w:sz w:val="28"/>
          <w:szCs w:val="28"/>
          <w:lang w:val="en-US" w:eastAsia="zh-CN" w:bidi="ar-SA"/>
        </w:rPr>
        <w:t>验收标准：按国家有关规定以及甲方招标文件的质量要求和技术指标、乙方的响应文件及承诺与本合同约定标准进行验收；</w:t>
      </w:r>
      <w:r>
        <w:rPr>
          <w:rFonts w:hint="eastAsia" w:ascii="宋体" w:hAnsi="宋体" w:eastAsia="宋体" w:cs="Times New Roman"/>
          <w:color w:val="auto"/>
          <w:kern w:val="2"/>
          <w:sz w:val="28"/>
          <w:szCs w:val="28"/>
          <w:lang w:val="en-US" w:eastAsia="zh-CN" w:bidi="ar-SA"/>
        </w:rPr>
        <w:t>甲乙双方如对质量要求和技术指标的约定标准有相互抵触或异议的事项，由甲方在招标与响应文件中按质量要求和技术指标比较优胜的原则确定该项的约定标准进行验收；</w:t>
      </w:r>
    </w:p>
    <w:p>
      <w:pPr>
        <w:pStyle w:val="228"/>
        <w:shd w:val="clear" w:color="auto" w:fill="auto"/>
        <w:tabs>
          <w:tab w:val="left" w:pos="760"/>
        </w:tabs>
        <w:spacing w:line="276" w:lineRule="auto"/>
        <w:jc w:val="both"/>
        <w:rPr>
          <w:rFonts w:hint="eastAsia" w:ascii="宋体" w:hAnsi="宋体" w:eastAsia="宋体" w:cs="Times New Roman"/>
          <w:kern w:val="2"/>
          <w:sz w:val="28"/>
          <w:szCs w:val="28"/>
          <w:lang w:val="en-US" w:eastAsia="zh-CN" w:bidi="ar-SA"/>
        </w:rPr>
      </w:pPr>
      <w:r>
        <w:rPr>
          <w:rFonts w:hint="eastAsia" w:cs="Times New Roman"/>
          <w:kern w:val="2"/>
          <w:sz w:val="28"/>
          <w:szCs w:val="28"/>
          <w:lang w:val="en-US" w:eastAsia="zh-CN" w:bidi="ar-SA"/>
        </w:rPr>
        <w:t xml:space="preserve">   （3）</w:t>
      </w:r>
      <w:r>
        <w:rPr>
          <w:rFonts w:hint="eastAsia" w:ascii="宋体" w:hAnsi="宋体" w:eastAsia="宋体" w:cs="Times New Roman"/>
          <w:kern w:val="2"/>
          <w:sz w:val="28"/>
          <w:szCs w:val="28"/>
          <w:lang w:val="en-US" w:eastAsia="zh-CN" w:bidi="ar-SA"/>
        </w:rPr>
        <w:t>验收时如发现所交付的货物有短装，次品、损坏或其它不符合标准及本合同规定之情形者，甲方应做出详尽的现场记录，或由甲乙双方签署备忘录，此现场记录或备忘录可用作补充、缺失和更换损坏部件的有效证椐，由此产生的时间延误与有关费用由乙方承担，验收期限相应顺延；</w:t>
      </w:r>
    </w:p>
    <w:p>
      <w:pPr>
        <w:pStyle w:val="228"/>
        <w:shd w:val="clear" w:color="auto" w:fill="auto"/>
        <w:tabs>
          <w:tab w:val="left" w:pos="760"/>
        </w:tabs>
        <w:spacing w:line="276" w:lineRule="auto"/>
        <w:jc w:val="both"/>
        <w:rPr>
          <w:rFonts w:hint="eastAsia" w:ascii="宋体" w:hAnsi="宋体" w:eastAsia="宋体" w:cs="Times New Roman"/>
          <w:kern w:val="2"/>
          <w:sz w:val="28"/>
          <w:szCs w:val="28"/>
          <w:lang w:val="en-US" w:eastAsia="zh-CN" w:bidi="ar-SA"/>
        </w:rPr>
      </w:pPr>
      <w:r>
        <w:rPr>
          <w:rFonts w:hint="eastAsia" w:cs="Times New Roman"/>
          <w:kern w:val="2"/>
          <w:sz w:val="28"/>
          <w:szCs w:val="28"/>
          <w:lang w:val="en-US" w:eastAsia="zh-CN" w:bidi="ar-SA"/>
        </w:rPr>
        <w:t xml:space="preserve">   （4）</w:t>
      </w:r>
      <w:r>
        <w:rPr>
          <w:rFonts w:hint="eastAsia" w:ascii="宋体" w:hAnsi="宋体" w:eastAsia="宋体" w:cs="Times New Roman"/>
          <w:kern w:val="2"/>
          <w:sz w:val="28"/>
          <w:szCs w:val="28"/>
          <w:lang w:val="en-US" w:eastAsia="zh-CN" w:bidi="ar-SA"/>
        </w:rPr>
        <w:t>如质量验收合格，双方签署质量验收报告。</w:t>
      </w:r>
    </w:p>
    <w:p>
      <w:pPr>
        <w:pStyle w:val="228"/>
        <w:shd w:val="clear" w:color="auto" w:fill="auto"/>
        <w:tabs>
          <w:tab w:val="left" w:pos="760"/>
        </w:tabs>
        <w:spacing w:line="276" w:lineRule="auto"/>
        <w:jc w:val="both"/>
        <w:rPr>
          <w:rFonts w:hint="eastAsia" w:ascii="宋体" w:hAnsi="宋体" w:eastAsia="宋体" w:cs="Times New Roman"/>
          <w:kern w:val="2"/>
          <w:sz w:val="28"/>
          <w:szCs w:val="28"/>
          <w:lang w:val="en-US" w:eastAsia="zh-CN" w:bidi="ar-SA"/>
        </w:rPr>
      </w:pPr>
      <w:r>
        <w:rPr>
          <w:rFonts w:hint="eastAsia" w:cs="Times New Roman"/>
          <w:kern w:val="2"/>
          <w:sz w:val="28"/>
          <w:szCs w:val="28"/>
          <w:lang w:val="en-US" w:eastAsia="zh-CN" w:bidi="ar-SA"/>
        </w:rPr>
        <w:t xml:space="preserve">  3、</w:t>
      </w:r>
      <w:r>
        <w:rPr>
          <w:rFonts w:hint="eastAsia" w:ascii="宋体" w:hAnsi="宋体" w:eastAsia="宋体" w:cs="Times New Roman"/>
          <w:kern w:val="2"/>
          <w:sz w:val="28"/>
          <w:szCs w:val="28"/>
          <w:lang w:val="en-US" w:eastAsia="zh-CN" w:bidi="ar-SA"/>
        </w:rPr>
        <w:t>货物安装完成后 30 日内，甲方无故不进行验收工作并已使用货物的，视同已安装调试完成并验收合格。</w:t>
      </w:r>
    </w:p>
    <w:p>
      <w:pPr>
        <w:pStyle w:val="228"/>
        <w:shd w:val="clear" w:color="auto" w:fill="auto"/>
        <w:tabs>
          <w:tab w:val="left" w:pos="760"/>
        </w:tabs>
        <w:spacing w:line="276" w:lineRule="auto"/>
        <w:jc w:val="both"/>
        <w:rPr>
          <w:rFonts w:hint="eastAsia" w:ascii="宋体" w:hAnsi="宋体" w:eastAsia="宋体" w:cs="Times New Roman"/>
          <w:kern w:val="2"/>
          <w:sz w:val="28"/>
          <w:szCs w:val="28"/>
          <w:lang w:val="en-US" w:eastAsia="zh-CN" w:bidi="ar-SA"/>
        </w:rPr>
      </w:pPr>
      <w:r>
        <w:rPr>
          <w:rFonts w:hint="eastAsia" w:cs="Times New Roman"/>
          <w:kern w:val="2"/>
          <w:sz w:val="28"/>
          <w:szCs w:val="28"/>
          <w:lang w:val="en-US" w:eastAsia="zh-CN" w:bidi="ar-SA"/>
        </w:rPr>
        <w:t xml:space="preserve">  4、</w:t>
      </w:r>
      <w:r>
        <w:rPr>
          <w:rFonts w:hint="eastAsia" w:ascii="宋体" w:hAnsi="宋体" w:eastAsia="宋体" w:cs="Times New Roman"/>
          <w:kern w:val="2"/>
          <w:sz w:val="28"/>
          <w:szCs w:val="28"/>
          <w:lang w:val="en-US" w:eastAsia="zh-CN" w:bidi="ar-SA"/>
        </w:rPr>
        <w:t>如货物经乙方3次维修仍不能达到合同约定的质量标准，甲方有权退货，并视作乙方不能交付货物而须支付违约赔偿金给甲方，甲方还可依法追究乙方的违约责任。</w:t>
      </w:r>
    </w:p>
    <w:p>
      <w:pPr>
        <w:pStyle w:val="228"/>
        <w:shd w:val="clear" w:color="auto" w:fill="auto"/>
        <w:tabs>
          <w:tab w:val="left" w:pos="760"/>
        </w:tabs>
        <w:spacing w:line="276" w:lineRule="auto"/>
        <w:ind w:left="0" w:leftChars="0" w:firstLine="0" w:firstLineChars="0"/>
        <w:jc w:val="both"/>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五、付款方式</w:t>
      </w:r>
    </w:p>
    <w:p>
      <w:pPr>
        <w:rPr>
          <w:rFonts w:ascii="仿宋_GB2312" w:hAnsi="仿宋_GB2312" w:eastAsia="仿宋_GB2312" w:cs="仿宋_GB2312"/>
          <w:sz w:val="32"/>
          <w:szCs w:val="32"/>
        </w:rPr>
      </w:pPr>
      <w:r>
        <w:rPr>
          <w:rFonts w:hint="eastAsia" w:cs="Times New Roman"/>
          <w:kern w:val="2"/>
          <w:sz w:val="28"/>
          <w:szCs w:val="28"/>
          <w:lang w:val="en-US" w:eastAsia="zh-CN" w:bidi="ar-SA"/>
        </w:rPr>
        <w:t xml:space="preserve"> </w:t>
      </w:r>
      <w:r>
        <w:rPr>
          <w:rFonts w:hint="eastAsia" w:ascii="宋体" w:hAnsi="宋体" w:eastAsia="宋体" w:cs="Times New Roman"/>
          <w:kern w:val="2"/>
          <w:sz w:val="28"/>
          <w:szCs w:val="28"/>
          <w:lang w:val="en-US" w:eastAsia="zh-CN" w:bidi="ar-SA"/>
        </w:rPr>
        <w:t xml:space="preserve">  施工完成，经调试，验收完成后，完备所有资料，开具相应发票；校方收到发票后30日内支付采购相应资金，逾期按采购资金的0.3%支付违约金。</w:t>
      </w:r>
    </w:p>
    <w:p>
      <w:pPr>
        <w:pStyle w:val="228"/>
        <w:shd w:val="clear" w:color="auto" w:fill="auto"/>
        <w:tabs>
          <w:tab w:val="left" w:pos="760"/>
        </w:tabs>
        <w:spacing w:line="276" w:lineRule="auto"/>
        <w:ind w:left="0" w:leftChars="0" w:firstLine="0" w:firstLineChars="0"/>
        <w:jc w:val="both"/>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六、</w:t>
      </w:r>
      <w:r>
        <w:rPr>
          <w:rFonts w:hint="eastAsia" w:ascii="宋体" w:hAnsi="宋体" w:eastAsia="宋体" w:cs="Times New Roman"/>
          <w:kern w:val="2"/>
          <w:sz w:val="28"/>
          <w:szCs w:val="28"/>
          <w:lang w:val="en-US" w:eastAsia="zh-CN" w:bidi="ar-SA"/>
        </w:rPr>
        <w:tab/>
      </w:r>
      <w:r>
        <w:rPr>
          <w:rFonts w:hint="eastAsia" w:ascii="宋体" w:hAnsi="宋体" w:eastAsia="宋体" w:cs="Times New Roman"/>
          <w:kern w:val="2"/>
          <w:sz w:val="28"/>
          <w:szCs w:val="28"/>
          <w:lang w:val="en-US" w:eastAsia="zh-CN" w:bidi="ar-SA"/>
        </w:rPr>
        <w:t>售后服务</w:t>
      </w:r>
    </w:p>
    <w:p>
      <w:pPr>
        <w:pStyle w:val="228"/>
        <w:shd w:val="clear" w:color="auto" w:fill="auto"/>
        <w:tabs>
          <w:tab w:val="left" w:pos="760"/>
        </w:tabs>
        <w:spacing w:line="276" w:lineRule="auto"/>
        <w:jc w:val="both"/>
        <w:rPr>
          <w:rFonts w:hint="eastAsia" w:ascii="宋体" w:hAnsi="宋体" w:eastAsia="宋体" w:cs="Times New Roman"/>
          <w:kern w:val="2"/>
          <w:sz w:val="28"/>
          <w:szCs w:val="28"/>
          <w:lang w:val="en-US" w:eastAsia="zh-CN" w:bidi="ar-SA"/>
        </w:rPr>
      </w:pPr>
      <w:r>
        <w:rPr>
          <w:rFonts w:hint="eastAsia" w:cs="Times New Roman"/>
          <w:kern w:val="2"/>
          <w:sz w:val="28"/>
          <w:szCs w:val="28"/>
          <w:lang w:val="en-US" w:eastAsia="zh-CN" w:bidi="ar-SA"/>
        </w:rPr>
        <w:t xml:space="preserve">   </w:t>
      </w:r>
      <w:r>
        <w:rPr>
          <w:rFonts w:hint="eastAsia" w:ascii="宋体" w:hAnsi="宋体" w:eastAsia="宋体" w:cs="Times New Roman"/>
          <w:kern w:val="2"/>
          <w:sz w:val="28"/>
          <w:szCs w:val="28"/>
          <w:lang w:val="en-US" w:eastAsia="zh-CN" w:bidi="ar-SA"/>
        </w:rPr>
        <w:t>质保期为验收合格后3年</w:t>
      </w:r>
      <w:r>
        <w:rPr>
          <w:rFonts w:hint="eastAsia" w:cs="Times New Roman"/>
          <w:kern w:val="2"/>
          <w:sz w:val="28"/>
          <w:szCs w:val="28"/>
          <w:lang w:val="en-US" w:eastAsia="zh-CN" w:bidi="ar-SA"/>
        </w:rPr>
        <w:t>。</w:t>
      </w:r>
      <w:r>
        <w:rPr>
          <w:rFonts w:hint="eastAsia" w:ascii="宋体" w:hAnsi="宋体" w:eastAsia="宋体" w:cs="Times New Roman"/>
          <w:kern w:val="2"/>
          <w:sz w:val="28"/>
          <w:szCs w:val="28"/>
          <w:lang w:val="en-US" w:eastAsia="zh-CN" w:bidi="ar-SA"/>
        </w:rPr>
        <w:t>质保期内提供7*24小时的售后服务</w:t>
      </w:r>
      <w:r>
        <w:rPr>
          <w:rFonts w:hint="eastAsia" w:cs="Times New Roman"/>
          <w:kern w:val="2"/>
          <w:sz w:val="28"/>
          <w:szCs w:val="28"/>
          <w:lang w:val="en-US" w:eastAsia="zh-CN" w:bidi="ar-SA"/>
        </w:rPr>
        <w:t>；</w:t>
      </w:r>
      <w:r>
        <w:rPr>
          <w:rFonts w:hint="eastAsia" w:ascii="宋体" w:hAnsi="宋体" w:eastAsia="宋体" w:cs="Times New Roman"/>
          <w:kern w:val="2"/>
          <w:sz w:val="28"/>
          <w:szCs w:val="28"/>
          <w:lang w:val="en-US" w:eastAsia="zh-CN" w:bidi="ar-SA"/>
        </w:rPr>
        <w:t>质保期内出现质量问题，乙方在接到通知后2 小时内响应到场，48小时内完成维修或更换，并承担修理调換的费用；如48小时内无法修复的，保修期内自动更换新产品或免费提供代用产品。乙方成立专项小组，定期对系统进行维护，检修。并指派专人负责与甲方联系售后服务事宜。</w:t>
      </w:r>
    </w:p>
    <w:p>
      <w:pPr>
        <w:pStyle w:val="23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40" w:lineRule="exact"/>
        <w:ind w:right="-57" w:rightChars="-27"/>
        <w:textAlignment w:val="auto"/>
        <w:outlineLvl w:val="9"/>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七、违约责任</w:t>
      </w:r>
    </w:p>
    <w:p>
      <w:pPr>
        <w:pStyle w:val="228"/>
        <w:keepNext w:val="0"/>
        <w:keepLines w:val="0"/>
        <w:pageBreakBefore w:val="0"/>
        <w:widowControl w:val="0"/>
        <w:numPr>
          <w:ilvl w:val="0"/>
          <w:numId w:val="0"/>
        </w:numPr>
        <w:shd w:val="clear" w:color="auto" w:fill="auto"/>
        <w:tabs>
          <w:tab w:val="left" w:pos="686"/>
        </w:tabs>
        <w:kinsoku/>
        <w:wordWrap/>
        <w:overflowPunct/>
        <w:topLinePunct w:val="0"/>
        <w:autoSpaceDE/>
        <w:autoSpaceDN/>
        <w:bidi w:val="0"/>
        <w:adjustRightInd/>
        <w:snapToGrid/>
        <w:spacing w:line="440" w:lineRule="exact"/>
        <w:ind w:leftChars="200"/>
        <w:jc w:val="both"/>
        <w:textAlignment w:val="auto"/>
        <w:outlineLvl w:val="9"/>
        <w:rPr>
          <w:rFonts w:hint="eastAsia" w:ascii="宋体" w:hAnsi="宋体" w:eastAsia="宋体" w:cs="Times New Roman"/>
          <w:kern w:val="2"/>
          <w:sz w:val="28"/>
          <w:szCs w:val="28"/>
          <w:lang w:val="en-US" w:eastAsia="zh-CN" w:bidi="ar-SA"/>
        </w:rPr>
      </w:pPr>
      <w:r>
        <w:rPr>
          <w:rFonts w:hint="eastAsia" w:cs="Times New Roman"/>
          <w:kern w:val="2"/>
          <w:sz w:val="28"/>
          <w:szCs w:val="28"/>
          <w:lang w:val="en-US" w:eastAsia="zh-CN" w:bidi="ar-SA"/>
        </w:rPr>
        <w:t>1、</w:t>
      </w:r>
      <w:r>
        <w:rPr>
          <w:rFonts w:hint="eastAsia" w:ascii="宋体" w:hAnsi="宋体" w:eastAsia="宋体" w:cs="Times New Roman"/>
          <w:kern w:val="2"/>
          <w:sz w:val="28"/>
          <w:szCs w:val="28"/>
          <w:lang w:val="en-US" w:eastAsia="zh-CN" w:bidi="ar-SA"/>
        </w:rPr>
        <w:t>甲方违约责任</w:t>
      </w:r>
    </w:p>
    <w:p>
      <w:pPr>
        <w:pStyle w:val="228"/>
        <w:keepNext w:val="0"/>
        <w:keepLines w:val="0"/>
        <w:pageBreakBefore w:val="0"/>
        <w:widowControl w:val="0"/>
        <w:shd w:val="clear" w:color="auto" w:fill="auto"/>
        <w:tabs>
          <w:tab w:val="left" w:pos="984"/>
        </w:tabs>
        <w:kinsoku/>
        <w:wordWrap/>
        <w:overflowPunct/>
        <w:topLinePunct w:val="0"/>
        <w:autoSpaceDE/>
        <w:autoSpaceDN/>
        <w:bidi w:val="0"/>
        <w:adjustRightInd/>
        <w:snapToGrid/>
        <w:spacing w:line="440" w:lineRule="exact"/>
        <w:jc w:val="both"/>
        <w:textAlignment w:val="auto"/>
        <w:outlineLvl w:val="9"/>
        <w:rPr>
          <w:rFonts w:hint="eastAsia" w:ascii="宋体" w:hAnsi="宋体" w:eastAsia="宋体" w:cs="Times New Roman"/>
          <w:kern w:val="2"/>
          <w:sz w:val="28"/>
          <w:szCs w:val="28"/>
          <w:lang w:val="en-US" w:eastAsia="zh-CN" w:bidi="ar-SA"/>
        </w:rPr>
      </w:pPr>
      <w:r>
        <w:rPr>
          <w:rFonts w:hint="eastAsia" w:cs="Times New Roman"/>
          <w:kern w:val="2"/>
          <w:sz w:val="28"/>
          <w:szCs w:val="28"/>
          <w:lang w:val="en-US" w:eastAsia="zh-CN" w:bidi="ar-SA"/>
        </w:rPr>
        <w:t xml:space="preserve">  </w:t>
      </w:r>
      <w:r>
        <w:rPr>
          <w:rFonts w:hint="eastAsia" w:ascii="宋体" w:hAnsi="宋体" w:eastAsia="宋体" w:cs="Times New Roman"/>
          <w:kern w:val="2"/>
          <w:sz w:val="28"/>
          <w:szCs w:val="28"/>
          <w:lang w:val="en-US" w:eastAsia="zh-CN" w:bidi="ar-SA"/>
        </w:rPr>
        <w:t>（1）甲方无正当理由拒收货物的，甲方应偿付合同总价3%的违约金；</w:t>
      </w:r>
    </w:p>
    <w:p>
      <w:pPr>
        <w:pStyle w:val="228"/>
        <w:keepNext w:val="0"/>
        <w:keepLines w:val="0"/>
        <w:pageBreakBefore w:val="0"/>
        <w:widowControl w:val="0"/>
        <w:shd w:val="clear" w:color="auto" w:fill="auto"/>
        <w:tabs>
          <w:tab w:val="left" w:pos="984"/>
        </w:tabs>
        <w:kinsoku/>
        <w:wordWrap/>
        <w:overflowPunct/>
        <w:topLinePunct w:val="0"/>
        <w:autoSpaceDE/>
        <w:autoSpaceDN/>
        <w:bidi w:val="0"/>
        <w:adjustRightInd/>
        <w:snapToGrid/>
        <w:spacing w:line="440" w:lineRule="exact"/>
        <w:jc w:val="both"/>
        <w:textAlignment w:val="auto"/>
        <w:outlineLvl w:val="9"/>
        <w:rPr>
          <w:rFonts w:hint="eastAsia" w:ascii="宋体" w:hAnsi="宋体" w:eastAsia="宋体" w:cs="Times New Roman"/>
          <w:kern w:val="2"/>
          <w:sz w:val="28"/>
          <w:szCs w:val="28"/>
          <w:lang w:val="en-US" w:eastAsia="zh-CN" w:bidi="ar-SA"/>
        </w:rPr>
      </w:pPr>
      <w:r>
        <w:rPr>
          <w:rFonts w:hint="eastAsia" w:cs="Times New Roman"/>
          <w:kern w:val="2"/>
          <w:sz w:val="28"/>
          <w:szCs w:val="28"/>
          <w:lang w:val="en-US" w:eastAsia="zh-CN" w:bidi="ar-SA"/>
        </w:rPr>
        <w:t xml:space="preserve">  </w:t>
      </w:r>
      <w:r>
        <w:rPr>
          <w:rFonts w:hint="eastAsia" w:ascii="宋体" w:hAnsi="宋体" w:eastAsia="宋体" w:cs="Times New Roman"/>
          <w:kern w:val="2"/>
          <w:sz w:val="28"/>
          <w:szCs w:val="28"/>
          <w:lang w:val="en-US" w:eastAsia="zh-CN" w:bidi="ar-SA"/>
        </w:rPr>
        <w:t>（2）甲方逾期支付货款的，除应及时付足货款外，应向乙方偿付欠款总額0.01%/天的违约金；逾期付款超过30天的，乙方有权终止合同；</w:t>
      </w:r>
    </w:p>
    <w:p>
      <w:pPr>
        <w:pStyle w:val="228"/>
        <w:keepNext w:val="0"/>
        <w:keepLines w:val="0"/>
        <w:pageBreakBefore w:val="0"/>
        <w:widowControl w:val="0"/>
        <w:shd w:val="clear" w:color="auto" w:fill="auto"/>
        <w:tabs>
          <w:tab w:val="left" w:pos="984"/>
        </w:tabs>
        <w:kinsoku/>
        <w:wordWrap/>
        <w:overflowPunct/>
        <w:topLinePunct w:val="0"/>
        <w:autoSpaceDE/>
        <w:autoSpaceDN/>
        <w:bidi w:val="0"/>
        <w:adjustRightInd/>
        <w:snapToGrid/>
        <w:spacing w:line="440" w:lineRule="exact"/>
        <w:jc w:val="both"/>
        <w:textAlignment w:val="auto"/>
        <w:outlineLvl w:val="9"/>
        <w:rPr>
          <w:rFonts w:hint="eastAsia" w:ascii="宋体" w:hAnsi="宋体" w:eastAsia="宋体" w:cs="Times New Roman"/>
          <w:kern w:val="2"/>
          <w:sz w:val="28"/>
          <w:szCs w:val="28"/>
          <w:lang w:val="en-US" w:eastAsia="zh-CN" w:bidi="ar-SA"/>
        </w:rPr>
      </w:pPr>
      <w:r>
        <w:rPr>
          <w:rFonts w:hint="eastAsia" w:cs="Times New Roman"/>
          <w:kern w:val="2"/>
          <w:sz w:val="28"/>
          <w:szCs w:val="28"/>
          <w:lang w:val="en-US" w:eastAsia="zh-CN" w:bidi="ar-SA"/>
        </w:rPr>
        <w:t xml:space="preserve">  </w:t>
      </w:r>
      <w:r>
        <w:rPr>
          <w:rFonts w:hint="eastAsia" w:ascii="宋体" w:hAnsi="宋体" w:eastAsia="宋体" w:cs="Times New Roman"/>
          <w:kern w:val="2"/>
          <w:sz w:val="28"/>
          <w:szCs w:val="28"/>
          <w:lang w:val="en-US" w:eastAsia="zh-CN" w:bidi="ar-SA"/>
        </w:rPr>
        <w:t>（3）甲方偿付的违约金不足以弥补乙方损失的，还应按乙方损失尚未弥补的部分，支付賠偿金给乙方。</w:t>
      </w:r>
    </w:p>
    <w:p>
      <w:pPr>
        <w:pStyle w:val="228"/>
        <w:numPr>
          <w:ilvl w:val="0"/>
          <w:numId w:val="0"/>
        </w:numPr>
        <w:shd w:val="clear" w:color="auto" w:fill="auto"/>
        <w:tabs>
          <w:tab w:val="left" w:pos="686"/>
        </w:tabs>
        <w:spacing w:line="276" w:lineRule="auto"/>
        <w:ind w:leftChars="200"/>
        <w:jc w:val="both"/>
        <w:rPr>
          <w:rFonts w:hint="eastAsia" w:ascii="宋体" w:hAnsi="宋体" w:eastAsia="宋体" w:cs="Times New Roman"/>
          <w:kern w:val="2"/>
          <w:sz w:val="28"/>
          <w:szCs w:val="28"/>
          <w:lang w:val="en-US" w:eastAsia="zh-CN" w:bidi="ar-SA"/>
        </w:rPr>
      </w:pPr>
      <w:r>
        <w:rPr>
          <w:rFonts w:hint="eastAsia" w:cs="Times New Roman"/>
          <w:kern w:val="2"/>
          <w:sz w:val="28"/>
          <w:szCs w:val="28"/>
          <w:lang w:val="en-US" w:eastAsia="zh-CN" w:bidi="ar-SA"/>
        </w:rPr>
        <w:t>2、</w:t>
      </w:r>
      <w:r>
        <w:rPr>
          <w:rFonts w:hint="eastAsia" w:ascii="宋体" w:hAnsi="宋体" w:eastAsia="宋体" w:cs="Times New Roman"/>
          <w:kern w:val="2"/>
          <w:sz w:val="28"/>
          <w:szCs w:val="28"/>
          <w:lang w:val="en-US" w:eastAsia="zh-CN" w:bidi="ar-SA"/>
        </w:rPr>
        <w:t>乙方违约责任</w:t>
      </w:r>
    </w:p>
    <w:p>
      <w:pPr>
        <w:pStyle w:val="228"/>
        <w:shd w:val="clear" w:color="auto" w:fill="auto"/>
        <w:spacing w:line="276" w:lineRule="auto"/>
        <w:jc w:val="both"/>
        <w:rPr>
          <w:rFonts w:hint="eastAsia" w:ascii="宋体" w:hAnsi="宋体" w:eastAsia="宋体" w:cs="Times New Roman"/>
          <w:kern w:val="2"/>
          <w:sz w:val="28"/>
          <w:szCs w:val="28"/>
          <w:lang w:val="en-US" w:eastAsia="zh-CN" w:bidi="ar-SA"/>
        </w:rPr>
      </w:pPr>
      <w:r>
        <w:rPr>
          <w:rFonts w:hint="eastAsia" w:cs="Times New Roman"/>
          <w:kern w:val="2"/>
          <w:sz w:val="28"/>
          <w:szCs w:val="28"/>
          <w:lang w:val="en-US" w:eastAsia="zh-CN" w:bidi="ar-SA"/>
        </w:rPr>
        <w:t xml:space="preserve">  </w:t>
      </w:r>
      <w:r>
        <w:rPr>
          <w:rFonts w:hint="eastAsia" w:ascii="宋体" w:hAnsi="宋体" w:eastAsia="宋体" w:cs="Times New Roman"/>
          <w:kern w:val="2"/>
          <w:sz w:val="28"/>
          <w:szCs w:val="28"/>
          <w:lang w:val="en-US" w:eastAsia="zh-CN" w:bidi="ar-SA"/>
        </w:rPr>
        <w:t>（1）乙方交付的货物质量不符合合同规定的，乙方应向甲方支付合同总价的3%的违约金，并须在合同规定的交货时间内更換合格的货物给甲方，否则，视作乙方不能交付货物而违约，按本条本款下述第“（2）”项规定由乙方偿付违约賠偿金给甲方。</w:t>
      </w:r>
    </w:p>
    <w:p>
      <w:pPr>
        <w:pStyle w:val="228"/>
        <w:shd w:val="clear" w:color="auto" w:fill="auto"/>
        <w:tabs>
          <w:tab w:val="left" w:pos="884"/>
        </w:tabs>
        <w:spacing w:line="276" w:lineRule="auto"/>
        <w:jc w:val="both"/>
        <w:rPr>
          <w:rFonts w:hint="eastAsia" w:ascii="宋体" w:hAnsi="宋体" w:eastAsia="宋体" w:cs="Times New Roman"/>
          <w:kern w:val="2"/>
          <w:sz w:val="28"/>
          <w:szCs w:val="28"/>
          <w:lang w:val="en-US" w:eastAsia="zh-CN" w:bidi="ar-SA"/>
        </w:rPr>
      </w:pPr>
      <w:r>
        <w:rPr>
          <w:rFonts w:hint="eastAsia" w:cs="Times New Roman"/>
          <w:kern w:val="2"/>
          <w:sz w:val="28"/>
          <w:szCs w:val="28"/>
          <w:lang w:val="en-US" w:eastAsia="zh-CN" w:bidi="ar-SA"/>
        </w:rPr>
        <w:t xml:space="preserve"> </w:t>
      </w:r>
      <w:r>
        <w:rPr>
          <w:rFonts w:hint="eastAsia" w:ascii="宋体" w:hAnsi="宋体" w:eastAsia="宋体" w:cs="Times New Roman"/>
          <w:kern w:val="2"/>
          <w:sz w:val="28"/>
          <w:szCs w:val="28"/>
          <w:lang w:val="en-US" w:eastAsia="zh-CN" w:bidi="ar-SA"/>
        </w:rPr>
        <w:t>（2）乙方不能交付货物或逾期交付货物而违约的，除应及时交足货物外，应向甲方偿付逾期交货部分货款总额的0.01%/天的违约金；逾期交货超过 30 天， 甲方有权终止合同，乙方则应按合同总价的3%的款额向甲方偿付赔偿金， 并须全额退还甲方已经付给乙方的货款返其利息。</w:t>
      </w:r>
    </w:p>
    <w:p>
      <w:pPr>
        <w:pStyle w:val="228"/>
        <w:shd w:val="clear" w:color="auto" w:fill="auto"/>
        <w:tabs>
          <w:tab w:val="left" w:pos="884"/>
        </w:tabs>
        <w:spacing w:line="276" w:lineRule="auto"/>
        <w:rPr>
          <w:rFonts w:hint="eastAsia" w:ascii="宋体" w:hAnsi="宋体" w:eastAsia="宋体" w:cs="Times New Roman"/>
          <w:kern w:val="2"/>
          <w:sz w:val="28"/>
          <w:szCs w:val="28"/>
          <w:lang w:val="en-US" w:eastAsia="zh-CN" w:bidi="ar-SA"/>
        </w:rPr>
      </w:pPr>
      <w:r>
        <w:rPr>
          <w:rFonts w:hint="eastAsia" w:cs="Times New Roman"/>
          <w:kern w:val="2"/>
          <w:sz w:val="28"/>
          <w:szCs w:val="28"/>
          <w:lang w:val="en-US" w:eastAsia="zh-CN" w:bidi="ar-SA"/>
        </w:rPr>
        <w:t xml:space="preserve"> </w:t>
      </w:r>
      <w:r>
        <w:rPr>
          <w:rFonts w:hint="eastAsia" w:ascii="宋体" w:hAnsi="宋体" w:eastAsia="宋体" w:cs="Times New Roman"/>
          <w:kern w:val="2"/>
          <w:sz w:val="28"/>
          <w:szCs w:val="28"/>
          <w:lang w:val="en-US" w:eastAsia="zh-CN" w:bidi="ar-SA"/>
        </w:rPr>
        <w:t>（3）乙方货物须达甲方质量及参数要求，有相应的合格证件。若发现货物质量不符合本合同规定标准的（经送检确认不达标准的），需按甲方标准进行产品的更换，直到达标为止。</w:t>
      </w:r>
    </w:p>
    <w:p>
      <w:pPr>
        <w:pStyle w:val="228"/>
        <w:shd w:val="clear" w:color="auto" w:fill="auto"/>
        <w:tabs>
          <w:tab w:val="left" w:pos="899"/>
        </w:tabs>
        <w:spacing w:line="276" w:lineRule="auto"/>
        <w:jc w:val="both"/>
        <w:rPr>
          <w:rFonts w:hint="eastAsia" w:ascii="宋体" w:hAnsi="宋体" w:eastAsia="宋体" w:cs="Times New Roman"/>
          <w:kern w:val="2"/>
          <w:sz w:val="28"/>
          <w:szCs w:val="28"/>
          <w:lang w:val="en-US" w:eastAsia="zh-CN" w:bidi="ar-SA"/>
        </w:rPr>
      </w:pPr>
      <w:r>
        <w:rPr>
          <w:rFonts w:hint="eastAsia" w:cs="Times New Roman"/>
          <w:kern w:val="2"/>
          <w:sz w:val="28"/>
          <w:szCs w:val="28"/>
          <w:lang w:val="en-US" w:eastAsia="zh-CN" w:bidi="ar-SA"/>
        </w:rPr>
        <w:t xml:space="preserve"> </w:t>
      </w:r>
      <w:r>
        <w:rPr>
          <w:rFonts w:hint="eastAsia" w:ascii="宋体" w:hAnsi="宋体" w:eastAsia="宋体" w:cs="Times New Roman"/>
          <w:kern w:val="2"/>
          <w:sz w:val="28"/>
          <w:szCs w:val="28"/>
          <w:lang w:val="en-US" w:eastAsia="zh-CN" w:bidi="ar-SA"/>
        </w:rPr>
        <w:t>（4）乙方保证本合同货物的权利无瑕疵，包括货物所有权及知识产权等权利无 瑕疵。如任何第三方经法院（或仲裁机构）裁决有权对上述货物主张权利或国家 机关依法对货物进行没收查处的，乙方除应向甲方返还已收款项外，还应另按合同总价的3%向甲方支付违约金并赔偿因此给甲方造成的一切损失。</w:t>
      </w:r>
    </w:p>
    <w:p>
      <w:pPr>
        <w:pStyle w:val="228"/>
        <w:shd w:val="clear" w:color="auto" w:fill="auto"/>
        <w:tabs>
          <w:tab w:val="left" w:pos="899"/>
        </w:tabs>
        <w:spacing w:line="276" w:lineRule="auto"/>
        <w:jc w:val="both"/>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 xml:space="preserve">  （5）乙方偿付的违约金不足以弥补甲方损失的，还应按甲方损失尚未弥补的部分，支付賠偿金给甲方。</w:t>
      </w:r>
    </w:p>
    <w:p>
      <w:pPr>
        <w:pStyle w:val="228"/>
        <w:shd w:val="clear" w:color="auto" w:fill="auto"/>
        <w:tabs>
          <w:tab w:val="left" w:pos="899"/>
        </w:tabs>
        <w:spacing w:line="276" w:lineRule="auto"/>
        <w:ind w:left="0" w:leftChars="0" w:firstLine="0" w:firstLineChars="0"/>
        <w:jc w:val="both"/>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八、争议解决办法</w:t>
      </w:r>
    </w:p>
    <w:p>
      <w:pPr>
        <w:pStyle w:val="228"/>
        <w:shd w:val="clear" w:color="auto" w:fill="auto"/>
        <w:tabs>
          <w:tab w:val="left" w:pos="899"/>
        </w:tabs>
        <w:spacing w:line="276" w:lineRule="auto"/>
        <w:jc w:val="both"/>
        <w:rPr>
          <w:rFonts w:hint="eastAsia" w:ascii="宋体" w:hAnsi="宋体" w:eastAsia="宋体" w:cs="Times New Roman"/>
          <w:kern w:val="2"/>
          <w:sz w:val="28"/>
          <w:szCs w:val="28"/>
          <w:lang w:val="en-US" w:eastAsia="zh-CN" w:bidi="ar-SA"/>
        </w:rPr>
      </w:pPr>
      <w:r>
        <w:rPr>
          <w:rFonts w:hint="eastAsia" w:cs="Times New Roman"/>
          <w:kern w:val="2"/>
          <w:sz w:val="28"/>
          <w:szCs w:val="28"/>
          <w:lang w:val="en-US" w:eastAsia="zh-CN" w:bidi="ar-SA"/>
        </w:rPr>
        <w:t xml:space="preserve">   1、 </w:t>
      </w:r>
      <w:r>
        <w:rPr>
          <w:rFonts w:hint="eastAsia" w:ascii="宋体" w:hAnsi="宋体" w:eastAsia="宋体" w:cs="Times New Roman"/>
          <w:kern w:val="2"/>
          <w:sz w:val="28"/>
          <w:szCs w:val="28"/>
          <w:lang w:val="en-US" w:eastAsia="zh-CN" w:bidi="ar-SA"/>
        </w:rPr>
        <w:t>因货物的质量问题发生争议，由质量技术监督部门或其指定的质量鉴定机构 进行质量鉴定。货物符合标准的，鉴定费由甲方承担；货物不符合质量标准的，鉴定费由乙方承担。</w:t>
      </w:r>
    </w:p>
    <w:p>
      <w:pPr>
        <w:pStyle w:val="228"/>
        <w:shd w:val="clear" w:color="auto" w:fill="auto"/>
        <w:tabs>
          <w:tab w:val="left" w:pos="899"/>
        </w:tabs>
        <w:spacing w:line="276" w:lineRule="auto"/>
        <w:ind w:left="0" w:leftChars="0" w:firstLine="0" w:firstLineChars="0"/>
        <w:jc w:val="both"/>
        <w:rPr>
          <w:rFonts w:hint="eastAsia" w:ascii="宋体" w:hAnsi="宋体" w:eastAsia="宋体" w:cs="Times New Roman"/>
          <w:kern w:val="2"/>
          <w:sz w:val="28"/>
          <w:szCs w:val="28"/>
          <w:lang w:val="en-US" w:eastAsia="zh-CN" w:bidi="ar-SA"/>
        </w:rPr>
      </w:pPr>
      <w:r>
        <w:rPr>
          <w:rFonts w:hint="eastAsia" w:cs="Times New Roman"/>
          <w:kern w:val="2"/>
          <w:sz w:val="28"/>
          <w:szCs w:val="28"/>
          <w:lang w:val="en-US" w:eastAsia="zh-CN" w:bidi="ar-SA"/>
        </w:rPr>
        <w:t xml:space="preserve">   2、</w:t>
      </w:r>
      <w:r>
        <w:rPr>
          <w:rFonts w:hint="eastAsia" w:ascii="宋体" w:hAnsi="宋体" w:eastAsia="宋体" w:cs="Times New Roman"/>
          <w:kern w:val="2"/>
          <w:sz w:val="28"/>
          <w:szCs w:val="28"/>
          <w:lang w:val="en-US" w:eastAsia="zh-CN" w:bidi="ar-SA"/>
        </w:rPr>
        <w:t>合同履行期间，若双方发生争议，可协商或由有关部门调解解决，协商或调解不成的，由当</w:t>
      </w:r>
      <w:r>
        <w:rPr>
          <w:rFonts w:hint="eastAsia" w:cs="Times New Roman"/>
          <w:kern w:val="2"/>
          <w:sz w:val="28"/>
          <w:szCs w:val="28"/>
          <w:lang w:val="en-US" w:eastAsia="zh-CN" w:bidi="ar-SA"/>
        </w:rPr>
        <w:t>事</w:t>
      </w:r>
      <w:r>
        <w:rPr>
          <w:rFonts w:hint="eastAsia" w:ascii="宋体" w:hAnsi="宋体" w:eastAsia="宋体" w:cs="Times New Roman"/>
          <w:kern w:val="2"/>
          <w:sz w:val="28"/>
          <w:szCs w:val="28"/>
          <w:lang w:val="en-US" w:eastAsia="zh-CN" w:bidi="ar-SA"/>
        </w:rPr>
        <w:t>人依法保护其合法权益。</w:t>
      </w:r>
    </w:p>
    <w:p>
      <w:pPr>
        <w:pStyle w:val="228"/>
        <w:shd w:val="clear" w:color="auto" w:fill="auto"/>
        <w:tabs>
          <w:tab w:val="left" w:pos="899"/>
        </w:tabs>
        <w:spacing w:line="276" w:lineRule="auto"/>
        <w:jc w:val="both"/>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九、其他</w:t>
      </w:r>
    </w:p>
    <w:p>
      <w:pPr>
        <w:pStyle w:val="228"/>
        <w:shd w:val="clear" w:color="auto" w:fill="auto"/>
        <w:tabs>
          <w:tab w:val="left" w:pos="899"/>
        </w:tabs>
        <w:spacing w:line="276" w:lineRule="auto"/>
        <w:jc w:val="both"/>
        <w:rPr>
          <w:rFonts w:hint="eastAsia" w:ascii="宋体" w:hAnsi="宋体" w:eastAsia="宋体" w:cs="Times New Roman"/>
          <w:kern w:val="2"/>
          <w:sz w:val="28"/>
          <w:szCs w:val="28"/>
          <w:lang w:val="en-US" w:eastAsia="zh-CN" w:bidi="ar-SA"/>
        </w:rPr>
      </w:pPr>
      <w:r>
        <w:rPr>
          <w:rFonts w:hint="eastAsia" w:cs="Times New Roman"/>
          <w:kern w:val="2"/>
          <w:sz w:val="28"/>
          <w:szCs w:val="28"/>
          <w:lang w:val="en-US" w:eastAsia="zh-CN" w:bidi="ar-SA"/>
        </w:rPr>
        <w:t xml:space="preserve">   1、</w:t>
      </w:r>
      <w:r>
        <w:rPr>
          <w:rFonts w:hint="eastAsia" w:ascii="宋体" w:hAnsi="宋体" w:eastAsia="宋体" w:cs="Times New Roman"/>
          <w:kern w:val="2"/>
          <w:sz w:val="28"/>
          <w:szCs w:val="28"/>
          <w:lang w:val="en-US" w:eastAsia="zh-CN" w:bidi="ar-SA"/>
        </w:rPr>
        <w:t>如有未尽</w:t>
      </w:r>
      <w:r>
        <w:rPr>
          <w:rFonts w:hint="eastAsia" w:cs="Times New Roman"/>
          <w:kern w:val="2"/>
          <w:sz w:val="28"/>
          <w:szCs w:val="28"/>
          <w:lang w:val="en-US" w:eastAsia="zh-CN" w:bidi="ar-SA"/>
        </w:rPr>
        <w:t>事</w:t>
      </w:r>
      <w:r>
        <w:rPr>
          <w:rFonts w:hint="eastAsia" w:ascii="宋体" w:hAnsi="宋体" w:eastAsia="宋体" w:cs="Times New Roman"/>
          <w:kern w:val="2"/>
          <w:sz w:val="28"/>
          <w:szCs w:val="28"/>
          <w:lang w:val="en-US" w:eastAsia="zh-CN" w:bidi="ar-SA"/>
        </w:rPr>
        <w:t>宜，由双方依法订立补充合同。</w:t>
      </w:r>
    </w:p>
    <w:p>
      <w:pPr>
        <w:pStyle w:val="228"/>
        <w:shd w:val="clear" w:color="auto" w:fill="auto"/>
        <w:tabs>
          <w:tab w:val="left" w:pos="899"/>
        </w:tabs>
        <w:spacing w:line="276" w:lineRule="auto"/>
        <w:jc w:val="both"/>
        <w:rPr>
          <w:rFonts w:hint="eastAsia" w:ascii="宋体" w:hAnsi="宋体" w:eastAsia="宋体" w:cs="Times New Roman"/>
          <w:kern w:val="2"/>
          <w:sz w:val="28"/>
          <w:szCs w:val="28"/>
          <w:lang w:val="en-US" w:eastAsia="zh-CN" w:bidi="ar-SA"/>
        </w:rPr>
      </w:pPr>
      <w:r>
        <w:rPr>
          <w:rFonts w:hint="eastAsia" w:cs="Times New Roman"/>
          <w:kern w:val="2"/>
          <w:sz w:val="28"/>
          <w:szCs w:val="28"/>
          <w:lang w:val="en-US" w:eastAsia="zh-CN" w:bidi="ar-SA"/>
        </w:rPr>
        <w:t xml:space="preserve">   2、</w:t>
      </w:r>
      <w:r>
        <w:rPr>
          <w:rFonts w:hint="eastAsia" w:ascii="宋体" w:hAnsi="宋体" w:eastAsia="宋体" w:cs="Times New Roman"/>
          <w:kern w:val="2"/>
          <w:sz w:val="28"/>
          <w:szCs w:val="28"/>
          <w:lang w:val="en-US" w:eastAsia="zh-CN" w:bidi="ar-SA"/>
        </w:rPr>
        <w:t>本合同一式六份，自双方签章之日起生效。甲方三份，乙方、采购监管部门采购代理机构各一份。</w:t>
      </w:r>
    </w:p>
    <w:p>
      <w:pPr>
        <w:pStyle w:val="228"/>
        <w:shd w:val="clear" w:color="auto" w:fill="auto"/>
        <w:tabs>
          <w:tab w:val="left" w:pos="899"/>
        </w:tabs>
        <w:spacing w:line="276" w:lineRule="auto"/>
        <w:jc w:val="both"/>
        <w:rPr>
          <w:rFonts w:hint="eastAsia" w:ascii="宋体" w:hAnsi="宋体" w:eastAsia="宋体" w:cs="Times New Roman"/>
          <w:kern w:val="2"/>
          <w:sz w:val="28"/>
          <w:szCs w:val="28"/>
          <w:lang w:val="en-US" w:eastAsia="zh-CN" w:bidi="ar-SA"/>
        </w:rPr>
      </w:pPr>
    </w:p>
    <w:p>
      <w:pPr>
        <w:pStyle w:val="228"/>
        <w:shd w:val="clear" w:color="auto" w:fill="auto"/>
        <w:tabs>
          <w:tab w:val="left" w:pos="899"/>
        </w:tabs>
        <w:spacing w:line="276" w:lineRule="auto"/>
        <w:jc w:val="both"/>
        <w:rPr>
          <w:rFonts w:hint="eastAsia" w:ascii="宋体" w:hAnsi="宋体" w:eastAsia="宋体" w:cs="Times New Roman"/>
          <w:kern w:val="2"/>
          <w:sz w:val="28"/>
          <w:szCs w:val="28"/>
          <w:lang w:val="en-US" w:eastAsia="zh-CN" w:bidi="ar-SA"/>
        </w:rPr>
      </w:pPr>
    </w:p>
    <w:p>
      <w:pPr>
        <w:pStyle w:val="228"/>
        <w:shd w:val="clear" w:color="auto" w:fill="auto"/>
        <w:tabs>
          <w:tab w:val="left" w:pos="899"/>
        </w:tabs>
        <w:spacing w:line="276" w:lineRule="auto"/>
        <w:jc w:val="both"/>
        <w:rPr>
          <w:rFonts w:hint="eastAsia" w:ascii="宋体" w:hAnsi="宋体" w:eastAsia="宋体" w:cs="Times New Roman"/>
          <w:kern w:val="2"/>
          <w:sz w:val="28"/>
          <w:szCs w:val="28"/>
          <w:lang w:val="en-US" w:eastAsia="zh-CN" w:bidi="ar-SA"/>
        </w:rPr>
      </w:pPr>
    </w:p>
    <w:p>
      <w:pPr>
        <w:pStyle w:val="228"/>
        <w:shd w:val="clear" w:color="auto" w:fill="auto"/>
        <w:tabs>
          <w:tab w:val="left" w:pos="899"/>
        </w:tabs>
        <w:spacing w:line="276" w:lineRule="auto"/>
        <w:jc w:val="both"/>
        <w:rPr>
          <w:rFonts w:hint="eastAsia" w:ascii="宋体" w:hAnsi="宋体" w:eastAsia="宋体" w:cs="Times New Roman"/>
          <w:kern w:val="2"/>
          <w:sz w:val="28"/>
          <w:szCs w:val="28"/>
          <w:lang w:val="en-US" w:eastAsia="zh-CN" w:bidi="ar-SA"/>
        </w:rPr>
      </w:pPr>
    </w:p>
    <w:tbl>
      <w:tblPr>
        <w:tblStyle w:val="46"/>
        <w:tblW w:w="9634" w:type="dxa"/>
        <w:tblInd w:w="0" w:type="dxa"/>
        <w:tblLayout w:type="fixed"/>
        <w:tblCellMar>
          <w:top w:w="0" w:type="dxa"/>
          <w:left w:w="108" w:type="dxa"/>
          <w:bottom w:w="0" w:type="dxa"/>
          <w:right w:w="108" w:type="dxa"/>
        </w:tblCellMar>
      </w:tblPr>
      <w:tblGrid>
        <w:gridCol w:w="4536"/>
        <w:gridCol w:w="236"/>
        <w:gridCol w:w="2670"/>
        <w:gridCol w:w="1632"/>
        <w:gridCol w:w="560"/>
      </w:tblGrid>
      <w:tr>
        <w:tblPrEx>
          <w:tblLayout w:type="fixed"/>
          <w:tblCellMar>
            <w:top w:w="0" w:type="dxa"/>
            <w:left w:w="108" w:type="dxa"/>
            <w:bottom w:w="0" w:type="dxa"/>
            <w:right w:w="108" w:type="dxa"/>
          </w:tblCellMar>
        </w:tblPrEx>
        <w:trPr>
          <w:gridAfter w:val="1"/>
          <w:wAfter w:w="560" w:type="dxa"/>
          <w:trHeight w:val="288" w:hRule="atLeast"/>
        </w:trPr>
        <w:tc>
          <w:tcPr>
            <w:tcW w:w="4536" w:type="dxa"/>
            <w:tcBorders>
              <w:top w:val="nil"/>
              <w:left w:val="nil"/>
              <w:bottom w:val="nil"/>
              <w:right w:val="nil"/>
            </w:tcBorders>
            <w:shd w:val="clear" w:color="auto" w:fill="auto"/>
            <w:vAlign w:val="center"/>
          </w:tcPr>
          <w:p>
            <w:pPr>
              <w:pStyle w:val="228"/>
              <w:shd w:val="clear" w:color="auto" w:fill="auto"/>
              <w:tabs>
                <w:tab w:val="left" w:pos="899"/>
              </w:tabs>
              <w:spacing w:line="276" w:lineRule="auto"/>
              <w:jc w:val="both"/>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甲方:（盖章〉成都市武侯实验小学</w:t>
            </w:r>
          </w:p>
        </w:tc>
        <w:tc>
          <w:tcPr>
            <w:tcW w:w="4538" w:type="dxa"/>
            <w:gridSpan w:val="3"/>
            <w:tcBorders>
              <w:top w:val="nil"/>
              <w:left w:val="nil"/>
              <w:bottom w:val="nil"/>
              <w:right w:val="nil"/>
            </w:tcBorders>
            <w:shd w:val="clear" w:color="auto" w:fill="auto"/>
            <w:vAlign w:val="center"/>
          </w:tcPr>
          <w:p>
            <w:pPr>
              <w:pStyle w:val="228"/>
              <w:shd w:val="clear" w:color="auto" w:fill="auto"/>
              <w:tabs>
                <w:tab w:val="left" w:pos="899"/>
              </w:tabs>
              <w:spacing w:line="276" w:lineRule="auto"/>
              <w:jc w:val="both"/>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乙方：（盖章）</w:t>
            </w:r>
          </w:p>
        </w:tc>
      </w:tr>
      <w:tr>
        <w:tblPrEx>
          <w:tblLayout w:type="fixed"/>
          <w:tblCellMar>
            <w:top w:w="0" w:type="dxa"/>
            <w:left w:w="108" w:type="dxa"/>
            <w:bottom w:w="0" w:type="dxa"/>
            <w:right w:w="108" w:type="dxa"/>
          </w:tblCellMar>
        </w:tblPrEx>
        <w:trPr>
          <w:trHeight w:val="576" w:hRule="atLeast"/>
        </w:trPr>
        <w:tc>
          <w:tcPr>
            <w:tcW w:w="4536" w:type="dxa"/>
            <w:tcBorders>
              <w:top w:val="nil"/>
              <w:left w:val="nil"/>
              <w:bottom w:val="nil"/>
              <w:right w:val="nil"/>
            </w:tcBorders>
            <w:shd w:val="clear" w:color="auto" w:fill="auto"/>
            <w:vAlign w:val="center"/>
          </w:tcPr>
          <w:p>
            <w:pPr>
              <w:pStyle w:val="228"/>
              <w:shd w:val="clear" w:color="auto" w:fill="auto"/>
              <w:tabs>
                <w:tab w:val="left" w:pos="899"/>
              </w:tabs>
              <w:spacing w:line="276" w:lineRule="auto"/>
              <w:jc w:val="both"/>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法定代表人（授权代表〉：</w:t>
            </w:r>
          </w:p>
        </w:tc>
        <w:tc>
          <w:tcPr>
            <w:tcW w:w="236" w:type="dxa"/>
            <w:tcBorders>
              <w:top w:val="nil"/>
              <w:left w:val="nil"/>
              <w:bottom w:val="nil"/>
              <w:right w:val="nil"/>
            </w:tcBorders>
            <w:shd w:val="clear" w:color="auto" w:fill="auto"/>
            <w:vAlign w:val="bottom"/>
          </w:tcPr>
          <w:p>
            <w:pPr>
              <w:pStyle w:val="228"/>
              <w:shd w:val="clear" w:color="auto" w:fill="auto"/>
              <w:tabs>
                <w:tab w:val="left" w:pos="899"/>
              </w:tabs>
              <w:spacing w:line="276" w:lineRule="auto"/>
              <w:jc w:val="both"/>
              <w:rPr>
                <w:rFonts w:hint="eastAsia" w:ascii="宋体" w:hAnsi="宋体" w:eastAsia="宋体" w:cs="Times New Roman"/>
                <w:kern w:val="2"/>
                <w:sz w:val="28"/>
                <w:szCs w:val="28"/>
                <w:lang w:val="en-US" w:eastAsia="zh-CN" w:bidi="ar-SA"/>
              </w:rPr>
            </w:pPr>
          </w:p>
        </w:tc>
        <w:tc>
          <w:tcPr>
            <w:tcW w:w="2670" w:type="dxa"/>
            <w:tcBorders>
              <w:top w:val="nil"/>
              <w:left w:val="nil"/>
              <w:bottom w:val="nil"/>
              <w:right w:val="nil"/>
            </w:tcBorders>
            <w:shd w:val="clear" w:color="auto" w:fill="auto"/>
            <w:vAlign w:val="center"/>
          </w:tcPr>
          <w:p>
            <w:pPr>
              <w:pStyle w:val="228"/>
              <w:shd w:val="clear" w:color="auto" w:fill="auto"/>
              <w:tabs>
                <w:tab w:val="left" w:pos="899"/>
              </w:tabs>
              <w:spacing w:line="276" w:lineRule="auto"/>
              <w:jc w:val="both"/>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法定代表人（授权代表〉：</w:t>
            </w:r>
          </w:p>
        </w:tc>
        <w:tc>
          <w:tcPr>
            <w:tcW w:w="2192" w:type="dxa"/>
            <w:gridSpan w:val="2"/>
            <w:tcBorders>
              <w:top w:val="nil"/>
              <w:left w:val="nil"/>
              <w:bottom w:val="nil"/>
              <w:right w:val="nil"/>
            </w:tcBorders>
            <w:shd w:val="clear" w:color="auto" w:fill="auto"/>
            <w:vAlign w:val="bottom"/>
          </w:tcPr>
          <w:p>
            <w:pPr>
              <w:pStyle w:val="228"/>
              <w:shd w:val="clear" w:color="auto" w:fill="auto"/>
              <w:tabs>
                <w:tab w:val="left" w:pos="899"/>
              </w:tabs>
              <w:spacing w:line="276" w:lineRule="auto"/>
              <w:jc w:val="both"/>
              <w:rPr>
                <w:rFonts w:hint="eastAsia" w:ascii="宋体" w:hAnsi="宋体" w:eastAsia="宋体" w:cs="Times New Roman"/>
                <w:kern w:val="2"/>
                <w:sz w:val="28"/>
                <w:szCs w:val="28"/>
                <w:lang w:val="en-US" w:eastAsia="zh-CN" w:bidi="ar-SA"/>
              </w:rPr>
            </w:pPr>
          </w:p>
        </w:tc>
      </w:tr>
      <w:tr>
        <w:tblPrEx>
          <w:tblLayout w:type="fixed"/>
          <w:tblCellMar>
            <w:top w:w="0" w:type="dxa"/>
            <w:left w:w="108" w:type="dxa"/>
            <w:bottom w:w="0" w:type="dxa"/>
            <w:right w:w="108" w:type="dxa"/>
          </w:tblCellMar>
        </w:tblPrEx>
        <w:trPr>
          <w:gridAfter w:val="1"/>
          <w:wAfter w:w="560" w:type="dxa"/>
          <w:trHeight w:val="312" w:hRule="atLeast"/>
        </w:trPr>
        <w:tc>
          <w:tcPr>
            <w:tcW w:w="4536" w:type="dxa"/>
            <w:tcBorders>
              <w:top w:val="nil"/>
              <w:left w:val="nil"/>
              <w:bottom w:val="nil"/>
              <w:right w:val="nil"/>
            </w:tcBorders>
            <w:shd w:val="clear" w:color="auto" w:fill="auto"/>
            <w:vAlign w:val="center"/>
          </w:tcPr>
          <w:p>
            <w:pPr>
              <w:pStyle w:val="228"/>
              <w:shd w:val="clear" w:color="auto" w:fill="auto"/>
              <w:tabs>
                <w:tab w:val="left" w:pos="899"/>
              </w:tabs>
              <w:spacing w:line="276" w:lineRule="auto"/>
              <w:jc w:val="both"/>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地 址：</w:t>
            </w:r>
          </w:p>
        </w:tc>
        <w:tc>
          <w:tcPr>
            <w:tcW w:w="4538" w:type="dxa"/>
            <w:gridSpan w:val="3"/>
            <w:tcBorders>
              <w:top w:val="nil"/>
              <w:left w:val="nil"/>
              <w:bottom w:val="nil"/>
              <w:right w:val="nil"/>
            </w:tcBorders>
            <w:shd w:val="clear" w:color="auto" w:fill="auto"/>
            <w:vAlign w:val="center"/>
          </w:tcPr>
          <w:p>
            <w:pPr>
              <w:pStyle w:val="228"/>
              <w:shd w:val="clear" w:color="auto" w:fill="auto"/>
              <w:tabs>
                <w:tab w:val="left" w:pos="899"/>
              </w:tabs>
              <w:spacing w:line="276" w:lineRule="auto"/>
              <w:jc w:val="both"/>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地 址：</w:t>
            </w:r>
          </w:p>
        </w:tc>
      </w:tr>
      <w:tr>
        <w:tblPrEx>
          <w:tblLayout w:type="fixed"/>
          <w:tblCellMar>
            <w:top w:w="0" w:type="dxa"/>
            <w:left w:w="108" w:type="dxa"/>
            <w:bottom w:w="0" w:type="dxa"/>
            <w:right w:w="108" w:type="dxa"/>
          </w:tblCellMar>
        </w:tblPrEx>
        <w:trPr>
          <w:gridAfter w:val="1"/>
          <w:wAfter w:w="560" w:type="dxa"/>
          <w:trHeight w:val="288" w:hRule="atLeast"/>
        </w:trPr>
        <w:tc>
          <w:tcPr>
            <w:tcW w:w="4536" w:type="dxa"/>
            <w:tcBorders>
              <w:top w:val="nil"/>
              <w:left w:val="nil"/>
              <w:bottom w:val="nil"/>
              <w:right w:val="nil"/>
            </w:tcBorders>
            <w:shd w:val="clear" w:color="auto" w:fill="auto"/>
            <w:vAlign w:val="center"/>
          </w:tcPr>
          <w:p>
            <w:pPr>
              <w:pStyle w:val="228"/>
              <w:shd w:val="clear" w:color="auto" w:fill="auto"/>
              <w:tabs>
                <w:tab w:val="left" w:pos="899"/>
              </w:tabs>
              <w:spacing w:line="276" w:lineRule="auto"/>
              <w:jc w:val="both"/>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开户银行：</w:t>
            </w:r>
          </w:p>
        </w:tc>
        <w:tc>
          <w:tcPr>
            <w:tcW w:w="4538" w:type="dxa"/>
            <w:gridSpan w:val="3"/>
            <w:tcBorders>
              <w:top w:val="nil"/>
              <w:left w:val="nil"/>
              <w:bottom w:val="nil"/>
              <w:right w:val="nil"/>
            </w:tcBorders>
            <w:shd w:val="clear" w:color="auto" w:fill="auto"/>
            <w:vAlign w:val="center"/>
          </w:tcPr>
          <w:p>
            <w:pPr>
              <w:pStyle w:val="228"/>
              <w:shd w:val="clear" w:color="auto" w:fill="auto"/>
              <w:tabs>
                <w:tab w:val="left" w:pos="899"/>
              </w:tabs>
              <w:spacing w:line="276" w:lineRule="auto"/>
              <w:jc w:val="both"/>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开户银行：</w:t>
            </w:r>
          </w:p>
        </w:tc>
      </w:tr>
      <w:tr>
        <w:tblPrEx>
          <w:tblLayout w:type="fixed"/>
          <w:tblCellMar>
            <w:top w:w="0" w:type="dxa"/>
            <w:left w:w="108" w:type="dxa"/>
            <w:bottom w:w="0" w:type="dxa"/>
            <w:right w:w="108" w:type="dxa"/>
          </w:tblCellMar>
        </w:tblPrEx>
        <w:trPr>
          <w:gridAfter w:val="1"/>
          <w:wAfter w:w="560" w:type="dxa"/>
          <w:trHeight w:val="288" w:hRule="atLeast"/>
        </w:trPr>
        <w:tc>
          <w:tcPr>
            <w:tcW w:w="4536" w:type="dxa"/>
            <w:tcBorders>
              <w:top w:val="nil"/>
              <w:left w:val="nil"/>
              <w:bottom w:val="nil"/>
              <w:right w:val="nil"/>
            </w:tcBorders>
            <w:shd w:val="clear" w:color="auto" w:fill="auto"/>
            <w:vAlign w:val="center"/>
          </w:tcPr>
          <w:p>
            <w:pPr>
              <w:pStyle w:val="228"/>
              <w:shd w:val="clear" w:color="auto" w:fill="auto"/>
              <w:tabs>
                <w:tab w:val="left" w:pos="899"/>
              </w:tabs>
              <w:spacing w:line="276" w:lineRule="auto"/>
              <w:jc w:val="both"/>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账号：</w:t>
            </w:r>
          </w:p>
        </w:tc>
        <w:tc>
          <w:tcPr>
            <w:tcW w:w="4538" w:type="dxa"/>
            <w:gridSpan w:val="3"/>
            <w:tcBorders>
              <w:top w:val="nil"/>
              <w:left w:val="nil"/>
              <w:bottom w:val="nil"/>
              <w:right w:val="nil"/>
            </w:tcBorders>
            <w:shd w:val="clear" w:color="auto" w:fill="auto"/>
            <w:vAlign w:val="center"/>
          </w:tcPr>
          <w:p>
            <w:pPr>
              <w:pStyle w:val="228"/>
              <w:shd w:val="clear" w:color="auto" w:fill="auto"/>
              <w:tabs>
                <w:tab w:val="left" w:pos="899"/>
              </w:tabs>
              <w:spacing w:line="276" w:lineRule="auto"/>
              <w:jc w:val="both"/>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账号：</w:t>
            </w:r>
          </w:p>
        </w:tc>
      </w:tr>
      <w:tr>
        <w:tblPrEx>
          <w:tblLayout w:type="fixed"/>
          <w:tblCellMar>
            <w:top w:w="0" w:type="dxa"/>
            <w:left w:w="108" w:type="dxa"/>
            <w:bottom w:w="0" w:type="dxa"/>
            <w:right w:w="108" w:type="dxa"/>
          </w:tblCellMar>
        </w:tblPrEx>
        <w:trPr>
          <w:gridAfter w:val="1"/>
          <w:wAfter w:w="560" w:type="dxa"/>
          <w:trHeight w:val="288" w:hRule="atLeast"/>
        </w:trPr>
        <w:tc>
          <w:tcPr>
            <w:tcW w:w="4536" w:type="dxa"/>
            <w:tcBorders>
              <w:top w:val="nil"/>
              <w:left w:val="nil"/>
              <w:bottom w:val="nil"/>
              <w:right w:val="nil"/>
            </w:tcBorders>
            <w:shd w:val="clear" w:color="auto" w:fill="auto"/>
            <w:vAlign w:val="center"/>
          </w:tcPr>
          <w:p>
            <w:pPr>
              <w:pStyle w:val="228"/>
              <w:shd w:val="clear" w:color="auto" w:fill="auto"/>
              <w:tabs>
                <w:tab w:val="left" w:pos="899"/>
              </w:tabs>
              <w:spacing w:line="276" w:lineRule="auto"/>
              <w:jc w:val="both"/>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电 话：</w:t>
            </w:r>
          </w:p>
        </w:tc>
        <w:tc>
          <w:tcPr>
            <w:tcW w:w="4538" w:type="dxa"/>
            <w:gridSpan w:val="3"/>
            <w:tcBorders>
              <w:top w:val="nil"/>
              <w:left w:val="nil"/>
              <w:bottom w:val="nil"/>
              <w:right w:val="nil"/>
            </w:tcBorders>
            <w:shd w:val="clear" w:color="auto" w:fill="auto"/>
            <w:vAlign w:val="center"/>
          </w:tcPr>
          <w:p>
            <w:pPr>
              <w:pStyle w:val="228"/>
              <w:shd w:val="clear" w:color="auto" w:fill="auto"/>
              <w:tabs>
                <w:tab w:val="left" w:pos="899"/>
              </w:tabs>
              <w:spacing w:line="276" w:lineRule="auto"/>
              <w:jc w:val="both"/>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电 话：</w:t>
            </w:r>
          </w:p>
        </w:tc>
      </w:tr>
      <w:tr>
        <w:tblPrEx>
          <w:tblLayout w:type="fixed"/>
          <w:tblCellMar>
            <w:top w:w="0" w:type="dxa"/>
            <w:left w:w="108" w:type="dxa"/>
            <w:bottom w:w="0" w:type="dxa"/>
            <w:right w:w="108" w:type="dxa"/>
          </w:tblCellMar>
        </w:tblPrEx>
        <w:trPr>
          <w:gridAfter w:val="1"/>
          <w:wAfter w:w="560" w:type="dxa"/>
          <w:trHeight w:val="288" w:hRule="atLeast"/>
        </w:trPr>
        <w:tc>
          <w:tcPr>
            <w:tcW w:w="4536" w:type="dxa"/>
            <w:tcBorders>
              <w:top w:val="nil"/>
              <w:left w:val="nil"/>
              <w:bottom w:val="nil"/>
              <w:right w:val="nil"/>
            </w:tcBorders>
            <w:shd w:val="clear" w:color="auto" w:fill="auto"/>
            <w:vAlign w:val="center"/>
          </w:tcPr>
          <w:p>
            <w:pPr>
              <w:pStyle w:val="228"/>
              <w:shd w:val="clear" w:color="auto" w:fill="auto"/>
              <w:tabs>
                <w:tab w:val="left" w:pos="899"/>
              </w:tabs>
              <w:spacing w:line="276" w:lineRule="auto"/>
              <w:jc w:val="both"/>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传 真：</w:t>
            </w:r>
          </w:p>
        </w:tc>
        <w:tc>
          <w:tcPr>
            <w:tcW w:w="4538" w:type="dxa"/>
            <w:gridSpan w:val="3"/>
            <w:tcBorders>
              <w:top w:val="nil"/>
              <w:left w:val="nil"/>
              <w:bottom w:val="nil"/>
              <w:right w:val="nil"/>
            </w:tcBorders>
            <w:shd w:val="clear" w:color="auto" w:fill="auto"/>
            <w:vAlign w:val="center"/>
          </w:tcPr>
          <w:p>
            <w:pPr>
              <w:pStyle w:val="228"/>
              <w:shd w:val="clear" w:color="auto" w:fill="auto"/>
              <w:tabs>
                <w:tab w:val="left" w:pos="899"/>
              </w:tabs>
              <w:spacing w:line="276" w:lineRule="auto"/>
              <w:jc w:val="both"/>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传 真：</w:t>
            </w:r>
          </w:p>
        </w:tc>
      </w:tr>
      <w:tr>
        <w:tblPrEx>
          <w:tblLayout w:type="fixed"/>
          <w:tblCellMar>
            <w:top w:w="0" w:type="dxa"/>
            <w:left w:w="108" w:type="dxa"/>
            <w:bottom w:w="0" w:type="dxa"/>
            <w:right w:w="108" w:type="dxa"/>
          </w:tblCellMar>
        </w:tblPrEx>
        <w:trPr>
          <w:gridAfter w:val="1"/>
          <w:wAfter w:w="560" w:type="dxa"/>
          <w:trHeight w:val="288" w:hRule="atLeast"/>
        </w:trPr>
        <w:tc>
          <w:tcPr>
            <w:tcW w:w="4536" w:type="dxa"/>
            <w:tcBorders>
              <w:top w:val="nil"/>
              <w:left w:val="nil"/>
              <w:bottom w:val="nil"/>
              <w:right w:val="nil"/>
            </w:tcBorders>
            <w:shd w:val="clear" w:color="auto" w:fill="auto"/>
            <w:vAlign w:val="center"/>
          </w:tcPr>
          <w:p>
            <w:pPr>
              <w:pStyle w:val="228"/>
              <w:shd w:val="clear" w:color="auto" w:fill="auto"/>
              <w:tabs>
                <w:tab w:val="left" w:pos="899"/>
              </w:tabs>
              <w:spacing w:line="276" w:lineRule="auto"/>
              <w:jc w:val="both"/>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 xml:space="preserve">签约日期：   年   月   日 </w:t>
            </w:r>
          </w:p>
        </w:tc>
        <w:tc>
          <w:tcPr>
            <w:tcW w:w="4538" w:type="dxa"/>
            <w:gridSpan w:val="3"/>
            <w:tcBorders>
              <w:top w:val="nil"/>
              <w:left w:val="nil"/>
              <w:bottom w:val="nil"/>
              <w:right w:val="nil"/>
            </w:tcBorders>
            <w:shd w:val="clear" w:color="auto" w:fill="auto"/>
            <w:vAlign w:val="center"/>
          </w:tcPr>
          <w:p>
            <w:pPr>
              <w:pStyle w:val="228"/>
              <w:shd w:val="clear" w:color="auto" w:fill="auto"/>
              <w:tabs>
                <w:tab w:val="left" w:pos="899"/>
              </w:tabs>
              <w:spacing w:line="276" w:lineRule="auto"/>
              <w:jc w:val="both"/>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 xml:space="preserve">签约日期：   年   月   日 </w:t>
            </w:r>
          </w:p>
        </w:tc>
      </w:tr>
    </w:tbl>
    <w:p>
      <w:pPr>
        <w:pStyle w:val="232"/>
        <w:numPr>
          <w:ilvl w:val="0"/>
          <w:numId w:val="0"/>
        </w:numPr>
        <w:shd w:val="clear" w:color="auto" w:fill="auto"/>
        <w:spacing w:after="300" w:line="276" w:lineRule="auto"/>
        <w:ind w:right="-57" w:rightChars="-27"/>
        <w:rPr>
          <w:rFonts w:hint="eastAsia" w:ascii="宋体" w:hAnsi="宋体" w:eastAsia="宋体" w:cs="Times New Roman"/>
          <w:kern w:val="2"/>
          <w:sz w:val="28"/>
          <w:szCs w:val="28"/>
          <w:lang w:val="en-US" w:eastAsia="zh-CN" w:bidi="ar-SA"/>
        </w:rPr>
      </w:pPr>
    </w:p>
    <w:sectPr>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Arial Narrow">
    <w:panose1 w:val="020B0606020202030204"/>
    <w:charset w:val="00"/>
    <w:family w:val="swiss"/>
    <w:pitch w:val="default"/>
    <w:sig w:usb0="00000287" w:usb1="000008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imes New (W1)">
    <w:altName w:val="Segoe Print"/>
    <w:panose1 w:val="00000000000000000000"/>
    <w:charset w:val="00"/>
    <w:family w:val="roman"/>
    <w:pitch w:val="default"/>
    <w:sig w:usb0="00000000" w:usb1="00000000" w:usb2="00000000" w:usb3="00000000" w:csb0="00000000" w:csb1="00000000"/>
  </w:font>
  <w:font w:name="Arial (W1)">
    <w:altName w:val="Arial"/>
    <w:panose1 w:val="00000000000000000000"/>
    <w:charset w:val="00"/>
    <w:family w:val="swiss"/>
    <w:pitch w:val="default"/>
    <w:sig w:usb0="00000000" w:usb1="00000000" w:usb2="00000008" w:usb3="00000000" w:csb0="0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方正小标宋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 w:name="Monospaced Number">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4514241"/>
    </w:sdtPr>
    <w:sdtContent>
      <w:p>
        <w:pPr>
          <w:pStyle w:val="29"/>
          <w:ind w:firstLine="480"/>
          <w:jc w:val="center"/>
        </w:pPr>
        <w:r>
          <w:fldChar w:fldCharType="begin"/>
        </w:r>
        <w:r>
          <w:instrText xml:space="preserve">PAGE   \* MERGEFORMAT</w:instrText>
        </w:r>
        <w:r>
          <w:fldChar w:fldCharType="separate"/>
        </w:r>
        <w:r>
          <w:rPr>
            <w:lang w:val="zh-CN"/>
          </w:rPr>
          <w:t>3</w:t>
        </w:r>
        <w:r>
          <w:fldChar w:fldCharType="end"/>
        </w:r>
      </w:p>
    </w:sdtContent>
  </w:sdt>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lvlText w:val="%1、"/>
      <w:lvlJc w:val="left"/>
      <w:pPr>
        <w:ind w:left="1271" w:hanging="420"/>
      </w:pPr>
    </w:lvl>
    <w:lvl w:ilvl="1" w:tentative="0">
      <w:start w:val="1"/>
      <w:numFmt w:val="japaneseCounting"/>
      <w:lvlText w:val="（%2）"/>
      <w:lvlJc w:val="left"/>
      <w:pPr>
        <w:ind w:left="1830" w:hanging="885"/>
      </w:pPr>
      <w:rPr>
        <w:lang w:val="en-US"/>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1">
    <w:nsid w:val="00000012"/>
    <w:multiLevelType w:val="multilevel"/>
    <w:tmpl w:val="00000012"/>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00000016"/>
    <w:multiLevelType w:val="multilevel"/>
    <w:tmpl w:val="00000016"/>
    <w:lvl w:ilvl="0" w:tentative="0">
      <w:start w:val="1"/>
      <w:numFmt w:val="decimal"/>
      <w:lvlText w:val="%1."/>
      <w:lvlJc w:val="left"/>
      <w:pPr>
        <w:tabs>
          <w:tab w:val="left" w:pos="704"/>
        </w:tabs>
        <w:ind w:left="704" w:hanging="420"/>
      </w:pPr>
    </w:lvl>
    <w:lvl w:ilvl="1" w:tentative="0">
      <w:start w:val="1"/>
      <w:numFmt w:val="lowerLetter"/>
      <w:pStyle w:val="88"/>
      <w:lvlText w:val="%2)"/>
      <w:lvlJc w:val="left"/>
      <w:pPr>
        <w:tabs>
          <w:tab w:val="left" w:pos="1124"/>
        </w:tabs>
        <w:ind w:left="1124" w:hanging="420"/>
      </w:pPr>
    </w:lvl>
    <w:lvl w:ilvl="2" w:tentative="0">
      <w:start w:val="1"/>
      <w:numFmt w:val="lowerRoman"/>
      <w:lvlText w:val="%3."/>
      <w:lvlJc w:val="right"/>
      <w:pPr>
        <w:tabs>
          <w:tab w:val="left" w:pos="1544"/>
        </w:tabs>
        <w:ind w:left="1544" w:hanging="420"/>
      </w:pPr>
    </w:lvl>
    <w:lvl w:ilvl="3" w:tentative="0">
      <w:start w:val="1"/>
      <w:numFmt w:val="decimal"/>
      <w:lvlText w:val="%4."/>
      <w:lvlJc w:val="left"/>
      <w:pPr>
        <w:tabs>
          <w:tab w:val="left" w:pos="1964"/>
        </w:tabs>
        <w:ind w:left="1964" w:hanging="420"/>
      </w:pPr>
    </w:lvl>
    <w:lvl w:ilvl="4" w:tentative="0">
      <w:start w:val="1"/>
      <w:numFmt w:val="lowerLetter"/>
      <w:lvlText w:val="%5)"/>
      <w:lvlJc w:val="left"/>
      <w:pPr>
        <w:tabs>
          <w:tab w:val="left" w:pos="2384"/>
        </w:tabs>
        <w:ind w:left="2384" w:hanging="420"/>
      </w:pPr>
    </w:lvl>
    <w:lvl w:ilvl="5" w:tentative="0">
      <w:start w:val="1"/>
      <w:numFmt w:val="lowerRoman"/>
      <w:lvlText w:val="%6."/>
      <w:lvlJc w:val="right"/>
      <w:pPr>
        <w:tabs>
          <w:tab w:val="left" w:pos="2804"/>
        </w:tabs>
        <w:ind w:left="2804" w:hanging="420"/>
      </w:pPr>
    </w:lvl>
    <w:lvl w:ilvl="6" w:tentative="0">
      <w:start w:val="1"/>
      <w:numFmt w:val="decimal"/>
      <w:lvlText w:val="%7."/>
      <w:lvlJc w:val="left"/>
      <w:pPr>
        <w:tabs>
          <w:tab w:val="left" w:pos="3224"/>
        </w:tabs>
        <w:ind w:left="3224" w:hanging="420"/>
      </w:pPr>
    </w:lvl>
    <w:lvl w:ilvl="7" w:tentative="0">
      <w:start w:val="1"/>
      <w:numFmt w:val="lowerLetter"/>
      <w:lvlText w:val="%8)"/>
      <w:lvlJc w:val="left"/>
      <w:pPr>
        <w:tabs>
          <w:tab w:val="left" w:pos="3644"/>
        </w:tabs>
        <w:ind w:left="3644" w:hanging="420"/>
      </w:pPr>
    </w:lvl>
    <w:lvl w:ilvl="8" w:tentative="0">
      <w:start w:val="1"/>
      <w:numFmt w:val="lowerRoman"/>
      <w:lvlText w:val="%9."/>
      <w:lvlJc w:val="right"/>
      <w:pPr>
        <w:tabs>
          <w:tab w:val="left" w:pos="4064"/>
        </w:tabs>
        <w:ind w:left="4064" w:hanging="420"/>
      </w:pPr>
    </w:lvl>
  </w:abstractNum>
  <w:abstractNum w:abstractNumId="3">
    <w:nsid w:val="00000018"/>
    <w:multiLevelType w:val="multilevel"/>
    <w:tmpl w:val="00000018"/>
    <w:lvl w:ilvl="0" w:tentative="0">
      <w:start w:val="1"/>
      <w:numFmt w:val="chineseCountingThousand"/>
      <w:lvlText w:val="%1、"/>
      <w:lvlJc w:val="left"/>
      <w:pPr>
        <w:ind w:left="966" w:hanging="420"/>
      </w:p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4">
    <w:nsid w:val="0000001F"/>
    <w:multiLevelType w:val="multilevel"/>
    <w:tmpl w:val="0000001F"/>
    <w:lvl w:ilvl="0" w:tentative="0">
      <w:start w:val="1"/>
      <w:numFmt w:val="chineseCountingThousand"/>
      <w:lvlText w:val="%1、"/>
      <w:lvlJc w:val="left"/>
      <w:pPr>
        <w:ind w:left="980" w:hanging="420"/>
      </w:pPr>
    </w:lvl>
    <w:lvl w:ilvl="1" w:tentative="0">
      <w:start w:val="1"/>
      <w:numFmt w:val="decimal"/>
      <w:lvlText w:val="（%2）"/>
      <w:lvlJc w:val="left"/>
      <w:pPr>
        <w:ind w:left="1700" w:hanging="7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00000021"/>
    <w:multiLevelType w:val="multilevel"/>
    <w:tmpl w:val="00000021"/>
    <w:lvl w:ilvl="0" w:tentative="0">
      <w:start w:val="1"/>
      <w:numFmt w:val="chineseCountingThousand"/>
      <w:lvlText w:val="(%1)"/>
      <w:lvlJc w:val="left"/>
      <w:pPr>
        <w:ind w:left="980" w:hanging="420"/>
      </w:pPr>
    </w:lvl>
    <w:lvl w:ilvl="1" w:tentative="0">
      <w:start w:val="1"/>
      <w:numFmt w:val="chineseCountingThousand"/>
      <w:lvlText w:val="(%2)"/>
      <w:lvlJc w:val="left"/>
      <w:pPr>
        <w:ind w:left="198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00000022"/>
    <w:multiLevelType w:val="multilevel"/>
    <w:tmpl w:val="00000022"/>
    <w:lvl w:ilvl="0" w:tentative="0">
      <w:start w:val="1"/>
      <w:numFmt w:val="decimal"/>
      <w:lvlText w:val="第%1章"/>
      <w:lvlJc w:val="left"/>
      <w:pPr>
        <w:tabs>
          <w:tab w:val="left" w:pos="2630"/>
        </w:tabs>
        <w:ind w:left="2630" w:hanging="425"/>
      </w:pPr>
      <w:rPr>
        <w:rFonts w:hint="eastAsia" w:ascii="宋体" w:hAnsi="宋体" w:eastAsia="宋体"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decimal"/>
      <w:suff w:val="space"/>
      <w:lvlText w:val="%1.%2."/>
      <w:lvlJc w:val="left"/>
      <w:pPr>
        <w:ind w:left="4538" w:hanging="567"/>
      </w:pPr>
      <w:rPr>
        <w:rFonts w:hint="default" w:ascii="Times New Roman" w:hAnsi="Times New Roman" w:eastAsia="宋体" w:cs="Times New Roman"/>
        <w:b/>
        <w:i w:val="0"/>
        <w:sz w:val="28"/>
        <w:szCs w:val="28"/>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1779"/>
        </w:tabs>
        <w:ind w:left="1779" w:hanging="851"/>
      </w:pPr>
      <w:rPr>
        <w:rFonts w:hint="default" w:ascii="Times New Roman" w:hAnsi="Times New Roman"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tentative="0">
      <w:start w:val="1"/>
      <w:numFmt w:val="decimal"/>
      <w:pStyle w:val="7"/>
      <w:lvlText w:val="%1.%2.%3.%4.%5."/>
      <w:lvlJc w:val="left"/>
      <w:pPr>
        <w:tabs>
          <w:tab w:val="left" w:pos="1560"/>
        </w:tabs>
        <w:ind w:left="1560" w:hanging="992"/>
      </w:pPr>
      <w:rPr>
        <w:rFonts w:hint="default" w:ascii="Times New Roman" w:hAnsi="Times New Roman" w:eastAsia="宋体" w:cs="Times New Roman"/>
        <w:b/>
        <w:i w:val="0"/>
        <w:sz w:val="28"/>
        <w:szCs w:val="28"/>
      </w:rPr>
    </w:lvl>
    <w:lvl w:ilvl="5" w:tentative="0">
      <w:start w:val="1"/>
      <w:numFmt w:val="decimal"/>
      <w:pStyle w:val="8"/>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0">
      <w:start w:val="1"/>
      <w:numFmt w:val="decimal"/>
      <w:lvlText w:val="%1.%2.%3.%4.%5.%6.%7."/>
      <w:lvlJc w:val="left"/>
      <w:pPr>
        <w:tabs>
          <w:tab w:val="left" w:pos="1844"/>
        </w:tabs>
        <w:ind w:left="1844" w:hanging="1276"/>
      </w:pPr>
    </w:lvl>
    <w:lvl w:ilvl="7" w:tentative="0">
      <w:start w:val="1"/>
      <w:numFmt w:val="decimal"/>
      <w:lvlText w:val="%1.%2.%3.%4.%5.%6.%7.%8."/>
      <w:lvlJc w:val="left"/>
      <w:pPr>
        <w:tabs>
          <w:tab w:val="left" w:pos="1986"/>
        </w:tabs>
        <w:ind w:left="1986" w:hanging="1418"/>
      </w:pPr>
    </w:lvl>
    <w:lvl w:ilvl="8" w:tentative="0">
      <w:start w:val="1"/>
      <w:numFmt w:val="decimal"/>
      <w:lvlText w:val="%1.%2.%3.%4.%5.%6.%7.%8.%9."/>
      <w:lvlJc w:val="left"/>
      <w:pPr>
        <w:tabs>
          <w:tab w:val="left" w:pos="2127"/>
        </w:tabs>
        <w:ind w:left="2127" w:hanging="1559"/>
      </w:pPr>
    </w:lvl>
  </w:abstractNum>
  <w:abstractNum w:abstractNumId="7">
    <w:nsid w:val="00000024"/>
    <w:multiLevelType w:val="multilevel"/>
    <w:tmpl w:val="00000024"/>
    <w:lvl w:ilvl="0" w:tentative="0">
      <w:start w:val="1"/>
      <w:numFmt w:val="decimal"/>
      <w:lvlText w:val="%1."/>
      <w:lvlJc w:val="left"/>
      <w:pPr>
        <w:ind w:left="958" w:hanging="420"/>
      </w:pPr>
    </w:lvl>
    <w:lvl w:ilvl="1" w:tentative="0">
      <w:start w:val="1"/>
      <w:numFmt w:val="chineseCountingThousand"/>
      <w:lvlText w:val="%2、"/>
      <w:lvlJc w:val="left"/>
      <w:pPr>
        <w:ind w:left="1130"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8">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988"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00000029"/>
    <w:multiLevelType w:val="multilevel"/>
    <w:tmpl w:val="00000029"/>
    <w:lvl w:ilvl="0" w:tentative="0">
      <w:start w:val="1"/>
      <w:numFmt w:val="decimal"/>
      <w:lvlText w:val="%1."/>
      <w:lvlJc w:val="left"/>
      <w:pPr>
        <w:ind w:left="1271"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2B"/>
    <w:multiLevelType w:val="multilevel"/>
    <w:tmpl w:val="0000002B"/>
    <w:lvl w:ilvl="0" w:tentative="0">
      <w:start w:val="1"/>
      <w:numFmt w:val="chineseCountingThousand"/>
      <w:lvlText w:val="%1、"/>
      <w:lvlJc w:val="left"/>
      <w:pPr>
        <w:ind w:left="988"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11">
    <w:nsid w:val="0000002E"/>
    <w:multiLevelType w:val="multilevel"/>
    <w:tmpl w:val="0000002E"/>
    <w:lvl w:ilvl="0" w:tentative="0">
      <w:start w:val="1"/>
      <w:numFmt w:val="decimal"/>
      <w:pStyle w:val="3"/>
      <w:lvlText w:val="第%1章"/>
      <w:lvlJc w:val="left"/>
      <w:pPr>
        <w:ind w:left="283" w:hanging="425"/>
      </w:pPr>
      <w:rPr>
        <w:rFonts w:hint="default" w:ascii="Times New Roman" w:hAnsi="Times New Roman" w:eastAsia="宋体" w:cs="Times New Roman"/>
        <w:b/>
        <w:i w:val="0"/>
        <w:sz w:val="32"/>
        <w:szCs w:val="32"/>
      </w:rPr>
    </w:lvl>
    <w:lvl w:ilvl="1" w:tentative="0">
      <w:start w:val="1"/>
      <w:numFmt w:val="decimal"/>
      <w:pStyle w:val="4"/>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ind w:left="709" w:hanging="567"/>
      </w:pPr>
      <w:rPr>
        <w:rFonts w:hint="default" w:ascii="Times New Roman" w:hAnsi="Times New Roman" w:eastAsia="宋体" w:cs="Times New Roman"/>
        <w:b/>
        <w:i w:val="0"/>
        <w:sz w:val="28"/>
      </w:rPr>
    </w:lvl>
    <w:lvl w:ilvl="3" w:tentative="0">
      <w:start w:val="1"/>
      <w:numFmt w:val="decimal"/>
      <w:pStyle w:val="6"/>
      <w:suff w:val="nothing"/>
      <w:lvlText w:val="%1.%2.%3.%4"/>
      <w:lvlJc w:val="left"/>
      <w:pPr>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12">
    <w:nsid w:val="00000031"/>
    <w:multiLevelType w:val="multilevel"/>
    <w:tmpl w:val="00000031"/>
    <w:lvl w:ilvl="0" w:tentative="0">
      <w:start w:val="1"/>
      <w:numFmt w:val="chineseCountingThousand"/>
      <w:lvlText w:val="%1、"/>
      <w:lvlJc w:val="left"/>
      <w:pPr>
        <w:ind w:left="96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3">
    <w:nsid w:val="0000003A"/>
    <w:multiLevelType w:val="multilevel"/>
    <w:tmpl w:val="0000003A"/>
    <w:lvl w:ilvl="0" w:tentative="0">
      <w:start w:val="1"/>
      <w:numFmt w:val="chineseCountingThousand"/>
      <w:lvlText w:val="%1、"/>
      <w:lvlJc w:val="left"/>
      <w:pPr>
        <w:ind w:left="1554" w:hanging="420"/>
      </w:p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4">
    <w:nsid w:val="0000003B"/>
    <w:multiLevelType w:val="multilevel"/>
    <w:tmpl w:val="0000003B"/>
    <w:lvl w:ilvl="0" w:tentative="0">
      <w:start w:val="1"/>
      <w:numFmt w:val="chineseCountingThousand"/>
      <w:lvlText w:val="%1、"/>
      <w:lvlJc w:val="left"/>
      <w:pPr>
        <w:ind w:left="720" w:hanging="720"/>
      </w:pPr>
      <w:rPr>
        <w:strike w:val="0"/>
        <w:dstrike w:val="0"/>
        <w:color w:val="00000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00003E"/>
    <w:multiLevelType w:val="multilevel"/>
    <w:tmpl w:val="0000003E"/>
    <w:lvl w:ilvl="0" w:tentative="0">
      <w:start w:val="1"/>
      <w:numFmt w:val="chineseCountingThousand"/>
      <w:suff w:val="nothing"/>
      <w:lvlText w:val="%1、"/>
      <w:lvlJc w:val="left"/>
      <w:pPr>
        <w:ind w:left="2126" w:hanging="420"/>
      </w:pPr>
      <w:rPr>
        <w:b/>
        <w:i w:val="0"/>
        <w:lang w:val="en-US"/>
      </w:rPr>
    </w:lvl>
    <w:lvl w:ilvl="1" w:tentative="0">
      <w:start w:val="1"/>
      <w:numFmt w:val="decimal"/>
      <w:lvlText w:val="%2、"/>
      <w:lvlJc w:val="left"/>
      <w:pPr>
        <w:ind w:left="2122" w:hanging="1125"/>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16">
    <w:nsid w:val="00000041"/>
    <w:multiLevelType w:val="multilevel"/>
    <w:tmpl w:val="0000004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0000043"/>
    <w:multiLevelType w:val="multilevel"/>
    <w:tmpl w:val="00000043"/>
    <w:lvl w:ilvl="0" w:tentative="0">
      <w:start w:val="1"/>
      <w:numFmt w:val="chineseCountingThousand"/>
      <w:lvlText w:val="%1、"/>
      <w:lvlJc w:val="left"/>
      <w:pPr>
        <w:ind w:left="988" w:hanging="420"/>
      </w:pPr>
      <w:rPr>
        <w:color w:val="auto"/>
        <w:sz w:val="28"/>
        <w:szCs w:val="28"/>
      </w:rPr>
    </w:lvl>
    <w:lvl w:ilvl="1" w:tentative="0">
      <w:start w:val="1"/>
      <w:numFmt w:val="decimal"/>
      <w:isLgl/>
      <w:lvlText w:val="%1.%2"/>
      <w:lvlJc w:val="left"/>
      <w:pPr>
        <w:ind w:left="1244" w:hanging="960"/>
      </w:pPr>
    </w:lvl>
    <w:lvl w:ilvl="2" w:tentative="0">
      <w:start w:val="1"/>
      <w:numFmt w:val="decimal"/>
      <w:isLgl/>
      <w:lvlText w:val="%1.%2.%3"/>
      <w:lvlJc w:val="left"/>
      <w:pPr>
        <w:ind w:left="1244" w:hanging="960"/>
      </w:pPr>
    </w:lvl>
    <w:lvl w:ilvl="3" w:tentative="0">
      <w:start w:val="1"/>
      <w:numFmt w:val="decimal"/>
      <w:isLgl/>
      <w:lvlText w:val="%1.%2.%3.%4"/>
      <w:lvlJc w:val="left"/>
      <w:pPr>
        <w:ind w:left="1364" w:hanging="1080"/>
      </w:pPr>
    </w:lvl>
    <w:lvl w:ilvl="4" w:tentative="0">
      <w:start w:val="1"/>
      <w:numFmt w:val="decimal"/>
      <w:isLgl/>
      <w:lvlText w:val="%1.%2.%3.%4.%5"/>
      <w:lvlJc w:val="left"/>
      <w:pPr>
        <w:ind w:left="1364" w:hanging="1080"/>
      </w:pPr>
    </w:lvl>
    <w:lvl w:ilvl="5" w:tentative="0">
      <w:start w:val="1"/>
      <w:numFmt w:val="decimal"/>
      <w:isLgl/>
      <w:lvlText w:val="%1.%2.%3.%4.%5.%6"/>
      <w:lvlJc w:val="left"/>
      <w:pPr>
        <w:ind w:left="1724" w:hanging="1440"/>
      </w:pPr>
    </w:lvl>
    <w:lvl w:ilvl="6" w:tentative="0">
      <w:start w:val="1"/>
      <w:numFmt w:val="decimal"/>
      <w:isLgl/>
      <w:lvlText w:val="%1.%2.%3.%4.%5.%6.%7"/>
      <w:lvlJc w:val="left"/>
      <w:pPr>
        <w:ind w:left="2084" w:hanging="1800"/>
      </w:pPr>
    </w:lvl>
    <w:lvl w:ilvl="7" w:tentative="0">
      <w:start w:val="1"/>
      <w:numFmt w:val="decimal"/>
      <w:isLgl/>
      <w:lvlText w:val="%1.%2.%3.%4.%5.%6.%7.%8"/>
      <w:lvlJc w:val="left"/>
      <w:pPr>
        <w:ind w:left="2084" w:hanging="1800"/>
      </w:pPr>
    </w:lvl>
    <w:lvl w:ilvl="8" w:tentative="0">
      <w:start w:val="1"/>
      <w:numFmt w:val="decimal"/>
      <w:isLgl/>
      <w:lvlText w:val="%1.%2.%3.%4.%5.%6.%7.%8.%9"/>
      <w:lvlJc w:val="left"/>
      <w:pPr>
        <w:ind w:left="2444" w:hanging="2160"/>
      </w:pPr>
    </w:lvl>
  </w:abstractNum>
  <w:abstractNum w:abstractNumId="18">
    <w:nsid w:val="06AF180E"/>
    <w:multiLevelType w:val="multilevel"/>
    <w:tmpl w:val="06AF180E"/>
    <w:lvl w:ilvl="0" w:tentative="0">
      <w:start w:val="1"/>
      <w:numFmt w:val="japaneseCounting"/>
      <w:lvlText w:val="（%1）"/>
      <w:lvlJc w:val="left"/>
      <w:pPr>
        <w:ind w:left="1421" w:hanging="855"/>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19">
    <w:nsid w:val="06C3165F"/>
    <w:multiLevelType w:val="multilevel"/>
    <w:tmpl w:val="06C3165F"/>
    <w:lvl w:ilvl="0" w:tentative="0">
      <w:start w:val="5"/>
      <w:numFmt w:val="japaneseCounting"/>
      <w:lvlText w:val="（%1）"/>
      <w:lvlJc w:val="left"/>
      <w:pPr>
        <w:ind w:left="1179" w:hanging="855"/>
      </w:pPr>
      <w:rPr>
        <w:rFonts w:cs="Helvetica"/>
        <w:color w:val="FF0000"/>
      </w:rPr>
    </w:lvl>
    <w:lvl w:ilvl="1" w:tentative="0">
      <w:start w:val="1"/>
      <w:numFmt w:val="chineseCountingThousand"/>
      <w:lvlText w:val="(%2)"/>
      <w:lvlJc w:val="left"/>
      <w:pPr>
        <w:ind w:left="1164" w:hanging="420"/>
      </w:pPr>
    </w:lvl>
    <w:lvl w:ilvl="2" w:tentative="0">
      <w:start w:val="2"/>
      <w:numFmt w:val="japaneseCounting"/>
      <w:lvlText w:val="（%3）"/>
      <w:lvlJc w:val="left"/>
      <w:pPr>
        <w:ind w:left="2019" w:hanging="855"/>
      </w:pPr>
      <w:rPr>
        <w:lang w:val="en-US"/>
      </w:rPr>
    </w:lvl>
    <w:lvl w:ilvl="3" w:tentative="0">
      <w:start w:val="3"/>
      <w:numFmt w:val="japaneseCounting"/>
      <w:lvlText w:val="%4、"/>
      <w:lvlJc w:val="left"/>
      <w:pPr>
        <w:ind w:left="2304" w:hanging="720"/>
      </w:pPr>
    </w:lvl>
    <w:lvl w:ilvl="4" w:tentative="0">
      <w:start w:val="1"/>
      <w:numFmt w:val="lowerLetter"/>
      <w:lvlText w:val="%5)"/>
      <w:lvlJc w:val="left"/>
      <w:pPr>
        <w:ind w:left="2424" w:hanging="420"/>
      </w:pPr>
    </w:lvl>
    <w:lvl w:ilvl="5" w:tentative="0">
      <w:start w:val="1"/>
      <w:numFmt w:val="lowerRoman"/>
      <w:lvlText w:val="%6."/>
      <w:lvlJc w:val="right"/>
      <w:pPr>
        <w:ind w:left="2844" w:hanging="420"/>
      </w:pPr>
    </w:lvl>
    <w:lvl w:ilvl="6" w:tentative="0">
      <w:start w:val="1"/>
      <w:numFmt w:val="decimal"/>
      <w:lvlText w:val="%7."/>
      <w:lvlJc w:val="left"/>
      <w:pPr>
        <w:ind w:left="3264" w:hanging="420"/>
      </w:pPr>
    </w:lvl>
    <w:lvl w:ilvl="7" w:tentative="0">
      <w:start w:val="1"/>
      <w:numFmt w:val="lowerLetter"/>
      <w:lvlText w:val="%8)"/>
      <w:lvlJc w:val="left"/>
      <w:pPr>
        <w:ind w:left="3684" w:hanging="420"/>
      </w:pPr>
    </w:lvl>
    <w:lvl w:ilvl="8" w:tentative="0">
      <w:start w:val="1"/>
      <w:numFmt w:val="lowerRoman"/>
      <w:lvlText w:val="%9."/>
      <w:lvlJc w:val="right"/>
      <w:pPr>
        <w:ind w:left="4104" w:hanging="420"/>
      </w:pPr>
    </w:lvl>
  </w:abstractNum>
  <w:abstractNum w:abstractNumId="20">
    <w:nsid w:val="0B7C44A9"/>
    <w:multiLevelType w:val="multilevel"/>
    <w:tmpl w:val="0B7C44A9"/>
    <w:lvl w:ilvl="0" w:tentative="0">
      <w:start w:val="1"/>
      <w:numFmt w:val="japaneseCounting"/>
      <w:lvlText w:val="%1、"/>
      <w:lvlJc w:val="left"/>
      <w:pPr>
        <w:ind w:left="1288" w:hanging="720"/>
      </w:pPr>
      <w:rPr>
        <w:rFonts w:hint="default"/>
        <w:color w:val="00B0F0"/>
      </w:r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21">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2">
    <w:nsid w:val="1A032D52"/>
    <w:multiLevelType w:val="multilevel"/>
    <w:tmpl w:val="1A032D52"/>
    <w:lvl w:ilvl="0" w:tentative="0">
      <w:start w:val="1"/>
      <w:numFmt w:val="chineseCountingThousand"/>
      <w:lvlText w:val="%1、"/>
      <w:lvlJc w:val="left"/>
      <w:pPr>
        <w:ind w:left="1413" w:hanging="420"/>
      </w:pPr>
    </w:lvl>
    <w:lvl w:ilvl="1" w:tentative="0">
      <w:start w:val="1"/>
      <w:numFmt w:val="lowerLetter"/>
      <w:lvlText w:val="%2)"/>
      <w:lvlJc w:val="left"/>
      <w:pPr>
        <w:tabs>
          <w:tab w:val="left" w:pos="847"/>
        </w:tabs>
        <w:ind w:left="847" w:hanging="420"/>
      </w:pPr>
    </w:lvl>
    <w:lvl w:ilvl="2" w:tentative="0">
      <w:start w:val="1"/>
      <w:numFmt w:val="lowerRoman"/>
      <w:lvlText w:val="%3."/>
      <w:lvlJc w:val="right"/>
      <w:pPr>
        <w:tabs>
          <w:tab w:val="left" w:pos="1267"/>
        </w:tabs>
        <w:ind w:left="1267" w:hanging="420"/>
      </w:pPr>
    </w:lvl>
    <w:lvl w:ilvl="3" w:tentative="0">
      <w:start w:val="1"/>
      <w:numFmt w:val="decimal"/>
      <w:lvlText w:val="%4."/>
      <w:lvlJc w:val="left"/>
      <w:pPr>
        <w:tabs>
          <w:tab w:val="left" w:pos="1687"/>
        </w:tabs>
        <w:ind w:left="1687" w:hanging="420"/>
      </w:pPr>
    </w:lvl>
    <w:lvl w:ilvl="4" w:tentative="0">
      <w:start w:val="1"/>
      <w:numFmt w:val="lowerLetter"/>
      <w:lvlText w:val="%5)"/>
      <w:lvlJc w:val="left"/>
      <w:pPr>
        <w:tabs>
          <w:tab w:val="left" w:pos="2107"/>
        </w:tabs>
        <w:ind w:left="2107" w:hanging="420"/>
      </w:pPr>
    </w:lvl>
    <w:lvl w:ilvl="5" w:tentative="0">
      <w:start w:val="1"/>
      <w:numFmt w:val="lowerRoman"/>
      <w:lvlText w:val="%6."/>
      <w:lvlJc w:val="right"/>
      <w:pPr>
        <w:tabs>
          <w:tab w:val="left" w:pos="2527"/>
        </w:tabs>
        <w:ind w:left="2527" w:hanging="420"/>
      </w:pPr>
    </w:lvl>
    <w:lvl w:ilvl="6" w:tentative="0">
      <w:start w:val="1"/>
      <w:numFmt w:val="decimal"/>
      <w:lvlText w:val="%7."/>
      <w:lvlJc w:val="left"/>
      <w:pPr>
        <w:tabs>
          <w:tab w:val="left" w:pos="2947"/>
        </w:tabs>
        <w:ind w:left="2947" w:hanging="420"/>
      </w:pPr>
    </w:lvl>
    <w:lvl w:ilvl="7" w:tentative="0">
      <w:start w:val="1"/>
      <w:numFmt w:val="lowerLetter"/>
      <w:lvlText w:val="%8)"/>
      <w:lvlJc w:val="left"/>
      <w:pPr>
        <w:tabs>
          <w:tab w:val="left" w:pos="3367"/>
        </w:tabs>
        <w:ind w:left="3367" w:hanging="420"/>
      </w:pPr>
    </w:lvl>
    <w:lvl w:ilvl="8" w:tentative="0">
      <w:start w:val="1"/>
      <w:numFmt w:val="lowerRoman"/>
      <w:lvlText w:val="%9."/>
      <w:lvlJc w:val="right"/>
      <w:pPr>
        <w:tabs>
          <w:tab w:val="left" w:pos="3787"/>
        </w:tabs>
        <w:ind w:left="3787" w:hanging="420"/>
      </w:pPr>
    </w:lvl>
  </w:abstractNum>
  <w:abstractNum w:abstractNumId="23">
    <w:nsid w:val="1F2A386E"/>
    <w:multiLevelType w:val="multilevel"/>
    <w:tmpl w:val="1F2A386E"/>
    <w:lvl w:ilvl="0" w:tentative="0">
      <w:start w:val="1"/>
      <w:numFmt w:val="chineseCountingThousand"/>
      <w:lvlText w:val="%1、"/>
      <w:lvlJc w:val="left"/>
      <w:pPr>
        <w:ind w:left="988"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4">
    <w:nsid w:val="27B0359A"/>
    <w:multiLevelType w:val="multilevel"/>
    <w:tmpl w:val="27B0359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26">
    <w:nsid w:val="2B883668"/>
    <w:multiLevelType w:val="multilevel"/>
    <w:tmpl w:val="2B883668"/>
    <w:lvl w:ilvl="0" w:tentative="0">
      <w:start w:val="1"/>
      <w:numFmt w:val="chineseCountingThousand"/>
      <w:lvlText w:val="(%1)"/>
      <w:lvlJc w:val="left"/>
      <w:pPr>
        <w:ind w:left="2972"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C5917C3"/>
    <w:multiLevelType w:val="multilevel"/>
    <w:tmpl w:val="2C5917C3"/>
    <w:lvl w:ilvl="0" w:tentative="0">
      <w:start w:val="1"/>
      <w:numFmt w:val="none"/>
      <w:pStyle w:val="154"/>
      <w:suff w:val="nothing"/>
      <w:lvlText w:val="%1——"/>
      <w:lvlJc w:val="left"/>
      <w:pPr>
        <w:ind w:left="833" w:hanging="408"/>
      </w:p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28">
    <w:nsid w:val="316418D8"/>
    <w:multiLevelType w:val="multilevel"/>
    <w:tmpl w:val="316418D8"/>
    <w:lvl w:ilvl="0" w:tentative="0">
      <w:start w:val="1"/>
      <w:numFmt w:val="chineseCountingThousand"/>
      <w:lvlText w:val="%1、"/>
      <w:lvlJc w:val="left"/>
      <w:pPr>
        <w:ind w:left="846"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9">
    <w:nsid w:val="3424055C"/>
    <w:multiLevelType w:val="multilevel"/>
    <w:tmpl w:val="3424055C"/>
    <w:lvl w:ilvl="0" w:tentative="0">
      <w:start w:val="1"/>
      <w:numFmt w:val="japaneseCounting"/>
      <w:lvlText w:val="%1、"/>
      <w:lvlJc w:val="left"/>
      <w:pPr>
        <w:ind w:left="988" w:hanging="420"/>
      </w:pPr>
      <w:rPr>
        <w:rFonts w:ascii="宋体" w:hAnsi="宋体" w:eastAsia="宋体" w:cs="Times New Roman"/>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30">
    <w:nsid w:val="34D50379"/>
    <w:multiLevelType w:val="multilevel"/>
    <w:tmpl w:val="34D50379"/>
    <w:lvl w:ilvl="0" w:tentative="0">
      <w:start w:val="1"/>
      <w:numFmt w:val="decimal"/>
      <w:lvlText w:val="%1."/>
      <w:lvlJc w:val="left"/>
      <w:pPr>
        <w:ind w:left="840" w:hanging="420"/>
      </w:pPr>
    </w:lvl>
    <w:lvl w:ilvl="1" w:tentative="0">
      <w:start w:val="1"/>
      <w:numFmt w:val="decimal"/>
      <w:lvlText w:val="%2）"/>
      <w:lvlJc w:val="left"/>
      <w:pPr>
        <w:ind w:left="1560" w:hanging="720"/>
      </w:pPr>
      <w:rPr>
        <w:b w:val="0"/>
        <w:color w:val="000000"/>
      </w:rPr>
    </w:lvl>
    <w:lvl w:ilvl="2" w:tentative="0">
      <w:start w:val="1"/>
      <w:numFmt w:val="chineseCountingThousand"/>
      <w:lvlText w:val="%3、"/>
      <w:lvlJc w:val="left"/>
      <w:pPr>
        <w:ind w:left="60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36BC04DA"/>
    <w:multiLevelType w:val="multilevel"/>
    <w:tmpl w:val="36BC04DA"/>
    <w:lvl w:ilvl="0" w:tentative="0">
      <w:start w:val="1"/>
      <w:numFmt w:val="japaneseCounting"/>
      <w:lvlText w:val="%1、"/>
      <w:lvlJc w:val="left"/>
      <w:pPr>
        <w:ind w:left="2282"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2">
    <w:nsid w:val="4C1635C4"/>
    <w:multiLevelType w:val="multilevel"/>
    <w:tmpl w:val="4C1635C4"/>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3">
    <w:nsid w:val="4C72071B"/>
    <w:multiLevelType w:val="multilevel"/>
    <w:tmpl w:val="4C72071B"/>
    <w:lvl w:ilvl="0" w:tentative="0">
      <w:start w:val="1"/>
      <w:numFmt w:val="chineseCountingThousand"/>
      <w:lvlText w:val="%1、"/>
      <w:lvlJc w:val="left"/>
      <w:pPr>
        <w:ind w:left="420" w:hanging="420"/>
      </w:pPr>
      <w:rPr>
        <w:sz w:val="28"/>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4">
    <w:nsid w:val="4CC31705"/>
    <w:multiLevelType w:val="multilevel"/>
    <w:tmpl w:val="4CC31705"/>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5">
    <w:nsid w:val="50841406"/>
    <w:multiLevelType w:val="multilevel"/>
    <w:tmpl w:val="50841406"/>
    <w:lvl w:ilvl="0" w:tentative="0">
      <w:start w:val="1"/>
      <w:numFmt w:val="japaneseCounting"/>
      <w:lvlText w:val="%1、"/>
      <w:lvlJc w:val="left"/>
      <w:pPr>
        <w:ind w:left="3980" w:hanging="720"/>
      </w:pPr>
      <w:rPr>
        <w:rFonts w:hint="default" w:ascii="宋体" w:hAnsi="宋体" w:eastAsia="宋体"/>
        <w:b w:val="0"/>
        <w:sz w:val="28"/>
        <w:szCs w:val="28"/>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6">
    <w:nsid w:val="50F471D7"/>
    <w:multiLevelType w:val="multilevel"/>
    <w:tmpl w:val="50F471D7"/>
    <w:lvl w:ilvl="0" w:tentative="0">
      <w:start w:val="1"/>
      <w:numFmt w:val="chineseCountingThousand"/>
      <w:suff w:val="nothing"/>
      <w:lvlText w:val="%1、"/>
      <w:lvlJc w:val="left"/>
      <w:pPr>
        <w:ind w:left="1270" w:hanging="420"/>
      </w:pPr>
      <w:rPr>
        <w:b/>
      </w:rPr>
    </w:lvl>
    <w:lvl w:ilvl="1" w:tentative="0">
      <w:start w:val="1"/>
      <w:numFmt w:val="chineseCountingThousand"/>
      <w:lvlText w:val="(%2)"/>
      <w:lvlJc w:val="left"/>
      <w:pPr>
        <w:tabs>
          <w:tab w:val="left" w:pos="1130"/>
        </w:tabs>
        <w:ind w:left="1130" w:hanging="420"/>
      </w:pPr>
      <w:rPr>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7">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8">
    <w:nsid w:val="60642B38"/>
    <w:multiLevelType w:val="multilevel"/>
    <w:tmpl w:val="60642B38"/>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9">
    <w:nsid w:val="61162954"/>
    <w:multiLevelType w:val="singleLevel"/>
    <w:tmpl w:val="61162954"/>
    <w:lvl w:ilvl="0" w:tentative="0">
      <w:start w:val="1"/>
      <w:numFmt w:val="chineseCounting"/>
      <w:suff w:val="nothing"/>
      <w:lvlText w:val="%1、"/>
      <w:lvlJc w:val="left"/>
    </w:lvl>
  </w:abstractNum>
  <w:abstractNum w:abstractNumId="40">
    <w:nsid w:val="617229B6"/>
    <w:multiLevelType w:val="multilevel"/>
    <w:tmpl w:val="617229B6"/>
    <w:lvl w:ilvl="0" w:tentative="0">
      <w:start w:val="1"/>
      <w:numFmt w:val="chineseCountingThousand"/>
      <w:lvlText w:val="%1、"/>
      <w:lvlJc w:val="left"/>
      <w:pPr>
        <w:ind w:left="966" w:hanging="420"/>
      </w:pPr>
      <w:rPr>
        <w:color w:val="00B0F0"/>
      </w:r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41">
    <w:nsid w:val="61FA781F"/>
    <w:multiLevelType w:val="multilevel"/>
    <w:tmpl w:val="61FA781F"/>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2">
    <w:nsid w:val="638064AA"/>
    <w:multiLevelType w:val="multilevel"/>
    <w:tmpl w:val="638064AA"/>
    <w:lvl w:ilvl="0" w:tentative="0">
      <w:start w:val="1"/>
      <w:numFmt w:val="japaneseCounting"/>
      <w:lvlText w:val="%1、"/>
      <w:lvlJc w:val="left"/>
      <w:pPr>
        <w:ind w:left="2282"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3">
    <w:nsid w:val="6F5B4150"/>
    <w:multiLevelType w:val="multilevel"/>
    <w:tmpl w:val="6F5B4150"/>
    <w:lvl w:ilvl="0" w:tentative="0">
      <w:start w:val="1"/>
      <w:numFmt w:val="chineseCountingThousand"/>
      <w:lvlText w:val="%1、"/>
      <w:lvlJc w:val="left"/>
      <w:pPr>
        <w:ind w:left="846" w:hanging="420"/>
      </w:pPr>
      <w:rPr>
        <w:rFonts w:hint="eastAsia"/>
        <w:b/>
        <w:sz w:val="28"/>
        <w:szCs w:val="28"/>
      </w:rPr>
    </w:lvl>
    <w:lvl w:ilvl="1" w:tentative="0">
      <w:start w:val="1"/>
      <w:numFmt w:val="lowerLetter"/>
      <w:lvlText w:val="%2)"/>
      <w:lvlJc w:val="left"/>
      <w:pPr>
        <w:ind w:left="-3289" w:hanging="420"/>
      </w:pPr>
    </w:lvl>
    <w:lvl w:ilvl="2" w:tentative="0">
      <w:start w:val="1"/>
      <w:numFmt w:val="lowerRoman"/>
      <w:lvlText w:val="%3."/>
      <w:lvlJc w:val="right"/>
      <w:pPr>
        <w:ind w:left="-2869" w:hanging="420"/>
      </w:pPr>
    </w:lvl>
    <w:lvl w:ilvl="3" w:tentative="0">
      <w:start w:val="1"/>
      <w:numFmt w:val="decimal"/>
      <w:lvlText w:val="%4."/>
      <w:lvlJc w:val="left"/>
      <w:pPr>
        <w:ind w:left="-2449" w:hanging="420"/>
      </w:pPr>
    </w:lvl>
    <w:lvl w:ilvl="4" w:tentative="0">
      <w:start w:val="1"/>
      <w:numFmt w:val="lowerLetter"/>
      <w:lvlText w:val="%5)"/>
      <w:lvlJc w:val="left"/>
      <w:pPr>
        <w:ind w:left="-2029" w:hanging="420"/>
      </w:pPr>
    </w:lvl>
    <w:lvl w:ilvl="5" w:tentative="0">
      <w:start w:val="1"/>
      <w:numFmt w:val="lowerRoman"/>
      <w:lvlText w:val="%6."/>
      <w:lvlJc w:val="right"/>
      <w:pPr>
        <w:ind w:left="-1609" w:hanging="420"/>
      </w:pPr>
    </w:lvl>
    <w:lvl w:ilvl="6" w:tentative="0">
      <w:start w:val="1"/>
      <w:numFmt w:val="decimal"/>
      <w:lvlText w:val="%7."/>
      <w:lvlJc w:val="left"/>
      <w:pPr>
        <w:ind w:left="-1189" w:hanging="420"/>
      </w:pPr>
    </w:lvl>
    <w:lvl w:ilvl="7" w:tentative="0">
      <w:start w:val="1"/>
      <w:numFmt w:val="lowerLetter"/>
      <w:lvlText w:val="%8)"/>
      <w:lvlJc w:val="left"/>
      <w:pPr>
        <w:ind w:left="-769" w:hanging="420"/>
      </w:pPr>
    </w:lvl>
    <w:lvl w:ilvl="8" w:tentative="0">
      <w:start w:val="1"/>
      <w:numFmt w:val="lowerRoman"/>
      <w:lvlText w:val="%9."/>
      <w:lvlJc w:val="right"/>
      <w:pPr>
        <w:ind w:left="-349" w:hanging="420"/>
      </w:pPr>
    </w:lvl>
  </w:abstractNum>
  <w:abstractNum w:abstractNumId="44">
    <w:nsid w:val="70CA42E2"/>
    <w:multiLevelType w:val="multilevel"/>
    <w:tmpl w:val="70CA42E2"/>
    <w:lvl w:ilvl="0" w:tentative="0">
      <w:start w:val="1"/>
      <w:numFmt w:val="chineseCountingThousand"/>
      <w:lvlText w:val="%1、"/>
      <w:lvlJc w:val="left"/>
      <w:pPr>
        <w:ind w:left="988"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5">
    <w:nsid w:val="716F767A"/>
    <w:multiLevelType w:val="multilevel"/>
    <w:tmpl w:val="716F767A"/>
    <w:lvl w:ilvl="0" w:tentative="0">
      <w:start w:val="1"/>
      <w:numFmt w:val="chineseCountingThousand"/>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6">
    <w:nsid w:val="75656F13"/>
    <w:multiLevelType w:val="multilevel"/>
    <w:tmpl w:val="75656F13"/>
    <w:lvl w:ilvl="0" w:tentative="0">
      <w:start w:val="1"/>
      <w:numFmt w:val="chineseCountingThousand"/>
      <w:lvlText w:val="(%1)"/>
      <w:lvlJc w:val="left"/>
      <w:pPr>
        <w:tabs>
          <w:tab w:val="left" w:pos="846"/>
        </w:tabs>
        <w:ind w:left="84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7">
    <w:nsid w:val="789D00AF"/>
    <w:multiLevelType w:val="multilevel"/>
    <w:tmpl w:val="789D00AF"/>
    <w:lvl w:ilvl="0" w:tentative="0">
      <w:start w:val="1"/>
      <w:numFmt w:val="chineseCountingThousand"/>
      <w:lvlText w:val="(%1)"/>
      <w:lvlJc w:val="left"/>
      <w:pPr>
        <w:ind w:left="972" w:hanging="420"/>
      </w:pPr>
      <w:rPr>
        <w:b w:val="0"/>
      </w:rPr>
    </w:lvl>
    <w:lvl w:ilvl="1" w:tentative="0">
      <w:start w:val="1"/>
      <w:numFmt w:val="lowerLetter"/>
      <w:lvlText w:val="%2)"/>
      <w:lvlJc w:val="left"/>
      <w:pPr>
        <w:ind w:left="1392" w:hanging="420"/>
      </w:pPr>
    </w:lvl>
    <w:lvl w:ilvl="2" w:tentative="0">
      <w:start w:val="1"/>
      <w:numFmt w:val="lowerRoman"/>
      <w:lvlText w:val="%3."/>
      <w:lvlJc w:val="right"/>
      <w:pPr>
        <w:ind w:left="1812" w:hanging="420"/>
      </w:pPr>
    </w:lvl>
    <w:lvl w:ilvl="3" w:tentative="0">
      <w:start w:val="1"/>
      <w:numFmt w:val="decimal"/>
      <w:lvlText w:val="%4."/>
      <w:lvlJc w:val="left"/>
      <w:pPr>
        <w:ind w:left="2232" w:hanging="420"/>
      </w:pPr>
    </w:lvl>
    <w:lvl w:ilvl="4" w:tentative="0">
      <w:start w:val="1"/>
      <w:numFmt w:val="lowerLetter"/>
      <w:lvlText w:val="%5)"/>
      <w:lvlJc w:val="left"/>
      <w:pPr>
        <w:ind w:left="2652" w:hanging="420"/>
      </w:pPr>
    </w:lvl>
    <w:lvl w:ilvl="5" w:tentative="0">
      <w:start w:val="1"/>
      <w:numFmt w:val="lowerRoman"/>
      <w:lvlText w:val="%6."/>
      <w:lvlJc w:val="right"/>
      <w:pPr>
        <w:ind w:left="3072" w:hanging="420"/>
      </w:pPr>
    </w:lvl>
    <w:lvl w:ilvl="6" w:tentative="0">
      <w:start w:val="1"/>
      <w:numFmt w:val="decimal"/>
      <w:lvlText w:val="%7."/>
      <w:lvlJc w:val="left"/>
      <w:pPr>
        <w:ind w:left="3492" w:hanging="420"/>
      </w:pPr>
    </w:lvl>
    <w:lvl w:ilvl="7" w:tentative="0">
      <w:start w:val="1"/>
      <w:numFmt w:val="lowerLetter"/>
      <w:lvlText w:val="%8)"/>
      <w:lvlJc w:val="left"/>
      <w:pPr>
        <w:ind w:left="3912" w:hanging="420"/>
      </w:pPr>
    </w:lvl>
    <w:lvl w:ilvl="8" w:tentative="0">
      <w:start w:val="1"/>
      <w:numFmt w:val="lowerRoman"/>
      <w:lvlText w:val="%9."/>
      <w:lvlJc w:val="right"/>
      <w:pPr>
        <w:ind w:left="4332" w:hanging="420"/>
      </w:pPr>
    </w:lvl>
  </w:abstractNum>
  <w:abstractNum w:abstractNumId="48">
    <w:nsid w:val="7F511D7D"/>
    <w:multiLevelType w:val="multilevel"/>
    <w:tmpl w:val="7F511D7D"/>
    <w:lvl w:ilvl="0" w:tentative="0">
      <w:start w:val="1"/>
      <w:numFmt w:val="chineseCountingThousand"/>
      <w:lvlText w:val="%1、"/>
      <w:lvlJc w:val="left"/>
      <w:pPr>
        <w:ind w:left="988" w:hanging="420"/>
      </w:pPr>
      <w:rPr>
        <w:sz w:val="28"/>
        <w:szCs w:val="28"/>
      </w:rPr>
    </w:lvl>
    <w:lvl w:ilvl="1" w:tentative="0">
      <w:start w:val="1"/>
      <w:numFmt w:val="decimal"/>
      <w:isLgl/>
      <w:lvlText w:val="%1.%2"/>
      <w:lvlJc w:val="left"/>
      <w:pPr>
        <w:ind w:left="1528" w:hanging="960"/>
      </w:pPr>
    </w:lvl>
    <w:lvl w:ilvl="2" w:tentative="0">
      <w:start w:val="1"/>
      <w:numFmt w:val="decimal"/>
      <w:isLgl/>
      <w:lvlText w:val="%1.%2.%3"/>
      <w:lvlJc w:val="left"/>
      <w:pPr>
        <w:ind w:left="1528" w:hanging="960"/>
      </w:pPr>
    </w:lvl>
    <w:lvl w:ilvl="3" w:tentative="0">
      <w:start w:val="1"/>
      <w:numFmt w:val="decimal"/>
      <w:isLgl/>
      <w:lvlText w:val="%1.%2.%3.%4"/>
      <w:lvlJc w:val="left"/>
      <w:pPr>
        <w:ind w:left="1648" w:hanging="1080"/>
      </w:pPr>
    </w:lvl>
    <w:lvl w:ilvl="4" w:tentative="0">
      <w:start w:val="1"/>
      <w:numFmt w:val="decimal"/>
      <w:isLgl/>
      <w:lvlText w:val="%1.%2.%3.%4.%5"/>
      <w:lvlJc w:val="left"/>
      <w:pPr>
        <w:ind w:left="1648" w:hanging="1080"/>
      </w:pPr>
    </w:lvl>
    <w:lvl w:ilvl="5" w:tentative="0">
      <w:start w:val="1"/>
      <w:numFmt w:val="decimal"/>
      <w:isLgl/>
      <w:lvlText w:val="%1.%2.%3.%4.%5.%6"/>
      <w:lvlJc w:val="left"/>
      <w:pPr>
        <w:ind w:left="2008" w:hanging="1440"/>
      </w:pPr>
    </w:lvl>
    <w:lvl w:ilvl="6" w:tentative="0">
      <w:start w:val="1"/>
      <w:numFmt w:val="decimal"/>
      <w:isLgl/>
      <w:lvlText w:val="%1.%2.%3.%4.%5.%6.%7"/>
      <w:lvlJc w:val="left"/>
      <w:pPr>
        <w:ind w:left="2368" w:hanging="1800"/>
      </w:pPr>
    </w:lvl>
    <w:lvl w:ilvl="7" w:tentative="0">
      <w:start w:val="1"/>
      <w:numFmt w:val="decimal"/>
      <w:isLgl/>
      <w:lvlText w:val="%1.%2.%3.%4.%5.%6.%7.%8"/>
      <w:lvlJc w:val="left"/>
      <w:pPr>
        <w:ind w:left="2368" w:hanging="1800"/>
      </w:pPr>
    </w:lvl>
    <w:lvl w:ilvl="8" w:tentative="0">
      <w:start w:val="1"/>
      <w:numFmt w:val="decimal"/>
      <w:isLgl/>
      <w:lvlText w:val="%1.%2.%3.%4.%5.%6.%7.%8.%9"/>
      <w:lvlJc w:val="left"/>
      <w:pPr>
        <w:ind w:left="2728" w:hanging="2160"/>
      </w:pPr>
    </w:lvl>
  </w:abstractNum>
  <w:num w:numId="1">
    <w:abstractNumId w:val="11"/>
  </w:num>
  <w:num w:numId="2">
    <w:abstractNumId w:val="6"/>
  </w:num>
  <w:num w:numId="3">
    <w:abstractNumId w:val="2"/>
  </w:num>
  <w:num w:numId="4">
    <w:abstractNumId w:val="2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5"/>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24"/>
  </w:num>
  <w:num w:numId="39">
    <w:abstractNumId w:val="39"/>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6D4"/>
    <w:rsid w:val="00001186"/>
    <w:rsid w:val="000014AD"/>
    <w:rsid w:val="00001B71"/>
    <w:rsid w:val="000115D7"/>
    <w:rsid w:val="00012151"/>
    <w:rsid w:val="000141F6"/>
    <w:rsid w:val="000175B6"/>
    <w:rsid w:val="000243B4"/>
    <w:rsid w:val="00027377"/>
    <w:rsid w:val="00030E31"/>
    <w:rsid w:val="0003441E"/>
    <w:rsid w:val="00034B6E"/>
    <w:rsid w:val="000352C7"/>
    <w:rsid w:val="00037CCE"/>
    <w:rsid w:val="0004003F"/>
    <w:rsid w:val="000403DE"/>
    <w:rsid w:val="00043D8F"/>
    <w:rsid w:val="00046A45"/>
    <w:rsid w:val="000514D3"/>
    <w:rsid w:val="000518B7"/>
    <w:rsid w:val="00051C10"/>
    <w:rsid w:val="000556AE"/>
    <w:rsid w:val="00060FCD"/>
    <w:rsid w:val="00061B1F"/>
    <w:rsid w:val="00064CC8"/>
    <w:rsid w:val="00065918"/>
    <w:rsid w:val="00071C77"/>
    <w:rsid w:val="00072223"/>
    <w:rsid w:val="0007245D"/>
    <w:rsid w:val="00072790"/>
    <w:rsid w:val="0007322B"/>
    <w:rsid w:val="000740B8"/>
    <w:rsid w:val="00075226"/>
    <w:rsid w:val="00076637"/>
    <w:rsid w:val="00080AB2"/>
    <w:rsid w:val="0008183B"/>
    <w:rsid w:val="0008396B"/>
    <w:rsid w:val="00090CEC"/>
    <w:rsid w:val="00094004"/>
    <w:rsid w:val="00094BF4"/>
    <w:rsid w:val="00096E03"/>
    <w:rsid w:val="00097F27"/>
    <w:rsid w:val="000A04C0"/>
    <w:rsid w:val="000A0A88"/>
    <w:rsid w:val="000A0DBC"/>
    <w:rsid w:val="000A1D1F"/>
    <w:rsid w:val="000A2F7D"/>
    <w:rsid w:val="000A6A86"/>
    <w:rsid w:val="000A7ED1"/>
    <w:rsid w:val="000B0566"/>
    <w:rsid w:val="000B6BFA"/>
    <w:rsid w:val="000C156C"/>
    <w:rsid w:val="000C52E5"/>
    <w:rsid w:val="000C78CD"/>
    <w:rsid w:val="000D15BC"/>
    <w:rsid w:val="000D18C0"/>
    <w:rsid w:val="000D261C"/>
    <w:rsid w:val="000D28CC"/>
    <w:rsid w:val="000D4993"/>
    <w:rsid w:val="000E3744"/>
    <w:rsid w:val="000E7E9D"/>
    <w:rsid w:val="000F0E67"/>
    <w:rsid w:val="000F60AD"/>
    <w:rsid w:val="001032A8"/>
    <w:rsid w:val="0010588D"/>
    <w:rsid w:val="00105E67"/>
    <w:rsid w:val="0010662C"/>
    <w:rsid w:val="001073E5"/>
    <w:rsid w:val="00107411"/>
    <w:rsid w:val="00111388"/>
    <w:rsid w:val="00111D9C"/>
    <w:rsid w:val="0011368F"/>
    <w:rsid w:val="00121DB8"/>
    <w:rsid w:val="00122BD7"/>
    <w:rsid w:val="00122D97"/>
    <w:rsid w:val="001237A6"/>
    <w:rsid w:val="00123A95"/>
    <w:rsid w:val="00124F44"/>
    <w:rsid w:val="001262A7"/>
    <w:rsid w:val="001268B8"/>
    <w:rsid w:val="00127207"/>
    <w:rsid w:val="00132C64"/>
    <w:rsid w:val="00133D0A"/>
    <w:rsid w:val="00134996"/>
    <w:rsid w:val="00134BA8"/>
    <w:rsid w:val="001366BE"/>
    <w:rsid w:val="001408B7"/>
    <w:rsid w:val="00143673"/>
    <w:rsid w:val="00144F09"/>
    <w:rsid w:val="00144FDB"/>
    <w:rsid w:val="001471FF"/>
    <w:rsid w:val="001478E5"/>
    <w:rsid w:val="00153CE6"/>
    <w:rsid w:val="00155145"/>
    <w:rsid w:val="00163AF9"/>
    <w:rsid w:val="00167216"/>
    <w:rsid w:val="00185817"/>
    <w:rsid w:val="001861B9"/>
    <w:rsid w:val="001902FC"/>
    <w:rsid w:val="00192DEE"/>
    <w:rsid w:val="00194A61"/>
    <w:rsid w:val="001A11CD"/>
    <w:rsid w:val="001A16D4"/>
    <w:rsid w:val="001A268E"/>
    <w:rsid w:val="001A7C04"/>
    <w:rsid w:val="001B0B26"/>
    <w:rsid w:val="001B33BD"/>
    <w:rsid w:val="001B59CE"/>
    <w:rsid w:val="001B60EE"/>
    <w:rsid w:val="001B6694"/>
    <w:rsid w:val="001C0C42"/>
    <w:rsid w:val="001C2195"/>
    <w:rsid w:val="001C6504"/>
    <w:rsid w:val="001C7B91"/>
    <w:rsid w:val="001D0739"/>
    <w:rsid w:val="001D4279"/>
    <w:rsid w:val="001D57E6"/>
    <w:rsid w:val="001E2114"/>
    <w:rsid w:val="001E369C"/>
    <w:rsid w:val="001E3E2B"/>
    <w:rsid w:val="001F412D"/>
    <w:rsid w:val="001F5DE0"/>
    <w:rsid w:val="00200370"/>
    <w:rsid w:val="00201F03"/>
    <w:rsid w:val="002023C7"/>
    <w:rsid w:val="0020244C"/>
    <w:rsid w:val="00216EA3"/>
    <w:rsid w:val="002258B8"/>
    <w:rsid w:val="0023546D"/>
    <w:rsid w:val="002359E9"/>
    <w:rsid w:val="00236E6B"/>
    <w:rsid w:val="0024454D"/>
    <w:rsid w:val="00250119"/>
    <w:rsid w:val="00250F2D"/>
    <w:rsid w:val="0025426D"/>
    <w:rsid w:val="00257C0B"/>
    <w:rsid w:val="0026057E"/>
    <w:rsid w:val="00266214"/>
    <w:rsid w:val="00267499"/>
    <w:rsid w:val="00277630"/>
    <w:rsid w:val="00281AF2"/>
    <w:rsid w:val="002823B8"/>
    <w:rsid w:val="0028299F"/>
    <w:rsid w:val="00287268"/>
    <w:rsid w:val="00290A5C"/>
    <w:rsid w:val="00290E1D"/>
    <w:rsid w:val="002923EA"/>
    <w:rsid w:val="0029432D"/>
    <w:rsid w:val="002A0908"/>
    <w:rsid w:val="002A0FC0"/>
    <w:rsid w:val="002A35F1"/>
    <w:rsid w:val="002A4E91"/>
    <w:rsid w:val="002A6C35"/>
    <w:rsid w:val="002A734D"/>
    <w:rsid w:val="002B1ABE"/>
    <w:rsid w:val="002B2470"/>
    <w:rsid w:val="002B3BBD"/>
    <w:rsid w:val="002B46A8"/>
    <w:rsid w:val="002B544E"/>
    <w:rsid w:val="002B5F08"/>
    <w:rsid w:val="002B6C18"/>
    <w:rsid w:val="002B6FA3"/>
    <w:rsid w:val="002B729A"/>
    <w:rsid w:val="002B7FDA"/>
    <w:rsid w:val="002C022D"/>
    <w:rsid w:val="002C184B"/>
    <w:rsid w:val="002C758B"/>
    <w:rsid w:val="002D1454"/>
    <w:rsid w:val="002D219C"/>
    <w:rsid w:val="002D23E6"/>
    <w:rsid w:val="002D631B"/>
    <w:rsid w:val="002F2C78"/>
    <w:rsid w:val="003048DB"/>
    <w:rsid w:val="00305022"/>
    <w:rsid w:val="003059F1"/>
    <w:rsid w:val="00305EB7"/>
    <w:rsid w:val="00306F8F"/>
    <w:rsid w:val="00310E45"/>
    <w:rsid w:val="003136FF"/>
    <w:rsid w:val="00315FD1"/>
    <w:rsid w:val="00317FDF"/>
    <w:rsid w:val="00321B72"/>
    <w:rsid w:val="00325363"/>
    <w:rsid w:val="003259DB"/>
    <w:rsid w:val="00325D4A"/>
    <w:rsid w:val="003309D6"/>
    <w:rsid w:val="00345ACC"/>
    <w:rsid w:val="0035095F"/>
    <w:rsid w:val="00351C5C"/>
    <w:rsid w:val="00352B15"/>
    <w:rsid w:val="00352CC6"/>
    <w:rsid w:val="00357A5F"/>
    <w:rsid w:val="00362A5C"/>
    <w:rsid w:val="0036589D"/>
    <w:rsid w:val="003671A2"/>
    <w:rsid w:val="00367A2C"/>
    <w:rsid w:val="00376071"/>
    <w:rsid w:val="003772F0"/>
    <w:rsid w:val="0037775B"/>
    <w:rsid w:val="00377878"/>
    <w:rsid w:val="00380680"/>
    <w:rsid w:val="00381D40"/>
    <w:rsid w:val="003826D1"/>
    <w:rsid w:val="00383DEC"/>
    <w:rsid w:val="003854BD"/>
    <w:rsid w:val="00385B50"/>
    <w:rsid w:val="003872B9"/>
    <w:rsid w:val="00396342"/>
    <w:rsid w:val="003973AA"/>
    <w:rsid w:val="003A2CE7"/>
    <w:rsid w:val="003A344E"/>
    <w:rsid w:val="003A464B"/>
    <w:rsid w:val="003B254C"/>
    <w:rsid w:val="003B3D08"/>
    <w:rsid w:val="003B4E95"/>
    <w:rsid w:val="003C04C7"/>
    <w:rsid w:val="003C22B2"/>
    <w:rsid w:val="003C237F"/>
    <w:rsid w:val="003C2DEB"/>
    <w:rsid w:val="003D2F39"/>
    <w:rsid w:val="003E0EC4"/>
    <w:rsid w:val="003E439D"/>
    <w:rsid w:val="003E62C8"/>
    <w:rsid w:val="003F17D5"/>
    <w:rsid w:val="003F19C0"/>
    <w:rsid w:val="003F231B"/>
    <w:rsid w:val="003F2B24"/>
    <w:rsid w:val="003F4855"/>
    <w:rsid w:val="004023F4"/>
    <w:rsid w:val="004030C8"/>
    <w:rsid w:val="004044F7"/>
    <w:rsid w:val="0040550B"/>
    <w:rsid w:val="00406F30"/>
    <w:rsid w:val="004110CF"/>
    <w:rsid w:val="0041137C"/>
    <w:rsid w:val="004132E6"/>
    <w:rsid w:val="00413FE1"/>
    <w:rsid w:val="00414D00"/>
    <w:rsid w:val="00415846"/>
    <w:rsid w:val="0041672F"/>
    <w:rsid w:val="00421A24"/>
    <w:rsid w:val="00437153"/>
    <w:rsid w:val="004417D5"/>
    <w:rsid w:val="00444A4E"/>
    <w:rsid w:val="00450758"/>
    <w:rsid w:val="00451D9F"/>
    <w:rsid w:val="004539B0"/>
    <w:rsid w:val="00453E3D"/>
    <w:rsid w:val="00454540"/>
    <w:rsid w:val="00454B38"/>
    <w:rsid w:val="00455E6A"/>
    <w:rsid w:val="00455ED6"/>
    <w:rsid w:val="00461D47"/>
    <w:rsid w:val="004642AB"/>
    <w:rsid w:val="00464C76"/>
    <w:rsid w:val="00473B52"/>
    <w:rsid w:val="00480E1E"/>
    <w:rsid w:val="00481271"/>
    <w:rsid w:val="00482461"/>
    <w:rsid w:val="00485D6A"/>
    <w:rsid w:val="00490EB1"/>
    <w:rsid w:val="00492416"/>
    <w:rsid w:val="004937FB"/>
    <w:rsid w:val="00496BF2"/>
    <w:rsid w:val="004A33F2"/>
    <w:rsid w:val="004A46B7"/>
    <w:rsid w:val="004A6AFF"/>
    <w:rsid w:val="004A7164"/>
    <w:rsid w:val="004B488F"/>
    <w:rsid w:val="004C0629"/>
    <w:rsid w:val="004C1903"/>
    <w:rsid w:val="004C21C1"/>
    <w:rsid w:val="004D1459"/>
    <w:rsid w:val="004D5161"/>
    <w:rsid w:val="004D51B2"/>
    <w:rsid w:val="004D57C1"/>
    <w:rsid w:val="004E629C"/>
    <w:rsid w:val="004E69F1"/>
    <w:rsid w:val="004F1E70"/>
    <w:rsid w:val="004F3155"/>
    <w:rsid w:val="004F5C26"/>
    <w:rsid w:val="004F7332"/>
    <w:rsid w:val="004F77EB"/>
    <w:rsid w:val="00503FAD"/>
    <w:rsid w:val="0050629D"/>
    <w:rsid w:val="00512A0A"/>
    <w:rsid w:val="00516E36"/>
    <w:rsid w:val="00516FA0"/>
    <w:rsid w:val="00520369"/>
    <w:rsid w:val="005211D0"/>
    <w:rsid w:val="00521CCA"/>
    <w:rsid w:val="00525240"/>
    <w:rsid w:val="005267BB"/>
    <w:rsid w:val="0053002C"/>
    <w:rsid w:val="00540B6F"/>
    <w:rsid w:val="0054101C"/>
    <w:rsid w:val="00541095"/>
    <w:rsid w:val="005416D4"/>
    <w:rsid w:val="005416FA"/>
    <w:rsid w:val="00542208"/>
    <w:rsid w:val="00543239"/>
    <w:rsid w:val="00543F8F"/>
    <w:rsid w:val="0054431E"/>
    <w:rsid w:val="00545310"/>
    <w:rsid w:val="00550D84"/>
    <w:rsid w:val="00552345"/>
    <w:rsid w:val="0055261B"/>
    <w:rsid w:val="00553FA1"/>
    <w:rsid w:val="00554CC2"/>
    <w:rsid w:val="005551E8"/>
    <w:rsid w:val="00555A3D"/>
    <w:rsid w:val="0055787D"/>
    <w:rsid w:val="00557F72"/>
    <w:rsid w:val="00562493"/>
    <w:rsid w:val="00565BEE"/>
    <w:rsid w:val="0056629C"/>
    <w:rsid w:val="00570B90"/>
    <w:rsid w:val="00576208"/>
    <w:rsid w:val="005862F0"/>
    <w:rsid w:val="0059252D"/>
    <w:rsid w:val="005A0A72"/>
    <w:rsid w:val="005A0D32"/>
    <w:rsid w:val="005A13C1"/>
    <w:rsid w:val="005A635F"/>
    <w:rsid w:val="005A70E8"/>
    <w:rsid w:val="005B4FC8"/>
    <w:rsid w:val="005B754F"/>
    <w:rsid w:val="005C0053"/>
    <w:rsid w:val="005C0EE2"/>
    <w:rsid w:val="005C2371"/>
    <w:rsid w:val="005C405D"/>
    <w:rsid w:val="005C6364"/>
    <w:rsid w:val="005C7D3A"/>
    <w:rsid w:val="005D2B6B"/>
    <w:rsid w:val="005D7B85"/>
    <w:rsid w:val="005E091E"/>
    <w:rsid w:val="005E16D8"/>
    <w:rsid w:val="005E19F0"/>
    <w:rsid w:val="005E295C"/>
    <w:rsid w:val="005F120B"/>
    <w:rsid w:val="005F321A"/>
    <w:rsid w:val="005F6D42"/>
    <w:rsid w:val="00602082"/>
    <w:rsid w:val="006026DE"/>
    <w:rsid w:val="006065F6"/>
    <w:rsid w:val="00612ABE"/>
    <w:rsid w:val="00626FA7"/>
    <w:rsid w:val="00627080"/>
    <w:rsid w:val="006272D6"/>
    <w:rsid w:val="006308A5"/>
    <w:rsid w:val="00631D06"/>
    <w:rsid w:val="006320B8"/>
    <w:rsid w:val="00636B9B"/>
    <w:rsid w:val="006378C1"/>
    <w:rsid w:val="00642C40"/>
    <w:rsid w:val="00645645"/>
    <w:rsid w:val="0064767E"/>
    <w:rsid w:val="00647A70"/>
    <w:rsid w:val="00647AC9"/>
    <w:rsid w:val="0065074A"/>
    <w:rsid w:val="00651B7B"/>
    <w:rsid w:val="00653F0D"/>
    <w:rsid w:val="006548AC"/>
    <w:rsid w:val="00654DD5"/>
    <w:rsid w:val="006551E5"/>
    <w:rsid w:val="006557AD"/>
    <w:rsid w:val="00656604"/>
    <w:rsid w:val="0066243E"/>
    <w:rsid w:val="006646FC"/>
    <w:rsid w:val="00666707"/>
    <w:rsid w:val="006670AD"/>
    <w:rsid w:val="00671E18"/>
    <w:rsid w:val="00673782"/>
    <w:rsid w:val="00673AF4"/>
    <w:rsid w:val="00675258"/>
    <w:rsid w:val="00676662"/>
    <w:rsid w:val="00680AEF"/>
    <w:rsid w:val="0068137A"/>
    <w:rsid w:val="0068568B"/>
    <w:rsid w:val="00685F5A"/>
    <w:rsid w:val="006871D3"/>
    <w:rsid w:val="006872FD"/>
    <w:rsid w:val="0068756E"/>
    <w:rsid w:val="0069224F"/>
    <w:rsid w:val="00693F9D"/>
    <w:rsid w:val="00696759"/>
    <w:rsid w:val="006A39DB"/>
    <w:rsid w:val="006A601C"/>
    <w:rsid w:val="006B0CD6"/>
    <w:rsid w:val="006B5446"/>
    <w:rsid w:val="006B6DBF"/>
    <w:rsid w:val="006C0470"/>
    <w:rsid w:val="006C0C79"/>
    <w:rsid w:val="006C352A"/>
    <w:rsid w:val="006C49AC"/>
    <w:rsid w:val="006C5F89"/>
    <w:rsid w:val="006D0175"/>
    <w:rsid w:val="006D43AA"/>
    <w:rsid w:val="006D4825"/>
    <w:rsid w:val="006D5C8D"/>
    <w:rsid w:val="006D5D19"/>
    <w:rsid w:val="006D60F6"/>
    <w:rsid w:val="006E3106"/>
    <w:rsid w:val="006E36E0"/>
    <w:rsid w:val="006E3F62"/>
    <w:rsid w:val="006E4F22"/>
    <w:rsid w:val="006E7141"/>
    <w:rsid w:val="006F02B4"/>
    <w:rsid w:val="006F0597"/>
    <w:rsid w:val="006F6EA6"/>
    <w:rsid w:val="006F7414"/>
    <w:rsid w:val="00700B80"/>
    <w:rsid w:val="00703B01"/>
    <w:rsid w:val="00704D6E"/>
    <w:rsid w:val="00705675"/>
    <w:rsid w:val="00705EED"/>
    <w:rsid w:val="007101E0"/>
    <w:rsid w:val="00712E30"/>
    <w:rsid w:val="00713C61"/>
    <w:rsid w:val="007149A8"/>
    <w:rsid w:val="00715456"/>
    <w:rsid w:val="00717BA9"/>
    <w:rsid w:val="00717DA5"/>
    <w:rsid w:val="00723CC8"/>
    <w:rsid w:val="00726D1D"/>
    <w:rsid w:val="00727695"/>
    <w:rsid w:val="00730EE6"/>
    <w:rsid w:val="0073298A"/>
    <w:rsid w:val="00740A2F"/>
    <w:rsid w:val="007431F9"/>
    <w:rsid w:val="007477AD"/>
    <w:rsid w:val="0075057C"/>
    <w:rsid w:val="007513A7"/>
    <w:rsid w:val="00751480"/>
    <w:rsid w:val="0075340E"/>
    <w:rsid w:val="00754D3F"/>
    <w:rsid w:val="007560BF"/>
    <w:rsid w:val="007571C9"/>
    <w:rsid w:val="00757DEB"/>
    <w:rsid w:val="00764320"/>
    <w:rsid w:val="0076642E"/>
    <w:rsid w:val="00767EFE"/>
    <w:rsid w:val="00770A0A"/>
    <w:rsid w:val="007712B8"/>
    <w:rsid w:val="007715F6"/>
    <w:rsid w:val="007719E0"/>
    <w:rsid w:val="007736FB"/>
    <w:rsid w:val="00773D82"/>
    <w:rsid w:val="00776951"/>
    <w:rsid w:val="00780C5B"/>
    <w:rsid w:val="00783451"/>
    <w:rsid w:val="00786497"/>
    <w:rsid w:val="00793530"/>
    <w:rsid w:val="00795F4E"/>
    <w:rsid w:val="007A0A96"/>
    <w:rsid w:val="007A26C1"/>
    <w:rsid w:val="007A4A3A"/>
    <w:rsid w:val="007A6EF2"/>
    <w:rsid w:val="007B038E"/>
    <w:rsid w:val="007B0CFC"/>
    <w:rsid w:val="007B1777"/>
    <w:rsid w:val="007B5FB7"/>
    <w:rsid w:val="007B6E0E"/>
    <w:rsid w:val="007C034B"/>
    <w:rsid w:val="007C7BFC"/>
    <w:rsid w:val="007C7CBC"/>
    <w:rsid w:val="007D0A52"/>
    <w:rsid w:val="007D2305"/>
    <w:rsid w:val="007D2E1D"/>
    <w:rsid w:val="007D3F68"/>
    <w:rsid w:val="007D4EB4"/>
    <w:rsid w:val="007D549B"/>
    <w:rsid w:val="007D5868"/>
    <w:rsid w:val="007D5C21"/>
    <w:rsid w:val="007D6D58"/>
    <w:rsid w:val="007D7265"/>
    <w:rsid w:val="007D7BDB"/>
    <w:rsid w:val="007E2A9E"/>
    <w:rsid w:val="007E45B9"/>
    <w:rsid w:val="007E54C8"/>
    <w:rsid w:val="007E5548"/>
    <w:rsid w:val="007F07FA"/>
    <w:rsid w:val="007F3076"/>
    <w:rsid w:val="007F77C7"/>
    <w:rsid w:val="00801531"/>
    <w:rsid w:val="00802C18"/>
    <w:rsid w:val="00806E5E"/>
    <w:rsid w:val="008079EB"/>
    <w:rsid w:val="00807CC4"/>
    <w:rsid w:val="00815525"/>
    <w:rsid w:val="00816B68"/>
    <w:rsid w:val="008175E0"/>
    <w:rsid w:val="00821EFD"/>
    <w:rsid w:val="00822688"/>
    <w:rsid w:val="00822E21"/>
    <w:rsid w:val="0082604D"/>
    <w:rsid w:val="00827354"/>
    <w:rsid w:val="00827831"/>
    <w:rsid w:val="00830B48"/>
    <w:rsid w:val="0083164D"/>
    <w:rsid w:val="008318C0"/>
    <w:rsid w:val="008344E1"/>
    <w:rsid w:val="00836A82"/>
    <w:rsid w:val="00836B86"/>
    <w:rsid w:val="008409EE"/>
    <w:rsid w:val="008435B2"/>
    <w:rsid w:val="008439C6"/>
    <w:rsid w:val="0084516F"/>
    <w:rsid w:val="008465E3"/>
    <w:rsid w:val="00846A31"/>
    <w:rsid w:val="00851A19"/>
    <w:rsid w:val="0085377B"/>
    <w:rsid w:val="008553D1"/>
    <w:rsid w:val="00855A14"/>
    <w:rsid w:val="00855DF8"/>
    <w:rsid w:val="008602E5"/>
    <w:rsid w:val="00863FFA"/>
    <w:rsid w:val="00865690"/>
    <w:rsid w:val="00867148"/>
    <w:rsid w:val="0087013A"/>
    <w:rsid w:val="00875CAD"/>
    <w:rsid w:val="00877F22"/>
    <w:rsid w:val="00881614"/>
    <w:rsid w:val="00881FD7"/>
    <w:rsid w:val="00884A57"/>
    <w:rsid w:val="008868F4"/>
    <w:rsid w:val="00887597"/>
    <w:rsid w:val="00890872"/>
    <w:rsid w:val="00893EC4"/>
    <w:rsid w:val="00894014"/>
    <w:rsid w:val="00894C03"/>
    <w:rsid w:val="00894FD9"/>
    <w:rsid w:val="00895FBF"/>
    <w:rsid w:val="008A0693"/>
    <w:rsid w:val="008A1AFF"/>
    <w:rsid w:val="008A26CA"/>
    <w:rsid w:val="008A3011"/>
    <w:rsid w:val="008A31B9"/>
    <w:rsid w:val="008A491C"/>
    <w:rsid w:val="008A50AC"/>
    <w:rsid w:val="008A59B4"/>
    <w:rsid w:val="008B6096"/>
    <w:rsid w:val="008B6379"/>
    <w:rsid w:val="008C269A"/>
    <w:rsid w:val="008C2BE7"/>
    <w:rsid w:val="008C411C"/>
    <w:rsid w:val="008C48AE"/>
    <w:rsid w:val="008C7E4C"/>
    <w:rsid w:val="008D0437"/>
    <w:rsid w:val="008D2A3B"/>
    <w:rsid w:val="008D3722"/>
    <w:rsid w:val="008D3F9F"/>
    <w:rsid w:val="008D7485"/>
    <w:rsid w:val="008E1246"/>
    <w:rsid w:val="008E21A9"/>
    <w:rsid w:val="008E258A"/>
    <w:rsid w:val="008E53F9"/>
    <w:rsid w:val="008E7EAE"/>
    <w:rsid w:val="008F254C"/>
    <w:rsid w:val="008F2A0D"/>
    <w:rsid w:val="008F38AF"/>
    <w:rsid w:val="008F5E19"/>
    <w:rsid w:val="008F6FA3"/>
    <w:rsid w:val="009016CE"/>
    <w:rsid w:val="009018B3"/>
    <w:rsid w:val="00901ECD"/>
    <w:rsid w:val="009035B3"/>
    <w:rsid w:val="00905839"/>
    <w:rsid w:val="009065A8"/>
    <w:rsid w:val="00907431"/>
    <w:rsid w:val="0091012C"/>
    <w:rsid w:val="009108B0"/>
    <w:rsid w:val="00911362"/>
    <w:rsid w:val="009147A4"/>
    <w:rsid w:val="00915485"/>
    <w:rsid w:val="00917355"/>
    <w:rsid w:val="0092029D"/>
    <w:rsid w:val="009248FC"/>
    <w:rsid w:val="00925230"/>
    <w:rsid w:val="0092585C"/>
    <w:rsid w:val="00926676"/>
    <w:rsid w:val="0092720F"/>
    <w:rsid w:val="0093403E"/>
    <w:rsid w:val="009364CF"/>
    <w:rsid w:val="00936691"/>
    <w:rsid w:val="009378BF"/>
    <w:rsid w:val="0094201C"/>
    <w:rsid w:val="00946CAF"/>
    <w:rsid w:val="009511AB"/>
    <w:rsid w:val="00951219"/>
    <w:rsid w:val="0095172F"/>
    <w:rsid w:val="00952677"/>
    <w:rsid w:val="00954712"/>
    <w:rsid w:val="00955FB3"/>
    <w:rsid w:val="0096104E"/>
    <w:rsid w:val="009613B3"/>
    <w:rsid w:val="00962C7D"/>
    <w:rsid w:val="00963F27"/>
    <w:rsid w:val="00965E96"/>
    <w:rsid w:val="00966327"/>
    <w:rsid w:val="00970DEA"/>
    <w:rsid w:val="00971325"/>
    <w:rsid w:val="009725D8"/>
    <w:rsid w:val="00977951"/>
    <w:rsid w:val="00982626"/>
    <w:rsid w:val="009872DB"/>
    <w:rsid w:val="009903DE"/>
    <w:rsid w:val="00994398"/>
    <w:rsid w:val="00995C7B"/>
    <w:rsid w:val="009971B8"/>
    <w:rsid w:val="009A053C"/>
    <w:rsid w:val="009A248F"/>
    <w:rsid w:val="009A501D"/>
    <w:rsid w:val="009A5678"/>
    <w:rsid w:val="009A68F5"/>
    <w:rsid w:val="009B1675"/>
    <w:rsid w:val="009B58AF"/>
    <w:rsid w:val="009C1154"/>
    <w:rsid w:val="009C37CA"/>
    <w:rsid w:val="009C3BA2"/>
    <w:rsid w:val="009C63C3"/>
    <w:rsid w:val="009C746B"/>
    <w:rsid w:val="009D10AD"/>
    <w:rsid w:val="009D6AF5"/>
    <w:rsid w:val="009D6D5B"/>
    <w:rsid w:val="009E01C8"/>
    <w:rsid w:val="009E0372"/>
    <w:rsid w:val="009E19A0"/>
    <w:rsid w:val="009E1EF6"/>
    <w:rsid w:val="009E6146"/>
    <w:rsid w:val="009E63B9"/>
    <w:rsid w:val="009F0DB7"/>
    <w:rsid w:val="009F496E"/>
    <w:rsid w:val="009F6780"/>
    <w:rsid w:val="00A0119E"/>
    <w:rsid w:val="00A020EB"/>
    <w:rsid w:val="00A06B09"/>
    <w:rsid w:val="00A10B6D"/>
    <w:rsid w:val="00A1129D"/>
    <w:rsid w:val="00A1339A"/>
    <w:rsid w:val="00A1574E"/>
    <w:rsid w:val="00A16AA7"/>
    <w:rsid w:val="00A17799"/>
    <w:rsid w:val="00A2013E"/>
    <w:rsid w:val="00A23726"/>
    <w:rsid w:val="00A25B6F"/>
    <w:rsid w:val="00A2615C"/>
    <w:rsid w:val="00A301C6"/>
    <w:rsid w:val="00A31667"/>
    <w:rsid w:val="00A3426A"/>
    <w:rsid w:val="00A35765"/>
    <w:rsid w:val="00A36E25"/>
    <w:rsid w:val="00A37352"/>
    <w:rsid w:val="00A37E17"/>
    <w:rsid w:val="00A420B4"/>
    <w:rsid w:val="00A44042"/>
    <w:rsid w:val="00A44395"/>
    <w:rsid w:val="00A4562E"/>
    <w:rsid w:val="00A4725E"/>
    <w:rsid w:val="00A5327E"/>
    <w:rsid w:val="00A56FA5"/>
    <w:rsid w:val="00A60A57"/>
    <w:rsid w:val="00A7094C"/>
    <w:rsid w:val="00A70B4C"/>
    <w:rsid w:val="00A71E38"/>
    <w:rsid w:val="00A861B6"/>
    <w:rsid w:val="00A86A02"/>
    <w:rsid w:val="00A86BED"/>
    <w:rsid w:val="00A92071"/>
    <w:rsid w:val="00A93303"/>
    <w:rsid w:val="00A96BE3"/>
    <w:rsid w:val="00AA09CA"/>
    <w:rsid w:val="00AA0E63"/>
    <w:rsid w:val="00AA408C"/>
    <w:rsid w:val="00AA5229"/>
    <w:rsid w:val="00AA660C"/>
    <w:rsid w:val="00AB1127"/>
    <w:rsid w:val="00AB2105"/>
    <w:rsid w:val="00AC5977"/>
    <w:rsid w:val="00AC623E"/>
    <w:rsid w:val="00AD2FF1"/>
    <w:rsid w:val="00AD4F5A"/>
    <w:rsid w:val="00AD7551"/>
    <w:rsid w:val="00AE18E6"/>
    <w:rsid w:val="00AE1F28"/>
    <w:rsid w:val="00AE5199"/>
    <w:rsid w:val="00AE5F10"/>
    <w:rsid w:val="00AF2422"/>
    <w:rsid w:val="00AF54C6"/>
    <w:rsid w:val="00B0162A"/>
    <w:rsid w:val="00B02E10"/>
    <w:rsid w:val="00B04827"/>
    <w:rsid w:val="00B0526D"/>
    <w:rsid w:val="00B05831"/>
    <w:rsid w:val="00B06C4F"/>
    <w:rsid w:val="00B0755F"/>
    <w:rsid w:val="00B11DC8"/>
    <w:rsid w:val="00B128C8"/>
    <w:rsid w:val="00B14099"/>
    <w:rsid w:val="00B14EC8"/>
    <w:rsid w:val="00B14F90"/>
    <w:rsid w:val="00B204D2"/>
    <w:rsid w:val="00B22954"/>
    <w:rsid w:val="00B25536"/>
    <w:rsid w:val="00B25CE7"/>
    <w:rsid w:val="00B25E6E"/>
    <w:rsid w:val="00B26012"/>
    <w:rsid w:val="00B302DC"/>
    <w:rsid w:val="00B32191"/>
    <w:rsid w:val="00B37BCF"/>
    <w:rsid w:val="00B37D0A"/>
    <w:rsid w:val="00B41E9C"/>
    <w:rsid w:val="00B42AB8"/>
    <w:rsid w:val="00B4520A"/>
    <w:rsid w:val="00B45CDC"/>
    <w:rsid w:val="00B51908"/>
    <w:rsid w:val="00B5326F"/>
    <w:rsid w:val="00B560A1"/>
    <w:rsid w:val="00B56739"/>
    <w:rsid w:val="00B572D0"/>
    <w:rsid w:val="00B668E1"/>
    <w:rsid w:val="00B673F4"/>
    <w:rsid w:val="00B71718"/>
    <w:rsid w:val="00B74D61"/>
    <w:rsid w:val="00B75EE4"/>
    <w:rsid w:val="00B772FA"/>
    <w:rsid w:val="00B8140B"/>
    <w:rsid w:val="00B82721"/>
    <w:rsid w:val="00B82C8D"/>
    <w:rsid w:val="00B8500A"/>
    <w:rsid w:val="00B85368"/>
    <w:rsid w:val="00B9180C"/>
    <w:rsid w:val="00B93639"/>
    <w:rsid w:val="00B93DEB"/>
    <w:rsid w:val="00B950DF"/>
    <w:rsid w:val="00B958F4"/>
    <w:rsid w:val="00B95A28"/>
    <w:rsid w:val="00B96FF3"/>
    <w:rsid w:val="00BB0E10"/>
    <w:rsid w:val="00BB2867"/>
    <w:rsid w:val="00BB6E19"/>
    <w:rsid w:val="00BC0A36"/>
    <w:rsid w:val="00BC541F"/>
    <w:rsid w:val="00BD10FB"/>
    <w:rsid w:val="00BD2D6B"/>
    <w:rsid w:val="00BD3681"/>
    <w:rsid w:val="00BD3F1F"/>
    <w:rsid w:val="00BD454B"/>
    <w:rsid w:val="00BE69B4"/>
    <w:rsid w:val="00BE74CE"/>
    <w:rsid w:val="00BF4B00"/>
    <w:rsid w:val="00BF6056"/>
    <w:rsid w:val="00C0374B"/>
    <w:rsid w:val="00C03BB4"/>
    <w:rsid w:val="00C04B7B"/>
    <w:rsid w:val="00C056BB"/>
    <w:rsid w:val="00C06829"/>
    <w:rsid w:val="00C07C25"/>
    <w:rsid w:val="00C11711"/>
    <w:rsid w:val="00C179CA"/>
    <w:rsid w:val="00C25C2B"/>
    <w:rsid w:val="00C276A7"/>
    <w:rsid w:val="00C303AD"/>
    <w:rsid w:val="00C30B81"/>
    <w:rsid w:val="00C30D53"/>
    <w:rsid w:val="00C30FA1"/>
    <w:rsid w:val="00C34EB0"/>
    <w:rsid w:val="00C36913"/>
    <w:rsid w:val="00C36B4E"/>
    <w:rsid w:val="00C4016E"/>
    <w:rsid w:val="00C4116C"/>
    <w:rsid w:val="00C51EC3"/>
    <w:rsid w:val="00C53932"/>
    <w:rsid w:val="00C54448"/>
    <w:rsid w:val="00C60C21"/>
    <w:rsid w:val="00C61592"/>
    <w:rsid w:val="00C63AC3"/>
    <w:rsid w:val="00C640C6"/>
    <w:rsid w:val="00C6423C"/>
    <w:rsid w:val="00C65ED0"/>
    <w:rsid w:val="00C6761E"/>
    <w:rsid w:val="00C70E74"/>
    <w:rsid w:val="00C737F6"/>
    <w:rsid w:val="00C75791"/>
    <w:rsid w:val="00C75E07"/>
    <w:rsid w:val="00C76A2E"/>
    <w:rsid w:val="00C80668"/>
    <w:rsid w:val="00C905A4"/>
    <w:rsid w:val="00C91820"/>
    <w:rsid w:val="00C9549E"/>
    <w:rsid w:val="00C956B1"/>
    <w:rsid w:val="00C9599A"/>
    <w:rsid w:val="00C9618B"/>
    <w:rsid w:val="00CA06D6"/>
    <w:rsid w:val="00CA07B5"/>
    <w:rsid w:val="00CA51D8"/>
    <w:rsid w:val="00CA74BE"/>
    <w:rsid w:val="00CB041D"/>
    <w:rsid w:val="00CB1CD9"/>
    <w:rsid w:val="00CB443C"/>
    <w:rsid w:val="00CB466B"/>
    <w:rsid w:val="00CB4B67"/>
    <w:rsid w:val="00CB5AF7"/>
    <w:rsid w:val="00CB5F88"/>
    <w:rsid w:val="00CB66A1"/>
    <w:rsid w:val="00CC0110"/>
    <w:rsid w:val="00CC18DF"/>
    <w:rsid w:val="00CC4EBE"/>
    <w:rsid w:val="00CD3CBF"/>
    <w:rsid w:val="00CD7AFB"/>
    <w:rsid w:val="00CE0807"/>
    <w:rsid w:val="00CE0967"/>
    <w:rsid w:val="00CE3AC4"/>
    <w:rsid w:val="00CE448D"/>
    <w:rsid w:val="00CE76DC"/>
    <w:rsid w:val="00CE7A61"/>
    <w:rsid w:val="00CF0E3B"/>
    <w:rsid w:val="00CF1907"/>
    <w:rsid w:val="00CF5368"/>
    <w:rsid w:val="00CF77E0"/>
    <w:rsid w:val="00D043F0"/>
    <w:rsid w:val="00D0518C"/>
    <w:rsid w:val="00D06718"/>
    <w:rsid w:val="00D07B57"/>
    <w:rsid w:val="00D15C2D"/>
    <w:rsid w:val="00D160C4"/>
    <w:rsid w:val="00D174F9"/>
    <w:rsid w:val="00D2197A"/>
    <w:rsid w:val="00D23120"/>
    <w:rsid w:val="00D238EE"/>
    <w:rsid w:val="00D26E08"/>
    <w:rsid w:val="00D312B2"/>
    <w:rsid w:val="00D36479"/>
    <w:rsid w:val="00D3706A"/>
    <w:rsid w:val="00D37995"/>
    <w:rsid w:val="00D4311A"/>
    <w:rsid w:val="00D43DE9"/>
    <w:rsid w:val="00D44390"/>
    <w:rsid w:val="00D51B77"/>
    <w:rsid w:val="00D53F4E"/>
    <w:rsid w:val="00D547DC"/>
    <w:rsid w:val="00D55190"/>
    <w:rsid w:val="00D56AEA"/>
    <w:rsid w:val="00D60811"/>
    <w:rsid w:val="00D62941"/>
    <w:rsid w:val="00D6306E"/>
    <w:rsid w:val="00D65C74"/>
    <w:rsid w:val="00D66060"/>
    <w:rsid w:val="00D67E2D"/>
    <w:rsid w:val="00D73F77"/>
    <w:rsid w:val="00D7670A"/>
    <w:rsid w:val="00D82056"/>
    <w:rsid w:val="00D8576D"/>
    <w:rsid w:val="00D90D1E"/>
    <w:rsid w:val="00D917DE"/>
    <w:rsid w:val="00D966C9"/>
    <w:rsid w:val="00D96BE0"/>
    <w:rsid w:val="00DA0594"/>
    <w:rsid w:val="00DA15E2"/>
    <w:rsid w:val="00DA21FB"/>
    <w:rsid w:val="00DA5A85"/>
    <w:rsid w:val="00DA6808"/>
    <w:rsid w:val="00DB01BF"/>
    <w:rsid w:val="00DB04A7"/>
    <w:rsid w:val="00DB0F4C"/>
    <w:rsid w:val="00DB23B4"/>
    <w:rsid w:val="00DB2A92"/>
    <w:rsid w:val="00DB3FD6"/>
    <w:rsid w:val="00DB41AF"/>
    <w:rsid w:val="00DB7E76"/>
    <w:rsid w:val="00DC1525"/>
    <w:rsid w:val="00DC2865"/>
    <w:rsid w:val="00DC6537"/>
    <w:rsid w:val="00DD0BC6"/>
    <w:rsid w:val="00DD433A"/>
    <w:rsid w:val="00DD517A"/>
    <w:rsid w:val="00DD56D5"/>
    <w:rsid w:val="00DD5D55"/>
    <w:rsid w:val="00DD7A21"/>
    <w:rsid w:val="00DD7C85"/>
    <w:rsid w:val="00DE02EF"/>
    <w:rsid w:val="00DE1E00"/>
    <w:rsid w:val="00DE2A7B"/>
    <w:rsid w:val="00DE56DF"/>
    <w:rsid w:val="00DF0935"/>
    <w:rsid w:val="00DF186F"/>
    <w:rsid w:val="00DF1C26"/>
    <w:rsid w:val="00E075CA"/>
    <w:rsid w:val="00E12BCD"/>
    <w:rsid w:val="00E14BF1"/>
    <w:rsid w:val="00E14F25"/>
    <w:rsid w:val="00E20E5A"/>
    <w:rsid w:val="00E21A0D"/>
    <w:rsid w:val="00E22362"/>
    <w:rsid w:val="00E223ED"/>
    <w:rsid w:val="00E254E0"/>
    <w:rsid w:val="00E26769"/>
    <w:rsid w:val="00E278A6"/>
    <w:rsid w:val="00E30E70"/>
    <w:rsid w:val="00E32899"/>
    <w:rsid w:val="00E32EC7"/>
    <w:rsid w:val="00E33B64"/>
    <w:rsid w:val="00E403D2"/>
    <w:rsid w:val="00E41B13"/>
    <w:rsid w:val="00E4569B"/>
    <w:rsid w:val="00E46B93"/>
    <w:rsid w:val="00E47DFE"/>
    <w:rsid w:val="00E52228"/>
    <w:rsid w:val="00E537F6"/>
    <w:rsid w:val="00E55917"/>
    <w:rsid w:val="00E659CF"/>
    <w:rsid w:val="00E70AEA"/>
    <w:rsid w:val="00E731B9"/>
    <w:rsid w:val="00E77A13"/>
    <w:rsid w:val="00E803F1"/>
    <w:rsid w:val="00E80555"/>
    <w:rsid w:val="00E83A59"/>
    <w:rsid w:val="00E85DA7"/>
    <w:rsid w:val="00E879F0"/>
    <w:rsid w:val="00E9016E"/>
    <w:rsid w:val="00E91619"/>
    <w:rsid w:val="00E942EE"/>
    <w:rsid w:val="00E967CD"/>
    <w:rsid w:val="00E96C70"/>
    <w:rsid w:val="00E97716"/>
    <w:rsid w:val="00EA218D"/>
    <w:rsid w:val="00EA21BC"/>
    <w:rsid w:val="00EA35CE"/>
    <w:rsid w:val="00EA478D"/>
    <w:rsid w:val="00EA55D7"/>
    <w:rsid w:val="00EB5195"/>
    <w:rsid w:val="00EB5D94"/>
    <w:rsid w:val="00EC0B24"/>
    <w:rsid w:val="00EC2852"/>
    <w:rsid w:val="00EC49FF"/>
    <w:rsid w:val="00EC66DD"/>
    <w:rsid w:val="00EC6CA9"/>
    <w:rsid w:val="00EC7450"/>
    <w:rsid w:val="00ED2F68"/>
    <w:rsid w:val="00ED2FED"/>
    <w:rsid w:val="00ED3AF5"/>
    <w:rsid w:val="00ED3BC1"/>
    <w:rsid w:val="00ED3E86"/>
    <w:rsid w:val="00ED6272"/>
    <w:rsid w:val="00EE04B8"/>
    <w:rsid w:val="00EE04F6"/>
    <w:rsid w:val="00EE1FDE"/>
    <w:rsid w:val="00EE42A3"/>
    <w:rsid w:val="00EF0045"/>
    <w:rsid w:val="00EF130A"/>
    <w:rsid w:val="00EF22E3"/>
    <w:rsid w:val="00EF4C3C"/>
    <w:rsid w:val="00EF6688"/>
    <w:rsid w:val="00F1035A"/>
    <w:rsid w:val="00F153C7"/>
    <w:rsid w:val="00F20531"/>
    <w:rsid w:val="00F23178"/>
    <w:rsid w:val="00F23671"/>
    <w:rsid w:val="00F244AE"/>
    <w:rsid w:val="00F25130"/>
    <w:rsid w:val="00F31C7C"/>
    <w:rsid w:val="00F33887"/>
    <w:rsid w:val="00F400F6"/>
    <w:rsid w:val="00F419CF"/>
    <w:rsid w:val="00F41AEA"/>
    <w:rsid w:val="00F42C83"/>
    <w:rsid w:val="00F47CDF"/>
    <w:rsid w:val="00F50729"/>
    <w:rsid w:val="00F545BB"/>
    <w:rsid w:val="00F62B66"/>
    <w:rsid w:val="00F67ACB"/>
    <w:rsid w:val="00F70261"/>
    <w:rsid w:val="00F81C60"/>
    <w:rsid w:val="00F8328F"/>
    <w:rsid w:val="00F83B56"/>
    <w:rsid w:val="00F90655"/>
    <w:rsid w:val="00F96652"/>
    <w:rsid w:val="00FA01CE"/>
    <w:rsid w:val="00FA03F9"/>
    <w:rsid w:val="00FA2CAE"/>
    <w:rsid w:val="00FA6039"/>
    <w:rsid w:val="00FA639C"/>
    <w:rsid w:val="00FB2B3C"/>
    <w:rsid w:val="00FB2C5D"/>
    <w:rsid w:val="00FB3DE3"/>
    <w:rsid w:val="00FB63F2"/>
    <w:rsid w:val="00FB6571"/>
    <w:rsid w:val="00FC27FC"/>
    <w:rsid w:val="00FC3E65"/>
    <w:rsid w:val="00FC554B"/>
    <w:rsid w:val="00FC6936"/>
    <w:rsid w:val="00FC6C3D"/>
    <w:rsid w:val="00FD4714"/>
    <w:rsid w:val="00FD5FB7"/>
    <w:rsid w:val="00FD6888"/>
    <w:rsid w:val="00FD74A2"/>
    <w:rsid w:val="00FE02F4"/>
    <w:rsid w:val="00FE47B2"/>
    <w:rsid w:val="00FF72E9"/>
    <w:rsid w:val="00FF75D6"/>
    <w:rsid w:val="01064846"/>
    <w:rsid w:val="01110C7E"/>
    <w:rsid w:val="01D6214C"/>
    <w:rsid w:val="02066F25"/>
    <w:rsid w:val="020B4B6C"/>
    <w:rsid w:val="023F6EA0"/>
    <w:rsid w:val="0283190E"/>
    <w:rsid w:val="02947BB6"/>
    <w:rsid w:val="02B74953"/>
    <w:rsid w:val="03245977"/>
    <w:rsid w:val="038F7882"/>
    <w:rsid w:val="04435CAF"/>
    <w:rsid w:val="04563A87"/>
    <w:rsid w:val="04601113"/>
    <w:rsid w:val="0480507F"/>
    <w:rsid w:val="04874E07"/>
    <w:rsid w:val="04BE3FD5"/>
    <w:rsid w:val="050B29E0"/>
    <w:rsid w:val="05640997"/>
    <w:rsid w:val="05690A37"/>
    <w:rsid w:val="05E46EB9"/>
    <w:rsid w:val="05F11535"/>
    <w:rsid w:val="060D0029"/>
    <w:rsid w:val="061F1D9A"/>
    <w:rsid w:val="06220B15"/>
    <w:rsid w:val="064478BD"/>
    <w:rsid w:val="065732C7"/>
    <w:rsid w:val="06C1114D"/>
    <w:rsid w:val="06E92684"/>
    <w:rsid w:val="06EC7BCF"/>
    <w:rsid w:val="07610B9D"/>
    <w:rsid w:val="077403D9"/>
    <w:rsid w:val="078E5356"/>
    <w:rsid w:val="079C207B"/>
    <w:rsid w:val="08095AB6"/>
    <w:rsid w:val="08276323"/>
    <w:rsid w:val="08907003"/>
    <w:rsid w:val="08F52C82"/>
    <w:rsid w:val="08F728B2"/>
    <w:rsid w:val="091B74ED"/>
    <w:rsid w:val="092A14C6"/>
    <w:rsid w:val="096B3D28"/>
    <w:rsid w:val="096B79CE"/>
    <w:rsid w:val="09A57E19"/>
    <w:rsid w:val="0A214B75"/>
    <w:rsid w:val="0A3C0567"/>
    <w:rsid w:val="0A4B5ABD"/>
    <w:rsid w:val="0A4E5205"/>
    <w:rsid w:val="0A562CF3"/>
    <w:rsid w:val="0A612037"/>
    <w:rsid w:val="0A625978"/>
    <w:rsid w:val="0A742C8D"/>
    <w:rsid w:val="0AAE1D8E"/>
    <w:rsid w:val="0ADA2608"/>
    <w:rsid w:val="0AF96732"/>
    <w:rsid w:val="0B2C095E"/>
    <w:rsid w:val="0B4041D7"/>
    <w:rsid w:val="0B933AC0"/>
    <w:rsid w:val="0B9A17BB"/>
    <w:rsid w:val="0BC87AAF"/>
    <w:rsid w:val="0C1C2883"/>
    <w:rsid w:val="0C3A3FE9"/>
    <w:rsid w:val="0C3E66C7"/>
    <w:rsid w:val="0C816FFC"/>
    <w:rsid w:val="0CB2383D"/>
    <w:rsid w:val="0CD92DB3"/>
    <w:rsid w:val="0CFD08FC"/>
    <w:rsid w:val="0D4202A7"/>
    <w:rsid w:val="0D7F26D0"/>
    <w:rsid w:val="0D9942EB"/>
    <w:rsid w:val="0DA53DFB"/>
    <w:rsid w:val="0DD361BF"/>
    <w:rsid w:val="0DF132D3"/>
    <w:rsid w:val="0E020FD6"/>
    <w:rsid w:val="0EA5717B"/>
    <w:rsid w:val="0EF44271"/>
    <w:rsid w:val="0F220F9D"/>
    <w:rsid w:val="0F374C89"/>
    <w:rsid w:val="0F3B4C16"/>
    <w:rsid w:val="0F3D159E"/>
    <w:rsid w:val="0F8A7E32"/>
    <w:rsid w:val="0FA86FEC"/>
    <w:rsid w:val="0FDF5911"/>
    <w:rsid w:val="102C2AB6"/>
    <w:rsid w:val="1052192F"/>
    <w:rsid w:val="107F1B5E"/>
    <w:rsid w:val="11195867"/>
    <w:rsid w:val="112C1672"/>
    <w:rsid w:val="11397568"/>
    <w:rsid w:val="11537F10"/>
    <w:rsid w:val="116F5C1A"/>
    <w:rsid w:val="11CC588F"/>
    <w:rsid w:val="11F652A4"/>
    <w:rsid w:val="12101635"/>
    <w:rsid w:val="12492772"/>
    <w:rsid w:val="12556E79"/>
    <w:rsid w:val="12F5626F"/>
    <w:rsid w:val="13091B14"/>
    <w:rsid w:val="13207C48"/>
    <w:rsid w:val="13255A4B"/>
    <w:rsid w:val="139F5B7F"/>
    <w:rsid w:val="13A561F1"/>
    <w:rsid w:val="13A66336"/>
    <w:rsid w:val="14576714"/>
    <w:rsid w:val="1468521D"/>
    <w:rsid w:val="14A36BF5"/>
    <w:rsid w:val="151C12F2"/>
    <w:rsid w:val="155008CE"/>
    <w:rsid w:val="15993934"/>
    <w:rsid w:val="15A272C2"/>
    <w:rsid w:val="15BC3D52"/>
    <w:rsid w:val="15CA25C1"/>
    <w:rsid w:val="15D33C94"/>
    <w:rsid w:val="16231F40"/>
    <w:rsid w:val="166516BA"/>
    <w:rsid w:val="168024A0"/>
    <w:rsid w:val="16B808BB"/>
    <w:rsid w:val="16C60F89"/>
    <w:rsid w:val="16F01250"/>
    <w:rsid w:val="17796A56"/>
    <w:rsid w:val="17EA1D67"/>
    <w:rsid w:val="17EA34BF"/>
    <w:rsid w:val="18080F6E"/>
    <w:rsid w:val="18207A62"/>
    <w:rsid w:val="183C5E26"/>
    <w:rsid w:val="18552731"/>
    <w:rsid w:val="187300E9"/>
    <w:rsid w:val="187C2330"/>
    <w:rsid w:val="18840B46"/>
    <w:rsid w:val="18C50201"/>
    <w:rsid w:val="18FA1DFA"/>
    <w:rsid w:val="18FF6BCF"/>
    <w:rsid w:val="19477463"/>
    <w:rsid w:val="19995B23"/>
    <w:rsid w:val="19C13084"/>
    <w:rsid w:val="19E2329B"/>
    <w:rsid w:val="1A1A2500"/>
    <w:rsid w:val="1A4E1009"/>
    <w:rsid w:val="1A8E4D11"/>
    <w:rsid w:val="1AC36257"/>
    <w:rsid w:val="1AD758A1"/>
    <w:rsid w:val="1AF0640D"/>
    <w:rsid w:val="1B9255EE"/>
    <w:rsid w:val="1BA10262"/>
    <w:rsid w:val="1BA403F8"/>
    <w:rsid w:val="1BEA24E5"/>
    <w:rsid w:val="1BED6719"/>
    <w:rsid w:val="1C1D708B"/>
    <w:rsid w:val="1C777E80"/>
    <w:rsid w:val="1D013123"/>
    <w:rsid w:val="1D3B43CE"/>
    <w:rsid w:val="1D8E04A9"/>
    <w:rsid w:val="1E0D0B50"/>
    <w:rsid w:val="1E626025"/>
    <w:rsid w:val="1E6A5719"/>
    <w:rsid w:val="1E721AE5"/>
    <w:rsid w:val="1E7A467B"/>
    <w:rsid w:val="1EBB3E68"/>
    <w:rsid w:val="1F0004C9"/>
    <w:rsid w:val="1F4858D7"/>
    <w:rsid w:val="1F613E86"/>
    <w:rsid w:val="1F9E6B8B"/>
    <w:rsid w:val="1FB6145F"/>
    <w:rsid w:val="1FFA16F8"/>
    <w:rsid w:val="204B55F4"/>
    <w:rsid w:val="20D94CEF"/>
    <w:rsid w:val="20EB49C0"/>
    <w:rsid w:val="2153694F"/>
    <w:rsid w:val="21796BC7"/>
    <w:rsid w:val="21841BFD"/>
    <w:rsid w:val="21C4037F"/>
    <w:rsid w:val="21E807AF"/>
    <w:rsid w:val="22372A64"/>
    <w:rsid w:val="22866197"/>
    <w:rsid w:val="228865D1"/>
    <w:rsid w:val="22CB57CA"/>
    <w:rsid w:val="22EF6181"/>
    <w:rsid w:val="23036DED"/>
    <w:rsid w:val="23071D49"/>
    <w:rsid w:val="23855C6A"/>
    <w:rsid w:val="23D325B6"/>
    <w:rsid w:val="246C21E8"/>
    <w:rsid w:val="24810784"/>
    <w:rsid w:val="248F3EB3"/>
    <w:rsid w:val="249F05BF"/>
    <w:rsid w:val="24AD3793"/>
    <w:rsid w:val="24CB16FB"/>
    <w:rsid w:val="24E12F42"/>
    <w:rsid w:val="24E627A9"/>
    <w:rsid w:val="24FD5A7E"/>
    <w:rsid w:val="251B73CD"/>
    <w:rsid w:val="25751575"/>
    <w:rsid w:val="25803153"/>
    <w:rsid w:val="25A33375"/>
    <w:rsid w:val="261256D3"/>
    <w:rsid w:val="26451C86"/>
    <w:rsid w:val="264C56C6"/>
    <w:rsid w:val="264D41D9"/>
    <w:rsid w:val="268B64CC"/>
    <w:rsid w:val="26F93D3F"/>
    <w:rsid w:val="270D3474"/>
    <w:rsid w:val="27104F26"/>
    <w:rsid w:val="27C268B2"/>
    <w:rsid w:val="27E505AA"/>
    <w:rsid w:val="280E7859"/>
    <w:rsid w:val="28221553"/>
    <w:rsid w:val="284E3E09"/>
    <w:rsid w:val="28671245"/>
    <w:rsid w:val="28A21C6B"/>
    <w:rsid w:val="28AD5588"/>
    <w:rsid w:val="291D2E77"/>
    <w:rsid w:val="291E24E0"/>
    <w:rsid w:val="2924075A"/>
    <w:rsid w:val="296A4F6A"/>
    <w:rsid w:val="29857727"/>
    <w:rsid w:val="29C45BEC"/>
    <w:rsid w:val="29F12529"/>
    <w:rsid w:val="29F27530"/>
    <w:rsid w:val="2A0E154B"/>
    <w:rsid w:val="2A203039"/>
    <w:rsid w:val="2A455D81"/>
    <w:rsid w:val="2A6240DC"/>
    <w:rsid w:val="2A736155"/>
    <w:rsid w:val="2A9F008B"/>
    <w:rsid w:val="2AD3266A"/>
    <w:rsid w:val="2B0C57BC"/>
    <w:rsid w:val="2B3C19E7"/>
    <w:rsid w:val="2B4E64F0"/>
    <w:rsid w:val="2BA666E5"/>
    <w:rsid w:val="2BB34B2C"/>
    <w:rsid w:val="2C277126"/>
    <w:rsid w:val="2C2E3565"/>
    <w:rsid w:val="2C527860"/>
    <w:rsid w:val="2C6529BC"/>
    <w:rsid w:val="2C8D4C46"/>
    <w:rsid w:val="2D3376BF"/>
    <w:rsid w:val="2D354949"/>
    <w:rsid w:val="2D464E84"/>
    <w:rsid w:val="2E2461D4"/>
    <w:rsid w:val="2E2B5996"/>
    <w:rsid w:val="2E786B88"/>
    <w:rsid w:val="2E9F65EC"/>
    <w:rsid w:val="2EBF7932"/>
    <w:rsid w:val="2F200B21"/>
    <w:rsid w:val="2F437D65"/>
    <w:rsid w:val="2FA7507D"/>
    <w:rsid w:val="2FBD3E72"/>
    <w:rsid w:val="2FE75980"/>
    <w:rsid w:val="302C4AFA"/>
    <w:rsid w:val="305B1E6B"/>
    <w:rsid w:val="30B04791"/>
    <w:rsid w:val="30B6643E"/>
    <w:rsid w:val="30DA7E51"/>
    <w:rsid w:val="31C70691"/>
    <w:rsid w:val="32107AE1"/>
    <w:rsid w:val="327F3C38"/>
    <w:rsid w:val="32896F77"/>
    <w:rsid w:val="328F55A4"/>
    <w:rsid w:val="330C2E39"/>
    <w:rsid w:val="330E1D6F"/>
    <w:rsid w:val="33101089"/>
    <w:rsid w:val="331D3BD7"/>
    <w:rsid w:val="333435E5"/>
    <w:rsid w:val="337957F7"/>
    <w:rsid w:val="33902A93"/>
    <w:rsid w:val="339C70A2"/>
    <w:rsid w:val="339D63EE"/>
    <w:rsid w:val="33B1268C"/>
    <w:rsid w:val="33BF357F"/>
    <w:rsid w:val="33C33F8A"/>
    <w:rsid w:val="33F16461"/>
    <w:rsid w:val="342B3C82"/>
    <w:rsid w:val="344A4330"/>
    <w:rsid w:val="34624513"/>
    <w:rsid w:val="34723E27"/>
    <w:rsid w:val="347A63F1"/>
    <w:rsid w:val="34A616BE"/>
    <w:rsid w:val="34FE7EB9"/>
    <w:rsid w:val="34FF6085"/>
    <w:rsid w:val="353E0FA0"/>
    <w:rsid w:val="364230EE"/>
    <w:rsid w:val="36460B25"/>
    <w:rsid w:val="36635586"/>
    <w:rsid w:val="36872E65"/>
    <w:rsid w:val="36C8792F"/>
    <w:rsid w:val="36DE1028"/>
    <w:rsid w:val="371B49CB"/>
    <w:rsid w:val="37266651"/>
    <w:rsid w:val="373767A2"/>
    <w:rsid w:val="37603165"/>
    <w:rsid w:val="377B4107"/>
    <w:rsid w:val="380C1D71"/>
    <w:rsid w:val="382D6125"/>
    <w:rsid w:val="387738E0"/>
    <w:rsid w:val="38D24353"/>
    <w:rsid w:val="38DC6A7F"/>
    <w:rsid w:val="39306FE2"/>
    <w:rsid w:val="395C75A1"/>
    <w:rsid w:val="39CD3D41"/>
    <w:rsid w:val="3A156AD0"/>
    <w:rsid w:val="3AE93080"/>
    <w:rsid w:val="3AF139D9"/>
    <w:rsid w:val="3B24635C"/>
    <w:rsid w:val="3B270E4B"/>
    <w:rsid w:val="3B3167A0"/>
    <w:rsid w:val="3B956303"/>
    <w:rsid w:val="3BA0364E"/>
    <w:rsid w:val="3BA97F1B"/>
    <w:rsid w:val="3BCD76A1"/>
    <w:rsid w:val="3BEE1DE4"/>
    <w:rsid w:val="3BF0625B"/>
    <w:rsid w:val="3BFE7C0A"/>
    <w:rsid w:val="3C332EA8"/>
    <w:rsid w:val="3C431796"/>
    <w:rsid w:val="3C480115"/>
    <w:rsid w:val="3C647F6F"/>
    <w:rsid w:val="3C9F6185"/>
    <w:rsid w:val="3CB75A9D"/>
    <w:rsid w:val="3D45279E"/>
    <w:rsid w:val="3D4608C9"/>
    <w:rsid w:val="3D6B6892"/>
    <w:rsid w:val="3D6C39B5"/>
    <w:rsid w:val="3D86326E"/>
    <w:rsid w:val="3D871BBE"/>
    <w:rsid w:val="3D886C6F"/>
    <w:rsid w:val="3D895016"/>
    <w:rsid w:val="3DB53834"/>
    <w:rsid w:val="3DE05C8A"/>
    <w:rsid w:val="3DF0627E"/>
    <w:rsid w:val="3DF370F8"/>
    <w:rsid w:val="3E500F3F"/>
    <w:rsid w:val="3E9E5D03"/>
    <w:rsid w:val="3ED84D19"/>
    <w:rsid w:val="3F015DAA"/>
    <w:rsid w:val="3F1C59DE"/>
    <w:rsid w:val="3F1D337F"/>
    <w:rsid w:val="3F203B04"/>
    <w:rsid w:val="3F425CC9"/>
    <w:rsid w:val="3F4C27EE"/>
    <w:rsid w:val="3F950944"/>
    <w:rsid w:val="3FB74C2D"/>
    <w:rsid w:val="3FD31822"/>
    <w:rsid w:val="3FD962D5"/>
    <w:rsid w:val="403B564C"/>
    <w:rsid w:val="406C1C24"/>
    <w:rsid w:val="407B32D4"/>
    <w:rsid w:val="40974B88"/>
    <w:rsid w:val="40A6640D"/>
    <w:rsid w:val="40C15B31"/>
    <w:rsid w:val="40D07C80"/>
    <w:rsid w:val="414C323A"/>
    <w:rsid w:val="415B7726"/>
    <w:rsid w:val="4172408A"/>
    <w:rsid w:val="41C70D00"/>
    <w:rsid w:val="41D26F01"/>
    <w:rsid w:val="41E85BE8"/>
    <w:rsid w:val="420F5C0E"/>
    <w:rsid w:val="42137CE6"/>
    <w:rsid w:val="42360528"/>
    <w:rsid w:val="426D1DB9"/>
    <w:rsid w:val="42971BEA"/>
    <w:rsid w:val="42BC3564"/>
    <w:rsid w:val="42CA4068"/>
    <w:rsid w:val="42D16595"/>
    <w:rsid w:val="43354CB1"/>
    <w:rsid w:val="437B4B7A"/>
    <w:rsid w:val="43EA7266"/>
    <w:rsid w:val="444926EB"/>
    <w:rsid w:val="44D075A7"/>
    <w:rsid w:val="44DC44EF"/>
    <w:rsid w:val="44F152E3"/>
    <w:rsid w:val="44FD683C"/>
    <w:rsid w:val="45C94003"/>
    <w:rsid w:val="45D91E1E"/>
    <w:rsid w:val="45F952A1"/>
    <w:rsid w:val="46705F80"/>
    <w:rsid w:val="46CB4CC0"/>
    <w:rsid w:val="471F2DAD"/>
    <w:rsid w:val="47412527"/>
    <w:rsid w:val="4747664D"/>
    <w:rsid w:val="474C6484"/>
    <w:rsid w:val="4780415A"/>
    <w:rsid w:val="478539B1"/>
    <w:rsid w:val="47AC517C"/>
    <w:rsid w:val="484E0DF2"/>
    <w:rsid w:val="487229DA"/>
    <w:rsid w:val="48CA2019"/>
    <w:rsid w:val="48FC36C9"/>
    <w:rsid w:val="49237FA9"/>
    <w:rsid w:val="493E21FC"/>
    <w:rsid w:val="496B3FF4"/>
    <w:rsid w:val="4977318D"/>
    <w:rsid w:val="49894350"/>
    <w:rsid w:val="49B75307"/>
    <w:rsid w:val="49D43D74"/>
    <w:rsid w:val="4A23551B"/>
    <w:rsid w:val="4A4751A0"/>
    <w:rsid w:val="4A9C36C0"/>
    <w:rsid w:val="4AA13B98"/>
    <w:rsid w:val="4AAF14C3"/>
    <w:rsid w:val="4AEA752D"/>
    <w:rsid w:val="4AFE5C1A"/>
    <w:rsid w:val="4B511C5C"/>
    <w:rsid w:val="4B7D43BC"/>
    <w:rsid w:val="4B834F60"/>
    <w:rsid w:val="4B9F4466"/>
    <w:rsid w:val="4BA53BAC"/>
    <w:rsid w:val="4C4058BD"/>
    <w:rsid w:val="4C4F44CC"/>
    <w:rsid w:val="4C776976"/>
    <w:rsid w:val="4CC85C6F"/>
    <w:rsid w:val="4CD33F63"/>
    <w:rsid w:val="4CEB7F20"/>
    <w:rsid w:val="4D24266B"/>
    <w:rsid w:val="4D786E7E"/>
    <w:rsid w:val="4D9150B2"/>
    <w:rsid w:val="4DE16184"/>
    <w:rsid w:val="4E762E37"/>
    <w:rsid w:val="4E87612C"/>
    <w:rsid w:val="4EFB290B"/>
    <w:rsid w:val="4F515179"/>
    <w:rsid w:val="4F5D3C7F"/>
    <w:rsid w:val="4F64704C"/>
    <w:rsid w:val="4F862F91"/>
    <w:rsid w:val="4F8B37DC"/>
    <w:rsid w:val="4F986380"/>
    <w:rsid w:val="4FDA7CA2"/>
    <w:rsid w:val="4FEC5AE9"/>
    <w:rsid w:val="4FF90B62"/>
    <w:rsid w:val="50110ACB"/>
    <w:rsid w:val="50176F6B"/>
    <w:rsid w:val="503E7840"/>
    <w:rsid w:val="504D0793"/>
    <w:rsid w:val="50917BAD"/>
    <w:rsid w:val="50923E1E"/>
    <w:rsid w:val="50BD49ED"/>
    <w:rsid w:val="50EF1C9E"/>
    <w:rsid w:val="510D3C46"/>
    <w:rsid w:val="51271DBC"/>
    <w:rsid w:val="51393996"/>
    <w:rsid w:val="515069C8"/>
    <w:rsid w:val="519879E1"/>
    <w:rsid w:val="51C821B2"/>
    <w:rsid w:val="51CA61A7"/>
    <w:rsid w:val="51CC2AF0"/>
    <w:rsid w:val="520B6FAA"/>
    <w:rsid w:val="52345BF9"/>
    <w:rsid w:val="52355D58"/>
    <w:rsid w:val="524B1514"/>
    <w:rsid w:val="52B00F3B"/>
    <w:rsid w:val="53030C91"/>
    <w:rsid w:val="533420EF"/>
    <w:rsid w:val="5384652A"/>
    <w:rsid w:val="538F7700"/>
    <w:rsid w:val="53A56FC8"/>
    <w:rsid w:val="53B719FE"/>
    <w:rsid w:val="53C47849"/>
    <w:rsid w:val="54332EAC"/>
    <w:rsid w:val="543E0E4B"/>
    <w:rsid w:val="54836EE9"/>
    <w:rsid w:val="549B6637"/>
    <w:rsid w:val="549D5276"/>
    <w:rsid w:val="54D84CE4"/>
    <w:rsid w:val="54E07B73"/>
    <w:rsid w:val="54E8056B"/>
    <w:rsid w:val="550159F2"/>
    <w:rsid w:val="5509297D"/>
    <w:rsid w:val="55424EE5"/>
    <w:rsid w:val="55697FF4"/>
    <w:rsid w:val="55711E2D"/>
    <w:rsid w:val="55DC728E"/>
    <w:rsid w:val="56330B70"/>
    <w:rsid w:val="5636754A"/>
    <w:rsid w:val="565575DC"/>
    <w:rsid w:val="567B45EA"/>
    <w:rsid w:val="56814180"/>
    <w:rsid w:val="56887A85"/>
    <w:rsid w:val="56FE56B7"/>
    <w:rsid w:val="571A31B5"/>
    <w:rsid w:val="571D3974"/>
    <w:rsid w:val="57411D6C"/>
    <w:rsid w:val="57465733"/>
    <w:rsid w:val="5760622D"/>
    <w:rsid w:val="57E32455"/>
    <w:rsid w:val="58017644"/>
    <w:rsid w:val="586A0145"/>
    <w:rsid w:val="58A51369"/>
    <w:rsid w:val="58D231A6"/>
    <w:rsid w:val="594C4C9B"/>
    <w:rsid w:val="598F3975"/>
    <w:rsid w:val="59D12B5F"/>
    <w:rsid w:val="59E93818"/>
    <w:rsid w:val="5A5F2077"/>
    <w:rsid w:val="5A763607"/>
    <w:rsid w:val="5B160152"/>
    <w:rsid w:val="5B2A7825"/>
    <w:rsid w:val="5B3E749B"/>
    <w:rsid w:val="5BB55A6E"/>
    <w:rsid w:val="5CB4741D"/>
    <w:rsid w:val="5CDA6FAC"/>
    <w:rsid w:val="5D225438"/>
    <w:rsid w:val="5D844581"/>
    <w:rsid w:val="5D8F36EE"/>
    <w:rsid w:val="5D927884"/>
    <w:rsid w:val="5DBF5BBA"/>
    <w:rsid w:val="5DDB6105"/>
    <w:rsid w:val="5E366B9A"/>
    <w:rsid w:val="5E4B3277"/>
    <w:rsid w:val="5E4D539D"/>
    <w:rsid w:val="5E5572E5"/>
    <w:rsid w:val="5E7C7994"/>
    <w:rsid w:val="5E807A23"/>
    <w:rsid w:val="5E856EEF"/>
    <w:rsid w:val="5EF1618B"/>
    <w:rsid w:val="5F32600A"/>
    <w:rsid w:val="5F3F26C1"/>
    <w:rsid w:val="5F7D031A"/>
    <w:rsid w:val="5FB26C87"/>
    <w:rsid w:val="600E7FFD"/>
    <w:rsid w:val="602919A1"/>
    <w:rsid w:val="6093321A"/>
    <w:rsid w:val="60B4619F"/>
    <w:rsid w:val="60B87446"/>
    <w:rsid w:val="60BA2E8C"/>
    <w:rsid w:val="611C1D3D"/>
    <w:rsid w:val="61655A3D"/>
    <w:rsid w:val="617C69C6"/>
    <w:rsid w:val="61A823B7"/>
    <w:rsid w:val="61D80ECB"/>
    <w:rsid w:val="61FC3136"/>
    <w:rsid w:val="625F2933"/>
    <w:rsid w:val="627D1006"/>
    <w:rsid w:val="62F43015"/>
    <w:rsid w:val="6337096B"/>
    <w:rsid w:val="63546913"/>
    <w:rsid w:val="63DA4C31"/>
    <w:rsid w:val="647625D8"/>
    <w:rsid w:val="64935AD0"/>
    <w:rsid w:val="64E82244"/>
    <w:rsid w:val="651354BD"/>
    <w:rsid w:val="65C64A8D"/>
    <w:rsid w:val="65FA4D73"/>
    <w:rsid w:val="665A1718"/>
    <w:rsid w:val="66723E80"/>
    <w:rsid w:val="667B023E"/>
    <w:rsid w:val="66892F80"/>
    <w:rsid w:val="67596CE2"/>
    <w:rsid w:val="67823321"/>
    <w:rsid w:val="67E74029"/>
    <w:rsid w:val="68154423"/>
    <w:rsid w:val="682520E5"/>
    <w:rsid w:val="6866584F"/>
    <w:rsid w:val="68704C75"/>
    <w:rsid w:val="689E715D"/>
    <w:rsid w:val="68C132E3"/>
    <w:rsid w:val="68C237A6"/>
    <w:rsid w:val="68DF13CC"/>
    <w:rsid w:val="68E575D9"/>
    <w:rsid w:val="692B249A"/>
    <w:rsid w:val="6948760F"/>
    <w:rsid w:val="69B32EE0"/>
    <w:rsid w:val="69E73230"/>
    <w:rsid w:val="69F173EA"/>
    <w:rsid w:val="69F82A5E"/>
    <w:rsid w:val="6A222CAC"/>
    <w:rsid w:val="6A26394B"/>
    <w:rsid w:val="6A2D6D1E"/>
    <w:rsid w:val="6A2F6684"/>
    <w:rsid w:val="6A31746B"/>
    <w:rsid w:val="6A4E10CE"/>
    <w:rsid w:val="6A52756A"/>
    <w:rsid w:val="6A76064E"/>
    <w:rsid w:val="6A870041"/>
    <w:rsid w:val="6A8F0CE0"/>
    <w:rsid w:val="6ABF4B45"/>
    <w:rsid w:val="6B2E5494"/>
    <w:rsid w:val="6B450972"/>
    <w:rsid w:val="6B4853F3"/>
    <w:rsid w:val="6B6B6A5D"/>
    <w:rsid w:val="6C237C2F"/>
    <w:rsid w:val="6C9E0FCC"/>
    <w:rsid w:val="6CBB74D8"/>
    <w:rsid w:val="6CF5496C"/>
    <w:rsid w:val="6D26272F"/>
    <w:rsid w:val="6D525B49"/>
    <w:rsid w:val="6D732EE2"/>
    <w:rsid w:val="6D8640F5"/>
    <w:rsid w:val="6DF01AA6"/>
    <w:rsid w:val="6DFC3AC7"/>
    <w:rsid w:val="6E0675A3"/>
    <w:rsid w:val="6E2F2717"/>
    <w:rsid w:val="6E4E3B6C"/>
    <w:rsid w:val="6E950CCA"/>
    <w:rsid w:val="6EA6371B"/>
    <w:rsid w:val="6F692A5B"/>
    <w:rsid w:val="6F6A11AE"/>
    <w:rsid w:val="6FF81FB0"/>
    <w:rsid w:val="705E141E"/>
    <w:rsid w:val="70625B9C"/>
    <w:rsid w:val="70662393"/>
    <w:rsid w:val="706B6D6D"/>
    <w:rsid w:val="70BD0B77"/>
    <w:rsid w:val="713F070A"/>
    <w:rsid w:val="716B014A"/>
    <w:rsid w:val="7195241B"/>
    <w:rsid w:val="71E33FA3"/>
    <w:rsid w:val="71F54CEE"/>
    <w:rsid w:val="72026B77"/>
    <w:rsid w:val="72120F6D"/>
    <w:rsid w:val="721C1620"/>
    <w:rsid w:val="72293238"/>
    <w:rsid w:val="727C6347"/>
    <w:rsid w:val="729828DE"/>
    <w:rsid w:val="72B410CB"/>
    <w:rsid w:val="72EB20BE"/>
    <w:rsid w:val="73022F61"/>
    <w:rsid w:val="7302523B"/>
    <w:rsid w:val="733B38A6"/>
    <w:rsid w:val="73615E34"/>
    <w:rsid w:val="73ED33EB"/>
    <w:rsid w:val="74E84A28"/>
    <w:rsid w:val="753E0896"/>
    <w:rsid w:val="75536E25"/>
    <w:rsid w:val="75A9212A"/>
    <w:rsid w:val="75E12711"/>
    <w:rsid w:val="76186C95"/>
    <w:rsid w:val="76525AEA"/>
    <w:rsid w:val="76D42C75"/>
    <w:rsid w:val="76D86B00"/>
    <w:rsid w:val="775B495B"/>
    <w:rsid w:val="777B2E5A"/>
    <w:rsid w:val="77D56D75"/>
    <w:rsid w:val="78407DAE"/>
    <w:rsid w:val="78442289"/>
    <w:rsid w:val="784C221D"/>
    <w:rsid w:val="78C24506"/>
    <w:rsid w:val="790562D9"/>
    <w:rsid w:val="797664C4"/>
    <w:rsid w:val="799362BF"/>
    <w:rsid w:val="79DC1F10"/>
    <w:rsid w:val="79FB552F"/>
    <w:rsid w:val="7AA26DC9"/>
    <w:rsid w:val="7AC51180"/>
    <w:rsid w:val="7B0564C2"/>
    <w:rsid w:val="7BBD2745"/>
    <w:rsid w:val="7BF422EB"/>
    <w:rsid w:val="7C0B48F1"/>
    <w:rsid w:val="7C253B19"/>
    <w:rsid w:val="7C3426EC"/>
    <w:rsid w:val="7C756373"/>
    <w:rsid w:val="7C864DC7"/>
    <w:rsid w:val="7D385692"/>
    <w:rsid w:val="7D3E6F4E"/>
    <w:rsid w:val="7D591126"/>
    <w:rsid w:val="7D6A69B3"/>
    <w:rsid w:val="7D6F79B2"/>
    <w:rsid w:val="7DD71F7D"/>
    <w:rsid w:val="7DF754E7"/>
    <w:rsid w:val="7E36403D"/>
    <w:rsid w:val="7E886A08"/>
    <w:rsid w:val="7F12286D"/>
    <w:rsid w:val="7F6F6A8F"/>
    <w:rsid w:val="7FA9657B"/>
    <w:rsid w:val="7FD9118A"/>
    <w:rsid w:val="7FFF5F8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8"/>
    <w:qFormat/>
    <w:uiPriority w:val="9"/>
    <w:pPr>
      <w:keepNext/>
      <w:keepLines/>
      <w:numPr>
        <w:ilvl w:val="0"/>
        <w:numId w:val="1"/>
      </w:numPr>
      <w:spacing w:before="340" w:after="330" w:line="400" w:lineRule="exact"/>
      <w:jc w:val="center"/>
      <w:outlineLvl w:val="0"/>
    </w:pPr>
    <w:rPr>
      <w:rFonts w:ascii="宋体" w:hAnsi="宋体" w:cs="宋体"/>
      <w:b/>
      <w:bCs/>
      <w:spacing w:val="-20"/>
      <w:kern w:val="44"/>
      <w:sz w:val="32"/>
      <w:szCs w:val="32"/>
    </w:rPr>
  </w:style>
  <w:style w:type="paragraph" w:styleId="4">
    <w:name w:val="heading 2"/>
    <w:basedOn w:val="1"/>
    <w:next w:val="1"/>
    <w:link w:val="49"/>
    <w:unhideWhenUsed/>
    <w:qFormat/>
    <w:uiPriority w:val="0"/>
    <w:pPr>
      <w:keepNext/>
      <w:keepLines/>
      <w:numPr>
        <w:ilvl w:val="1"/>
        <w:numId w:val="1"/>
      </w:numPr>
      <w:spacing w:before="260" w:after="260" w:line="360" w:lineRule="auto"/>
      <w:jc w:val="left"/>
      <w:outlineLvl w:val="1"/>
    </w:pPr>
    <w:rPr>
      <w:rFonts w:ascii="宋体" w:hAnsi="宋体" w:cs="宋体"/>
      <w:b/>
      <w:bCs/>
      <w:sz w:val="28"/>
      <w:szCs w:val="28"/>
    </w:rPr>
  </w:style>
  <w:style w:type="paragraph" w:styleId="5">
    <w:name w:val="heading 3"/>
    <w:basedOn w:val="1"/>
    <w:next w:val="1"/>
    <w:link w:val="50"/>
    <w:unhideWhenUsed/>
    <w:qFormat/>
    <w:uiPriority w:val="0"/>
    <w:pPr>
      <w:keepNext/>
      <w:keepLines/>
      <w:numPr>
        <w:ilvl w:val="2"/>
        <w:numId w:val="1"/>
      </w:numPr>
      <w:spacing w:line="360" w:lineRule="auto"/>
      <w:ind w:left="567"/>
      <w:outlineLvl w:val="2"/>
    </w:pPr>
    <w:rPr>
      <w:rFonts w:ascii="宋体" w:hAnsi="宋体" w:cs="宋体"/>
      <w:b/>
      <w:bCs/>
      <w:color w:val="000000"/>
      <w:kern w:val="0"/>
      <w:sz w:val="28"/>
      <w:szCs w:val="28"/>
    </w:rPr>
  </w:style>
  <w:style w:type="paragraph" w:styleId="6">
    <w:name w:val="heading 4"/>
    <w:basedOn w:val="1"/>
    <w:next w:val="1"/>
    <w:link w:val="51"/>
    <w:unhideWhenUsed/>
    <w:qFormat/>
    <w:uiPriority w:val="0"/>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5"/>
    <w:basedOn w:val="1"/>
    <w:next w:val="1"/>
    <w:link w:val="52"/>
    <w:unhideWhenUsed/>
    <w:qFormat/>
    <w:uiPriority w:val="0"/>
    <w:pPr>
      <w:numPr>
        <w:ilvl w:val="4"/>
        <w:numId w:val="2"/>
      </w:numPr>
      <w:tabs>
        <w:tab w:val="left" w:pos="1134"/>
      </w:tabs>
      <w:spacing w:before="280" w:after="290" w:line="360" w:lineRule="auto"/>
      <w:outlineLvl w:val="4"/>
    </w:pPr>
    <w:rPr>
      <w:rFonts w:cs="宋体"/>
      <w:b/>
      <w:bCs/>
      <w:kern w:val="0"/>
      <w:sz w:val="28"/>
      <w:szCs w:val="28"/>
    </w:rPr>
  </w:style>
  <w:style w:type="paragraph" w:styleId="8">
    <w:name w:val="heading 6"/>
    <w:basedOn w:val="1"/>
    <w:next w:val="1"/>
    <w:link w:val="53"/>
    <w:unhideWhenUsed/>
    <w:qFormat/>
    <w:uiPriority w:val="0"/>
    <w:pPr>
      <w:keepNext/>
      <w:keepLines/>
      <w:numPr>
        <w:ilvl w:val="5"/>
        <w:numId w:val="2"/>
      </w:numPr>
      <w:spacing w:before="240" w:after="64" w:line="314" w:lineRule="auto"/>
      <w:outlineLvl w:val="5"/>
    </w:pPr>
    <w:rPr>
      <w:rFonts w:ascii="Arial" w:hAnsi="Arial"/>
      <w:b/>
      <w:bCs/>
      <w:kern w:val="0"/>
      <w:sz w:val="28"/>
      <w:szCs w:val="18"/>
    </w:rPr>
  </w:style>
  <w:style w:type="paragraph" w:styleId="9">
    <w:name w:val="heading 7"/>
    <w:basedOn w:val="1"/>
    <w:next w:val="1"/>
    <w:link w:val="54"/>
    <w:unhideWhenUsed/>
    <w:qFormat/>
    <w:uiPriority w:val="0"/>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10">
    <w:name w:val="heading 8"/>
    <w:basedOn w:val="1"/>
    <w:next w:val="1"/>
    <w:link w:val="55"/>
    <w:unhideWhenUsed/>
    <w:qFormat/>
    <w:uiPriority w:val="0"/>
    <w:pPr>
      <w:keepNext/>
      <w:keepLines/>
      <w:spacing w:before="240" w:after="64" w:line="314" w:lineRule="auto"/>
      <w:outlineLvl w:val="7"/>
    </w:pPr>
    <w:rPr>
      <w:rFonts w:ascii="Arial" w:hAnsi="Arial" w:eastAsia="黑体"/>
      <w:kern w:val="0"/>
      <w:sz w:val="24"/>
      <w:szCs w:val="24"/>
    </w:rPr>
  </w:style>
  <w:style w:type="paragraph" w:styleId="11">
    <w:name w:val="heading 9"/>
    <w:basedOn w:val="1"/>
    <w:next w:val="1"/>
    <w:link w:val="56"/>
    <w:unhideWhenUsed/>
    <w:qFormat/>
    <w:uiPriority w:val="0"/>
    <w:pPr>
      <w:keepNext/>
      <w:keepLines/>
      <w:spacing w:before="240" w:after="64" w:line="314" w:lineRule="auto"/>
      <w:outlineLvl w:val="8"/>
    </w:pPr>
    <w:rPr>
      <w:rFonts w:ascii="Arial" w:hAnsi="Arial" w:eastAsia="黑体"/>
      <w:kern w:val="0"/>
      <w:sz w:val="20"/>
      <w:szCs w:val="21"/>
    </w:rPr>
  </w:style>
  <w:style w:type="character" w:default="1" w:styleId="41">
    <w:name w:val="Default Paragraph Font"/>
    <w:unhideWhenUsed/>
    <w:qFormat/>
    <w:uiPriority w:val="1"/>
  </w:style>
  <w:style w:type="table" w:default="1" w:styleId="4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183"/>
    <w:unhideWhenUsed/>
    <w:qFormat/>
    <w:uiPriority w:val="99"/>
    <w:pPr>
      <w:spacing w:after="120"/>
    </w:pPr>
  </w:style>
  <w:style w:type="paragraph" w:styleId="12">
    <w:name w:val="annotation subject"/>
    <w:basedOn w:val="13"/>
    <w:next w:val="13"/>
    <w:link w:val="73"/>
    <w:unhideWhenUsed/>
    <w:qFormat/>
    <w:uiPriority w:val="99"/>
    <w:rPr>
      <w:rFonts w:ascii="Calibri" w:hAnsi="Calibri"/>
      <w:b/>
      <w:bCs/>
      <w:kern w:val="2"/>
      <w:sz w:val="21"/>
      <w:szCs w:val="22"/>
    </w:rPr>
  </w:style>
  <w:style w:type="paragraph" w:styleId="13">
    <w:name w:val="annotation text"/>
    <w:basedOn w:val="1"/>
    <w:next w:val="1"/>
    <w:link w:val="59"/>
    <w:unhideWhenUsed/>
    <w:qFormat/>
    <w:uiPriority w:val="0"/>
    <w:pPr>
      <w:jc w:val="left"/>
    </w:pPr>
    <w:rPr>
      <w:rFonts w:ascii="Times New Roman" w:hAnsi="Times New Roman"/>
      <w:kern w:val="0"/>
      <w:sz w:val="18"/>
      <w:szCs w:val="18"/>
    </w:rPr>
  </w:style>
  <w:style w:type="paragraph" w:styleId="14">
    <w:name w:val="toc 7"/>
    <w:basedOn w:val="1"/>
    <w:next w:val="1"/>
    <w:unhideWhenUsed/>
    <w:qFormat/>
    <w:uiPriority w:val="0"/>
    <w:pPr>
      <w:ind w:left="2520" w:leftChars="1200"/>
    </w:pPr>
    <w:rPr>
      <w:rFonts w:ascii="Times New Roman" w:hAnsi="Times New Roman"/>
      <w:szCs w:val="24"/>
    </w:rPr>
  </w:style>
  <w:style w:type="paragraph" w:styleId="15">
    <w:name w:val="Body Text First Indent"/>
    <w:basedOn w:val="2"/>
    <w:link w:val="66"/>
    <w:unhideWhenUsed/>
    <w:qFormat/>
    <w:uiPriority w:val="0"/>
    <w:pPr>
      <w:ind w:firstLine="420" w:firstLineChars="100"/>
    </w:pPr>
    <w:rPr>
      <w:rFonts w:ascii="Times New Roman" w:hAnsi="Times New Roman"/>
      <w:kern w:val="0"/>
      <w:sz w:val="18"/>
      <w:szCs w:val="18"/>
    </w:rPr>
  </w:style>
  <w:style w:type="paragraph" w:styleId="16">
    <w:name w:val="Normal Indent"/>
    <w:basedOn w:val="1"/>
    <w:link w:val="57"/>
    <w:unhideWhenUsed/>
    <w:qFormat/>
    <w:uiPriority w:val="0"/>
    <w:pPr>
      <w:spacing w:after="180" w:line="307" w:lineRule="auto"/>
      <w:ind w:firstLine="420"/>
    </w:pPr>
    <w:rPr>
      <w:rFonts w:asciiTheme="minorHAnsi" w:hAnsiTheme="minorHAnsi" w:eastAsiaTheme="minorEastAsia" w:cstheme="minorBidi"/>
    </w:rPr>
  </w:style>
  <w:style w:type="paragraph" w:styleId="17">
    <w:name w:val="caption"/>
    <w:basedOn w:val="1"/>
    <w:next w:val="1"/>
    <w:unhideWhenUsed/>
    <w:qFormat/>
    <w:uiPriority w:val="0"/>
    <w:pPr>
      <w:spacing w:before="152" w:after="160" w:line="360" w:lineRule="auto"/>
    </w:pPr>
    <w:rPr>
      <w:rFonts w:ascii="Arial" w:hAnsi="Arial" w:eastAsia="黑体" w:cs="Arial"/>
      <w:sz w:val="20"/>
      <w:szCs w:val="20"/>
    </w:rPr>
  </w:style>
  <w:style w:type="paragraph" w:styleId="18">
    <w:name w:val="Document Map"/>
    <w:basedOn w:val="1"/>
    <w:link w:val="71"/>
    <w:unhideWhenUsed/>
    <w:qFormat/>
    <w:uiPriority w:val="0"/>
    <w:pPr>
      <w:shd w:val="clear" w:color="auto" w:fill="000080"/>
    </w:pPr>
    <w:rPr>
      <w:rFonts w:ascii="Times New Roman" w:hAnsi="Times New Roman"/>
      <w:kern w:val="0"/>
      <w:sz w:val="18"/>
      <w:szCs w:val="18"/>
    </w:rPr>
  </w:style>
  <w:style w:type="paragraph" w:styleId="19">
    <w:name w:val="Body Text 3"/>
    <w:basedOn w:val="1"/>
    <w:link w:val="68"/>
    <w:unhideWhenUsed/>
    <w:qFormat/>
    <w:uiPriority w:val="0"/>
    <w:pPr>
      <w:jc w:val="center"/>
    </w:pPr>
    <w:rPr>
      <w:rFonts w:ascii="Times New Roman" w:hAnsi="Times New Roman" w:eastAsia="黑体"/>
      <w:sz w:val="44"/>
      <w:szCs w:val="24"/>
    </w:rPr>
  </w:style>
  <w:style w:type="paragraph" w:styleId="20">
    <w:name w:val="Body Text Indent"/>
    <w:basedOn w:val="1"/>
    <w:link w:val="63"/>
    <w:unhideWhenUsed/>
    <w:qFormat/>
    <w:uiPriority w:val="0"/>
    <w:pPr>
      <w:spacing w:after="120"/>
      <w:ind w:left="420" w:leftChars="200"/>
    </w:pPr>
    <w:rPr>
      <w:rFonts w:ascii="Times New Roman" w:hAnsi="Times New Roman"/>
      <w:kern w:val="0"/>
      <w:sz w:val="20"/>
      <w:szCs w:val="24"/>
    </w:rPr>
  </w:style>
  <w:style w:type="paragraph" w:styleId="21">
    <w:name w:val="Block Text"/>
    <w:basedOn w:val="1"/>
    <w:unhideWhenUsed/>
    <w:qFormat/>
    <w:uiPriority w:val="0"/>
    <w:pPr>
      <w:ind w:left="-540" w:leftChars="-257" w:right="-334" w:rightChars="-159" w:firstLine="540" w:firstLineChars="180"/>
    </w:pPr>
    <w:rPr>
      <w:rFonts w:ascii="Times New Roman" w:hAnsi="Times New Roman"/>
      <w:sz w:val="30"/>
      <w:szCs w:val="24"/>
    </w:rPr>
  </w:style>
  <w:style w:type="paragraph" w:styleId="22">
    <w:name w:val="toc 5"/>
    <w:basedOn w:val="1"/>
    <w:next w:val="1"/>
    <w:unhideWhenUsed/>
    <w:qFormat/>
    <w:uiPriority w:val="0"/>
    <w:pPr>
      <w:ind w:left="1680" w:leftChars="800"/>
    </w:pPr>
    <w:rPr>
      <w:rFonts w:ascii="Times New Roman" w:hAnsi="Times New Roman"/>
      <w:sz w:val="18"/>
      <w:szCs w:val="18"/>
    </w:rPr>
  </w:style>
  <w:style w:type="paragraph" w:styleId="23">
    <w:name w:val="toc 3"/>
    <w:basedOn w:val="1"/>
    <w:next w:val="1"/>
    <w:unhideWhenUsed/>
    <w:qFormat/>
    <w:uiPriority w:val="0"/>
    <w:pPr>
      <w:tabs>
        <w:tab w:val="left" w:pos="709"/>
        <w:tab w:val="left" w:pos="993"/>
        <w:tab w:val="right" w:leader="dot" w:pos="8364"/>
      </w:tabs>
      <w:ind w:left="360"/>
      <w:jc w:val="left"/>
    </w:pPr>
    <w:rPr>
      <w:rFonts w:ascii="Times New Roman" w:hAnsi="Times New Roman" w:eastAsia="楷体_GB2312"/>
      <w:iCs/>
      <w:sz w:val="20"/>
      <w:szCs w:val="20"/>
    </w:rPr>
  </w:style>
  <w:style w:type="paragraph" w:styleId="24">
    <w:name w:val="Plain Text"/>
    <w:basedOn w:val="1"/>
    <w:link w:val="188"/>
    <w:unhideWhenUsed/>
    <w:qFormat/>
    <w:uiPriority w:val="0"/>
    <w:rPr>
      <w:rFonts w:ascii="宋体" w:hAnsi="Courier New"/>
      <w:kern w:val="0"/>
      <w:sz w:val="20"/>
      <w:szCs w:val="18"/>
    </w:rPr>
  </w:style>
  <w:style w:type="paragraph" w:styleId="25">
    <w:name w:val="toc 8"/>
    <w:basedOn w:val="1"/>
    <w:next w:val="1"/>
    <w:unhideWhenUsed/>
    <w:qFormat/>
    <w:uiPriority w:val="0"/>
    <w:pPr>
      <w:ind w:left="2940" w:leftChars="1400"/>
    </w:pPr>
    <w:rPr>
      <w:rFonts w:ascii="Times New Roman" w:hAnsi="Times New Roman"/>
      <w:szCs w:val="24"/>
    </w:rPr>
  </w:style>
  <w:style w:type="paragraph" w:styleId="26">
    <w:name w:val="Date"/>
    <w:basedOn w:val="1"/>
    <w:next w:val="1"/>
    <w:link w:val="65"/>
    <w:unhideWhenUsed/>
    <w:qFormat/>
    <w:uiPriority w:val="0"/>
    <w:pPr>
      <w:ind w:left="100" w:leftChars="2500"/>
    </w:pPr>
    <w:rPr>
      <w:rFonts w:ascii="Times New Roman" w:hAnsi="Times New Roman"/>
      <w:kern w:val="0"/>
      <w:sz w:val="24"/>
      <w:szCs w:val="24"/>
    </w:rPr>
  </w:style>
  <w:style w:type="paragraph" w:styleId="27">
    <w:name w:val="Body Text Indent 2"/>
    <w:basedOn w:val="1"/>
    <w:link w:val="69"/>
    <w:unhideWhenUsed/>
    <w:qFormat/>
    <w:uiPriority w:val="0"/>
    <w:pPr>
      <w:spacing w:after="120" w:line="480" w:lineRule="auto"/>
      <w:ind w:left="420" w:leftChars="200"/>
    </w:pPr>
  </w:style>
  <w:style w:type="paragraph" w:styleId="28">
    <w:name w:val="Balloon Text"/>
    <w:basedOn w:val="1"/>
    <w:link w:val="74"/>
    <w:unhideWhenUsed/>
    <w:qFormat/>
    <w:uiPriority w:val="99"/>
    <w:rPr>
      <w:rFonts w:ascii="Times New Roman" w:hAnsi="Times New Roman"/>
      <w:kern w:val="0"/>
      <w:sz w:val="18"/>
      <w:szCs w:val="18"/>
    </w:rPr>
  </w:style>
  <w:style w:type="paragraph" w:styleId="29">
    <w:name w:val="footer"/>
    <w:basedOn w:val="1"/>
    <w:link w:val="61"/>
    <w:unhideWhenUsed/>
    <w:qFormat/>
    <w:uiPriority w:val="99"/>
    <w:pPr>
      <w:tabs>
        <w:tab w:val="center" w:pos="4153"/>
        <w:tab w:val="right" w:pos="8306"/>
      </w:tabs>
      <w:snapToGrid w:val="0"/>
      <w:jc w:val="left"/>
    </w:pPr>
    <w:rPr>
      <w:kern w:val="0"/>
      <w:sz w:val="18"/>
      <w:szCs w:val="18"/>
    </w:rPr>
  </w:style>
  <w:style w:type="paragraph" w:styleId="30">
    <w:name w:val="header"/>
    <w:basedOn w:val="1"/>
    <w:link w:val="6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1">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2">
    <w:name w:val="toc 4"/>
    <w:basedOn w:val="1"/>
    <w:next w:val="1"/>
    <w:unhideWhenUsed/>
    <w:qFormat/>
    <w:uiPriority w:val="0"/>
    <w:pPr>
      <w:ind w:left="1260" w:leftChars="600"/>
    </w:pPr>
    <w:rPr>
      <w:rFonts w:ascii="Times New Roman" w:hAnsi="Times New Roman"/>
      <w:sz w:val="18"/>
      <w:szCs w:val="18"/>
    </w:rPr>
  </w:style>
  <w:style w:type="paragraph" w:styleId="33">
    <w:name w:val="Subtitle"/>
    <w:basedOn w:val="1"/>
    <w:next w:val="1"/>
    <w:link w:val="64"/>
    <w:qFormat/>
    <w:uiPriority w:val="0"/>
    <w:pPr>
      <w:spacing w:before="240" w:after="60" w:line="312" w:lineRule="auto"/>
      <w:jc w:val="center"/>
      <w:outlineLvl w:val="1"/>
    </w:pPr>
    <w:rPr>
      <w:rFonts w:ascii="Cambria" w:hAnsi="Cambria"/>
      <w:b/>
      <w:bCs/>
      <w:kern w:val="28"/>
      <w:sz w:val="32"/>
      <w:szCs w:val="32"/>
    </w:rPr>
  </w:style>
  <w:style w:type="paragraph" w:styleId="34">
    <w:name w:val="footnote text"/>
    <w:basedOn w:val="1"/>
    <w:link w:val="58"/>
    <w:unhideWhenUsed/>
    <w:qFormat/>
    <w:uiPriority w:val="0"/>
    <w:pPr>
      <w:snapToGrid w:val="0"/>
      <w:jc w:val="left"/>
    </w:pPr>
    <w:rPr>
      <w:sz w:val="18"/>
      <w:szCs w:val="18"/>
    </w:rPr>
  </w:style>
  <w:style w:type="paragraph" w:styleId="35">
    <w:name w:val="toc 6"/>
    <w:basedOn w:val="1"/>
    <w:next w:val="1"/>
    <w:unhideWhenUsed/>
    <w:qFormat/>
    <w:uiPriority w:val="0"/>
    <w:pPr>
      <w:ind w:left="2100" w:leftChars="1000"/>
    </w:pPr>
    <w:rPr>
      <w:rFonts w:ascii="Times New Roman" w:hAnsi="Times New Roman"/>
      <w:szCs w:val="24"/>
    </w:rPr>
  </w:style>
  <w:style w:type="paragraph" w:styleId="36">
    <w:name w:val="Body Text Indent 3"/>
    <w:basedOn w:val="1"/>
    <w:link w:val="70"/>
    <w:unhideWhenUsed/>
    <w:qFormat/>
    <w:uiPriority w:val="0"/>
    <w:pPr>
      <w:spacing w:line="360" w:lineRule="auto"/>
      <w:ind w:left="153" w:leftChars="85" w:firstLine="560" w:firstLineChars="200"/>
    </w:pPr>
    <w:rPr>
      <w:rFonts w:ascii="宋体" w:hAnsi="宋体"/>
      <w:kern w:val="0"/>
      <w:sz w:val="28"/>
      <w:szCs w:val="28"/>
    </w:rPr>
  </w:style>
  <w:style w:type="paragraph" w:styleId="37">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38">
    <w:name w:val="toc 9"/>
    <w:basedOn w:val="1"/>
    <w:next w:val="1"/>
    <w:unhideWhenUsed/>
    <w:qFormat/>
    <w:uiPriority w:val="0"/>
    <w:pPr>
      <w:ind w:left="3360" w:leftChars="1600"/>
    </w:pPr>
    <w:rPr>
      <w:rFonts w:ascii="Times New Roman" w:hAnsi="Times New Roman"/>
      <w:szCs w:val="24"/>
    </w:rPr>
  </w:style>
  <w:style w:type="paragraph" w:styleId="39">
    <w:name w:val="Body Text 2"/>
    <w:basedOn w:val="1"/>
    <w:link w:val="67"/>
    <w:unhideWhenUsed/>
    <w:qFormat/>
    <w:uiPriority w:val="0"/>
    <w:pPr>
      <w:spacing w:after="120" w:line="480" w:lineRule="auto"/>
    </w:pPr>
    <w:rPr>
      <w:rFonts w:ascii="Times New Roman" w:hAnsi="Times New Roman"/>
      <w:kern w:val="0"/>
      <w:sz w:val="18"/>
      <w:szCs w:val="18"/>
    </w:rPr>
  </w:style>
  <w:style w:type="paragraph" w:styleId="40">
    <w:name w:val="Normal (Web)"/>
    <w:basedOn w:val="1"/>
    <w:unhideWhenUsed/>
    <w:qFormat/>
    <w:uiPriority w:val="0"/>
    <w:pPr>
      <w:widowControl/>
      <w:spacing w:before="100" w:beforeAutospacing="1" w:after="100" w:afterAutospacing="1"/>
      <w:jc w:val="left"/>
    </w:pPr>
    <w:rPr>
      <w:rFonts w:ascii="宋体" w:hAnsi="宋体"/>
      <w:color w:val="000000"/>
      <w:kern w:val="0"/>
      <w:sz w:val="24"/>
      <w:szCs w:val="24"/>
    </w:rPr>
  </w:style>
  <w:style w:type="character" w:styleId="42">
    <w:name w:val="FollowedHyperlink"/>
    <w:basedOn w:val="41"/>
    <w:unhideWhenUsed/>
    <w:qFormat/>
    <w:uiPriority w:val="99"/>
    <w:rPr>
      <w:color w:val="800080" w:themeColor="followedHyperlink"/>
      <w:u w:val="single"/>
      <w14:textFill>
        <w14:solidFill>
          <w14:schemeClr w14:val="folHlink"/>
        </w14:solidFill>
      </w14:textFill>
    </w:rPr>
  </w:style>
  <w:style w:type="character" w:styleId="43">
    <w:name w:val="Hyperlink"/>
    <w:unhideWhenUsed/>
    <w:qFormat/>
    <w:uiPriority w:val="99"/>
    <w:rPr>
      <w:color w:val="0000FF"/>
      <w:u w:val="single"/>
    </w:rPr>
  </w:style>
  <w:style w:type="character" w:styleId="44">
    <w:name w:val="annotation reference"/>
    <w:unhideWhenUsed/>
    <w:qFormat/>
    <w:uiPriority w:val="0"/>
    <w:rPr>
      <w:sz w:val="21"/>
      <w:szCs w:val="21"/>
    </w:rPr>
  </w:style>
  <w:style w:type="character" w:styleId="45">
    <w:name w:val="footnote reference"/>
    <w:unhideWhenUsed/>
    <w:qFormat/>
    <w:uiPriority w:val="0"/>
    <w:rPr>
      <w:vertAlign w:val="superscript"/>
    </w:rPr>
  </w:style>
  <w:style w:type="table" w:styleId="47">
    <w:name w:val="Table Grid"/>
    <w:basedOn w:val="46"/>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8">
    <w:name w:val="标题 1 Char"/>
    <w:basedOn w:val="41"/>
    <w:link w:val="3"/>
    <w:qFormat/>
    <w:uiPriority w:val="9"/>
    <w:rPr>
      <w:rFonts w:ascii="宋体" w:hAnsi="宋体" w:eastAsia="宋体" w:cs="宋体"/>
      <w:b/>
      <w:bCs/>
      <w:spacing w:val="-20"/>
      <w:kern w:val="44"/>
      <w:sz w:val="32"/>
      <w:szCs w:val="32"/>
    </w:rPr>
  </w:style>
  <w:style w:type="character" w:customStyle="1" w:styleId="49">
    <w:name w:val="标题 2 Char"/>
    <w:basedOn w:val="41"/>
    <w:link w:val="4"/>
    <w:qFormat/>
    <w:uiPriority w:val="0"/>
    <w:rPr>
      <w:rFonts w:ascii="宋体" w:hAnsi="宋体" w:eastAsia="宋体" w:cs="宋体"/>
      <w:b/>
      <w:bCs/>
      <w:kern w:val="2"/>
      <w:sz w:val="28"/>
      <w:szCs w:val="28"/>
    </w:rPr>
  </w:style>
  <w:style w:type="character" w:customStyle="1" w:styleId="50">
    <w:name w:val="标题 3 Char"/>
    <w:basedOn w:val="41"/>
    <w:link w:val="5"/>
    <w:qFormat/>
    <w:uiPriority w:val="0"/>
    <w:rPr>
      <w:rFonts w:ascii="宋体" w:hAnsi="宋体" w:eastAsia="宋体" w:cs="宋体"/>
      <w:b/>
      <w:bCs/>
      <w:color w:val="000000"/>
      <w:sz w:val="28"/>
      <w:szCs w:val="28"/>
    </w:rPr>
  </w:style>
  <w:style w:type="character" w:customStyle="1" w:styleId="51">
    <w:name w:val="标题 4 Char"/>
    <w:basedOn w:val="41"/>
    <w:link w:val="6"/>
    <w:qFormat/>
    <w:uiPriority w:val="0"/>
    <w:rPr>
      <w:rFonts w:ascii="Arial" w:hAnsi="Arial" w:eastAsia="宋体" w:cs="Times New Roman"/>
      <w:b/>
      <w:bCs/>
      <w:sz w:val="28"/>
      <w:szCs w:val="28"/>
    </w:rPr>
  </w:style>
  <w:style w:type="character" w:customStyle="1" w:styleId="52">
    <w:name w:val="标题 5 Char"/>
    <w:basedOn w:val="41"/>
    <w:link w:val="7"/>
    <w:qFormat/>
    <w:uiPriority w:val="0"/>
    <w:rPr>
      <w:rFonts w:ascii="Calibri" w:hAnsi="Calibri" w:eastAsia="宋体" w:cs="宋体"/>
      <w:b/>
      <w:bCs/>
      <w:sz w:val="28"/>
      <w:szCs w:val="28"/>
    </w:rPr>
  </w:style>
  <w:style w:type="character" w:customStyle="1" w:styleId="53">
    <w:name w:val="标题 6 Char"/>
    <w:basedOn w:val="41"/>
    <w:link w:val="8"/>
    <w:qFormat/>
    <w:uiPriority w:val="0"/>
    <w:rPr>
      <w:rFonts w:ascii="Arial" w:hAnsi="Arial" w:eastAsia="宋体" w:cs="Times New Roman"/>
      <w:b/>
      <w:bCs/>
      <w:sz w:val="28"/>
      <w:szCs w:val="18"/>
    </w:rPr>
  </w:style>
  <w:style w:type="character" w:customStyle="1" w:styleId="54">
    <w:name w:val="标题 7 Char"/>
    <w:basedOn w:val="41"/>
    <w:link w:val="9"/>
    <w:semiHidden/>
    <w:qFormat/>
    <w:uiPriority w:val="0"/>
    <w:rPr>
      <w:rFonts w:ascii="Arial Narrow" w:hAnsi="Arial Narrow" w:eastAsia="宋体" w:cs="Times New Roman"/>
      <w:b/>
      <w:bCs/>
      <w:iCs/>
      <w:kern w:val="0"/>
      <w:sz w:val="20"/>
      <w:szCs w:val="24"/>
      <w:lang w:eastAsia="en-US"/>
    </w:rPr>
  </w:style>
  <w:style w:type="character" w:customStyle="1" w:styleId="55">
    <w:name w:val="标题 8 Char"/>
    <w:basedOn w:val="41"/>
    <w:link w:val="10"/>
    <w:semiHidden/>
    <w:qFormat/>
    <w:uiPriority w:val="0"/>
    <w:rPr>
      <w:rFonts w:ascii="Arial" w:hAnsi="Arial" w:eastAsia="黑体" w:cs="Times New Roman"/>
      <w:kern w:val="0"/>
      <w:sz w:val="24"/>
      <w:szCs w:val="24"/>
    </w:rPr>
  </w:style>
  <w:style w:type="character" w:customStyle="1" w:styleId="56">
    <w:name w:val="标题 9 Char"/>
    <w:basedOn w:val="41"/>
    <w:link w:val="11"/>
    <w:semiHidden/>
    <w:qFormat/>
    <w:uiPriority w:val="0"/>
    <w:rPr>
      <w:rFonts w:ascii="Arial" w:hAnsi="Arial" w:eastAsia="黑体" w:cs="Times New Roman"/>
      <w:kern w:val="0"/>
      <w:sz w:val="20"/>
      <w:szCs w:val="21"/>
    </w:rPr>
  </w:style>
  <w:style w:type="character" w:customStyle="1" w:styleId="57">
    <w:name w:val="正文缩进 Char1"/>
    <w:link w:val="16"/>
    <w:qFormat/>
    <w:locked/>
    <w:uiPriority w:val="0"/>
  </w:style>
  <w:style w:type="character" w:customStyle="1" w:styleId="58">
    <w:name w:val="脚注文本 Char"/>
    <w:basedOn w:val="41"/>
    <w:link w:val="34"/>
    <w:qFormat/>
    <w:uiPriority w:val="0"/>
    <w:rPr>
      <w:rFonts w:ascii="Calibri" w:hAnsi="Calibri" w:eastAsia="宋体" w:cs="Times New Roman"/>
      <w:sz w:val="18"/>
      <w:szCs w:val="18"/>
    </w:rPr>
  </w:style>
  <w:style w:type="character" w:customStyle="1" w:styleId="59">
    <w:name w:val="批注文字 Char"/>
    <w:basedOn w:val="41"/>
    <w:link w:val="13"/>
    <w:qFormat/>
    <w:uiPriority w:val="99"/>
    <w:rPr>
      <w:rFonts w:ascii="Times New Roman" w:hAnsi="Times New Roman" w:eastAsia="宋体" w:cs="Times New Roman"/>
      <w:kern w:val="0"/>
      <w:sz w:val="18"/>
      <w:szCs w:val="18"/>
    </w:rPr>
  </w:style>
  <w:style w:type="character" w:customStyle="1" w:styleId="60">
    <w:name w:val="页眉 Char"/>
    <w:basedOn w:val="41"/>
    <w:link w:val="30"/>
    <w:qFormat/>
    <w:uiPriority w:val="99"/>
    <w:rPr>
      <w:rFonts w:ascii="Calibri" w:hAnsi="Calibri" w:eastAsia="宋体" w:cs="Times New Roman"/>
      <w:kern w:val="0"/>
      <w:sz w:val="18"/>
      <w:szCs w:val="18"/>
    </w:rPr>
  </w:style>
  <w:style w:type="character" w:customStyle="1" w:styleId="61">
    <w:name w:val="页脚 Char"/>
    <w:basedOn w:val="41"/>
    <w:link w:val="29"/>
    <w:qFormat/>
    <w:uiPriority w:val="99"/>
    <w:rPr>
      <w:rFonts w:ascii="Calibri" w:hAnsi="Calibri" w:eastAsia="宋体" w:cs="Times New Roman"/>
      <w:kern w:val="0"/>
      <w:sz w:val="18"/>
      <w:szCs w:val="18"/>
    </w:rPr>
  </w:style>
  <w:style w:type="character" w:customStyle="1" w:styleId="62">
    <w:name w:val="正文文本 Char"/>
    <w:basedOn w:val="41"/>
    <w:qFormat/>
    <w:uiPriority w:val="0"/>
    <w:rPr>
      <w:rFonts w:ascii="Calibri" w:hAnsi="Calibri" w:eastAsia="宋体" w:cs="Times New Roman"/>
    </w:rPr>
  </w:style>
  <w:style w:type="character" w:customStyle="1" w:styleId="63">
    <w:name w:val="正文文本缩进 Char"/>
    <w:basedOn w:val="41"/>
    <w:link w:val="20"/>
    <w:qFormat/>
    <w:uiPriority w:val="0"/>
    <w:rPr>
      <w:rFonts w:ascii="Times New Roman" w:hAnsi="Times New Roman" w:eastAsia="宋体" w:cs="Times New Roman"/>
      <w:kern w:val="0"/>
      <w:sz w:val="20"/>
      <w:szCs w:val="24"/>
    </w:rPr>
  </w:style>
  <w:style w:type="character" w:customStyle="1" w:styleId="64">
    <w:name w:val="副标题 Char"/>
    <w:basedOn w:val="41"/>
    <w:link w:val="33"/>
    <w:qFormat/>
    <w:uiPriority w:val="0"/>
    <w:rPr>
      <w:rFonts w:ascii="Cambria" w:hAnsi="Cambria" w:eastAsia="宋体" w:cs="Times New Roman"/>
      <w:b/>
      <w:bCs/>
      <w:kern w:val="28"/>
      <w:sz w:val="32"/>
      <w:szCs w:val="32"/>
    </w:rPr>
  </w:style>
  <w:style w:type="character" w:customStyle="1" w:styleId="65">
    <w:name w:val="日期 Char"/>
    <w:basedOn w:val="41"/>
    <w:link w:val="26"/>
    <w:qFormat/>
    <w:uiPriority w:val="0"/>
    <w:rPr>
      <w:rFonts w:ascii="Times New Roman" w:hAnsi="Times New Roman" w:eastAsia="宋体" w:cs="Times New Roman"/>
      <w:kern w:val="0"/>
      <w:sz w:val="24"/>
      <w:szCs w:val="24"/>
    </w:rPr>
  </w:style>
  <w:style w:type="character" w:customStyle="1" w:styleId="66">
    <w:name w:val="正文首行缩进 Char"/>
    <w:basedOn w:val="62"/>
    <w:link w:val="15"/>
    <w:qFormat/>
    <w:uiPriority w:val="0"/>
    <w:rPr>
      <w:rFonts w:ascii="Times New Roman" w:hAnsi="Times New Roman" w:eastAsia="宋体" w:cs="Times New Roman"/>
      <w:kern w:val="0"/>
      <w:sz w:val="18"/>
      <w:szCs w:val="18"/>
    </w:rPr>
  </w:style>
  <w:style w:type="character" w:customStyle="1" w:styleId="67">
    <w:name w:val="正文文本 2 Char"/>
    <w:basedOn w:val="41"/>
    <w:link w:val="39"/>
    <w:qFormat/>
    <w:uiPriority w:val="0"/>
    <w:rPr>
      <w:rFonts w:ascii="Times New Roman" w:hAnsi="Times New Roman" w:eastAsia="宋体" w:cs="Times New Roman"/>
      <w:kern w:val="0"/>
      <w:sz w:val="18"/>
      <w:szCs w:val="18"/>
    </w:rPr>
  </w:style>
  <w:style w:type="character" w:customStyle="1" w:styleId="68">
    <w:name w:val="正文文本 3 Char"/>
    <w:basedOn w:val="41"/>
    <w:link w:val="19"/>
    <w:qFormat/>
    <w:uiPriority w:val="0"/>
    <w:rPr>
      <w:rFonts w:ascii="Times New Roman" w:hAnsi="Times New Roman" w:eastAsia="黑体" w:cs="Times New Roman"/>
      <w:sz w:val="44"/>
      <w:szCs w:val="24"/>
    </w:rPr>
  </w:style>
  <w:style w:type="character" w:customStyle="1" w:styleId="69">
    <w:name w:val="正文文本缩进 2 Char"/>
    <w:basedOn w:val="41"/>
    <w:link w:val="27"/>
    <w:qFormat/>
    <w:uiPriority w:val="0"/>
    <w:rPr>
      <w:rFonts w:ascii="Calibri" w:hAnsi="Calibri" w:eastAsia="宋体" w:cs="Times New Roman"/>
    </w:rPr>
  </w:style>
  <w:style w:type="character" w:customStyle="1" w:styleId="70">
    <w:name w:val="正文文本缩进 3 Char"/>
    <w:basedOn w:val="41"/>
    <w:link w:val="36"/>
    <w:qFormat/>
    <w:uiPriority w:val="0"/>
    <w:rPr>
      <w:rFonts w:ascii="宋体" w:hAnsi="宋体" w:eastAsia="宋体" w:cs="Times New Roman"/>
      <w:kern w:val="0"/>
      <w:sz w:val="28"/>
      <w:szCs w:val="28"/>
    </w:rPr>
  </w:style>
  <w:style w:type="character" w:customStyle="1" w:styleId="71">
    <w:name w:val="文档结构图 Char"/>
    <w:basedOn w:val="41"/>
    <w:link w:val="18"/>
    <w:qFormat/>
    <w:uiPriority w:val="0"/>
    <w:rPr>
      <w:rFonts w:ascii="Times New Roman" w:hAnsi="Times New Roman" w:eastAsia="宋体" w:cs="Times New Roman"/>
      <w:kern w:val="0"/>
      <w:sz w:val="18"/>
      <w:szCs w:val="18"/>
      <w:shd w:val="clear" w:color="auto" w:fill="000080"/>
    </w:rPr>
  </w:style>
  <w:style w:type="character" w:customStyle="1" w:styleId="72">
    <w:name w:val="纯文本 Char"/>
    <w:basedOn w:val="41"/>
    <w:qFormat/>
    <w:uiPriority w:val="0"/>
    <w:rPr>
      <w:rFonts w:ascii="宋体" w:hAnsi="Courier New" w:eastAsia="宋体" w:cs="Courier New"/>
      <w:szCs w:val="21"/>
    </w:rPr>
  </w:style>
  <w:style w:type="character" w:customStyle="1" w:styleId="73">
    <w:name w:val="批注主题 Char"/>
    <w:basedOn w:val="59"/>
    <w:link w:val="12"/>
    <w:qFormat/>
    <w:uiPriority w:val="99"/>
    <w:rPr>
      <w:rFonts w:ascii="Calibri" w:hAnsi="Calibri" w:eastAsia="宋体" w:cs="Times New Roman"/>
      <w:b/>
      <w:bCs/>
      <w:kern w:val="0"/>
      <w:sz w:val="18"/>
      <w:szCs w:val="18"/>
    </w:rPr>
  </w:style>
  <w:style w:type="character" w:customStyle="1" w:styleId="74">
    <w:name w:val="批注框文本 Char"/>
    <w:basedOn w:val="41"/>
    <w:link w:val="28"/>
    <w:qFormat/>
    <w:uiPriority w:val="99"/>
    <w:rPr>
      <w:rFonts w:ascii="Times New Roman" w:hAnsi="Times New Roman" w:eastAsia="宋体" w:cs="Times New Roman"/>
      <w:kern w:val="0"/>
      <w:sz w:val="18"/>
      <w:szCs w:val="18"/>
    </w:rPr>
  </w:style>
  <w:style w:type="paragraph" w:customStyle="1" w:styleId="75">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76">
    <w:name w:val="列出段落 字符"/>
    <w:link w:val="77"/>
    <w:qFormat/>
    <w:locked/>
    <w:uiPriority w:val="34"/>
    <w:rPr>
      <w:rFonts w:ascii="Calibri" w:hAnsi="Calibri"/>
    </w:rPr>
  </w:style>
  <w:style w:type="paragraph" w:customStyle="1" w:styleId="77">
    <w:name w:val="列出段落1"/>
    <w:basedOn w:val="1"/>
    <w:link w:val="76"/>
    <w:qFormat/>
    <w:uiPriority w:val="34"/>
    <w:pPr>
      <w:ind w:firstLine="420" w:firstLineChars="200"/>
    </w:pPr>
    <w:rPr>
      <w:rFonts w:eastAsiaTheme="minorEastAsia" w:cstheme="minorBidi"/>
    </w:rPr>
  </w:style>
  <w:style w:type="character" w:customStyle="1" w:styleId="78">
    <w:name w:val="彩色列表 - 强调文字颜色 1 Char"/>
    <w:link w:val="79"/>
    <w:qFormat/>
    <w:locked/>
    <w:uiPriority w:val="0"/>
    <w:rPr>
      <w:rFonts w:ascii="Calibri" w:hAnsi="Calibri"/>
    </w:rPr>
  </w:style>
  <w:style w:type="paragraph" w:customStyle="1" w:styleId="79">
    <w:name w:val="彩色列表 - 强调文字颜色 11"/>
    <w:basedOn w:val="1"/>
    <w:link w:val="78"/>
    <w:qFormat/>
    <w:uiPriority w:val="0"/>
    <w:pPr>
      <w:ind w:firstLine="420" w:firstLineChars="200"/>
    </w:pPr>
    <w:rPr>
      <w:rFonts w:eastAsiaTheme="minorEastAsia" w:cstheme="minorBidi"/>
    </w:rPr>
  </w:style>
  <w:style w:type="paragraph" w:customStyle="1" w:styleId="80">
    <w:name w:val="样式 右侧:  1 字符1"/>
    <w:basedOn w:val="1"/>
    <w:qFormat/>
    <w:uiPriority w:val="0"/>
    <w:pPr>
      <w:ind w:left="240" w:leftChars="100" w:right="240" w:rightChars="100"/>
    </w:pPr>
    <w:rPr>
      <w:rFonts w:ascii="Times New Roman" w:hAnsi="Times New Roman" w:eastAsia="仿宋_GB2312" w:cs="宋体"/>
      <w:sz w:val="28"/>
      <w:szCs w:val="20"/>
    </w:rPr>
  </w:style>
  <w:style w:type="paragraph" w:customStyle="1" w:styleId="81">
    <w:name w:val="MM Title"/>
    <w:basedOn w:val="1"/>
    <w:qFormat/>
    <w:uiPriority w:val="0"/>
    <w:pPr>
      <w:spacing w:before="240" w:after="60"/>
      <w:jc w:val="center"/>
      <w:outlineLvl w:val="0"/>
    </w:pPr>
    <w:rPr>
      <w:rFonts w:ascii="Arial" w:hAnsi="Arial" w:cs="Arial"/>
      <w:b/>
      <w:bCs/>
      <w:sz w:val="32"/>
      <w:szCs w:val="32"/>
    </w:rPr>
  </w:style>
  <w:style w:type="paragraph" w:customStyle="1" w:styleId="82">
    <w:name w:val="正文格式"/>
    <w:basedOn w:val="1"/>
    <w:qFormat/>
    <w:uiPriority w:val="0"/>
    <w:pPr>
      <w:widowControl/>
      <w:adjustRightInd w:val="0"/>
      <w:snapToGrid w:val="0"/>
      <w:spacing w:beforeLines="25" w:line="360" w:lineRule="auto"/>
      <w:ind w:firstLine="480" w:firstLineChars="200"/>
    </w:pPr>
    <w:rPr>
      <w:rFonts w:ascii="宋体" w:hAnsi="宋体"/>
      <w:bCs/>
      <w:color w:val="000000"/>
      <w:kern w:val="0"/>
      <w:sz w:val="24"/>
      <w:szCs w:val="24"/>
    </w:rPr>
  </w:style>
  <w:style w:type="paragraph" w:customStyle="1" w:styleId="83">
    <w:name w:val="默认段落字体 Para Char Char Char1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84">
    <w:name w:val="gb_master正文"/>
    <w:basedOn w:val="1"/>
    <w:qFormat/>
    <w:uiPriority w:val="0"/>
    <w:pPr>
      <w:ind w:firstLine="200" w:firstLineChars="200"/>
    </w:pPr>
    <w:rPr>
      <w:rFonts w:ascii="Times New Roman" w:hAnsi="Times New Roman"/>
      <w:szCs w:val="24"/>
    </w:rPr>
  </w:style>
  <w:style w:type="paragraph" w:customStyle="1" w:styleId="8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6">
    <w:name w:val="无间隔1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87">
    <w:name w:val="Char2 Char Char Char"/>
    <w:basedOn w:val="1"/>
    <w:qFormat/>
    <w:uiPriority w:val="0"/>
    <w:rPr>
      <w:rFonts w:ascii="仿宋_GB2312" w:hAnsi="Times New Roman"/>
      <w:b/>
      <w:sz w:val="30"/>
      <w:szCs w:val="32"/>
    </w:rPr>
  </w:style>
  <w:style w:type="paragraph" w:customStyle="1" w:styleId="88">
    <w:name w:val="样式 样式 样式 标题 2 + 宋体 五号 非加粗 黑色 + 段前: 6 磅 段后: 0 磅 行距: 单倍行距 + 段前: 12..."/>
    <w:basedOn w:val="1"/>
    <w:qFormat/>
    <w:uiPriority w:val="0"/>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8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90">
    <w:name w:val="默认段落字体 Para Char"/>
    <w:basedOn w:val="1"/>
    <w:qFormat/>
    <w:uiPriority w:val="0"/>
    <w:rPr>
      <w:rFonts w:ascii="Tahoma" w:hAnsi="Tahoma"/>
      <w:sz w:val="24"/>
      <w:szCs w:val="20"/>
    </w:rPr>
  </w:style>
  <w:style w:type="paragraph" w:customStyle="1" w:styleId="91">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2">
    <w:name w:val="样式 行距: 1.5 倍行距 左  3.42 字符"/>
    <w:basedOn w:val="1"/>
    <w:qFormat/>
    <w:uiPriority w:val="0"/>
    <w:pPr>
      <w:spacing w:line="360" w:lineRule="auto"/>
      <w:ind w:left="200" w:leftChars="200" w:firstLine="200" w:firstLineChars="200"/>
    </w:pPr>
    <w:rPr>
      <w:rFonts w:ascii="Times New Roman" w:hAnsi="Times New Roman" w:cs="宋体"/>
      <w:szCs w:val="20"/>
    </w:rPr>
  </w:style>
  <w:style w:type="paragraph" w:customStyle="1" w:styleId="93">
    <w:name w:val="样式 正文缩进 + (中文) 仿宋_GB2312 小四 Char"/>
    <w:basedOn w:val="16"/>
    <w:qFormat/>
    <w:uiPriority w:val="0"/>
    <w:pPr>
      <w:spacing w:after="0" w:line="360" w:lineRule="auto"/>
      <w:ind w:firstLine="480" w:firstLineChars="200"/>
    </w:pPr>
    <w:rPr>
      <w:rFonts w:ascii="宋体" w:hAnsi="宋体"/>
      <w:sz w:val="24"/>
      <w:szCs w:val="24"/>
    </w:rPr>
  </w:style>
  <w:style w:type="paragraph" w:customStyle="1" w:styleId="94">
    <w:name w:val="表格文字"/>
    <w:basedOn w:val="1"/>
    <w:qFormat/>
    <w:uiPriority w:val="0"/>
    <w:pPr>
      <w:spacing w:beforeLines="25"/>
    </w:pPr>
    <w:rPr>
      <w:rFonts w:ascii="Times New (W1)" w:hAnsi="Times New (W1)"/>
      <w:spacing w:val="10"/>
      <w:szCs w:val="24"/>
    </w:rPr>
  </w:style>
  <w:style w:type="paragraph" w:customStyle="1" w:styleId="95">
    <w:name w:val="文章正文"/>
    <w:basedOn w:val="1"/>
    <w:qFormat/>
    <w:uiPriority w:val="0"/>
    <w:pPr>
      <w:spacing w:line="360" w:lineRule="auto"/>
      <w:ind w:firstLine="420"/>
    </w:pPr>
    <w:rPr>
      <w:rFonts w:ascii="Times New Roman" w:hAnsi="Times New Roman"/>
      <w:sz w:val="24"/>
      <w:szCs w:val="24"/>
    </w:rPr>
  </w:style>
  <w:style w:type="paragraph" w:customStyle="1" w:styleId="96">
    <w:name w:val="标书正文:  0.74 厘米"/>
    <w:basedOn w:val="1"/>
    <w:qFormat/>
    <w:uiPriority w:val="0"/>
    <w:pPr>
      <w:snapToGrid w:val="0"/>
      <w:spacing w:line="360" w:lineRule="auto"/>
      <w:ind w:firstLine="420"/>
    </w:pPr>
    <w:rPr>
      <w:rFonts w:ascii="Times New Roman" w:hAnsi="Times New Roman"/>
      <w:sz w:val="24"/>
      <w:szCs w:val="18"/>
    </w:rPr>
  </w:style>
  <w:style w:type="paragraph" w:customStyle="1" w:styleId="97">
    <w:name w:val="默认段落字体 Para Char Char"/>
    <w:basedOn w:val="1"/>
    <w:qFormat/>
    <w:uiPriority w:val="0"/>
    <w:rPr>
      <w:rFonts w:ascii="Times New Roman" w:hAnsi="Times New Roman"/>
      <w:szCs w:val="24"/>
    </w:rPr>
  </w:style>
  <w:style w:type="paragraph" w:customStyle="1" w:styleId="98">
    <w:name w:val="MM Topic 6"/>
    <w:basedOn w:val="8"/>
    <w:qFormat/>
    <w:uiPriority w:val="0"/>
    <w:pPr>
      <w:tabs>
        <w:tab w:val="left" w:pos="3260"/>
        <w:tab w:val="clear" w:pos="1702"/>
      </w:tabs>
      <w:ind w:left="0" w:firstLine="0"/>
    </w:pPr>
    <w:rPr>
      <w:rFonts w:eastAsia="黑体"/>
    </w:rPr>
  </w:style>
  <w:style w:type="paragraph" w:customStyle="1" w:styleId="99">
    <w:name w:val="Char1 Char Char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0">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01">
    <w:name w:val="Char1"/>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2">
    <w:name w:val="标题 5 + 首行缩进:  2 字符"/>
    <w:basedOn w:val="7"/>
    <w:next w:val="20"/>
    <w:qFormat/>
    <w:uiPriority w:val="0"/>
    <w:pPr>
      <w:tabs>
        <w:tab w:val="left" w:pos="992"/>
        <w:tab w:val="clear" w:pos="1134"/>
      </w:tabs>
      <w:snapToGrid w:val="0"/>
      <w:spacing w:before="0" w:beforeLines="50" w:after="0" w:afterLines="50"/>
      <w:ind w:left="3570" w:firstLine="482" w:firstLineChars="200"/>
    </w:pPr>
    <w:rPr>
      <w:rFonts w:cs="Times New Roman"/>
      <w:color w:val="000000"/>
      <w:szCs w:val="20"/>
    </w:rPr>
  </w:style>
  <w:style w:type="paragraph" w:customStyle="1" w:styleId="103">
    <w:name w:val="Char2 Char Char Char Char Char Char"/>
    <w:basedOn w:val="1"/>
    <w:qFormat/>
    <w:uiPriority w:val="0"/>
    <w:rPr>
      <w:rFonts w:ascii="仿宋_GB2312" w:hAnsi="Times New Roman"/>
      <w:b/>
      <w:sz w:val="30"/>
      <w:szCs w:val="32"/>
    </w:rPr>
  </w:style>
  <w:style w:type="paragraph" w:customStyle="1" w:styleId="104">
    <w:name w:val="MM Topic 2"/>
    <w:basedOn w:val="4"/>
    <w:qFormat/>
    <w:uiPriority w:val="0"/>
    <w:pPr>
      <w:numPr>
        <w:ilvl w:val="0"/>
        <w:numId w:val="0"/>
      </w:numPr>
      <w:tabs>
        <w:tab w:val="left" w:pos="992"/>
      </w:tabs>
    </w:pPr>
    <w:rPr>
      <w:rFonts w:cs="Times New Roman"/>
    </w:rPr>
  </w:style>
  <w:style w:type="paragraph" w:customStyle="1" w:styleId="105">
    <w:name w:val="Style Style4 + First line:  2 ch Before:  0.5 line After:  0.5 li..."/>
    <w:basedOn w:val="1"/>
    <w:qFormat/>
    <w:uiPriority w:val="0"/>
    <w:pPr>
      <w:spacing w:beforeLines="50" w:line="276" w:lineRule="auto"/>
      <w:ind w:firstLine="480" w:firstLineChars="200"/>
    </w:pPr>
    <w:rPr>
      <w:rFonts w:ascii="Arial" w:hAnsi="Arial"/>
      <w:sz w:val="24"/>
      <w:szCs w:val="20"/>
    </w:rPr>
  </w:style>
  <w:style w:type="paragraph" w:customStyle="1" w:styleId="106">
    <w:name w:val="正文 首行缩进:  2 字符 Char Char"/>
    <w:basedOn w:val="1"/>
    <w:qFormat/>
    <w:uiPriority w:val="0"/>
    <w:pPr>
      <w:spacing w:line="360" w:lineRule="auto"/>
      <w:ind w:firstLine="480"/>
    </w:pPr>
    <w:rPr>
      <w:rFonts w:ascii="Times New Roman" w:hAnsi="Times New Roman" w:cs="宋体"/>
      <w:sz w:val="24"/>
      <w:szCs w:val="20"/>
    </w:rPr>
  </w:style>
  <w:style w:type="paragraph" w:customStyle="1" w:styleId="107">
    <w:name w:val="MM Topic 8"/>
    <w:basedOn w:val="10"/>
    <w:qFormat/>
    <w:uiPriority w:val="0"/>
    <w:pPr>
      <w:tabs>
        <w:tab w:val="left" w:pos="4394"/>
      </w:tabs>
    </w:pPr>
  </w:style>
  <w:style w:type="paragraph" w:customStyle="1" w:styleId="108">
    <w:name w:val="Char1 Char Char Char Char Char Char"/>
    <w:basedOn w:val="1"/>
    <w:qFormat/>
    <w:uiPriority w:val="0"/>
    <w:rPr>
      <w:rFonts w:ascii="Tahoma" w:hAnsi="Tahoma"/>
      <w:sz w:val="24"/>
      <w:szCs w:val="20"/>
    </w:rPr>
  </w:style>
  <w:style w:type="paragraph" w:customStyle="1" w:styleId="109">
    <w:name w:val="RFI Heading 3rd Level"/>
    <w:basedOn w:val="1"/>
    <w:qFormat/>
    <w:uiPriority w:val="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110">
    <w:name w:val="样式 小四2"/>
    <w:basedOn w:val="1"/>
    <w:qFormat/>
    <w:uiPriority w:val="0"/>
    <w:rPr>
      <w:rFonts w:ascii="宋体" w:hAnsi="宋体"/>
      <w:sz w:val="24"/>
      <w:szCs w:val="24"/>
    </w:rPr>
  </w:style>
  <w:style w:type="paragraph" w:customStyle="1" w:styleId="111">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12">
    <w:name w:val="Char Char1"/>
    <w:basedOn w:val="1"/>
    <w:next w:val="1"/>
    <w:qFormat/>
    <w:uiPriority w:val="0"/>
    <w:pPr>
      <w:spacing w:line="240" w:lineRule="atLeast"/>
      <w:ind w:left="420" w:firstLine="420"/>
      <w:jc w:val="left"/>
    </w:pPr>
    <w:rPr>
      <w:rFonts w:ascii="楷体_GB2312" w:hAnsi="宋体" w:eastAsia="楷体_GB2312"/>
      <w:bCs/>
      <w:color w:val="000000"/>
      <w:kern w:val="0"/>
      <w:sz w:val="28"/>
      <w:szCs w:val="28"/>
    </w:rPr>
  </w:style>
  <w:style w:type="paragraph" w:customStyle="1" w:styleId="113">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114">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15">
    <w:name w:val="文章正文 Char Char1"/>
    <w:basedOn w:val="1"/>
    <w:qFormat/>
    <w:uiPriority w:val="0"/>
    <w:pPr>
      <w:spacing w:line="360" w:lineRule="auto"/>
      <w:ind w:firstLine="420"/>
    </w:pPr>
    <w:rPr>
      <w:rFonts w:ascii="Times New Roman" w:hAnsi="Times New Roman"/>
      <w:sz w:val="24"/>
      <w:szCs w:val="24"/>
    </w:rPr>
  </w:style>
  <w:style w:type="paragraph" w:customStyle="1" w:styleId="116">
    <w:name w:val="标题2-1"/>
    <w:basedOn w:val="1"/>
    <w:qFormat/>
    <w:uiPriority w:val="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117">
    <w:name w:val="样式"/>
    <w:link w:val="221"/>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18">
    <w:name w:val="图"/>
    <w:basedOn w:val="1"/>
    <w:qFormat/>
    <w:uiPriority w:val="0"/>
    <w:pPr>
      <w:widowControl/>
      <w:adjustRightInd w:val="0"/>
      <w:snapToGrid w:val="0"/>
      <w:jc w:val="center"/>
    </w:pPr>
    <w:rPr>
      <w:rFonts w:ascii="宋体" w:hAnsi="宋体"/>
      <w:bCs/>
      <w:szCs w:val="24"/>
    </w:rPr>
  </w:style>
  <w:style w:type="paragraph" w:customStyle="1" w:styleId="119">
    <w:name w:val="Char1 Char Char Char Char Char Char1"/>
    <w:basedOn w:val="1"/>
    <w:qFormat/>
    <w:uiPriority w:val="0"/>
    <w:rPr>
      <w:rFonts w:ascii="Tahoma" w:hAnsi="Tahoma"/>
      <w:sz w:val="24"/>
      <w:szCs w:val="20"/>
    </w:rPr>
  </w:style>
  <w:style w:type="paragraph" w:customStyle="1" w:styleId="120">
    <w:name w:val="zw1"/>
    <w:basedOn w:val="1"/>
    <w:qFormat/>
    <w:uiPriority w:val="0"/>
    <w:pPr>
      <w:widowControl/>
      <w:spacing w:line="360" w:lineRule="auto"/>
      <w:ind w:firstLine="480" w:firstLineChars="200"/>
    </w:pPr>
    <w:rPr>
      <w:rFonts w:ascii="Times New Roman" w:hAnsi="Times New Roman"/>
      <w:kern w:val="0"/>
      <w:sz w:val="24"/>
      <w:szCs w:val="20"/>
    </w:rPr>
  </w:style>
  <w:style w:type="paragraph" w:customStyle="1" w:styleId="121">
    <w:name w:val="Char Char Char Char Char Char Char"/>
    <w:basedOn w:val="1"/>
    <w:qFormat/>
    <w:uiPriority w:val="0"/>
    <w:pPr>
      <w:widowControl/>
      <w:snapToGrid w:val="0"/>
      <w:spacing w:line="240" w:lineRule="exact"/>
      <w:jc w:val="left"/>
    </w:pPr>
    <w:rPr>
      <w:rFonts w:ascii="Verdana" w:hAnsi="Verdana"/>
      <w:kern w:val="0"/>
      <w:sz w:val="20"/>
      <w:szCs w:val="20"/>
      <w:lang w:eastAsia="en-US"/>
    </w:rPr>
  </w:style>
  <w:style w:type="paragraph" w:customStyle="1" w:styleId="122">
    <w:name w:val="MM Topic 1"/>
    <w:basedOn w:val="3"/>
    <w:qFormat/>
    <w:uiPriority w:val="0"/>
    <w:pPr>
      <w:tabs>
        <w:tab w:val="left" w:pos="425"/>
      </w:tabs>
    </w:pPr>
    <w:rPr>
      <w:rFonts w:cs="Times New Roman"/>
      <w:sz w:val="44"/>
    </w:rPr>
  </w:style>
  <w:style w:type="paragraph" w:customStyle="1" w:styleId="123">
    <w:name w:val="样式 标题 5 + 倾斜"/>
    <w:basedOn w:val="7"/>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124">
    <w:name w:val="我的正文"/>
    <w:basedOn w:val="1"/>
    <w:qFormat/>
    <w:uiPriority w:val="0"/>
    <w:pPr>
      <w:spacing w:line="360" w:lineRule="auto"/>
      <w:ind w:firstLine="420" w:firstLineChars="200"/>
    </w:pPr>
    <w:rPr>
      <w:rFonts w:ascii="宋体" w:hAnsi="宋体"/>
      <w:szCs w:val="24"/>
    </w:rPr>
  </w:style>
  <w:style w:type="paragraph" w:customStyle="1" w:styleId="125">
    <w:name w:val="MM Topic 7"/>
    <w:basedOn w:val="9"/>
    <w:qFormat/>
    <w:uiPriority w:val="0"/>
    <w:pPr>
      <w:keepLines/>
      <w:widowControl w:val="0"/>
      <w:tabs>
        <w:tab w:val="left" w:pos="3827"/>
        <w:tab w:val="clear" w:pos="3600"/>
      </w:tabs>
      <w:spacing w:before="240" w:after="64" w:line="314" w:lineRule="auto"/>
      <w:jc w:val="both"/>
    </w:pPr>
    <w:rPr>
      <w:rFonts w:ascii="Times New Roman" w:hAnsi="Times New Roman"/>
      <w:iCs w:val="0"/>
      <w:kern w:val="2"/>
      <w:sz w:val="24"/>
      <w:lang w:eastAsia="zh-CN"/>
    </w:rPr>
  </w:style>
  <w:style w:type="paragraph" w:customStyle="1" w:styleId="126">
    <w:name w:val="标书（正文）"/>
    <w:basedOn w:val="1"/>
    <w:qFormat/>
    <w:uiPriority w:val="0"/>
    <w:pPr>
      <w:spacing w:line="360" w:lineRule="auto"/>
      <w:ind w:firstLine="560" w:firstLineChars="200"/>
    </w:pPr>
    <w:rPr>
      <w:rFonts w:ascii="宋体" w:hAnsi="宋体"/>
      <w:kern w:val="10"/>
      <w:sz w:val="28"/>
      <w:szCs w:val="28"/>
    </w:rPr>
  </w:style>
  <w:style w:type="paragraph" w:customStyle="1" w:styleId="127">
    <w:name w:val="样式 标题 3 + (西文) 仿宋_GB2312 (中文) 仿宋_GB2312 四号"/>
    <w:basedOn w:val="5"/>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s="Times New Roman"/>
      <w:color w:val="auto"/>
    </w:rPr>
  </w:style>
  <w:style w:type="paragraph" w:customStyle="1" w:styleId="128">
    <w:name w:val="论文正文"/>
    <w:basedOn w:val="1"/>
    <w:qFormat/>
    <w:uiPriority w:val="0"/>
    <w:pPr>
      <w:spacing w:line="360" w:lineRule="auto"/>
      <w:ind w:firstLine="700" w:firstLineChars="250"/>
    </w:pPr>
    <w:rPr>
      <w:rFonts w:ascii="宋体" w:hAnsi="宋体"/>
      <w:bCs/>
      <w:sz w:val="28"/>
      <w:szCs w:val="28"/>
    </w:rPr>
  </w:style>
  <w:style w:type="paragraph" w:customStyle="1" w:styleId="129">
    <w:name w:val="样式1"/>
    <w:basedOn w:val="1"/>
    <w:qFormat/>
    <w:uiPriority w:val="0"/>
    <w:rPr>
      <w:rFonts w:ascii="Times New Roman" w:hAnsi="Times New Roman" w:eastAsia="隶书"/>
      <w:i/>
      <w:dstrike/>
      <w:sz w:val="28"/>
      <w:szCs w:val="18"/>
    </w:rPr>
  </w:style>
  <w:style w:type="paragraph" w:customStyle="1" w:styleId="130">
    <w:name w:val="表格"/>
    <w:basedOn w:val="1"/>
    <w:qFormat/>
    <w:uiPriority w:val="0"/>
    <w:pPr>
      <w:spacing w:line="400" w:lineRule="exact"/>
    </w:pPr>
    <w:rPr>
      <w:rFonts w:ascii="Times New Roman" w:hAnsi="Times New Roman"/>
      <w:sz w:val="24"/>
      <w:szCs w:val="24"/>
    </w:rPr>
  </w:style>
  <w:style w:type="paragraph" w:customStyle="1" w:styleId="131">
    <w:name w:val="彩色底纹 - 强调文字颜色 11"/>
    <w:qFormat/>
    <w:uiPriority w:val="0"/>
    <w:rPr>
      <w:rFonts w:ascii="Calibri" w:hAnsi="Calibri" w:eastAsia="宋体" w:cs="Times New Roman"/>
      <w:kern w:val="2"/>
      <w:sz w:val="21"/>
      <w:szCs w:val="22"/>
      <w:lang w:val="en-US" w:eastAsia="zh-CN" w:bidi="ar-SA"/>
    </w:rPr>
  </w:style>
  <w:style w:type="paragraph" w:customStyle="1" w:styleId="132">
    <w:name w:val="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33">
    <w:name w:val="Char Char Char Char Char Char Char Char Char Char Char Char Char"/>
    <w:basedOn w:val="18"/>
    <w:qFormat/>
    <w:uiPriority w:val="0"/>
    <w:rPr>
      <w:rFonts w:ascii="Tahoma" w:hAnsi="Tahoma"/>
      <w:sz w:val="24"/>
      <w:szCs w:val="24"/>
    </w:rPr>
  </w:style>
  <w:style w:type="paragraph" w:customStyle="1" w:styleId="134">
    <w:name w:val="MM Topic 3"/>
    <w:basedOn w:val="5"/>
    <w:qFormat/>
    <w:uiPriority w:val="0"/>
    <w:pPr>
      <w:numPr>
        <w:ilvl w:val="0"/>
        <w:numId w:val="0"/>
      </w:numPr>
      <w:tabs>
        <w:tab w:val="left" w:pos="1418"/>
      </w:tabs>
    </w:pPr>
    <w:rPr>
      <w:rFonts w:cs="Times New Roman"/>
    </w:rPr>
  </w:style>
  <w:style w:type="paragraph" w:customStyle="1" w:styleId="135">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136">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137">
    <w:name w:val="Char Char Char Char"/>
    <w:basedOn w:val="1"/>
    <w:qFormat/>
    <w:uiPriority w:val="0"/>
    <w:rPr>
      <w:rFonts w:ascii="Tahoma" w:hAnsi="Tahoma"/>
      <w:sz w:val="24"/>
      <w:szCs w:val="20"/>
    </w:rPr>
  </w:style>
  <w:style w:type="paragraph" w:customStyle="1" w:styleId="138">
    <w:name w:val="Style8"/>
    <w:basedOn w:val="1"/>
    <w:qFormat/>
    <w:uiPriority w:val="0"/>
    <w:pPr>
      <w:tabs>
        <w:tab w:val="left" w:pos="1304"/>
      </w:tabs>
      <w:spacing w:beforeLines="50" w:line="276" w:lineRule="auto"/>
      <w:ind w:left="1304" w:hanging="397"/>
    </w:pPr>
    <w:rPr>
      <w:rFonts w:ascii="Arial" w:hAnsi="Arial"/>
      <w:sz w:val="24"/>
      <w:szCs w:val="24"/>
    </w:rPr>
  </w:style>
  <w:style w:type="paragraph" w:customStyle="1" w:styleId="139">
    <w:name w:val="MM Topic 9"/>
    <w:basedOn w:val="11"/>
    <w:qFormat/>
    <w:uiPriority w:val="0"/>
    <w:pPr>
      <w:tabs>
        <w:tab w:val="left" w:pos="5102"/>
      </w:tabs>
    </w:pPr>
  </w:style>
  <w:style w:type="paragraph" w:customStyle="1" w:styleId="140">
    <w:name w:val="MM Topic 5"/>
    <w:basedOn w:val="7"/>
    <w:qFormat/>
    <w:uiPriority w:val="0"/>
    <w:pPr>
      <w:tabs>
        <w:tab w:val="left" w:pos="2551"/>
        <w:tab w:val="clear" w:pos="1134"/>
        <w:tab w:val="clear" w:pos="1560"/>
      </w:tabs>
      <w:ind w:left="0" w:firstLine="0"/>
    </w:pPr>
    <w:rPr>
      <w:rFonts w:cs="Times New Roman"/>
    </w:rPr>
  </w:style>
  <w:style w:type="paragraph" w:customStyle="1" w:styleId="141">
    <w:name w:val="大纲正文"/>
    <w:basedOn w:val="1"/>
    <w:qFormat/>
    <w:uiPriority w:val="0"/>
    <w:pPr>
      <w:spacing w:line="360" w:lineRule="auto"/>
      <w:ind w:firstLine="480" w:firstLineChars="200"/>
    </w:pPr>
    <w:rPr>
      <w:rFonts w:ascii="Times New Roman" w:hAnsi="Times New Roman"/>
      <w:sz w:val="24"/>
      <w:szCs w:val="20"/>
    </w:rPr>
  </w:style>
  <w:style w:type="paragraph" w:customStyle="1" w:styleId="142">
    <w:name w:val="MM Topic 4"/>
    <w:basedOn w:val="6"/>
    <w:qFormat/>
    <w:uiPriority w:val="0"/>
    <w:pPr>
      <w:tabs>
        <w:tab w:val="left" w:pos="1984"/>
      </w:tabs>
      <w:ind w:left="0" w:firstLine="0"/>
    </w:pPr>
  </w:style>
  <w:style w:type="paragraph" w:customStyle="1" w:styleId="1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4">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145">
    <w:name w:val="样式 标题 2H2第一章 标题 2Heading 2 HiddenHeading 2 CCBSheading 2h2..."/>
    <w:basedOn w:val="4"/>
    <w:qFormat/>
    <w:uiPriority w:val="0"/>
    <w:pPr>
      <w:tabs>
        <w:tab w:val="left" w:pos="-2493"/>
      </w:tabs>
    </w:pPr>
    <w:rPr>
      <w:rFonts w:cs="Times New Roman"/>
      <w:szCs w:val="20"/>
    </w:rPr>
  </w:style>
  <w:style w:type="paragraph" w:customStyle="1" w:styleId="146">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147">
    <w:name w:val="列出段落2"/>
    <w:basedOn w:val="1"/>
    <w:qFormat/>
    <w:uiPriority w:val="0"/>
    <w:pPr>
      <w:ind w:firstLine="420" w:firstLineChars="200"/>
    </w:pPr>
  </w:style>
  <w:style w:type="paragraph" w:customStyle="1" w:styleId="148">
    <w:name w:val="列出段落4"/>
    <w:basedOn w:val="1"/>
    <w:qFormat/>
    <w:uiPriority w:val="34"/>
    <w:pPr>
      <w:ind w:firstLine="420" w:firstLineChars="200"/>
    </w:pPr>
    <w:rPr>
      <w:rFonts w:ascii="Times New Roman" w:hAnsi="Times New Roman"/>
      <w:szCs w:val="24"/>
    </w:rPr>
  </w:style>
  <w:style w:type="paragraph" w:customStyle="1" w:styleId="149">
    <w:name w:val="列出段落11"/>
    <w:basedOn w:val="1"/>
    <w:qFormat/>
    <w:uiPriority w:val="0"/>
    <w:pPr>
      <w:ind w:firstLine="420" w:firstLineChars="200"/>
    </w:pPr>
  </w:style>
  <w:style w:type="paragraph" w:customStyle="1" w:styleId="150">
    <w:name w:val="修订1"/>
    <w:qFormat/>
    <w:uiPriority w:val="99"/>
    <w:rPr>
      <w:rFonts w:ascii="Calibri" w:hAnsi="Calibri" w:eastAsia="宋体" w:cs="Times New Roman"/>
      <w:kern w:val="2"/>
      <w:sz w:val="21"/>
      <w:szCs w:val="22"/>
      <w:lang w:val="en-US" w:eastAsia="zh-CN" w:bidi="ar-SA"/>
    </w:rPr>
  </w:style>
  <w:style w:type="paragraph" w:customStyle="1" w:styleId="151">
    <w:name w:val="彩色列表 - 强调文字颜色 12"/>
    <w:basedOn w:val="1"/>
    <w:qFormat/>
    <w:uiPriority w:val="0"/>
    <w:pPr>
      <w:ind w:firstLine="420" w:firstLineChars="200"/>
    </w:pPr>
  </w:style>
  <w:style w:type="paragraph" w:customStyle="1" w:styleId="15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3">
    <w:name w:val="列出段落3"/>
    <w:basedOn w:val="1"/>
    <w:qFormat/>
    <w:uiPriority w:val="34"/>
    <w:pPr>
      <w:widowControl/>
      <w:ind w:firstLine="420" w:firstLineChars="200"/>
      <w:jc w:val="left"/>
    </w:pPr>
    <w:rPr>
      <w:rFonts w:ascii="Times New Roman" w:hAnsi="Times New Roman"/>
      <w:kern w:val="0"/>
      <w:sz w:val="24"/>
      <w:szCs w:val="24"/>
    </w:rPr>
  </w:style>
  <w:style w:type="paragraph" w:customStyle="1" w:styleId="154">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character" w:customStyle="1" w:styleId="155">
    <w:name w:val="0-CD Char"/>
    <w:link w:val="156"/>
    <w:qFormat/>
    <w:locked/>
    <w:uiPriority w:val="0"/>
    <w:rPr>
      <w:rFonts w:ascii="宋体" w:hAnsi="宋体" w:eastAsia="宋体"/>
      <w:sz w:val="28"/>
      <w:szCs w:val="24"/>
    </w:rPr>
  </w:style>
  <w:style w:type="paragraph" w:customStyle="1" w:styleId="156">
    <w:name w:val="0-CD"/>
    <w:basedOn w:val="1"/>
    <w:link w:val="155"/>
    <w:qFormat/>
    <w:uiPriority w:val="0"/>
    <w:pPr>
      <w:spacing w:line="360" w:lineRule="auto"/>
      <w:ind w:firstLine="708" w:firstLineChars="253"/>
      <w:jc w:val="left"/>
    </w:pPr>
    <w:rPr>
      <w:rFonts w:ascii="宋体" w:hAnsi="宋体" w:cstheme="minorBidi"/>
      <w:sz w:val="28"/>
      <w:szCs w:val="24"/>
    </w:rPr>
  </w:style>
  <w:style w:type="character" w:customStyle="1" w:styleId="157">
    <w:name w:val="Char Char8"/>
    <w:qFormat/>
    <w:uiPriority w:val="0"/>
    <w:rPr>
      <w:rFonts w:hint="eastAsia" w:ascii="宋体" w:hAnsi="宋体" w:eastAsia="宋体"/>
      <w:kern w:val="2"/>
      <w:sz w:val="28"/>
      <w:szCs w:val="28"/>
    </w:rPr>
  </w:style>
  <w:style w:type="character" w:customStyle="1" w:styleId="158">
    <w:name w:val="Char Char5"/>
    <w:qFormat/>
    <w:uiPriority w:val="0"/>
    <w:rPr>
      <w:kern w:val="2"/>
      <w:sz w:val="21"/>
      <w:szCs w:val="24"/>
    </w:rPr>
  </w:style>
  <w:style w:type="character" w:customStyle="1" w:styleId="159">
    <w:name w:val="列出段落 Char Char"/>
    <w:qFormat/>
    <w:uiPriority w:val="0"/>
    <w:rPr>
      <w:rFonts w:hint="default" w:ascii="Calibri" w:hAnsi="Calibri" w:cs="Calibri"/>
      <w:kern w:val="2"/>
      <w:sz w:val="21"/>
      <w:szCs w:val="22"/>
    </w:rPr>
  </w:style>
  <w:style w:type="character" w:customStyle="1" w:styleId="160">
    <w:name w:val="正文文本 Char Char"/>
    <w:qFormat/>
    <w:uiPriority w:val="0"/>
    <w:rPr>
      <w:kern w:val="2"/>
      <w:sz w:val="21"/>
      <w:szCs w:val="24"/>
    </w:rPr>
  </w:style>
  <w:style w:type="character" w:customStyle="1" w:styleId="161">
    <w:name w:val="Char Char11"/>
    <w:qFormat/>
    <w:uiPriority w:val="0"/>
    <w:rPr>
      <w:rFonts w:hint="default" w:ascii="Arial Narrow" w:hAnsi="Arial Narrow"/>
      <w:b/>
      <w:bCs/>
      <w:iCs/>
      <w:szCs w:val="24"/>
      <w:lang w:eastAsia="en-US"/>
    </w:rPr>
  </w:style>
  <w:style w:type="character" w:customStyle="1" w:styleId="162">
    <w:name w:val="标书（正文） Char Char"/>
    <w:qFormat/>
    <w:uiPriority w:val="0"/>
    <w:rPr>
      <w:rFonts w:hint="eastAsia" w:ascii="宋体" w:hAnsi="宋体" w:eastAsia="宋体"/>
      <w:b/>
      <w:kern w:val="10"/>
      <w:sz w:val="21"/>
      <w:szCs w:val="21"/>
      <w:lang w:val="en-US" w:eastAsia="zh-CN" w:bidi="ar-SA"/>
    </w:rPr>
  </w:style>
  <w:style w:type="character" w:customStyle="1" w:styleId="163">
    <w:name w:val="line2"/>
    <w:basedOn w:val="41"/>
    <w:qFormat/>
    <w:uiPriority w:val="0"/>
  </w:style>
  <w:style w:type="character" w:customStyle="1" w:styleId="164">
    <w:name w:val="Char Char10"/>
    <w:qFormat/>
    <w:uiPriority w:val="0"/>
    <w:rPr>
      <w:kern w:val="2"/>
      <w:sz w:val="24"/>
      <w:szCs w:val="24"/>
    </w:rPr>
  </w:style>
  <w:style w:type="character" w:customStyle="1" w:styleId="165">
    <w:name w:val="MM Topic 4 Char Char"/>
    <w:qFormat/>
    <w:uiPriority w:val="0"/>
    <w:rPr>
      <w:rFonts w:hint="default" w:ascii="Arial" w:hAnsi="Arial" w:cs="Arial"/>
      <w:b/>
      <w:bCs/>
      <w:kern w:val="2"/>
      <w:sz w:val="28"/>
      <w:szCs w:val="28"/>
    </w:rPr>
  </w:style>
  <w:style w:type="character" w:customStyle="1" w:styleId="166">
    <w:name w:val="标书正文:  0.74 厘米 Char Char"/>
    <w:qFormat/>
    <w:uiPriority w:val="0"/>
    <w:rPr>
      <w:kern w:val="2"/>
      <w:sz w:val="24"/>
    </w:rPr>
  </w:style>
  <w:style w:type="character" w:customStyle="1" w:styleId="167">
    <w:name w:val="访问过的超链接1"/>
    <w:qFormat/>
    <w:uiPriority w:val="99"/>
    <w:rPr>
      <w:color w:val="800080"/>
      <w:u w:val="single"/>
    </w:rPr>
  </w:style>
  <w:style w:type="character" w:customStyle="1" w:styleId="168">
    <w:name w:val="标题 3 Char Char Char"/>
    <w:qFormat/>
    <w:uiPriority w:val="0"/>
    <w:rPr>
      <w:rFonts w:hint="eastAsia" w:ascii="宋体" w:hAnsi="宋体" w:eastAsia="宋体"/>
      <w:b/>
      <w:kern w:val="2"/>
      <w:sz w:val="32"/>
      <w:lang w:val="en-US" w:eastAsia="zh-CN" w:bidi="ar-SA"/>
    </w:rPr>
  </w:style>
  <w:style w:type="character" w:customStyle="1" w:styleId="169">
    <w:name w:val="（符号）邀请函中一、"/>
    <w:qFormat/>
    <w:uiPriority w:val="0"/>
    <w:rPr>
      <w:rFonts w:hint="eastAsia" w:ascii="黑体" w:hAnsi="黑体" w:eastAsia="黑体"/>
      <w:b/>
      <w:bCs/>
      <w:sz w:val="24"/>
    </w:rPr>
  </w:style>
  <w:style w:type="character" w:customStyle="1" w:styleId="170">
    <w:name w:val="tt Char"/>
    <w:qFormat/>
    <w:uiPriority w:val="0"/>
    <w:rPr>
      <w:rFonts w:hint="default" w:ascii="Arial" w:hAnsi="Arial" w:eastAsia="黑体" w:cs="Arial"/>
      <w:kern w:val="2"/>
      <w:sz w:val="21"/>
      <w:szCs w:val="21"/>
    </w:rPr>
  </w:style>
  <w:style w:type="character" w:customStyle="1" w:styleId="171">
    <w:name w:val="Char Char9"/>
    <w:qFormat/>
    <w:uiPriority w:val="0"/>
    <w:rPr>
      <w:kern w:val="2"/>
      <w:sz w:val="18"/>
      <w:szCs w:val="18"/>
    </w:rPr>
  </w:style>
  <w:style w:type="character" w:customStyle="1" w:styleId="172">
    <w:name w:val="MM Topic 3 Char Char"/>
    <w:qFormat/>
    <w:uiPriority w:val="0"/>
    <w:rPr>
      <w:rFonts w:hint="eastAsia" w:ascii="宋体" w:hAnsi="宋体" w:eastAsia="宋体"/>
      <w:b/>
      <w:bCs/>
      <w:color w:val="000000"/>
      <w:kern w:val="2"/>
      <w:sz w:val="28"/>
      <w:szCs w:val="28"/>
    </w:rPr>
  </w:style>
  <w:style w:type="character" w:customStyle="1" w:styleId="173">
    <w:name w:val="样式 小四2 Char Char"/>
    <w:qFormat/>
    <w:uiPriority w:val="0"/>
    <w:rPr>
      <w:rFonts w:hint="eastAsia" w:ascii="宋体" w:hAnsi="宋体" w:eastAsia="宋体"/>
      <w:kern w:val="2"/>
      <w:sz w:val="24"/>
      <w:szCs w:val="24"/>
    </w:rPr>
  </w:style>
  <w:style w:type="character" w:customStyle="1" w:styleId="174">
    <w:name w:val="Char Char7"/>
    <w:qFormat/>
    <w:uiPriority w:val="0"/>
    <w:rPr>
      <w:kern w:val="2"/>
      <w:sz w:val="18"/>
      <w:szCs w:val="18"/>
    </w:rPr>
  </w:style>
  <w:style w:type="character" w:customStyle="1" w:styleId="175">
    <w:name w:val="Char Char3"/>
    <w:qFormat/>
    <w:uiPriority w:val="0"/>
    <w:rPr>
      <w:b/>
      <w:bCs/>
      <w:kern w:val="2"/>
      <w:sz w:val="18"/>
      <w:szCs w:val="18"/>
    </w:rPr>
  </w:style>
  <w:style w:type="character" w:customStyle="1" w:styleId="176">
    <w:name w:val="apple-style-span"/>
    <w:basedOn w:val="41"/>
    <w:qFormat/>
    <w:uiPriority w:val="0"/>
  </w:style>
  <w:style w:type="character" w:customStyle="1" w:styleId="177">
    <w:name w:val="Char Char4"/>
    <w:qFormat/>
    <w:uiPriority w:val="0"/>
    <w:rPr>
      <w:kern w:val="2"/>
      <w:sz w:val="18"/>
      <w:szCs w:val="18"/>
    </w:rPr>
  </w:style>
  <w:style w:type="character" w:customStyle="1" w:styleId="178">
    <w:name w:val="副标题 Char1"/>
    <w:qFormat/>
    <w:uiPriority w:val="11"/>
    <w:rPr>
      <w:rFonts w:hint="default" w:ascii="Cambria" w:hAnsi="Cambria" w:cs="Times New Roman"/>
      <w:b/>
      <w:bCs/>
      <w:kern w:val="28"/>
      <w:sz w:val="32"/>
      <w:szCs w:val="32"/>
    </w:rPr>
  </w:style>
  <w:style w:type="character" w:customStyle="1" w:styleId="179">
    <w:name w:val="small"/>
    <w:basedOn w:val="41"/>
    <w:qFormat/>
    <w:uiPriority w:val="0"/>
  </w:style>
  <w:style w:type="character" w:customStyle="1" w:styleId="180">
    <w:name w:val="Legal Level 1.1.1. Char"/>
    <w:qFormat/>
    <w:uiPriority w:val="0"/>
    <w:rPr>
      <w:rFonts w:hint="default" w:ascii="Arial" w:hAnsi="Arial" w:eastAsia="黑体" w:cs="Arial"/>
      <w:kern w:val="2"/>
      <w:sz w:val="24"/>
      <w:szCs w:val="24"/>
    </w:rPr>
  </w:style>
  <w:style w:type="character" w:customStyle="1" w:styleId="181">
    <w:name w:val="文章正文 Char Char"/>
    <w:qFormat/>
    <w:uiPriority w:val="0"/>
    <w:rPr>
      <w:rFonts w:hint="eastAsia" w:ascii="宋体" w:hAnsi="宋体" w:eastAsia="宋体"/>
      <w:kern w:val="2"/>
      <w:sz w:val="24"/>
      <w:szCs w:val="24"/>
      <w:lang w:val="en-US" w:eastAsia="zh-CN" w:bidi="ar-SA"/>
    </w:rPr>
  </w:style>
  <w:style w:type="character" w:customStyle="1" w:styleId="182">
    <w:name w:val="正文文本 Char1"/>
    <w:qFormat/>
    <w:uiPriority w:val="0"/>
    <w:rPr>
      <w:rFonts w:hint="default" w:ascii="Times New Roman" w:hAnsi="Times New Roman" w:eastAsia="宋体" w:cs="Times New Roman"/>
      <w:kern w:val="0"/>
      <w:sz w:val="18"/>
      <w:szCs w:val="18"/>
    </w:rPr>
  </w:style>
  <w:style w:type="character" w:customStyle="1" w:styleId="183">
    <w:name w:val="正文文本 Char2"/>
    <w:basedOn w:val="41"/>
    <w:link w:val="2"/>
    <w:qFormat/>
    <w:locked/>
    <w:uiPriority w:val="0"/>
    <w:rPr>
      <w:rFonts w:ascii="Calibri" w:hAnsi="Calibri" w:eastAsia="宋体" w:cs="Times New Roman"/>
    </w:rPr>
  </w:style>
  <w:style w:type="character" w:customStyle="1" w:styleId="184">
    <w:name w:val="CD正文 Char Char"/>
    <w:qFormat/>
    <w:uiPriority w:val="0"/>
    <w:rPr>
      <w:rFonts w:hint="eastAsia" w:ascii="宋体" w:hAnsi="宋体" w:eastAsia="宋体"/>
      <w:kern w:val="2"/>
      <w:sz w:val="30"/>
      <w:szCs w:val="28"/>
      <w:lang w:val="en-US" w:eastAsia="zh-CN" w:bidi="ar-SA"/>
    </w:rPr>
  </w:style>
  <w:style w:type="character" w:customStyle="1" w:styleId="185">
    <w:name w:val="Char Char2"/>
    <w:qFormat/>
    <w:uiPriority w:val="0"/>
    <w:rPr>
      <w:kern w:val="2"/>
      <w:sz w:val="18"/>
      <w:szCs w:val="18"/>
    </w:rPr>
  </w:style>
  <w:style w:type="character" w:customStyle="1" w:styleId="186">
    <w:name w:val="标题 1 Char1"/>
    <w:qFormat/>
    <w:uiPriority w:val="0"/>
    <w:rPr>
      <w:b/>
      <w:bCs/>
      <w:kern w:val="44"/>
      <w:sz w:val="44"/>
      <w:szCs w:val="44"/>
    </w:rPr>
  </w:style>
  <w:style w:type="character" w:customStyle="1" w:styleId="187">
    <w:name w:val="表正文 Char1"/>
    <w:qFormat/>
    <w:uiPriority w:val="0"/>
    <w:rPr>
      <w:rFonts w:hint="eastAsia" w:ascii="宋体" w:hAnsi="宋体" w:eastAsia="宋体"/>
      <w:kern w:val="2"/>
      <w:sz w:val="21"/>
      <w:lang w:val="en-US" w:eastAsia="zh-CN" w:bidi="ar-SA"/>
    </w:rPr>
  </w:style>
  <w:style w:type="character" w:customStyle="1" w:styleId="188">
    <w:name w:val="纯文本 Char1"/>
    <w:link w:val="24"/>
    <w:qFormat/>
    <w:locked/>
    <w:uiPriority w:val="0"/>
    <w:rPr>
      <w:rFonts w:ascii="宋体" w:hAnsi="Courier New" w:eastAsia="宋体" w:cs="Times New Roman"/>
      <w:kern w:val="0"/>
      <w:sz w:val="20"/>
      <w:szCs w:val="18"/>
    </w:rPr>
  </w:style>
  <w:style w:type="character" w:customStyle="1" w:styleId="189">
    <w:name w:val="Char Char Char"/>
    <w:qFormat/>
    <w:uiPriority w:val="0"/>
    <w:rPr>
      <w:rFonts w:hint="eastAsia" w:ascii="宋体" w:hAnsi="宋体" w:eastAsia="宋体"/>
      <w:kern w:val="2"/>
      <w:sz w:val="18"/>
      <w:szCs w:val="18"/>
      <w:lang w:val="en-US" w:eastAsia="zh-CN" w:bidi="ar-SA"/>
    </w:rPr>
  </w:style>
  <w:style w:type="character" w:customStyle="1" w:styleId="190">
    <w:name w:val="Char Char6"/>
    <w:qFormat/>
    <w:uiPriority w:val="0"/>
    <w:rPr>
      <w:kern w:val="2"/>
      <w:sz w:val="21"/>
      <w:szCs w:val="24"/>
    </w:rPr>
  </w:style>
  <w:style w:type="character" w:customStyle="1" w:styleId="191">
    <w:name w:val="正文缩进 Char"/>
    <w:qFormat/>
    <w:uiPriority w:val="0"/>
    <w:rPr>
      <w:kern w:val="2"/>
      <w:sz w:val="21"/>
      <w:lang w:val="zh-CN" w:eastAsia="zh-CN"/>
    </w:rPr>
  </w:style>
  <w:style w:type="character" w:customStyle="1" w:styleId="192">
    <w:name w:val="font11"/>
    <w:basedOn w:val="41"/>
    <w:qFormat/>
    <w:uiPriority w:val="0"/>
    <w:rPr>
      <w:rFonts w:hint="eastAsia" w:ascii="宋体" w:hAnsi="宋体" w:eastAsia="宋体" w:cs="宋体"/>
      <w:b/>
      <w:color w:val="000000"/>
      <w:sz w:val="22"/>
      <w:szCs w:val="22"/>
      <w:u w:val="none"/>
    </w:rPr>
  </w:style>
  <w:style w:type="character" w:customStyle="1" w:styleId="193">
    <w:name w:val="font01"/>
    <w:basedOn w:val="41"/>
    <w:qFormat/>
    <w:uiPriority w:val="0"/>
    <w:rPr>
      <w:rFonts w:hint="eastAsia" w:ascii="宋体" w:hAnsi="宋体" w:eastAsia="宋体" w:cs="宋体"/>
      <w:color w:val="000000"/>
      <w:sz w:val="22"/>
      <w:szCs w:val="22"/>
      <w:u w:val="none"/>
    </w:rPr>
  </w:style>
  <w:style w:type="character" w:customStyle="1" w:styleId="194">
    <w:name w:val="页脚 Char1"/>
    <w:basedOn w:val="41"/>
    <w:qFormat/>
    <w:uiPriority w:val="99"/>
    <w:rPr>
      <w:sz w:val="18"/>
      <w:szCs w:val="18"/>
    </w:rPr>
  </w:style>
  <w:style w:type="character" w:customStyle="1" w:styleId="195">
    <w:name w:val="批注文字 Char2"/>
    <w:qFormat/>
    <w:uiPriority w:val="0"/>
    <w:rPr>
      <w:rFonts w:hint="eastAsia" w:ascii="宋体" w:hAnsi="宋体" w:eastAsia="宋体"/>
      <w:sz w:val="18"/>
      <w:szCs w:val="18"/>
    </w:rPr>
  </w:style>
  <w:style w:type="character" w:customStyle="1" w:styleId="196">
    <w:name w:val="列出段落 Char1"/>
    <w:qFormat/>
    <w:uiPriority w:val="34"/>
    <w:rPr>
      <w:rFonts w:hint="default" w:ascii="Calibri" w:hAnsi="Calibri"/>
      <w:kern w:val="2"/>
      <w:sz w:val="21"/>
      <w:szCs w:val="22"/>
    </w:rPr>
  </w:style>
  <w:style w:type="paragraph" w:customStyle="1" w:styleId="197">
    <w:name w:val="CD正文"/>
    <w:basedOn w:val="95"/>
    <w:qFormat/>
    <w:uiPriority w:val="0"/>
  </w:style>
  <w:style w:type="paragraph" w:customStyle="1" w:styleId="198">
    <w:name w:val="项目符号：一级"/>
    <w:basedOn w:val="82"/>
    <w:next w:val="82"/>
    <w:qFormat/>
    <w:uiPriority w:val="0"/>
  </w:style>
  <w:style w:type="paragraph" w:customStyle="1" w:styleId="199">
    <w:name w:val="修订2"/>
    <w:semiHidden/>
    <w:qFormat/>
    <w:uiPriority w:val="99"/>
    <w:rPr>
      <w:rFonts w:ascii="Calibri" w:hAnsi="Calibri" w:eastAsia="宋体" w:cs="Times New Roman"/>
      <w:kern w:val="2"/>
      <w:sz w:val="21"/>
      <w:szCs w:val="22"/>
      <w:lang w:val="en-US" w:eastAsia="zh-CN" w:bidi="ar-SA"/>
    </w:rPr>
  </w:style>
  <w:style w:type="paragraph" w:customStyle="1" w:styleId="200">
    <w:name w:val="修订21"/>
    <w:semiHidden/>
    <w:qFormat/>
    <w:uiPriority w:val="99"/>
    <w:rPr>
      <w:rFonts w:ascii="Calibri" w:hAnsi="Calibri" w:eastAsia="宋体" w:cs="Times New Roman"/>
      <w:kern w:val="2"/>
      <w:sz w:val="21"/>
      <w:szCs w:val="22"/>
      <w:lang w:val="en-US" w:eastAsia="zh-CN" w:bidi="ar-SA"/>
    </w:rPr>
  </w:style>
  <w:style w:type="paragraph" w:customStyle="1" w:styleId="201">
    <w:name w:val="List Paragraph1"/>
    <w:basedOn w:val="1"/>
    <w:semiHidden/>
    <w:qFormat/>
    <w:uiPriority w:val="0"/>
    <w:pPr>
      <w:ind w:firstLine="420" w:firstLineChars="200"/>
    </w:pPr>
    <w:rPr>
      <w:rFonts w:ascii="Times New Roman" w:hAnsi="Times New Roman"/>
      <w:szCs w:val="24"/>
    </w:rPr>
  </w:style>
  <w:style w:type="paragraph" w:customStyle="1" w:styleId="202">
    <w:name w:val="修订3"/>
    <w:semiHidden/>
    <w:qFormat/>
    <w:uiPriority w:val="99"/>
    <w:rPr>
      <w:rFonts w:ascii="Calibri" w:hAnsi="Calibri" w:eastAsia="宋体" w:cs="Times New Roman"/>
      <w:kern w:val="2"/>
      <w:sz w:val="21"/>
      <w:szCs w:val="22"/>
      <w:lang w:val="en-US" w:eastAsia="zh-CN" w:bidi="ar-SA"/>
    </w:rPr>
  </w:style>
  <w:style w:type="paragraph" w:customStyle="1" w:styleId="203">
    <w:name w:val="Normal Indent1"/>
    <w:basedOn w:val="1"/>
    <w:semiHidden/>
    <w:qFormat/>
    <w:uiPriority w:val="99"/>
    <w:pPr>
      <w:spacing w:line="360" w:lineRule="auto"/>
      <w:ind w:firstLine="200" w:firstLineChars="200"/>
    </w:pPr>
    <w:rPr>
      <w:sz w:val="24"/>
      <w:szCs w:val="24"/>
    </w:rPr>
  </w:style>
  <w:style w:type="character" w:customStyle="1" w:styleId="204">
    <w:name w:val="占位符文本1"/>
    <w:basedOn w:val="41"/>
    <w:semiHidden/>
    <w:qFormat/>
    <w:uiPriority w:val="99"/>
    <w:rPr>
      <w:color w:val="808080"/>
    </w:rPr>
  </w:style>
  <w:style w:type="character" w:customStyle="1" w:styleId="205">
    <w:name w:val="font61"/>
    <w:qFormat/>
    <w:uiPriority w:val="0"/>
    <w:rPr>
      <w:rFonts w:hint="eastAsia" w:ascii="仿宋_GB2312" w:eastAsia="仿宋_GB2312" w:cs="仿宋_GB2312"/>
      <w:color w:val="000000"/>
      <w:sz w:val="24"/>
      <w:szCs w:val="24"/>
      <w:u w:val="none"/>
    </w:rPr>
  </w:style>
  <w:style w:type="character" w:customStyle="1" w:styleId="206">
    <w:name w:val="日期 Char1"/>
    <w:basedOn w:val="41"/>
    <w:semiHidden/>
    <w:qFormat/>
    <w:uiPriority w:val="99"/>
    <w:rPr>
      <w:rFonts w:hint="default" w:ascii="Calibri" w:hAnsi="Calibri" w:eastAsia="宋体" w:cs="Times New Roman"/>
    </w:rPr>
  </w:style>
  <w:style w:type="character" w:customStyle="1" w:styleId="207">
    <w:name w:val="副标题 Char2"/>
    <w:basedOn w:val="41"/>
    <w:qFormat/>
    <w:uiPriority w:val="11"/>
    <w:rPr>
      <w:rFonts w:hint="default" w:eastAsia="宋体" w:asciiTheme="majorHAnsi" w:hAnsiTheme="majorHAnsi" w:cstheme="majorBidi"/>
      <w:b/>
      <w:bCs/>
      <w:kern w:val="28"/>
      <w:sz w:val="32"/>
      <w:szCs w:val="32"/>
    </w:rPr>
  </w:style>
  <w:style w:type="character" w:customStyle="1" w:styleId="208">
    <w:name w:val="正文文本缩进 3 Char1"/>
    <w:basedOn w:val="41"/>
    <w:semiHidden/>
    <w:qFormat/>
    <w:uiPriority w:val="99"/>
    <w:rPr>
      <w:rFonts w:hint="default" w:ascii="Calibri" w:hAnsi="Calibri" w:eastAsia="宋体" w:cs="Times New Roman"/>
      <w:sz w:val="16"/>
      <w:szCs w:val="16"/>
    </w:rPr>
  </w:style>
  <w:style w:type="character" w:customStyle="1" w:styleId="209">
    <w:name w:val="批注框文本 Char1"/>
    <w:basedOn w:val="41"/>
    <w:semiHidden/>
    <w:qFormat/>
    <w:uiPriority w:val="99"/>
    <w:rPr>
      <w:rFonts w:hint="default" w:ascii="Calibri" w:hAnsi="Calibri" w:eastAsia="宋体" w:cs="Times New Roman"/>
      <w:sz w:val="18"/>
      <w:szCs w:val="18"/>
    </w:rPr>
  </w:style>
  <w:style w:type="character" w:customStyle="1" w:styleId="210">
    <w:name w:val="纯文本 Char2"/>
    <w:basedOn w:val="41"/>
    <w:qFormat/>
    <w:uiPriority w:val="99"/>
    <w:rPr>
      <w:rFonts w:hint="eastAsia" w:ascii="宋体" w:hAnsi="Courier New" w:eastAsia="宋体" w:cs="Courier New"/>
      <w:szCs w:val="21"/>
    </w:rPr>
  </w:style>
  <w:style w:type="character" w:customStyle="1" w:styleId="211">
    <w:name w:val="正文文本缩进 2 Char1"/>
    <w:basedOn w:val="41"/>
    <w:semiHidden/>
    <w:qFormat/>
    <w:uiPriority w:val="99"/>
    <w:rPr>
      <w:rFonts w:hint="default" w:ascii="Calibri" w:hAnsi="Calibri" w:eastAsia="宋体" w:cs="Times New Roman"/>
    </w:rPr>
  </w:style>
  <w:style w:type="character" w:customStyle="1" w:styleId="212">
    <w:name w:val="正文文本缩进 Char1"/>
    <w:basedOn w:val="41"/>
    <w:semiHidden/>
    <w:qFormat/>
    <w:uiPriority w:val="99"/>
    <w:rPr>
      <w:rFonts w:hint="default" w:ascii="Calibri" w:hAnsi="Calibri" w:eastAsia="宋体" w:cs="Times New Roman"/>
    </w:rPr>
  </w:style>
  <w:style w:type="character" w:customStyle="1" w:styleId="213">
    <w:name w:val="正文文本 2 Char1"/>
    <w:basedOn w:val="41"/>
    <w:semiHidden/>
    <w:qFormat/>
    <w:uiPriority w:val="99"/>
    <w:rPr>
      <w:rFonts w:hint="default" w:ascii="Calibri" w:hAnsi="Calibri" w:eastAsia="宋体" w:cs="Times New Roman"/>
    </w:rPr>
  </w:style>
  <w:style w:type="character" w:customStyle="1" w:styleId="214">
    <w:name w:val="正文文本 Char3"/>
    <w:basedOn w:val="41"/>
    <w:qFormat/>
    <w:locked/>
    <w:uiPriority w:val="0"/>
    <w:rPr>
      <w:rFonts w:ascii="Calibri" w:hAnsi="Calibri" w:eastAsia="宋体"/>
      <w:kern w:val="2"/>
      <w:sz w:val="21"/>
      <w:szCs w:val="22"/>
    </w:rPr>
  </w:style>
  <w:style w:type="character" w:customStyle="1" w:styleId="215">
    <w:name w:val="正文首行缩进 Char1"/>
    <w:basedOn w:val="214"/>
    <w:semiHidden/>
    <w:qFormat/>
    <w:uiPriority w:val="99"/>
    <w:rPr>
      <w:rFonts w:ascii="Calibri" w:hAnsi="Calibri" w:eastAsia="宋体"/>
      <w:kern w:val="2"/>
      <w:sz w:val="21"/>
      <w:szCs w:val="22"/>
    </w:rPr>
  </w:style>
  <w:style w:type="character" w:customStyle="1" w:styleId="216">
    <w:name w:val="批注文字 Char1"/>
    <w:basedOn w:val="41"/>
    <w:semiHidden/>
    <w:qFormat/>
    <w:uiPriority w:val="0"/>
    <w:rPr>
      <w:rFonts w:hint="default" w:ascii="Calibri" w:hAnsi="Calibri" w:eastAsia="宋体" w:cs="Times New Roman"/>
    </w:rPr>
  </w:style>
  <w:style w:type="character" w:customStyle="1" w:styleId="217">
    <w:name w:val="正文文本 3 Char1"/>
    <w:basedOn w:val="41"/>
    <w:semiHidden/>
    <w:qFormat/>
    <w:uiPriority w:val="99"/>
    <w:rPr>
      <w:rFonts w:hint="default" w:ascii="Calibri" w:hAnsi="Calibri" w:eastAsia="宋体" w:cs="Times New Roman"/>
      <w:sz w:val="16"/>
      <w:szCs w:val="16"/>
    </w:rPr>
  </w:style>
  <w:style w:type="character" w:customStyle="1" w:styleId="218">
    <w:name w:val="文档结构图 Char1"/>
    <w:basedOn w:val="41"/>
    <w:semiHidden/>
    <w:qFormat/>
    <w:uiPriority w:val="99"/>
    <w:rPr>
      <w:rFonts w:hint="eastAsia" w:ascii="宋体" w:hAnsi="Calibri" w:eastAsia="宋体" w:cs="Times New Roman"/>
      <w:sz w:val="18"/>
      <w:szCs w:val="18"/>
    </w:rPr>
  </w:style>
  <w:style w:type="character" w:customStyle="1" w:styleId="219">
    <w:name w:val="font21"/>
    <w:qFormat/>
    <w:uiPriority w:val="0"/>
    <w:rPr>
      <w:rFonts w:hint="eastAsia" w:ascii="仿宋_GB2312" w:eastAsia="仿宋_GB2312" w:cs="仿宋_GB2312"/>
      <w:color w:val="000000"/>
      <w:sz w:val="24"/>
      <w:szCs w:val="24"/>
      <w:u w:val="none"/>
    </w:rPr>
  </w:style>
  <w:style w:type="paragraph" w:customStyle="1" w:styleId="220">
    <w:name w:val="正文_58"/>
    <w:qFormat/>
    <w:uiPriority w:val="0"/>
    <w:pPr>
      <w:widowControl w:val="0"/>
      <w:jc w:val="both"/>
    </w:pPr>
    <w:rPr>
      <w:rFonts w:ascii="Calibri" w:hAnsi="Calibri" w:eastAsia="宋体" w:cs="Times New Roman"/>
      <w:kern w:val="2"/>
      <w:sz w:val="21"/>
      <w:szCs w:val="22"/>
      <w:lang w:val="en-US" w:eastAsia="zh-CN" w:bidi="ar-SA"/>
    </w:rPr>
  </w:style>
  <w:style w:type="character" w:customStyle="1" w:styleId="221">
    <w:name w:val="样式 Char Char"/>
    <w:link w:val="117"/>
    <w:qFormat/>
    <w:locked/>
    <w:uiPriority w:val="0"/>
    <w:rPr>
      <w:rFonts w:ascii="宋体" w:hAnsi="宋体" w:eastAsia="宋体" w:cs="宋体"/>
      <w:kern w:val="0"/>
      <w:sz w:val="24"/>
      <w:szCs w:val="24"/>
    </w:rPr>
  </w:style>
  <w:style w:type="paragraph" w:customStyle="1" w:styleId="222">
    <w:name w:val="Table Paragraph"/>
    <w:basedOn w:val="1"/>
    <w:qFormat/>
    <w:uiPriority w:val="1"/>
    <w:rPr>
      <w:rFonts w:ascii="宋体" w:hAnsi="宋体" w:cs="宋体"/>
      <w:lang w:eastAsia="en-US" w:bidi="en-US"/>
    </w:rPr>
  </w:style>
  <w:style w:type="character" w:customStyle="1" w:styleId="223">
    <w:name w:val="font41"/>
    <w:qFormat/>
    <w:uiPriority w:val="0"/>
    <w:rPr>
      <w:rFonts w:hint="default" w:ascii="Calibri" w:hAnsi="Calibri" w:cs="Calibri"/>
      <w:color w:val="000000"/>
      <w:sz w:val="20"/>
      <w:szCs w:val="20"/>
      <w:u w:val="none"/>
    </w:rPr>
  </w:style>
  <w:style w:type="paragraph" w:customStyle="1" w:styleId="224">
    <w:name w:val="列出段落5"/>
    <w:basedOn w:val="1"/>
    <w:qFormat/>
    <w:uiPriority w:val="34"/>
    <w:pPr>
      <w:ind w:firstLine="420" w:firstLineChars="200"/>
    </w:pPr>
  </w:style>
  <w:style w:type="paragraph" w:customStyle="1" w:styleId="225">
    <w:name w:val="_Style 1"/>
    <w:basedOn w:val="1"/>
    <w:qFormat/>
    <w:uiPriority w:val="34"/>
    <w:pPr>
      <w:ind w:firstLine="420" w:firstLineChars="200"/>
    </w:pPr>
  </w:style>
  <w:style w:type="paragraph" w:customStyle="1" w:styleId="226">
    <w:name w:val="修订4"/>
    <w:hidden/>
    <w:unhideWhenUsed/>
    <w:qFormat/>
    <w:uiPriority w:val="99"/>
    <w:rPr>
      <w:rFonts w:ascii="Calibri" w:hAnsi="Calibri" w:eastAsia="宋体" w:cs="Times New Roman"/>
      <w:kern w:val="2"/>
      <w:sz w:val="21"/>
      <w:szCs w:val="22"/>
      <w:lang w:val="en-US" w:eastAsia="zh-CN" w:bidi="ar-SA"/>
    </w:rPr>
  </w:style>
  <w:style w:type="paragraph" w:customStyle="1" w:styleId="227">
    <w:name w:val="符号列表"/>
    <w:basedOn w:val="1"/>
    <w:qFormat/>
    <w:uiPriority w:val="0"/>
    <w:pPr>
      <w:widowControl/>
      <w:tabs>
        <w:tab w:val="left" w:pos="420"/>
      </w:tabs>
      <w:snapToGrid w:val="0"/>
      <w:spacing w:before="120" w:line="360" w:lineRule="auto"/>
      <w:ind w:left="420" w:hanging="420"/>
      <w:jc w:val="left"/>
    </w:pPr>
    <w:rPr>
      <w:rFonts w:ascii="宋体" w:hAnsi="宋体"/>
      <w:sz w:val="24"/>
      <w:szCs w:val="24"/>
    </w:rPr>
  </w:style>
  <w:style w:type="paragraph" w:customStyle="1" w:styleId="228">
    <w:name w:val="Body text|1"/>
    <w:basedOn w:val="1"/>
    <w:qFormat/>
    <w:uiPriority w:val="0"/>
    <w:pPr>
      <w:shd w:val="clear" w:color="auto" w:fill="FFFFFF"/>
      <w:spacing w:line="480" w:lineRule="auto"/>
      <w:ind w:firstLine="20"/>
      <w:jc w:val="left"/>
    </w:pPr>
    <w:rPr>
      <w:rFonts w:ascii="宋体" w:hAnsi="宋体" w:cs="宋体"/>
      <w:kern w:val="0"/>
      <w:sz w:val="22"/>
      <w:szCs w:val="20"/>
      <w:lang w:val="zh-CN" w:bidi="zh-CN"/>
    </w:rPr>
  </w:style>
  <w:style w:type="paragraph" w:customStyle="1" w:styleId="229">
    <w:name w:val="Body text|5"/>
    <w:basedOn w:val="1"/>
    <w:qFormat/>
    <w:uiPriority w:val="0"/>
    <w:pPr>
      <w:shd w:val="clear" w:color="auto" w:fill="FFFFFF"/>
      <w:spacing w:before="6600" w:after="160" w:line="372" w:lineRule="auto"/>
      <w:ind w:left="120" w:right="50" w:firstLine="10"/>
      <w:jc w:val="left"/>
    </w:pPr>
    <w:rPr>
      <w:sz w:val="22"/>
      <w:lang w:val="zh-CN" w:bidi="zh-CN"/>
    </w:rPr>
  </w:style>
  <w:style w:type="paragraph" w:customStyle="1" w:styleId="230">
    <w:name w:val="Other|1"/>
    <w:basedOn w:val="1"/>
    <w:qFormat/>
    <w:uiPriority w:val="0"/>
    <w:pPr>
      <w:shd w:val="clear" w:color="auto" w:fill="FFFFFF"/>
      <w:spacing w:line="480" w:lineRule="auto"/>
      <w:ind w:firstLine="20"/>
      <w:jc w:val="left"/>
    </w:pPr>
    <w:rPr>
      <w:rFonts w:ascii="宋体" w:hAnsi="宋体" w:eastAsia="宋体" w:cs="宋体"/>
      <w:sz w:val="22"/>
      <w:lang w:val="zh-CN" w:bidi="zh-CN"/>
    </w:rPr>
  </w:style>
  <w:style w:type="paragraph" w:customStyle="1" w:styleId="231">
    <w:name w:val="Table caption|1"/>
    <w:basedOn w:val="1"/>
    <w:qFormat/>
    <w:uiPriority w:val="0"/>
    <w:pPr>
      <w:shd w:val="clear" w:color="auto" w:fill="FFFFFF"/>
      <w:jc w:val="left"/>
    </w:pPr>
    <w:rPr>
      <w:rFonts w:ascii="宋体" w:hAnsi="宋体" w:eastAsia="宋体" w:cs="宋体"/>
      <w:sz w:val="26"/>
      <w:szCs w:val="26"/>
      <w:lang w:val="zh-CN" w:bidi="zh-CN"/>
    </w:rPr>
  </w:style>
  <w:style w:type="paragraph" w:customStyle="1" w:styleId="232">
    <w:name w:val="Body text|3"/>
    <w:basedOn w:val="1"/>
    <w:qFormat/>
    <w:uiPriority w:val="0"/>
    <w:pPr>
      <w:shd w:val="clear" w:color="auto" w:fill="FFFFFF"/>
      <w:spacing w:line="395" w:lineRule="exact"/>
      <w:ind w:left="600"/>
      <w:jc w:val="left"/>
    </w:pPr>
    <w:rPr>
      <w:rFonts w:ascii="宋体" w:hAnsi="宋体" w:eastAsia="宋体" w:cs="宋体"/>
      <w:sz w:val="22"/>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A38EDF-F052-4F63-B3FB-B89401076F5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67</Pages>
  <Words>4696</Words>
  <Characters>26771</Characters>
  <Lines>223</Lines>
  <Paragraphs>62</Paragraphs>
  <ScaleCrop>false</ScaleCrop>
  <LinksUpToDate>false</LinksUpToDate>
  <CharactersWithSpaces>31405</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2021-06-15T10:42:00Z</dcterms:created>
  <dc:creator>高文豪</dc:creator>
  <cp:lastModifiedBy>LiuOu</cp:lastModifiedBy>
  <cp:lastPrinted>2021-09-07T07:11:00Z</cp:lastPrinted>
  <dcterms:modified xsi:type="dcterms:W3CDTF">2021-09-16T06:35:42Z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