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项目名称：成都市武侯区机关事务中心农副食品，动、植物油制品（市民中心食材）采购项目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项目编号：武侯政采（2021）A0082号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成都市武侯区机关事务中心、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宋体" w:hAnsi="宋体" w:cs="宋体"/>
          <w:b/>
          <w:bCs/>
          <w:spacing w:val="-20"/>
          <w:sz w:val="32"/>
          <w:szCs w:val="32"/>
        </w:rPr>
        <w:t>九</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2"/>
          <w:szCs w:val="32"/>
        </w:rPr>
      </w:pPr>
      <w:bookmarkStart w:id="0" w:name="_Toc101234248"/>
      <w:bookmarkStart w:id="1" w:name="_Toc101247312"/>
      <w:bookmarkStart w:id="2" w:name="_Toc101328520"/>
      <w:bookmarkStart w:id="3" w:name="_Toc148505181"/>
    </w:p>
    <w:p>
      <w:pPr>
        <w:spacing w:line="360" w:lineRule="auto"/>
        <w:jc w:val="center"/>
        <w:rPr>
          <w:rFonts w:ascii="宋体" w:hAnsi="宋体"/>
          <w:b/>
          <w:sz w:val="36"/>
        </w:rPr>
      </w:pPr>
      <w:r>
        <w:rPr>
          <w:rFonts w:hint="eastAsia" w:ascii="宋体" w:hAnsi="宋体"/>
          <w:b/>
          <w:sz w:val="32"/>
          <w:szCs w:val="32"/>
        </w:rPr>
        <w:t>目 录</w:t>
      </w:r>
    </w:p>
    <w:p>
      <w:pPr>
        <w:pStyle w:val="29"/>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"_Toc25109" </w:instrText>
      </w:r>
      <w:r>
        <w:fldChar w:fldCharType="separate"/>
      </w:r>
      <w:r>
        <w:rPr>
          <w:rFonts w:ascii="Times New Roman" w:hAnsi="Times New Roman" w:eastAsia="宋体"/>
          <w:spacing w:val="-20"/>
          <w:kern w:val="44"/>
          <w:szCs w:val="32"/>
        </w:rPr>
        <w:t xml:space="preserve">第1章 </w:t>
      </w:r>
      <w:r>
        <w:rPr>
          <w:rFonts w:hint="eastAsia" w:ascii="宋体" w:hAnsi="宋体"/>
          <w:spacing w:val="-20"/>
          <w:kern w:val="44"/>
          <w:szCs w:val="32"/>
        </w:rPr>
        <w:t>投标邀请</w:t>
      </w:r>
      <w:r>
        <w:tab/>
      </w:r>
      <w:r>
        <w:fldChar w:fldCharType="begin"/>
      </w:r>
      <w:r>
        <w:instrText xml:space="preserve"> PAGEREF _Toc25109 \h </w:instrText>
      </w:r>
      <w:r>
        <w:fldChar w:fldCharType="separate"/>
      </w:r>
      <w:r>
        <w:t>3</w:t>
      </w:r>
      <w:r>
        <w:fldChar w:fldCharType="end"/>
      </w:r>
      <w:r>
        <w:fldChar w:fldCharType="end"/>
      </w:r>
    </w:p>
    <w:p>
      <w:pPr>
        <w:pStyle w:val="29"/>
        <w:tabs>
          <w:tab w:val="right" w:leader="dot" w:pos="8640"/>
          <w:tab w:val="clear" w:pos="709"/>
          <w:tab w:val="clear" w:pos="8364"/>
        </w:tabs>
      </w:pPr>
      <w:r>
        <w:fldChar w:fldCharType="begin"/>
      </w:r>
      <w:r>
        <w:instrText xml:space="preserve"> HYPERLINK \l "_Toc27832" </w:instrText>
      </w:r>
      <w:r>
        <w:fldChar w:fldCharType="separate"/>
      </w:r>
      <w:r>
        <w:rPr>
          <w:rFonts w:ascii="Times New Roman" w:hAnsi="Times New Roman" w:eastAsia="宋体"/>
          <w:spacing w:val="-20"/>
          <w:kern w:val="44"/>
          <w:szCs w:val="32"/>
        </w:rPr>
        <w:t xml:space="preserve">第2章 </w:t>
      </w:r>
      <w:r>
        <w:rPr>
          <w:rFonts w:hint="eastAsia" w:ascii="宋体" w:hAnsi="宋体"/>
          <w:spacing w:val="-20"/>
          <w:kern w:val="44"/>
          <w:szCs w:val="32"/>
        </w:rPr>
        <w:t>投标人须知</w:t>
      </w:r>
      <w:r>
        <w:tab/>
      </w:r>
      <w:r>
        <w:fldChar w:fldCharType="begin"/>
      </w:r>
      <w:r>
        <w:instrText xml:space="preserve"> PAGEREF _Toc27832 \h </w:instrText>
      </w:r>
      <w:r>
        <w:fldChar w:fldCharType="separate"/>
      </w:r>
      <w:r>
        <w:t>6</w:t>
      </w:r>
      <w:r>
        <w:fldChar w:fldCharType="end"/>
      </w:r>
      <w:r>
        <w:fldChar w:fldCharType="end"/>
      </w:r>
    </w:p>
    <w:p>
      <w:pPr>
        <w:pStyle w:val="35"/>
        <w:tabs>
          <w:tab w:val="right" w:leader="dot" w:pos="8640"/>
          <w:tab w:val="clear" w:pos="620"/>
          <w:tab w:val="clear" w:pos="8364"/>
        </w:tabs>
      </w:pPr>
      <w:r>
        <w:fldChar w:fldCharType="begin"/>
      </w:r>
      <w:r>
        <w:instrText xml:space="preserve"> HYPERLINK \l "_Toc20602" </w:instrText>
      </w:r>
      <w:r>
        <w:fldChar w:fldCharType="separate"/>
      </w:r>
      <w:r>
        <w:rPr>
          <w:rFonts w:ascii="Times New Roman" w:hAnsi="Times New Roman" w:eastAsia="宋体"/>
          <w:bCs/>
          <w:szCs w:val="28"/>
        </w:rPr>
        <w:t xml:space="preserve">2.1 </w:t>
      </w:r>
      <w:r>
        <w:rPr>
          <w:rFonts w:hint="eastAsia" w:ascii="宋体" w:hAnsi="宋体"/>
          <w:bCs/>
          <w:szCs w:val="28"/>
        </w:rPr>
        <w:t>投标人须知前附表</w:t>
      </w:r>
      <w:r>
        <w:tab/>
      </w:r>
      <w:r>
        <w:fldChar w:fldCharType="begin"/>
      </w:r>
      <w:r>
        <w:instrText xml:space="preserve"> PAGEREF _Toc20602 \h </w:instrText>
      </w:r>
      <w:r>
        <w:fldChar w:fldCharType="separate"/>
      </w:r>
      <w:r>
        <w:t>6</w:t>
      </w:r>
      <w:r>
        <w:fldChar w:fldCharType="end"/>
      </w:r>
      <w:r>
        <w:fldChar w:fldCharType="end"/>
      </w:r>
    </w:p>
    <w:p>
      <w:pPr>
        <w:pStyle w:val="35"/>
        <w:tabs>
          <w:tab w:val="right" w:leader="dot" w:pos="8640"/>
          <w:tab w:val="clear" w:pos="620"/>
          <w:tab w:val="clear" w:pos="8364"/>
        </w:tabs>
      </w:pPr>
      <w:r>
        <w:fldChar w:fldCharType="begin"/>
      </w:r>
      <w:r>
        <w:instrText xml:space="preserve"> HYPERLINK \l "_Toc16992" </w:instrText>
      </w:r>
      <w:r>
        <w:fldChar w:fldCharType="separate"/>
      </w:r>
      <w:r>
        <w:rPr>
          <w:rFonts w:ascii="Times New Roman" w:hAnsi="Times New Roman" w:eastAsia="宋体"/>
          <w:bCs/>
          <w:szCs w:val="28"/>
        </w:rPr>
        <w:t xml:space="preserve">2.2 </w:t>
      </w:r>
      <w:r>
        <w:rPr>
          <w:rFonts w:hint="eastAsia" w:ascii="宋体" w:hAnsi="宋体"/>
          <w:bCs/>
          <w:szCs w:val="24"/>
        </w:rPr>
        <w:t>总则</w:t>
      </w:r>
      <w:r>
        <w:tab/>
      </w:r>
      <w:r>
        <w:fldChar w:fldCharType="begin"/>
      </w:r>
      <w:r>
        <w:instrText xml:space="preserve"> PAGEREF _Toc16992 \h </w:instrText>
      </w:r>
      <w:r>
        <w:fldChar w:fldCharType="separate"/>
      </w:r>
      <w:r>
        <w:t>9</w:t>
      </w:r>
      <w:r>
        <w:fldChar w:fldCharType="end"/>
      </w:r>
      <w:r>
        <w:fldChar w:fldCharType="end"/>
      </w:r>
    </w:p>
    <w:p>
      <w:pPr>
        <w:pStyle w:val="35"/>
        <w:tabs>
          <w:tab w:val="right" w:leader="dot" w:pos="8640"/>
          <w:tab w:val="clear" w:pos="620"/>
          <w:tab w:val="clear" w:pos="8364"/>
        </w:tabs>
      </w:pPr>
      <w:r>
        <w:fldChar w:fldCharType="begin"/>
      </w:r>
      <w:r>
        <w:instrText xml:space="preserve"> HYPERLINK \l "_Toc23709" </w:instrText>
      </w:r>
      <w:r>
        <w:fldChar w:fldCharType="separate"/>
      </w:r>
      <w:r>
        <w:rPr>
          <w:rFonts w:ascii="Times New Roman" w:hAnsi="Times New Roman" w:eastAsia="宋体"/>
          <w:bCs/>
          <w:szCs w:val="28"/>
        </w:rPr>
        <w:t xml:space="preserve">2.3 </w:t>
      </w:r>
      <w:r>
        <w:rPr>
          <w:rFonts w:hint="eastAsia" w:ascii="宋体" w:hAnsi="宋体"/>
          <w:bCs/>
          <w:szCs w:val="24"/>
        </w:rPr>
        <w:t>招标文件</w:t>
      </w:r>
      <w:r>
        <w:tab/>
      </w:r>
      <w:r>
        <w:fldChar w:fldCharType="begin"/>
      </w:r>
      <w:r>
        <w:instrText xml:space="preserve"> PAGEREF _Toc23709 \h </w:instrText>
      </w:r>
      <w:r>
        <w:fldChar w:fldCharType="separate"/>
      </w:r>
      <w:r>
        <w:t>11</w:t>
      </w:r>
      <w:r>
        <w:fldChar w:fldCharType="end"/>
      </w:r>
      <w:r>
        <w:fldChar w:fldCharType="end"/>
      </w:r>
    </w:p>
    <w:p>
      <w:pPr>
        <w:pStyle w:val="35"/>
        <w:tabs>
          <w:tab w:val="right" w:leader="dot" w:pos="8640"/>
          <w:tab w:val="clear" w:pos="620"/>
          <w:tab w:val="clear" w:pos="8364"/>
        </w:tabs>
      </w:pPr>
      <w:r>
        <w:fldChar w:fldCharType="begin"/>
      </w:r>
      <w:r>
        <w:instrText xml:space="preserve"> HYPERLINK \l "_Toc10186" </w:instrText>
      </w:r>
      <w:r>
        <w:fldChar w:fldCharType="separate"/>
      </w:r>
      <w:r>
        <w:rPr>
          <w:rFonts w:ascii="Times New Roman" w:hAnsi="Times New Roman" w:eastAsia="宋体"/>
          <w:bCs/>
          <w:szCs w:val="28"/>
        </w:rPr>
        <w:t xml:space="preserve">2.4 </w:t>
      </w:r>
      <w:r>
        <w:rPr>
          <w:rFonts w:hint="eastAsia" w:ascii="宋体" w:hAnsi="宋体"/>
          <w:bCs/>
          <w:szCs w:val="24"/>
        </w:rPr>
        <w:t>投标文件</w:t>
      </w:r>
      <w:r>
        <w:tab/>
      </w:r>
      <w:r>
        <w:fldChar w:fldCharType="begin"/>
      </w:r>
      <w:r>
        <w:instrText xml:space="preserve"> PAGEREF _Toc10186 \h </w:instrText>
      </w:r>
      <w:r>
        <w:fldChar w:fldCharType="separate"/>
      </w:r>
      <w:r>
        <w:t>12</w:t>
      </w:r>
      <w:r>
        <w:fldChar w:fldCharType="end"/>
      </w:r>
      <w:r>
        <w:fldChar w:fldCharType="end"/>
      </w:r>
    </w:p>
    <w:p>
      <w:pPr>
        <w:pStyle w:val="35"/>
        <w:tabs>
          <w:tab w:val="right" w:leader="dot" w:pos="8640"/>
          <w:tab w:val="clear" w:pos="620"/>
          <w:tab w:val="clear" w:pos="8364"/>
        </w:tabs>
      </w:pPr>
      <w:r>
        <w:fldChar w:fldCharType="begin"/>
      </w:r>
      <w:r>
        <w:instrText xml:space="preserve"> HYPERLINK \l "_Toc31622" </w:instrText>
      </w:r>
      <w:r>
        <w:fldChar w:fldCharType="separate"/>
      </w:r>
      <w:r>
        <w:rPr>
          <w:rFonts w:ascii="Times New Roman" w:hAnsi="Times New Roman" w:eastAsia="宋体"/>
          <w:bCs/>
          <w:szCs w:val="28"/>
        </w:rPr>
        <w:t xml:space="preserve">2.5 </w:t>
      </w:r>
      <w:r>
        <w:rPr>
          <w:rFonts w:hint="eastAsia" w:ascii="宋体" w:hAnsi="宋体"/>
          <w:bCs/>
          <w:szCs w:val="24"/>
        </w:rPr>
        <w:t>开标、资格审查、评标和中标</w:t>
      </w:r>
      <w:r>
        <w:tab/>
      </w:r>
      <w:r>
        <w:fldChar w:fldCharType="begin"/>
      </w:r>
      <w:r>
        <w:instrText xml:space="preserve"> PAGEREF _Toc31622 \h </w:instrText>
      </w:r>
      <w:r>
        <w:fldChar w:fldCharType="separate"/>
      </w:r>
      <w:r>
        <w:t>17</w:t>
      </w:r>
      <w:r>
        <w:fldChar w:fldCharType="end"/>
      </w:r>
      <w:r>
        <w:fldChar w:fldCharType="end"/>
      </w:r>
    </w:p>
    <w:p>
      <w:pPr>
        <w:pStyle w:val="35"/>
        <w:tabs>
          <w:tab w:val="right" w:leader="dot" w:pos="8640"/>
          <w:tab w:val="clear" w:pos="620"/>
          <w:tab w:val="clear" w:pos="8364"/>
        </w:tabs>
      </w:pPr>
      <w:r>
        <w:fldChar w:fldCharType="begin"/>
      </w:r>
      <w:r>
        <w:instrText xml:space="preserve"> HYPERLINK \l "_Toc6071" </w:instrText>
      </w:r>
      <w:r>
        <w:fldChar w:fldCharType="separate"/>
      </w:r>
      <w:r>
        <w:rPr>
          <w:rFonts w:ascii="Times New Roman" w:hAnsi="Times New Roman" w:eastAsia="宋体"/>
          <w:bCs/>
          <w:szCs w:val="28"/>
        </w:rPr>
        <w:t xml:space="preserve">2.6 </w:t>
      </w:r>
      <w:r>
        <w:rPr>
          <w:rFonts w:hint="eastAsia" w:ascii="宋体" w:hAnsi="宋体"/>
          <w:bCs/>
          <w:szCs w:val="24"/>
        </w:rPr>
        <w:t>签订及履行合同和验收</w:t>
      </w:r>
      <w:r>
        <w:tab/>
      </w:r>
      <w:r>
        <w:fldChar w:fldCharType="begin"/>
      </w:r>
      <w:r>
        <w:instrText xml:space="preserve"> PAGEREF _Toc6071 \h </w:instrText>
      </w:r>
      <w:r>
        <w:fldChar w:fldCharType="separate"/>
      </w:r>
      <w:r>
        <w:t>19</w:t>
      </w:r>
      <w:r>
        <w:fldChar w:fldCharType="end"/>
      </w:r>
      <w:r>
        <w:fldChar w:fldCharType="end"/>
      </w:r>
    </w:p>
    <w:p>
      <w:pPr>
        <w:pStyle w:val="35"/>
        <w:tabs>
          <w:tab w:val="right" w:leader="dot" w:pos="8640"/>
          <w:tab w:val="clear" w:pos="620"/>
          <w:tab w:val="clear" w:pos="8364"/>
        </w:tabs>
      </w:pPr>
      <w:r>
        <w:fldChar w:fldCharType="begin"/>
      </w:r>
      <w:r>
        <w:instrText xml:space="preserve"> HYPERLINK \l "_Toc5991" </w:instrText>
      </w:r>
      <w:r>
        <w:fldChar w:fldCharType="separate"/>
      </w:r>
      <w:r>
        <w:rPr>
          <w:rFonts w:ascii="Times New Roman" w:hAnsi="Times New Roman" w:eastAsia="宋体"/>
          <w:bCs/>
          <w:szCs w:val="28"/>
        </w:rPr>
        <w:t xml:space="preserve">2.7 </w:t>
      </w:r>
      <w:r>
        <w:rPr>
          <w:rFonts w:hint="eastAsia" w:ascii="宋体" w:hAnsi="宋体"/>
          <w:bCs/>
          <w:szCs w:val="24"/>
        </w:rPr>
        <w:t>投标纪律要求</w:t>
      </w:r>
      <w:r>
        <w:tab/>
      </w:r>
      <w:r>
        <w:fldChar w:fldCharType="begin"/>
      </w:r>
      <w:r>
        <w:instrText xml:space="preserve"> PAGEREF _Toc5991 \h </w:instrText>
      </w:r>
      <w:r>
        <w:fldChar w:fldCharType="separate"/>
      </w:r>
      <w:r>
        <w:t>21</w:t>
      </w:r>
      <w:r>
        <w:fldChar w:fldCharType="end"/>
      </w:r>
      <w:r>
        <w:fldChar w:fldCharType="end"/>
      </w:r>
    </w:p>
    <w:p>
      <w:pPr>
        <w:pStyle w:val="35"/>
        <w:tabs>
          <w:tab w:val="right" w:leader="dot" w:pos="8640"/>
          <w:tab w:val="clear" w:pos="620"/>
          <w:tab w:val="clear" w:pos="8364"/>
        </w:tabs>
      </w:pPr>
      <w:r>
        <w:fldChar w:fldCharType="begin"/>
      </w:r>
      <w:r>
        <w:instrText xml:space="preserve"> HYPERLINK \l "_Toc3131" </w:instrText>
      </w:r>
      <w:r>
        <w:fldChar w:fldCharType="separate"/>
      </w:r>
      <w:r>
        <w:rPr>
          <w:rFonts w:ascii="Times New Roman" w:hAnsi="Times New Roman" w:eastAsia="宋体"/>
          <w:bCs/>
          <w:szCs w:val="28"/>
        </w:rPr>
        <w:t xml:space="preserve">2.8 </w:t>
      </w:r>
      <w:r>
        <w:rPr>
          <w:rFonts w:hint="eastAsia" w:ascii="宋体" w:hAnsi="宋体"/>
          <w:bCs/>
          <w:szCs w:val="24"/>
        </w:rPr>
        <w:t>询问、质疑和投诉</w:t>
      </w:r>
      <w:r>
        <w:tab/>
      </w:r>
      <w:r>
        <w:fldChar w:fldCharType="begin"/>
      </w:r>
      <w:r>
        <w:instrText xml:space="preserve"> PAGEREF _Toc3131 \h </w:instrText>
      </w:r>
      <w:r>
        <w:fldChar w:fldCharType="separate"/>
      </w:r>
      <w:r>
        <w:t>23</w:t>
      </w:r>
      <w:r>
        <w:fldChar w:fldCharType="end"/>
      </w:r>
      <w:r>
        <w:fldChar w:fldCharType="end"/>
      </w:r>
    </w:p>
    <w:p>
      <w:pPr>
        <w:pStyle w:val="35"/>
        <w:tabs>
          <w:tab w:val="right" w:leader="dot" w:pos="8640"/>
          <w:tab w:val="clear" w:pos="620"/>
          <w:tab w:val="clear" w:pos="8364"/>
        </w:tabs>
      </w:pPr>
      <w:r>
        <w:fldChar w:fldCharType="begin"/>
      </w:r>
      <w:r>
        <w:instrText xml:space="preserve"> HYPERLINK \l "_Toc16392" </w:instrText>
      </w:r>
      <w:r>
        <w:fldChar w:fldCharType="separate"/>
      </w:r>
      <w:r>
        <w:rPr>
          <w:rFonts w:ascii="Times New Roman" w:hAnsi="Times New Roman" w:eastAsia="宋体"/>
          <w:bCs/>
          <w:szCs w:val="28"/>
        </w:rPr>
        <w:t xml:space="preserve">2.9 </w:t>
      </w:r>
      <w:r>
        <w:rPr>
          <w:rFonts w:hint="eastAsia" w:ascii="宋体" w:hAnsi="宋体"/>
          <w:bCs/>
          <w:szCs w:val="24"/>
        </w:rPr>
        <w:t>中小企业政府采购信用融资</w:t>
      </w:r>
      <w:r>
        <w:tab/>
      </w:r>
      <w:r>
        <w:fldChar w:fldCharType="begin"/>
      </w:r>
      <w:r>
        <w:instrText xml:space="preserve"> PAGEREF _Toc16392 \h </w:instrText>
      </w:r>
      <w:r>
        <w:fldChar w:fldCharType="separate"/>
      </w:r>
      <w:r>
        <w:t>23</w:t>
      </w:r>
      <w:r>
        <w:fldChar w:fldCharType="end"/>
      </w:r>
      <w:r>
        <w:fldChar w:fldCharType="end"/>
      </w:r>
    </w:p>
    <w:p>
      <w:pPr>
        <w:pStyle w:val="29"/>
        <w:tabs>
          <w:tab w:val="right" w:leader="dot" w:pos="8640"/>
          <w:tab w:val="clear" w:pos="709"/>
          <w:tab w:val="clear" w:pos="8364"/>
        </w:tabs>
      </w:pPr>
      <w:r>
        <w:fldChar w:fldCharType="begin"/>
      </w:r>
      <w:r>
        <w:instrText xml:space="preserve"> HYPERLINK \l "_Toc25592" </w:instrText>
      </w:r>
      <w:r>
        <w:fldChar w:fldCharType="separate"/>
      </w:r>
      <w:r>
        <w:rPr>
          <w:rFonts w:ascii="Times New Roman" w:hAnsi="Times New Roman" w:eastAsia="宋体"/>
          <w:spacing w:val="-20"/>
          <w:kern w:val="44"/>
          <w:szCs w:val="32"/>
        </w:rPr>
        <w:t xml:space="preserve">第3章 </w:t>
      </w:r>
      <w:r>
        <w:rPr>
          <w:rFonts w:hint="eastAsia" w:ascii="宋体" w:hAnsi="宋体"/>
          <w:spacing w:val="-20"/>
          <w:kern w:val="44"/>
          <w:szCs w:val="32"/>
        </w:rPr>
        <w:t>投标文件格式</w:t>
      </w:r>
      <w:r>
        <w:tab/>
      </w:r>
      <w:r>
        <w:fldChar w:fldCharType="begin"/>
      </w:r>
      <w:r>
        <w:instrText xml:space="preserve"> PAGEREF _Toc25592 \h </w:instrText>
      </w:r>
      <w:r>
        <w:fldChar w:fldCharType="separate"/>
      </w:r>
      <w:r>
        <w:t>25</w:t>
      </w:r>
      <w:r>
        <w:fldChar w:fldCharType="end"/>
      </w:r>
      <w:r>
        <w:fldChar w:fldCharType="end"/>
      </w:r>
    </w:p>
    <w:p>
      <w:pPr>
        <w:pStyle w:val="35"/>
        <w:tabs>
          <w:tab w:val="right" w:leader="dot" w:pos="8640"/>
          <w:tab w:val="clear" w:pos="620"/>
          <w:tab w:val="clear" w:pos="8364"/>
        </w:tabs>
      </w:pPr>
      <w:r>
        <w:fldChar w:fldCharType="begin"/>
      </w:r>
      <w:r>
        <w:instrText xml:space="preserve"> HYPERLINK \l "_Toc6029" </w:instrText>
      </w:r>
      <w:r>
        <w:fldChar w:fldCharType="separate"/>
      </w:r>
      <w:r>
        <w:rPr>
          <w:rFonts w:ascii="Times New Roman" w:hAnsi="Times New Roman" w:eastAsia="宋体"/>
          <w:bCs/>
          <w:szCs w:val="28"/>
        </w:rPr>
        <w:t xml:space="preserve">3.1 </w:t>
      </w:r>
      <w:r>
        <w:rPr>
          <w:rFonts w:hint="eastAsia" w:ascii="宋体" w:hAnsi="宋体"/>
          <w:bCs/>
          <w:szCs w:val="28"/>
        </w:rPr>
        <w:t>投标文件封面格式</w:t>
      </w:r>
      <w:r>
        <w:tab/>
      </w:r>
      <w:r>
        <w:fldChar w:fldCharType="begin"/>
      </w:r>
      <w:r>
        <w:instrText xml:space="preserve"> PAGEREF _Toc6029 \h </w:instrText>
      </w:r>
      <w:r>
        <w:fldChar w:fldCharType="separate"/>
      </w:r>
      <w:r>
        <w:t>25</w:t>
      </w:r>
      <w:r>
        <w:fldChar w:fldCharType="end"/>
      </w:r>
      <w:r>
        <w:fldChar w:fldCharType="end"/>
      </w:r>
    </w:p>
    <w:p>
      <w:pPr>
        <w:pStyle w:val="35"/>
        <w:tabs>
          <w:tab w:val="right" w:leader="dot" w:pos="8640"/>
          <w:tab w:val="clear" w:pos="620"/>
          <w:tab w:val="clear" w:pos="8364"/>
        </w:tabs>
      </w:pPr>
      <w:r>
        <w:fldChar w:fldCharType="begin"/>
      </w:r>
      <w:r>
        <w:instrText xml:space="preserve"> HYPERLINK \l "_Toc17996" </w:instrText>
      </w:r>
      <w:r>
        <w:fldChar w:fldCharType="separate"/>
      </w:r>
      <w:r>
        <w:rPr>
          <w:rFonts w:ascii="Times New Roman" w:hAnsi="Times New Roman" w:eastAsia="宋体"/>
          <w:bCs/>
          <w:szCs w:val="28"/>
        </w:rPr>
        <w:t xml:space="preserve">3.2 </w:t>
      </w:r>
      <w:r>
        <w:rPr>
          <w:rFonts w:hint="eastAsia" w:ascii="宋体" w:hAnsi="宋体"/>
          <w:bCs/>
          <w:szCs w:val="28"/>
        </w:rPr>
        <w:t>资格响应文件</w:t>
      </w:r>
      <w:r>
        <w:tab/>
      </w:r>
      <w:r>
        <w:fldChar w:fldCharType="begin"/>
      </w:r>
      <w:r>
        <w:instrText xml:space="preserve"> PAGEREF _Toc17996 \h </w:instrText>
      </w:r>
      <w:r>
        <w:fldChar w:fldCharType="separate"/>
      </w:r>
      <w:r>
        <w:t>26</w:t>
      </w:r>
      <w:r>
        <w:fldChar w:fldCharType="end"/>
      </w:r>
      <w:r>
        <w:fldChar w:fldCharType="end"/>
      </w:r>
    </w:p>
    <w:p>
      <w:pPr>
        <w:pStyle w:val="35"/>
        <w:tabs>
          <w:tab w:val="right" w:leader="dot" w:pos="8640"/>
          <w:tab w:val="clear" w:pos="620"/>
          <w:tab w:val="clear" w:pos="8364"/>
        </w:tabs>
      </w:pPr>
      <w:r>
        <w:fldChar w:fldCharType="begin"/>
      </w:r>
      <w:r>
        <w:instrText xml:space="preserve"> HYPERLINK \l "_Toc9863" </w:instrText>
      </w:r>
      <w:r>
        <w:fldChar w:fldCharType="separate"/>
      </w:r>
      <w:r>
        <w:rPr>
          <w:rFonts w:ascii="Times New Roman" w:hAnsi="Times New Roman" w:eastAsia="宋体"/>
          <w:bCs/>
          <w:szCs w:val="28"/>
        </w:rPr>
        <w:t xml:space="preserve">3.3 </w:t>
      </w:r>
      <w:r>
        <w:rPr>
          <w:rFonts w:hint="eastAsia" w:ascii="宋体" w:hAnsi="宋体"/>
          <w:bCs/>
          <w:szCs w:val="28"/>
        </w:rPr>
        <w:t>商务技术</w:t>
      </w:r>
      <w:r>
        <w:rPr>
          <w:rFonts w:ascii="宋体" w:hAnsi="宋体"/>
          <w:bCs/>
          <w:szCs w:val="28"/>
        </w:rPr>
        <w:t>响应文件</w:t>
      </w:r>
      <w:r>
        <w:tab/>
      </w:r>
      <w:r>
        <w:fldChar w:fldCharType="begin"/>
      </w:r>
      <w:r>
        <w:instrText xml:space="preserve"> PAGEREF _Toc9863 \h </w:instrText>
      </w:r>
      <w:r>
        <w:fldChar w:fldCharType="separate"/>
      </w:r>
      <w:r>
        <w:t>30</w:t>
      </w:r>
      <w:r>
        <w:fldChar w:fldCharType="end"/>
      </w:r>
      <w:r>
        <w:fldChar w:fldCharType="end"/>
      </w:r>
    </w:p>
    <w:p>
      <w:pPr>
        <w:pStyle w:val="35"/>
        <w:tabs>
          <w:tab w:val="right" w:leader="dot" w:pos="8640"/>
          <w:tab w:val="clear" w:pos="620"/>
          <w:tab w:val="clear" w:pos="8364"/>
        </w:tabs>
      </w:pPr>
      <w:r>
        <w:fldChar w:fldCharType="begin"/>
      </w:r>
      <w:r>
        <w:instrText xml:space="preserve"> HYPERLINK \l "_Toc9631" </w:instrText>
      </w:r>
      <w:r>
        <w:fldChar w:fldCharType="separate"/>
      </w:r>
      <w:r>
        <w:rPr>
          <w:rFonts w:ascii="Times New Roman" w:hAnsi="Times New Roman" w:eastAsia="宋体"/>
          <w:bCs/>
          <w:szCs w:val="28"/>
        </w:rPr>
        <w:t xml:space="preserve">3.4 </w:t>
      </w:r>
      <w:r>
        <w:rPr>
          <w:rFonts w:hint="eastAsia" w:ascii="宋体" w:hAnsi="宋体"/>
          <w:bCs/>
          <w:szCs w:val="28"/>
        </w:rPr>
        <w:t>报价</w:t>
      </w:r>
      <w:r>
        <w:rPr>
          <w:rFonts w:ascii="宋体" w:hAnsi="宋体"/>
          <w:bCs/>
          <w:szCs w:val="28"/>
        </w:rPr>
        <w:t>要求响应文件</w:t>
      </w:r>
      <w:r>
        <w:tab/>
      </w:r>
      <w:r>
        <w:fldChar w:fldCharType="begin"/>
      </w:r>
      <w:r>
        <w:instrText xml:space="preserve"> PAGEREF _Toc9631 \h </w:instrText>
      </w:r>
      <w:r>
        <w:fldChar w:fldCharType="separate"/>
      </w:r>
      <w:r>
        <w:t>37</w:t>
      </w:r>
      <w:r>
        <w:fldChar w:fldCharType="end"/>
      </w:r>
      <w:r>
        <w:fldChar w:fldCharType="end"/>
      </w:r>
    </w:p>
    <w:p>
      <w:pPr>
        <w:pStyle w:val="29"/>
        <w:tabs>
          <w:tab w:val="right" w:leader="dot" w:pos="8640"/>
          <w:tab w:val="clear" w:pos="709"/>
          <w:tab w:val="clear" w:pos="8364"/>
        </w:tabs>
      </w:pPr>
      <w:r>
        <w:fldChar w:fldCharType="begin"/>
      </w:r>
      <w:r>
        <w:instrText xml:space="preserve"> HYPERLINK \l "_Toc22892" </w:instrText>
      </w:r>
      <w:r>
        <w:fldChar w:fldCharType="separate"/>
      </w:r>
      <w:r>
        <w:rPr>
          <w:rFonts w:ascii="Times New Roman" w:hAnsi="Times New Roman" w:eastAsia="宋体"/>
          <w:spacing w:val="-20"/>
          <w:kern w:val="44"/>
          <w:szCs w:val="32"/>
        </w:rPr>
        <w:t xml:space="preserve">第4章 </w:t>
      </w:r>
      <w:r>
        <w:rPr>
          <w:rFonts w:hint="eastAsia" w:ascii="宋体" w:hAnsi="宋体"/>
          <w:spacing w:val="-20"/>
          <w:kern w:val="44"/>
          <w:szCs w:val="32"/>
        </w:rPr>
        <w:t>招标项目技术、服务、商务及其他要求</w:t>
      </w:r>
      <w:r>
        <w:tab/>
      </w:r>
      <w:r>
        <w:fldChar w:fldCharType="begin"/>
      </w:r>
      <w:r>
        <w:instrText xml:space="preserve"> PAGEREF _Toc22892 \h </w:instrText>
      </w:r>
      <w:r>
        <w:fldChar w:fldCharType="separate"/>
      </w:r>
      <w:r>
        <w:t>44</w:t>
      </w:r>
      <w:r>
        <w:fldChar w:fldCharType="end"/>
      </w:r>
      <w:r>
        <w:fldChar w:fldCharType="end"/>
      </w:r>
    </w:p>
    <w:p>
      <w:pPr>
        <w:pStyle w:val="29"/>
        <w:tabs>
          <w:tab w:val="right" w:leader="dot" w:pos="8640"/>
          <w:tab w:val="clear" w:pos="709"/>
          <w:tab w:val="clear" w:pos="8364"/>
        </w:tabs>
      </w:pPr>
      <w:r>
        <w:fldChar w:fldCharType="begin"/>
      </w:r>
      <w:r>
        <w:instrText xml:space="preserve"> HYPERLINK \l "_Toc15080" </w:instrText>
      </w:r>
      <w:r>
        <w:fldChar w:fldCharType="separate"/>
      </w:r>
      <w:r>
        <w:rPr>
          <w:rFonts w:ascii="Times New Roman" w:hAnsi="Times New Roman" w:eastAsia="宋体"/>
          <w:spacing w:val="-20"/>
          <w:kern w:val="44"/>
          <w:szCs w:val="32"/>
        </w:rPr>
        <w:t xml:space="preserve">第5章 </w:t>
      </w:r>
      <w:r>
        <w:rPr>
          <w:rFonts w:hint="eastAsia" w:ascii="宋体" w:hAnsi="宋体"/>
          <w:spacing w:val="-20"/>
          <w:kern w:val="44"/>
          <w:szCs w:val="32"/>
        </w:rPr>
        <w:t>资格性审查</w:t>
      </w:r>
      <w:r>
        <w:tab/>
      </w:r>
      <w:r>
        <w:fldChar w:fldCharType="begin"/>
      </w:r>
      <w:r>
        <w:instrText xml:space="preserve"> PAGEREF _Toc15080 \h </w:instrText>
      </w:r>
      <w:r>
        <w:fldChar w:fldCharType="separate"/>
      </w:r>
      <w:r>
        <w:t>59</w:t>
      </w:r>
      <w:r>
        <w:fldChar w:fldCharType="end"/>
      </w:r>
      <w:r>
        <w:fldChar w:fldCharType="end"/>
      </w:r>
    </w:p>
    <w:p>
      <w:pPr>
        <w:pStyle w:val="29"/>
        <w:tabs>
          <w:tab w:val="right" w:leader="dot" w:pos="8640"/>
          <w:tab w:val="clear" w:pos="709"/>
          <w:tab w:val="clear" w:pos="8364"/>
        </w:tabs>
      </w:pPr>
      <w:r>
        <w:fldChar w:fldCharType="begin"/>
      </w:r>
      <w:r>
        <w:instrText xml:space="preserve"> HYPERLINK \l "_Toc22031" </w:instrText>
      </w:r>
      <w:r>
        <w:fldChar w:fldCharType="separate"/>
      </w:r>
      <w:r>
        <w:rPr>
          <w:rFonts w:ascii="Times New Roman" w:hAnsi="Times New Roman" w:eastAsia="宋体"/>
          <w:spacing w:val="-20"/>
          <w:kern w:val="44"/>
          <w:szCs w:val="32"/>
        </w:rPr>
        <w:t xml:space="preserve">第6章 </w:t>
      </w:r>
      <w:r>
        <w:rPr>
          <w:rFonts w:hint="eastAsia" w:ascii="宋体" w:hAnsi="宋体"/>
          <w:spacing w:val="-20"/>
          <w:kern w:val="44"/>
          <w:szCs w:val="32"/>
        </w:rPr>
        <w:t>评标办法</w:t>
      </w:r>
      <w:r>
        <w:tab/>
      </w:r>
      <w:r>
        <w:fldChar w:fldCharType="begin"/>
      </w:r>
      <w:r>
        <w:instrText xml:space="preserve"> PAGEREF _Toc22031 \h </w:instrText>
      </w:r>
      <w:r>
        <w:fldChar w:fldCharType="separate"/>
      </w:r>
      <w:r>
        <w:t>63</w:t>
      </w:r>
      <w:r>
        <w:fldChar w:fldCharType="end"/>
      </w:r>
      <w:r>
        <w:fldChar w:fldCharType="end"/>
      </w:r>
    </w:p>
    <w:p>
      <w:pPr>
        <w:pStyle w:val="35"/>
        <w:tabs>
          <w:tab w:val="right" w:leader="dot" w:pos="8640"/>
          <w:tab w:val="clear" w:pos="620"/>
          <w:tab w:val="clear" w:pos="8364"/>
        </w:tabs>
      </w:pPr>
      <w:r>
        <w:fldChar w:fldCharType="begin"/>
      </w:r>
      <w:r>
        <w:instrText xml:space="preserve"> HYPERLINK \l "_Toc22952" </w:instrText>
      </w:r>
      <w:r>
        <w:fldChar w:fldCharType="separate"/>
      </w:r>
      <w:r>
        <w:rPr>
          <w:rFonts w:ascii="Times New Roman" w:hAnsi="Times New Roman" w:eastAsia="宋体"/>
          <w:bCs/>
          <w:szCs w:val="28"/>
        </w:rPr>
        <w:t xml:space="preserve">6.1 </w:t>
      </w:r>
      <w:r>
        <w:rPr>
          <w:rFonts w:hint="eastAsia" w:ascii="宋体" w:hAnsi="宋体"/>
          <w:bCs/>
          <w:szCs w:val="28"/>
        </w:rPr>
        <w:t>总则</w:t>
      </w:r>
      <w:r>
        <w:tab/>
      </w:r>
      <w:r>
        <w:fldChar w:fldCharType="begin"/>
      </w:r>
      <w:r>
        <w:instrText xml:space="preserve"> PAGEREF _Toc22952 \h </w:instrText>
      </w:r>
      <w:r>
        <w:fldChar w:fldCharType="separate"/>
      </w:r>
      <w:r>
        <w:t>63</w:t>
      </w:r>
      <w:r>
        <w:fldChar w:fldCharType="end"/>
      </w:r>
      <w:r>
        <w:fldChar w:fldCharType="end"/>
      </w:r>
    </w:p>
    <w:p>
      <w:pPr>
        <w:pStyle w:val="35"/>
        <w:tabs>
          <w:tab w:val="right" w:leader="dot" w:pos="8640"/>
          <w:tab w:val="clear" w:pos="620"/>
          <w:tab w:val="clear" w:pos="8364"/>
        </w:tabs>
      </w:pPr>
      <w:r>
        <w:fldChar w:fldCharType="begin"/>
      </w:r>
      <w:r>
        <w:instrText xml:space="preserve"> HYPERLINK \l "_Toc30050" </w:instrText>
      </w:r>
      <w:r>
        <w:fldChar w:fldCharType="separate"/>
      </w:r>
      <w:r>
        <w:rPr>
          <w:rFonts w:ascii="Times New Roman" w:hAnsi="Times New Roman" w:eastAsia="宋体"/>
          <w:bCs/>
          <w:szCs w:val="28"/>
        </w:rPr>
        <w:t xml:space="preserve">6.2 </w:t>
      </w:r>
      <w:r>
        <w:rPr>
          <w:rFonts w:hint="eastAsia" w:ascii="宋体" w:hAnsi="宋体"/>
          <w:bCs/>
          <w:szCs w:val="24"/>
        </w:rPr>
        <w:t>评标方法</w:t>
      </w:r>
      <w:r>
        <w:tab/>
      </w:r>
      <w:r>
        <w:fldChar w:fldCharType="begin"/>
      </w:r>
      <w:r>
        <w:instrText xml:space="preserve"> PAGEREF _Toc30050 \h </w:instrText>
      </w:r>
      <w:r>
        <w:fldChar w:fldCharType="separate"/>
      </w:r>
      <w:r>
        <w:t>64</w:t>
      </w:r>
      <w:r>
        <w:fldChar w:fldCharType="end"/>
      </w:r>
      <w:r>
        <w:fldChar w:fldCharType="end"/>
      </w:r>
    </w:p>
    <w:p>
      <w:pPr>
        <w:pStyle w:val="35"/>
        <w:tabs>
          <w:tab w:val="right" w:leader="dot" w:pos="8640"/>
          <w:tab w:val="clear" w:pos="620"/>
          <w:tab w:val="clear" w:pos="8364"/>
        </w:tabs>
      </w:pPr>
      <w:r>
        <w:fldChar w:fldCharType="begin"/>
      </w:r>
      <w:r>
        <w:instrText xml:space="preserve"> HYPERLINK \l "_Toc32143" </w:instrText>
      </w:r>
      <w:r>
        <w:fldChar w:fldCharType="separate"/>
      </w:r>
      <w:r>
        <w:rPr>
          <w:rFonts w:ascii="Times New Roman" w:hAnsi="Times New Roman" w:eastAsia="宋体"/>
          <w:bCs/>
          <w:szCs w:val="28"/>
        </w:rPr>
        <w:t xml:space="preserve">6.3 </w:t>
      </w:r>
      <w:r>
        <w:rPr>
          <w:rFonts w:hint="eastAsia" w:ascii="宋体" w:hAnsi="宋体"/>
          <w:bCs/>
          <w:szCs w:val="24"/>
        </w:rPr>
        <w:t>评标程序</w:t>
      </w:r>
      <w:r>
        <w:tab/>
      </w:r>
      <w:r>
        <w:fldChar w:fldCharType="begin"/>
      </w:r>
      <w:r>
        <w:instrText xml:space="preserve"> PAGEREF _Toc32143 \h </w:instrText>
      </w:r>
      <w:r>
        <w:fldChar w:fldCharType="separate"/>
      </w:r>
      <w:r>
        <w:t>64</w:t>
      </w:r>
      <w:r>
        <w:fldChar w:fldCharType="end"/>
      </w:r>
      <w:r>
        <w:fldChar w:fldCharType="end"/>
      </w:r>
    </w:p>
    <w:p>
      <w:pPr>
        <w:pStyle w:val="35"/>
        <w:tabs>
          <w:tab w:val="right" w:leader="dot" w:pos="8640"/>
          <w:tab w:val="clear" w:pos="620"/>
          <w:tab w:val="clear" w:pos="8364"/>
        </w:tabs>
      </w:pPr>
      <w:r>
        <w:fldChar w:fldCharType="begin"/>
      </w:r>
      <w:r>
        <w:instrText xml:space="preserve"> HYPERLINK \l "_Toc9768" </w:instrText>
      </w:r>
      <w:r>
        <w:fldChar w:fldCharType="separate"/>
      </w:r>
      <w:r>
        <w:rPr>
          <w:rFonts w:ascii="Times New Roman" w:hAnsi="Times New Roman" w:eastAsia="宋体"/>
          <w:bCs/>
          <w:szCs w:val="28"/>
        </w:rPr>
        <w:t xml:space="preserve">6.4 </w:t>
      </w:r>
      <w:r>
        <w:rPr>
          <w:rFonts w:hint="eastAsia" w:ascii="宋体" w:hAnsi="宋体"/>
          <w:bCs/>
          <w:szCs w:val="24"/>
        </w:rPr>
        <w:t>评标争议处理规则</w:t>
      </w:r>
      <w:r>
        <w:tab/>
      </w:r>
      <w:r>
        <w:fldChar w:fldCharType="begin"/>
      </w:r>
      <w:r>
        <w:instrText xml:space="preserve"> PAGEREF _Toc9768 \h </w:instrText>
      </w:r>
      <w:r>
        <w:fldChar w:fldCharType="separate"/>
      </w:r>
      <w:r>
        <w:t>69</w:t>
      </w:r>
      <w:r>
        <w:fldChar w:fldCharType="end"/>
      </w:r>
      <w:r>
        <w:fldChar w:fldCharType="end"/>
      </w:r>
    </w:p>
    <w:p>
      <w:pPr>
        <w:pStyle w:val="35"/>
        <w:tabs>
          <w:tab w:val="right" w:leader="dot" w:pos="8640"/>
          <w:tab w:val="clear" w:pos="620"/>
          <w:tab w:val="clear" w:pos="8364"/>
        </w:tabs>
      </w:pPr>
      <w:r>
        <w:fldChar w:fldCharType="begin"/>
      </w:r>
      <w:r>
        <w:instrText xml:space="preserve"> HYPERLINK \l "_Toc12145" </w:instrText>
      </w:r>
      <w:r>
        <w:fldChar w:fldCharType="separate"/>
      </w:r>
      <w:r>
        <w:rPr>
          <w:rFonts w:ascii="Times New Roman" w:hAnsi="Times New Roman" w:eastAsia="宋体"/>
          <w:bCs/>
          <w:szCs w:val="28"/>
        </w:rPr>
        <w:t xml:space="preserve">6.5 </w:t>
      </w:r>
      <w:r>
        <w:rPr>
          <w:rFonts w:hint="eastAsia" w:ascii="宋体" w:hAnsi="宋体"/>
          <w:bCs/>
          <w:szCs w:val="24"/>
        </w:rPr>
        <w:t>评标细则及标准</w:t>
      </w:r>
      <w:r>
        <w:tab/>
      </w:r>
      <w:r>
        <w:fldChar w:fldCharType="begin"/>
      </w:r>
      <w:r>
        <w:instrText xml:space="preserve"> PAGEREF _Toc12145 \h </w:instrText>
      </w:r>
      <w:r>
        <w:fldChar w:fldCharType="separate"/>
      </w:r>
      <w:r>
        <w:t>69</w:t>
      </w:r>
      <w:r>
        <w:fldChar w:fldCharType="end"/>
      </w:r>
      <w:r>
        <w:fldChar w:fldCharType="end"/>
      </w:r>
    </w:p>
    <w:p>
      <w:pPr>
        <w:pStyle w:val="35"/>
        <w:tabs>
          <w:tab w:val="right" w:leader="dot" w:pos="8640"/>
          <w:tab w:val="clear" w:pos="620"/>
          <w:tab w:val="clear" w:pos="8364"/>
        </w:tabs>
      </w:pPr>
      <w:r>
        <w:fldChar w:fldCharType="begin"/>
      </w:r>
      <w:r>
        <w:instrText xml:space="preserve"> HYPERLINK \l "_Toc30477" </w:instrText>
      </w:r>
      <w:r>
        <w:fldChar w:fldCharType="separate"/>
      </w:r>
      <w:r>
        <w:rPr>
          <w:rFonts w:ascii="Times New Roman" w:hAnsi="Times New Roman" w:eastAsia="宋体"/>
          <w:bCs/>
          <w:szCs w:val="28"/>
        </w:rPr>
        <w:t xml:space="preserve">6.6 </w:t>
      </w:r>
      <w:r>
        <w:rPr>
          <w:rFonts w:hint="eastAsia" w:ascii="宋体" w:hAnsi="宋体"/>
          <w:bCs/>
          <w:szCs w:val="24"/>
        </w:rPr>
        <w:t>废标</w:t>
      </w:r>
      <w:r>
        <w:tab/>
      </w:r>
      <w:r>
        <w:fldChar w:fldCharType="begin"/>
      </w:r>
      <w:r>
        <w:instrText xml:space="preserve"> PAGEREF _Toc30477 \h </w:instrText>
      </w:r>
      <w:r>
        <w:fldChar w:fldCharType="separate"/>
      </w:r>
      <w:r>
        <w:t>75</w:t>
      </w:r>
      <w:r>
        <w:fldChar w:fldCharType="end"/>
      </w:r>
      <w:r>
        <w:fldChar w:fldCharType="end"/>
      </w:r>
    </w:p>
    <w:p>
      <w:pPr>
        <w:pStyle w:val="35"/>
        <w:tabs>
          <w:tab w:val="right" w:leader="dot" w:pos="8640"/>
          <w:tab w:val="clear" w:pos="620"/>
          <w:tab w:val="clear" w:pos="8364"/>
        </w:tabs>
      </w:pPr>
      <w:r>
        <w:fldChar w:fldCharType="begin"/>
      </w:r>
      <w:r>
        <w:instrText xml:space="preserve"> HYPERLINK \l "_Toc28615" </w:instrText>
      </w:r>
      <w:r>
        <w:fldChar w:fldCharType="separate"/>
      </w:r>
      <w:r>
        <w:rPr>
          <w:rFonts w:ascii="Times New Roman" w:hAnsi="Times New Roman" w:eastAsia="宋体"/>
          <w:bCs/>
          <w:szCs w:val="28"/>
        </w:rPr>
        <w:t xml:space="preserve">6.7 </w:t>
      </w:r>
      <w:r>
        <w:rPr>
          <w:rFonts w:hint="eastAsia" w:ascii="宋体" w:hAnsi="宋体"/>
          <w:bCs/>
          <w:szCs w:val="24"/>
        </w:rPr>
        <w:t>定标</w:t>
      </w:r>
      <w:r>
        <w:tab/>
      </w:r>
      <w:r>
        <w:fldChar w:fldCharType="begin"/>
      </w:r>
      <w:r>
        <w:instrText xml:space="preserve"> PAGEREF _Toc28615 \h </w:instrText>
      </w:r>
      <w:r>
        <w:fldChar w:fldCharType="separate"/>
      </w:r>
      <w:r>
        <w:t>76</w:t>
      </w:r>
      <w:r>
        <w:fldChar w:fldCharType="end"/>
      </w:r>
      <w:r>
        <w:fldChar w:fldCharType="end"/>
      </w:r>
    </w:p>
    <w:p>
      <w:pPr>
        <w:pStyle w:val="35"/>
        <w:tabs>
          <w:tab w:val="right" w:leader="dot" w:pos="8640"/>
          <w:tab w:val="clear" w:pos="620"/>
          <w:tab w:val="clear" w:pos="8364"/>
        </w:tabs>
      </w:pPr>
      <w:r>
        <w:fldChar w:fldCharType="begin"/>
      </w:r>
      <w:r>
        <w:instrText xml:space="preserve"> HYPERLINK \l "_Toc26907" </w:instrText>
      </w:r>
      <w:r>
        <w:fldChar w:fldCharType="separate"/>
      </w:r>
      <w:r>
        <w:rPr>
          <w:rFonts w:ascii="Times New Roman" w:hAnsi="Times New Roman" w:eastAsia="宋体"/>
          <w:bCs/>
          <w:szCs w:val="28"/>
        </w:rPr>
        <w:t xml:space="preserve">6.8 </w:t>
      </w:r>
      <w:r>
        <w:rPr>
          <w:rFonts w:hint="eastAsia" w:ascii="宋体" w:hAnsi="宋体"/>
          <w:bCs/>
          <w:szCs w:val="24"/>
        </w:rPr>
        <w:t>评标专家在政府采购活动中承担以下义务</w:t>
      </w:r>
      <w:r>
        <w:tab/>
      </w:r>
      <w:r>
        <w:fldChar w:fldCharType="begin"/>
      </w:r>
      <w:r>
        <w:instrText xml:space="preserve"> PAGEREF _Toc26907 \h </w:instrText>
      </w:r>
      <w:r>
        <w:fldChar w:fldCharType="separate"/>
      </w:r>
      <w:r>
        <w:t>77</w:t>
      </w:r>
      <w:r>
        <w:fldChar w:fldCharType="end"/>
      </w:r>
      <w:r>
        <w:fldChar w:fldCharType="end"/>
      </w:r>
    </w:p>
    <w:p>
      <w:pPr>
        <w:pStyle w:val="35"/>
        <w:tabs>
          <w:tab w:val="right" w:leader="dot" w:pos="8640"/>
          <w:tab w:val="clear" w:pos="620"/>
          <w:tab w:val="clear" w:pos="8364"/>
        </w:tabs>
      </w:pPr>
      <w:r>
        <w:fldChar w:fldCharType="begin"/>
      </w:r>
      <w:r>
        <w:instrText xml:space="preserve"> HYPERLINK \l "_Toc7172" </w:instrText>
      </w:r>
      <w:r>
        <w:fldChar w:fldCharType="separate"/>
      </w:r>
      <w:r>
        <w:rPr>
          <w:rFonts w:ascii="Times New Roman" w:hAnsi="Times New Roman" w:eastAsia="宋体"/>
          <w:bCs/>
          <w:szCs w:val="28"/>
        </w:rPr>
        <w:t xml:space="preserve">6.9 </w:t>
      </w:r>
      <w:r>
        <w:rPr>
          <w:rFonts w:hint="eastAsia" w:ascii="宋体" w:hAnsi="宋体"/>
          <w:bCs/>
          <w:szCs w:val="24"/>
        </w:rPr>
        <w:t>评标委员会及其成员不得有下列行为</w:t>
      </w:r>
      <w:r>
        <w:tab/>
      </w:r>
      <w:r>
        <w:fldChar w:fldCharType="begin"/>
      </w:r>
      <w:r>
        <w:instrText xml:space="preserve"> PAGEREF _Toc7172 \h </w:instrText>
      </w:r>
      <w:r>
        <w:fldChar w:fldCharType="separate"/>
      </w:r>
      <w:r>
        <w:t>77</w:t>
      </w:r>
      <w:r>
        <w:fldChar w:fldCharType="end"/>
      </w:r>
      <w:r>
        <w:fldChar w:fldCharType="end"/>
      </w:r>
    </w:p>
    <w:p>
      <w:pPr>
        <w:pStyle w:val="35"/>
        <w:tabs>
          <w:tab w:val="right" w:leader="dot" w:pos="8640"/>
          <w:tab w:val="clear" w:pos="620"/>
          <w:tab w:val="clear" w:pos="8364"/>
        </w:tabs>
      </w:pPr>
      <w:r>
        <w:fldChar w:fldCharType="begin"/>
      </w:r>
      <w:r>
        <w:instrText xml:space="preserve"> HYPERLINK \l "_Toc2635" </w:instrText>
      </w:r>
      <w:r>
        <w:fldChar w:fldCharType="separate"/>
      </w:r>
      <w:r>
        <w:rPr>
          <w:rFonts w:ascii="Times New Roman" w:hAnsi="Times New Roman" w:eastAsia="宋体"/>
          <w:bCs/>
          <w:szCs w:val="28"/>
        </w:rPr>
        <w:t xml:space="preserve">6.10 </w:t>
      </w:r>
      <w:r>
        <w:rPr>
          <w:rFonts w:hint="eastAsia" w:ascii="宋体" w:hAnsi="宋体"/>
          <w:bCs/>
          <w:szCs w:val="24"/>
        </w:rPr>
        <w:t>评审专家在政府采购活动中应当遵守以下工作纪律</w:t>
      </w:r>
      <w:r>
        <w:tab/>
      </w:r>
      <w:r>
        <w:fldChar w:fldCharType="begin"/>
      </w:r>
      <w:r>
        <w:instrText xml:space="preserve"> PAGEREF _Toc2635 \h </w:instrText>
      </w:r>
      <w:r>
        <w:fldChar w:fldCharType="separate"/>
      </w:r>
      <w:r>
        <w:t>78</w:t>
      </w:r>
      <w:r>
        <w:fldChar w:fldCharType="end"/>
      </w:r>
      <w:r>
        <w:fldChar w:fldCharType="end"/>
      </w:r>
    </w:p>
    <w:p>
      <w:pPr>
        <w:pStyle w:val="29"/>
        <w:tabs>
          <w:tab w:val="right" w:leader="dot" w:pos="8640"/>
          <w:tab w:val="clear" w:pos="709"/>
          <w:tab w:val="clear" w:pos="8364"/>
        </w:tabs>
        <w:rPr>
          <w:rFonts w:ascii="Times New Roman" w:hAnsi="Times New Roman" w:eastAsia="宋体"/>
          <w:spacing w:val="-20"/>
          <w:kern w:val="44"/>
          <w:szCs w:val="32"/>
        </w:rPr>
      </w:pPr>
      <w:r>
        <w:fldChar w:fldCharType="begin"/>
      </w:r>
      <w:r>
        <w:instrText xml:space="preserve"> HYPERLINK \l "_Toc16228" </w:instrText>
      </w:r>
      <w:r>
        <w:fldChar w:fldCharType="separate"/>
      </w:r>
      <w:r>
        <w:rPr>
          <w:rFonts w:ascii="Times New Roman" w:hAnsi="Times New Roman" w:eastAsia="宋体"/>
          <w:spacing w:val="-20"/>
          <w:kern w:val="44"/>
          <w:szCs w:val="32"/>
        </w:rPr>
        <w:t xml:space="preserve">第7章 </w:t>
      </w:r>
      <w:r>
        <w:rPr>
          <w:rFonts w:hint="eastAsia" w:ascii="Times New Roman" w:hAnsi="Times New Roman" w:eastAsia="宋体"/>
          <w:spacing w:val="-20"/>
          <w:kern w:val="44"/>
          <w:szCs w:val="32"/>
        </w:rPr>
        <w:t>拟签订合同文本</w:t>
      </w:r>
      <w:r>
        <w:rPr>
          <w:rFonts w:ascii="Times New Roman" w:hAnsi="Times New Roman" w:eastAsia="宋体"/>
          <w:spacing w:val="-20"/>
          <w:kern w:val="44"/>
          <w:szCs w:val="32"/>
        </w:rPr>
        <w:tab/>
      </w:r>
      <w:r>
        <w:rPr>
          <w:rFonts w:ascii="Times New Roman" w:hAnsi="Times New Roman" w:eastAsia="宋体"/>
          <w:spacing w:val="-20"/>
          <w:kern w:val="44"/>
          <w:szCs w:val="32"/>
        </w:rPr>
        <w:fldChar w:fldCharType="begin"/>
      </w:r>
      <w:r>
        <w:rPr>
          <w:rFonts w:ascii="Times New Roman" w:hAnsi="Times New Roman" w:eastAsia="宋体"/>
          <w:spacing w:val="-20"/>
          <w:kern w:val="44"/>
          <w:szCs w:val="32"/>
        </w:rPr>
        <w:instrText xml:space="preserve"> PAGEREF _Toc16228 \h </w:instrText>
      </w:r>
      <w:r>
        <w:rPr>
          <w:rFonts w:ascii="Times New Roman" w:hAnsi="Times New Roman" w:eastAsia="宋体"/>
          <w:spacing w:val="-20"/>
          <w:kern w:val="44"/>
          <w:szCs w:val="32"/>
        </w:rPr>
        <w:fldChar w:fldCharType="separate"/>
      </w:r>
      <w:r>
        <w:rPr>
          <w:rFonts w:ascii="Times New Roman" w:hAnsi="Times New Roman" w:eastAsia="宋体"/>
          <w:spacing w:val="-20"/>
          <w:kern w:val="44"/>
          <w:szCs w:val="32"/>
        </w:rPr>
        <w:t>80</w:t>
      </w:r>
      <w:r>
        <w:rPr>
          <w:rFonts w:ascii="Times New Roman" w:hAnsi="Times New Roman" w:eastAsia="宋体"/>
          <w:spacing w:val="-20"/>
          <w:kern w:val="44"/>
          <w:szCs w:val="32"/>
        </w:rPr>
        <w:fldChar w:fldCharType="end"/>
      </w:r>
      <w:r>
        <w:rPr>
          <w:rFonts w:ascii="Times New Roman" w:hAnsi="Times New Roman" w:eastAsia="宋体"/>
          <w:spacing w:val="-20"/>
          <w:kern w:val="44"/>
          <w:szCs w:val="32"/>
        </w:rP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181610856"/>
      <w:bookmarkStart w:id="6" w:name="_Toc25109"/>
      <w:bookmarkStart w:id="7" w:name="_Toc204575871"/>
      <w:r>
        <w:rPr>
          <w:rFonts w:hint="eastAsia" w:ascii="宋体" w:hAnsi="宋体"/>
          <w:b/>
          <w:bCs/>
          <w:spacing w:val="-20"/>
          <w:kern w:val="44"/>
          <w:sz w:val="32"/>
          <w:szCs w:val="32"/>
        </w:rPr>
        <w:t>投标邀请</w:t>
      </w:r>
      <w:bookmarkEnd w:id="4"/>
      <w:bookmarkEnd w:id="5"/>
      <w:bookmarkEnd w:id="6"/>
      <w:bookmarkEnd w:id="7"/>
    </w:p>
    <w:p>
      <w:pPr>
        <w:spacing w:line="360" w:lineRule="auto"/>
        <w:ind w:firstLine="484" w:firstLineChars="202"/>
        <w:rPr>
          <w:rFonts w:ascii="宋体" w:hAnsi="宋体"/>
          <w:sz w:val="24"/>
          <w:szCs w:val="24"/>
        </w:rPr>
      </w:pPr>
      <w:r>
        <w:rPr>
          <w:rFonts w:hint="eastAsia" w:ascii="宋体" w:hAnsi="宋体"/>
          <w:sz w:val="24"/>
          <w:szCs w:val="24"/>
        </w:rPr>
        <w:t>成都市武侯区政府采购中心(以下简称“采购中心”)受</w:t>
      </w:r>
      <w:r>
        <w:rPr>
          <w:rFonts w:hint="eastAsia" w:ascii="宋体" w:hAnsi="宋体"/>
          <w:sz w:val="24"/>
          <w:szCs w:val="24"/>
          <w:u w:val="single"/>
        </w:rPr>
        <w:t>成都市武侯区机关事务中心</w:t>
      </w:r>
      <w:r>
        <w:rPr>
          <w:rFonts w:hint="eastAsia" w:ascii="宋体" w:hAnsi="宋体"/>
          <w:sz w:val="24"/>
          <w:szCs w:val="24"/>
        </w:rPr>
        <w:t>委托，拟对</w:t>
      </w:r>
      <w:r>
        <w:rPr>
          <w:rFonts w:hint="eastAsia" w:ascii="宋体" w:hAnsi="宋体"/>
          <w:sz w:val="24"/>
          <w:szCs w:val="24"/>
          <w:u w:val="single"/>
        </w:rPr>
        <w:t>成都市武侯区机关事务中心（市民中心）食材采购项目</w:t>
      </w:r>
      <w:r>
        <w:rPr>
          <w:rFonts w:hint="eastAsia" w:ascii="宋体" w:hAnsi="宋体"/>
          <w:sz w:val="24"/>
          <w:szCs w:val="24"/>
        </w:rPr>
        <w:t>进行国内公开招标，兹邀请符合本次招标要求的供应商参加投标。</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项目编号：武侯政采（2021）A0082号</w:t>
      </w:r>
    </w:p>
    <w:p>
      <w:pPr>
        <w:numPr>
          <w:ilvl w:val="0"/>
          <w:numId w:val="6"/>
        </w:numPr>
        <w:spacing w:line="360" w:lineRule="auto"/>
        <w:ind w:left="0" w:firstLine="568"/>
        <w:rPr>
          <w:rFonts w:ascii="宋体" w:hAnsi="宋体"/>
          <w:b/>
          <w:sz w:val="24"/>
          <w:szCs w:val="24"/>
        </w:rPr>
      </w:pPr>
      <w:r>
        <w:rPr>
          <w:rFonts w:hint="eastAsia" w:ascii="宋体" w:hAnsi="宋体"/>
          <w:b/>
          <w:sz w:val="24"/>
          <w:szCs w:val="24"/>
        </w:rPr>
        <w:t>项目名称：成都市武侯区机关事务中心农副食品，动、植物油制品（市民中心食材）采购项目</w:t>
      </w:r>
    </w:p>
    <w:p>
      <w:pPr>
        <w:numPr>
          <w:ilvl w:val="0"/>
          <w:numId w:val="6"/>
        </w:numPr>
        <w:spacing w:line="360" w:lineRule="auto"/>
        <w:ind w:left="0" w:firstLine="568"/>
        <w:rPr>
          <w:rFonts w:ascii="宋体" w:hAnsi="宋体"/>
          <w:b/>
          <w:sz w:val="24"/>
          <w:szCs w:val="24"/>
        </w:rPr>
      </w:pPr>
      <w:r>
        <w:rPr>
          <w:rFonts w:hint="eastAsia" w:ascii="宋体" w:hAnsi="宋体"/>
          <w:b/>
          <w:sz w:val="24"/>
          <w:szCs w:val="24"/>
        </w:rPr>
        <w:t>资金来源、预算金额及最高限价：</w:t>
      </w:r>
      <w:r>
        <w:rPr>
          <w:rFonts w:hint="eastAsia" w:ascii="宋体" w:hAnsi="宋体"/>
          <w:sz w:val="24"/>
          <w:szCs w:val="24"/>
        </w:rPr>
        <w:t>财政性资金，政府采购实施计划备案表号：</w:t>
      </w:r>
      <w:r>
        <w:rPr>
          <w:rFonts w:hint="eastAsia" w:ascii="宋体" w:hAnsi="宋体"/>
          <w:b/>
          <w:sz w:val="24"/>
          <w:szCs w:val="24"/>
        </w:rPr>
        <w:t>（2021）1286</w:t>
      </w:r>
      <w:r>
        <w:rPr>
          <w:rFonts w:hint="eastAsia" w:ascii="宋体" w:hAnsi="宋体"/>
          <w:sz w:val="24"/>
          <w:szCs w:val="24"/>
        </w:rPr>
        <w:t>号；预算品目：</w:t>
      </w:r>
      <w:r>
        <w:rPr>
          <w:rFonts w:hint="eastAsia" w:ascii="宋体" w:hAnsi="宋体"/>
          <w:b/>
          <w:sz w:val="24"/>
          <w:szCs w:val="24"/>
        </w:rPr>
        <w:t>A1501农副食品，动、植物油制品</w:t>
      </w:r>
      <w:r>
        <w:rPr>
          <w:rFonts w:hint="eastAsia" w:ascii="宋体" w:hAnsi="宋体"/>
          <w:sz w:val="24"/>
          <w:szCs w:val="24"/>
        </w:rPr>
        <w:t>；预算金额：</w:t>
      </w:r>
      <w:r>
        <w:rPr>
          <w:rFonts w:hint="eastAsia" w:ascii="宋体" w:hAnsi="宋体"/>
          <w:b/>
          <w:sz w:val="24"/>
          <w:szCs w:val="24"/>
          <w:highlight w:val="yellow"/>
        </w:rPr>
        <w:t>1470</w:t>
      </w:r>
      <w:r>
        <w:rPr>
          <w:rFonts w:hint="eastAsia" w:ascii="宋体" w:hAnsi="宋体"/>
          <w:sz w:val="24"/>
          <w:szCs w:val="24"/>
        </w:rPr>
        <w:t>万元</w:t>
      </w:r>
      <w:r>
        <w:rPr>
          <w:rFonts w:hint="eastAsia" w:ascii="宋体" w:hAnsi="宋体"/>
          <w:sz w:val="24"/>
          <w:szCs w:val="21"/>
        </w:rPr>
        <w:t>。</w:t>
      </w:r>
    </w:p>
    <w:p>
      <w:pPr>
        <w:numPr>
          <w:ilvl w:val="0"/>
          <w:numId w:val="6"/>
        </w:numPr>
        <w:spacing w:line="360" w:lineRule="auto"/>
        <w:ind w:left="0" w:firstLine="482" w:firstLineChars="200"/>
        <w:rPr>
          <w:rFonts w:ascii="宋体" w:hAnsi="宋体"/>
          <w:sz w:val="24"/>
          <w:szCs w:val="24"/>
        </w:rPr>
      </w:pPr>
      <w:r>
        <w:rPr>
          <w:rFonts w:hint="eastAsia" w:ascii="宋体" w:hAnsi="宋体"/>
          <w:b/>
          <w:sz w:val="24"/>
          <w:szCs w:val="24"/>
        </w:rPr>
        <w:t>招标项目简介</w:t>
      </w:r>
    </w:p>
    <w:p>
      <w:pPr>
        <w:spacing w:line="360" w:lineRule="auto"/>
        <w:ind w:firstLine="480" w:firstLineChars="200"/>
        <w:rPr>
          <w:rFonts w:ascii="宋体" w:hAnsi="宋体"/>
          <w:sz w:val="24"/>
          <w:szCs w:val="24"/>
        </w:rPr>
      </w:pPr>
      <w:r>
        <w:rPr>
          <w:rFonts w:hint="eastAsia" w:ascii="宋体" w:hAnsi="宋体"/>
          <w:sz w:val="24"/>
          <w:szCs w:val="24"/>
        </w:rPr>
        <w:t>详细的技术、服务、商务及其他要求见招标文件第4章。</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rPr>
        <w:t>采购标的对应的中小企业划分标准所属行业：</w:t>
      </w:r>
      <w:r>
        <w:rPr>
          <w:rFonts w:hint="eastAsia" w:ascii="宋体" w:hAnsi="宋体"/>
          <w:sz w:val="24"/>
          <w:szCs w:val="24"/>
          <w:lang w:eastAsia="zh-CN"/>
        </w:rPr>
        <w:t>蔬菜类、水果类为</w:t>
      </w:r>
      <w:r>
        <w:rPr>
          <w:rFonts w:hint="eastAsia" w:ascii="宋体" w:hAnsi="宋体"/>
          <w:sz w:val="24"/>
          <w:szCs w:val="24"/>
          <w:u w:val="single"/>
          <w:lang w:eastAsia="zh-CN"/>
        </w:rPr>
        <w:t>农、林、牧、渔业</w:t>
      </w:r>
      <w:r>
        <w:rPr>
          <w:rFonts w:hint="eastAsia" w:ascii="宋体" w:hAnsi="宋体"/>
          <w:sz w:val="24"/>
          <w:szCs w:val="24"/>
          <w:lang w:eastAsia="zh-CN"/>
        </w:rPr>
        <w:t>。肉禽蛋、水产类为</w:t>
      </w:r>
      <w:r>
        <w:rPr>
          <w:rFonts w:hint="eastAsia" w:ascii="宋体" w:hAnsi="宋体"/>
          <w:sz w:val="24"/>
          <w:szCs w:val="24"/>
          <w:u w:val="single"/>
          <w:lang w:eastAsia="zh-CN"/>
        </w:rPr>
        <w:t>农、林、牧、渔业</w:t>
      </w:r>
      <w:r>
        <w:rPr>
          <w:rFonts w:hint="eastAsia" w:ascii="宋体" w:hAnsi="宋体"/>
          <w:sz w:val="24"/>
          <w:szCs w:val="24"/>
          <w:lang w:eastAsia="zh-CN"/>
        </w:rPr>
        <w:t>。干杂类、奶制品为</w:t>
      </w:r>
      <w:r>
        <w:rPr>
          <w:rFonts w:hint="eastAsia" w:ascii="宋体" w:hAnsi="宋体"/>
          <w:sz w:val="24"/>
          <w:szCs w:val="24"/>
          <w:u w:val="single"/>
          <w:lang w:eastAsia="zh-CN"/>
        </w:rPr>
        <w:t>工业</w:t>
      </w:r>
      <w:r>
        <w:rPr>
          <w:rFonts w:hint="eastAsia" w:ascii="宋体" w:hAnsi="宋体"/>
          <w:sz w:val="24"/>
          <w:szCs w:val="24"/>
          <w:lang w:eastAsia="zh-CN"/>
        </w:rPr>
        <w:t>。</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4"/>
          <w:szCs w:val="24"/>
        </w:rPr>
      </w:pPr>
      <w:r>
        <w:rPr>
          <w:rFonts w:ascii="宋体" w:hAnsi="宋体"/>
          <w:sz w:val="24"/>
          <w:szCs w:val="24"/>
        </w:rPr>
        <w:t>未处于被行政部门禁止参与政府采购活动的期限内</w:t>
      </w:r>
      <w:r>
        <w:rPr>
          <w:rFonts w:hint="eastAsia" w:ascii="宋体" w:hAnsi="宋体"/>
          <w:sz w:val="24"/>
          <w:szCs w:val="24"/>
        </w:rPr>
        <w:t>；</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本项目</w:t>
      </w:r>
      <w:r>
        <w:rPr>
          <w:rFonts w:hint="eastAsia" w:ascii="宋体" w:hAnsi="宋体"/>
          <w:b/>
          <w:sz w:val="24"/>
          <w:szCs w:val="24"/>
          <w:highlight w:val="yellow"/>
        </w:rPr>
        <w:t>不接受</w:t>
      </w:r>
      <w:r>
        <w:rPr>
          <w:rFonts w:hint="eastAsia" w:ascii="宋体" w:hAnsi="宋体"/>
          <w:sz w:val="24"/>
          <w:szCs w:val="24"/>
        </w:rPr>
        <w:t>联合体投标。</w:t>
      </w:r>
      <w:r>
        <w:rPr>
          <w:rFonts w:hint="eastAsia" w:ascii="宋体" w:hAnsi="宋体"/>
          <w:sz w:val="24"/>
          <w:szCs w:val="24"/>
        </w:rPr>
        <w:br w:type="textWrapping"/>
      </w:r>
      <w:r>
        <w:rPr>
          <w:rFonts w:hint="eastAsia" w:ascii="宋体" w:hAnsi="宋体"/>
          <w:sz w:val="24"/>
          <w:szCs w:val="24"/>
        </w:rPr>
        <w:t xml:space="preserve">    （八）</w:t>
      </w:r>
      <w:r>
        <w:rPr>
          <w:rFonts w:hint="eastAsia"/>
          <w:sz w:val="24"/>
          <w:szCs w:val="24"/>
        </w:rPr>
        <w:t>投标供应商需具有在有效期内的</w:t>
      </w:r>
      <w:r>
        <w:rPr>
          <w:rFonts w:hint="eastAsia"/>
          <w:b/>
          <w:bCs/>
          <w:sz w:val="24"/>
          <w:szCs w:val="24"/>
          <w:highlight w:val="yellow"/>
        </w:rPr>
        <w:t>食品生产许可证或食品经营许可证（两个证有其中一个即可）。</w:t>
      </w:r>
    </w:p>
    <w:p>
      <w:pPr>
        <w:numPr>
          <w:ilvl w:val="0"/>
          <w:numId w:val="6"/>
        </w:numPr>
        <w:spacing w:line="360" w:lineRule="auto"/>
        <w:ind w:left="0" w:firstLine="567"/>
        <w:rPr>
          <w:rFonts w:ascii="宋体" w:hAnsi="宋体"/>
          <w:i/>
          <w:sz w:val="24"/>
          <w:szCs w:val="21"/>
        </w:rPr>
      </w:pPr>
      <w:r>
        <w:rPr>
          <w:rFonts w:hint="eastAsia" w:ascii="宋体" w:hAnsi="宋体"/>
          <w:b/>
          <w:sz w:val="24"/>
          <w:szCs w:val="24"/>
        </w:rPr>
        <w:t>招标文件获取时间</w:t>
      </w:r>
    </w:p>
    <w:p>
      <w:pPr>
        <w:numPr>
          <w:ilvl w:val="0"/>
          <w:numId w:val="8"/>
        </w:numPr>
        <w:spacing w:line="360" w:lineRule="auto"/>
        <w:ind w:left="0" w:firstLine="567"/>
        <w:rPr>
          <w:rFonts w:ascii="宋体" w:hAnsi="宋体"/>
          <w:sz w:val="24"/>
          <w:szCs w:val="21"/>
        </w:rPr>
      </w:pPr>
      <w:r>
        <w:rPr>
          <w:rFonts w:hint="eastAsia" w:ascii="宋体" w:hAnsi="宋体"/>
          <w:sz w:val="24"/>
          <w:szCs w:val="24"/>
        </w:rPr>
        <w:t>招标文件获取时间：2021年</w:t>
      </w:r>
      <w:r>
        <w:rPr>
          <w:rFonts w:hint="eastAsia" w:ascii="宋体" w:hAnsi="宋体"/>
          <w:b/>
          <w:sz w:val="24"/>
          <w:szCs w:val="24"/>
          <w:highlight w:val="yellow"/>
          <w:lang w:val="en-US" w:eastAsia="zh-CN"/>
        </w:rPr>
        <w:t>9</w:t>
      </w:r>
      <w:r>
        <w:rPr>
          <w:rFonts w:hint="eastAsia" w:ascii="宋体" w:hAnsi="宋体"/>
          <w:sz w:val="24"/>
          <w:szCs w:val="24"/>
        </w:rPr>
        <w:t>月</w:t>
      </w:r>
      <w:r>
        <w:rPr>
          <w:rFonts w:hint="eastAsia" w:ascii="宋体" w:hAnsi="宋体"/>
          <w:b/>
          <w:sz w:val="24"/>
          <w:szCs w:val="24"/>
          <w:highlight w:val="yellow"/>
          <w:lang w:val="en-US" w:eastAsia="zh-CN"/>
        </w:rPr>
        <w:t>29</w:t>
      </w:r>
      <w:r>
        <w:rPr>
          <w:rFonts w:hint="eastAsia" w:ascii="宋体" w:hAnsi="宋体"/>
          <w:sz w:val="24"/>
          <w:szCs w:val="24"/>
        </w:rPr>
        <w:t>日至</w:t>
      </w:r>
      <w:r>
        <w:rPr>
          <w:rFonts w:hint="eastAsia" w:ascii="宋体" w:hAnsi="宋体"/>
          <w:b/>
          <w:sz w:val="24"/>
          <w:szCs w:val="24"/>
          <w:highlight w:val="yellow"/>
          <w:lang w:val="en-US" w:eastAsia="zh-CN"/>
        </w:rPr>
        <w:t>10</w:t>
      </w:r>
      <w:r>
        <w:rPr>
          <w:rFonts w:hint="eastAsia" w:ascii="宋体" w:hAnsi="宋体"/>
          <w:sz w:val="24"/>
          <w:szCs w:val="24"/>
        </w:rPr>
        <w:t>月</w:t>
      </w:r>
      <w:r>
        <w:rPr>
          <w:rFonts w:hint="eastAsia" w:ascii="宋体" w:hAnsi="宋体"/>
          <w:b/>
          <w:sz w:val="24"/>
          <w:szCs w:val="24"/>
          <w:highlight w:val="yellow"/>
          <w:lang w:val="en-US" w:eastAsia="zh-CN"/>
        </w:rPr>
        <w:t>11</w:t>
      </w:r>
      <w:r>
        <w:rPr>
          <w:rFonts w:hint="eastAsia" w:ascii="宋体" w:hAnsi="宋体"/>
          <w:sz w:val="24"/>
          <w:szCs w:val="24"/>
        </w:rPr>
        <w:t>日。</w:t>
      </w:r>
    </w:p>
    <w:p>
      <w:pPr>
        <w:numPr>
          <w:ilvl w:val="0"/>
          <w:numId w:val="8"/>
        </w:numPr>
        <w:spacing w:line="360" w:lineRule="auto"/>
        <w:ind w:left="0" w:firstLine="567"/>
        <w:rPr>
          <w:rFonts w:ascii="宋体" w:hAnsi="宋体"/>
          <w:sz w:val="24"/>
          <w:szCs w:val="24"/>
        </w:rPr>
      </w:pPr>
      <w:r>
        <w:rPr>
          <w:rFonts w:hint="eastAsia" w:ascii="宋体" w:hAnsi="宋体"/>
          <w:sz w:val="24"/>
          <w:szCs w:val="24"/>
        </w:rPr>
        <w:t>公告期限：2021年</w:t>
      </w:r>
      <w:r>
        <w:rPr>
          <w:rFonts w:hint="eastAsia" w:ascii="宋体" w:hAnsi="宋体"/>
          <w:b/>
          <w:bCs/>
          <w:sz w:val="24"/>
          <w:szCs w:val="24"/>
          <w:highlight w:val="yellow"/>
          <w:lang w:val="en-US" w:eastAsia="zh-CN"/>
        </w:rPr>
        <w:t>9</w:t>
      </w:r>
      <w:r>
        <w:rPr>
          <w:rFonts w:hint="eastAsia" w:ascii="宋体" w:hAnsi="宋体"/>
          <w:sz w:val="24"/>
          <w:szCs w:val="24"/>
        </w:rPr>
        <w:t>月</w:t>
      </w:r>
      <w:r>
        <w:rPr>
          <w:rFonts w:hint="eastAsia" w:ascii="宋体" w:hAnsi="宋体"/>
          <w:b/>
          <w:bCs/>
          <w:sz w:val="24"/>
          <w:szCs w:val="24"/>
          <w:highlight w:val="yellow"/>
          <w:lang w:val="en-US" w:eastAsia="zh-CN"/>
        </w:rPr>
        <w:t>2</w:t>
      </w:r>
      <w:r>
        <w:rPr>
          <w:rFonts w:hint="eastAsia" w:ascii="宋体" w:hAnsi="宋体"/>
          <w:b/>
          <w:sz w:val="24"/>
          <w:szCs w:val="24"/>
          <w:highlight w:val="yellow"/>
          <w:lang w:val="en-US" w:eastAsia="zh-CN"/>
        </w:rPr>
        <w:t>9</w:t>
      </w:r>
      <w:r>
        <w:rPr>
          <w:rFonts w:hint="eastAsia" w:ascii="宋体" w:hAnsi="宋体"/>
          <w:sz w:val="24"/>
          <w:szCs w:val="24"/>
        </w:rPr>
        <w:t>日至</w:t>
      </w:r>
      <w:r>
        <w:rPr>
          <w:rFonts w:hint="eastAsia" w:ascii="宋体" w:hAnsi="宋体"/>
          <w:b/>
          <w:sz w:val="24"/>
          <w:szCs w:val="24"/>
          <w:highlight w:val="yellow"/>
          <w:lang w:val="en-US" w:eastAsia="zh-CN"/>
        </w:rPr>
        <w:t>10</w:t>
      </w:r>
      <w:r>
        <w:rPr>
          <w:rFonts w:hint="eastAsia" w:ascii="宋体" w:hAnsi="宋体"/>
          <w:sz w:val="24"/>
          <w:szCs w:val="24"/>
        </w:rPr>
        <w:t>月</w:t>
      </w:r>
      <w:r>
        <w:rPr>
          <w:rFonts w:hint="eastAsia" w:ascii="宋体" w:hAnsi="宋体"/>
          <w:b/>
          <w:sz w:val="24"/>
          <w:szCs w:val="24"/>
          <w:highlight w:val="yellow"/>
          <w:lang w:val="en-US" w:eastAsia="zh-CN"/>
        </w:rPr>
        <w:t>11</w:t>
      </w:r>
      <w:r>
        <w:rPr>
          <w:rFonts w:hint="eastAsia" w:ascii="宋体" w:hAnsi="宋体"/>
          <w:sz w:val="24"/>
          <w:szCs w:val="24"/>
        </w:rPr>
        <w:t>日。</w:t>
      </w:r>
    </w:p>
    <w:p>
      <w:pPr>
        <w:numPr>
          <w:ilvl w:val="0"/>
          <w:numId w:val="8"/>
        </w:numPr>
        <w:spacing w:line="360" w:lineRule="auto"/>
        <w:ind w:left="0" w:firstLine="567"/>
        <w:rPr>
          <w:rFonts w:ascii="宋体" w:hAnsi="宋体"/>
          <w:sz w:val="24"/>
          <w:szCs w:val="24"/>
        </w:rPr>
      </w:pPr>
      <w:r>
        <w:rPr>
          <w:rFonts w:hint="eastAsia" w:ascii="宋体" w:hAnsi="宋体"/>
          <w:sz w:val="24"/>
          <w:szCs w:val="24"/>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招标文件获取方式</w:t>
      </w:r>
    </w:p>
    <w:p>
      <w:pPr>
        <w:spacing w:line="360" w:lineRule="auto"/>
        <w:ind w:firstLine="480" w:firstLineChars="200"/>
        <w:rPr>
          <w:rFonts w:ascii="宋体" w:hAnsi="宋体"/>
          <w:sz w:val="24"/>
          <w:szCs w:val="24"/>
        </w:rPr>
      </w:pPr>
      <w:r>
        <w:rPr>
          <w:rFonts w:hint="eastAsia" w:ascii="宋体" w:hAnsi="宋体"/>
          <w:sz w:val="24"/>
          <w:szCs w:val="24"/>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480" w:firstLineChars="200"/>
        <w:rPr>
          <w:rFonts w:ascii="宋体" w:hAnsi="宋体"/>
          <w:sz w:val="24"/>
          <w:szCs w:val="24"/>
        </w:rPr>
      </w:pPr>
      <w:r>
        <w:rPr>
          <w:rFonts w:hint="eastAsia" w:ascii="宋体" w:hAnsi="宋体"/>
          <w:sz w:val="24"/>
          <w:szCs w:val="24"/>
        </w:rPr>
        <w:t>提示：</w:t>
      </w:r>
    </w:p>
    <w:p>
      <w:pPr>
        <w:spacing w:line="360" w:lineRule="auto"/>
        <w:ind w:firstLine="480" w:firstLineChars="200"/>
        <w:rPr>
          <w:rFonts w:ascii="宋体" w:hAnsi="宋体"/>
          <w:sz w:val="24"/>
          <w:szCs w:val="24"/>
        </w:rPr>
      </w:pPr>
      <w:r>
        <w:rPr>
          <w:rFonts w:hint="eastAsia" w:ascii="宋体" w:hAnsi="宋体"/>
          <w:sz w:val="24"/>
          <w:szCs w:val="24"/>
        </w:rPr>
        <w:t>（1）本项目采购文件免费获取。</w:t>
      </w:r>
    </w:p>
    <w:p>
      <w:pPr>
        <w:spacing w:line="360" w:lineRule="auto"/>
        <w:ind w:firstLine="480" w:firstLineChars="200"/>
        <w:rPr>
          <w:rFonts w:ascii="宋体" w:hAnsi="宋体"/>
          <w:sz w:val="24"/>
          <w:szCs w:val="24"/>
        </w:rPr>
      </w:pPr>
      <w:r>
        <w:rPr>
          <w:rFonts w:hint="eastAsia" w:ascii="宋体" w:hAnsi="宋体"/>
          <w:sz w:val="24"/>
          <w:szCs w:val="24"/>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480" w:firstLineChars="200"/>
        <w:rPr>
          <w:rFonts w:ascii="宋体" w:hAnsi="宋体"/>
          <w:sz w:val="24"/>
          <w:szCs w:val="24"/>
        </w:rPr>
      </w:pPr>
      <w:r>
        <w:rPr>
          <w:rFonts w:hint="eastAsia" w:ascii="宋体" w:hAnsi="宋体"/>
          <w:sz w:val="24"/>
          <w:szCs w:val="24"/>
        </w:rPr>
        <w:t>（3）首次登录成都市公共资源交易服务中心门户网站的新用户应先点击“注册新用户”，注册成功后再登录。</w:t>
      </w:r>
    </w:p>
    <w:p>
      <w:pPr>
        <w:spacing w:line="360" w:lineRule="auto"/>
        <w:ind w:firstLine="480" w:firstLineChars="200"/>
        <w:rPr>
          <w:rFonts w:ascii="宋体" w:hAnsi="宋体"/>
          <w:sz w:val="24"/>
          <w:szCs w:val="24"/>
        </w:rPr>
      </w:pPr>
      <w:r>
        <w:rPr>
          <w:rFonts w:hint="eastAsia" w:ascii="宋体" w:hAnsi="宋体"/>
          <w:sz w:val="24"/>
          <w:szCs w:val="24"/>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4"/>
          <w:szCs w:val="24"/>
        </w:rPr>
        <w:t>—</w:t>
      </w:r>
      <w:r>
        <w:rPr>
          <w:rFonts w:hint="eastAsia" w:ascii="宋体" w:hAnsi="宋体"/>
          <w:sz w:val="24"/>
          <w:szCs w:val="24"/>
        </w:rPr>
        <w:t>操作指南</w:t>
      </w:r>
      <w:r>
        <w:rPr>
          <w:rFonts w:ascii="宋体" w:hAnsi="宋体"/>
          <w:sz w:val="24"/>
          <w:szCs w:val="24"/>
        </w:rPr>
        <w:t>—</w:t>
      </w:r>
      <w:r>
        <w:rPr>
          <w:rFonts w:hint="eastAsia" w:ascii="宋体" w:hAnsi="宋体"/>
          <w:sz w:val="24"/>
          <w:szCs w:val="24"/>
        </w:rPr>
        <w:t>供应商”处下载查看）。</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招标文件获取地点</w:t>
      </w:r>
    </w:p>
    <w:p>
      <w:pPr>
        <w:spacing w:line="360" w:lineRule="auto"/>
        <w:ind w:firstLine="480" w:firstLineChars="200"/>
        <w:rPr>
          <w:rFonts w:ascii="宋体" w:hAnsi="宋体"/>
          <w:sz w:val="24"/>
          <w:szCs w:val="24"/>
        </w:rPr>
      </w:pPr>
      <w:bookmarkStart w:id="8" w:name="_Toc180051012"/>
      <w:bookmarkStart w:id="9" w:name="_Toc174185149"/>
      <w:bookmarkStart w:id="10" w:name="_Toc184013605"/>
      <w:bookmarkStart w:id="11" w:name="_Toc186274101"/>
      <w:bookmarkStart w:id="12" w:name="_Toc184023104"/>
      <w:r>
        <w:rPr>
          <w:rFonts w:hint="eastAsia" w:ascii="宋体" w:hAnsi="宋体"/>
          <w:sz w:val="24"/>
          <w:szCs w:val="24"/>
        </w:rPr>
        <w:t>登录成都市公共资源交易服务中心门户网站（https://www.cdggzy.com/）—用户中心—政府采购云平台获取</w:t>
      </w:r>
      <w:r>
        <w:rPr>
          <w:rFonts w:hint="eastAsia" w:ascii="宋体" w:hAnsi="宋体"/>
          <w:sz w:val="24"/>
          <w:szCs w:val="21"/>
        </w:rPr>
        <w:t>。</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投标文件递交截止时间及开标时间</w:t>
      </w:r>
      <w:bookmarkEnd w:id="8"/>
      <w:bookmarkEnd w:id="9"/>
      <w:bookmarkEnd w:id="10"/>
      <w:bookmarkEnd w:id="11"/>
      <w:bookmarkEnd w:id="12"/>
      <w:r>
        <w:rPr>
          <w:rFonts w:hint="eastAsia" w:ascii="宋体" w:hAnsi="宋体"/>
          <w:b/>
          <w:sz w:val="24"/>
          <w:szCs w:val="24"/>
        </w:rPr>
        <w:t>(北京时间)、地点、方式</w:t>
      </w:r>
    </w:p>
    <w:p>
      <w:pPr>
        <w:spacing w:line="560" w:lineRule="exact"/>
        <w:ind w:firstLine="484" w:firstLineChars="202"/>
        <w:rPr>
          <w:rFonts w:ascii="宋体" w:hAnsi="宋体"/>
          <w:b/>
          <w:sz w:val="24"/>
          <w:szCs w:val="24"/>
        </w:rPr>
      </w:pPr>
      <w:r>
        <w:rPr>
          <w:rFonts w:hint="eastAsia" w:ascii="宋体" w:hAnsi="宋体"/>
          <w:sz w:val="24"/>
          <w:szCs w:val="24"/>
        </w:rPr>
        <w:t>（一）投标文件递交截止时间及开标时间：</w:t>
      </w:r>
      <w:r>
        <w:rPr>
          <w:rFonts w:hint="eastAsia" w:ascii="宋体" w:hAnsi="宋体"/>
          <w:b/>
          <w:sz w:val="24"/>
          <w:szCs w:val="24"/>
        </w:rPr>
        <w:t>202</w:t>
      </w:r>
      <w:r>
        <w:rPr>
          <w:rFonts w:ascii="宋体" w:hAnsi="宋体"/>
          <w:b/>
          <w:sz w:val="24"/>
          <w:szCs w:val="24"/>
        </w:rPr>
        <w:t>1</w:t>
      </w:r>
      <w:r>
        <w:rPr>
          <w:rFonts w:hint="eastAsia" w:ascii="宋体" w:hAnsi="宋体"/>
          <w:b/>
          <w:sz w:val="24"/>
          <w:szCs w:val="24"/>
        </w:rPr>
        <w:t>年</w:t>
      </w:r>
      <w:r>
        <w:rPr>
          <w:rFonts w:hint="eastAsia" w:ascii="宋体" w:hAnsi="宋体"/>
          <w:b/>
          <w:sz w:val="24"/>
          <w:szCs w:val="24"/>
          <w:highlight w:val="yellow"/>
          <w:lang w:val="en-US" w:eastAsia="zh-CN"/>
        </w:rPr>
        <w:t>10</w:t>
      </w:r>
      <w:r>
        <w:rPr>
          <w:rFonts w:hint="eastAsia" w:ascii="宋体" w:hAnsi="宋体"/>
          <w:b/>
          <w:sz w:val="24"/>
          <w:szCs w:val="24"/>
        </w:rPr>
        <w:t>月</w:t>
      </w:r>
      <w:r>
        <w:rPr>
          <w:rFonts w:hint="eastAsia" w:ascii="宋体" w:hAnsi="宋体"/>
          <w:b/>
          <w:sz w:val="24"/>
          <w:szCs w:val="24"/>
          <w:highlight w:val="yellow"/>
          <w:lang w:val="en-US" w:eastAsia="zh-CN"/>
        </w:rPr>
        <w:t>19</w:t>
      </w:r>
      <w:r>
        <w:rPr>
          <w:rFonts w:hint="eastAsia" w:ascii="宋体" w:hAnsi="宋体"/>
          <w:b/>
          <w:sz w:val="24"/>
          <w:szCs w:val="24"/>
        </w:rPr>
        <w:t>日上午</w:t>
      </w:r>
      <w:r>
        <w:rPr>
          <w:rFonts w:hint="eastAsia" w:ascii="宋体" w:hAnsi="宋体"/>
          <w:b/>
          <w:sz w:val="24"/>
          <w:szCs w:val="24"/>
          <w:highlight w:val="yellow"/>
          <w:u w:val="single"/>
        </w:rPr>
        <w:t xml:space="preserve"> </w:t>
      </w:r>
      <w:r>
        <w:rPr>
          <w:rFonts w:hint="eastAsia" w:ascii="宋体" w:hAnsi="宋体"/>
          <w:b/>
          <w:sz w:val="24"/>
          <w:szCs w:val="24"/>
          <w:highlight w:val="yellow"/>
          <w:u w:val="single"/>
          <w:lang w:val="en-US" w:eastAsia="zh-CN"/>
        </w:rPr>
        <w:t>10</w:t>
      </w:r>
      <w:r>
        <w:rPr>
          <w:rFonts w:hint="eastAsia" w:ascii="宋体" w:hAnsi="宋体"/>
          <w:b/>
          <w:sz w:val="24"/>
          <w:szCs w:val="24"/>
          <w:highlight w:val="yellow"/>
          <w:u w:val="single"/>
        </w:rPr>
        <w:t xml:space="preserve"> ：</w:t>
      </w:r>
      <w:r>
        <w:rPr>
          <w:rFonts w:hint="eastAsia" w:ascii="宋体" w:hAnsi="宋体"/>
          <w:b/>
          <w:sz w:val="24"/>
          <w:szCs w:val="24"/>
          <w:highlight w:val="yellow"/>
          <w:u w:val="single"/>
          <w:lang w:val="en-US" w:eastAsia="zh-CN"/>
        </w:rPr>
        <w:t>00</w:t>
      </w:r>
      <w:bookmarkStart w:id="204" w:name="_GoBack"/>
      <w:r>
        <w:rPr>
          <w:rFonts w:hint="eastAsia" w:ascii="宋体" w:hAnsi="宋体"/>
          <w:b/>
          <w:sz w:val="24"/>
          <w:szCs w:val="24"/>
          <w:highlight w:val="yellow"/>
          <w:u w:val="single"/>
        </w:rPr>
        <w:t xml:space="preserve"> </w:t>
      </w:r>
      <w:bookmarkEnd w:id="204"/>
      <w:r>
        <w:rPr>
          <w:rFonts w:hint="eastAsia" w:ascii="宋体" w:hAnsi="宋体"/>
          <w:b/>
          <w:sz w:val="24"/>
          <w:szCs w:val="24"/>
          <w:highlight w:val="yellow"/>
          <w:u w:val="single"/>
        </w:rPr>
        <w:t xml:space="preserve"> </w:t>
      </w:r>
      <w:r>
        <w:rPr>
          <w:rFonts w:hint="eastAsia" w:ascii="宋体" w:hAnsi="宋体"/>
          <w:b/>
          <w:sz w:val="24"/>
          <w:szCs w:val="24"/>
        </w:rPr>
        <w:t>。</w:t>
      </w:r>
    </w:p>
    <w:p>
      <w:pPr>
        <w:spacing w:line="560" w:lineRule="exact"/>
        <w:ind w:firstLine="484" w:firstLineChars="202"/>
        <w:rPr>
          <w:rFonts w:ascii="宋体" w:hAnsi="宋体"/>
          <w:sz w:val="24"/>
          <w:szCs w:val="24"/>
        </w:rPr>
      </w:pPr>
      <w:r>
        <w:rPr>
          <w:rFonts w:hint="eastAsia" w:ascii="宋体" w:hAnsi="宋体"/>
          <w:sz w:val="24"/>
          <w:szCs w:val="24"/>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开标地点</w:t>
      </w:r>
    </w:p>
    <w:p>
      <w:pPr>
        <w:spacing w:line="360" w:lineRule="auto"/>
        <w:ind w:firstLine="361" w:firstLineChars="150"/>
        <w:jc w:val="left"/>
        <w:rPr>
          <w:rFonts w:ascii="宋体" w:hAnsi="宋体"/>
          <w:b/>
          <w:sz w:val="24"/>
          <w:szCs w:val="24"/>
        </w:rPr>
      </w:pPr>
      <w:r>
        <w:rPr>
          <w:rFonts w:hint="eastAsia" w:ascii="宋体" w:hAnsi="宋体"/>
          <w:b/>
          <w:sz w:val="24"/>
          <w:szCs w:val="24"/>
        </w:rPr>
        <w:t>本项目为不见面开标项目。</w:t>
      </w:r>
    </w:p>
    <w:p>
      <w:pPr>
        <w:spacing w:line="360" w:lineRule="auto"/>
        <w:ind w:firstLine="360" w:firstLineChars="150"/>
        <w:jc w:val="left"/>
        <w:rPr>
          <w:rFonts w:ascii="宋体" w:hAnsi="宋体"/>
          <w:sz w:val="24"/>
          <w:szCs w:val="24"/>
        </w:rPr>
      </w:pPr>
      <w:r>
        <w:rPr>
          <w:rFonts w:hint="eastAsia" w:ascii="宋体" w:hAnsi="宋体"/>
          <w:sz w:val="24"/>
          <w:szCs w:val="24"/>
        </w:rPr>
        <w:t>开标地点为：成都市公共资源交易服务中心“政府采购云平台”。登录成都市公共资源交易服务中心网站（https://www.cdggzy.com）—用户中心—政府采购云平台。</w:t>
      </w:r>
    </w:p>
    <w:p>
      <w:pPr>
        <w:spacing w:line="360" w:lineRule="auto"/>
        <w:ind w:firstLine="360" w:firstLineChars="150"/>
        <w:jc w:val="left"/>
        <w:rPr>
          <w:rFonts w:ascii="宋体" w:hAnsi="宋体"/>
          <w:sz w:val="24"/>
          <w:szCs w:val="24"/>
        </w:rPr>
      </w:pPr>
      <w:r>
        <w:rPr>
          <w:rFonts w:hint="eastAsia" w:ascii="宋体" w:hAnsi="宋体"/>
          <w:sz w:val="24"/>
          <w:szCs w:val="24"/>
        </w:rPr>
        <w:t>本项目只接受投标人加密并递交至“政府采购云平台”的投标文件。</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政采中小企业政府采购信用担保融资</w:t>
      </w:r>
    </w:p>
    <w:p>
      <w:pPr>
        <w:spacing w:line="560" w:lineRule="exact"/>
        <w:ind w:firstLine="484" w:firstLineChars="202"/>
        <w:rPr>
          <w:rFonts w:ascii="宋体" w:hAnsi="宋体"/>
          <w:sz w:val="24"/>
          <w:szCs w:val="24"/>
        </w:rPr>
      </w:pPr>
      <w:r>
        <w:rPr>
          <w:rFonts w:hint="eastAsia" w:ascii="宋体" w:hAnsi="宋体"/>
          <w:sz w:val="24"/>
          <w:szCs w:val="24"/>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联系方式</w:t>
      </w:r>
    </w:p>
    <w:p>
      <w:pPr>
        <w:spacing w:line="360" w:lineRule="auto"/>
        <w:ind w:firstLine="487" w:firstLineChars="202"/>
        <w:rPr>
          <w:rFonts w:ascii="宋体" w:hAnsi="宋体"/>
          <w:b/>
          <w:sz w:val="24"/>
          <w:szCs w:val="24"/>
        </w:rPr>
      </w:pPr>
      <w:r>
        <w:rPr>
          <w:rFonts w:hint="eastAsia" w:ascii="宋体" w:hAnsi="宋体"/>
          <w:b/>
          <w:sz w:val="24"/>
          <w:szCs w:val="24"/>
        </w:rPr>
        <w:t>采购人：成都市武侯区机关事务中心</w:t>
      </w:r>
    </w:p>
    <w:p>
      <w:pPr>
        <w:pStyle w:val="146"/>
        <w:ind w:firstLine="480"/>
        <w:rPr>
          <w:rFonts w:ascii="宋体" w:hAnsi="宋体"/>
          <w:kern w:val="0"/>
          <w:sz w:val="24"/>
          <w:szCs w:val="21"/>
        </w:rPr>
      </w:pPr>
      <w:r>
        <w:rPr>
          <w:rFonts w:hint="eastAsia" w:ascii="宋体" w:hAnsi="宋体"/>
          <w:sz w:val="24"/>
        </w:rPr>
        <w:t xml:space="preserve">地  址：成都市武侯祠大街264号 </w:t>
      </w:r>
    </w:p>
    <w:p>
      <w:pPr>
        <w:spacing w:line="360" w:lineRule="auto"/>
        <w:ind w:firstLine="484" w:firstLineChars="202"/>
        <w:rPr>
          <w:rFonts w:ascii="宋体" w:hAnsi="宋体"/>
          <w:sz w:val="24"/>
          <w:szCs w:val="24"/>
        </w:rPr>
      </w:pPr>
      <w:r>
        <w:rPr>
          <w:rFonts w:hint="eastAsia" w:ascii="宋体" w:hAnsi="宋体"/>
          <w:sz w:val="24"/>
          <w:szCs w:val="24"/>
        </w:rPr>
        <w:t>邮  编：610041</w:t>
      </w:r>
    </w:p>
    <w:p>
      <w:pPr>
        <w:spacing w:line="360" w:lineRule="auto"/>
        <w:ind w:firstLine="484" w:firstLineChars="202"/>
        <w:rPr>
          <w:rFonts w:ascii="宋体" w:hAnsi="宋体"/>
          <w:sz w:val="24"/>
          <w:szCs w:val="24"/>
        </w:rPr>
      </w:pPr>
      <w:r>
        <w:rPr>
          <w:rFonts w:hint="eastAsia" w:ascii="宋体" w:hAnsi="宋体"/>
          <w:sz w:val="24"/>
          <w:szCs w:val="24"/>
        </w:rPr>
        <w:t>联系人：徐春敏</w:t>
      </w:r>
    </w:p>
    <w:p>
      <w:pPr>
        <w:spacing w:line="360" w:lineRule="auto"/>
        <w:ind w:firstLine="484" w:firstLineChars="202"/>
        <w:rPr>
          <w:rFonts w:ascii="宋体" w:hAnsi="宋体"/>
          <w:sz w:val="24"/>
          <w:szCs w:val="24"/>
        </w:rPr>
      </w:pPr>
      <w:r>
        <w:rPr>
          <w:rFonts w:hint="eastAsia" w:ascii="宋体" w:hAnsi="宋体"/>
          <w:sz w:val="24"/>
          <w:szCs w:val="24"/>
        </w:rPr>
        <w:t>联系电话：028-85559693</w:t>
      </w:r>
    </w:p>
    <w:p>
      <w:pPr>
        <w:spacing w:line="360" w:lineRule="auto"/>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360" w:lineRule="auto"/>
        <w:ind w:firstLine="484" w:firstLineChars="202"/>
        <w:rPr>
          <w:rFonts w:ascii="宋体" w:hAnsi="宋体"/>
          <w:sz w:val="24"/>
          <w:szCs w:val="24"/>
        </w:rPr>
      </w:pPr>
      <w:r>
        <w:rPr>
          <w:rFonts w:hint="eastAsia" w:ascii="宋体" w:hAnsi="宋体"/>
          <w:sz w:val="24"/>
          <w:szCs w:val="24"/>
        </w:rPr>
        <w:t>地  址：成都市</w:t>
      </w:r>
      <w:r>
        <w:rPr>
          <w:rFonts w:hint="eastAsia"/>
          <w:sz w:val="22"/>
          <w:szCs w:val="21"/>
        </w:rPr>
        <w:t>武侯区</w:t>
      </w:r>
      <w:r>
        <w:rPr>
          <w:sz w:val="22"/>
          <w:szCs w:val="21"/>
        </w:rPr>
        <w:t>武科西五路360号武侯</w:t>
      </w:r>
      <w:r>
        <w:rPr>
          <w:rFonts w:hint="eastAsia"/>
          <w:sz w:val="22"/>
          <w:szCs w:val="21"/>
        </w:rPr>
        <w:t>区</w:t>
      </w:r>
      <w:r>
        <w:rPr>
          <w:sz w:val="22"/>
          <w:szCs w:val="21"/>
        </w:rPr>
        <w:t>市民中心2栋5单元</w:t>
      </w:r>
      <w:r>
        <w:rPr>
          <w:rFonts w:hint="eastAsia"/>
          <w:sz w:val="22"/>
          <w:szCs w:val="21"/>
        </w:rPr>
        <w:t xml:space="preserve"> 5楼</w:t>
      </w:r>
    </w:p>
    <w:p>
      <w:pPr>
        <w:spacing w:line="360" w:lineRule="auto"/>
        <w:ind w:firstLine="484" w:firstLineChars="202"/>
        <w:rPr>
          <w:rFonts w:ascii="宋体" w:hAnsi="宋体"/>
          <w:sz w:val="24"/>
          <w:szCs w:val="24"/>
        </w:rPr>
      </w:pPr>
      <w:r>
        <w:rPr>
          <w:rFonts w:hint="eastAsia" w:ascii="宋体" w:hAnsi="宋体"/>
          <w:sz w:val="24"/>
          <w:szCs w:val="24"/>
        </w:rPr>
        <w:t>邮  编：610041</w:t>
      </w:r>
    </w:p>
    <w:p>
      <w:pPr>
        <w:spacing w:line="360" w:lineRule="auto"/>
        <w:ind w:firstLine="484" w:firstLineChars="202"/>
        <w:rPr>
          <w:rFonts w:ascii="宋体" w:hAnsi="宋体"/>
          <w:sz w:val="24"/>
          <w:szCs w:val="24"/>
        </w:rPr>
      </w:pPr>
      <w:r>
        <w:rPr>
          <w:rFonts w:hint="eastAsia" w:ascii="宋体" w:hAnsi="宋体"/>
          <w:sz w:val="24"/>
          <w:szCs w:val="24"/>
        </w:rPr>
        <w:t>联系人：刘雅兰</w:t>
      </w:r>
    </w:p>
    <w:p>
      <w:pPr>
        <w:spacing w:line="360" w:lineRule="auto"/>
        <w:ind w:firstLine="484" w:firstLineChars="202"/>
        <w:rPr>
          <w:rFonts w:ascii="宋体" w:hAnsi="宋体"/>
          <w:sz w:val="24"/>
          <w:szCs w:val="24"/>
        </w:rPr>
      </w:pPr>
      <w:r>
        <w:rPr>
          <w:rFonts w:hint="eastAsia" w:ascii="宋体" w:hAnsi="宋体"/>
          <w:sz w:val="24"/>
          <w:szCs w:val="24"/>
        </w:rPr>
        <w:t>联系电话：028-61069889</w:t>
      </w:r>
    </w:p>
    <w:p>
      <w:pPr>
        <w:spacing w:line="360" w:lineRule="auto"/>
        <w:ind w:firstLine="487" w:firstLineChars="202"/>
        <w:rPr>
          <w:rFonts w:ascii="宋体" w:hAnsi="宋体"/>
          <w:sz w:val="24"/>
          <w:szCs w:val="24"/>
        </w:rPr>
      </w:pPr>
      <w:r>
        <w:rPr>
          <w:rFonts w:hint="eastAsia" w:ascii="宋体" w:hAnsi="宋体" w:cstheme="minorBidi"/>
          <w:b/>
          <w:sz w:val="24"/>
          <w:szCs w:val="24"/>
        </w:rPr>
        <w:t>技术支持电话：400—881—7190</w:t>
      </w:r>
    </w:p>
    <w:p>
      <w:pPr>
        <w:spacing w:line="360" w:lineRule="auto"/>
        <w:ind w:firstLine="482" w:firstLineChars="200"/>
        <w:rPr>
          <w:rFonts w:ascii="宋体" w:hAnsi="宋体"/>
          <w:b/>
          <w:sz w:val="24"/>
          <w:szCs w:val="24"/>
        </w:rPr>
      </w:pPr>
      <w:r>
        <w:rPr>
          <w:rFonts w:hint="eastAsia" w:ascii="宋体" w:hAnsi="宋体"/>
          <w:b/>
          <w:sz w:val="24"/>
          <w:szCs w:val="24"/>
        </w:rPr>
        <w:t>集中采购监督机构：成都市武侯区财政局</w:t>
      </w:r>
    </w:p>
    <w:p>
      <w:pPr>
        <w:tabs>
          <w:tab w:val="left" w:pos="520"/>
        </w:tabs>
        <w:spacing w:line="360" w:lineRule="auto"/>
        <w:ind w:left="556" w:leftChars="265"/>
        <w:rPr>
          <w:rFonts w:ascii="宋体" w:hAnsi="宋体"/>
          <w:sz w:val="24"/>
          <w:szCs w:val="24"/>
        </w:rPr>
      </w:pPr>
      <w:r>
        <w:rPr>
          <w:rFonts w:hint="eastAsia" w:ascii="宋体" w:hAnsi="宋体"/>
          <w:sz w:val="24"/>
          <w:szCs w:val="24"/>
        </w:rPr>
        <w:t>地 址：成都市武侯区武科西五路360号武侯区市民中心2栋5单元801室</w:t>
      </w:r>
    </w:p>
    <w:p>
      <w:pPr>
        <w:tabs>
          <w:tab w:val="left" w:pos="900"/>
        </w:tabs>
        <w:spacing w:line="360" w:lineRule="auto"/>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27832"/>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396760"/>
      <w:bookmarkStart w:id="15" w:name="_Toc213396946"/>
      <w:bookmarkStart w:id="16" w:name="_Toc213397010"/>
      <w:bookmarkStart w:id="17" w:name="_Toc213496268"/>
      <w:bookmarkStart w:id="18" w:name="_Toc316462344"/>
      <w:bookmarkStart w:id="19" w:name="_Toc189727030"/>
      <w:bookmarkStart w:id="20" w:name="_Toc217446032"/>
      <w:bookmarkStart w:id="21" w:name="_Toc20602"/>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highlight w:val="yellow"/>
              </w:rPr>
              <w:t>1470</w:t>
            </w:r>
            <w:r>
              <w:rPr>
                <w:rFonts w:hint="eastAsia" w:ascii="宋体" w:hAnsi="宋体"/>
                <w:b/>
              </w:rPr>
              <w:t>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b/>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highlight w:val="yellow"/>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2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rPr>
            </w:pPr>
            <w:r>
              <w:rPr>
                <w:rFonts w:hint="eastAsia" w:ascii="宋体" w:hAnsi="宋体"/>
              </w:rPr>
              <w:t>投诉受理单位：本项目同级财政部门，即成都市武侯区财政局。</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028-85558345</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地址：成都市武侯区武科西五路360号武侯区市民中心2栋5单元801室。</w:t>
            </w:r>
          </w:p>
          <w:p>
            <w:pPr>
              <w:tabs>
                <w:tab w:val="left" w:pos="7665"/>
              </w:tabs>
              <w:snapToGrid w:val="0"/>
              <w:spacing w:line="360" w:lineRule="auto"/>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4"/>
          <w:szCs w:val="24"/>
        </w:rPr>
      </w:pPr>
      <w:bookmarkStart w:id="22" w:name="_Toc16992"/>
      <w:r>
        <w:rPr>
          <w:rFonts w:hint="eastAsia" w:ascii="宋体" w:hAnsi="宋体"/>
          <w:b/>
          <w:bCs/>
          <w:sz w:val="24"/>
          <w:szCs w:val="24"/>
        </w:rPr>
        <w:t>总则</w:t>
      </w:r>
      <w:bookmarkEnd w:id="22"/>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适用范围</w:t>
      </w:r>
    </w:p>
    <w:p>
      <w:pPr>
        <w:numPr>
          <w:ilvl w:val="0"/>
          <w:numId w:val="10"/>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本招标文件仅适用于本次公开招标采购项目。</w:t>
      </w:r>
    </w:p>
    <w:p>
      <w:pPr>
        <w:numPr>
          <w:ilvl w:val="0"/>
          <w:numId w:val="10"/>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有关定义</w:t>
      </w:r>
    </w:p>
    <w:p>
      <w:pPr>
        <w:numPr>
          <w:ilvl w:val="0"/>
          <w:numId w:val="11"/>
        </w:numPr>
        <w:tabs>
          <w:tab w:val="left" w:pos="1134"/>
        </w:tabs>
        <w:spacing w:line="360" w:lineRule="auto"/>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b/>
          <w:bCs/>
          <w:sz w:val="24"/>
          <w:szCs w:val="24"/>
          <w:u w:val="single"/>
        </w:rPr>
        <w:t>成都市武侯区机关事务中心</w:t>
      </w:r>
      <w:r>
        <w:rPr>
          <w:rFonts w:hint="eastAsia" w:ascii="宋体" w:hAnsi="宋体"/>
          <w:sz w:val="24"/>
          <w:szCs w:val="24"/>
          <w:u w:val="single"/>
        </w:rPr>
        <w:t>。</w:t>
      </w:r>
    </w:p>
    <w:p>
      <w:pPr>
        <w:numPr>
          <w:ilvl w:val="0"/>
          <w:numId w:val="11"/>
        </w:numPr>
        <w:tabs>
          <w:tab w:val="left" w:pos="1134"/>
        </w:tabs>
        <w:spacing w:line="360" w:lineRule="auto"/>
        <w:ind w:left="0" w:firstLine="567"/>
        <w:rPr>
          <w:rFonts w:ascii="宋体" w:hAnsi="宋体"/>
          <w:sz w:val="24"/>
          <w:szCs w:val="24"/>
        </w:rPr>
      </w:pPr>
      <w:r>
        <w:rPr>
          <w:rFonts w:hint="eastAsia" w:ascii="宋体" w:hAnsi="宋体"/>
          <w:sz w:val="24"/>
          <w:szCs w:val="24"/>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4"/>
          <w:szCs w:val="24"/>
        </w:rPr>
      </w:pPr>
      <w:r>
        <w:rPr>
          <w:rFonts w:hint="eastAsia" w:ascii="宋体" w:hAnsi="宋体"/>
          <w:sz w:val="24"/>
          <w:szCs w:val="24"/>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4"/>
          <w:szCs w:val="24"/>
        </w:rPr>
      </w:pPr>
      <w:r>
        <w:rPr>
          <w:rFonts w:hint="eastAsia" w:ascii="宋体" w:hAnsi="宋体"/>
          <w:sz w:val="24"/>
          <w:szCs w:val="24"/>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4"/>
          <w:szCs w:val="24"/>
        </w:rPr>
      </w:pPr>
      <w:r>
        <w:rPr>
          <w:rFonts w:ascii="宋体" w:hAnsi="宋体"/>
          <w:sz w:val="24"/>
          <w:szCs w:val="24"/>
        </w:rPr>
        <w:t>重大违法记录是指供应商因违法经营受到刑事处罚或者责令停产停业、吊销许可证或者执照、较大数额罚款等行政处罚</w:t>
      </w:r>
      <w:r>
        <w:rPr>
          <w:rFonts w:hint="eastAsia" w:ascii="宋体" w:hAnsi="宋体"/>
          <w:sz w:val="24"/>
          <w:szCs w:val="24"/>
        </w:rPr>
        <w:t>。</w:t>
      </w:r>
    </w:p>
    <w:p>
      <w:pPr>
        <w:numPr>
          <w:ilvl w:val="0"/>
          <w:numId w:val="11"/>
        </w:numPr>
        <w:tabs>
          <w:tab w:val="left" w:pos="1134"/>
        </w:tabs>
        <w:spacing w:line="360" w:lineRule="auto"/>
        <w:ind w:left="0" w:firstLine="568"/>
        <w:rPr>
          <w:rFonts w:ascii="宋体" w:hAnsi="宋体"/>
          <w:sz w:val="24"/>
          <w:szCs w:val="24"/>
        </w:rPr>
      </w:pPr>
      <w:r>
        <w:rPr>
          <w:rFonts w:hint="eastAsia" w:ascii="宋体" w:hAnsi="宋体"/>
          <w:sz w:val="24"/>
          <w:szCs w:val="24"/>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4"/>
          <w:szCs w:val="24"/>
        </w:rPr>
      </w:pPr>
      <w:bookmarkStart w:id="23" w:name="_Toc217390843"/>
      <w:bookmarkStart w:id="24" w:name="_Toc183582207"/>
      <w:bookmarkStart w:id="25" w:name="_Toc183682344"/>
      <w:bookmarkStart w:id="26" w:name="_Toc217446036"/>
      <w:r>
        <w:rPr>
          <w:rFonts w:hint="eastAsia" w:ascii="宋体" w:hAnsi="宋体"/>
          <w:b/>
          <w:bCs/>
          <w:sz w:val="24"/>
          <w:szCs w:val="24"/>
        </w:rPr>
        <w:t>合格的投标人</w:t>
      </w:r>
      <w:bookmarkEnd w:id="23"/>
      <w:bookmarkEnd w:id="24"/>
      <w:bookmarkEnd w:id="25"/>
      <w:bookmarkEnd w:id="26"/>
    </w:p>
    <w:p>
      <w:pPr>
        <w:tabs>
          <w:tab w:val="left" w:pos="7665"/>
        </w:tabs>
        <w:spacing w:line="360" w:lineRule="auto"/>
        <w:ind w:firstLine="484" w:firstLineChars="202"/>
        <w:rPr>
          <w:rFonts w:ascii="宋体" w:hAnsi="宋体"/>
          <w:sz w:val="24"/>
          <w:szCs w:val="24"/>
        </w:rPr>
      </w:pPr>
      <w:r>
        <w:rPr>
          <w:rFonts w:hint="eastAsia" w:ascii="宋体" w:hAnsi="宋体"/>
          <w:sz w:val="24"/>
          <w:szCs w:val="24"/>
        </w:rPr>
        <w:t>合格的投标人应具备以下条件：</w:t>
      </w:r>
    </w:p>
    <w:p>
      <w:pPr>
        <w:numPr>
          <w:ilvl w:val="0"/>
          <w:numId w:val="12"/>
        </w:numPr>
        <w:tabs>
          <w:tab w:val="left" w:pos="1134"/>
        </w:tabs>
        <w:spacing w:line="360" w:lineRule="auto"/>
        <w:rPr>
          <w:rFonts w:ascii="宋体" w:hAnsi="宋体"/>
          <w:sz w:val="24"/>
          <w:szCs w:val="24"/>
        </w:rPr>
      </w:pPr>
      <w:r>
        <w:rPr>
          <w:rFonts w:hint="eastAsia" w:ascii="宋体" w:hAnsi="宋体"/>
          <w:sz w:val="24"/>
          <w:szCs w:val="24"/>
        </w:rPr>
        <w:t>本招标文件“投标邀请”第五条规定的条件；</w:t>
      </w:r>
    </w:p>
    <w:p>
      <w:pPr>
        <w:numPr>
          <w:ilvl w:val="0"/>
          <w:numId w:val="12"/>
        </w:numPr>
        <w:tabs>
          <w:tab w:val="left" w:pos="1134"/>
        </w:tabs>
        <w:spacing w:line="360" w:lineRule="auto"/>
        <w:ind w:left="0" w:firstLine="568"/>
        <w:rPr>
          <w:rFonts w:ascii="宋体" w:hAnsi="宋体"/>
          <w:sz w:val="24"/>
          <w:szCs w:val="24"/>
        </w:rPr>
      </w:pPr>
      <w:r>
        <w:rPr>
          <w:rFonts w:hint="eastAsia" w:ascii="宋体" w:hAnsi="宋体"/>
          <w:sz w:val="24"/>
          <w:szCs w:val="24"/>
        </w:rPr>
        <w:t>按照招标文件“投标邀请”中第六、七、八条规定获取了招标文件。</w:t>
      </w:r>
    </w:p>
    <w:p>
      <w:pPr>
        <w:tabs>
          <w:tab w:val="left" w:pos="1134"/>
        </w:tabs>
        <w:spacing w:line="360" w:lineRule="auto"/>
        <w:ind w:left="568"/>
        <w:rPr>
          <w:rFonts w:ascii="宋体" w:hAnsi="宋体"/>
          <w:sz w:val="24"/>
          <w:szCs w:val="24"/>
        </w:rPr>
      </w:pP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投标费用</w:t>
      </w:r>
    </w:p>
    <w:p>
      <w:pPr>
        <w:spacing w:line="360" w:lineRule="auto"/>
        <w:ind w:firstLine="566" w:firstLineChars="236"/>
        <w:rPr>
          <w:rFonts w:ascii="宋体" w:hAnsi="宋体"/>
          <w:sz w:val="24"/>
          <w:szCs w:val="24"/>
        </w:rPr>
      </w:pPr>
      <w:r>
        <w:rPr>
          <w:rFonts w:hint="eastAsia" w:ascii="宋体" w:hAnsi="宋体"/>
          <w:sz w:val="24"/>
          <w:szCs w:val="24"/>
        </w:rPr>
        <w:t>投标人应自行承担参加投标的全部费用。</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充分、公平竞争保障措施</w:t>
      </w:r>
    </w:p>
    <w:p>
      <w:pPr>
        <w:numPr>
          <w:ilvl w:val="0"/>
          <w:numId w:val="13"/>
        </w:numPr>
        <w:tabs>
          <w:tab w:val="left" w:pos="1134"/>
        </w:tabs>
        <w:adjustRightInd w:val="0"/>
        <w:spacing w:line="360" w:lineRule="auto"/>
        <w:ind w:left="0" w:firstLine="567"/>
        <w:rPr>
          <w:rFonts w:ascii="宋体" w:hAnsi="宋体"/>
          <w:sz w:val="24"/>
          <w:szCs w:val="24"/>
        </w:rPr>
      </w:pPr>
      <w:r>
        <w:rPr>
          <w:rFonts w:hint="eastAsia" w:ascii="宋体" w:hAnsi="宋体"/>
          <w:sz w:val="24"/>
          <w:szCs w:val="24"/>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cs="Arial"/>
          <w:sz w:val="24"/>
          <w:szCs w:val="24"/>
        </w:rPr>
        <w:t>采购代理机构</w:t>
      </w:r>
      <w:r>
        <w:rPr>
          <w:rFonts w:hint="eastAsia" w:ascii="宋体" w:hAnsi="宋体"/>
          <w:sz w:val="24"/>
          <w:szCs w:val="24"/>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4"/>
          <w:szCs w:val="24"/>
        </w:rPr>
      </w:pPr>
      <w:r>
        <w:rPr>
          <w:rFonts w:hint="eastAsia" w:ascii="宋体" w:hAnsi="宋体"/>
          <w:sz w:val="24"/>
          <w:szCs w:val="24"/>
        </w:rPr>
        <w:t>本项</w:t>
      </w:r>
      <w:r>
        <w:rPr>
          <w:rFonts w:hint="eastAsia" w:asciiTheme="minorEastAsia" w:hAnsiTheme="minorEastAsia"/>
          <w:sz w:val="24"/>
          <w:szCs w:val="24"/>
          <w:lang w:val="zh-CN"/>
        </w:rPr>
        <w:t>目</w:t>
      </w:r>
      <w:r>
        <w:rPr>
          <w:rFonts w:hint="eastAsia" w:asciiTheme="minorEastAsia" w:hAnsiTheme="minorEastAsia"/>
          <w:b/>
          <w:sz w:val="24"/>
          <w:szCs w:val="24"/>
          <w:highlight w:val="yellow"/>
        </w:rPr>
        <w:t>核心产品</w:t>
      </w:r>
      <w:r>
        <w:rPr>
          <w:rFonts w:hint="eastAsia" w:asciiTheme="minorEastAsia" w:hAnsiTheme="minorEastAsia"/>
          <w:b/>
          <w:sz w:val="24"/>
          <w:szCs w:val="24"/>
        </w:rPr>
        <w:t>为米、油、猪肉</w:t>
      </w:r>
      <w:r>
        <w:rPr>
          <w:rFonts w:hint="eastAsia" w:asciiTheme="minorEastAsia" w:hAnsiTheme="minorEastAsia"/>
          <w:sz w:val="24"/>
          <w:szCs w:val="24"/>
          <w:lang w:val="zh-CN"/>
        </w:rPr>
        <w:t>。</w:t>
      </w:r>
      <w:r>
        <w:rPr>
          <w:rFonts w:hint="eastAsia" w:hAnsi="宋体"/>
          <w:sz w:val="24"/>
          <w:szCs w:val="24"/>
        </w:rPr>
        <w:t>提供所有的核心产品品牌均相</w:t>
      </w:r>
      <w:r>
        <w:rPr>
          <w:rFonts w:hint="eastAsia" w:hAnsi="宋体"/>
          <w:sz w:val="24"/>
          <w:szCs w:val="24"/>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4"/>
          <w:szCs w:val="24"/>
        </w:rPr>
      </w:pPr>
      <w:bookmarkStart w:id="27" w:name="_Toc183582210"/>
      <w:bookmarkStart w:id="28" w:name="_Toc183682347"/>
      <w:bookmarkStart w:id="29" w:name="_Toc217446039"/>
      <w:bookmarkStart w:id="30" w:name="_Toc23709"/>
      <w:r>
        <w:rPr>
          <w:rFonts w:hint="eastAsia" w:ascii="宋体" w:hAnsi="宋体"/>
          <w:b/>
          <w:bCs/>
          <w:sz w:val="24"/>
          <w:szCs w:val="24"/>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招标文件的构成</w:t>
      </w:r>
    </w:p>
    <w:p>
      <w:pPr>
        <w:numPr>
          <w:ilvl w:val="0"/>
          <w:numId w:val="14"/>
        </w:numPr>
        <w:tabs>
          <w:tab w:val="left" w:pos="1134"/>
        </w:tabs>
        <w:spacing w:line="360" w:lineRule="auto"/>
        <w:ind w:left="0" w:firstLine="567"/>
        <w:rPr>
          <w:rFonts w:ascii="宋体" w:hAnsi="宋体"/>
          <w:sz w:val="24"/>
          <w:szCs w:val="24"/>
        </w:rPr>
      </w:pPr>
      <w:r>
        <w:rPr>
          <w:rFonts w:hint="eastAsia" w:ascii="宋体" w:hAnsi="宋体"/>
          <w:sz w:val="24"/>
          <w:szCs w:val="24"/>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投标邀请；</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投标人须知；</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投标文件格式；</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招标项目技术、服务、商务及其他要求；</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资格性审查；</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评标办法；</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拟签订合同文本。</w:t>
      </w:r>
    </w:p>
    <w:p>
      <w:pPr>
        <w:numPr>
          <w:ilvl w:val="0"/>
          <w:numId w:val="14"/>
        </w:numPr>
        <w:tabs>
          <w:tab w:val="left" w:pos="1134"/>
        </w:tabs>
        <w:spacing w:line="360" w:lineRule="auto"/>
        <w:ind w:left="0" w:firstLine="567"/>
        <w:rPr>
          <w:rFonts w:ascii="宋体" w:hAnsi="宋体"/>
          <w:sz w:val="24"/>
          <w:szCs w:val="24"/>
        </w:rPr>
      </w:pPr>
      <w:r>
        <w:rPr>
          <w:rFonts w:hint="eastAsia" w:ascii="宋体" w:hAnsi="宋体"/>
          <w:sz w:val="24"/>
          <w:szCs w:val="24"/>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4"/>
          <w:szCs w:val="24"/>
        </w:rPr>
      </w:pPr>
      <w:bookmarkStart w:id="31" w:name="_Toc183582211"/>
      <w:bookmarkStart w:id="32" w:name="_Toc183682348"/>
      <w:bookmarkStart w:id="33" w:name="_Toc217446040"/>
      <w:r>
        <w:rPr>
          <w:rFonts w:hint="eastAsia" w:ascii="宋体" w:hAnsi="宋体"/>
          <w:b/>
          <w:bCs/>
          <w:sz w:val="24"/>
          <w:szCs w:val="24"/>
        </w:rPr>
        <w:t>招标文件的澄清</w:t>
      </w:r>
      <w:bookmarkEnd w:id="31"/>
      <w:bookmarkEnd w:id="32"/>
      <w:r>
        <w:rPr>
          <w:rFonts w:hint="eastAsia" w:ascii="宋体" w:hAnsi="宋体"/>
          <w:b/>
          <w:bCs/>
          <w:sz w:val="24"/>
          <w:szCs w:val="24"/>
        </w:rPr>
        <w:t>和修改</w:t>
      </w:r>
      <w:bookmarkEnd w:id="33"/>
      <w:bookmarkStart w:id="34" w:name="_Toc217446042"/>
      <w:bookmarkStart w:id="35" w:name="_Toc89075876"/>
      <w:bookmarkStart w:id="36" w:name="_Toc183682351"/>
      <w:bookmarkStart w:id="37" w:name="_Toc77400780"/>
      <w:bookmarkStart w:id="38" w:name="_Toc183582214"/>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在投标截止时间前，采购人或者</w:t>
      </w:r>
      <w:r>
        <w:rPr>
          <w:rFonts w:hint="eastAsia" w:cs="Arial"/>
          <w:sz w:val="24"/>
          <w:szCs w:val="24"/>
        </w:rPr>
        <w:t>采购中心</w:t>
      </w:r>
      <w:r>
        <w:rPr>
          <w:rFonts w:hint="eastAsia" w:ascii="宋体" w:hAnsi="宋体"/>
          <w:sz w:val="24"/>
          <w:szCs w:val="24"/>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澄清或者修改的内容可能影响投标文件编制的，采购中心应当在投标截止时间至少15日前，通过云平台通知所有获取招标文件的潜在投标人；不足15日的，采购人或采购中心应当顺延提交投标文件的截止时间。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4"/>
          <w:szCs w:val="24"/>
        </w:rPr>
      </w:pPr>
      <w:bookmarkStart w:id="39" w:name="_Toc10186"/>
      <w:r>
        <w:rPr>
          <w:rFonts w:hint="eastAsia" w:ascii="宋体" w:hAnsi="宋体"/>
          <w:b/>
          <w:bCs/>
          <w:sz w:val="24"/>
          <w:szCs w:val="24"/>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4"/>
          <w:szCs w:val="24"/>
        </w:rPr>
      </w:pPr>
      <w:bookmarkStart w:id="40" w:name="_Toc183582215"/>
      <w:bookmarkStart w:id="41" w:name="_Toc217446043"/>
      <w:bookmarkStart w:id="42" w:name="_Toc183682352"/>
      <w:r>
        <w:rPr>
          <w:rFonts w:hint="eastAsia" w:ascii="宋体" w:hAnsi="宋体"/>
          <w:b/>
          <w:bCs/>
          <w:sz w:val="24"/>
          <w:szCs w:val="24"/>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4"/>
          <w:szCs w:val="24"/>
        </w:rPr>
      </w:pPr>
      <w:r>
        <w:rPr>
          <w:rFonts w:hint="eastAsia" w:ascii="宋体" w:hAnsi="宋体"/>
          <w:sz w:val="24"/>
          <w:szCs w:val="24"/>
        </w:rPr>
        <w:t>投标人提交的投标文件以及投标人与采购人或</w:t>
      </w:r>
      <w:r>
        <w:rPr>
          <w:rFonts w:hint="eastAsia" w:cs="Arial"/>
          <w:sz w:val="24"/>
          <w:szCs w:val="24"/>
        </w:rPr>
        <w:t>采购中心</w:t>
      </w:r>
      <w:r>
        <w:rPr>
          <w:rFonts w:hint="eastAsia" w:ascii="宋体" w:hAnsi="宋体"/>
          <w:sz w:val="24"/>
          <w:szCs w:val="24"/>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4"/>
          <w:szCs w:val="24"/>
        </w:rPr>
      </w:pPr>
      <w:r>
        <w:rPr>
          <w:rFonts w:hint="eastAsia" w:ascii="宋体" w:hAnsi="宋体"/>
          <w:sz w:val="24"/>
          <w:szCs w:val="24"/>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4"/>
          <w:szCs w:val="24"/>
        </w:rPr>
      </w:pPr>
      <w:bookmarkStart w:id="43" w:name="_Toc183582216"/>
      <w:bookmarkStart w:id="44" w:name="_Toc183682353"/>
      <w:bookmarkStart w:id="45" w:name="_Toc217446044"/>
      <w:r>
        <w:rPr>
          <w:rFonts w:hint="eastAsia" w:ascii="宋体" w:hAnsi="宋体"/>
          <w:b/>
          <w:bCs/>
          <w:sz w:val="24"/>
          <w:szCs w:val="24"/>
        </w:rPr>
        <w:t>计量单位</w:t>
      </w:r>
      <w:bookmarkEnd w:id="43"/>
      <w:bookmarkEnd w:id="44"/>
      <w:bookmarkEnd w:id="45"/>
    </w:p>
    <w:p>
      <w:pPr>
        <w:tabs>
          <w:tab w:val="left" w:pos="7665"/>
        </w:tabs>
        <w:spacing w:line="360" w:lineRule="auto"/>
        <w:ind w:left="13" w:firstLine="554"/>
        <w:rPr>
          <w:rFonts w:ascii="宋体" w:hAnsi="宋体"/>
          <w:sz w:val="24"/>
          <w:szCs w:val="24"/>
        </w:rPr>
      </w:pPr>
      <w:r>
        <w:rPr>
          <w:rFonts w:hint="eastAsia" w:ascii="宋体" w:hAnsi="宋体"/>
          <w:sz w:val="24"/>
          <w:szCs w:val="24"/>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4"/>
          <w:szCs w:val="24"/>
        </w:rPr>
      </w:pPr>
      <w:bookmarkStart w:id="46" w:name="_Toc217446045"/>
      <w:r>
        <w:rPr>
          <w:rFonts w:hint="eastAsia" w:ascii="宋体" w:hAnsi="宋体"/>
          <w:b/>
          <w:bCs/>
          <w:sz w:val="24"/>
          <w:szCs w:val="24"/>
        </w:rPr>
        <w:t>投标货币</w:t>
      </w:r>
      <w:bookmarkEnd w:id="46"/>
    </w:p>
    <w:p>
      <w:pPr>
        <w:tabs>
          <w:tab w:val="left" w:pos="7665"/>
        </w:tabs>
        <w:spacing w:line="360" w:lineRule="auto"/>
        <w:ind w:left="13" w:firstLine="554"/>
        <w:rPr>
          <w:rFonts w:ascii="宋体" w:hAnsi="宋体"/>
          <w:sz w:val="24"/>
          <w:szCs w:val="24"/>
        </w:rPr>
      </w:pPr>
      <w:r>
        <w:rPr>
          <w:rFonts w:hint="eastAsia" w:ascii="宋体" w:hAnsi="宋体"/>
          <w:sz w:val="24"/>
          <w:szCs w:val="24"/>
        </w:rPr>
        <w:t>本次招标项目的投标均以人民币报价。</w:t>
      </w:r>
    </w:p>
    <w:p>
      <w:pPr>
        <w:keepNext/>
        <w:keepLines/>
        <w:numPr>
          <w:ilvl w:val="2"/>
          <w:numId w:val="5"/>
        </w:numPr>
        <w:spacing w:line="360" w:lineRule="auto"/>
        <w:ind w:left="0" w:firstLine="0"/>
        <w:outlineLvl w:val="2"/>
        <w:rPr>
          <w:rFonts w:ascii="宋体" w:hAnsi="宋体"/>
          <w:b/>
          <w:bCs/>
          <w:sz w:val="24"/>
          <w:szCs w:val="24"/>
        </w:rPr>
      </w:pPr>
      <w:bookmarkStart w:id="47" w:name="_Toc217446046"/>
      <w:r>
        <w:rPr>
          <w:rFonts w:hint="eastAsia" w:ascii="宋体" w:hAnsi="宋体"/>
          <w:b/>
          <w:bCs/>
          <w:sz w:val="24"/>
          <w:szCs w:val="24"/>
        </w:rPr>
        <w:t>联合体投标</w:t>
      </w:r>
      <w:bookmarkEnd w:id="47"/>
    </w:p>
    <w:p>
      <w:pPr>
        <w:tabs>
          <w:tab w:val="left" w:pos="1134"/>
        </w:tabs>
        <w:spacing w:line="360" w:lineRule="auto"/>
        <w:ind w:left="546"/>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联合体投标。</w:t>
      </w:r>
    </w:p>
    <w:p>
      <w:pPr>
        <w:keepNext/>
        <w:keepLines/>
        <w:numPr>
          <w:ilvl w:val="2"/>
          <w:numId w:val="5"/>
        </w:numPr>
        <w:spacing w:line="360" w:lineRule="auto"/>
        <w:ind w:left="0" w:firstLine="0"/>
        <w:outlineLvl w:val="2"/>
        <w:rPr>
          <w:rFonts w:ascii="宋体" w:hAnsi="宋体"/>
          <w:b/>
          <w:bCs/>
          <w:sz w:val="24"/>
          <w:szCs w:val="24"/>
        </w:rPr>
      </w:pPr>
      <w:bookmarkStart w:id="48" w:name="_Toc217446047"/>
      <w:r>
        <w:rPr>
          <w:rFonts w:hint="eastAsia" w:ascii="宋体" w:hAnsi="宋体"/>
          <w:b/>
          <w:bCs/>
          <w:sz w:val="24"/>
          <w:szCs w:val="24"/>
        </w:rPr>
        <w:t>知识产权</w:t>
      </w:r>
      <w:bookmarkEnd w:id="48"/>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4"/>
          <w:szCs w:val="24"/>
        </w:rPr>
      </w:pPr>
      <w:bookmarkStart w:id="49" w:name="_Toc217446048"/>
      <w:bookmarkStart w:id="50" w:name="_Toc183582217"/>
      <w:bookmarkStart w:id="51" w:name="_Toc183682354"/>
      <w:r>
        <w:rPr>
          <w:rFonts w:hint="eastAsia" w:ascii="宋体" w:hAnsi="宋体"/>
          <w:b/>
          <w:bCs/>
          <w:sz w:val="24"/>
          <w:szCs w:val="24"/>
        </w:rPr>
        <w:t>投标文件的组成</w:t>
      </w:r>
      <w:bookmarkEnd w:id="49"/>
      <w:bookmarkEnd w:id="50"/>
      <w:bookmarkEnd w:id="51"/>
    </w:p>
    <w:p>
      <w:pPr>
        <w:spacing w:line="360" w:lineRule="auto"/>
        <w:ind w:firstLine="470" w:firstLineChars="196"/>
        <w:rPr>
          <w:rFonts w:ascii="宋体" w:hAnsi="宋体"/>
          <w:sz w:val="24"/>
          <w:szCs w:val="24"/>
        </w:rPr>
      </w:pPr>
      <w:r>
        <w:rPr>
          <w:rFonts w:hint="eastAsia" w:ascii="宋体" w:hAnsi="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sz w:val="24"/>
          <w:szCs w:val="24"/>
        </w:rPr>
      </w:pPr>
      <w:r>
        <w:rPr>
          <w:rFonts w:hint="eastAsia" w:ascii="宋体" w:hAnsi="宋体"/>
          <w:sz w:val="24"/>
          <w:szCs w:val="24"/>
        </w:rPr>
        <w:t>资格响应文件：</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关于投标人资格申明的函；</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声明；</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投标人应提交的相关资格证明材料：</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营业执照复印件（正本或副本）或法人证书复印件（正本或副本）；</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2019或2020会计年度资产负债表复印件 （说明：投标人成立时间至递交投标文件截止时间止不足一年的，提供成立后任意时段的资产负债表复印件）；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投标人缴纳2020或2021年任意时段的税收的银行电子回单或者行政部门出具的纳税证明或完税证明复印件；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采购人对投标人履行合同所必须的设备和专业技术能力无特殊要求，投标人具有有效的营业执照或法人证书，可不提供其他证明材料；</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投标人缴纳2020或2021年任意时段的社保的银行电子回单或行政部门出具的社保缴纳证明材料复印件；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采购人对法律、行政法规规定的其他条件无特殊要求，投标人具有有效的营业执照或法人证书，可不提供其他证明材料。</w:t>
      </w:r>
      <w:r>
        <w:rPr>
          <w:rFonts w:hint="eastAsia" w:ascii="宋体" w:hAnsi="宋体"/>
          <w:b/>
          <w:sz w:val="24"/>
          <w:szCs w:val="24"/>
        </w:rPr>
        <w:br w:type="textWrapping"/>
      </w:r>
      <w:r>
        <w:rPr>
          <w:rFonts w:hint="eastAsia" w:ascii="宋体" w:hAnsi="宋体"/>
          <w:b/>
          <w:sz w:val="24"/>
          <w:szCs w:val="24"/>
        </w:rPr>
        <w:t xml:space="preserve">    （七）</w:t>
      </w:r>
      <w:r>
        <w:rPr>
          <w:rFonts w:hint="eastAsia"/>
          <w:b/>
          <w:bCs/>
          <w:sz w:val="24"/>
          <w:szCs w:val="24"/>
        </w:rPr>
        <w:t>投标供应商需具有在有效期内的</w:t>
      </w:r>
      <w:r>
        <w:rPr>
          <w:rFonts w:hint="eastAsia"/>
          <w:b/>
          <w:bCs/>
          <w:sz w:val="24"/>
          <w:szCs w:val="24"/>
          <w:highlight w:val="yellow"/>
        </w:rPr>
        <w:t>食品生产许可证或食品经营许可证（两个证有其中一个即可）。</w:t>
      </w:r>
    </w:p>
    <w:p>
      <w:pPr>
        <w:pStyle w:val="6"/>
        <w:numPr>
          <w:ilvl w:val="3"/>
          <w:numId w:val="5"/>
        </w:numPr>
        <w:rPr>
          <w:rFonts w:ascii="宋体" w:hAnsi="宋体"/>
          <w:sz w:val="24"/>
          <w:szCs w:val="24"/>
        </w:rPr>
      </w:pPr>
      <w:r>
        <w:rPr>
          <w:rFonts w:hint="eastAsia" w:ascii="宋体" w:hAnsi="宋体"/>
          <w:sz w:val="24"/>
          <w:szCs w:val="24"/>
        </w:rPr>
        <w:t>商务技术</w:t>
      </w:r>
      <w:r>
        <w:rPr>
          <w:rFonts w:ascii="宋体" w:hAnsi="宋体"/>
          <w:sz w:val="24"/>
          <w:szCs w:val="24"/>
        </w:rPr>
        <w:t>响应</w:t>
      </w:r>
      <w:r>
        <w:rPr>
          <w:rFonts w:hint="eastAsia" w:ascii="宋体" w:hAnsi="宋体"/>
          <w:sz w:val="24"/>
          <w:szCs w:val="24"/>
        </w:rPr>
        <w:t>文件</w:t>
      </w:r>
    </w:p>
    <w:p>
      <w:pPr>
        <w:numPr>
          <w:ilvl w:val="0"/>
          <w:numId w:val="21"/>
        </w:numPr>
        <w:tabs>
          <w:tab w:val="left" w:pos="1134"/>
        </w:tabs>
        <w:spacing w:line="360" w:lineRule="auto"/>
        <w:ind w:hanging="279"/>
        <w:jc w:val="left"/>
        <w:rPr>
          <w:rFonts w:ascii="宋体" w:hAnsi="宋体"/>
          <w:b/>
          <w:sz w:val="24"/>
          <w:szCs w:val="24"/>
        </w:rPr>
      </w:pPr>
      <w:r>
        <w:rPr>
          <w:rFonts w:hint="eastAsia" w:ascii="宋体" w:hAnsi="宋体"/>
          <w:b/>
          <w:sz w:val="24"/>
          <w:szCs w:val="24"/>
        </w:rPr>
        <w:t>投标函；</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法定代表人身份证明书；</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投标人基本情况表；</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投标产品技术性能、技术参数和配置的详细描述；</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售后服务及承诺；</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项目实施方案；</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sz w:val="24"/>
          <w:szCs w:val="24"/>
        </w:rPr>
        <w:t>承诺函。</w:t>
      </w:r>
    </w:p>
    <w:p>
      <w:pPr>
        <w:pStyle w:val="6"/>
        <w:numPr>
          <w:ilvl w:val="3"/>
          <w:numId w:val="5"/>
        </w:numPr>
        <w:rPr>
          <w:rFonts w:ascii="宋体" w:hAnsi="宋体"/>
          <w:sz w:val="24"/>
          <w:szCs w:val="24"/>
        </w:rPr>
      </w:pPr>
      <w:r>
        <w:rPr>
          <w:rFonts w:hint="eastAsia" w:ascii="宋体" w:hAnsi="宋体"/>
          <w:sz w:val="24"/>
          <w:szCs w:val="24"/>
        </w:rPr>
        <w:t>报价</w:t>
      </w:r>
      <w:r>
        <w:rPr>
          <w:rFonts w:ascii="宋体" w:hAnsi="宋体"/>
          <w:sz w:val="24"/>
          <w:szCs w:val="24"/>
        </w:rPr>
        <w:t>要求响应文件</w:t>
      </w:r>
    </w:p>
    <w:p>
      <w:pPr>
        <w:pStyle w:val="77"/>
        <w:numPr>
          <w:ilvl w:val="0"/>
          <w:numId w:val="22"/>
        </w:numPr>
        <w:tabs>
          <w:tab w:val="left" w:pos="1134"/>
        </w:tabs>
        <w:spacing w:line="360" w:lineRule="auto"/>
        <w:ind w:firstLineChars="0"/>
        <w:rPr>
          <w:rFonts w:ascii="宋体" w:hAnsi="宋体"/>
          <w:b/>
          <w:sz w:val="24"/>
          <w:szCs w:val="24"/>
        </w:rPr>
      </w:pPr>
      <w:r>
        <w:rPr>
          <w:rFonts w:hint="eastAsia" w:ascii="宋体" w:hAnsi="宋体"/>
          <w:b/>
          <w:sz w:val="24"/>
          <w:szCs w:val="24"/>
        </w:rPr>
        <w:t>开标一览表（投标报价以投标人在政府采购云平台开标一览表</w:t>
      </w:r>
    </w:p>
    <w:p>
      <w:pPr>
        <w:tabs>
          <w:tab w:val="left" w:pos="1134"/>
        </w:tabs>
        <w:spacing w:line="360" w:lineRule="auto"/>
        <w:rPr>
          <w:rFonts w:ascii="宋体" w:hAnsi="宋体"/>
          <w:b/>
          <w:sz w:val="24"/>
          <w:szCs w:val="24"/>
        </w:rPr>
      </w:pPr>
      <w:r>
        <w:rPr>
          <w:rFonts w:hint="eastAsia" w:ascii="宋体" w:hAnsi="宋体"/>
          <w:b/>
          <w:sz w:val="24"/>
          <w:szCs w:val="24"/>
        </w:rPr>
        <w:t>中填写的报价为准。）；</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sz w:val="24"/>
          <w:szCs w:val="24"/>
        </w:rPr>
        <w:t>分项报价明细表(</w:t>
      </w:r>
      <w:r>
        <w:rPr>
          <w:rFonts w:ascii="宋体" w:hAnsi="宋体"/>
          <w:b/>
          <w:sz w:val="24"/>
          <w:szCs w:val="24"/>
        </w:rPr>
        <w:t>1.</w:t>
      </w:r>
      <w:r>
        <w:rPr>
          <w:rFonts w:hint="eastAsia" w:ascii="宋体" w:hAnsi="宋体"/>
          <w:b/>
          <w:sz w:val="24"/>
          <w:szCs w:val="24"/>
        </w:rPr>
        <w:t>分项报价明细表中要求填写品牌、规格型号、制造商、进口或国产的，投标人必须载明其投标产品的品牌、规格型号、制造商、进口或国产；2.报价</w:t>
      </w:r>
      <w:r>
        <w:rPr>
          <w:rFonts w:ascii="宋体" w:hAnsi="宋体"/>
          <w:b/>
          <w:sz w:val="24"/>
          <w:szCs w:val="24"/>
        </w:rPr>
        <w:t>明细以投标人在政府采购云平台</w:t>
      </w:r>
      <w:r>
        <w:rPr>
          <w:rFonts w:hint="eastAsia" w:ascii="宋体" w:hAnsi="宋体"/>
          <w:b/>
          <w:sz w:val="24"/>
          <w:szCs w:val="24"/>
        </w:rPr>
        <w:t>报价</w:t>
      </w:r>
      <w:r>
        <w:rPr>
          <w:rFonts w:ascii="宋体" w:hAnsi="宋体"/>
          <w:b/>
          <w:sz w:val="24"/>
          <w:szCs w:val="24"/>
        </w:rPr>
        <w:t>明细表中填写的</w:t>
      </w:r>
      <w:r>
        <w:rPr>
          <w:rFonts w:hint="eastAsia" w:ascii="宋体" w:hAnsi="宋体"/>
          <w:b/>
          <w:sz w:val="24"/>
          <w:szCs w:val="24"/>
        </w:rPr>
        <w:t>为准</w:t>
      </w:r>
      <w:r>
        <w:rPr>
          <w:rFonts w:ascii="宋体" w:hAnsi="宋体"/>
          <w:b/>
          <w:sz w:val="24"/>
          <w:szCs w:val="24"/>
        </w:rPr>
        <w:t>。</w:t>
      </w:r>
      <w:r>
        <w:rPr>
          <w:rFonts w:hint="eastAsia" w:ascii="宋体" w:hAnsi="宋体"/>
          <w:b/>
          <w:sz w:val="24"/>
          <w:szCs w:val="24"/>
        </w:rPr>
        <w:t>)；</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sz w:val="24"/>
          <w:szCs w:val="21"/>
        </w:rPr>
        <w:t>监狱企业、残疾人福利性单位制造的货物清单及价格</w:t>
      </w:r>
      <w:r>
        <w:rPr>
          <w:rFonts w:hint="eastAsia" w:ascii="宋体" w:hAnsi="宋体"/>
          <w:b/>
          <w:sz w:val="24"/>
          <w:szCs w:val="24"/>
        </w:rPr>
        <w:t>（如未提供</w:t>
      </w:r>
      <w:r>
        <w:rPr>
          <w:rFonts w:hint="eastAsia" w:ascii="宋体" w:hAnsi="宋体"/>
          <w:b/>
          <w:sz w:val="24"/>
          <w:szCs w:val="21"/>
        </w:rPr>
        <w:t>监狱企业、残疾人福利性单位制造的货物清单及价格</w:t>
      </w:r>
      <w:r>
        <w:rPr>
          <w:rFonts w:hint="eastAsia" w:ascii="宋体" w:hAnsi="宋体"/>
          <w:b/>
          <w:sz w:val="24"/>
          <w:szCs w:val="24"/>
        </w:rPr>
        <w:t>，则其投标产品中的</w:t>
      </w:r>
      <w:r>
        <w:rPr>
          <w:rFonts w:hint="eastAsia" w:ascii="宋体" w:hAnsi="宋体"/>
          <w:b/>
          <w:sz w:val="24"/>
          <w:szCs w:val="21"/>
        </w:rPr>
        <w:t>监狱企业、残疾人福利性单位</w:t>
      </w:r>
      <w:r>
        <w:rPr>
          <w:rFonts w:hint="eastAsia" w:ascii="宋体" w:hAnsi="宋体"/>
          <w:b/>
          <w:sz w:val="24"/>
          <w:szCs w:val="24"/>
        </w:rPr>
        <w:t>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sz w:val="24"/>
          <w:szCs w:val="24"/>
        </w:rPr>
        <w:t>中小企业声明函（如未提供中小企业声明函，则其投标产品中的小型、微型企业制造的货物不能享受招标文件规定的价格扣除，但不影响投标人投标文件的有效性）；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sz w:val="24"/>
          <w:szCs w:val="24"/>
        </w:rPr>
        <w:t>残疾人福利性单位声明函（如未提供残疾人福利性单位声明函，则其投标产品中的残疾人福利性单位制造的货物不能享受招标文件规定的价格扣除，但不影响投标人投标文件的有效性）；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sz w:val="24"/>
          <w:szCs w:val="24"/>
        </w:rPr>
        <w:t>投标产品</w:t>
      </w:r>
      <w:r>
        <w:rPr>
          <w:rFonts w:ascii="宋体" w:hAnsi="宋体"/>
          <w:b/>
          <w:sz w:val="24"/>
          <w:szCs w:val="24"/>
        </w:rPr>
        <w:t>制造商属于监狱企业的证明文件复印件</w:t>
      </w:r>
      <w:r>
        <w:rPr>
          <w:rFonts w:hint="eastAsia" w:ascii="宋体" w:hAnsi="宋体"/>
          <w:b/>
          <w:sz w:val="24"/>
          <w:szCs w:val="24"/>
        </w:rPr>
        <w:t>（1、</w:t>
      </w:r>
      <w:r>
        <w:rPr>
          <w:rFonts w:ascii="宋体" w:hAnsi="宋体"/>
          <w:b/>
          <w:sz w:val="24"/>
          <w:szCs w:val="24"/>
        </w:rPr>
        <w:t>投标产品中为监狱企业制造的货物应提供由省级以上监狱管理局、戒毒管理局（含新疆生产建设兵团）出具的制造商属于监狱企业的证明文件复印件</w:t>
      </w:r>
      <w:r>
        <w:rPr>
          <w:rFonts w:hint="eastAsia" w:ascii="宋体" w:hAnsi="宋体"/>
          <w:b/>
          <w:sz w:val="24"/>
          <w:szCs w:val="24"/>
        </w:rPr>
        <w:t>；2、如未提供</w:t>
      </w:r>
      <w:r>
        <w:rPr>
          <w:rFonts w:ascii="宋体" w:hAnsi="宋体"/>
          <w:b/>
          <w:sz w:val="24"/>
          <w:szCs w:val="24"/>
        </w:rPr>
        <w:t>监狱企业的证明文件</w:t>
      </w:r>
      <w:r>
        <w:rPr>
          <w:rFonts w:hint="eastAsia" w:ascii="宋体" w:hAnsi="宋体"/>
          <w:b/>
          <w:sz w:val="24"/>
          <w:szCs w:val="24"/>
        </w:rPr>
        <w:t>复印件，则其</w:t>
      </w:r>
      <w:r>
        <w:rPr>
          <w:rFonts w:ascii="宋体" w:hAnsi="宋体"/>
          <w:b/>
          <w:sz w:val="24"/>
          <w:szCs w:val="24"/>
        </w:rPr>
        <w:t>投标产品中为监狱企业制造的货物</w:t>
      </w:r>
      <w:r>
        <w:rPr>
          <w:rFonts w:hint="eastAsia" w:ascii="宋体" w:hAnsi="宋体"/>
          <w:b/>
          <w:sz w:val="24"/>
          <w:szCs w:val="24"/>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4"/>
          <w:szCs w:val="24"/>
        </w:rPr>
      </w:pPr>
      <w:bookmarkStart w:id="52" w:name="_Toc316292019"/>
      <w:bookmarkEnd w:id="52"/>
      <w:bookmarkStart w:id="53" w:name="_Toc316291396"/>
      <w:bookmarkEnd w:id="53"/>
      <w:bookmarkStart w:id="54" w:name="_Toc316292020"/>
      <w:bookmarkEnd w:id="54"/>
      <w:bookmarkStart w:id="55" w:name="_Toc316291395"/>
      <w:bookmarkEnd w:id="55"/>
      <w:bookmarkStart w:id="56" w:name="_Toc183582218"/>
      <w:bookmarkStart w:id="57" w:name="_Toc183682355"/>
      <w:bookmarkStart w:id="58" w:name="_Toc217446049"/>
      <w:r>
        <w:rPr>
          <w:rFonts w:hint="eastAsia" w:ascii="宋体" w:hAnsi="宋体"/>
          <w:b/>
          <w:bCs/>
          <w:sz w:val="24"/>
          <w:szCs w:val="24"/>
        </w:rPr>
        <w:t>投标文件格式</w:t>
      </w:r>
      <w:bookmarkEnd w:id="56"/>
      <w:bookmarkEnd w:id="57"/>
      <w:bookmarkEnd w:id="58"/>
      <w:r>
        <w:rPr>
          <w:rFonts w:hint="eastAsia" w:ascii="宋体" w:hAnsi="宋体"/>
          <w:b/>
          <w:bCs/>
          <w:sz w:val="24"/>
          <w:szCs w:val="24"/>
        </w:rPr>
        <w:tab/>
      </w:r>
    </w:p>
    <w:p>
      <w:pPr>
        <w:numPr>
          <w:ilvl w:val="0"/>
          <w:numId w:val="23"/>
        </w:numPr>
        <w:tabs>
          <w:tab w:val="left" w:pos="1134"/>
        </w:tabs>
        <w:spacing w:line="360" w:lineRule="auto"/>
        <w:ind w:left="0" w:firstLine="567"/>
        <w:rPr>
          <w:rFonts w:ascii="宋体" w:hAnsi="宋体"/>
          <w:sz w:val="24"/>
          <w:szCs w:val="24"/>
        </w:rPr>
      </w:pPr>
      <w:r>
        <w:rPr>
          <w:rFonts w:hint="eastAsia" w:ascii="宋体" w:hAnsi="宋体"/>
          <w:sz w:val="24"/>
          <w:szCs w:val="24"/>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4"/>
          <w:szCs w:val="24"/>
        </w:rPr>
      </w:pPr>
      <w:r>
        <w:rPr>
          <w:rFonts w:hint="eastAsia" w:ascii="宋体" w:hAnsi="宋体"/>
          <w:sz w:val="24"/>
          <w:szCs w:val="24"/>
        </w:rPr>
        <w:t>对于没有格式要求的投标文件由投标人自行编写。</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投标报价</w:t>
      </w:r>
    </w:p>
    <w:p>
      <w:pPr>
        <w:numPr>
          <w:ilvl w:val="0"/>
          <w:numId w:val="24"/>
        </w:numPr>
        <w:tabs>
          <w:tab w:val="left" w:pos="1134"/>
        </w:tabs>
        <w:spacing w:line="360" w:lineRule="auto"/>
        <w:ind w:left="0" w:firstLine="560"/>
        <w:rPr>
          <w:rFonts w:ascii="宋体" w:hAnsi="宋体"/>
          <w:sz w:val="24"/>
          <w:szCs w:val="24"/>
        </w:rPr>
      </w:pPr>
      <w:r>
        <w:rPr>
          <w:rFonts w:hint="eastAsia" w:ascii="宋体" w:hAnsi="宋体"/>
          <w:sz w:val="24"/>
          <w:szCs w:val="24"/>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4"/>
          <w:szCs w:val="24"/>
        </w:rPr>
      </w:pPr>
      <w:r>
        <w:rPr>
          <w:rFonts w:hint="eastAsia" w:ascii="宋体" w:hAnsi="宋体"/>
          <w:sz w:val="24"/>
          <w:szCs w:val="24"/>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484" w:firstLineChars="202"/>
        <w:rPr>
          <w:rFonts w:ascii="宋体" w:hAnsi="宋体"/>
          <w:sz w:val="24"/>
          <w:szCs w:val="24"/>
        </w:rPr>
      </w:pPr>
      <w:bookmarkStart w:id="59" w:name="_Toc217446050"/>
      <w:bookmarkStart w:id="60" w:name="_Toc183582223"/>
      <w:bookmarkStart w:id="61" w:name="_Toc183682360"/>
      <w:r>
        <w:rPr>
          <w:rFonts w:hint="eastAsia" w:ascii="宋体" w:hAnsi="宋体"/>
          <w:sz w:val="24"/>
          <w:szCs w:val="24"/>
        </w:rPr>
        <w:t>三、投标文件报价出现前后不一致的，按照下列规定修正：（1）大写金额和小写金额不一致的，以大写金额为准，但大写金额出现文字错误，导致金额无法判断的除外；（</w:t>
      </w:r>
      <w:r>
        <w:rPr>
          <w:rFonts w:ascii="宋体" w:hAnsi="宋体"/>
          <w:sz w:val="24"/>
          <w:szCs w:val="24"/>
        </w:rPr>
        <w:t>2</w:t>
      </w:r>
      <w:r>
        <w:rPr>
          <w:rFonts w:hint="eastAsia" w:ascii="宋体" w:hAnsi="宋体"/>
          <w:sz w:val="24"/>
          <w:szCs w:val="24"/>
        </w:rPr>
        <w:t>）单价金额小数点或者百分比有明显错位的，应以总价为准，并修改单价；（</w:t>
      </w:r>
      <w:r>
        <w:rPr>
          <w:rFonts w:ascii="宋体" w:hAnsi="宋体"/>
          <w:sz w:val="24"/>
          <w:szCs w:val="24"/>
        </w:rPr>
        <w:t>3</w:t>
      </w:r>
      <w:r>
        <w:rPr>
          <w:rFonts w:hint="eastAsia" w:ascii="宋体" w:hAnsi="宋体"/>
          <w:sz w:val="24"/>
          <w:szCs w:val="24"/>
        </w:rPr>
        <w:t>）总价金额与按单价汇总金额不一致的，以单价金额计算结果为准。</w:t>
      </w:r>
    </w:p>
    <w:p>
      <w:pPr>
        <w:tabs>
          <w:tab w:val="left" w:pos="1134"/>
        </w:tabs>
        <w:spacing w:line="360" w:lineRule="auto"/>
        <w:ind w:firstLine="484" w:firstLineChars="202"/>
        <w:rPr>
          <w:rFonts w:ascii="宋体" w:hAnsi="宋体"/>
          <w:sz w:val="24"/>
          <w:szCs w:val="24"/>
        </w:rPr>
      </w:pPr>
      <w:r>
        <w:rPr>
          <w:rFonts w:hint="eastAsia" w:cs="Arial"/>
          <w:sz w:val="24"/>
          <w:szCs w:val="24"/>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4"/>
          <w:szCs w:val="24"/>
        </w:rPr>
        <w:t>如因断电、断网、系统故障或其他不可抗力等因素</w:t>
      </w:r>
      <w:r>
        <w:rPr>
          <w:rFonts w:hint="eastAsia" w:cs="Arial"/>
          <w:sz w:val="24"/>
          <w:szCs w:val="24"/>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投标保证金</w:t>
      </w:r>
      <w:bookmarkEnd w:id="59"/>
      <w:bookmarkEnd w:id="60"/>
      <w:bookmarkEnd w:id="61"/>
    </w:p>
    <w:p>
      <w:pPr>
        <w:spacing w:line="360" w:lineRule="auto"/>
        <w:ind w:firstLine="480" w:firstLineChars="200"/>
        <w:rPr>
          <w:rFonts w:ascii="宋体" w:hAnsi="宋体"/>
          <w:sz w:val="24"/>
          <w:szCs w:val="24"/>
        </w:rPr>
      </w:pPr>
      <w:r>
        <w:rPr>
          <w:rFonts w:hint="eastAsia" w:cs="Arial"/>
          <w:sz w:val="24"/>
          <w:szCs w:val="24"/>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4"/>
          <w:szCs w:val="24"/>
        </w:rPr>
      </w:pPr>
      <w:bookmarkStart w:id="62" w:name="_Toc316291400"/>
      <w:bookmarkEnd w:id="62"/>
      <w:bookmarkStart w:id="63" w:name="_Toc316292024"/>
      <w:bookmarkEnd w:id="63"/>
      <w:bookmarkStart w:id="64" w:name="_Toc217446051"/>
      <w:bookmarkStart w:id="65" w:name="_Toc183582224"/>
      <w:bookmarkStart w:id="66" w:name="_Toc183682361"/>
      <w:r>
        <w:rPr>
          <w:rFonts w:hint="eastAsia" w:ascii="宋体" w:hAnsi="宋体"/>
          <w:b/>
          <w:bCs/>
          <w:sz w:val="24"/>
          <w:szCs w:val="24"/>
        </w:rPr>
        <w:t>投标有效期</w:t>
      </w:r>
      <w:bookmarkEnd w:id="64"/>
      <w:bookmarkEnd w:id="65"/>
      <w:bookmarkEnd w:id="66"/>
    </w:p>
    <w:p>
      <w:pPr>
        <w:numPr>
          <w:ilvl w:val="0"/>
          <w:numId w:val="25"/>
        </w:numPr>
        <w:tabs>
          <w:tab w:val="left" w:pos="1134"/>
        </w:tabs>
        <w:spacing w:line="360" w:lineRule="auto"/>
        <w:ind w:left="0" w:firstLine="567"/>
        <w:rPr>
          <w:rFonts w:ascii="宋体" w:hAnsi="宋体"/>
          <w:sz w:val="24"/>
          <w:szCs w:val="24"/>
        </w:rPr>
      </w:pPr>
      <w:r>
        <w:rPr>
          <w:rFonts w:hint="eastAsia" w:ascii="宋体" w:hAnsi="宋体"/>
          <w:sz w:val="24"/>
          <w:szCs w:val="24"/>
        </w:rPr>
        <w:t>投标有效期为</w:t>
      </w:r>
      <w:r>
        <w:rPr>
          <w:rFonts w:hint="eastAsia" w:ascii="Helvetica" w:hAnsi="Helvetica" w:cs="Helvetica"/>
          <w:sz w:val="24"/>
          <w:szCs w:val="24"/>
        </w:rPr>
        <w:t>提交投标文件的截止之日起</w:t>
      </w:r>
      <w:r>
        <w:rPr>
          <w:rFonts w:hint="eastAsia" w:ascii="宋体" w:hAnsi="宋体"/>
          <w:sz w:val="24"/>
          <w:szCs w:val="24"/>
          <w:u w:val="single"/>
        </w:rPr>
        <w:t>120</w:t>
      </w:r>
      <w:r>
        <w:rPr>
          <w:rFonts w:hint="eastAsia" w:ascii="宋体" w:hAnsi="宋体"/>
          <w:sz w:val="24"/>
          <w:szCs w:val="24"/>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4"/>
          <w:szCs w:val="24"/>
        </w:rPr>
      </w:pPr>
      <w:r>
        <w:rPr>
          <w:rFonts w:hint="eastAsia" w:ascii="宋体" w:hAnsi="宋体"/>
          <w:sz w:val="24"/>
          <w:szCs w:val="24"/>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sz w:val="24"/>
          <w:szCs w:val="24"/>
        </w:rPr>
      </w:pPr>
      <w:bookmarkStart w:id="67" w:name="_Toc183682364"/>
      <w:bookmarkStart w:id="68" w:name="_Toc183582227"/>
      <w:bookmarkStart w:id="69" w:name="_Toc217446054"/>
      <w:r>
        <w:rPr>
          <w:rFonts w:hint="eastAsia"/>
          <w:color w:val="auto"/>
          <w:sz w:val="24"/>
          <w:szCs w:val="24"/>
        </w:rPr>
        <w:t>投标文件的制作和签章、加密</w:t>
      </w:r>
    </w:p>
    <w:p>
      <w:pPr>
        <w:spacing w:line="360" w:lineRule="auto"/>
        <w:ind w:firstLine="482" w:firstLineChars="200"/>
        <w:rPr>
          <w:rFonts w:ascii="宋体" w:hAnsi="宋体"/>
          <w:sz w:val="24"/>
          <w:szCs w:val="24"/>
        </w:rPr>
      </w:pPr>
      <w:r>
        <w:rPr>
          <w:rFonts w:hint="eastAsia" w:ascii="宋体" w:hAnsi="宋体"/>
          <w:b/>
          <w:sz w:val="24"/>
          <w:szCs w:val="24"/>
        </w:rPr>
        <w:t>一、投标文件应根据招标文件的要求进行制作。</w:t>
      </w:r>
      <w:r>
        <w:rPr>
          <w:rFonts w:hint="eastAsia" w:ascii="宋体" w:hAnsi="宋体"/>
          <w:sz w:val="24"/>
          <w:szCs w:val="24"/>
        </w:rPr>
        <w:t>（说明：1、招标文件中要求提供复印件证明材料的，包含提供原件的影印件或复印件。2、要求提供复印件的证明材料须清晰可辨。）</w:t>
      </w:r>
    </w:p>
    <w:p>
      <w:pPr>
        <w:spacing w:line="360" w:lineRule="auto"/>
        <w:ind w:firstLine="480" w:firstLineChars="200"/>
        <w:rPr>
          <w:rFonts w:ascii="宋体" w:hAnsi="宋体"/>
          <w:sz w:val="24"/>
          <w:szCs w:val="24"/>
        </w:rPr>
      </w:pPr>
      <w:r>
        <w:rPr>
          <w:rFonts w:hint="eastAsia" w:ascii="宋体" w:hAnsi="宋体"/>
          <w:sz w:val="24"/>
          <w:szCs w:val="24"/>
        </w:rPr>
        <w:t>二、投标文件制作详情：</w:t>
      </w:r>
    </w:p>
    <w:p>
      <w:pPr>
        <w:spacing w:line="360" w:lineRule="auto"/>
        <w:ind w:firstLine="480" w:firstLineChars="200"/>
        <w:rPr>
          <w:rFonts w:ascii="宋体" w:hAnsi="宋体"/>
          <w:sz w:val="24"/>
          <w:szCs w:val="24"/>
        </w:rPr>
      </w:pPr>
      <w:r>
        <w:rPr>
          <w:rFonts w:hint="eastAsia" w:ascii="宋体" w:hAnsi="宋体"/>
          <w:sz w:val="24"/>
          <w:szCs w:val="24"/>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4"/>
          <w:szCs w:val="24"/>
        </w:rPr>
        <w:t>投标人应按招标文件要求，通过“政采云投标客户端”制作、加密并提交投标文件。</w:t>
      </w:r>
    </w:p>
    <w:p>
      <w:pPr>
        <w:spacing w:line="360" w:lineRule="auto"/>
        <w:ind w:firstLine="482" w:firstLineChars="200"/>
        <w:rPr>
          <w:rFonts w:ascii="宋体" w:hAnsi="宋体"/>
          <w:b/>
          <w:sz w:val="24"/>
          <w:szCs w:val="24"/>
        </w:rPr>
      </w:pPr>
      <w:r>
        <w:rPr>
          <w:rFonts w:hint="eastAsia" w:ascii="宋体" w:hAnsi="宋体"/>
          <w:b/>
          <w:sz w:val="24"/>
          <w:szCs w:val="24"/>
        </w:rPr>
        <w:t>2、投标文件应加盖投标人（法定名称）电子签章，不得使用投标人专用章（如经济合同章、投标专用章等）或下属单位印章代替。</w:t>
      </w:r>
    </w:p>
    <w:p>
      <w:pPr>
        <w:spacing w:line="360" w:lineRule="auto"/>
        <w:ind w:firstLine="482" w:firstLineChars="200"/>
        <w:rPr>
          <w:rFonts w:ascii="宋体" w:hAnsi="宋体"/>
          <w:b/>
          <w:sz w:val="24"/>
          <w:szCs w:val="24"/>
        </w:rPr>
      </w:pPr>
      <w:r>
        <w:rPr>
          <w:rFonts w:hint="eastAsia" w:ascii="宋体" w:hAnsi="宋体"/>
          <w:b/>
          <w:sz w:val="24"/>
          <w:szCs w:val="24"/>
        </w:rPr>
        <w:t>3、投标人应使用本企业CA数字证书对投标文件进行加密。</w:t>
      </w:r>
    </w:p>
    <w:p>
      <w:pPr>
        <w:spacing w:line="360" w:lineRule="auto"/>
        <w:ind w:firstLine="482" w:firstLineChars="200"/>
        <w:rPr>
          <w:rFonts w:ascii="宋体" w:hAnsi="宋体"/>
          <w:b/>
          <w:sz w:val="24"/>
          <w:szCs w:val="24"/>
        </w:rPr>
      </w:pPr>
      <w:r>
        <w:rPr>
          <w:rFonts w:hint="eastAsia" w:ascii="宋体" w:hAnsi="宋体"/>
          <w:b/>
          <w:sz w:val="24"/>
          <w:szCs w:val="24"/>
        </w:rPr>
        <w:t>4、招标文件有修改的，投标人须重新下载修改后的招标文件（修改后的招标文件在更正公告中下载），根据修改后的招标文件制作、撤回修改，并递交投标文件。</w:t>
      </w:r>
    </w:p>
    <w:p>
      <w:pPr>
        <w:spacing w:line="360" w:lineRule="auto"/>
        <w:ind w:firstLine="480" w:firstLineChars="200"/>
        <w:rPr>
          <w:rFonts w:ascii="宋体" w:hAnsi="宋体"/>
          <w:sz w:val="24"/>
          <w:szCs w:val="24"/>
        </w:rPr>
      </w:pPr>
      <w:r>
        <w:rPr>
          <w:rFonts w:hint="eastAsia" w:ascii="宋体" w:hAnsi="宋体"/>
          <w:sz w:val="24"/>
          <w:szCs w:val="24"/>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sz w:val="24"/>
          <w:szCs w:val="24"/>
        </w:rPr>
      </w:pPr>
      <w:r>
        <w:rPr>
          <w:rFonts w:hint="eastAsia"/>
          <w:color w:val="auto"/>
          <w:sz w:val="24"/>
          <w:szCs w:val="24"/>
        </w:rPr>
        <w:t>投标文件的</w:t>
      </w:r>
      <w:bookmarkEnd w:id="67"/>
      <w:bookmarkEnd w:id="68"/>
      <w:r>
        <w:rPr>
          <w:rFonts w:hint="eastAsia"/>
          <w:color w:val="auto"/>
          <w:sz w:val="24"/>
          <w:szCs w:val="24"/>
        </w:rPr>
        <w:t>递交</w:t>
      </w:r>
      <w:bookmarkEnd w:id="69"/>
    </w:p>
    <w:p>
      <w:pPr>
        <w:tabs>
          <w:tab w:val="left" w:pos="0"/>
        </w:tabs>
        <w:spacing w:line="360" w:lineRule="auto"/>
        <w:ind w:firstLine="360" w:firstLineChars="150"/>
        <w:rPr>
          <w:rFonts w:ascii="宋体" w:hAnsi="宋体" w:eastAsiaTheme="minorEastAsia" w:cstheme="minorBidi"/>
          <w:bCs/>
          <w:sz w:val="24"/>
          <w:szCs w:val="24"/>
        </w:rPr>
      </w:pPr>
      <w:r>
        <w:rPr>
          <w:rFonts w:hint="eastAsia" w:ascii="宋体" w:hAnsi="宋体" w:eastAsiaTheme="minorEastAsia" w:cstheme="minorBidi"/>
          <w:bCs/>
          <w:sz w:val="24"/>
          <w:szCs w:val="24"/>
        </w:rPr>
        <w:t>一、投标人应当在投标文件递交截止时间前，将生成的已加密的投标文件成功递交至“政府采购云平台”。</w:t>
      </w:r>
    </w:p>
    <w:p>
      <w:pPr>
        <w:tabs>
          <w:tab w:val="left" w:pos="0"/>
        </w:tabs>
        <w:spacing w:line="360" w:lineRule="auto"/>
        <w:ind w:firstLine="360" w:firstLineChars="150"/>
        <w:rPr>
          <w:rFonts w:ascii="宋体" w:hAnsi="宋体" w:eastAsiaTheme="minorEastAsia" w:cstheme="minorBidi"/>
          <w:bCs/>
          <w:sz w:val="24"/>
          <w:szCs w:val="24"/>
        </w:rPr>
      </w:pPr>
      <w:r>
        <w:rPr>
          <w:rFonts w:hint="eastAsia" w:ascii="宋体" w:hAnsi="宋体" w:eastAsiaTheme="minorEastAsia" w:cstheme="minorBidi"/>
          <w:bCs/>
          <w:sz w:val="24"/>
          <w:szCs w:val="24"/>
        </w:rPr>
        <w:t>二、因招标文件的修改推迟投标截止日期的，投标人按采购中心在“四川政府采购网”和“</w:t>
      </w:r>
      <w:r>
        <w:rPr>
          <w:rFonts w:hint="eastAsia" w:ascii="宋体" w:hAnsi="宋体"/>
          <w:sz w:val="24"/>
          <w:szCs w:val="24"/>
        </w:rPr>
        <w:t>成都市公共资源交易服务中心</w:t>
      </w:r>
      <w:r>
        <w:rPr>
          <w:rFonts w:hint="eastAsia" w:ascii="宋体" w:hAnsi="宋体" w:eastAsiaTheme="minorEastAsia" w:cstheme="minorBidi"/>
          <w:bCs/>
          <w:sz w:val="24"/>
          <w:szCs w:val="24"/>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360" w:firstLineChars="150"/>
        <w:rPr>
          <w:rFonts w:ascii="宋体" w:hAnsi="宋体"/>
          <w:bCs/>
          <w:sz w:val="24"/>
          <w:szCs w:val="24"/>
        </w:rPr>
      </w:pPr>
      <w:r>
        <w:rPr>
          <w:rFonts w:hint="eastAsia" w:ascii="宋体" w:hAnsi="宋体" w:eastAsiaTheme="minorEastAsia" w:cstheme="minorBidi"/>
          <w:bCs/>
          <w:sz w:val="24"/>
          <w:szCs w:val="24"/>
        </w:rPr>
        <w:t>三、投标人应充分考虑递交文件的不可预见因素，未在投标截止时间前完成递交的，在投标截止时间后将无法递交</w:t>
      </w:r>
      <w:r>
        <w:rPr>
          <w:rFonts w:hint="eastAsia" w:ascii="宋体" w:hAnsi="宋体"/>
          <w:bCs/>
          <w:sz w:val="24"/>
          <w:szCs w:val="24"/>
        </w:rPr>
        <w:t>。</w:t>
      </w:r>
    </w:p>
    <w:p>
      <w:pPr>
        <w:pStyle w:val="5"/>
        <w:numPr>
          <w:ilvl w:val="2"/>
          <w:numId w:val="5"/>
        </w:numPr>
        <w:spacing w:after="200"/>
        <w:ind w:left="0" w:firstLine="0"/>
        <w:rPr>
          <w:color w:val="auto"/>
          <w:sz w:val="24"/>
          <w:szCs w:val="24"/>
        </w:rPr>
      </w:pPr>
      <w:r>
        <w:rPr>
          <w:rFonts w:hint="eastAsia"/>
          <w:color w:val="auto"/>
          <w:sz w:val="24"/>
          <w:szCs w:val="24"/>
        </w:rPr>
        <w:t>投标文件的补充、修改</w:t>
      </w:r>
    </w:p>
    <w:p>
      <w:pPr>
        <w:numPr>
          <w:ilvl w:val="0"/>
          <w:numId w:val="26"/>
        </w:numPr>
        <w:tabs>
          <w:tab w:val="left" w:pos="1134"/>
        </w:tabs>
        <w:spacing w:before="120" w:after="200" w:line="360" w:lineRule="auto"/>
        <w:ind w:left="0" w:firstLine="567"/>
        <w:rPr>
          <w:rFonts w:ascii="宋体" w:hAnsi="宋体"/>
          <w:sz w:val="24"/>
          <w:szCs w:val="24"/>
        </w:rPr>
      </w:pPr>
      <w:r>
        <w:rPr>
          <w:rFonts w:hint="eastAsia" w:ascii="宋体" w:hAnsi="宋体"/>
          <w:sz w:val="24"/>
          <w:szCs w:val="24"/>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4"/>
          <w:szCs w:val="24"/>
        </w:rPr>
      </w:pPr>
      <w:r>
        <w:rPr>
          <w:rFonts w:hint="eastAsia" w:ascii="宋体" w:hAnsi="宋体"/>
          <w:sz w:val="24"/>
          <w:szCs w:val="24"/>
        </w:rPr>
        <w:t>在投标截止时间之后，投标人不得对其递交的投标文件做任何补充、修改。</w:t>
      </w:r>
    </w:p>
    <w:p>
      <w:pPr>
        <w:pStyle w:val="5"/>
        <w:numPr>
          <w:ilvl w:val="2"/>
          <w:numId w:val="5"/>
        </w:numPr>
        <w:spacing w:after="200"/>
        <w:ind w:left="0" w:firstLine="0"/>
        <w:rPr>
          <w:color w:val="auto"/>
          <w:sz w:val="24"/>
          <w:szCs w:val="24"/>
        </w:rPr>
      </w:pPr>
      <w:bookmarkStart w:id="70" w:name="_Toc316475586"/>
      <w:bookmarkEnd w:id="70"/>
      <w:bookmarkStart w:id="71" w:name="_Toc316475587"/>
      <w:bookmarkEnd w:id="71"/>
      <w:bookmarkStart w:id="72" w:name="_Toc217446055"/>
      <w:bookmarkStart w:id="73" w:name="_Toc183682365"/>
      <w:bookmarkStart w:id="74" w:name="_Toc183582228"/>
      <w:r>
        <w:rPr>
          <w:rFonts w:hint="eastAsia"/>
          <w:color w:val="auto"/>
          <w:sz w:val="24"/>
          <w:szCs w:val="24"/>
        </w:rPr>
        <w:t>投标文件的</w:t>
      </w:r>
      <w:bookmarkEnd w:id="72"/>
      <w:bookmarkEnd w:id="73"/>
      <w:bookmarkEnd w:id="74"/>
      <w:r>
        <w:rPr>
          <w:rFonts w:hint="eastAsia"/>
          <w:color w:val="auto"/>
          <w:sz w:val="24"/>
          <w:szCs w:val="24"/>
        </w:rPr>
        <w:t>撤回</w:t>
      </w:r>
    </w:p>
    <w:p>
      <w:pPr>
        <w:spacing w:before="120" w:after="200" w:line="360" w:lineRule="auto"/>
        <w:ind w:firstLine="480" w:firstLineChars="200"/>
        <w:rPr>
          <w:rFonts w:ascii="宋体" w:hAnsi="宋体"/>
          <w:bCs/>
          <w:sz w:val="24"/>
          <w:szCs w:val="24"/>
        </w:rPr>
      </w:pPr>
      <w:r>
        <w:rPr>
          <w:rFonts w:hint="eastAsia" w:ascii="宋体" w:hAnsi="宋体"/>
          <w:bCs/>
          <w:sz w:val="24"/>
          <w:szCs w:val="24"/>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sz w:val="24"/>
          <w:szCs w:val="24"/>
        </w:rPr>
      </w:pPr>
      <w:r>
        <w:rPr>
          <w:rFonts w:hint="eastAsia"/>
          <w:color w:val="auto"/>
          <w:sz w:val="24"/>
          <w:szCs w:val="24"/>
        </w:rPr>
        <w:t>投标文件的解密</w:t>
      </w:r>
    </w:p>
    <w:p>
      <w:pPr>
        <w:tabs>
          <w:tab w:val="left" w:pos="1134"/>
        </w:tabs>
        <w:spacing w:before="120" w:line="360" w:lineRule="auto"/>
        <w:ind w:firstLine="484" w:firstLineChars="202"/>
        <w:rPr>
          <w:rFonts w:ascii="宋体" w:hAnsi="宋体"/>
          <w:bCs/>
          <w:sz w:val="24"/>
          <w:szCs w:val="24"/>
        </w:rPr>
      </w:pPr>
      <w:r>
        <w:rPr>
          <w:rFonts w:hint="eastAsia" w:ascii="宋体" w:hAnsi="宋体"/>
          <w:bCs/>
          <w:sz w:val="24"/>
          <w:szCs w:val="24"/>
        </w:rPr>
        <w:t>投标人</w:t>
      </w:r>
      <w:r>
        <w:rPr>
          <w:rFonts w:hint="eastAsia" w:ascii="宋体" w:hAnsi="宋体"/>
          <w:sz w:val="24"/>
          <w:szCs w:val="24"/>
        </w:rPr>
        <w:t>登录政府采购云平台，点击“项目采购—开标评标”模块，找到对应项目，进入“开标大厅”，等待采购中心开启解密后，进行线上解密。</w:t>
      </w:r>
      <w:r>
        <w:rPr>
          <w:rFonts w:hint="eastAsia" w:ascii="宋体" w:hAnsi="宋体"/>
          <w:bCs/>
          <w:sz w:val="24"/>
          <w:szCs w:val="24"/>
        </w:rPr>
        <w:t>除因</w:t>
      </w:r>
      <w:r>
        <w:rPr>
          <w:rFonts w:hint="eastAsia" w:ascii="宋体" w:hAnsi="宋体"/>
          <w:sz w:val="24"/>
          <w:szCs w:val="24"/>
        </w:rPr>
        <w:t>采购中心</w:t>
      </w:r>
      <w:r>
        <w:rPr>
          <w:rFonts w:hint="eastAsia" w:ascii="宋体" w:hAnsi="宋体"/>
          <w:bCs/>
          <w:sz w:val="24"/>
          <w:szCs w:val="24"/>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4"/>
          <w:szCs w:val="24"/>
        </w:rPr>
      </w:pPr>
      <w:bookmarkStart w:id="75" w:name="_Toc183682368"/>
      <w:bookmarkStart w:id="76" w:name="_Toc77400782"/>
      <w:bookmarkStart w:id="77" w:name="_Toc217446056"/>
      <w:bookmarkStart w:id="78" w:name="_Toc183582231"/>
      <w:bookmarkStart w:id="79" w:name="_Toc89075878"/>
      <w:bookmarkStart w:id="80" w:name="_Toc31622"/>
      <w:r>
        <w:rPr>
          <w:rFonts w:hint="eastAsia" w:ascii="宋体" w:hAnsi="宋体"/>
          <w:b/>
          <w:bCs/>
          <w:sz w:val="24"/>
          <w:szCs w:val="24"/>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4"/>
          <w:szCs w:val="24"/>
        </w:rPr>
      </w:pPr>
      <w:r>
        <w:rPr>
          <w:rFonts w:hint="eastAsia" w:ascii="宋体" w:hAnsi="宋体" w:eastAsia="宋体" w:cs="宋体"/>
          <w:sz w:val="24"/>
          <w:szCs w:val="24"/>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因采购中心断电、断网、系统故障或其他不可抗力等因素导致不见面开标系统无法正常运行的，开标活动中止或延迟，待系统恢复正常后继续进行开标活动。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资格审查</w:t>
      </w:r>
    </w:p>
    <w:p>
      <w:pPr>
        <w:spacing w:line="360" w:lineRule="auto"/>
        <w:ind w:firstLine="495"/>
        <w:rPr>
          <w:rFonts w:ascii="宋体" w:hAnsi="宋体"/>
          <w:sz w:val="24"/>
          <w:szCs w:val="24"/>
        </w:rPr>
      </w:pPr>
      <w:r>
        <w:rPr>
          <w:rFonts w:hint="eastAsia" w:ascii="宋体" w:hAnsi="宋体"/>
          <w:sz w:val="24"/>
          <w:szCs w:val="24"/>
        </w:rPr>
        <w:t>详见招标文件第5章。</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评标</w:t>
      </w:r>
    </w:p>
    <w:p>
      <w:pPr>
        <w:spacing w:line="360" w:lineRule="auto"/>
        <w:ind w:firstLine="495"/>
        <w:rPr>
          <w:rFonts w:ascii="宋体" w:hAnsi="宋体"/>
          <w:sz w:val="24"/>
          <w:szCs w:val="24"/>
        </w:rPr>
      </w:pPr>
      <w:r>
        <w:rPr>
          <w:rFonts w:hint="eastAsia" w:ascii="宋体" w:hAnsi="宋体"/>
          <w:sz w:val="24"/>
          <w:szCs w:val="24"/>
        </w:rPr>
        <w:t>详见招标文件第6章。</w:t>
      </w:r>
    </w:p>
    <w:p>
      <w:pPr>
        <w:keepNext/>
        <w:keepLines/>
        <w:numPr>
          <w:ilvl w:val="2"/>
          <w:numId w:val="5"/>
        </w:numPr>
        <w:spacing w:line="360" w:lineRule="auto"/>
        <w:ind w:left="0" w:firstLine="0"/>
        <w:outlineLvl w:val="2"/>
        <w:rPr>
          <w:rFonts w:ascii="宋体" w:hAnsi="宋体"/>
          <w:b/>
          <w:bCs/>
          <w:sz w:val="24"/>
          <w:szCs w:val="24"/>
        </w:rPr>
      </w:pPr>
      <w:bookmarkStart w:id="81" w:name="_Toc183582238"/>
      <w:bookmarkStart w:id="82" w:name="_Toc183682375"/>
      <w:bookmarkStart w:id="83" w:name="_Toc217446063"/>
      <w:r>
        <w:rPr>
          <w:rFonts w:hint="eastAsia" w:ascii="宋体" w:hAnsi="宋体"/>
          <w:b/>
          <w:bCs/>
          <w:sz w:val="24"/>
          <w:szCs w:val="24"/>
        </w:rPr>
        <w:t>中标通知</w:t>
      </w:r>
      <w:bookmarkEnd w:id="81"/>
      <w:bookmarkEnd w:id="82"/>
      <w:r>
        <w:rPr>
          <w:rFonts w:hint="eastAsia" w:ascii="宋体" w:hAnsi="宋体"/>
          <w:b/>
          <w:bCs/>
          <w:sz w:val="24"/>
          <w:szCs w:val="24"/>
        </w:rPr>
        <w:t>书</w:t>
      </w:r>
      <w:bookmarkEnd w:id="83"/>
    </w:p>
    <w:p>
      <w:pPr>
        <w:spacing w:line="360" w:lineRule="auto"/>
        <w:ind w:right="210" w:firstLine="480" w:firstLineChars="200"/>
        <w:rPr>
          <w:rFonts w:ascii="宋体" w:hAnsi="宋体"/>
          <w:sz w:val="24"/>
          <w:szCs w:val="24"/>
        </w:rPr>
      </w:pPr>
      <w:bookmarkStart w:id="84" w:name="_Toc217446064"/>
      <w:bookmarkStart w:id="85" w:name="_Toc183582240"/>
      <w:bookmarkStart w:id="86" w:name="_Toc183682377"/>
      <w:r>
        <w:rPr>
          <w:rFonts w:hint="eastAsia" w:ascii="宋体" w:hAnsi="宋体"/>
          <w:sz w:val="24"/>
          <w:szCs w:val="24"/>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480" w:firstLineChars="200"/>
        <w:rPr>
          <w:rFonts w:ascii="宋体" w:hAnsi="宋体"/>
          <w:sz w:val="24"/>
          <w:szCs w:val="24"/>
        </w:rPr>
      </w:pPr>
      <w:r>
        <w:rPr>
          <w:rFonts w:hint="eastAsia" w:ascii="宋体" w:hAnsi="宋体"/>
          <w:sz w:val="24"/>
          <w:szCs w:val="24"/>
        </w:rPr>
        <w:t>二、中标通知书对采购人和中标人均具有法律效力。中标通知书发出后，采购人改变中标结果，或者中标人无正当理由放弃中标的，应当承担相应的法律责任。</w:t>
      </w:r>
    </w:p>
    <w:p>
      <w:pPr>
        <w:spacing w:line="360" w:lineRule="auto"/>
        <w:ind w:firstLine="480" w:firstLineChars="200"/>
        <w:rPr>
          <w:rFonts w:ascii="宋体" w:hAnsi="宋体"/>
          <w:sz w:val="24"/>
          <w:szCs w:val="24"/>
        </w:rPr>
      </w:pPr>
      <w:r>
        <w:rPr>
          <w:rFonts w:hint="eastAsia" w:ascii="宋体" w:hAnsi="宋体"/>
          <w:sz w:val="24"/>
          <w:szCs w:val="24"/>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4"/>
          <w:szCs w:val="24"/>
        </w:rPr>
      </w:pPr>
      <w:bookmarkStart w:id="87" w:name="_Toc6071"/>
      <w:r>
        <w:rPr>
          <w:rFonts w:hint="eastAsia" w:ascii="宋体" w:hAnsi="宋体"/>
          <w:b/>
          <w:bCs/>
          <w:sz w:val="24"/>
          <w:szCs w:val="24"/>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4"/>
          <w:szCs w:val="24"/>
        </w:rPr>
      </w:pPr>
      <w:bookmarkStart w:id="88" w:name="_Toc217446065"/>
      <w:r>
        <w:rPr>
          <w:rFonts w:hint="eastAsia" w:ascii="宋体" w:hAnsi="宋体"/>
          <w:b/>
          <w:bCs/>
          <w:sz w:val="24"/>
          <w:szCs w:val="24"/>
        </w:rPr>
        <w:t>签订合同</w:t>
      </w:r>
      <w:bookmarkEnd w:id="88"/>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采购人应当将政府采购合同副本自签订（双方当事人均已签字盖章）之日起七个工作日报同级财政部门备案。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三、招标文件、投标文件、中标通知书等一切与本项目评标结果有关且经责任主体确认的资料均为合同的有效组成部分。</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4"/>
          <w:szCs w:val="24"/>
        </w:rPr>
      </w:pPr>
      <w:bookmarkStart w:id="89" w:name="_Toc315871033"/>
      <w:bookmarkEnd w:id="89"/>
      <w:bookmarkStart w:id="90" w:name="_Toc217446066"/>
      <w:r>
        <w:rPr>
          <w:rFonts w:hint="eastAsia" w:ascii="宋体" w:hAnsi="宋体"/>
          <w:b/>
          <w:bCs/>
          <w:sz w:val="24"/>
          <w:szCs w:val="24"/>
        </w:rPr>
        <w:t>合同分包</w:t>
      </w:r>
      <w:bookmarkEnd w:id="90"/>
      <w:r>
        <w:rPr>
          <w:rFonts w:hint="eastAsia" w:ascii="宋体" w:hAnsi="宋体"/>
          <w:b/>
          <w:bCs/>
          <w:sz w:val="24"/>
          <w:szCs w:val="24"/>
        </w:rPr>
        <w:t>和转包</w:t>
      </w:r>
    </w:p>
    <w:p>
      <w:pPr>
        <w:keepNext/>
        <w:keepLines/>
        <w:numPr>
          <w:ilvl w:val="3"/>
          <w:numId w:val="5"/>
        </w:numPr>
        <w:spacing w:line="360" w:lineRule="auto"/>
        <w:ind w:left="1275" w:hanging="1275"/>
        <w:outlineLvl w:val="2"/>
        <w:rPr>
          <w:rFonts w:ascii="宋体" w:hAnsi="宋体"/>
          <w:b/>
          <w:bCs/>
          <w:sz w:val="24"/>
          <w:szCs w:val="24"/>
        </w:rPr>
      </w:pPr>
      <w:r>
        <w:rPr>
          <w:rFonts w:hint="eastAsia" w:ascii="宋体" w:hAnsi="宋体"/>
          <w:b/>
          <w:bCs/>
          <w:sz w:val="24"/>
          <w:szCs w:val="24"/>
        </w:rPr>
        <w:t>合同分包</w:t>
      </w:r>
    </w:p>
    <w:p>
      <w:pPr>
        <w:pStyle w:val="117"/>
        <w:spacing w:line="360" w:lineRule="auto"/>
        <w:ind w:firstLine="480" w:firstLineChars="200"/>
        <w:rPr>
          <w:rFonts w:cs="Times New Roman"/>
          <w:lang w:val="zh-CN"/>
        </w:rPr>
      </w:pPr>
      <w:r>
        <w:rPr>
          <w:rFonts w:hint="eastAsia" w:cs="Times New Roman"/>
          <w:lang w:val="zh-CN"/>
        </w:rPr>
        <w:t>本</w:t>
      </w:r>
      <w:r>
        <w:rPr>
          <w:rFonts w:cs="Times New Roman"/>
          <w:lang w:val="zh-CN"/>
        </w:rPr>
        <w:t>项目</w:t>
      </w:r>
      <w:r>
        <w:rPr>
          <w:rFonts w:hint="eastAsia" w:cs="Times New Roman"/>
          <w:lang w:val="zh-CN"/>
        </w:rPr>
        <w:t>不</w:t>
      </w:r>
      <w:r>
        <w:rPr>
          <w:rFonts w:cs="Times New Roman"/>
          <w:lang w:val="zh-CN"/>
        </w:rPr>
        <w:t>允许分包</w:t>
      </w:r>
      <w:r>
        <w:rPr>
          <w:rFonts w:hint="eastAsia" w:cs="Times New Roman"/>
          <w:lang w:val="zh-CN"/>
        </w:rPr>
        <w:t>。</w:t>
      </w:r>
    </w:p>
    <w:p>
      <w:pPr>
        <w:keepNext/>
        <w:keepLines/>
        <w:numPr>
          <w:ilvl w:val="3"/>
          <w:numId w:val="5"/>
        </w:numPr>
        <w:spacing w:line="360" w:lineRule="auto"/>
        <w:ind w:left="1275" w:hanging="1275"/>
        <w:outlineLvl w:val="2"/>
        <w:rPr>
          <w:rFonts w:ascii="宋体" w:hAnsi="宋体"/>
          <w:b/>
          <w:bCs/>
          <w:sz w:val="24"/>
          <w:szCs w:val="24"/>
        </w:rPr>
      </w:pPr>
      <w:r>
        <w:rPr>
          <w:rFonts w:hint="eastAsia" w:ascii="宋体" w:hAnsi="宋体"/>
          <w:b/>
          <w:bCs/>
          <w:sz w:val="24"/>
          <w:szCs w:val="24"/>
        </w:rPr>
        <w:t>合同转包</w:t>
      </w:r>
    </w:p>
    <w:p>
      <w:pPr>
        <w:spacing w:line="360" w:lineRule="auto"/>
        <w:ind w:firstLine="480" w:firstLineChars="200"/>
        <w:rPr>
          <w:rFonts w:ascii="宋体" w:hAnsi="宋体" w:cs="宋体"/>
          <w:sz w:val="24"/>
          <w:szCs w:val="24"/>
        </w:rPr>
      </w:pPr>
      <w:r>
        <w:rPr>
          <w:rFonts w:hint="eastAsia" w:ascii="宋体" w:hAnsi="宋体"/>
          <w:sz w:val="24"/>
          <w:szCs w:val="24"/>
        </w:rPr>
        <w:t>一、严禁中标供应商将本项目转包。本项目所称转包，是指</w:t>
      </w:r>
      <w:r>
        <w:rPr>
          <w:rFonts w:hint="eastAsia" w:ascii="宋体" w:hAnsi="宋体" w:cs="宋体"/>
          <w:sz w:val="24"/>
          <w:szCs w:val="24"/>
        </w:rPr>
        <w:t xml:space="preserve">将本项目转给他人或者将本项目全部肢解以后以分包的名义分别转给他人的行为。 </w:t>
      </w:r>
    </w:p>
    <w:p>
      <w:pPr>
        <w:spacing w:line="360" w:lineRule="auto"/>
        <w:ind w:firstLine="495"/>
        <w:rPr>
          <w:rFonts w:ascii="宋体" w:hAnsi="宋体"/>
          <w:sz w:val="24"/>
          <w:szCs w:val="24"/>
        </w:rPr>
      </w:pPr>
      <w:r>
        <w:rPr>
          <w:rFonts w:hint="eastAsia" w:ascii="宋体" w:hAnsi="宋体"/>
          <w:sz w:val="24"/>
          <w:szCs w:val="24"/>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4"/>
          <w:szCs w:val="24"/>
        </w:rPr>
      </w:pPr>
      <w:bookmarkStart w:id="91" w:name="_Toc217446067"/>
      <w:r>
        <w:rPr>
          <w:rFonts w:hint="eastAsia" w:ascii="宋体" w:hAnsi="宋体"/>
          <w:b/>
          <w:bCs/>
          <w:sz w:val="24"/>
          <w:szCs w:val="24"/>
        </w:rPr>
        <w:t>采购人增加合同标的的权</w:t>
      </w:r>
      <w:bookmarkEnd w:id="91"/>
      <w:r>
        <w:rPr>
          <w:rFonts w:hint="eastAsia" w:ascii="宋体" w:hAnsi="宋体"/>
          <w:b/>
          <w:bCs/>
          <w:sz w:val="24"/>
          <w:szCs w:val="24"/>
        </w:rPr>
        <w:t>利</w:t>
      </w:r>
    </w:p>
    <w:p>
      <w:pPr>
        <w:spacing w:after="180" w:line="360" w:lineRule="auto"/>
        <w:ind w:firstLine="480" w:firstLineChars="200"/>
        <w:rPr>
          <w:rFonts w:ascii="宋体" w:hAnsi="宋体"/>
          <w:sz w:val="24"/>
          <w:szCs w:val="24"/>
        </w:rPr>
      </w:pPr>
      <w:r>
        <w:rPr>
          <w:rFonts w:hint="eastAsia" w:ascii="宋体" w:hAnsi="宋体"/>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4"/>
          <w:szCs w:val="24"/>
          <w:highlight w:val="yellow"/>
        </w:rPr>
      </w:pPr>
      <w:bookmarkStart w:id="92" w:name="_Toc217446068"/>
      <w:r>
        <w:rPr>
          <w:rFonts w:hint="eastAsia" w:ascii="宋体" w:hAnsi="宋体"/>
          <w:b/>
          <w:bCs/>
          <w:sz w:val="24"/>
          <w:szCs w:val="24"/>
          <w:highlight w:val="yellow"/>
        </w:rPr>
        <w:t>履约保证金</w:t>
      </w:r>
      <w:bookmarkEnd w:id="92"/>
    </w:p>
    <w:p>
      <w:pPr>
        <w:pStyle w:val="16"/>
        <w:ind w:firstLine="480" w:firstLineChars="200"/>
        <w:rPr>
          <w:rFonts w:ascii="宋体" w:hAnsi="宋体"/>
          <w:kern w:val="2"/>
          <w:sz w:val="24"/>
          <w:szCs w:val="24"/>
        </w:rPr>
      </w:pPr>
      <w:bookmarkStart w:id="93" w:name="_Toc217446069"/>
      <w:r>
        <w:rPr>
          <w:rFonts w:hint="eastAsia" w:ascii="宋体" w:hAnsi="宋体"/>
          <w:kern w:val="2"/>
          <w:sz w:val="24"/>
          <w:szCs w:val="24"/>
        </w:rPr>
        <w:t>本项目服务期限为1年，履约保证金为70万元，履约保证金在合同有效期满，中标供应商按合同约定履约，无食材服务质量和重大的安全责任事故并且采购人在收到中标人开具的退还履约保证金凭证后，15个工作日内无息退还，因中标供应商原因所产生的违约金、损害赔偿、整改费用等费用，采购人均可直接从履约保证金中予以扣除。采购人在收到中标人开具的退还履约保证金凭证后15个工作日内以转账的方式支付到中标人银行账户，采购人</w:t>
      </w:r>
      <w:r>
        <w:rPr>
          <w:rFonts w:ascii="宋体" w:hAnsi="宋体"/>
          <w:kern w:val="2"/>
          <w:sz w:val="24"/>
          <w:szCs w:val="24"/>
        </w:rPr>
        <w:t xml:space="preserve">逾期付款，则每日按本合同总价的 </w:t>
      </w:r>
      <w:r>
        <w:rPr>
          <w:rFonts w:hint="eastAsia" w:ascii="宋体" w:hAnsi="宋体"/>
          <w:kern w:val="2"/>
          <w:sz w:val="24"/>
          <w:szCs w:val="24"/>
        </w:rPr>
        <w:t>1</w:t>
      </w:r>
      <w:r>
        <w:rPr>
          <w:rFonts w:ascii="宋体" w:hAnsi="宋体"/>
          <w:kern w:val="2"/>
          <w:sz w:val="24"/>
          <w:szCs w:val="24"/>
        </w:rPr>
        <w:t xml:space="preserve"> ‰向乙方偿付违约金。</w:t>
      </w:r>
    </w:p>
    <w:p>
      <w:pPr>
        <w:pStyle w:val="16"/>
        <w:rPr>
          <w:rFonts w:ascii="宋体" w:hAnsi="宋体"/>
          <w:kern w:val="2"/>
          <w:sz w:val="24"/>
          <w:szCs w:val="24"/>
        </w:rPr>
      </w:pP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合同公告</w:t>
      </w:r>
    </w:p>
    <w:p>
      <w:pPr>
        <w:spacing w:after="180" w:line="360" w:lineRule="auto"/>
        <w:ind w:firstLine="480" w:firstLineChars="200"/>
        <w:rPr>
          <w:rFonts w:ascii="宋体" w:hAnsi="宋体"/>
          <w:sz w:val="24"/>
          <w:szCs w:val="24"/>
        </w:rPr>
      </w:pPr>
      <w:r>
        <w:rPr>
          <w:rFonts w:hint="eastAsia" w:ascii="宋体" w:hAnsi="宋体"/>
          <w:sz w:val="24"/>
          <w:szCs w:val="24"/>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合同备案</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履行合同</w:t>
      </w:r>
      <w:bookmarkEnd w:id="93"/>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一、合同一经签订，双方应严格履行合同规定的义务。</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4"/>
          <w:szCs w:val="24"/>
        </w:rPr>
      </w:pPr>
      <w:bookmarkStart w:id="94" w:name="_Toc217446070"/>
      <w:r>
        <w:rPr>
          <w:rFonts w:hint="eastAsia" w:ascii="宋体" w:hAnsi="宋体"/>
          <w:b/>
          <w:bCs/>
          <w:sz w:val="24"/>
          <w:szCs w:val="24"/>
        </w:rPr>
        <w:t>验收</w:t>
      </w:r>
      <w:bookmarkEnd w:id="94"/>
      <w:r>
        <w:rPr>
          <w:rFonts w:hint="eastAsia" w:ascii="宋体" w:hAnsi="宋体"/>
          <w:b/>
          <w:bCs/>
          <w:sz w:val="24"/>
          <w:szCs w:val="24"/>
        </w:rPr>
        <w:t>或考核</w:t>
      </w:r>
    </w:p>
    <w:bookmarkEnd w:id="85"/>
    <w:bookmarkEnd w:id="86"/>
    <w:p>
      <w:pPr>
        <w:spacing w:line="360" w:lineRule="auto"/>
        <w:ind w:firstLine="480" w:firstLineChars="200"/>
        <w:rPr>
          <w:rFonts w:ascii="宋体" w:hAnsi="宋体"/>
          <w:sz w:val="24"/>
          <w:szCs w:val="24"/>
        </w:rPr>
      </w:pPr>
      <w:bookmarkStart w:id="95" w:name="_Toc217446074"/>
      <w:bookmarkStart w:id="96" w:name="_Toc183682380"/>
      <w:bookmarkStart w:id="97" w:name="_Toc183582243"/>
      <w:r>
        <w:rPr>
          <w:rFonts w:hint="eastAsia" w:ascii="宋体" w:hAnsi="宋体"/>
          <w:sz w:val="24"/>
          <w:szCs w:val="24"/>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资金支付</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采购人按财政部门的相关规定及采购合同的约定进行支付。</w:t>
      </w:r>
    </w:p>
    <w:p>
      <w:pPr>
        <w:keepNext/>
        <w:keepLines/>
        <w:numPr>
          <w:ilvl w:val="1"/>
          <w:numId w:val="5"/>
        </w:numPr>
        <w:spacing w:line="360" w:lineRule="auto"/>
        <w:jc w:val="left"/>
        <w:outlineLvl w:val="1"/>
        <w:rPr>
          <w:rFonts w:ascii="宋体" w:hAnsi="宋体"/>
          <w:b/>
          <w:bCs/>
          <w:sz w:val="24"/>
          <w:szCs w:val="24"/>
        </w:rPr>
      </w:pPr>
      <w:bookmarkStart w:id="98" w:name="_Toc5991"/>
      <w:r>
        <w:rPr>
          <w:rFonts w:hint="eastAsia" w:ascii="宋体" w:hAnsi="宋体"/>
          <w:b/>
          <w:bCs/>
          <w:sz w:val="24"/>
          <w:szCs w:val="24"/>
        </w:rPr>
        <w:t>投标纪律要求</w:t>
      </w:r>
      <w:bookmarkEnd w:id="95"/>
      <w:bookmarkEnd w:id="98"/>
    </w:p>
    <w:p>
      <w:pPr>
        <w:keepNext/>
        <w:keepLines/>
        <w:numPr>
          <w:ilvl w:val="2"/>
          <w:numId w:val="5"/>
        </w:numPr>
        <w:spacing w:line="360" w:lineRule="auto"/>
        <w:ind w:left="0" w:firstLine="0"/>
        <w:outlineLvl w:val="2"/>
        <w:rPr>
          <w:rFonts w:ascii="宋体" w:hAnsi="宋体"/>
          <w:b/>
          <w:bCs/>
          <w:sz w:val="24"/>
          <w:szCs w:val="24"/>
        </w:rPr>
      </w:pPr>
      <w:bookmarkStart w:id="99" w:name="_Toc217446075"/>
      <w:r>
        <w:rPr>
          <w:rFonts w:hint="eastAsia" w:ascii="宋体" w:hAnsi="宋体"/>
          <w:b/>
          <w:bCs/>
          <w:sz w:val="24"/>
          <w:szCs w:val="24"/>
        </w:rPr>
        <w:t>投标人不得具有的情形</w:t>
      </w:r>
      <w:bookmarkEnd w:id="99"/>
    </w:p>
    <w:p>
      <w:pPr>
        <w:spacing w:after="180" w:line="360" w:lineRule="auto"/>
        <w:ind w:firstLine="567"/>
        <w:rPr>
          <w:rFonts w:ascii="宋体" w:hAnsi="宋体"/>
          <w:sz w:val="24"/>
          <w:szCs w:val="24"/>
        </w:rPr>
      </w:pPr>
      <w:r>
        <w:rPr>
          <w:rFonts w:hint="eastAsia" w:ascii="宋体" w:hAnsi="宋体"/>
          <w:sz w:val="24"/>
          <w:szCs w:val="24"/>
        </w:rPr>
        <w:t>投标人参加投标不得有下列情形：</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有下列情形之一的，视为投标人串通投标：</w:t>
      </w:r>
    </w:p>
    <w:p>
      <w:pPr>
        <w:tabs>
          <w:tab w:val="left" w:pos="1134"/>
        </w:tabs>
        <w:spacing w:line="360" w:lineRule="auto"/>
        <w:ind w:left="420"/>
        <w:rPr>
          <w:rFonts w:ascii="宋体" w:hAnsi="宋体"/>
          <w:sz w:val="24"/>
          <w:szCs w:val="24"/>
        </w:rPr>
      </w:pPr>
      <w:r>
        <w:rPr>
          <w:rFonts w:hint="eastAsia" w:ascii="宋体" w:hAnsi="宋体"/>
          <w:sz w:val="24"/>
          <w:szCs w:val="24"/>
        </w:rPr>
        <w:t>（一）不同投标人的投标文件由同一单位或者个人编制；</w:t>
      </w:r>
    </w:p>
    <w:p>
      <w:pPr>
        <w:tabs>
          <w:tab w:val="left" w:pos="1134"/>
        </w:tabs>
        <w:spacing w:line="360" w:lineRule="auto"/>
        <w:ind w:left="420"/>
        <w:rPr>
          <w:rFonts w:ascii="宋体" w:hAnsi="宋体"/>
          <w:sz w:val="24"/>
          <w:szCs w:val="24"/>
        </w:rPr>
      </w:pPr>
      <w:r>
        <w:rPr>
          <w:rFonts w:hint="eastAsia" w:ascii="宋体" w:hAnsi="宋体"/>
          <w:sz w:val="24"/>
          <w:szCs w:val="24"/>
        </w:rPr>
        <w:t>（二）不同投标人委托同一单位或者个人办理投标事宜；</w:t>
      </w:r>
    </w:p>
    <w:p>
      <w:pPr>
        <w:tabs>
          <w:tab w:val="left" w:pos="1134"/>
        </w:tabs>
        <w:spacing w:line="360" w:lineRule="auto"/>
        <w:ind w:left="420"/>
        <w:rPr>
          <w:rFonts w:ascii="宋体" w:hAnsi="宋体"/>
          <w:sz w:val="24"/>
          <w:szCs w:val="24"/>
        </w:rPr>
      </w:pPr>
      <w:r>
        <w:rPr>
          <w:rFonts w:hint="eastAsia" w:ascii="宋体" w:hAnsi="宋体"/>
          <w:sz w:val="24"/>
          <w:szCs w:val="24"/>
        </w:rPr>
        <w:t>（三）不同投标人的投标文件载明的项目管理成员或者联系人员为同一人；</w:t>
      </w:r>
    </w:p>
    <w:p>
      <w:pPr>
        <w:tabs>
          <w:tab w:val="left" w:pos="1134"/>
        </w:tabs>
        <w:spacing w:line="360" w:lineRule="auto"/>
        <w:ind w:firstLine="360" w:firstLineChars="150"/>
        <w:rPr>
          <w:rFonts w:ascii="宋体" w:hAnsi="宋体"/>
          <w:sz w:val="24"/>
          <w:szCs w:val="24"/>
        </w:rPr>
      </w:pPr>
      <w:r>
        <w:rPr>
          <w:rFonts w:hint="eastAsia" w:ascii="宋体" w:hAnsi="宋体"/>
          <w:sz w:val="24"/>
          <w:szCs w:val="24"/>
        </w:rPr>
        <w:t>（四）不同投标人的投标文件异常一致或者投标报价呈规律性差异；</w:t>
      </w:r>
    </w:p>
    <w:p>
      <w:pPr>
        <w:tabs>
          <w:tab w:val="left" w:pos="1134"/>
        </w:tabs>
        <w:spacing w:line="360" w:lineRule="auto"/>
        <w:ind w:firstLine="360" w:firstLineChars="150"/>
        <w:rPr>
          <w:rFonts w:ascii="宋体" w:hAnsi="宋体"/>
          <w:sz w:val="24"/>
          <w:szCs w:val="24"/>
        </w:rPr>
      </w:pPr>
      <w:r>
        <w:rPr>
          <w:rFonts w:hint="eastAsia" w:ascii="宋体" w:hAnsi="宋体"/>
          <w:sz w:val="24"/>
          <w:szCs w:val="24"/>
        </w:rPr>
        <w:t>（五）不同投标人的投标文件相互混装；</w:t>
      </w:r>
    </w:p>
    <w:p>
      <w:pPr>
        <w:tabs>
          <w:tab w:val="left" w:pos="1134"/>
        </w:tabs>
        <w:spacing w:line="360" w:lineRule="auto"/>
        <w:ind w:left="420"/>
        <w:rPr>
          <w:rFonts w:ascii="宋体" w:hAnsi="宋体"/>
          <w:sz w:val="24"/>
          <w:szCs w:val="24"/>
        </w:rPr>
      </w:pPr>
      <w:r>
        <w:rPr>
          <w:rFonts w:hint="eastAsia" w:ascii="宋体" w:hAnsi="宋体"/>
          <w:sz w:val="24"/>
          <w:szCs w:val="24"/>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提供虚假材料谋取中标；</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采取不正当手段诋毁、排挤其他投标人；</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与采购人或</w:t>
      </w:r>
      <w:r>
        <w:rPr>
          <w:rFonts w:hint="eastAsia" w:cs="Arial"/>
          <w:sz w:val="24"/>
          <w:szCs w:val="24"/>
        </w:rPr>
        <w:t>采购中心</w:t>
      </w:r>
      <w:r>
        <w:rPr>
          <w:rFonts w:hint="eastAsia" w:ascii="宋体" w:hAnsi="宋体"/>
          <w:sz w:val="24"/>
          <w:szCs w:val="24"/>
        </w:rPr>
        <w:t>、其他投标人恶意串通；</w:t>
      </w:r>
    </w:p>
    <w:p>
      <w:pPr>
        <w:numPr>
          <w:ilvl w:val="1"/>
          <w:numId w:val="28"/>
        </w:numPr>
        <w:tabs>
          <w:tab w:val="left" w:pos="1134"/>
        </w:tabs>
        <w:spacing w:line="360" w:lineRule="auto"/>
        <w:ind w:left="0" w:firstLine="567"/>
        <w:rPr>
          <w:rFonts w:ascii="宋体" w:hAnsi="宋体"/>
          <w:sz w:val="24"/>
          <w:szCs w:val="24"/>
        </w:rPr>
      </w:pPr>
      <w:r>
        <w:rPr>
          <w:rFonts w:hint="eastAsia" w:ascii="宋体" w:hAnsi="宋体"/>
          <w:sz w:val="24"/>
          <w:szCs w:val="24"/>
        </w:rPr>
        <w:t>向采购人或</w:t>
      </w:r>
      <w:r>
        <w:rPr>
          <w:rFonts w:hint="eastAsia" w:cs="Arial"/>
          <w:sz w:val="24"/>
          <w:szCs w:val="24"/>
        </w:rPr>
        <w:t>采购中心</w:t>
      </w:r>
      <w:r>
        <w:rPr>
          <w:rFonts w:hint="eastAsia" w:ascii="宋体" w:hAnsi="宋体"/>
          <w:sz w:val="24"/>
          <w:szCs w:val="24"/>
        </w:rPr>
        <w:t>、评标委员会成员行贿或者提供其他不正当利益；</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在招标过程中与采购人或</w:t>
      </w:r>
      <w:r>
        <w:rPr>
          <w:rFonts w:hint="eastAsia" w:cs="Arial"/>
          <w:sz w:val="24"/>
          <w:szCs w:val="24"/>
        </w:rPr>
        <w:t>采购中心</w:t>
      </w:r>
      <w:r>
        <w:rPr>
          <w:rFonts w:hint="eastAsia" w:ascii="宋体" w:hAnsi="宋体"/>
          <w:sz w:val="24"/>
          <w:szCs w:val="24"/>
        </w:rPr>
        <w:t>进行协商谈判；</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中标后无正当理由拒不与采购人签订政府采购合同；</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未按照采购文件确定的事项签订政府采购合同；</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将政府采购合同转包或者违规分包；</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提供假冒伪劣产品；</w:t>
      </w:r>
    </w:p>
    <w:p>
      <w:pPr>
        <w:numPr>
          <w:ilvl w:val="1"/>
          <w:numId w:val="28"/>
        </w:numPr>
        <w:tabs>
          <w:tab w:val="left" w:pos="1134"/>
          <w:tab w:val="left" w:pos="1418"/>
        </w:tabs>
        <w:spacing w:line="360" w:lineRule="auto"/>
        <w:ind w:left="420" w:firstLine="147"/>
        <w:rPr>
          <w:rFonts w:ascii="宋体" w:hAnsi="宋体"/>
          <w:sz w:val="24"/>
          <w:szCs w:val="24"/>
        </w:rPr>
      </w:pPr>
      <w:r>
        <w:rPr>
          <w:rFonts w:hint="eastAsia" w:ascii="宋体" w:hAnsi="宋体"/>
          <w:sz w:val="24"/>
          <w:szCs w:val="24"/>
        </w:rPr>
        <w:t>擅自变更、中止或者终止政府采购合同；</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十四、处于被行政部门禁止参与政府采购活动的期限内；</w:t>
      </w:r>
    </w:p>
    <w:p>
      <w:pPr>
        <w:tabs>
          <w:tab w:val="left" w:pos="1134"/>
        </w:tabs>
        <w:spacing w:line="360" w:lineRule="auto"/>
        <w:ind w:left="567"/>
        <w:rPr>
          <w:rFonts w:ascii="宋体" w:hAnsi="宋体"/>
          <w:sz w:val="24"/>
          <w:szCs w:val="24"/>
        </w:rPr>
      </w:pPr>
      <w:r>
        <w:rPr>
          <w:rFonts w:hint="eastAsia" w:ascii="宋体" w:hAnsi="宋体"/>
          <w:sz w:val="24"/>
          <w:szCs w:val="24"/>
        </w:rPr>
        <w:t>十五、拒绝有关部门的监督检查或者向监督检查部门提供虚假情况；</w:t>
      </w:r>
    </w:p>
    <w:p>
      <w:pPr>
        <w:spacing w:after="180" w:line="360" w:lineRule="auto"/>
        <w:ind w:firstLine="484" w:firstLineChars="202"/>
        <w:rPr>
          <w:rFonts w:ascii="宋体" w:hAnsi="宋体"/>
          <w:sz w:val="24"/>
          <w:szCs w:val="24"/>
        </w:rPr>
      </w:pPr>
      <w:r>
        <w:rPr>
          <w:rFonts w:hint="eastAsia" w:ascii="宋体" w:hAnsi="宋体"/>
          <w:sz w:val="24"/>
          <w:szCs w:val="24"/>
        </w:rPr>
        <w:t>十六、法律法规规定的其他情形。</w:t>
      </w:r>
    </w:p>
    <w:p>
      <w:pPr>
        <w:spacing w:after="180" w:line="360" w:lineRule="auto"/>
        <w:ind w:firstLine="487" w:firstLineChars="202"/>
        <w:rPr>
          <w:rFonts w:ascii="宋体" w:hAnsi="宋体"/>
          <w:b/>
          <w:sz w:val="24"/>
          <w:szCs w:val="24"/>
        </w:rPr>
      </w:pPr>
      <w:r>
        <w:rPr>
          <w:rFonts w:hint="eastAsia" w:ascii="宋体" w:hAnsi="宋体"/>
          <w:b/>
          <w:sz w:val="24"/>
          <w:szCs w:val="24"/>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4"/>
          <w:szCs w:val="24"/>
        </w:rPr>
      </w:pPr>
      <w:bookmarkStart w:id="100" w:name="_Toc314574786"/>
      <w:r>
        <w:rPr>
          <w:rFonts w:hint="eastAsia" w:ascii="宋体" w:hAnsi="宋体"/>
          <w:b/>
          <w:bCs/>
          <w:sz w:val="24"/>
          <w:szCs w:val="24"/>
        </w:rPr>
        <w:t>保密</w:t>
      </w:r>
      <w:bookmarkEnd w:id="100"/>
    </w:p>
    <w:p>
      <w:pPr>
        <w:numPr>
          <w:ilvl w:val="0"/>
          <w:numId w:val="29"/>
        </w:numPr>
        <w:tabs>
          <w:tab w:val="left" w:pos="0"/>
          <w:tab w:val="left" w:pos="1134"/>
        </w:tabs>
        <w:spacing w:line="360" w:lineRule="auto"/>
        <w:ind w:left="0" w:firstLine="567"/>
        <w:rPr>
          <w:rFonts w:ascii="宋体" w:hAnsi="宋体"/>
          <w:sz w:val="24"/>
          <w:szCs w:val="24"/>
        </w:rPr>
      </w:pPr>
      <w:r>
        <w:rPr>
          <w:rFonts w:hint="eastAsia" w:ascii="宋体" w:hAnsi="宋体"/>
          <w:sz w:val="24"/>
          <w:szCs w:val="24"/>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4"/>
          <w:szCs w:val="24"/>
        </w:rPr>
      </w:pPr>
      <w:r>
        <w:rPr>
          <w:rFonts w:hint="eastAsia" w:ascii="宋体" w:hAnsi="宋体"/>
          <w:sz w:val="24"/>
          <w:szCs w:val="24"/>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回避</w:t>
      </w:r>
    </w:p>
    <w:p>
      <w:pPr>
        <w:shd w:val="clear" w:color="auto" w:fill="FFFFFF"/>
        <w:spacing w:line="360" w:lineRule="auto"/>
        <w:ind w:firstLine="480" w:firstLineChars="200"/>
        <w:rPr>
          <w:rFonts w:ascii="宋体" w:hAnsi="宋体" w:cs="Helvetica"/>
          <w:sz w:val="24"/>
          <w:szCs w:val="24"/>
        </w:rPr>
      </w:pPr>
      <w:r>
        <w:rPr>
          <w:rFonts w:hint="eastAsia" w:ascii="宋体" w:hAnsi="宋体" w:cs="Helvetica"/>
          <w:sz w:val="24"/>
          <w:szCs w:val="24"/>
        </w:rPr>
        <w:t>在政府采购活动中，采购人员</w:t>
      </w:r>
      <w:r>
        <w:rPr>
          <w:rFonts w:hint="eastAsia" w:cs="Helvetica"/>
          <w:sz w:val="24"/>
          <w:szCs w:val="24"/>
        </w:rPr>
        <w:t>（如</w:t>
      </w:r>
      <w:r>
        <w:rPr>
          <w:rFonts w:hint="eastAsia"/>
          <w:sz w:val="24"/>
          <w:szCs w:val="24"/>
        </w:rPr>
        <w:t>采购人内部负责采购项目的具体经办工作人员或直接分管采购项目的负责人、</w:t>
      </w:r>
      <w:r>
        <w:rPr>
          <w:rFonts w:hint="eastAsia" w:cs="Arial"/>
          <w:sz w:val="24"/>
          <w:szCs w:val="24"/>
        </w:rPr>
        <w:t>采购中心</w:t>
      </w:r>
      <w:r>
        <w:rPr>
          <w:rFonts w:hint="eastAsia"/>
          <w:sz w:val="24"/>
          <w:szCs w:val="24"/>
        </w:rPr>
        <w:t>负责采购项目的具体经办工作人员或直接分管采购活动的负责人等</w:t>
      </w:r>
      <w:r>
        <w:rPr>
          <w:rFonts w:hint="eastAsia" w:cs="Helvetica"/>
          <w:sz w:val="24"/>
          <w:szCs w:val="24"/>
        </w:rPr>
        <w:t>）</w:t>
      </w:r>
      <w:r>
        <w:rPr>
          <w:rFonts w:hint="eastAsia" w:ascii="宋体" w:hAnsi="宋体" w:cs="Helvetica"/>
          <w:sz w:val="24"/>
          <w:szCs w:val="24"/>
        </w:rPr>
        <w:t>及相关人员与</w:t>
      </w:r>
      <w:r>
        <w:rPr>
          <w:rFonts w:hint="eastAsia" w:ascii="宋体" w:hAnsi="宋体"/>
          <w:sz w:val="24"/>
          <w:szCs w:val="24"/>
        </w:rPr>
        <w:t>供应商</w:t>
      </w:r>
      <w:r>
        <w:rPr>
          <w:rFonts w:hint="eastAsia" w:ascii="宋体" w:hAnsi="宋体" w:cs="Helvetica"/>
          <w:sz w:val="24"/>
          <w:szCs w:val="24"/>
        </w:rPr>
        <w:t>有下列利害关系之一的，应当回避：</w:t>
      </w:r>
    </w:p>
    <w:p>
      <w:pPr>
        <w:shd w:val="clear" w:color="auto" w:fill="FFFFFF"/>
        <w:spacing w:line="360" w:lineRule="auto"/>
        <w:ind w:left="607" w:hanging="607" w:hangingChars="253"/>
        <w:rPr>
          <w:rFonts w:ascii="宋体" w:hAnsi="宋体" w:cs="Helvetica"/>
          <w:sz w:val="24"/>
          <w:szCs w:val="24"/>
        </w:rPr>
      </w:pPr>
      <w:r>
        <w:rPr>
          <w:rFonts w:hint="eastAsia" w:ascii="宋体" w:hAnsi="宋体" w:cs="Helvetica"/>
          <w:sz w:val="24"/>
          <w:szCs w:val="24"/>
        </w:rPr>
        <w:t>　　（一）参加采购活动前3年内与</w:t>
      </w:r>
      <w:r>
        <w:rPr>
          <w:rFonts w:hint="eastAsia" w:ascii="宋体" w:hAnsi="宋体"/>
          <w:sz w:val="24"/>
          <w:szCs w:val="24"/>
        </w:rPr>
        <w:t>供应商</w:t>
      </w:r>
      <w:r>
        <w:rPr>
          <w:rFonts w:hint="eastAsia" w:ascii="宋体" w:hAnsi="宋体" w:cs="Helvetica"/>
          <w:sz w:val="24"/>
          <w:szCs w:val="24"/>
        </w:rPr>
        <w:t>存在劳动关系；</w:t>
      </w:r>
    </w:p>
    <w:p>
      <w:pPr>
        <w:shd w:val="clear" w:color="auto" w:fill="FFFFFF"/>
        <w:spacing w:line="360" w:lineRule="auto"/>
        <w:rPr>
          <w:rFonts w:ascii="宋体" w:hAnsi="宋体" w:cs="Helvetica"/>
          <w:sz w:val="24"/>
          <w:szCs w:val="24"/>
        </w:rPr>
      </w:pPr>
      <w:r>
        <w:rPr>
          <w:rFonts w:hint="eastAsia" w:ascii="宋体" w:hAnsi="宋体" w:cs="Helvetica"/>
          <w:sz w:val="24"/>
          <w:szCs w:val="24"/>
        </w:rPr>
        <w:t>　　（二）参加采购活动前3年内担任</w:t>
      </w:r>
      <w:r>
        <w:rPr>
          <w:rFonts w:hint="eastAsia" w:ascii="宋体" w:hAnsi="宋体"/>
          <w:sz w:val="24"/>
          <w:szCs w:val="24"/>
        </w:rPr>
        <w:t>供应商</w:t>
      </w:r>
      <w:r>
        <w:rPr>
          <w:rFonts w:hint="eastAsia" w:ascii="宋体" w:hAnsi="宋体" w:cs="Helvetica"/>
          <w:sz w:val="24"/>
          <w:szCs w:val="24"/>
        </w:rPr>
        <w:t>的董事、监事；</w:t>
      </w:r>
    </w:p>
    <w:p>
      <w:pPr>
        <w:shd w:val="clear" w:color="auto" w:fill="FFFFFF"/>
        <w:spacing w:line="360" w:lineRule="auto"/>
        <w:ind w:firstLine="480" w:firstLineChars="200"/>
        <w:rPr>
          <w:rFonts w:ascii="宋体" w:hAnsi="宋体" w:cs="Helvetica"/>
          <w:sz w:val="24"/>
          <w:szCs w:val="24"/>
        </w:rPr>
      </w:pPr>
      <w:r>
        <w:rPr>
          <w:rFonts w:hint="eastAsia" w:ascii="宋体" w:hAnsi="宋体" w:cs="Helvetica"/>
          <w:sz w:val="24"/>
          <w:szCs w:val="24"/>
        </w:rPr>
        <w:t>（三）参加采购活动前3年内是</w:t>
      </w:r>
      <w:r>
        <w:rPr>
          <w:rFonts w:hint="eastAsia" w:ascii="宋体" w:hAnsi="宋体"/>
          <w:sz w:val="24"/>
          <w:szCs w:val="24"/>
        </w:rPr>
        <w:t>供应商</w:t>
      </w:r>
      <w:r>
        <w:rPr>
          <w:rFonts w:hint="eastAsia" w:ascii="宋体" w:hAnsi="宋体" w:cs="Helvetica"/>
          <w:sz w:val="24"/>
          <w:szCs w:val="24"/>
        </w:rPr>
        <w:t>的控股股东或者实际控制人；</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（四）与</w:t>
      </w:r>
      <w:r>
        <w:rPr>
          <w:rFonts w:hint="eastAsia" w:ascii="宋体" w:hAnsi="宋体"/>
          <w:sz w:val="24"/>
          <w:szCs w:val="24"/>
        </w:rPr>
        <w:t>供应商</w:t>
      </w:r>
      <w:r>
        <w:rPr>
          <w:rFonts w:hint="eastAsia" w:ascii="宋体" w:hAnsi="宋体" w:cs="Helvetica"/>
          <w:sz w:val="24"/>
          <w:szCs w:val="24"/>
        </w:rPr>
        <w:t>的法定代表人或者负责人有夫妻、直系血亲、三代以内旁系血亲或者近姻亲关系；</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（五）与</w:t>
      </w:r>
      <w:r>
        <w:rPr>
          <w:rFonts w:hint="eastAsia" w:ascii="宋体" w:hAnsi="宋体"/>
          <w:sz w:val="24"/>
          <w:szCs w:val="24"/>
        </w:rPr>
        <w:t>供应商</w:t>
      </w:r>
      <w:r>
        <w:rPr>
          <w:rFonts w:hint="eastAsia" w:ascii="宋体" w:hAnsi="宋体" w:cs="Helvetica"/>
          <w:sz w:val="24"/>
          <w:szCs w:val="24"/>
        </w:rPr>
        <w:t>有其他可能影响政府采购活动公平、公正进行的关系。</w:t>
      </w:r>
    </w:p>
    <w:p>
      <w:pPr>
        <w:shd w:val="clear" w:color="auto" w:fill="FFFFFF"/>
        <w:spacing w:line="360" w:lineRule="auto"/>
        <w:ind w:firstLine="570"/>
        <w:rPr>
          <w:rFonts w:ascii="宋体" w:hAnsi="宋体" w:cs="Helvetica"/>
          <w:sz w:val="24"/>
          <w:szCs w:val="24"/>
        </w:rPr>
      </w:pPr>
      <w:r>
        <w:rPr>
          <w:rFonts w:hint="eastAsia" w:ascii="宋体" w:hAnsi="宋体"/>
          <w:sz w:val="24"/>
          <w:szCs w:val="24"/>
        </w:rPr>
        <w:t>供应商</w:t>
      </w:r>
      <w:r>
        <w:rPr>
          <w:rFonts w:hint="eastAsia" w:ascii="宋体" w:hAnsi="宋体" w:cs="Helvetica"/>
          <w:sz w:val="24"/>
          <w:szCs w:val="24"/>
        </w:rPr>
        <w:t>认为采购人员及相关人员与其他</w:t>
      </w:r>
      <w:r>
        <w:rPr>
          <w:rFonts w:hint="eastAsia" w:ascii="宋体" w:hAnsi="宋体"/>
          <w:sz w:val="24"/>
          <w:szCs w:val="24"/>
        </w:rPr>
        <w:t>供应商</w:t>
      </w:r>
      <w:r>
        <w:rPr>
          <w:rFonts w:hint="eastAsia" w:ascii="宋体" w:hAnsi="宋体" w:cs="Helvetica"/>
          <w:sz w:val="24"/>
          <w:szCs w:val="24"/>
        </w:rPr>
        <w:t>有利害关系的，可以向采购人或者</w:t>
      </w:r>
      <w:r>
        <w:rPr>
          <w:rFonts w:hint="eastAsia" w:ascii="宋体" w:hAnsi="宋体" w:cs="Arial"/>
          <w:sz w:val="24"/>
          <w:szCs w:val="24"/>
        </w:rPr>
        <w:t>采购代理机构</w:t>
      </w:r>
      <w:r>
        <w:rPr>
          <w:rFonts w:hint="eastAsia" w:ascii="宋体" w:hAnsi="宋体" w:cs="Helvetica"/>
          <w:sz w:val="24"/>
          <w:szCs w:val="24"/>
        </w:rPr>
        <w:t>书面提出回避申请，并说明理由。采购人或者</w:t>
      </w:r>
      <w:r>
        <w:rPr>
          <w:rFonts w:hint="eastAsia" w:ascii="宋体" w:hAnsi="宋体" w:cs="Arial"/>
          <w:sz w:val="24"/>
          <w:szCs w:val="24"/>
        </w:rPr>
        <w:t>采购代理机构</w:t>
      </w:r>
      <w:r>
        <w:rPr>
          <w:rFonts w:hint="eastAsia" w:ascii="宋体" w:hAnsi="宋体" w:cs="Helvetica"/>
          <w:sz w:val="24"/>
          <w:szCs w:val="24"/>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4"/>
          <w:szCs w:val="24"/>
        </w:rPr>
      </w:pPr>
      <w:bookmarkStart w:id="101" w:name="_Toc217446078"/>
      <w:bookmarkStart w:id="102" w:name="_Toc3131"/>
      <w:r>
        <w:rPr>
          <w:rFonts w:hint="eastAsia" w:ascii="宋体" w:hAnsi="宋体"/>
          <w:b/>
          <w:bCs/>
          <w:sz w:val="24"/>
          <w:szCs w:val="24"/>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4"/>
          <w:szCs w:val="24"/>
        </w:rPr>
      </w:pPr>
      <w:r>
        <w:rPr>
          <w:rFonts w:hint="eastAsia"/>
          <w:sz w:val="24"/>
          <w:szCs w:val="24"/>
        </w:rPr>
        <w:t>询问、质疑、投诉的接收和处理严格按照《中华人民共和国政府采购法》、《中华人民共和国政府采购法实施条例》《中华人民共和国财政部货物和服务招投标管理办法》（财政部第</w:t>
      </w:r>
      <w:r>
        <w:rPr>
          <w:sz w:val="24"/>
          <w:szCs w:val="24"/>
        </w:rPr>
        <w:t>87</w:t>
      </w:r>
      <w:r>
        <w:rPr>
          <w:rFonts w:hint="eastAsia"/>
          <w:sz w:val="24"/>
          <w:szCs w:val="24"/>
        </w:rPr>
        <w:t>号令）和《政府采购质疑和投诉办法》（财政部</w:t>
      </w:r>
      <w:r>
        <w:rPr>
          <w:sz w:val="24"/>
          <w:szCs w:val="24"/>
        </w:rPr>
        <w:t>94</w:t>
      </w:r>
      <w:r>
        <w:rPr>
          <w:rFonts w:hint="eastAsia"/>
          <w:sz w:val="24"/>
          <w:szCs w:val="24"/>
        </w:rPr>
        <w:t>号令）的规定办理。</w:t>
      </w:r>
    </w:p>
    <w:p>
      <w:pPr>
        <w:numPr>
          <w:ilvl w:val="0"/>
          <w:numId w:val="30"/>
        </w:numPr>
        <w:spacing w:line="360" w:lineRule="auto"/>
        <w:ind w:left="0" w:firstLine="567"/>
        <w:jc w:val="left"/>
        <w:rPr>
          <w:sz w:val="24"/>
          <w:szCs w:val="24"/>
        </w:rPr>
      </w:pPr>
      <w:r>
        <w:rPr>
          <w:rFonts w:hint="eastAsia"/>
          <w:sz w:val="24"/>
          <w:szCs w:val="24"/>
        </w:rPr>
        <w:t>供应商</w:t>
      </w:r>
      <w:r>
        <w:rPr>
          <w:rFonts w:hint="eastAsia" w:ascii="宋体" w:hAnsi="宋体"/>
          <w:sz w:val="24"/>
          <w:szCs w:val="24"/>
        </w:rPr>
        <w:t>询问、质疑的对象</w:t>
      </w:r>
    </w:p>
    <w:p>
      <w:pPr>
        <w:numPr>
          <w:ilvl w:val="1"/>
          <w:numId w:val="31"/>
        </w:numPr>
        <w:tabs>
          <w:tab w:val="left" w:pos="0"/>
          <w:tab w:val="left" w:pos="1276"/>
        </w:tabs>
        <w:spacing w:after="120" w:line="360" w:lineRule="auto"/>
        <w:ind w:left="0" w:firstLine="567"/>
        <w:rPr>
          <w:rFonts w:ascii="宋体" w:hAnsi="宋体"/>
          <w:sz w:val="24"/>
          <w:szCs w:val="24"/>
        </w:rPr>
      </w:pPr>
      <w:r>
        <w:rPr>
          <w:rFonts w:hint="eastAsia"/>
          <w:sz w:val="24"/>
          <w:szCs w:val="24"/>
        </w:rPr>
        <w:t>供应商</w:t>
      </w:r>
      <w:r>
        <w:rPr>
          <w:rFonts w:hint="eastAsia" w:ascii="宋体" w:hAnsi="宋体"/>
          <w:sz w:val="24"/>
          <w:szCs w:val="24"/>
        </w:rPr>
        <w:t>对招标文件中</w:t>
      </w:r>
      <w:r>
        <w:rPr>
          <w:rFonts w:hint="eastAsia"/>
          <w:sz w:val="24"/>
          <w:szCs w:val="24"/>
        </w:rPr>
        <w:t>供应商</w:t>
      </w:r>
      <w:r>
        <w:rPr>
          <w:rFonts w:hint="eastAsia" w:ascii="宋体" w:hAnsi="宋体"/>
          <w:sz w:val="24"/>
          <w:szCs w:val="24"/>
        </w:rPr>
        <w:t>参加本次政府采购活动应当具备的条件，招标项目技术、服务、商务及其他要求，评标细则及标准，和中标结果中关于资格审查提出询问或质疑的，应通过</w:t>
      </w:r>
      <w:r>
        <w:rPr>
          <w:rFonts w:ascii="宋体" w:hAnsi="宋体"/>
          <w:sz w:val="24"/>
          <w:szCs w:val="24"/>
        </w:rPr>
        <w:t>云平台</w:t>
      </w:r>
      <w:r>
        <w:rPr>
          <w:rFonts w:hint="eastAsia" w:ascii="宋体" w:hAnsi="宋体"/>
          <w:sz w:val="24"/>
          <w:szCs w:val="24"/>
        </w:rPr>
        <w:t>向采购人提出；</w:t>
      </w:r>
    </w:p>
    <w:p>
      <w:pPr>
        <w:numPr>
          <w:ilvl w:val="1"/>
          <w:numId w:val="31"/>
        </w:numPr>
        <w:tabs>
          <w:tab w:val="left" w:pos="1276"/>
        </w:tabs>
        <w:spacing w:after="120" w:line="360" w:lineRule="auto"/>
        <w:ind w:left="0" w:firstLine="567"/>
        <w:rPr>
          <w:rFonts w:ascii="宋体" w:hAnsi="宋体"/>
          <w:sz w:val="24"/>
          <w:szCs w:val="24"/>
        </w:rPr>
      </w:pPr>
      <w:r>
        <w:rPr>
          <w:rFonts w:hint="eastAsia"/>
          <w:sz w:val="24"/>
          <w:szCs w:val="24"/>
        </w:rPr>
        <w:t>供应商对除上述招标文件中的其他内容，采购过程及中标结果中除资格审查</w:t>
      </w:r>
      <w:r>
        <w:rPr>
          <w:rFonts w:hint="eastAsia" w:ascii="宋体" w:hAnsi="宋体"/>
          <w:sz w:val="24"/>
          <w:szCs w:val="24"/>
        </w:rPr>
        <w:t>提出询问或质疑的，应通过</w:t>
      </w:r>
      <w:r>
        <w:rPr>
          <w:rFonts w:ascii="宋体" w:hAnsi="宋体"/>
          <w:sz w:val="24"/>
          <w:szCs w:val="24"/>
        </w:rPr>
        <w:t>云平台</w:t>
      </w:r>
      <w:r>
        <w:rPr>
          <w:rFonts w:hint="eastAsia" w:ascii="宋体" w:hAnsi="宋体"/>
          <w:sz w:val="24"/>
          <w:szCs w:val="24"/>
        </w:rPr>
        <w:t>向</w:t>
      </w:r>
      <w:r>
        <w:rPr>
          <w:rFonts w:hint="eastAsia" w:ascii="宋体" w:hAnsi="宋体" w:cs="Arial"/>
          <w:sz w:val="24"/>
          <w:szCs w:val="24"/>
        </w:rPr>
        <w:t>采购中心</w:t>
      </w:r>
      <w:r>
        <w:rPr>
          <w:rFonts w:hint="eastAsia" w:ascii="宋体" w:hAnsi="宋体"/>
          <w:sz w:val="24"/>
          <w:szCs w:val="24"/>
        </w:rPr>
        <w:t>提出。</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供应商提出质疑时应当准备的资料</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（一）质疑书正本1份；</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（二）法定代表人授权委托书1份（委托代理人办理质疑事宜的需提供）；</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（三）营业执照或法人证书复印件1份（加盖公章）；</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（四）法定代表人身份证复印件1份；</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（五）委托代理人身份证复印件1份（委托代理人办理质疑事宜的需提供）；</w:t>
      </w:r>
    </w:p>
    <w:p>
      <w:pPr>
        <w:pStyle w:val="38"/>
        <w:shd w:val="clear" w:color="auto" w:fill="FFFFFF"/>
        <w:spacing w:before="0" w:beforeAutospacing="0" w:after="0" w:afterAutospacing="0" w:line="360" w:lineRule="auto"/>
        <w:ind w:firstLine="480" w:firstLineChars="200"/>
        <w:rPr>
          <w:rFonts w:cs="Helvetica"/>
          <w:color w:val="auto"/>
        </w:rPr>
      </w:pPr>
      <w:r>
        <w:rPr>
          <w:rFonts w:hint="eastAsia" w:cs="Helvetica"/>
          <w:color w:val="auto"/>
        </w:rPr>
        <w:t>（六）针对质疑事项必要的证明材料。</w:t>
      </w:r>
    </w:p>
    <w:p>
      <w:pPr>
        <w:numPr>
          <w:ilvl w:val="0"/>
          <w:numId w:val="30"/>
        </w:numPr>
        <w:tabs>
          <w:tab w:val="left" w:pos="1134"/>
        </w:tabs>
        <w:spacing w:line="360" w:lineRule="auto"/>
        <w:ind w:left="0" w:firstLine="567"/>
        <w:rPr>
          <w:rFonts w:ascii="宋体" w:hAnsi="宋体"/>
          <w:sz w:val="24"/>
          <w:szCs w:val="24"/>
        </w:rPr>
      </w:pPr>
      <w:r>
        <w:rPr>
          <w:rFonts w:hint="eastAsia" w:ascii="宋体" w:hAnsi="宋体"/>
          <w:sz w:val="24"/>
          <w:szCs w:val="24"/>
        </w:rPr>
        <w:t>供应商对采购中心的质疑答复不满意，或者采购中心未在规定期限内作出答复的，供应商可以在答复期满后15个工作日内向同级财政部门提起投诉。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4"/>
          <w:szCs w:val="24"/>
        </w:rPr>
      </w:pPr>
      <w:bookmarkStart w:id="104" w:name="_Toc16392"/>
      <w:r>
        <w:rPr>
          <w:rFonts w:hint="eastAsia" w:ascii="宋体" w:hAnsi="宋体"/>
          <w:b/>
          <w:bCs/>
          <w:sz w:val="24"/>
          <w:szCs w:val="24"/>
        </w:rPr>
        <w:t>中小企业政府采购信用融资</w:t>
      </w:r>
      <w:bookmarkEnd w:id="104"/>
    </w:p>
    <w:p>
      <w:pPr>
        <w:numPr>
          <w:ilvl w:val="0"/>
          <w:numId w:val="32"/>
        </w:numPr>
        <w:tabs>
          <w:tab w:val="left" w:pos="1134"/>
        </w:tabs>
        <w:spacing w:line="360" w:lineRule="auto"/>
        <w:ind w:left="0" w:firstLine="567"/>
        <w:rPr>
          <w:rFonts w:ascii="宋体" w:hAnsi="宋体"/>
          <w:sz w:val="24"/>
          <w:szCs w:val="24"/>
        </w:rPr>
      </w:pPr>
      <w:r>
        <w:rPr>
          <w:rFonts w:hint="eastAsia" w:ascii="宋体" w:hAnsi="宋体"/>
          <w:sz w:val="24"/>
          <w:szCs w:val="24"/>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4"/>
          <w:szCs w:val="24"/>
        </w:rPr>
      </w:pPr>
      <w:r>
        <w:rPr>
          <w:rFonts w:hint="eastAsia" w:ascii="宋体" w:hAnsi="宋体"/>
          <w:sz w:val="24"/>
          <w:szCs w:val="24"/>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4"/>
          <w:szCs w:val="24"/>
        </w:rPr>
      </w:pPr>
    </w:p>
    <w:p>
      <w:pPr>
        <w:tabs>
          <w:tab w:val="left" w:pos="1276"/>
        </w:tabs>
        <w:spacing w:line="360" w:lineRule="auto"/>
        <w:rPr>
          <w:rFonts w:ascii="宋体" w:hAnsi="宋体"/>
          <w:sz w:val="28"/>
          <w:szCs w:val="28"/>
        </w:rPr>
        <w:sectPr>
          <w:footerReference r:id="rId3" w:type="default"/>
          <w:pgSz w:w="12240" w:h="15840"/>
          <w:pgMar w:top="1440" w:right="1800" w:bottom="1440" w:left="1800" w:header="708" w:footer="708" w:gutter="0"/>
          <w:cols w:space="708" w:num="1"/>
          <w:docGrid w:linePitch="360" w:charSpace="0"/>
        </w:sectPr>
      </w:pP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52"/>
      <w:bookmarkEnd w:id="105"/>
      <w:bookmarkStart w:id="106" w:name="_Toc315871046"/>
      <w:bookmarkEnd w:id="106"/>
      <w:bookmarkStart w:id="107" w:name="_Toc315871048"/>
      <w:bookmarkEnd w:id="107"/>
      <w:bookmarkStart w:id="108" w:name="_Toc315871045"/>
      <w:bookmarkEnd w:id="108"/>
      <w:bookmarkStart w:id="109" w:name="_Toc316292049"/>
      <w:bookmarkEnd w:id="109"/>
      <w:bookmarkStart w:id="110" w:name="_Toc315871047"/>
      <w:bookmarkEnd w:id="110"/>
      <w:bookmarkStart w:id="111" w:name="_Toc315871050"/>
      <w:bookmarkEnd w:id="111"/>
      <w:bookmarkStart w:id="112" w:name="_Toc316292048"/>
      <w:bookmarkEnd w:id="112"/>
      <w:bookmarkStart w:id="113" w:name="_Toc316292051"/>
      <w:bookmarkEnd w:id="113"/>
      <w:bookmarkStart w:id="114" w:name="_Toc315871049"/>
      <w:bookmarkEnd w:id="114"/>
      <w:bookmarkStart w:id="115" w:name="_Toc316292050"/>
      <w:bookmarkEnd w:id="115"/>
      <w:bookmarkStart w:id="116" w:name="_Toc25592"/>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6029"/>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 xml:space="preserve">项目名称： </w:t>
      </w:r>
    </w:p>
    <w:p>
      <w:pPr>
        <w:spacing w:line="360" w:lineRule="auto"/>
        <w:rPr>
          <w:rFonts w:ascii="宋体" w:hAnsi="宋体"/>
          <w:b/>
          <w:sz w:val="32"/>
          <w:szCs w:val="32"/>
          <w:u w:val="single"/>
        </w:rPr>
      </w:pPr>
      <w:r>
        <w:rPr>
          <w:rFonts w:hint="eastAsia" w:ascii="宋体" w:hAnsi="宋体"/>
          <w:b/>
          <w:bCs/>
          <w:sz w:val="32"/>
          <w:szCs w:val="32"/>
        </w:rPr>
        <w:t xml:space="preserve">项目编号： </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17996"/>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52184753"/>
      <w:bookmarkStart w:id="121" w:name="_Toc119295087"/>
      <w:bookmarkStart w:id="122" w:name="_Toc119296788"/>
      <w:bookmarkStart w:id="123" w:name="_Toc146903609"/>
      <w:bookmarkStart w:id="124" w:name="_Toc119203988"/>
      <w:r>
        <w:rPr>
          <w:rFonts w:hint="eastAsia" w:ascii="宋体" w:hAnsi="宋体"/>
          <w:sz w:val="28"/>
          <w:szCs w:val="28"/>
        </w:rPr>
        <w:t>致：成都市</w:t>
      </w:r>
      <w:bookmarkEnd w:id="119"/>
      <w:r>
        <w:rPr>
          <w:rFonts w:hint="eastAsia" w:ascii="宋体" w:hAnsi="宋体"/>
          <w:sz w:val="28"/>
          <w:szCs w:val="28"/>
        </w:rPr>
        <w:t>武侯区政府采购中心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XX（项目编号：XX）</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spacing w:line="360" w:lineRule="auto"/>
        <w:rPr>
          <w:rFonts w:ascii="宋体" w:hAnsi="宋体"/>
          <w:sz w:val="28"/>
          <w:szCs w:val="28"/>
        </w:rPr>
      </w:pPr>
      <w:r>
        <w:rPr>
          <w:rFonts w:hint="eastAsia" w:ascii="宋体" w:hAnsi="宋体"/>
          <w:sz w:val="28"/>
          <w:szCs w:val="28"/>
        </w:rPr>
        <w:t>致：成都市武侯区政府采购中心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XX（项目编号：XX）</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r>
        <w:rPr>
          <w:rFonts w:hint="eastAsia" w:ascii="宋体" w:hAnsi="宋体"/>
          <w:sz w:val="28"/>
          <w:szCs w:val="28"/>
        </w:rPr>
        <w:br w:type="textWrapping"/>
      </w:r>
      <w:r>
        <w:rPr>
          <w:rFonts w:hint="eastAsia" w:ascii="宋体" w:hAnsi="宋体"/>
          <w:sz w:val="28"/>
          <w:szCs w:val="28"/>
        </w:rPr>
        <w:t xml:space="preserve">    七、投标供应商需具有</w:t>
      </w:r>
      <w:r>
        <w:rPr>
          <w:rFonts w:hint="eastAsia" w:ascii="宋体" w:hAnsi="宋体"/>
          <w:sz w:val="28"/>
          <w:szCs w:val="28"/>
          <w:highlight w:val="yellow"/>
        </w:rPr>
        <w:t>在有效期内的食品生产许可证或食品经营许可证（两个证有其中一个即可）</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9863"/>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成都市武侯区政府采购中心：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 xml:space="preserve">XX </w:t>
      </w:r>
      <w:r>
        <w:rPr>
          <w:rFonts w:hint="eastAsia" w:ascii="宋体" w:hAnsi="宋体"/>
          <w:b/>
          <w:bCs/>
          <w:sz w:val="28"/>
          <w:szCs w:val="28"/>
          <w:u w:val="single"/>
        </w:rPr>
        <w:t>”（项目编号：  ）</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40367172"/>
      <w:bookmarkStart w:id="129" w:name="_Toc231030275"/>
      <w:bookmarkStart w:id="130" w:name="_Toc239846734"/>
      <w:bookmarkStart w:id="131" w:name="_Toc229802674"/>
      <w:bookmarkStart w:id="132" w:name="_Toc314574804"/>
      <w:bookmarkStart w:id="133" w:name="_Toc265494342"/>
      <w:bookmarkStart w:id="134" w:name="_Toc239849853"/>
      <w:bookmarkStart w:id="135" w:name="_Toc240865266"/>
      <w:bookmarkStart w:id="136" w:name="_Toc237145395"/>
    </w:p>
    <w:p>
      <w:pPr>
        <w:spacing w:line="520" w:lineRule="exact"/>
        <w:ind w:left="283" w:leftChars="135" w:firstLine="700" w:firstLineChars="250"/>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20299393"/>
      <w:bookmarkStart w:id="142" w:name="_Toc263768870"/>
      <w:bookmarkStart w:id="143" w:name="_Toc217446083"/>
      <w:r>
        <w:rPr>
          <w:rFonts w:hint="eastAsia" w:ascii="宋体" w:hAnsi="宋体"/>
          <w:b/>
          <w:bCs/>
          <w:sz w:val="28"/>
          <w:szCs w:val="28"/>
        </w:rPr>
        <w:t>投标人基本情况表</w:t>
      </w:r>
      <w:bookmarkEnd w:id="139"/>
    </w:p>
    <w:tbl>
      <w:tblPr>
        <w:tblStyle w:val="41"/>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302997928"/>
      <w:bookmarkStart w:id="145" w:name="_Toc263753619"/>
      <w:bookmarkStart w:id="146" w:name="_Toc263768877"/>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XX</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XX</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XX</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r>
        <w:rPr>
          <w:rFonts w:hint="eastAsia" w:ascii="宋体" w:hAnsi="宋体"/>
          <w:sz w:val="28"/>
          <w:szCs w:val="28"/>
        </w:rPr>
        <w:br w:type="textWrapping"/>
      </w:r>
      <w:r>
        <w:rPr>
          <w:rFonts w:hint="eastAsia" w:ascii="宋体" w:hAnsi="宋体"/>
          <w:sz w:val="28"/>
          <w:szCs w:val="28"/>
        </w:rPr>
        <w:t xml:space="preserve">    四、此处可自行添加(如有）</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bookmarkStart w:id="148" w:name="_Toc9631"/>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tbl>
      <w:tblPr>
        <w:tblStyle w:val="41"/>
        <w:tblW w:w="86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865"/>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9" w:type="dxa"/>
            <w:vAlign w:val="center"/>
          </w:tcPr>
          <w:p>
            <w:pPr>
              <w:spacing w:line="580" w:lineRule="exact"/>
              <w:jc w:val="center"/>
              <w:rPr>
                <w:rFonts w:ascii="宋体" w:hAnsi="宋体"/>
                <w:b/>
                <w:caps/>
                <w:sz w:val="24"/>
                <w:szCs w:val="24"/>
              </w:rPr>
            </w:pPr>
            <w:r>
              <w:rPr>
                <w:rFonts w:hint="eastAsia" w:ascii="宋体" w:hAnsi="宋体"/>
                <w:b/>
                <w:caps/>
                <w:sz w:val="24"/>
                <w:szCs w:val="24"/>
              </w:rPr>
              <w:t>序号</w:t>
            </w:r>
          </w:p>
        </w:tc>
        <w:tc>
          <w:tcPr>
            <w:tcW w:w="3865" w:type="dxa"/>
            <w:vAlign w:val="center"/>
          </w:tcPr>
          <w:p>
            <w:pPr>
              <w:spacing w:line="580" w:lineRule="exact"/>
              <w:jc w:val="center"/>
              <w:rPr>
                <w:rFonts w:ascii="宋体" w:hAnsi="宋体"/>
                <w:b/>
                <w:bCs/>
                <w:sz w:val="24"/>
                <w:szCs w:val="24"/>
              </w:rPr>
            </w:pPr>
            <w:r>
              <w:rPr>
                <w:rFonts w:hint="eastAsia" w:ascii="宋体" w:hAnsi="宋体"/>
                <w:b/>
                <w:bCs/>
                <w:sz w:val="24"/>
                <w:szCs w:val="24"/>
              </w:rPr>
              <w:t>类别</w:t>
            </w:r>
          </w:p>
        </w:tc>
        <w:tc>
          <w:tcPr>
            <w:tcW w:w="3737" w:type="dxa"/>
            <w:vAlign w:val="center"/>
          </w:tcPr>
          <w:p>
            <w:pPr>
              <w:spacing w:line="580" w:lineRule="exact"/>
              <w:jc w:val="center"/>
              <w:rPr>
                <w:rFonts w:ascii="宋体" w:hAnsi="宋体"/>
                <w:b/>
                <w:bCs/>
                <w:sz w:val="24"/>
                <w:szCs w:val="24"/>
              </w:rPr>
            </w:pPr>
            <w:r>
              <w:rPr>
                <w:rFonts w:hint="eastAsia" w:ascii="宋体" w:hAnsi="宋体"/>
                <w:b/>
                <w:bCs/>
                <w:sz w:val="24"/>
                <w:szCs w:val="24"/>
              </w:rPr>
              <w:t>投标报价【投标结算率（%）】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9" w:type="dxa"/>
            <w:vAlign w:val="center"/>
          </w:tcPr>
          <w:p>
            <w:pPr>
              <w:spacing w:line="580" w:lineRule="exact"/>
              <w:jc w:val="center"/>
              <w:rPr>
                <w:rFonts w:ascii="宋体" w:hAnsi="宋体"/>
                <w:sz w:val="24"/>
                <w:szCs w:val="24"/>
              </w:rPr>
            </w:pPr>
            <w:r>
              <w:rPr>
                <w:rFonts w:hint="eastAsia" w:ascii="宋体" w:hAnsi="宋体"/>
                <w:sz w:val="24"/>
                <w:szCs w:val="24"/>
              </w:rPr>
              <w:t>1</w:t>
            </w:r>
          </w:p>
        </w:tc>
        <w:tc>
          <w:tcPr>
            <w:tcW w:w="3865" w:type="dxa"/>
            <w:vAlign w:val="center"/>
          </w:tcPr>
          <w:p>
            <w:pPr>
              <w:spacing w:line="580" w:lineRule="exact"/>
              <w:jc w:val="center"/>
              <w:rPr>
                <w:rFonts w:ascii="宋体" w:hAnsi="宋体"/>
                <w:sz w:val="22"/>
              </w:rPr>
            </w:pPr>
            <w:r>
              <w:rPr>
                <w:rFonts w:hint="eastAsia" w:ascii="宋体"/>
                <w:sz w:val="22"/>
                <w:szCs w:val="28"/>
              </w:rPr>
              <w:t>米、面、油、奶制品、干货和调料</w:t>
            </w:r>
          </w:p>
        </w:tc>
        <w:tc>
          <w:tcPr>
            <w:tcW w:w="3737" w:type="dxa"/>
            <w:vAlign w:val="center"/>
          </w:tcPr>
          <w:p>
            <w:pPr>
              <w:spacing w:line="5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9" w:type="dxa"/>
            <w:vAlign w:val="center"/>
          </w:tcPr>
          <w:p>
            <w:pPr>
              <w:spacing w:line="580" w:lineRule="exact"/>
              <w:jc w:val="center"/>
              <w:rPr>
                <w:rFonts w:ascii="宋体" w:hAnsi="宋体"/>
                <w:b/>
                <w:sz w:val="24"/>
                <w:szCs w:val="24"/>
              </w:rPr>
            </w:pPr>
            <w:r>
              <w:rPr>
                <w:rFonts w:hint="eastAsia" w:ascii="宋体" w:hAnsi="宋体"/>
                <w:b/>
                <w:sz w:val="24"/>
                <w:szCs w:val="24"/>
              </w:rPr>
              <w:t>2</w:t>
            </w:r>
          </w:p>
        </w:tc>
        <w:tc>
          <w:tcPr>
            <w:tcW w:w="3865" w:type="dxa"/>
            <w:vAlign w:val="center"/>
          </w:tcPr>
          <w:p>
            <w:pPr>
              <w:spacing w:line="580" w:lineRule="exact"/>
              <w:jc w:val="center"/>
              <w:rPr>
                <w:rFonts w:ascii="宋体" w:hAnsi="宋体"/>
                <w:b/>
                <w:sz w:val="22"/>
              </w:rPr>
            </w:pPr>
            <w:r>
              <w:rPr>
                <w:rFonts w:hint="eastAsia" w:ascii="宋体"/>
                <w:sz w:val="22"/>
                <w:szCs w:val="28"/>
              </w:rPr>
              <w:t>肉禽蛋类、水产类等</w:t>
            </w:r>
          </w:p>
        </w:tc>
        <w:tc>
          <w:tcPr>
            <w:tcW w:w="3737" w:type="dxa"/>
            <w:vAlign w:val="center"/>
          </w:tcPr>
          <w:p>
            <w:pPr>
              <w:spacing w:line="580" w:lineRule="exact"/>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99" w:type="dxa"/>
            <w:vAlign w:val="center"/>
          </w:tcPr>
          <w:p>
            <w:pPr>
              <w:spacing w:line="580" w:lineRule="exact"/>
              <w:jc w:val="center"/>
              <w:rPr>
                <w:rFonts w:ascii="宋体" w:hAnsi="宋体"/>
                <w:bCs/>
                <w:sz w:val="24"/>
                <w:szCs w:val="24"/>
              </w:rPr>
            </w:pPr>
            <w:r>
              <w:rPr>
                <w:rFonts w:hint="eastAsia" w:ascii="宋体" w:hAnsi="宋体"/>
                <w:bCs/>
                <w:sz w:val="24"/>
                <w:szCs w:val="24"/>
              </w:rPr>
              <w:t>3</w:t>
            </w:r>
          </w:p>
        </w:tc>
        <w:tc>
          <w:tcPr>
            <w:tcW w:w="3865" w:type="dxa"/>
            <w:vAlign w:val="center"/>
          </w:tcPr>
          <w:p>
            <w:pPr>
              <w:spacing w:line="400" w:lineRule="exact"/>
              <w:jc w:val="center"/>
              <w:rPr>
                <w:rFonts w:ascii="宋体" w:hAnsi="宋体"/>
                <w:sz w:val="22"/>
                <w:u w:val="single"/>
              </w:rPr>
            </w:pPr>
            <w:r>
              <w:rPr>
                <w:rFonts w:hint="eastAsia" w:ascii="宋体"/>
                <w:sz w:val="22"/>
                <w:szCs w:val="28"/>
              </w:rPr>
              <w:t>水果、蔬菜等</w:t>
            </w:r>
          </w:p>
        </w:tc>
        <w:tc>
          <w:tcPr>
            <w:tcW w:w="3737" w:type="dxa"/>
            <w:vAlign w:val="center"/>
          </w:tcPr>
          <w:p>
            <w:pPr>
              <w:spacing w:line="400" w:lineRule="exact"/>
              <w:rPr>
                <w:rFonts w:ascii="宋体" w:hAnsi="宋体"/>
                <w:sz w:val="24"/>
                <w:szCs w:val="24"/>
                <w:u w:val="single"/>
              </w:rPr>
            </w:pPr>
          </w:p>
        </w:tc>
      </w:tr>
    </w:tbl>
    <w:p>
      <w:pPr>
        <w:spacing w:line="360" w:lineRule="auto"/>
        <w:ind w:left="283" w:leftChars="135" w:firstLine="550" w:firstLineChars="250"/>
        <w:rPr>
          <w:rFonts w:ascii="宋体" w:hAnsi="宋体"/>
          <w:b/>
          <w:bCs/>
          <w:sz w:val="28"/>
        </w:rPr>
      </w:pPr>
      <w:r>
        <w:rPr>
          <w:rFonts w:hint="eastAsia" w:ascii="宋体" w:hAnsi="宋体"/>
          <w:sz w:val="22"/>
        </w:rPr>
        <w:t>说明：</w:t>
      </w:r>
      <w:r>
        <w:rPr>
          <w:rFonts w:hint="eastAsia" w:ascii="宋体"/>
          <w:sz w:val="24"/>
          <w:szCs w:val="32"/>
        </w:rPr>
        <w:t>1.货款实行按月结算，当月支付上月货款。</w:t>
      </w:r>
      <w:r>
        <w:rPr>
          <w:rFonts w:hint="eastAsia" w:ascii="宋体"/>
          <w:sz w:val="24"/>
          <w:szCs w:val="32"/>
        </w:rPr>
        <w:br w:type="textWrapping"/>
      </w:r>
      <w:r>
        <w:rPr>
          <w:rFonts w:hint="eastAsia" w:ascii="宋体"/>
          <w:sz w:val="24"/>
          <w:szCs w:val="32"/>
        </w:rPr>
        <w:t xml:space="preserve">  2.</w:t>
      </w:r>
      <w:r>
        <w:rPr>
          <w:rFonts w:hint="eastAsia" w:ascii="宋体"/>
          <w:sz w:val="24"/>
          <w:szCs w:val="32"/>
          <w:highlight w:val="yellow"/>
        </w:rPr>
        <w:t>米、面、油、奶制品、干货和调料</w:t>
      </w:r>
      <w:r>
        <w:rPr>
          <w:rFonts w:hint="eastAsia" w:ascii="宋体"/>
          <w:sz w:val="24"/>
          <w:szCs w:val="32"/>
        </w:rPr>
        <w:t>配送结算首先以成都市发改委每月发布的市场综合零售价乘以90%作为结算基础价,成都市发改委未发布的品种以武侯区机关事务中心市场调价乘以90%作为结算基础价，结算基础价乘以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w:t>
      </w:r>
      <w:r>
        <w:rPr>
          <w:rFonts w:hint="eastAsia" w:ascii="宋体"/>
          <w:b/>
          <w:sz w:val="24"/>
          <w:szCs w:val="24"/>
        </w:rPr>
        <w:t>90%</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r>
        <w:rPr>
          <w:rFonts w:hint="eastAsia" w:ascii="宋体"/>
          <w:b/>
          <w:sz w:val="28"/>
          <w:szCs w:val="28"/>
        </w:rPr>
        <w:br w:type="textWrapping"/>
      </w:r>
      <w:r>
        <w:rPr>
          <w:rFonts w:hint="eastAsia" w:ascii="宋体"/>
          <w:sz w:val="24"/>
          <w:szCs w:val="32"/>
        </w:rPr>
        <w:t>3.</w:t>
      </w:r>
      <w:r>
        <w:rPr>
          <w:rFonts w:hint="eastAsia" w:ascii="宋体"/>
          <w:sz w:val="24"/>
          <w:szCs w:val="32"/>
          <w:highlight w:val="yellow"/>
        </w:rPr>
        <w:t>肉禽蛋类、水产类</w:t>
      </w:r>
      <w:r>
        <w:rPr>
          <w:rFonts w:hint="eastAsia" w:ascii="宋体"/>
          <w:sz w:val="24"/>
          <w:szCs w:val="32"/>
        </w:rPr>
        <w:t>等配送结算首先以成都市发改委每月发布的市场综合零售价乘以88%作为结算基础价,成都市发改委未发布的品种以武侯区机关事务中心市场调价乘以88%作为结算基础价，结算基础价乘以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×88</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r>
        <w:rPr>
          <w:rFonts w:hint="eastAsia" w:ascii="宋体"/>
          <w:b/>
          <w:sz w:val="28"/>
          <w:szCs w:val="28"/>
        </w:rPr>
        <w:br w:type="textWrapping"/>
      </w:r>
      <w:r>
        <w:rPr>
          <w:rFonts w:hint="eastAsia" w:ascii="宋体"/>
          <w:sz w:val="24"/>
          <w:szCs w:val="32"/>
        </w:rPr>
        <w:t>4.</w:t>
      </w:r>
      <w:r>
        <w:rPr>
          <w:rFonts w:hint="eastAsia" w:ascii="宋体"/>
          <w:sz w:val="24"/>
          <w:szCs w:val="32"/>
          <w:highlight w:val="yellow"/>
        </w:rPr>
        <w:t>水果、蔬菜</w:t>
      </w:r>
      <w:r>
        <w:rPr>
          <w:rFonts w:hint="eastAsia" w:ascii="宋体"/>
          <w:sz w:val="24"/>
          <w:szCs w:val="32"/>
        </w:rPr>
        <w:t>等配送结算首先以成都市发改委每月发布的市场综合零售价乘以80%作为结算基础价,成都市发改委未发布的品种以武侯区机关事务中心市场调价乘以80%作为结算基础价，结算基础价乘以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×80</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r>
        <w:rPr>
          <w:rFonts w:hint="eastAsia" w:ascii="宋体"/>
          <w:b/>
          <w:sz w:val="24"/>
          <w:szCs w:val="24"/>
        </w:rPr>
        <w:br w:type="textWrapping"/>
      </w:r>
      <w:r>
        <w:rPr>
          <w:rFonts w:ascii="宋体" w:hAnsi="宋体"/>
          <w:b/>
          <w:sz w:val="24"/>
          <w:szCs w:val="24"/>
        </w:rPr>
        <w:t>投标报价</w:t>
      </w:r>
      <w:r>
        <w:rPr>
          <w:rFonts w:hint="eastAsia" w:ascii="宋体" w:hAnsi="宋体"/>
          <w:b/>
          <w:sz w:val="24"/>
          <w:szCs w:val="24"/>
        </w:rPr>
        <w:t>以投标人</w:t>
      </w:r>
      <w:r>
        <w:rPr>
          <w:rFonts w:ascii="宋体" w:hAnsi="宋体"/>
          <w:b/>
          <w:sz w:val="24"/>
          <w:szCs w:val="24"/>
        </w:rPr>
        <w:t>在</w:t>
      </w:r>
      <w:r>
        <w:rPr>
          <w:rFonts w:hint="eastAsia" w:ascii="宋体" w:hAnsi="宋体"/>
          <w:b/>
          <w:sz w:val="24"/>
          <w:szCs w:val="24"/>
        </w:rPr>
        <w:t>政府采购</w:t>
      </w:r>
      <w:r>
        <w:rPr>
          <w:rFonts w:ascii="宋体" w:hAnsi="宋体"/>
          <w:b/>
          <w:sz w:val="24"/>
          <w:szCs w:val="24"/>
        </w:rPr>
        <w:t>云平台</w:t>
      </w:r>
      <w:r>
        <w:rPr>
          <w:rFonts w:hint="eastAsia" w:ascii="宋体" w:hAnsi="宋体"/>
          <w:b/>
          <w:sz w:val="24"/>
          <w:szCs w:val="24"/>
        </w:rPr>
        <w:t>开标</w:t>
      </w:r>
      <w:r>
        <w:rPr>
          <w:rFonts w:ascii="宋体" w:hAnsi="宋体"/>
          <w:b/>
          <w:sz w:val="24"/>
          <w:szCs w:val="24"/>
        </w:rPr>
        <w:t>一览表中填写的报价为准</w:t>
      </w:r>
      <w:r>
        <w:rPr>
          <w:rFonts w:hint="eastAsia" w:ascii="宋体" w:hAnsi="宋体"/>
          <w:b/>
          <w:sz w:val="24"/>
          <w:szCs w:val="24"/>
        </w:rPr>
        <w:t>。</w:t>
      </w: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1"/>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804"/>
        <w:gridCol w:w="1073"/>
        <w:gridCol w:w="601"/>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品牌（如有）</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规格型号（如有）</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highlight w:val="red"/>
              </w:rPr>
            </w:pPr>
            <w:r>
              <w:rPr>
                <w:rFonts w:hint="eastAsia" w:ascii="宋体" w:hAnsi="宋体"/>
                <w:b/>
                <w:szCs w:val="28"/>
              </w:rPr>
              <w:t>投标结算率（%）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据实结算</w:t>
            </w: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04"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520" w:lineRule="exact"/>
        <w:ind w:left="1463" w:leftChars="228" w:hanging="984" w:hangingChars="350"/>
        <w:rPr>
          <w:rFonts w:ascii="宋体" w:hAnsi="宋体"/>
          <w:b/>
          <w:sz w:val="28"/>
          <w:szCs w:val="28"/>
        </w:rPr>
      </w:pPr>
      <w:r>
        <w:rPr>
          <w:rFonts w:hint="eastAsia" w:ascii="宋体" w:hAnsi="宋体"/>
          <w:b/>
          <w:sz w:val="28"/>
          <w:szCs w:val="28"/>
        </w:rPr>
        <w:t>4. “分项报价明细表”为多页的，每页均需加盖投标人公章。</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rPr>
          <w:rFonts w:ascii="宋体" w:hAnsi="宋体"/>
          <w:bCs/>
          <w:sz w:val="28"/>
        </w:rPr>
      </w:pPr>
      <w:r>
        <w:rPr>
          <w:rFonts w:ascii="宋体" w:hAnsi="宋体"/>
          <w:bCs/>
          <w:sz w:val="28"/>
        </w:rPr>
        <w:br w:type="page"/>
      </w:r>
    </w:p>
    <w:p>
      <w:pPr>
        <w:pStyle w:val="2"/>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1"/>
        <w:tblW w:w="6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872"/>
        <w:gridCol w:w="1378"/>
        <w:gridCol w:w="12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spacing w:beforeLines="50" w:line="360" w:lineRule="auto"/>
              <w:jc w:val="center"/>
              <w:rPr>
                <w:rFonts w:ascii="宋体" w:hAnsi="宋体"/>
                <w:b/>
              </w:rPr>
            </w:pPr>
            <w:r>
              <w:rPr>
                <w:rFonts w:hint="eastAsia" w:ascii="宋体" w:hAnsi="宋体"/>
                <w:b/>
              </w:rPr>
              <w:t>序号</w:t>
            </w:r>
          </w:p>
        </w:tc>
        <w:tc>
          <w:tcPr>
            <w:tcW w:w="1872" w:type="dxa"/>
            <w:vAlign w:val="center"/>
          </w:tcPr>
          <w:p>
            <w:pPr>
              <w:spacing w:beforeLines="50" w:line="360" w:lineRule="auto"/>
              <w:jc w:val="center"/>
              <w:rPr>
                <w:rFonts w:ascii="宋体" w:hAnsi="宋体"/>
                <w:b/>
              </w:rPr>
            </w:pPr>
            <w:r>
              <w:rPr>
                <w:rFonts w:hint="eastAsia" w:ascii="宋体" w:hAnsi="宋体"/>
                <w:b/>
              </w:rPr>
              <w:t>货物名称</w:t>
            </w:r>
          </w:p>
        </w:tc>
        <w:tc>
          <w:tcPr>
            <w:tcW w:w="1378" w:type="dxa"/>
            <w:vAlign w:val="center"/>
          </w:tcPr>
          <w:p>
            <w:pPr>
              <w:spacing w:beforeLines="50" w:line="360" w:lineRule="auto"/>
              <w:jc w:val="center"/>
              <w:rPr>
                <w:rFonts w:ascii="宋体" w:hAnsi="宋体"/>
                <w:b/>
              </w:rPr>
            </w:pPr>
            <w:r>
              <w:rPr>
                <w:rFonts w:hint="eastAsia" w:ascii="宋体" w:hAnsi="宋体"/>
                <w:b/>
              </w:rPr>
              <w:t>品牌（如有）</w:t>
            </w:r>
          </w:p>
        </w:tc>
        <w:tc>
          <w:tcPr>
            <w:tcW w:w="1253" w:type="dxa"/>
            <w:vAlign w:val="center"/>
          </w:tcPr>
          <w:p>
            <w:pPr>
              <w:spacing w:beforeLines="50" w:line="360" w:lineRule="auto"/>
              <w:jc w:val="center"/>
              <w:rPr>
                <w:rFonts w:ascii="宋体" w:hAnsi="宋体"/>
                <w:b/>
              </w:rPr>
            </w:pPr>
            <w:r>
              <w:rPr>
                <w:rFonts w:hint="eastAsia" w:ascii="宋体" w:hAnsi="宋体"/>
                <w:b/>
              </w:rPr>
              <w:t>规格型号（如有）</w:t>
            </w:r>
          </w:p>
        </w:tc>
        <w:tc>
          <w:tcPr>
            <w:tcW w:w="1417" w:type="dxa"/>
            <w:vAlign w:val="center"/>
          </w:tcPr>
          <w:p>
            <w:pPr>
              <w:spacing w:beforeLines="50" w:line="360" w:lineRule="auto"/>
              <w:jc w:val="center"/>
              <w:rPr>
                <w:rFonts w:ascii="宋体" w:hAnsi="宋体"/>
                <w:b/>
              </w:rPr>
            </w:pPr>
            <w:r>
              <w:rPr>
                <w:rFonts w:hint="eastAsia" w:ascii="宋体" w:hAnsi="宋体"/>
                <w: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9" w:type="dxa"/>
            <w:vAlign w:val="center"/>
          </w:tcPr>
          <w:p>
            <w:pPr>
              <w:snapToGrid w:val="0"/>
              <w:spacing w:line="360" w:lineRule="auto"/>
              <w:jc w:val="center"/>
              <w:rPr>
                <w:rFonts w:ascii="宋体" w:hAnsi="宋体"/>
              </w:rPr>
            </w:pPr>
          </w:p>
        </w:tc>
        <w:tc>
          <w:tcPr>
            <w:tcW w:w="1872" w:type="dxa"/>
            <w:vAlign w:val="center"/>
          </w:tcPr>
          <w:p>
            <w:pPr>
              <w:spacing w:line="360" w:lineRule="auto"/>
              <w:jc w:val="center"/>
              <w:rPr>
                <w:rFonts w:ascii="宋体" w:hAnsi="宋体"/>
              </w:rPr>
            </w:pPr>
          </w:p>
        </w:tc>
        <w:tc>
          <w:tcPr>
            <w:tcW w:w="1378"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29" w:type="dxa"/>
            <w:vAlign w:val="center"/>
          </w:tcPr>
          <w:p>
            <w:pPr>
              <w:snapToGrid w:val="0"/>
              <w:spacing w:line="360" w:lineRule="auto"/>
              <w:jc w:val="center"/>
              <w:rPr>
                <w:rFonts w:ascii="宋体" w:hAnsi="宋体"/>
              </w:rPr>
            </w:pPr>
          </w:p>
        </w:tc>
        <w:tc>
          <w:tcPr>
            <w:tcW w:w="1872" w:type="dxa"/>
            <w:vAlign w:val="center"/>
          </w:tcPr>
          <w:p>
            <w:pPr>
              <w:spacing w:line="360" w:lineRule="auto"/>
              <w:jc w:val="center"/>
              <w:rPr>
                <w:rFonts w:ascii="宋体" w:hAnsi="宋体"/>
              </w:rPr>
            </w:pPr>
          </w:p>
        </w:tc>
        <w:tc>
          <w:tcPr>
            <w:tcW w:w="1378"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29" w:type="dxa"/>
            <w:vAlign w:val="center"/>
          </w:tcPr>
          <w:p>
            <w:pPr>
              <w:snapToGrid w:val="0"/>
              <w:spacing w:line="360" w:lineRule="auto"/>
              <w:jc w:val="center"/>
              <w:rPr>
                <w:rFonts w:ascii="宋体" w:hAnsi="宋体"/>
              </w:rPr>
            </w:pPr>
          </w:p>
        </w:tc>
        <w:tc>
          <w:tcPr>
            <w:tcW w:w="1872" w:type="dxa"/>
            <w:vAlign w:val="center"/>
          </w:tcPr>
          <w:p>
            <w:pPr>
              <w:spacing w:line="360" w:lineRule="auto"/>
              <w:jc w:val="center"/>
              <w:rPr>
                <w:rFonts w:ascii="宋体" w:hAnsi="宋体"/>
              </w:rPr>
            </w:pPr>
          </w:p>
        </w:tc>
        <w:tc>
          <w:tcPr>
            <w:tcW w:w="1378"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1"/>
        <w:tblW w:w="6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Lines="50" w:line="360" w:lineRule="auto"/>
              <w:jc w:val="center"/>
              <w:rPr>
                <w:rFonts w:ascii="宋体" w:hAnsi="宋体"/>
                <w:b/>
              </w:rPr>
            </w:pPr>
            <w:r>
              <w:rPr>
                <w:rFonts w:hint="eastAsia" w:ascii="宋体" w:hAnsi="宋体"/>
                <w:b/>
              </w:rPr>
              <w:t>序号</w:t>
            </w:r>
          </w:p>
        </w:tc>
        <w:tc>
          <w:tcPr>
            <w:tcW w:w="1720" w:type="dxa"/>
            <w:vAlign w:val="center"/>
          </w:tcPr>
          <w:p>
            <w:pPr>
              <w:spacing w:beforeLines="50" w:line="360" w:lineRule="auto"/>
              <w:jc w:val="center"/>
              <w:rPr>
                <w:rFonts w:ascii="宋体" w:hAnsi="宋体"/>
                <w:b/>
              </w:rPr>
            </w:pPr>
            <w:r>
              <w:rPr>
                <w:rFonts w:hint="eastAsia" w:ascii="宋体" w:hAnsi="宋体"/>
                <w:b/>
              </w:rPr>
              <w:t>货物名称</w:t>
            </w:r>
          </w:p>
        </w:tc>
        <w:tc>
          <w:tcPr>
            <w:tcW w:w="1418" w:type="dxa"/>
          </w:tcPr>
          <w:p>
            <w:pPr>
              <w:spacing w:beforeLines="50" w:line="360" w:lineRule="auto"/>
              <w:jc w:val="center"/>
              <w:rPr>
                <w:rFonts w:ascii="宋体" w:hAnsi="宋体"/>
                <w:b/>
              </w:rPr>
            </w:pPr>
            <w:r>
              <w:rPr>
                <w:rFonts w:hint="eastAsia" w:ascii="宋体" w:hAnsi="宋体"/>
                <w:b/>
              </w:rPr>
              <w:t>品牌（如有）</w:t>
            </w:r>
          </w:p>
        </w:tc>
        <w:tc>
          <w:tcPr>
            <w:tcW w:w="1418" w:type="dxa"/>
            <w:vAlign w:val="center"/>
          </w:tcPr>
          <w:p>
            <w:pPr>
              <w:spacing w:beforeLines="50" w:line="360" w:lineRule="auto"/>
              <w:jc w:val="center"/>
              <w:rPr>
                <w:rFonts w:ascii="宋体" w:hAnsi="宋体"/>
                <w:b/>
              </w:rPr>
            </w:pPr>
            <w:r>
              <w:rPr>
                <w:rFonts w:hint="eastAsia" w:ascii="宋体" w:hAnsi="宋体"/>
                <w:b/>
              </w:rPr>
              <w:t>规格型号（如有）</w:t>
            </w:r>
          </w:p>
        </w:tc>
        <w:tc>
          <w:tcPr>
            <w:tcW w:w="1417" w:type="dxa"/>
            <w:vAlign w:val="center"/>
          </w:tcPr>
          <w:p>
            <w:pPr>
              <w:spacing w:beforeLines="50" w:line="360" w:lineRule="auto"/>
              <w:jc w:val="center"/>
              <w:rPr>
                <w:rFonts w:ascii="宋体" w:hAnsi="宋体"/>
                <w:b/>
              </w:rPr>
            </w:pPr>
            <w:r>
              <w:rPr>
                <w:rFonts w:hint="eastAsia" w:ascii="宋体" w:hAnsi="宋体"/>
                <w: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r>
    </w:tbl>
    <w:p>
      <w:pPr>
        <w:tabs>
          <w:tab w:val="left" w:pos="630"/>
          <w:tab w:val="left" w:pos="7560"/>
        </w:tabs>
        <w:spacing w:line="360" w:lineRule="auto"/>
        <w:rPr>
          <w:rFonts w:ascii="宋体" w:hAnsi="宋体"/>
          <w:sz w:val="28"/>
          <w:szCs w:val="28"/>
        </w:rPr>
      </w:pPr>
    </w:p>
    <w:p>
      <w:pPr>
        <w:pStyle w:val="13"/>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w:t>
      </w:r>
      <w:r>
        <w:rPr>
          <w:rFonts w:hint="eastAsia" w:ascii="宋体" w:hAnsi="宋体"/>
          <w:sz w:val="28"/>
          <w:szCs w:val="28"/>
        </w:rPr>
        <w:t>（单位名称）的</w:t>
      </w:r>
      <w:r>
        <w:rPr>
          <w:rFonts w:hint="eastAsia" w:ascii="宋体" w:hAnsi="宋体"/>
          <w:b/>
          <w:sz w:val="28"/>
          <w:szCs w:val="28"/>
          <w:u w:val="single"/>
        </w:rPr>
        <w:t>XX</w:t>
      </w:r>
      <w:r>
        <w:rPr>
          <w:rFonts w:hint="eastAsia" w:ascii="宋体" w:hAnsi="宋体"/>
          <w:sz w:val="28"/>
          <w:szCs w:val="28"/>
        </w:rPr>
        <w:t>（项目名称）采购活动，</w:t>
      </w:r>
      <w:r>
        <w:rPr>
          <w:rFonts w:hint="eastAsia" w:ascii="宋体" w:hAnsi="宋体"/>
          <w:b/>
          <w:sz w:val="28"/>
          <w:szCs w:val="28"/>
        </w:rPr>
        <w:t>提供的</w:t>
      </w:r>
      <w:r>
        <w:rPr>
          <w:rFonts w:hint="eastAsia" w:ascii="宋体" w:hAnsi="宋体"/>
          <w:b/>
          <w:sz w:val="28"/>
          <w:szCs w:val="28"/>
          <w:highlight w:val="yellow"/>
        </w:rPr>
        <w:t>货物</w:t>
      </w:r>
      <w:r>
        <w:rPr>
          <w:rFonts w:hint="eastAsia" w:ascii="宋体" w:hAnsi="宋体"/>
          <w:b/>
          <w:sz w:val="28"/>
          <w:szCs w:val="28"/>
        </w:rPr>
        <w:t>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22892"/>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pStyle w:val="2"/>
        <w:rPr>
          <w:rFonts w:ascii="宋体" w:hAnsi="宋体"/>
          <w:b/>
          <w:bCs/>
          <w:spacing w:val="-20"/>
          <w:kern w:val="44"/>
          <w:sz w:val="32"/>
          <w:szCs w:val="32"/>
        </w:rPr>
      </w:pPr>
    </w:p>
    <w:p>
      <w:pPr>
        <w:rPr>
          <w:b/>
          <w:bCs/>
          <w:sz w:val="24"/>
          <w:szCs w:val="24"/>
        </w:rPr>
      </w:pPr>
      <w:r>
        <w:rPr>
          <w:rFonts w:hint="eastAsia"/>
          <w:b/>
          <w:bCs/>
          <w:sz w:val="24"/>
          <w:szCs w:val="24"/>
        </w:rPr>
        <w:t>资格条件：</w:t>
      </w:r>
    </w:p>
    <w:p>
      <w:pPr>
        <w:tabs>
          <w:tab w:val="left" w:pos="567"/>
        </w:tabs>
        <w:spacing w:line="300" w:lineRule="exact"/>
        <w:rPr>
          <w:b/>
          <w:bCs/>
          <w:sz w:val="24"/>
          <w:szCs w:val="24"/>
        </w:rPr>
      </w:pPr>
      <w:r>
        <w:rPr>
          <w:rFonts w:hint="eastAsia"/>
          <w:b/>
          <w:bCs/>
          <w:sz w:val="24"/>
          <w:szCs w:val="24"/>
        </w:rPr>
        <w:t>（一）符合《政府采购法》第二十二条规定的条件；</w:t>
      </w:r>
    </w:p>
    <w:p>
      <w:pPr>
        <w:tabs>
          <w:tab w:val="left" w:pos="567"/>
        </w:tabs>
        <w:spacing w:line="300" w:lineRule="exact"/>
        <w:rPr>
          <w:b/>
          <w:bCs/>
          <w:sz w:val="24"/>
          <w:szCs w:val="24"/>
        </w:rPr>
      </w:pPr>
      <w:r>
        <w:rPr>
          <w:rFonts w:hint="eastAsia"/>
          <w:b/>
          <w:bCs/>
          <w:sz w:val="24"/>
          <w:szCs w:val="24"/>
        </w:rPr>
        <w:t>（二）本项目不接受联合体投标。</w:t>
      </w:r>
    </w:p>
    <w:p>
      <w:pPr>
        <w:tabs>
          <w:tab w:val="left" w:pos="567"/>
        </w:tabs>
        <w:spacing w:line="300" w:lineRule="exact"/>
        <w:rPr>
          <w:rFonts w:ascii="宋体"/>
          <w:b/>
          <w:bCs/>
          <w:sz w:val="24"/>
          <w:szCs w:val="24"/>
        </w:rPr>
      </w:pPr>
      <w:r>
        <w:rPr>
          <w:rFonts w:hint="eastAsia"/>
          <w:b/>
          <w:bCs/>
          <w:sz w:val="24"/>
          <w:szCs w:val="24"/>
        </w:rPr>
        <w:t>（三）投标供应商需具有在</w:t>
      </w:r>
      <w:r>
        <w:rPr>
          <w:rFonts w:hint="eastAsia"/>
          <w:b/>
          <w:bCs/>
          <w:sz w:val="24"/>
          <w:szCs w:val="24"/>
          <w:highlight w:val="yellow"/>
        </w:rPr>
        <w:t>有效期内的食品生产许可证或食品经营许可证（两个证有其中一个即可）</w:t>
      </w:r>
      <w:r>
        <w:rPr>
          <w:rFonts w:hint="eastAsia"/>
          <w:b/>
          <w:bCs/>
          <w:sz w:val="24"/>
          <w:szCs w:val="24"/>
        </w:rPr>
        <w:t>。</w:t>
      </w:r>
    </w:p>
    <w:p>
      <w:pPr>
        <w:snapToGrid w:val="0"/>
        <w:spacing w:line="440" w:lineRule="exact"/>
        <w:jc w:val="left"/>
        <w:rPr>
          <w:rFonts w:ascii="宋体"/>
          <w:b/>
          <w:color w:val="000000"/>
          <w:sz w:val="24"/>
          <w:szCs w:val="24"/>
        </w:rPr>
      </w:pPr>
      <w:r>
        <w:rPr>
          <w:rFonts w:hint="eastAsia" w:ascii="宋体"/>
          <w:b/>
          <w:color w:val="000000"/>
          <w:sz w:val="24"/>
          <w:szCs w:val="24"/>
        </w:rPr>
        <w:t>一、采购项目概述</w:t>
      </w:r>
    </w:p>
    <w:p>
      <w:pPr>
        <w:snapToGrid w:val="0"/>
        <w:spacing w:line="440" w:lineRule="exact"/>
        <w:ind w:firstLine="600"/>
        <w:rPr>
          <w:rFonts w:hint="eastAsia" w:ascii="宋体"/>
          <w:sz w:val="24"/>
        </w:rPr>
      </w:pPr>
      <w:r>
        <w:rPr>
          <w:rFonts w:hint="eastAsia" w:ascii="宋体"/>
          <w:b/>
          <w:bCs/>
          <w:color w:val="000000"/>
          <w:sz w:val="24"/>
          <w:szCs w:val="24"/>
        </w:rPr>
        <w:t>武侯区市民中心位于武侯区武科西五路360号（成都市武侯区西部智谷B区</w:t>
      </w:r>
      <w:r>
        <w:rPr>
          <w:rFonts w:hint="eastAsia" w:ascii="宋体"/>
          <w:color w:val="000000"/>
          <w:sz w:val="24"/>
          <w:szCs w:val="24"/>
        </w:rPr>
        <w:t>），</w:t>
      </w:r>
      <w:r>
        <w:rPr>
          <w:rFonts w:hint="eastAsia" w:ascii="宋体"/>
          <w:color w:val="000000"/>
          <w:sz w:val="24"/>
        </w:rPr>
        <w:t>为加强对武侯区市民中心食堂食品原料供应的管理，进而确保食品原料的安全、及时、卫生、新鲜，保证食材品质。决定通过公开招标的形式，选取符合要求的</w:t>
      </w:r>
      <w:r>
        <w:rPr>
          <w:rFonts w:hint="eastAsia" w:ascii="宋体"/>
          <w:sz w:val="24"/>
        </w:rPr>
        <w:t>供应商</w:t>
      </w:r>
      <w:r>
        <w:rPr>
          <w:rFonts w:hint="eastAsia" w:ascii="宋体"/>
          <w:color w:val="000000"/>
          <w:sz w:val="24"/>
        </w:rPr>
        <w:t>，为食堂提供有保障的食品原材料。本项目共一个包，合同签订期限为</w:t>
      </w:r>
      <w:r>
        <w:rPr>
          <w:rFonts w:hint="eastAsia" w:ascii="宋体"/>
          <w:sz w:val="24"/>
        </w:rPr>
        <w:t>一年。预算金额为1470万元/年。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rPr>
        <w:t>采购标的对应的中小企业划分标准所属行业：</w:t>
      </w:r>
      <w:r>
        <w:rPr>
          <w:rFonts w:hint="eastAsia" w:ascii="宋体" w:hAnsi="宋体"/>
          <w:sz w:val="24"/>
          <w:szCs w:val="24"/>
          <w:lang w:eastAsia="zh-CN"/>
        </w:rPr>
        <w:t>蔬菜类、水果类为</w:t>
      </w:r>
      <w:r>
        <w:rPr>
          <w:rFonts w:hint="eastAsia" w:ascii="宋体" w:hAnsi="宋体"/>
          <w:sz w:val="24"/>
          <w:szCs w:val="24"/>
          <w:u w:val="single"/>
          <w:lang w:eastAsia="zh-CN"/>
        </w:rPr>
        <w:t>农、林、牧、渔业</w:t>
      </w:r>
      <w:r>
        <w:rPr>
          <w:rFonts w:hint="eastAsia" w:ascii="宋体" w:hAnsi="宋体"/>
          <w:sz w:val="24"/>
          <w:szCs w:val="24"/>
          <w:lang w:eastAsia="zh-CN"/>
        </w:rPr>
        <w:t>。肉禽蛋、水产类为</w:t>
      </w:r>
      <w:r>
        <w:rPr>
          <w:rFonts w:hint="eastAsia" w:ascii="宋体" w:hAnsi="宋体"/>
          <w:sz w:val="24"/>
          <w:szCs w:val="24"/>
          <w:u w:val="single"/>
          <w:lang w:eastAsia="zh-CN"/>
        </w:rPr>
        <w:t>农、林、牧、渔业</w:t>
      </w:r>
      <w:r>
        <w:rPr>
          <w:rFonts w:hint="eastAsia" w:ascii="宋体" w:hAnsi="宋体"/>
          <w:sz w:val="24"/>
          <w:szCs w:val="24"/>
          <w:lang w:eastAsia="zh-CN"/>
        </w:rPr>
        <w:t>。干杂类、奶制品为</w:t>
      </w:r>
      <w:r>
        <w:rPr>
          <w:rFonts w:hint="eastAsia" w:ascii="宋体" w:hAnsi="宋体"/>
          <w:sz w:val="24"/>
          <w:szCs w:val="24"/>
          <w:u w:val="single"/>
          <w:lang w:eastAsia="zh-CN"/>
        </w:rPr>
        <w:t>工业</w:t>
      </w:r>
      <w:r>
        <w:rPr>
          <w:rFonts w:hint="eastAsia" w:ascii="宋体" w:hAnsi="宋体"/>
          <w:sz w:val="24"/>
          <w:szCs w:val="24"/>
          <w:lang w:eastAsia="zh-CN"/>
        </w:rPr>
        <w:t>。</w:t>
      </w:r>
    </w:p>
    <w:p>
      <w:pPr>
        <w:pStyle w:val="2"/>
        <w:rPr>
          <w:rFonts w:ascii="宋体"/>
          <w:b/>
          <w:color w:val="000000"/>
          <w:sz w:val="24"/>
          <w:szCs w:val="24"/>
        </w:rPr>
      </w:pPr>
      <w:r>
        <w:rPr>
          <w:rFonts w:hint="eastAsia" w:ascii="宋体"/>
          <w:b/>
          <w:color w:val="000000"/>
          <w:sz w:val="24"/>
          <w:szCs w:val="24"/>
        </w:rPr>
        <w:t>二、</w:t>
      </w:r>
      <w:r>
        <w:rPr>
          <w:rFonts w:hint="eastAsia"/>
          <w:b/>
          <w:bCs/>
          <w:sz w:val="24"/>
          <w:szCs w:val="24"/>
        </w:rPr>
        <w:t>采购服务事项</w:t>
      </w:r>
    </w:p>
    <w:p>
      <w:pPr>
        <w:snapToGrid w:val="0"/>
        <w:spacing w:line="440" w:lineRule="exact"/>
        <w:ind w:firstLine="480" w:firstLineChars="200"/>
        <w:rPr>
          <w:rFonts w:ascii="宋体"/>
          <w:color w:val="000000"/>
          <w:sz w:val="24"/>
        </w:rPr>
      </w:pPr>
      <w:r>
        <w:rPr>
          <w:rFonts w:hint="eastAsia" w:ascii="宋体"/>
          <w:color w:val="000000"/>
          <w:sz w:val="24"/>
        </w:rPr>
        <w:t>为武侯区市民中</w:t>
      </w:r>
      <w:r>
        <w:rPr>
          <w:rFonts w:hint="eastAsia" w:ascii="宋体"/>
          <w:sz w:val="24"/>
        </w:rPr>
        <w:t>心食堂约2400人提供主副食</w:t>
      </w:r>
      <w:r>
        <w:rPr>
          <w:rFonts w:hint="eastAsia" w:ascii="宋体"/>
          <w:color w:val="000000"/>
          <w:sz w:val="24"/>
        </w:rPr>
        <w:t>品及调料等食材的配送（具体是：米、面、油、肉类、水产类、禽蛋、奶制品、水果、蔬菜、副食、调料等）（以采购人实际需求及用量进行配送，并按实际用量进行结算）。</w:t>
      </w:r>
    </w:p>
    <w:p>
      <w:pPr>
        <w:snapToGrid w:val="0"/>
        <w:spacing w:line="440" w:lineRule="exact"/>
        <w:ind w:firstLine="0" w:firstLineChars="0"/>
        <w:rPr>
          <w:rFonts w:ascii="宋体"/>
          <w:color w:val="000000"/>
          <w:sz w:val="24"/>
        </w:rPr>
      </w:pPr>
      <w:r>
        <w:rPr>
          <w:rFonts w:hint="eastAsia"/>
          <w:b/>
          <w:bCs/>
          <w:sz w:val="24"/>
          <w:szCs w:val="24"/>
        </w:rPr>
        <w:t>三、采购产品质量及要求</w:t>
      </w:r>
    </w:p>
    <w:p>
      <w:pPr>
        <w:snapToGrid w:val="0"/>
        <w:spacing w:line="440" w:lineRule="exact"/>
        <w:rPr>
          <w:rFonts w:ascii="宋体"/>
          <w:color w:val="000000"/>
          <w:sz w:val="24"/>
        </w:rPr>
      </w:pPr>
      <w:r>
        <w:rPr>
          <w:rFonts w:hint="eastAsia" w:ascii="宋体"/>
          <w:b/>
          <w:color w:val="000000"/>
          <w:sz w:val="24"/>
        </w:rPr>
        <w:t>（一）肉禽蛋、水产类：</w:t>
      </w:r>
      <w:r>
        <w:rPr>
          <w:rFonts w:hint="eastAsia" w:ascii="宋体"/>
          <w:color w:val="000000"/>
          <w:sz w:val="24"/>
        </w:rPr>
        <w:t>包括猪肉、牛肉、羊肉等畜类，鸡、鸭、鹅等禽类，</w:t>
      </w:r>
      <w:r>
        <w:rPr>
          <w:rFonts w:hint="eastAsia" w:hAnsi="宋体" w:cs="宋体"/>
          <w:sz w:val="24"/>
          <w:szCs w:val="24"/>
        </w:rPr>
        <w:t>草鱼、鲢鱼、鲫鱼等</w:t>
      </w:r>
      <w:r>
        <w:rPr>
          <w:rFonts w:hint="eastAsia" w:ascii="宋体"/>
          <w:color w:val="000000"/>
          <w:sz w:val="24"/>
        </w:rPr>
        <w:t>水产类以及蛋类。</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生鲜类（数量、品类：根据采购人实际需要品种、数量提供。）</w:t>
      </w:r>
    </w:p>
    <w:p>
      <w:pPr>
        <w:pStyle w:val="2"/>
        <w:ind w:firstLine="480" w:firstLineChars="200"/>
      </w:pPr>
      <w:r>
        <w:rPr>
          <w:rFonts w:hint="eastAsia" w:hAnsi="宋体" w:cs="宋体"/>
          <w:sz w:val="24"/>
          <w:szCs w:val="24"/>
        </w:rPr>
        <w:t>肉禽类须符合GB31650(国家最新标准）食品中兽药最大残留限量的规定。</w:t>
      </w:r>
    </w:p>
    <w:p>
      <w:pPr>
        <w:spacing w:line="360" w:lineRule="auto"/>
        <w:ind w:firstLine="480" w:firstLineChars="200"/>
        <w:rPr>
          <w:rFonts w:hAnsi="宋体" w:cs="宋体"/>
          <w:sz w:val="24"/>
          <w:szCs w:val="24"/>
        </w:rPr>
      </w:pPr>
      <w:r>
        <w:rPr>
          <w:rFonts w:hint="eastAsia" w:hAnsi="宋体" w:cs="宋体"/>
          <w:sz w:val="24"/>
          <w:szCs w:val="24"/>
        </w:rPr>
        <w:t>冷鲜肉一级，符合GB/T 9959国家最新标准规定标准和国家卫生、安全标准要求。</w:t>
      </w:r>
    </w:p>
    <w:p>
      <w:pPr>
        <w:spacing w:line="360" w:lineRule="auto"/>
        <w:ind w:firstLine="480" w:firstLineChars="200"/>
        <w:rPr>
          <w:rFonts w:hAnsi="宋体" w:cs="宋体"/>
          <w:sz w:val="24"/>
          <w:szCs w:val="24"/>
        </w:rPr>
      </w:pPr>
      <w:r>
        <w:rPr>
          <w:rFonts w:hint="eastAsia" w:hAnsi="宋体" w:cs="宋体"/>
          <w:sz w:val="24"/>
          <w:szCs w:val="24"/>
        </w:rPr>
        <w:t>1.1无槽头肉和血刀肉；甲状腺、肾上腺、病变淋巴摘除干净；无残留毛绒，不带长短毛；不带浮毛、凝血块、胆污、粪污及其他污染物。</w:t>
      </w:r>
    </w:p>
    <w:p>
      <w:pPr>
        <w:spacing w:line="360" w:lineRule="auto"/>
        <w:ind w:firstLine="480" w:firstLineChars="200"/>
        <w:rPr>
          <w:rFonts w:hAnsi="宋体" w:cs="宋体"/>
          <w:sz w:val="24"/>
          <w:szCs w:val="24"/>
        </w:rPr>
      </w:pPr>
      <w:r>
        <w:rPr>
          <w:rFonts w:hint="eastAsia" w:hAnsi="宋体" w:cs="宋体"/>
          <w:sz w:val="24"/>
          <w:szCs w:val="24"/>
        </w:rPr>
        <w:t>1.2色泽：肌肉色泽鲜红或深红，有光泽；脂肪呈乳白色或粉白色。</w:t>
      </w:r>
    </w:p>
    <w:p>
      <w:pPr>
        <w:spacing w:line="360" w:lineRule="auto"/>
        <w:ind w:firstLine="480" w:firstLineChars="200"/>
        <w:rPr>
          <w:rFonts w:hAnsi="宋体" w:cs="宋体"/>
          <w:sz w:val="24"/>
          <w:szCs w:val="24"/>
        </w:rPr>
      </w:pPr>
      <w:r>
        <w:rPr>
          <w:rFonts w:hint="eastAsia" w:hAnsi="宋体" w:cs="宋体"/>
          <w:sz w:val="24"/>
          <w:szCs w:val="24"/>
        </w:rPr>
        <w:t>1.3弹性（组织状态）：指压后的凹陷立即恢复。</w:t>
      </w:r>
    </w:p>
    <w:p>
      <w:pPr>
        <w:spacing w:line="360" w:lineRule="auto"/>
        <w:ind w:firstLine="480" w:firstLineChars="200"/>
        <w:rPr>
          <w:rFonts w:hAnsi="宋体" w:cs="宋体"/>
          <w:sz w:val="24"/>
          <w:szCs w:val="24"/>
        </w:rPr>
      </w:pPr>
      <w:r>
        <w:rPr>
          <w:rFonts w:hint="eastAsia" w:hAnsi="宋体" w:cs="宋体"/>
          <w:sz w:val="24"/>
          <w:szCs w:val="24"/>
        </w:rPr>
        <w:t>1.4粘度：外表微干或微湿润，不粘手。</w:t>
      </w:r>
    </w:p>
    <w:p>
      <w:pPr>
        <w:spacing w:line="360" w:lineRule="auto"/>
        <w:ind w:firstLine="480" w:firstLineChars="200"/>
        <w:rPr>
          <w:rFonts w:hAnsi="宋体" w:cs="宋体"/>
          <w:sz w:val="24"/>
          <w:szCs w:val="24"/>
        </w:rPr>
      </w:pPr>
      <w:r>
        <w:rPr>
          <w:rFonts w:hint="eastAsia" w:hAnsi="宋体" w:cs="宋体"/>
          <w:sz w:val="24"/>
          <w:szCs w:val="24"/>
        </w:rPr>
        <w:t>1.5气味：具有鲜猪肉正常气味。煮沸后肉汤透明澄清，脂肪团聚于液面，具有香味。</w:t>
      </w:r>
    </w:p>
    <w:p>
      <w:pPr>
        <w:spacing w:line="360" w:lineRule="auto"/>
        <w:ind w:firstLine="480" w:firstLineChars="200"/>
        <w:rPr>
          <w:rFonts w:hAnsi="宋体" w:cs="宋体"/>
          <w:sz w:val="24"/>
          <w:szCs w:val="24"/>
        </w:rPr>
      </w:pPr>
      <w:r>
        <w:rPr>
          <w:rFonts w:hint="eastAsia" w:hAnsi="宋体" w:cs="宋体"/>
          <w:sz w:val="24"/>
          <w:szCs w:val="24"/>
        </w:rPr>
        <w:t>1.6产品符合GB/T9959国家最新标准分割鲜冻猪瘦肉，GB31650国家最新标准食品中兽药最大残留限量。</w:t>
      </w:r>
    </w:p>
    <w:p>
      <w:pPr>
        <w:spacing w:line="360" w:lineRule="auto"/>
        <w:ind w:firstLine="480" w:firstLineChars="200"/>
        <w:rPr>
          <w:rFonts w:hAnsi="宋体" w:cs="宋体"/>
          <w:sz w:val="24"/>
          <w:szCs w:val="24"/>
        </w:rPr>
      </w:pPr>
      <w:r>
        <w:rPr>
          <w:rFonts w:hint="eastAsia" w:hAnsi="宋体" w:cs="宋体"/>
          <w:sz w:val="24"/>
          <w:szCs w:val="24"/>
        </w:rPr>
        <w:t>1.7国家有定点屠宰、检验检疫要求的品种，应来自于定点屠宰厂出品、有国家规定的动物产品检疫合格证明及验讫印章、肉品品质检验合格证明及验讫印章（随每批次供货时按批次提供）。鲜猪肉(当日生产)符合成都市生猪溯源体系的要求，并将溯源资料交采购人备案待查。配送时具有动检部门检疫印章和肉品品质合格印章。</w:t>
      </w:r>
    </w:p>
    <w:p>
      <w:pPr>
        <w:spacing w:line="360" w:lineRule="auto"/>
        <w:ind w:firstLine="480" w:firstLineChars="200"/>
        <w:rPr>
          <w:rFonts w:hAnsi="宋体" w:cs="宋体"/>
          <w:sz w:val="24"/>
          <w:szCs w:val="24"/>
        </w:rPr>
      </w:pPr>
      <w:r>
        <w:rPr>
          <w:rFonts w:hint="eastAsia" w:hAnsi="宋体" w:cs="宋体"/>
          <w:sz w:val="24"/>
          <w:szCs w:val="24"/>
        </w:rPr>
        <w:t>1.8鲜猪肉要求全程冷链配送，相关检疫证书齐全完备。</w:t>
      </w:r>
    </w:p>
    <w:p>
      <w:pPr>
        <w:spacing w:line="360" w:lineRule="auto"/>
        <w:ind w:firstLine="480" w:firstLineChars="200"/>
        <w:rPr>
          <w:rFonts w:hAnsi="宋体" w:cs="宋体"/>
          <w:sz w:val="24"/>
          <w:szCs w:val="24"/>
        </w:rPr>
      </w:pPr>
      <w:r>
        <w:rPr>
          <w:rFonts w:hint="eastAsia" w:hAnsi="宋体" w:cs="宋体"/>
          <w:sz w:val="24"/>
          <w:szCs w:val="24"/>
        </w:rPr>
        <w:t>1.9羊肉、鸡肉、鸭肉、牛肉等冷鲜畜禽肉的食品安全指标应符合GB 2707国家最新标准的规定,禽肉类制品须肉面干净、无任何异味、无毛发、表皮处理清洁，大小统一、码放整齐。</w:t>
      </w:r>
    </w:p>
    <w:p>
      <w:pPr>
        <w:snapToGrid w:val="0"/>
        <w:spacing w:line="440" w:lineRule="exact"/>
        <w:ind w:firstLine="600"/>
        <w:rPr>
          <w:rFonts w:ascii="宋体"/>
          <w:sz w:val="24"/>
        </w:rPr>
      </w:pPr>
      <w:r>
        <w:rPr>
          <w:rFonts w:hint="eastAsia" w:hAnsi="宋体" w:cs="宋体"/>
          <w:sz w:val="24"/>
          <w:szCs w:val="24"/>
        </w:rPr>
        <w:t>1.10</w:t>
      </w:r>
      <w:r>
        <w:rPr>
          <w:rFonts w:hint="eastAsia" w:hAnsi="宋体" w:cs="宋体"/>
          <w:color w:val="000000"/>
          <w:sz w:val="24"/>
          <w:szCs w:val="24"/>
        </w:rPr>
        <w:t>水产类、海水藻类的</w:t>
      </w:r>
      <w:r>
        <w:rPr>
          <w:rFonts w:hint="eastAsia" w:hAnsi="宋体" w:cs="宋体"/>
          <w:sz w:val="24"/>
          <w:szCs w:val="24"/>
        </w:rPr>
        <w:t>食品安全指标应分别符合 GB 2733国家最新标准、 GB 19643国家最新标准 的规定。</w:t>
      </w:r>
    </w:p>
    <w:p>
      <w:pPr>
        <w:snapToGrid w:val="0"/>
        <w:spacing w:line="440" w:lineRule="exact"/>
        <w:ind w:firstLine="602"/>
        <w:rPr>
          <w:bCs/>
          <w:sz w:val="24"/>
          <w:szCs w:val="24"/>
        </w:rPr>
      </w:pPr>
      <w:r>
        <w:rPr>
          <w:rFonts w:hint="eastAsia"/>
          <w:bCs/>
          <w:sz w:val="24"/>
          <w:szCs w:val="24"/>
        </w:rPr>
        <w:t>2、</w:t>
      </w:r>
      <w:r>
        <w:rPr>
          <w:rFonts w:hint="eastAsia"/>
          <w:sz w:val="24"/>
          <w:szCs w:val="24"/>
        </w:rPr>
        <w:t>猪肉</w:t>
      </w:r>
      <w:r>
        <w:rPr>
          <w:rFonts w:hint="eastAsia"/>
          <w:bCs/>
          <w:sz w:val="24"/>
          <w:szCs w:val="24"/>
        </w:rPr>
        <w:t>。</w:t>
      </w:r>
      <w:r>
        <w:rPr>
          <w:rFonts w:hint="eastAsia" w:ascii="宋体"/>
          <w:color w:val="000000"/>
          <w:sz w:val="24"/>
        </w:rPr>
        <w:t>当天屠宰且不能是冻肉（特殊情况下取得采购人认可后方可送冻肉），</w:t>
      </w:r>
      <w:r>
        <w:rPr>
          <w:rFonts w:hint="eastAsia" w:ascii="宋体"/>
          <w:sz w:val="24"/>
        </w:rPr>
        <w:t>应符合GB/T 9959</w:t>
      </w:r>
      <w:r>
        <w:rPr>
          <w:rFonts w:hint="eastAsia" w:hAnsi="宋体" w:cs="宋体"/>
          <w:sz w:val="24"/>
          <w:szCs w:val="24"/>
        </w:rPr>
        <w:t>国家最新标准</w:t>
      </w:r>
      <w:r>
        <w:rPr>
          <w:rFonts w:hint="eastAsia" w:ascii="宋体"/>
          <w:sz w:val="24"/>
        </w:rPr>
        <w:t>，成都市生猪溯源体系的要求并有产地动物卫生监督机构出具的检疫（或检测）合格证明和动物产品检疫（或检测）合格验讫印章以及生猪定点屠宰厂肉品品质检验合格验讫印章。</w:t>
      </w:r>
    </w:p>
    <w:p>
      <w:pPr>
        <w:spacing w:line="360" w:lineRule="auto"/>
        <w:ind w:firstLine="600" w:firstLineChars="250"/>
        <w:rPr>
          <w:bCs/>
          <w:sz w:val="24"/>
          <w:szCs w:val="24"/>
        </w:rPr>
      </w:pPr>
      <w:r>
        <w:rPr>
          <w:rFonts w:hint="eastAsia"/>
          <w:bCs/>
          <w:sz w:val="24"/>
          <w:szCs w:val="24"/>
        </w:rPr>
        <w:t>3、</w:t>
      </w:r>
      <w:r>
        <w:rPr>
          <w:rFonts w:hint="eastAsia"/>
          <w:sz w:val="24"/>
          <w:szCs w:val="24"/>
        </w:rPr>
        <w:t>鸡蛋。</w:t>
      </w:r>
    </w:p>
    <w:p>
      <w:pPr>
        <w:spacing w:line="360" w:lineRule="auto"/>
        <w:ind w:firstLine="480" w:firstLineChars="200"/>
        <w:rPr>
          <w:rFonts w:hAnsi="宋体" w:cs="宋体"/>
          <w:sz w:val="24"/>
          <w:szCs w:val="24"/>
        </w:rPr>
      </w:pPr>
      <w:r>
        <w:rPr>
          <w:rFonts w:hint="eastAsia" w:hAnsi="宋体" w:cs="宋体"/>
          <w:sz w:val="24"/>
          <w:szCs w:val="24"/>
        </w:rPr>
        <w:t>①每枚净重不得少于50g，汞含量符合 GB2749国家最新标准，其他理化指标符合 GB2749国家最新标准。须有动物检疫合格证，包装规范，应采用符合国家食品安全标准要求的包装材料。</w:t>
      </w:r>
    </w:p>
    <w:p>
      <w:pPr>
        <w:spacing w:line="360" w:lineRule="auto"/>
        <w:ind w:firstLine="480" w:firstLineChars="200"/>
        <w:rPr>
          <w:rFonts w:hAnsi="宋体" w:cs="宋体"/>
          <w:sz w:val="24"/>
          <w:szCs w:val="24"/>
        </w:rPr>
      </w:pPr>
      <w:r>
        <w:rPr>
          <w:rFonts w:hint="eastAsia" w:hAnsi="宋体" w:cs="宋体"/>
          <w:sz w:val="24"/>
          <w:szCs w:val="24"/>
        </w:rPr>
        <w:t>②色泽：具有禽蛋固有的色泽。</w:t>
      </w:r>
    </w:p>
    <w:p>
      <w:pPr>
        <w:spacing w:line="360" w:lineRule="auto"/>
        <w:ind w:firstLine="480" w:firstLineChars="200"/>
        <w:rPr>
          <w:rFonts w:hAnsi="宋体" w:cs="宋体"/>
          <w:sz w:val="24"/>
          <w:szCs w:val="24"/>
        </w:rPr>
      </w:pPr>
      <w:r>
        <w:rPr>
          <w:rFonts w:hint="eastAsia" w:hAnsi="宋体" w:cs="宋体"/>
          <w:sz w:val="24"/>
          <w:szCs w:val="24"/>
        </w:rPr>
        <w:t>③组织形状：蛋壳清洁、无破裂，打开后蛋黄凸起、完整、有韧性，蛋白澄清透明、稀稠分明。</w:t>
      </w:r>
    </w:p>
    <w:p>
      <w:pPr>
        <w:spacing w:line="360" w:lineRule="auto"/>
        <w:ind w:firstLine="480" w:firstLineChars="200"/>
        <w:rPr>
          <w:rFonts w:hAnsi="宋体" w:cs="宋体"/>
          <w:sz w:val="24"/>
          <w:szCs w:val="24"/>
        </w:rPr>
      </w:pPr>
      <w:r>
        <w:rPr>
          <w:rFonts w:hint="eastAsia" w:hAnsi="宋体" w:cs="宋体"/>
          <w:sz w:val="24"/>
          <w:szCs w:val="24"/>
        </w:rPr>
        <w:t>④气味：具有产品固有的气味，无异味。</w:t>
      </w:r>
    </w:p>
    <w:p>
      <w:pPr>
        <w:spacing w:line="360" w:lineRule="auto"/>
        <w:ind w:firstLine="480" w:firstLineChars="200"/>
        <w:rPr>
          <w:rFonts w:hAnsi="宋体" w:cs="宋体"/>
          <w:sz w:val="24"/>
          <w:szCs w:val="24"/>
        </w:rPr>
      </w:pPr>
      <w:r>
        <w:rPr>
          <w:rFonts w:hint="eastAsia" w:hAnsi="宋体" w:cs="宋体"/>
          <w:sz w:val="24"/>
          <w:szCs w:val="24"/>
        </w:rPr>
        <w:t>⑤杂质：无杂质，内容物不得有血块或其他鸡组织异物。</w:t>
      </w:r>
    </w:p>
    <w:p>
      <w:pPr>
        <w:spacing w:line="360" w:lineRule="auto"/>
        <w:ind w:firstLine="480" w:firstLineChars="200"/>
        <w:rPr>
          <w:rFonts w:hAnsi="宋体" w:cs="宋体"/>
          <w:sz w:val="24"/>
          <w:szCs w:val="24"/>
        </w:rPr>
      </w:pPr>
      <w:r>
        <w:rPr>
          <w:rFonts w:hint="eastAsia" w:hAnsi="宋体" w:cs="宋体"/>
          <w:sz w:val="24"/>
          <w:szCs w:val="24"/>
        </w:rPr>
        <w:t>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pPr>
        <w:snapToGrid w:val="0"/>
        <w:spacing w:line="440" w:lineRule="exact"/>
        <w:ind w:firstLine="602"/>
        <w:rPr>
          <w:rFonts w:ascii="宋体"/>
          <w:sz w:val="24"/>
        </w:rPr>
      </w:pPr>
    </w:p>
    <w:p>
      <w:pPr>
        <w:spacing w:line="360" w:lineRule="auto"/>
        <w:rPr>
          <w:rFonts w:hAnsi="宋体" w:cs="宋体"/>
          <w:sz w:val="24"/>
          <w:szCs w:val="24"/>
        </w:rPr>
      </w:pPr>
      <w:r>
        <w:rPr>
          <w:rFonts w:hint="eastAsia" w:hAnsi="宋体" w:cs="宋体"/>
          <w:b/>
          <w:bCs/>
          <w:sz w:val="24"/>
          <w:szCs w:val="24"/>
        </w:rPr>
        <w:t>（二）蔬菜类</w:t>
      </w:r>
      <w:r>
        <w:rPr>
          <w:rFonts w:hint="eastAsia" w:hAnsi="宋体" w:cs="宋体"/>
          <w:sz w:val="24"/>
          <w:szCs w:val="24"/>
        </w:rPr>
        <w:t>主要包括豆芽菜及豆制品、土豆、萝卜、白菜、花菜、佛手瓜、冬瓜、茄子、豇豆、青豆等叶菜类、茎菜类、根菜类、果菜类、花菜等。</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1.1蔬菜（数量、品类：根据采购人实际需要品种、数量提供。）</w:t>
      </w:r>
    </w:p>
    <w:p>
      <w:pPr>
        <w:spacing w:line="360" w:lineRule="auto"/>
        <w:ind w:firstLine="480" w:firstLineChars="200"/>
        <w:rPr>
          <w:rFonts w:hAnsi="宋体" w:cs="宋体"/>
          <w:sz w:val="24"/>
          <w:szCs w:val="24"/>
        </w:rPr>
      </w:pPr>
      <w:r>
        <w:rPr>
          <w:rFonts w:hint="eastAsia" w:hAnsi="宋体" w:cs="宋体"/>
          <w:sz w:val="24"/>
          <w:szCs w:val="24"/>
        </w:rPr>
        <w:t>1.2叶菜类：鲜嫩，无枯黄叶，无花斑叶，无烂叶；叶茎完整无折断，基部不老化，干爽无水；无裂口损伤，表面无泥土及其它杂物，无农药残留。</w:t>
      </w:r>
    </w:p>
    <w:p>
      <w:pPr>
        <w:spacing w:line="360" w:lineRule="auto"/>
        <w:ind w:firstLine="480" w:firstLineChars="200"/>
        <w:rPr>
          <w:rFonts w:hAnsi="宋体" w:cs="宋体"/>
          <w:sz w:val="24"/>
          <w:szCs w:val="24"/>
        </w:rPr>
      </w:pPr>
      <w:r>
        <w:rPr>
          <w:rFonts w:hint="eastAsia" w:hAnsi="宋体" w:cs="宋体"/>
          <w:sz w:val="24"/>
          <w:szCs w:val="24"/>
        </w:rPr>
        <w:t>1.3根茎类：个体均匀，根形完整，无畸形，无泥土，无虫蛀和机械伤，无腐烂，无断折断裂，不萎蔫变软，不发芽，不变绿，不空心，不糠心，不黑心，弹击有实心感，无农药残留。</w:t>
      </w:r>
    </w:p>
    <w:p>
      <w:pPr>
        <w:spacing w:line="360" w:lineRule="auto"/>
        <w:ind w:firstLine="480" w:firstLineChars="200"/>
        <w:rPr>
          <w:rFonts w:hAnsi="宋体" w:cs="宋体"/>
          <w:sz w:val="24"/>
          <w:szCs w:val="24"/>
        </w:rPr>
      </w:pPr>
      <w:r>
        <w:rPr>
          <w:rFonts w:hint="eastAsia" w:hAnsi="宋体" w:cs="宋体"/>
          <w:sz w:val="24"/>
          <w:szCs w:val="24"/>
        </w:rPr>
        <w:t>1.4芽苗类：鲜嫩、无老叶、无花斑黄叶，根部切口新鲜，茎叶完整，无腐烂现象，无农药残留。</w:t>
      </w:r>
    </w:p>
    <w:p>
      <w:pPr>
        <w:spacing w:line="360" w:lineRule="auto"/>
        <w:ind w:firstLine="480" w:firstLineChars="200"/>
        <w:rPr>
          <w:rFonts w:hAnsi="宋体" w:cs="宋体"/>
          <w:sz w:val="24"/>
          <w:szCs w:val="24"/>
        </w:rPr>
      </w:pPr>
      <w:r>
        <w:rPr>
          <w:rFonts w:hint="eastAsia" w:hAnsi="宋体" w:cs="宋体"/>
          <w:sz w:val="24"/>
          <w:szCs w:val="24"/>
        </w:rPr>
        <w:t>1.5菌类：色泽与其品种相适应，气味正常；无腐烂及虫蛀株，无发霉，无失水枯萎， 朵片完整，手轻捏不能有水渗出为宜。</w:t>
      </w:r>
    </w:p>
    <w:p>
      <w:pPr>
        <w:spacing w:line="360" w:lineRule="auto"/>
        <w:ind w:firstLine="480" w:firstLineChars="200"/>
        <w:rPr>
          <w:rFonts w:hAnsi="宋体" w:cs="宋体"/>
          <w:sz w:val="24"/>
          <w:szCs w:val="24"/>
        </w:rPr>
      </w:pPr>
      <w:r>
        <w:rPr>
          <w:rFonts w:hint="eastAsia" w:hAnsi="宋体" w:cs="宋体"/>
          <w:sz w:val="24"/>
          <w:szCs w:val="24"/>
        </w:rPr>
        <w:t>1.6所投产品必须符合GB 2763国家最新标准和安全标准及GB 2762国家最新标准食品中污染物限量标准。所列产品标准如国家有调整的，应以调整后的最新标准为准。农药残留及重金属不得超标，不得含有国家全面禁止使用的农药成份。</w:t>
      </w:r>
    </w:p>
    <w:p>
      <w:pPr>
        <w:spacing w:line="360" w:lineRule="auto"/>
        <w:ind w:firstLine="480" w:firstLineChars="200"/>
        <w:rPr>
          <w:rFonts w:hAnsi="宋体" w:cs="宋体"/>
          <w:sz w:val="24"/>
          <w:szCs w:val="24"/>
        </w:rPr>
      </w:pPr>
      <w:r>
        <w:rPr>
          <w:rFonts w:hint="eastAsia" w:hAnsi="宋体" w:cs="宋体"/>
          <w:sz w:val="24"/>
          <w:szCs w:val="24"/>
        </w:rPr>
        <w:t>1.7豆芽菜及豆制品：必须有SC编码，不得使用添加剂，农药残留及重金属不得超标，无感观异常。</w:t>
      </w:r>
    </w:p>
    <w:p>
      <w:pPr>
        <w:spacing w:line="360" w:lineRule="auto"/>
        <w:ind w:firstLine="480" w:firstLineChars="200"/>
        <w:rPr>
          <w:rFonts w:hAnsi="宋体" w:cs="宋体"/>
          <w:sz w:val="24"/>
          <w:szCs w:val="24"/>
        </w:rPr>
      </w:pPr>
      <w:r>
        <w:rPr>
          <w:rFonts w:hint="eastAsia" w:hAnsi="宋体" w:cs="宋体"/>
          <w:sz w:val="24"/>
          <w:szCs w:val="24"/>
        </w:rPr>
        <w:t>1.8原菜须保证菜面干净、无明显泥土、码放整齐、无破损、不得过熟或欠熟；净菜须保证菜面完全干净、无泥土、按统一标准加工、码放整齐，并按相关规定配送前采样送检，并提供具有农药、杀虫剂等残留检测合格的报告。</w:t>
      </w:r>
    </w:p>
    <w:p>
      <w:pPr>
        <w:spacing w:line="360" w:lineRule="auto"/>
        <w:rPr>
          <w:rFonts w:hAnsi="宋体" w:cs="宋体"/>
          <w:sz w:val="24"/>
          <w:szCs w:val="24"/>
        </w:rPr>
      </w:pPr>
      <w:r>
        <w:rPr>
          <w:rFonts w:hint="eastAsia" w:hAnsi="宋体" w:cs="宋体"/>
          <w:b/>
          <w:bCs/>
          <w:sz w:val="24"/>
          <w:szCs w:val="24"/>
        </w:rPr>
        <w:t>（三）干杂类</w:t>
      </w:r>
      <w:r>
        <w:rPr>
          <w:rFonts w:hint="eastAsia" w:hAnsi="宋体" w:cs="宋体"/>
          <w:sz w:val="24"/>
          <w:szCs w:val="24"/>
        </w:rPr>
        <w:t>。主要包括米、面、油、粉条、雪豆、海带、大豆、香料、食盐（加碘）等一切干杂辅料类</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1.1干杂类（数量、品类：根据采购人实际需要品种、数量提供。）</w:t>
      </w:r>
    </w:p>
    <w:p>
      <w:pPr>
        <w:spacing w:line="360" w:lineRule="auto"/>
        <w:ind w:firstLine="480" w:firstLineChars="200"/>
        <w:rPr>
          <w:rFonts w:hAnsi="宋体" w:cs="宋体"/>
          <w:sz w:val="24"/>
          <w:szCs w:val="24"/>
        </w:rPr>
      </w:pPr>
      <w:r>
        <w:rPr>
          <w:rFonts w:hint="eastAsia" w:hAnsi="宋体" w:cs="宋体"/>
          <w:sz w:val="24"/>
          <w:szCs w:val="24"/>
        </w:rPr>
        <w:t>1.2不得含有二氧化硫及重金属元素和非法使用添加剂；农药残留不得超标，须优质、无感观异常。符合国家最新质量标准和安全标准。</w:t>
      </w:r>
    </w:p>
    <w:p>
      <w:pPr>
        <w:spacing w:line="360" w:lineRule="auto"/>
        <w:ind w:firstLine="480" w:firstLineChars="200"/>
        <w:rPr>
          <w:rFonts w:hAnsi="宋体" w:cs="宋体"/>
          <w:sz w:val="24"/>
          <w:szCs w:val="24"/>
        </w:rPr>
      </w:pPr>
      <w:r>
        <w:rPr>
          <w:rFonts w:hint="eastAsia" w:hAnsi="宋体" w:cs="宋体"/>
          <w:sz w:val="24"/>
          <w:szCs w:val="24"/>
        </w:rPr>
        <w:t>1.3须保证配送种类、品牌、规格，生产日期须在保质期二分之一天之内，包装完整、无任何破损、无挤压、无破碎、无异味、无任何表面附着物或衍生物。</w:t>
      </w:r>
    </w:p>
    <w:p>
      <w:pPr>
        <w:spacing w:line="360" w:lineRule="auto"/>
        <w:ind w:firstLine="480" w:firstLineChars="200"/>
        <w:rPr>
          <w:rFonts w:hAnsi="宋体" w:cs="宋体"/>
          <w:sz w:val="24"/>
          <w:szCs w:val="24"/>
        </w:rPr>
      </w:pPr>
      <w:r>
        <w:rPr>
          <w:rFonts w:hint="eastAsia" w:hAnsi="宋体" w:cs="宋体"/>
          <w:sz w:val="24"/>
          <w:szCs w:val="24"/>
        </w:rPr>
        <w:t>1.4 产品符合国家质量安全检验标准、随货有该批次产品质量检测合格证、包装完好无损、外观无霉变、无斑点、无腐烂变质，有该物品独有的气味、无异味。有效期须在保质期二分之一天数之内，凭出厂合格证与检验员章确认质量，具有相关产品检验报告，在保质期内有 SC 标记。</w:t>
      </w:r>
    </w:p>
    <w:p>
      <w:pPr>
        <w:spacing w:line="360" w:lineRule="auto"/>
        <w:ind w:firstLine="480" w:firstLineChars="200"/>
        <w:rPr>
          <w:rFonts w:hAnsi="宋体" w:cs="宋体"/>
          <w:sz w:val="24"/>
          <w:szCs w:val="24"/>
        </w:rPr>
      </w:pPr>
      <w:r>
        <w:rPr>
          <w:rFonts w:hint="eastAsia" w:hAnsi="宋体" w:cs="宋体"/>
          <w:sz w:val="24"/>
          <w:szCs w:val="24"/>
        </w:rPr>
        <w:t>1.5食用盐：精制盐，加碘，符合国家最新或行业标准。白色，味咸，无异味，无</w:t>
      </w:r>
    </w:p>
    <w:p>
      <w:pPr>
        <w:spacing w:line="360" w:lineRule="auto"/>
        <w:ind w:firstLine="480" w:firstLineChars="200"/>
        <w:rPr>
          <w:rFonts w:hAnsi="宋体" w:cs="宋体"/>
          <w:sz w:val="24"/>
          <w:szCs w:val="24"/>
        </w:rPr>
      </w:pPr>
      <w:r>
        <w:rPr>
          <w:rFonts w:hint="eastAsia" w:hAnsi="宋体" w:cs="宋体"/>
          <w:sz w:val="24"/>
          <w:szCs w:val="24"/>
        </w:rPr>
        <w:t>明显与盐无关的外来异物。食品添加剂与营养强化剂的质量应符合相应的标准和有关要求。</w:t>
      </w:r>
    </w:p>
    <w:p>
      <w:pPr>
        <w:spacing w:line="360" w:lineRule="auto"/>
        <w:ind w:firstLine="480" w:firstLineChars="200"/>
        <w:rPr>
          <w:rFonts w:hAnsi="宋体" w:cs="宋体"/>
          <w:sz w:val="24"/>
          <w:szCs w:val="24"/>
        </w:rPr>
      </w:pPr>
      <w:r>
        <w:rPr>
          <w:rFonts w:hint="eastAsia" w:hAnsi="宋体" w:cs="宋体"/>
          <w:sz w:val="24"/>
          <w:szCs w:val="24"/>
        </w:rPr>
        <w:t>1.6菜籽油</w:t>
      </w:r>
    </w:p>
    <w:p>
      <w:pPr>
        <w:spacing w:line="360" w:lineRule="auto"/>
        <w:ind w:firstLine="480" w:firstLineChars="200"/>
        <w:rPr>
          <w:rFonts w:hAnsi="宋体" w:cs="宋体"/>
          <w:sz w:val="24"/>
          <w:szCs w:val="24"/>
        </w:rPr>
      </w:pPr>
      <w:r>
        <w:rPr>
          <w:rFonts w:hint="eastAsia" w:hAnsi="宋体" w:cs="宋体"/>
          <w:sz w:val="24"/>
          <w:szCs w:val="24"/>
        </w:rPr>
        <w:t>菜籽油为非转基因食用植物油，食用油的食品安全指标应符合GB 2716国家最新标准的规定， 其中：成品菜籽油的质量指标不低于 GB/T 1536 国家最新标准的二级压榨成品菜籽油的技术要求。食品中污染物限量标准应符合国家标准GB 2762国家最新标准、GB 2761国家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w:t>
      </w:r>
    </w:p>
    <w:p>
      <w:pPr>
        <w:spacing w:line="360" w:lineRule="auto"/>
        <w:ind w:firstLine="480" w:firstLineChars="200"/>
        <w:rPr>
          <w:rFonts w:hAnsi="宋体" w:cs="宋体"/>
          <w:sz w:val="24"/>
          <w:szCs w:val="24"/>
        </w:rPr>
      </w:pPr>
      <w:r>
        <w:rPr>
          <w:rFonts w:hint="eastAsia" w:hAnsi="宋体" w:cs="宋体"/>
          <w:sz w:val="24"/>
          <w:szCs w:val="24"/>
        </w:rPr>
        <w:t>桶装，每桶一次性密封装。</w:t>
      </w:r>
    </w:p>
    <w:p>
      <w:pPr>
        <w:spacing w:line="360" w:lineRule="auto"/>
        <w:ind w:firstLine="480" w:firstLineChars="200"/>
        <w:rPr>
          <w:rFonts w:hAnsi="宋体" w:cs="宋体"/>
          <w:sz w:val="24"/>
          <w:szCs w:val="24"/>
        </w:rPr>
      </w:pPr>
      <w:r>
        <w:rPr>
          <w:rFonts w:hint="eastAsia" w:hAnsi="宋体" w:cs="宋体"/>
          <w:sz w:val="24"/>
          <w:szCs w:val="24"/>
        </w:rPr>
        <w:t>包装符合GB/T 17374国家最新标准。</w:t>
      </w:r>
    </w:p>
    <w:p>
      <w:pPr>
        <w:spacing w:line="360" w:lineRule="auto"/>
        <w:ind w:firstLine="480" w:firstLineChars="200"/>
        <w:rPr>
          <w:rFonts w:hAnsi="宋体" w:cs="宋体"/>
          <w:sz w:val="24"/>
          <w:szCs w:val="24"/>
        </w:rPr>
      </w:pPr>
      <w:r>
        <w:rPr>
          <w:rFonts w:hint="eastAsia" w:hAnsi="宋体" w:cs="宋体"/>
          <w:sz w:val="24"/>
          <w:szCs w:val="24"/>
        </w:rPr>
        <w:t>保质期不少于12个月。</w:t>
      </w:r>
    </w:p>
    <w:p>
      <w:pPr>
        <w:spacing w:line="360" w:lineRule="auto"/>
        <w:ind w:firstLine="480" w:firstLineChars="200"/>
        <w:rPr>
          <w:rFonts w:hAnsi="宋体" w:cs="宋体"/>
          <w:sz w:val="24"/>
          <w:szCs w:val="24"/>
        </w:rPr>
      </w:pPr>
      <w:r>
        <w:rPr>
          <w:rFonts w:hint="eastAsia" w:hAnsi="宋体" w:cs="宋体"/>
          <w:sz w:val="24"/>
          <w:szCs w:val="24"/>
        </w:rPr>
        <w:t>在油桶的肩部刻有清晰的生产日期。</w:t>
      </w:r>
    </w:p>
    <w:p>
      <w:pPr>
        <w:spacing w:line="360" w:lineRule="auto"/>
        <w:ind w:firstLine="480" w:firstLineChars="200"/>
        <w:rPr>
          <w:rFonts w:hAnsi="宋体" w:cs="宋体"/>
          <w:sz w:val="24"/>
          <w:szCs w:val="24"/>
        </w:rPr>
      </w:pPr>
      <w:r>
        <w:rPr>
          <w:rFonts w:hint="eastAsia" w:hAnsi="宋体" w:cs="宋体"/>
          <w:sz w:val="24"/>
          <w:szCs w:val="24"/>
        </w:rPr>
        <w:t>在油桶上印有清晰地生产日期。油桶上注明产品名称、配料、加工原料、净含量、厂名、厂址、保质期、联系方式、质量等级、生产工艺、营养成分表、生产许可证号、贮存条件、原料原产地。</w:t>
      </w:r>
    </w:p>
    <w:p>
      <w:pPr>
        <w:spacing w:line="360" w:lineRule="auto"/>
        <w:ind w:firstLine="480" w:firstLineChars="200"/>
        <w:rPr>
          <w:rFonts w:hAnsi="宋体" w:cs="宋体"/>
          <w:sz w:val="24"/>
          <w:szCs w:val="24"/>
        </w:rPr>
      </w:pPr>
      <w:r>
        <w:rPr>
          <w:rFonts w:hint="eastAsia" w:hAnsi="宋体" w:cs="宋体"/>
          <w:sz w:val="24"/>
          <w:szCs w:val="24"/>
        </w:rPr>
        <w:t>1.7大米</w:t>
      </w:r>
    </w:p>
    <w:p>
      <w:pPr>
        <w:spacing w:line="360" w:lineRule="auto"/>
        <w:ind w:firstLine="480" w:firstLineChars="200"/>
        <w:rPr>
          <w:rFonts w:hAnsi="宋体" w:cs="宋体"/>
          <w:sz w:val="24"/>
          <w:szCs w:val="24"/>
        </w:rPr>
      </w:pPr>
      <w:r>
        <w:rPr>
          <w:rFonts w:hint="eastAsia" w:hAnsi="宋体" w:cs="宋体"/>
          <w:sz w:val="24"/>
          <w:szCs w:val="24"/>
        </w:rPr>
        <w:t>①不低于GB/T 1354国家最新标准一级定等指标的技术要求；</w:t>
      </w:r>
    </w:p>
    <w:p>
      <w:pPr>
        <w:spacing w:line="360" w:lineRule="auto"/>
        <w:ind w:firstLine="480" w:firstLineChars="200"/>
        <w:rPr>
          <w:rFonts w:hAnsi="宋体" w:cs="宋体"/>
          <w:sz w:val="24"/>
          <w:szCs w:val="24"/>
        </w:rPr>
      </w:pPr>
      <w:r>
        <w:rPr>
          <w:rFonts w:hint="eastAsia" w:hAnsi="宋体" w:cs="宋体"/>
          <w:sz w:val="24"/>
          <w:szCs w:val="24"/>
        </w:rPr>
        <w:t>②国标二级籼稻大米（产品与标注情况一致）；</w:t>
      </w:r>
    </w:p>
    <w:p>
      <w:pPr>
        <w:spacing w:line="360" w:lineRule="auto"/>
        <w:ind w:firstLine="480" w:firstLineChars="200"/>
        <w:rPr>
          <w:rFonts w:hAnsi="宋体" w:cs="宋体"/>
          <w:sz w:val="24"/>
          <w:szCs w:val="24"/>
        </w:rPr>
      </w:pPr>
      <w:r>
        <w:rPr>
          <w:rFonts w:hint="eastAsia" w:hAnsi="宋体" w:cs="宋体"/>
          <w:sz w:val="24"/>
          <w:szCs w:val="24"/>
        </w:rPr>
        <w:t>③袋装；</w:t>
      </w:r>
    </w:p>
    <w:p>
      <w:pPr>
        <w:spacing w:line="360" w:lineRule="auto"/>
        <w:ind w:firstLine="480" w:firstLineChars="200"/>
        <w:rPr>
          <w:rFonts w:hAnsi="宋体" w:cs="宋体"/>
          <w:sz w:val="24"/>
          <w:szCs w:val="24"/>
        </w:rPr>
      </w:pPr>
      <w:r>
        <w:rPr>
          <w:rFonts w:hint="eastAsia" w:hAnsi="宋体" w:cs="宋体"/>
          <w:sz w:val="24"/>
          <w:szCs w:val="24"/>
        </w:rPr>
        <w:t>④包装符合GB/T 17109国家最新标准 粮食销售包装标准；</w:t>
      </w:r>
    </w:p>
    <w:p>
      <w:pPr>
        <w:spacing w:line="360" w:lineRule="auto"/>
        <w:ind w:firstLine="480" w:firstLineChars="200"/>
        <w:rPr>
          <w:rFonts w:hAnsi="宋体" w:cs="宋体"/>
          <w:sz w:val="24"/>
          <w:szCs w:val="24"/>
        </w:rPr>
      </w:pPr>
      <w:r>
        <w:rPr>
          <w:rFonts w:hint="eastAsia" w:hAnsi="宋体" w:cs="宋体"/>
          <w:sz w:val="24"/>
          <w:szCs w:val="24"/>
        </w:rPr>
        <w:t>⑤保质期不少于 6 个月；</w:t>
      </w:r>
    </w:p>
    <w:p>
      <w:pPr>
        <w:spacing w:line="360" w:lineRule="auto"/>
        <w:ind w:firstLine="480" w:firstLineChars="200"/>
        <w:rPr>
          <w:rFonts w:hAnsi="宋体" w:cs="宋体"/>
          <w:sz w:val="24"/>
          <w:szCs w:val="24"/>
        </w:rPr>
      </w:pPr>
      <w:r>
        <w:rPr>
          <w:rFonts w:hint="eastAsia" w:hAnsi="宋体" w:cs="宋体"/>
          <w:sz w:val="24"/>
          <w:szCs w:val="24"/>
        </w:rPr>
        <w:t>⑥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pPr>
        <w:spacing w:line="360" w:lineRule="auto"/>
        <w:ind w:firstLine="480" w:firstLineChars="200"/>
        <w:rPr>
          <w:rFonts w:hAnsi="宋体" w:cs="宋体"/>
          <w:sz w:val="24"/>
          <w:szCs w:val="24"/>
        </w:rPr>
      </w:pPr>
      <w:r>
        <w:rPr>
          <w:rFonts w:hint="eastAsia" w:hAnsi="宋体" w:cs="宋体"/>
          <w:sz w:val="24"/>
          <w:szCs w:val="24"/>
        </w:rPr>
        <w:t>⑦生产日期标注在独立的生产合格证上并固定于袋口封装线上；在未拆封包装袋之前完全能清楚看清生产日期。</w:t>
      </w:r>
    </w:p>
    <w:p>
      <w:pPr>
        <w:spacing w:line="360" w:lineRule="auto"/>
        <w:ind w:firstLine="480" w:firstLineChars="200"/>
        <w:rPr>
          <w:rFonts w:hAnsi="宋体" w:cs="宋体"/>
          <w:sz w:val="24"/>
          <w:szCs w:val="24"/>
        </w:rPr>
      </w:pPr>
      <w:r>
        <w:rPr>
          <w:rFonts w:hint="eastAsia" w:hAnsi="宋体" w:cs="宋体"/>
          <w:sz w:val="24"/>
          <w:szCs w:val="24"/>
        </w:rPr>
        <w:t>1.8面粉及面制品</w:t>
      </w:r>
    </w:p>
    <w:p>
      <w:pPr>
        <w:spacing w:line="360" w:lineRule="auto"/>
        <w:ind w:firstLine="480" w:firstLineChars="200"/>
        <w:rPr>
          <w:rFonts w:hAnsi="宋体" w:cs="宋体"/>
          <w:sz w:val="24"/>
          <w:szCs w:val="24"/>
        </w:rPr>
      </w:pPr>
      <w:r>
        <w:rPr>
          <w:rFonts w:hint="eastAsia" w:hAnsi="宋体" w:cs="宋体"/>
          <w:sz w:val="24"/>
          <w:szCs w:val="24"/>
        </w:rPr>
        <w:t>①超级特精，符合国家最新或行业标准。灰分＜0.7%；粗细度：全部通过 CB36 号筛， 留存在 CB42 号筛的不超过 10%。面筋质＞30%。含砂量＜0.02%。磁性金属物＜0.003g∕kg。水分≤14%。脂肪酸值＜80。气味口味正常。</w:t>
      </w:r>
    </w:p>
    <w:p>
      <w:pPr>
        <w:spacing w:line="360" w:lineRule="auto"/>
        <w:ind w:firstLine="480" w:firstLineChars="200"/>
        <w:rPr>
          <w:rFonts w:hAnsi="宋体" w:cs="宋体"/>
          <w:sz w:val="24"/>
          <w:szCs w:val="24"/>
        </w:rPr>
      </w:pPr>
      <w:r>
        <w:rPr>
          <w:rFonts w:hint="eastAsia" w:hAnsi="宋体" w:cs="宋体"/>
          <w:sz w:val="24"/>
          <w:szCs w:val="24"/>
        </w:rPr>
        <w:t>②面粉色泽呈乳白色或淡黄色，不发暗，无杂质，无粗粒感，流散性好，不结块，有自然的麦香味。</w:t>
      </w:r>
    </w:p>
    <w:p>
      <w:pPr>
        <w:spacing w:line="360" w:lineRule="auto"/>
        <w:ind w:firstLine="480" w:firstLineChars="200"/>
        <w:rPr>
          <w:rFonts w:hAnsi="宋体" w:cs="宋体"/>
          <w:sz w:val="24"/>
          <w:szCs w:val="24"/>
        </w:rPr>
      </w:pPr>
      <w:r>
        <w:rPr>
          <w:rFonts w:hint="eastAsia" w:hAnsi="宋体" w:cs="宋体"/>
          <w:sz w:val="24"/>
          <w:szCs w:val="24"/>
        </w:rPr>
        <w:t xml:space="preserve">③小麦粉（面粉）的质量指标不低于 GB/T 1355国家最新标准的特制二等指标的技术要求。 </w:t>
      </w:r>
    </w:p>
    <w:p>
      <w:pPr>
        <w:spacing w:line="360" w:lineRule="auto"/>
        <w:ind w:firstLine="480" w:firstLineChars="200"/>
        <w:rPr>
          <w:rFonts w:hAnsi="宋体" w:cs="宋体"/>
          <w:sz w:val="24"/>
          <w:szCs w:val="24"/>
        </w:rPr>
      </w:pPr>
      <w:r>
        <w:rPr>
          <w:rFonts w:hint="eastAsia" w:hAnsi="宋体" w:cs="宋体"/>
          <w:sz w:val="24"/>
          <w:szCs w:val="24"/>
        </w:rPr>
        <w:t>1.7项、1.8项要求的食品原料的食品安全指标应符合相应食品安全国家标准的规定，分等分级的质量指标不低于国家有关食品质量标准的中位数水平，如质量或规格等级划分为 1、2、3、4、5 或大（L）、 中（M）、小（S）的，应选择 1、2 或大（L）、中（M）等级。食品原料的包装应完整、清洁、无破损，包装有关食品名称、生产日期、保质期限、质量等级、生产经营者等标识内容应与其内装物一致。预包装类食品原料应具有SC标记。其中：成品粮（大米、小麦粉或面粉）的食品安全指标应符合 GB 2715国家最新标准的规定。</w:t>
      </w:r>
    </w:p>
    <w:p>
      <w:pPr>
        <w:snapToGrid w:val="0"/>
        <w:spacing w:line="440" w:lineRule="exact"/>
        <w:rPr>
          <w:rFonts w:hAnsi="宋体" w:cs="宋体"/>
          <w:sz w:val="24"/>
          <w:szCs w:val="24"/>
        </w:rPr>
      </w:pPr>
      <w:r>
        <w:rPr>
          <w:rFonts w:hint="eastAsia" w:hAnsi="宋体" w:cs="宋体"/>
          <w:b/>
          <w:bCs/>
          <w:sz w:val="24"/>
          <w:szCs w:val="24"/>
        </w:rPr>
        <w:t>（四）奶制品</w:t>
      </w:r>
      <w:r>
        <w:rPr>
          <w:rFonts w:hint="eastAsia" w:hAnsi="宋体" w:cs="宋体"/>
          <w:sz w:val="24"/>
          <w:szCs w:val="24"/>
        </w:rPr>
        <w:t>：符合 GB 25190国家最新标准</w:t>
      </w:r>
      <w:r>
        <w:rPr>
          <w:rFonts w:hint="eastAsia"/>
        </w:rPr>
        <w:t>《</w:t>
      </w:r>
      <w:r>
        <w:rPr>
          <w:rFonts w:hint="eastAsia" w:hAnsi="宋体" w:cs="宋体"/>
          <w:sz w:val="24"/>
          <w:szCs w:val="24"/>
        </w:rPr>
        <w:t>食品安全国家标准 灭菌乳</w:t>
      </w:r>
      <w:r>
        <w:rPr>
          <w:rFonts w:hint="eastAsia"/>
        </w:rPr>
        <w:t>》</w:t>
      </w:r>
      <w:r>
        <w:rPr>
          <w:rFonts w:hint="eastAsia" w:hAnsi="宋体" w:cs="宋体"/>
          <w:sz w:val="24"/>
          <w:szCs w:val="24"/>
        </w:rPr>
        <w:t>及 GB 7718国家最新标准《食品安全国家标准 预包装食品标签通则》或国家卫生、食品安全最新标准。盒装奶必须为资质齐全的正规厂家生产。每批货送达采购人指定地点时，剩余有效期须在 6 个月（含）以上。包装要求：必须采购预包装产品。包装执行标准符合国家相关标准。包装标识清楚。规格由双方协商确定，以便于运输存储使用为原则。每批货均需提供盒装奶生产厂家出具的《质检报告》。外观呈乳白色或微黄色，具有乳固有的香味，呈均匀一致液体，无凝块、无沉淀、无正常视力可见异物。</w:t>
      </w:r>
    </w:p>
    <w:p>
      <w:pPr>
        <w:snapToGrid w:val="0"/>
        <w:spacing w:line="440" w:lineRule="exact"/>
        <w:rPr>
          <w:rFonts w:ascii="宋体"/>
          <w:color w:val="000000"/>
          <w:sz w:val="24"/>
        </w:rPr>
      </w:pPr>
      <w:r>
        <w:rPr>
          <w:rFonts w:hint="eastAsia" w:hAnsi="宋体" w:cs="宋体"/>
          <w:b/>
          <w:bCs/>
          <w:sz w:val="24"/>
          <w:szCs w:val="24"/>
        </w:rPr>
        <w:t>（五）水果类</w:t>
      </w:r>
      <w:r>
        <w:rPr>
          <w:rFonts w:hint="eastAsia" w:hAnsi="宋体" w:cs="宋体"/>
          <w:sz w:val="24"/>
          <w:szCs w:val="24"/>
        </w:rPr>
        <w:t>：水果类必须保证果型匀称，色泽均匀，无干疤</w:t>
      </w:r>
      <w:r>
        <w:rPr>
          <w:rFonts w:hint="eastAsia" w:ascii="宋体" w:hAnsi="宋体"/>
          <w:sz w:val="24"/>
        </w:rPr>
        <w:t>、斑点、裂口、腐烂，口感好，并</w:t>
      </w:r>
      <w:r>
        <w:rPr>
          <w:rFonts w:hint="eastAsia" w:ascii="宋体"/>
          <w:color w:val="000000"/>
          <w:sz w:val="24"/>
        </w:rPr>
        <w:t>根据采购人需求提供当季水果</w:t>
      </w:r>
      <w:r>
        <w:rPr>
          <w:rFonts w:hint="eastAsia" w:ascii="宋体" w:hAnsi="宋体"/>
          <w:sz w:val="24"/>
        </w:rPr>
        <w:t>。农药残留符合GB 2763</w:t>
      </w:r>
      <w:r>
        <w:rPr>
          <w:rFonts w:hint="eastAsia" w:hAnsi="宋体" w:cs="宋体"/>
          <w:sz w:val="24"/>
          <w:szCs w:val="24"/>
        </w:rPr>
        <w:t>国家最新标准</w:t>
      </w:r>
      <w:r>
        <w:rPr>
          <w:rFonts w:hint="eastAsia" w:ascii="宋体"/>
          <w:color w:val="000000"/>
          <w:sz w:val="24"/>
        </w:rPr>
        <w:t>，严禁配送使用剧毒农药的水果，不得配送药性和肥气未脱的水果。水果必须保证其新鲜度，残余农药含量不能超过国家有关标准。由水果引发的食物中毒等安全事故，由中标供应商负全责。</w:t>
      </w:r>
    </w:p>
    <w:p>
      <w:pPr>
        <w:snapToGrid w:val="0"/>
        <w:spacing w:line="440" w:lineRule="exact"/>
        <w:rPr>
          <w:rFonts w:hAnsi="宋体" w:cs="宋体"/>
          <w:b/>
          <w:bCs/>
          <w:sz w:val="24"/>
          <w:szCs w:val="24"/>
        </w:rPr>
      </w:pPr>
      <w:r>
        <w:rPr>
          <w:rFonts w:hint="eastAsia" w:hAnsi="宋体" w:cs="宋体"/>
          <w:b/>
          <w:bCs/>
          <w:sz w:val="24"/>
          <w:szCs w:val="24"/>
        </w:rPr>
        <w:t>（六）食品安全要求：</w:t>
      </w:r>
    </w:p>
    <w:p>
      <w:pPr>
        <w:spacing w:line="360" w:lineRule="auto"/>
        <w:ind w:firstLine="482" w:firstLineChars="200"/>
        <w:rPr>
          <w:rFonts w:hAnsi="宋体" w:cs="宋体"/>
          <w:sz w:val="24"/>
          <w:szCs w:val="24"/>
        </w:rPr>
      </w:pPr>
      <w:r>
        <w:rPr>
          <w:rFonts w:hint="eastAsia" w:ascii="宋体" w:hAnsi="宋体" w:cs="宋体"/>
          <w:b/>
          <w:bCs/>
          <w:sz w:val="24"/>
          <w:szCs w:val="24"/>
        </w:rPr>
        <w:t>★</w:t>
      </w:r>
      <w:r>
        <w:rPr>
          <w:rFonts w:hint="eastAsia" w:ascii="宋体"/>
          <w:color w:val="000000"/>
          <w:sz w:val="24"/>
        </w:rPr>
        <w:t>1、以上所有</w:t>
      </w:r>
      <w:r>
        <w:rPr>
          <w:rFonts w:hint="eastAsia" w:hAnsi="宋体" w:cs="宋体"/>
          <w:sz w:val="24"/>
          <w:szCs w:val="24"/>
        </w:rPr>
        <w:t>产品必须符合国家的相关标准与要求，并在配送时按要求提供产品所涉及的《全国工业产品生产许可证》、《食品生产许可证》、《生猪定点屠宰证》和《动物防疫条件合格证》等国家强制规定材料，不得提供转基因食品或利用转基因食品原料加工的成品，投标人所供产品达到相关食品卫生安全规定，国家有出台新的更高标准的，以新的更高标准为准，保证所供产品配送到被服务单位时的质量、卫生和安全。（投标人必须单独</w:t>
      </w:r>
      <w:r>
        <w:rPr>
          <w:rFonts w:hint="eastAsia" w:hAnsi="宋体" w:cs="宋体"/>
          <w:b/>
          <w:bCs/>
          <w:sz w:val="24"/>
          <w:szCs w:val="24"/>
        </w:rPr>
        <w:t>提供承诺函</w:t>
      </w:r>
      <w:r>
        <w:rPr>
          <w:rFonts w:hint="eastAsia" w:hAnsi="宋体" w:cs="宋体"/>
          <w:sz w:val="24"/>
          <w:szCs w:val="24"/>
        </w:rPr>
        <w:t>，否则作无效投标处理，格式自拟）。</w:t>
      </w:r>
    </w:p>
    <w:p>
      <w:pPr>
        <w:snapToGrid w:val="0"/>
        <w:spacing w:line="400" w:lineRule="exact"/>
        <w:ind w:firstLine="480" w:firstLineChars="200"/>
        <w:rPr>
          <w:rFonts w:ascii="宋体" w:hAnsi="宋体"/>
          <w:sz w:val="24"/>
          <w:szCs w:val="24"/>
        </w:rPr>
      </w:pPr>
      <w:r>
        <w:rPr>
          <w:rFonts w:hint="eastAsia" w:ascii="宋体" w:hAnsi="宋体"/>
          <w:sz w:val="24"/>
          <w:szCs w:val="24"/>
        </w:rPr>
        <w:t>2、产品供应链管理要求</w:t>
      </w:r>
    </w:p>
    <w:p>
      <w:pPr>
        <w:snapToGrid w:val="0"/>
        <w:spacing w:line="400" w:lineRule="exact"/>
        <w:ind w:firstLine="480" w:firstLineChars="200"/>
        <w:rPr>
          <w:rFonts w:ascii="宋体" w:hAnsi="宋体"/>
          <w:sz w:val="24"/>
          <w:szCs w:val="24"/>
        </w:rPr>
      </w:pPr>
      <w:r>
        <w:rPr>
          <w:rFonts w:hint="eastAsia" w:ascii="宋体" w:hAnsi="宋体"/>
          <w:sz w:val="24"/>
          <w:szCs w:val="24"/>
        </w:rPr>
        <w:t>（1）采购时应制定并完善供应商档案表，包括供应商的名称、供货能力、质量保证能力、产品质量情况、供货情况等方面的资料，严格审验供货商的许可证、合格证等证明文件，并分类建立档案，确保食品能追根溯源；</w:t>
      </w:r>
    </w:p>
    <w:p>
      <w:pPr>
        <w:snapToGrid w:val="0"/>
        <w:spacing w:line="400" w:lineRule="exact"/>
        <w:ind w:firstLine="480" w:firstLineChars="200"/>
        <w:rPr>
          <w:rFonts w:ascii="宋体" w:hAnsi="宋体"/>
          <w:sz w:val="24"/>
          <w:szCs w:val="24"/>
        </w:rPr>
      </w:pPr>
      <w:r>
        <w:rPr>
          <w:rFonts w:hint="eastAsia" w:ascii="宋体" w:hAnsi="宋体"/>
          <w:sz w:val="24"/>
          <w:szCs w:val="24"/>
        </w:rPr>
        <w:t>（2）建立稳定的产品供应商库，并不定期对供应商进行产品抽样检查；</w:t>
      </w:r>
    </w:p>
    <w:p>
      <w:pPr>
        <w:snapToGrid w:val="0"/>
        <w:spacing w:line="400" w:lineRule="exact"/>
        <w:ind w:firstLine="480" w:firstLineChars="200"/>
        <w:rPr>
          <w:rFonts w:ascii="宋体" w:hAnsi="宋体"/>
          <w:sz w:val="24"/>
          <w:szCs w:val="24"/>
        </w:rPr>
      </w:pPr>
      <w:r>
        <w:rPr>
          <w:rFonts w:hint="eastAsia" w:ascii="宋体" w:hAnsi="宋体"/>
          <w:sz w:val="24"/>
          <w:szCs w:val="24"/>
        </w:rPr>
        <w:t>（3）根据食材配送项目的特性，制定供应商指标体系，并对其进行筛选评级，对不达标的，解除长期或短期合作关系；</w:t>
      </w:r>
    </w:p>
    <w:p>
      <w:pPr>
        <w:snapToGrid w:val="0"/>
        <w:spacing w:line="400" w:lineRule="exact"/>
        <w:ind w:firstLine="480" w:firstLineChars="200"/>
        <w:rPr>
          <w:rFonts w:ascii="宋体" w:hAnsi="宋体"/>
          <w:sz w:val="24"/>
          <w:szCs w:val="24"/>
        </w:rPr>
      </w:pPr>
      <w:r>
        <w:rPr>
          <w:rFonts w:hint="eastAsia" w:ascii="宋体" w:hAnsi="宋体"/>
          <w:sz w:val="24"/>
          <w:szCs w:val="24"/>
        </w:rPr>
        <w:t>（4）每次购入食品，如实记录食品的进货日期、名称、规格、数量、生产批号、保质期、供货商联系方式等内容；</w:t>
      </w:r>
    </w:p>
    <w:p>
      <w:pPr>
        <w:snapToGrid w:val="0"/>
        <w:spacing w:line="400" w:lineRule="exact"/>
        <w:ind w:firstLine="480" w:firstLineChars="200"/>
        <w:rPr>
          <w:rFonts w:ascii="宋体" w:hAnsi="宋体"/>
          <w:sz w:val="24"/>
          <w:szCs w:val="24"/>
        </w:rPr>
      </w:pPr>
      <w:r>
        <w:rPr>
          <w:rFonts w:hint="eastAsia" w:ascii="宋体" w:hAnsi="宋体"/>
          <w:sz w:val="24"/>
          <w:szCs w:val="24"/>
        </w:rPr>
        <w:t>（5）食品储存仓库要做好温度湿度控制和防四害处理。</w:t>
      </w:r>
    </w:p>
    <w:p>
      <w:pPr>
        <w:snapToGrid w:val="0"/>
        <w:spacing w:line="400" w:lineRule="exact"/>
        <w:ind w:firstLine="480" w:firstLineChars="200"/>
        <w:rPr>
          <w:rFonts w:ascii="宋体" w:hAnsi="宋体"/>
          <w:sz w:val="24"/>
          <w:szCs w:val="24"/>
        </w:rPr>
      </w:pPr>
      <w:r>
        <w:rPr>
          <w:rFonts w:hint="eastAsia" w:ascii="宋体" w:hAnsi="宋体"/>
          <w:sz w:val="24"/>
          <w:szCs w:val="24"/>
        </w:rPr>
        <w:t>3、应急处置措施要求</w:t>
      </w:r>
    </w:p>
    <w:p>
      <w:pPr>
        <w:snapToGrid w:val="0"/>
        <w:spacing w:line="400" w:lineRule="exact"/>
        <w:ind w:firstLine="480" w:firstLineChars="200"/>
        <w:rPr>
          <w:rFonts w:ascii="宋体" w:hAnsi="宋体"/>
          <w:sz w:val="24"/>
          <w:szCs w:val="24"/>
        </w:rPr>
      </w:pPr>
      <w:r>
        <w:rPr>
          <w:rFonts w:hint="eastAsia" w:ascii="宋体" w:hAnsi="宋体"/>
          <w:sz w:val="24"/>
          <w:szCs w:val="24"/>
        </w:rPr>
        <w:t>（1）成立为本项目配备的食品安全突发事件预防与处置小组，切实加强组织领导，对食品安全事件的预防常抓不懈；</w:t>
      </w:r>
    </w:p>
    <w:p>
      <w:pPr>
        <w:snapToGrid w:val="0"/>
        <w:spacing w:line="400" w:lineRule="exact"/>
        <w:ind w:firstLine="480" w:firstLineChars="200"/>
        <w:rPr>
          <w:rFonts w:ascii="宋体" w:hAnsi="宋体"/>
          <w:sz w:val="24"/>
          <w:szCs w:val="24"/>
        </w:rPr>
      </w:pPr>
      <w:r>
        <w:rPr>
          <w:rFonts w:hint="eastAsia" w:ascii="宋体" w:hAnsi="宋体"/>
          <w:sz w:val="24"/>
          <w:szCs w:val="24"/>
        </w:rPr>
        <w:t>（2）建立食品安全突发事件值班制度，设置并公示突发事件报告或投诉电话，尤其是在食品安全事故多发季节，要重点落实；</w:t>
      </w:r>
    </w:p>
    <w:p>
      <w:pPr>
        <w:snapToGrid w:val="0"/>
        <w:spacing w:line="400" w:lineRule="exact"/>
        <w:ind w:firstLine="480" w:firstLineChars="200"/>
        <w:rPr>
          <w:rFonts w:ascii="宋体" w:hAnsi="宋体"/>
          <w:sz w:val="24"/>
          <w:szCs w:val="24"/>
        </w:rPr>
      </w:pPr>
      <w:r>
        <w:rPr>
          <w:rFonts w:hint="eastAsia" w:ascii="宋体" w:hAnsi="宋体"/>
          <w:sz w:val="24"/>
          <w:szCs w:val="24"/>
        </w:rPr>
        <w:t>（3）若发生食品安全事件应立即启动安全应急预案，封存可能导致食品安全事故的食品及其原料，配合调查；</w:t>
      </w:r>
    </w:p>
    <w:p>
      <w:pPr>
        <w:snapToGrid w:val="0"/>
        <w:spacing w:line="400" w:lineRule="exact"/>
        <w:ind w:firstLine="480" w:firstLineChars="200"/>
        <w:rPr>
          <w:rFonts w:ascii="宋体" w:hAnsi="宋体"/>
          <w:sz w:val="24"/>
          <w:szCs w:val="24"/>
        </w:rPr>
      </w:pPr>
      <w:r>
        <w:rPr>
          <w:rFonts w:hint="eastAsia" w:ascii="宋体" w:hAnsi="宋体"/>
          <w:sz w:val="24"/>
          <w:szCs w:val="24"/>
        </w:rPr>
        <w:t>（4）验收时发现不合格食品，乙方应当在一小时内完成货品更换，临时接待在甲方规定时间内送达，特殊紧急情况30分钟内响应并送达；</w:t>
      </w:r>
    </w:p>
    <w:p>
      <w:pPr>
        <w:snapToGrid w:val="0"/>
        <w:spacing w:line="400" w:lineRule="exact"/>
        <w:ind w:firstLine="480" w:firstLineChars="200"/>
        <w:rPr>
          <w:rFonts w:ascii="宋体" w:hAnsi="宋体"/>
          <w:sz w:val="24"/>
          <w:szCs w:val="24"/>
        </w:rPr>
      </w:pPr>
      <w:r>
        <w:rPr>
          <w:rFonts w:hint="eastAsia" w:ascii="宋体" w:hAnsi="宋体"/>
          <w:sz w:val="24"/>
          <w:szCs w:val="24"/>
        </w:rPr>
        <w:t>4、产品质量保障要求</w:t>
      </w:r>
    </w:p>
    <w:p>
      <w:pPr>
        <w:snapToGrid w:val="0"/>
        <w:spacing w:line="400" w:lineRule="exact"/>
        <w:ind w:firstLine="480" w:firstLineChars="200"/>
        <w:rPr>
          <w:rFonts w:ascii="宋体" w:hAnsi="宋体"/>
          <w:sz w:val="24"/>
          <w:szCs w:val="24"/>
        </w:rPr>
      </w:pPr>
      <w:r>
        <w:rPr>
          <w:rFonts w:hint="eastAsia" w:ascii="宋体" w:hAnsi="宋体"/>
          <w:sz w:val="24"/>
          <w:szCs w:val="24"/>
        </w:rPr>
        <w:t>（1）每日配送的食材应提供检验报告，动物提供检疫合格证，蔬菜提供农残检测报告，其他食品按采购人要求提供厂家品牌产品并随附检验报告；</w:t>
      </w:r>
    </w:p>
    <w:p>
      <w:pPr>
        <w:snapToGrid w:val="0"/>
        <w:spacing w:line="400" w:lineRule="exact"/>
        <w:ind w:firstLine="480" w:firstLineChars="200"/>
        <w:rPr>
          <w:rFonts w:ascii="宋体" w:hAnsi="宋体"/>
          <w:sz w:val="24"/>
          <w:szCs w:val="24"/>
        </w:rPr>
      </w:pPr>
      <w:r>
        <w:rPr>
          <w:rFonts w:hint="eastAsia" w:ascii="宋体" w:hAnsi="宋体"/>
          <w:sz w:val="24"/>
          <w:szCs w:val="24"/>
        </w:rPr>
        <w:t>（2）对畜禽肉进行水分速测，检测是否为注水肉，若供应商已做水分速测，需提供书面速测报告，验收员核实后需保存每次收货供应商提供的速测报告；</w:t>
      </w:r>
    </w:p>
    <w:p>
      <w:pPr>
        <w:snapToGrid w:val="0"/>
        <w:spacing w:line="400" w:lineRule="exact"/>
        <w:ind w:firstLine="480" w:firstLineChars="200"/>
        <w:rPr>
          <w:rFonts w:ascii="宋体" w:hAnsi="宋体"/>
          <w:sz w:val="24"/>
          <w:szCs w:val="24"/>
        </w:rPr>
      </w:pPr>
      <w:r>
        <w:rPr>
          <w:rFonts w:hint="eastAsia" w:ascii="宋体" w:hAnsi="宋体"/>
          <w:sz w:val="24"/>
          <w:szCs w:val="24"/>
        </w:rPr>
        <w:t>（3）要求供应商对肉类食材进行瘦肉精检测，需提供书面检测报告，验收员核实后需保存每次收货供应商提供的报告；</w:t>
      </w:r>
    </w:p>
    <w:p>
      <w:pPr>
        <w:snapToGrid w:val="0"/>
        <w:spacing w:line="400" w:lineRule="exact"/>
        <w:ind w:firstLine="482" w:firstLineChars="200"/>
        <w:rPr>
          <w:rFonts w:ascii="宋体" w:hAnsi="宋体"/>
          <w:sz w:val="24"/>
          <w:szCs w:val="24"/>
        </w:rPr>
      </w:pPr>
      <w:r>
        <w:rPr>
          <w:rFonts w:hint="eastAsia" w:ascii="宋体" w:hAnsi="宋体" w:cs="宋体"/>
          <w:b/>
          <w:bCs/>
          <w:sz w:val="24"/>
          <w:szCs w:val="24"/>
        </w:rPr>
        <w:t>★</w:t>
      </w:r>
      <w:r>
        <w:rPr>
          <w:rFonts w:hint="eastAsia" w:ascii="宋体" w:hAnsi="宋体"/>
          <w:sz w:val="24"/>
          <w:szCs w:val="24"/>
        </w:rPr>
        <w:t>（4）配送产品符合《食品安全法》相关要求，达到相关食品卫生安全规定，国家有出台新的更高标准的，以新的更高标准为准，保证所供产品配送到指定地点时的质量、卫生和安全。未按国家相关食品卫生标准及本招标文件要求配送的食材引发的食品卫生中毒等食品安全事故，由中标供应商负完全责任。（</w:t>
      </w:r>
      <w:r>
        <w:rPr>
          <w:rFonts w:hint="eastAsia" w:ascii="宋体" w:hAnsi="宋体"/>
          <w:b/>
          <w:bCs/>
          <w:sz w:val="24"/>
          <w:szCs w:val="24"/>
        </w:rPr>
        <w:t>投标供应商需提供承诺函</w:t>
      </w:r>
      <w:r>
        <w:rPr>
          <w:rFonts w:hint="eastAsia" w:ascii="宋体" w:hAnsi="宋体"/>
          <w:sz w:val="24"/>
          <w:szCs w:val="24"/>
        </w:rPr>
        <w:t>）</w:t>
      </w:r>
    </w:p>
    <w:p>
      <w:pPr>
        <w:snapToGrid w:val="0"/>
        <w:spacing w:line="400" w:lineRule="exact"/>
        <w:ind w:firstLine="480" w:firstLineChars="200"/>
        <w:rPr>
          <w:rFonts w:ascii="宋体" w:hAnsi="宋体"/>
          <w:sz w:val="24"/>
          <w:szCs w:val="24"/>
        </w:rPr>
      </w:pPr>
      <w:r>
        <w:rPr>
          <w:rFonts w:hint="eastAsia" w:ascii="宋体" w:hAnsi="宋体"/>
          <w:sz w:val="24"/>
          <w:szCs w:val="24"/>
        </w:rPr>
        <w:t>（5）不能配送转基因食材。</w:t>
      </w:r>
    </w:p>
    <w:p>
      <w:pPr>
        <w:snapToGrid w:val="0"/>
        <w:spacing w:line="400" w:lineRule="exact"/>
        <w:ind w:firstLine="480" w:firstLineChars="200"/>
        <w:rPr>
          <w:rFonts w:ascii="宋体"/>
          <w:sz w:val="24"/>
        </w:rPr>
      </w:pPr>
      <w:r>
        <w:rPr>
          <w:rFonts w:hint="eastAsia" w:ascii="宋体"/>
          <w:sz w:val="24"/>
        </w:rPr>
        <w:t>（6）</w:t>
      </w:r>
      <w:r>
        <w:rPr>
          <w:rFonts w:hint="eastAsia" w:ascii="宋体"/>
          <w:color w:val="000000"/>
          <w:sz w:val="24"/>
        </w:rPr>
        <w:t>预包装</w:t>
      </w:r>
      <w:r>
        <w:rPr>
          <w:rFonts w:hint="eastAsia" w:ascii="宋体"/>
          <w:sz w:val="24"/>
        </w:rPr>
        <w:t>食品须符合《预包装食品标签通则》（最新国家标准）保证规格品种完全符合采购方要求，包装规格、口味、种类齐全。保质期在3天以内的，必须是送货当天生</w:t>
      </w:r>
      <w:r>
        <w:rPr>
          <w:rFonts w:hint="eastAsia" w:ascii="宋体"/>
          <w:color w:val="000000"/>
          <w:sz w:val="24"/>
        </w:rPr>
        <w:t>产的货品；保质期在7天以内的，送货日不超过生产日两日；保质期在6个月以内的，送货日至保质期到期日的天数必须大于保质期天数的三分之二；6个月以上的，送货日至保质期到期日的天数必须大于保质期天数的二分之一，凭出厂合格证与检验员章确认质量。</w:t>
      </w:r>
    </w:p>
    <w:p>
      <w:pPr>
        <w:snapToGrid w:val="0"/>
        <w:spacing w:line="440" w:lineRule="exact"/>
        <w:rPr>
          <w:rFonts w:ascii="宋体"/>
          <w:b/>
          <w:color w:val="000000"/>
          <w:sz w:val="24"/>
        </w:rPr>
      </w:pPr>
      <w:r>
        <w:rPr>
          <w:rFonts w:hint="eastAsia" w:ascii="宋体"/>
          <w:b/>
          <w:color w:val="000000"/>
          <w:sz w:val="24"/>
        </w:rPr>
        <w:t>四、其他需求：</w:t>
      </w:r>
    </w:p>
    <w:p>
      <w:pPr>
        <w:snapToGrid w:val="0"/>
        <w:spacing w:line="440" w:lineRule="exact"/>
        <w:ind w:firstLine="480" w:firstLineChars="200"/>
        <w:rPr>
          <w:rFonts w:ascii="宋体"/>
          <w:color w:val="000000"/>
          <w:sz w:val="24"/>
        </w:rPr>
      </w:pPr>
      <w:r>
        <w:rPr>
          <w:rFonts w:hint="eastAsia" w:ascii="宋体"/>
          <w:color w:val="000000"/>
          <w:sz w:val="24"/>
        </w:rPr>
        <w:t>1、符合《食品安全法》相关要求：</w:t>
      </w:r>
    </w:p>
    <w:p>
      <w:pPr>
        <w:snapToGrid w:val="0"/>
        <w:spacing w:line="440" w:lineRule="exact"/>
        <w:ind w:firstLine="480" w:firstLineChars="200"/>
        <w:rPr>
          <w:rFonts w:ascii="宋体"/>
          <w:color w:val="000000"/>
          <w:sz w:val="24"/>
        </w:rPr>
      </w:pPr>
      <w:r>
        <w:rPr>
          <w:rFonts w:hint="eastAsia" w:ascii="宋体"/>
          <w:color w:val="000000"/>
          <w:sz w:val="24"/>
        </w:rPr>
        <w:t>2、配送的蔬菜肉类需具有追踪溯源标识或记录记载，并可实现追踪溯源；</w:t>
      </w:r>
    </w:p>
    <w:p>
      <w:pPr>
        <w:snapToGrid w:val="0"/>
        <w:spacing w:line="440" w:lineRule="exact"/>
        <w:ind w:firstLine="600"/>
        <w:rPr>
          <w:rFonts w:ascii="宋体"/>
          <w:sz w:val="24"/>
        </w:rPr>
      </w:pPr>
      <w:r>
        <w:rPr>
          <w:rFonts w:hint="eastAsia" w:ascii="宋体"/>
          <w:sz w:val="24"/>
        </w:rPr>
        <w:t>3、乙方承诺合同签订后在武侯区市民中心（成都市武科西五路360号）附近区域内（30分钟交通距离）设置自有应急配送门店(具备食品、肉类、粮油、蔬菜等应急配送能力）</w:t>
      </w:r>
      <w:r>
        <w:rPr>
          <w:rFonts w:hint="eastAsia"/>
        </w:rPr>
        <w:t>，</w:t>
      </w:r>
      <w:r>
        <w:rPr>
          <w:rFonts w:hint="eastAsia" w:ascii="宋体"/>
          <w:sz w:val="24"/>
          <w:highlight w:val="yellow"/>
        </w:rPr>
        <w:t>应急配送要求应在30分钟内予以响应并送到。</w:t>
      </w:r>
      <w:r>
        <w:rPr>
          <w:rFonts w:hint="eastAsia" w:ascii="宋体"/>
          <w:sz w:val="24"/>
        </w:rPr>
        <w:t>（</w:t>
      </w:r>
      <w:r>
        <w:rPr>
          <w:rFonts w:hint="eastAsia" w:ascii="宋体"/>
          <w:b/>
          <w:bCs/>
          <w:sz w:val="24"/>
        </w:rPr>
        <w:t>需提供承诺函</w:t>
      </w:r>
      <w:r>
        <w:rPr>
          <w:rFonts w:hint="eastAsia" w:ascii="宋体"/>
          <w:sz w:val="24"/>
        </w:rPr>
        <w:t>）；</w:t>
      </w:r>
    </w:p>
    <w:p>
      <w:pPr>
        <w:snapToGrid w:val="0"/>
        <w:spacing w:line="440" w:lineRule="exact"/>
        <w:ind w:firstLine="600"/>
        <w:rPr>
          <w:rFonts w:ascii="宋体"/>
          <w:sz w:val="24"/>
        </w:rPr>
      </w:pPr>
      <w:r>
        <w:rPr>
          <w:rFonts w:hint="eastAsia" w:ascii="宋体"/>
          <w:sz w:val="24"/>
        </w:rPr>
        <w:t>4、</w:t>
      </w:r>
      <w:r>
        <w:rPr>
          <w:rFonts w:ascii="宋体"/>
          <w:sz w:val="24"/>
        </w:rPr>
        <w:t>以</w:t>
      </w:r>
      <w:r>
        <w:rPr>
          <w:rFonts w:hint="eastAsia" w:ascii="宋体"/>
          <w:sz w:val="24"/>
        </w:rPr>
        <w:t>采购人</w:t>
      </w:r>
      <w:r>
        <w:rPr>
          <w:rFonts w:ascii="宋体"/>
          <w:sz w:val="24"/>
        </w:rPr>
        <w:t>实际需求及用量进行配送服务，并按</w:t>
      </w:r>
      <w:r>
        <w:rPr>
          <w:rFonts w:hint="eastAsia" w:ascii="宋体"/>
          <w:sz w:val="24"/>
        </w:rPr>
        <w:t>甲方书面确认的</w:t>
      </w:r>
      <w:r>
        <w:rPr>
          <w:rFonts w:ascii="宋体"/>
          <w:sz w:val="24"/>
        </w:rPr>
        <w:t>实际用量进行结算，以上数据仅供供应商参考，不作为供应商报价依据</w:t>
      </w:r>
      <w:r>
        <w:rPr>
          <w:rFonts w:hint="eastAsia" w:ascii="宋体"/>
          <w:sz w:val="24"/>
        </w:rPr>
        <w:t>。</w:t>
      </w:r>
    </w:p>
    <w:p>
      <w:pPr>
        <w:snapToGrid w:val="0"/>
        <w:spacing w:line="440" w:lineRule="exact"/>
        <w:ind w:firstLine="482" w:firstLineChars="200"/>
        <w:rPr>
          <w:rFonts w:ascii="宋体"/>
          <w:b/>
          <w:color w:val="000000"/>
          <w:sz w:val="24"/>
        </w:rPr>
      </w:pPr>
      <w:r>
        <w:rPr>
          <w:rFonts w:hint="eastAsia" w:ascii="宋体"/>
          <w:b/>
          <w:color w:val="000000"/>
          <w:sz w:val="24"/>
        </w:rPr>
        <w:t>五、配送方法及要求：</w:t>
      </w:r>
    </w:p>
    <w:p>
      <w:pPr>
        <w:snapToGrid w:val="0"/>
        <w:spacing w:line="400" w:lineRule="exact"/>
        <w:ind w:firstLine="482" w:firstLineChars="200"/>
        <w:rPr>
          <w:rFonts w:ascii="宋体" w:hAnsi="宋体"/>
          <w:b/>
          <w:sz w:val="24"/>
          <w:szCs w:val="24"/>
        </w:rPr>
      </w:pPr>
      <w:r>
        <w:rPr>
          <w:rFonts w:hint="eastAsia" w:ascii="宋体" w:hAnsi="宋体"/>
          <w:b/>
          <w:sz w:val="24"/>
          <w:szCs w:val="24"/>
        </w:rPr>
        <w:t>（一）配送时间要求：</w:t>
      </w:r>
    </w:p>
    <w:p>
      <w:pPr>
        <w:snapToGrid w:val="0"/>
        <w:spacing w:line="400" w:lineRule="exact"/>
        <w:ind w:firstLine="480" w:firstLineChars="200"/>
        <w:rPr>
          <w:rFonts w:ascii="宋体" w:hAnsi="宋体"/>
          <w:sz w:val="24"/>
          <w:szCs w:val="24"/>
        </w:rPr>
      </w:pPr>
      <w:r>
        <w:rPr>
          <w:rFonts w:hint="eastAsia" w:ascii="宋体" w:hAnsi="宋体"/>
          <w:sz w:val="24"/>
          <w:szCs w:val="24"/>
        </w:rPr>
        <w:t>每天早餐食材可提前一天送到，午餐食材应在当天上午7:00以前送到，（送达时间以采购方要求为准）。临时晚餐接待，应急配送要求应在甲方发出要求后30分钟内予以响应并送到。</w:t>
      </w:r>
    </w:p>
    <w:p>
      <w:pPr>
        <w:snapToGrid w:val="0"/>
        <w:spacing w:line="400" w:lineRule="exact"/>
        <w:ind w:firstLine="482" w:firstLineChars="200"/>
        <w:rPr>
          <w:rFonts w:ascii="宋体" w:hAnsi="宋体"/>
          <w:b/>
          <w:sz w:val="24"/>
          <w:szCs w:val="24"/>
        </w:rPr>
      </w:pPr>
      <w:r>
        <w:rPr>
          <w:rFonts w:hint="eastAsia" w:ascii="宋体" w:hAnsi="宋体"/>
          <w:b/>
          <w:sz w:val="24"/>
          <w:szCs w:val="24"/>
        </w:rPr>
        <w:t>（二）配送要求：</w:t>
      </w:r>
    </w:p>
    <w:p>
      <w:pPr>
        <w:snapToGrid w:val="0"/>
        <w:spacing w:line="400" w:lineRule="exact"/>
        <w:ind w:firstLine="480" w:firstLineChars="200"/>
        <w:rPr>
          <w:rFonts w:ascii="宋体" w:hAnsi="宋体"/>
          <w:sz w:val="24"/>
          <w:szCs w:val="24"/>
        </w:rPr>
      </w:pPr>
      <w:r>
        <w:rPr>
          <w:rFonts w:hint="eastAsia" w:ascii="宋体" w:hAnsi="宋体"/>
          <w:sz w:val="24"/>
          <w:szCs w:val="24"/>
        </w:rPr>
        <w:t>(1)投标供应商针对本项目至少配备2辆厢式密封配送车，至少2辆冷链配送车，且提供车辆固定专门为本项目使用，配送车辆应符合相关卫生要求，做到每日清洗、消毒并做好消毒记录。</w:t>
      </w:r>
    </w:p>
    <w:p>
      <w:pPr>
        <w:snapToGrid w:val="0"/>
        <w:spacing w:line="400" w:lineRule="exact"/>
        <w:ind w:firstLine="480" w:firstLineChars="200"/>
        <w:rPr>
          <w:rFonts w:ascii="宋体" w:hAnsi="宋体"/>
          <w:b/>
          <w:bCs/>
          <w:sz w:val="24"/>
          <w:szCs w:val="24"/>
        </w:rPr>
      </w:pPr>
      <w:r>
        <w:rPr>
          <w:rFonts w:hint="eastAsia" w:ascii="宋体" w:hAnsi="宋体"/>
          <w:sz w:val="24"/>
          <w:szCs w:val="24"/>
        </w:rPr>
        <w:t>(2)为保证食材配送及时，保障食堂每日准时供餐，投标供应商为本项目配备的4名配送人员为本公司员工，且持有有效健康证。未经采购人事先许可，供应商不得擅自变动配送人员</w:t>
      </w:r>
      <w:r>
        <w:rPr>
          <w:rFonts w:hint="eastAsia" w:ascii="宋体" w:hAnsi="宋体"/>
          <w:b/>
          <w:bCs/>
          <w:sz w:val="24"/>
          <w:szCs w:val="24"/>
        </w:rPr>
        <w:t>（需提供承诺函）</w:t>
      </w:r>
    </w:p>
    <w:p>
      <w:pPr>
        <w:snapToGrid w:val="0"/>
        <w:spacing w:line="400" w:lineRule="exact"/>
        <w:ind w:firstLine="480" w:firstLineChars="200"/>
        <w:rPr>
          <w:rFonts w:ascii="宋体" w:hAnsi="宋体"/>
          <w:sz w:val="24"/>
          <w:szCs w:val="24"/>
        </w:rPr>
      </w:pPr>
      <w:r>
        <w:rPr>
          <w:rFonts w:hint="eastAsia" w:ascii="宋体" w:hAnsi="宋体"/>
          <w:sz w:val="24"/>
          <w:szCs w:val="24"/>
        </w:rPr>
        <w:t>（3）投标供应商保证配送商品质量、数量、送货时间等均符合采购人要求(下单规则至少提前一天制定需求），紧急情况除外如遇不可抗力造成送货延误的，经采购人同意后，投标供应商应按采购人另行指定的地点和时间及时送达。</w:t>
      </w:r>
    </w:p>
    <w:p>
      <w:pPr>
        <w:snapToGrid w:val="0"/>
        <w:spacing w:line="400" w:lineRule="exact"/>
        <w:ind w:firstLine="480" w:firstLineChars="200"/>
        <w:rPr>
          <w:rFonts w:ascii="宋体" w:hAnsi="宋体"/>
          <w:sz w:val="24"/>
          <w:szCs w:val="24"/>
        </w:rPr>
      </w:pPr>
      <w:r>
        <w:rPr>
          <w:rFonts w:hint="eastAsia" w:ascii="宋体" w:hAnsi="宋体"/>
          <w:sz w:val="24"/>
          <w:szCs w:val="24"/>
        </w:rPr>
        <w:t>（4）投标供应商须为本项目确定一名项目负责人。投标供应商与采购人均需安排专人负责联系（手机号码、短信、微信），并确认产品需求量、加工要求（如有）、配送时间及配送要求。</w:t>
      </w:r>
    </w:p>
    <w:p>
      <w:pPr>
        <w:snapToGrid w:val="0"/>
        <w:spacing w:line="400" w:lineRule="exact"/>
        <w:ind w:firstLine="480" w:firstLineChars="200"/>
        <w:rPr>
          <w:rFonts w:ascii="宋体" w:hAnsi="宋体"/>
          <w:sz w:val="24"/>
          <w:szCs w:val="24"/>
        </w:rPr>
      </w:pPr>
      <w:r>
        <w:rPr>
          <w:rFonts w:hint="eastAsia" w:ascii="宋体" w:hAnsi="宋体"/>
          <w:sz w:val="24"/>
          <w:szCs w:val="24"/>
        </w:rPr>
        <w:t>（5）投标供应商具备各项应急措施，有明确应急联系人（手机号码、短信、微信），保证在各种市场变化及遇突发事件下，能保证货品数量、质量并能及时满足食堂食品及原材料供应。</w:t>
      </w:r>
    </w:p>
    <w:p>
      <w:pPr>
        <w:snapToGrid w:val="0"/>
        <w:spacing w:line="400" w:lineRule="exact"/>
        <w:ind w:firstLine="482" w:firstLineChars="200"/>
        <w:rPr>
          <w:rFonts w:ascii="宋体" w:hAnsi="宋体"/>
          <w:b/>
          <w:sz w:val="24"/>
          <w:szCs w:val="24"/>
        </w:rPr>
      </w:pPr>
      <w:r>
        <w:rPr>
          <w:rFonts w:hint="eastAsia" w:ascii="宋体" w:hAnsi="宋体"/>
          <w:b/>
          <w:sz w:val="24"/>
          <w:szCs w:val="24"/>
        </w:rPr>
        <w:t>（三）仓储管理要求</w:t>
      </w:r>
    </w:p>
    <w:p>
      <w:pPr>
        <w:snapToGrid w:val="0"/>
        <w:spacing w:line="400" w:lineRule="exact"/>
        <w:ind w:firstLine="480" w:firstLineChars="200"/>
        <w:rPr>
          <w:rFonts w:ascii="宋体" w:hAnsi="宋体"/>
          <w:sz w:val="24"/>
          <w:szCs w:val="24"/>
        </w:rPr>
      </w:pPr>
      <w:r>
        <w:rPr>
          <w:rFonts w:hint="eastAsia" w:ascii="宋体" w:hAnsi="宋体"/>
          <w:sz w:val="24"/>
          <w:szCs w:val="24"/>
        </w:rPr>
        <w:t>（1）投标供应商应建立严格的专人验收登记制度，详细记载购入产品的种类、数量和时间，勤进勤出，先进先出，定期清仓检查，防止食品过期、变质、霉变、生虫，及时清理不符合食品安全要求的食品；</w:t>
      </w:r>
    </w:p>
    <w:p>
      <w:pPr>
        <w:snapToGrid w:val="0"/>
        <w:spacing w:line="400" w:lineRule="exact"/>
        <w:ind w:firstLine="480" w:firstLineChars="200"/>
        <w:rPr>
          <w:rFonts w:ascii="宋体" w:hAnsi="宋体"/>
          <w:sz w:val="24"/>
          <w:szCs w:val="24"/>
        </w:rPr>
      </w:pPr>
      <w:r>
        <w:rPr>
          <w:rFonts w:hint="eastAsia" w:ascii="宋体" w:hAnsi="宋体"/>
          <w:sz w:val="24"/>
          <w:szCs w:val="24"/>
        </w:rPr>
        <w:t>（2）食材配送方需对自己的仓储场地与供应商的仓储场地不定期检查，并形成检查报告存档，甲方将不定期抽查；</w:t>
      </w:r>
    </w:p>
    <w:p>
      <w:pPr>
        <w:snapToGrid w:val="0"/>
        <w:spacing w:line="400" w:lineRule="exact"/>
        <w:ind w:firstLine="480" w:firstLineChars="200"/>
        <w:rPr>
          <w:rFonts w:ascii="宋体" w:hAnsi="宋体"/>
          <w:sz w:val="24"/>
          <w:szCs w:val="24"/>
        </w:rPr>
      </w:pPr>
      <w:r>
        <w:rPr>
          <w:rFonts w:hint="eastAsia" w:ascii="宋体" w:hAnsi="宋体"/>
          <w:sz w:val="24"/>
          <w:szCs w:val="24"/>
        </w:rPr>
        <w:t>（3）食材配送方仓储场地需符合食品仓储要求，保持库房温度湿度和卫生情况；</w:t>
      </w:r>
    </w:p>
    <w:p>
      <w:pPr>
        <w:snapToGrid w:val="0"/>
        <w:spacing w:line="400" w:lineRule="exact"/>
        <w:ind w:firstLine="480" w:firstLineChars="200"/>
        <w:rPr>
          <w:rFonts w:ascii="宋体" w:hAnsi="宋体"/>
          <w:sz w:val="24"/>
          <w:szCs w:val="24"/>
        </w:rPr>
      </w:pPr>
      <w:r>
        <w:rPr>
          <w:rFonts w:hint="eastAsia" w:ascii="宋体" w:hAnsi="宋体"/>
          <w:sz w:val="24"/>
          <w:szCs w:val="24"/>
        </w:rPr>
        <w:t>（4）针对不同类别的食材采取分类、分架、隔墙、隔地存放管理，各类食品有明显标识，易于查找，有异味或易潮食品应密封保存或分库存放，易腐食品要及时冷藏或冷冻保存；食品与非食品分库存放，不得与洗化用品和日杂用品等混放；</w:t>
      </w:r>
    </w:p>
    <w:p>
      <w:pPr>
        <w:snapToGrid w:val="0"/>
        <w:spacing w:line="400" w:lineRule="exact"/>
        <w:ind w:firstLine="482" w:firstLineChars="200"/>
        <w:rPr>
          <w:rFonts w:ascii="宋体" w:hAnsi="宋体"/>
          <w:b/>
          <w:sz w:val="24"/>
          <w:szCs w:val="24"/>
        </w:rPr>
      </w:pPr>
      <w:r>
        <w:rPr>
          <w:rFonts w:hint="eastAsia" w:ascii="宋体" w:hAnsi="宋体"/>
          <w:b/>
          <w:sz w:val="24"/>
          <w:szCs w:val="24"/>
        </w:rPr>
        <w:t>（四）人员配备管理方案</w:t>
      </w:r>
    </w:p>
    <w:p>
      <w:pPr>
        <w:snapToGrid w:val="0"/>
        <w:spacing w:line="400" w:lineRule="exact"/>
        <w:ind w:firstLine="480" w:firstLineChars="200"/>
        <w:rPr>
          <w:rFonts w:ascii="宋体" w:hAnsi="宋体"/>
          <w:sz w:val="24"/>
          <w:szCs w:val="24"/>
        </w:rPr>
      </w:pPr>
      <w:r>
        <w:rPr>
          <w:rFonts w:hint="eastAsia" w:ascii="宋体" w:hAnsi="宋体"/>
          <w:sz w:val="24"/>
          <w:szCs w:val="24"/>
        </w:rPr>
        <w:t>（1）配送人员为中标供应商正式员工，提前向采购人报备，不经采购人书面同意，不允许更换配送人员，每次配送至少要有2名配送员，持有健康证，专人专岗，定期体检；</w:t>
      </w:r>
    </w:p>
    <w:p>
      <w:pPr>
        <w:snapToGrid w:val="0"/>
        <w:spacing w:line="400" w:lineRule="exact"/>
        <w:ind w:firstLine="480" w:firstLineChars="200"/>
        <w:rPr>
          <w:rFonts w:ascii="宋体" w:hAnsi="宋体"/>
          <w:sz w:val="24"/>
          <w:szCs w:val="24"/>
        </w:rPr>
      </w:pPr>
      <w:r>
        <w:rPr>
          <w:rFonts w:hint="eastAsia" w:ascii="宋体" w:hAnsi="宋体"/>
          <w:sz w:val="24"/>
          <w:szCs w:val="24"/>
        </w:rPr>
        <w:t>（2）食材配送员必须穿戴整洁的工作衣帽，每日消毒，具有基本的食品安全常识，了解食品卫生相关的法律法规；</w:t>
      </w:r>
    </w:p>
    <w:p>
      <w:pPr>
        <w:snapToGrid w:val="0"/>
        <w:spacing w:line="400" w:lineRule="exact"/>
        <w:ind w:firstLine="480" w:firstLineChars="200"/>
        <w:rPr>
          <w:rFonts w:ascii="宋体" w:hAnsi="宋体"/>
          <w:sz w:val="24"/>
          <w:szCs w:val="24"/>
        </w:rPr>
      </w:pPr>
      <w:r>
        <w:rPr>
          <w:rFonts w:hint="eastAsia" w:ascii="宋体" w:hAnsi="宋体"/>
          <w:sz w:val="24"/>
          <w:szCs w:val="24"/>
        </w:rPr>
        <w:t>（3）加强对食材配送员的培训，装卸食品原料、成品、半成品时，食品不能接触地面，也不能随意堆放在马路边；</w:t>
      </w:r>
    </w:p>
    <w:p>
      <w:pPr>
        <w:snapToGrid w:val="0"/>
        <w:spacing w:line="400" w:lineRule="exact"/>
        <w:ind w:firstLine="482" w:firstLineChars="200"/>
        <w:rPr>
          <w:rFonts w:ascii="宋体" w:hAnsi="宋体"/>
          <w:b/>
          <w:bCs/>
          <w:sz w:val="24"/>
          <w:szCs w:val="24"/>
        </w:rPr>
      </w:pPr>
      <w:r>
        <w:rPr>
          <w:rFonts w:hint="eastAsia" w:ascii="宋体" w:hAnsi="宋体"/>
          <w:b/>
          <w:bCs/>
          <w:sz w:val="24"/>
          <w:szCs w:val="24"/>
        </w:rPr>
        <w:t>（五）配送运输车辆</w:t>
      </w:r>
    </w:p>
    <w:p>
      <w:pPr>
        <w:snapToGrid w:val="0"/>
        <w:spacing w:line="400" w:lineRule="exact"/>
        <w:ind w:firstLine="480" w:firstLineChars="200"/>
        <w:rPr>
          <w:rFonts w:ascii="宋体" w:hAnsi="宋体"/>
          <w:sz w:val="24"/>
          <w:szCs w:val="24"/>
        </w:rPr>
      </w:pPr>
      <w:r>
        <w:rPr>
          <w:rFonts w:hint="eastAsia" w:ascii="宋体" w:hAnsi="宋体"/>
          <w:sz w:val="24"/>
          <w:szCs w:val="24"/>
        </w:rPr>
        <w:t>（1）配送车辆要向采购人报备，不经采购人书面同意，不允许更换配送车辆，专车专送，不得与其他单位配送食品混装，配送前对车辆进行卫生清理与消毒并做好消毒记录；</w:t>
      </w:r>
    </w:p>
    <w:p>
      <w:pPr>
        <w:snapToGrid w:val="0"/>
        <w:spacing w:line="400" w:lineRule="exact"/>
        <w:ind w:firstLine="480" w:firstLineChars="200"/>
        <w:rPr>
          <w:rFonts w:ascii="宋体" w:hAnsi="宋体"/>
          <w:sz w:val="24"/>
          <w:szCs w:val="24"/>
        </w:rPr>
      </w:pPr>
      <w:r>
        <w:rPr>
          <w:rFonts w:hint="eastAsia" w:ascii="宋体" w:hAnsi="宋体"/>
          <w:sz w:val="24"/>
          <w:szCs w:val="24"/>
        </w:rPr>
        <w:t>（2）配送车辆需符合生鲜配送、冷藏配送的要求、不得用面包车、货拉拉等不符合标准的车辆；</w:t>
      </w:r>
    </w:p>
    <w:p>
      <w:pPr>
        <w:snapToGrid w:val="0"/>
        <w:spacing w:line="400" w:lineRule="exact"/>
        <w:ind w:firstLine="480" w:firstLineChars="200"/>
        <w:rPr>
          <w:rFonts w:ascii="宋体" w:hAnsi="宋体"/>
          <w:sz w:val="24"/>
          <w:szCs w:val="24"/>
        </w:rPr>
      </w:pPr>
      <w:r>
        <w:rPr>
          <w:rFonts w:hint="eastAsia" w:ascii="宋体" w:hAnsi="宋体"/>
          <w:sz w:val="24"/>
          <w:szCs w:val="24"/>
        </w:rPr>
        <w:t>（3）冷链食品需配备冷链配送专用车，并随车提供每日蔬菜、水果农残检测报告和肉类的动物检疫合格证明；</w:t>
      </w:r>
    </w:p>
    <w:p>
      <w:pPr>
        <w:snapToGrid w:val="0"/>
        <w:spacing w:line="400" w:lineRule="exact"/>
        <w:ind w:firstLine="480" w:firstLineChars="200"/>
      </w:pPr>
      <w:r>
        <w:rPr>
          <w:rFonts w:hint="eastAsia" w:ascii="宋体" w:hAnsi="宋体"/>
          <w:sz w:val="24"/>
          <w:szCs w:val="24"/>
        </w:rPr>
        <w:t>（4）配送车辆上食品不与其他产品混装、不挤压；</w:t>
      </w:r>
    </w:p>
    <w:p>
      <w:pPr>
        <w:snapToGrid w:val="0"/>
        <w:spacing w:line="440" w:lineRule="exact"/>
        <w:ind w:left="600"/>
        <w:rPr>
          <w:rFonts w:ascii="宋体"/>
          <w:color w:val="000000"/>
          <w:sz w:val="24"/>
        </w:rPr>
      </w:pPr>
      <w:r>
        <w:rPr>
          <w:rFonts w:hint="eastAsia" w:ascii="宋体"/>
          <w:b/>
          <w:color w:val="000000"/>
          <w:sz w:val="24"/>
        </w:rPr>
        <w:t>（六）验收标准</w:t>
      </w:r>
    </w:p>
    <w:p>
      <w:pPr>
        <w:snapToGrid w:val="0"/>
        <w:spacing w:line="400" w:lineRule="exact"/>
        <w:ind w:firstLine="480" w:firstLineChars="200"/>
        <w:rPr>
          <w:rFonts w:ascii="宋体" w:hAnsi="宋体"/>
          <w:sz w:val="24"/>
          <w:szCs w:val="24"/>
        </w:rPr>
      </w:pPr>
      <w:r>
        <w:rPr>
          <w:rFonts w:hint="eastAsia" w:ascii="宋体" w:hAnsi="宋体"/>
          <w:sz w:val="24"/>
          <w:szCs w:val="24"/>
        </w:rPr>
        <w:t>按照采购产品质量及要求的规定开袋逐一检查。验收人员对不合格货品有权要求无条件进行退货、换货。</w:t>
      </w:r>
    </w:p>
    <w:p>
      <w:pPr>
        <w:snapToGrid w:val="0"/>
        <w:spacing w:line="400" w:lineRule="exact"/>
        <w:ind w:firstLine="482" w:firstLineChars="200"/>
        <w:rPr>
          <w:rFonts w:ascii="宋体" w:hAnsi="宋体"/>
          <w:b/>
          <w:sz w:val="24"/>
          <w:szCs w:val="24"/>
        </w:rPr>
      </w:pPr>
      <w:r>
        <w:rPr>
          <w:rFonts w:hint="eastAsia" w:ascii="宋体" w:hAnsi="宋体"/>
          <w:b/>
          <w:sz w:val="24"/>
          <w:szCs w:val="24"/>
        </w:rPr>
        <w:t>六、售后服务要求</w:t>
      </w:r>
    </w:p>
    <w:p>
      <w:pPr>
        <w:adjustRightInd w:val="0"/>
        <w:snapToGrid w:val="0"/>
        <w:spacing w:line="400" w:lineRule="exact"/>
        <w:jc w:val="left"/>
        <w:rPr>
          <w:rFonts w:ascii="宋体" w:hAnsi="宋体"/>
          <w:sz w:val="24"/>
          <w:szCs w:val="24"/>
        </w:rPr>
      </w:pPr>
      <w:r>
        <w:rPr>
          <w:rFonts w:hint="eastAsia" w:ascii="宋体" w:hAnsi="宋体"/>
          <w:sz w:val="24"/>
          <w:szCs w:val="24"/>
        </w:rPr>
        <w:t>1、提供售后服务呼叫电话和响应时间</w:t>
      </w:r>
    </w:p>
    <w:p>
      <w:pPr>
        <w:adjustRightInd w:val="0"/>
        <w:snapToGrid w:val="0"/>
        <w:spacing w:line="400" w:lineRule="exact"/>
        <w:ind w:left="420"/>
        <w:jc w:val="left"/>
        <w:rPr>
          <w:rFonts w:ascii="宋体" w:hAnsi="宋体"/>
          <w:sz w:val="24"/>
          <w:szCs w:val="24"/>
        </w:rPr>
      </w:pPr>
      <w:r>
        <w:rPr>
          <w:rFonts w:hint="eastAsia" w:ascii="宋体" w:hAnsi="宋体"/>
          <w:sz w:val="24"/>
          <w:szCs w:val="24"/>
        </w:rPr>
        <w:t>（1）设置专人专线，且保持电话24小时畅通，有人接听；</w:t>
      </w:r>
    </w:p>
    <w:p>
      <w:pPr>
        <w:adjustRightInd w:val="0"/>
        <w:snapToGrid w:val="0"/>
        <w:spacing w:line="400" w:lineRule="exact"/>
        <w:ind w:left="420"/>
        <w:jc w:val="left"/>
        <w:rPr>
          <w:rFonts w:ascii="宋体" w:hAnsi="宋体"/>
          <w:sz w:val="24"/>
          <w:szCs w:val="24"/>
        </w:rPr>
      </w:pPr>
      <w:r>
        <w:rPr>
          <w:rFonts w:hint="eastAsia" w:ascii="宋体" w:hAnsi="宋体"/>
          <w:sz w:val="24"/>
          <w:szCs w:val="24"/>
        </w:rPr>
        <w:t>（2）当遇突发情况时，需在30分钟内做出响应并提出解决方案；</w:t>
      </w:r>
    </w:p>
    <w:p>
      <w:pPr>
        <w:adjustRightInd w:val="0"/>
        <w:snapToGrid w:val="0"/>
        <w:spacing w:line="400" w:lineRule="exact"/>
        <w:ind w:left="420"/>
        <w:jc w:val="left"/>
        <w:rPr>
          <w:rFonts w:ascii="宋体" w:hAnsi="宋体"/>
          <w:sz w:val="24"/>
          <w:szCs w:val="24"/>
        </w:rPr>
      </w:pPr>
      <w:r>
        <w:rPr>
          <w:rFonts w:hint="eastAsia" w:ascii="宋体" w:hAnsi="宋体"/>
          <w:sz w:val="24"/>
          <w:szCs w:val="24"/>
        </w:rPr>
        <w:t>（3）若遇重大事故，应立即安排人员到现场配合调查工作，并做好事后总结；</w:t>
      </w:r>
    </w:p>
    <w:p>
      <w:pPr>
        <w:adjustRightInd w:val="0"/>
        <w:snapToGrid w:val="0"/>
        <w:spacing w:line="400" w:lineRule="exact"/>
        <w:jc w:val="left"/>
        <w:rPr>
          <w:rFonts w:ascii="宋体" w:hAnsi="宋体"/>
          <w:sz w:val="24"/>
          <w:szCs w:val="24"/>
        </w:rPr>
      </w:pPr>
      <w:r>
        <w:rPr>
          <w:rFonts w:hint="eastAsia" w:ascii="宋体" w:hAnsi="宋体"/>
          <w:sz w:val="24"/>
          <w:szCs w:val="24"/>
        </w:rPr>
        <w:t>2、现场服务支持能力</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（1）如遇突发情况，需紧急加送时，能在30分钟内加送到指定地点；</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（2）遇重大接待，中标人需保持有工作人员在现场，随时做好服务支持；</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（3）不定期对甲方干部职工进行新鲜健康食材选取的宣传科普；</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（4）配合采购人验货，紧急情况下帮助采购人进行食材初加工；</w:t>
      </w:r>
    </w:p>
    <w:p>
      <w:pPr>
        <w:adjustRightInd w:val="0"/>
        <w:snapToGrid w:val="0"/>
        <w:spacing w:line="400" w:lineRule="exact"/>
        <w:jc w:val="left"/>
        <w:rPr>
          <w:rFonts w:ascii="宋体" w:hAnsi="宋体"/>
          <w:sz w:val="24"/>
          <w:szCs w:val="24"/>
        </w:rPr>
      </w:pPr>
      <w:r>
        <w:rPr>
          <w:rFonts w:hint="eastAsia" w:ascii="宋体" w:hAnsi="宋体"/>
          <w:sz w:val="24"/>
          <w:szCs w:val="24"/>
        </w:rPr>
        <w:t>3、售后巡检及质保服务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（1）中标人对食材质量负全责，若出现食材残损无法食用或规格不一，如水果大小规格不一，相差较大的，应及时更换，否则采购人可拒收或不支付该次货款；</w:t>
      </w:r>
    </w:p>
    <w:p>
      <w:pPr>
        <w:adjustRightInd w:val="0"/>
        <w:snapToGrid w:val="0"/>
        <w:spacing w:line="400" w:lineRule="exact"/>
        <w:ind w:left="562"/>
        <w:jc w:val="left"/>
        <w:rPr>
          <w:rFonts w:ascii="宋体" w:hAnsi="宋体"/>
          <w:sz w:val="24"/>
          <w:szCs w:val="24"/>
        </w:rPr>
      </w:pPr>
      <w:r>
        <w:rPr>
          <w:rFonts w:hint="eastAsia" w:ascii="宋体" w:hAnsi="宋体"/>
          <w:sz w:val="24"/>
          <w:szCs w:val="24"/>
        </w:rPr>
        <w:t>（2）定期对配送工作进行总结，对配送中出现的问题进行整改；</w:t>
      </w:r>
    </w:p>
    <w:p>
      <w:pPr>
        <w:adjustRightInd w:val="0"/>
        <w:snapToGrid w:val="0"/>
        <w:spacing w:line="400" w:lineRule="exact"/>
        <w:ind w:left="562"/>
        <w:jc w:val="left"/>
        <w:rPr>
          <w:rFonts w:ascii="宋体" w:hAnsi="宋体"/>
          <w:sz w:val="24"/>
          <w:szCs w:val="24"/>
        </w:rPr>
      </w:pPr>
      <w:r>
        <w:rPr>
          <w:rFonts w:hint="eastAsia" w:ascii="宋体" w:hAnsi="宋体"/>
          <w:sz w:val="24"/>
          <w:szCs w:val="24"/>
        </w:rPr>
        <w:t>（3）加强交流沟通，及时反馈相关信息，对发现的问题及时整改；</w:t>
      </w:r>
    </w:p>
    <w:p>
      <w:pPr>
        <w:adjustRightInd w:val="0"/>
        <w:snapToGrid w:val="0"/>
        <w:spacing w:line="400" w:lineRule="exact"/>
        <w:ind w:left="562"/>
        <w:jc w:val="left"/>
        <w:rPr>
          <w:rFonts w:ascii="宋体" w:hAnsi="宋体"/>
          <w:sz w:val="24"/>
          <w:szCs w:val="24"/>
        </w:rPr>
      </w:pPr>
      <w:r>
        <w:rPr>
          <w:rFonts w:hint="eastAsia" w:ascii="宋体" w:hAnsi="宋体"/>
          <w:sz w:val="24"/>
          <w:szCs w:val="24"/>
        </w:rPr>
        <w:t>（4）每月向采购人报送月工作总结，内容不能千篇一律，要及时反映最新的工作动向；</w:t>
      </w:r>
    </w:p>
    <w:p>
      <w:pPr>
        <w:adjustRightInd w:val="0"/>
        <w:snapToGrid w:val="0"/>
        <w:spacing w:line="400" w:lineRule="exact"/>
        <w:ind w:left="562"/>
        <w:jc w:val="left"/>
        <w:rPr>
          <w:rFonts w:ascii="宋体" w:hAnsi="宋体"/>
          <w:sz w:val="24"/>
          <w:szCs w:val="24"/>
        </w:rPr>
      </w:pPr>
      <w:r>
        <w:rPr>
          <w:rFonts w:hint="eastAsia" w:ascii="宋体" w:hAnsi="宋体"/>
          <w:sz w:val="24"/>
          <w:szCs w:val="24"/>
        </w:rPr>
        <w:t>（5）主动向采购人了解当日食材质量，做好后期调整完善；</w:t>
      </w:r>
    </w:p>
    <w:p>
      <w:pPr>
        <w:adjustRightInd w:val="0"/>
        <w:snapToGrid w:val="0"/>
        <w:spacing w:line="400" w:lineRule="exact"/>
        <w:ind w:left="562"/>
        <w:jc w:val="left"/>
        <w:rPr>
          <w:rFonts w:ascii="宋体" w:hAnsi="宋体"/>
          <w:b/>
          <w:sz w:val="24"/>
          <w:szCs w:val="24"/>
        </w:rPr>
      </w:pPr>
      <w:r>
        <w:rPr>
          <w:rFonts w:hint="eastAsia" w:ascii="宋体" w:hAnsi="宋体"/>
          <w:b/>
          <w:sz w:val="24"/>
          <w:szCs w:val="24"/>
        </w:rPr>
        <w:t>七、增值服务要求</w:t>
      </w:r>
    </w:p>
    <w:p>
      <w:pPr>
        <w:adjustRightInd w:val="0"/>
        <w:snapToGrid w:val="0"/>
        <w:spacing w:line="400" w:lineRule="exact"/>
        <w:ind w:left="562"/>
        <w:jc w:val="left"/>
        <w:rPr>
          <w:rFonts w:ascii="宋体" w:hAnsi="宋体"/>
          <w:sz w:val="24"/>
          <w:szCs w:val="24"/>
        </w:rPr>
      </w:pPr>
      <w:r>
        <w:rPr>
          <w:rFonts w:hint="eastAsia" w:ascii="宋体" w:hAnsi="宋体"/>
          <w:sz w:val="24"/>
          <w:szCs w:val="24"/>
        </w:rPr>
        <w:t>1、提供健康营养膳食建议服务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（1）为采购人配备营养师，根据季节进行菜品搭配、荤素搭配，应季特色菜品更新；</w:t>
      </w:r>
    </w:p>
    <w:p>
      <w:pPr>
        <w:adjustRightInd w:val="0"/>
        <w:snapToGrid w:val="0"/>
        <w:spacing w:line="400" w:lineRule="exact"/>
        <w:ind w:left="562"/>
        <w:jc w:val="left"/>
        <w:rPr>
          <w:rFonts w:ascii="宋体" w:hAnsi="宋体"/>
          <w:sz w:val="24"/>
          <w:szCs w:val="24"/>
        </w:rPr>
      </w:pPr>
      <w:r>
        <w:rPr>
          <w:rFonts w:hint="eastAsia" w:ascii="宋体" w:hAnsi="宋体"/>
          <w:sz w:val="24"/>
          <w:szCs w:val="24"/>
        </w:rPr>
        <w:t>（2）做好合理菜谱建议，做到老少皆宜、清淡及重口味搭配、油炸及非油炸搭配；</w:t>
      </w:r>
    </w:p>
    <w:p>
      <w:pPr>
        <w:adjustRightInd w:val="0"/>
        <w:snapToGrid w:val="0"/>
        <w:spacing w:line="400" w:lineRule="exact"/>
        <w:ind w:left="562"/>
        <w:jc w:val="left"/>
        <w:rPr>
          <w:rFonts w:ascii="宋体" w:hAnsi="宋体"/>
          <w:sz w:val="24"/>
          <w:szCs w:val="24"/>
        </w:rPr>
      </w:pPr>
      <w:r>
        <w:rPr>
          <w:rFonts w:hint="eastAsia" w:ascii="宋体" w:hAnsi="宋体"/>
          <w:sz w:val="24"/>
          <w:szCs w:val="24"/>
        </w:rPr>
        <w:t>（3）根据地方区域（外地），适合的口味及特色进行搭配；</w:t>
      </w:r>
    </w:p>
    <w:p>
      <w:pPr>
        <w:adjustRightInd w:val="0"/>
        <w:snapToGrid w:val="0"/>
        <w:spacing w:line="400" w:lineRule="exact"/>
        <w:ind w:left="562"/>
        <w:jc w:val="left"/>
        <w:rPr>
          <w:rFonts w:ascii="宋体" w:hAnsi="宋体"/>
          <w:sz w:val="24"/>
          <w:szCs w:val="24"/>
        </w:rPr>
      </w:pPr>
      <w:r>
        <w:rPr>
          <w:rFonts w:hint="eastAsia" w:ascii="宋体" w:hAnsi="宋体"/>
          <w:sz w:val="24"/>
          <w:szCs w:val="24"/>
        </w:rPr>
        <w:t>2、公务用餐菜谱定制服务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（1）根据季节、区域及人数，制定合理的公务用餐菜谱，注意营养搭配、荤素搭配，推荐应季、健康新鲜的肉类、蔬菜、水果；</w:t>
      </w:r>
    </w:p>
    <w:p>
      <w:pPr>
        <w:adjustRightInd w:val="0"/>
        <w:snapToGrid w:val="0"/>
        <w:spacing w:line="400" w:lineRule="exact"/>
        <w:ind w:left="142" w:firstLine="240" w:firstLineChars="100"/>
        <w:jc w:val="left"/>
        <w:rPr>
          <w:rFonts w:ascii="宋体" w:hAnsi="宋体"/>
          <w:sz w:val="24"/>
          <w:szCs w:val="24"/>
        </w:rPr>
      </w:pPr>
      <w:r>
        <w:rPr>
          <w:rFonts w:hint="eastAsia" w:ascii="宋体" w:hAnsi="宋体"/>
          <w:sz w:val="24"/>
          <w:szCs w:val="24"/>
        </w:rPr>
        <w:t>（2）主动加强与采购人沟通，了解公务用餐菜谱情况，根据反馈及时调整完善；</w:t>
      </w:r>
    </w:p>
    <w:p>
      <w:pPr>
        <w:adjustRightInd w:val="0"/>
        <w:snapToGrid w:val="0"/>
        <w:spacing w:line="400" w:lineRule="exact"/>
        <w:ind w:left="562"/>
        <w:jc w:val="left"/>
        <w:rPr>
          <w:rFonts w:ascii="宋体" w:hAnsi="宋体"/>
          <w:sz w:val="24"/>
          <w:szCs w:val="24"/>
        </w:rPr>
      </w:pPr>
      <w:r>
        <w:rPr>
          <w:rFonts w:hint="eastAsia" w:ascii="宋体" w:hAnsi="宋体"/>
          <w:sz w:val="24"/>
          <w:szCs w:val="24"/>
        </w:rPr>
        <w:t>（3）加强与食堂工作人员沟通，提升菜品质量，针对菜品数量进行规划，避免浪费；</w:t>
      </w:r>
    </w:p>
    <w:p>
      <w:pPr>
        <w:adjustRightInd w:val="0"/>
        <w:snapToGrid w:val="0"/>
        <w:spacing w:line="400" w:lineRule="exact"/>
        <w:ind w:left="142" w:firstLine="480" w:firstLineChars="200"/>
        <w:jc w:val="left"/>
        <w:rPr>
          <w:rFonts w:ascii="宋体" w:hAnsi="宋体"/>
          <w:sz w:val="24"/>
          <w:szCs w:val="24"/>
        </w:rPr>
      </w:pPr>
      <w:r>
        <w:rPr>
          <w:rFonts w:hint="eastAsia" w:ascii="宋体" w:hAnsi="宋体"/>
          <w:sz w:val="24"/>
          <w:szCs w:val="24"/>
        </w:rPr>
        <w:t>3、食材净菜加工服务</w:t>
      </w:r>
    </w:p>
    <w:p>
      <w:pPr>
        <w:adjustRightInd w:val="0"/>
        <w:snapToGrid w:val="0"/>
        <w:spacing w:line="400" w:lineRule="exact"/>
        <w:ind w:left="142" w:firstLine="480" w:firstLineChars="200"/>
        <w:jc w:val="left"/>
        <w:rPr>
          <w:rFonts w:ascii="宋体" w:hAnsi="宋体"/>
          <w:sz w:val="24"/>
          <w:szCs w:val="24"/>
        </w:rPr>
      </w:pPr>
      <w:r>
        <w:rPr>
          <w:rFonts w:hint="eastAsia" w:ascii="宋体" w:hAnsi="宋体"/>
          <w:sz w:val="24"/>
          <w:szCs w:val="24"/>
        </w:rPr>
        <w:t>（1）如采购人有需求，提供数量与质量达到采购人要求的净菜品类；</w:t>
      </w:r>
    </w:p>
    <w:p>
      <w:pPr>
        <w:adjustRightInd w:val="0"/>
        <w:snapToGrid w:val="0"/>
        <w:spacing w:line="400" w:lineRule="exact"/>
        <w:ind w:left="562"/>
        <w:jc w:val="left"/>
        <w:rPr>
          <w:rFonts w:ascii="宋体" w:hAnsi="宋体"/>
          <w:sz w:val="24"/>
          <w:szCs w:val="24"/>
        </w:rPr>
      </w:pPr>
      <w:r>
        <w:rPr>
          <w:rFonts w:hint="eastAsia" w:ascii="宋体" w:hAnsi="宋体"/>
          <w:sz w:val="24"/>
          <w:szCs w:val="24"/>
        </w:rPr>
        <w:t>（2）如遇处理程序较为复杂的食材时，配合采购人对食材进行深加工；</w:t>
      </w:r>
    </w:p>
    <w:p>
      <w:pPr>
        <w:adjustRightInd w:val="0"/>
        <w:snapToGrid w:val="0"/>
        <w:spacing w:line="400" w:lineRule="exact"/>
        <w:ind w:left="562"/>
        <w:jc w:val="left"/>
        <w:rPr>
          <w:rFonts w:ascii="宋体" w:hAnsi="宋体"/>
          <w:sz w:val="24"/>
          <w:szCs w:val="24"/>
        </w:rPr>
      </w:pPr>
      <w:r>
        <w:rPr>
          <w:rFonts w:hint="eastAsia" w:ascii="宋体" w:hAnsi="宋体"/>
          <w:sz w:val="24"/>
          <w:szCs w:val="24"/>
        </w:rPr>
        <w:t>（3）水产类食材现场宰杀处理；</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（4）对易损伤类水果进行分装。</w:t>
      </w:r>
    </w:p>
    <w:p>
      <w:pPr>
        <w:snapToGrid w:val="0"/>
        <w:spacing w:line="440" w:lineRule="exact"/>
        <w:ind w:left="426"/>
        <w:rPr>
          <w:rFonts w:ascii="宋体"/>
          <w:sz w:val="24"/>
        </w:rPr>
      </w:pPr>
    </w:p>
    <w:p>
      <w:pPr>
        <w:snapToGrid w:val="0"/>
        <w:spacing w:line="440" w:lineRule="exact"/>
        <w:ind w:firstLine="482" w:firstLineChars="200"/>
        <w:rPr>
          <w:rFonts w:ascii="宋体"/>
          <w:b/>
          <w:color w:val="000000"/>
          <w:sz w:val="24"/>
        </w:rPr>
      </w:pPr>
      <w:r>
        <w:rPr>
          <w:rFonts w:hint="eastAsia" w:ascii="宋体"/>
          <w:b/>
          <w:color w:val="000000"/>
          <w:sz w:val="24"/>
        </w:rPr>
        <w:t>八、投标供应商需执行如下各项制度</w:t>
      </w:r>
    </w:p>
    <w:p>
      <w:pPr>
        <w:spacing w:line="360" w:lineRule="auto"/>
        <w:jc w:val="center"/>
        <w:rPr>
          <w:rFonts w:ascii="宋体"/>
          <w:b/>
          <w:sz w:val="24"/>
        </w:rPr>
      </w:pPr>
      <w:r>
        <w:rPr>
          <w:rFonts w:hint="eastAsia" w:ascii="宋体"/>
          <w:b/>
          <w:sz w:val="24"/>
        </w:rPr>
        <w:t>《食品配送管理制度》</w:t>
      </w:r>
    </w:p>
    <w:p>
      <w:pPr>
        <w:spacing w:line="360" w:lineRule="auto"/>
        <w:ind w:firstLine="480" w:firstLineChars="200"/>
        <w:rPr>
          <w:rFonts w:ascii="宋体"/>
          <w:sz w:val="24"/>
        </w:rPr>
      </w:pPr>
      <w:r>
        <w:rPr>
          <w:rFonts w:hint="eastAsia" w:ascii="宋体"/>
          <w:sz w:val="24"/>
        </w:rPr>
        <w:t>1、配送人员应该严格按照武侯区机关事务中心要求的时间提前赶到各个点位，不得迟到。应按要求提前清点货物和检查货品的质量。送来的食材绝对不能出现有腐烂变质的生鲜货物。如果出现一次，在月度食材配送综合测评表中扣除该测评项目相应分数；</w:t>
      </w:r>
    </w:p>
    <w:p>
      <w:pPr>
        <w:spacing w:line="360" w:lineRule="auto"/>
        <w:ind w:firstLine="480" w:firstLineChars="200"/>
        <w:rPr>
          <w:rFonts w:ascii="宋体"/>
          <w:sz w:val="24"/>
        </w:rPr>
      </w:pPr>
      <w:r>
        <w:rPr>
          <w:rFonts w:hint="eastAsia" w:ascii="宋体"/>
          <w:sz w:val="24"/>
        </w:rPr>
        <w:t>2、配送人员应该保证已到达单位货物的安全性和完整性，不能让货物受到损失和丢失，如有损失照价赔偿。在月度食材配送综合测评表中扣除相应分数；</w:t>
      </w:r>
    </w:p>
    <w:p>
      <w:pPr>
        <w:spacing w:line="360" w:lineRule="auto"/>
        <w:ind w:firstLine="600" w:firstLineChars="250"/>
        <w:rPr>
          <w:rFonts w:ascii="宋体"/>
          <w:sz w:val="24"/>
        </w:rPr>
      </w:pPr>
      <w:r>
        <w:rPr>
          <w:rFonts w:hint="eastAsia" w:ascii="宋体"/>
          <w:sz w:val="24"/>
        </w:rPr>
        <w:t>3、配送人员应文明配送，不得作出破坏食材的行为；</w:t>
      </w:r>
    </w:p>
    <w:p>
      <w:pPr>
        <w:spacing w:line="360" w:lineRule="auto"/>
        <w:ind w:firstLine="600" w:firstLineChars="250"/>
        <w:rPr>
          <w:rFonts w:ascii="宋体"/>
          <w:sz w:val="24"/>
        </w:rPr>
      </w:pPr>
      <w:r>
        <w:rPr>
          <w:rFonts w:hint="eastAsia" w:ascii="宋体"/>
          <w:sz w:val="24"/>
        </w:rPr>
        <w:t>4、配送的蔬菜肉类需具有追踪溯源标识或记录记载，并可实现追踪溯源，配送的食品全部都要有相应的防尘、防污染措施，避免外露；</w:t>
      </w:r>
    </w:p>
    <w:p>
      <w:pPr>
        <w:spacing w:line="360" w:lineRule="auto"/>
        <w:ind w:firstLine="600" w:firstLineChars="250"/>
        <w:rPr>
          <w:rFonts w:ascii="宋体"/>
          <w:sz w:val="24"/>
        </w:rPr>
      </w:pPr>
      <w:r>
        <w:rPr>
          <w:rFonts w:hint="eastAsia" w:ascii="宋体"/>
          <w:sz w:val="24"/>
        </w:rPr>
        <w:t>5、配送车辆应符合相关卫生要求，做到每日清洗、消毒并做好消毒记录，严格配送时的卫生要求，车上食品不混装、不挤压；</w:t>
      </w:r>
    </w:p>
    <w:p>
      <w:pPr>
        <w:spacing w:line="360" w:lineRule="auto"/>
        <w:ind w:firstLine="600" w:firstLineChars="250"/>
        <w:rPr>
          <w:rFonts w:ascii="宋体"/>
          <w:sz w:val="24"/>
        </w:rPr>
      </w:pPr>
      <w:r>
        <w:rPr>
          <w:rFonts w:hint="eastAsia" w:ascii="宋体"/>
          <w:sz w:val="24"/>
        </w:rPr>
        <w:t>6、配送时严格清查配送物品的品种、数量等应与订餐明细相符。</w:t>
      </w:r>
    </w:p>
    <w:p>
      <w:pPr>
        <w:spacing w:line="360" w:lineRule="auto"/>
        <w:ind w:firstLine="600" w:firstLineChars="250"/>
        <w:rPr>
          <w:rFonts w:ascii="宋体"/>
          <w:sz w:val="24"/>
        </w:rPr>
      </w:pPr>
      <w:r>
        <w:rPr>
          <w:rFonts w:hint="eastAsia" w:ascii="宋体"/>
          <w:sz w:val="24"/>
        </w:rPr>
        <w:t>7、该项目配送负责人要对其所负责点位全权负责处理日常事务。</w:t>
      </w:r>
    </w:p>
    <w:p>
      <w:pPr>
        <w:spacing w:line="360" w:lineRule="auto"/>
        <w:ind w:firstLine="602" w:firstLineChars="250"/>
        <w:jc w:val="center"/>
        <w:rPr>
          <w:rFonts w:ascii="宋体"/>
          <w:b/>
          <w:sz w:val="24"/>
        </w:rPr>
      </w:pPr>
    </w:p>
    <w:p>
      <w:pPr>
        <w:spacing w:line="360" w:lineRule="auto"/>
        <w:ind w:firstLine="602" w:firstLineChars="250"/>
        <w:jc w:val="center"/>
        <w:rPr>
          <w:rFonts w:ascii="宋体"/>
          <w:b/>
          <w:sz w:val="24"/>
        </w:rPr>
      </w:pPr>
      <w:r>
        <w:rPr>
          <w:rFonts w:hint="eastAsia" w:ascii="宋体"/>
          <w:b/>
          <w:sz w:val="24"/>
        </w:rPr>
        <w:t>《蔬果农药检测制度》</w:t>
      </w:r>
    </w:p>
    <w:p>
      <w:pPr>
        <w:spacing w:line="360" w:lineRule="auto"/>
        <w:ind w:firstLine="600" w:firstLineChars="250"/>
        <w:rPr>
          <w:rFonts w:ascii="宋体"/>
          <w:sz w:val="24"/>
        </w:rPr>
      </w:pPr>
      <w:r>
        <w:rPr>
          <w:rFonts w:hint="eastAsia" w:ascii="宋体"/>
          <w:sz w:val="24"/>
        </w:rPr>
        <w:t>1</w:t>
      </w:r>
      <w:r>
        <w:rPr>
          <w:rFonts w:ascii="宋体"/>
          <w:sz w:val="24"/>
        </w:rPr>
        <w:t>、为确保进入</w:t>
      </w:r>
      <w:r>
        <w:rPr>
          <w:rFonts w:hint="eastAsia" w:ascii="宋体"/>
          <w:sz w:val="24"/>
        </w:rPr>
        <w:t>配送</w:t>
      </w:r>
      <w:r>
        <w:rPr>
          <w:rFonts w:ascii="宋体"/>
          <w:sz w:val="24"/>
        </w:rPr>
        <w:t>的蔬菜安全卫生，按照</w:t>
      </w:r>
      <w:r>
        <w:rPr>
          <w:rFonts w:hint="eastAsia" w:ascii="宋体"/>
          <w:sz w:val="24"/>
        </w:rPr>
        <w:t>国家</w:t>
      </w:r>
      <w:r>
        <w:rPr>
          <w:rFonts w:ascii="宋体"/>
          <w:sz w:val="24"/>
        </w:rPr>
        <w:t>的有关规定，结合实际情况，制定蔬菜农药残留</w:t>
      </w:r>
      <w:r>
        <w:rPr>
          <w:rFonts w:hint="eastAsia" w:ascii="宋体"/>
          <w:sz w:val="24"/>
        </w:rPr>
        <w:t>农药检测</w:t>
      </w:r>
      <w:r>
        <w:rPr>
          <w:rFonts w:ascii="宋体"/>
          <w:sz w:val="24"/>
        </w:rPr>
        <w:t>制度</w:t>
      </w:r>
      <w:r>
        <w:rPr>
          <w:rFonts w:hint="eastAsia" w:ascii="宋体"/>
          <w:sz w:val="24"/>
        </w:rPr>
        <w:t>；</w:t>
      </w:r>
    </w:p>
    <w:p>
      <w:pPr>
        <w:spacing w:line="360" w:lineRule="auto"/>
        <w:ind w:firstLine="600" w:firstLineChars="250"/>
        <w:rPr>
          <w:rFonts w:ascii="宋体"/>
          <w:sz w:val="24"/>
        </w:rPr>
      </w:pPr>
      <w:r>
        <w:rPr>
          <w:rFonts w:hint="eastAsia" w:ascii="宋体"/>
          <w:sz w:val="24"/>
        </w:rPr>
        <w:t>2</w:t>
      </w:r>
      <w:r>
        <w:rPr>
          <w:rFonts w:ascii="宋体"/>
          <w:sz w:val="24"/>
        </w:rPr>
        <w:t>、检测人员上岗前必须经过专业培训；检测前清洗双手，着装整洁；检测过程中必须严格按照检测技术要求规范操作，确保检测的准确性</w:t>
      </w:r>
      <w:r>
        <w:rPr>
          <w:rFonts w:hint="eastAsia" w:ascii="宋体"/>
          <w:sz w:val="24"/>
        </w:rPr>
        <w:t>；</w:t>
      </w:r>
    </w:p>
    <w:p>
      <w:pPr>
        <w:spacing w:line="360" w:lineRule="auto"/>
        <w:ind w:firstLine="600" w:firstLineChars="250"/>
        <w:rPr>
          <w:rFonts w:ascii="宋体"/>
          <w:sz w:val="24"/>
        </w:rPr>
      </w:pPr>
      <w:r>
        <w:rPr>
          <w:rFonts w:hint="eastAsia" w:ascii="宋体"/>
          <w:sz w:val="24"/>
        </w:rPr>
        <w:t>3</w:t>
      </w:r>
      <w:r>
        <w:rPr>
          <w:rFonts w:ascii="宋体"/>
          <w:sz w:val="24"/>
        </w:rPr>
        <w:t>、实行蔬菜农药残留抽检制度，每天随机抽取进入</w:t>
      </w:r>
      <w:r>
        <w:rPr>
          <w:rFonts w:hint="eastAsia" w:ascii="宋体"/>
          <w:sz w:val="24"/>
        </w:rPr>
        <w:t>配送的</w:t>
      </w:r>
      <w:r>
        <w:rPr>
          <w:rFonts w:ascii="宋体"/>
          <w:sz w:val="24"/>
        </w:rPr>
        <w:t>蔬菜样品（具体抽取数量依据实际自行确定），对农药残留情况进行检测，并对每批检测结果进行记录，建立档案。存档记录原则上应保存1个月以上</w:t>
      </w:r>
      <w:r>
        <w:rPr>
          <w:rFonts w:hint="eastAsia" w:ascii="宋体"/>
          <w:sz w:val="24"/>
        </w:rPr>
        <w:t>；</w:t>
      </w:r>
    </w:p>
    <w:p>
      <w:pPr>
        <w:spacing w:line="360" w:lineRule="auto"/>
        <w:ind w:firstLine="600" w:firstLineChars="250"/>
        <w:rPr>
          <w:rFonts w:ascii="宋体"/>
          <w:sz w:val="24"/>
        </w:rPr>
      </w:pPr>
      <w:r>
        <w:rPr>
          <w:rFonts w:hint="eastAsia" w:ascii="宋体"/>
          <w:sz w:val="24"/>
        </w:rPr>
        <w:t>4</w:t>
      </w:r>
      <w:r>
        <w:rPr>
          <w:rFonts w:ascii="宋体"/>
          <w:sz w:val="24"/>
        </w:rPr>
        <w:t>、样品检测时如发现农残超标，应立即重新复检二次。如全部不合格则判定为该样品速检不合格</w:t>
      </w:r>
      <w:r>
        <w:rPr>
          <w:rFonts w:hint="eastAsia" w:ascii="宋体"/>
          <w:sz w:val="24"/>
        </w:rPr>
        <w:t>，</w:t>
      </w:r>
      <w:r>
        <w:rPr>
          <w:rFonts w:ascii="宋体"/>
          <w:sz w:val="24"/>
        </w:rPr>
        <w:t>及时进行处理</w:t>
      </w:r>
      <w:r>
        <w:rPr>
          <w:rFonts w:hint="eastAsia" w:ascii="宋体"/>
          <w:sz w:val="24"/>
        </w:rPr>
        <w:t>，应该退给分装者的退给分装者，应该销毁处理的及时销毁处理，如果情节严重的，应该及时报告当地食品药品监督管理行政主管部门。</w:t>
      </w:r>
    </w:p>
    <w:p>
      <w:pPr>
        <w:spacing w:line="360" w:lineRule="auto"/>
        <w:jc w:val="center"/>
        <w:rPr>
          <w:rFonts w:ascii="宋体"/>
          <w:b/>
          <w:sz w:val="24"/>
        </w:rPr>
      </w:pPr>
    </w:p>
    <w:p>
      <w:pPr>
        <w:spacing w:line="360" w:lineRule="auto"/>
        <w:jc w:val="center"/>
        <w:rPr>
          <w:rFonts w:ascii="宋体"/>
          <w:b/>
          <w:sz w:val="24"/>
        </w:rPr>
      </w:pPr>
      <w:r>
        <w:rPr>
          <w:rFonts w:hint="eastAsia" w:ascii="宋体"/>
          <w:b/>
          <w:sz w:val="24"/>
        </w:rPr>
        <w:t>《场地、车辆、消毒保洁管理制度》</w:t>
      </w:r>
    </w:p>
    <w:p>
      <w:pPr>
        <w:spacing w:line="360" w:lineRule="auto"/>
        <w:ind w:firstLine="600" w:firstLineChars="250"/>
        <w:rPr>
          <w:rFonts w:ascii="宋体"/>
          <w:sz w:val="24"/>
        </w:rPr>
      </w:pPr>
      <w:r>
        <w:rPr>
          <w:rFonts w:hint="eastAsia" w:ascii="宋体"/>
          <w:sz w:val="24"/>
        </w:rPr>
        <w:t>1、主副食品分库存放，非食品及个人生活用品不得进入食品库房，严禁在食品库内存放杀虫剂、洗涤剂、消毒剂等有毒、有害物品；</w:t>
      </w:r>
    </w:p>
    <w:p>
      <w:pPr>
        <w:spacing w:line="360" w:lineRule="auto"/>
        <w:ind w:firstLine="600" w:firstLineChars="250"/>
        <w:rPr>
          <w:rFonts w:ascii="宋体"/>
          <w:sz w:val="24"/>
        </w:rPr>
      </w:pPr>
      <w:r>
        <w:rPr>
          <w:rFonts w:hint="eastAsia" w:ascii="宋体"/>
          <w:sz w:val="24"/>
        </w:rPr>
        <w:t>2、做好库房和车辆的防霉、防蝇、防虫、防鼠工作。库房和车辆内不得有霉斑、鼠迹、苍蝇、蟑螂、蜘蛛网等，仓库和车辆内定期清扫，保持仓库、货架清洁卫生。经常开窗或用机械设备通风，保持干燥，对配送车辆进行定期清洗，并做好相关记录；</w:t>
      </w:r>
    </w:p>
    <w:p>
      <w:pPr>
        <w:spacing w:line="360" w:lineRule="auto"/>
        <w:ind w:firstLine="600" w:firstLineChars="250"/>
        <w:rPr>
          <w:rFonts w:ascii="宋体"/>
          <w:sz w:val="24"/>
        </w:rPr>
      </w:pPr>
      <w:r>
        <w:rPr>
          <w:rFonts w:hint="eastAsia" w:ascii="宋体"/>
          <w:sz w:val="24"/>
        </w:rPr>
        <w:t>3、按原料、半成品、成品的性质将食品分类分架存放，有明显标志、有一定间距，隔墙离地10厘米以上，离地平台或层架。</w:t>
      </w:r>
    </w:p>
    <w:p>
      <w:pPr>
        <w:spacing w:line="360" w:lineRule="auto"/>
        <w:ind w:firstLine="600" w:firstLineChars="250"/>
        <w:rPr>
          <w:rFonts w:ascii="宋体"/>
          <w:sz w:val="24"/>
        </w:rPr>
      </w:pPr>
      <w:r>
        <w:rPr>
          <w:rFonts w:hint="eastAsia" w:ascii="宋体"/>
          <w:sz w:val="24"/>
        </w:rPr>
        <w:t>4、肉类、水产类、禽蛋等易腐食品应分别冷藏贮存。用于保存食品的冷藏设备，要保持清洁、及时除霜、定期消毒、并贴有明显标识，配有温度显示装置。生食品、熟食品、半成品分柜存放，杜绝生熟混放。</w:t>
      </w:r>
    </w:p>
    <w:p>
      <w:pPr>
        <w:spacing w:line="360" w:lineRule="auto"/>
        <w:ind w:firstLine="600" w:firstLineChars="250"/>
        <w:rPr>
          <w:rFonts w:ascii="宋体"/>
          <w:sz w:val="24"/>
        </w:rPr>
      </w:pPr>
      <w:r>
        <w:rPr>
          <w:rFonts w:hint="eastAsia" w:ascii="宋体"/>
          <w:sz w:val="24"/>
        </w:rPr>
        <w:t>5、严格执行冷藏冷冻设备检查维修制度，定期进行设备检修，保证冷藏设施正常运转，温度显示装置良好。</w:t>
      </w:r>
    </w:p>
    <w:p>
      <w:pPr>
        <w:spacing w:line="360" w:lineRule="auto"/>
        <w:ind w:firstLine="600" w:firstLineChars="250"/>
        <w:rPr>
          <w:rFonts w:ascii="宋体"/>
          <w:sz w:val="24"/>
        </w:rPr>
      </w:pPr>
      <w:r>
        <w:rPr>
          <w:rFonts w:hint="eastAsia" w:ascii="宋体"/>
          <w:sz w:val="24"/>
        </w:rPr>
        <w:t>6、严格执行出入库登记及食品卫生质量检查验收制度。</w:t>
      </w:r>
    </w:p>
    <w:p>
      <w:pPr>
        <w:spacing w:line="360" w:lineRule="auto"/>
        <w:ind w:firstLine="600" w:firstLineChars="250"/>
        <w:rPr>
          <w:rFonts w:ascii="宋体"/>
          <w:sz w:val="24"/>
        </w:rPr>
      </w:pPr>
      <w:r>
        <w:rPr>
          <w:rFonts w:hint="eastAsia" w:ascii="宋体"/>
          <w:sz w:val="24"/>
        </w:rPr>
        <w:t>（1）入库前，首先对所购食品进行检查，对不符合食品卫生要求者，不签收。</w:t>
      </w:r>
    </w:p>
    <w:p>
      <w:pPr>
        <w:spacing w:line="360" w:lineRule="auto"/>
        <w:ind w:firstLine="600" w:firstLineChars="250"/>
        <w:rPr>
          <w:rFonts w:ascii="宋体"/>
          <w:sz w:val="24"/>
        </w:rPr>
      </w:pPr>
      <w:r>
        <w:rPr>
          <w:rFonts w:hint="eastAsia" w:ascii="宋体"/>
          <w:sz w:val="24"/>
        </w:rPr>
        <w:t>（2）做好食品数量、质量、进发货登记；做到先进先出，易坏先用。验收记录应妥善保存、以备查考。按签标示的贮存条件保存食品。</w:t>
      </w:r>
    </w:p>
    <w:p>
      <w:pPr>
        <w:spacing w:line="360" w:lineRule="auto"/>
        <w:ind w:firstLine="600" w:firstLineChars="250"/>
        <w:rPr>
          <w:rFonts w:ascii="宋体"/>
          <w:sz w:val="24"/>
        </w:rPr>
      </w:pPr>
      <w:r>
        <w:rPr>
          <w:rFonts w:hint="eastAsia" w:ascii="宋体"/>
          <w:sz w:val="24"/>
        </w:rPr>
        <w:t>7、做好库房防鼠、防蝇、防蟑螂工作。</w:t>
      </w:r>
    </w:p>
    <w:p>
      <w:pPr>
        <w:spacing w:line="360" w:lineRule="auto"/>
        <w:ind w:firstLine="600" w:firstLineChars="250"/>
        <w:rPr>
          <w:rFonts w:ascii="宋体"/>
          <w:sz w:val="24"/>
        </w:rPr>
      </w:pPr>
      <w:r>
        <w:rPr>
          <w:rFonts w:hint="eastAsia" w:ascii="宋体"/>
          <w:sz w:val="24"/>
        </w:rPr>
        <w:t>《食材质量控制管理制度》、《食材采购制度》、《食材安全责任追究制度》、《财务管理制度》等制度。</w:t>
      </w:r>
    </w:p>
    <w:p>
      <w:pPr>
        <w:snapToGrid w:val="0"/>
        <w:spacing w:line="440" w:lineRule="exact"/>
        <w:rPr>
          <w:rFonts w:ascii="宋体"/>
          <w:b/>
          <w:color w:val="000000"/>
          <w:sz w:val="24"/>
        </w:rPr>
      </w:pPr>
      <w:r>
        <w:rPr>
          <w:rFonts w:hint="eastAsia" w:ascii="宋体"/>
          <w:b/>
          <w:color w:val="000000"/>
          <w:sz w:val="24"/>
        </w:rPr>
        <w:t>九、其他要求</w:t>
      </w:r>
    </w:p>
    <w:p>
      <w:pPr>
        <w:snapToGrid w:val="0"/>
        <w:spacing w:line="440" w:lineRule="exact"/>
        <w:rPr>
          <w:rFonts w:ascii="宋体"/>
          <w:b/>
          <w:bCs/>
          <w:color w:val="000000"/>
          <w:sz w:val="24"/>
        </w:rPr>
      </w:pPr>
      <w:r>
        <w:rPr>
          <w:rFonts w:hint="eastAsia" w:ascii="宋体"/>
          <w:b/>
          <w:bCs/>
          <w:color w:val="000000"/>
          <w:sz w:val="24"/>
        </w:rPr>
        <w:t>（一）货款结算</w:t>
      </w:r>
    </w:p>
    <w:p>
      <w:pPr>
        <w:ind w:firstLine="480"/>
        <w:jc w:val="left"/>
        <w:rPr>
          <w:rFonts w:ascii="宋体"/>
          <w:color w:val="FF0000"/>
          <w:sz w:val="24"/>
          <w:szCs w:val="32"/>
        </w:rPr>
      </w:pPr>
      <w:r>
        <w:rPr>
          <w:rFonts w:hint="eastAsia" w:ascii="宋体"/>
          <w:sz w:val="24"/>
          <w:szCs w:val="32"/>
        </w:rPr>
        <w:t>1.货款实行按月结算，当月支付上月货款，货款系包含商品本身、商品包装费、交货所需的运输费用、保险费用及其他因商品采购事宜而产生的所有含税费用。采购人与中标人共同核实本月实际供货清单，并结合月度考评结果确定后，由中标人出具完整合法有效的发票。</w:t>
      </w:r>
      <w:r>
        <w:rPr>
          <w:rFonts w:hint="eastAsia" w:ascii="宋体"/>
          <w:color w:val="FF0000"/>
          <w:sz w:val="24"/>
          <w:szCs w:val="32"/>
        </w:rPr>
        <w:t>采购人在收到中标人开具的发票后15个工作日内以转账的方式支付到中标人银行账户，采购人</w:t>
      </w:r>
      <w:r>
        <w:rPr>
          <w:rFonts w:ascii="宋体"/>
          <w:color w:val="FF0000"/>
          <w:sz w:val="24"/>
          <w:szCs w:val="32"/>
        </w:rPr>
        <w:t xml:space="preserve">逾期付款，则每日按本合同总价的 </w:t>
      </w:r>
      <w:r>
        <w:rPr>
          <w:rFonts w:hint="eastAsia" w:ascii="宋体"/>
          <w:color w:val="FF0000"/>
          <w:sz w:val="24"/>
          <w:szCs w:val="32"/>
        </w:rPr>
        <w:t>1</w:t>
      </w:r>
      <w:r>
        <w:rPr>
          <w:rFonts w:ascii="宋体"/>
          <w:color w:val="FF0000"/>
          <w:sz w:val="24"/>
          <w:szCs w:val="32"/>
        </w:rPr>
        <w:t xml:space="preserve"> ‰向乙方偿付违约金。</w:t>
      </w:r>
    </w:p>
    <w:p>
      <w:pPr>
        <w:snapToGrid w:val="0"/>
        <w:spacing w:line="440" w:lineRule="exact"/>
        <w:ind w:firstLine="480" w:firstLineChars="200"/>
        <w:rPr>
          <w:rFonts w:ascii="宋体"/>
          <w:sz w:val="24"/>
          <w:szCs w:val="32"/>
        </w:rPr>
      </w:pPr>
      <w:r>
        <w:rPr>
          <w:rFonts w:hint="eastAsia" w:ascii="宋体"/>
          <w:sz w:val="24"/>
          <w:szCs w:val="32"/>
        </w:rPr>
        <w:t>2. 米、面、油、奶制品、干货和调料配送结算首先以成都市发改委每月发布的市场综合零售价乘以90%作为结算基础价,成都市发改委未发布的品种以武侯区机关事务中心市场调价乘以90%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w:t>
      </w:r>
      <w:r>
        <w:rPr>
          <w:rFonts w:hint="eastAsia" w:ascii="宋体"/>
          <w:b/>
          <w:sz w:val="24"/>
          <w:szCs w:val="24"/>
        </w:rPr>
        <w:t>90%</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napToGrid w:val="0"/>
        <w:spacing w:line="440" w:lineRule="exact"/>
        <w:ind w:firstLine="480" w:firstLineChars="200"/>
        <w:rPr>
          <w:rFonts w:ascii="宋体"/>
          <w:sz w:val="24"/>
          <w:szCs w:val="32"/>
        </w:rPr>
      </w:pPr>
      <w:r>
        <w:rPr>
          <w:rFonts w:hint="eastAsia" w:ascii="宋体"/>
          <w:sz w:val="24"/>
          <w:szCs w:val="32"/>
        </w:rPr>
        <w:t>肉禽蛋类、水产类等配送结算首先以成都市发改委每月发布的市场综合零售价乘以88%作为结算基础价,成都市发改委未发布的品种以武侯区机关事务中心市场调价乘以88%作为结算基础价，结算基础价乘以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×88</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napToGrid w:val="0"/>
        <w:spacing w:line="440" w:lineRule="exact"/>
        <w:ind w:firstLine="480" w:firstLineChars="200"/>
        <w:rPr>
          <w:rFonts w:ascii="宋体"/>
          <w:b/>
          <w:sz w:val="24"/>
          <w:szCs w:val="24"/>
        </w:rPr>
      </w:pPr>
      <w:r>
        <w:rPr>
          <w:rFonts w:hint="eastAsia" w:ascii="宋体"/>
          <w:sz w:val="24"/>
          <w:szCs w:val="32"/>
        </w:rPr>
        <w:t>水果、蔬菜等配送结算首先以成都市发改委每月发布的市场综合零售价乘以80%作为结算基础价,成都市发改委未发布的品种以武侯区机关事务中心市场调价乘以80%作为结算基础价，结算基础价乘以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×80</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pacing w:line="400" w:lineRule="exact"/>
        <w:ind w:firstLine="480" w:firstLineChars="200"/>
        <w:rPr>
          <w:rFonts w:ascii="宋体"/>
          <w:sz w:val="24"/>
          <w:szCs w:val="32"/>
        </w:rPr>
      </w:pPr>
      <w:r>
        <w:rPr>
          <w:rFonts w:hint="eastAsia" w:ascii="宋体"/>
          <w:sz w:val="24"/>
          <w:szCs w:val="32"/>
        </w:rPr>
        <w:t>3．按采购人需求购买的熟食按购入价格据实结算。</w:t>
      </w:r>
    </w:p>
    <w:p>
      <w:pPr>
        <w:pStyle w:val="2"/>
        <w:spacing w:line="400" w:lineRule="exact"/>
        <w:ind w:firstLine="480" w:firstLineChars="200"/>
        <w:rPr>
          <w:rFonts w:ascii="宋体"/>
          <w:sz w:val="24"/>
          <w:szCs w:val="32"/>
        </w:rPr>
      </w:pPr>
      <w:r>
        <w:rPr>
          <w:rFonts w:hint="eastAsia" w:ascii="宋体"/>
          <w:sz w:val="24"/>
          <w:szCs w:val="32"/>
        </w:rPr>
        <w:t>4．投标人优先将我区农产品战略合作地及其他贫困地区农产品纳入采购范围，按购入价格据实结算。</w:t>
      </w:r>
    </w:p>
    <w:p>
      <w:r>
        <w:rPr>
          <w:rFonts w:hint="eastAsia" w:ascii="宋体"/>
          <w:sz w:val="24"/>
          <w:szCs w:val="32"/>
        </w:rPr>
        <w:t xml:space="preserve">    5.如需称重计量的，甲乙双方共同校对计量称，所供食材的数量以甲方过磅为准，并由甲方验收人员签字确认。由甲方验收人员签字确认的数量即视为双方均认可的数量。</w:t>
      </w:r>
    </w:p>
    <w:p>
      <w:pPr>
        <w:snapToGrid w:val="0"/>
        <w:spacing w:line="400" w:lineRule="exact"/>
        <w:ind w:firstLine="482" w:firstLineChars="200"/>
        <w:rPr>
          <w:rFonts w:ascii="宋体" w:hAnsi="宋体"/>
          <w:b/>
          <w:bCs/>
          <w:sz w:val="24"/>
          <w:szCs w:val="24"/>
        </w:rPr>
      </w:pPr>
      <w:r>
        <w:rPr>
          <w:rFonts w:hint="eastAsia" w:ascii="宋体" w:hAnsi="宋体"/>
          <w:b/>
          <w:bCs/>
          <w:sz w:val="24"/>
          <w:szCs w:val="24"/>
        </w:rPr>
        <w:t>（二）考核时间及处罚</w:t>
      </w:r>
    </w:p>
    <w:p>
      <w:pPr>
        <w:spacing w:line="400" w:lineRule="exact"/>
        <w:ind w:firstLine="480" w:firstLineChars="200"/>
        <w:rPr>
          <w:rFonts w:ascii="宋体" w:hAnsi="宋体"/>
          <w:sz w:val="24"/>
          <w:szCs w:val="24"/>
        </w:rPr>
      </w:pPr>
      <w:r>
        <w:rPr>
          <w:rFonts w:hint="eastAsia" w:ascii="宋体" w:hAnsi="宋体"/>
          <w:sz w:val="24"/>
          <w:szCs w:val="24"/>
        </w:rPr>
        <w:t>根据日常抽查和月考评相结合的综合考核标准。</w:t>
      </w:r>
    </w:p>
    <w:p>
      <w:pPr>
        <w:spacing w:line="400" w:lineRule="exact"/>
        <w:ind w:firstLine="480" w:firstLineChars="200"/>
        <w:rPr>
          <w:rFonts w:ascii="宋体" w:hAnsi="宋体"/>
          <w:sz w:val="24"/>
          <w:szCs w:val="24"/>
        </w:rPr>
      </w:pPr>
      <w:r>
        <w:rPr>
          <w:rFonts w:hint="eastAsia" w:ascii="宋体" w:hAnsi="宋体"/>
          <w:sz w:val="24"/>
          <w:szCs w:val="24"/>
        </w:rPr>
        <w:t>1.日常考评：</w:t>
      </w:r>
    </w:p>
    <w:p>
      <w:pPr>
        <w:spacing w:line="400" w:lineRule="exact"/>
        <w:ind w:firstLine="480" w:firstLineChars="200"/>
        <w:rPr>
          <w:rFonts w:ascii="宋体" w:hAnsi="宋体"/>
          <w:sz w:val="24"/>
          <w:szCs w:val="24"/>
        </w:rPr>
      </w:pPr>
      <w:r>
        <w:rPr>
          <w:rFonts w:hint="eastAsia" w:ascii="宋体" w:hAnsi="宋体"/>
          <w:sz w:val="24"/>
          <w:szCs w:val="24"/>
        </w:rPr>
        <w:t>月考核作为支付当月服务费的主要依据，由采购人根据服务公司的服务质量和服务态度进行综评打分，按考核打分档次支付当月食材费。</w:t>
      </w:r>
    </w:p>
    <w:p>
      <w:pPr>
        <w:spacing w:line="400" w:lineRule="exact"/>
        <w:ind w:firstLine="480" w:firstLineChars="200"/>
        <w:rPr>
          <w:rFonts w:ascii="宋体" w:hAnsi="宋体"/>
          <w:sz w:val="24"/>
          <w:szCs w:val="24"/>
        </w:rPr>
      </w:pPr>
      <w:r>
        <w:rPr>
          <w:rFonts w:hint="eastAsia" w:ascii="宋体" w:hAnsi="宋体"/>
          <w:sz w:val="24"/>
          <w:szCs w:val="24"/>
        </w:rPr>
        <w:t>（2）由采购人将检查结果进行汇总，以备在每月食材费用支付时扣除。</w:t>
      </w:r>
    </w:p>
    <w:p>
      <w:pPr>
        <w:spacing w:line="400" w:lineRule="exact"/>
        <w:ind w:firstLine="480" w:firstLineChars="200"/>
        <w:rPr>
          <w:rFonts w:ascii="宋体" w:hAnsi="宋体"/>
          <w:sz w:val="24"/>
          <w:szCs w:val="24"/>
        </w:rPr>
      </w:pPr>
      <w:r>
        <w:rPr>
          <w:rFonts w:hint="eastAsia" w:ascii="宋体" w:hAnsi="宋体"/>
          <w:sz w:val="24"/>
          <w:szCs w:val="24"/>
        </w:rPr>
        <w:t>2.月考评：</w:t>
      </w:r>
    </w:p>
    <w:p>
      <w:pPr>
        <w:spacing w:line="400" w:lineRule="exact"/>
        <w:ind w:firstLine="480" w:firstLineChars="200"/>
        <w:rPr>
          <w:rFonts w:ascii="宋体" w:hAnsi="宋体"/>
          <w:sz w:val="24"/>
          <w:szCs w:val="24"/>
        </w:rPr>
      </w:pPr>
      <w:r>
        <w:rPr>
          <w:rFonts w:hint="eastAsia" w:ascii="宋体" w:hAnsi="宋体"/>
          <w:sz w:val="24"/>
          <w:szCs w:val="24"/>
        </w:rPr>
        <w:t>月考核作为支付当月服务费的主要依据，由采购人根据服务公司的服务质量和服务态度进行综评打分，按考核打分档次支付当月食材费。</w:t>
      </w:r>
    </w:p>
    <w:p>
      <w:pPr>
        <w:spacing w:line="400" w:lineRule="exact"/>
        <w:ind w:firstLine="480" w:firstLineChars="200"/>
        <w:rPr>
          <w:rFonts w:ascii="宋体" w:hAnsi="宋体"/>
          <w:sz w:val="24"/>
          <w:szCs w:val="24"/>
        </w:rPr>
      </w:pPr>
      <w:r>
        <w:rPr>
          <w:rFonts w:hint="eastAsia" w:ascii="宋体" w:hAnsi="宋体"/>
          <w:sz w:val="24"/>
          <w:szCs w:val="24"/>
        </w:rPr>
        <w:t>（1）单项方面工作被点名或通报批评，本月考核结果扣五分；</w:t>
      </w:r>
    </w:p>
    <w:p>
      <w:pPr>
        <w:spacing w:line="400" w:lineRule="exact"/>
        <w:ind w:firstLine="480" w:firstLineChars="200"/>
        <w:rPr>
          <w:rFonts w:ascii="宋体" w:hAnsi="宋体"/>
          <w:sz w:val="24"/>
          <w:szCs w:val="24"/>
        </w:rPr>
      </w:pPr>
      <w:r>
        <w:rPr>
          <w:rFonts w:hint="eastAsia" w:ascii="宋体" w:hAnsi="宋体"/>
          <w:sz w:val="24"/>
          <w:szCs w:val="24"/>
        </w:rPr>
        <w:t>（2）出现物品或设施设备遗失、损坏事件，本月考核结果扣3分。</w:t>
      </w:r>
    </w:p>
    <w:p>
      <w:pPr>
        <w:spacing w:line="400" w:lineRule="exact"/>
        <w:ind w:firstLine="480" w:firstLineChars="200"/>
        <w:rPr>
          <w:rFonts w:ascii="宋体" w:hAnsi="宋体"/>
          <w:sz w:val="24"/>
          <w:szCs w:val="24"/>
        </w:rPr>
      </w:pPr>
      <w:r>
        <w:rPr>
          <w:rFonts w:hint="eastAsia" w:ascii="宋体" w:hAnsi="宋体"/>
          <w:sz w:val="24"/>
          <w:szCs w:val="24"/>
        </w:rPr>
        <w:t>（3）根据各单项服务的考评打分结果计算出月考核评分。当月得分95分（含）以上的，当月的费用按合同金额全额向中标供应商支付；当月综合平均得分95分（不含）—90分（含），支付当月费用时在合同金额中从95分起计，按每扣0.5分扣除当月费用1000元后支付，扣除不满0.5分的按照0.5分计算扣除（如94.8分，按照94.5分计，扣除当月费用1000元）；当月综合平均得分90分（不含）—80分（含），支付费用时在合同金额中扣除10000元后，从90分起计，按当月每扣0.5分扣除当月费用1500元后支付，扣除不满0.5分的按照0.5分计算扣除当月费用（如84.2分，按照84分计，扣除当月费用28000元）；当月综合平均得分检查结果为80分（不含）以下，则扣发当月费用的50%。若月考核评定低于90分，则中标供应商须就服务工作方面的问题向采购人提供整改报告。</w:t>
      </w:r>
    </w:p>
    <w:p>
      <w:pPr>
        <w:spacing w:line="400" w:lineRule="exact"/>
        <w:ind w:firstLine="480" w:firstLineChars="200"/>
        <w:rPr>
          <w:rFonts w:ascii="宋体" w:hAnsi="宋体"/>
          <w:sz w:val="24"/>
          <w:szCs w:val="24"/>
        </w:rPr>
      </w:pPr>
      <w:r>
        <w:rPr>
          <w:rFonts w:hint="eastAsia" w:ascii="宋体" w:hAnsi="宋体"/>
          <w:sz w:val="24"/>
          <w:szCs w:val="24"/>
        </w:rPr>
        <w:t>（4）每年度月考核中累计有三个月月得分低于90分，视为年度考核不合格，采购人有权要求终止合同，</w:t>
      </w:r>
      <w:r>
        <w:rPr>
          <w:rFonts w:ascii="宋体" w:hAnsi="宋体"/>
          <w:sz w:val="24"/>
          <w:szCs w:val="24"/>
        </w:rPr>
        <w:t>由</w:t>
      </w:r>
      <w:r>
        <w:rPr>
          <w:rFonts w:hint="eastAsia" w:ascii="宋体" w:hAnsi="宋体"/>
          <w:sz w:val="24"/>
          <w:szCs w:val="24"/>
        </w:rPr>
        <w:t>中标供应商</w:t>
      </w:r>
      <w:r>
        <w:rPr>
          <w:rFonts w:ascii="宋体" w:hAnsi="宋体"/>
          <w:sz w:val="24"/>
          <w:szCs w:val="24"/>
        </w:rPr>
        <w:t>承担违约和赔偿责任</w:t>
      </w:r>
      <w:r>
        <w:rPr>
          <w:rFonts w:hint="eastAsia" w:ascii="宋体" w:hAnsi="宋体"/>
          <w:sz w:val="24"/>
          <w:szCs w:val="24"/>
        </w:rPr>
        <w:t>。</w:t>
      </w:r>
    </w:p>
    <w:p>
      <w:pPr>
        <w:snapToGrid w:val="0"/>
        <w:spacing w:line="400" w:lineRule="exact"/>
        <w:ind w:firstLine="480" w:firstLineChars="200"/>
        <w:rPr>
          <w:rFonts w:ascii="宋体" w:hAnsi="宋体"/>
          <w:sz w:val="24"/>
          <w:szCs w:val="24"/>
        </w:rPr>
      </w:pPr>
      <w:r>
        <w:rPr>
          <w:rFonts w:hint="eastAsia" w:ascii="宋体" w:hAnsi="宋体"/>
          <w:sz w:val="24"/>
          <w:szCs w:val="24"/>
        </w:rPr>
        <w:t>3．责任追究制度。</w:t>
      </w:r>
    </w:p>
    <w:p>
      <w:pPr>
        <w:snapToGrid w:val="0"/>
        <w:spacing w:line="400" w:lineRule="exact"/>
        <w:ind w:firstLine="480" w:firstLineChars="200"/>
        <w:rPr>
          <w:rFonts w:ascii="宋体" w:hAnsi="宋体"/>
          <w:sz w:val="24"/>
          <w:szCs w:val="24"/>
        </w:rPr>
      </w:pPr>
      <w:r>
        <w:rPr>
          <w:rFonts w:hint="eastAsia" w:ascii="宋体" w:hAnsi="宋体"/>
          <w:sz w:val="24"/>
          <w:szCs w:val="24"/>
        </w:rPr>
        <w:t>采购人将定期或不定期地对配送工作进行督查。对投标供应商提供不合格产品或不按要求配送，影响正常就餐的，给予警告；情节严重的取消配送资格，因配送产品引发的食品安全事故或造成责任事故的取消供应商配送资格，并将追究其法律责任。</w:t>
      </w:r>
    </w:p>
    <w:p>
      <w:pPr>
        <w:spacing w:line="400" w:lineRule="exact"/>
        <w:ind w:firstLine="482" w:firstLineChars="200"/>
        <w:rPr>
          <w:rFonts w:ascii="宋体" w:hAnsi="宋体"/>
          <w:b/>
          <w:bCs/>
          <w:sz w:val="24"/>
          <w:szCs w:val="24"/>
        </w:rPr>
      </w:pPr>
      <w:r>
        <w:rPr>
          <w:rFonts w:hint="eastAsia" w:ascii="宋体" w:hAnsi="宋体"/>
          <w:b/>
          <w:bCs/>
          <w:sz w:val="24"/>
          <w:szCs w:val="24"/>
        </w:rPr>
        <w:t>（三）中标供应商签订合同时，签订《廉洁共建承诺书》，《廉洁共建承诺书》作为合同的一部分，中标供应商违反《廉洁共建承诺书》的承诺事项，采购人（甲方）有权单方解除合同，违约责任由中标供应商（乙方）承担。《廉洁共建承诺书》附后。</w:t>
      </w:r>
    </w:p>
    <w:p>
      <w:pPr>
        <w:snapToGrid w:val="0"/>
        <w:spacing w:line="440" w:lineRule="exact"/>
        <w:rPr>
          <w:rFonts w:ascii="宋体"/>
          <w:sz w:val="24"/>
        </w:rPr>
      </w:pPr>
      <w:r>
        <w:rPr>
          <w:rFonts w:hint="eastAsia" w:ascii="宋体"/>
          <w:sz w:val="24"/>
        </w:rPr>
        <w:t>（四）履行合同时间、方式</w:t>
      </w:r>
    </w:p>
    <w:p>
      <w:pPr>
        <w:ind w:firstLine="480"/>
        <w:jc w:val="left"/>
        <w:rPr>
          <w:rFonts w:ascii="宋体"/>
          <w:color w:val="FF0000"/>
          <w:sz w:val="24"/>
          <w:szCs w:val="32"/>
        </w:rPr>
      </w:pPr>
      <w:r>
        <w:rPr>
          <w:rFonts w:hint="eastAsia" w:ascii="宋体"/>
          <w:color w:val="FF0000"/>
          <w:sz w:val="24"/>
        </w:rPr>
        <w:t>本项目服务期限为1年，履约保证金为70万元，履约保证金在合同有效期满，中标供应商按合同约定履约，无食材服务质量和重大的安全责任事故并且</w:t>
      </w:r>
      <w:r>
        <w:rPr>
          <w:rFonts w:hint="eastAsia" w:ascii="宋体"/>
          <w:color w:val="FF0000"/>
          <w:sz w:val="24"/>
          <w:szCs w:val="32"/>
        </w:rPr>
        <w:t>采购人在收到中标人开具的退还履约保证金凭证</w:t>
      </w:r>
      <w:r>
        <w:rPr>
          <w:rFonts w:hint="eastAsia" w:ascii="宋体"/>
          <w:color w:val="FF0000"/>
          <w:sz w:val="24"/>
        </w:rPr>
        <w:t>后，15个工作日内无息退还，因中标供应商原因所产生的违约金、损害赔偿、整改费用等费用，采购人均可直接从履约保证金中予以扣除。</w:t>
      </w:r>
      <w:r>
        <w:rPr>
          <w:rFonts w:hint="eastAsia" w:ascii="宋体"/>
          <w:color w:val="FF0000"/>
          <w:sz w:val="24"/>
          <w:szCs w:val="32"/>
        </w:rPr>
        <w:t>采购人在收到中标人开具的退还履约保证金凭证后15个工作日内以转账的方式支付到中标人银行账户，采购人</w:t>
      </w:r>
      <w:r>
        <w:rPr>
          <w:rFonts w:ascii="宋体"/>
          <w:color w:val="FF0000"/>
          <w:sz w:val="24"/>
          <w:szCs w:val="32"/>
        </w:rPr>
        <w:t xml:space="preserve">逾期付款，则每日按本合同总价的 </w:t>
      </w:r>
      <w:r>
        <w:rPr>
          <w:rFonts w:hint="eastAsia" w:ascii="宋体"/>
          <w:color w:val="FF0000"/>
          <w:sz w:val="24"/>
          <w:szCs w:val="32"/>
        </w:rPr>
        <w:t>1</w:t>
      </w:r>
      <w:r>
        <w:rPr>
          <w:rFonts w:ascii="宋体"/>
          <w:color w:val="FF0000"/>
          <w:sz w:val="24"/>
          <w:szCs w:val="32"/>
        </w:rPr>
        <w:t xml:space="preserve"> ‰向乙方偿付违约金。</w:t>
      </w:r>
    </w:p>
    <w:p>
      <w:pPr>
        <w:snapToGrid w:val="0"/>
        <w:spacing w:line="440" w:lineRule="exact"/>
        <w:rPr>
          <w:rFonts w:ascii="宋体"/>
          <w:sz w:val="24"/>
        </w:rPr>
      </w:pPr>
      <w:r>
        <w:rPr>
          <w:rFonts w:hint="eastAsia" w:ascii="宋体"/>
          <w:sz w:val="24"/>
        </w:rPr>
        <w:t>（五）合同价款支付方式和条件</w:t>
      </w:r>
    </w:p>
    <w:p>
      <w:pPr>
        <w:snapToGrid w:val="0"/>
        <w:spacing w:line="440" w:lineRule="exact"/>
        <w:ind w:firstLine="480" w:firstLineChars="200"/>
        <w:rPr>
          <w:rFonts w:ascii="宋体"/>
          <w:sz w:val="24"/>
        </w:rPr>
      </w:pPr>
      <w:r>
        <w:rPr>
          <w:rFonts w:hint="eastAsia" w:ascii="宋体"/>
          <w:sz w:val="24"/>
        </w:rPr>
        <w:t>按采购人与中标单位签订的采购合同为准。</w:t>
      </w:r>
    </w:p>
    <w:p>
      <w:pPr>
        <w:spacing w:line="400" w:lineRule="exact"/>
        <w:rPr>
          <w:rFonts w:ascii="宋体" w:hAnsi="宋体"/>
          <w:b/>
          <w:bCs/>
          <w:sz w:val="24"/>
          <w:szCs w:val="24"/>
        </w:rPr>
      </w:pPr>
      <w:r>
        <w:rPr>
          <w:rFonts w:hint="eastAsia" w:ascii="宋体" w:hAnsi="宋体"/>
          <w:b/>
          <w:bCs/>
          <w:sz w:val="24"/>
          <w:szCs w:val="24"/>
        </w:rPr>
        <w:t>十、需求中标</w:t>
      </w:r>
      <w:r>
        <w:rPr>
          <w:rFonts w:hint="eastAsia" w:ascii="宋体" w:hAnsi="宋体" w:cs="宋体"/>
          <w:b/>
          <w:bCs/>
          <w:sz w:val="24"/>
          <w:szCs w:val="24"/>
        </w:rPr>
        <w:t>★的部分为供应商必须满足的实质性要求。</w:t>
      </w:r>
      <w:r>
        <w:rPr>
          <w:rFonts w:hint="eastAsia" w:ascii="宋体" w:hAnsi="宋体" w:cs="宋体"/>
          <w:b/>
          <w:bCs/>
          <w:sz w:val="24"/>
          <w:szCs w:val="24"/>
        </w:rPr>
        <w:br w:type="textWrapping"/>
      </w:r>
      <w:r>
        <w:rPr>
          <w:rFonts w:hint="eastAsia" w:ascii="宋体" w:hAnsi="宋体"/>
          <w:b/>
          <w:bCs/>
          <w:sz w:val="24"/>
          <w:szCs w:val="24"/>
        </w:rPr>
        <w:t>注：核心产品为米、油、猪肉。</w:t>
      </w:r>
    </w:p>
    <w:p>
      <w:pPr>
        <w:jc w:val="center"/>
        <w:rPr>
          <w:rFonts w:ascii="宋体" w:hAnsi="宋体"/>
          <w:b/>
          <w:bCs/>
          <w:sz w:val="24"/>
          <w:szCs w:val="24"/>
        </w:rPr>
      </w:pPr>
      <w:r>
        <w:rPr>
          <w:rFonts w:hint="eastAsia" w:ascii="宋体" w:hAnsi="宋体"/>
          <w:b/>
          <w:bCs/>
          <w:sz w:val="24"/>
          <w:szCs w:val="24"/>
        </w:rPr>
        <w:br w:type="textWrapping"/>
      </w:r>
    </w:p>
    <w:p>
      <w:pPr>
        <w:jc w:val="center"/>
        <w:rPr>
          <w:rFonts w:ascii="宋体" w:hAnsi="宋体"/>
          <w:b/>
          <w:bCs/>
          <w:spacing w:val="-20"/>
          <w:kern w:val="44"/>
          <w:sz w:val="28"/>
          <w:szCs w:val="21"/>
        </w:rPr>
      </w:pPr>
      <w:r>
        <w:rPr>
          <w:rFonts w:hint="eastAsia" w:ascii="宋体" w:hAnsi="宋体"/>
          <w:b/>
          <w:bCs/>
          <w:spacing w:val="-20"/>
          <w:kern w:val="44"/>
          <w:sz w:val="28"/>
          <w:szCs w:val="21"/>
        </w:rPr>
        <w:t>武侯区食堂食材配送验收清单</w:t>
      </w:r>
    </w:p>
    <w:p>
      <w:pPr>
        <w:rPr>
          <w:sz w:val="18"/>
          <w:szCs w:val="18"/>
        </w:rPr>
      </w:pPr>
      <w:r>
        <w:rPr>
          <w:rFonts w:hint="eastAsia"/>
          <w:sz w:val="18"/>
          <w:szCs w:val="18"/>
        </w:rPr>
        <w:t xml:space="preserve">日期：                                                                             </w:t>
      </w:r>
    </w:p>
    <w:tbl>
      <w:tblPr>
        <w:tblStyle w:val="41"/>
        <w:tblW w:w="94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751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vAlign w:val="center"/>
          </w:tcPr>
          <w:p>
            <w:pPr>
              <w:spacing w:line="300" w:lineRule="exact"/>
              <w:jc w:val="center"/>
              <w:rPr>
                <w:sz w:val="18"/>
                <w:szCs w:val="18"/>
              </w:rPr>
            </w:pPr>
            <w:r>
              <w:rPr>
                <w:rFonts w:hint="eastAsia"/>
                <w:sz w:val="18"/>
                <w:szCs w:val="18"/>
              </w:rPr>
              <w:t>项目</w:t>
            </w:r>
          </w:p>
        </w:tc>
        <w:tc>
          <w:tcPr>
            <w:tcW w:w="7512" w:type="dxa"/>
            <w:vAlign w:val="center"/>
          </w:tcPr>
          <w:p>
            <w:pPr>
              <w:spacing w:line="300" w:lineRule="exact"/>
              <w:jc w:val="center"/>
              <w:rPr>
                <w:sz w:val="18"/>
                <w:szCs w:val="18"/>
              </w:rPr>
            </w:pPr>
            <w:r>
              <w:rPr>
                <w:rFonts w:hint="eastAsia"/>
                <w:sz w:val="18"/>
                <w:szCs w:val="18"/>
              </w:rPr>
              <w:t>细则</w:t>
            </w:r>
          </w:p>
        </w:tc>
        <w:tc>
          <w:tcPr>
            <w:tcW w:w="708" w:type="dxa"/>
          </w:tcPr>
          <w:p>
            <w:pPr>
              <w:spacing w:line="300" w:lineRule="exact"/>
              <w:jc w:val="center"/>
              <w:rPr>
                <w:sz w:val="18"/>
                <w:szCs w:val="18"/>
              </w:rPr>
            </w:pPr>
            <w:r>
              <w:rPr>
                <w:rFonts w:hint="eastAsia"/>
                <w:sz w:val="18"/>
                <w:szCs w:val="1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68" w:type="dxa"/>
            <w:vMerge w:val="restart"/>
            <w:vAlign w:val="center"/>
          </w:tcPr>
          <w:p>
            <w:pPr>
              <w:spacing w:line="300" w:lineRule="exact"/>
              <w:jc w:val="center"/>
              <w:rPr>
                <w:sz w:val="18"/>
                <w:szCs w:val="18"/>
              </w:rPr>
            </w:pPr>
            <w:r>
              <w:rPr>
                <w:rFonts w:hint="eastAsia"/>
                <w:sz w:val="18"/>
                <w:szCs w:val="18"/>
              </w:rPr>
              <w:t>配送管理100分</w:t>
            </w:r>
          </w:p>
        </w:tc>
        <w:tc>
          <w:tcPr>
            <w:tcW w:w="709" w:type="dxa"/>
            <w:vMerge w:val="restart"/>
            <w:vAlign w:val="center"/>
          </w:tcPr>
          <w:p>
            <w:pPr>
              <w:spacing w:line="300" w:lineRule="exact"/>
              <w:jc w:val="center"/>
              <w:rPr>
                <w:sz w:val="18"/>
                <w:szCs w:val="18"/>
              </w:rPr>
            </w:pPr>
            <w:r>
              <w:rPr>
                <w:rFonts w:hint="eastAsia"/>
                <w:sz w:val="18"/>
                <w:szCs w:val="18"/>
              </w:rPr>
              <w:t>规章制度</w:t>
            </w:r>
          </w:p>
          <w:p>
            <w:pPr>
              <w:spacing w:line="300" w:lineRule="exact"/>
              <w:jc w:val="center"/>
              <w:rPr>
                <w:sz w:val="18"/>
                <w:szCs w:val="18"/>
              </w:rPr>
            </w:pPr>
            <w:r>
              <w:rPr>
                <w:rFonts w:hint="eastAsia"/>
                <w:sz w:val="18"/>
                <w:szCs w:val="18"/>
              </w:rPr>
              <w:t>10分</w:t>
            </w:r>
          </w:p>
        </w:tc>
        <w:tc>
          <w:tcPr>
            <w:tcW w:w="7512" w:type="dxa"/>
            <w:vAlign w:val="center"/>
          </w:tcPr>
          <w:p>
            <w:pPr>
              <w:spacing w:line="300" w:lineRule="exact"/>
              <w:jc w:val="left"/>
              <w:rPr>
                <w:sz w:val="18"/>
                <w:szCs w:val="18"/>
              </w:rPr>
            </w:pPr>
            <w:r>
              <w:rPr>
                <w:rFonts w:hint="eastAsia"/>
                <w:sz w:val="18"/>
                <w:szCs w:val="18"/>
              </w:rPr>
              <w:t>按照招标文件要求，建立健全食材配送各项管理制度、各岗位工作标准，并制定具体的落实措施和考核办法。如有违反，每次扣1分。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从业人员提供名册并具有有效期内的健康证。如有违反，每次扣1分。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配送人员有效的核酸检测报告齐全。如有违反，每次扣1分。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会计、驾驶员、残留农药检测员具有从业资格证。如有违反，每次扣1分。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车辆、人员每日具有晨检记录。如有违反，每次扣1分。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领导小组、管理网络健全。如有违反，每次扣1分。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vAlign w:val="center"/>
          </w:tcPr>
          <w:p>
            <w:pPr>
              <w:spacing w:line="300" w:lineRule="exact"/>
              <w:jc w:val="center"/>
              <w:rPr>
                <w:sz w:val="18"/>
                <w:szCs w:val="18"/>
              </w:rPr>
            </w:pPr>
          </w:p>
        </w:tc>
        <w:tc>
          <w:tcPr>
            <w:tcW w:w="709" w:type="dxa"/>
            <w:vMerge w:val="restart"/>
            <w:vAlign w:val="center"/>
          </w:tcPr>
          <w:p>
            <w:pPr>
              <w:spacing w:line="300" w:lineRule="exact"/>
              <w:jc w:val="center"/>
              <w:rPr>
                <w:sz w:val="18"/>
                <w:szCs w:val="18"/>
              </w:rPr>
            </w:pPr>
            <w:r>
              <w:rPr>
                <w:rFonts w:hint="eastAsia"/>
                <w:sz w:val="18"/>
                <w:szCs w:val="18"/>
              </w:rPr>
              <w:t>安全保障10分</w:t>
            </w:r>
          </w:p>
        </w:tc>
        <w:tc>
          <w:tcPr>
            <w:tcW w:w="7512" w:type="dxa"/>
            <w:vAlign w:val="center"/>
          </w:tcPr>
          <w:p>
            <w:pPr>
              <w:spacing w:line="300" w:lineRule="exact"/>
              <w:jc w:val="left"/>
              <w:rPr>
                <w:sz w:val="18"/>
                <w:szCs w:val="18"/>
              </w:rPr>
            </w:pPr>
            <w:r>
              <w:rPr>
                <w:rFonts w:hint="eastAsia"/>
                <w:sz w:val="18"/>
                <w:szCs w:val="18"/>
              </w:rPr>
              <w:t>配送用具干净卫生，定期清洗消毒，有记录，附图片，交由业务科室报备。如有违反，每次扣2分。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配送车辆使用冷链车，定期清洗消毒，有记录，附图片，交由业务科室报备。如有违反，每次扣2分。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配送人员统一着装，佩戴好口罩、帽子、手套。如有违反，每次扣2分。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restart"/>
            <w:vAlign w:val="center"/>
          </w:tcPr>
          <w:p>
            <w:pPr>
              <w:spacing w:line="300" w:lineRule="exact"/>
              <w:jc w:val="center"/>
              <w:rPr>
                <w:sz w:val="18"/>
                <w:szCs w:val="18"/>
              </w:rPr>
            </w:pPr>
            <w:r>
              <w:rPr>
                <w:rFonts w:hint="eastAsia"/>
                <w:sz w:val="18"/>
                <w:szCs w:val="18"/>
              </w:rPr>
              <w:t>货源质量保障50分</w:t>
            </w:r>
          </w:p>
        </w:tc>
        <w:tc>
          <w:tcPr>
            <w:tcW w:w="7512" w:type="dxa"/>
            <w:vAlign w:val="center"/>
          </w:tcPr>
          <w:p>
            <w:pPr>
              <w:spacing w:line="300" w:lineRule="exact"/>
              <w:jc w:val="left"/>
              <w:rPr>
                <w:sz w:val="18"/>
                <w:szCs w:val="18"/>
              </w:rPr>
            </w:pPr>
            <w:r>
              <w:rPr>
                <w:rFonts w:hint="eastAsia"/>
                <w:sz w:val="18"/>
                <w:szCs w:val="18"/>
              </w:rPr>
              <w:t>从符合规定资质的单位进货、有协议及资质证明材料，交由业务科室报备。如有违反，每次扣2分。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配送产品证件（合格证、检疫证、检验报告等原件或复印件）。如有违反，每次扣2分。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验收时查看包装产品有QS标志。如有违反，每次扣2分。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按照明确的食材品质、规格大小、品牌、品种等进行验收。如有违反，每次扣2分。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查看配送的袋装产品有无质量合格证明、生产许可证。如有违反，每次扣2分。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restart"/>
            <w:vAlign w:val="center"/>
          </w:tcPr>
          <w:p>
            <w:pPr>
              <w:spacing w:line="300" w:lineRule="exact"/>
              <w:jc w:val="center"/>
              <w:rPr>
                <w:sz w:val="18"/>
                <w:szCs w:val="18"/>
              </w:rPr>
            </w:pPr>
            <w:r>
              <w:rPr>
                <w:rFonts w:hint="eastAsia"/>
                <w:sz w:val="18"/>
                <w:szCs w:val="18"/>
              </w:rPr>
              <w:t>台账齐全20分</w:t>
            </w:r>
          </w:p>
        </w:tc>
        <w:tc>
          <w:tcPr>
            <w:tcW w:w="7512" w:type="dxa"/>
            <w:vAlign w:val="center"/>
          </w:tcPr>
          <w:p>
            <w:pPr>
              <w:spacing w:line="300" w:lineRule="exact"/>
              <w:jc w:val="left"/>
              <w:rPr>
                <w:sz w:val="18"/>
                <w:szCs w:val="18"/>
              </w:rPr>
            </w:pPr>
            <w:r>
              <w:rPr>
                <w:rFonts w:hint="eastAsia"/>
                <w:sz w:val="18"/>
                <w:szCs w:val="18"/>
              </w:rPr>
              <w:t>进出库记录齐全。如有违反，每次扣1分。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水果、蔬菜残留农药检验、检测记录。如有违反，每次扣1分。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72小时食品留样记录。如有违反，每次扣1分。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规范台账、票据规范、及时。如有违反，每次扣1分。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退换货记录齐全（含图片）。如有违反，每次扣1分。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spacing w:line="300" w:lineRule="exact"/>
              <w:jc w:val="center"/>
              <w:rPr>
                <w:sz w:val="18"/>
                <w:szCs w:val="18"/>
              </w:rPr>
            </w:pPr>
          </w:p>
        </w:tc>
        <w:tc>
          <w:tcPr>
            <w:tcW w:w="709" w:type="dxa"/>
            <w:vMerge w:val="restart"/>
            <w:vAlign w:val="center"/>
          </w:tcPr>
          <w:p>
            <w:pPr>
              <w:spacing w:line="300" w:lineRule="exact"/>
              <w:jc w:val="center"/>
              <w:rPr>
                <w:sz w:val="18"/>
                <w:szCs w:val="18"/>
              </w:rPr>
            </w:pPr>
            <w:r>
              <w:rPr>
                <w:rFonts w:hint="eastAsia"/>
                <w:sz w:val="18"/>
                <w:szCs w:val="18"/>
              </w:rPr>
              <w:t>服务管理10分</w:t>
            </w:r>
          </w:p>
        </w:tc>
        <w:tc>
          <w:tcPr>
            <w:tcW w:w="7512" w:type="dxa"/>
            <w:vAlign w:val="center"/>
          </w:tcPr>
          <w:p>
            <w:pPr>
              <w:spacing w:line="300" w:lineRule="exact"/>
              <w:jc w:val="left"/>
              <w:rPr>
                <w:sz w:val="18"/>
                <w:szCs w:val="18"/>
              </w:rPr>
            </w:pPr>
            <w:r>
              <w:rPr>
                <w:rFonts w:hint="eastAsia"/>
                <w:sz w:val="18"/>
                <w:szCs w:val="18"/>
              </w:rPr>
              <w:t>到达服务单位后货物摆放按要求：离地、有货物标牌、垫仓板。如有违反，每次扣2分。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在高温时配送生鲜、生肉时进行保鲜措施。如有违反，每次扣2分。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按时到位，有专用配送篮，避免二次伤害，专车专送。如有违反，每次扣2分。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按武侯区机关事务中心制定品牌食品采购。如有违反，每次扣2分。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退换货及时响应，及时配送。如有违反，每次扣2分。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按机关需要配送，保质保量，及时配送。如有违反，每次扣2分。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设立应急配送点，每次应急配送响应需在30分钟内送到。如有违反，每次扣2分。</w:t>
            </w:r>
          </w:p>
        </w:tc>
        <w:tc>
          <w:tcPr>
            <w:tcW w:w="708" w:type="dxa"/>
          </w:tcPr>
          <w:p>
            <w:pPr>
              <w:spacing w:line="3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spacing w:line="300" w:lineRule="exact"/>
              <w:jc w:val="center"/>
              <w:rPr>
                <w:sz w:val="18"/>
                <w:szCs w:val="18"/>
              </w:rPr>
            </w:pPr>
          </w:p>
        </w:tc>
        <w:tc>
          <w:tcPr>
            <w:tcW w:w="709" w:type="dxa"/>
            <w:vMerge w:val="continue"/>
            <w:vAlign w:val="center"/>
          </w:tcPr>
          <w:p>
            <w:pPr>
              <w:spacing w:line="300" w:lineRule="exact"/>
              <w:jc w:val="center"/>
              <w:rPr>
                <w:sz w:val="18"/>
                <w:szCs w:val="18"/>
              </w:rPr>
            </w:pPr>
          </w:p>
        </w:tc>
        <w:tc>
          <w:tcPr>
            <w:tcW w:w="7512" w:type="dxa"/>
            <w:vAlign w:val="center"/>
          </w:tcPr>
          <w:p>
            <w:pPr>
              <w:spacing w:line="300" w:lineRule="exact"/>
              <w:jc w:val="left"/>
              <w:rPr>
                <w:sz w:val="18"/>
                <w:szCs w:val="18"/>
              </w:rPr>
            </w:pPr>
            <w:r>
              <w:rPr>
                <w:rFonts w:hint="eastAsia"/>
                <w:sz w:val="18"/>
                <w:szCs w:val="18"/>
              </w:rPr>
              <w:t>按照管理科室要求及时报送工作总结，总结内容详细，并符合要求。如有违反，每次扣2分。</w:t>
            </w:r>
          </w:p>
        </w:tc>
        <w:tc>
          <w:tcPr>
            <w:tcW w:w="708" w:type="dxa"/>
          </w:tcPr>
          <w:p>
            <w:pPr>
              <w:spacing w:line="300" w:lineRule="exact"/>
              <w:jc w:val="center"/>
              <w:rPr>
                <w:sz w:val="18"/>
                <w:szCs w:val="18"/>
              </w:rPr>
            </w:pPr>
          </w:p>
        </w:tc>
      </w:tr>
    </w:tbl>
    <w:p>
      <w:pPr>
        <w:jc w:val="left"/>
        <w:rPr>
          <w:sz w:val="18"/>
          <w:szCs w:val="18"/>
        </w:rPr>
      </w:pPr>
    </w:p>
    <w:p>
      <w:pPr>
        <w:snapToGrid w:val="0"/>
        <w:spacing w:line="400" w:lineRule="exact"/>
        <w:ind w:firstLine="480"/>
        <w:rPr>
          <w:rFonts w:ascii="宋体"/>
          <w:sz w:val="24"/>
        </w:rPr>
      </w:pPr>
      <w:r>
        <w:rPr>
          <w:rFonts w:hint="eastAsia"/>
          <w:sz w:val="18"/>
          <w:szCs w:val="18"/>
        </w:rPr>
        <w:t>配送公司：               验收人：             责任科室：                 责任科室负责人：</w:t>
      </w:r>
    </w:p>
    <w:p>
      <w: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sectPr>
          <w:pgSz w:w="12240" w:h="15840"/>
          <w:pgMar w:top="1440" w:right="1800" w:bottom="1440" w:left="1800" w:header="708" w:footer="708" w:gutter="0"/>
          <w:cols w:space="708" w:num="1"/>
          <w:docGrid w:linePitch="360" w:charSpace="0"/>
        </w:sect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3" w:name="_Toc15080"/>
      <w:r>
        <w:rPr>
          <w:rFonts w:hint="eastAsia" w:ascii="宋体" w:hAnsi="宋体"/>
          <w:b/>
          <w:bCs/>
          <w:spacing w:val="-20"/>
          <w:kern w:val="44"/>
          <w:sz w:val="32"/>
          <w:szCs w:val="32"/>
        </w:rPr>
        <w:t>资格性审查</w:t>
      </w:r>
      <w:bookmarkEnd w:id="153"/>
    </w:p>
    <w:p>
      <w:pPr>
        <w:tabs>
          <w:tab w:val="left" w:pos="851"/>
        </w:tabs>
        <w:spacing w:line="360" w:lineRule="auto"/>
        <w:ind w:firstLine="484" w:firstLineChars="202"/>
        <w:rPr>
          <w:rFonts w:ascii="宋体" w:hAnsi="宋体"/>
          <w:sz w:val="24"/>
          <w:szCs w:val="24"/>
        </w:rPr>
      </w:pPr>
      <w:r>
        <w:rPr>
          <w:rFonts w:hint="eastAsia" w:ascii="宋体" w:hAnsi="宋体"/>
          <w:sz w:val="24"/>
          <w:szCs w:val="24"/>
        </w:rPr>
        <w:t>资格性审查由</w:t>
      </w:r>
      <w:r>
        <w:rPr>
          <w:rFonts w:hint="eastAsia" w:ascii="宋体" w:hAnsi="宋体"/>
          <w:sz w:val="24"/>
          <w:szCs w:val="24"/>
          <w:highlight w:val="yellow"/>
        </w:rPr>
        <w:t>采购人和采购中心</w:t>
      </w:r>
      <w:r>
        <w:rPr>
          <w:rFonts w:hint="eastAsia" w:ascii="宋体" w:hAnsi="宋体"/>
          <w:sz w:val="24"/>
          <w:szCs w:val="24"/>
        </w:rPr>
        <w:t>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Style w:val="4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highlight w:val="yellow"/>
              </w:rPr>
              <w:t>非联合体投标</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投标供应商需提供具有在</w:t>
            </w:r>
            <w:r>
              <w:rPr>
                <w:rFonts w:hint="eastAsia"/>
                <w:sz w:val="20"/>
                <w:highlight w:val="yellow"/>
              </w:rPr>
              <w:t>有效期内的食品生产许可证或食品经营许可证（两个证有其中一个即可）</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pPr>
        <w:tabs>
          <w:tab w:val="left" w:pos="851"/>
        </w:tabs>
        <w:spacing w:line="360" w:lineRule="auto"/>
        <w:ind w:firstLine="480" w:firstLineChars="200"/>
        <w:rPr>
          <w:rFonts w:ascii="宋体" w:hAnsi="宋体"/>
          <w:sz w:val="24"/>
          <w:szCs w:val="24"/>
        </w:rPr>
      </w:pPr>
      <w:r>
        <w:rPr>
          <w:rFonts w:hint="eastAsia" w:ascii="宋体" w:hAnsi="宋体"/>
          <w:sz w:val="24"/>
          <w:szCs w:val="24"/>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二、“</w:t>
      </w:r>
      <w:r>
        <w:rPr>
          <w:rFonts w:hint="eastAsia" w:ascii="宋体" w:hAnsi="宋体"/>
          <w:sz w:val="24"/>
          <w:szCs w:val="24"/>
          <w:highlight w:val="yellow"/>
        </w:rPr>
        <w:t>信用中国</w:t>
      </w:r>
      <w:r>
        <w:rPr>
          <w:rFonts w:hint="eastAsia" w:ascii="宋体" w:hAnsi="宋体"/>
          <w:sz w:val="24"/>
          <w:szCs w:val="24"/>
        </w:rPr>
        <w:t>”和“</w:t>
      </w:r>
      <w:r>
        <w:rPr>
          <w:rFonts w:hint="eastAsia" w:ascii="宋体" w:hAnsi="宋体"/>
          <w:sz w:val="24"/>
          <w:szCs w:val="24"/>
          <w:highlight w:val="yellow"/>
        </w:rPr>
        <w:t>中国政府采购网</w:t>
      </w:r>
      <w:r>
        <w:rPr>
          <w:rFonts w:hint="eastAsia" w:ascii="宋体" w:hAnsi="宋体"/>
          <w:sz w:val="24"/>
          <w:szCs w:val="24"/>
        </w:rPr>
        <w:t>”网站查询结果，将以纸质截图或将截图保存至电子介质的形式留存。</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三、投标人的投标文件资格性审查时被判定为无效的，采购中心将通知投标人（以现场公示、电话、短信、成都市公共资源交易中心网站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四、通过资格性审查的供应商＜3名，采购失败。</w:t>
      </w:r>
    </w:p>
    <w:p>
      <w:pPr>
        <w:tabs>
          <w:tab w:val="left" w:pos="851"/>
        </w:tabs>
        <w:spacing w:line="360" w:lineRule="auto"/>
        <w:ind w:firstLine="484" w:firstLineChars="202"/>
        <w:rPr>
          <w:rFonts w:ascii="宋体" w:hAnsi="宋体"/>
          <w:sz w:val="24"/>
          <w:szCs w:val="24"/>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rPr>
          <w:rFonts w:ascii="宋体" w:hAnsi="宋体"/>
          <w:sz w:val="28"/>
          <w:szCs w:val="28"/>
        </w:rPr>
        <w:sectPr>
          <w:pgSz w:w="12240" w:h="15840"/>
          <w:pgMar w:top="1440" w:right="1800" w:bottom="1440" w:left="1800" w:header="708" w:footer="708" w:gutter="0"/>
          <w:cols w:space="708" w:num="1"/>
          <w:docGrid w:linePitch="360" w:charSpace="0"/>
        </w:sectPr>
      </w:pPr>
    </w:p>
    <w:p>
      <w:pPr>
        <w:tabs>
          <w:tab w:val="left" w:pos="851"/>
        </w:tabs>
        <w:spacing w:line="360" w:lineRule="auto"/>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4" w:name="_Toc22031"/>
      <w:r>
        <w:rPr>
          <w:rFonts w:hint="eastAsia" w:ascii="宋体" w:hAnsi="宋体"/>
          <w:b/>
          <w:bCs/>
          <w:spacing w:val="-20"/>
          <w:kern w:val="44"/>
          <w:sz w:val="32"/>
          <w:szCs w:val="32"/>
        </w:rPr>
        <w:t>评标办法</w:t>
      </w:r>
      <w:bookmarkEnd w:id="154"/>
    </w:p>
    <w:p>
      <w:pPr>
        <w:keepNext/>
        <w:keepLines/>
        <w:numPr>
          <w:ilvl w:val="1"/>
          <w:numId w:val="5"/>
        </w:numPr>
        <w:spacing w:line="360" w:lineRule="auto"/>
        <w:jc w:val="left"/>
        <w:outlineLvl w:val="1"/>
        <w:rPr>
          <w:rFonts w:ascii="宋体" w:hAnsi="宋体"/>
          <w:b/>
          <w:bCs/>
          <w:sz w:val="28"/>
          <w:szCs w:val="28"/>
        </w:rPr>
      </w:pPr>
      <w:bookmarkStart w:id="155" w:name="_Toc22952"/>
      <w:r>
        <w:rPr>
          <w:rFonts w:hint="eastAsia" w:ascii="宋体" w:hAnsi="宋体"/>
          <w:b/>
          <w:bCs/>
          <w:sz w:val="28"/>
          <w:szCs w:val="28"/>
        </w:rPr>
        <w:t>总则</w:t>
      </w:r>
      <w:bookmarkEnd w:id="155"/>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根据《中华人民共和国政府采购法》、《中华人民共和国政府采购法实施条例》和《政府采购货物和服务招标投标管理办法》等法律规章，结合采购项目特点制定本评标办法。</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评标工作由</w:t>
      </w:r>
      <w:r>
        <w:rPr>
          <w:rFonts w:hint="eastAsia" w:cs="Arial"/>
          <w:sz w:val="24"/>
          <w:szCs w:val="24"/>
        </w:rPr>
        <w:t>采购中心</w:t>
      </w:r>
      <w:r>
        <w:rPr>
          <w:rFonts w:hint="eastAsia" w:ascii="宋体" w:hAnsi="宋体"/>
          <w:sz w:val="24"/>
          <w:szCs w:val="24"/>
        </w:rPr>
        <w:t>负责组织，具体评标事务由采购人或</w:t>
      </w:r>
      <w:r>
        <w:rPr>
          <w:rFonts w:hint="eastAsia" w:cs="Arial"/>
          <w:sz w:val="24"/>
          <w:szCs w:val="24"/>
        </w:rPr>
        <w:t>采购中心</w:t>
      </w:r>
      <w:r>
        <w:rPr>
          <w:rFonts w:hint="eastAsia" w:ascii="宋体" w:hAnsi="宋体"/>
          <w:sz w:val="24"/>
          <w:szCs w:val="24"/>
        </w:rPr>
        <w:t>依法组建的评标委员会负责。评标委员会由采购人代表和评审专家组成。</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评标工作应遵循公平、公正、科学及择优的原则，并以相同的评标程序和标准对待所有的投标人。</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sz w:val="24"/>
          <w:szCs w:val="24"/>
        </w:rPr>
      </w:pPr>
      <w:r>
        <w:rPr>
          <w:rFonts w:hint="eastAsia" w:ascii="宋体" w:hAnsi="宋体"/>
          <w:sz w:val="24"/>
          <w:szCs w:val="24"/>
        </w:rPr>
        <w:t>熟悉和理解招标文件；</w:t>
      </w:r>
    </w:p>
    <w:p>
      <w:pPr>
        <w:numPr>
          <w:ilvl w:val="1"/>
          <w:numId w:val="40"/>
        </w:numPr>
        <w:spacing w:line="360" w:lineRule="auto"/>
        <w:ind w:left="0" w:firstLine="567"/>
        <w:rPr>
          <w:rFonts w:ascii="宋体" w:hAnsi="宋体"/>
          <w:sz w:val="24"/>
          <w:szCs w:val="24"/>
        </w:rPr>
      </w:pPr>
      <w:r>
        <w:rPr>
          <w:rFonts w:hint="eastAsia" w:ascii="宋体" w:hAnsi="宋体"/>
          <w:sz w:val="24"/>
          <w:szCs w:val="24"/>
        </w:rPr>
        <w:t>审查、评价投标文件是否符合招标文件的商务、技术等实质性要求；</w:t>
      </w:r>
    </w:p>
    <w:p>
      <w:pPr>
        <w:numPr>
          <w:ilvl w:val="1"/>
          <w:numId w:val="40"/>
        </w:numPr>
        <w:spacing w:line="360" w:lineRule="auto"/>
        <w:ind w:left="0" w:firstLine="567"/>
        <w:rPr>
          <w:rFonts w:ascii="宋体" w:hAnsi="宋体"/>
          <w:sz w:val="24"/>
          <w:szCs w:val="24"/>
        </w:rPr>
      </w:pPr>
      <w:r>
        <w:rPr>
          <w:rFonts w:hint="eastAsia" w:ascii="宋体" w:hAnsi="宋体"/>
          <w:sz w:val="24"/>
          <w:szCs w:val="24"/>
        </w:rPr>
        <w:t>对投标文件进行比较和评价；</w:t>
      </w:r>
    </w:p>
    <w:p>
      <w:pPr>
        <w:numPr>
          <w:ilvl w:val="1"/>
          <w:numId w:val="40"/>
        </w:numPr>
        <w:spacing w:line="360" w:lineRule="auto"/>
        <w:ind w:left="0" w:firstLine="567"/>
        <w:rPr>
          <w:rFonts w:ascii="宋体" w:hAnsi="宋体"/>
          <w:sz w:val="24"/>
          <w:szCs w:val="24"/>
        </w:rPr>
      </w:pPr>
      <w:r>
        <w:rPr>
          <w:rFonts w:hint="eastAsia" w:ascii="宋体" w:hAnsi="宋体"/>
          <w:sz w:val="24"/>
          <w:szCs w:val="24"/>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sz w:val="24"/>
          <w:szCs w:val="24"/>
        </w:rPr>
      </w:pPr>
      <w:r>
        <w:rPr>
          <w:rFonts w:hint="eastAsia" w:ascii="宋体" w:hAnsi="宋体"/>
          <w:sz w:val="24"/>
          <w:szCs w:val="24"/>
        </w:rPr>
        <w:t>确定中标候选人名单，以及根据采购人委托直接确定中标人；</w:t>
      </w:r>
    </w:p>
    <w:p>
      <w:pPr>
        <w:numPr>
          <w:ilvl w:val="1"/>
          <w:numId w:val="40"/>
        </w:numPr>
        <w:spacing w:line="360" w:lineRule="auto"/>
        <w:ind w:left="0" w:firstLine="567"/>
        <w:rPr>
          <w:rFonts w:ascii="宋体" w:hAnsi="宋体"/>
          <w:sz w:val="24"/>
          <w:szCs w:val="24"/>
        </w:rPr>
      </w:pPr>
      <w:r>
        <w:rPr>
          <w:rFonts w:hint="eastAsia" w:ascii="宋体" w:hAnsi="宋体"/>
          <w:sz w:val="24"/>
          <w:szCs w:val="24"/>
        </w:rPr>
        <w:t>起草评标报告并进行签署；</w:t>
      </w:r>
    </w:p>
    <w:p>
      <w:pPr>
        <w:numPr>
          <w:ilvl w:val="1"/>
          <w:numId w:val="40"/>
        </w:numPr>
        <w:spacing w:line="360" w:lineRule="auto"/>
        <w:ind w:left="0" w:firstLine="567"/>
        <w:rPr>
          <w:rFonts w:ascii="宋体" w:hAnsi="宋体"/>
          <w:sz w:val="24"/>
          <w:szCs w:val="24"/>
        </w:rPr>
      </w:pPr>
      <w:r>
        <w:rPr>
          <w:rFonts w:hint="eastAsia" w:ascii="宋体" w:hAnsi="宋体"/>
          <w:sz w:val="24"/>
          <w:szCs w:val="24"/>
        </w:rPr>
        <w:t>向采购人、采购中心或者财政、监察等有关部门报告或举报非法干预评标工作的行为；</w:t>
      </w:r>
    </w:p>
    <w:p>
      <w:pPr>
        <w:numPr>
          <w:ilvl w:val="1"/>
          <w:numId w:val="40"/>
        </w:numPr>
        <w:spacing w:line="360" w:lineRule="auto"/>
        <w:ind w:left="0" w:firstLine="567"/>
        <w:rPr>
          <w:rFonts w:ascii="宋体" w:hAnsi="宋体"/>
          <w:sz w:val="24"/>
          <w:szCs w:val="24"/>
        </w:rPr>
      </w:pPr>
      <w:r>
        <w:rPr>
          <w:rFonts w:hint="eastAsia" w:ascii="宋体" w:hAnsi="宋体"/>
          <w:sz w:val="24"/>
          <w:szCs w:val="24"/>
        </w:rPr>
        <w:t>向采购人、</w:t>
      </w:r>
      <w:r>
        <w:rPr>
          <w:rFonts w:hint="eastAsia" w:cs="Arial"/>
          <w:sz w:val="24"/>
          <w:szCs w:val="24"/>
        </w:rPr>
        <w:t>采购中心</w:t>
      </w:r>
      <w:r>
        <w:rPr>
          <w:rFonts w:hint="eastAsia" w:ascii="宋体" w:hAnsi="宋体"/>
          <w:sz w:val="24"/>
          <w:szCs w:val="24"/>
        </w:rPr>
        <w:t>或者有关部门报告评标中发现的违法行为。</w:t>
      </w:r>
    </w:p>
    <w:p>
      <w:pPr>
        <w:numPr>
          <w:ilvl w:val="1"/>
          <w:numId w:val="40"/>
        </w:numPr>
        <w:spacing w:line="360" w:lineRule="auto"/>
        <w:ind w:left="0" w:firstLine="567"/>
        <w:rPr>
          <w:rFonts w:ascii="宋体" w:hAnsi="宋体"/>
          <w:sz w:val="24"/>
          <w:szCs w:val="24"/>
        </w:rPr>
      </w:pPr>
      <w:r>
        <w:rPr>
          <w:rFonts w:hint="eastAsia" w:ascii="宋体" w:hAnsi="宋体"/>
          <w:sz w:val="24"/>
          <w:szCs w:val="24"/>
        </w:rPr>
        <w:t>法律、法规和规章规定的其他职责。</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评标过程独立、保密。投标人非法干预评标过程的行为将导致其投标文件作为无效处理。</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4"/>
          <w:szCs w:val="24"/>
        </w:rPr>
      </w:pPr>
      <w:bookmarkStart w:id="156" w:name="_Toc30050"/>
      <w:r>
        <w:rPr>
          <w:rFonts w:hint="eastAsia" w:ascii="宋体" w:hAnsi="宋体"/>
          <w:b/>
          <w:bCs/>
          <w:sz w:val="24"/>
          <w:szCs w:val="24"/>
        </w:rPr>
        <w:t>评标方法</w:t>
      </w:r>
      <w:bookmarkEnd w:id="156"/>
    </w:p>
    <w:p>
      <w:pPr>
        <w:spacing w:line="360" w:lineRule="auto"/>
        <w:ind w:firstLine="484" w:firstLineChars="202"/>
        <w:rPr>
          <w:rFonts w:ascii="宋体" w:hAnsi="宋体"/>
          <w:sz w:val="24"/>
          <w:szCs w:val="24"/>
        </w:rPr>
      </w:pPr>
      <w:r>
        <w:rPr>
          <w:rFonts w:hint="eastAsia" w:ascii="宋体" w:hAnsi="宋体"/>
          <w:sz w:val="24"/>
          <w:szCs w:val="24"/>
        </w:rPr>
        <w:t>综合评分法。</w:t>
      </w:r>
    </w:p>
    <w:p>
      <w:pPr>
        <w:keepNext/>
        <w:keepLines/>
        <w:numPr>
          <w:ilvl w:val="1"/>
          <w:numId w:val="5"/>
        </w:numPr>
        <w:spacing w:line="360" w:lineRule="auto"/>
        <w:jc w:val="left"/>
        <w:outlineLvl w:val="1"/>
        <w:rPr>
          <w:rFonts w:ascii="宋体" w:hAnsi="宋体"/>
          <w:b/>
          <w:bCs/>
          <w:sz w:val="24"/>
          <w:szCs w:val="24"/>
        </w:rPr>
      </w:pPr>
      <w:bookmarkStart w:id="157" w:name="_Toc32143"/>
      <w:r>
        <w:rPr>
          <w:rFonts w:hint="eastAsia" w:ascii="宋体" w:hAnsi="宋体"/>
          <w:b/>
          <w:bCs/>
          <w:sz w:val="24"/>
          <w:szCs w:val="24"/>
        </w:rPr>
        <w:t>评标程序</w:t>
      </w:r>
      <w:bookmarkEnd w:id="157"/>
    </w:p>
    <w:p>
      <w:pPr>
        <w:keepNext/>
        <w:keepLines/>
        <w:numPr>
          <w:ilvl w:val="2"/>
          <w:numId w:val="5"/>
        </w:numPr>
        <w:spacing w:line="360" w:lineRule="auto"/>
        <w:ind w:left="3119" w:hanging="3119"/>
        <w:outlineLvl w:val="2"/>
        <w:rPr>
          <w:rFonts w:ascii="宋体" w:hAnsi="宋体"/>
          <w:b/>
          <w:bCs/>
          <w:sz w:val="24"/>
          <w:szCs w:val="24"/>
        </w:rPr>
      </w:pPr>
      <w:r>
        <w:rPr>
          <w:rFonts w:hint="eastAsia" w:ascii="宋体" w:hAnsi="宋体"/>
          <w:b/>
          <w:bCs/>
          <w:sz w:val="24"/>
          <w:szCs w:val="24"/>
        </w:rPr>
        <w:t>符合性审查</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符合性审查标准见下表（按以下顺序审查）：</w:t>
      </w:r>
    </w:p>
    <w:tbl>
      <w:tblPr>
        <w:tblStyle w:val="41"/>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第4章标★号的技术、服务、商务和其他要求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480" w:firstLineChars="200"/>
        <w:rPr>
          <w:rFonts w:ascii="宋体" w:hAnsi="宋体"/>
          <w:sz w:val="24"/>
          <w:szCs w:val="24"/>
        </w:rPr>
      </w:pPr>
      <w:r>
        <w:rPr>
          <w:rFonts w:hint="eastAsia" w:ascii="宋体" w:hAnsi="宋体"/>
          <w:sz w:val="24"/>
          <w:szCs w:val="24"/>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二、投标人的投标文件符合性审查时被判定为无效投标文件的，成都市武侯区政府采购中心将通知投标人（以现场公示、电话、短信、成都市公共资源交易中心网站等任一方式）。投标人如对评审结论有异议的，应及时向成都市武侯区政府采购中心反馈意见。成都市武侯区政府采购中心在评审结束前将收到的反馈意见及时告知评标委员会。（说明：无论投标人是否收到通知或提供反馈意见，均不影响评标委员会的评标工作，且成都市武侯区政府采购中心对此将不承担任何的责任。投标人对评审结论有异议的，其反馈意见仅限于评标委员会对评审结论的正确性进行复核，避免出现评审错误。）</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三、通过符合性审查的供应商＜3名，本项目采购失败。</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解释、澄清有关问题</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评标过程中，评标委员会认为招标文件有关事项表述不明确或需要说明的，可以提请成都市武侯区政府采购中心书面解释。成都市武侯区政府采购中心的解释不得改变招标文件的原义或者影响公平、公正，解释事项如果涉及投标人权益的以有利于投标人的原则进行解释。</w:t>
      </w:r>
    </w:p>
    <w:p>
      <w:pPr>
        <w:numPr>
          <w:ilvl w:val="0"/>
          <w:numId w:val="41"/>
        </w:numPr>
        <w:tabs>
          <w:tab w:val="left" w:pos="1134"/>
        </w:tabs>
        <w:spacing w:after="200" w:line="560" w:lineRule="exact"/>
        <w:ind w:left="0" w:firstLine="525"/>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 w:val="clear" w:pos="846"/>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投标人投标文件中不响应招标文件规定的技术参数指标和商务应答；</w:t>
      </w:r>
    </w:p>
    <w:p>
      <w:pPr>
        <w:numPr>
          <w:ilvl w:val="0"/>
          <w:numId w:val="42"/>
        </w:numPr>
        <w:tabs>
          <w:tab w:val="left" w:pos="1260"/>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投标人投标文件中未提供的证明其是否符合招标文件资格性、符合性规定要求的相关材料。</w:t>
      </w:r>
    </w:p>
    <w:p>
      <w:pPr>
        <w:numPr>
          <w:ilvl w:val="0"/>
          <w:numId w:val="42"/>
        </w:numPr>
        <w:tabs>
          <w:tab w:val="left" w:pos="993"/>
          <w:tab w:val="left" w:pos="1260"/>
          <w:tab w:val="clear" w:pos="846"/>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投标人投标文件中的材料因印刷、影印等不清晰而难以辨认的。</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投标文件报价出现下列情况的，不需要投标人澄清，按以下原则处理：</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（一）开标现场宣读的投标报价与投标文件中的投标报价不一致的，以投标人</w:t>
      </w:r>
      <w:r>
        <w:rPr>
          <w:rFonts w:ascii="宋体" w:hAnsi="宋体"/>
          <w:sz w:val="24"/>
          <w:szCs w:val="24"/>
        </w:rPr>
        <w:t>在</w:t>
      </w:r>
      <w:r>
        <w:rPr>
          <w:rFonts w:hint="eastAsia" w:ascii="宋体" w:hAnsi="宋体"/>
          <w:sz w:val="24"/>
          <w:szCs w:val="24"/>
        </w:rPr>
        <w:t>政府采购</w:t>
      </w:r>
      <w:r>
        <w:rPr>
          <w:rFonts w:ascii="宋体" w:hAnsi="宋体"/>
          <w:sz w:val="24"/>
          <w:szCs w:val="24"/>
        </w:rPr>
        <w:t>云平台</w:t>
      </w:r>
      <w:r>
        <w:rPr>
          <w:rFonts w:hint="eastAsia" w:ascii="宋体" w:hAnsi="宋体"/>
          <w:sz w:val="24"/>
          <w:szCs w:val="24"/>
        </w:rPr>
        <w:t>开标</w:t>
      </w:r>
      <w:r>
        <w:rPr>
          <w:rFonts w:ascii="宋体" w:hAnsi="宋体"/>
          <w:sz w:val="24"/>
          <w:szCs w:val="24"/>
        </w:rPr>
        <w:t>一览表中填写的报价为准</w:t>
      </w:r>
      <w:r>
        <w:rPr>
          <w:rFonts w:hint="eastAsia" w:ascii="宋体" w:hAnsi="宋体"/>
          <w:sz w:val="24"/>
          <w:szCs w:val="24"/>
        </w:rPr>
        <w:t>；</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（二）大写金额和小写金额不一致的，以大写金额为准，但大写金额出现文字错误，导致金额无法判断的除外；</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（三）单价金额小数点或者百分比有明显错位的，以总价为准，并修改单价；</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（四）总价金额与按单价汇总金额不一致的，以单价金额计算结果为准。</w:t>
      </w:r>
    </w:p>
    <w:p>
      <w:pPr>
        <w:spacing w:line="360" w:lineRule="auto"/>
        <w:ind w:firstLine="561"/>
        <w:rPr>
          <w:sz w:val="24"/>
          <w:szCs w:val="24"/>
        </w:rPr>
      </w:pPr>
      <w:r>
        <w:rPr>
          <w:rFonts w:hint="eastAsia"/>
          <w:sz w:val="24"/>
          <w:szCs w:val="24"/>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4"/>
          <w:szCs w:val="24"/>
        </w:rPr>
      </w:pPr>
      <w:r>
        <w:rPr>
          <w:rFonts w:hint="eastAsia"/>
          <w:sz w:val="24"/>
          <w:szCs w:val="24"/>
        </w:rPr>
        <w:t>五、对不同语言文本投标文件的解释发生异议的，以中文文本为准。</w:t>
      </w:r>
    </w:p>
    <w:p>
      <w:pPr>
        <w:tabs>
          <w:tab w:val="left" w:pos="720"/>
        </w:tabs>
        <w:spacing w:line="560" w:lineRule="exact"/>
        <w:ind w:firstLine="480" w:firstLineChars="200"/>
        <w:rPr>
          <w:sz w:val="24"/>
          <w:szCs w:val="24"/>
        </w:rPr>
      </w:pPr>
      <w:r>
        <w:rPr>
          <w:rFonts w:hint="eastAsia"/>
          <w:sz w:val="24"/>
          <w:szCs w:val="24"/>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487" w:firstLineChars="202"/>
        <w:rPr>
          <w:rFonts w:ascii="宋体" w:hAnsi="宋体"/>
          <w:b/>
          <w:sz w:val="24"/>
          <w:szCs w:val="24"/>
        </w:rPr>
      </w:pPr>
      <w:r>
        <w:rPr>
          <w:rFonts w:hint="eastAsia" w:ascii="宋体" w:hAnsi="宋体"/>
          <w:b/>
          <w:sz w:val="24"/>
          <w:szCs w:val="24"/>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比较与评价</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复核</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评分汇总结束后，评标委员会应当进行复核，特别要对拟推荐为中标候选供应商的、报价最低的、投标文件被认定为无效的进行重点复核。</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评标结果汇总完成后，评标委员会拟出具评审报告前，</w:t>
      </w:r>
      <w:r>
        <w:rPr>
          <w:rFonts w:hint="eastAsia" w:cs="Arial"/>
          <w:sz w:val="24"/>
          <w:szCs w:val="24"/>
        </w:rPr>
        <w:t>成都市武侯区政府采购中心</w:t>
      </w:r>
      <w:r>
        <w:rPr>
          <w:rFonts w:hint="eastAsia" w:ascii="宋体" w:hAnsi="宋体"/>
          <w:sz w:val="24"/>
          <w:szCs w:val="24"/>
        </w:rPr>
        <w:t>应当组织2名以上的工作人员，在采购现场监督人员的监督之下，依据有关的法律制度和采购文件对评审结果进行复核，出具复核报告。</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评标结果汇总完成后，除下列情形外，任何人不得修改评标结果：</w:t>
      </w:r>
    </w:p>
    <w:p>
      <w:pPr>
        <w:numPr>
          <w:ilvl w:val="0"/>
          <w:numId w:val="43"/>
        </w:numPr>
        <w:tabs>
          <w:tab w:val="left" w:pos="851"/>
          <w:tab w:val="left" w:pos="1276"/>
        </w:tabs>
        <w:spacing w:line="360" w:lineRule="auto"/>
        <w:ind w:left="0" w:firstLine="424"/>
        <w:rPr>
          <w:rFonts w:ascii="宋体" w:hAnsi="宋体" w:cstheme="minorBidi"/>
          <w:sz w:val="24"/>
          <w:szCs w:val="24"/>
        </w:rPr>
      </w:pPr>
      <w:r>
        <w:rPr>
          <w:rFonts w:hint="eastAsia" w:ascii="宋体" w:hAnsi="宋体" w:cstheme="minorBidi"/>
          <w:sz w:val="24"/>
          <w:szCs w:val="24"/>
        </w:rPr>
        <w:t>分值汇总计算错误的；</w:t>
      </w:r>
    </w:p>
    <w:p>
      <w:pPr>
        <w:numPr>
          <w:ilvl w:val="0"/>
          <w:numId w:val="43"/>
        </w:numPr>
        <w:tabs>
          <w:tab w:val="left" w:pos="851"/>
          <w:tab w:val="left" w:pos="1276"/>
        </w:tabs>
        <w:spacing w:line="360" w:lineRule="auto"/>
        <w:ind w:left="0" w:firstLine="424"/>
        <w:rPr>
          <w:rFonts w:ascii="宋体" w:hAnsi="宋体" w:cstheme="minorBidi"/>
          <w:sz w:val="24"/>
          <w:szCs w:val="24"/>
        </w:rPr>
      </w:pPr>
      <w:r>
        <w:rPr>
          <w:rFonts w:hint="eastAsia" w:ascii="宋体" w:hAnsi="宋体" w:cstheme="minorBidi"/>
          <w:sz w:val="24"/>
          <w:szCs w:val="24"/>
        </w:rPr>
        <w:t>分项评分超出评分标准范围的；</w:t>
      </w:r>
    </w:p>
    <w:p>
      <w:pPr>
        <w:numPr>
          <w:ilvl w:val="0"/>
          <w:numId w:val="43"/>
        </w:numPr>
        <w:tabs>
          <w:tab w:val="left" w:pos="851"/>
          <w:tab w:val="left" w:pos="1276"/>
          <w:tab w:val="left" w:pos="1560"/>
        </w:tabs>
        <w:spacing w:line="360" w:lineRule="auto"/>
        <w:ind w:left="0" w:firstLine="424"/>
        <w:rPr>
          <w:rFonts w:ascii="宋体" w:hAnsi="宋体" w:cstheme="minorBidi"/>
          <w:sz w:val="24"/>
          <w:szCs w:val="24"/>
        </w:rPr>
      </w:pPr>
      <w:r>
        <w:rPr>
          <w:rFonts w:hint="eastAsia" w:ascii="宋体" w:hAnsi="宋体" w:cstheme="minorBidi"/>
          <w:sz w:val="24"/>
          <w:szCs w:val="24"/>
        </w:rPr>
        <w:t>评标委员会成员对客观评审因素评分不一致的；</w:t>
      </w:r>
    </w:p>
    <w:p>
      <w:pPr>
        <w:numPr>
          <w:ilvl w:val="0"/>
          <w:numId w:val="43"/>
        </w:numPr>
        <w:tabs>
          <w:tab w:val="left" w:pos="851"/>
          <w:tab w:val="left" w:pos="1276"/>
        </w:tabs>
        <w:spacing w:line="360" w:lineRule="auto"/>
        <w:ind w:left="0" w:firstLine="426"/>
        <w:rPr>
          <w:rFonts w:ascii="宋体" w:hAnsi="宋体" w:cstheme="minorBidi"/>
          <w:sz w:val="24"/>
          <w:szCs w:val="24"/>
        </w:rPr>
      </w:pPr>
      <w:r>
        <w:rPr>
          <w:rFonts w:hint="eastAsia" w:ascii="宋体" w:hAnsi="宋体" w:cstheme="minorBidi"/>
          <w:sz w:val="24"/>
          <w:szCs w:val="24"/>
        </w:rPr>
        <w:t>经评标委员会认定评分畸高、畸低的。</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确定中标候选人名单</w:t>
      </w:r>
    </w:p>
    <w:p>
      <w:pPr>
        <w:tabs>
          <w:tab w:val="left" w:pos="851"/>
        </w:tabs>
        <w:spacing w:line="360" w:lineRule="auto"/>
        <w:ind w:firstLine="484" w:firstLineChars="202"/>
        <w:rPr>
          <w:rFonts w:ascii="Helvetica" w:hAnsi="Helvetica" w:cs="Helvetica"/>
          <w:kern w:val="0"/>
          <w:sz w:val="24"/>
          <w:szCs w:val="24"/>
        </w:rPr>
      </w:pPr>
      <w:r>
        <w:rPr>
          <w:rFonts w:hint="eastAsia" w:ascii="宋体" w:hAnsi="宋体"/>
          <w:sz w:val="24"/>
          <w:szCs w:val="24"/>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4"/>
          <w:szCs w:val="24"/>
        </w:rPr>
        <w:t>投标文件满足招标文件全部实质性要求，且按照评审因素的量化指标评审得分最高的投标人为排名第一的中标候选人。</w:t>
      </w:r>
    </w:p>
    <w:p>
      <w:pPr>
        <w:tabs>
          <w:tab w:val="left" w:pos="851"/>
        </w:tabs>
        <w:spacing w:line="360" w:lineRule="auto"/>
        <w:ind w:firstLine="484" w:firstLineChars="202"/>
        <w:rPr>
          <w:rFonts w:ascii="宋体" w:hAnsi="宋体"/>
          <w:sz w:val="24"/>
          <w:szCs w:val="24"/>
        </w:rPr>
      </w:pPr>
      <w:r>
        <w:rPr>
          <w:rFonts w:hint="eastAsia" w:ascii="宋体" w:hAnsi="宋体"/>
          <w:sz w:val="24"/>
          <w:szCs w:val="24"/>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4"/>
          <w:szCs w:val="24"/>
        </w:rPr>
      </w:pPr>
      <w:r>
        <w:rPr>
          <w:rFonts w:hint="eastAsia" w:ascii="宋体" w:hAnsi="宋体"/>
          <w:b/>
          <w:bCs/>
          <w:sz w:val="24"/>
          <w:szCs w:val="24"/>
        </w:rPr>
        <w:t>编写评标报告</w:t>
      </w:r>
    </w:p>
    <w:p>
      <w:pPr>
        <w:spacing w:line="360" w:lineRule="auto"/>
        <w:ind w:firstLine="480" w:firstLineChars="200"/>
        <w:rPr>
          <w:rFonts w:ascii="宋体" w:hAnsi="宋体"/>
          <w:sz w:val="24"/>
          <w:szCs w:val="24"/>
        </w:rPr>
      </w:pPr>
      <w:r>
        <w:rPr>
          <w:rFonts w:hint="eastAsia" w:ascii="宋体" w:hAnsi="宋体"/>
          <w:sz w:val="24"/>
          <w:szCs w:val="24"/>
        </w:rPr>
        <w:t>评标报告是评标委员会根据全体评标成员签字的原始评标记录和评标结果编写的报告，其主要内容包括：</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招标公告刊登的媒体名称、开标日期和地点；</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投标人名单和评标委员会成员名单；</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评标方法和标准；</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开标记录和评标情况及说明，包括投标无效投标人名单及原因；</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评标结果，确定的中标候选人名单或者经采购人委托直接确定的中标人；</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其他需要说明的情况，包括评标过程中投标人根据评标委员会要求进行的澄清、说明或者补正，评标委员会成员的更换等；</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报价最高的投标人为中标候选人的，评标委员会应当对其报价的合理性予以特别说明。</w:t>
      </w:r>
    </w:p>
    <w:p>
      <w:pPr>
        <w:tabs>
          <w:tab w:val="left" w:pos="1155"/>
        </w:tabs>
        <w:spacing w:line="360" w:lineRule="auto"/>
        <w:ind w:firstLine="448" w:firstLineChars="187"/>
        <w:rPr>
          <w:rFonts w:ascii="宋体" w:hAnsi="宋体"/>
          <w:sz w:val="24"/>
          <w:szCs w:val="24"/>
        </w:rPr>
      </w:pPr>
      <w:r>
        <w:rPr>
          <w:rFonts w:hint="eastAsia" w:ascii="宋体" w:hAnsi="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4"/>
          <w:szCs w:val="24"/>
        </w:rPr>
      </w:pPr>
      <w:bookmarkStart w:id="158" w:name="_Toc9768"/>
      <w:r>
        <w:rPr>
          <w:rFonts w:hint="eastAsia" w:ascii="宋体" w:hAnsi="宋体"/>
          <w:b/>
          <w:bCs/>
          <w:sz w:val="24"/>
          <w:szCs w:val="24"/>
        </w:rPr>
        <w:t>评标争议处理规则</w:t>
      </w:r>
      <w:bookmarkEnd w:id="158"/>
    </w:p>
    <w:p>
      <w:pPr>
        <w:tabs>
          <w:tab w:val="left" w:pos="1155"/>
        </w:tabs>
        <w:spacing w:line="360" w:lineRule="auto"/>
        <w:ind w:firstLine="448" w:firstLineChars="187"/>
        <w:rPr>
          <w:rFonts w:ascii="宋体" w:hAnsi="宋体"/>
          <w:sz w:val="24"/>
          <w:szCs w:val="24"/>
        </w:rPr>
      </w:pPr>
      <w:r>
        <w:rPr>
          <w:rFonts w:hint="eastAsia" w:ascii="宋体" w:hAnsi="宋体"/>
          <w:sz w:val="24"/>
          <w:szCs w:val="24"/>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4"/>
          <w:szCs w:val="24"/>
        </w:rPr>
        <w:t>持不同意见的评标委员会成员应当在评标报告上签署不同意见及理由，否则视为同意评标报告。</w:t>
      </w:r>
      <w:r>
        <w:rPr>
          <w:rFonts w:hint="eastAsia" w:ascii="宋体" w:hAnsi="宋体"/>
          <w:sz w:val="24"/>
          <w:szCs w:val="24"/>
        </w:rPr>
        <w:t>持不同意见的评标委员会成员认为认定过程和结果不符合法律法规或者招标文件规定的，应当及时向采购人或</w:t>
      </w:r>
      <w:r>
        <w:rPr>
          <w:rFonts w:hint="eastAsia" w:cs="Arial"/>
          <w:sz w:val="24"/>
          <w:szCs w:val="24"/>
        </w:rPr>
        <w:t>成都市武侯区政府采购中心</w:t>
      </w:r>
      <w:r>
        <w:rPr>
          <w:rFonts w:hint="eastAsia" w:ascii="宋体" w:hAnsi="宋体"/>
          <w:sz w:val="24"/>
          <w:szCs w:val="24"/>
        </w:rPr>
        <w:t>书面反映。采购人或</w:t>
      </w:r>
      <w:r>
        <w:rPr>
          <w:rFonts w:hint="eastAsia" w:cs="Arial"/>
          <w:sz w:val="24"/>
          <w:szCs w:val="24"/>
        </w:rPr>
        <w:t>成都市武侯区政府采购中心</w:t>
      </w:r>
      <w:r>
        <w:rPr>
          <w:rFonts w:hint="eastAsia" w:ascii="宋体" w:hAnsi="宋体"/>
          <w:sz w:val="24"/>
          <w:szCs w:val="24"/>
        </w:rPr>
        <w:t>收到书面反映后，应当书面报告采购项目同级财政部门即成都市武侯区财政局依法处理。</w:t>
      </w:r>
    </w:p>
    <w:p>
      <w:pPr>
        <w:keepNext/>
        <w:keepLines/>
        <w:numPr>
          <w:ilvl w:val="1"/>
          <w:numId w:val="5"/>
        </w:numPr>
        <w:spacing w:line="360" w:lineRule="auto"/>
        <w:jc w:val="left"/>
        <w:outlineLvl w:val="1"/>
        <w:rPr>
          <w:rFonts w:ascii="宋体" w:hAnsi="宋体"/>
          <w:b/>
          <w:bCs/>
          <w:sz w:val="24"/>
          <w:szCs w:val="24"/>
        </w:rPr>
      </w:pPr>
      <w:bookmarkStart w:id="159" w:name="_Toc12145"/>
      <w:r>
        <w:rPr>
          <w:rFonts w:hint="eastAsia" w:ascii="宋体" w:hAnsi="宋体"/>
          <w:b/>
          <w:bCs/>
          <w:sz w:val="24"/>
          <w:szCs w:val="24"/>
        </w:rPr>
        <w:t>评标细则及标准</w:t>
      </w:r>
      <w:bookmarkEnd w:id="159"/>
    </w:p>
    <w:p>
      <w:pPr>
        <w:numPr>
          <w:ilvl w:val="0"/>
          <w:numId w:val="45"/>
        </w:numPr>
        <w:tabs>
          <w:tab w:val="left" w:pos="1155"/>
        </w:tabs>
        <w:spacing w:after="200" w:line="360" w:lineRule="auto"/>
        <w:ind w:left="0" w:firstLine="567"/>
        <w:rPr>
          <w:rFonts w:ascii="宋体" w:hAnsi="宋体"/>
          <w:sz w:val="24"/>
          <w:szCs w:val="24"/>
        </w:rPr>
      </w:pPr>
      <w:r>
        <w:rPr>
          <w:rFonts w:hint="eastAsia" w:ascii="宋体" w:hAnsi="宋体"/>
          <w:sz w:val="24"/>
          <w:szCs w:val="24"/>
        </w:rPr>
        <w:t>评标委员会只对通过初审的投标文件，根据招标文件的要求采用相同的评标程序、评分办法及标准进行评价和比较。</w:t>
      </w:r>
    </w:p>
    <w:p>
      <w:pPr>
        <w:numPr>
          <w:ilvl w:val="0"/>
          <w:numId w:val="45"/>
        </w:numPr>
        <w:tabs>
          <w:tab w:val="left" w:pos="1155"/>
        </w:tabs>
        <w:spacing w:after="200" w:line="360" w:lineRule="auto"/>
        <w:ind w:left="0" w:firstLine="567"/>
        <w:rPr>
          <w:rFonts w:ascii="宋体" w:hAnsi="宋体"/>
          <w:sz w:val="24"/>
          <w:szCs w:val="24"/>
        </w:rPr>
      </w:pPr>
      <w:r>
        <w:rPr>
          <w:rFonts w:hint="eastAsia" w:ascii="宋体" w:hAnsi="宋体"/>
          <w:sz w:val="24"/>
          <w:szCs w:val="24"/>
        </w:rPr>
        <w:t>本次综合评分的因素是：价格、服务、商务等。</w:t>
      </w:r>
    </w:p>
    <w:p>
      <w:pPr>
        <w:numPr>
          <w:ilvl w:val="0"/>
          <w:numId w:val="45"/>
        </w:numPr>
        <w:tabs>
          <w:tab w:val="left" w:pos="1155"/>
        </w:tabs>
        <w:spacing w:after="200" w:line="360" w:lineRule="auto"/>
        <w:ind w:left="0" w:firstLine="525"/>
        <w:rPr>
          <w:rFonts w:ascii="宋体" w:hAnsi="宋体"/>
          <w:sz w:val="24"/>
          <w:szCs w:val="24"/>
        </w:rPr>
      </w:pPr>
      <w:r>
        <w:rPr>
          <w:rFonts w:hint="eastAsia" w:ascii="宋体" w:hAnsi="宋体"/>
          <w:sz w:val="24"/>
          <w:szCs w:val="24"/>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评分办法</w:t>
      </w:r>
    </w:p>
    <w:p>
      <w:pPr>
        <w:spacing w:line="360" w:lineRule="auto"/>
        <w:ind w:firstLine="540" w:firstLineChars="225"/>
        <w:rPr>
          <w:rFonts w:ascii="宋体" w:hAnsi="宋体"/>
          <w:sz w:val="24"/>
          <w:szCs w:val="24"/>
        </w:rPr>
      </w:pPr>
      <w:r>
        <w:rPr>
          <w:rFonts w:hint="eastAsia" w:ascii="宋体" w:hAnsi="宋体"/>
          <w:sz w:val="24"/>
          <w:szCs w:val="24"/>
        </w:rPr>
        <w:t xml:space="preserve">本次评标采用综合评分法，由评标委员会各成员独立对通过初审（资格检查和符合性检查）的投标人的投标文件进行评审和打分，    </w:t>
      </w:r>
    </w:p>
    <w:p>
      <w:pPr>
        <w:spacing w:line="360" w:lineRule="auto"/>
        <w:ind w:firstLine="540" w:firstLineChars="225"/>
        <w:rPr>
          <w:rFonts w:ascii="宋体" w:hAnsi="宋体"/>
          <w:sz w:val="24"/>
          <w:szCs w:val="24"/>
        </w:rPr>
      </w:pPr>
      <w:r>
        <w:rPr>
          <w:rFonts w:hint="eastAsia" w:ascii="宋体" w:hAnsi="宋体"/>
          <w:sz w:val="24"/>
          <w:szCs w:val="24"/>
        </w:rPr>
        <w:t>评标得分＝（A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2</w:t>
      </w:r>
      <w:r>
        <w:rPr>
          <w:rFonts w:hint="eastAsia" w:ascii="宋体" w:hAnsi="宋体"/>
          <w:sz w:val="24"/>
          <w:szCs w:val="24"/>
        </w:rPr>
        <w:t>＋……＋B</w:t>
      </w:r>
      <w:r>
        <w:rPr>
          <w:rFonts w:hint="eastAsia" w:ascii="宋体" w:hAnsi="宋体"/>
          <w:sz w:val="24"/>
          <w:szCs w:val="24"/>
          <w:vertAlign w:val="subscript"/>
        </w:rPr>
        <w:t>n</w:t>
      </w:r>
      <w:r>
        <w:rPr>
          <w:rFonts w:hint="eastAsia" w:ascii="宋体" w:hAnsi="宋体"/>
          <w:sz w:val="24"/>
          <w:szCs w:val="24"/>
        </w:rPr>
        <w:t>）/ n</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1</w:t>
      </w:r>
      <w:r>
        <w:rPr>
          <w:rFonts w:hint="eastAsia" w:ascii="宋体" w:hAnsi="宋体"/>
          <w:sz w:val="24"/>
          <w:szCs w:val="24"/>
        </w:rPr>
        <w:t>＋C</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n</w:t>
      </w:r>
      <w:r>
        <w:rPr>
          <w:rFonts w:hint="eastAsia" w:ascii="宋体" w:hAnsi="宋体"/>
          <w:sz w:val="24"/>
          <w:szCs w:val="24"/>
        </w:rPr>
        <w:t>）/ n</w:t>
      </w:r>
      <w:r>
        <w:rPr>
          <w:rFonts w:hint="eastAsia" w:ascii="宋体" w:hAnsi="宋体"/>
          <w:sz w:val="24"/>
          <w:szCs w:val="24"/>
          <w:vertAlign w:val="subscript"/>
        </w:rPr>
        <w:t>3</w:t>
      </w:r>
    </w:p>
    <w:p>
      <w:pPr>
        <w:widowControl/>
        <w:spacing w:line="360" w:lineRule="auto"/>
        <w:ind w:firstLine="480" w:firstLineChars="200"/>
        <w:rPr>
          <w:rFonts w:ascii="宋体" w:hAnsi="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分别为每个</w:t>
      </w:r>
      <w:r>
        <w:rPr>
          <w:rFonts w:hint="eastAsia" w:ascii="宋体" w:hAnsi="宋体" w:cs="宋体"/>
          <w:kern w:val="0"/>
          <w:sz w:val="24"/>
          <w:szCs w:val="24"/>
        </w:rPr>
        <w:t>经济类</w:t>
      </w:r>
      <w:r>
        <w:rPr>
          <w:rFonts w:hint="eastAsia" w:ascii="宋体" w:hAnsi="宋体"/>
          <w:sz w:val="24"/>
          <w:szCs w:val="24"/>
        </w:rPr>
        <w:t>评委的打分，n</w:t>
      </w:r>
      <w:r>
        <w:rPr>
          <w:rFonts w:hint="eastAsia" w:ascii="宋体" w:hAnsi="宋体"/>
          <w:sz w:val="24"/>
          <w:szCs w:val="24"/>
          <w:vertAlign w:val="subscript"/>
        </w:rPr>
        <w:t>1</w:t>
      </w:r>
      <w:r>
        <w:rPr>
          <w:rFonts w:hint="eastAsia" w:ascii="宋体" w:hAnsi="宋体"/>
          <w:sz w:val="24"/>
          <w:szCs w:val="24"/>
        </w:rPr>
        <w:t>为</w:t>
      </w:r>
      <w:r>
        <w:rPr>
          <w:rFonts w:hint="eastAsia" w:ascii="宋体" w:hAnsi="宋体" w:cs="宋体"/>
          <w:kern w:val="0"/>
          <w:sz w:val="24"/>
          <w:szCs w:val="24"/>
        </w:rPr>
        <w:t>经济类</w:t>
      </w:r>
      <w:r>
        <w:rPr>
          <w:rFonts w:hint="eastAsia" w:ascii="宋体" w:hAnsi="宋体"/>
          <w:sz w:val="24"/>
          <w:szCs w:val="24"/>
        </w:rPr>
        <w:t>评委人数；B</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2</w:t>
      </w:r>
      <w:r>
        <w:rPr>
          <w:rFonts w:hint="eastAsia" w:ascii="宋体" w:hAnsi="宋体"/>
          <w:sz w:val="24"/>
          <w:szCs w:val="24"/>
        </w:rPr>
        <w:t>＋……B</w:t>
      </w:r>
      <w:r>
        <w:rPr>
          <w:rFonts w:hint="eastAsia" w:ascii="宋体" w:hAnsi="宋体"/>
          <w:sz w:val="24"/>
          <w:szCs w:val="24"/>
          <w:vertAlign w:val="subscript"/>
        </w:rPr>
        <w:t>n</w:t>
      </w:r>
      <w:r>
        <w:rPr>
          <w:rFonts w:hint="eastAsia" w:ascii="宋体" w:hAnsi="宋体"/>
          <w:sz w:val="24"/>
          <w:szCs w:val="24"/>
        </w:rPr>
        <w:t xml:space="preserve"> 分别为每个技术类评委（含采购人代表）的打分，n</w:t>
      </w:r>
      <w:r>
        <w:rPr>
          <w:rFonts w:hint="eastAsia" w:ascii="宋体" w:hAnsi="宋体"/>
          <w:sz w:val="24"/>
          <w:szCs w:val="24"/>
          <w:vertAlign w:val="subscript"/>
        </w:rPr>
        <w:t>2</w:t>
      </w:r>
      <w:r>
        <w:rPr>
          <w:rFonts w:hint="eastAsia" w:ascii="宋体" w:hAnsi="宋体"/>
          <w:sz w:val="24"/>
          <w:szCs w:val="24"/>
        </w:rPr>
        <w:t>为</w:t>
      </w:r>
      <w:r>
        <w:rPr>
          <w:rFonts w:hint="eastAsia" w:ascii="宋体" w:hAnsi="宋体" w:cs="宋体"/>
          <w:kern w:val="0"/>
          <w:sz w:val="24"/>
          <w:szCs w:val="24"/>
        </w:rPr>
        <w:t>技术类</w:t>
      </w:r>
      <w:r>
        <w:rPr>
          <w:rFonts w:hint="eastAsia" w:ascii="宋体" w:hAnsi="宋体"/>
          <w:sz w:val="24"/>
          <w:szCs w:val="24"/>
        </w:rPr>
        <w:t>评委（含采购人代表）人数；C</w:t>
      </w:r>
      <w:r>
        <w:rPr>
          <w:rFonts w:hint="eastAsia" w:ascii="宋体" w:hAnsi="宋体"/>
          <w:sz w:val="24"/>
          <w:szCs w:val="24"/>
          <w:vertAlign w:val="subscript"/>
        </w:rPr>
        <w:t>1</w:t>
      </w:r>
      <w:r>
        <w:rPr>
          <w:rFonts w:hint="eastAsia" w:ascii="宋体" w:hAnsi="宋体"/>
          <w:sz w:val="24"/>
          <w:szCs w:val="24"/>
        </w:rPr>
        <w:t>、C</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n</w:t>
      </w:r>
      <w:r>
        <w:rPr>
          <w:rFonts w:hint="eastAsia" w:ascii="宋体" w:hAnsi="宋体"/>
          <w:sz w:val="24"/>
          <w:szCs w:val="24"/>
        </w:rPr>
        <w:t xml:space="preserve"> 分别为评审委员会每个成员的打分，n</w:t>
      </w:r>
      <w:r>
        <w:rPr>
          <w:rFonts w:hint="eastAsia" w:ascii="宋体" w:hAnsi="宋体"/>
          <w:sz w:val="24"/>
          <w:szCs w:val="24"/>
          <w:vertAlign w:val="subscript"/>
        </w:rPr>
        <w:t>3</w:t>
      </w:r>
      <w:r>
        <w:rPr>
          <w:rFonts w:hint="eastAsia" w:ascii="宋体" w:hAnsi="宋体"/>
          <w:sz w:val="24"/>
          <w:szCs w:val="24"/>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1"/>
        <w:tblW w:w="9801" w:type="dxa"/>
        <w:jc w:val="right"/>
        <w:tblLayout w:type="fixed"/>
        <w:tblCellMar>
          <w:top w:w="0" w:type="dxa"/>
          <w:left w:w="108" w:type="dxa"/>
          <w:bottom w:w="0" w:type="dxa"/>
          <w:right w:w="108" w:type="dxa"/>
        </w:tblCellMar>
      </w:tblPr>
      <w:tblGrid>
        <w:gridCol w:w="441"/>
        <w:gridCol w:w="1116"/>
        <w:gridCol w:w="18"/>
        <w:gridCol w:w="997"/>
        <w:gridCol w:w="4557"/>
        <w:gridCol w:w="2672"/>
      </w:tblGrid>
      <w:tr>
        <w:tblPrEx>
          <w:tblCellMar>
            <w:top w:w="0" w:type="dxa"/>
            <w:left w:w="108" w:type="dxa"/>
            <w:bottom w:w="0" w:type="dxa"/>
            <w:right w:w="108" w:type="dxa"/>
          </w:tblCellMar>
        </w:tblPrEx>
        <w:trPr>
          <w:trHeight w:val="735" w:hRule="atLeast"/>
          <w:jc w:val="right"/>
        </w:trPr>
        <w:tc>
          <w:tcPr>
            <w:tcW w:w="4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sz w:val="24"/>
                <w:szCs w:val="24"/>
              </w:rPr>
            </w:pPr>
            <w:r>
              <w:rPr>
                <w:rFonts w:hint="eastAsia" w:ascii="宋体" w:hAnsi="宋体" w:cs="宋体"/>
                <w:b/>
                <w:bCs/>
                <w:sz w:val="24"/>
                <w:szCs w:val="24"/>
              </w:rPr>
              <w:t>序号</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sz w:val="24"/>
                <w:szCs w:val="24"/>
              </w:rPr>
            </w:pPr>
            <w:r>
              <w:rPr>
                <w:rFonts w:hint="eastAsia" w:ascii="宋体" w:hAnsi="宋体" w:cs="宋体"/>
                <w:b/>
                <w:bCs/>
                <w:sz w:val="24"/>
                <w:szCs w:val="24"/>
              </w:rPr>
              <w:t>评分因素及权重</w:t>
            </w:r>
          </w:p>
        </w:tc>
        <w:tc>
          <w:tcPr>
            <w:tcW w:w="99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sz w:val="24"/>
                <w:szCs w:val="24"/>
              </w:rPr>
            </w:pPr>
            <w:r>
              <w:rPr>
                <w:rFonts w:hint="eastAsia" w:ascii="宋体" w:hAnsi="宋体" w:cs="宋体"/>
                <w:b/>
                <w:bCs/>
                <w:sz w:val="24"/>
                <w:szCs w:val="24"/>
              </w:rPr>
              <w:t>分值</w:t>
            </w:r>
          </w:p>
        </w:tc>
        <w:tc>
          <w:tcPr>
            <w:tcW w:w="455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sz w:val="24"/>
                <w:szCs w:val="24"/>
              </w:rPr>
            </w:pPr>
            <w:r>
              <w:rPr>
                <w:rFonts w:hint="eastAsia" w:ascii="宋体" w:hAnsi="宋体" w:cs="宋体"/>
                <w:b/>
                <w:bCs/>
                <w:sz w:val="24"/>
                <w:szCs w:val="24"/>
              </w:rPr>
              <w:t>评分细则</w:t>
            </w:r>
          </w:p>
        </w:tc>
        <w:tc>
          <w:tcPr>
            <w:tcW w:w="26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sz w:val="24"/>
                <w:szCs w:val="24"/>
              </w:rPr>
            </w:pPr>
            <w:r>
              <w:rPr>
                <w:rFonts w:hint="eastAsia" w:ascii="宋体" w:hAnsi="宋体" w:cs="宋体"/>
                <w:b/>
                <w:bCs/>
                <w:sz w:val="24"/>
                <w:szCs w:val="24"/>
              </w:rPr>
              <w:t>备注</w:t>
            </w:r>
          </w:p>
        </w:tc>
      </w:tr>
      <w:tr>
        <w:tblPrEx>
          <w:tblCellMar>
            <w:top w:w="0" w:type="dxa"/>
            <w:left w:w="108" w:type="dxa"/>
            <w:bottom w:w="0" w:type="dxa"/>
            <w:right w:w="108" w:type="dxa"/>
          </w:tblCellMar>
        </w:tblPrEx>
        <w:trPr>
          <w:trHeight w:val="1893" w:hRule="atLeast"/>
          <w:jc w:val="right"/>
        </w:trPr>
        <w:tc>
          <w:tcPr>
            <w:tcW w:w="44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1</w:t>
            </w:r>
          </w:p>
        </w:tc>
        <w:tc>
          <w:tcPr>
            <w:tcW w:w="1134" w:type="dxa"/>
            <w:gridSpan w:val="2"/>
            <w:vMerge w:val="restart"/>
            <w:tcBorders>
              <w:top w:val="nil"/>
              <w:left w:val="single" w:color="auto" w:sz="4" w:space="0"/>
              <w:bottom w:val="single" w:color="auto" w:sz="4" w:space="0"/>
              <w:right w:val="single" w:color="auto" w:sz="4" w:space="0"/>
            </w:tcBorders>
            <w:vAlign w:val="center"/>
          </w:tcPr>
          <w:p>
            <w:pPr>
              <w:widowControl/>
              <w:spacing w:line="400" w:lineRule="exact"/>
              <w:ind w:left="-84" w:leftChars="-40" w:right="-86" w:rightChars="-41"/>
              <w:jc w:val="center"/>
              <w:rPr>
                <w:rFonts w:ascii="宋体" w:hAnsi="宋体" w:cs="宋体"/>
                <w:sz w:val="24"/>
                <w:szCs w:val="24"/>
              </w:rPr>
            </w:pPr>
            <w:r>
              <w:rPr>
                <w:rFonts w:hint="eastAsia" w:ascii="宋体" w:hAnsi="宋体" w:cs="宋体"/>
                <w:sz w:val="24"/>
                <w:szCs w:val="24"/>
              </w:rPr>
              <w:t>报价30%</w:t>
            </w:r>
          </w:p>
          <w:p>
            <w:pPr>
              <w:widowControl/>
              <w:spacing w:line="400" w:lineRule="exact"/>
              <w:jc w:val="center"/>
              <w:rPr>
                <w:rFonts w:ascii="宋体" w:hAnsi="宋体" w:cs="宋体"/>
                <w:sz w:val="24"/>
                <w:szCs w:val="24"/>
              </w:rPr>
            </w:pPr>
            <w:r>
              <w:rPr>
                <w:rFonts w:hint="eastAsia" w:ascii="宋体" w:hAnsi="宋体" w:cs="宋体"/>
                <w:sz w:val="24"/>
                <w:szCs w:val="24"/>
              </w:rPr>
              <w:t>(评审委员会)</w:t>
            </w: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5分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米、面、油、奶制品、干货和调料配送以有效最低投标结算率为基准结算率，投标报价得分=(基准结算率／投标结算率）×5。</w:t>
            </w:r>
          </w:p>
        </w:tc>
        <w:tc>
          <w:tcPr>
            <w:tcW w:w="2672" w:type="dxa"/>
            <w:vMerge w:val="restart"/>
            <w:tcBorders>
              <w:top w:val="nil"/>
              <w:left w:val="single" w:color="auto" w:sz="4" w:space="0"/>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1.本项目的投标报价为投标结算率。</w:t>
            </w:r>
          </w:p>
          <w:p>
            <w:pPr>
              <w:widowControl/>
              <w:spacing w:line="400" w:lineRule="exact"/>
              <w:ind w:firstLine="480" w:firstLineChars="200"/>
              <w:rPr>
                <w:rFonts w:ascii="仿宋" w:hAnsi="仿宋" w:eastAsia="仿宋" w:cs="宋体"/>
                <w:color w:val="000000"/>
                <w:sz w:val="24"/>
                <w:szCs w:val="24"/>
              </w:rPr>
            </w:pPr>
            <w:r>
              <w:rPr>
                <w:rFonts w:hint="eastAsia" w:ascii="宋体" w:hAnsi="宋体" w:cs="宋体"/>
                <w:sz w:val="24"/>
                <w:szCs w:val="24"/>
              </w:rPr>
              <w:t>2.根据小微企业、监狱企业、残疾人福利性企业可享受10%的价格扣除，用扣除后的价格参与评审的要求，本项目以投标结算率作为投标报价，有效最低投标结算率作为基准结算率，小微企业、监狱企业、残疾人福利性企业参与评审的投标报价=其投标结算率-（其投标结算率×10%）。</w:t>
            </w:r>
          </w:p>
          <w:p>
            <w:pPr>
              <w:spacing w:line="400" w:lineRule="exact"/>
              <w:rPr>
                <w:rFonts w:ascii="宋体" w:hAnsi="宋体" w:cs="宋体"/>
                <w:sz w:val="24"/>
                <w:szCs w:val="24"/>
              </w:rPr>
            </w:pPr>
            <w:r>
              <w:rPr>
                <w:rFonts w:hint="eastAsia" w:ascii="宋体" w:hAnsi="宋体" w:cs="宋体"/>
                <w:sz w:val="24"/>
                <w:szCs w:val="24"/>
              </w:rPr>
              <w:t xml:space="preserve">    提供中小企业声明函或残疾人福利性单位声明函加盖投标供应商公章，未提供不能享受价格扣除。</w:t>
            </w:r>
          </w:p>
          <w:p>
            <w:pPr>
              <w:spacing w:line="400" w:lineRule="exact"/>
              <w:rPr>
                <w:rFonts w:ascii="宋体" w:hAnsi="宋体"/>
                <w:sz w:val="24"/>
                <w:szCs w:val="24"/>
              </w:rPr>
            </w:pPr>
            <w:r>
              <w:rPr>
                <w:rFonts w:hint="eastAsia" w:ascii="宋体" w:hAnsi="宋体" w:cs="宋体"/>
                <w:sz w:val="24"/>
                <w:szCs w:val="24"/>
              </w:rPr>
              <w:t xml:space="preserve">    残疾人福利性单位属于小型、微型企业的，不重复享受政策。</w:t>
            </w:r>
          </w:p>
        </w:tc>
      </w:tr>
      <w:tr>
        <w:tblPrEx>
          <w:tblCellMar>
            <w:top w:w="0" w:type="dxa"/>
            <w:left w:w="108" w:type="dxa"/>
            <w:bottom w:w="0" w:type="dxa"/>
            <w:right w:w="108" w:type="dxa"/>
          </w:tblCellMar>
        </w:tblPrEx>
        <w:trPr>
          <w:trHeight w:val="1693"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sz w:val="24"/>
                <w:szCs w:val="24"/>
              </w:rPr>
            </w:pPr>
            <w:r>
              <w:rPr>
                <w:rFonts w:hint="eastAsia" w:ascii="宋体" w:hAnsi="宋体" w:cs="宋体"/>
                <w:sz w:val="24"/>
                <w:szCs w:val="24"/>
              </w:rPr>
              <w:t>7分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sz w:val="24"/>
                <w:szCs w:val="24"/>
                <w:lang w:val="zh-CN"/>
              </w:rPr>
              <w:t>肉类、禽蛋类、</w:t>
            </w:r>
            <w:r>
              <w:rPr>
                <w:rFonts w:hint="eastAsia" w:ascii="宋体" w:hAnsi="宋体"/>
                <w:sz w:val="24"/>
                <w:szCs w:val="24"/>
              </w:rPr>
              <w:t>水产类等配送以有效最低投标结算率为基准结算率，投标报价得分=(基准结算率／投标结算率）×7。</w:t>
            </w:r>
          </w:p>
        </w:tc>
        <w:tc>
          <w:tcPr>
            <w:tcW w:w="2672"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72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color w:val="000000"/>
                <w:sz w:val="24"/>
                <w:szCs w:val="24"/>
              </w:rPr>
            </w:pPr>
            <w:r>
              <w:rPr>
                <w:rFonts w:hint="eastAsia" w:ascii="宋体" w:hAnsi="宋体" w:cs="宋体"/>
                <w:sz w:val="24"/>
                <w:szCs w:val="24"/>
              </w:rPr>
              <w:t>18分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cs="宋体"/>
                <w:sz w:val="24"/>
                <w:szCs w:val="24"/>
              </w:rPr>
              <w:t>水果、蔬菜等配送以有效最低投标结算率为基准结算率，投标报价得分=(基准结算率／投标结算率）×18。</w:t>
            </w:r>
          </w:p>
        </w:tc>
        <w:tc>
          <w:tcPr>
            <w:tcW w:w="2672"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08" w:hRule="atLeast"/>
          <w:jc w:val="right"/>
        </w:trPr>
        <w:tc>
          <w:tcPr>
            <w:tcW w:w="44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2</w:t>
            </w:r>
          </w:p>
        </w:tc>
        <w:tc>
          <w:tcPr>
            <w:tcW w:w="1134" w:type="dxa"/>
            <w:gridSpan w:val="2"/>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服务方案24%</w:t>
            </w:r>
          </w:p>
          <w:p>
            <w:pPr>
              <w:widowControl/>
              <w:spacing w:line="400" w:lineRule="exact"/>
              <w:jc w:val="center"/>
              <w:rPr>
                <w:rFonts w:ascii="宋体" w:hAnsi="宋体" w:cs="宋体"/>
                <w:sz w:val="24"/>
                <w:szCs w:val="24"/>
              </w:rPr>
            </w:pPr>
            <w:r>
              <w:rPr>
                <w:rFonts w:hint="eastAsia" w:ascii="宋体" w:hAnsi="宋体" w:cs="宋体"/>
                <w:sz w:val="24"/>
                <w:szCs w:val="24"/>
              </w:rPr>
              <w:t>（技术类评委）</w:t>
            </w:r>
          </w:p>
        </w:tc>
        <w:tc>
          <w:tcPr>
            <w:tcW w:w="9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84" w:leftChars="-40" w:right="-86" w:rightChars="-41"/>
              <w:jc w:val="center"/>
              <w:rPr>
                <w:rFonts w:ascii="宋体" w:hAnsi="宋体" w:cs="宋体"/>
                <w:sz w:val="24"/>
                <w:szCs w:val="24"/>
              </w:rPr>
            </w:pPr>
            <w:r>
              <w:rPr>
                <w:rFonts w:hint="eastAsia" w:ascii="宋体" w:hAnsi="宋体" w:cs="宋体"/>
                <w:sz w:val="24"/>
                <w:szCs w:val="24"/>
              </w:rPr>
              <w:t>6分</w:t>
            </w:r>
          </w:p>
        </w:tc>
        <w:tc>
          <w:tcPr>
            <w:tcW w:w="45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食品安全方案。根据投标人针对本项目制定的食品安全方案进行评分，方案包含①产品供应链管理方案、②应急处置措施、③产品质量保障等。方案每包含上述一项且内容清楚详细能够最大限度满足采购需求（第四章 招标项目技术、服务、商务及其他要求-三、采购产品质量及要求）得2分，其余情况不得分。</w:t>
            </w:r>
          </w:p>
        </w:tc>
        <w:tc>
          <w:tcPr>
            <w:tcW w:w="26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 w:val="24"/>
                <w:szCs w:val="24"/>
              </w:rPr>
            </w:pPr>
          </w:p>
        </w:tc>
      </w:tr>
      <w:tr>
        <w:tblPrEx>
          <w:tblCellMar>
            <w:top w:w="0" w:type="dxa"/>
            <w:left w:w="108" w:type="dxa"/>
            <w:bottom w:w="0" w:type="dxa"/>
            <w:right w:w="108" w:type="dxa"/>
          </w:tblCellMar>
        </w:tblPrEx>
        <w:trPr>
          <w:trHeight w:val="96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bottom"/>
          </w:tcPr>
          <w:p>
            <w:pPr>
              <w:widowControl/>
              <w:spacing w:line="400" w:lineRule="exact"/>
              <w:jc w:val="left"/>
              <w:rPr>
                <w:rFonts w:ascii="宋体"/>
                <w:sz w:val="24"/>
                <w:szCs w:val="24"/>
              </w:rPr>
            </w:pPr>
          </w:p>
        </w:tc>
        <w:tc>
          <w:tcPr>
            <w:tcW w:w="99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sz w:val="24"/>
                <w:szCs w:val="24"/>
              </w:rPr>
            </w:pPr>
            <w:r>
              <w:rPr>
                <w:rFonts w:hint="eastAsia" w:ascii="宋体" w:hAnsi="宋体" w:cs="宋体"/>
                <w:sz w:val="24"/>
                <w:szCs w:val="24"/>
              </w:rPr>
              <w:t>6分</w:t>
            </w:r>
          </w:p>
        </w:tc>
        <w:tc>
          <w:tcPr>
            <w:tcW w:w="455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宋体"/>
                <w:sz w:val="24"/>
                <w:szCs w:val="24"/>
              </w:rPr>
            </w:pPr>
            <w:r>
              <w:rPr>
                <w:rFonts w:hint="eastAsia" w:ascii="宋体" w:hAnsi="宋体" w:cs="宋体"/>
                <w:sz w:val="24"/>
                <w:szCs w:val="24"/>
              </w:rPr>
              <w:t xml:space="preserve">    配送方案。根据投标人针对本项目制定的配送方案进行评分，配送方案包含①仓储管理方案②配送运输车辆、③人员配备管理方案等。配送方案每包含上述一项且内容清楚详细能够最大限度满足采购需求（第四章 招标项目技术、服务、商务及其他要求-五、配送方法及要求）的得2分，其余情况不得分。</w:t>
            </w:r>
          </w:p>
        </w:tc>
        <w:tc>
          <w:tcPr>
            <w:tcW w:w="2672" w:type="dxa"/>
            <w:tcBorders>
              <w:top w:val="single" w:color="auto" w:sz="4" w:space="0"/>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 xml:space="preserve">    第③项须提供为本项目配备的人员系本单位员工的证明材料（包括但不限于劳动合同或社保证明或承诺函）。</w:t>
            </w:r>
          </w:p>
        </w:tc>
      </w:tr>
      <w:tr>
        <w:tblPrEx>
          <w:tblCellMar>
            <w:top w:w="0" w:type="dxa"/>
            <w:left w:w="108" w:type="dxa"/>
            <w:bottom w:w="0" w:type="dxa"/>
            <w:right w:w="108" w:type="dxa"/>
          </w:tblCellMar>
        </w:tblPrEx>
        <w:trPr>
          <w:trHeight w:val="2625"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sz w:val="24"/>
                <w:szCs w:val="24"/>
              </w:rPr>
            </w:pPr>
            <w:r>
              <w:rPr>
                <w:rFonts w:hint="eastAsia" w:ascii="宋体" w:hAnsi="宋体" w:cs="宋体"/>
                <w:sz w:val="24"/>
                <w:szCs w:val="24"/>
              </w:rPr>
              <w:t>6分</w:t>
            </w:r>
          </w:p>
        </w:tc>
        <w:tc>
          <w:tcPr>
            <w:tcW w:w="4557" w:type="dxa"/>
            <w:tcBorders>
              <w:top w:val="nil"/>
              <w:left w:val="nil"/>
              <w:bottom w:val="single" w:color="auto" w:sz="4" w:space="0"/>
              <w:right w:val="single" w:color="auto" w:sz="4"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售后服务方案。根据投标人针对本项目制定的售后服务方案进行评分。售后服务方案包括①提供售后服务呼叫电话和响应时间、②现场服务支持能力、③售后巡检及质保服务。售后服务方案每包含上述一项且内容清楚详细能够最大限度满足采购需求（第四章 招标项目技术、服务、商务及其他要求-六、售后服务要求）的得2分，其余情况不得分。</w:t>
            </w:r>
          </w:p>
        </w:tc>
        <w:tc>
          <w:tcPr>
            <w:tcW w:w="267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168"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single" w:color="auto" w:sz="4" w:space="0"/>
              <w:left w:val="nil"/>
              <w:bottom w:val="single" w:color="auto" w:sz="4" w:space="0"/>
              <w:right w:val="single" w:color="auto" w:sz="4" w:space="0"/>
            </w:tcBorders>
            <w:vAlign w:val="center"/>
          </w:tcPr>
          <w:p>
            <w:pPr>
              <w:spacing w:line="400" w:lineRule="exact"/>
              <w:jc w:val="center"/>
              <w:rPr>
                <w:rFonts w:ascii="宋体"/>
                <w:sz w:val="24"/>
                <w:szCs w:val="24"/>
              </w:rPr>
            </w:pPr>
            <w:r>
              <w:rPr>
                <w:rFonts w:hint="eastAsia" w:ascii="宋体" w:hAnsi="宋体" w:cs="宋体"/>
                <w:sz w:val="24"/>
                <w:szCs w:val="24"/>
              </w:rPr>
              <w:t>6分</w:t>
            </w:r>
          </w:p>
        </w:tc>
        <w:tc>
          <w:tcPr>
            <w:tcW w:w="4557" w:type="dxa"/>
            <w:tcBorders>
              <w:top w:val="single" w:color="auto" w:sz="4" w:space="0"/>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增值服务方案。根据投标人针对本项目制定的增值服务方案进行评分。增值方案包含且不限于①健康营养膳食建议服务、②公务用餐菜谱定制服务、③食材净菜加工服务。增值服务方案每包含上述一项且内容清楚详细能够最大限度满足采购需求（第四章 招标项目技术、服务、商务及其他要求-七、增值服务要求）的得2分，其余情况不得分。</w:t>
            </w:r>
          </w:p>
        </w:tc>
        <w:tc>
          <w:tcPr>
            <w:tcW w:w="2672" w:type="dxa"/>
            <w:tcBorders>
              <w:top w:val="single" w:color="auto" w:sz="4" w:space="0"/>
              <w:left w:val="nil"/>
              <w:bottom w:val="single" w:color="auto" w:sz="4" w:space="0"/>
              <w:right w:val="single" w:color="auto" w:sz="4" w:space="0"/>
            </w:tcBorders>
            <w:vAlign w:val="center"/>
          </w:tcPr>
          <w:p>
            <w:pPr>
              <w:widowControl/>
              <w:spacing w:line="400" w:lineRule="exact"/>
              <w:rPr>
                <w:rFonts w:ascii="宋体"/>
                <w:color w:val="000000"/>
                <w:sz w:val="24"/>
                <w:szCs w:val="24"/>
              </w:rPr>
            </w:pPr>
          </w:p>
        </w:tc>
      </w:tr>
      <w:tr>
        <w:tblPrEx>
          <w:tblCellMar>
            <w:top w:w="0" w:type="dxa"/>
            <w:left w:w="108" w:type="dxa"/>
            <w:bottom w:w="0" w:type="dxa"/>
            <w:right w:w="108" w:type="dxa"/>
          </w:tblCellMar>
        </w:tblPrEx>
        <w:trPr>
          <w:trHeight w:val="1062" w:hRule="atLeast"/>
          <w:jc w:val="right"/>
        </w:trPr>
        <w:tc>
          <w:tcPr>
            <w:tcW w:w="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3</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履约能力17%</w:t>
            </w:r>
          </w:p>
          <w:p>
            <w:pPr>
              <w:widowControl/>
              <w:spacing w:line="400" w:lineRule="exact"/>
              <w:jc w:val="center"/>
              <w:rPr>
                <w:rFonts w:ascii="宋体" w:hAnsi="宋体"/>
                <w:sz w:val="24"/>
                <w:szCs w:val="24"/>
              </w:rPr>
            </w:pPr>
            <w:r>
              <w:rPr>
                <w:rFonts w:hint="eastAsia" w:ascii="宋体" w:hAnsi="宋体" w:cs="宋体"/>
                <w:sz w:val="24"/>
                <w:szCs w:val="24"/>
              </w:rPr>
              <w:t>（评审委员会）</w:t>
            </w:r>
          </w:p>
        </w:tc>
        <w:tc>
          <w:tcPr>
            <w:tcW w:w="99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运输方案 6分</w:t>
            </w:r>
          </w:p>
        </w:tc>
        <w:tc>
          <w:tcPr>
            <w:tcW w:w="4557" w:type="dxa"/>
            <w:tcBorders>
              <w:top w:val="single" w:color="auto" w:sz="4" w:space="0"/>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1.为本项目提供自有或租赁的配送车辆，在满足2辆厢式密封配送车基础上，每增加一辆得1.5分，最多得3分；</w:t>
            </w:r>
          </w:p>
          <w:p>
            <w:pPr>
              <w:widowControl/>
              <w:spacing w:line="400" w:lineRule="exact"/>
              <w:ind w:firstLine="480" w:firstLineChars="200"/>
              <w:rPr>
                <w:rFonts w:ascii="宋体" w:hAnsi="宋体" w:cs="宋体"/>
                <w:sz w:val="24"/>
                <w:szCs w:val="24"/>
              </w:rPr>
            </w:pPr>
            <w:r>
              <w:rPr>
                <w:rFonts w:hint="eastAsia" w:ascii="宋体" w:hAnsi="宋体" w:cs="宋体"/>
                <w:sz w:val="24"/>
                <w:szCs w:val="24"/>
              </w:rPr>
              <w:t>2.为本项目提供自有或租赁的配送车辆，在满足2辆冷链配送车基础上，每增加一辆得1.5分，最多得3分；</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1.第1条须提供所有车辆照片（须能够清晰辨明该车辆车牌号码），加盖投标供应商公章；</w:t>
            </w:r>
          </w:p>
          <w:p>
            <w:pPr>
              <w:widowControl/>
              <w:spacing w:line="400" w:lineRule="exact"/>
              <w:ind w:firstLine="480" w:firstLineChars="200"/>
              <w:rPr>
                <w:rFonts w:ascii="宋体" w:hAnsi="宋体" w:cs="宋体"/>
                <w:sz w:val="24"/>
                <w:szCs w:val="24"/>
              </w:rPr>
            </w:pPr>
            <w:r>
              <w:rPr>
                <w:rFonts w:hint="eastAsia" w:ascii="宋体" w:hAnsi="宋体" w:cs="宋体"/>
                <w:sz w:val="24"/>
                <w:szCs w:val="24"/>
              </w:rPr>
              <w:t>2.第2条须提供所有车辆照片（须能够体现具有温控设备并且须能够清晰辨明该车辆车牌号码），加盖投标供应商公章；</w:t>
            </w:r>
          </w:p>
          <w:p>
            <w:pPr>
              <w:widowControl/>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若配送车辆为自有的，须提供</w:t>
            </w:r>
            <w:r>
              <w:rPr>
                <w:rFonts w:hint="eastAsia" w:ascii="宋体" w:hAnsi="宋体" w:cs="宋体"/>
                <w:sz w:val="24"/>
                <w:szCs w:val="24"/>
              </w:rPr>
              <w:t>有效期内的行驶证复印件，加盖投标供应商公章；</w:t>
            </w:r>
            <w:r>
              <w:rPr>
                <w:rFonts w:hint="eastAsia" w:ascii="宋体" w:hAnsi="宋体" w:cs="宋体"/>
                <w:sz w:val="24"/>
                <w:szCs w:val="24"/>
                <w:lang w:val="zh-CN"/>
              </w:rPr>
              <w:t>若配送车辆为租赁的，须提供</w:t>
            </w:r>
            <w:r>
              <w:rPr>
                <w:rFonts w:hint="eastAsia" w:ascii="宋体" w:hAnsi="宋体" w:cs="宋体"/>
                <w:sz w:val="24"/>
                <w:szCs w:val="24"/>
              </w:rPr>
              <w:t>有效期内的行驶证复印件、</w:t>
            </w:r>
            <w:r>
              <w:rPr>
                <w:rFonts w:hint="eastAsia" w:ascii="宋体" w:hAnsi="宋体" w:cs="宋体"/>
                <w:sz w:val="24"/>
                <w:szCs w:val="24"/>
                <w:lang w:val="zh-CN"/>
              </w:rPr>
              <w:t>有效期内的租赁合同及该合同执行过程中任意一次支付租赁费用的电子结算凭证或发票复印件，加盖投标供应商公章。</w:t>
            </w:r>
          </w:p>
        </w:tc>
      </w:tr>
      <w:tr>
        <w:tblPrEx>
          <w:tblCellMar>
            <w:top w:w="0" w:type="dxa"/>
            <w:left w:w="108" w:type="dxa"/>
            <w:bottom w:w="0" w:type="dxa"/>
            <w:right w:w="108" w:type="dxa"/>
          </w:tblCellMar>
        </w:tblPrEx>
        <w:trPr>
          <w:trHeight w:val="144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sz w:val="24"/>
                <w:szCs w:val="24"/>
              </w:rPr>
            </w:pPr>
            <w:r>
              <w:rPr>
                <w:rFonts w:hint="eastAsia" w:ascii="宋体" w:hAnsi="宋体" w:cs="宋体"/>
                <w:sz w:val="24"/>
                <w:szCs w:val="24"/>
              </w:rPr>
              <w:t>管理经验 2分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color w:val="FF0000"/>
                <w:sz w:val="24"/>
                <w:szCs w:val="24"/>
              </w:rPr>
            </w:pPr>
            <w:r>
              <w:rPr>
                <w:rFonts w:hint="eastAsia" w:ascii="宋体" w:hAnsi="宋体" w:cs="宋体"/>
                <w:sz w:val="24"/>
                <w:szCs w:val="24"/>
              </w:rPr>
              <w:t>供应商为本项目配备的项目负责人具有食材配送、餐饮食材管理方面的管理经验在5年（不含）以上的得2分；3年（不含）-5年（含）的，得1分；1年（不含）-3年（含）的得0.5分；一年（含）以下不得分；不累计得分。</w:t>
            </w:r>
          </w:p>
        </w:tc>
        <w:tc>
          <w:tcPr>
            <w:tcW w:w="267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 xml:space="preserve">    提供项目负责人管理经验的相关证明材料；提供本项目负责人是本公司人员的证明材料。复印件加盖投标供应商公章。</w:t>
            </w:r>
          </w:p>
        </w:tc>
      </w:tr>
      <w:tr>
        <w:tblPrEx>
          <w:tblCellMar>
            <w:top w:w="0" w:type="dxa"/>
            <w:left w:w="108" w:type="dxa"/>
            <w:bottom w:w="0" w:type="dxa"/>
            <w:right w:w="108" w:type="dxa"/>
          </w:tblCellMar>
        </w:tblPrEx>
        <w:trPr>
          <w:trHeight w:val="144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jc w:val="center"/>
              <w:rPr>
                <w:rFonts w:ascii="宋体"/>
                <w:sz w:val="24"/>
                <w:szCs w:val="24"/>
              </w:rPr>
            </w:pPr>
            <w:r>
              <w:rPr>
                <w:rFonts w:hint="eastAsia" w:ascii="宋体" w:hAnsi="宋体" w:cs="宋体"/>
                <w:sz w:val="24"/>
                <w:szCs w:val="24"/>
              </w:rPr>
              <w:t>仓储基地3分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sz w:val="24"/>
                <w:szCs w:val="24"/>
              </w:rPr>
              <w:t>供应商为本项目提供6000平方米（不含）以上仓储基地得3分，3000（不含）-6000平方米（含）得2分，3000平方米（含）以下得1分，没有不得分。</w:t>
            </w:r>
          </w:p>
        </w:tc>
        <w:tc>
          <w:tcPr>
            <w:tcW w:w="2672" w:type="dxa"/>
            <w:tcBorders>
              <w:top w:val="nil"/>
              <w:left w:val="nil"/>
              <w:bottom w:val="single" w:color="auto" w:sz="4" w:space="0"/>
              <w:right w:val="single" w:color="auto" w:sz="4" w:space="0"/>
            </w:tcBorders>
            <w:vAlign w:val="center"/>
          </w:tcPr>
          <w:p>
            <w:pPr>
              <w:widowControl/>
              <w:numPr>
                <w:ilvl w:val="0"/>
                <w:numId w:val="46"/>
              </w:numPr>
              <w:spacing w:line="400" w:lineRule="exact"/>
              <w:ind w:firstLine="480" w:firstLineChars="200"/>
              <w:rPr>
                <w:rFonts w:ascii="宋体" w:hAnsi="宋体"/>
                <w:sz w:val="24"/>
                <w:szCs w:val="24"/>
              </w:rPr>
            </w:pPr>
            <w:r>
              <w:rPr>
                <w:rFonts w:hint="eastAsia" w:ascii="宋体" w:hAnsi="宋体"/>
                <w:sz w:val="24"/>
                <w:szCs w:val="24"/>
              </w:rPr>
              <w:t>提供仓储基地平面图、照片的复印件加盖投标供应商公章；</w:t>
            </w:r>
          </w:p>
          <w:p>
            <w:pPr>
              <w:widowControl/>
              <w:numPr>
                <w:ilvl w:val="0"/>
                <w:numId w:val="46"/>
              </w:numPr>
              <w:spacing w:line="400" w:lineRule="exact"/>
              <w:ind w:firstLine="480" w:firstLineChars="200"/>
              <w:rPr>
                <w:rFonts w:ascii="宋体" w:hAnsi="宋体" w:cs="宋体"/>
                <w:sz w:val="24"/>
                <w:szCs w:val="24"/>
              </w:rPr>
            </w:pPr>
            <w:r>
              <w:rPr>
                <w:rFonts w:hint="eastAsia" w:ascii="宋体" w:hAnsi="宋体"/>
                <w:sz w:val="24"/>
                <w:szCs w:val="24"/>
                <w:lang w:val="zh-CN"/>
              </w:rPr>
              <w:t>若仓储基地为自主拥有的，提供产权证明复印件加盖投标供应商公章；</w:t>
            </w:r>
          </w:p>
          <w:p>
            <w:pPr>
              <w:widowControl/>
              <w:spacing w:line="400" w:lineRule="exact"/>
              <w:rPr>
                <w:rFonts w:ascii="宋体"/>
                <w:sz w:val="24"/>
                <w:szCs w:val="24"/>
              </w:rPr>
            </w:pPr>
            <w:r>
              <w:rPr>
                <w:rFonts w:hint="eastAsia" w:ascii="宋体" w:hAnsi="宋体"/>
                <w:sz w:val="24"/>
                <w:szCs w:val="24"/>
                <w:lang w:val="zh-CN"/>
              </w:rPr>
              <w:t>若仓储基地为租赁的，提供有效期内的租赁合同及该合同执行过程中任意一次支付租赁费用的电子结算凭证或发票复印件，加盖投标供应商公章。</w:t>
            </w:r>
          </w:p>
        </w:tc>
      </w:tr>
      <w:tr>
        <w:tblPrEx>
          <w:tblCellMar>
            <w:top w:w="0" w:type="dxa"/>
            <w:left w:w="108" w:type="dxa"/>
            <w:bottom w:w="0" w:type="dxa"/>
            <w:right w:w="108" w:type="dxa"/>
          </w:tblCellMar>
        </w:tblPrEx>
        <w:trPr>
          <w:trHeight w:val="219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right="-86" w:rightChars="-41"/>
              <w:jc w:val="center"/>
              <w:rPr>
                <w:rFonts w:ascii="宋体"/>
                <w:sz w:val="24"/>
                <w:szCs w:val="24"/>
              </w:rPr>
            </w:pPr>
            <w:r>
              <w:rPr>
                <w:rFonts w:hint="eastAsia" w:ascii="宋体" w:hAnsi="宋体" w:cs="宋体"/>
                <w:sz w:val="24"/>
                <w:szCs w:val="24"/>
              </w:rPr>
              <w:t>冷藏加工及冻库3分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sz w:val="24"/>
                <w:szCs w:val="24"/>
              </w:rPr>
            </w:pPr>
            <w:r>
              <w:rPr>
                <w:rFonts w:hint="eastAsia" w:ascii="宋体" w:hAnsi="宋体"/>
                <w:sz w:val="24"/>
                <w:szCs w:val="24"/>
              </w:rPr>
              <w:t>供应商为本项目提供100平方米（含）以上冷藏加工及冻库得3分；50（含）-100（不含）平方米得2分；50平方米（不含）以下得1分。</w:t>
            </w:r>
          </w:p>
          <w:p>
            <w:pPr>
              <w:widowControl/>
              <w:spacing w:line="400" w:lineRule="exact"/>
              <w:rPr>
                <w:rFonts w:ascii="宋体"/>
                <w:sz w:val="24"/>
                <w:szCs w:val="24"/>
              </w:rPr>
            </w:pPr>
            <w:r>
              <w:rPr>
                <w:rFonts w:hint="eastAsia" w:ascii="宋体" w:hAnsi="宋体"/>
                <w:sz w:val="24"/>
                <w:szCs w:val="24"/>
              </w:rPr>
              <w:t xml:space="preserve">    无冷藏加工及冻库不得分。</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sz w:val="24"/>
                <w:szCs w:val="24"/>
              </w:rPr>
            </w:pPr>
            <w:r>
              <w:rPr>
                <w:rFonts w:hint="eastAsia" w:ascii="宋体" w:hAnsi="宋体"/>
                <w:sz w:val="24"/>
                <w:szCs w:val="24"/>
              </w:rPr>
              <w:t>1.提供冷藏加工及冻库平面图、照片复印件加盖投标供应商公章；</w:t>
            </w:r>
          </w:p>
          <w:p>
            <w:pPr>
              <w:widowControl/>
              <w:spacing w:line="400" w:lineRule="exact"/>
              <w:ind w:firstLine="480" w:firstLineChars="200"/>
              <w:rPr>
                <w:rFonts w:ascii="宋体" w:hAnsi="宋体"/>
                <w:sz w:val="24"/>
                <w:szCs w:val="24"/>
              </w:rPr>
            </w:pPr>
            <w:r>
              <w:rPr>
                <w:rFonts w:hint="eastAsia" w:ascii="宋体" w:hAnsi="宋体"/>
                <w:sz w:val="24"/>
                <w:szCs w:val="24"/>
              </w:rPr>
              <w:t>2.若冷藏加工及冻库为自主拥有的，提供产权证明复印件加盖投标供应商公章；</w:t>
            </w:r>
          </w:p>
          <w:p>
            <w:pPr>
              <w:widowControl/>
              <w:spacing w:line="400" w:lineRule="exact"/>
              <w:rPr>
                <w:rFonts w:ascii="宋体"/>
                <w:sz w:val="24"/>
                <w:szCs w:val="24"/>
              </w:rPr>
            </w:pPr>
            <w:r>
              <w:rPr>
                <w:rFonts w:hint="eastAsia" w:ascii="宋体" w:hAnsi="宋体"/>
                <w:sz w:val="24"/>
                <w:szCs w:val="24"/>
              </w:rPr>
              <w:t xml:space="preserve">    3.若冷藏加工及冻库为租赁的，提供有效期内的租赁合同及该合同执行过程中任意一次支付租赁费用的电子结算凭证或发票复印件，加盖投标供应商公章。</w:t>
            </w:r>
          </w:p>
        </w:tc>
      </w:tr>
      <w:tr>
        <w:tblPrEx>
          <w:tblCellMar>
            <w:top w:w="0" w:type="dxa"/>
            <w:left w:w="108" w:type="dxa"/>
            <w:bottom w:w="0" w:type="dxa"/>
            <w:right w:w="108" w:type="dxa"/>
          </w:tblCellMar>
        </w:tblPrEx>
        <w:trPr>
          <w:trHeight w:val="90" w:hRule="atLeast"/>
          <w:jc w:val="right"/>
        </w:trPr>
        <w:tc>
          <w:tcPr>
            <w:tcW w:w="44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right="-86" w:rightChars="-41"/>
              <w:jc w:val="center"/>
              <w:rPr>
                <w:rFonts w:ascii="宋体"/>
                <w:color w:val="000000"/>
                <w:sz w:val="24"/>
                <w:szCs w:val="24"/>
              </w:rPr>
            </w:pPr>
            <w:r>
              <w:rPr>
                <w:rFonts w:hint="eastAsia" w:ascii="宋体" w:hAnsi="宋体" w:cs="宋体"/>
                <w:sz w:val="24"/>
                <w:szCs w:val="24"/>
              </w:rPr>
              <w:t>种植基地3分</w:t>
            </w:r>
          </w:p>
        </w:tc>
        <w:tc>
          <w:tcPr>
            <w:tcW w:w="4557" w:type="dxa"/>
            <w:tcBorders>
              <w:top w:val="nil"/>
              <w:left w:val="nil"/>
              <w:bottom w:val="single" w:color="auto" w:sz="4" w:space="0"/>
              <w:right w:val="single" w:color="auto" w:sz="4" w:space="0"/>
            </w:tcBorders>
            <w:vAlign w:val="center"/>
          </w:tcPr>
          <w:p>
            <w:pPr>
              <w:widowControl/>
              <w:spacing w:line="400" w:lineRule="exact"/>
              <w:rPr>
                <w:rFonts w:ascii="宋体"/>
                <w:color w:val="000000"/>
                <w:sz w:val="24"/>
                <w:szCs w:val="24"/>
              </w:rPr>
            </w:pPr>
            <w:r>
              <w:rPr>
                <w:rFonts w:hint="eastAsia" w:ascii="宋体" w:hAnsi="宋体"/>
                <w:sz w:val="24"/>
                <w:szCs w:val="24"/>
              </w:rPr>
              <w:t xml:space="preserve">    针对本项目，投标供应商提供自有或有固定合作的蔬菜种植基地， 6家（不含）以上得3分，3家（不含）-6家（含）得2分，3家（含）以下得1分，没有不得分。</w:t>
            </w:r>
          </w:p>
        </w:tc>
        <w:tc>
          <w:tcPr>
            <w:tcW w:w="267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sz w:val="24"/>
                <w:szCs w:val="24"/>
              </w:rPr>
              <w:t xml:space="preserve">    提供基地的相关证明材料（如为固定合作须提供合作协议）复印件加盖投标供应商公章。</w:t>
            </w:r>
          </w:p>
        </w:tc>
      </w:tr>
      <w:tr>
        <w:tblPrEx>
          <w:tblCellMar>
            <w:top w:w="0" w:type="dxa"/>
            <w:left w:w="108" w:type="dxa"/>
            <w:bottom w:w="0" w:type="dxa"/>
            <w:right w:w="108" w:type="dxa"/>
          </w:tblCellMar>
        </w:tblPrEx>
        <w:trPr>
          <w:trHeight w:val="720" w:hRule="atLeast"/>
          <w:jc w:val="right"/>
        </w:trPr>
        <w:tc>
          <w:tcPr>
            <w:tcW w:w="441" w:type="dxa"/>
            <w:vMerge w:val="restart"/>
            <w:tcBorders>
              <w:top w:val="nil"/>
              <w:left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4</w:t>
            </w:r>
          </w:p>
        </w:tc>
        <w:tc>
          <w:tcPr>
            <w:tcW w:w="1134" w:type="dxa"/>
            <w:gridSpan w:val="2"/>
            <w:vMerge w:val="restart"/>
            <w:tcBorders>
              <w:top w:val="nil"/>
              <w:left w:val="single" w:color="auto" w:sz="4" w:space="0"/>
              <w:right w:val="single" w:color="auto" w:sz="4" w:space="0"/>
            </w:tcBorders>
            <w:vAlign w:val="center"/>
          </w:tcPr>
          <w:p>
            <w:pPr>
              <w:widowControl/>
              <w:spacing w:line="400" w:lineRule="exact"/>
              <w:ind w:left="-84" w:leftChars="-40"/>
              <w:jc w:val="center"/>
              <w:rPr>
                <w:rFonts w:ascii="宋体" w:hAnsi="宋体" w:cs="宋体"/>
                <w:sz w:val="24"/>
                <w:szCs w:val="24"/>
              </w:rPr>
            </w:pPr>
            <w:r>
              <w:rPr>
                <w:rFonts w:hint="eastAsia" w:ascii="宋体" w:hAnsi="宋体" w:cs="宋体"/>
                <w:sz w:val="24"/>
                <w:szCs w:val="24"/>
              </w:rPr>
              <w:t>商务部分21%</w:t>
            </w:r>
          </w:p>
          <w:p>
            <w:pPr>
              <w:widowControl/>
              <w:spacing w:line="400" w:lineRule="exact"/>
              <w:ind w:left="-84" w:leftChars="-40" w:right="-86" w:rightChars="-41"/>
              <w:jc w:val="center"/>
              <w:rPr>
                <w:rFonts w:ascii="宋体" w:hAnsi="宋体" w:cs="宋体"/>
                <w:sz w:val="24"/>
                <w:szCs w:val="24"/>
              </w:rPr>
            </w:pPr>
            <w:r>
              <w:rPr>
                <w:rFonts w:hint="eastAsia" w:ascii="宋体" w:hAnsi="宋体" w:cs="宋体"/>
                <w:sz w:val="24"/>
                <w:szCs w:val="24"/>
              </w:rPr>
              <w:t>（评审委员会）</w:t>
            </w: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right="-86" w:rightChars="-41"/>
              <w:jc w:val="center"/>
              <w:rPr>
                <w:rFonts w:ascii="宋体" w:hAnsi="宋体" w:cs="宋体"/>
                <w:sz w:val="24"/>
                <w:szCs w:val="24"/>
              </w:rPr>
            </w:pPr>
            <w:r>
              <w:rPr>
                <w:rFonts w:hint="eastAsia" w:ascii="宋体" w:hAnsi="宋体" w:cs="宋体"/>
                <w:sz w:val="24"/>
                <w:szCs w:val="24"/>
              </w:rPr>
              <w:t>标准化体系认证</w:t>
            </w:r>
          </w:p>
          <w:p>
            <w:pPr>
              <w:widowControl/>
              <w:spacing w:line="400" w:lineRule="exact"/>
              <w:jc w:val="center"/>
              <w:rPr>
                <w:rFonts w:ascii="宋体" w:hAnsi="宋体" w:cs="宋体"/>
                <w:sz w:val="24"/>
                <w:szCs w:val="24"/>
              </w:rPr>
            </w:pPr>
            <w:r>
              <w:rPr>
                <w:rFonts w:hint="eastAsia" w:ascii="宋体" w:hAnsi="宋体" w:cs="宋体"/>
                <w:sz w:val="24"/>
                <w:szCs w:val="24"/>
              </w:rPr>
              <w:t>8分</w:t>
            </w:r>
          </w:p>
        </w:tc>
        <w:tc>
          <w:tcPr>
            <w:tcW w:w="4557" w:type="dxa"/>
            <w:tcBorders>
              <w:top w:val="nil"/>
              <w:left w:val="nil"/>
              <w:bottom w:val="single" w:color="auto" w:sz="4" w:space="0"/>
              <w:right w:val="single" w:color="auto" w:sz="4" w:space="0"/>
            </w:tcBorders>
            <w:vAlign w:val="center"/>
          </w:tcPr>
          <w:p>
            <w:pPr>
              <w:widowControl/>
              <w:numPr>
                <w:ilvl w:val="0"/>
                <w:numId w:val="47"/>
              </w:numPr>
              <w:spacing w:line="400" w:lineRule="exact"/>
              <w:ind w:firstLine="480" w:firstLineChars="200"/>
              <w:rPr>
                <w:rFonts w:ascii="宋体" w:hAnsi="宋体" w:cs="宋体"/>
                <w:sz w:val="24"/>
                <w:szCs w:val="24"/>
              </w:rPr>
            </w:pPr>
            <w:r>
              <w:rPr>
                <w:rFonts w:hint="eastAsia" w:ascii="宋体" w:hAnsi="宋体" w:cs="宋体"/>
                <w:sz w:val="24"/>
                <w:szCs w:val="24"/>
              </w:rPr>
              <w:t>投标供应商具有质量管理体系认证的得2分（在有效期内，认证范围为食品类）；</w:t>
            </w:r>
          </w:p>
          <w:p>
            <w:pPr>
              <w:widowControl/>
              <w:numPr>
                <w:ilvl w:val="0"/>
                <w:numId w:val="47"/>
              </w:numPr>
              <w:spacing w:line="400" w:lineRule="exact"/>
              <w:ind w:firstLine="480" w:firstLineChars="200"/>
              <w:rPr>
                <w:rFonts w:ascii="宋体" w:hAnsi="宋体" w:cs="宋体"/>
                <w:sz w:val="24"/>
                <w:szCs w:val="24"/>
              </w:rPr>
            </w:pPr>
            <w:r>
              <w:rPr>
                <w:rFonts w:hint="eastAsia" w:ascii="宋体" w:hAnsi="宋体" w:cs="宋体"/>
                <w:sz w:val="24"/>
                <w:szCs w:val="24"/>
              </w:rPr>
              <w:t>投标供应商具有职业健康安全管理体系认证的得2分（在有效期内，认证范围为食品类）；</w:t>
            </w:r>
          </w:p>
          <w:p>
            <w:pPr>
              <w:widowControl/>
              <w:numPr>
                <w:ilvl w:val="0"/>
                <w:numId w:val="47"/>
              </w:numPr>
              <w:spacing w:line="400" w:lineRule="exact"/>
              <w:ind w:firstLine="480" w:firstLineChars="200"/>
              <w:rPr>
                <w:rFonts w:ascii="宋体" w:hAnsi="宋体" w:cs="宋体"/>
                <w:sz w:val="24"/>
                <w:szCs w:val="24"/>
              </w:rPr>
            </w:pPr>
            <w:r>
              <w:rPr>
                <w:rFonts w:hint="eastAsia" w:ascii="宋体" w:hAnsi="宋体" w:cs="宋体"/>
                <w:sz w:val="24"/>
                <w:szCs w:val="24"/>
              </w:rPr>
              <w:t>投标供应商具有环境管理体系认证的得2分（在有效期内，认证范围为食品类）；</w:t>
            </w:r>
          </w:p>
          <w:p>
            <w:pPr>
              <w:widowControl/>
              <w:numPr>
                <w:ilvl w:val="0"/>
                <w:numId w:val="47"/>
              </w:numPr>
              <w:spacing w:line="400" w:lineRule="exact"/>
              <w:ind w:firstLine="480" w:firstLineChars="200"/>
              <w:rPr>
                <w:rFonts w:ascii="宋体" w:hAnsi="宋体" w:cs="宋体"/>
                <w:sz w:val="24"/>
                <w:szCs w:val="24"/>
              </w:rPr>
            </w:pPr>
            <w:r>
              <w:rPr>
                <w:rFonts w:hint="eastAsia" w:ascii="宋体" w:hAnsi="宋体" w:cs="宋体"/>
                <w:sz w:val="24"/>
                <w:szCs w:val="24"/>
              </w:rPr>
              <w:t>投标供应商具有食品安全管理体系认证的得2分（在有效期内，认证范围为食品类）。</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提供在有效期内的证书复印件，加盖投标人公章。</w:t>
            </w:r>
          </w:p>
        </w:tc>
      </w:tr>
      <w:tr>
        <w:tblPrEx>
          <w:tblCellMar>
            <w:top w:w="0" w:type="dxa"/>
            <w:left w:w="108" w:type="dxa"/>
            <w:bottom w:w="0" w:type="dxa"/>
            <w:right w:w="108" w:type="dxa"/>
          </w:tblCellMar>
        </w:tblPrEx>
        <w:trPr>
          <w:trHeight w:val="2799" w:hRule="atLeast"/>
          <w:jc w:val="right"/>
        </w:trPr>
        <w:tc>
          <w:tcPr>
            <w:tcW w:w="441" w:type="dxa"/>
            <w:vMerge w:val="continue"/>
            <w:tcBorders>
              <w:left w:val="single" w:color="auto" w:sz="4" w:space="0"/>
              <w:bottom w:val="nil"/>
              <w:right w:val="single" w:color="auto" w:sz="4" w:space="0"/>
            </w:tcBorders>
            <w:vAlign w:val="center"/>
          </w:tcPr>
          <w:p>
            <w:pPr>
              <w:spacing w:line="400" w:lineRule="exact"/>
              <w:jc w:val="left"/>
              <w:rPr>
                <w:rFonts w:ascii="宋体"/>
                <w:sz w:val="24"/>
                <w:szCs w:val="24"/>
              </w:rPr>
            </w:pPr>
          </w:p>
        </w:tc>
        <w:tc>
          <w:tcPr>
            <w:tcW w:w="1134" w:type="dxa"/>
            <w:gridSpan w:val="2"/>
            <w:vMerge w:val="continue"/>
            <w:tcBorders>
              <w:left w:val="single" w:color="auto" w:sz="4" w:space="0"/>
              <w:bottom w:val="nil"/>
              <w:right w:val="single" w:color="auto" w:sz="4" w:space="0"/>
            </w:tcBorders>
            <w:vAlign w:val="center"/>
          </w:tcPr>
          <w:p>
            <w:pPr>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right="-86" w:rightChars="-41"/>
              <w:jc w:val="center"/>
              <w:rPr>
                <w:rFonts w:ascii="宋体"/>
                <w:sz w:val="24"/>
                <w:szCs w:val="24"/>
              </w:rPr>
            </w:pPr>
            <w:r>
              <w:rPr>
                <w:rFonts w:hint="eastAsia" w:ascii="宋体" w:hAnsi="宋体" w:cs="宋体"/>
                <w:sz w:val="24"/>
                <w:szCs w:val="24"/>
              </w:rPr>
              <w:t>业绩11分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cs="宋体"/>
                <w:sz w:val="24"/>
                <w:szCs w:val="24"/>
              </w:rPr>
              <w:t>供应商提供 2018年 1 月 1 日以来的食材配送项目业绩，每提供一个得 1分，最多得 11分。</w:t>
            </w:r>
          </w:p>
        </w:tc>
        <w:tc>
          <w:tcPr>
            <w:tcW w:w="267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 xml:space="preserve">    提供合同或中标通知书（复印件加盖投标供应商公章），同时提供项目履行期间的任意一次结算</w:t>
            </w:r>
            <w:r>
              <w:rPr>
                <w:rFonts w:hint="eastAsia" w:ascii="宋体" w:hAnsi="宋体"/>
                <w:sz w:val="24"/>
                <w:szCs w:val="24"/>
                <w:lang w:val="zh-CN"/>
              </w:rPr>
              <w:t>费用的电子凭证或发票复印件，加盖投标供应商公章。</w:t>
            </w:r>
            <w:r>
              <w:rPr>
                <w:rFonts w:hint="eastAsia" w:ascii="宋体" w:hAnsi="宋体" w:cs="宋体"/>
                <w:sz w:val="24"/>
                <w:szCs w:val="24"/>
              </w:rPr>
              <w:t>未提供不得分。</w:t>
            </w:r>
          </w:p>
        </w:tc>
      </w:tr>
      <w:tr>
        <w:tblPrEx>
          <w:tblCellMar>
            <w:top w:w="0" w:type="dxa"/>
            <w:left w:w="108" w:type="dxa"/>
            <w:bottom w:w="0" w:type="dxa"/>
            <w:right w:w="108" w:type="dxa"/>
          </w:tblCellMar>
        </w:tblPrEx>
        <w:trPr>
          <w:trHeight w:val="2025" w:hRule="atLeast"/>
          <w:jc w:val="right"/>
        </w:trPr>
        <w:tc>
          <w:tcPr>
            <w:tcW w:w="441" w:type="dxa"/>
            <w:vMerge w:val="continue"/>
            <w:tcBorders>
              <w:left w:val="single" w:color="auto" w:sz="4" w:space="0"/>
              <w:right w:val="single" w:color="auto" w:sz="4" w:space="0"/>
            </w:tcBorders>
            <w:vAlign w:val="center"/>
          </w:tcPr>
          <w:p>
            <w:pPr>
              <w:spacing w:line="400" w:lineRule="exact"/>
              <w:jc w:val="left"/>
              <w:rPr>
                <w:rFonts w:ascii="宋体"/>
                <w:sz w:val="24"/>
                <w:szCs w:val="24"/>
              </w:rPr>
            </w:pPr>
          </w:p>
        </w:tc>
        <w:tc>
          <w:tcPr>
            <w:tcW w:w="1134" w:type="dxa"/>
            <w:gridSpan w:val="2"/>
            <w:vMerge w:val="continue"/>
            <w:tcBorders>
              <w:left w:val="single" w:color="auto" w:sz="4" w:space="0"/>
              <w:right w:val="single" w:color="auto" w:sz="4" w:space="0"/>
            </w:tcBorders>
            <w:vAlign w:val="center"/>
          </w:tcPr>
          <w:p>
            <w:pPr>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right="-86" w:rightChars="-41"/>
              <w:jc w:val="center"/>
              <w:rPr>
                <w:rFonts w:ascii="宋体"/>
                <w:sz w:val="24"/>
                <w:szCs w:val="24"/>
              </w:rPr>
            </w:pPr>
            <w:r>
              <w:rPr>
                <w:rFonts w:hint="eastAsia" w:ascii="宋体" w:hAnsi="宋体"/>
                <w:sz w:val="24"/>
                <w:szCs w:val="24"/>
              </w:rPr>
              <w:t>用户诚信满意度1分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sz w:val="24"/>
                <w:szCs w:val="24"/>
              </w:rPr>
              <w:t>2018年1月1日以来，用户单位对投标供应商的配送诚信服务评价为满意或非常满意的，每有一个得0.2分，最多得1分。</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sz w:val="24"/>
                <w:szCs w:val="24"/>
              </w:rPr>
            </w:pPr>
            <w:r>
              <w:rPr>
                <w:rFonts w:hint="eastAsia" w:ascii="宋体" w:hAnsi="宋体"/>
                <w:sz w:val="24"/>
                <w:szCs w:val="24"/>
              </w:rPr>
              <w:t>1.提供2018年至今，投标供应商正在服务或曾经服务的客户加盖客户公章的诚信满意度评价证明材料；</w:t>
            </w:r>
          </w:p>
          <w:p>
            <w:pPr>
              <w:widowControl/>
              <w:spacing w:line="400" w:lineRule="exact"/>
              <w:rPr>
                <w:rFonts w:ascii="宋体"/>
                <w:sz w:val="24"/>
                <w:szCs w:val="24"/>
              </w:rPr>
            </w:pPr>
            <w:r>
              <w:rPr>
                <w:rFonts w:hint="eastAsia" w:ascii="宋体" w:hAnsi="宋体"/>
                <w:sz w:val="24"/>
                <w:szCs w:val="24"/>
              </w:rPr>
              <w:t xml:space="preserve">    2.提供相对应的合同复印件，并加盖公章                 。</w:t>
            </w:r>
          </w:p>
        </w:tc>
      </w:tr>
      <w:tr>
        <w:tblPrEx>
          <w:tblCellMar>
            <w:top w:w="0" w:type="dxa"/>
            <w:left w:w="108" w:type="dxa"/>
            <w:bottom w:w="0" w:type="dxa"/>
            <w:right w:w="108" w:type="dxa"/>
          </w:tblCellMar>
        </w:tblPrEx>
        <w:trPr>
          <w:trHeight w:val="988" w:hRule="atLeast"/>
          <w:jc w:val="right"/>
        </w:trPr>
        <w:tc>
          <w:tcPr>
            <w:tcW w:w="441"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sz w:val="24"/>
                <w:szCs w:val="24"/>
              </w:rPr>
            </w:pPr>
          </w:p>
        </w:tc>
        <w:tc>
          <w:tcPr>
            <w:tcW w:w="1134"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宋体"/>
                <w:sz w:val="24"/>
                <w:szCs w:val="24"/>
              </w:rPr>
            </w:pPr>
          </w:p>
        </w:tc>
        <w:tc>
          <w:tcPr>
            <w:tcW w:w="997" w:type="dxa"/>
            <w:tcBorders>
              <w:top w:val="nil"/>
              <w:left w:val="nil"/>
              <w:bottom w:val="single" w:color="auto" w:sz="4" w:space="0"/>
              <w:right w:val="single" w:color="auto" w:sz="4" w:space="0"/>
            </w:tcBorders>
            <w:vAlign w:val="center"/>
          </w:tcPr>
          <w:p>
            <w:pPr>
              <w:widowControl/>
              <w:spacing w:line="400" w:lineRule="exact"/>
              <w:ind w:left="-84" w:leftChars="-40"/>
              <w:jc w:val="center"/>
              <w:rPr>
                <w:rFonts w:ascii="宋体"/>
                <w:sz w:val="24"/>
                <w:szCs w:val="24"/>
              </w:rPr>
            </w:pPr>
            <w:r>
              <w:rPr>
                <w:rFonts w:hint="eastAsia" w:ascii="宋体" w:hAnsi="宋体"/>
                <w:sz w:val="24"/>
                <w:szCs w:val="24"/>
              </w:rPr>
              <w:t>快速检测仪1分</w:t>
            </w:r>
          </w:p>
        </w:tc>
        <w:tc>
          <w:tcPr>
            <w:tcW w:w="4557"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sz w:val="24"/>
                <w:szCs w:val="24"/>
              </w:rPr>
            </w:pPr>
            <w:r>
              <w:rPr>
                <w:rFonts w:hint="eastAsia" w:ascii="宋体" w:hAnsi="宋体"/>
                <w:sz w:val="24"/>
                <w:szCs w:val="24"/>
              </w:rPr>
              <w:t>投标供应商承诺中标后为本项目配备食品安全快速检测仪，对每批次食材进行检测，并提供检测报告得1分</w:t>
            </w:r>
          </w:p>
        </w:tc>
        <w:tc>
          <w:tcPr>
            <w:tcW w:w="267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sz w:val="24"/>
                <w:szCs w:val="24"/>
              </w:rPr>
              <w:t xml:space="preserve">    投标文件中提供承诺函（加盖公章）</w:t>
            </w:r>
          </w:p>
        </w:tc>
      </w:tr>
      <w:tr>
        <w:tblPrEx>
          <w:tblCellMar>
            <w:top w:w="0" w:type="dxa"/>
            <w:left w:w="108" w:type="dxa"/>
            <w:bottom w:w="0" w:type="dxa"/>
            <w:right w:w="108" w:type="dxa"/>
          </w:tblCellMar>
        </w:tblPrEx>
        <w:trPr>
          <w:trHeight w:val="273" w:hRule="atLeast"/>
          <w:jc w:val="right"/>
        </w:trPr>
        <w:tc>
          <w:tcPr>
            <w:tcW w:w="441" w:type="dxa"/>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FF0000"/>
                <w:sz w:val="24"/>
                <w:szCs w:val="24"/>
              </w:rPr>
            </w:pPr>
            <w:r>
              <w:rPr>
                <w:rFonts w:hint="eastAsia" w:ascii="宋体" w:hAnsi="宋体" w:cs="宋体"/>
                <w:sz w:val="24"/>
                <w:szCs w:val="24"/>
              </w:rPr>
              <w:t>5</w:t>
            </w:r>
          </w:p>
        </w:tc>
        <w:tc>
          <w:tcPr>
            <w:tcW w:w="1134" w:type="dxa"/>
            <w:gridSpan w:val="2"/>
            <w:tcBorders>
              <w:left w:val="single" w:color="auto" w:sz="4" w:space="0"/>
              <w:bottom w:val="single" w:color="auto" w:sz="4" w:space="0"/>
              <w:right w:val="single" w:color="auto" w:sz="4" w:space="0"/>
            </w:tcBorders>
            <w:vAlign w:val="center"/>
          </w:tcPr>
          <w:p>
            <w:pPr>
              <w:widowControl/>
              <w:spacing w:line="400" w:lineRule="exact"/>
              <w:ind w:left="-84" w:leftChars="-40"/>
              <w:jc w:val="center"/>
              <w:rPr>
                <w:rFonts w:ascii="宋体" w:hAnsi="宋体" w:cs="宋体"/>
                <w:sz w:val="24"/>
                <w:szCs w:val="24"/>
              </w:rPr>
            </w:pPr>
            <w:r>
              <w:rPr>
                <w:rFonts w:hint="eastAsia" w:ascii="宋体" w:hAnsi="宋体" w:cs="宋体"/>
                <w:sz w:val="24"/>
                <w:szCs w:val="24"/>
              </w:rPr>
              <w:t>技术部分6%</w:t>
            </w:r>
          </w:p>
          <w:p>
            <w:pPr>
              <w:widowControl/>
              <w:spacing w:line="400" w:lineRule="exact"/>
              <w:ind w:left="-84" w:leftChars="-40"/>
              <w:jc w:val="center"/>
              <w:rPr>
                <w:rFonts w:ascii="宋体" w:hAnsi="宋体" w:cs="宋体"/>
                <w:sz w:val="24"/>
                <w:szCs w:val="24"/>
              </w:rPr>
            </w:pPr>
            <w:r>
              <w:rPr>
                <w:rFonts w:hint="eastAsia" w:ascii="宋体" w:hAnsi="宋体" w:cs="宋体"/>
                <w:sz w:val="24"/>
                <w:szCs w:val="24"/>
              </w:rPr>
              <w:t>（评审委员会）</w:t>
            </w:r>
          </w:p>
        </w:tc>
        <w:tc>
          <w:tcPr>
            <w:tcW w:w="997" w:type="dxa"/>
            <w:tcBorders>
              <w:left w:val="single" w:color="auto" w:sz="4" w:space="0"/>
              <w:bottom w:val="single" w:color="auto" w:sz="4" w:space="0"/>
              <w:right w:val="single" w:color="auto" w:sz="4" w:space="0"/>
            </w:tcBorders>
            <w:vAlign w:val="center"/>
          </w:tcPr>
          <w:p>
            <w:pPr>
              <w:widowControl/>
              <w:spacing w:line="400" w:lineRule="exact"/>
              <w:ind w:left="-84" w:leftChars="-40"/>
              <w:jc w:val="center"/>
              <w:rPr>
                <w:rFonts w:ascii="宋体" w:hAnsi="宋体" w:cs="宋体"/>
                <w:sz w:val="24"/>
                <w:szCs w:val="24"/>
              </w:rPr>
            </w:pPr>
            <w:r>
              <w:rPr>
                <w:rFonts w:hint="eastAsia" w:ascii="宋体" w:hAnsi="宋体" w:cs="宋体"/>
                <w:sz w:val="24"/>
                <w:szCs w:val="24"/>
              </w:rPr>
              <w:t>6分</w:t>
            </w:r>
          </w:p>
        </w:tc>
        <w:tc>
          <w:tcPr>
            <w:tcW w:w="4557" w:type="dxa"/>
            <w:tcBorders>
              <w:top w:val="nil"/>
              <w:left w:val="nil"/>
              <w:bottom w:val="single" w:color="auto" w:sz="4" w:space="0"/>
              <w:right w:val="single" w:color="auto" w:sz="4" w:space="0"/>
            </w:tcBorders>
            <w:vAlign w:val="center"/>
          </w:tcPr>
          <w:p>
            <w:pPr>
              <w:widowControl/>
              <w:spacing w:line="400" w:lineRule="exact"/>
              <w:ind w:left="-84" w:leftChars="-40"/>
              <w:rPr>
                <w:rFonts w:ascii="宋体" w:hAnsi="宋体" w:cs="宋体"/>
                <w:sz w:val="24"/>
                <w:szCs w:val="24"/>
              </w:rPr>
            </w:pPr>
            <w:r>
              <w:rPr>
                <w:rFonts w:hint="eastAsia" w:ascii="宋体" w:hAnsi="宋体" w:cs="宋体"/>
                <w:sz w:val="24"/>
                <w:szCs w:val="24"/>
              </w:rPr>
              <w:t xml:space="preserve">    投标供应商提供针对本项目拟配送的米、面、油、肉类、水产类、蛋类等食材符合采购需求并具有资质的第三方检测报告，每有一个种类的第三方检测报告且检测报告结果为“合格”的得1分，</w:t>
            </w:r>
            <w:r>
              <w:rPr>
                <w:rFonts w:hint="eastAsia"/>
                <w:sz w:val="24"/>
                <w:szCs w:val="24"/>
              </w:rPr>
              <w:t>检测报告为“不合格”及其类似表述的不得分，</w:t>
            </w:r>
            <w:r>
              <w:rPr>
                <w:rFonts w:hint="eastAsia" w:ascii="宋体" w:hAnsi="宋体" w:cs="宋体"/>
                <w:sz w:val="24"/>
                <w:szCs w:val="24"/>
              </w:rPr>
              <w:t>最多得6分。</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p>
        </w:tc>
      </w:tr>
      <w:tr>
        <w:tblPrEx>
          <w:tblCellMar>
            <w:top w:w="0" w:type="dxa"/>
            <w:left w:w="108" w:type="dxa"/>
            <w:bottom w:w="0" w:type="dxa"/>
            <w:right w:w="108" w:type="dxa"/>
          </w:tblCellMar>
        </w:tblPrEx>
        <w:trPr>
          <w:trHeight w:val="720" w:hRule="atLeast"/>
          <w:jc w:val="right"/>
        </w:trPr>
        <w:tc>
          <w:tcPr>
            <w:tcW w:w="44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6</w:t>
            </w:r>
          </w:p>
        </w:tc>
        <w:tc>
          <w:tcPr>
            <w:tcW w:w="1116" w:type="dxa"/>
            <w:tcBorders>
              <w:top w:val="single" w:color="auto" w:sz="4" w:space="0"/>
              <w:left w:val="nil"/>
              <w:bottom w:val="single" w:color="auto" w:sz="4" w:space="0"/>
              <w:right w:val="single" w:color="auto" w:sz="4" w:space="0"/>
            </w:tcBorders>
            <w:vAlign w:val="center"/>
          </w:tcPr>
          <w:p>
            <w:pPr>
              <w:widowControl/>
              <w:spacing w:line="400" w:lineRule="exact"/>
              <w:ind w:left="-84" w:leftChars="-40"/>
              <w:jc w:val="center"/>
              <w:rPr>
                <w:rFonts w:ascii="宋体" w:hAnsi="宋体" w:cs="宋体"/>
                <w:sz w:val="24"/>
                <w:szCs w:val="24"/>
              </w:rPr>
            </w:pPr>
            <w:r>
              <w:rPr>
                <w:rFonts w:hint="eastAsia" w:ascii="宋体" w:hAnsi="宋体" w:cs="宋体"/>
                <w:sz w:val="24"/>
                <w:szCs w:val="24"/>
              </w:rPr>
              <w:t>食品安全责任险2%</w:t>
            </w:r>
          </w:p>
          <w:p>
            <w:pPr>
              <w:widowControl/>
              <w:spacing w:line="400" w:lineRule="exact"/>
              <w:ind w:left="-84" w:leftChars="-40"/>
              <w:jc w:val="center"/>
              <w:rPr>
                <w:rFonts w:ascii="宋体" w:hAnsi="宋体" w:cs="宋体"/>
                <w:sz w:val="24"/>
                <w:szCs w:val="24"/>
              </w:rPr>
            </w:pPr>
            <w:r>
              <w:rPr>
                <w:rFonts w:hint="eastAsia" w:ascii="宋体" w:hAnsi="宋体" w:cs="宋体"/>
                <w:sz w:val="24"/>
                <w:szCs w:val="24"/>
              </w:rPr>
              <w:t>（评审委员会）</w:t>
            </w:r>
          </w:p>
        </w:tc>
        <w:tc>
          <w:tcPr>
            <w:tcW w:w="1015" w:type="dxa"/>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ind w:left="-84" w:leftChars="-40"/>
              <w:jc w:val="center"/>
              <w:rPr>
                <w:rFonts w:ascii="宋体" w:hAnsi="宋体" w:cs="宋体"/>
                <w:sz w:val="24"/>
                <w:szCs w:val="24"/>
              </w:rPr>
            </w:pPr>
            <w:r>
              <w:rPr>
                <w:rFonts w:hint="eastAsia" w:ascii="宋体" w:hAnsi="宋体" w:cs="宋体"/>
                <w:sz w:val="24"/>
                <w:szCs w:val="24"/>
              </w:rPr>
              <w:t>2分</w:t>
            </w:r>
          </w:p>
        </w:tc>
        <w:tc>
          <w:tcPr>
            <w:tcW w:w="4557" w:type="dxa"/>
            <w:tcBorders>
              <w:top w:val="nil"/>
              <w:left w:val="nil"/>
              <w:bottom w:val="single" w:color="auto" w:sz="4" w:space="0"/>
              <w:right w:val="single" w:color="auto" w:sz="4" w:space="0"/>
            </w:tcBorders>
            <w:vAlign w:val="center"/>
          </w:tcPr>
          <w:p>
            <w:pPr>
              <w:widowControl/>
              <w:spacing w:line="400" w:lineRule="exact"/>
              <w:ind w:left="-84" w:leftChars="-40" w:firstLine="364"/>
              <w:rPr>
                <w:rFonts w:ascii="宋体" w:hAnsi="宋体" w:cs="宋体"/>
                <w:sz w:val="24"/>
                <w:szCs w:val="24"/>
              </w:rPr>
            </w:pPr>
            <w:r>
              <w:rPr>
                <w:rFonts w:hint="eastAsia" w:ascii="宋体" w:hAnsi="宋体" w:cs="宋体"/>
                <w:sz w:val="24"/>
                <w:szCs w:val="24"/>
              </w:rPr>
              <w:t xml:space="preserve"> 投标供应商承诺中标后为本项目提供食品安全责任险，购买食品安全责任险保障金额小于1亿元（不含）的得0.5分，保障金额1亿元（含）至2亿元（不含）的得1分，保障金额大于2亿元（含）的得2分。</w:t>
            </w:r>
          </w:p>
        </w:tc>
        <w:tc>
          <w:tcPr>
            <w:tcW w:w="2672" w:type="dxa"/>
            <w:tcBorders>
              <w:top w:val="nil"/>
              <w:left w:val="nil"/>
              <w:bottom w:val="single" w:color="auto" w:sz="4" w:space="0"/>
              <w:right w:val="single" w:color="auto" w:sz="4" w:space="0"/>
            </w:tcBorders>
            <w:vAlign w:val="center"/>
          </w:tcPr>
          <w:p>
            <w:pPr>
              <w:widowControl/>
              <w:spacing w:line="400" w:lineRule="exact"/>
              <w:ind w:firstLine="480" w:firstLineChars="200"/>
              <w:rPr>
                <w:rFonts w:ascii="宋体" w:hAnsi="宋体" w:cs="宋体"/>
                <w:sz w:val="24"/>
                <w:szCs w:val="24"/>
              </w:rPr>
            </w:pPr>
            <w:r>
              <w:rPr>
                <w:rFonts w:hint="eastAsia" w:ascii="宋体" w:hAnsi="宋体" w:cs="宋体"/>
                <w:sz w:val="24"/>
                <w:szCs w:val="24"/>
              </w:rPr>
              <w:t>提供保单或中标后购买的承诺函。</w:t>
            </w:r>
          </w:p>
        </w:tc>
      </w:tr>
    </w:tbl>
    <w:p>
      <w:pPr>
        <w:ind w:firstLine="480" w:firstLineChars="200"/>
        <w:rPr>
          <w:rFonts w:ascii="宋体" w:hAnsi="宋体"/>
          <w:sz w:val="24"/>
          <w:szCs w:val="21"/>
        </w:rPr>
      </w:pPr>
      <w:r>
        <w:rPr>
          <w:rFonts w:hint="eastAsia" w:ascii="宋体" w:hAnsi="宋体"/>
          <w:sz w:val="24"/>
          <w:szCs w:val="21"/>
        </w:rPr>
        <w:t>说明：</w:t>
      </w:r>
    </w:p>
    <w:p>
      <w:pPr>
        <w:spacing w:line="360" w:lineRule="auto"/>
        <w:ind w:firstLine="480" w:firstLineChars="200"/>
        <w:rPr>
          <w:rFonts w:ascii="宋体" w:hAnsi="宋体"/>
          <w:sz w:val="24"/>
          <w:szCs w:val="21"/>
        </w:rPr>
      </w:pPr>
      <w:r>
        <w:rPr>
          <w:rFonts w:hint="eastAsia" w:ascii="宋体" w:hAnsi="宋体"/>
          <w:sz w:val="24"/>
          <w:szCs w:val="21"/>
        </w:rPr>
        <w:t>1、评分的取值按四舍五入法，保留小数点后两位；</w:t>
      </w:r>
    </w:p>
    <w:p>
      <w:pPr>
        <w:spacing w:line="360" w:lineRule="auto"/>
        <w:ind w:firstLine="480" w:firstLineChars="200"/>
        <w:rPr>
          <w:rFonts w:ascii="宋体" w:hAnsi="宋体"/>
          <w:sz w:val="24"/>
          <w:szCs w:val="21"/>
        </w:rPr>
      </w:pPr>
      <w:r>
        <w:rPr>
          <w:rFonts w:hint="eastAsia" w:ascii="宋体" w:hAnsi="宋体"/>
          <w:sz w:val="24"/>
          <w:szCs w:val="21"/>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4"/>
          <w:szCs w:val="24"/>
        </w:rPr>
      </w:pPr>
      <w:bookmarkStart w:id="160" w:name="_Toc30477"/>
      <w:r>
        <w:rPr>
          <w:rFonts w:hint="eastAsia" w:ascii="宋体" w:hAnsi="宋体"/>
          <w:b/>
          <w:bCs/>
          <w:sz w:val="24"/>
          <w:szCs w:val="24"/>
        </w:rPr>
        <w:t>废标</w:t>
      </w:r>
      <w:bookmarkEnd w:id="160"/>
    </w:p>
    <w:p>
      <w:pPr>
        <w:spacing w:line="360" w:lineRule="auto"/>
        <w:ind w:firstLine="480" w:firstLineChars="200"/>
        <w:rPr>
          <w:rFonts w:ascii="宋体" w:hAnsi="宋体"/>
          <w:sz w:val="24"/>
          <w:szCs w:val="24"/>
        </w:rPr>
      </w:pPr>
      <w:r>
        <w:rPr>
          <w:rFonts w:hint="eastAsia" w:ascii="宋体" w:hAnsi="宋体"/>
          <w:sz w:val="24"/>
          <w:szCs w:val="24"/>
        </w:rPr>
        <w:t>本次政府采购活动中，出现下列情形之一的，予以废标：</w:t>
      </w:r>
    </w:p>
    <w:p>
      <w:pPr>
        <w:numPr>
          <w:ilvl w:val="0"/>
          <w:numId w:val="48"/>
        </w:numPr>
        <w:tabs>
          <w:tab w:val="left" w:pos="1155"/>
        </w:tabs>
        <w:spacing w:line="360" w:lineRule="auto"/>
        <w:ind w:left="0" w:firstLine="525"/>
        <w:rPr>
          <w:rFonts w:ascii="宋体" w:hAnsi="宋体"/>
          <w:sz w:val="24"/>
          <w:szCs w:val="24"/>
        </w:rPr>
      </w:pPr>
      <w:r>
        <w:rPr>
          <w:rFonts w:hint="eastAsia" w:ascii="宋体" w:hAnsi="宋体"/>
          <w:sz w:val="24"/>
          <w:szCs w:val="24"/>
        </w:rPr>
        <w:t>符合专业条件的投标人或者对招标文件作实质响应的投标人不足三家的；</w:t>
      </w:r>
    </w:p>
    <w:p>
      <w:pPr>
        <w:numPr>
          <w:ilvl w:val="0"/>
          <w:numId w:val="48"/>
        </w:numPr>
        <w:tabs>
          <w:tab w:val="left" w:pos="1155"/>
        </w:tabs>
        <w:spacing w:line="360" w:lineRule="auto"/>
        <w:ind w:left="0" w:firstLine="525"/>
        <w:rPr>
          <w:rFonts w:ascii="宋体" w:hAnsi="宋体"/>
          <w:sz w:val="24"/>
          <w:szCs w:val="24"/>
        </w:rPr>
      </w:pPr>
      <w:r>
        <w:rPr>
          <w:rFonts w:hint="eastAsia" w:ascii="宋体" w:hAnsi="宋体"/>
          <w:sz w:val="24"/>
          <w:szCs w:val="24"/>
        </w:rPr>
        <w:t>出现影响采购公正的违法、违规行为的；</w:t>
      </w:r>
    </w:p>
    <w:p>
      <w:pPr>
        <w:numPr>
          <w:ilvl w:val="0"/>
          <w:numId w:val="48"/>
        </w:numPr>
        <w:tabs>
          <w:tab w:val="left" w:pos="1155"/>
        </w:tabs>
        <w:spacing w:line="360" w:lineRule="auto"/>
        <w:ind w:left="0" w:firstLine="525"/>
        <w:rPr>
          <w:rFonts w:ascii="宋体" w:hAnsi="宋体"/>
          <w:sz w:val="24"/>
          <w:szCs w:val="24"/>
        </w:rPr>
      </w:pPr>
      <w:r>
        <w:rPr>
          <w:rFonts w:hint="eastAsia" w:ascii="宋体" w:hAnsi="宋体"/>
          <w:sz w:val="24"/>
          <w:szCs w:val="24"/>
        </w:rPr>
        <w:t>投标人的报价均超过了采购预算，采购人不能支付的；</w:t>
      </w:r>
    </w:p>
    <w:p>
      <w:pPr>
        <w:numPr>
          <w:ilvl w:val="0"/>
          <w:numId w:val="48"/>
        </w:numPr>
        <w:tabs>
          <w:tab w:val="left" w:pos="1155"/>
        </w:tabs>
        <w:spacing w:line="360" w:lineRule="auto"/>
        <w:ind w:left="0" w:firstLine="525"/>
        <w:rPr>
          <w:rFonts w:ascii="宋体" w:hAnsi="宋体"/>
          <w:sz w:val="24"/>
          <w:szCs w:val="24"/>
        </w:rPr>
      </w:pPr>
      <w:r>
        <w:rPr>
          <w:rFonts w:hint="eastAsia" w:ascii="宋体" w:hAnsi="宋体"/>
          <w:sz w:val="24"/>
          <w:szCs w:val="24"/>
        </w:rPr>
        <w:t>因重大变故，采购任务取消的；</w:t>
      </w:r>
    </w:p>
    <w:p>
      <w:pPr>
        <w:numPr>
          <w:ilvl w:val="0"/>
          <w:numId w:val="48"/>
        </w:numPr>
        <w:tabs>
          <w:tab w:val="left" w:pos="1155"/>
        </w:tabs>
        <w:spacing w:line="360" w:lineRule="auto"/>
        <w:ind w:left="0" w:firstLine="525"/>
        <w:rPr>
          <w:rFonts w:ascii="宋体" w:hAnsi="宋体"/>
          <w:sz w:val="24"/>
          <w:szCs w:val="24"/>
        </w:rPr>
      </w:pPr>
      <w:r>
        <w:rPr>
          <w:rFonts w:hint="eastAsia" w:ascii="宋体" w:hAnsi="宋体"/>
          <w:sz w:val="24"/>
          <w:szCs w:val="24"/>
        </w:rPr>
        <w:t>废标后，成都市武侯区政府采购中心将在“四川政府采购网”和“成都市公共资源交易服务中心”网站上公告。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4"/>
          <w:szCs w:val="24"/>
        </w:rPr>
      </w:pPr>
      <w:bookmarkStart w:id="161" w:name="_Toc28615"/>
      <w:r>
        <w:rPr>
          <w:rFonts w:hint="eastAsia" w:ascii="宋体" w:hAnsi="宋体"/>
          <w:b/>
          <w:bCs/>
          <w:sz w:val="24"/>
          <w:szCs w:val="24"/>
        </w:rPr>
        <w:t>定标</w:t>
      </w:r>
      <w:bookmarkEnd w:id="161"/>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定标原则</w:t>
      </w:r>
    </w:p>
    <w:p>
      <w:pPr>
        <w:spacing w:line="560" w:lineRule="exact"/>
        <w:ind w:firstLine="480" w:firstLineChars="200"/>
        <w:rPr>
          <w:rFonts w:ascii="宋体" w:hAnsi="宋体"/>
          <w:sz w:val="24"/>
          <w:szCs w:val="24"/>
        </w:rPr>
      </w:pPr>
      <w:r>
        <w:rPr>
          <w:rFonts w:hint="eastAsia" w:ascii="宋体" w:hAnsi="宋体"/>
          <w:sz w:val="24"/>
          <w:szCs w:val="24"/>
        </w:rPr>
        <w:t>本项目根据评标委员会确定的中标候选人名单，采购人按顺序确定1名中标人。中标候选供应商并列的，</w:t>
      </w:r>
      <w:r>
        <w:rPr>
          <w:rFonts w:hint="eastAsia" w:ascii="宋体"/>
          <w:sz w:val="24"/>
          <w:szCs w:val="24"/>
        </w:rPr>
        <w:t>由采购人采取随机抽取的方式确定中标人</w:t>
      </w:r>
      <w:r>
        <w:rPr>
          <w:rFonts w:hint="eastAsia" w:ascii="宋体" w:hAnsi="宋体"/>
          <w:sz w:val="24"/>
          <w:szCs w:val="24"/>
        </w:rPr>
        <w:t>。</w:t>
      </w:r>
    </w:p>
    <w:p>
      <w:pPr>
        <w:spacing w:line="560" w:lineRule="exact"/>
        <w:ind w:firstLine="480" w:firstLineChars="200"/>
        <w:rPr>
          <w:rFonts w:ascii="宋体" w:hAnsi="宋体"/>
          <w:sz w:val="24"/>
          <w:szCs w:val="24"/>
        </w:rPr>
      </w:pPr>
      <w:r>
        <w:rPr>
          <w:rFonts w:hint="eastAsia" w:cs="Helvetica" w:asciiTheme="minorEastAsia" w:hAnsiTheme="minorEastAsia" w:eastAsiaTheme="minorEastAsia"/>
          <w:kern w:val="0"/>
          <w:sz w:val="24"/>
          <w:szCs w:val="24"/>
        </w:rPr>
        <w:t>采购人在收到评标报告</w:t>
      </w:r>
      <w:r>
        <w:rPr>
          <w:rFonts w:hint="eastAsia" w:cs="宋体" w:asciiTheme="minorEastAsia" w:hAnsiTheme="minorEastAsia" w:eastAsiaTheme="minorEastAsia"/>
          <w:kern w:val="0"/>
          <w:sz w:val="24"/>
          <w:szCs w:val="24"/>
        </w:rPr>
        <w:t>5</w:t>
      </w:r>
      <w:r>
        <w:rPr>
          <w:rFonts w:hint="eastAsia" w:cs="Helvetica" w:asciiTheme="minorEastAsia" w:hAnsiTheme="minorEastAsia" w:eastAsiaTheme="minorEastAsia"/>
          <w:kern w:val="0"/>
          <w:sz w:val="24"/>
          <w:szCs w:val="24"/>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定标程序</w:t>
      </w:r>
    </w:p>
    <w:p>
      <w:pPr>
        <w:spacing w:line="360" w:lineRule="auto"/>
        <w:ind w:firstLine="480" w:firstLineChars="200"/>
        <w:rPr>
          <w:rFonts w:ascii="宋体" w:hAnsi="宋体" w:cs="Helvetica"/>
          <w:sz w:val="24"/>
          <w:szCs w:val="24"/>
        </w:rPr>
      </w:pPr>
      <w:r>
        <w:rPr>
          <w:rFonts w:hint="eastAsia" w:ascii="宋体" w:hAnsi="宋体" w:cs="Helvetica"/>
          <w:sz w:val="24"/>
          <w:szCs w:val="24"/>
        </w:rPr>
        <w:t>一、评审委员会将评审情况写出书面报告。</w:t>
      </w:r>
    </w:p>
    <w:p>
      <w:pPr>
        <w:spacing w:line="360" w:lineRule="auto"/>
        <w:ind w:firstLine="480" w:firstLineChars="200"/>
        <w:rPr>
          <w:rFonts w:ascii="宋体" w:hAnsi="宋体" w:cs="Helvetica"/>
          <w:sz w:val="24"/>
          <w:szCs w:val="24"/>
        </w:rPr>
      </w:pPr>
      <w:r>
        <w:rPr>
          <w:rFonts w:hint="eastAsia" w:ascii="宋体" w:hAnsi="宋体" w:cs="Helvetica"/>
          <w:sz w:val="24"/>
          <w:szCs w:val="24"/>
        </w:rPr>
        <w:t>二、成都市武侯区政府采购中心在评审结束之日起2个工作日内将评审报告送采购人。</w:t>
      </w:r>
    </w:p>
    <w:p>
      <w:pPr>
        <w:spacing w:line="360" w:lineRule="auto"/>
        <w:ind w:firstLine="480" w:firstLineChars="200"/>
        <w:rPr>
          <w:rFonts w:ascii="宋体" w:hAnsi="宋体" w:cs="Helvetica"/>
          <w:sz w:val="24"/>
          <w:szCs w:val="24"/>
        </w:rPr>
      </w:pPr>
      <w:r>
        <w:rPr>
          <w:rFonts w:hint="eastAsia" w:ascii="宋体" w:hAnsi="宋体" w:cs="Helvetica"/>
          <w:sz w:val="24"/>
          <w:szCs w:val="24"/>
        </w:rPr>
        <w:t>三、采购人在收到评审报告后五个工作日内，按照评审报告中推荐的中标（成交）候选人顺序确定中标（成交）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投标人属于不发达地区或者少数民族地区的优先，或由采购人自主采取公平、择优的方式选择中标供应商。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480" w:firstLineChars="200"/>
        <w:rPr>
          <w:rFonts w:ascii="宋体" w:hAnsi="宋体" w:cs="Helvetica"/>
          <w:sz w:val="24"/>
          <w:szCs w:val="24"/>
        </w:rPr>
      </w:pPr>
      <w:r>
        <w:rPr>
          <w:rFonts w:hint="eastAsia" w:ascii="宋体" w:hAnsi="宋体" w:cs="Helvetica"/>
          <w:sz w:val="24"/>
          <w:szCs w:val="24"/>
        </w:rPr>
        <w:t>四、根据采购人确定的中标（成交）人，成都市武侯区政府采购中心在“四川政府采购网”和“成都市公共资源交易服务中心”网站上发布中标（成交）公告，同时向中标（成交）人发出中标（成交）通知书。</w:t>
      </w:r>
    </w:p>
    <w:p>
      <w:pPr>
        <w:spacing w:line="360" w:lineRule="auto"/>
        <w:ind w:firstLine="480" w:firstLineChars="200"/>
        <w:rPr>
          <w:rFonts w:ascii="宋体" w:hAnsi="宋体" w:cs="Helvetica"/>
          <w:sz w:val="24"/>
          <w:szCs w:val="24"/>
        </w:rPr>
      </w:pPr>
      <w:r>
        <w:rPr>
          <w:rFonts w:hint="eastAsia" w:ascii="宋体" w:hAnsi="宋体" w:cs="Helvetica"/>
          <w:sz w:val="24"/>
          <w:szCs w:val="24"/>
        </w:rPr>
        <w:t>五、采购人、成都市武侯区政府采购中心不解释中标（成交）或未中标（成交）原因，不退回投标文件和其他投标资料。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4"/>
          <w:szCs w:val="24"/>
        </w:rPr>
      </w:pPr>
      <w:bookmarkStart w:id="162" w:name="_Toc26907"/>
      <w:r>
        <w:rPr>
          <w:rFonts w:hint="eastAsia" w:ascii="宋体" w:hAnsi="宋体"/>
          <w:b/>
          <w:bCs/>
          <w:sz w:val="24"/>
          <w:szCs w:val="24"/>
        </w:rPr>
        <w:t>评标专家在政府采购活动中承担以下义务</w:t>
      </w:r>
      <w:bookmarkEnd w:id="162"/>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遵纪守法，客观、公正、廉洁地履行职责。</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保守秘密。不得泄漏投标人的投标文件及知悉的商业秘密，不得向投标人透露评审情况。</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发现投标人在政府采购活动中有不正当竞争或恶意串通等违规行为，及时向政府采购评审工作的组织者或财政部门报告并加以制止。</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发现采购人、成都市武侯区政府采购中心及其工作人员在政府采购活动中有干预评审、发表倾向性和歧视性言论、受贿或者接受投标人的其他好处及其他违法违规行为，及时向财政部门报告。</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解答有关方面对政府采购评审工作中有关问题的询问，配合采购人或者成都市武侯区政府采购中心答复投标人的询问、质疑，配合财政部门的投诉处理工作等事宜。</w:t>
      </w:r>
    </w:p>
    <w:p>
      <w:pPr>
        <w:numPr>
          <w:ilvl w:val="0"/>
          <w:numId w:val="49"/>
        </w:numPr>
        <w:tabs>
          <w:tab w:val="left" w:pos="1155"/>
        </w:tabs>
        <w:spacing w:line="360" w:lineRule="auto"/>
        <w:ind w:left="0" w:firstLine="525"/>
        <w:rPr>
          <w:rFonts w:ascii="宋体" w:hAnsi="宋体"/>
          <w:sz w:val="24"/>
          <w:szCs w:val="24"/>
        </w:rPr>
      </w:pPr>
      <w:r>
        <w:rPr>
          <w:rFonts w:hint="eastAsia" w:ascii="宋体" w:hAnsi="宋体"/>
          <w:sz w:val="24"/>
          <w:szCs w:val="24"/>
        </w:rPr>
        <w:t>法律、法规和规章规定的其他义务。</w:t>
      </w:r>
    </w:p>
    <w:p>
      <w:pPr>
        <w:keepNext/>
        <w:keepLines/>
        <w:numPr>
          <w:ilvl w:val="1"/>
          <w:numId w:val="5"/>
        </w:numPr>
        <w:spacing w:line="360" w:lineRule="auto"/>
        <w:jc w:val="left"/>
        <w:outlineLvl w:val="1"/>
        <w:rPr>
          <w:rFonts w:ascii="宋体" w:hAnsi="宋体"/>
          <w:b/>
          <w:bCs/>
          <w:sz w:val="24"/>
          <w:szCs w:val="24"/>
        </w:rPr>
      </w:pPr>
      <w:bookmarkStart w:id="163" w:name="_Toc7172"/>
      <w:r>
        <w:rPr>
          <w:rFonts w:hint="eastAsia" w:ascii="宋体" w:hAnsi="宋体"/>
          <w:b/>
          <w:bCs/>
          <w:sz w:val="24"/>
          <w:szCs w:val="24"/>
        </w:rPr>
        <w:t>评标委员会及其成员不得有下列行为</w:t>
      </w:r>
      <w:bookmarkEnd w:id="163"/>
    </w:p>
    <w:p>
      <w:pPr>
        <w:numPr>
          <w:ilvl w:val="0"/>
          <w:numId w:val="50"/>
        </w:numPr>
        <w:tabs>
          <w:tab w:val="left" w:pos="1155"/>
        </w:tabs>
        <w:spacing w:line="360" w:lineRule="auto"/>
        <w:rPr>
          <w:rFonts w:ascii="宋体" w:hAnsi="宋体"/>
          <w:sz w:val="24"/>
          <w:szCs w:val="24"/>
        </w:rPr>
      </w:pPr>
      <w:r>
        <w:rPr>
          <w:rFonts w:hint="eastAsia" w:ascii="宋体" w:hAnsi="宋体"/>
          <w:sz w:val="24"/>
          <w:szCs w:val="24"/>
        </w:rPr>
        <w:t>确定参与评标至评标结束前私自接触投标人；</w:t>
      </w:r>
    </w:p>
    <w:p>
      <w:pPr>
        <w:numPr>
          <w:ilvl w:val="0"/>
          <w:numId w:val="50"/>
        </w:numPr>
        <w:tabs>
          <w:tab w:val="left" w:pos="1155"/>
        </w:tabs>
        <w:spacing w:line="360" w:lineRule="auto"/>
        <w:ind w:left="0" w:firstLine="567"/>
        <w:rPr>
          <w:rFonts w:ascii="宋体" w:hAnsi="宋体"/>
          <w:sz w:val="24"/>
          <w:szCs w:val="24"/>
        </w:rPr>
      </w:pPr>
      <w:r>
        <w:rPr>
          <w:rFonts w:hint="eastAsia" w:ascii="宋体" w:hAnsi="宋体"/>
          <w:sz w:val="24"/>
          <w:szCs w:val="24"/>
        </w:rPr>
        <w:t>接受投标人提出的与投标文件不一致的澄清或者说明，除招标文件明确可以澄清的除外；</w:t>
      </w:r>
    </w:p>
    <w:p>
      <w:pPr>
        <w:numPr>
          <w:ilvl w:val="0"/>
          <w:numId w:val="50"/>
        </w:numPr>
        <w:tabs>
          <w:tab w:val="left" w:pos="1155"/>
        </w:tabs>
        <w:spacing w:line="360" w:lineRule="auto"/>
        <w:ind w:left="0" w:firstLine="567"/>
        <w:rPr>
          <w:rFonts w:ascii="宋体" w:hAnsi="宋体"/>
          <w:sz w:val="24"/>
          <w:szCs w:val="24"/>
        </w:rPr>
      </w:pPr>
      <w:r>
        <w:rPr>
          <w:rFonts w:hint="eastAsia" w:ascii="宋体" w:hAnsi="宋体"/>
          <w:sz w:val="24"/>
          <w:szCs w:val="24"/>
        </w:rPr>
        <w:t>违反评标纪律发表倾向性意见或者征询采购人的倾向性意见；</w:t>
      </w:r>
    </w:p>
    <w:p>
      <w:pPr>
        <w:numPr>
          <w:ilvl w:val="0"/>
          <w:numId w:val="50"/>
        </w:numPr>
        <w:tabs>
          <w:tab w:val="left" w:pos="1155"/>
        </w:tabs>
        <w:spacing w:line="360" w:lineRule="auto"/>
        <w:rPr>
          <w:rFonts w:ascii="宋体" w:hAnsi="宋体"/>
          <w:sz w:val="24"/>
          <w:szCs w:val="24"/>
        </w:rPr>
      </w:pPr>
      <w:r>
        <w:rPr>
          <w:rFonts w:hint="eastAsia" w:ascii="宋体" w:hAnsi="宋体"/>
          <w:sz w:val="24"/>
          <w:szCs w:val="24"/>
        </w:rPr>
        <w:t>对需要专业判断的主观评审因素协商评分；</w:t>
      </w:r>
    </w:p>
    <w:p>
      <w:pPr>
        <w:numPr>
          <w:ilvl w:val="0"/>
          <w:numId w:val="50"/>
        </w:numPr>
        <w:tabs>
          <w:tab w:val="left" w:pos="1155"/>
        </w:tabs>
        <w:spacing w:line="360" w:lineRule="auto"/>
        <w:rPr>
          <w:rFonts w:ascii="宋体" w:hAnsi="宋体"/>
          <w:sz w:val="24"/>
          <w:szCs w:val="24"/>
        </w:rPr>
      </w:pPr>
      <w:r>
        <w:rPr>
          <w:rFonts w:hint="eastAsia" w:ascii="宋体" w:hAnsi="宋体"/>
          <w:sz w:val="24"/>
          <w:szCs w:val="24"/>
        </w:rPr>
        <w:t>在评标过程中擅离职守，影响评标程序正常进行的；</w:t>
      </w:r>
    </w:p>
    <w:p>
      <w:pPr>
        <w:numPr>
          <w:ilvl w:val="0"/>
          <w:numId w:val="50"/>
        </w:numPr>
        <w:tabs>
          <w:tab w:val="left" w:pos="1155"/>
        </w:tabs>
        <w:spacing w:line="360" w:lineRule="auto"/>
        <w:rPr>
          <w:rFonts w:ascii="宋体" w:hAnsi="宋体"/>
          <w:sz w:val="24"/>
          <w:szCs w:val="24"/>
        </w:rPr>
      </w:pPr>
      <w:r>
        <w:rPr>
          <w:rFonts w:hint="eastAsia" w:ascii="宋体" w:hAnsi="宋体"/>
          <w:sz w:val="24"/>
          <w:szCs w:val="24"/>
        </w:rPr>
        <w:t>记录、复制或者带走任何评标资料；</w:t>
      </w:r>
    </w:p>
    <w:p>
      <w:pPr>
        <w:numPr>
          <w:ilvl w:val="0"/>
          <w:numId w:val="50"/>
        </w:numPr>
        <w:tabs>
          <w:tab w:val="left" w:pos="1155"/>
        </w:tabs>
        <w:spacing w:line="360" w:lineRule="auto"/>
        <w:rPr>
          <w:rFonts w:ascii="宋体" w:hAnsi="宋体"/>
          <w:sz w:val="24"/>
          <w:szCs w:val="24"/>
        </w:rPr>
      </w:pPr>
      <w:r>
        <w:rPr>
          <w:rFonts w:hint="eastAsia" w:ascii="宋体" w:hAnsi="宋体"/>
          <w:sz w:val="24"/>
          <w:szCs w:val="24"/>
        </w:rPr>
        <w:t>其他不遵守评标纪律的行为。</w:t>
      </w:r>
    </w:p>
    <w:p>
      <w:pPr>
        <w:spacing w:line="360" w:lineRule="auto"/>
        <w:ind w:firstLine="480" w:firstLineChars="200"/>
        <w:rPr>
          <w:sz w:val="24"/>
          <w:szCs w:val="24"/>
        </w:rPr>
      </w:pPr>
      <w:r>
        <w:rPr>
          <w:rFonts w:hint="eastAsia"/>
          <w:sz w:val="24"/>
          <w:szCs w:val="24"/>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4"/>
          <w:szCs w:val="24"/>
        </w:rPr>
      </w:pPr>
      <w:bookmarkStart w:id="164" w:name="_Toc2635"/>
      <w:r>
        <w:rPr>
          <w:rFonts w:hint="eastAsia" w:ascii="宋体" w:hAnsi="宋体"/>
          <w:b/>
          <w:bCs/>
          <w:sz w:val="24"/>
          <w:szCs w:val="24"/>
        </w:rPr>
        <w:t>评审专家在政府采购活动中应当遵守以下工作纪律</w:t>
      </w:r>
      <w:bookmarkEnd w:id="164"/>
    </w:p>
    <w:p>
      <w:pPr>
        <w:numPr>
          <w:ilvl w:val="0"/>
          <w:numId w:val="51"/>
        </w:numPr>
        <w:tabs>
          <w:tab w:val="left" w:pos="1155"/>
        </w:tabs>
        <w:spacing w:line="360" w:lineRule="auto"/>
        <w:ind w:left="0" w:firstLine="527"/>
        <w:rPr>
          <w:rFonts w:ascii="宋体" w:hAnsi="宋体"/>
          <w:sz w:val="24"/>
          <w:szCs w:val="24"/>
        </w:rPr>
      </w:pPr>
      <w:r>
        <w:rPr>
          <w:rFonts w:hint="eastAsia" w:ascii="宋体" w:hAnsi="宋体"/>
          <w:sz w:val="24"/>
          <w:szCs w:val="24"/>
        </w:rPr>
        <w:t>遵行《政府采购法》第十二条和《政府采购法实施条例》第九条及政府采购相关法律法规关于回避的规定。</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应邀按时参加评审和咨询活动，遵守评标区管理规定。</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进入评标区之前应将所有的通信设备存入成都市武侯区政府采购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4"/>
          <w:szCs w:val="24"/>
        </w:rPr>
        <w:t>成都市武侯区政府采购中心</w:t>
      </w:r>
      <w:r>
        <w:rPr>
          <w:rFonts w:hint="eastAsia" w:ascii="宋体" w:hAnsi="宋体"/>
          <w:sz w:val="24"/>
          <w:szCs w:val="24"/>
        </w:rPr>
        <w:t>，不得私自转托他人。</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不得参加与自己有利害关系的政府采购项目的评审活动。对与自己有利害关系的评审项目，如受到邀请，应主动提出回避。财政部门、采购人或</w:t>
      </w:r>
      <w:r>
        <w:rPr>
          <w:rFonts w:hint="eastAsia" w:cs="Arial"/>
          <w:sz w:val="24"/>
          <w:szCs w:val="24"/>
        </w:rPr>
        <w:t>成都市武侯区政府采购中心</w:t>
      </w:r>
      <w:r>
        <w:rPr>
          <w:rFonts w:hint="eastAsia" w:ascii="宋体" w:hAnsi="宋体"/>
          <w:sz w:val="24"/>
          <w:szCs w:val="24"/>
        </w:rPr>
        <w:t>也可要求该评审专家回避。</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评审过程中关闭通讯设备，不得与外界联系。因发生不可预见情况，确实需要与外界联系的，应告知评标区值守人员，使用评标区内由采购职工向您提供的通信设备，在监督人员监督之下办理。</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在评标过程中和评标结束后，不得记录、复制或带走任何评标资料，除因规定的义务外，不得向外界透露评标内容。</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服从评标现场</w:t>
      </w:r>
      <w:r>
        <w:rPr>
          <w:rFonts w:hint="eastAsia" w:cs="Arial"/>
          <w:sz w:val="24"/>
          <w:szCs w:val="24"/>
        </w:rPr>
        <w:t>成都市武侯区政府采购中心</w:t>
      </w:r>
      <w:r>
        <w:rPr>
          <w:rFonts w:hint="eastAsia" w:ascii="宋体" w:hAnsi="宋体"/>
          <w:sz w:val="24"/>
          <w:szCs w:val="24"/>
        </w:rPr>
        <w:t>的现场秩序管理，接受评标现场监督人员的合法监督。</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遵守有关廉洁自律规定，不得私下接触投标人，不得收受投标人及有关业务单位和个人的财物或好处，不得接受采购组织单位的请托。</w:t>
      </w:r>
    </w:p>
    <w:p>
      <w:pPr>
        <w:numPr>
          <w:ilvl w:val="0"/>
          <w:numId w:val="51"/>
        </w:numPr>
        <w:tabs>
          <w:tab w:val="left" w:pos="1155"/>
        </w:tabs>
        <w:spacing w:line="580" w:lineRule="exact"/>
        <w:ind w:left="0" w:firstLine="527"/>
        <w:rPr>
          <w:rFonts w:ascii="宋体" w:hAnsi="宋体"/>
          <w:sz w:val="24"/>
          <w:szCs w:val="24"/>
        </w:rPr>
      </w:pPr>
      <w:r>
        <w:rPr>
          <w:rFonts w:hint="eastAsia" w:ascii="宋体" w:hAnsi="宋体"/>
          <w:sz w:val="24"/>
          <w:szCs w:val="24"/>
        </w:rPr>
        <w:t>在咨询工作中，严格执行国家产业政策和产品标准，认真听取咨询方的合理要求，提出科学合理的、无倾向性和歧视性的咨询方案，并对所提出的意见和建议承担个人责任。</w:t>
      </w:r>
    </w:p>
    <w:p>
      <w:pPr>
        <w:numPr>
          <w:ilvl w:val="0"/>
          <w:numId w:val="51"/>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4"/>
          <w:szCs w:val="24"/>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r>
        <w:rPr>
          <w:rFonts w:ascii="宋体" w:hAnsi="宋体"/>
          <w:sz w:val="28"/>
          <w:szCs w:val="28"/>
        </w:rPr>
        <w:br w:type="textWrapping"/>
      </w:r>
      <w:r>
        <w:rPr>
          <w:rFonts w:ascii="宋体" w:hAnsi="宋体"/>
          <w:sz w:val="28"/>
          <w:szCs w:val="28"/>
        </w:rPr>
        <w:br w:type="textWrapping"/>
      </w: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pPr>
      <w:bookmarkStart w:id="165" w:name="_Toc16228"/>
      <w:r>
        <w:rPr>
          <w:rFonts w:hint="eastAsia" w:ascii="宋体" w:hAnsi="宋体"/>
          <w:b/>
          <w:bCs/>
          <w:spacing w:val="-20"/>
          <w:kern w:val="44"/>
          <w:sz w:val="32"/>
          <w:szCs w:val="32"/>
        </w:rPr>
        <w:t>拟签订合同</w:t>
      </w:r>
      <w:bookmarkEnd w:id="0"/>
      <w:bookmarkEnd w:id="1"/>
      <w:bookmarkEnd w:id="2"/>
      <w:bookmarkEnd w:id="3"/>
      <w:bookmarkStart w:id="166" w:name="_Toc316475754"/>
      <w:bookmarkEnd w:id="166"/>
      <w:bookmarkStart w:id="167" w:name="_Toc316475675"/>
      <w:bookmarkEnd w:id="167"/>
      <w:bookmarkStart w:id="168" w:name="_Toc214858832"/>
      <w:bookmarkEnd w:id="168"/>
      <w:bookmarkStart w:id="169" w:name="_Toc277152523"/>
      <w:bookmarkEnd w:id="169"/>
      <w:bookmarkStart w:id="170" w:name="_Toc277152522"/>
      <w:bookmarkEnd w:id="170"/>
      <w:bookmarkStart w:id="171" w:name="_Toc316475665"/>
      <w:bookmarkEnd w:id="171"/>
      <w:bookmarkStart w:id="172" w:name="_Toc277152521"/>
      <w:bookmarkEnd w:id="172"/>
      <w:bookmarkStart w:id="173" w:name="_Toc299975364"/>
      <w:bookmarkEnd w:id="173"/>
      <w:bookmarkStart w:id="174" w:name="_Toc277152520"/>
      <w:bookmarkEnd w:id="174"/>
      <w:bookmarkStart w:id="175" w:name="_Toc299975392"/>
      <w:bookmarkEnd w:id="175"/>
      <w:bookmarkStart w:id="176" w:name="_Toc316475764"/>
      <w:bookmarkEnd w:id="176"/>
      <w:bookmarkStart w:id="177" w:name="_Toc316475756"/>
      <w:bookmarkEnd w:id="177"/>
      <w:bookmarkStart w:id="178" w:name="_Toc316475669"/>
      <w:bookmarkEnd w:id="178"/>
      <w:bookmarkStart w:id="179" w:name="_Toc316475760"/>
      <w:bookmarkEnd w:id="179"/>
      <w:bookmarkStart w:id="180" w:name="_Toc316475758"/>
      <w:bookmarkEnd w:id="180"/>
      <w:bookmarkStart w:id="181" w:name="_Toc316475666"/>
      <w:bookmarkEnd w:id="181"/>
      <w:bookmarkStart w:id="182" w:name="_Toc316475670"/>
      <w:bookmarkEnd w:id="182"/>
      <w:bookmarkStart w:id="183" w:name="_Toc316475676"/>
      <w:bookmarkEnd w:id="183"/>
      <w:bookmarkStart w:id="184" w:name="_Toc316475664"/>
      <w:bookmarkEnd w:id="184"/>
      <w:bookmarkStart w:id="185" w:name="_Toc316475668"/>
      <w:bookmarkEnd w:id="185"/>
      <w:bookmarkStart w:id="186" w:name="_Toc316475753"/>
      <w:bookmarkEnd w:id="186"/>
      <w:bookmarkStart w:id="187" w:name="_Toc316475757"/>
      <w:bookmarkEnd w:id="187"/>
      <w:bookmarkStart w:id="188" w:name="_Toc316475672"/>
      <w:bookmarkEnd w:id="188"/>
      <w:bookmarkStart w:id="189" w:name="_Toc316475763"/>
      <w:bookmarkEnd w:id="189"/>
      <w:bookmarkStart w:id="190" w:name="_Toc316475761"/>
      <w:bookmarkEnd w:id="190"/>
      <w:bookmarkStart w:id="191" w:name="_Toc316475755"/>
      <w:bookmarkEnd w:id="191"/>
      <w:bookmarkStart w:id="192" w:name="_Toc316475752"/>
      <w:bookmarkEnd w:id="192"/>
      <w:bookmarkStart w:id="193" w:name="_Toc316475762"/>
      <w:bookmarkEnd w:id="193"/>
      <w:bookmarkStart w:id="194" w:name="_Toc316475671"/>
      <w:bookmarkEnd w:id="194"/>
      <w:bookmarkStart w:id="195" w:name="_Toc316475674"/>
      <w:bookmarkEnd w:id="195"/>
      <w:bookmarkStart w:id="196" w:name="_Toc316475759"/>
      <w:bookmarkEnd w:id="196"/>
      <w:bookmarkStart w:id="197" w:name="_Toc316475677"/>
      <w:bookmarkEnd w:id="197"/>
      <w:bookmarkStart w:id="198" w:name="_Toc316475667"/>
      <w:bookmarkEnd w:id="198"/>
      <w:bookmarkStart w:id="199" w:name="_Toc316475673"/>
      <w:bookmarkEnd w:id="199"/>
      <w:bookmarkStart w:id="200" w:name="_Toc316475751"/>
      <w:bookmarkEnd w:id="200"/>
      <w:bookmarkStart w:id="201" w:name="_Toc217446108"/>
      <w:bookmarkStart w:id="202" w:name="_Toc34729074"/>
      <w:bookmarkStart w:id="203" w:name="_Toc8573798"/>
      <w:r>
        <w:rPr>
          <w:rFonts w:hint="eastAsia" w:ascii="宋体" w:hAnsi="宋体"/>
          <w:b/>
          <w:bCs/>
          <w:spacing w:val="-20"/>
          <w:kern w:val="44"/>
          <w:sz w:val="32"/>
          <w:szCs w:val="32"/>
        </w:rPr>
        <w:t>文本</w:t>
      </w:r>
      <w:bookmarkEnd w:id="165"/>
    </w:p>
    <w:bookmarkEnd w:id="201"/>
    <w:bookmarkEnd w:id="202"/>
    <w:bookmarkEnd w:id="203"/>
    <w:p>
      <w:pPr>
        <w:spacing w:line="360" w:lineRule="auto"/>
        <w:jc w:val="center"/>
        <w:rPr>
          <w:rFonts w:ascii="宋体" w:hAnsi="宋体"/>
          <w:b/>
          <w:bCs/>
          <w:sz w:val="32"/>
          <w:szCs w:val="32"/>
        </w:rPr>
      </w:pPr>
      <w:r>
        <w:rPr>
          <w:rFonts w:hint="eastAsia"/>
          <w:b/>
          <w:bCs/>
          <w:sz w:val="32"/>
          <w:szCs w:val="32"/>
        </w:rPr>
        <w:t>农副食品，动、植物油制品配送合同</w:t>
      </w:r>
    </w:p>
    <w:p>
      <w:pPr>
        <w:spacing w:line="400" w:lineRule="exact"/>
        <w:ind w:firstLine="480" w:firstLineChars="200"/>
        <w:rPr>
          <w:rFonts w:ascii="宋体" w:hAnsi="宋体"/>
          <w:sz w:val="24"/>
          <w:szCs w:val="24"/>
        </w:rPr>
      </w:pPr>
    </w:p>
    <w:p>
      <w:pPr>
        <w:spacing w:line="520" w:lineRule="exact"/>
        <w:ind w:firstLine="560" w:firstLineChars="200"/>
        <w:rPr>
          <w:rFonts w:ascii="宋体" w:hAnsi="宋体" w:cs="宋体"/>
          <w:sz w:val="28"/>
          <w:szCs w:val="28"/>
        </w:rPr>
      </w:pPr>
      <w:r>
        <w:rPr>
          <w:rFonts w:hint="eastAsia" w:ascii="宋体" w:hAnsi="宋体" w:cs="宋体"/>
          <w:sz w:val="28"/>
          <w:szCs w:val="28"/>
        </w:rPr>
        <w:t>签订地点：</w:t>
      </w:r>
      <w:r>
        <w:rPr>
          <w:rFonts w:hint="eastAsia" w:ascii="宋体" w:hAnsi="宋体" w:cs="宋体"/>
          <w:color w:val="000000"/>
          <w:sz w:val="28"/>
          <w:szCs w:val="28"/>
        </w:rPr>
        <w:t>成都市。</w:t>
      </w:r>
    </w:p>
    <w:p>
      <w:pPr>
        <w:spacing w:line="520" w:lineRule="exact"/>
        <w:ind w:firstLine="560" w:firstLineChars="200"/>
        <w:rPr>
          <w:rFonts w:ascii="宋体" w:hAnsi="宋体" w:cs="宋体"/>
          <w:sz w:val="28"/>
          <w:szCs w:val="28"/>
        </w:rPr>
      </w:pPr>
      <w:r>
        <w:rPr>
          <w:rFonts w:hint="eastAsia" w:ascii="宋体" w:hAnsi="宋体" w:cs="宋体"/>
          <w:sz w:val="28"/>
          <w:szCs w:val="28"/>
        </w:rPr>
        <w:t>签订时间：年月    日。</w:t>
      </w:r>
    </w:p>
    <w:p>
      <w:pPr>
        <w:spacing w:line="520" w:lineRule="exact"/>
        <w:ind w:firstLine="560" w:firstLineChars="200"/>
        <w:rPr>
          <w:rFonts w:ascii="宋体" w:hAnsi="宋体" w:cs="宋体"/>
          <w:sz w:val="28"/>
          <w:szCs w:val="28"/>
        </w:rPr>
      </w:pPr>
      <w:r>
        <w:rPr>
          <w:rFonts w:hint="eastAsia" w:ascii="宋体" w:hAnsi="宋体" w:cs="宋体"/>
          <w:sz w:val="28"/>
          <w:szCs w:val="28"/>
        </w:rPr>
        <w:t>采购人（甲方）：</w:t>
      </w:r>
      <w:r>
        <w:rPr>
          <w:rFonts w:hint="eastAsia" w:ascii="宋体" w:hAnsi="宋体" w:cs="宋体"/>
          <w:sz w:val="28"/>
          <w:szCs w:val="28"/>
          <w:u w:val="single"/>
        </w:rPr>
        <w:t xml:space="preserve">成都市武侯区机关事务中心 </w:t>
      </w:r>
    </w:p>
    <w:p>
      <w:pPr>
        <w:spacing w:line="520" w:lineRule="exact"/>
        <w:ind w:firstLine="560" w:firstLineChars="200"/>
        <w:rPr>
          <w:rFonts w:ascii="宋体" w:hAnsi="宋体" w:cs="宋体"/>
          <w:sz w:val="28"/>
          <w:szCs w:val="28"/>
          <w:u w:val="single"/>
        </w:rPr>
      </w:pPr>
      <w:r>
        <w:rPr>
          <w:rFonts w:hint="eastAsia" w:ascii="宋体" w:hAnsi="宋体" w:cs="宋体"/>
          <w:sz w:val="28"/>
          <w:szCs w:val="28"/>
        </w:rPr>
        <w:t>中标人（乙方）：</w:t>
      </w:r>
    </w:p>
    <w:p>
      <w:pPr>
        <w:spacing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r>
        <w:rPr>
          <w:rFonts w:ascii="宋体" w:hAnsi="宋体"/>
          <w:sz w:val="24"/>
          <w:szCs w:val="24"/>
        </w:rPr>
        <w:t>依据《中华人民共和国</w:t>
      </w:r>
      <w:r>
        <w:rPr>
          <w:rFonts w:hint="eastAsia" w:ascii="宋体" w:hAnsi="宋体"/>
          <w:sz w:val="24"/>
          <w:szCs w:val="24"/>
        </w:rPr>
        <w:t>民法典</w:t>
      </w:r>
      <w:r>
        <w:rPr>
          <w:rFonts w:ascii="宋体" w:hAnsi="宋体"/>
          <w:sz w:val="24"/>
          <w:szCs w:val="24"/>
        </w:rPr>
        <w:t>》、《中华人民共和国政府采购法》</w:t>
      </w:r>
      <w:r>
        <w:rPr>
          <w:rFonts w:hint="eastAsia" w:ascii="宋体" w:hAnsi="宋体"/>
          <w:sz w:val="24"/>
          <w:szCs w:val="24"/>
        </w:rPr>
        <w:t>与项目行业有关的法律法规，以及XXXX项目（项目编号：XXXX）</w:t>
      </w:r>
      <w:r>
        <w:rPr>
          <w:rFonts w:ascii="宋体" w:hAnsi="宋体"/>
          <w:sz w:val="24"/>
          <w:szCs w:val="24"/>
        </w:rPr>
        <w:t>的</w:t>
      </w:r>
      <w:r>
        <w:rPr>
          <w:rFonts w:hint="eastAsia" w:ascii="宋体" w:hAnsi="宋体"/>
          <w:sz w:val="24"/>
          <w:szCs w:val="24"/>
        </w:rPr>
        <w:t>《招标文件》</w:t>
      </w:r>
      <w:r>
        <w:rPr>
          <w:rFonts w:ascii="宋体" w:hAnsi="宋体"/>
          <w:sz w:val="24"/>
          <w:szCs w:val="24"/>
        </w:rPr>
        <w:t>，</w:t>
      </w:r>
      <w:r>
        <w:rPr>
          <w:rFonts w:hint="eastAsia" w:ascii="宋体" w:hAnsi="宋体"/>
          <w:sz w:val="24"/>
          <w:szCs w:val="24"/>
        </w:rPr>
        <w:t>乙方的《投标文件》及《中标通知书》，甲、乙双方同意签订本合同。详细技术说明及其他有关合同项目的特定信息由合同附件予以说明，合同附件及本项目的《招标文件》、《投标文件》、《中标通知书》等均为本合同的组成部分。</w:t>
      </w:r>
    </w:p>
    <w:p>
      <w:pPr>
        <w:numPr>
          <w:ilvl w:val="0"/>
          <w:numId w:val="52"/>
        </w:numPr>
        <w:spacing w:line="400" w:lineRule="exact"/>
        <w:rPr>
          <w:rFonts w:ascii="宋体" w:hAnsi="宋体"/>
          <w:b/>
        </w:rPr>
      </w:pPr>
      <w:r>
        <w:rPr>
          <w:rFonts w:hint="eastAsia" w:ascii="宋体" w:hAnsi="宋体"/>
          <w:b/>
        </w:rPr>
        <w:t>项目基本情况</w:t>
      </w:r>
    </w:p>
    <w:p>
      <w:pPr>
        <w:spacing w:line="400" w:lineRule="exact"/>
        <w:ind w:firstLine="480" w:firstLineChars="200"/>
        <w:rPr>
          <w:rFonts w:ascii="宋体" w:hAnsi="宋体"/>
          <w:sz w:val="24"/>
          <w:szCs w:val="24"/>
        </w:rPr>
      </w:pPr>
      <w:r>
        <w:rPr>
          <w:rFonts w:hint="eastAsia" w:ascii="宋体" w:hAnsi="宋体"/>
          <w:sz w:val="24"/>
          <w:szCs w:val="24"/>
        </w:rPr>
        <w:t>武侯区市民中心食堂位于武侯区武科西五路360号，为加强对武侯区市民中心食堂食品原料供应的管理，进而确保食品原料的安全、及时、卫生、新鲜，保证食材品质。决定通过公开招标的形式，选取符合要求的中标人，为食堂提供有保障的食品原材料。</w:t>
      </w:r>
    </w:p>
    <w:p>
      <w:pPr>
        <w:numPr>
          <w:ilvl w:val="0"/>
          <w:numId w:val="52"/>
        </w:numPr>
        <w:spacing w:line="400" w:lineRule="exact"/>
        <w:rPr>
          <w:rFonts w:ascii="宋体" w:hAnsi="宋体"/>
          <w:b/>
        </w:rPr>
      </w:pPr>
      <w:r>
        <w:rPr>
          <w:rFonts w:hint="eastAsia" w:ascii="宋体" w:hAnsi="宋体"/>
          <w:b/>
        </w:rPr>
        <w:t>合同期限</w:t>
      </w:r>
    </w:p>
    <w:p>
      <w:pPr>
        <w:spacing w:line="400" w:lineRule="exact"/>
        <w:ind w:firstLine="480" w:firstLineChars="200"/>
        <w:rPr>
          <w:rFonts w:ascii="宋体" w:hAnsi="宋体"/>
          <w:sz w:val="24"/>
          <w:szCs w:val="24"/>
        </w:rPr>
      </w:pPr>
      <w:r>
        <w:rPr>
          <w:rFonts w:hint="eastAsia" w:ascii="宋体" w:hAnsi="宋体"/>
          <w:sz w:val="24"/>
          <w:szCs w:val="24"/>
        </w:rPr>
        <w:t>合同签订期限为一年。签订日期为：年月日至年月日</w:t>
      </w:r>
    </w:p>
    <w:p>
      <w:pPr>
        <w:numPr>
          <w:ilvl w:val="0"/>
          <w:numId w:val="52"/>
        </w:numPr>
        <w:spacing w:line="400" w:lineRule="exact"/>
        <w:rPr>
          <w:rFonts w:ascii="宋体" w:hAnsi="宋体"/>
          <w:b/>
        </w:rPr>
      </w:pPr>
      <w:r>
        <w:rPr>
          <w:rFonts w:hint="eastAsia" w:ascii="宋体" w:hAnsi="宋体"/>
          <w:b/>
        </w:rPr>
        <w:t>服务内容与质量标准</w:t>
      </w:r>
    </w:p>
    <w:p>
      <w:pPr>
        <w:spacing w:line="400" w:lineRule="exact"/>
        <w:ind w:firstLine="480" w:firstLineChars="200"/>
        <w:rPr>
          <w:rFonts w:ascii="宋体" w:hAnsi="宋体"/>
          <w:sz w:val="24"/>
          <w:szCs w:val="24"/>
        </w:rPr>
      </w:pPr>
      <w:r>
        <w:rPr>
          <w:rFonts w:hint="eastAsia" w:ascii="宋体" w:hAnsi="宋体"/>
          <w:sz w:val="24"/>
          <w:szCs w:val="24"/>
        </w:rPr>
        <w:t>为武侯区市民中心食堂约2400人提供主副食品及调料等食材，并负责配送（具体是：米、面、油、肉类、鱼类、禽蛋、奶制品、水果、蔬菜、副食、调料等）。</w:t>
      </w:r>
    </w:p>
    <w:p>
      <w:pPr>
        <w:spacing w:line="400" w:lineRule="exact"/>
        <w:ind w:firstLine="482" w:firstLineChars="200"/>
        <w:rPr>
          <w:rFonts w:ascii="宋体" w:hAnsi="宋体"/>
          <w:b/>
          <w:bCs/>
          <w:sz w:val="24"/>
          <w:szCs w:val="24"/>
        </w:rPr>
      </w:pPr>
      <w:r>
        <w:rPr>
          <w:rFonts w:hint="eastAsia" w:ascii="宋体" w:hAnsi="宋体"/>
          <w:b/>
          <w:bCs/>
          <w:sz w:val="24"/>
          <w:szCs w:val="24"/>
        </w:rPr>
        <w:t>产品质量及需求：</w:t>
      </w:r>
    </w:p>
    <w:p>
      <w:pPr>
        <w:snapToGrid w:val="0"/>
        <w:spacing w:line="440" w:lineRule="exact"/>
        <w:ind w:firstLine="602"/>
        <w:rPr>
          <w:rFonts w:ascii="宋体"/>
          <w:color w:val="000000"/>
          <w:sz w:val="24"/>
        </w:rPr>
      </w:pPr>
      <w:r>
        <w:rPr>
          <w:rFonts w:hint="eastAsia" w:ascii="宋体"/>
          <w:b/>
          <w:color w:val="000000"/>
          <w:sz w:val="24"/>
        </w:rPr>
        <w:t>（一）肉禽蛋水产类：</w:t>
      </w:r>
      <w:r>
        <w:rPr>
          <w:rFonts w:hint="eastAsia" w:ascii="宋体"/>
          <w:color w:val="000000"/>
          <w:sz w:val="24"/>
        </w:rPr>
        <w:t>包括猪肉、牛肉、羊肉等畜类，鸡、鸭、鹅等禽类，</w:t>
      </w:r>
      <w:r>
        <w:rPr>
          <w:rFonts w:hint="eastAsia" w:hAnsi="宋体" w:cs="宋体"/>
          <w:sz w:val="24"/>
          <w:szCs w:val="24"/>
        </w:rPr>
        <w:t>草鱼、鲢鱼、鲫鱼等</w:t>
      </w:r>
      <w:r>
        <w:rPr>
          <w:rFonts w:hint="eastAsia" w:ascii="宋体"/>
          <w:color w:val="000000"/>
          <w:sz w:val="24"/>
        </w:rPr>
        <w:t>水产类以及蛋类。</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生鲜类（数量、品类：根据采购人实际需要品种、数量提供。）</w:t>
      </w:r>
    </w:p>
    <w:p>
      <w:pPr>
        <w:pStyle w:val="2"/>
        <w:ind w:firstLine="480" w:firstLineChars="200"/>
      </w:pPr>
      <w:r>
        <w:rPr>
          <w:rFonts w:hint="eastAsia" w:hAnsi="宋体" w:cs="宋体"/>
          <w:sz w:val="24"/>
          <w:szCs w:val="24"/>
        </w:rPr>
        <w:t>肉禽类须符合GB31650(国家最新标准）食品中兽药最大残留限量的规定。</w:t>
      </w:r>
    </w:p>
    <w:p>
      <w:pPr>
        <w:spacing w:line="360" w:lineRule="auto"/>
        <w:ind w:firstLine="480" w:firstLineChars="200"/>
        <w:rPr>
          <w:rFonts w:hAnsi="宋体" w:cs="宋体"/>
          <w:sz w:val="24"/>
          <w:szCs w:val="24"/>
        </w:rPr>
      </w:pPr>
      <w:r>
        <w:rPr>
          <w:rFonts w:hint="eastAsia" w:hAnsi="宋体" w:cs="宋体"/>
          <w:sz w:val="24"/>
          <w:szCs w:val="24"/>
        </w:rPr>
        <w:t>冷鲜肉一级，符合GB/T 9959国家最新标准规定标准和国家卫生、安全标准要求。</w:t>
      </w:r>
    </w:p>
    <w:p>
      <w:pPr>
        <w:spacing w:line="360" w:lineRule="auto"/>
        <w:ind w:firstLine="480" w:firstLineChars="200"/>
        <w:rPr>
          <w:rFonts w:hAnsi="宋体" w:cs="宋体"/>
          <w:sz w:val="24"/>
          <w:szCs w:val="24"/>
        </w:rPr>
      </w:pPr>
      <w:r>
        <w:rPr>
          <w:rFonts w:hint="eastAsia" w:hAnsi="宋体" w:cs="宋体"/>
          <w:sz w:val="24"/>
          <w:szCs w:val="24"/>
        </w:rPr>
        <w:t>1.1无槽头肉和血刀肉；甲状腺、肾上腺、病变淋巴摘除干净；无残留毛绒，不带长短毛；不带浮毛、凝血块、胆污、粪污及其他污染物。</w:t>
      </w:r>
    </w:p>
    <w:p>
      <w:pPr>
        <w:spacing w:line="360" w:lineRule="auto"/>
        <w:ind w:firstLine="480" w:firstLineChars="200"/>
        <w:rPr>
          <w:rFonts w:hAnsi="宋体" w:cs="宋体"/>
          <w:sz w:val="24"/>
          <w:szCs w:val="24"/>
        </w:rPr>
      </w:pPr>
      <w:r>
        <w:rPr>
          <w:rFonts w:hint="eastAsia" w:hAnsi="宋体" w:cs="宋体"/>
          <w:sz w:val="24"/>
          <w:szCs w:val="24"/>
        </w:rPr>
        <w:t>1.2色泽：肌肉色泽鲜红或深红，有光泽；脂肪呈乳白色或粉白色。</w:t>
      </w:r>
    </w:p>
    <w:p>
      <w:pPr>
        <w:spacing w:line="360" w:lineRule="auto"/>
        <w:ind w:firstLine="480" w:firstLineChars="200"/>
        <w:rPr>
          <w:rFonts w:hAnsi="宋体" w:cs="宋体"/>
          <w:sz w:val="24"/>
          <w:szCs w:val="24"/>
        </w:rPr>
      </w:pPr>
      <w:r>
        <w:rPr>
          <w:rFonts w:hint="eastAsia" w:hAnsi="宋体" w:cs="宋体"/>
          <w:sz w:val="24"/>
          <w:szCs w:val="24"/>
        </w:rPr>
        <w:t>1.3弹性（组织状态）：指压后的凹陷立即恢复。</w:t>
      </w:r>
    </w:p>
    <w:p>
      <w:pPr>
        <w:spacing w:line="360" w:lineRule="auto"/>
        <w:ind w:firstLine="480" w:firstLineChars="200"/>
        <w:rPr>
          <w:rFonts w:hAnsi="宋体" w:cs="宋体"/>
          <w:sz w:val="24"/>
          <w:szCs w:val="24"/>
        </w:rPr>
      </w:pPr>
      <w:r>
        <w:rPr>
          <w:rFonts w:hint="eastAsia" w:hAnsi="宋体" w:cs="宋体"/>
          <w:sz w:val="24"/>
          <w:szCs w:val="24"/>
        </w:rPr>
        <w:t>1.4粘度：外表微干或微湿润，不粘手。</w:t>
      </w:r>
    </w:p>
    <w:p>
      <w:pPr>
        <w:spacing w:line="360" w:lineRule="auto"/>
        <w:ind w:firstLine="480" w:firstLineChars="200"/>
        <w:rPr>
          <w:rFonts w:hAnsi="宋体" w:cs="宋体"/>
          <w:sz w:val="24"/>
          <w:szCs w:val="24"/>
        </w:rPr>
      </w:pPr>
      <w:r>
        <w:rPr>
          <w:rFonts w:hint="eastAsia" w:hAnsi="宋体" w:cs="宋体"/>
          <w:sz w:val="24"/>
          <w:szCs w:val="24"/>
        </w:rPr>
        <w:t>1.5气味：具有鲜猪肉正常气味。煮沸后肉汤透明澄清，脂肪团聚于液面，具有香味。</w:t>
      </w:r>
    </w:p>
    <w:p>
      <w:pPr>
        <w:spacing w:line="360" w:lineRule="auto"/>
        <w:ind w:firstLine="480" w:firstLineChars="200"/>
        <w:rPr>
          <w:rFonts w:hAnsi="宋体" w:cs="宋体"/>
          <w:sz w:val="24"/>
          <w:szCs w:val="24"/>
        </w:rPr>
      </w:pPr>
      <w:r>
        <w:rPr>
          <w:rFonts w:hint="eastAsia" w:hAnsi="宋体" w:cs="宋体"/>
          <w:sz w:val="24"/>
          <w:szCs w:val="24"/>
        </w:rPr>
        <w:t>1.6产品符合GB/T9959国家最新标准分割鲜冻猪瘦肉，GB31650国家最新标准食品中兽药最大残留限量。</w:t>
      </w:r>
    </w:p>
    <w:p>
      <w:pPr>
        <w:spacing w:line="360" w:lineRule="auto"/>
        <w:ind w:firstLine="480" w:firstLineChars="200"/>
        <w:rPr>
          <w:rFonts w:hAnsi="宋体" w:cs="宋体"/>
          <w:sz w:val="24"/>
          <w:szCs w:val="24"/>
        </w:rPr>
      </w:pPr>
      <w:r>
        <w:rPr>
          <w:rFonts w:hint="eastAsia" w:hAnsi="宋体" w:cs="宋体"/>
          <w:sz w:val="24"/>
          <w:szCs w:val="24"/>
        </w:rPr>
        <w:t>1.7国家有定点屠宰、检验检疫要求的品种，应来自于定点屠宰厂出品、有国家规定的动物产品检疫合格证明及验讫印章、肉品品质检验合格证明及验讫印章（随每批次供货时按批次提供）。鲜猪肉(当日生产)符合成都市生猪溯源体系的要求，并将溯源资料交采购人备案待查。配送时具有动检部门检疫印章和肉品品质合格印章。</w:t>
      </w:r>
    </w:p>
    <w:p>
      <w:pPr>
        <w:spacing w:line="360" w:lineRule="auto"/>
        <w:ind w:firstLine="480" w:firstLineChars="200"/>
        <w:rPr>
          <w:rFonts w:hAnsi="宋体" w:cs="宋体"/>
          <w:sz w:val="24"/>
          <w:szCs w:val="24"/>
        </w:rPr>
      </w:pPr>
      <w:r>
        <w:rPr>
          <w:rFonts w:hint="eastAsia" w:hAnsi="宋体" w:cs="宋体"/>
          <w:sz w:val="24"/>
          <w:szCs w:val="24"/>
        </w:rPr>
        <w:t>1.8鲜猪肉要求全程冷链配送，相关检疫证书齐全完备。</w:t>
      </w:r>
    </w:p>
    <w:p>
      <w:pPr>
        <w:spacing w:line="360" w:lineRule="auto"/>
        <w:ind w:firstLine="480" w:firstLineChars="200"/>
        <w:rPr>
          <w:rFonts w:hAnsi="宋体" w:cs="宋体"/>
          <w:sz w:val="24"/>
          <w:szCs w:val="24"/>
        </w:rPr>
      </w:pPr>
      <w:r>
        <w:rPr>
          <w:rFonts w:hint="eastAsia" w:hAnsi="宋体" w:cs="宋体"/>
          <w:sz w:val="24"/>
          <w:szCs w:val="24"/>
        </w:rPr>
        <w:t>1.9羊肉、鸡肉、鸭肉、牛肉等冷鲜畜禽肉的食品安全指标应符合GB 2707国家最新标准的规定,禽肉类制品须肉面干净、无任何异味、无毛发、表皮处理清洁，大小统一、码放整齐。</w:t>
      </w:r>
    </w:p>
    <w:p>
      <w:pPr>
        <w:snapToGrid w:val="0"/>
        <w:spacing w:line="440" w:lineRule="exact"/>
        <w:ind w:firstLine="600"/>
        <w:rPr>
          <w:rFonts w:ascii="宋体"/>
          <w:sz w:val="24"/>
        </w:rPr>
      </w:pPr>
      <w:r>
        <w:rPr>
          <w:rFonts w:hint="eastAsia" w:hAnsi="宋体" w:cs="宋体"/>
          <w:sz w:val="24"/>
          <w:szCs w:val="24"/>
        </w:rPr>
        <w:t>1.10 水产类、海水藻类的食品安全指标应分别符合 GB 2733国家最新标准、 GB 19643国家最新标准 的规定。</w:t>
      </w:r>
    </w:p>
    <w:p>
      <w:pPr>
        <w:snapToGrid w:val="0"/>
        <w:spacing w:line="440" w:lineRule="exact"/>
        <w:ind w:firstLine="602"/>
        <w:rPr>
          <w:bCs/>
          <w:sz w:val="24"/>
          <w:szCs w:val="24"/>
        </w:rPr>
      </w:pPr>
      <w:r>
        <w:rPr>
          <w:rFonts w:hint="eastAsia"/>
          <w:bCs/>
          <w:sz w:val="24"/>
          <w:szCs w:val="24"/>
        </w:rPr>
        <w:t>2、</w:t>
      </w:r>
      <w:r>
        <w:rPr>
          <w:rFonts w:hint="eastAsia"/>
          <w:sz w:val="24"/>
          <w:szCs w:val="24"/>
        </w:rPr>
        <w:t>猪肉</w:t>
      </w:r>
      <w:r>
        <w:rPr>
          <w:rFonts w:hint="eastAsia"/>
          <w:bCs/>
          <w:sz w:val="24"/>
          <w:szCs w:val="24"/>
        </w:rPr>
        <w:t>。</w:t>
      </w:r>
      <w:r>
        <w:rPr>
          <w:rFonts w:hint="eastAsia" w:ascii="宋体"/>
          <w:color w:val="000000"/>
          <w:sz w:val="24"/>
        </w:rPr>
        <w:t>当天屠宰且不能是冻肉（特殊情况下取得采购人认可后方可送冻肉），</w:t>
      </w:r>
      <w:r>
        <w:rPr>
          <w:rFonts w:hint="eastAsia" w:ascii="宋体"/>
          <w:sz w:val="24"/>
        </w:rPr>
        <w:t>应符合GB/T 9959</w:t>
      </w:r>
      <w:r>
        <w:rPr>
          <w:rFonts w:hint="eastAsia" w:hAnsi="宋体" w:cs="宋体"/>
          <w:sz w:val="24"/>
          <w:szCs w:val="24"/>
        </w:rPr>
        <w:t>国家最新标准</w:t>
      </w:r>
      <w:r>
        <w:rPr>
          <w:rFonts w:hint="eastAsia" w:ascii="宋体"/>
          <w:sz w:val="24"/>
        </w:rPr>
        <w:t>，成都市生猪溯源体系的要求并有产地动物卫生监督机构出具的检疫（或检测）合格证明和动物产品检疫（或检测）合格验讫印章以及生猪定点屠宰厂肉品品质检验合格验讫印章。</w:t>
      </w:r>
    </w:p>
    <w:p>
      <w:pPr>
        <w:spacing w:line="360" w:lineRule="auto"/>
        <w:ind w:firstLine="600" w:firstLineChars="250"/>
        <w:rPr>
          <w:bCs/>
          <w:sz w:val="24"/>
          <w:szCs w:val="24"/>
        </w:rPr>
      </w:pPr>
      <w:r>
        <w:rPr>
          <w:rFonts w:hint="eastAsia"/>
          <w:bCs/>
          <w:sz w:val="24"/>
          <w:szCs w:val="24"/>
        </w:rPr>
        <w:t>3、</w:t>
      </w:r>
      <w:r>
        <w:rPr>
          <w:rFonts w:hint="eastAsia"/>
          <w:sz w:val="24"/>
          <w:szCs w:val="24"/>
        </w:rPr>
        <w:t>鸡蛋。</w:t>
      </w:r>
    </w:p>
    <w:p>
      <w:pPr>
        <w:spacing w:line="360" w:lineRule="auto"/>
        <w:ind w:firstLine="480" w:firstLineChars="200"/>
        <w:rPr>
          <w:rFonts w:hAnsi="宋体" w:cs="宋体"/>
          <w:sz w:val="24"/>
          <w:szCs w:val="24"/>
        </w:rPr>
      </w:pPr>
      <w:r>
        <w:rPr>
          <w:rFonts w:hint="eastAsia" w:hAnsi="宋体" w:cs="宋体"/>
          <w:sz w:val="24"/>
          <w:szCs w:val="24"/>
        </w:rPr>
        <w:t>①每枚净重不得少于50g，汞含量符合 GB2749国家最新标准，其他理化指标符合 GB2749国家最新标准。须有动物检疫合格证，包装规范，应采用符合国家食品安全标准要求的包装材料。</w:t>
      </w:r>
    </w:p>
    <w:p>
      <w:pPr>
        <w:spacing w:line="360" w:lineRule="auto"/>
        <w:ind w:firstLine="480" w:firstLineChars="200"/>
        <w:rPr>
          <w:rFonts w:hAnsi="宋体" w:cs="宋体"/>
          <w:sz w:val="24"/>
          <w:szCs w:val="24"/>
        </w:rPr>
      </w:pPr>
      <w:r>
        <w:rPr>
          <w:rFonts w:hint="eastAsia" w:hAnsi="宋体" w:cs="宋体"/>
          <w:sz w:val="24"/>
          <w:szCs w:val="24"/>
        </w:rPr>
        <w:t>②色泽：具有禽蛋固有的色泽。</w:t>
      </w:r>
    </w:p>
    <w:p>
      <w:pPr>
        <w:spacing w:line="360" w:lineRule="auto"/>
        <w:ind w:firstLine="480" w:firstLineChars="200"/>
        <w:rPr>
          <w:rFonts w:hAnsi="宋体" w:cs="宋体"/>
          <w:sz w:val="24"/>
          <w:szCs w:val="24"/>
        </w:rPr>
      </w:pPr>
      <w:r>
        <w:rPr>
          <w:rFonts w:hint="eastAsia" w:hAnsi="宋体" w:cs="宋体"/>
          <w:sz w:val="24"/>
          <w:szCs w:val="24"/>
        </w:rPr>
        <w:t>③组织形状：蛋壳清洁、无破裂，打开后蛋黄凸起、完整、有韧性，蛋白澄清透明、稀稠分明。</w:t>
      </w:r>
    </w:p>
    <w:p>
      <w:pPr>
        <w:spacing w:line="360" w:lineRule="auto"/>
        <w:ind w:firstLine="480" w:firstLineChars="200"/>
        <w:rPr>
          <w:rFonts w:hAnsi="宋体" w:cs="宋体"/>
          <w:sz w:val="24"/>
          <w:szCs w:val="24"/>
        </w:rPr>
      </w:pPr>
      <w:r>
        <w:rPr>
          <w:rFonts w:hint="eastAsia" w:hAnsi="宋体" w:cs="宋体"/>
          <w:sz w:val="24"/>
          <w:szCs w:val="24"/>
        </w:rPr>
        <w:t>④气味：具有产品固有的气味，无异味。</w:t>
      </w:r>
    </w:p>
    <w:p>
      <w:pPr>
        <w:spacing w:line="360" w:lineRule="auto"/>
        <w:ind w:firstLine="480" w:firstLineChars="200"/>
        <w:rPr>
          <w:rFonts w:hAnsi="宋体" w:cs="宋体"/>
          <w:sz w:val="24"/>
          <w:szCs w:val="24"/>
        </w:rPr>
      </w:pPr>
      <w:r>
        <w:rPr>
          <w:rFonts w:hint="eastAsia" w:hAnsi="宋体" w:cs="宋体"/>
          <w:sz w:val="24"/>
          <w:szCs w:val="24"/>
        </w:rPr>
        <w:t>⑤杂质：无杂质，内容物不得有血块或其他鸡组织异物。</w:t>
      </w:r>
    </w:p>
    <w:p>
      <w:pPr>
        <w:spacing w:line="360" w:lineRule="auto"/>
        <w:ind w:firstLine="480" w:firstLineChars="200"/>
        <w:rPr>
          <w:rFonts w:hAnsi="宋体" w:cs="宋体"/>
          <w:sz w:val="24"/>
          <w:szCs w:val="24"/>
        </w:rPr>
      </w:pPr>
      <w:r>
        <w:rPr>
          <w:rFonts w:hint="eastAsia" w:hAnsi="宋体" w:cs="宋体"/>
          <w:sz w:val="24"/>
          <w:szCs w:val="24"/>
        </w:rPr>
        <w:t>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pPr>
        <w:snapToGrid w:val="0"/>
        <w:spacing w:line="440" w:lineRule="exact"/>
        <w:ind w:firstLine="602"/>
        <w:rPr>
          <w:rFonts w:ascii="宋体"/>
          <w:sz w:val="24"/>
        </w:rPr>
      </w:pPr>
    </w:p>
    <w:p>
      <w:pPr>
        <w:spacing w:line="360" w:lineRule="auto"/>
        <w:ind w:firstLine="482" w:firstLineChars="200"/>
        <w:rPr>
          <w:rFonts w:hAnsi="宋体" w:cs="宋体"/>
          <w:sz w:val="24"/>
          <w:szCs w:val="24"/>
        </w:rPr>
      </w:pPr>
      <w:r>
        <w:rPr>
          <w:rFonts w:hint="eastAsia" w:hAnsi="宋体" w:cs="宋体"/>
          <w:b/>
          <w:bCs/>
          <w:sz w:val="24"/>
          <w:szCs w:val="24"/>
        </w:rPr>
        <w:t>（二）蔬菜类</w:t>
      </w:r>
      <w:r>
        <w:rPr>
          <w:rFonts w:hint="eastAsia" w:hAnsi="宋体" w:cs="宋体"/>
          <w:sz w:val="24"/>
          <w:szCs w:val="24"/>
        </w:rPr>
        <w:t>主要包括豆芽菜及豆制品、土豆、萝卜、白菜、花菜、佛手瓜、冬瓜、茄子、豇豆、青豆等叶菜类、茎菜类、根菜类、果菜类、花菜等。</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1.1蔬菜（数量、品类：根据采购人实际需要品种、数量提供。）</w:t>
      </w:r>
    </w:p>
    <w:p>
      <w:pPr>
        <w:spacing w:line="360" w:lineRule="auto"/>
        <w:ind w:firstLine="480" w:firstLineChars="200"/>
        <w:rPr>
          <w:rFonts w:hAnsi="宋体" w:cs="宋体"/>
          <w:sz w:val="24"/>
          <w:szCs w:val="24"/>
        </w:rPr>
      </w:pPr>
      <w:r>
        <w:rPr>
          <w:rFonts w:hint="eastAsia" w:hAnsi="宋体" w:cs="宋体"/>
          <w:sz w:val="24"/>
          <w:szCs w:val="24"/>
        </w:rPr>
        <w:t>1.2叶菜类：鲜嫩，无枯黄叶，无花斑叶，无烂叶；叶茎完整无折断，基部不老化，干爽无水；无裂口损伤，表面无泥土及其它杂物，无农药残留。</w:t>
      </w:r>
    </w:p>
    <w:p>
      <w:pPr>
        <w:spacing w:line="360" w:lineRule="auto"/>
        <w:ind w:firstLine="480" w:firstLineChars="200"/>
        <w:rPr>
          <w:rFonts w:hAnsi="宋体" w:cs="宋体"/>
          <w:sz w:val="24"/>
          <w:szCs w:val="24"/>
        </w:rPr>
      </w:pPr>
      <w:r>
        <w:rPr>
          <w:rFonts w:hint="eastAsia" w:hAnsi="宋体" w:cs="宋体"/>
          <w:sz w:val="24"/>
          <w:szCs w:val="24"/>
        </w:rPr>
        <w:t>1.3根茎类：个体均匀，根形完整，无畸形，无泥土，无虫蛀和机械伤，无腐烂，无断折断裂，不萎蔫变软，不发芽，不变绿，不空心，不糠心，不黑心，弹击有实心感，无农药残留。</w:t>
      </w:r>
    </w:p>
    <w:p>
      <w:pPr>
        <w:spacing w:line="360" w:lineRule="auto"/>
        <w:ind w:firstLine="480" w:firstLineChars="200"/>
        <w:rPr>
          <w:rFonts w:hAnsi="宋体" w:cs="宋体"/>
          <w:sz w:val="24"/>
          <w:szCs w:val="24"/>
        </w:rPr>
      </w:pPr>
      <w:r>
        <w:rPr>
          <w:rFonts w:hint="eastAsia" w:hAnsi="宋体" w:cs="宋体"/>
          <w:sz w:val="24"/>
          <w:szCs w:val="24"/>
        </w:rPr>
        <w:t>1.4芽苗类：鲜嫩、无老叶、无花斑黄叶，根部切口新鲜，茎叶完整，无腐烂现象，无农药残留。</w:t>
      </w:r>
    </w:p>
    <w:p>
      <w:pPr>
        <w:spacing w:line="360" w:lineRule="auto"/>
        <w:ind w:firstLine="480" w:firstLineChars="200"/>
        <w:rPr>
          <w:rFonts w:hAnsi="宋体" w:cs="宋体"/>
          <w:sz w:val="24"/>
          <w:szCs w:val="24"/>
        </w:rPr>
      </w:pPr>
      <w:r>
        <w:rPr>
          <w:rFonts w:hint="eastAsia" w:hAnsi="宋体" w:cs="宋体"/>
          <w:sz w:val="24"/>
          <w:szCs w:val="24"/>
        </w:rPr>
        <w:t>1.5菌类：色泽与其品种相适应，气味正常；无腐烂及虫蛀株，无发霉，无失水枯萎， 朵片完整，手轻捏不能有水渗出为宜。</w:t>
      </w:r>
    </w:p>
    <w:p>
      <w:pPr>
        <w:spacing w:line="360" w:lineRule="auto"/>
        <w:ind w:firstLine="480" w:firstLineChars="200"/>
        <w:rPr>
          <w:rFonts w:hAnsi="宋体" w:cs="宋体"/>
          <w:sz w:val="24"/>
          <w:szCs w:val="24"/>
        </w:rPr>
      </w:pPr>
      <w:r>
        <w:rPr>
          <w:rFonts w:hint="eastAsia" w:hAnsi="宋体" w:cs="宋体"/>
          <w:sz w:val="24"/>
          <w:szCs w:val="24"/>
        </w:rPr>
        <w:t>1.6所投产品必须符合GB 2763国家最新标准和安全标准及GB 2762国家最新标准食品中污染物限量标准。所列产品标准如国家有调整的，应以调整后的最新标准为准。农药残留及重金属不得超标，不得含有国家全面禁止使用的农药成份。</w:t>
      </w:r>
    </w:p>
    <w:p>
      <w:pPr>
        <w:spacing w:line="360" w:lineRule="auto"/>
        <w:ind w:firstLine="480" w:firstLineChars="200"/>
        <w:rPr>
          <w:rFonts w:hAnsi="宋体" w:cs="宋体"/>
          <w:sz w:val="24"/>
          <w:szCs w:val="24"/>
        </w:rPr>
      </w:pPr>
      <w:r>
        <w:rPr>
          <w:rFonts w:hint="eastAsia" w:hAnsi="宋体" w:cs="宋体"/>
          <w:sz w:val="24"/>
          <w:szCs w:val="24"/>
        </w:rPr>
        <w:t>1.7豆芽菜及豆制品：必须有SC编码，不得使用添加剂，农药残留及重金属不得超标，无感观异常。</w:t>
      </w:r>
    </w:p>
    <w:p>
      <w:pPr>
        <w:spacing w:line="360" w:lineRule="auto"/>
        <w:ind w:firstLine="480" w:firstLineChars="200"/>
        <w:rPr>
          <w:rFonts w:hAnsi="宋体" w:cs="宋体"/>
          <w:sz w:val="24"/>
          <w:szCs w:val="24"/>
        </w:rPr>
      </w:pPr>
      <w:r>
        <w:rPr>
          <w:rFonts w:hint="eastAsia" w:hAnsi="宋体" w:cs="宋体"/>
          <w:sz w:val="24"/>
          <w:szCs w:val="24"/>
        </w:rPr>
        <w:t>1.8原菜须保证菜面干净、无明显泥土、码放整齐、无破损、不得过熟或欠熟；净菜须保证菜面完全干净、无泥土、按统一标准加工、码放整齐，并按相关规定配送前采样送检，并提供具有农药、杀虫剂等残留检测合格的报告。</w:t>
      </w:r>
    </w:p>
    <w:p>
      <w:pPr>
        <w:spacing w:line="360" w:lineRule="auto"/>
        <w:ind w:firstLine="482" w:firstLineChars="200"/>
        <w:rPr>
          <w:rFonts w:hAnsi="宋体" w:cs="宋体"/>
          <w:sz w:val="24"/>
          <w:szCs w:val="24"/>
        </w:rPr>
      </w:pPr>
      <w:r>
        <w:rPr>
          <w:rFonts w:hint="eastAsia" w:hAnsi="宋体" w:cs="宋体"/>
          <w:b/>
          <w:bCs/>
          <w:sz w:val="24"/>
          <w:szCs w:val="24"/>
        </w:rPr>
        <w:t>（三）干杂类</w:t>
      </w:r>
      <w:r>
        <w:rPr>
          <w:rFonts w:hint="eastAsia" w:hAnsi="宋体" w:cs="宋体"/>
          <w:sz w:val="24"/>
          <w:szCs w:val="24"/>
        </w:rPr>
        <w:t>。主要包括米、面、油、粉条、雪豆、海带、大豆、香料、食盐（加碘）等一切干杂辅料类</w:t>
      </w:r>
    </w:p>
    <w:p>
      <w:pPr>
        <w:spacing w:line="360" w:lineRule="auto"/>
        <w:ind w:firstLine="480" w:firstLineChars="200"/>
        <w:rPr>
          <w:rFonts w:hAnsi="宋体" w:cs="宋体"/>
          <w:sz w:val="24"/>
          <w:szCs w:val="24"/>
        </w:rPr>
      </w:pPr>
      <w:r>
        <w:rPr>
          <w:rFonts w:hint="eastAsia" w:hAnsi="宋体" w:cs="宋体"/>
          <w:sz w:val="24"/>
          <w:szCs w:val="24"/>
        </w:rPr>
        <w:t>1、产品总体要求（技术要求）</w:t>
      </w:r>
    </w:p>
    <w:p>
      <w:pPr>
        <w:spacing w:line="360" w:lineRule="auto"/>
        <w:ind w:firstLine="480" w:firstLineChars="200"/>
        <w:rPr>
          <w:rFonts w:hAnsi="宋体" w:cs="宋体"/>
          <w:sz w:val="24"/>
          <w:szCs w:val="24"/>
        </w:rPr>
      </w:pPr>
      <w:r>
        <w:rPr>
          <w:rFonts w:hint="eastAsia" w:hAnsi="宋体" w:cs="宋体"/>
          <w:sz w:val="24"/>
          <w:szCs w:val="24"/>
        </w:rPr>
        <w:t>1.1干杂类（数量、品类：根据采购人实际需要品种、数量提供。）</w:t>
      </w:r>
    </w:p>
    <w:p>
      <w:pPr>
        <w:spacing w:line="360" w:lineRule="auto"/>
        <w:ind w:firstLine="480" w:firstLineChars="200"/>
        <w:rPr>
          <w:rFonts w:hAnsi="宋体" w:cs="宋体"/>
          <w:sz w:val="24"/>
          <w:szCs w:val="24"/>
        </w:rPr>
      </w:pPr>
      <w:r>
        <w:rPr>
          <w:rFonts w:hint="eastAsia" w:hAnsi="宋体" w:cs="宋体"/>
          <w:sz w:val="24"/>
          <w:szCs w:val="24"/>
        </w:rPr>
        <w:t>1.2不得含有二氧化硫及重金属元素和非法使用添加剂；农药残留不得超标，须优质、无感观异常。符合国家最新质量标准和安全标准。</w:t>
      </w:r>
    </w:p>
    <w:p>
      <w:pPr>
        <w:spacing w:line="360" w:lineRule="auto"/>
        <w:ind w:firstLine="480" w:firstLineChars="200"/>
        <w:rPr>
          <w:rFonts w:hAnsi="宋体" w:cs="宋体"/>
          <w:sz w:val="24"/>
          <w:szCs w:val="24"/>
        </w:rPr>
      </w:pPr>
      <w:r>
        <w:rPr>
          <w:rFonts w:hint="eastAsia" w:hAnsi="宋体" w:cs="宋体"/>
          <w:sz w:val="24"/>
          <w:szCs w:val="24"/>
        </w:rPr>
        <w:t>1.3须保证配送种类、品牌、规格，生产日期须在保质期二分之一天之内，包装完整、无任何破损、无挤压、无破碎、无异味、无任何表面附着物或衍生物。</w:t>
      </w:r>
    </w:p>
    <w:p>
      <w:pPr>
        <w:spacing w:line="360" w:lineRule="auto"/>
        <w:ind w:firstLine="480" w:firstLineChars="200"/>
        <w:rPr>
          <w:rFonts w:hAnsi="宋体" w:cs="宋体"/>
          <w:sz w:val="24"/>
          <w:szCs w:val="24"/>
        </w:rPr>
      </w:pPr>
      <w:r>
        <w:rPr>
          <w:rFonts w:hint="eastAsia" w:hAnsi="宋体" w:cs="宋体"/>
          <w:sz w:val="24"/>
          <w:szCs w:val="24"/>
        </w:rPr>
        <w:t>1.4 产品符合国家质量安全检验标准、随货有该批次产品质量检测合格证、包装完好无损、外观无霉变、无斑点、无腐烂变质，有该物品独有的气味、无异味。有效期须在保质期二分之一天数之内，凭出厂合格证与检验员章确认质量，具有相关产品检验报告，在保质期内有 SC 标记。</w:t>
      </w:r>
    </w:p>
    <w:p>
      <w:pPr>
        <w:spacing w:line="360" w:lineRule="auto"/>
        <w:ind w:firstLine="480" w:firstLineChars="200"/>
        <w:rPr>
          <w:rFonts w:hAnsi="宋体" w:cs="宋体"/>
          <w:sz w:val="24"/>
          <w:szCs w:val="24"/>
        </w:rPr>
      </w:pPr>
      <w:r>
        <w:rPr>
          <w:rFonts w:hint="eastAsia" w:hAnsi="宋体" w:cs="宋体"/>
          <w:sz w:val="24"/>
          <w:szCs w:val="24"/>
        </w:rPr>
        <w:t>1.5食用盐：精制盐，加碘，符合国家最新或行业标准。白色，味咸，无异味，无</w:t>
      </w:r>
    </w:p>
    <w:p>
      <w:pPr>
        <w:spacing w:line="360" w:lineRule="auto"/>
        <w:ind w:firstLine="480" w:firstLineChars="200"/>
        <w:rPr>
          <w:rFonts w:hAnsi="宋体" w:cs="宋体"/>
          <w:sz w:val="24"/>
          <w:szCs w:val="24"/>
        </w:rPr>
      </w:pPr>
      <w:r>
        <w:rPr>
          <w:rFonts w:hint="eastAsia" w:hAnsi="宋体" w:cs="宋体"/>
          <w:sz w:val="24"/>
          <w:szCs w:val="24"/>
        </w:rPr>
        <w:t>明显与盐无关的外来异物。食品添加剂与营养强化剂的质量应符合相应的标准和有关要求。</w:t>
      </w:r>
    </w:p>
    <w:p>
      <w:pPr>
        <w:spacing w:line="360" w:lineRule="auto"/>
        <w:ind w:firstLine="480" w:firstLineChars="200"/>
        <w:rPr>
          <w:rFonts w:hAnsi="宋体" w:cs="宋体"/>
          <w:sz w:val="24"/>
          <w:szCs w:val="24"/>
        </w:rPr>
      </w:pPr>
      <w:r>
        <w:rPr>
          <w:rFonts w:hint="eastAsia" w:hAnsi="宋体" w:cs="宋体"/>
          <w:sz w:val="24"/>
          <w:szCs w:val="24"/>
        </w:rPr>
        <w:t>1.6菜籽油</w:t>
      </w:r>
    </w:p>
    <w:p>
      <w:pPr>
        <w:spacing w:line="360" w:lineRule="auto"/>
        <w:ind w:firstLine="480" w:firstLineChars="200"/>
        <w:rPr>
          <w:rFonts w:hAnsi="宋体" w:cs="宋体"/>
          <w:sz w:val="24"/>
          <w:szCs w:val="24"/>
        </w:rPr>
      </w:pPr>
      <w:r>
        <w:rPr>
          <w:rFonts w:hint="eastAsia" w:hAnsi="宋体" w:cs="宋体"/>
          <w:sz w:val="24"/>
          <w:szCs w:val="24"/>
        </w:rPr>
        <w:t>菜籽油为非转基因食用植物油，食用油的食品安全指标应符合GB 2716国家最新标准的规定， 其中：成品菜籽油的质量指标不低于 GB/T 1536 国家最新标准的二级压榨成品菜籽油的技术要求。食品中污染物限量标准应符合国家标准GB 2762国家最新标准、GB 2761国家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w:t>
      </w:r>
    </w:p>
    <w:p>
      <w:pPr>
        <w:spacing w:line="360" w:lineRule="auto"/>
        <w:ind w:firstLine="480" w:firstLineChars="200"/>
        <w:rPr>
          <w:rFonts w:hAnsi="宋体" w:cs="宋体"/>
          <w:sz w:val="24"/>
          <w:szCs w:val="24"/>
        </w:rPr>
      </w:pPr>
      <w:r>
        <w:rPr>
          <w:rFonts w:hint="eastAsia" w:hAnsi="宋体" w:cs="宋体"/>
          <w:sz w:val="24"/>
          <w:szCs w:val="24"/>
        </w:rPr>
        <w:t>桶装，每桶一次性密封装。</w:t>
      </w:r>
    </w:p>
    <w:p>
      <w:pPr>
        <w:spacing w:line="360" w:lineRule="auto"/>
        <w:ind w:firstLine="480" w:firstLineChars="200"/>
        <w:rPr>
          <w:rFonts w:hAnsi="宋体" w:cs="宋体"/>
          <w:sz w:val="24"/>
          <w:szCs w:val="24"/>
        </w:rPr>
      </w:pPr>
      <w:r>
        <w:rPr>
          <w:rFonts w:hint="eastAsia" w:hAnsi="宋体" w:cs="宋体"/>
          <w:sz w:val="24"/>
          <w:szCs w:val="24"/>
        </w:rPr>
        <w:t>包装符合GB/T 17374国家最新标准标准。</w:t>
      </w:r>
    </w:p>
    <w:p>
      <w:pPr>
        <w:spacing w:line="360" w:lineRule="auto"/>
        <w:ind w:firstLine="480" w:firstLineChars="200"/>
        <w:rPr>
          <w:rFonts w:hAnsi="宋体" w:cs="宋体"/>
          <w:sz w:val="24"/>
          <w:szCs w:val="24"/>
        </w:rPr>
      </w:pPr>
      <w:r>
        <w:rPr>
          <w:rFonts w:hint="eastAsia" w:hAnsi="宋体" w:cs="宋体"/>
          <w:sz w:val="24"/>
          <w:szCs w:val="24"/>
        </w:rPr>
        <w:t>保质期不少于12个月。</w:t>
      </w:r>
    </w:p>
    <w:p>
      <w:pPr>
        <w:spacing w:line="360" w:lineRule="auto"/>
        <w:ind w:firstLine="480" w:firstLineChars="200"/>
        <w:rPr>
          <w:rFonts w:hAnsi="宋体" w:cs="宋体"/>
          <w:sz w:val="24"/>
          <w:szCs w:val="24"/>
        </w:rPr>
      </w:pPr>
      <w:r>
        <w:rPr>
          <w:rFonts w:hint="eastAsia" w:hAnsi="宋体" w:cs="宋体"/>
          <w:sz w:val="24"/>
          <w:szCs w:val="24"/>
        </w:rPr>
        <w:t>在油桶的肩部刻有清晰的生产日期。</w:t>
      </w:r>
    </w:p>
    <w:p>
      <w:pPr>
        <w:spacing w:line="360" w:lineRule="auto"/>
        <w:ind w:firstLine="480" w:firstLineChars="200"/>
        <w:rPr>
          <w:rFonts w:hAnsi="宋体" w:cs="宋体"/>
          <w:sz w:val="24"/>
          <w:szCs w:val="24"/>
        </w:rPr>
      </w:pPr>
      <w:r>
        <w:rPr>
          <w:rFonts w:hint="eastAsia" w:hAnsi="宋体" w:cs="宋体"/>
          <w:sz w:val="24"/>
          <w:szCs w:val="24"/>
        </w:rPr>
        <w:t>在油桶上印有清晰地生产日期。油桶上注明产品名称、配料、加工原料、净含量、厂名、厂址、保质期、联系方式、质量等级、生产工艺、营养成分表、生产许可证号、贮存条件、原料原产地。</w:t>
      </w:r>
    </w:p>
    <w:p>
      <w:pPr>
        <w:spacing w:line="360" w:lineRule="auto"/>
        <w:ind w:firstLine="480" w:firstLineChars="200"/>
        <w:rPr>
          <w:rFonts w:hAnsi="宋体" w:cs="宋体"/>
          <w:sz w:val="24"/>
          <w:szCs w:val="24"/>
        </w:rPr>
      </w:pPr>
      <w:r>
        <w:rPr>
          <w:rFonts w:hint="eastAsia" w:hAnsi="宋体" w:cs="宋体"/>
          <w:sz w:val="24"/>
          <w:szCs w:val="24"/>
        </w:rPr>
        <w:t>1.7大米</w:t>
      </w:r>
    </w:p>
    <w:p>
      <w:pPr>
        <w:spacing w:line="360" w:lineRule="auto"/>
        <w:ind w:firstLine="480" w:firstLineChars="200"/>
        <w:rPr>
          <w:rFonts w:hAnsi="宋体" w:cs="宋体"/>
          <w:sz w:val="24"/>
          <w:szCs w:val="24"/>
        </w:rPr>
      </w:pPr>
      <w:r>
        <w:rPr>
          <w:rFonts w:hint="eastAsia" w:hAnsi="宋体" w:cs="宋体"/>
          <w:sz w:val="24"/>
          <w:szCs w:val="24"/>
        </w:rPr>
        <w:t>①不低于GB/T 1354国家最新标准一级定等指标的技术要求；</w:t>
      </w:r>
    </w:p>
    <w:p>
      <w:pPr>
        <w:spacing w:line="360" w:lineRule="auto"/>
        <w:ind w:firstLine="480" w:firstLineChars="200"/>
        <w:rPr>
          <w:rFonts w:hAnsi="宋体" w:cs="宋体"/>
          <w:sz w:val="24"/>
          <w:szCs w:val="24"/>
        </w:rPr>
      </w:pPr>
      <w:r>
        <w:rPr>
          <w:rFonts w:hint="eastAsia" w:hAnsi="宋体" w:cs="宋体"/>
          <w:sz w:val="24"/>
          <w:szCs w:val="24"/>
        </w:rPr>
        <w:t>②国标二级籼稻大米（产品与标注情况一致）；</w:t>
      </w:r>
    </w:p>
    <w:p>
      <w:pPr>
        <w:spacing w:line="360" w:lineRule="auto"/>
        <w:ind w:firstLine="480" w:firstLineChars="200"/>
        <w:rPr>
          <w:rFonts w:hAnsi="宋体" w:cs="宋体"/>
          <w:sz w:val="24"/>
          <w:szCs w:val="24"/>
        </w:rPr>
      </w:pPr>
      <w:r>
        <w:rPr>
          <w:rFonts w:hint="eastAsia" w:hAnsi="宋体" w:cs="宋体"/>
          <w:sz w:val="24"/>
          <w:szCs w:val="24"/>
        </w:rPr>
        <w:t>③袋装；</w:t>
      </w:r>
    </w:p>
    <w:p>
      <w:pPr>
        <w:spacing w:line="360" w:lineRule="auto"/>
        <w:ind w:firstLine="480" w:firstLineChars="200"/>
        <w:rPr>
          <w:rFonts w:hAnsi="宋体" w:cs="宋体"/>
          <w:sz w:val="24"/>
          <w:szCs w:val="24"/>
        </w:rPr>
      </w:pPr>
      <w:r>
        <w:rPr>
          <w:rFonts w:hint="eastAsia" w:hAnsi="宋体" w:cs="宋体"/>
          <w:sz w:val="24"/>
          <w:szCs w:val="24"/>
        </w:rPr>
        <w:t>④包装符合GB/T 17109国家最新标准 粮食销售包装标准；</w:t>
      </w:r>
    </w:p>
    <w:p>
      <w:pPr>
        <w:spacing w:line="360" w:lineRule="auto"/>
        <w:ind w:firstLine="480" w:firstLineChars="200"/>
        <w:rPr>
          <w:rFonts w:hAnsi="宋体" w:cs="宋体"/>
          <w:sz w:val="24"/>
          <w:szCs w:val="24"/>
        </w:rPr>
      </w:pPr>
      <w:r>
        <w:rPr>
          <w:rFonts w:hint="eastAsia" w:hAnsi="宋体" w:cs="宋体"/>
          <w:sz w:val="24"/>
          <w:szCs w:val="24"/>
        </w:rPr>
        <w:t>⑤保质期不少于 6 个月；</w:t>
      </w:r>
    </w:p>
    <w:p>
      <w:pPr>
        <w:spacing w:line="360" w:lineRule="auto"/>
        <w:ind w:firstLine="480" w:firstLineChars="200"/>
        <w:rPr>
          <w:rFonts w:hAnsi="宋体" w:cs="宋体"/>
          <w:sz w:val="24"/>
          <w:szCs w:val="24"/>
        </w:rPr>
      </w:pPr>
      <w:r>
        <w:rPr>
          <w:rFonts w:hint="eastAsia" w:hAnsi="宋体" w:cs="宋体"/>
          <w:sz w:val="24"/>
          <w:szCs w:val="24"/>
        </w:rPr>
        <w:t>⑥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pPr>
        <w:spacing w:line="360" w:lineRule="auto"/>
        <w:ind w:firstLine="480" w:firstLineChars="200"/>
        <w:rPr>
          <w:rFonts w:hAnsi="宋体" w:cs="宋体"/>
          <w:sz w:val="24"/>
          <w:szCs w:val="24"/>
        </w:rPr>
      </w:pPr>
      <w:r>
        <w:rPr>
          <w:rFonts w:hint="eastAsia" w:hAnsi="宋体" w:cs="宋体"/>
          <w:sz w:val="24"/>
          <w:szCs w:val="24"/>
        </w:rPr>
        <w:t>⑦生产日期标注在独立的生产合格证上并固定于袋口封装线上；在未拆封包装袋之前完全能清楚看清生产日期。</w:t>
      </w:r>
    </w:p>
    <w:p>
      <w:pPr>
        <w:spacing w:line="360" w:lineRule="auto"/>
        <w:ind w:firstLine="480" w:firstLineChars="200"/>
        <w:rPr>
          <w:rFonts w:hAnsi="宋体" w:cs="宋体"/>
          <w:sz w:val="24"/>
          <w:szCs w:val="24"/>
        </w:rPr>
      </w:pPr>
      <w:r>
        <w:rPr>
          <w:rFonts w:hint="eastAsia" w:hAnsi="宋体" w:cs="宋体"/>
          <w:sz w:val="24"/>
          <w:szCs w:val="24"/>
        </w:rPr>
        <w:t>1.8面粉及面制品</w:t>
      </w:r>
    </w:p>
    <w:p>
      <w:pPr>
        <w:spacing w:line="360" w:lineRule="auto"/>
        <w:ind w:firstLine="480" w:firstLineChars="200"/>
        <w:rPr>
          <w:rFonts w:hAnsi="宋体" w:cs="宋体"/>
          <w:sz w:val="24"/>
          <w:szCs w:val="24"/>
        </w:rPr>
      </w:pPr>
      <w:r>
        <w:rPr>
          <w:rFonts w:hint="eastAsia" w:hAnsi="宋体" w:cs="宋体"/>
          <w:sz w:val="24"/>
          <w:szCs w:val="24"/>
        </w:rPr>
        <w:t>①超级特精，符合国家最新或行业标准。灰分＜0.7%；粗细度：全部通过 CB36 号筛， 留存在 CB42 号筛的不超过 10%。面筋质＞30%。含砂量＜0.02%。磁性金属物＜0.003g∕kg。水分≤14%。脂肪酸值＜80。气味口味正常。</w:t>
      </w:r>
    </w:p>
    <w:p>
      <w:pPr>
        <w:spacing w:line="360" w:lineRule="auto"/>
        <w:ind w:firstLine="480" w:firstLineChars="200"/>
        <w:rPr>
          <w:rFonts w:hAnsi="宋体" w:cs="宋体"/>
          <w:sz w:val="24"/>
          <w:szCs w:val="24"/>
        </w:rPr>
      </w:pPr>
      <w:r>
        <w:rPr>
          <w:rFonts w:hint="eastAsia" w:hAnsi="宋体" w:cs="宋体"/>
          <w:sz w:val="24"/>
          <w:szCs w:val="24"/>
        </w:rPr>
        <w:t>②面粉色泽呈乳白色或淡黄色，不发暗，无杂质，无粗粒感，流散性好，不结块，有自然的麦香味。</w:t>
      </w:r>
    </w:p>
    <w:p>
      <w:pPr>
        <w:spacing w:line="360" w:lineRule="auto"/>
        <w:ind w:firstLine="480" w:firstLineChars="200"/>
        <w:rPr>
          <w:rFonts w:hAnsi="宋体" w:cs="宋体"/>
          <w:sz w:val="24"/>
          <w:szCs w:val="24"/>
        </w:rPr>
      </w:pPr>
      <w:r>
        <w:rPr>
          <w:rFonts w:hint="eastAsia" w:hAnsi="宋体" w:cs="宋体"/>
          <w:sz w:val="24"/>
          <w:szCs w:val="24"/>
        </w:rPr>
        <w:t xml:space="preserve">③小麦粉（面粉）的质量指标不低于 GB/T 1355国家最新标准的特制二等指标的技术要求。 </w:t>
      </w:r>
    </w:p>
    <w:p>
      <w:pPr>
        <w:spacing w:line="360" w:lineRule="auto"/>
        <w:ind w:firstLine="480" w:firstLineChars="200"/>
        <w:rPr>
          <w:rFonts w:hAnsi="宋体" w:cs="宋体"/>
          <w:sz w:val="24"/>
          <w:szCs w:val="24"/>
        </w:rPr>
      </w:pPr>
      <w:r>
        <w:rPr>
          <w:rFonts w:hint="eastAsia" w:hAnsi="宋体" w:cs="宋体"/>
          <w:sz w:val="24"/>
          <w:szCs w:val="24"/>
        </w:rPr>
        <w:t>1.7项、1.8项要求的食品原料的食品安全指标应符合相应食品安全国家标准的规定，分等分级的质量指标不低于国家有关食品质量标准的中位数水平，如质量或规格等级划分为 1、2、3、4、5 或大（L）、 中（M）、小（S）的，应选择 1、2 或大（L）、中（M）等级。食品原料的包装应完整、清洁、无破损，包装有关食品名称、生产日期、保质期限、质量等级、生产经营者等标识内容应与其内装物一致。预包装类食品原料应具有SC标记。其中：成品粮（大米、小麦粉或面粉）的食品安全指标应符合 GB 2715国家最新标准 的规定。</w:t>
      </w:r>
    </w:p>
    <w:p>
      <w:pPr>
        <w:snapToGrid w:val="0"/>
        <w:spacing w:line="440" w:lineRule="exact"/>
        <w:ind w:firstLine="482" w:firstLineChars="200"/>
        <w:rPr>
          <w:rFonts w:hAnsi="宋体" w:cs="宋体"/>
          <w:sz w:val="24"/>
          <w:szCs w:val="24"/>
        </w:rPr>
      </w:pPr>
      <w:r>
        <w:rPr>
          <w:rFonts w:hint="eastAsia" w:hAnsi="宋体" w:cs="宋体"/>
          <w:b/>
          <w:bCs/>
          <w:sz w:val="24"/>
          <w:szCs w:val="24"/>
        </w:rPr>
        <w:t>（四）奶制品</w:t>
      </w:r>
      <w:r>
        <w:rPr>
          <w:rFonts w:hint="eastAsia" w:hAnsi="宋体" w:cs="宋体"/>
          <w:sz w:val="24"/>
          <w:szCs w:val="24"/>
        </w:rPr>
        <w:t>：符合 GB 25190国家最新标准</w:t>
      </w:r>
      <w:r>
        <w:rPr>
          <w:rFonts w:hint="eastAsia"/>
        </w:rPr>
        <w:t>《</w:t>
      </w:r>
      <w:r>
        <w:rPr>
          <w:rFonts w:hint="eastAsia" w:hAnsi="宋体" w:cs="宋体"/>
          <w:sz w:val="24"/>
          <w:szCs w:val="24"/>
        </w:rPr>
        <w:t>食品安全国家标准 灭菌乳</w:t>
      </w:r>
      <w:r>
        <w:rPr>
          <w:rFonts w:hint="eastAsia"/>
        </w:rPr>
        <w:t>》</w:t>
      </w:r>
      <w:r>
        <w:rPr>
          <w:rFonts w:hint="eastAsia" w:hAnsi="宋体" w:cs="宋体"/>
          <w:sz w:val="24"/>
          <w:szCs w:val="24"/>
        </w:rPr>
        <w:t>及 GB 7718国家最新标准《食品安全国家标准 预包装食品标签通则》或国家卫生、食品安全最新标准。盒装奶必须为资质齐全的正规厂家生产。每批货送达采购人指定地点时，剩余有效期须在 6 个月（含）以上。包装要求：必须采购预包装产品。包装执行标准符合国家相关标准。包装标识清楚。规格由双方协商确定，以便于运输存储使用为原则。每批货均需提供盒装奶生产厂家出具的《质检报告》。外观呈乳白色或微黄色，具有乳固有的香味，呈均匀一致液体，无凝块、无沉淀、无正常视力可见异物。</w:t>
      </w:r>
    </w:p>
    <w:p>
      <w:pPr>
        <w:snapToGrid w:val="0"/>
        <w:spacing w:line="440" w:lineRule="exact"/>
        <w:ind w:firstLine="600"/>
        <w:rPr>
          <w:rFonts w:ascii="宋体"/>
          <w:color w:val="000000"/>
          <w:sz w:val="24"/>
        </w:rPr>
      </w:pPr>
      <w:r>
        <w:rPr>
          <w:rFonts w:hint="eastAsia" w:hAnsi="宋体" w:cs="宋体"/>
          <w:b/>
          <w:bCs/>
          <w:sz w:val="24"/>
          <w:szCs w:val="24"/>
        </w:rPr>
        <w:t>（五）水果类</w:t>
      </w:r>
      <w:r>
        <w:rPr>
          <w:rFonts w:hint="eastAsia" w:hAnsi="宋体" w:cs="宋体"/>
          <w:sz w:val="24"/>
          <w:szCs w:val="24"/>
        </w:rPr>
        <w:t>：水果类必须保证果型匀称，色泽均匀，无干疤</w:t>
      </w:r>
      <w:r>
        <w:rPr>
          <w:rFonts w:hint="eastAsia" w:ascii="宋体" w:hAnsi="宋体"/>
          <w:sz w:val="24"/>
        </w:rPr>
        <w:t>、斑点、裂口、腐烂，口感好，并</w:t>
      </w:r>
      <w:r>
        <w:rPr>
          <w:rFonts w:hint="eastAsia" w:ascii="宋体"/>
          <w:color w:val="000000"/>
          <w:sz w:val="24"/>
        </w:rPr>
        <w:t>根据采购人需求提供当季水果</w:t>
      </w:r>
      <w:r>
        <w:rPr>
          <w:rFonts w:hint="eastAsia" w:ascii="宋体" w:hAnsi="宋体"/>
          <w:sz w:val="24"/>
        </w:rPr>
        <w:t>。农药残留符合GB 2763</w:t>
      </w:r>
      <w:r>
        <w:rPr>
          <w:rFonts w:hint="eastAsia" w:hAnsi="宋体" w:cs="宋体"/>
          <w:sz w:val="24"/>
          <w:szCs w:val="24"/>
        </w:rPr>
        <w:t>国家最新标准</w:t>
      </w:r>
      <w:r>
        <w:rPr>
          <w:rFonts w:hint="eastAsia" w:ascii="宋体" w:hAnsi="宋体"/>
          <w:sz w:val="24"/>
        </w:rPr>
        <w:t>国家标准</w:t>
      </w:r>
      <w:r>
        <w:rPr>
          <w:rFonts w:hint="eastAsia" w:ascii="宋体"/>
          <w:color w:val="000000"/>
          <w:sz w:val="24"/>
        </w:rPr>
        <w:t>，严禁配送使用剧毒农药的水果，不得配送药性和肥气未脱的水果。水果必须保证其新鲜度，残余农药含量不能超过国家有关标准。由水果引发的食物中毒等安全事故，由中标供应商负全责。</w:t>
      </w:r>
    </w:p>
    <w:p>
      <w:pPr>
        <w:snapToGrid w:val="0"/>
        <w:spacing w:line="440" w:lineRule="exact"/>
        <w:ind w:firstLine="600"/>
        <w:rPr>
          <w:rFonts w:hAnsi="宋体" w:cs="宋体"/>
          <w:b/>
          <w:bCs/>
          <w:sz w:val="24"/>
          <w:szCs w:val="24"/>
        </w:rPr>
      </w:pPr>
      <w:r>
        <w:rPr>
          <w:rFonts w:hint="eastAsia" w:hAnsi="宋体" w:cs="宋体"/>
          <w:b/>
          <w:bCs/>
          <w:sz w:val="24"/>
          <w:szCs w:val="24"/>
        </w:rPr>
        <w:t>（六）食品安全要求：</w:t>
      </w:r>
    </w:p>
    <w:p>
      <w:pPr>
        <w:spacing w:line="360" w:lineRule="auto"/>
        <w:ind w:firstLine="482" w:firstLineChars="200"/>
        <w:rPr>
          <w:rFonts w:hAnsi="宋体" w:cs="宋体"/>
          <w:sz w:val="24"/>
          <w:szCs w:val="24"/>
        </w:rPr>
      </w:pPr>
      <w:r>
        <w:rPr>
          <w:rFonts w:hint="eastAsia" w:ascii="宋体" w:hAnsi="宋体" w:cs="宋体"/>
          <w:b/>
          <w:bCs/>
          <w:sz w:val="24"/>
          <w:szCs w:val="24"/>
        </w:rPr>
        <w:t>★</w:t>
      </w:r>
      <w:r>
        <w:rPr>
          <w:rFonts w:hint="eastAsia" w:ascii="宋体"/>
          <w:color w:val="000000"/>
          <w:sz w:val="24"/>
        </w:rPr>
        <w:t>1、以上所有</w:t>
      </w:r>
      <w:r>
        <w:rPr>
          <w:rFonts w:hint="eastAsia" w:hAnsi="宋体" w:cs="宋体"/>
          <w:sz w:val="24"/>
          <w:szCs w:val="24"/>
        </w:rPr>
        <w:t>产品必须符合国家的相关标准与要求，并在配送时按要求提供产品所涉及的《全国工业产品生产许可证》、《食品生产许可证》、《生猪定点屠宰证》和《动物防疫条件合格证》等国家强制规定材料，不得提供转基因食品或利用转基因食品原料加工的成品，投标人所供产品达到相关食品卫生安全规定，国家有出台新的更高标准的，以新的更高标准为准，保证所供产品配送到被服务单位时的质量、卫生和安全。（投标人必须单独提供承诺函原件，否则作无效投标处理，格式自拟）。</w:t>
      </w:r>
    </w:p>
    <w:p>
      <w:pPr>
        <w:snapToGrid w:val="0"/>
        <w:spacing w:line="400" w:lineRule="exact"/>
        <w:ind w:firstLine="480" w:firstLineChars="200"/>
        <w:rPr>
          <w:rFonts w:ascii="宋体" w:hAnsi="宋体"/>
          <w:sz w:val="24"/>
          <w:szCs w:val="24"/>
        </w:rPr>
      </w:pPr>
      <w:r>
        <w:rPr>
          <w:rFonts w:hint="eastAsia" w:ascii="宋体" w:hAnsi="宋体"/>
          <w:sz w:val="24"/>
          <w:szCs w:val="24"/>
        </w:rPr>
        <w:t>2、产品供应链管理要求</w:t>
      </w:r>
    </w:p>
    <w:p>
      <w:pPr>
        <w:snapToGrid w:val="0"/>
        <w:spacing w:line="400" w:lineRule="exact"/>
        <w:ind w:firstLine="480" w:firstLineChars="200"/>
        <w:rPr>
          <w:rFonts w:ascii="宋体" w:hAnsi="宋体"/>
          <w:sz w:val="24"/>
          <w:szCs w:val="24"/>
        </w:rPr>
      </w:pPr>
      <w:r>
        <w:rPr>
          <w:rFonts w:hint="eastAsia" w:ascii="宋体" w:hAnsi="宋体"/>
          <w:sz w:val="24"/>
          <w:szCs w:val="24"/>
        </w:rPr>
        <w:t>（1）采购时应制定并完善供应商档案表，包括供应商的名称、供货能力、质量保证能力、产品质量情况、供货情况等方面的资料，严格审验供货商的许可证、合格证等证明文件，并分类建立档案，确保食品能追根溯源；</w:t>
      </w:r>
    </w:p>
    <w:p>
      <w:pPr>
        <w:snapToGrid w:val="0"/>
        <w:spacing w:line="400" w:lineRule="exact"/>
        <w:ind w:firstLine="480" w:firstLineChars="200"/>
        <w:rPr>
          <w:rFonts w:ascii="宋体" w:hAnsi="宋体"/>
          <w:sz w:val="24"/>
          <w:szCs w:val="24"/>
        </w:rPr>
      </w:pPr>
      <w:r>
        <w:rPr>
          <w:rFonts w:hint="eastAsia" w:ascii="宋体" w:hAnsi="宋体"/>
          <w:sz w:val="24"/>
          <w:szCs w:val="24"/>
        </w:rPr>
        <w:t>（2）建立稳定的产品供应商库，并不定期对供应商进行产品抽样检查；</w:t>
      </w:r>
    </w:p>
    <w:p>
      <w:pPr>
        <w:snapToGrid w:val="0"/>
        <w:spacing w:line="400" w:lineRule="exact"/>
        <w:ind w:firstLine="480" w:firstLineChars="200"/>
        <w:rPr>
          <w:rFonts w:ascii="宋体" w:hAnsi="宋体"/>
          <w:sz w:val="24"/>
          <w:szCs w:val="24"/>
        </w:rPr>
      </w:pPr>
      <w:r>
        <w:rPr>
          <w:rFonts w:hint="eastAsia" w:ascii="宋体" w:hAnsi="宋体"/>
          <w:sz w:val="24"/>
          <w:szCs w:val="24"/>
        </w:rPr>
        <w:t>（3）根据食材配送项目的特性，制定供应商指标体系，并对其进行筛选评级，对不达标的，解除长期或短期合作关系；</w:t>
      </w:r>
    </w:p>
    <w:p>
      <w:pPr>
        <w:snapToGrid w:val="0"/>
        <w:spacing w:line="400" w:lineRule="exact"/>
        <w:ind w:firstLine="480" w:firstLineChars="200"/>
        <w:rPr>
          <w:rFonts w:ascii="宋体" w:hAnsi="宋体"/>
          <w:sz w:val="24"/>
          <w:szCs w:val="24"/>
        </w:rPr>
      </w:pPr>
      <w:r>
        <w:rPr>
          <w:rFonts w:hint="eastAsia" w:ascii="宋体" w:hAnsi="宋体"/>
          <w:sz w:val="24"/>
          <w:szCs w:val="24"/>
        </w:rPr>
        <w:t>（4）每次购入食品，如实记录食品的进货日期、名称、规格、数量、生产批号、保质期、供货商联系方式等内容；</w:t>
      </w:r>
    </w:p>
    <w:p>
      <w:pPr>
        <w:snapToGrid w:val="0"/>
        <w:spacing w:line="400" w:lineRule="exact"/>
        <w:ind w:firstLine="480" w:firstLineChars="200"/>
        <w:rPr>
          <w:rFonts w:ascii="宋体" w:hAnsi="宋体"/>
          <w:sz w:val="24"/>
          <w:szCs w:val="24"/>
        </w:rPr>
      </w:pPr>
      <w:r>
        <w:rPr>
          <w:rFonts w:hint="eastAsia" w:ascii="宋体" w:hAnsi="宋体"/>
          <w:sz w:val="24"/>
          <w:szCs w:val="24"/>
        </w:rPr>
        <w:t>（5）食品储存仓库要做好温度湿度控制和防四害处理。</w:t>
      </w:r>
    </w:p>
    <w:p>
      <w:pPr>
        <w:snapToGrid w:val="0"/>
        <w:spacing w:line="400" w:lineRule="exact"/>
        <w:ind w:firstLine="480" w:firstLineChars="200"/>
        <w:rPr>
          <w:rFonts w:ascii="宋体" w:hAnsi="宋体"/>
          <w:sz w:val="24"/>
          <w:szCs w:val="24"/>
        </w:rPr>
      </w:pPr>
      <w:r>
        <w:rPr>
          <w:rFonts w:hint="eastAsia" w:ascii="宋体" w:hAnsi="宋体"/>
          <w:sz w:val="24"/>
          <w:szCs w:val="24"/>
        </w:rPr>
        <w:t>3、应急处置措施要求</w:t>
      </w:r>
    </w:p>
    <w:p>
      <w:pPr>
        <w:snapToGrid w:val="0"/>
        <w:spacing w:line="400" w:lineRule="exact"/>
        <w:ind w:firstLine="480" w:firstLineChars="200"/>
        <w:rPr>
          <w:rFonts w:ascii="宋体" w:hAnsi="宋体"/>
          <w:sz w:val="24"/>
          <w:szCs w:val="24"/>
        </w:rPr>
      </w:pPr>
      <w:r>
        <w:rPr>
          <w:rFonts w:hint="eastAsia" w:ascii="宋体" w:hAnsi="宋体"/>
          <w:sz w:val="24"/>
          <w:szCs w:val="24"/>
        </w:rPr>
        <w:t>（1）成立为本项目配备的食品安全突发事件预防与处置小组，切实加强组织领导，对食品安全事件的预防常抓不懈；</w:t>
      </w:r>
    </w:p>
    <w:p>
      <w:pPr>
        <w:snapToGrid w:val="0"/>
        <w:spacing w:line="400" w:lineRule="exact"/>
        <w:ind w:firstLine="480" w:firstLineChars="200"/>
        <w:rPr>
          <w:rFonts w:ascii="宋体" w:hAnsi="宋体"/>
          <w:sz w:val="24"/>
          <w:szCs w:val="24"/>
        </w:rPr>
      </w:pPr>
      <w:r>
        <w:rPr>
          <w:rFonts w:hint="eastAsia" w:ascii="宋体" w:hAnsi="宋体"/>
          <w:sz w:val="24"/>
          <w:szCs w:val="24"/>
        </w:rPr>
        <w:t>（2）建立食品安全突发事件值班制度，设置并公示突发事件报告或投诉电话，尤其是在食品安全事故多发季节，要重点落实；</w:t>
      </w:r>
    </w:p>
    <w:p>
      <w:pPr>
        <w:snapToGrid w:val="0"/>
        <w:spacing w:line="400" w:lineRule="exact"/>
        <w:ind w:firstLine="480" w:firstLineChars="200"/>
        <w:rPr>
          <w:rFonts w:ascii="宋体" w:hAnsi="宋体"/>
          <w:sz w:val="24"/>
          <w:szCs w:val="24"/>
        </w:rPr>
      </w:pPr>
      <w:r>
        <w:rPr>
          <w:rFonts w:hint="eastAsia" w:ascii="宋体" w:hAnsi="宋体"/>
          <w:sz w:val="24"/>
          <w:szCs w:val="24"/>
        </w:rPr>
        <w:t>（3）若发生食品安全事件应立即启动安全应急预案，封存可能导致食品安全事故的食品及其原料，配合调查；</w:t>
      </w:r>
    </w:p>
    <w:p>
      <w:pPr>
        <w:snapToGrid w:val="0"/>
        <w:spacing w:line="400" w:lineRule="exact"/>
        <w:ind w:firstLine="480" w:firstLineChars="200"/>
        <w:rPr>
          <w:rFonts w:ascii="宋体" w:hAnsi="宋体"/>
          <w:sz w:val="24"/>
          <w:szCs w:val="24"/>
        </w:rPr>
      </w:pPr>
      <w:r>
        <w:rPr>
          <w:rFonts w:hint="eastAsia" w:ascii="宋体" w:hAnsi="宋体"/>
          <w:sz w:val="24"/>
          <w:szCs w:val="24"/>
        </w:rPr>
        <w:t>（4）验收时发现不合格食品，乙方应当在一小时内完成货品更换，临时接待在甲方规定时间内送达，特殊紧急情况30分钟内响应并送达；</w:t>
      </w:r>
    </w:p>
    <w:p>
      <w:pPr>
        <w:snapToGrid w:val="0"/>
        <w:spacing w:line="400" w:lineRule="exact"/>
        <w:ind w:firstLine="480" w:firstLineChars="200"/>
        <w:rPr>
          <w:rFonts w:ascii="宋体" w:hAnsi="宋体"/>
          <w:sz w:val="24"/>
          <w:szCs w:val="24"/>
        </w:rPr>
      </w:pPr>
      <w:r>
        <w:rPr>
          <w:rFonts w:hint="eastAsia" w:ascii="宋体" w:hAnsi="宋体"/>
          <w:sz w:val="24"/>
          <w:szCs w:val="24"/>
        </w:rPr>
        <w:t>4、产品质量保障要求</w:t>
      </w:r>
    </w:p>
    <w:p>
      <w:pPr>
        <w:snapToGrid w:val="0"/>
        <w:spacing w:line="400" w:lineRule="exact"/>
        <w:ind w:firstLine="480" w:firstLineChars="200"/>
        <w:rPr>
          <w:rFonts w:ascii="宋体" w:hAnsi="宋体"/>
          <w:sz w:val="24"/>
          <w:szCs w:val="24"/>
        </w:rPr>
      </w:pPr>
      <w:r>
        <w:rPr>
          <w:rFonts w:hint="eastAsia" w:ascii="宋体" w:hAnsi="宋体"/>
          <w:sz w:val="24"/>
          <w:szCs w:val="24"/>
        </w:rPr>
        <w:t>（1）每日配送的食材应提供检验报告，动物提供检疫合格证，蔬菜提供农残检测报告，其他食品按采购人要求提供厂家品牌产品并随附检验报告；</w:t>
      </w:r>
    </w:p>
    <w:p>
      <w:pPr>
        <w:snapToGrid w:val="0"/>
        <w:spacing w:line="400" w:lineRule="exact"/>
        <w:ind w:firstLine="480" w:firstLineChars="200"/>
        <w:rPr>
          <w:rFonts w:ascii="宋体" w:hAnsi="宋体"/>
          <w:sz w:val="24"/>
          <w:szCs w:val="24"/>
        </w:rPr>
      </w:pPr>
      <w:r>
        <w:rPr>
          <w:rFonts w:hint="eastAsia" w:ascii="宋体" w:hAnsi="宋体"/>
          <w:sz w:val="24"/>
          <w:szCs w:val="24"/>
        </w:rPr>
        <w:t>（2）对畜禽肉进行水分速测，检测是否为注水肉，若供应商已做水分速测，需提供书面速测报告，验收员核实后需保存每次收货供应商提供的速测报告；</w:t>
      </w:r>
    </w:p>
    <w:p>
      <w:pPr>
        <w:snapToGrid w:val="0"/>
        <w:spacing w:line="400" w:lineRule="exact"/>
        <w:ind w:firstLine="480" w:firstLineChars="200"/>
        <w:rPr>
          <w:rFonts w:ascii="宋体" w:hAnsi="宋体"/>
          <w:sz w:val="24"/>
          <w:szCs w:val="24"/>
        </w:rPr>
      </w:pPr>
      <w:r>
        <w:rPr>
          <w:rFonts w:hint="eastAsia" w:ascii="宋体" w:hAnsi="宋体"/>
          <w:sz w:val="24"/>
          <w:szCs w:val="24"/>
        </w:rPr>
        <w:t>（3）要求供应商对肉类食材进行瘦肉精检测，需提供书面检测报告，验收员核实后需保存每次收货供应商提供的报告；</w:t>
      </w:r>
    </w:p>
    <w:p>
      <w:pPr>
        <w:snapToGrid w:val="0"/>
        <w:spacing w:line="400" w:lineRule="exact"/>
        <w:ind w:firstLine="482" w:firstLineChars="200"/>
        <w:rPr>
          <w:rFonts w:ascii="宋体" w:hAnsi="宋体"/>
          <w:sz w:val="24"/>
          <w:szCs w:val="24"/>
        </w:rPr>
      </w:pPr>
      <w:r>
        <w:rPr>
          <w:rFonts w:hint="eastAsia" w:ascii="宋体" w:hAnsi="宋体" w:cs="宋体"/>
          <w:b/>
          <w:bCs/>
          <w:sz w:val="24"/>
          <w:szCs w:val="24"/>
        </w:rPr>
        <w:t>★</w:t>
      </w:r>
      <w:r>
        <w:rPr>
          <w:rFonts w:hint="eastAsia" w:ascii="宋体" w:hAnsi="宋体"/>
          <w:sz w:val="24"/>
          <w:szCs w:val="24"/>
        </w:rPr>
        <w:t>（4）配送产品符合《食品安全法》相关要求，达到相关食品卫生安全规定，国家有出台新的更高标准的，以新的更高标准为准，保证所供产品配送到指定地点时的质量、卫生和安全。未按国家相关食品卫生标准及本招标文件要求配送的食材引发的食品卫生中毒等食品安全事故，由中标供应商负完全责任。（投标供应商需提供承诺函）</w:t>
      </w:r>
    </w:p>
    <w:p>
      <w:pPr>
        <w:snapToGrid w:val="0"/>
        <w:spacing w:line="400" w:lineRule="exact"/>
        <w:ind w:firstLine="480" w:firstLineChars="200"/>
        <w:rPr>
          <w:rFonts w:ascii="宋体" w:hAnsi="宋体"/>
          <w:sz w:val="24"/>
          <w:szCs w:val="24"/>
        </w:rPr>
      </w:pPr>
      <w:r>
        <w:rPr>
          <w:rFonts w:hint="eastAsia" w:ascii="宋体" w:hAnsi="宋体"/>
          <w:sz w:val="24"/>
          <w:szCs w:val="24"/>
        </w:rPr>
        <w:t>（5）不能配送转基因食材。</w:t>
      </w:r>
    </w:p>
    <w:p>
      <w:pPr>
        <w:snapToGrid w:val="0"/>
        <w:spacing w:line="400" w:lineRule="exact"/>
        <w:ind w:firstLine="480" w:firstLineChars="200"/>
        <w:rPr>
          <w:rFonts w:ascii="宋体"/>
          <w:sz w:val="24"/>
        </w:rPr>
      </w:pPr>
      <w:r>
        <w:rPr>
          <w:rFonts w:hint="eastAsia" w:ascii="宋体"/>
          <w:sz w:val="24"/>
        </w:rPr>
        <w:t>（6）</w:t>
      </w:r>
      <w:r>
        <w:rPr>
          <w:rFonts w:hint="eastAsia" w:ascii="宋体"/>
          <w:color w:val="000000"/>
          <w:sz w:val="24"/>
        </w:rPr>
        <w:t>预包装</w:t>
      </w:r>
      <w:r>
        <w:rPr>
          <w:rFonts w:hint="eastAsia" w:ascii="宋体"/>
          <w:sz w:val="24"/>
        </w:rPr>
        <w:t>食品须符合《预包装食品标签通则》（最新国家标准）保证规格品种完全符合采购方要求，包装规格、口味、种类齐全。保质期在3天以内的，必须是送货当天生</w:t>
      </w:r>
      <w:r>
        <w:rPr>
          <w:rFonts w:hint="eastAsia" w:ascii="宋体"/>
          <w:color w:val="000000"/>
          <w:sz w:val="24"/>
        </w:rPr>
        <w:t>产的货品；保质期在7天以内的，送货日不超过生产日两日；保质期在6个月以内的，送货日至保质期到期日的天数必须大于保质期天数的三分之二；6个月以上的，送货日至保质期到期日的天数必须大于保质期天数的二分之一，凭出厂合格证与检验员章确认质量。</w:t>
      </w:r>
    </w:p>
    <w:p>
      <w:pPr>
        <w:snapToGrid w:val="0"/>
        <w:spacing w:line="440" w:lineRule="exact"/>
        <w:ind w:firstLine="600"/>
        <w:rPr>
          <w:rFonts w:ascii="宋体"/>
          <w:b/>
          <w:color w:val="000000"/>
          <w:sz w:val="24"/>
        </w:rPr>
      </w:pPr>
      <w:r>
        <w:rPr>
          <w:rFonts w:hint="eastAsia" w:ascii="宋体"/>
          <w:b/>
          <w:color w:val="000000"/>
          <w:sz w:val="24"/>
        </w:rPr>
        <w:t>四、其他需求：</w:t>
      </w:r>
    </w:p>
    <w:p>
      <w:pPr>
        <w:snapToGrid w:val="0"/>
        <w:spacing w:line="440" w:lineRule="exact"/>
        <w:ind w:firstLine="600"/>
        <w:rPr>
          <w:rFonts w:ascii="宋体"/>
          <w:color w:val="000000"/>
          <w:sz w:val="24"/>
        </w:rPr>
      </w:pPr>
      <w:r>
        <w:rPr>
          <w:rFonts w:hint="eastAsia" w:ascii="宋体"/>
          <w:color w:val="000000"/>
          <w:sz w:val="24"/>
        </w:rPr>
        <w:t>1、符合《食品安全法》相关要求：</w:t>
      </w:r>
    </w:p>
    <w:p>
      <w:pPr>
        <w:snapToGrid w:val="0"/>
        <w:spacing w:line="440" w:lineRule="exact"/>
        <w:ind w:firstLine="600"/>
        <w:rPr>
          <w:rFonts w:ascii="宋体"/>
          <w:color w:val="000000"/>
          <w:sz w:val="24"/>
        </w:rPr>
      </w:pPr>
      <w:r>
        <w:rPr>
          <w:rFonts w:hint="eastAsia" w:ascii="宋体"/>
          <w:color w:val="000000"/>
          <w:sz w:val="24"/>
        </w:rPr>
        <w:t>2、配送的蔬菜肉类需具有追踪溯源标识或记录记载，并可实现追踪溯源；</w:t>
      </w:r>
    </w:p>
    <w:p>
      <w:pPr>
        <w:snapToGrid w:val="0"/>
        <w:spacing w:line="440" w:lineRule="exact"/>
        <w:ind w:firstLine="600"/>
        <w:rPr>
          <w:rFonts w:ascii="宋体"/>
          <w:sz w:val="24"/>
        </w:rPr>
      </w:pPr>
      <w:r>
        <w:rPr>
          <w:rFonts w:hint="eastAsia" w:ascii="宋体"/>
          <w:sz w:val="24"/>
        </w:rPr>
        <w:t>3、乙方承诺合同签订后在武侯区市民中心（成都市武科西五路360号）附近区域内（30分钟交通距离）设置自有应急配送门店(具备食品、肉类、粮油、蔬菜等应急配送能力）</w:t>
      </w:r>
      <w:r>
        <w:rPr>
          <w:rFonts w:hint="eastAsia"/>
        </w:rPr>
        <w:t>，</w:t>
      </w:r>
      <w:r>
        <w:rPr>
          <w:rFonts w:hint="eastAsia" w:ascii="宋体"/>
          <w:sz w:val="24"/>
          <w:highlight w:val="yellow"/>
        </w:rPr>
        <w:t>应急配送要求应在30分钟内予以响应并送到。</w:t>
      </w:r>
      <w:r>
        <w:rPr>
          <w:rFonts w:hint="eastAsia" w:ascii="宋体"/>
          <w:sz w:val="24"/>
        </w:rPr>
        <w:t>（</w:t>
      </w:r>
      <w:r>
        <w:rPr>
          <w:rFonts w:hint="eastAsia" w:ascii="宋体"/>
          <w:b/>
          <w:bCs/>
          <w:sz w:val="24"/>
        </w:rPr>
        <w:t>需提供承诺函</w:t>
      </w:r>
      <w:r>
        <w:rPr>
          <w:rFonts w:hint="eastAsia" w:ascii="宋体"/>
          <w:sz w:val="24"/>
        </w:rPr>
        <w:t>）；</w:t>
      </w:r>
    </w:p>
    <w:p>
      <w:pPr>
        <w:snapToGrid w:val="0"/>
        <w:spacing w:line="440" w:lineRule="exact"/>
        <w:ind w:firstLine="600"/>
        <w:rPr>
          <w:rFonts w:ascii="宋体"/>
          <w:sz w:val="24"/>
        </w:rPr>
      </w:pPr>
      <w:r>
        <w:rPr>
          <w:rFonts w:hint="eastAsia" w:ascii="宋体"/>
          <w:sz w:val="24"/>
        </w:rPr>
        <w:t>4、</w:t>
      </w:r>
      <w:r>
        <w:rPr>
          <w:rFonts w:ascii="宋体"/>
          <w:sz w:val="24"/>
        </w:rPr>
        <w:t>以</w:t>
      </w:r>
      <w:r>
        <w:rPr>
          <w:rFonts w:hint="eastAsia" w:ascii="宋体"/>
          <w:sz w:val="24"/>
        </w:rPr>
        <w:t>采购人</w:t>
      </w:r>
      <w:r>
        <w:rPr>
          <w:rFonts w:ascii="宋体"/>
          <w:sz w:val="24"/>
        </w:rPr>
        <w:t>实际需求及用量进行配送服务，并按</w:t>
      </w:r>
      <w:r>
        <w:rPr>
          <w:rFonts w:hint="eastAsia" w:ascii="宋体"/>
          <w:sz w:val="24"/>
        </w:rPr>
        <w:t>甲方书面确认的</w:t>
      </w:r>
      <w:r>
        <w:rPr>
          <w:rFonts w:ascii="宋体"/>
          <w:sz w:val="24"/>
        </w:rPr>
        <w:t>实际用量进行结算，以上数据仅供供应商参考，不作为供应商报价依据</w:t>
      </w:r>
      <w:r>
        <w:rPr>
          <w:rFonts w:hint="eastAsia" w:ascii="宋体"/>
          <w:sz w:val="24"/>
        </w:rPr>
        <w:t>。</w:t>
      </w:r>
    </w:p>
    <w:p>
      <w:pPr>
        <w:snapToGrid w:val="0"/>
        <w:spacing w:line="440" w:lineRule="exact"/>
        <w:ind w:firstLine="482" w:firstLineChars="200"/>
        <w:rPr>
          <w:rFonts w:ascii="宋体"/>
          <w:b/>
          <w:color w:val="000000"/>
          <w:sz w:val="24"/>
        </w:rPr>
      </w:pPr>
      <w:r>
        <w:rPr>
          <w:rFonts w:hint="eastAsia" w:ascii="宋体"/>
          <w:b/>
          <w:color w:val="000000"/>
          <w:sz w:val="24"/>
        </w:rPr>
        <w:t>五、配送方法及要求：</w:t>
      </w:r>
    </w:p>
    <w:p>
      <w:pPr>
        <w:snapToGrid w:val="0"/>
        <w:spacing w:line="400" w:lineRule="exact"/>
        <w:ind w:firstLine="482" w:firstLineChars="200"/>
        <w:rPr>
          <w:rFonts w:ascii="宋体" w:hAnsi="宋体"/>
          <w:b/>
          <w:sz w:val="24"/>
          <w:szCs w:val="24"/>
        </w:rPr>
      </w:pPr>
      <w:r>
        <w:rPr>
          <w:rFonts w:hint="eastAsia" w:ascii="宋体" w:hAnsi="宋体"/>
          <w:b/>
          <w:sz w:val="24"/>
          <w:szCs w:val="24"/>
        </w:rPr>
        <w:t>（一）配送时间要求：</w:t>
      </w:r>
    </w:p>
    <w:p>
      <w:pPr>
        <w:snapToGrid w:val="0"/>
        <w:spacing w:line="400" w:lineRule="exact"/>
        <w:ind w:firstLine="480" w:firstLineChars="200"/>
        <w:rPr>
          <w:rFonts w:ascii="宋体" w:hAnsi="宋体"/>
          <w:sz w:val="24"/>
          <w:szCs w:val="24"/>
        </w:rPr>
      </w:pPr>
      <w:r>
        <w:rPr>
          <w:rFonts w:hint="eastAsia" w:ascii="宋体" w:hAnsi="宋体"/>
          <w:sz w:val="24"/>
          <w:szCs w:val="24"/>
        </w:rPr>
        <w:t>每天早餐食材可提前一天送到，午餐食材应在当天上午7:00以前送到，（送达时间以采购方要求为准）。临时晚餐接待，应急配送要求应在甲方发出要求后30分钟内予以响应并送到。</w:t>
      </w:r>
    </w:p>
    <w:p>
      <w:pPr>
        <w:snapToGrid w:val="0"/>
        <w:spacing w:line="400" w:lineRule="exact"/>
        <w:ind w:firstLine="482" w:firstLineChars="200"/>
        <w:rPr>
          <w:rFonts w:ascii="宋体" w:hAnsi="宋体"/>
          <w:b/>
          <w:sz w:val="24"/>
          <w:szCs w:val="24"/>
        </w:rPr>
      </w:pPr>
      <w:r>
        <w:rPr>
          <w:rFonts w:hint="eastAsia" w:ascii="宋体" w:hAnsi="宋体"/>
          <w:b/>
          <w:sz w:val="24"/>
          <w:szCs w:val="24"/>
        </w:rPr>
        <w:t>（二）配送要求：</w:t>
      </w:r>
    </w:p>
    <w:p>
      <w:pPr>
        <w:snapToGrid w:val="0"/>
        <w:spacing w:line="400" w:lineRule="exact"/>
        <w:ind w:firstLine="480" w:firstLineChars="200"/>
        <w:rPr>
          <w:rFonts w:ascii="宋体" w:hAnsi="宋体"/>
          <w:sz w:val="24"/>
          <w:szCs w:val="24"/>
        </w:rPr>
      </w:pPr>
      <w:r>
        <w:rPr>
          <w:rFonts w:hint="eastAsia" w:ascii="宋体" w:hAnsi="宋体"/>
          <w:sz w:val="24"/>
          <w:szCs w:val="24"/>
        </w:rPr>
        <w:t>(1)投标供应商针对本项目至少配备2辆厢式密封配送车，至少2辆冷链配送车，且提供车辆固定专门为本项目使用，配送车辆应符合相关卫生要求，做到每日清洗、消毒并做好消毒记录。</w:t>
      </w:r>
    </w:p>
    <w:p>
      <w:pPr>
        <w:snapToGrid w:val="0"/>
        <w:spacing w:line="400" w:lineRule="exact"/>
        <w:ind w:firstLine="480" w:firstLineChars="200"/>
        <w:rPr>
          <w:rFonts w:ascii="宋体" w:hAnsi="宋体"/>
          <w:b/>
          <w:bCs/>
          <w:sz w:val="24"/>
          <w:szCs w:val="24"/>
        </w:rPr>
      </w:pPr>
      <w:r>
        <w:rPr>
          <w:rFonts w:hint="eastAsia" w:ascii="宋体" w:hAnsi="宋体"/>
          <w:sz w:val="24"/>
          <w:szCs w:val="24"/>
        </w:rPr>
        <w:t>(2)为保证食材配送及时，保障食堂每日准时供餐，投标供应商为本项目配备的4名配送人员为本公司员工，且持有有效健康证。未经采购人事先许可，供应商不得擅自变动配送人员</w:t>
      </w:r>
      <w:r>
        <w:rPr>
          <w:rFonts w:hint="eastAsia" w:ascii="宋体" w:hAnsi="宋体"/>
          <w:b/>
          <w:bCs/>
          <w:sz w:val="24"/>
          <w:szCs w:val="24"/>
        </w:rPr>
        <w:t>（需提供承诺函）</w:t>
      </w:r>
    </w:p>
    <w:p>
      <w:pPr>
        <w:snapToGrid w:val="0"/>
        <w:spacing w:line="400" w:lineRule="exact"/>
        <w:ind w:firstLine="480" w:firstLineChars="200"/>
        <w:rPr>
          <w:rFonts w:ascii="宋体" w:hAnsi="宋体"/>
          <w:sz w:val="24"/>
          <w:szCs w:val="24"/>
        </w:rPr>
      </w:pPr>
      <w:r>
        <w:rPr>
          <w:rFonts w:hint="eastAsia" w:ascii="宋体" w:hAnsi="宋体"/>
          <w:sz w:val="24"/>
          <w:szCs w:val="24"/>
        </w:rPr>
        <w:t>（3）投标供应商保证配送商品质量、数量、送货时间等均符合采购人要求(下单规则至少提前一天制定需求），紧急情况除外如遇不可抗力造成送货延误的，经采购人同意后，投标供应商应按采购人另行指定的地点和时间及时送达。</w:t>
      </w:r>
    </w:p>
    <w:p>
      <w:pPr>
        <w:snapToGrid w:val="0"/>
        <w:spacing w:line="400" w:lineRule="exact"/>
        <w:ind w:firstLine="480" w:firstLineChars="200"/>
        <w:rPr>
          <w:rFonts w:ascii="宋体" w:hAnsi="宋体"/>
          <w:sz w:val="24"/>
          <w:szCs w:val="24"/>
        </w:rPr>
      </w:pPr>
      <w:r>
        <w:rPr>
          <w:rFonts w:hint="eastAsia" w:ascii="宋体" w:hAnsi="宋体"/>
          <w:sz w:val="24"/>
          <w:szCs w:val="24"/>
        </w:rPr>
        <w:t>（4）投标供应商须为本项目确定一名项目负责人。投标供应商与采购人均需安排专人负责联系（手机号码、短信、微信），并确认产品需求量、加工要求（如有）、配送时间及配送要求。</w:t>
      </w:r>
    </w:p>
    <w:p>
      <w:pPr>
        <w:snapToGrid w:val="0"/>
        <w:spacing w:line="400" w:lineRule="exact"/>
        <w:ind w:firstLine="480" w:firstLineChars="200"/>
        <w:rPr>
          <w:rFonts w:ascii="宋体" w:hAnsi="宋体"/>
          <w:sz w:val="24"/>
          <w:szCs w:val="24"/>
        </w:rPr>
      </w:pPr>
      <w:r>
        <w:rPr>
          <w:rFonts w:hint="eastAsia" w:ascii="宋体" w:hAnsi="宋体"/>
          <w:sz w:val="24"/>
          <w:szCs w:val="24"/>
        </w:rPr>
        <w:t>（5）投标供应商具备各项应急措施，有明确应急联系人（手机号码、短信、微信），保证在各种市场变化及遇突发事件下，能保证货品数量、质量并能及时满足食堂食品及原材料供应。</w:t>
      </w:r>
    </w:p>
    <w:p>
      <w:pPr>
        <w:snapToGrid w:val="0"/>
        <w:spacing w:line="400" w:lineRule="exact"/>
        <w:ind w:firstLine="482" w:firstLineChars="200"/>
        <w:rPr>
          <w:rFonts w:ascii="宋体" w:hAnsi="宋体"/>
          <w:b/>
          <w:sz w:val="24"/>
          <w:szCs w:val="24"/>
        </w:rPr>
      </w:pPr>
      <w:r>
        <w:rPr>
          <w:rFonts w:hint="eastAsia" w:ascii="宋体" w:hAnsi="宋体"/>
          <w:b/>
          <w:sz w:val="24"/>
          <w:szCs w:val="24"/>
        </w:rPr>
        <w:t>（三）仓储管理要求</w:t>
      </w:r>
    </w:p>
    <w:p>
      <w:pPr>
        <w:snapToGrid w:val="0"/>
        <w:spacing w:line="400" w:lineRule="exact"/>
        <w:ind w:firstLine="480" w:firstLineChars="200"/>
        <w:rPr>
          <w:rFonts w:ascii="宋体" w:hAnsi="宋体"/>
          <w:sz w:val="24"/>
          <w:szCs w:val="24"/>
        </w:rPr>
      </w:pPr>
      <w:r>
        <w:rPr>
          <w:rFonts w:hint="eastAsia" w:ascii="宋体" w:hAnsi="宋体"/>
          <w:sz w:val="24"/>
          <w:szCs w:val="24"/>
        </w:rPr>
        <w:t>（1）投标供应商应建立严格的专人验收登记制度，详细记载购入产品的种类、数量和时间，勤进勤出，先进先出，定期清仓检查，防止食品过期、变质、霉变、生虫，及时清理不符合食品安全要求的食品；</w:t>
      </w:r>
    </w:p>
    <w:p>
      <w:pPr>
        <w:snapToGrid w:val="0"/>
        <w:spacing w:line="400" w:lineRule="exact"/>
        <w:ind w:firstLine="480" w:firstLineChars="200"/>
        <w:rPr>
          <w:rFonts w:ascii="宋体" w:hAnsi="宋体"/>
          <w:sz w:val="24"/>
          <w:szCs w:val="24"/>
        </w:rPr>
      </w:pPr>
      <w:r>
        <w:rPr>
          <w:rFonts w:hint="eastAsia" w:ascii="宋体" w:hAnsi="宋体"/>
          <w:sz w:val="24"/>
          <w:szCs w:val="24"/>
        </w:rPr>
        <w:t>（2）食材配送方需对自己的仓储场地与供应商的仓储场地不定期检查，并形成检查报告存档，甲方将不定期抽查；</w:t>
      </w:r>
    </w:p>
    <w:p>
      <w:pPr>
        <w:snapToGrid w:val="0"/>
        <w:spacing w:line="400" w:lineRule="exact"/>
        <w:ind w:firstLine="480" w:firstLineChars="200"/>
        <w:rPr>
          <w:rFonts w:ascii="宋体" w:hAnsi="宋体"/>
          <w:sz w:val="24"/>
          <w:szCs w:val="24"/>
        </w:rPr>
      </w:pPr>
      <w:r>
        <w:rPr>
          <w:rFonts w:hint="eastAsia" w:ascii="宋体" w:hAnsi="宋体"/>
          <w:sz w:val="24"/>
          <w:szCs w:val="24"/>
        </w:rPr>
        <w:t>（3）食材配送方仓储场地需符合食品仓储要求，保持库房温度湿度和卫生情况；</w:t>
      </w:r>
    </w:p>
    <w:p>
      <w:pPr>
        <w:snapToGrid w:val="0"/>
        <w:spacing w:line="400" w:lineRule="exact"/>
        <w:ind w:firstLine="480" w:firstLineChars="200"/>
        <w:rPr>
          <w:rFonts w:ascii="宋体" w:hAnsi="宋体"/>
          <w:sz w:val="24"/>
          <w:szCs w:val="24"/>
        </w:rPr>
      </w:pPr>
      <w:r>
        <w:rPr>
          <w:rFonts w:hint="eastAsia" w:ascii="宋体" w:hAnsi="宋体"/>
          <w:sz w:val="24"/>
          <w:szCs w:val="24"/>
        </w:rPr>
        <w:t>（4）针对不同类别的食材采取分类、分架、隔墙、隔地存放管理，各类食品有明显标识，易于查找，有异味或易潮食品应密封保存或分库存放，易腐食品要及时冷藏或冷冻保存；食品与非食品分库存放，不得与洗化用品和日杂用品等混放；</w:t>
      </w:r>
    </w:p>
    <w:p>
      <w:pPr>
        <w:snapToGrid w:val="0"/>
        <w:spacing w:line="400" w:lineRule="exact"/>
        <w:ind w:firstLine="482" w:firstLineChars="200"/>
        <w:rPr>
          <w:rFonts w:ascii="宋体" w:hAnsi="宋体"/>
          <w:b/>
          <w:sz w:val="24"/>
          <w:szCs w:val="24"/>
        </w:rPr>
      </w:pPr>
      <w:r>
        <w:rPr>
          <w:rFonts w:hint="eastAsia" w:ascii="宋体" w:hAnsi="宋体"/>
          <w:b/>
          <w:sz w:val="24"/>
          <w:szCs w:val="24"/>
        </w:rPr>
        <w:t>（四）人员配备管理方案</w:t>
      </w:r>
    </w:p>
    <w:p>
      <w:pPr>
        <w:snapToGrid w:val="0"/>
        <w:spacing w:line="400" w:lineRule="exact"/>
        <w:ind w:firstLine="480" w:firstLineChars="200"/>
        <w:rPr>
          <w:rFonts w:ascii="宋体" w:hAnsi="宋体"/>
          <w:sz w:val="24"/>
          <w:szCs w:val="24"/>
        </w:rPr>
      </w:pPr>
      <w:r>
        <w:rPr>
          <w:rFonts w:hint="eastAsia" w:ascii="宋体" w:hAnsi="宋体"/>
          <w:sz w:val="24"/>
          <w:szCs w:val="24"/>
        </w:rPr>
        <w:t>（1）配送人员为中标供应商正式员工，提前向采购人报备，不经采购人书面同意，不允许更换配送人员，每次配送至少要有2名配送员，持有健康证，专人专岗，定期体检；</w:t>
      </w:r>
    </w:p>
    <w:p>
      <w:pPr>
        <w:snapToGrid w:val="0"/>
        <w:spacing w:line="400" w:lineRule="exact"/>
        <w:ind w:firstLine="480" w:firstLineChars="200"/>
        <w:rPr>
          <w:rFonts w:ascii="宋体" w:hAnsi="宋体"/>
          <w:sz w:val="24"/>
          <w:szCs w:val="24"/>
        </w:rPr>
      </w:pPr>
      <w:r>
        <w:rPr>
          <w:rFonts w:hint="eastAsia" w:ascii="宋体" w:hAnsi="宋体"/>
          <w:sz w:val="24"/>
          <w:szCs w:val="24"/>
        </w:rPr>
        <w:t>（2）食材配送员必须穿戴整洁的工作衣帽，每日消毒，具有基本的食品安全常识，了解食品卫生相关的法律法规；</w:t>
      </w:r>
    </w:p>
    <w:p>
      <w:pPr>
        <w:snapToGrid w:val="0"/>
        <w:spacing w:line="400" w:lineRule="exact"/>
        <w:ind w:firstLine="480" w:firstLineChars="200"/>
        <w:rPr>
          <w:rFonts w:ascii="宋体" w:hAnsi="宋体"/>
          <w:sz w:val="24"/>
          <w:szCs w:val="24"/>
        </w:rPr>
      </w:pPr>
      <w:r>
        <w:rPr>
          <w:rFonts w:hint="eastAsia" w:ascii="宋体" w:hAnsi="宋体"/>
          <w:sz w:val="24"/>
          <w:szCs w:val="24"/>
        </w:rPr>
        <w:t>（3）加强对食材配送员的培训，装卸食品原料、成品、半成品时，食品不能接触地面，也不能随意堆放在马路边；</w:t>
      </w:r>
    </w:p>
    <w:p>
      <w:pPr>
        <w:snapToGrid w:val="0"/>
        <w:spacing w:line="400" w:lineRule="exact"/>
        <w:ind w:firstLine="482" w:firstLineChars="200"/>
        <w:rPr>
          <w:rFonts w:ascii="宋体" w:hAnsi="宋体"/>
          <w:b/>
          <w:bCs/>
          <w:sz w:val="24"/>
          <w:szCs w:val="24"/>
        </w:rPr>
      </w:pPr>
      <w:r>
        <w:rPr>
          <w:rFonts w:hint="eastAsia" w:ascii="宋体" w:hAnsi="宋体"/>
          <w:b/>
          <w:bCs/>
          <w:sz w:val="24"/>
          <w:szCs w:val="24"/>
        </w:rPr>
        <w:t>（五）配送运输车辆</w:t>
      </w:r>
    </w:p>
    <w:p>
      <w:pPr>
        <w:snapToGrid w:val="0"/>
        <w:spacing w:line="400" w:lineRule="exact"/>
        <w:ind w:firstLine="480" w:firstLineChars="200"/>
        <w:rPr>
          <w:rFonts w:ascii="宋体" w:hAnsi="宋体"/>
          <w:sz w:val="24"/>
          <w:szCs w:val="24"/>
        </w:rPr>
      </w:pPr>
      <w:r>
        <w:rPr>
          <w:rFonts w:hint="eastAsia" w:ascii="宋体" w:hAnsi="宋体"/>
          <w:sz w:val="24"/>
          <w:szCs w:val="24"/>
        </w:rPr>
        <w:t>（1）配送车辆要向采购人报备，不经采购人书面同意，不允许更换配送车辆，专车专送，不得与其他单位配送食品混装，配送前对车辆进行卫生清理与消毒并做好消毒记录；</w:t>
      </w:r>
    </w:p>
    <w:p>
      <w:pPr>
        <w:snapToGrid w:val="0"/>
        <w:spacing w:line="400" w:lineRule="exact"/>
        <w:ind w:firstLine="480" w:firstLineChars="200"/>
        <w:rPr>
          <w:rFonts w:ascii="宋体" w:hAnsi="宋体"/>
          <w:sz w:val="24"/>
          <w:szCs w:val="24"/>
        </w:rPr>
      </w:pPr>
      <w:r>
        <w:rPr>
          <w:rFonts w:hint="eastAsia" w:ascii="宋体" w:hAnsi="宋体"/>
          <w:sz w:val="24"/>
          <w:szCs w:val="24"/>
        </w:rPr>
        <w:t>（2）配送车辆需符合生鲜配送、冷藏配送的要求、不得用面包车、货拉拉等不符合标准的车辆；</w:t>
      </w:r>
    </w:p>
    <w:p>
      <w:pPr>
        <w:snapToGrid w:val="0"/>
        <w:spacing w:line="400" w:lineRule="exact"/>
        <w:ind w:firstLine="480" w:firstLineChars="200"/>
        <w:rPr>
          <w:rFonts w:ascii="宋体" w:hAnsi="宋体"/>
          <w:sz w:val="24"/>
          <w:szCs w:val="24"/>
        </w:rPr>
      </w:pPr>
      <w:r>
        <w:rPr>
          <w:rFonts w:hint="eastAsia" w:ascii="宋体" w:hAnsi="宋体"/>
          <w:sz w:val="24"/>
          <w:szCs w:val="24"/>
        </w:rPr>
        <w:t>（3）冷链食品需配备冷链配送专用车，并随车提供每日蔬菜、水果农残检测报告和肉类的动物检疫合格证明；</w:t>
      </w:r>
    </w:p>
    <w:p>
      <w:pPr>
        <w:snapToGrid w:val="0"/>
        <w:spacing w:line="400" w:lineRule="exact"/>
        <w:ind w:firstLine="480" w:firstLineChars="200"/>
      </w:pPr>
      <w:r>
        <w:rPr>
          <w:rFonts w:hint="eastAsia" w:ascii="宋体" w:hAnsi="宋体"/>
          <w:sz w:val="24"/>
          <w:szCs w:val="24"/>
        </w:rPr>
        <w:t>（4）配送车辆上食品不与其他产品混装、不挤压；</w:t>
      </w:r>
    </w:p>
    <w:p>
      <w:pPr>
        <w:snapToGrid w:val="0"/>
        <w:spacing w:line="440" w:lineRule="exact"/>
        <w:ind w:left="600"/>
        <w:rPr>
          <w:rFonts w:ascii="宋体"/>
          <w:color w:val="000000"/>
          <w:sz w:val="24"/>
        </w:rPr>
      </w:pPr>
      <w:r>
        <w:rPr>
          <w:rFonts w:hint="eastAsia" w:ascii="宋体"/>
          <w:b/>
          <w:color w:val="000000"/>
          <w:sz w:val="24"/>
        </w:rPr>
        <w:t>（六）验收标准</w:t>
      </w:r>
    </w:p>
    <w:p>
      <w:pPr>
        <w:snapToGrid w:val="0"/>
        <w:spacing w:line="400" w:lineRule="exact"/>
        <w:ind w:firstLine="480" w:firstLineChars="200"/>
        <w:rPr>
          <w:rFonts w:ascii="宋体" w:hAnsi="宋体"/>
          <w:sz w:val="24"/>
          <w:szCs w:val="24"/>
        </w:rPr>
      </w:pPr>
      <w:r>
        <w:rPr>
          <w:rFonts w:hint="eastAsia" w:ascii="宋体" w:hAnsi="宋体"/>
          <w:sz w:val="24"/>
          <w:szCs w:val="24"/>
        </w:rPr>
        <w:t>按照采购产品质量及要求的规定开袋逐一检查。验收人员对不合格货品有权要求无条件进行退货、换货。</w:t>
      </w:r>
    </w:p>
    <w:p>
      <w:pPr>
        <w:snapToGrid w:val="0"/>
        <w:spacing w:line="400" w:lineRule="exact"/>
        <w:ind w:firstLine="482" w:firstLineChars="200"/>
        <w:rPr>
          <w:rFonts w:ascii="宋体" w:hAnsi="宋体"/>
          <w:b/>
          <w:sz w:val="24"/>
          <w:szCs w:val="24"/>
        </w:rPr>
      </w:pPr>
      <w:r>
        <w:rPr>
          <w:rFonts w:hint="eastAsia" w:ascii="宋体" w:hAnsi="宋体"/>
          <w:b/>
          <w:sz w:val="24"/>
          <w:szCs w:val="24"/>
        </w:rPr>
        <w:t>六、售后服务要求</w:t>
      </w:r>
    </w:p>
    <w:p>
      <w:pPr>
        <w:adjustRightInd w:val="0"/>
        <w:snapToGrid w:val="0"/>
        <w:spacing w:line="400" w:lineRule="exact"/>
        <w:jc w:val="left"/>
        <w:rPr>
          <w:rFonts w:ascii="宋体" w:hAnsi="宋体"/>
          <w:sz w:val="24"/>
          <w:szCs w:val="24"/>
        </w:rPr>
      </w:pPr>
      <w:r>
        <w:rPr>
          <w:rFonts w:hint="eastAsia" w:ascii="宋体" w:hAnsi="宋体"/>
          <w:sz w:val="24"/>
          <w:szCs w:val="24"/>
        </w:rPr>
        <w:t>1、提供售后服务呼叫电话和响应时间</w:t>
      </w:r>
    </w:p>
    <w:p>
      <w:pPr>
        <w:adjustRightInd w:val="0"/>
        <w:snapToGrid w:val="0"/>
        <w:spacing w:line="400" w:lineRule="exact"/>
        <w:ind w:left="420"/>
        <w:jc w:val="left"/>
        <w:rPr>
          <w:rFonts w:ascii="宋体" w:hAnsi="宋体"/>
          <w:sz w:val="24"/>
          <w:szCs w:val="24"/>
        </w:rPr>
      </w:pPr>
      <w:r>
        <w:rPr>
          <w:rFonts w:hint="eastAsia" w:ascii="宋体" w:hAnsi="宋体"/>
          <w:sz w:val="24"/>
          <w:szCs w:val="24"/>
        </w:rPr>
        <w:t>（1）设置专人专线，且保持电话24小时畅通，有人接听；</w:t>
      </w:r>
    </w:p>
    <w:p>
      <w:pPr>
        <w:adjustRightInd w:val="0"/>
        <w:snapToGrid w:val="0"/>
        <w:spacing w:line="400" w:lineRule="exact"/>
        <w:ind w:left="420"/>
        <w:jc w:val="left"/>
        <w:rPr>
          <w:rFonts w:ascii="宋体" w:hAnsi="宋体"/>
          <w:sz w:val="24"/>
          <w:szCs w:val="24"/>
        </w:rPr>
      </w:pPr>
      <w:r>
        <w:rPr>
          <w:rFonts w:hint="eastAsia" w:ascii="宋体" w:hAnsi="宋体"/>
          <w:sz w:val="24"/>
          <w:szCs w:val="24"/>
        </w:rPr>
        <w:t>（2）当遇突发情况时，需在30分钟内做出响应并提出解决方案；</w:t>
      </w:r>
    </w:p>
    <w:p>
      <w:pPr>
        <w:adjustRightInd w:val="0"/>
        <w:snapToGrid w:val="0"/>
        <w:spacing w:line="400" w:lineRule="exact"/>
        <w:ind w:left="420"/>
        <w:jc w:val="left"/>
        <w:rPr>
          <w:rFonts w:ascii="宋体" w:hAnsi="宋体"/>
          <w:sz w:val="24"/>
          <w:szCs w:val="24"/>
        </w:rPr>
      </w:pPr>
      <w:r>
        <w:rPr>
          <w:rFonts w:hint="eastAsia" w:ascii="宋体" w:hAnsi="宋体"/>
          <w:sz w:val="24"/>
          <w:szCs w:val="24"/>
        </w:rPr>
        <w:t>（3）若遇重大事故，应立即安排人员到现场配合调查工作，并做好事后总结；</w:t>
      </w:r>
    </w:p>
    <w:p>
      <w:pPr>
        <w:adjustRightInd w:val="0"/>
        <w:snapToGrid w:val="0"/>
        <w:spacing w:line="400" w:lineRule="exact"/>
        <w:jc w:val="left"/>
        <w:rPr>
          <w:rFonts w:ascii="宋体" w:hAnsi="宋体"/>
          <w:sz w:val="24"/>
          <w:szCs w:val="24"/>
        </w:rPr>
      </w:pPr>
      <w:r>
        <w:rPr>
          <w:rFonts w:hint="eastAsia" w:ascii="宋体" w:hAnsi="宋体"/>
          <w:sz w:val="24"/>
          <w:szCs w:val="24"/>
        </w:rPr>
        <w:t>2、现场服务支持能力</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（1）如遇突发情况，需紧急加送时，能在30分钟内加送到指定地点；</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（2）遇重大接待，中标人需保持有工作人员在现场，随时做好服务支持；</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（3）不定期对甲方干部职工进行新鲜健康食材选取的宣传科普；</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（4）配合采购人验货，紧急情况下帮助采购人进行食材初加工；</w:t>
      </w:r>
    </w:p>
    <w:p>
      <w:pPr>
        <w:adjustRightInd w:val="0"/>
        <w:snapToGrid w:val="0"/>
        <w:spacing w:line="400" w:lineRule="exact"/>
        <w:jc w:val="left"/>
        <w:rPr>
          <w:rFonts w:ascii="宋体" w:hAnsi="宋体"/>
          <w:sz w:val="24"/>
          <w:szCs w:val="24"/>
        </w:rPr>
      </w:pPr>
      <w:r>
        <w:rPr>
          <w:rFonts w:hint="eastAsia" w:ascii="宋体" w:hAnsi="宋体"/>
          <w:sz w:val="24"/>
          <w:szCs w:val="24"/>
        </w:rPr>
        <w:t>3、售后巡检及质保服务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（1）中标人对食材质量负全责，若出现食材残损无法食用或规格不一，如水果大小规格不一，相差较大的，应及时更换，否则采购人可拒收或不支付该次货款；</w:t>
      </w:r>
    </w:p>
    <w:p>
      <w:pPr>
        <w:adjustRightInd w:val="0"/>
        <w:snapToGrid w:val="0"/>
        <w:spacing w:line="400" w:lineRule="exact"/>
        <w:ind w:left="562"/>
        <w:jc w:val="left"/>
        <w:rPr>
          <w:rFonts w:ascii="宋体" w:hAnsi="宋体"/>
          <w:sz w:val="24"/>
          <w:szCs w:val="24"/>
        </w:rPr>
      </w:pPr>
      <w:r>
        <w:rPr>
          <w:rFonts w:hint="eastAsia" w:ascii="宋体" w:hAnsi="宋体"/>
          <w:sz w:val="24"/>
          <w:szCs w:val="24"/>
        </w:rPr>
        <w:t>（2）定期对配送工作进行总结，对配送中出现的问题进行整改；</w:t>
      </w:r>
    </w:p>
    <w:p>
      <w:pPr>
        <w:adjustRightInd w:val="0"/>
        <w:snapToGrid w:val="0"/>
        <w:spacing w:line="400" w:lineRule="exact"/>
        <w:ind w:left="562"/>
        <w:jc w:val="left"/>
        <w:rPr>
          <w:rFonts w:ascii="宋体" w:hAnsi="宋体"/>
          <w:sz w:val="24"/>
          <w:szCs w:val="24"/>
        </w:rPr>
      </w:pPr>
      <w:r>
        <w:rPr>
          <w:rFonts w:hint="eastAsia" w:ascii="宋体" w:hAnsi="宋体"/>
          <w:sz w:val="24"/>
          <w:szCs w:val="24"/>
        </w:rPr>
        <w:t>（3）加强交流沟通，及时反馈相关信息，对发现的问题及时整改；</w:t>
      </w:r>
    </w:p>
    <w:p>
      <w:pPr>
        <w:adjustRightInd w:val="0"/>
        <w:snapToGrid w:val="0"/>
        <w:spacing w:line="400" w:lineRule="exact"/>
        <w:ind w:left="562"/>
        <w:jc w:val="left"/>
        <w:rPr>
          <w:rFonts w:ascii="宋体" w:hAnsi="宋体"/>
          <w:sz w:val="24"/>
          <w:szCs w:val="24"/>
        </w:rPr>
      </w:pPr>
      <w:r>
        <w:rPr>
          <w:rFonts w:hint="eastAsia" w:ascii="宋体" w:hAnsi="宋体"/>
          <w:sz w:val="24"/>
          <w:szCs w:val="24"/>
        </w:rPr>
        <w:t>（4）每月向采购人报送月工作总结，内容不能千篇一律，要及时反映最新的工作动向；</w:t>
      </w:r>
    </w:p>
    <w:p>
      <w:pPr>
        <w:adjustRightInd w:val="0"/>
        <w:snapToGrid w:val="0"/>
        <w:spacing w:line="400" w:lineRule="exact"/>
        <w:ind w:left="562"/>
        <w:jc w:val="left"/>
        <w:rPr>
          <w:rFonts w:ascii="宋体" w:hAnsi="宋体"/>
          <w:sz w:val="24"/>
          <w:szCs w:val="24"/>
        </w:rPr>
      </w:pPr>
      <w:r>
        <w:rPr>
          <w:rFonts w:hint="eastAsia" w:ascii="宋体" w:hAnsi="宋体"/>
          <w:sz w:val="24"/>
          <w:szCs w:val="24"/>
        </w:rPr>
        <w:t>（5）主动向采购人了解当日食材质量，做好后期调整完善；</w:t>
      </w:r>
    </w:p>
    <w:p>
      <w:pPr>
        <w:adjustRightInd w:val="0"/>
        <w:snapToGrid w:val="0"/>
        <w:spacing w:line="400" w:lineRule="exact"/>
        <w:ind w:left="562"/>
        <w:jc w:val="left"/>
        <w:rPr>
          <w:rFonts w:ascii="宋体" w:hAnsi="宋体"/>
          <w:b/>
          <w:sz w:val="24"/>
          <w:szCs w:val="24"/>
        </w:rPr>
      </w:pPr>
      <w:r>
        <w:rPr>
          <w:rFonts w:hint="eastAsia" w:ascii="宋体" w:hAnsi="宋体"/>
          <w:b/>
          <w:sz w:val="24"/>
          <w:szCs w:val="24"/>
        </w:rPr>
        <w:t>七、增值服务要求</w:t>
      </w:r>
    </w:p>
    <w:p>
      <w:pPr>
        <w:adjustRightInd w:val="0"/>
        <w:snapToGrid w:val="0"/>
        <w:spacing w:line="400" w:lineRule="exact"/>
        <w:ind w:left="562"/>
        <w:jc w:val="left"/>
        <w:rPr>
          <w:rFonts w:ascii="宋体" w:hAnsi="宋体"/>
          <w:sz w:val="24"/>
          <w:szCs w:val="24"/>
        </w:rPr>
      </w:pPr>
      <w:r>
        <w:rPr>
          <w:rFonts w:hint="eastAsia" w:ascii="宋体" w:hAnsi="宋体"/>
          <w:sz w:val="24"/>
          <w:szCs w:val="24"/>
        </w:rPr>
        <w:t>1、提供健康营养膳食建议服务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（1）为采购人配备营养师，根据季节进行菜品搭配、荤素搭配，应季特色菜品更新；</w:t>
      </w:r>
    </w:p>
    <w:p>
      <w:pPr>
        <w:adjustRightInd w:val="0"/>
        <w:snapToGrid w:val="0"/>
        <w:spacing w:line="400" w:lineRule="exact"/>
        <w:ind w:left="562"/>
        <w:jc w:val="left"/>
        <w:rPr>
          <w:rFonts w:ascii="宋体" w:hAnsi="宋体"/>
          <w:sz w:val="24"/>
          <w:szCs w:val="24"/>
        </w:rPr>
      </w:pPr>
      <w:r>
        <w:rPr>
          <w:rFonts w:hint="eastAsia" w:ascii="宋体" w:hAnsi="宋体"/>
          <w:sz w:val="24"/>
          <w:szCs w:val="24"/>
        </w:rPr>
        <w:t>（2）做好合理菜谱建议，做到老少皆宜、清淡及重口味搭配、油炸及非油炸搭配；</w:t>
      </w:r>
    </w:p>
    <w:p>
      <w:pPr>
        <w:adjustRightInd w:val="0"/>
        <w:snapToGrid w:val="0"/>
        <w:spacing w:line="400" w:lineRule="exact"/>
        <w:ind w:left="562"/>
        <w:jc w:val="left"/>
        <w:rPr>
          <w:rFonts w:ascii="宋体" w:hAnsi="宋体"/>
          <w:sz w:val="24"/>
          <w:szCs w:val="24"/>
        </w:rPr>
      </w:pPr>
      <w:r>
        <w:rPr>
          <w:rFonts w:hint="eastAsia" w:ascii="宋体" w:hAnsi="宋体"/>
          <w:sz w:val="24"/>
          <w:szCs w:val="24"/>
        </w:rPr>
        <w:t>（3）根据地方区域（外地），适合的口味及特色进行搭配；</w:t>
      </w:r>
    </w:p>
    <w:p>
      <w:pPr>
        <w:adjustRightInd w:val="0"/>
        <w:snapToGrid w:val="0"/>
        <w:spacing w:line="400" w:lineRule="exact"/>
        <w:ind w:left="562"/>
        <w:jc w:val="left"/>
        <w:rPr>
          <w:rFonts w:ascii="宋体" w:hAnsi="宋体"/>
          <w:sz w:val="24"/>
          <w:szCs w:val="24"/>
        </w:rPr>
      </w:pPr>
      <w:r>
        <w:rPr>
          <w:rFonts w:hint="eastAsia" w:ascii="宋体" w:hAnsi="宋体"/>
          <w:sz w:val="24"/>
          <w:szCs w:val="24"/>
        </w:rPr>
        <w:t>2、公务用餐菜谱定制服务</w:t>
      </w:r>
    </w:p>
    <w:p>
      <w:pPr>
        <w:adjustRightInd w:val="0"/>
        <w:snapToGrid w:val="0"/>
        <w:spacing w:line="400" w:lineRule="exact"/>
        <w:ind w:left="562"/>
        <w:jc w:val="left"/>
        <w:rPr>
          <w:rFonts w:ascii="宋体" w:hAnsi="宋体"/>
          <w:sz w:val="24"/>
          <w:szCs w:val="24"/>
        </w:rPr>
      </w:pPr>
      <w:r>
        <w:rPr>
          <w:rFonts w:hint="eastAsia" w:ascii="宋体" w:hAnsi="宋体"/>
          <w:sz w:val="24"/>
          <w:szCs w:val="24"/>
        </w:rPr>
        <w:t>（1）根据季节、区域及人数，制定合理的公务用餐菜谱，注意营养搭配、荤素搭配，推荐应季、健康新鲜的肉类、蔬菜、水果；</w:t>
      </w:r>
    </w:p>
    <w:p>
      <w:pPr>
        <w:adjustRightInd w:val="0"/>
        <w:snapToGrid w:val="0"/>
        <w:spacing w:line="400" w:lineRule="exact"/>
        <w:ind w:left="142" w:firstLine="240" w:firstLineChars="100"/>
        <w:jc w:val="left"/>
        <w:rPr>
          <w:rFonts w:ascii="宋体" w:hAnsi="宋体"/>
          <w:sz w:val="24"/>
          <w:szCs w:val="24"/>
        </w:rPr>
      </w:pPr>
      <w:r>
        <w:rPr>
          <w:rFonts w:hint="eastAsia" w:ascii="宋体" w:hAnsi="宋体"/>
          <w:sz w:val="24"/>
          <w:szCs w:val="24"/>
        </w:rPr>
        <w:t>（2）主动加强与采购人沟通，了解公务用餐菜谱情况，根据反馈及时调整完善；</w:t>
      </w:r>
    </w:p>
    <w:p>
      <w:pPr>
        <w:adjustRightInd w:val="0"/>
        <w:snapToGrid w:val="0"/>
        <w:spacing w:line="400" w:lineRule="exact"/>
        <w:ind w:left="562"/>
        <w:jc w:val="left"/>
        <w:rPr>
          <w:rFonts w:ascii="宋体" w:hAnsi="宋体"/>
          <w:sz w:val="24"/>
          <w:szCs w:val="24"/>
        </w:rPr>
      </w:pPr>
      <w:r>
        <w:rPr>
          <w:rFonts w:hint="eastAsia" w:ascii="宋体" w:hAnsi="宋体"/>
          <w:sz w:val="24"/>
          <w:szCs w:val="24"/>
        </w:rPr>
        <w:t>（3）加强与食堂工作人员沟通，提升菜品质量，针对菜品数量进行规划，避免浪费；</w:t>
      </w:r>
    </w:p>
    <w:p>
      <w:pPr>
        <w:adjustRightInd w:val="0"/>
        <w:snapToGrid w:val="0"/>
        <w:spacing w:line="400" w:lineRule="exact"/>
        <w:ind w:left="142" w:firstLine="480" w:firstLineChars="200"/>
        <w:jc w:val="left"/>
        <w:rPr>
          <w:rFonts w:ascii="宋体" w:hAnsi="宋体"/>
          <w:sz w:val="24"/>
          <w:szCs w:val="24"/>
        </w:rPr>
      </w:pPr>
      <w:r>
        <w:rPr>
          <w:rFonts w:hint="eastAsia" w:ascii="宋体" w:hAnsi="宋体"/>
          <w:sz w:val="24"/>
          <w:szCs w:val="24"/>
        </w:rPr>
        <w:t>3、食材净菜加工服务</w:t>
      </w:r>
    </w:p>
    <w:p>
      <w:pPr>
        <w:adjustRightInd w:val="0"/>
        <w:snapToGrid w:val="0"/>
        <w:spacing w:line="400" w:lineRule="exact"/>
        <w:ind w:left="142" w:firstLine="480" w:firstLineChars="200"/>
        <w:jc w:val="left"/>
        <w:rPr>
          <w:rFonts w:ascii="宋体" w:hAnsi="宋体"/>
          <w:sz w:val="24"/>
          <w:szCs w:val="24"/>
        </w:rPr>
      </w:pPr>
      <w:r>
        <w:rPr>
          <w:rFonts w:hint="eastAsia" w:ascii="宋体" w:hAnsi="宋体"/>
          <w:sz w:val="24"/>
          <w:szCs w:val="24"/>
        </w:rPr>
        <w:t>（1）如采购人有需求，提供数量与质量达到采购人要求的净菜品类；</w:t>
      </w:r>
    </w:p>
    <w:p>
      <w:pPr>
        <w:adjustRightInd w:val="0"/>
        <w:snapToGrid w:val="0"/>
        <w:spacing w:line="400" w:lineRule="exact"/>
        <w:ind w:left="562"/>
        <w:jc w:val="left"/>
        <w:rPr>
          <w:rFonts w:ascii="宋体" w:hAnsi="宋体"/>
          <w:sz w:val="24"/>
          <w:szCs w:val="24"/>
        </w:rPr>
      </w:pPr>
      <w:r>
        <w:rPr>
          <w:rFonts w:hint="eastAsia" w:ascii="宋体" w:hAnsi="宋体"/>
          <w:sz w:val="24"/>
          <w:szCs w:val="24"/>
        </w:rPr>
        <w:t>（2）如遇处理程序较为复杂的食材时，配合采购人对食材进行深加工；</w:t>
      </w:r>
    </w:p>
    <w:p>
      <w:pPr>
        <w:adjustRightInd w:val="0"/>
        <w:snapToGrid w:val="0"/>
        <w:spacing w:line="400" w:lineRule="exact"/>
        <w:ind w:left="562"/>
        <w:jc w:val="left"/>
        <w:rPr>
          <w:rFonts w:ascii="宋体" w:hAnsi="宋体"/>
          <w:sz w:val="24"/>
          <w:szCs w:val="24"/>
        </w:rPr>
      </w:pPr>
      <w:r>
        <w:rPr>
          <w:rFonts w:hint="eastAsia" w:ascii="宋体" w:hAnsi="宋体"/>
          <w:sz w:val="24"/>
          <w:szCs w:val="24"/>
        </w:rPr>
        <w:t>（3）水产类食材现场宰杀处理；</w:t>
      </w:r>
    </w:p>
    <w:p>
      <w:pPr>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（4）对易损伤类水果进行分装。</w:t>
      </w:r>
    </w:p>
    <w:p>
      <w:pPr>
        <w:adjustRightInd w:val="0"/>
        <w:snapToGrid w:val="0"/>
        <w:spacing w:line="400" w:lineRule="exact"/>
        <w:ind w:left="142"/>
        <w:jc w:val="left"/>
        <w:rPr>
          <w:rFonts w:ascii="宋体" w:hAnsi="宋体"/>
          <w:sz w:val="24"/>
          <w:szCs w:val="24"/>
        </w:rPr>
      </w:pPr>
    </w:p>
    <w:p>
      <w:pPr>
        <w:numPr>
          <w:ilvl w:val="0"/>
          <w:numId w:val="52"/>
        </w:numPr>
        <w:spacing w:line="400" w:lineRule="exact"/>
        <w:rPr>
          <w:rFonts w:ascii="宋体" w:hAnsi="宋体"/>
          <w:b/>
        </w:rPr>
      </w:pPr>
      <w:r>
        <w:rPr>
          <w:rFonts w:hint="eastAsia" w:ascii="宋体" w:hAnsi="宋体"/>
          <w:b/>
        </w:rPr>
        <w:t>服务费用及支付方式</w:t>
      </w:r>
    </w:p>
    <w:p>
      <w:pPr>
        <w:tabs>
          <w:tab w:val="left" w:pos="1440"/>
        </w:tabs>
        <w:spacing w:line="400" w:lineRule="exact"/>
        <w:rPr>
          <w:rFonts w:ascii="宋体" w:hAnsi="宋体"/>
          <w:sz w:val="24"/>
          <w:szCs w:val="24"/>
        </w:rPr>
      </w:pPr>
    </w:p>
    <w:p>
      <w:pPr>
        <w:snapToGrid w:val="0"/>
        <w:spacing w:line="440" w:lineRule="exact"/>
        <w:rPr>
          <w:rFonts w:ascii="宋体"/>
          <w:b/>
          <w:bCs/>
          <w:sz w:val="24"/>
        </w:rPr>
      </w:pPr>
      <w:r>
        <w:rPr>
          <w:rFonts w:hint="eastAsia" w:ascii="宋体"/>
          <w:b/>
          <w:bCs/>
          <w:sz w:val="24"/>
        </w:rPr>
        <w:t>（一）货款结算</w:t>
      </w:r>
    </w:p>
    <w:p>
      <w:pPr>
        <w:spacing w:line="580" w:lineRule="exact"/>
        <w:ind w:firstLine="453" w:firstLineChars="189"/>
        <w:rPr>
          <w:rFonts w:ascii="宋体"/>
          <w:sz w:val="24"/>
          <w:szCs w:val="32"/>
        </w:rPr>
      </w:pPr>
      <w:r>
        <w:rPr>
          <w:rFonts w:hint="eastAsia" w:ascii="宋体"/>
          <w:sz w:val="24"/>
          <w:szCs w:val="32"/>
        </w:rPr>
        <w:t>1.货款实行按月结算，当月支付上月货款，货款系包含商品本身、商品包装费、交货所需的运输费用、保险费用及其他因商品采购事宜而产生的所有含税费用。采购人与中标人共同核实本月实际供货清单，并结合月度考评结果确定后，由中标人出具完整合法有效的发票。采购人在收到中标人开具的发票后个工作日内以转账的方式支付到中标人银行账户。</w:t>
      </w:r>
    </w:p>
    <w:p>
      <w:pPr>
        <w:snapToGrid w:val="0"/>
        <w:spacing w:line="440" w:lineRule="exact"/>
        <w:ind w:firstLine="480" w:firstLineChars="200"/>
        <w:rPr>
          <w:rFonts w:ascii="宋体"/>
          <w:sz w:val="24"/>
          <w:szCs w:val="32"/>
        </w:rPr>
      </w:pPr>
      <w:r>
        <w:rPr>
          <w:rFonts w:hint="eastAsia" w:ascii="宋体"/>
          <w:sz w:val="24"/>
          <w:szCs w:val="32"/>
        </w:rPr>
        <w:t>2.米、面、油、奶制品、干货和调料配送结算首先以成都市发改委每月发布的市场综合零售价乘以90%作为结算基础价,成都市发改委未发布的品种以武侯区机关事务中心市场调价乘以90%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w:t>
      </w:r>
      <w:r>
        <w:rPr>
          <w:rFonts w:hint="eastAsia" w:ascii="宋体"/>
          <w:b/>
          <w:sz w:val="24"/>
          <w:szCs w:val="24"/>
        </w:rPr>
        <w:t>90%</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napToGrid w:val="0"/>
        <w:spacing w:line="440" w:lineRule="exact"/>
        <w:ind w:firstLine="480" w:firstLineChars="200"/>
        <w:rPr>
          <w:rFonts w:ascii="宋体"/>
          <w:sz w:val="24"/>
          <w:szCs w:val="32"/>
        </w:rPr>
      </w:pPr>
      <w:r>
        <w:rPr>
          <w:rFonts w:hint="eastAsia" w:ascii="宋体"/>
          <w:sz w:val="24"/>
          <w:szCs w:val="32"/>
        </w:rPr>
        <w:t>肉禽蛋类、水产类等配送结算首先以成都市发改委每月发布的市场综合零售价乘以88%作为结算基础价,成都市发改委未发布的品种以武侯区机关事务中心市场调价乘以88%作为结算基础价，结算基础价乘以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×88</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napToGrid w:val="0"/>
        <w:spacing w:line="440" w:lineRule="exact"/>
        <w:ind w:firstLine="480" w:firstLineChars="200"/>
        <w:rPr>
          <w:rFonts w:ascii="宋体"/>
          <w:b/>
          <w:sz w:val="28"/>
          <w:szCs w:val="28"/>
        </w:rPr>
      </w:pPr>
      <w:r>
        <w:rPr>
          <w:rFonts w:hint="eastAsia" w:ascii="宋体"/>
          <w:sz w:val="24"/>
          <w:szCs w:val="32"/>
        </w:rPr>
        <w:t>水果、蔬菜等配送结算首先以成都市发改委每月发布的市场综合零售价乘以80%作为结算基础价,成都市发改委未发布的品种以武侯区机关事务中心市场调价乘以80%作为结算基础价，结算基础价乘以</w:t>
      </w:r>
      <w:r>
        <w:rPr>
          <w:rFonts w:hint="eastAsia" w:ascii="宋体"/>
          <w:sz w:val="24"/>
          <w:szCs w:val="24"/>
        </w:rPr>
        <w:t>投标结算率</w:t>
      </w:r>
      <w:r>
        <w:rPr>
          <w:rFonts w:hint="eastAsia" w:ascii="宋体"/>
          <w:sz w:val="24"/>
          <w:szCs w:val="32"/>
        </w:rPr>
        <w:t>再乘以数量进行结算。</w:t>
      </w:r>
      <w:r>
        <w:rPr>
          <w:rFonts w:hint="eastAsia" w:ascii="宋体"/>
          <w:b/>
          <w:sz w:val="24"/>
          <w:szCs w:val="24"/>
        </w:rPr>
        <w:t>即结算公式为：（市场综合零售价、市场调价）</w:t>
      </w:r>
      <w:r>
        <w:rPr>
          <w:rFonts w:hint="eastAsia" w:ascii="宋体" w:hAnsi="宋体"/>
          <w:b/>
          <w:sz w:val="24"/>
          <w:szCs w:val="24"/>
        </w:rPr>
        <w:t>×80</w:t>
      </w:r>
      <w:r>
        <w:rPr>
          <w:rFonts w:hint="eastAsia" w:ascii="宋体"/>
          <w:b/>
          <w:sz w:val="24"/>
          <w:szCs w:val="24"/>
        </w:rPr>
        <w:t>%</w:t>
      </w:r>
      <w:r>
        <w:rPr>
          <w:rFonts w:hint="eastAsia" w:ascii="宋体" w:hAnsi="宋体"/>
          <w:b/>
          <w:sz w:val="24"/>
          <w:szCs w:val="24"/>
        </w:rPr>
        <w:t>×</w:t>
      </w:r>
      <w:r>
        <w:rPr>
          <w:rFonts w:hint="eastAsia" w:ascii="宋体"/>
          <w:b/>
          <w:sz w:val="24"/>
          <w:szCs w:val="24"/>
        </w:rPr>
        <w:t>投标结算率</w:t>
      </w:r>
      <w:r>
        <w:rPr>
          <w:rFonts w:hint="eastAsia" w:ascii="宋体" w:hAnsi="宋体"/>
          <w:b/>
          <w:sz w:val="24"/>
          <w:szCs w:val="24"/>
        </w:rPr>
        <w:t>×</w:t>
      </w:r>
      <w:r>
        <w:rPr>
          <w:rFonts w:hint="eastAsia" w:ascii="宋体"/>
          <w:b/>
          <w:sz w:val="24"/>
          <w:szCs w:val="24"/>
        </w:rPr>
        <w:t>数量=实际结算价。</w:t>
      </w:r>
    </w:p>
    <w:p>
      <w:pPr>
        <w:spacing w:line="400" w:lineRule="exact"/>
        <w:ind w:firstLine="480" w:firstLineChars="200"/>
        <w:rPr>
          <w:rFonts w:ascii="宋体"/>
          <w:sz w:val="24"/>
          <w:szCs w:val="32"/>
        </w:rPr>
      </w:pPr>
      <w:r>
        <w:rPr>
          <w:rFonts w:hint="eastAsia" w:ascii="宋体"/>
          <w:sz w:val="24"/>
          <w:szCs w:val="32"/>
        </w:rPr>
        <w:t>3．按采购人需求购买的熟食按购入价格据实结算。</w:t>
      </w:r>
    </w:p>
    <w:p>
      <w:pPr>
        <w:pStyle w:val="2"/>
        <w:spacing w:line="400" w:lineRule="exact"/>
        <w:ind w:firstLine="480" w:firstLineChars="200"/>
        <w:rPr>
          <w:rFonts w:ascii="宋体"/>
          <w:sz w:val="24"/>
          <w:szCs w:val="32"/>
        </w:rPr>
      </w:pPr>
      <w:r>
        <w:rPr>
          <w:rFonts w:hint="eastAsia" w:ascii="宋体"/>
          <w:sz w:val="24"/>
          <w:szCs w:val="32"/>
        </w:rPr>
        <w:t>4．投标人优先将我区农产品战略合作地及其他贫困地区农产品纳入采购范围，按购入价格据实结算。</w:t>
      </w:r>
    </w:p>
    <w:p>
      <w:r>
        <w:rPr>
          <w:rFonts w:hint="eastAsia" w:ascii="宋体"/>
          <w:sz w:val="24"/>
          <w:szCs w:val="32"/>
        </w:rPr>
        <w:t xml:space="preserve">    5.如需称重计量的，甲乙双方共同校队计量称，所供食材的数量以甲方过磅为准，并由甲方验收人员签字确认。由甲方验收人员签字确认的数量即视为双方均认可的数量。</w:t>
      </w:r>
    </w:p>
    <w:p>
      <w:pPr>
        <w:snapToGrid w:val="0"/>
        <w:spacing w:line="400" w:lineRule="exact"/>
        <w:ind w:firstLine="482" w:firstLineChars="200"/>
        <w:rPr>
          <w:rFonts w:ascii="宋体" w:hAnsi="宋体"/>
          <w:b/>
          <w:bCs/>
          <w:sz w:val="24"/>
          <w:szCs w:val="24"/>
        </w:rPr>
      </w:pPr>
      <w:r>
        <w:rPr>
          <w:rFonts w:hint="eastAsia" w:ascii="宋体" w:hAnsi="宋体"/>
          <w:b/>
          <w:bCs/>
          <w:sz w:val="24"/>
          <w:szCs w:val="24"/>
        </w:rPr>
        <w:t>（二）考核时间及处罚</w:t>
      </w:r>
    </w:p>
    <w:p>
      <w:pPr>
        <w:spacing w:line="400" w:lineRule="exact"/>
        <w:ind w:firstLine="480" w:firstLineChars="200"/>
        <w:rPr>
          <w:rFonts w:ascii="宋体" w:hAnsi="宋体"/>
          <w:sz w:val="24"/>
          <w:szCs w:val="24"/>
        </w:rPr>
      </w:pPr>
      <w:r>
        <w:rPr>
          <w:rFonts w:hint="eastAsia" w:ascii="宋体" w:hAnsi="宋体"/>
          <w:sz w:val="24"/>
          <w:szCs w:val="24"/>
        </w:rPr>
        <w:t>根据日常抽查和月考评相结合的综合考核标准。</w:t>
      </w:r>
    </w:p>
    <w:p>
      <w:pPr>
        <w:spacing w:line="400" w:lineRule="exact"/>
        <w:ind w:firstLine="480" w:firstLineChars="200"/>
        <w:rPr>
          <w:rFonts w:ascii="宋体" w:hAnsi="宋体"/>
          <w:sz w:val="24"/>
          <w:szCs w:val="24"/>
        </w:rPr>
      </w:pPr>
      <w:r>
        <w:rPr>
          <w:rFonts w:hint="eastAsia" w:ascii="宋体" w:hAnsi="宋体"/>
          <w:sz w:val="24"/>
          <w:szCs w:val="24"/>
        </w:rPr>
        <w:t>1.日常考评：</w:t>
      </w:r>
    </w:p>
    <w:p>
      <w:pPr>
        <w:spacing w:line="400" w:lineRule="exact"/>
        <w:ind w:firstLine="480" w:firstLineChars="200"/>
        <w:rPr>
          <w:rFonts w:ascii="宋体" w:hAnsi="宋体"/>
          <w:sz w:val="24"/>
          <w:szCs w:val="24"/>
        </w:rPr>
      </w:pPr>
      <w:r>
        <w:rPr>
          <w:rFonts w:hint="eastAsia" w:ascii="宋体" w:hAnsi="宋体"/>
          <w:sz w:val="24"/>
          <w:szCs w:val="24"/>
        </w:rPr>
        <w:t>月考核作为支付当月服务费的主要依据，由采购人根据服务公司的服务质量和服务态度进行综评打分，按考核打分档次支付当月食材费。</w:t>
      </w:r>
    </w:p>
    <w:p>
      <w:pPr>
        <w:spacing w:line="400" w:lineRule="exact"/>
        <w:ind w:firstLine="480" w:firstLineChars="200"/>
        <w:rPr>
          <w:rFonts w:ascii="宋体" w:hAnsi="宋体"/>
          <w:sz w:val="24"/>
          <w:szCs w:val="24"/>
        </w:rPr>
      </w:pPr>
      <w:r>
        <w:rPr>
          <w:rFonts w:hint="eastAsia" w:ascii="宋体" w:hAnsi="宋体"/>
          <w:sz w:val="24"/>
          <w:szCs w:val="24"/>
        </w:rPr>
        <w:t>（2）由采购人将检查结果进行汇总，以备在每月食材费用支付时扣除。</w:t>
      </w:r>
    </w:p>
    <w:p>
      <w:pPr>
        <w:spacing w:line="400" w:lineRule="exact"/>
        <w:ind w:firstLine="480" w:firstLineChars="200"/>
        <w:rPr>
          <w:rFonts w:ascii="宋体" w:hAnsi="宋体"/>
          <w:sz w:val="24"/>
          <w:szCs w:val="24"/>
        </w:rPr>
      </w:pPr>
      <w:r>
        <w:rPr>
          <w:rFonts w:hint="eastAsia" w:ascii="宋体" w:hAnsi="宋体"/>
          <w:sz w:val="24"/>
          <w:szCs w:val="24"/>
        </w:rPr>
        <w:t>2.月考评：</w:t>
      </w:r>
    </w:p>
    <w:p>
      <w:pPr>
        <w:spacing w:line="400" w:lineRule="exact"/>
        <w:ind w:firstLine="480" w:firstLineChars="200"/>
        <w:rPr>
          <w:rFonts w:ascii="宋体" w:hAnsi="宋体"/>
          <w:sz w:val="24"/>
          <w:szCs w:val="24"/>
        </w:rPr>
      </w:pPr>
      <w:r>
        <w:rPr>
          <w:rFonts w:hint="eastAsia" w:ascii="宋体" w:hAnsi="宋体"/>
          <w:sz w:val="24"/>
          <w:szCs w:val="24"/>
        </w:rPr>
        <w:t>月考核作为支付当月服务费的主要依据，由采购人根据服务公司的服务质量和服务态度进行综评打分，按考核打分档次支付当月食材费。</w:t>
      </w:r>
    </w:p>
    <w:p>
      <w:pPr>
        <w:spacing w:line="400" w:lineRule="exact"/>
        <w:ind w:firstLine="480" w:firstLineChars="200"/>
        <w:rPr>
          <w:rFonts w:ascii="宋体" w:hAnsi="宋体"/>
          <w:sz w:val="24"/>
          <w:szCs w:val="24"/>
        </w:rPr>
      </w:pPr>
      <w:r>
        <w:rPr>
          <w:rFonts w:hint="eastAsia" w:ascii="宋体" w:hAnsi="宋体"/>
          <w:sz w:val="24"/>
          <w:szCs w:val="24"/>
        </w:rPr>
        <w:t>（1）单项方面工作被点名或通报批评，本月考核结果扣五分；</w:t>
      </w:r>
    </w:p>
    <w:p>
      <w:pPr>
        <w:spacing w:line="400" w:lineRule="exact"/>
        <w:ind w:firstLine="480" w:firstLineChars="200"/>
        <w:rPr>
          <w:rFonts w:ascii="宋体" w:hAnsi="宋体"/>
          <w:sz w:val="24"/>
          <w:szCs w:val="24"/>
        </w:rPr>
      </w:pPr>
      <w:r>
        <w:rPr>
          <w:rFonts w:hint="eastAsia" w:ascii="宋体" w:hAnsi="宋体"/>
          <w:sz w:val="24"/>
          <w:szCs w:val="24"/>
        </w:rPr>
        <w:t>（2）出现物品或设施设备遗失、损坏事件，本月考核结果扣3分。</w:t>
      </w:r>
    </w:p>
    <w:p>
      <w:pPr>
        <w:spacing w:line="400" w:lineRule="exact"/>
        <w:ind w:firstLine="480" w:firstLineChars="200"/>
        <w:rPr>
          <w:rFonts w:ascii="宋体" w:hAnsi="宋体"/>
          <w:sz w:val="24"/>
          <w:szCs w:val="24"/>
        </w:rPr>
      </w:pPr>
      <w:r>
        <w:rPr>
          <w:rFonts w:hint="eastAsia" w:ascii="宋体" w:hAnsi="宋体"/>
          <w:sz w:val="24"/>
          <w:szCs w:val="24"/>
        </w:rPr>
        <w:t>（3）根据各单项服务的考评打分结果计算出月考核评分。当月得分95分（含）以上的，当月的费用按合同金额全额向中标供应商支付；当月综合平均得分95分（不含）—90分（含），支付当月费用时在合同金额中从95分起计，按每扣0.5分扣除当月费用1000元后支付，扣除不满0.5分的按照0.5分计算扣除（如94.8分，按照94.5分计，扣除当月费用1000元）；当月综合平均得分90分（不含）—80分（含），支付费用时在合同金额中扣除10000元后，从90分起计，按当月每扣0.5分扣除当月费用1500元后支付，扣除不满0.5分的按照0.5分计算扣除当月费用（如84.2分，按照84分计，扣除当月费用28000元）；当月综合平均得分检查结果为80分（不含）以下，则扣发当月费用的50%。若月考核评定低于90分，则中标供应商须就服务工作方面的问题向采购人提供整改报告。</w:t>
      </w:r>
    </w:p>
    <w:p>
      <w:pPr>
        <w:spacing w:line="400" w:lineRule="exact"/>
        <w:ind w:firstLine="480" w:firstLineChars="200"/>
        <w:rPr>
          <w:rFonts w:ascii="宋体" w:hAnsi="宋体"/>
          <w:sz w:val="24"/>
          <w:szCs w:val="24"/>
        </w:rPr>
      </w:pPr>
      <w:r>
        <w:rPr>
          <w:rFonts w:hint="eastAsia" w:ascii="宋体" w:hAnsi="宋体"/>
          <w:sz w:val="24"/>
          <w:szCs w:val="24"/>
        </w:rPr>
        <w:t>（4）每年度月考核中累计有三个月月得分低于90分，视为年度考核不合格，采购人有权要求终止合同，</w:t>
      </w:r>
      <w:r>
        <w:rPr>
          <w:rFonts w:ascii="宋体" w:hAnsi="宋体"/>
          <w:sz w:val="24"/>
          <w:szCs w:val="24"/>
        </w:rPr>
        <w:t>由</w:t>
      </w:r>
      <w:r>
        <w:rPr>
          <w:rFonts w:hint="eastAsia" w:ascii="宋体" w:hAnsi="宋体"/>
          <w:sz w:val="24"/>
          <w:szCs w:val="24"/>
        </w:rPr>
        <w:t>中标供应商</w:t>
      </w:r>
      <w:r>
        <w:rPr>
          <w:rFonts w:ascii="宋体" w:hAnsi="宋体"/>
          <w:sz w:val="24"/>
          <w:szCs w:val="24"/>
        </w:rPr>
        <w:t>承担违约和赔偿责任</w:t>
      </w:r>
      <w:r>
        <w:rPr>
          <w:rFonts w:hint="eastAsia" w:ascii="宋体" w:hAnsi="宋体"/>
          <w:sz w:val="24"/>
          <w:szCs w:val="24"/>
        </w:rPr>
        <w:t>。</w:t>
      </w:r>
    </w:p>
    <w:p>
      <w:pPr>
        <w:snapToGrid w:val="0"/>
        <w:spacing w:line="400" w:lineRule="exact"/>
        <w:ind w:firstLine="480" w:firstLineChars="200"/>
        <w:rPr>
          <w:rFonts w:ascii="宋体" w:hAnsi="宋体"/>
          <w:sz w:val="24"/>
          <w:szCs w:val="24"/>
        </w:rPr>
      </w:pPr>
      <w:r>
        <w:rPr>
          <w:rFonts w:hint="eastAsia" w:ascii="宋体" w:hAnsi="宋体"/>
          <w:sz w:val="24"/>
          <w:szCs w:val="24"/>
        </w:rPr>
        <w:t>3．责任追究制度。</w:t>
      </w:r>
    </w:p>
    <w:p>
      <w:pPr>
        <w:snapToGrid w:val="0"/>
        <w:spacing w:line="400" w:lineRule="exact"/>
        <w:ind w:firstLine="480" w:firstLineChars="200"/>
        <w:rPr>
          <w:rFonts w:ascii="宋体" w:hAnsi="宋体"/>
          <w:sz w:val="24"/>
          <w:szCs w:val="24"/>
        </w:rPr>
      </w:pPr>
      <w:r>
        <w:rPr>
          <w:rFonts w:hint="eastAsia" w:ascii="宋体" w:hAnsi="宋体"/>
          <w:sz w:val="24"/>
          <w:szCs w:val="24"/>
        </w:rPr>
        <w:t>采购人将定期或不定期地对配送工作进行督查。对投标供应商提供不合格产品或不按要求配送，影响正常就餐的，给予警告；情节严重的取消配送资格，因配送产品引发的食品安全事故或造成责任事故的取消供应商配送资格，并将追究其法律责任。</w:t>
      </w:r>
    </w:p>
    <w:p>
      <w:pPr>
        <w:numPr>
          <w:ilvl w:val="0"/>
          <w:numId w:val="52"/>
        </w:numPr>
        <w:spacing w:line="400" w:lineRule="exact"/>
        <w:rPr>
          <w:rFonts w:ascii="宋体" w:hAnsi="宋体"/>
          <w:b/>
        </w:rPr>
      </w:pPr>
      <w:r>
        <w:rPr>
          <w:rFonts w:hint="eastAsia" w:ascii="宋体" w:hAnsi="宋体"/>
          <w:b/>
        </w:rPr>
        <w:t>知识产权</w:t>
      </w:r>
    </w:p>
    <w:p>
      <w:pPr>
        <w:tabs>
          <w:tab w:val="left" w:pos="1440"/>
        </w:tabs>
        <w:spacing w:line="400" w:lineRule="exact"/>
        <w:ind w:firstLine="480" w:firstLineChars="200"/>
        <w:rPr>
          <w:rFonts w:ascii="宋体" w:hAnsi="宋体"/>
          <w:sz w:val="24"/>
          <w:szCs w:val="24"/>
        </w:rPr>
      </w:pPr>
      <w:r>
        <w:rPr>
          <w:rFonts w:hint="eastAsia" w:ascii="宋体" w:hAnsi="宋体"/>
          <w:sz w:val="24"/>
          <w:szCs w:val="24"/>
        </w:rPr>
        <w:t>乙方应保证所提供的服务或其任何一部分均不会侵犯任何第三方的专利权、商标权、著作权或其他合法权益。若因此产生任何纠纷、诉讼或索赔，由乙方自行承担一切责任。</w:t>
      </w:r>
    </w:p>
    <w:p>
      <w:pPr>
        <w:numPr>
          <w:ilvl w:val="0"/>
          <w:numId w:val="52"/>
        </w:numPr>
        <w:spacing w:line="400" w:lineRule="exact"/>
        <w:rPr>
          <w:rFonts w:ascii="宋体" w:hAnsi="宋体"/>
          <w:b/>
        </w:rPr>
      </w:pPr>
      <w:r>
        <w:rPr>
          <w:rFonts w:hint="eastAsia" w:ascii="宋体" w:hAnsi="宋体"/>
          <w:b/>
        </w:rPr>
        <w:t>无产权瑕疵条款</w:t>
      </w:r>
    </w:p>
    <w:p>
      <w:pPr>
        <w:tabs>
          <w:tab w:val="left" w:pos="1440"/>
        </w:tabs>
        <w:spacing w:line="400" w:lineRule="exact"/>
        <w:ind w:firstLine="480" w:firstLineChars="200"/>
        <w:rPr>
          <w:rFonts w:ascii="宋体" w:hAnsi="宋体"/>
          <w:sz w:val="24"/>
          <w:szCs w:val="24"/>
        </w:rPr>
      </w:pPr>
      <w:r>
        <w:rPr>
          <w:rFonts w:hint="eastAsia" w:ascii="宋体" w:hAnsi="宋体"/>
          <w:sz w:val="24"/>
          <w:szCs w:val="24"/>
        </w:rPr>
        <w:t>乙方保证所提供的服务的所有权完全属于乙方且无任何抵押、查封等产权瑕疵。如有产权瑕疵的，视为乙方违约。乙方应负担由此而产生的一切损失。</w:t>
      </w:r>
    </w:p>
    <w:p>
      <w:pPr>
        <w:numPr>
          <w:ilvl w:val="0"/>
          <w:numId w:val="52"/>
        </w:numPr>
        <w:spacing w:line="400" w:lineRule="exact"/>
        <w:rPr>
          <w:rFonts w:ascii="宋体" w:hAnsi="宋体"/>
          <w:b/>
        </w:rPr>
      </w:pPr>
      <w:r>
        <w:rPr>
          <w:rFonts w:hint="eastAsia" w:ascii="宋体"/>
          <w:b/>
        </w:rPr>
        <w:t>履约保证金</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1、乙方交纳人民币</w:t>
      </w:r>
      <w:r>
        <w:rPr>
          <w:rFonts w:hint="eastAsia"/>
          <w:sz w:val="24"/>
          <w:szCs w:val="24"/>
        </w:rPr>
        <w:t>万</w:t>
      </w:r>
      <w:r>
        <w:rPr>
          <w:rFonts w:hint="eastAsia" w:ascii="宋体" w:hAnsi="宋体"/>
          <w:bCs/>
          <w:sz w:val="24"/>
          <w:szCs w:val="24"/>
        </w:rPr>
        <w:t>元作为本合同的履约保证金。</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2、履约保证金作为违约金的一部分及用于补偿甲方因乙方不能履行合同义务而蒙受的损失。</w:t>
      </w:r>
    </w:p>
    <w:p>
      <w:pPr>
        <w:numPr>
          <w:ilvl w:val="0"/>
          <w:numId w:val="52"/>
        </w:numPr>
        <w:spacing w:line="400" w:lineRule="exact"/>
        <w:rPr>
          <w:rFonts w:ascii="宋体" w:hAnsi="宋体"/>
          <w:b/>
        </w:rPr>
      </w:pPr>
      <w:r>
        <w:rPr>
          <w:rFonts w:ascii="宋体" w:hAnsi="宋体"/>
          <w:b/>
        </w:rPr>
        <w:t>甲方的权利和义务</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1、</w:t>
      </w:r>
      <w:r>
        <w:rPr>
          <w:rFonts w:ascii="宋体" w:hAnsi="宋体"/>
          <w:bCs/>
          <w:sz w:val="24"/>
          <w:szCs w:val="24"/>
        </w:rPr>
        <w:t>甲方有权对合同规定范围内</w:t>
      </w:r>
      <w:r>
        <w:rPr>
          <w:rFonts w:hint="eastAsia" w:ascii="宋体" w:hAnsi="宋体"/>
          <w:bCs/>
          <w:sz w:val="24"/>
          <w:szCs w:val="24"/>
        </w:rPr>
        <w:t>乙方的服务行为</w:t>
      </w:r>
      <w:r>
        <w:rPr>
          <w:rFonts w:ascii="宋体" w:hAnsi="宋体"/>
          <w:bCs/>
          <w:sz w:val="24"/>
          <w:szCs w:val="24"/>
        </w:rPr>
        <w:t>进行监督和检查，拥有监管权。有权定期核对乙方提供服务所配备的人员数量。对甲方认为不合理的部分有权</w:t>
      </w:r>
      <w:r>
        <w:rPr>
          <w:rFonts w:hint="eastAsia" w:ascii="宋体" w:hAnsi="宋体"/>
          <w:bCs/>
          <w:sz w:val="24"/>
          <w:szCs w:val="24"/>
        </w:rPr>
        <w:t>下达整改通知书，并</w:t>
      </w:r>
      <w:r>
        <w:rPr>
          <w:rFonts w:ascii="宋体" w:hAnsi="宋体"/>
          <w:bCs/>
          <w:sz w:val="24"/>
          <w:szCs w:val="24"/>
        </w:rPr>
        <w:t>要求乙方</w:t>
      </w:r>
      <w:r>
        <w:rPr>
          <w:rFonts w:hint="eastAsia" w:ascii="宋体" w:hAnsi="宋体"/>
          <w:bCs/>
          <w:sz w:val="24"/>
          <w:szCs w:val="24"/>
        </w:rPr>
        <w:t>限期整改</w:t>
      </w:r>
      <w:r>
        <w:rPr>
          <w:rFonts w:ascii="宋体" w:hAnsi="宋体"/>
          <w:bCs/>
          <w:sz w:val="24"/>
          <w:szCs w:val="24"/>
        </w:rPr>
        <w:t>。</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2、甲方有权依据双方签订的考评办法对乙方提供的服务进行定期考评。当考评结果未达到标准时，有权依据考评办法约定的数额扣除货物结算款。</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3、</w:t>
      </w:r>
      <w:r>
        <w:rPr>
          <w:rFonts w:ascii="宋体" w:hAnsi="宋体"/>
          <w:bCs/>
          <w:sz w:val="24"/>
          <w:szCs w:val="24"/>
        </w:rPr>
        <w:t>负责检查监督乙方管理工作的实施及制度的执行情况。</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4、</w:t>
      </w:r>
      <w:r>
        <w:rPr>
          <w:rFonts w:ascii="宋体" w:hAnsi="宋体"/>
          <w:bCs/>
          <w:sz w:val="24"/>
          <w:szCs w:val="24"/>
        </w:rPr>
        <w:t>根据本合同规定，按时向乙方支付应付</w:t>
      </w:r>
      <w:r>
        <w:rPr>
          <w:rFonts w:hint="eastAsia" w:ascii="宋体" w:hAnsi="宋体"/>
          <w:bCs/>
          <w:sz w:val="24"/>
          <w:szCs w:val="24"/>
        </w:rPr>
        <w:t>服务费用</w:t>
      </w:r>
      <w:r>
        <w:rPr>
          <w:rFonts w:ascii="宋体" w:hAnsi="宋体"/>
          <w:bCs/>
          <w:sz w:val="24"/>
          <w:szCs w:val="24"/>
        </w:rPr>
        <w:t>。</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5、</w:t>
      </w:r>
      <w:r>
        <w:rPr>
          <w:rFonts w:ascii="宋体" w:hAnsi="宋体"/>
          <w:bCs/>
          <w:sz w:val="24"/>
          <w:szCs w:val="24"/>
        </w:rPr>
        <w:t>国家法律、法规所规定由甲方承担的其它责任。</w:t>
      </w:r>
    </w:p>
    <w:p>
      <w:pPr>
        <w:numPr>
          <w:ilvl w:val="0"/>
          <w:numId w:val="52"/>
        </w:numPr>
        <w:spacing w:line="400" w:lineRule="exact"/>
        <w:rPr>
          <w:rFonts w:ascii="宋体" w:hAnsi="宋体"/>
          <w:b/>
        </w:rPr>
      </w:pPr>
      <w:r>
        <w:rPr>
          <w:rFonts w:ascii="宋体" w:hAnsi="宋体"/>
          <w:b/>
        </w:rPr>
        <w:t>乙方的权利和义务</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1、</w:t>
      </w:r>
      <w:r>
        <w:rPr>
          <w:rFonts w:ascii="宋体" w:hAnsi="宋体"/>
          <w:bCs/>
          <w:sz w:val="24"/>
          <w:szCs w:val="24"/>
        </w:rPr>
        <w:t>对本合同规定的委托</w:t>
      </w:r>
      <w:r>
        <w:rPr>
          <w:rFonts w:hint="eastAsia" w:ascii="宋体" w:hAnsi="宋体"/>
          <w:bCs/>
          <w:sz w:val="24"/>
          <w:szCs w:val="24"/>
        </w:rPr>
        <w:t>服务</w:t>
      </w:r>
      <w:r>
        <w:rPr>
          <w:rFonts w:ascii="宋体" w:hAnsi="宋体"/>
          <w:bCs/>
          <w:sz w:val="24"/>
          <w:szCs w:val="24"/>
        </w:rPr>
        <w:t>范围内的</w:t>
      </w:r>
      <w:r>
        <w:rPr>
          <w:rFonts w:hint="eastAsia" w:ascii="宋体" w:hAnsi="宋体"/>
          <w:bCs/>
          <w:sz w:val="24"/>
          <w:szCs w:val="24"/>
        </w:rPr>
        <w:t>项目</w:t>
      </w:r>
      <w:r>
        <w:rPr>
          <w:rFonts w:ascii="宋体" w:hAnsi="宋体"/>
          <w:bCs/>
          <w:sz w:val="24"/>
          <w:szCs w:val="24"/>
        </w:rPr>
        <w:t>享有管理权及服务义务。</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2、</w:t>
      </w:r>
      <w:r>
        <w:rPr>
          <w:rFonts w:ascii="宋体" w:hAnsi="宋体"/>
          <w:bCs/>
          <w:sz w:val="24"/>
          <w:szCs w:val="24"/>
        </w:rPr>
        <w:t>根据本合同的规定向甲方收取相关</w:t>
      </w:r>
      <w:r>
        <w:rPr>
          <w:rFonts w:hint="eastAsia" w:ascii="宋体" w:hAnsi="宋体"/>
          <w:bCs/>
          <w:sz w:val="24"/>
          <w:szCs w:val="24"/>
        </w:rPr>
        <w:t>服务</w:t>
      </w:r>
      <w:r>
        <w:rPr>
          <w:rFonts w:ascii="宋体" w:hAnsi="宋体"/>
          <w:bCs/>
          <w:sz w:val="24"/>
          <w:szCs w:val="24"/>
        </w:rPr>
        <w:t>费用，并有权</w:t>
      </w:r>
      <w:r>
        <w:rPr>
          <w:rFonts w:hint="eastAsia" w:ascii="宋体" w:hAnsi="宋体"/>
          <w:bCs/>
          <w:sz w:val="24"/>
          <w:szCs w:val="24"/>
        </w:rPr>
        <w:t>在本项目管理范围内</w:t>
      </w:r>
      <w:r>
        <w:rPr>
          <w:rFonts w:ascii="宋体" w:hAnsi="宋体"/>
          <w:bCs/>
          <w:sz w:val="24"/>
          <w:szCs w:val="24"/>
        </w:rPr>
        <w:t>管理及合理使用。</w:t>
      </w:r>
    </w:p>
    <w:p>
      <w:pPr>
        <w:adjustRightInd w:val="0"/>
        <w:spacing w:line="400" w:lineRule="exact"/>
        <w:ind w:firstLine="480" w:firstLineChars="200"/>
        <w:textAlignment w:val="baseline"/>
        <w:rPr>
          <w:rFonts w:ascii="宋体" w:hAnsi="宋体"/>
          <w:sz w:val="24"/>
          <w:szCs w:val="24"/>
        </w:rPr>
      </w:pPr>
      <w:r>
        <w:rPr>
          <w:rFonts w:hint="eastAsia" w:ascii="宋体" w:hAnsi="宋体"/>
          <w:sz w:val="24"/>
          <w:szCs w:val="24"/>
        </w:rPr>
        <w:t>3、及时向甲方书面通告本项目服务范围内有关服务的重大事项，及时配合处理投诉。</w:t>
      </w:r>
    </w:p>
    <w:p>
      <w:pPr>
        <w:adjustRightInd w:val="0"/>
        <w:spacing w:line="400" w:lineRule="exact"/>
        <w:ind w:firstLine="480" w:firstLineChars="200"/>
        <w:textAlignment w:val="baseline"/>
        <w:rPr>
          <w:rFonts w:ascii="宋体" w:hAnsi="宋体"/>
          <w:bCs/>
          <w:sz w:val="24"/>
          <w:szCs w:val="24"/>
        </w:rPr>
      </w:pPr>
      <w:r>
        <w:rPr>
          <w:rFonts w:hint="eastAsia" w:ascii="宋体" w:hAnsi="宋体"/>
          <w:sz w:val="24"/>
          <w:szCs w:val="24"/>
        </w:rPr>
        <w:t>4、</w:t>
      </w:r>
      <w:r>
        <w:rPr>
          <w:rFonts w:hint="eastAsia" w:ascii="宋体" w:hAnsi="宋体"/>
          <w:bCs/>
          <w:sz w:val="24"/>
          <w:szCs w:val="24"/>
        </w:rPr>
        <w:t>在服务期内，若配送食品不合格的，乙方应在收到甲方通知后个小时内进行免费更换或重新配送。</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5、根据甲方的整改通知限期整改不符合要求的部分。</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6、接收项目行业管理部门及政府有关部门的指导，接受甲方监督。</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7、</w:t>
      </w:r>
      <w:r>
        <w:rPr>
          <w:rFonts w:ascii="宋体" w:hAnsi="宋体"/>
          <w:bCs/>
          <w:sz w:val="24"/>
          <w:szCs w:val="24"/>
        </w:rPr>
        <w:t>国家法律、法规所规定由乙方承担的其它责任。</w:t>
      </w:r>
    </w:p>
    <w:p>
      <w:pPr>
        <w:numPr>
          <w:ilvl w:val="0"/>
          <w:numId w:val="52"/>
        </w:numPr>
        <w:spacing w:line="400" w:lineRule="exact"/>
        <w:rPr>
          <w:rFonts w:ascii="宋体" w:hAnsi="宋体"/>
          <w:b/>
        </w:rPr>
      </w:pPr>
      <w:r>
        <w:rPr>
          <w:rFonts w:ascii="宋体" w:hAnsi="宋体"/>
          <w:b/>
        </w:rPr>
        <w:t>违约责任</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1、</w:t>
      </w:r>
      <w:r>
        <w:rPr>
          <w:rFonts w:ascii="宋体" w:hAnsi="宋体"/>
          <w:bCs/>
          <w:sz w:val="24"/>
          <w:szCs w:val="24"/>
        </w:rPr>
        <w:t>甲乙双方必须遵守本合同并执行合同中的各项规定，保证</w:t>
      </w:r>
      <w:r>
        <w:rPr>
          <w:rFonts w:hint="eastAsia" w:ascii="宋体" w:hAnsi="宋体"/>
          <w:bCs/>
          <w:sz w:val="24"/>
          <w:szCs w:val="24"/>
        </w:rPr>
        <w:t>本</w:t>
      </w:r>
      <w:r>
        <w:rPr>
          <w:rFonts w:ascii="宋体" w:hAnsi="宋体"/>
          <w:bCs/>
          <w:sz w:val="24"/>
          <w:szCs w:val="24"/>
        </w:rPr>
        <w:t>合同的正常</w:t>
      </w:r>
      <w:r>
        <w:rPr>
          <w:rFonts w:hint="eastAsia" w:ascii="宋体" w:hAnsi="宋体"/>
          <w:bCs/>
          <w:sz w:val="24"/>
          <w:szCs w:val="24"/>
        </w:rPr>
        <w:t>履行</w:t>
      </w:r>
      <w:r>
        <w:rPr>
          <w:rFonts w:ascii="宋体" w:hAnsi="宋体"/>
          <w:bCs/>
          <w:sz w:val="24"/>
          <w:szCs w:val="24"/>
        </w:rPr>
        <w:t>。</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2、</w:t>
      </w:r>
      <w:r>
        <w:rPr>
          <w:rFonts w:ascii="宋体" w:hAnsi="宋体"/>
          <w:bCs/>
          <w:sz w:val="24"/>
          <w:szCs w:val="24"/>
        </w:rPr>
        <w:t>如因乙方</w:t>
      </w:r>
      <w:r>
        <w:rPr>
          <w:rFonts w:hint="eastAsia" w:ascii="宋体" w:hAnsi="宋体"/>
          <w:bCs/>
          <w:sz w:val="24"/>
          <w:szCs w:val="24"/>
        </w:rPr>
        <w:t>工作人员在履行职务过程中的</w:t>
      </w:r>
      <w:r>
        <w:rPr>
          <w:rFonts w:ascii="宋体" w:hAnsi="宋体"/>
          <w:bCs/>
          <w:sz w:val="24"/>
          <w:szCs w:val="24"/>
        </w:rPr>
        <w:t>的疏忽、失职、过错等</w:t>
      </w:r>
      <w:r>
        <w:rPr>
          <w:rFonts w:hint="eastAsia" w:ascii="宋体" w:hAnsi="宋体"/>
          <w:bCs/>
          <w:sz w:val="24"/>
          <w:szCs w:val="24"/>
        </w:rPr>
        <w:t>故意或者过失</w:t>
      </w:r>
      <w:r>
        <w:rPr>
          <w:rFonts w:ascii="宋体" w:hAnsi="宋体"/>
          <w:bCs/>
          <w:sz w:val="24"/>
          <w:szCs w:val="24"/>
        </w:rPr>
        <w:t>原因给甲方造成损失或侵害，</w:t>
      </w:r>
      <w:r>
        <w:rPr>
          <w:rFonts w:hint="eastAsia" w:ascii="宋体" w:hAnsi="宋体"/>
          <w:bCs/>
          <w:sz w:val="24"/>
          <w:szCs w:val="24"/>
        </w:rPr>
        <w:t>包括但不限于甲方本身的财产损失、由此而导致的甲方对任何第三方的法律责任等，乙方对此均应承担全部的赔偿责任</w:t>
      </w:r>
      <w:r>
        <w:rPr>
          <w:rFonts w:ascii="宋体" w:hAnsi="宋体"/>
          <w:bCs/>
          <w:sz w:val="24"/>
          <w:szCs w:val="24"/>
        </w:rPr>
        <w:t>。</w:t>
      </w:r>
    </w:p>
    <w:p>
      <w:pPr>
        <w:adjustRightInd w:val="0"/>
        <w:spacing w:line="400" w:lineRule="exact"/>
        <w:ind w:firstLine="480" w:firstLineChars="200"/>
        <w:textAlignment w:val="baseline"/>
        <w:rPr>
          <w:rFonts w:ascii="宋体" w:hAnsi="宋体"/>
          <w:bCs/>
          <w:sz w:val="24"/>
          <w:szCs w:val="24"/>
        </w:rPr>
      </w:pPr>
      <w:r>
        <w:rPr>
          <w:rFonts w:hint="eastAsia" w:ascii="宋体" w:hAnsi="宋体"/>
          <w:bCs/>
          <w:sz w:val="24"/>
          <w:szCs w:val="24"/>
        </w:rPr>
        <w:t>3、乙方未按照本合同标准或甲方要求提供及配送食材的，每出现一次（合同中涉及天数或项数的，每“一天”或“一项”即“一次”）视为一次违约，应当根据甲方要求限期整改（包括但不限于采取补发、重发等补救措施），整改后仍不能达到本合同标准或甲方要求的，应当向甲方支付该月结算金额5</w:t>
      </w:r>
      <w:r>
        <w:rPr>
          <w:rFonts w:ascii="宋体" w:hAnsi="宋体"/>
          <w:bCs/>
          <w:sz w:val="24"/>
          <w:szCs w:val="24"/>
        </w:rPr>
        <w:t>%</w:t>
      </w:r>
      <w:r>
        <w:rPr>
          <w:rFonts w:hint="eastAsia" w:ascii="宋体" w:hAnsi="宋体"/>
          <w:bCs/>
          <w:sz w:val="24"/>
          <w:szCs w:val="24"/>
        </w:rPr>
        <w:t>的违约金；合同有效期内出现三次及以上违约情形的，甲方有权直接解除合同，并要求乙方赔偿损失。</w:t>
      </w:r>
    </w:p>
    <w:p>
      <w:pPr>
        <w:numPr>
          <w:ilvl w:val="0"/>
          <w:numId w:val="52"/>
        </w:numPr>
        <w:spacing w:line="400" w:lineRule="exact"/>
        <w:rPr>
          <w:rFonts w:ascii="宋体" w:hAnsi="宋体"/>
          <w:b/>
        </w:rPr>
      </w:pPr>
      <w:r>
        <w:rPr>
          <w:rFonts w:hint="eastAsia" w:ascii="宋体" w:hAnsi="宋体"/>
          <w:b/>
        </w:rPr>
        <w:t>不可抗力事件处理</w:t>
      </w:r>
    </w:p>
    <w:p>
      <w:pPr>
        <w:tabs>
          <w:tab w:val="left" w:pos="0"/>
        </w:tabs>
        <w:spacing w:line="400" w:lineRule="exact"/>
        <w:ind w:firstLine="480" w:firstLineChars="200"/>
        <w:rPr>
          <w:rFonts w:ascii="宋体" w:hAnsi="宋体"/>
          <w:sz w:val="24"/>
          <w:szCs w:val="24"/>
        </w:rPr>
      </w:pPr>
      <w:r>
        <w:rPr>
          <w:rFonts w:hint="eastAsia" w:ascii="宋体" w:hAnsi="宋体"/>
          <w:sz w:val="24"/>
          <w:szCs w:val="24"/>
        </w:rPr>
        <w:t>1、在合同有效期内，任何一方因不可抗力事件导致不能履行合同，双方协商后合同履行期可延长，其延长期与不可抗力影响期相同。</w:t>
      </w:r>
    </w:p>
    <w:p>
      <w:pPr>
        <w:tabs>
          <w:tab w:val="left" w:pos="0"/>
        </w:tabs>
        <w:spacing w:line="400" w:lineRule="exact"/>
        <w:ind w:firstLine="480" w:firstLineChars="200"/>
        <w:rPr>
          <w:rFonts w:ascii="宋体" w:hAnsi="宋体"/>
          <w:sz w:val="24"/>
          <w:szCs w:val="24"/>
        </w:rPr>
      </w:pPr>
      <w:r>
        <w:rPr>
          <w:rFonts w:hint="eastAsia" w:ascii="宋体" w:hAnsi="宋体"/>
          <w:sz w:val="24"/>
          <w:szCs w:val="24"/>
        </w:rPr>
        <w:t>2、不可抗力事件发生后，应立即通知对方，并寄送有关权威机构出具的证明。</w:t>
      </w:r>
    </w:p>
    <w:p>
      <w:pPr>
        <w:tabs>
          <w:tab w:val="left" w:pos="0"/>
        </w:tabs>
        <w:spacing w:line="400" w:lineRule="exact"/>
        <w:ind w:firstLine="480" w:firstLineChars="200"/>
        <w:rPr>
          <w:rFonts w:ascii="宋体" w:hAnsi="宋体"/>
          <w:sz w:val="24"/>
          <w:szCs w:val="24"/>
        </w:rPr>
      </w:pPr>
      <w:r>
        <w:rPr>
          <w:rFonts w:hint="eastAsia" w:ascii="宋体" w:hAnsi="宋体"/>
          <w:sz w:val="24"/>
          <w:szCs w:val="24"/>
        </w:rPr>
        <w:t>3、不可抗力事件延续</w:t>
      </w:r>
      <w:r>
        <w:rPr>
          <w:rFonts w:hint="eastAsia"/>
          <w:sz w:val="24"/>
          <w:szCs w:val="24"/>
        </w:rPr>
        <w:t>XX</w:t>
      </w:r>
      <w:r>
        <w:rPr>
          <w:rFonts w:hint="eastAsia" w:ascii="宋体" w:hAnsi="宋体"/>
          <w:sz w:val="24"/>
          <w:szCs w:val="24"/>
        </w:rPr>
        <w:t>天以上，双方应通过友好协商，确定是否继续履行合同。</w:t>
      </w:r>
    </w:p>
    <w:p>
      <w:pPr>
        <w:numPr>
          <w:ilvl w:val="0"/>
          <w:numId w:val="52"/>
        </w:numPr>
        <w:spacing w:line="400" w:lineRule="exact"/>
        <w:rPr>
          <w:rFonts w:ascii="宋体" w:hAnsi="宋体"/>
          <w:b/>
        </w:rPr>
      </w:pPr>
      <w:r>
        <w:rPr>
          <w:rFonts w:hint="eastAsia" w:ascii="宋体" w:hAnsi="宋体"/>
          <w:b/>
        </w:rPr>
        <w:t>解</w:t>
      </w:r>
      <w:r>
        <w:rPr>
          <w:rFonts w:ascii="宋体" w:hAnsi="宋体"/>
          <w:b/>
        </w:rPr>
        <w:t>决合同纠纷的方式</w:t>
      </w:r>
    </w:p>
    <w:p>
      <w:pPr>
        <w:tabs>
          <w:tab w:val="left" w:pos="0"/>
        </w:tabs>
        <w:spacing w:line="4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在执行本合同中发生的或与本合同有关的争端，双方应通过友好协商解决，经协商不能达成协议时，应提交成都仲裁委员会</w:t>
      </w:r>
      <w:r>
        <w:rPr>
          <w:rFonts w:hint="eastAsia" w:ascii="宋体" w:hAnsi="宋体"/>
          <w:sz w:val="24"/>
          <w:szCs w:val="24"/>
        </w:rPr>
        <w:t>按照现行有效的仲裁规则进行</w:t>
      </w:r>
      <w:r>
        <w:rPr>
          <w:rFonts w:ascii="宋体" w:hAnsi="宋体"/>
          <w:sz w:val="24"/>
          <w:szCs w:val="24"/>
        </w:rPr>
        <w:t>仲裁。</w:t>
      </w:r>
    </w:p>
    <w:p>
      <w:pPr>
        <w:tabs>
          <w:tab w:val="left" w:pos="0"/>
        </w:tabs>
        <w:spacing w:line="40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在仲裁期间，除正在进行仲裁部分外，合同其他部分继续执行。  </w:t>
      </w:r>
    </w:p>
    <w:p>
      <w:pPr>
        <w:numPr>
          <w:ilvl w:val="0"/>
          <w:numId w:val="52"/>
        </w:numPr>
        <w:spacing w:line="400" w:lineRule="exact"/>
        <w:rPr>
          <w:rFonts w:ascii="宋体" w:hAnsi="宋体"/>
          <w:b/>
        </w:rPr>
      </w:pPr>
      <w:r>
        <w:rPr>
          <w:rFonts w:ascii="宋体" w:hAnsi="宋体"/>
          <w:b/>
        </w:rPr>
        <w:t>合同</w:t>
      </w:r>
      <w:r>
        <w:rPr>
          <w:rFonts w:hint="eastAsia" w:ascii="宋体" w:hAnsi="宋体"/>
          <w:b/>
        </w:rPr>
        <w:t>生效及其他</w:t>
      </w:r>
    </w:p>
    <w:p>
      <w:pPr>
        <w:pStyle w:val="227"/>
        <w:spacing w:line="400" w:lineRule="exact"/>
        <w:ind w:firstLine="480"/>
        <w:rPr>
          <w:rFonts w:ascii="宋体" w:hAnsi="宋体"/>
          <w:sz w:val="24"/>
          <w:szCs w:val="24"/>
        </w:rPr>
      </w:pPr>
      <w:r>
        <w:rPr>
          <w:rFonts w:hint="eastAsia" w:ascii="宋体" w:hAnsi="宋体"/>
          <w:sz w:val="24"/>
          <w:szCs w:val="24"/>
        </w:rPr>
        <w:t>1、合同经双方法定代表人或授权委托代理人签字并加盖单位公章后生效。</w:t>
      </w:r>
    </w:p>
    <w:p>
      <w:pPr>
        <w:pStyle w:val="227"/>
        <w:spacing w:line="400" w:lineRule="exact"/>
        <w:ind w:firstLine="480"/>
        <w:rPr>
          <w:rFonts w:ascii="宋体" w:hAnsi="宋体"/>
          <w:sz w:val="24"/>
          <w:szCs w:val="24"/>
        </w:rPr>
      </w:pPr>
      <w:r>
        <w:rPr>
          <w:rFonts w:hint="eastAsia" w:ascii="宋体" w:hAnsi="宋体"/>
          <w:sz w:val="24"/>
          <w:szCs w:val="24"/>
        </w:rPr>
        <w:t>2、合同执行中涉及采购资金和采购内容修改或补充的，须经政府采购监管部门审批，并签书面补充协议报政府采购监督管理部门备案，方可作为主合同不可分割的一部分，该书面补充协议与本合同具有同等法律效力。</w:t>
      </w:r>
    </w:p>
    <w:p>
      <w:pPr>
        <w:pStyle w:val="227"/>
        <w:spacing w:line="400" w:lineRule="exact"/>
        <w:ind w:firstLine="480"/>
        <w:rPr>
          <w:rFonts w:ascii="宋体" w:hAnsi="宋体"/>
          <w:sz w:val="24"/>
          <w:szCs w:val="24"/>
        </w:rPr>
      </w:pPr>
      <w:r>
        <w:rPr>
          <w:rFonts w:hint="eastAsia" w:ascii="宋体" w:hAnsi="宋体"/>
          <w:sz w:val="24"/>
          <w:szCs w:val="24"/>
        </w:rPr>
        <w:t>3、本合同一式</w:t>
      </w:r>
      <w:r>
        <w:rPr>
          <w:rFonts w:hint="eastAsia"/>
          <w:sz w:val="24"/>
          <w:szCs w:val="24"/>
        </w:rPr>
        <w:t>XX</w:t>
      </w:r>
      <w:r>
        <w:rPr>
          <w:rFonts w:hint="eastAsia" w:ascii="宋体" w:hAnsi="宋体"/>
          <w:sz w:val="24"/>
          <w:szCs w:val="24"/>
        </w:rPr>
        <w:t>份，自双方签字并加盖公章之日起起效。甲方</w:t>
      </w:r>
      <w:r>
        <w:rPr>
          <w:rFonts w:hint="eastAsia"/>
          <w:sz w:val="24"/>
          <w:szCs w:val="24"/>
        </w:rPr>
        <w:t>XX</w:t>
      </w:r>
      <w:r>
        <w:rPr>
          <w:rFonts w:hint="eastAsia" w:ascii="宋体" w:hAnsi="宋体"/>
          <w:sz w:val="24"/>
          <w:szCs w:val="24"/>
        </w:rPr>
        <w:t>份，乙方</w:t>
      </w:r>
      <w:r>
        <w:rPr>
          <w:rFonts w:hint="eastAsia"/>
          <w:sz w:val="24"/>
          <w:szCs w:val="24"/>
        </w:rPr>
        <w:t>XX</w:t>
      </w:r>
      <w:r>
        <w:rPr>
          <w:rFonts w:hint="eastAsia" w:ascii="宋体" w:hAnsi="宋体"/>
          <w:sz w:val="24"/>
          <w:szCs w:val="24"/>
        </w:rPr>
        <w:t>份，政府采购代理机构</w:t>
      </w:r>
      <w:r>
        <w:rPr>
          <w:rFonts w:hint="eastAsia"/>
          <w:sz w:val="24"/>
          <w:szCs w:val="24"/>
        </w:rPr>
        <w:t>XX</w:t>
      </w:r>
      <w:r>
        <w:rPr>
          <w:rFonts w:hint="eastAsia" w:ascii="宋体" w:hAnsi="宋体"/>
          <w:sz w:val="24"/>
          <w:szCs w:val="24"/>
        </w:rPr>
        <w:t>份，同级财政部门备案</w:t>
      </w:r>
      <w:r>
        <w:rPr>
          <w:rFonts w:hint="eastAsia"/>
          <w:sz w:val="24"/>
          <w:szCs w:val="24"/>
        </w:rPr>
        <w:t>XX</w:t>
      </w:r>
      <w:r>
        <w:rPr>
          <w:rFonts w:hint="eastAsia" w:ascii="宋体" w:hAnsi="宋体"/>
          <w:sz w:val="24"/>
          <w:szCs w:val="24"/>
        </w:rPr>
        <w:t>份，具有同等法律效力。</w:t>
      </w:r>
    </w:p>
    <w:p>
      <w:pPr>
        <w:numPr>
          <w:ilvl w:val="0"/>
          <w:numId w:val="52"/>
        </w:numPr>
        <w:spacing w:line="400" w:lineRule="exact"/>
        <w:rPr>
          <w:rFonts w:ascii="宋体" w:hAnsi="宋体"/>
          <w:b/>
          <w:sz w:val="24"/>
          <w:szCs w:val="24"/>
        </w:rPr>
      </w:pPr>
      <w:r>
        <w:rPr>
          <w:rFonts w:hint="eastAsia" w:ascii="宋体" w:hAnsi="宋体"/>
          <w:b/>
          <w:sz w:val="24"/>
          <w:szCs w:val="24"/>
        </w:rPr>
        <w:t>通知条款</w:t>
      </w:r>
    </w:p>
    <w:p>
      <w:pPr>
        <w:tabs>
          <w:tab w:val="left" w:pos="1521"/>
        </w:tabs>
        <w:spacing w:line="400" w:lineRule="exact"/>
        <w:rPr>
          <w:rFonts w:ascii="宋体" w:hAnsi="宋体"/>
          <w:sz w:val="24"/>
          <w:szCs w:val="24"/>
        </w:rPr>
      </w:pPr>
      <w:r>
        <w:rPr>
          <w:rFonts w:hint="eastAsia" w:ascii="宋体" w:hAnsi="宋体"/>
          <w:bCs/>
          <w:sz w:val="24"/>
          <w:szCs w:val="24"/>
        </w:rPr>
        <w:t>本合同约定甲、乙双方的联系地址、联系人若发生变更，应在变更之日起3日内书面告知另一方，否则对另一方不发生变更效力。在本合同执行中需要双方认可的资料、通知和违约情况均以书面形式通过本合同载明的地址送达，该地址同时作为司法送达的有效地址。</w:t>
      </w:r>
    </w:p>
    <w:p>
      <w:pPr>
        <w:numPr>
          <w:ilvl w:val="0"/>
          <w:numId w:val="52"/>
        </w:numPr>
        <w:spacing w:line="400" w:lineRule="exact"/>
        <w:rPr>
          <w:rFonts w:ascii="宋体" w:hAnsi="宋体"/>
          <w:b/>
        </w:rPr>
      </w:pPr>
      <w:r>
        <w:rPr>
          <w:rFonts w:hint="eastAsia" w:ascii="宋体" w:hAnsi="宋体"/>
          <w:b/>
        </w:rPr>
        <w:t>附件</w:t>
      </w:r>
    </w:p>
    <w:p>
      <w:pPr>
        <w:pStyle w:val="227"/>
        <w:spacing w:line="400" w:lineRule="exact"/>
        <w:ind w:firstLine="480"/>
        <w:rPr>
          <w:rFonts w:ascii="宋体" w:hAnsi="宋体"/>
          <w:sz w:val="24"/>
          <w:szCs w:val="24"/>
        </w:rPr>
      </w:pPr>
      <w:r>
        <w:rPr>
          <w:rFonts w:hint="eastAsia" w:ascii="宋体" w:hAnsi="宋体"/>
          <w:sz w:val="24"/>
          <w:szCs w:val="24"/>
        </w:rPr>
        <w:t>1、项目招标文件</w:t>
      </w:r>
    </w:p>
    <w:p>
      <w:pPr>
        <w:pStyle w:val="227"/>
        <w:spacing w:line="400" w:lineRule="exact"/>
        <w:ind w:firstLine="480"/>
        <w:rPr>
          <w:rFonts w:ascii="宋体" w:hAnsi="宋体"/>
          <w:sz w:val="24"/>
          <w:szCs w:val="24"/>
        </w:rPr>
      </w:pPr>
      <w:r>
        <w:rPr>
          <w:rFonts w:hint="eastAsia" w:ascii="宋体" w:hAnsi="宋体"/>
          <w:sz w:val="24"/>
          <w:szCs w:val="24"/>
        </w:rPr>
        <w:t>2、项目修改澄清文件</w:t>
      </w:r>
    </w:p>
    <w:p>
      <w:pPr>
        <w:pStyle w:val="227"/>
        <w:spacing w:line="400" w:lineRule="exact"/>
        <w:ind w:firstLine="480"/>
        <w:rPr>
          <w:rFonts w:ascii="宋体" w:hAnsi="宋体"/>
          <w:sz w:val="24"/>
          <w:szCs w:val="24"/>
        </w:rPr>
      </w:pPr>
      <w:r>
        <w:rPr>
          <w:rFonts w:hint="eastAsia" w:ascii="宋体" w:hAnsi="宋体"/>
          <w:sz w:val="24"/>
          <w:szCs w:val="24"/>
        </w:rPr>
        <w:t>3、项目投标文件</w:t>
      </w:r>
    </w:p>
    <w:p>
      <w:pPr>
        <w:pStyle w:val="227"/>
        <w:spacing w:line="400" w:lineRule="exact"/>
        <w:ind w:firstLine="480"/>
        <w:rPr>
          <w:rFonts w:ascii="宋体" w:hAnsi="宋体"/>
          <w:sz w:val="24"/>
          <w:szCs w:val="24"/>
        </w:rPr>
      </w:pPr>
      <w:r>
        <w:rPr>
          <w:rFonts w:hint="eastAsia" w:ascii="宋体" w:hAnsi="宋体"/>
          <w:sz w:val="24"/>
          <w:szCs w:val="24"/>
        </w:rPr>
        <w:t>4、中标通知书</w:t>
      </w:r>
    </w:p>
    <w:p>
      <w:pPr>
        <w:pStyle w:val="227"/>
        <w:spacing w:line="400" w:lineRule="exact"/>
        <w:ind w:firstLine="480"/>
        <w:rPr>
          <w:rFonts w:ascii="宋体" w:hAnsi="宋体"/>
          <w:sz w:val="24"/>
          <w:szCs w:val="24"/>
        </w:rPr>
      </w:pPr>
      <w:r>
        <w:rPr>
          <w:rFonts w:hint="eastAsia" w:ascii="宋体" w:hAnsi="宋体"/>
          <w:sz w:val="24"/>
          <w:szCs w:val="24"/>
        </w:rPr>
        <w:t>5、其他</w:t>
      </w:r>
    </w:p>
    <w:p>
      <w:pPr>
        <w:pStyle w:val="227"/>
        <w:spacing w:line="400" w:lineRule="exact"/>
        <w:ind w:firstLine="480"/>
        <w:rPr>
          <w:rFonts w:ascii="宋体" w:hAnsi="宋体"/>
          <w:sz w:val="24"/>
          <w:szCs w:val="24"/>
        </w:rPr>
      </w:pPr>
    </w:p>
    <w:p>
      <w:pPr>
        <w:pStyle w:val="227"/>
        <w:spacing w:line="400" w:lineRule="exact"/>
        <w:ind w:firstLine="480"/>
        <w:rPr>
          <w:rFonts w:ascii="宋体" w:hAnsi="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甲方：   （盖章）</w:t>
      </w:r>
      <w:r>
        <w:rPr>
          <w:rFonts w:ascii="宋体" w:hAnsi="宋体"/>
          <w:sz w:val="24"/>
          <w:szCs w:val="24"/>
        </w:rPr>
        <w:tab/>
      </w:r>
      <w:r>
        <w:rPr>
          <w:rFonts w:ascii="宋体" w:hAnsi="宋体"/>
          <w:sz w:val="24"/>
          <w:szCs w:val="24"/>
        </w:rPr>
        <w:tab/>
      </w:r>
      <w:r>
        <w:rPr>
          <w:rFonts w:ascii="宋体" w:hAnsi="宋体"/>
          <w:sz w:val="24"/>
          <w:szCs w:val="24"/>
        </w:rPr>
        <w:tab/>
      </w:r>
      <w:r>
        <w:rPr>
          <w:rFonts w:hint="eastAsia" w:ascii="宋体" w:hAnsi="宋体"/>
          <w:sz w:val="24"/>
          <w:szCs w:val="24"/>
        </w:rPr>
        <w:t xml:space="preserve">   乙方：（盖章）</w:t>
      </w:r>
    </w:p>
    <w:p>
      <w:pPr>
        <w:spacing w:line="400" w:lineRule="exact"/>
        <w:ind w:firstLine="480" w:firstLineChars="200"/>
        <w:rPr>
          <w:rFonts w:ascii="宋体" w:hAnsi="宋体"/>
          <w:sz w:val="24"/>
          <w:szCs w:val="24"/>
        </w:rPr>
      </w:pPr>
      <w:r>
        <w:rPr>
          <w:rFonts w:hint="eastAsia" w:ascii="宋体" w:hAnsi="宋体"/>
          <w:sz w:val="24"/>
          <w:szCs w:val="24"/>
        </w:rPr>
        <w:t>法定代表人（授权代表）：       法定代表人（授权代表）：</w:t>
      </w:r>
    </w:p>
    <w:p>
      <w:pPr>
        <w:spacing w:line="400" w:lineRule="exact"/>
        <w:ind w:firstLine="480" w:firstLineChars="200"/>
        <w:rPr>
          <w:rFonts w:ascii="宋体" w:hAnsi="宋体"/>
          <w:sz w:val="24"/>
          <w:szCs w:val="24"/>
        </w:rPr>
      </w:pPr>
      <w:r>
        <w:rPr>
          <w:rFonts w:hint="eastAsia" w:ascii="宋体" w:hAnsi="宋体"/>
          <w:sz w:val="24"/>
          <w:szCs w:val="24"/>
        </w:rPr>
        <w:t>经办人：                        经办人：</w:t>
      </w:r>
    </w:p>
    <w:p>
      <w:pPr>
        <w:spacing w:line="400" w:lineRule="exact"/>
        <w:ind w:firstLine="480" w:firstLineChars="200"/>
        <w:rPr>
          <w:rFonts w:ascii="宋体" w:hAnsi="宋体"/>
          <w:sz w:val="24"/>
          <w:szCs w:val="24"/>
        </w:rPr>
      </w:pPr>
      <w:r>
        <w:rPr>
          <w:rFonts w:hint="eastAsia" w:ascii="宋体" w:hAnsi="宋体"/>
          <w:sz w:val="24"/>
          <w:szCs w:val="24"/>
        </w:rPr>
        <w:t>地址：地址：</w:t>
      </w:r>
    </w:p>
    <w:p>
      <w:pPr>
        <w:spacing w:line="400" w:lineRule="exact"/>
        <w:ind w:firstLine="480" w:firstLineChars="200"/>
        <w:rPr>
          <w:rFonts w:ascii="宋体" w:hAnsi="宋体"/>
          <w:sz w:val="24"/>
          <w:szCs w:val="24"/>
        </w:rPr>
      </w:pPr>
      <w:r>
        <w:rPr>
          <w:rFonts w:hint="eastAsia" w:ascii="宋体" w:hAnsi="宋体"/>
          <w:sz w:val="24"/>
          <w:szCs w:val="24"/>
        </w:rPr>
        <w:t>开户银行：开户银行：</w:t>
      </w:r>
    </w:p>
    <w:p>
      <w:pPr>
        <w:spacing w:line="400" w:lineRule="exact"/>
        <w:ind w:firstLine="480" w:firstLineChars="200"/>
        <w:rPr>
          <w:rFonts w:ascii="宋体" w:hAnsi="宋体"/>
          <w:sz w:val="24"/>
          <w:szCs w:val="24"/>
        </w:rPr>
      </w:pPr>
      <w:r>
        <w:rPr>
          <w:rFonts w:hint="eastAsia" w:ascii="宋体" w:hAnsi="宋体"/>
          <w:sz w:val="24"/>
          <w:szCs w:val="24"/>
        </w:rPr>
        <w:t>账号：账号：</w:t>
      </w:r>
    </w:p>
    <w:p>
      <w:pPr>
        <w:spacing w:line="400" w:lineRule="exact"/>
        <w:ind w:firstLine="480" w:firstLineChars="200"/>
        <w:rPr>
          <w:rFonts w:ascii="宋体" w:hAnsi="宋体"/>
          <w:sz w:val="24"/>
          <w:szCs w:val="24"/>
        </w:rPr>
      </w:pPr>
      <w:r>
        <w:rPr>
          <w:rFonts w:hint="eastAsia" w:ascii="宋体" w:hAnsi="宋体"/>
          <w:sz w:val="24"/>
          <w:szCs w:val="24"/>
        </w:rPr>
        <w:t>电话：电话：</w:t>
      </w:r>
    </w:p>
    <w:p>
      <w:pPr>
        <w:spacing w:line="400" w:lineRule="exact"/>
        <w:ind w:firstLine="480" w:firstLineChars="200"/>
        <w:rPr>
          <w:rFonts w:ascii="宋体" w:hAnsi="宋体"/>
          <w:sz w:val="24"/>
          <w:szCs w:val="24"/>
        </w:rPr>
      </w:pPr>
      <w:r>
        <w:rPr>
          <w:rFonts w:hint="eastAsia" w:ascii="宋体" w:hAnsi="宋体"/>
          <w:sz w:val="24"/>
          <w:szCs w:val="24"/>
        </w:rPr>
        <w:t>传真：传真：</w:t>
      </w:r>
    </w:p>
    <w:p>
      <w:pPr>
        <w:rPr>
          <w:sz w:val="24"/>
          <w:szCs w:val="24"/>
        </w:rPr>
      </w:pPr>
      <w:r>
        <w:rPr>
          <w:rFonts w:hint="eastAsia" w:ascii="宋体" w:hAnsi="宋体"/>
          <w:sz w:val="24"/>
          <w:szCs w:val="24"/>
        </w:rPr>
        <w:t>签约日期：</w:t>
      </w:r>
      <w:r>
        <w:rPr>
          <w:rFonts w:hint="eastAsia"/>
          <w:sz w:val="24"/>
          <w:szCs w:val="24"/>
        </w:rPr>
        <w:t>XX</w:t>
      </w:r>
      <w:r>
        <w:rPr>
          <w:rFonts w:hint="eastAsia" w:ascii="宋体" w:hAnsi="宋体"/>
          <w:sz w:val="24"/>
          <w:szCs w:val="24"/>
        </w:rPr>
        <w:t>年</w:t>
      </w:r>
      <w:r>
        <w:rPr>
          <w:rFonts w:hint="eastAsia"/>
          <w:sz w:val="24"/>
          <w:szCs w:val="24"/>
        </w:rPr>
        <w:t>XX</w:t>
      </w:r>
      <w:r>
        <w:rPr>
          <w:rFonts w:hint="eastAsia" w:ascii="宋体" w:hAnsi="宋体"/>
          <w:sz w:val="24"/>
          <w:szCs w:val="24"/>
        </w:rPr>
        <w:t>月</w:t>
      </w:r>
      <w:r>
        <w:rPr>
          <w:rFonts w:hint="eastAsia"/>
          <w:sz w:val="24"/>
          <w:szCs w:val="24"/>
        </w:rPr>
        <w:t>XX</w:t>
      </w:r>
      <w:r>
        <w:rPr>
          <w:rFonts w:hint="eastAsia" w:ascii="宋体" w:hAnsi="宋体"/>
          <w:sz w:val="24"/>
          <w:szCs w:val="24"/>
        </w:rPr>
        <w:t>日</w:t>
      </w:r>
      <w:r>
        <w:rPr>
          <w:rFonts w:ascii="宋体" w:hAnsi="宋体"/>
          <w:sz w:val="24"/>
          <w:szCs w:val="24"/>
        </w:rPr>
        <w:tab/>
      </w:r>
      <w:r>
        <w:rPr>
          <w:rFonts w:ascii="宋体" w:hAnsi="宋体"/>
          <w:sz w:val="24"/>
          <w:szCs w:val="24"/>
        </w:rPr>
        <w:tab/>
      </w:r>
      <w:r>
        <w:rPr>
          <w:rFonts w:ascii="宋体" w:hAnsi="宋体"/>
          <w:sz w:val="24"/>
          <w:szCs w:val="24"/>
        </w:rPr>
        <w:tab/>
      </w:r>
      <w:r>
        <w:rPr>
          <w:rFonts w:hint="eastAsia" w:ascii="宋体" w:hAnsi="宋体"/>
          <w:sz w:val="24"/>
          <w:szCs w:val="24"/>
        </w:rPr>
        <w:t>签约日期：</w:t>
      </w:r>
      <w:r>
        <w:rPr>
          <w:rFonts w:hint="eastAsia"/>
          <w:sz w:val="24"/>
          <w:szCs w:val="24"/>
        </w:rPr>
        <w:t>XX</w:t>
      </w:r>
      <w:r>
        <w:rPr>
          <w:rFonts w:hint="eastAsia" w:ascii="宋体" w:hAnsi="宋体"/>
          <w:sz w:val="24"/>
          <w:szCs w:val="24"/>
        </w:rPr>
        <w:t>年</w:t>
      </w:r>
      <w:r>
        <w:rPr>
          <w:rFonts w:hint="eastAsia"/>
          <w:sz w:val="24"/>
          <w:szCs w:val="24"/>
        </w:rPr>
        <w:t>XX</w:t>
      </w:r>
      <w:r>
        <w:rPr>
          <w:rFonts w:hint="eastAsia" w:ascii="宋体" w:hAnsi="宋体"/>
          <w:sz w:val="24"/>
          <w:szCs w:val="24"/>
        </w:rPr>
        <w:t>月</w:t>
      </w:r>
      <w:r>
        <w:rPr>
          <w:rFonts w:hint="eastAsia"/>
          <w:sz w:val="24"/>
          <w:szCs w:val="24"/>
        </w:rPr>
        <w:t>XX日</w:t>
      </w:r>
      <w:r>
        <w:rPr>
          <w:rFonts w:hint="eastAsia"/>
          <w:sz w:val="24"/>
          <w:szCs w:val="24"/>
        </w:rPr>
        <w:br w:type="textWrapping"/>
      </w:r>
      <w:r>
        <w:rPr>
          <w:rFonts w:hint="eastAsia"/>
          <w:sz w:val="24"/>
          <w:szCs w:val="24"/>
        </w:rPr>
        <w:br w:type="textWrapping"/>
      </w:r>
    </w:p>
    <w:p>
      <w:pPr>
        <w:pStyle w:val="2"/>
      </w:pPr>
      <w:r>
        <w:rPr>
          <w:rFonts w:hint="eastAsia"/>
        </w:rPr>
        <w:br w:type="textWrapping"/>
      </w:r>
    </w:p>
    <w:p>
      <w:pPr>
        <w:rPr>
          <w:sz w:val="24"/>
          <w:szCs w:val="24"/>
        </w:rPr>
      </w:pPr>
      <w:r>
        <w:rPr>
          <w:rFonts w:hint="eastAsia"/>
          <w:sz w:val="24"/>
          <w:szCs w:val="24"/>
        </w:rPr>
        <w:br w:type="page"/>
      </w:r>
    </w:p>
    <w:p>
      <w:pPr>
        <w:tabs>
          <w:tab w:val="left" w:pos="327"/>
          <w:tab w:val="center" w:pos="4482"/>
        </w:tabs>
        <w:jc w:val="left"/>
        <w:rPr>
          <w:rFonts w:ascii="Times New Roman" w:hAnsi="Times New Roman" w:eastAsia="方正小标宋简体"/>
          <w:sz w:val="32"/>
          <w:szCs w:val="32"/>
        </w:rPr>
      </w:pPr>
      <w:r>
        <w:rPr>
          <w:rFonts w:hint="eastAsia" w:ascii="Times New Roman" w:hAnsi="Times New Roman" w:eastAsia="方正小标宋简体"/>
          <w:sz w:val="32"/>
          <w:szCs w:val="32"/>
        </w:rPr>
        <w:t>附件1</w:t>
      </w:r>
    </w:p>
    <w:p>
      <w:pPr>
        <w:tabs>
          <w:tab w:val="left" w:pos="327"/>
          <w:tab w:val="center" w:pos="4482"/>
        </w:tabs>
        <w:jc w:val="center"/>
        <w:rPr>
          <w:rFonts w:ascii="Times New Roman" w:hAnsi="Times New Roman"/>
          <w:sz w:val="30"/>
          <w:szCs w:val="30"/>
        </w:rPr>
      </w:pPr>
      <w:r>
        <w:rPr>
          <w:rFonts w:ascii="Times New Roman" w:hAnsi="Times New Roman" w:eastAsia="方正小标宋简体"/>
          <w:sz w:val="36"/>
          <w:szCs w:val="36"/>
        </w:rPr>
        <w:t>廉洁从政告知书</w:t>
      </w:r>
    </w:p>
    <w:p>
      <w:pPr>
        <w:spacing w:line="540" w:lineRule="exact"/>
        <w:rPr>
          <w:rFonts w:ascii="Times New Roman" w:hAnsi="Times New Roman"/>
          <w:sz w:val="30"/>
          <w:szCs w:val="30"/>
        </w:rPr>
      </w:pPr>
      <w:r>
        <w:rPr>
          <w:rFonts w:ascii="Times New Roman" w:hAnsi="Times New Roman"/>
          <w:sz w:val="30"/>
          <w:szCs w:val="30"/>
        </w:rPr>
        <w:t>尊敬的先生、女士:</w:t>
      </w:r>
    </w:p>
    <w:p>
      <w:pPr>
        <w:spacing w:line="540" w:lineRule="exact"/>
        <w:ind w:firstLine="600" w:firstLineChars="200"/>
        <w:rPr>
          <w:rFonts w:ascii="Times New Roman" w:hAnsi="Times New Roman"/>
          <w:sz w:val="30"/>
          <w:szCs w:val="30"/>
        </w:rPr>
      </w:pPr>
      <w:r>
        <w:rPr>
          <w:rFonts w:ascii="Times New Roman" w:hAnsi="Times New Roman"/>
          <w:sz w:val="30"/>
          <w:szCs w:val="30"/>
        </w:rPr>
        <w:t>为认真贯彻落实中央“八项规定”精神和省、市、区相关要求，切实加强我单位的廉政建设，树立单位干部职工廉洁、勤政、为民的良好形象，我单位特制定廉洁从政行为告知书，诚邀您的监督。</w:t>
      </w:r>
    </w:p>
    <w:p>
      <w:pPr>
        <w:spacing w:line="540" w:lineRule="exact"/>
        <w:ind w:firstLine="600" w:firstLineChars="200"/>
        <w:rPr>
          <w:rFonts w:ascii="Times New Roman" w:hAnsi="Times New Roman"/>
          <w:sz w:val="30"/>
          <w:szCs w:val="30"/>
        </w:rPr>
      </w:pPr>
      <w:r>
        <w:rPr>
          <w:rFonts w:ascii="Times New Roman" w:hAnsi="Times New Roman"/>
          <w:sz w:val="30"/>
          <w:szCs w:val="30"/>
        </w:rPr>
        <w:t>一、我单位将依照国家、省、市、区有关机关事务管理的方针、政策和法律、法规、规章,认真履行机关事务中心的职责。</w:t>
      </w:r>
    </w:p>
    <w:p>
      <w:pPr>
        <w:spacing w:line="540" w:lineRule="exact"/>
        <w:ind w:firstLine="600" w:firstLineChars="200"/>
        <w:rPr>
          <w:rFonts w:ascii="Times New Roman" w:hAnsi="Times New Roman"/>
          <w:sz w:val="30"/>
          <w:szCs w:val="30"/>
        </w:rPr>
      </w:pPr>
      <w:r>
        <w:rPr>
          <w:rFonts w:ascii="Times New Roman" w:hAnsi="Times New Roman"/>
          <w:sz w:val="30"/>
          <w:szCs w:val="30"/>
        </w:rPr>
        <w:t>二、我单位工作人员严禁接受、索取管理服务对象的红包、购物卡、消费券等任何形式的礼品、礼金及有价证券；不得接受管理服务对象宴请以及有关旅游、健身、娱乐等活动安排；不得占用、借用管理服务对象的车辆等交通工具。</w:t>
      </w:r>
    </w:p>
    <w:p>
      <w:pPr>
        <w:spacing w:line="540" w:lineRule="exact"/>
        <w:ind w:firstLine="630"/>
        <w:rPr>
          <w:rFonts w:ascii="Times New Roman" w:hAnsi="Times New Roman"/>
          <w:sz w:val="30"/>
          <w:szCs w:val="30"/>
        </w:rPr>
      </w:pPr>
      <w:r>
        <w:rPr>
          <w:rFonts w:ascii="Times New Roman" w:hAnsi="Times New Roman"/>
          <w:sz w:val="30"/>
          <w:szCs w:val="30"/>
        </w:rPr>
        <w:t>三、在招标、比选、采买及其它社会化外包项目过程中，不得以任何形式索要或接受各种名义的回扣、手续费等好处费。</w:t>
      </w:r>
    </w:p>
    <w:p>
      <w:pPr>
        <w:spacing w:line="540" w:lineRule="exact"/>
        <w:ind w:firstLine="600" w:firstLineChars="200"/>
        <w:rPr>
          <w:rFonts w:ascii="Times New Roman" w:hAnsi="Times New Roman"/>
          <w:sz w:val="30"/>
          <w:szCs w:val="30"/>
        </w:rPr>
      </w:pPr>
      <w:r>
        <w:rPr>
          <w:rFonts w:ascii="Times New Roman" w:hAnsi="Times New Roman"/>
          <w:sz w:val="30"/>
          <w:szCs w:val="30"/>
        </w:rPr>
        <w:t>四、发现我单位工作人员有违反党风廉政纪律的行为，或对我单位党风廉政建设工作有任何意见、建议，请向我单位纪检监察机构反映。</w:t>
      </w:r>
    </w:p>
    <w:p>
      <w:pPr>
        <w:spacing w:line="540" w:lineRule="exact"/>
        <w:ind w:firstLine="600" w:firstLineChars="200"/>
        <w:rPr>
          <w:rFonts w:ascii="Times New Roman" w:hAnsi="Times New Roman"/>
          <w:sz w:val="30"/>
          <w:szCs w:val="30"/>
        </w:rPr>
      </w:pPr>
      <w:r>
        <w:rPr>
          <w:rFonts w:ascii="Times New Roman" w:hAnsi="Times New Roman"/>
          <w:sz w:val="30"/>
          <w:szCs w:val="30"/>
        </w:rPr>
        <w:t>监督投诉电话:028-85557412或028-85557402</w:t>
      </w:r>
    </w:p>
    <w:p>
      <w:pPr>
        <w:spacing w:line="540" w:lineRule="exact"/>
        <w:jc w:val="right"/>
        <w:rPr>
          <w:rFonts w:ascii="Times New Roman" w:hAnsi="Times New Roman"/>
          <w:sz w:val="30"/>
          <w:szCs w:val="30"/>
        </w:rPr>
      </w:pPr>
    </w:p>
    <w:p>
      <w:pPr>
        <w:spacing w:line="540" w:lineRule="exact"/>
        <w:jc w:val="right"/>
        <w:rPr>
          <w:rFonts w:ascii="Times New Roman" w:hAnsi="Times New Roman"/>
          <w:sz w:val="30"/>
          <w:szCs w:val="30"/>
        </w:rPr>
      </w:pPr>
      <w:r>
        <w:rPr>
          <w:rFonts w:ascii="Times New Roman" w:hAnsi="Times New Roman"/>
          <w:sz w:val="30"/>
          <w:szCs w:val="30"/>
        </w:rPr>
        <w:t>成都市武侯区机关事务中心</w:t>
      </w:r>
    </w:p>
    <w:p>
      <w:pPr>
        <w:wordWrap w:val="0"/>
        <w:spacing w:line="540" w:lineRule="exact"/>
        <w:jc w:val="right"/>
        <w:rPr>
          <w:rFonts w:ascii="Times New Roman" w:hAnsi="Times New Roman"/>
          <w:sz w:val="32"/>
          <w:szCs w:val="32"/>
        </w:rPr>
      </w:pPr>
      <w:r>
        <w:rPr>
          <w:rFonts w:ascii="Times New Roman" w:hAnsi="Times New Roman"/>
          <w:sz w:val="30"/>
          <w:szCs w:val="30"/>
        </w:rPr>
        <w:t xml:space="preserve">年  月  日 </w:t>
      </w:r>
    </w:p>
    <w:p>
      <w:pPr>
        <w:spacing w:line="600" w:lineRule="exact"/>
        <w:rPr>
          <w:rFonts w:ascii="Times New Roman" w:hAnsi="Times New Roman" w:eastAsia="方正小标宋简体"/>
          <w:sz w:val="28"/>
          <w:szCs w:val="28"/>
        </w:rPr>
      </w:pPr>
    </w:p>
    <w:p>
      <w:pPr>
        <w:spacing w:line="600" w:lineRule="exact"/>
        <w:rPr>
          <w:rFonts w:ascii="Times New Roman" w:hAnsi="Times New Roman" w:eastAsia="方正小标宋简体"/>
          <w:sz w:val="28"/>
          <w:szCs w:val="28"/>
        </w:rPr>
      </w:pPr>
    </w:p>
    <w:p>
      <w:pPr>
        <w:pStyle w:val="152"/>
        <w:rPr>
          <w:rFonts w:ascii="Times New Roman" w:hAnsi="Times New Roman" w:cs="Times New Roman"/>
        </w:rPr>
      </w:pPr>
    </w:p>
    <w:p>
      <w:pPr>
        <w:spacing w:line="600" w:lineRule="exact"/>
        <w:jc w:val="left"/>
        <w:rPr>
          <w:rFonts w:ascii="Times New Roman" w:hAnsi="Times New Roman" w:eastAsia="方正小标宋简体"/>
          <w:sz w:val="32"/>
          <w:szCs w:val="32"/>
        </w:rPr>
      </w:pPr>
      <w:r>
        <w:rPr>
          <w:rFonts w:hint="eastAsia" w:ascii="Times New Roman" w:hAnsi="Times New Roman" w:eastAsia="方正小标宋简体"/>
          <w:sz w:val="32"/>
          <w:szCs w:val="32"/>
        </w:rPr>
        <w:t>附件2</w:t>
      </w:r>
    </w:p>
    <w:p>
      <w:pPr>
        <w:spacing w:line="600" w:lineRule="exact"/>
        <w:jc w:val="center"/>
        <w:rPr>
          <w:rFonts w:ascii="Times New Roman" w:hAnsi="Times New Roman"/>
          <w:sz w:val="32"/>
          <w:szCs w:val="32"/>
        </w:rPr>
      </w:pPr>
      <w:r>
        <w:rPr>
          <w:rFonts w:ascii="Times New Roman" w:hAnsi="Times New Roman" w:eastAsia="方正小标宋简体"/>
          <w:sz w:val="36"/>
          <w:szCs w:val="36"/>
        </w:rPr>
        <w:t>廉洁共建承诺书</w:t>
      </w:r>
    </w:p>
    <w:p>
      <w:pPr>
        <w:spacing w:line="520" w:lineRule="exact"/>
        <w:rPr>
          <w:rFonts w:ascii="Times New Roman" w:hAnsi="Times New Roman"/>
          <w:sz w:val="30"/>
          <w:szCs w:val="30"/>
        </w:rPr>
      </w:pPr>
      <w:r>
        <w:rPr>
          <w:rFonts w:ascii="Times New Roman" w:hAnsi="Times New Roman"/>
          <w:sz w:val="30"/>
          <w:szCs w:val="30"/>
        </w:rPr>
        <w:t>武侯区机关事务中心：</w:t>
      </w:r>
    </w:p>
    <w:p>
      <w:pPr>
        <w:spacing w:line="520" w:lineRule="exact"/>
        <w:ind w:firstLine="630"/>
        <w:rPr>
          <w:rFonts w:ascii="Times New Roman" w:hAnsi="Times New Roman"/>
          <w:sz w:val="30"/>
          <w:szCs w:val="30"/>
        </w:rPr>
      </w:pPr>
      <w:r>
        <w:rPr>
          <w:rFonts w:ascii="Times New Roman" w:hAnsi="Times New Roman"/>
          <w:sz w:val="30"/>
          <w:szCs w:val="30"/>
        </w:rPr>
        <w:t>贵单位《廉洁从政告知书》已收悉。为做好廉洁共建工作，规范我公司及工作人员廉洁从业行为，营造风清气正、遵纪守法、公平公正、共享共赢的业务往来氛围，我公司郑重承诺：</w:t>
      </w:r>
    </w:p>
    <w:p>
      <w:pPr>
        <w:numPr>
          <w:ilvl w:val="0"/>
          <w:numId w:val="53"/>
        </w:numPr>
        <w:spacing w:line="520" w:lineRule="exact"/>
        <w:ind w:firstLine="630"/>
        <w:rPr>
          <w:rFonts w:ascii="Times New Roman" w:hAnsi="Times New Roman"/>
          <w:sz w:val="30"/>
          <w:szCs w:val="30"/>
        </w:rPr>
      </w:pPr>
      <w:r>
        <w:rPr>
          <w:rFonts w:ascii="Times New Roman" w:hAnsi="Times New Roman"/>
          <w:sz w:val="30"/>
          <w:szCs w:val="30"/>
        </w:rPr>
        <w:t>自觉增强廉洁自律意识，遵守国家有关法律法规以及廉洁从业的有关规定。</w:t>
      </w:r>
    </w:p>
    <w:p>
      <w:pPr>
        <w:numPr>
          <w:ilvl w:val="0"/>
          <w:numId w:val="53"/>
        </w:numPr>
        <w:spacing w:line="520" w:lineRule="exact"/>
        <w:ind w:firstLine="630"/>
        <w:rPr>
          <w:rFonts w:ascii="Times New Roman" w:hAnsi="Times New Roman"/>
          <w:sz w:val="30"/>
          <w:szCs w:val="30"/>
        </w:rPr>
      </w:pPr>
      <w:r>
        <w:rPr>
          <w:rFonts w:ascii="Times New Roman" w:hAnsi="Times New Roman"/>
          <w:sz w:val="30"/>
          <w:szCs w:val="30"/>
        </w:rPr>
        <w:t>不向你单位及工作人员个人赠送现金、实物、购物卡、消费券等任何形式的礼品、礼金及有价证券；不以任何形式给予你单位及工作人员个人各种名义的回扣、手续费等好处费；不向你单位及工作人员个人提供宴请以及有关旅游、健身、娱乐等活动安排；不向你单位及工作人员个人提供车辆等交通工具。</w:t>
      </w:r>
    </w:p>
    <w:p>
      <w:pPr>
        <w:spacing w:line="520" w:lineRule="exact"/>
        <w:ind w:firstLine="630"/>
        <w:rPr>
          <w:rFonts w:ascii="Times New Roman" w:hAnsi="Times New Roman"/>
          <w:sz w:val="30"/>
          <w:szCs w:val="30"/>
        </w:rPr>
      </w:pPr>
      <w:r>
        <w:rPr>
          <w:rFonts w:ascii="Times New Roman" w:hAnsi="Times New Roman"/>
          <w:sz w:val="30"/>
          <w:szCs w:val="30"/>
        </w:rPr>
        <w:t>三、严格遵守诚实信用原则，遵守商业道德和市场规则。不违反公共财物管理和使用规定，不假公济私、不化公为私。在《合同》服务期内，不违反你单位的财经纪律。</w:t>
      </w:r>
    </w:p>
    <w:p>
      <w:pPr>
        <w:spacing w:line="520" w:lineRule="exact"/>
        <w:ind w:firstLine="630"/>
        <w:rPr>
          <w:rFonts w:ascii="Times New Roman" w:hAnsi="Times New Roman"/>
          <w:sz w:val="30"/>
          <w:szCs w:val="30"/>
        </w:rPr>
      </w:pPr>
      <w:r>
        <w:rPr>
          <w:rFonts w:ascii="Times New Roman" w:hAnsi="Times New Roman"/>
          <w:sz w:val="30"/>
          <w:szCs w:val="30"/>
        </w:rPr>
        <w:t>四、积极监督，共同守护风清气正的氛围。反腐倡廉，人人有责，对你单位工作中出现的薄弱环节或工作人员出现吃拿卡要等行为，敢于监督举报，形成监督合力。</w:t>
      </w:r>
    </w:p>
    <w:p>
      <w:pPr>
        <w:spacing w:line="560" w:lineRule="exact"/>
        <w:ind w:firstLine="630"/>
        <w:rPr>
          <w:sz w:val="32"/>
          <w:szCs w:val="32"/>
        </w:rPr>
      </w:pPr>
      <w:r>
        <w:rPr>
          <w:rFonts w:hint="eastAsia"/>
          <w:sz w:val="32"/>
          <w:szCs w:val="32"/>
        </w:rPr>
        <w:t>承诺单位（盖章）：             承诺人（签字）：</w:t>
      </w:r>
    </w:p>
    <w:p>
      <w:pPr>
        <w:spacing w:line="560" w:lineRule="exact"/>
        <w:ind w:firstLine="630"/>
        <w:rPr>
          <w:sz w:val="32"/>
          <w:szCs w:val="32"/>
        </w:rPr>
      </w:pPr>
      <w:r>
        <w:rPr>
          <w:rFonts w:hint="eastAsia"/>
          <w:sz w:val="32"/>
          <w:szCs w:val="32"/>
        </w:rPr>
        <w:t xml:space="preserve">                               电话：</w:t>
      </w:r>
    </w:p>
    <w:p>
      <w:pPr>
        <w:jc w:val="center"/>
      </w:pPr>
      <w:r>
        <w:rPr>
          <w:rFonts w:hint="eastAsia"/>
          <w:sz w:val="32"/>
          <w:szCs w:val="32"/>
        </w:rPr>
        <w:t xml:space="preserve">年   月  日  </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7"/>
          <w:ind w:firstLine="480"/>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japaneseCounting"/>
      <w:lvlText w:val="第%1条"/>
      <w:lvlJc w:val="left"/>
      <w:pPr>
        <w:tabs>
          <w:tab w:val="left" w:pos="1521"/>
        </w:tabs>
        <w:ind w:left="1521" w:hanging="1095"/>
      </w:pPr>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988" w:hanging="420"/>
      </w:pPr>
      <w:rPr>
        <w:color w:val="auto"/>
        <w:sz w:val="28"/>
        <w:szCs w:val="28"/>
      </w:rPr>
    </w:lvl>
    <w:lvl w:ilvl="1" w:tentative="0">
      <w:start w:val="1"/>
      <w:numFmt w:val="decimal"/>
      <w:isLgl/>
      <w:lvlText w:val="%1.%2"/>
      <w:lvlJc w:val="left"/>
      <w:pPr>
        <w:ind w:left="1244" w:hanging="960"/>
      </w:pPr>
    </w:lvl>
    <w:lvl w:ilvl="2" w:tentative="0">
      <w:start w:val="1"/>
      <w:numFmt w:val="decimal"/>
      <w:isLgl/>
      <w:lvlText w:val="%1.%2.%3"/>
      <w:lvlJc w:val="left"/>
      <w:pPr>
        <w:ind w:left="1244" w:hanging="960"/>
      </w:pPr>
    </w:lvl>
    <w:lvl w:ilvl="3" w:tentative="0">
      <w:start w:val="1"/>
      <w:numFmt w:val="decimal"/>
      <w:isLgl/>
      <w:lvlText w:val="%1.%2.%3.%4"/>
      <w:lvlJc w:val="left"/>
      <w:pPr>
        <w:ind w:left="1364" w:hanging="1080"/>
      </w:pPr>
    </w:lvl>
    <w:lvl w:ilvl="4" w:tentative="0">
      <w:start w:val="1"/>
      <w:numFmt w:val="decimal"/>
      <w:isLgl/>
      <w:lvlText w:val="%1.%2.%3.%4.%5"/>
      <w:lvlJc w:val="left"/>
      <w:pPr>
        <w:ind w:left="1364" w:hanging="1080"/>
      </w:pPr>
    </w:lvl>
    <w:lvl w:ilvl="5" w:tentative="0">
      <w:start w:val="1"/>
      <w:numFmt w:val="decimal"/>
      <w:isLgl/>
      <w:lvlText w:val="%1.%2.%3.%4.%5.%6"/>
      <w:lvlJc w:val="left"/>
      <w:pPr>
        <w:ind w:left="1724" w:hanging="1440"/>
      </w:pPr>
    </w:lvl>
    <w:lvl w:ilvl="6" w:tentative="0">
      <w:start w:val="1"/>
      <w:numFmt w:val="decimal"/>
      <w:isLgl/>
      <w:lvlText w:val="%1.%2.%3.%4.%5.%6.%7"/>
      <w:lvlJc w:val="left"/>
      <w:pPr>
        <w:ind w:left="2084" w:hanging="1800"/>
      </w:pPr>
    </w:lvl>
    <w:lvl w:ilvl="7" w:tentative="0">
      <w:start w:val="1"/>
      <w:numFmt w:val="decimal"/>
      <w:isLgl/>
      <w:lvlText w:val="%1.%2.%3.%4.%5.%6.%7.%8"/>
      <w:lvlJc w:val="left"/>
      <w:pPr>
        <w:ind w:left="2084" w:hanging="1800"/>
      </w:pPr>
    </w:lvl>
    <w:lvl w:ilvl="8" w:tentative="0">
      <w:start w:val="1"/>
      <w:numFmt w:val="decimal"/>
      <w:isLgl/>
      <w:lvlText w:val="%1.%2.%3.%4.%5.%6.%7.%8.%9"/>
      <w:lvlJc w:val="left"/>
      <w:pPr>
        <w:ind w:left="2444" w:hanging="2160"/>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1">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4">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5">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7">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9">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1">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5">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7">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6041DA9A"/>
    <w:multiLevelType w:val="singleLevel"/>
    <w:tmpl w:val="6041DA9A"/>
    <w:lvl w:ilvl="0" w:tentative="0">
      <w:start w:val="1"/>
      <w:numFmt w:val="decimal"/>
      <w:suff w:val="nothing"/>
      <w:lvlText w:val="%1."/>
      <w:lvlJc w:val="left"/>
    </w:lvl>
  </w:abstractNum>
  <w:abstractNum w:abstractNumId="40">
    <w:nsid w:val="6049BFBE"/>
    <w:multiLevelType w:val="singleLevel"/>
    <w:tmpl w:val="6049BFBE"/>
    <w:lvl w:ilvl="0" w:tentative="0">
      <w:start w:val="1"/>
      <w:numFmt w:val="decimal"/>
      <w:suff w:val="nothing"/>
      <w:lvlText w:val="%1."/>
      <w:lvlJc w:val="left"/>
    </w:lvl>
  </w:abstractNum>
  <w:abstractNum w:abstractNumId="4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3">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6">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8">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9">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0">
    <w:nsid w:val="79C849D4"/>
    <w:multiLevelType w:val="singleLevel"/>
    <w:tmpl w:val="79C849D4"/>
    <w:lvl w:ilvl="0" w:tentative="0">
      <w:start w:val="1"/>
      <w:numFmt w:val="chineseCounting"/>
      <w:suff w:val="nothing"/>
      <w:lvlText w:val="%1、"/>
      <w:lvlJc w:val="left"/>
      <w:rPr>
        <w:rFonts w:hint="eastAsia"/>
      </w:rPr>
    </w:lvl>
  </w:abstractNum>
  <w:abstractNum w:abstractNumId="51">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7"/>
  </w:num>
  <w:num w:numId="3">
    <w:abstractNumId w:val="3"/>
  </w:num>
  <w:num w:numId="4">
    <w:abstractNumId w:val="2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478E5"/>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3B8"/>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44E"/>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2CE7"/>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6AFF"/>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27695"/>
    <w:rsid w:val="00730EE6"/>
    <w:rsid w:val="0073298A"/>
    <w:rsid w:val="00740A2F"/>
    <w:rsid w:val="007431F9"/>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49B"/>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2E21"/>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5CAD"/>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D7485"/>
    <w:rsid w:val="008E1246"/>
    <w:rsid w:val="008E21A9"/>
    <w:rsid w:val="008E258A"/>
    <w:rsid w:val="008E53F9"/>
    <w:rsid w:val="008E7EAE"/>
    <w:rsid w:val="008F254C"/>
    <w:rsid w:val="008F2A0D"/>
    <w:rsid w:val="008F38AF"/>
    <w:rsid w:val="008F5E19"/>
    <w:rsid w:val="008F6FA3"/>
    <w:rsid w:val="009016CE"/>
    <w:rsid w:val="009018B3"/>
    <w:rsid w:val="00901ECD"/>
    <w:rsid w:val="009035B3"/>
    <w:rsid w:val="00905839"/>
    <w:rsid w:val="009065A8"/>
    <w:rsid w:val="00907431"/>
    <w:rsid w:val="0091012C"/>
    <w:rsid w:val="009108B0"/>
    <w:rsid w:val="00911362"/>
    <w:rsid w:val="009147A4"/>
    <w:rsid w:val="00915485"/>
    <w:rsid w:val="00917355"/>
    <w:rsid w:val="0092029D"/>
    <w:rsid w:val="00921732"/>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0DB7"/>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042"/>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96BE3"/>
    <w:rsid w:val="00AA09CA"/>
    <w:rsid w:val="00AA0E63"/>
    <w:rsid w:val="00AA408C"/>
    <w:rsid w:val="00AA5229"/>
    <w:rsid w:val="00AA660C"/>
    <w:rsid w:val="00AB1127"/>
    <w:rsid w:val="00AB2105"/>
    <w:rsid w:val="00AC5977"/>
    <w:rsid w:val="00AC623E"/>
    <w:rsid w:val="00AC6975"/>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10FB"/>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43C"/>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BF1"/>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A13"/>
    <w:rsid w:val="00E803F1"/>
    <w:rsid w:val="00E80555"/>
    <w:rsid w:val="00E83A59"/>
    <w:rsid w:val="00E85DA7"/>
    <w:rsid w:val="00E879F0"/>
    <w:rsid w:val="00E9016E"/>
    <w:rsid w:val="00E91619"/>
    <w:rsid w:val="00E942EE"/>
    <w:rsid w:val="00E967CD"/>
    <w:rsid w:val="00E96C70"/>
    <w:rsid w:val="00E97716"/>
    <w:rsid w:val="00EA21BC"/>
    <w:rsid w:val="00EA35CE"/>
    <w:rsid w:val="00EA478D"/>
    <w:rsid w:val="00EA55D7"/>
    <w:rsid w:val="00EB238D"/>
    <w:rsid w:val="00EB5195"/>
    <w:rsid w:val="00EB5D94"/>
    <w:rsid w:val="00EC0B24"/>
    <w:rsid w:val="00EC1DF1"/>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83B56"/>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46C0033"/>
    <w:rsid w:val="06220B15"/>
    <w:rsid w:val="06AE3602"/>
    <w:rsid w:val="10162907"/>
    <w:rsid w:val="113B7D34"/>
    <w:rsid w:val="12084C67"/>
    <w:rsid w:val="13603A9F"/>
    <w:rsid w:val="13A66336"/>
    <w:rsid w:val="181622CC"/>
    <w:rsid w:val="18FA1DFA"/>
    <w:rsid w:val="1C3553E1"/>
    <w:rsid w:val="211C2B8B"/>
    <w:rsid w:val="259C6E5D"/>
    <w:rsid w:val="2B6C572B"/>
    <w:rsid w:val="2D7A6AA5"/>
    <w:rsid w:val="2ED242C7"/>
    <w:rsid w:val="308B61B1"/>
    <w:rsid w:val="37C474BA"/>
    <w:rsid w:val="38786BF8"/>
    <w:rsid w:val="3FD31822"/>
    <w:rsid w:val="40C15B31"/>
    <w:rsid w:val="42C95E39"/>
    <w:rsid w:val="46D51011"/>
    <w:rsid w:val="47E067FD"/>
    <w:rsid w:val="4F0F3CCA"/>
    <w:rsid w:val="54D52F60"/>
    <w:rsid w:val="57ED003A"/>
    <w:rsid w:val="5DC22E11"/>
    <w:rsid w:val="62C86054"/>
    <w:rsid w:val="66892F80"/>
    <w:rsid w:val="6A76064E"/>
    <w:rsid w:val="6AB05AAC"/>
    <w:rsid w:val="6CEB0573"/>
    <w:rsid w:val="73C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ind w:left="567"/>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1"/>
    <w:unhideWhenUsed/>
    <w:qFormat/>
    <w:uiPriority w:val="0"/>
    <w:pPr>
      <w:shd w:val="clear" w:color="auto" w:fill="000080"/>
    </w:pPr>
    <w:rPr>
      <w:rFonts w:ascii="Times New Roman" w:hAnsi="Times New Roman"/>
      <w:kern w:val="0"/>
      <w:sz w:val="18"/>
      <w:szCs w:val="18"/>
    </w:rPr>
  </w:style>
  <w:style w:type="paragraph" w:styleId="16">
    <w:name w:val="annotation text"/>
    <w:basedOn w:val="1"/>
    <w:next w:val="1"/>
    <w:link w:val="59"/>
    <w:unhideWhenUsed/>
    <w:qFormat/>
    <w:uiPriority w:val="0"/>
    <w:pPr>
      <w:jc w:val="left"/>
    </w:pPr>
    <w:rPr>
      <w:rFonts w:ascii="Times New Roman" w:hAnsi="Times New Roman"/>
      <w:kern w:val="0"/>
      <w:sz w:val="18"/>
      <w:szCs w:val="18"/>
    </w:rPr>
  </w:style>
  <w:style w:type="paragraph" w:styleId="17">
    <w:name w:val="Body Text 3"/>
    <w:basedOn w:val="1"/>
    <w:link w:val="68"/>
    <w:unhideWhenUsed/>
    <w:qFormat/>
    <w:uiPriority w:val="0"/>
    <w:pPr>
      <w:jc w:val="center"/>
    </w:pPr>
    <w:rPr>
      <w:rFonts w:ascii="Times New Roman" w:hAnsi="Times New Roman" w:eastAsia="黑体"/>
      <w:sz w:val="44"/>
      <w:szCs w:val="24"/>
    </w:rPr>
  </w:style>
  <w:style w:type="paragraph" w:styleId="18">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8"/>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5"/>
    <w:unhideWhenUsed/>
    <w:qFormat/>
    <w:uiPriority w:val="0"/>
    <w:pPr>
      <w:ind w:left="100" w:leftChars="2500"/>
    </w:pPr>
    <w:rPr>
      <w:rFonts w:ascii="Times New Roman" w:hAnsi="Times New Roman"/>
      <w:kern w:val="0"/>
      <w:sz w:val="24"/>
      <w:szCs w:val="24"/>
    </w:rPr>
  </w:style>
  <w:style w:type="paragraph" w:styleId="25">
    <w:name w:val="Body Text Indent 2"/>
    <w:basedOn w:val="1"/>
    <w:link w:val="69"/>
    <w:unhideWhenUsed/>
    <w:qFormat/>
    <w:uiPriority w:val="0"/>
    <w:pPr>
      <w:spacing w:after="120" w:line="480" w:lineRule="auto"/>
      <w:ind w:left="420" w:leftChars="200"/>
    </w:pPr>
  </w:style>
  <w:style w:type="paragraph" w:styleId="26">
    <w:name w:val="Balloon Text"/>
    <w:basedOn w:val="1"/>
    <w:link w:val="74"/>
    <w:unhideWhenUsed/>
    <w:qFormat/>
    <w:uiPriority w:val="99"/>
    <w:rPr>
      <w:rFonts w:ascii="Times New Roman" w:hAnsi="Times New Roman"/>
      <w:kern w:val="0"/>
      <w:sz w:val="18"/>
      <w:szCs w:val="18"/>
    </w:rPr>
  </w:style>
  <w:style w:type="paragraph" w:styleId="27">
    <w:name w:val="footer"/>
    <w:basedOn w:val="1"/>
    <w:link w:val="61"/>
    <w:unhideWhenUsed/>
    <w:qFormat/>
    <w:uiPriority w:val="99"/>
    <w:pPr>
      <w:tabs>
        <w:tab w:val="center" w:pos="4153"/>
        <w:tab w:val="right" w:pos="8306"/>
      </w:tabs>
      <w:snapToGrid w:val="0"/>
      <w:jc w:val="left"/>
    </w:pPr>
    <w:rPr>
      <w:kern w:val="0"/>
      <w:sz w:val="18"/>
      <w:szCs w:val="18"/>
    </w:rPr>
  </w:style>
  <w:style w:type="paragraph" w:styleId="28">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8"/>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6"/>
    <w:next w:val="16"/>
    <w:link w:val="73"/>
    <w:unhideWhenUsed/>
    <w:qFormat/>
    <w:uiPriority w:val="99"/>
    <w:rPr>
      <w:rFonts w:ascii="Calibri" w:hAnsi="Calibri"/>
      <w:b/>
      <w:bCs/>
      <w:kern w:val="2"/>
      <w:sz w:val="21"/>
      <w:szCs w:val="22"/>
    </w:rPr>
  </w:style>
  <w:style w:type="paragraph" w:styleId="40">
    <w:name w:val="Body Text First Indent"/>
    <w:basedOn w:val="2"/>
    <w:link w:val="66"/>
    <w:unhideWhenUsed/>
    <w:qFormat/>
    <w:uiPriority w:val="0"/>
    <w:pPr>
      <w:ind w:firstLine="420" w:firstLineChars="100"/>
    </w:pPr>
    <w:rPr>
      <w:rFonts w:ascii="Times New Roman" w:hAnsi="Times New Roman"/>
      <w:kern w:val="0"/>
      <w:sz w:val="18"/>
      <w:szCs w:val="18"/>
    </w:rPr>
  </w:style>
  <w:style w:type="table" w:styleId="42">
    <w:name w:val="Table Grid"/>
    <w:basedOn w:val="4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unhideWhenUsed/>
    <w:qFormat/>
    <w:uiPriority w:val="99"/>
    <w:rPr>
      <w:color w:val="800080" w:themeColor="followedHyperlink"/>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character" w:customStyle="1" w:styleId="48">
    <w:name w:val="标题 1 Char"/>
    <w:basedOn w:val="43"/>
    <w:link w:val="3"/>
    <w:qFormat/>
    <w:uiPriority w:val="9"/>
    <w:rPr>
      <w:rFonts w:ascii="宋体" w:hAnsi="宋体" w:eastAsia="宋体" w:cs="宋体"/>
      <w:b/>
      <w:bCs/>
      <w:spacing w:val="-20"/>
      <w:kern w:val="44"/>
      <w:sz w:val="32"/>
      <w:szCs w:val="32"/>
    </w:rPr>
  </w:style>
  <w:style w:type="character" w:customStyle="1" w:styleId="49">
    <w:name w:val="标题 2 Char"/>
    <w:basedOn w:val="43"/>
    <w:link w:val="4"/>
    <w:qFormat/>
    <w:uiPriority w:val="0"/>
    <w:rPr>
      <w:rFonts w:ascii="宋体" w:hAnsi="宋体" w:eastAsia="宋体" w:cs="宋体"/>
      <w:b/>
      <w:bCs/>
      <w:kern w:val="2"/>
      <w:sz w:val="28"/>
      <w:szCs w:val="28"/>
    </w:rPr>
  </w:style>
  <w:style w:type="character" w:customStyle="1" w:styleId="50">
    <w:name w:val="标题 3 Char"/>
    <w:basedOn w:val="43"/>
    <w:link w:val="5"/>
    <w:qFormat/>
    <w:uiPriority w:val="0"/>
    <w:rPr>
      <w:rFonts w:ascii="宋体" w:hAnsi="宋体" w:eastAsia="宋体" w:cs="宋体"/>
      <w:b/>
      <w:bCs/>
      <w:color w:val="000000"/>
      <w:sz w:val="28"/>
      <w:szCs w:val="28"/>
    </w:rPr>
  </w:style>
  <w:style w:type="character" w:customStyle="1" w:styleId="51">
    <w:name w:val="标题 4 Char"/>
    <w:basedOn w:val="43"/>
    <w:link w:val="6"/>
    <w:qFormat/>
    <w:uiPriority w:val="0"/>
    <w:rPr>
      <w:rFonts w:ascii="Arial" w:hAnsi="Arial" w:eastAsia="宋体" w:cs="Times New Roman"/>
      <w:b/>
      <w:bCs/>
      <w:sz w:val="28"/>
      <w:szCs w:val="28"/>
    </w:rPr>
  </w:style>
  <w:style w:type="character" w:customStyle="1" w:styleId="52">
    <w:name w:val="标题 5 Char"/>
    <w:basedOn w:val="43"/>
    <w:link w:val="7"/>
    <w:qFormat/>
    <w:uiPriority w:val="0"/>
    <w:rPr>
      <w:rFonts w:ascii="Calibri" w:hAnsi="Calibri" w:eastAsia="宋体" w:cs="宋体"/>
      <w:b/>
      <w:bCs/>
      <w:sz w:val="28"/>
      <w:szCs w:val="28"/>
    </w:rPr>
  </w:style>
  <w:style w:type="character" w:customStyle="1" w:styleId="53">
    <w:name w:val="标题 6 Char"/>
    <w:basedOn w:val="43"/>
    <w:link w:val="8"/>
    <w:qFormat/>
    <w:uiPriority w:val="0"/>
    <w:rPr>
      <w:rFonts w:ascii="Arial" w:hAnsi="Arial" w:eastAsia="宋体" w:cs="Times New Roman"/>
      <w:b/>
      <w:bCs/>
      <w:sz w:val="28"/>
      <w:szCs w:val="18"/>
    </w:rPr>
  </w:style>
  <w:style w:type="character" w:customStyle="1" w:styleId="54">
    <w:name w:val="标题 7 Char"/>
    <w:basedOn w:val="43"/>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3"/>
    <w:link w:val="10"/>
    <w:semiHidden/>
    <w:qFormat/>
    <w:uiPriority w:val="0"/>
    <w:rPr>
      <w:rFonts w:ascii="Arial" w:hAnsi="Arial" w:eastAsia="黑体" w:cs="Times New Roman"/>
      <w:kern w:val="0"/>
      <w:sz w:val="24"/>
      <w:szCs w:val="24"/>
    </w:rPr>
  </w:style>
  <w:style w:type="character" w:customStyle="1" w:styleId="56">
    <w:name w:val="标题 9 Char"/>
    <w:basedOn w:val="43"/>
    <w:link w:val="11"/>
    <w:semiHidden/>
    <w:qFormat/>
    <w:uiPriority w:val="0"/>
    <w:rPr>
      <w:rFonts w:ascii="Arial" w:hAnsi="Arial" w:eastAsia="黑体" w:cs="Times New Roman"/>
      <w:kern w:val="0"/>
      <w:sz w:val="20"/>
      <w:szCs w:val="21"/>
    </w:rPr>
  </w:style>
  <w:style w:type="character" w:customStyle="1" w:styleId="57">
    <w:name w:val="正文缩进 Char1"/>
    <w:link w:val="13"/>
    <w:qFormat/>
    <w:locked/>
    <w:uiPriority w:val="0"/>
  </w:style>
  <w:style w:type="character" w:customStyle="1" w:styleId="58">
    <w:name w:val="脚注文本 Char"/>
    <w:basedOn w:val="43"/>
    <w:link w:val="32"/>
    <w:qFormat/>
    <w:uiPriority w:val="0"/>
    <w:rPr>
      <w:rFonts w:ascii="Calibri" w:hAnsi="Calibri" w:eastAsia="宋体" w:cs="Times New Roman"/>
      <w:sz w:val="18"/>
      <w:szCs w:val="18"/>
    </w:rPr>
  </w:style>
  <w:style w:type="character" w:customStyle="1" w:styleId="59">
    <w:name w:val="批注文字 Char"/>
    <w:basedOn w:val="43"/>
    <w:link w:val="16"/>
    <w:qFormat/>
    <w:uiPriority w:val="99"/>
    <w:rPr>
      <w:rFonts w:ascii="Times New Roman" w:hAnsi="Times New Roman" w:eastAsia="宋体" w:cs="Times New Roman"/>
      <w:kern w:val="0"/>
      <w:sz w:val="18"/>
      <w:szCs w:val="18"/>
    </w:rPr>
  </w:style>
  <w:style w:type="character" w:customStyle="1" w:styleId="60">
    <w:name w:val="页眉 Char"/>
    <w:basedOn w:val="43"/>
    <w:link w:val="28"/>
    <w:qFormat/>
    <w:uiPriority w:val="99"/>
    <w:rPr>
      <w:rFonts w:ascii="Calibri" w:hAnsi="Calibri" w:eastAsia="宋体" w:cs="Times New Roman"/>
      <w:kern w:val="0"/>
      <w:sz w:val="18"/>
      <w:szCs w:val="18"/>
    </w:rPr>
  </w:style>
  <w:style w:type="character" w:customStyle="1" w:styleId="61">
    <w:name w:val="页脚 Char"/>
    <w:basedOn w:val="43"/>
    <w:link w:val="27"/>
    <w:qFormat/>
    <w:uiPriority w:val="99"/>
    <w:rPr>
      <w:rFonts w:ascii="Calibri" w:hAnsi="Calibri" w:eastAsia="宋体" w:cs="Times New Roman"/>
      <w:kern w:val="0"/>
      <w:sz w:val="18"/>
      <w:szCs w:val="18"/>
    </w:rPr>
  </w:style>
  <w:style w:type="character" w:customStyle="1" w:styleId="62">
    <w:name w:val="正文文本 Char"/>
    <w:basedOn w:val="43"/>
    <w:qFormat/>
    <w:uiPriority w:val="0"/>
    <w:rPr>
      <w:rFonts w:ascii="Calibri" w:hAnsi="Calibri" w:eastAsia="宋体" w:cs="Times New Roman"/>
    </w:rPr>
  </w:style>
  <w:style w:type="character" w:customStyle="1" w:styleId="63">
    <w:name w:val="正文文本缩进 Char"/>
    <w:basedOn w:val="43"/>
    <w:link w:val="18"/>
    <w:qFormat/>
    <w:uiPriority w:val="0"/>
    <w:rPr>
      <w:rFonts w:ascii="Times New Roman" w:hAnsi="Times New Roman" w:eastAsia="宋体" w:cs="Times New Roman"/>
      <w:kern w:val="0"/>
      <w:sz w:val="20"/>
      <w:szCs w:val="24"/>
    </w:rPr>
  </w:style>
  <w:style w:type="character" w:customStyle="1" w:styleId="64">
    <w:name w:val="副标题 Char"/>
    <w:basedOn w:val="43"/>
    <w:link w:val="31"/>
    <w:qFormat/>
    <w:uiPriority w:val="0"/>
    <w:rPr>
      <w:rFonts w:ascii="Cambria" w:hAnsi="Cambria" w:eastAsia="宋体" w:cs="Times New Roman"/>
      <w:b/>
      <w:bCs/>
      <w:kern w:val="28"/>
      <w:sz w:val="32"/>
      <w:szCs w:val="32"/>
    </w:rPr>
  </w:style>
  <w:style w:type="character" w:customStyle="1" w:styleId="65">
    <w:name w:val="日期 Char"/>
    <w:basedOn w:val="43"/>
    <w:link w:val="24"/>
    <w:qFormat/>
    <w:uiPriority w:val="0"/>
    <w:rPr>
      <w:rFonts w:ascii="Times New Roman" w:hAnsi="Times New Roman" w:eastAsia="宋体" w:cs="Times New Roman"/>
      <w:kern w:val="0"/>
      <w:sz w:val="24"/>
      <w:szCs w:val="24"/>
    </w:rPr>
  </w:style>
  <w:style w:type="character" w:customStyle="1" w:styleId="66">
    <w:name w:val="正文首行缩进 Char"/>
    <w:basedOn w:val="62"/>
    <w:link w:val="40"/>
    <w:qFormat/>
    <w:uiPriority w:val="0"/>
    <w:rPr>
      <w:rFonts w:ascii="Times New Roman" w:hAnsi="Times New Roman" w:eastAsia="宋体" w:cs="Times New Roman"/>
      <w:kern w:val="0"/>
      <w:sz w:val="18"/>
      <w:szCs w:val="18"/>
    </w:rPr>
  </w:style>
  <w:style w:type="character" w:customStyle="1" w:styleId="67">
    <w:name w:val="正文文本 2 Char"/>
    <w:basedOn w:val="43"/>
    <w:link w:val="37"/>
    <w:qFormat/>
    <w:uiPriority w:val="0"/>
    <w:rPr>
      <w:rFonts w:ascii="Times New Roman" w:hAnsi="Times New Roman" w:eastAsia="宋体" w:cs="Times New Roman"/>
      <w:kern w:val="0"/>
      <w:sz w:val="18"/>
      <w:szCs w:val="18"/>
    </w:rPr>
  </w:style>
  <w:style w:type="character" w:customStyle="1" w:styleId="68">
    <w:name w:val="正文文本 3 Char"/>
    <w:basedOn w:val="43"/>
    <w:link w:val="17"/>
    <w:qFormat/>
    <w:uiPriority w:val="0"/>
    <w:rPr>
      <w:rFonts w:ascii="Times New Roman" w:hAnsi="Times New Roman" w:eastAsia="黑体" w:cs="Times New Roman"/>
      <w:sz w:val="44"/>
      <w:szCs w:val="24"/>
    </w:rPr>
  </w:style>
  <w:style w:type="character" w:customStyle="1" w:styleId="69">
    <w:name w:val="正文文本缩进 2 Char"/>
    <w:basedOn w:val="43"/>
    <w:link w:val="25"/>
    <w:qFormat/>
    <w:uiPriority w:val="0"/>
    <w:rPr>
      <w:rFonts w:ascii="Calibri" w:hAnsi="Calibri" w:eastAsia="宋体" w:cs="Times New Roman"/>
    </w:rPr>
  </w:style>
  <w:style w:type="character" w:customStyle="1" w:styleId="70">
    <w:name w:val="正文文本缩进 3 Char"/>
    <w:basedOn w:val="43"/>
    <w:link w:val="34"/>
    <w:qFormat/>
    <w:uiPriority w:val="0"/>
    <w:rPr>
      <w:rFonts w:ascii="宋体" w:hAnsi="宋体" w:eastAsia="宋体" w:cs="Times New Roman"/>
      <w:kern w:val="0"/>
      <w:sz w:val="28"/>
      <w:szCs w:val="28"/>
    </w:rPr>
  </w:style>
  <w:style w:type="character" w:customStyle="1" w:styleId="71">
    <w:name w:val="文档结构图 Char"/>
    <w:basedOn w:val="43"/>
    <w:link w:val="15"/>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3"/>
    <w:qFormat/>
    <w:uiPriority w:val="0"/>
    <w:rPr>
      <w:rFonts w:ascii="宋体" w:hAnsi="Courier New" w:eastAsia="宋体" w:cs="Courier New"/>
      <w:szCs w:val="21"/>
    </w:rPr>
  </w:style>
  <w:style w:type="character" w:customStyle="1" w:styleId="73">
    <w:name w:val="批注主题 Char"/>
    <w:basedOn w:val="59"/>
    <w:link w:val="39"/>
    <w:qFormat/>
    <w:uiPriority w:val="99"/>
    <w:rPr>
      <w:rFonts w:ascii="Calibri" w:hAnsi="Calibri" w:eastAsia="宋体" w:cs="Times New Roman"/>
      <w:b/>
      <w:bCs/>
      <w:kern w:val="0"/>
      <w:sz w:val="18"/>
      <w:szCs w:val="18"/>
    </w:rPr>
  </w:style>
  <w:style w:type="character" w:customStyle="1" w:styleId="74">
    <w:name w:val="批注框文本 Char"/>
    <w:basedOn w:val="43"/>
    <w:link w:val="26"/>
    <w:qFormat/>
    <w:uiPriority w:val="99"/>
    <w:rPr>
      <w:rFonts w:ascii="Times New Roman" w:hAnsi="Times New Roman" w:eastAsia="宋体" w:cs="Times New Roman"/>
      <w:kern w:val="0"/>
      <w:sz w:val="18"/>
      <w:szCs w:val="18"/>
    </w:rPr>
  </w:style>
  <w:style w:type="paragraph" w:customStyle="1" w:styleId="7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customStyle="1" w:styleId="77">
    <w:name w:val="列出段落1"/>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18"/>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5"/>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3"/>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3"/>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3"/>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3"/>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2"/>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3"/>
    <w:qFormat/>
    <w:uiPriority w:val="0"/>
    <w:rPr>
      <w:rFonts w:hint="eastAsia" w:ascii="宋体" w:hAnsi="宋体" w:eastAsia="宋体" w:cs="宋体"/>
      <w:b/>
      <w:color w:val="000000"/>
      <w:sz w:val="22"/>
      <w:szCs w:val="22"/>
      <w:u w:val="none"/>
    </w:rPr>
  </w:style>
  <w:style w:type="character" w:customStyle="1" w:styleId="193">
    <w:name w:val="font01"/>
    <w:basedOn w:val="43"/>
    <w:qFormat/>
    <w:uiPriority w:val="0"/>
    <w:rPr>
      <w:rFonts w:hint="eastAsia" w:ascii="宋体" w:hAnsi="宋体" w:eastAsia="宋体" w:cs="宋体"/>
      <w:color w:val="000000"/>
      <w:sz w:val="22"/>
      <w:szCs w:val="22"/>
      <w:u w:val="none"/>
    </w:rPr>
  </w:style>
  <w:style w:type="character" w:customStyle="1" w:styleId="194">
    <w:name w:val="页脚 Char1"/>
    <w:basedOn w:val="43"/>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customStyle="1" w:styleId="204">
    <w:name w:val="占位符文本1"/>
    <w:basedOn w:val="43"/>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3"/>
    <w:semiHidden/>
    <w:qFormat/>
    <w:uiPriority w:val="99"/>
    <w:rPr>
      <w:rFonts w:hint="default" w:ascii="Calibri" w:hAnsi="Calibri" w:eastAsia="宋体" w:cs="Times New Roman"/>
    </w:rPr>
  </w:style>
  <w:style w:type="character" w:customStyle="1" w:styleId="207">
    <w:name w:val="副标题 Char2"/>
    <w:basedOn w:val="43"/>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3"/>
    <w:semiHidden/>
    <w:qFormat/>
    <w:uiPriority w:val="99"/>
    <w:rPr>
      <w:rFonts w:hint="default" w:ascii="Calibri" w:hAnsi="Calibri" w:eastAsia="宋体" w:cs="Times New Roman"/>
      <w:sz w:val="16"/>
      <w:szCs w:val="16"/>
    </w:rPr>
  </w:style>
  <w:style w:type="character" w:customStyle="1" w:styleId="209">
    <w:name w:val="批注框文本 Char1"/>
    <w:basedOn w:val="43"/>
    <w:semiHidden/>
    <w:qFormat/>
    <w:uiPriority w:val="99"/>
    <w:rPr>
      <w:rFonts w:hint="default" w:ascii="Calibri" w:hAnsi="Calibri" w:eastAsia="宋体" w:cs="Times New Roman"/>
      <w:sz w:val="18"/>
      <w:szCs w:val="18"/>
    </w:rPr>
  </w:style>
  <w:style w:type="character" w:customStyle="1" w:styleId="210">
    <w:name w:val="纯文本 Char2"/>
    <w:basedOn w:val="43"/>
    <w:qFormat/>
    <w:uiPriority w:val="99"/>
    <w:rPr>
      <w:rFonts w:hint="eastAsia" w:ascii="宋体" w:hAnsi="Courier New" w:eastAsia="宋体" w:cs="Courier New"/>
      <w:szCs w:val="21"/>
    </w:rPr>
  </w:style>
  <w:style w:type="character" w:customStyle="1" w:styleId="211">
    <w:name w:val="正文文本缩进 2 Char1"/>
    <w:basedOn w:val="43"/>
    <w:semiHidden/>
    <w:qFormat/>
    <w:uiPriority w:val="99"/>
    <w:rPr>
      <w:rFonts w:hint="default" w:ascii="Calibri" w:hAnsi="Calibri" w:eastAsia="宋体" w:cs="Times New Roman"/>
    </w:rPr>
  </w:style>
  <w:style w:type="character" w:customStyle="1" w:styleId="212">
    <w:name w:val="正文文本缩进 Char1"/>
    <w:basedOn w:val="43"/>
    <w:semiHidden/>
    <w:qFormat/>
    <w:uiPriority w:val="99"/>
    <w:rPr>
      <w:rFonts w:hint="default" w:ascii="Calibri" w:hAnsi="Calibri" w:eastAsia="宋体" w:cs="Times New Roman"/>
    </w:rPr>
  </w:style>
  <w:style w:type="character" w:customStyle="1" w:styleId="213">
    <w:name w:val="正文文本 2 Char1"/>
    <w:basedOn w:val="43"/>
    <w:semiHidden/>
    <w:qFormat/>
    <w:uiPriority w:val="99"/>
    <w:rPr>
      <w:rFonts w:hint="default" w:ascii="Calibri" w:hAnsi="Calibri" w:eastAsia="宋体" w:cs="Times New Roman"/>
    </w:rPr>
  </w:style>
  <w:style w:type="character" w:customStyle="1" w:styleId="214">
    <w:name w:val="正文文本 Char3"/>
    <w:basedOn w:val="43"/>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3"/>
    <w:semiHidden/>
    <w:qFormat/>
    <w:uiPriority w:val="0"/>
    <w:rPr>
      <w:rFonts w:hint="default" w:ascii="Calibri" w:hAnsi="Calibri" w:eastAsia="宋体" w:cs="Times New Roman"/>
    </w:rPr>
  </w:style>
  <w:style w:type="character" w:customStyle="1" w:styleId="217">
    <w:name w:val="正文文本 3 Char1"/>
    <w:basedOn w:val="43"/>
    <w:semiHidden/>
    <w:qFormat/>
    <w:uiPriority w:val="99"/>
    <w:rPr>
      <w:rFonts w:hint="default" w:ascii="Calibri" w:hAnsi="Calibri" w:eastAsia="宋体" w:cs="Times New Roman"/>
      <w:sz w:val="16"/>
      <w:szCs w:val="16"/>
    </w:rPr>
  </w:style>
  <w:style w:type="character" w:customStyle="1" w:styleId="218">
    <w:name w:val="文档结构图 Char1"/>
    <w:basedOn w:val="43"/>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列出段落5"/>
    <w:basedOn w:val="1"/>
    <w:qFormat/>
    <w:uiPriority w:val="34"/>
    <w:pPr>
      <w:ind w:firstLine="420" w:firstLineChars="200"/>
    </w:pPr>
  </w:style>
  <w:style w:type="paragraph" w:customStyle="1" w:styleId="225">
    <w:name w:val="_Style 1"/>
    <w:basedOn w:val="1"/>
    <w:qFormat/>
    <w:uiPriority w:val="34"/>
    <w:pPr>
      <w:ind w:firstLine="420" w:firstLineChars="200"/>
    </w:pPr>
  </w:style>
  <w:style w:type="paragraph" w:customStyle="1" w:styleId="226">
    <w:name w:val="修订4"/>
    <w:hidden/>
    <w:unhideWhenUsed/>
    <w:qFormat/>
    <w:uiPriority w:val="99"/>
    <w:rPr>
      <w:rFonts w:ascii="Calibri" w:hAnsi="Calibri" w:eastAsia="宋体" w:cs="Times New Roman"/>
      <w:kern w:val="2"/>
      <w:sz w:val="21"/>
      <w:szCs w:val="22"/>
      <w:lang w:val="en-US" w:eastAsia="zh-CN" w:bidi="ar-SA"/>
    </w:rPr>
  </w:style>
  <w:style w:type="paragraph" w:customStyle="1" w:styleId="227">
    <w:name w:val="列出段落{858D7CFB-ED40-4347-BF05-701D383B685F}{858D7CFB-ED40-4347-BF05-701D383B685F}"/>
    <w:basedOn w:val="1"/>
    <w:qFormat/>
    <w:uiPriority w:val="0"/>
    <w:pPr>
      <w:ind w:firstLine="420" w:firstLineChars="200"/>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7EDA5-B60F-4149-BA5D-E57136C4FF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97</Pages>
  <Words>8949</Words>
  <Characters>51015</Characters>
  <Lines>425</Lines>
  <Paragraphs>119</Paragraphs>
  <TotalTime>5</TotalTime>
  <ScaleCrop>false</ScaleCrop>
  <LinksUpToDate>false</LinksUpToDate>
  <CharactersWithSpaces>59845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HP</cp:lastModifiedBy>
  <cp:lastPrinted>2021-06-16T08:13:00Z</cp:lastPrinted>
  <dcterms:modified xsi:type="dcterms:W3CDTF">2021-09-28T03:34:34Z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DFC9D6B9ABA2435E86E29A0426031ABB</vt:lpwstr>
  </property>
</Properties>
</file>