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hint="eastAsia"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rPr>
          <w:rFonts w:ascii="华文中宋" w:hAnsi="华文中宋" w:eastAsia="华文中宋"/>
        </w:rPr>
      </w:pPr>
    </w:p>
    <w:p>
      <w:pPr>
        <w:spacing w:line="360" w:lineRule="auto"/>
        <w:ind w:left="1751" w:hanging="1744" w:hangingChars="545"/>
        <w:jc w:val="both"/>
        <w:rPr>
          <w:rFonts w:hint="eastAsia" w:ascii="华文中宋" w:hAnsi="华文中宋" w:eastAsia="华文中宋" w:cs="华文中宋"/>
          <w:b w:val="0"/>
          <w:bCs w:val="0"/>
          <w:sz w:val="32"/>
          <w:szCs w:val="32"/>
          <w:lang w:eastAsia="zh-CN"/>
        </w:rPr>
      </w:pPr>
      <w:r>
        <w:rPr>
          <w:rFonts w:hint="eastAsia" w:ascii="华文中宋" w:hAnsi="华文中宋" w:eastAsia="华文中宋" w:cs="华文中宋"/>
          <w:b w:val="0"/>
          <w:bCs w:val="0"/>
          <w:sz w:val="32"/>
          <w:szCs w:val="32"/>
        </w:rPr>
        <w:t>项目名称：</w:t>
      </w:r>
      <w:r>
        <w:rPr>
          <w:rFonts w:hint="eastAsia" w:ascii="华文中宋" w:hAnsi="华文中宋" w:eastAsia="华文中宋" w:cs="华文中宋"/>
          <w:b w:val="0"/>
          <w:bCs w:val="0"/>
          <w:sz w:val="32"/>
          <w:szCs w:val="32"/>
          <w:lang w:eastAsia="zh-CN"/>
        </w:rPr>
        <w:t xml:space="preserve"> 成都金牛高新技术产业园区管理委员会LED政府采购项目</w:t>
      </w:r>
    </w:p>
    <w:p>
      <w:pPr>
        <w:spacing w:line="360" w:lineRule="auto"/>
        <w:ind w:left="1751" w:hanging="1744" w:hangingChars="545"/>
        <w:jc w:val="both"/>
        <w:rPr>
          <w:rFonts w:hint="eastAsia" w:ascii="华文中宋" w:hAnsi="华文中宋" w:eastAsia="华文中宋" w:cs="华文中宋"/>
          <w:b w:val="0"/>
          <w:bCs w:val="0"/>
          <w:sz w:val="32"/>
          <w:szCs w:val="32"/>
          <w:lang w:eastAsia="zh-CN"/>
        </w:rPr>
      </w:pPr>
      <w:r>
        <w:rPr>
          <w:rFonts w:hint="eastAsia" w:ascii="华文中宋" w:hAnsi="华文中宋" w:eastAsia="华文中宋" w:cs="华文中宋"/>
          <w:b w:val="0"/>
          <w:bCs w:val="0"/>
          <w:sz w:val="32"/>
          <w:szCs w:val="32"/>
        </w:rPr>
        <w:t>项目编号：</w:t>
      </w:r>
      <w:r>
        <w:rPr>
          <w:rFonts w:hint="eastAsia" w:ascii="华文中宋" w:hAnsi="华文中宋" w:eastAsia="华文中宋" w:cs="华文中宋"/>
          <w:b w:val="0"/>
          <w:bCs w:val="0"/>
          <w:sz w:val="32"/>
          <w:szCs w:val="32"/>
          <w:highlight w:val="none"/>
          <w:lang w:eastAsia="zh-CN"/>
        </w:rPr>
        <w:t>金牛政采（2021）A0065号</w:t>
      </w:r>
    </w:p>
    <w:p>
      <w:pPr>
        <w:spacing w:line="360" w:lineRule="auto"/>
        <w:ind w:firstLine="1280" w:firstLineChars="400"/>
        <w:rPr>
          <w:rFonts w:ascii="华文中宋" w:hAnsi="华文中宋" w:eastAsia="华文中宋"/>
          <w:sz w:val="32"/>
          <w:szCs w:val="32"/>
        </w:rPr>
      </w:pPr>
    </w:p>
    <w:p>
      <w:pPr>
        <w:spacing w:line="360" w:lineRule="auto"/>
        <w:ind w:firstLine="1256" w:firstLineChars="349"/>
        <w:rPr>
          <w:rFonts w:ascii="华文中宋" w:hAnsi="华文中宋" w:eastAsia="华文中宋"/>
          <w:spacing w:val="20"/>
          <w:sz w:val="32"/>
          <w:szCs w:val="32"/>
        </w:rPr>
      </w:pPr>
    </w:p>
    <w:p>
      <w:pPr>
        <w:spacing w:line="360" w:lineRule="auto"/>
        <w:ind w:firstLine="1256" w:firstLineChars="349"/>
        <w:rPr>
          <w:rFonts w:ascii="华文中宋" w:hAnsi="华文中宋" w:eastAsia="华文中宋"/>
          <w:spacing w:val="20"/>
          <w:sz w:val="32"/>
          <w:szCs w:val="32"/>
        </w:rPr>
      </w:pPr>
    </w:p>
    <w:p>
      <w:pPr>
        <w:spacing w:line="360" w:lineRule="auto"/>
        <w:jc w:val="both"/>
        <w:rPr>
          <w:rFonts w:ascii="华文中宋" w:hAnsi="华文中宋" w:eastAsia="华文中宋"/>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 xml:space="preserve"> 成都金牛高新技术产业园区管理委员会</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成都市金牛区政府采购和机关服务中心共同编制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w:t>
      </w:r>
      <w:r>
        <w:rPr>
          <w:rFonts w:hint="eastAsia" w:ascii="华文中宋" w:hAnsi="华文中宋" w:eastAsia="华文中宋"/>
          <w:sz w:val="32"/>
          <w:szCs w:val="32"/>
          <w:lang w:eastAsia="zh-CN"/>
        </w:rPr>
        <w:t>二</w:t>
      </w:r>
      <w:bookmarkStart w:id="172" w:name="_GoBack"/>
      <w:bookmarkEnd w:id="172"/>
      <w:r>
        <w:rPr>
          <w:rFonts w:hint="eastAsia" w:ascii="华文中宋" w:hAnsi="华文中宋" w:eastAsia="华文中宋"/>
          <w:sz w:val="32"/>
          <w:szCs w:val="32"/>
        </w:rPr>
        <w:t>年</w:t>
      </w:r>
      <w:r>
        <w:rPr>
          <w:rFonts w:hint="eastAsia" w:ascii="华文中宋" w:hAnsi="华文中宋" w:eastAsia="华文中宋"/>
          <w:sz w:val="32"/>
          <w:szCs w:val="32"/>
          <w:lang w:eastAsia="zh-CN"/>
        </w:rPr>
        <w:t>一</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48505181"/>
      <w:bookmarkStart w:id="1" w:name="_Toc101247312"/>
      <w:bookmarkStart w:id="2" w:name="_Toc101234248"/>
      <w:bookmarkStart w:id="3" w:name="_Toc101328520"/>
      <w:r>
        <w:rPr>
          <w:rFonts w:hint="eastAsia" w:ascii="宋体" w:hAnsi="宋体"/>
          <w:b/>
          <w:sz w:val="32"/>
          <w:szCs w:val="32"/>
        </w:rPr>
        <w:t>目 录</w:t>
      </w:r>
    </w:p>
    <w:p>
      <w:pPr>
        <w:pStyle w:val="29"/>
        <w:rPr>
          <w:rFonts w:asciiTheme="minorHAnsi" w:hAnsiTheme="minorHAnsi" w:eastAsiaTheme="minorEastAsia" w:cstheme="minorBidi"/>
          <w:bCs w:val="0"/>
          <w:caps w:val="0"/>
          <w:sz w:val="21"/>
          <w:szCs w:val="22"/>
        </w:rPr>
      </w:pPr>
      <w:r>
        <w:rPr>
          <w:rFonts w:hint="eastAsia"/>
        </w:rPr>
        <w:fldChar w:fldCharType="begin"/>
      </w:r>
      <w:r>
        <w:rPr>
          <w:rFonts w:hint="eastAsia" w:ascii="宋体" w:hAnsi="宋体"/>
          <w:smallCaps/>
        </w:rPr>
        <w:instrText xml:space="preserve"> TOC \o "1-2" \h \z \u </w:instrText>
      </w:r>
      <w:r>
        <w:rPr>
          <w:rFonts w:hint="eastAsia"/>
        </w:rPr>
        <w:fldChar w:fldCharType="separate"/>
      </w:r>
      <w:r>
        <w:fldChar w:fldCharType="begin"/>
      </w:r>
      <w:r>
        <w:instrText xml:space="preserve"> HYPERLINK \l "_Toc88056416" </w:instrText>
      </w:r>
      <w:r>
        <w:fldChar w:fldCharType="separate"/>
      </w:r>
      <w:r>
        <w:rPr>
          <w:rStyle w:val="45"/>
          <w:rFonts w:ascii="Times New Roman" w:hAnsi="Times New Roman"/>
          <w:b/>
          <w:color w:val="auto"/>
          <w:spacing w:val="-20"/>
          <w:kern w:val="44"/>
        </w:rPr>
        <w:t>第1章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投标邀请</w:t>
      </w:r>
      <w:r>
        <w:tab/>
      </w:r>
      <w:r>
        <w:fldChar w:fldCharType="begin"/>
      </w:r>
      <w:r>
        <w:instrText xml:space="preserve"> PAGEREF _Toc88056416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"_Toc88056417" </w:instrText>
      </w:r>
      <w:r>
        <w:fldChar w:fldCharType="separate"/>
      </w:r>
      <w:r>
        <w:rPr>
          <w:rStyle w:val="45"/>
          <w:rFonts w:ascii="Times New Roman" w:hAnsi="Times New Roman"/>
          <w:b/>
          <w:color w:val="auto"/>
          <w:spacing w:val="-20"/>
          <w:kern w:val="44"/>
        </w:rPr>
        <w:t>第2章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投标人须知</w:t>
      </w:r>
      <w:r>
        <w:tab/>
      </w:r>
      <w:r>
        <w:fldChar w:fldCharType="begin"/>
      </w:r>
      <w:r>
        <w:instrText xml:space="preserve"> PAGEREF _Toc88056417 \h </w:instrText>
      </w:r>
      <w:r>
        <w:fldChar w:fldCharType="separate"/>
      </w:r>
      <w:r>
        <w:t>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"_Toc88056418" </w:instrText>
      </w:r>
      <w:r>
        <w:fldChar w:fldCharType="separate"/>
      </w:r>
      <w:r>
        <w:rPr>
          <w:rStyle w:val="45"/>
          <w:rFonts w:ascii="Times New Roman" w:hAnsi="Times New Roman"/>
          <w:b/>
          <w:bCs/>
          <w:color w:val="auto"/>
        </w:rPr>
        <w:t>2.1</w:t>
      </w:r>
      <w:r>
        <w:rPr>
          <w:rStyle w:val="45"/>
          <w:rFonts w:ascii="宋体" w:hAnsi="宋体"/>
          <w:b/>
          <w:bCs/>
          <w:color w:val="auto"/>
        </w:rPr>
        <w:t xml:space="preserve"> 投标人须知前附表</w:t>
      </w:r>
      <w:r>
        <w:tab/>
      </w:r>
      <w:r>
        <w:fldChar w:fldCharType="begin"/>
      </w:r>
      <w:r>
        <w:instrText xml:space="preserve"> PAGEREF _Toc88056418 \h </w:instrText>
      </w:r>
      <w:r>
        <w:fldChar w:fldCharType="separate"/>
      </w:r>
      <w:r>
        <w:t>7</w:t>
      </w:r>
      <w:r>
        <w:fldChar w:fldCharType="end"/>
      </w:r>
      <w:r>
        <w:fldChar w:fldCharType="end"/>
      </w:r>
    </w:p>
    <w:p>
      <w:pPr>
        <w:pStyle w:val="35"/>
        <w:rPr>
          <w:rFonts w:asciiTheme="minorHAnsi" w:hAnsiTheme="minorHAnsi" w:eastAsiaTheme="minorEastAsia" w:cstheme="minorBidi"/>
          <w:b w:val="0"/>
          <w:bCs w:val="0"/>
          <w:smallCaps w:val="0"/>
          <w:sz w:val="21"/>
          <w:szCs w:val="22"/>
        </w:rPr>
      </w:pPr>
      <w:r>
        <w:fldChar w:fldCharType="begin"/>
      </w:r>
      <w:r>
        <w:instrText xml:space="preserve"> HYPERLINK \l "_Toc88056419" </w:instrText>
      </w:r>
      <w:r>
        <w:fldChar w:fldCharType="separate"/>
      </w:r>
      <w:r>
        <w:rPr>
          <w:rStyle w:val="45"/>
          <w:rFonts w:ascii="Times New Roman" w:hAnsi="Times New Roman"/>
          <w:b/>
          <w:bCs/>
          <w:color w:val="auto"/>
        </w:rPr>
        <w:t>2.2</w:t>
      </w:r>
      <w:r>
        <w:rPr>
          <w:rStyle w:val="45"/>
          <w:rFonts w:ascii="宋体" w:hAnsi="宋体"/>
          <w:b/>
          <w:bCs/>
          <w:color w:val="auto"/>
        </w:rPr>
        <w:t xml:space="preserve"> 总则</w:t>
      </w:r>
      <w:r>
        <w:tab/>
      </w:r>
      <w:r>
        <w:fldChar w:fldCharType="begin"/>
      </w:r>
      <w:r>
        <w:instrText xml:space="preserve"> PAGEREF _Toc88056419 \h </w:instrText>
      </w:r>
      <w:r>
        <w:fldChar w:fldCharType="separate"/>
      </w:r>
      <w:r>
        <w:t>10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"_Toc88056420" </w:instrText>
      </w:r>
      <w:r>
        <w:fldChar w:fldCharType="separate"/>
      </w:r>
      <w:r>
        <w:rPr>
          <w:rStyle w:val="45"/>
          <w:rFonts w:ascii="Times New Roman" w:hAnsi="Times New Roman"/>
          <w:b/>
          <w:bCs/>
          <w:color w:val="auto"/>
        </w:rPr>
        <w:t>2.3</w:t>
      </w:r>
      <w:r>
        <w:rPr>
          <w:rStyle w:val="45"/>
          <w:rFonts w:ascii="宋体" w:hAnsi="宋体"/>
          <w:b/>
          <w:bCs/>
          <w:color w:val="auto"/>
        </w:rPr>
        <w:t xml:space="preserve"> 招标文件</w:t>
      </w:r>
      <w:r>
        <w:tab/>
      </w:r>
      <w:r>
        <w:fldChar w:fldCharType="begin"/>
      </w:r>
      <w:r>
        <w:instrText xml:space="preserve"> PAGEREF _Toc88056420 \h </w:instrText>
      </w:r>
      <w:r>
        <w:fldChar w:fldCharType="separate"/>
      </w:r>
      <w:r>
        <w:t>12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"_Toc88056421" </w:instrText>
      </w:r>
      <w:r>
        <w:fldChar w:fldCharType="separate"/>
      </w:r>
      <w:r>
        <w:rPr>
          <w:rStyle w:val="45"/>
          <w:rFonts w:ascii="Times New Roman" w:hAnsi="Times New Roman"/>
          <w:b/>
          <w:bCs/>
          <w:color w:val="auto"/>
        </w:rPr>
        <w:t>2.4</w:t>
      </w:r>
      <w:r>
        <w:rPr>
          <w:rStyle w:val="45"/>
          <w:rFonts w:ascii="宋体" w:hAnsi="宋体"/>
          <w:b/>
          <w:bCs/>
          <w:color w:val="auto"/>
        </w:rPr>
        <w:t xml:space="preserve"> 投标文件</w:t>
      </w:r>
      <w:r>
        <w:tab/>
      </w:r>
      <w:r>
        <w:fldChar w:fldCharType="begin"/>
      </w:r>
      <w:r>
        <w:instrText xml:space="preserve"> PAGEREF _Toc88056421 \h </w:instrText>
      </w:r>
      <w:r>
        <w:fldChar w:fldCharType="separate"/>
      </w:r>
      <w:r>
        <w:t>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"_Toc88056422" </w:instrText>
      </w:r>
      <w:r>
        <w:fldChar w:fldCharType="separate"/>
      </w:r>
      <w:r>
        <w:rPr>
          <w:rStyle w:val="45"/>
          <w:rFonts w:ascii="Times New Roman" w:hAnsi="Times New Roman"/>
          <w:b/>
          <w:bCs/>
          <w:color w:val="auto"/>
        </w:rPr>
        <w:t>2.5</w:t>
      </w:r>
      <w:r>
        <w:rPr>
          <w:rStyle w:val="45"/>
          <w:rFonts w:ascii="宋体" w:hAnsi="宋体"/>
          <w:b/>
          <w:bCs/>
          <w:color w:val="auto"/>
        </w:rPr>
        <w:t xml:space="preserve"> 开标、资格审查、评标和中标</w:t>
      </w:r>
      <w:r>
        <w:tab/>
      </w:r>
      <w:r>
        <w:fldChar w:fldCharType="begin"/>
      </w:r>
      <w:r>
        <w:instrText xml:space="preserve"> PAGEREF _Toc88056422 \h </w:instrText>
      </w:r>
      <w:r>
        <w:fldChar w:fldCharType="separate"/>
      </w:r>
      <w:r>
        <w:t>19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"_Toc88056423" </w:instrText>
      </w:r>
      <w:r>
        <w:fldChar w:fldCharType="separate"/>
      </w:r>
      <w:r>
        <w:rPr>
          <w:rStyle w:val="45"/>
          <w:rFonts w:ascii="Times New Roman" w:hAnsi="Times New Roman"/>
          <w:b/>
          <w:bCs/>
          <w:color w:val="auto"/>
        </w:rPr>
        <w:t>2.6</w:t>
      </w:r>
      <w:r>
        <w:rPr>
          <w:rStyle w:val="45"/>
          <w:rFonts w:ascii="宋体" w:hAnsi="宋体"/>
          <w:b/>
          <w:bCs/>
          <w:color w:val="auto"/>
        </w:rPr>
        <w:t xml:space="preserve"> 签订及履行合同和验收</w:t>
      </w:r>
      <w:r>
        <w:tab/>
      </w:r>
      <w:r>
        <w:fldChar w:fldCharType="begin"/>
      </w:r>
      <w:r>
        <w:instrText xml:space="preserve"> PAGEREF _Toc88056423 \h </w:instrText>
      </w:r>
      <w:r>
        <w:fldChar w:fldCharType="separate"/>
      </w:r>
      <w:r>
        <w:t>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"_Toc88056424" </w:instrText>
      </w:r>
      <w:r>
        <w:fldChar w:fldCharType="separate"/>
      </w:r>
      <w:r>
        <w:rPr>
          <w:rStyle w:val="45"/>
          <w:rFonts w:ascii="Times New Roman" w:hAnsi="Times New Roman"/>
          <w:b/>
          <w:bCs/>
          <w:color w:val="auto"/>
        </w:rPr>
        <w:t>2.7</w:t>
      </w:r>
      <w:r>
        <w:rPr>
          <w:rStyle w:val="45"/>
          <w:rFonts w:ascii="宋体" w:hAnsi="宋体"/>
          <w:b/>
          <w:bCs/>
          <w:color w:val="auto"/>
        </w:rPr>
        <w:t xml:space="preserve"> 投标纪律要求</w:t>
      </w:r>
      <w:r>
        <w:tab/>
      </w:r>
      <w:r>
        <w:fldChar w:fldCharType="begin"/>
      </w:r>
      <w:r>
        <w:instrText xml:space="preserve"> PAGEREF _Toc88056424 \h </w:instrText>
      </w:r>
      <w:r>
        <w:fldChar w:fldCharType="separate"/>
      </w:r>
      <w:r>
        <w:t>24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"_Toc88056425" </w:instrText>
      </w:r>
      <w:r>
        <w:fldChar w:fldCharType="separate"/>
      </w:r>
      <w:r>
        <w:rPr>
          <w:rStyle w:val="45"/>
          <w:rFonts w:ascii="Times New Roman" w:hAnsi="Times New Roman"/>
          <w:b/>
          <w:bCs/>
          <w:color w:val="auto"/>
        </w:rPr>
        <w:t>2.8</w:t>
      </w:r>
      <w:r>
        <w:rPr>
          <w:rStyle w:val="45"/>
          <w:rFonts w:ascii="宋体" w:hAnsi="宋体"/>
          <w:b/>
          <w:bCs/>
          <w:color w:val="auto"/>
        </w:rPr>
        <w:t xml:space="preserve"> 询问、质疑和投诉</w:t>
      </w:r>
      <w:r>
        <w:tab/>
      </w:r>
      <w:r>
        <w:fldChar w:fldCharType="begin"/>
      </w:r>
      <w:r>
        <w:instrText xml:space="preserve"> PAGEREF _Toc88056425 \h </w:instrText>
      </w:r>
      <w:r>
        <w:fldChar w:fldCharType="separate"/>
      </w:r>
      <w:r>
        <w:t>26</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"_Toc88056426" </w:instrText>
      </w:r>
      <w:r>
        <w:fldChar w:fldCharType="separate"/>
      </w:r>
      <w:r>
        <w:rPr>
          <w:rStyle w:val="45"/>
          <w:rFonts w:ascii="Times New Roman" w:hAnsi="Times New Roman"/>
          <w:b/>
          <w:color w:val="auto"/>
          <w:spacing w:val="-20"/>
          <w:kern w:val="44"/>
        </w:rPr>
        <w:t>第3章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投标文件格式</w:t>
      </w:r>
      <w:r>
        <w:tab/>
      </w:r>
      <w:r>
        <w:fldChar w:fldCharType="begin"/>
      </w:r>
      <w:r>
        <w:instrText xml:space="preserve"> PAGEREF _Toc88056426 \h </w:instrText>
      </w:r>
      <w:r>
        <w:fldChar w:fldCharType="separate"/>
      </w:r>
      <w:r>
        <w:t>28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"_Toc88056427" </w:instrText>
      </w:r>
      <w:r>
        <w:fldChar w:fldCharType="separate"/>
      </w:r>
      <w:r>
        <w:rPr>
          <w:rStyle w:val="45"/>
          <w:rFonts w:ascii="Times New Roman" w:hAnsi="Times New Roman"/>
          <w:b/>
          <w:bCs/>
          <w:color w:val="auto"/>
        </w:rPr>
        <w:t>3.1</w:t>
      </w:r>
      <w:r>
        <w:rPr>
          <w:rStyle w:val="45"/>
          <w:rFonts w:ascii="宋体" w:hAnsi="宋体"/>
          <w:b/>
          <w:bCs/>
          <w:color w:val="auto"/>
        </w:rPr>
        <w:t xml:space="preserve"> 投标文件封面格式</w:t>
      </w:r>
      <w:r>
        <w:tab/>
      </w:r>
      <w:r>
        <w:fldChar w:fldCharType="begin"/>
      </w:r>
      <w:r>
        <w:instrText xml:space="preserve"> PAGEREF _Toc88056427 \h </w:instrText>
      </w:r>
      <w:r>
        <w:fldChar w:fldCharType="separate"/>
      </w:r>
      <w:r>
        <w:t>28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"_Toc88056428" </w:instrText>
      </w:r>
      <w:r>
        <w:fldChar w:fldCharType="separate"/>
      </w:r>
      <w:r>
        <w:rPr>
          <w:rStyle w:val="45"/>
          <w:rFonts w:ascii="Times New Roman" w:hAnsi="Times New Roman"/>
          <w:b/>
          <w:bCs/>
          <w:color w:val="auto"/>
        </w:rPr>
        <w:t>3.2</w:t>
      </w:r>
      <w:r>
        <w:rPr>
          <w:rStyle w:val="45"/>
          <w:rFonts w:ascii="宋体" w:hAnsi="宋体"/>
          <w:b/>
          <w:bCs/>
          <w:color w:val="auto"/>
        </w:rPr>
        <w:t xml:space="preserve"> 资格响应文件</w:t>
      </w:r>
      <w:r>
        <w:tab/>
      </w:r>
      <w:r>
        <w:fldChar w:fldCharType="begin"/>
      </w:r>
      <w:r>
        <w:instrText xml:space="preserve"> PAGEREF _Toc88056428 \h </w:instrText>
      </w:r>
      <w:r>
        <w:fldChar w:fldCharType="separate"/>
      </w:r>
      <w:r>
        <w:t>29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"_Toc88056429" </w:instrText>
      </w:r>
      <w:r>
        <w:fldChar w:fldCharType="separate"/>
      </w:r>
      <w:r>
        <w:rPr>
          <w:rStyle w:val="45"/>
          <w:rFonts w:ascii="Times New Roman" w:hAnsi="Times New Roman"/>
          <w:b/>
          <w:bCs/>
          <w:color w:val="auto"/>
        </w:rPr>
        <w:t>3.3</w:t>
      </w:r>
      <w:r>
        <w:rPr>
          <w:rStyle w:val="45"/>
          <w:rFonts w:ascii="宋体" w:hAnsi="宋体"/>
          <w:b/>
          <w:bCs/>
          <w:color w:val="auto"/>
        </w:rPr>
        <w:t xml:space="preserve"> 商务技术响应文件</w:t>
      </w:r>
      <w:r>
        <w:tab/>
      </w:r>
      <w:r>
        <w:fldChar w:fldCharType="begin"/>
      </w:r>
      <w:r>
        <w:instrText xml:space="preserve"> PAGEREF _Toc88056429 \h </w:instrText>
      </w:r>
      <w:r>
        <w:fldChar w:fldCharType="separate"/>
      </w:r>
      <w:r>
        <w:t>36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"_Toc88056430" </w:instrText>
      </w:r>
      <w:r>
        <w:fldChar w:fldCharType="separate"/>
      </w:r>
      <w:r>
        <w:rPr>
          <w:rStyle w:val="45"/>
          <w:rFonts w:ascii="Times New Roman" w:hAnsi="Times New Roman"/>
          <w:b/>
          <w:bCs/>
          <w:color w:val="auto"/>
        </w:rPr>
        <w:t>3.4</w:t>
      </w:r>
      <w:r>
        <w:rPr>
          <w:rStyle w:val="45"/>
          <w:rFonts w:ascii="宋体" w:hAnsi="宋体"/>
          <w:b/>
          <w:bCs/>
          <w:color w:val="auto"/>
        </w:rPr>
        <w:t xml:space="preserve"> 报价要求响应文件</w:t>
      </w:r>
      <w:r>
        <w:tab/>
      </w:r>
      <w:r>
        <w:fldChar w:fldCharType="begin"/>
      </w:r>
      <w:r>
        <w:instrText xml:space="preserve"> PAGEREF _Toc88056430 \h </w:instrText>
      </w:r>
      <w:r>
        <w:fldChar w:fldCharType="separate"/>
      </w:r>
      <w:r>
        <w:t>42</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"_Toc88056431" </w:instrText>
      </w:r>
      <w:r>
        <w:fldChar w:fldCharType="separate"/>
      </w:r>
      <w:r>
        <w:rPr>
          <w:rStyle w:val="45"/>
          <w:rFonts w:ascii="Times New Roman" w:hAnsi="Times New Roman"/>
          <w:b/>
          <w:color w:val="auto"/>
          <w:spacing w:val="-20"/>
          <w:kern w:val="44"/>
        </w:rPr>
        <w:t>第4章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招标项目技术、服务、商务及其他要求</w:t>
      </w:r>
      <w:r>
        <w:tab/>
      </w:r>
      <w:r>
        <w:fldChar w:fldCharType="begin"/>
      </w:r>
      <w:r>
        <w:instrText xml:space="preserve"> PAGEREF _Toc88056431 \h </w:instrText>
      </w:r>
      <w:r>
        <w:fldChar w:fldCharType="separate"/>
      </w:r>
      <w:r>
        <w:t>44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"_Toc88056432" </w:instrText>
      </w:r>
      <w:r>
        <w:fldChar w:fldCharType="separate"/>
      </w:r>
      <w:r>
        <w:rPr>
          <w:rStyle w:val="45"/>
          <w:rFonts w:ascii="Times New Roman" w:hAnsi="Times New Roman"/>
          <w:b/>
          <w:bCs/>
          <w:color w:val="auto"/>
        </w:rPr>
        <w:t>4.1</w:t>
      </w:r>
      <w:r>
        <w:rPr>
          <w:rStyle w:val="45"/>
          <w:rFonts w:ascii="宋体" w:hAnsi="宋体"/>
          <w:b/>
          <w:bCs/>
          <w:color w:val="auto"/>
        </w:rPr>
        <w:t xml:space="preserve"> 项目概况</w:t>
      </w:r>
      <w:r>
        <w:tab/>
      </w:r>
      <w:r>
        <w:fldChar w:fldCharType="begin"/>
      </w:r>
      <w:r>
        <w:instrText xml:space="preserve"> PAGEREF _Toc88056432 \h </w:instrText>
      </w:r>
      <w:r>
        <w:fldChar w:fldCharType="separate"/>
      </w:r>
      <w:r>
        <w:t>44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"_Toc88056433" </w:instrText>
      </w:r>
      <w:r>
        <w:fldChar w:fldCharType="separate"/>
      </w:r>
      <w:r>
        <w:rPr>
          <w:rStyle w:val="45"/>
          <w:rFonts w:ascii="Times New Roman" w:hAnsi="Times New Roman"/>
          <w:b/>
          <w:bCs/>
          <w:color w:val="auto"/>
        </w:rPr>
        <w:t>4.2</w:t>
      </w:r>
      <w:r>
        <w:rPr>
          <w:rStyle w:val="45"/>
          <w:rFonts w:ascii="宋体" w:hAnsi="宋体"/>
          <w:b/>
          <w:bCs/>
          <w:color w:val="auto"/>
        </w:rPr>
        <w:t xml:space="preserve"> 采购内容</w:t>
      </w:r>
      <w:r>
        <w:tab/>
      </w:r>
      <w:r>
        <w:fldChar w:fldCharType="begin"/>
      </w:r>
      <w:r>
        <w:instrText xml:space="preserve"> PAGEREF _Toc88056433 \h </w:instrText>
      </w:r>
      <w:r>
        <w:fldChar w:fldCharType="separate"/>
      </w:r>
      <w:r>
        <w:t>44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"_Toc88056434" </w:instrText>
      </w:r>
      <w:r>
        <w:fldChar w:fldCharType="separate"/>
      </w:r>
      <w:r>
        <w:rPr>
          <w:rStyle w:val="45"/>
          <w:rFonts w:ascii="Times New Roman" w:hAnsi="Times New Roman"/>
          <w:b/>
          <w:bCs/>
          <w:color w:val="auto"/>
        </w:rPr>
        <w:t>4.3</w:t>
      </w:r>
      <w:r>
        <w:rPr>
          <w:rStyle w:val="45"/>
          <w:rFonts w:ascii="宋体" w:hAnsi="宋体"/>
          <w:b/>
          <w:bCs/>
          <w:color w:val="auto"/>
        </w:rPr>
        <w:t xml:space="preserve"> 技术参数及要求</w:t>
      </w:r>
      <w:r>
        <w:tab/>
      </w:r>
      <w:r>
        <w:fldChar w:fldCharType="begin"/>
      </w:r>
      <w:r>
        <w:instrText xml:space="preserve"> PAGEREF _Toc88056434 \h </w:instrText>
      </w:r>
      <w:r>
        <w:fldChar w:fldCharType="separate"/>
      </w:r>
      <w:r>
        <w:t>45</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"_Toc88056435" </w:instrText>
      </w:r>
      <w:r>
        <w:fldChar w:fldCharType="separate"/>
      </w:r>
      <w:r>
        <w:rPr>
          <w:rStyle w:val="45"/>
          <w:rFonts w:ascii="Times New Roman" w:hAnsi="Times New Roman"/>
          <w:b/>
          <w:bCs/>
          <w:color w:val="auto"/>
        </w:rPr>
        <w:t>4.4</w:t>
      </w:r>
      <w:r>
        <w:rPr>
          <w:rStyle w:val="45"/>
          <w:rFonts w:ascii="宋体" w:hAnsi="宋体"/>
          <w:b/>
          <w:bCs/>
          <w:color w:val="auto"/>
        </w:rPr>
        <w:t xml:space="preserve"> 商务要求</w:t>
      </w:r>
      <w:r>
        <w:tab/>
      </w:r>
      <w:r>
        <w:fldChar w:fldCharType="begin"/>
      </w:r>
      <w:r>
        <w:instrText xml:space="preserve"> PAGEREF _Toc88056435 \h </w:instrText>
      </w:r>
      <w:r>
        <w:fldChar w:fldCharType="separate"/>
      </w:r>
      <w:r>
        <w:t>49</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"_Toc88056436" </w:instrText>
      </w:r>
      <w:r>
        <w:fldChar w:fldCharType="separate"/>
      </w:r>
      <w:r>
        <w:rPr>
          <w:rStyle w:val="45"/>
          <w:rFonts w:ascii="Times New Roman" w:hAnsi="Times New Roman"/>
          <w:b/>
          <w:color w:val="auto"/>
          <w:spacing w:val="-20"/>
          <w:kern w:val="44"/>
        </w:rPr>
        <w:t>第5章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资格性审查</w:t>
      </w:r>
      <w:r>
        <w:tab/>
      </w:r>
      <w:r>
        <w:fldChar w:fldCharType="begin"/>
      </w:r>
      <w:r>
        <w:instrText xml:space="preserve"> PAGEREF _Toc88056436 \h </w:instrText>
      </w:r>
      <w:r>
        <w:fldChar w:fldCharType="separate"/>
      </w:r>
      <w:r>
        <w:t>54</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"_Toc88056437" </w:instrText>
      </w:r>
      <w:r>
        <w:fldChar w:fldCharType="separate"/>
      </w:r>
      <w:r>
        <w:rPr>
          <w:rStyle w:val="45"/>
          <w:rFonts w:ascii="Times New Roman" w:hAnsi="Times New Roman"/>
          <w:b/>
          <w:color w:val="auto"/>
          <w:spacing w:val="-20"/>
          <w:kern w:val="44"/>
        </w:rPr>
        <w:t>第6章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评标办法</w:t>
      </w:r>
      <w:r>
        <w:tab/>
      </w:r>
      <w:r>
        <w:fldChar w:fldCharType="begin"/>
      </w:r>
      <w:r>
        <w:instrText xml:space="preserve"> PAGEREF _Toc88056437 \h </w:instrText>
      </w:r>
      <w:r>
        <w:fldChar w:fldCharType="separate"/>
      </w:r>
      <w:r>
        <w:t>59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"_Toc88056438" </w:instrText>
      </w:r>
      <w:r>
        <w:fldChar w:fldCharType="separate"/>
      </w:r>
      <w:r>
        <w:rPr>
          <w:rStyle w:val="45"/>
          <w:rFonts w:ascii="Times New Roman" w:hAnsi="Times New Roman"/>
          <w:b/>
          <w:bCs/>
          <w:color w:val="auto"/>
        </w:rPr>
        <w:t>6.1</w:t>
      </w:r>
      <w:r>
        <w:rPr>
          <w:rStyle w:val="45"/>
          <w:rFonts w:ascii="宋体" w:hAnsi="宋体"/>
          <w:b/>
          <w:bCs/>
          <w:color w:val="auto"/>
        </w:rPr>
        <w:t xml:space="preserve"> 总则</w:t>
      </w:r>
      <w:r>
        <w:tab/>
      </w:r>
      <w:r>
        <w:fldChar w:fldCharType="begin"/>
      </w:r>
      <w:r>
        <w:instrText xml:space="preserve"> PAGEREF _Toc88056438 \h </w:instrText>
      </w:r>
      <w:r>
        <w:fldChar w:fldCharType="separate"/>
      </w:r>
      <w:r>
        <w:t>59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"_Toc88056439" </w:instrText>
      </w:r>
      <w:r>
        <w:fldChar w:fldCharType="separate"/>
      </w:r>
      <w:r>
        <w:rPr>
          <w:rStyle w:val="45"/>
          <w:rFonts w:ascii="Times New Roman" w:hAnsi="Times New Roman"/>
          <w:b/>
          <w:bCs/>
          <w:color w:val="auto"/>
        </w:rPr>
        <w:t>6.2</w:t>
      </w:r>
      <w:r>
        <w:rPr>
          <w:rStyle w:val="45"/>
          <w:rFonts w:ascii="宋体" w:hAnsi="宋体"/>
          <w:b/>
          <w:bCs/>
          <w:color w:val="auto"/>
        </w:rPr>
        <w:t xml:space="preserve"> 评标方法</w:t>
      </w:r>
      <w:r>
        <w:tab/>
      </w:r>
      <w:r>
        <w:fldChar w:fldCharType="begin"/>
      </w:r>
      <w:r>
        <w:instrText xml:space="preserve"> PAGEREF _Toc88056439 \h </w:instrText>
      </w:r>
      <w:r>
        <w:fldChar w:fldCharType="separate"/>
      </w:r>
      <w:r>
        <w:t>60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"_Toc88056440" </w:instrText>
      </w:r>
      <w:r>
        <w:fldChar w:fldCharType="separate"/>
      </w:r>
      <w:r>
        <w:rPr>
          <w:rStyle w:val="45"/>
          <w:rFonts w:ascii="Times New Roman" w:hAnsi="Times New Roman"/>
          <w:b/>
          <w:bCs/>
          <w:color w:val="auto"/>
        </w:rPr>
        <w:t>6.3</w:t>
      </w:r>
      <w:r>
        <w:rPr>
          <w:rStyle w:val="45"/>
          <w:rFonts w:ascii="宋体" w:hAnsi="宋体"/>
          <w:b/>
          <w:bCs/>
          <w:color w:val="auto"/>
        </w:rPr>
        <w:t xml:space="preserve"> 评标程序</w:t>
      </w:r>
      <w:r>
        <w:tab/>
      </w:r>
      <w:r>
        <w:fldChar w:fldCharType="begin"/>
      </w:r>
      <w:r>
        <w:instrText xml:space="preserve"> PAGEREF _Toc88056440 \h </w:instrText>
      </w:r>
      <w:r>
        <w:fldChar w:fldCharType="separate"/>
      </w:r>
      <w:r>
        <w:t>60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"_Toc88056441" </w:instrText>
      </w:r>
      <w:r>
        <w:fldChar w:fldCharType="separate"/>
      </w:r>
      <w:r>
        <w:rPr>
          <w:rStyle w:val="45"/>
          <w:rFonts w:ascii="Times New Roman" w:hAnsi="Times New Roman"/>
          <w:b/>
          <w:bCs/>
          <w:color w:val="auto"/>
        </w:rPr>
        <w:t>6.4</w:t>
      </w:r>
      <w:r>
        <w:rPr>
          <w:rStyle w:val="45"/>
          <w:rFonts w:ascii="宋体" w:hAnsi="宋体"/>
          <w:b/>
          <w:bCs/>
          <w:color w:val="auto"/>
        </w:rPr>
        <w:t xml:space="preserve"> 评标争议处理规则</w:t>
      </w:r>
      <w:r>
        <w:tab/>
      </w:r>
      <w:r>
        <w:fldChar w:fldCharType="begin"/>
      </w:r>
      <w:r>
        <w:instrText xml:space="preserve"> PAGEREF _Toc88056441 \h </w:instrText>
      </w:r>
      <w:r>
        <w:fldChar w:fldCharType="separate"/>
      </w:r>
      <w:r>
        <w:t>66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"_Toc88056442" </w:instrText>
      </w:r>
      <w:r>
        <w:fldChar w:fldCharType="separate"/>
      </w:r>
      <w:r>
        <w:rPr>
          <w:rStyle w:val="45"/>
          <w:rFonts w:ascii="Times New Roman" w:hAnsi="Times New Roman"/>
          <w:b/>
          <w:bCs/>
          <w:color w:val="auto"/>
        </w:rPr>
        <w:t>6.5</w:t>
      </w:r>
      <w:r>
        <w:rPr>
          <w:rStyle w:val="45"/>
          <w:rFonts w:ascii="宋体" w:hAnsi="宋体"/>
          <w:b/>
          <w:bCs/>
          <w:color w:val="auto"/>
        </w:rPr>
        <w:t xml:space="preserve"> 评标细则及标准</w:t>
      </w:r>
      <w:r>
        <w:tab/>
      </w:r>
      <w:r>
        <w:fldChar w:fldCharType="begin"/>
      </w:r>
      <w:r>
        <w:instrText xml:space="preserve"> PAGEREF _Toc88056442 \h </w:instrText>
      </w:r>
      <w:r>
        <w:fldChar w:fldCharType="separate"/>
      </w:r>
      <w:r>
        <w:t>67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"_Toc88056443" </w:instrText>
      </w:r>
      <w:r>
        <w:fldChar w:fldCharType="separate"/>
      </w:r>
      <w:r>
        <w:rPr>
          <w:rStyle w:val="45"/>
          <w:rFonts w:ascii="Times New Roman" w:hAnsi="Times New Roman"/>
          <w:b/>
          <w:bCs/>
          <w:color w:val="auto"/>
        </w:rPr>
        <w:t>6.6</w:t>
      </w:r>
      <w:r>
        <w:rPr>
          <w:rStyle w:val="45"/>
          <w:rFonts w:ascii="宋体" w:hAnsi="宋体"/>
          <w:b/>
          <w:bCs/>
          <w:color w:val="auto"/>
        </w:rPr>
        <w:t xml:space="preserve"> 废标</w:t>
      </w:r>
      <w:r>
        <w:tab/>
      </w:r>
      <w:r>
        <w:fldChar w:fldCharType="begin"/>
      </w:r>
      <w:r>
        <w:instrText xml:space="preserve"> PAGEREF _Toc88056443 \h </w:instrText>
      </w:r>
      <w:r>
        <w:fldChar w:fldCharType="separate"/>
      </w:r>
      <w:r>
        <w:t>70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"_Toc88056444" </w:instrText>
      </w:r>
      <w:r>
        <w:fldChar w:fldCharType="separate"/>
      </w:r>
      <w:r>
        <w:rPr>
          <w:rStyle w:val="45"/>
          <w:rFonts w:ascii="Times New Roman" w:hAnsi="Times New Roman"/>
          <w:b/>
          <w:bCs/>
          <w:color w:val="auto"/>
        </w:rPr>
        <w:t>6.7</w:t>
      </w:r>
      <w:r>
        <w:rPr>
          <w:rStyle w:val="45"/>
          <w:rFonts w:ascii="宋体" w:hAnsi="宋体"/>
          <w:b/>
          <w:bCs/>
          <w:color w:val="auto"/>
        </w:rPr>
        <w:t xml:space="preserve"> 定标</w:t>
      </w:r>
      <w:r>
        <w:tab/>
      </w:r>
      <w:r>
        <w:fldChar w:fldCharType="begin"/>
      </w:r>
      <w:r>
        <w:instrText xml:space="preserve"> PAGEREF _Toc88056444 \h </w:instrText>
      </w:r>
      <w:r>
        <w:fldChar w:fldCharType="separate"/>
      </w:r>
      <w:r>
        <w:t>70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"_Toc88056445" </w:instrText>
      </w:r>
      <w:r>
        <w:fldChar w:fldCharType="separate"/>
      </w:r>
      <w:r>
        <w:rPr>
          <w:rStyle w:val="45"/>
          <w:rFonts w:ascii="Times New Roman" w:hAnsi="Times New Roman"/>
          <w:b/>
          <w:bCs/>
          <w:color w:val="auto"/>
        </w:rPr>
        <w:t>6.8</w:t>
      </w:r>
      <w:r>
        <w:rPr>
          <w:rStyle w:val="45"/>
          <w:rFonts w:ascii="宋体" w:hAnsi="宋体"/>
          <w:b/>
          <w:bCs/>
          <w:color w:val="auto"/>
        </w:rPr>
        <w:t xml:space="preserve"> 评审专家在政府采购活动中承担以下义务</w:t>
      </w:r>
      <w:r>
        <w:tab/>
      </w:r>
      <w:r>
        <w:fldChar w:fldCharType="begin"/>
      </w:r>
      <w:r>
        <w:instrText xml:space="preserve"> PAGEREF _Toc88056445 \h </w:instrText>
      </w:r>
      <w:r>
        <w:fldChar w:fldCharType="separate"/>
      </w:r>
      <w:r>
        <w:t>71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"_Toc88056446" </w:instrText>
      </w:r>
      <w:r>
        <w:fldChar w:fldCharType="separate"/>
      </w:r>
      <w:r>
        <w:rPr>
          <w:rStyle w:val="45"/>
          <w:rFonts w:ascii="Times New Roman" w:hAnsi="Times New Roman"/>
          <w:b/>
          <w:bCs/>
          <w:color w:val="auto"/>
        </w:rPr>
        <w:t>6.9</w:t>
      </w:r>
      <w:r>
        <w:rPr>
          <w:rStyle w:val="45"/>
          <w:rFonts w:ascii="宋体" w:hAnsi="宋体"/>
          <w:b/>
          <w:bCs/>
          <w:color w:val="auto"/>
        </w:rPr>
        <w:t xml:space="preserve"> 评审专家在政府采购活动中应当遵守以下工作纪律</w:t>
      </w:r>
      <w:r>
        <w:tab/>
      </w:r>
      <w:r>
        <w:fldChar w:fldCharType="begin"/>
      </w:r>
      <w:r>
        <w:instrText xml:space="preserve"> PAGEREF _Toc88056446 \h </w:instrText>
      </w:r>
      <w:r>
        <w:fldChar w:fldCharType="separate"/>
      </w:r>
      <w:r>
        <w:t>72</w:t>
      </w:r>
      <w:r>
        <w:fldChar w:fldCharType="end"/>
      </w:r>
      <w:r>
        <w:fldChar w:fldCharType="end"/>
      </w:r>
    </w:p>
    <w:p>
      <w:pPr>
        <w:pStyle w:val="29"/>
      </w:pPr>
      <w:r>
        <w:fldChar w:fldCharType="begin"/>
      </w:r>
      <w:r>
        <w:instrText xml:space="preserve"> HYPERLINK \l "_Toc88056447" </w:instrText>
      </w:r>
      <w:r>
        <w:fldChar w:fldCharType="separate"/>
      </w:r>
      <w:r>
        <w:rPr>
          <w:rStyle w:val="45"/>
          <w:rFonts w:ascii="Times New Roman" w:hAnsi="Times New Roman"/>
          <w:b/>
          <w:color w:val="auto"/>
          <w:spacing w:val="-20"/>
          <w:kern w:val="44"/>
        </w:rPr>
        <w:t>第7章</w:t>
      </w:r>
      <w:r>
        <w:rPr>
          <w:rFonts w:asciiTheme="minorHAnsi" w:hAnsiTheme="minorHAnsi" w:eastAsiaTheme="minorEastAsia" w:cstheme="minorBidi"/>
          <w:bCs w:val="0"/>
          <w:caps w:val="0"/>
          <w:sz w:val="21"/>
          <w:szCs w:val="22"/>
        </w:rPr>
        <w:tab/>
      </w:r>
      <w:r>
        <w:rPr>
          <w:rStyle w:val="45"/>
          <w:rFonts w:ascii="宋体" w:hAnsi="宋体"/>
          <w:b/>
          <w:color w:val="auto"/>
          <w:spacing w:val="-20"/>
          <w:kern w:val="44"/>
        </w:rPr>
        <w:t>拟签订合同文本</w:t>
      </w:r>
      <w:r>
        <w:tab/>
      </w:r>
      <w:r>
        <w:fldChar w:fldCharType="begin"/>
      </w:r>
      <w:r>
        <w:instrText xml:space="preserve"> PAGEREF _Toc88056447 \h </w:instrText>
      </w:r>
      <w:r>
        <w:fldChar w:fldCharType="separate"/>
      </w:r>
      <w:r>
        <w:t>73</w:t>
      </w:r>
      <w:r>
        <w:fldChar w:fldCharType="end"/>
      </w:r>
      <w:r>
        <w:fldChar w:fldCharType="end"/>
      </w:r>
    </w:p>
    <w:p/>
    <w:p>
      <w:pPr>
        <w:keepNext/>
        <w:keepLines/>
        <w:numPr>
          <w:ilvl w:val="0"/>
          <w:numId w:val="3"/>
        </w:numPr>
        <w:spacing w:before="340" w:after="330" w:line="400" w:lineRule="exact"/>
        <w:ind w:left="567"/>
        <w:jc w:val="center"/>
        <w:outlineLvl w:val="0"/>
        <w:rPr>
          <w:rFonts w:ascii="宋体" w:hAnsi="宋体"/>
          <w:b/>
          <w:bCs/>
          <w:spacing w:val="-20"/>
          <w:kern w:val="44"/>
          <w:sz w:val="32"/>
          <w:szCs w:val="32"/>
        </w:rPr>
      </w:pPr>
      <w:r>
        <w:rPr>
          <w:rFonts w:hint="eastAsia"/>
        </w:rPr>
        <w:fldChar w:fldCharType="end"/>
      </w:r>
      <w:bookmarkStart w:id="4" w:name="_Toc181591102"/>
      <w:bookmarkStart w:id="5" w:name="_Toc204575871"/>
      <w:bookmarkStart w:id="6" w:name="_Toc88056416"/>
      <w:bookmarkStart w:id="7" w:name="_Toc181610856"/>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eastAsia="zh-CN"/>
        </w:rPr>
        <w:t>成都市金牛区政府采购和机关服务中心</w:t>
      </w:r>
      <w:r>
        <w:rPr>
          <w:rFonts w:hint="eastAsia" w:ascii="宋体" w:hAnsi="宋体"/>
          <w:sz w:val="28"/>
          <w:szCs w:val="28"/>
        </w:rPr>
        <w:t>(以下简称“</w:t>
      </w:r>
      <w:r>
        <w:rPr>
          <w:rFonts w:hint="eastAsia" w:ascii="宋体" w:hAnsi="宋体"/>
          <w:sz w:val="28"/>
          <w:szCs w:val="28"/>
          <w:lang w:eastAsia="zh-CN"/>
        </w:rPr>
        <w:t>金牛区政府采购中心</w:t>
      </w:r>
      <w:r>
        <w:rPr>
          <w:rFonts w:hint="eastAsia" w:ascii="宋体" w:hAnsi="宋体"/>
          <w:sz w:val="28"/>
          <w:szCs w:val="28"/>
        </w:rPr>
        <w:t>”)受</w:t>
      </w:r>
      <w:r>
        <w:rPr>
          <w:rFonts w:hint="eastAsia" w:asciiTheme="minorEastAsia" w:hAnsiTheme="minorEastAsia"/>
          <w:b/>
          <w:sz w:val="28"/>
          <w:szCs w:val="28"/>
          <w:lang w:eastAsia="zh-CN"/>
        </w:rPr>
        <w:t xml:space="preserve"> 成都金牛高新技术产业园区管理委员会</w:t>
      </w:r>
      <w:r>
        <w:rPr>
          <w:rFonts w:hint="eastAsia" w:ascii="宋体" w:hAnsi="宋体"/>
          <w:sz w:val="28"/>
          <w:szCs w:val="28"/>
        </w:rPr>
        <w:t>委托，拟对</w:t>
      </w:r>
      <w:r>
        <w:rPr>
          <w:rFonts w:hint="eastAsia" w:ascii="宋体" w:hAnsi="宋体"/>
          <w:b/>
          <w:color w:val="auto"/>
          <w:sz w:val="28"/>
          <w:szCs w:val="28"/>
          <w:lang w:eastAsia="zh-CN"/>
        </w:rPr>
        <w:t>成都金牛高新技术产业园区管理委员会LED政府采购项目</w:t>
      </w:r>
      <w:r>
        <w:rPr>
          <w:rFonts w:hint="eastAsia" w:ascii="宋体" w:hAnsi="宋体"/>
          <w:color w:val="auto"/>
          <w:sz w:val="28"/>
          <w:szCs w:val="28"/>
        </w:rPr>
        <w:t>进行国内公开招标，兹邀请符合本次招标要求的供应商</w:t>
      </w:r>
      <w:r>
        <w:rPr>
          <w:rFonts w:hint="eastAsia" w:ascii="宋体" w:hAnsi="宋体"/>
          <w:sz w:val="28"/>
          <w:szCs w:val="28"/>
        </w:rPr>
        <w:t>参加投标。</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highlight w:val="none"/>
          <w:lang w:eastAsia="zh-CN"/>
        </w:rPr>
        <w:t>金牛政采（2021）A0065号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w:t>
      </w:r>
      <w:r>
        <w:rPr>
          <w:rFonts w:hint="eastAsia" w:ascii="宋体" w:hAnsi="宋体"/>
          <w:b/>
          <w:sz w:val="28"/>
          <w:szCs w:val="28"/>
          <w:highlight w:val="none"/>
          <w:lang w:eastAsia="zh-CN"/>
        </w:rPr>
        <w:t>510106202100288）</w:t>
      </w:r>
      <w:r>
        <w:rPr>
          <w:rFonts w:ascii="宋体" w:hAnsi="宋体"/>
          <w:b/>
          <w:sz w:val="28"/>
          <w:szCs w:val="28"/>
        </w:rPr>
        <w:t xml:space="preserve"> </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 xml:space="preserve"> 成都金牛高新技术产业园区管理委员会LED政府采购项目</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w:t>
      </w:r>
      <w:r>
        <w:rPr>
          <w:rFonts w:hint="eastAsia" w:ascii="宋体" w:hAnsi="宋体"/>
          <w:sz w:val="28"/>
          <w:szCs w:val="28"/>
          <w:highlight w:val="none"/>
        </w:rPr>
        <w:t>，政府采购实施计划备案表</w:t>
      </w:r>
      <w:r>
        <w:rPr>
          <w:rFonts w:hint="eastAsia" w:ascii="宋体" w:hAnsi="宋体"/>
          <w:sz w:val="28"/>
          <w:szCs w:val="28"/>
        </w:rPr>
        <w:t>号：</w:t>
      </w:r>
      <w:r>
        <w:rPr>
          <w:rFonts w:hint="eastAsia" w:ascii="宋体" w:hAnsi="宋体"/>
          <w:sz w:val="28"/>
          <w:szCs w:val="28"/>
          <w:lang w:eastAsia="zh-CN"/>
        </w:rPr>
        <w:t>SCZC510106210001_20210005</w:t>
      </w:r>
      <w:r>
        <w:rPr>
          <w:rFonts w:hint="eastAsia" w:ascii="宋体" w:hAnsi="宋体"/>
          <w:sz w:val="28"/>
          <w:szCs w:val="28"/>
        </w:rPr>
        <w:t>；</w:t>
      </w:r>
      <w:r>
        <w:rPr>
          <w:rFonts w:hint="eastAsia" w:ascii="宋体" w:hAnsi="宋体"/>
          <w:sz w:val="28"/>
          <w:szCs w:val="28"/>
          <w:highlight w:val="none"/>
        </w:rPr>
        <w:t>预算品目：A020</w:t>
      </w:r>
      <w:r>
        <w:rPr>
          <w:rFonts w:ascii="宋体" w:hAnsi="宋体"/>
          <w:sz w:val="28"/>
          <w:szCs w:val="28"/>
          <w:highlight w:val="none"/>
        </w:rPr>
        <w:t xml:space="preserve">207 </w:t>
      </w:r>
      <w:r>
        <w:rPr>
          <w:rFonts w:hint="eastAsia" w:ascii="宋体" w:hAnsi="宋体"/>
          <w:sz w:val="28"/>
          <w:szCs w:val="28"/>
          <w:highlight w:val="none"/>
        </w:rPr>
        <w:t>L</w:t>
      </w:r>
      <w:r>
        <w:rPr>
          <w:rFonts w:ascii="宋体" w:hAnsi="宋体"/>
          <w:sz w:val="28"/>
          <w:szCs w:val="28"/>
          <w:highlight w:val="none"/>
        </w:rPr>
        <w:t>ED</w:t>
      </w:r>
      <w:r>
        <w:rPr>
          <w:rFonts w:hint="eastAsia" w:ascii="宋体" w:hAnsi="宋体"/>
          <w:sz w:val="28"/>
          <w:szCs w:val="28"/>
          <w:highlight w:val="none"/>
        </w:rPr>
        <w:t>显</w:t>
      </w:r>
      <w:r>
        <w:rPr>
          <w:rFonts w:hint="eastAsia" w:ascii="宋体" w:hAnsi="宋体"/>
          <w:sz w:val="28"/>
          <w:szCs w:val="28"/>
        </w:rPr>
        <w:t>示屏；预算金额：</w:t>
      </w:r>
      <w:r>
        <w:rPr>
          <w:rFonts w:hint="eastAsia" w:ascii="宋体" w:hAnsi="宋体"/>
          <w:sz w:val="28"/>
          <w:szCs w:val="28"/>
          <w:lang w:val="en-US" w:eastAsia="zh-CN"/>
        </w:rPr>
        <w:t>48万元</w:t>
      </w:r>
      <w:r>
        <w:rPr>
          <w:rFonts w:hint="eastAsia" w:ascii="宋体" w:hAnsi="宋体"/>
          <w:sz w:val="28"/>
          <w:szCs w:val="28"/>
        </w:rPr>
        <w:t>, 最高限价为</w:t>
      </w:r>
      <w:r>
        <w:rPr>
          <w:rFonts w:hint="eastAsia" w:ascii="宋体" w:hAnsi="宋体"/>
          <w:sz w:val="28"/>
          <w:szCs w:val="28"/>
          <w:lang w:val="en-US" w:eastAsia="zh-CN"/>
        </w:rPr>
        <w:t>48万元</w:t>
      </w:r>
      <w:r>
        <w:rPr>
          <w:rFonts w:hint="eastAsia" w:ascii="宋体" w:hAnsi="宋体"/>
          <w:sz w:val="28"/>
          <w:szCs w:val="28"/>
        </w:rPr>
        <w:t>。</w:t>
      </w:r>
    </w:p>
    <w:p>
      <w:pPr>
        <w:numPr>
          <w:ilvl w:val="0"/>
          <w:numId w:val="4"/>
        </w:numPr>
        <w:spacing w:line="360" w:lineRule="auto"/>
        <w:ind w:left="0" w:firstLine="562" w:firstLineChars="200"/>
        <w:rPr>
          <w:rFonts w:ascii="宋体" w:hAnsi="宋体"/>
          <w:sz w:val="28"/>
          <w:szCs w:val="28"/>
        </w:rPr>
      </w:pPr>
      <w:r>
        <w:rPr>
          <w:rFonts w:hint="eastAsia" w:ascii="宋体" w:hAnsi="宋体"/>
          <w:b/>
          <w:sz w:val="28"/>
          <w:szCs w:val="28"/>
        </w:rPr>
        <w:t>招标项目简介</w:t>
      </w:r>
    </w:p>
    <w:tbl>
      <w:tblPr>
        <w:tblStyle w:val="41"/>
        <w:tblW w:w="88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21"/>
        <w:gridCol w:w="1152"/>
        <w:gridCol w:w="1152"/>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853" w:type="dxa"/>
            <w:gridSpan w:val="5"/>
            <w:shd w:val="clear" w:color="auto" w:fill="auto"/>
            <w:vAlign w:val="bottom"/>
          </w:tcPr>
          <w:p>
            <w:pPr>
              <w:spacing w:line="360" w:lineRule="auto"/>
              <w:jc w:val="center"/>
              <w:rPr>
                <w:rFonts w:hint="eastAsia" w:ascii="宋体" w:hAnsi="宋体" w:cs="宋体"/>
                <w:b/>
                <w:bCs/>
                <w:color w:val="auto"/>
              </w:rPr>
            </w:pPr>
            <w:r>
              <w:rPr>
                <w:rFonts w:hint="eastAsia" w:ascii="宋体" w:hAnsi="宋体" w:eastAsia="宋体" w:cs="宋体"/>
                <w:b/>
                <w:bCs/>
                <w:color w:val="000000"/>
                <w:kern w:val="0"/>
                <w:sz w:val="28"/>
                <w:szCs w:val="28"/>
              </w:rPr>
              <w:t>3楼圆形屏:P2.5软模组全彩LED显示屏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648"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序号</w:t>
            </w:r>
          </w:p>
        </w:tc>
        <w:tc>
          <w:tcPr>
            <w:tcW w:w="3421"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货物名称（标的名称）</w:t>
            </w:r>
          </w:p>
        </w:tc>
        <w:tc>
          <w:tcPr>
            <w:tcW w:w="1152" w:type="dxa"/>
            <w:shd w:val="clear" w:color="auto" w:fill="auto"/>
            <w:vAlign w:val="bottom"/>
          </w:tcPr>
          <w:p>
            <w:pPr>
              <w:spacing w:line="360" w:lineRule="auto"/>
              <w:jc w:val="center"/>
              <w:rPr>
                <w:rFonts w:hint="eastAsia" w:ascii="宋体" w:hAnsi="宋体" w:eastAsia="宋体" w:cs="宋体"/>
                <w:b/>
                <w:bCs/>
                <w:color w:val="auto"/>
                <w:lang w:eastAsia="zh-CN"/>
              </w:rPr>
            </w:pPr>
            <w:r>
              <w:rPr>
                <w:rFonts w:hint="eastAsia" w:ascii="宋体" w:hAnsi="宋体" w:cs="宋体"/>
                <w:b/>
                <w:bCs/>
                <w:color w:val="auto"/>
                <w:lang w:eastAsia="zh-CN"/>
              </w:rPr>
              <w:t>单位</w:t>
            </w:r>
          </w:p>
        </w:tc>
        <w:tc>
          <w:tcPr>
            <w:tcW w:w="1152"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数量</w:t>
            </w:r>
          </w:p>
        </w:tc>
        <w:tc>
          <w:tcPr>
            <w:tcW w:w="2480" w:type="dxa"/>
            <w:vAlign w:val="bottom"/>
          </w:tcPr>
          <w:p>
            <w:pPr>
              <w:spacing w:line="360" w:lineRule="auto"/>
              <w:jc w:val="center"/>
              <w:rPr>
                <w:rFonts w:ascii="宋体" w:hAnsi="宋体" w:cs="宋体"/>
                <w:b/>
                <w:bCs/>
                <w:color w:val="auto"/>
              </w:rPr>
            </w:pPr>
            <w:r>
              <w:rPr>
                <w:rFonts w:hint="eastAsia" w:ascii="宋体" w:hAnsi="宋体" w:cs="宋体"/>
                <w:b/>
                <w:bCs/>
                <w:color w:val="auto"/>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1</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27</w:t>
            </w:r>
          </w:p>
        </w:tc>
        <w:tc>
          <w:tcPr>
            <w:tcW w:w="2480" w:type="dxa"/>
            <w:vAlign w:val="center"/>
          </w:tcPr>
          <w:p>
            <w:pPr>
              <w:widowControl/>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2</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发送卡</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4</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3</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黑钛金包边</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27</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4</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接收卡</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张</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70</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5</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视频拼接处理器</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6</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安全管理系统</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7</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钢架结构</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27</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8</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顶部承重支撑架</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shd w:val="clear" w:color="auto" w:fill="auto"/>
            <w:vAlign w:val="center"/>
          </w:tcPr>
          <w:p>
            <w:pPr>
              <w:widowControl/>
              <w:jc w:val="center"/>
              <w:rPr>
                <w:rFonts w:hint="eastAsia" w:ascii="宋体" w:hAnsi="宋体" w:eastAsia="宋体"/>
                <w:color w:val="auto"/>
                <w:sz w:val="24"/>
                <w:szCs w:val="24"/>
                <w:highlight w:val="none"/>
                <w:lang w:val="en-US" w:eastAsia="zh-CN"/>
              </w:rPr>
            </w:pPr>
            <w:r>
              <w:rPr>
                <w:rFonts w:hint="eastAsia" w:ascii="宋体" w:hAnsi="宋体" w:eastAsia="宋体" w:cs="宋体"/>
                <w:color w:val="000000"/>
                <w:kern w:val="0"/>
                <w:sz w:val="20"/>
                <w:szCs w:val="20"/>
              </w:rPr>
              <w:t>9</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开关电源</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92</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10</w:t>
            </w:r>
          </w:p>
        </w:tc>
        <w:tc>
          <w:tcPr>
            <w:tcW w:w="3421" w:type="dxa"/>
            <w:shd w:val="clear" w:color="auto" w:fill="auto"/>
            <w:vAlign w:val="center"/>
          </w:tcPr>
          <w:p>
            <w:pPr>
              <w:widowControl/>
              <w:jc w:val="center"/>
              <w:rPr>
                <w:rFonts w:hint="eastAsia" w:ascii="宋体" w:hAnsi="宋体" w:eastAsia="宋体"/>
                <w:color w:val="auto"/>
                <w:sz w:val="24"/>
                <w:szCs w:val="24"/>
                <w:highlight w:val="none"/>
                <w:lang w:val="en-US" w:eastAsia="zh-CN"/>
              </w:rPr>
            </w:pPr>
            <w:r>
              <w:rPr>
                <w:rFonts w:hint="eastAsia" w:ascii="宋体" w:hAnsi="宋体" w:eastAsia="宋体" w:cs="宋体"/>
                <w:color w:val="000000"/>
                <w:kern w:val="0"/>
                <w:sz w:val="20"/>
                <w:szCs w:val="20"/>
              </w:rPr>
              <w:t>配电箱</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3421" w:type="dxa"/>
            <w:shd w:val="clear" w:color="auto" w:fill="auto"/>
            <w:vAlign w:val="bottom"/>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运输安装调试辅材费用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8853" w:type="dxa"/>
            <w:gridSpan w:val="5"/>
            <w:shd w:val="clear" w:color="auto" w:fill="auto"/>
            <w:vAlign w:val="center"/>
          </w:tcPr>
          <w:p>
            <w:pPr>
              <w:jc w:val="center"/>
              <w:rPr>
                <w:rFonts w:hint="eastAsia" w:ascii="宋体" w:hAnsi="宋体"/>
                <w:color w:val="auto"/>
                <w:sz w:val="24"/>
                <w:szCs w:val="24"/>
                <w:highlight w:val="none"/>
              </w:rPr>
            </w:pPr>
            <w:r>
              <w:rPr>
                <w:rFonts w:hint="eastAsia" w:ascii="宋体" w:hAnsi="宋体" w:eastAsia="宋体" w:cs="宋体"/>
                <w:b/>
                <w:bCs/>
                <w:color w:val="000000"/>
                <w:kern w:val="0"/>
                <w:sz w:val="28"/>
                <w:szCs w:val="28"/>
              </w:rPr>
              <w:t>3楼会议室：P2.5全彩LED显示屏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序号</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设备名称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单位</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数量</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b/>
                <w:bCs/>
                <w:color w:val="auto"/>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接收卡</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视频处理器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钢架结构</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开关电源</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配电箱</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3421" w:type="dxa"/>
            <w:shd w:val="clear" w:color="auto" w:fill="auto"/>
            <w:vAlign w:val="bottom"/>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运输安装调试辅材费用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bl>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5"/>
        </w:numPr>
        <w:tabs>
          <w:tab w:val="left" w:pos="1260"/>
        </w:tabs>
        <w:spacing w:line="360" w:lineRule="auto"/>
        <w:ind w:left="0" w:firstLine="630"/>
        <w:rPr>
          <w:rFonts w:ascii="宋体" w:hAnsi="宋体"/>
          <w:sz w:val="28"/>
          <w:szCs w:val="28"/>
        </w:rPr>
      </w:pPr>
      <w:r>
        <w:rPr>
          <w:rFonts w:hint="eastAsia" w:ascii="宋体" w:hAnsi="宋体"/>
          <w:sz w:val="28"/>
          <w:szCs w:val="28"/>
        </w:rPr>
        <w:t>符合《政府采购法》第二十二条第一款规定的条件；</w:t>
      </w:r>
    </w:p>
    <w:p>
      <w:pPr>
        <w:numPr>
          <w:ilvl w:val="1"/>
          <w:numId w:val="5"/>
        </w:numPr>
        <w:tabs>
          <w:tab w:val="left" w:pos="1260"/>
        </w:tabs>
        <w:spacing w:line="360" w:lineRule="auto"/>
        <w:ind w:left="0" w:firstLine="630"/>
        <w:rPr>
          <w:rFonts w:ascii="宋体" w:hAnsi="宋体"/>
          <w:b/>
          <w:sz w:val="28"/>
          <w:szCs w:val="28"/>
        </w:rPr>
      </w:pPr>
      <w:r>
        <w:rPr>
          <w:rFonts w:hint="eastAsia" w:ascii="宋体" w:hAnsi="宋体"/>
          <w:b/>
          <w:sz w:val="28"/>
          <w:szCs w:val="28"/>
        </w:rPr>
        <w:t>本项目为</w:t>
      </w:r>
      <w:r>
        <w:rPr>
          <w:rFonts w:ascii="宋体" w:hAnsi="宋体"/>
          <w:b/>
          <w:sz w:val="28"/>
          <w:szCs w:val="28"/>
        </w:rPr>
        <w:t>专门面向中小企业采购项目，</w:t>
      </w:r>
      <w:r>
        <w:rPr>
          <w:rFonts w:hint="eastAsia" w:ascii="宋体" w:hAnsi="宋体"/>
          <w:b/>
          <w:sz w:val="28"/>
          <w:szCs w:val="28"/>
        </w:rPr>
        <w:t>投标人</w:t>
      </w:r>
      <w:r>
        <w:rPr>
          <w:rFonts w:ascii="宋体" w:hAnsi="宋体"/>
          <w:b/>
          <w:sz w:val="28"/>
          <w:szCs w:val="28"/>
        </w:rPr>
        <w:t>提供的货物全部由符合政策要求的中小企业制造</w:t>
      </w:r>
      <w:r>
        <w:rPr>
          <w:rFonts w:hint="eastAsia" w:ascii="宋体" w:hAnsi="宋体"/>
          <w:b/>
          <w:sz w:val="28"/>
          <w:szCs w:val="28"/>
        </w:rPr>
        <w:t>；</w:t>
      </w:r>
      <w:r>
        <w:rPr>
          <w:rFonts w:ascii="宋体" w:hAnsi="宋体"/>
          <w:b/>
          <w:sz w:val="28"/>
          <w:szCs w:val="28"/>
        </w:rPr>
        <w:t>（</w:t>
      </w:r>
      <w:r>
        <w:rPr>
          <w:rFonts w:hint="eastAsia" w:ascii="宋体" w:hAnsi="宋体"/>
          <w:b/>
          <w:sz w:val="28"/>
          <w:szCs w:val="28"/>
        </w:rPr>
        <w:t>说明</w:t>
      </w:r>
      <w:r>
        <w:rPr>
          <w:rFonts w:ascii="宋体" w:hAnsi="宋体"/>
          <w:b/>
          <w:sz w:val="28"/>
          <w:szCs w:val="28"/>
        </w:rPr>
        <w:t>：监狱企业、残疾人福利性单位视同小型、微型企业）</w:t>
      </w:r>
    </w:p>
    <w:p>
      <w:pPr>
        <w:numPr>
          <w:ilvl w:val="1"/>
          <w:numId w:val="5"/>
        </w:numPr>
        <w:tabs>
          <w:tab w:val="left" w:pos="1260"/>
        </w:tabs>
        <w:spacing w:line="360" w:lineRule="auto"/>
        <w:ind w:left="0" w:firstLine="630"/>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5"/>
        </w:numPr>
        <w:tabs>
          <w:tab w:val="left" w:pos="1260"/>
        </w:tabs>
        <w:spacing w:line="360" w:lineRule="auto"/>
        <w:ind w:left="0" w:firstLine="630"/>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5"/>
        </w:numPr>
        <w:tabs>
          <w:tab w:val="left" w:pos="1260"/>
        </w:tabs>
        <w:spacing w:line="360" w:lineRule="auto"/>
        <w:ind w:left="0" w:firstLine="630"/>
        <w:rPr>
          <w:rFonts w:ascii="宋体" w:hAnsi="宋体"/>
          <w:sz w:val="28"/>
          <w:szCs w:val="28"/>
        </w:rPr>
      </w:pPr>
      <w:r>
        <w:rPr>
          <w:rFonts w:ascii="宋体" w:hAnsi="宋体"/>
          <w:sz w:val="28"/>
          <w:szCs w:val="28"/>
        </w:rPr>
        <w:t>未处于被行政部门禁止参与政府采购活动的期限内</w:t>
      </w:r>
      <w:r>
        <w:rPr>
          <w:rFonts w:hint="eastAsia" w:ascii="宋体" w:hAnsi="宋体"/>
          <w:sz w:val="28"/>
          <w:szCs w:val="28"/>
        </w:rPr>
        <w:t>；</w:t>
      </w:r>
    </w:p>
    <w:p>
      <w:pPr>
        <w:numPr>
          <w:ilvl w:val="1"/>
          <w:numId w:val="5"/>
        </w:numPr>
        <w:tabs>
          <w:tab w:val="left" w:pos="1260"/>
        </w:tabs>
        <w:spacing w:line="360" w:lineRule="auto"/>
        <w:ind w:left="0" w:firstLine="630"/>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5"/>
        </w:numPr>
        <w:tabs>
          <w:tab w:val="left" w:pos="1260"/>
        </w:tabs>
        <w:spacing w:line="360" w:lineRule="auto"/>
        <w:ind w:left="0" w:firstLine="630"/>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4"/>
        </w:numPr>
        <w:spacing w:line="360" w:lineRule="auto"/>
        <w:ind w:left="0" w:firstLine="567"/>
        <w:rPr>
          <w:rFonts w:ascii="宋体" w:hAnsi="宋体"/>
          <w:i/>
          <w:sz w:val="28"/>
        </w:rPr>
      </w:pPr>
      <w:r>
        <w:rPr>
          <w:rFonts w:hint="eastAsia" w:ascii="宋体" w:hAnsi="宋体"/>
          <w:b/>
          <w:sz w:val="28"/>
          <w:szCs w:val="28"/>
        </w:rPr>
        <w:t>招标文件获取时间</w:t>
      </w:r>
    </w:p>
    <w:p>
      <w:pPr>
        <w:numPr>
          <w:ilvl w:val="0"/>
          <w:numId w:val="6"/>
        </w:numPr>
        <w:spacing w:line="360" w:lineRule="auto"/>
        <w:ind w:left="0" w:firstLine="567"/>
        <w:rPr>
          <w:rFonts w:ascii="宋体" w:hAnsi="宋体"/>
          <w:sz w:val="28"/>
          <w:highlight w:val="none"/>
        </w:rPr>
      </w:pPr>
      <w:r>
        <w:rPr>
          <w:rFonts w:hint="eastAsia" w:ascii="宋体" w:hAnsi="宋体"/>
          <w:sz w:val="28"/>
          <w:szCs w:val="28"/>
        </w:rPr>
        <w:t>招标文件获取</w:t>
      </w:r>
      <w:r>
        <w:rPr>
          <w:rFonts w:hint="eastAsia" w:ascii="宋体" w:hAnsi="宋体"/>
          <w:sz w:val="28"/>
          <w:szCs w:val="28"/>
          <w:highlight w:val="none"/>
        </w:rPr>
        <w:t>时间：202</w:t>
      </w:r>
      <w:r>
        <w:rPr>
          <w:rFonts w:hint="eastAsia" w:ascii="宋体" w:hAnsi="宋体"/>
          <w:sz w:val="28"/>
          <w:szCs w:val="28"/>
          <w:highlight w:val="none"/>
          <w:lang w:val="en-US" w:eastAsia="zh-CN"/>
        </w:rPr>
        <w:t>2</w:t>
      </w:r>
      <w:r>
        <w:rPr>
          <w:rFonts w:hint="eastAsia" w:ascii="宋体" w:hAnsi="宋体"/>
          <w:sz w:val="28"/>
          <w:szCs w:val="28"/>
          <w:highlight w:val="none"/>
        </w:rPr>
        <w:t>年</w:t>
      </w:r>
      <w:r>
        <w:rPr>
          <w:rFonts w:hint="eastAsia" w:ascii="宋体" w:hAnsi="宋体"/>
          <w:sz w:val="28"/>
          <w:szCs w:val="28"/>
          <w:highlight w:val="none"/>
          <w:lang w:val="en-US" w:eastAsia="zh-CN"/>
        </w:rPr>
        <w:t>1</w:t>
      </w:r>
      <w:r>
        <w:rPr>
          <w:rFonts w:hint="eastAsia" w:ascii="宋体" w:hAnsi="宋体"/>
          <w:sz w:val="28"/>
          <w:szCs w:val="28"/>
          <w:highlight w:val="none"/>
        </w:rPr>
        <w:t>月</w:t>
      </w:r>
      <w:r>
        <w:rPr>
          <w:rFonts w:hint="eastAsia" w:ascii="宋体" w:hAnsi="宋体"/>
          <w:sz w:val="28"/>
          <w:szCs w:val="28"/>
          <w:highlight w:val="none"/>
          <w:lang w:val="en-US" w:eastAsia="zh-CN"/>
        </w:rPr>
        <w:t>27</w:t>
      </w:r>
      <w:r>
        <w:rPr>
          <w:rFonts w:hint="eastAsia" w:ascii="宋体" w:hAnsi="宋体"/>
          <w:sz w:val="28"/>
          <w:szCs w:val="28"/>
          <w:highlight w:val="none"/>
        </w:rPr>
        <w:t>日至</w:t>
      </w:r>
      <w:r>
        <w:rPr>
          <w:rFonts w:hint="eastAsia" w:ascii="宋体" w:hAnsi="宋体"/>
          <w:sz w:val="28"/>
          <w:szCs w:val="28"/>
          <w:highlight w:val="none"/>
          <w:lang w:val="en-US" w:eastAsia="zh-CN"/>
        </w:rPr>
        <w:t>2</w:t>
      </w:r>
      <w:r>
        <w:rPr>
          <w:rFonts w:hint="eastAsia" w:ascii="宋体" w:hAnsi="宋体"/>
          <w:sz w:val="28"/>
          <w:szCs w:val="28"/>
          <w:highlight w:val="none"/>
        </w:rPr>
        <w:t>月</w:t>
      </w:r>
      <w:r>
        <w:rPr>
          <w:rFonts w:hint="eastAsia" w:ascii="宋体" w:hAnsi="宋体"/>
          <w:sz w:val="28"/>
          <w:szCs w:val="28"/>
          <w:highlight w:val="none"/>
          <w:lang w:val="en-US" w:eastAsia="zh-CN"/>
        </w:rPr>
        <w:t>22</w:t>
      </w:r>
      <w:r>
        <w:rPr>
          <w:rFonts w:hint="eastAsia" w:ascii="宋体" w:hAnsi="宋体"/>
          <w:sz w:val="28"/>
          <w:szCs w:val="28"/>
          <w:highlight w:val="none"/>
        </w:rPr>
        <w:t>日。</w:t>
      </w:r>
    </w:p>
    <w:p>
      <w:pPr>
        <w:numPr>
          <w:ilvl w:val="0"/>
          <w:numId w:val="6"/>
        </w:numPr>
        <w:spacing w:line="360" w:lineRule="auto"/>
        <w:ind w:left="0" w:firstLine="567"/>
        <w:rPr>
          <w:rFonts w:ascii="宋体" w:hAnsi="宋体"/>
          <w:sz w:val="28"/>
          <w:szCs w:val="28"/>
          <w:highlight w:val="none"/>
        </w:rPr>
      </w:pPr>
      <w:r>
        <w:rPr>
          <w:rFonts w:hint="eastAsia" w:ascii="宋体" w:hAnsi="宋体"/>
          <w:sz w:val="28"/>
          <w:szCs w:val="28"/>
          <w:highlight w:val="none"/>
        </w:rPr>
        <w:t>公告期限：202</w:t>
      </w:r>
      <w:r>
        <w:rPr>
          <w:rFonts w:hint="eastAsia" w:ascii="宋体" w:hAnsi="宋体"/>
          <w:sz w:val="28"/>
          <w:szCs w:val="28"/>
          <w:highlight w:val="none"/>
          <w:lang w:val="en-US" w:eastAsia="zh-CN"/>
        </w:rPr>
        <w:t>2</w:t>
      </w:r>
      <w:r>
        <w:rPr>
          <w:rFonts w:hint="eastAsia" w:ascii="宋体" w:hAnsi="宋体"/>
          <w:sz w:val="28"/>
          <w:szCs w:val="28"/>
          <w:highlight w:val="none"/>
        </w:rPr>
        <w:t>年</w:t>
      </w:r>
      <w:r>
        <w:rPr>
          <w:rFonts w:hint="eastAsia" w:ascii="宋体" w:hAnsi="宋体"/>
          <w:sz w:val="28"/>
          <w:szCs w:val="28"/>
          <w:highlight w:val="none"/>
          <w:lang w:val="en-US" w:eastAsia="zh-CN"/>
        </w:rPr>
        <w:t>1</w:t>
      </w:r>
      <w:r>
        <w:rPr>
          <w:rFonts w:hint="eastAsia" w:ascii="宋体" w:hAnsi="宋体"/>
          <w:sz w:val="28"/>
          <w:szCs w:val="28"/>
          <w:highlight w:val="none"/>
        </w:rPr>
        <w:t>月</w:t>
      </w:r>
      <w:r>
        <w:rPr>
          <w:rFonts w:hint="eastAsia" w:ascii="宋体" w:hAnsi="宋体"/>
          <w:sz w:val="28"/>
          <w:szCs w:val="28"/>
          <w:highlight w:val="none"/>
          <w:lang w:val="en-US" w:eastAsia="zh-CN"/>
        </w:rPr>
        <w:t>27</w:t>
      </w:r>
      <w:r>
        <w:rPr>
          <w:rFonts w:hint="eastAsia" w:ascii="宋体" w:hAnsi="宋体"/>
          <w:sz w:val="28"/>
          <w:szCs w:val="28"/>
          <w:highlight w:val="none"/>
        </w:rPr>
        <w:t>日至</w:t>
      </w:r>
      <w:r>
        <w:rPr>
          <w:rFonts w:hint="eastAsia" w:ascii="宋体" w:hAnsi="宋体"/>
          <w:sz w:val="28"/>
          <w:szCs w:val="28"/>
          <w:highlight w:val="none"/>
          <w:lang w:val="en-US" w:eastAsia="zh-CN"/>
        </w:rPr>
        <w:t>2</w:t>
      </w:r>
      <w:r>
        <w:rPr>
          <w:rFonts w:hint="eastAsia" w:ascii="宋体" w:hAnsi="宋体"/>
          <w:sz w:val="28"/>
          <w:szCs w:val="28"/>
          <w:highlight w:val="none"/>
        </w:rPr>
        <w:t>月</w:t>
      </w:r>
      <w:r>
        <w:rPr>
          <w:rFonts w:hint="eastAsia" w:ascii="宋体" w:hAnsi="宋体"/>
          <w:sz w:val="28"/>
          <w:szCs w:val="28"/>
          <w:highlight w:val="none"/>
          <w:lang w:val="en-US" w:eastAsia="zh-CN"/>
        </w:rPr>
        <w:t>3</w:t>
      </w:r>
      <w:r>
        <w:rPr>
          <w:rFonts w:hint="eastAsia" w:ascii="宋体" w:hAnsi="宋体"/>
          <w:sz w:val="28"/>
          <w:szCs w:val="28"/>
          <w:highlight w:val="none"/>
        </w:rPr>
        <w:t>日。</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投标人要参加投标，应在“政府采购云平台（www.zcygov.cn）”获取采购文件。登录政府采购云平台(www.zcygov.cn)—我的工作台—项目采购—获取采购文件—申请获取采购文件。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eastAsia="zh-CN"/>
        </w:rPr>
        <w:t>成都市公共资源交易服务中心门户网站</w:t>
      </w:r>
      <w:r>
        <w:rPr>
          <w:rFonts w:hint="eastAsia" w:ascii="宋体" w:hAnsi="宋体"/>
          <w:sz w:val="28"/>
          <w:szCs w:val="28"/>
        </w:rPr>
        <w:t>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（3）首次登录政府采购云平台(www.zcygov.cn)的新用户,</w:t>
      </w:r>
      <w:r>
        <w:rPr>
          <w:rFonts w:hint="eastAsia"/>
        </w:rPr>
        <w:t xml:space="preserve"> </w:t>
      </w:r>
      <w:r>
        <w:rPr>
          <w:rFonts w:hint="eastAsia" w:ascii="宋体" w:hAnsi="宋体"/>
          <w:sz w:val="28"/>
          <w:szCs w:val="28"/>
        </w:rPr>
        <w:t>应先点击网页左上角切换至“成都市本级”，再点击“供应商入驻”，注册成功后即可登录。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74185149"/>
      <w:bookmarkStart w:id="9" w:name="_Toc184023104"/>
      <w:bookmarkStart w:id="10" w:name="_Toc186274101"/>
      <w:bookmarkStart w:id="11" w:name="_Toc184013605"/>
      <w:bookmarkStart w:id="12" w:name="_Toc180051012"/>
      <w:r>
        <w:rPr>
          <w:rFonts w:hint="eastAsia" w:ascii="宋体" w:hAnsi="宋体"/>
          <w:sz w:val="28"/>
          <w:szCs w:val="28"/>
        </w:rPr>
        <w:t>登录政府采购云平台（www.zcygov.cn）获取。</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投标文件提交截止时间及开标时间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b/>
          <w:sz w:val="28"/>
          <w:szCs w:val="28"/>
          <w:highlight w:val="none"/>
        </w:rPr>
      </w:pPr>
      <w:r>
        <w:rPr>
          <w:rFonts w:hint="eastAsia" w:ascii="宋体" w:hAnsi="宋体"/>
          <w:sz w:val="28"/>
          <w:szCs w:val="28"/>
        </w:rPr>
        <w:t>（一）投标文件提交截止时间及开标时间：</w:t>
      </w:r>
      <w:r>
        <w:rPr>
          <w:rFonts w:hint="eastAsia" w:ascii="宋体" w:hAnsi="宋体"/>
          <w:b/>
          <w:sz w:val="28"/>
          <w:szCs w:val="28"/>
          <w:highlight w:val="none"/>
        </w:rPr>
        <w:t>202</w:t>
      </w:r>
      <w:r>
        <w:rPr>
          <w:rFonts w:hint="eastAsia" w:ascii="宋体" w:hAnsi="宋体"/>
          <w:b/>
          <w:sz w:val="28"/>
          <w:szCs w:val="28"/>
          <w:highlight w:val="none"/>
          <w:lang w:val="en-US" w:eastAsia="zh-CN"/>
        </w:rPr>
        <w:t>2</w:t>
      </w:r>
      <w:r>
        <w:rPr>
          <w:rFonts w:hint="eastAsia" w:ascii="宋体" w:hAnsi="宋体"/>
          <w:b/>
          <w:sz w:val="28"/>
          <w:szCs w:val="28"/>
          <w:highlight w:val="none"/>
        </w:rPr>
        <w:t>年</w:t>
      </w:r>
      <w:r>
        <w:rPr>
          <w:rFonts w:hint="eastAsia" w:ascii="宋体" w:hAnsi="宋体"/>
          <w:b/>
          <w:sz w:val="28"/>
          <w:szCs w:val="28"/>
          <w:highlight w:val="none"/>
          <w:lang w:val="en-US" w:eastAsia="zh-CN"/>
        </w:rPr>
        <w:t>2</w:t>
      </w:r>
      <w:r>
        <w:rPr>
          <w:rFonts w:hint="eastAsia" w:ascii="宋体" w:hAnsi="宋体"/>
          <w:b/>
          <w:sz w:val="28"/>
          <w:szCs w:val="28"/>
          <w:highlight w:val="none"/>
        </w:rPr>
        <w:t>月</w:t>
      </w:r>
      <w:r>
        <w:rPr>
          <w:rFonts w:hint="eastAsia" w:ascii="宋体" w:hAnsi="宋体"/>
          <w:b/>
          <w:sz w:val="28"/>
          <w:szCs w:val="28"/>
          <w:highlight w:val="none"/>
          <w:lang w:val="en-US" w:eastAsia="zh-CN"/>
        </w:rPr>
        <w:t>23</w:t>
      </w:r>
      <w:r>
        <w:rPr>
          <w:rFonts w:hint="eastAsia" w:ascii="宋体" w:hAnsi="宋体"/>
          <w:b/>
          <w:sz w:val="28"/>
          <w:szCs w:val="28"/>
          <w:highlight w:val="none"/>
        </w:rPr>
        <w:t>日上午09:</w:t>
      </w:r>
      <w:r>
        <w:rPr>
          <w:rFonts w:hint="eastAsia" w:ascii="宋体" w:hAnsi="宋体"/>
          <w:b/>
          <w:sz w:val="28"/>
          <w:szCs w:val="28"/>
          <w:highlight w:val="none"/>
          <w:lang w:val="en-US" w:eastAsia="zh-CN"/>
        </w:rPr>
        <w:t>0</w:t>
      </w:r>
      <w:r>
        <w:rPr>
          <w:rFonts w:hint="eastAsia" w:ascii="宋体" w:hAnsi="宋体"/>
          <w:b/>
          <w:sz w:val="28"/>
          <w:szCs w:val="28"/>
          <w:highlight w:val="none"/>
        </w:rPr>
        <w:t>0。</w:t>
      </w:r>
    </w:p>
    <w:p>
      <w:pPr>
        <w:spacing w:line="560" w:lineRule="exact"/>
        <w:ind w:firstLine="565" w:firstLineChars="202"/>
        <w:rPr>
          <w:rFonts w:ascii="宋体" w:hAnsi="宋体"/>
          <w:sz w:val="28"/>
          <w:szCs w:val="28"/>
        </w:rPr>
      </w:pPr>
      <w:r>
        <w:rPr>
          <w:rFonts w:hint="eastAsia" w:ascii="宋体" w:hAnsi="宋体"/>
          <w:sz w:val="28"/>
          <w:szCs w:val="28"/>
        </w:rPr>
        <w:t>（二）投标文件提交方式、地点：投标截止时间前，投标人应将加密的投标文件提交至“政府采购云平台”对应项目（包件）。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开标地点</w:t>
      </w:r>
    </w:p>
    <w:p>
      <w:pPr>
        <w:pStyle w:val="226"/>
        <w:numPr>
          <w:ilvl w:val="0"/>
          <w:numId w:val="7"/>
        </w:numPr>
        <w:spacing w:line="560" w:lineRule="exact"/>
        <w:ind w:left="0" w:firstLine="566" w:firstLineChars="0"/>
        <w:rPr>
          <w:rFonts w:ascii="宋体" w:hAnsi="宋体"/>
          <w:sz w:val="28"/>
          <w:szCs w:val="28"/>
        </w:rPr>
      </w:pPr>
      <w:r>
        <w:rPr>
          <w:rFonts w:hint="eastAsia" w:ascii="宋体" w:hAnsi="宋体"/>
          <w:sz w:val="28"/>
          <w:szCs w:val="28"/>
        </w:rPr>
        <w:t>本项目为不见面开标项目。</w:t>
      </w:r>
    </w:p>
    <w:p>
      <w:pPr>
        <w:pStyle w:val="226"/>
        <w:numPr>
          <w:ilvl w:val="0"/>
          <w:numId w:val="7"/>
        </w:numPr>
        <w:spacing w:line="560" w:lineRule="exact"/>
        <w:ind w:left="0" w:firstLine="566" w:firstLineChars="0"/>
        <w:rPr>
          <w:rFonts w:ascii="宋体" w:hAnsi="宋体"/>
          <w:sz w:val="28"/>
          <w:szCs w:val="28"/>
        </w:rPr>
      </w:pPr>
      <w:r>
        <w:rPr>
          <w:rFonts w:hint="eastAsia" w:ascii="宋体" w:hAnsi="宋体"/>
          <w:sz w:val="28"/>
          <w:szCs w:val="28"/>
        </w:rPr>
        <w:t>开标地点为：政府采购云平台（www.zcygov.cn）。</w:t>
      </w:r>
    </w:p>
    <w:p>
      <w:pPr>
        <w:pStyle w:val="226"/>
        <w:numPr>
          <w:ilvl w:val="0"/>
          <w:numId w:val="7"/>
        </w:numPr>
        <w:spacing w:line="560" w:lineRule="exact"/>
        <w:ind w:left="0" w:firstLine="566" w:firstLineChars="0"/>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政采中小企业政府采购信用融资</w:t>
      </w:r>
    </w:p>
    <w:p>
      <w:pPr>
        <w:spacing w:line="360" w:lineRule="auto"/>
        <w:ind w:firstLine="543" w:firstLineChars="194"/>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金牛区财政局中国人民银行成都分行营业管理部关于印发〈成都市中小企业政府采购信用融资暂行办法〉和〈成都市级支持中小企业政府采购信用融资实施方案〉的通知》（成财采[2019]17号）和《成都市金牛区财政局关于印发&lt;成都市金牛区支持中小企业政府采购信用融资实施方案&gt;的通知》（金牛财发[2019]54号）和《成都市金牛区财政局关于公布金牛区首批开展政府采购信用融资业务银行名单的通知》，通知文件可通过金牛区政府信息公开网站查询。</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本投标邀请在“四川政府采购网”和</w:t>
      </w:r>
      <w:r>
        <w:rPr>
          <w:rFonts w:hint="eastAsia" w:ascii="宋体" w:hAnsi="宋体"/>
          <w:b/>
          <w:sz w:val="28"/>
          <w:szCs w:val="28"/>
          <w:lang w:eastAsia="zh-CN"/>
        </w:rPr>
        <w:t>“成都市公共资源交易服务中心”网站</w:t>
      </w:r>
      <w:r>
        <w:rPr>
          <w:rFonts w:hint="eastAsia" w:ascii="宋体" w:hAnsi="宋体"/>
          <w:b/>
          <w:sz w:val="28"/>
          <w:szCs w:val="28"/>
        </w:rPr>
        <w:t>上以公告形式发布</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 xml:space="preserve"> 成都金牛高新技术产业园区管理委员会</w:t>
      </w:r>
    </w:p>
    <w:p>
      <w:pPr>
        <w:spacing w:line="360" w:lineRule="auto"/>
        <w:ind w:firstLine="565" w:firstLineChars="202"/>
        <w:rPr>
          <w:rFonts w:hint="default" w:ascii="宋体" w:hAnsi="宋体" w:eastAsia="宋体"/>
          <w:sz w:val="28"/>
          <w:szCs w:val="28"/>
          <w:highlight w:val="yellow"/>
          <w:lang w:val="en-US" w:eastAsia="zh-CN"/>
        </w:rPr>
      </w:pPr>
      <w:r>
        <w:rPr>
          <w:rFonts w:hint="eastAsia" w:ascii="宋体" w:hAnsi="宋体"/>
          <w:sz w:val="28"/>
          <w:szCs w:val="28"/>
        </w:rPr>
        <w:t>地  址：成都市金牛区天龙大道1333号</w:t>
      </w:r>
      <w:r>
        <w:rPr>
          <w:rFonts w:hint="eastAsia" w:ascii="宋体" w:hAnsi="宋体"/>
          <w:sz w:val="28"/>
          <w:szCs w:val="28"/>
          <w:lang w:val="en-US" w:eastAsia="zh-CN"/>
        </w:rPr>
        <w:t>3栋3单元</w:t>
      </w:r>
    </w:p>
    <w:p>
      <w:pPr>
        <w:spacing w:line="360" w:lineRule="auto"/>
        <w:ind w:firstLine="565" w:firstLineChars="202"/>
        <w:rPr>
          <w:rFonts w:ascii="宋体" w:hAnsi="宋体"/>
          <w:sz w:val="28"/>
          <w:szCs w:val="28"/>
        </w:rPr>
      </w:pPr>
      <w:r>
        <w:rPr>
          <w:rFonts w:hint="eastAsia" w:ascii="宋体" w:hAnsi="宋体"/>
          <w:sz w:val="28"/>
          <w:szCs w:val="28"/>
        </w:rPr>
        <w:t>邮  编：610000</w:t>
      </w:r>
    </w:p>
    <w:p>
      <w:pPr>
        <w:spacing w:line="360" w:lineRule="auto"/>
        <w:ind w:firstLine="565" w:firstLineChars="202"/>
        <w:rPr>
          <w:rFonts w:ascii="宋体" w:hAnsi="宋体"/>
          <w:sz w:val="28"/>
          <w:szCs w:val="28"/>
        </w:rPr>
      </w:pPr>
      <w:r>
        <w:rPr>
          <w:rFonts w:hint="eastAsia" w:ascii="宋体" w:hAnsi="宋体"/>
          <w:sz w:val="28"/>
          <w:szCs w:val="28"/>
        </w:rPr>
        <w:t>联系人：</w:t>
      </w:r>
      <w:r>
        <w:rPr>
          <w:rFonts w:hint="eastAsia" w:ascii="宋体" w:hAnsi="宋体"/>
          <w:sz w:val="28"/>
          <w:szCs w:val="28"/>
          <w:lang w:val="en-US" w:eastAsia="zh-CN"/>
        </w:rPr>
        <w:t>陈 林</w:t>
      </w:r>
    </w:p>
    <w:p>
      <w:pPr>
        <w:spacing w:line="360" w:lineRule="auto"/>
        <w:ind w:firstLine="565" w:firstLineChars="202"/>
        <w:rPr>
          <w:rFonts w:ascii="宋体" w:hAnsi="宋体"/>
          <w:sz w:val="28"/>
          <w:szCs w:val="28"/>
        </w:rPr>
      </w:pPr>
      <w:r>
        <w:rPr>
          <w:rFonts w:hint="eastAsia" w:ascii="宋体" w:hAnsi="宋体"/>
          <w:sz w:val="28"/>
          <w:szCs w:val="28"/>
        </w:rPr>
        <w:t>联系电话：</w:t>
      </w:r>
      <w:r>
        <w:rPr>
          <w:rFonts w:hint="eastAsia" w:ascii="宋体" w:hAnsi="宋体"/>
          <w:sz w:val="28"/>
          <w:szCs w:val="28"/>
          <w:lang w:val="en-US" w:eastAsia="zh-CN"/>
        </w:rPr>
        <w:t xml:space="preserve"> 18200409917</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szCs w:val="28"/>
        </w:rPr>
        <w:t>集中</w:t>
      </w:r>
      <w:r>
        <w:rPr>
          <w:rFonts w:ascii="宋体" w:hAnsi="宋体"/>
          <w:b/>
          <w:sz w:val="28"/>
          <w:szCs w:val="28"/>
        </w:rPr>
        <w:t>采购机构</w:t>
      </w:r>
      <w:r>
        <w:rPr>
          <w:rFonts w:hint="eastAsia" w:ascii="宋体" w:hAnsi="宋体"/>
          <w:b/>
          <w:sz w:val="28"/>
          <w:szCs w:val="28"/>
        </w:rPr>
        <w:t>：</w:t>
      </w:r>
      <w:r>
        <w:rPr>
          <w:rFonts w:hint="eastAsia" w:ascii="宋体" w:hAnsi="宋体"/>
          <w:b/>
          <w:sz w:val="28"/>
          <w:szCs w:val="28"/>
          <w:lang w:eastAsia="zh-CN"/>
        </w:rPr>
        <w:t>成都市金牛区政府采购和机关服务中心</w:t>
      </w:r>
    </w:p>
    <w:p>
      <w:pPr>
        <w:spacing w:line="360" w:lineRule="auto"/>
        <w:ind w:firstLine="565" w:firstLineChars="202"/>
        <w:rPr>
          <w:rFonts w:ascii="宋体" w:hAnsi="宋体"/>
          <w:sz w:val="28"/>
          <w:szCs w:val="28"/>
        </w:rPr>
      </w:pPr>
      <w:r>
        <w:rPr>
          <w:rFonts w:hint="eastAsia" w:ascii="宋体" w:hAnsi="宋体"/>
          <w:sz w:val="28"/>
          <w:szCs w:val="28"/>
        </w:rPr>
        <w:t>地  址：成都市沙湾路65号金牛区政府办公大楼</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邮  编：6100</w:t>
      </w:r>
      <w:r>
        <w:rPr>
          <w:rFonts w:hint="eastAsia" w:ascii="宋体" w:hAnsi="宋体"/>
          <w:sz w:val="28"/>
          <w:szCs w:val="28"/>
          <w:lang w:val="en-US" w:eastAsia="zh-CN"/>
        </w:rPr>
        <w:t>81</w:t>
      </w:r>
    </w:p>
    <w:p>
      <w:pPr>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val="en-US" w:eastAsia="zh-CN"/>
        </w:rPr>
        <w:t>陈 维</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87705790</w:t>
      </w:r>
    </w:p>
    <w:p>
      <w:pPr>
        <w:spacing w:line="360" w:lineRule="auto"/>
        <w:ind w:firstLine="568" w:firstLineChars="202"/>
        <w:rPr>
          <w:rFonts w:ascii="宋体" w:hAnsi="宋体"/>
          <w:sz w:val="28"/>
          <w:szCs w:val="28"/>
        </w:rPr>
      </w:pPr>
      <w:r>
        <w:rPr>
          <w:rFonts w:hint="eastAsia" w:ascii="宋体" w:hAnsi="宋体" w:cstheme="minorBidi"/>
          <w:b/>
          <w:sz w:val="28"/>
          <w:szCs w:val="28"/>
        </w:rPr>
        <w:t>技术支持电话：400</w:t>
      </w:r>
      <w:r>
        <w:rPr>
          <w:rFonts w:hint="eastAsia" w:ascii="宋体" w:hAnsi="宋体" w:cstheme="minorBidi"/>
          <w:b/>
          <w:sz w:val="28"/>
          <w:szCs w:val="28"/>
          <w:lang w:val="en-US" w:eastAsia="zh-CN"/>
        </w:rPr>
        <w:t>-</w:t>
      </w:r>
      <w:r>
        <w:rPr>
          <w:rFonts w:hint="eastAsia" w:ascii="宋体" w:hAnsi="宋体" w:cstheme="minorBidi"/>
          <w:b/>
          <w:sz w:val="28"/>
          <w:szCs w:val="28"/>
        </w:rPr>
        <w:t>881</w:t>
      </w:r>
      <w:r>
        <w:rPr>
          <w:rFonts w:hint="eastAsia" w:ascii="宋体" w:hAnsi="宋体" w:cstheme="minorBidi"/>
          <w:b/>
          <w:sz w:val="28"/>
          <w:szCs w:val="28"/>
          <w:lang w:val="en-US" w:eastAsia="zh-CN"/>
        </w:rPr>
        <w:t>-</w:t>
      </w:r>
      <w:r>
        <w:rPr>
          <w:rFonts w:hint="eastAsia" w:ascii="宋体" w:hAnsi="宋体" w:cstheme="minorBidi"/>
          <w:b/>
          <w:sz w:val="28"/>
          <w:szCs w:val="28"/>
        </w:rPr>
        <w:t>7190</w:t>
      </w:r>
    </w:p>
    <w:p>
      <w:pPr>
        <w:spacing w:line="360" w:lineRule="auto"/>
        <w:ind w:firstLine="562" w:firstLineChars="200"/>
        <w:rPr>
          <w:rFonts w:hint="eastAsia" w:ascii="宋体" w:hAnsi="宋体" w:eastAsia="宋体"/>
          <w:b/>
          <w:sz w:val="28"/>
          <w:szCs w:val="28"/>
          <w:lang w:eastAsia="zh-CN"/>
        </w:rPr>
      </w:pPr>
      <w:r>
        <w:rPr>
          <w:rFonts w:hint="eastAsia" w:ascii="宋体" w:hAnsi="宋体"/>
          <w:b/>
          <w:sz w:val="28"/>
          <w:szCs w:val="28"/>
        </w:rPr>
        <w:t>集中采购监督机构：</w:t>
      </w:r>
      <w:r>
        <w:rPr>
          <w:rFonts w:hint="eastAsia" w:ascii="宋体" w:hAnsi="宋体"/>
          <w:b/>
          <w:sz w:val="28"/>
          <w:szCs w:val="28"/>
          <w:lang w:eastAsia="zh-CN"/>
        </w:rPr>
        <w:t>成都市金牛区财政局</w:t>
      </w:r>
    </w:p>
    <w:p>
      <w:pPr>
        <w:spacing w:line="360" w:lineRule="auto"/>
        <w:ind w:firstLine="560" w:firstLineChars="200"/>
        <w:rPr>
          <w:rFonts w:ascii="宋体" w:hAnsi="宋体"/>
          <w:sz w:val="28"/>
          <w:szCs w:val="28"/>
        </w:rPr>
      </w:pPr>
      <w:r>
        <w:rPr>
          <w:rFonts w:hint="eastAsia" w:ascii="宋体" w:hAnsi="宋体"/>
          <w:sz w:val="28"/>
          <w:szCs w:val="28"/>
        </w:rPr>
        <w:t>地 址：成都市沙湾路65号金牛区政府办公大楼</w:t>
      </w:r>
    </w:p>
    <w:p>
      <w:pPr>
        <w:tabs>
          <w:tab w:val="left" w:pos="900"/>
        </w:tabs>
        <w:spacing w:line="360" w:lineRule="auto"/>
        <w:ind w:firstLine="560" w:firstLineChars="200"/>
        <w:rPr>
          <w:rFonts w:hint="default" w:ascii="宋体" w:hAnsi="宋体" w:eastAsia="宋体" w:cstheme="minorBidi"/>
          <w:sz w:val="28"/>
          <w:szCs w:val="28"/>
          <w:lang w:val="en-US" w:eastAsia="zh-CN"/>
        </w:rPr>
      </w:pPr>
      <w:r>
        <w:rPr>
          <w:rFonts w:hint="eastAsia" w:ascii="宋体" w:hAnsi="宋体" w:cstheme="minorBidi"/>
          <w:sz w:val="28"/>
          <w:szCs w:val="28"/>
        </w:rPr>
        <w:t>联系电话：028-</w:t>
      </w:r>
      <w:r>
        <w:rPr>
          <w:rFonts w:hint="eastAsia" w:ascii="宋体" w:hAnsi="宋体" w:cstheme="minorBidi"/>
          <w:sz w:val="28"/>
          <w:szCs w:val="28"/>
          <w:lang w:val="en-US" w:eastAsia="zh-CN"/>
        </w:rPr>
        <w:t>87705185</w:t>
      </w:r>
    </w:p>
    <w:p>
      <w:pPr>
        <w:tabs>
          <w:tab w:val="left" w:pos="900"/>
        </w:tabs>
        <w:spacing w:line="360" w:lineRule="auto"/>
        <w:ind w:firstLine="562" w:firstLineChars="200"/>
        <w:rPr>
          <w:rFonts w:ascii="宋体" w:hAnsi="宋体" w:cstheme="minorBidi"/>
          <w:b/>
          <w:sz w:val="28"/>
          <w:szCs w:val="28"/>
        </w:rPr>
      </w:pPr>
    </w:p>
    <w:p>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3" w:name="_Toc88056417"/>
      <w:r>
        <w:rPr>
          <w:rFonts w:hint="eastAsia" w:ascii="宋体" w:hAnsi="宋体"/>
          <w:b/>
          <w:bCs/>
          <w:spacing w:val="-20"/>
          <w:kern w:val="44"/>
          <w:sz w:val="32"/>
          <w:szCs w:val="32"/>
        </w:rPr>
        <w:t>投标人须知</w:t>
      </w:r>
      <w:bookmarkEnd w:id="13"/>
    </w:p>
    <w:p>
      <w:pPr>
        <w:keepNext/>
        <w:keepLines/>
        <w:numPr>
          <w:ilvl w:val="1"/>
          <w:numId w:val="3"/>
        </w:numPr>
        <w:spacing w:before="260" w:after="260" w:line="360" w:lineRule="auto"/>
        <w:jc w:val="left"/>
        <w:outlineLvl w:val="1"/>
        <w:rPr>
          <w:rFonts w:ascii="宋体" w:hAnsi="宋体"/>
          <w:b/>
          <w:bCs/>
          <w:sz w:val="28"/>
          <w:szCs w:val="28"/>
        </w:rPr>
      </w:pPr>
      <w:bookmarkStart w:id="14" w:name="_Toc88056418"/>
      <w:bookmarkStart w:id="15" w:name="_Toc316462344"/>
      <w:bookmarkStart w:id="16" w:name="_Toc213496268"/>
      <w:bookmarkStart w:id="17" w:name="_Toc213397010"/>
      <w:bookmarkStart w:id="18" w:name="_Toc217446032"/>
      <w:bookmarkStart w:id="19" w:name="_Toc189727030"/>
      <w:bookmarkStart w:id="20" w:name="_Toc213396760"/>
      <w:bookmarkStart w:id="21" w:name="_Toc213396946"/>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1"/>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w:t>
            </w:r>
            <w:r>
              <w:rPr>
                <w:rFonts w:hint="eastAsia" w:ascii="宋体" w:hAnsi="宋体"/>
                <w:b/>
                <w:lang w:val="en-US" w:eastAsia="zh-CN"/>
              </w:rPr>
              <w:t>48万元</w:t>
            </w:r>
            <w:r>
              <w:rPr>
                <w:rFonts w:hint="eastAsia"/>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1122"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本项目最高限价：人民币</w:t>
            </w:r>
            <w:r>
              <w:rPr>
                <w:rFonts w:hint="eastAsia" w:ascii="宋体" w:hAnsi="宋体" w:cs="宋体"/>
                <w:b/>
                <w:lang w:val="en-US" w:eastAsia="zh-CN"/>
              </w:rPr>
              <w:t>48万元</w:t>
            </w:r>
            <w:r>
              <w:rPr>
                <w:rFonts w:hint="eastAsia"/>
                <w:b/>
                <w:lang w:val="zh-CN"/>
              </w:rPr>
              <w:t>。如投标人投标报价高于最高限价的则其投标文件将按无效投标文件处理。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b/>
              </w:rPr>
            </w:pPr>
            <w:r>
              <w:rPr>
                <w:rFonts w:hint="eastAsia" w:ascii="宋体" w:hAnsi="宋体"/>
                <w:b/>
              </w:rPr>
              <w:t>注：投标人使用</w:t>
            </w:r>
            <w:r>
              <w:rPr>
                <w:rFonts w:ascii="宋体" w:hAnsi="宋体"/>
                <w:b/>
              </w:rPr>
              <w:t>CA证书在</w:t>
            </w:r>
            <w:r>
              <w:rPr>
                <w:rFonts w:hint="eastAsia" w:ascii="宋体" w:hAnsi="宋体"/>
                <w:b/>
              </w:rPr>
              <w:t>投标截止时间前，将投标文件上传至政府</w:t>
            </w:r>
            <w:r>
              <w:rPr>
                <w:rFonts w:ascii="宋体" w:hAnsi="宋体"/>
                <w:b/>
              </w:rPr>
              <w:t>采购</w:t>
            </w:r>
            <w:r>
              <w:rPr>
                <w:rFonts w:hint="eastAsia" w:ascii="宋体" w:hAnsi="宋体"/>
                <w:b/>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，使用对投标文件进行加密的CA证书在线完成对投标人提交至政府采购云平台的投标文件的解密。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snapToGrid w:val="0"/>
              <w:spacing w:line="360" w:lineRule="auto"/>
              <w:rPr>
                <w:rFonts w:ascii="宋体" w:hAnsi="宋体"/>
                <w:b/>
              </w:rPr>
            </w:pPr>
            <w:r>
              <w:rPr>
                <w:rFonts w:hint="eastAsia" w:ascii="宋体" w:hAnsi="宋体"/>
                <w:b/>
              </w:rPr>
              <w:t>政府采购云平台运行基本环境要求：电脑应安装并顺利运行64位win7以上操作系统，谷歌浏览器；正确的CA及签章驱动等；能流畅访问互联网。</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w:t>
            </w:r>
            <w:r>
              <w:rPr>
                <w:rFonts w:ascii="宋体" w:hAnsi="宋体"/>
              </w:rPr>
              <w:t>关于资格审查</w:t>
            </w:r>
            <w:r>
              <w:rPr>
                <w:rFonts w:hint="eastAsia" w:ascii="宋体" w:hAnsi="宋体"/>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w:t>
            </w:r>
            <w:r>
              <w:rPr>
                <w:rFonts w:ascii="宋体" w:hAnsi="宋体"/>
              </w:rPr>
              <w:t>资格审查</w:t>
            </w:r>
            <w:r>
              <w:rPr>
                <w:rFonts w:hint="eastAsia" w:ascii="宋体" w:hAnsi="宋体"/>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w:t>
            </w:r>
            <w:r>
              <w:rPr>
                <w:rFonts w:hint="eastAsia" w:ascii="宋体" w:hAnsi="宋体"/>
                <w:lang w:eastAsia="zh-CN"/>
              </w:rPr>
              <w:t>金牛区政府采购中心</w:t>
            </w:r>
            <w:r>
              <w:rPr>
                <w:rFonts w:hint="eastAsia" w:ascii="宋体" w:hAnsi="宋体"/>
              </w:rPr>
              <w:t>提出，并由</w:t>
            </w:r>
            <w:r>
              <w:rPr>
                <w:rFonts w:hint="eastAsia" w:ascii="宋体" w:hAnsi="宋体"/>
                <w:lang w:eastAsia="zh-CN"/>
              </w:rPr>
              <w:t>金牛区政府采购中心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rPr>
            </w:pPr>
            <w:r>
              <w:rPr>
                <w:rFonts w:hint="eastAsia" w:ascii="宋体" w:hAnsi="宋体"/>
              </w:rPr>
              <w:t>投诉受理单位：本项目同级财政部门，即</w:t>
            </w:r>
            <w:r>
              <w:rPr>
                <w:rFonts w:hint="eastAsia" w:ascii="宋体" w:hAnsi="宋体"/>
                <w:lang w:eastAsia="zh-CN"/>
              </w:rPr>
              <w:t>成都市金牛区财政局</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联系电话：028-</w:t>
            </w:r>
            <w:r>
              <w:rPr>
                <w:rFonts w:hint="eastAsia" w:ascii="宋体" w:hAnsi="宋体"/>
                <w:lang w:val="en-US" w:eastAsia="zh-CN"/>
              </w:rPr>
              <w:t>87705185</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地址：成都市沙湾路65号金牛区政府办公大楼。</w:t>
            </w:r>
          </w:p>
          <w:p>
            <w:pPr>
              <w:tabs>
                <w:tab w:val="left" w:pos="7665"/>
              </w:tabs>
              <w:snapToGrid w:val="0"/>
              <w:spacing w:line="360" w:lineRule="auto"/>
              <w:rPr>
                <w:rFonts w:ascii="宋体" w:hAnsi="宋体"/>
              </w:rPr>
            </w:pPr>
            <w:r>
              <w:rPr>
                <w:rFonts w:hint="eastAsia" w:ascii="宋体" w:hAnsi="宋体"/>
              </w:rPr>
              <w:t>邮编：6100</w:t>
            </w:r>
            <w:r>
              <w:rPr>
                <w:rFonts w:hint="eastAsia" w:ascii="宋体" w:hAnsi="宋体"/>
                <w:lang w:val="en-US" w:eastAsia="zh-CN"/>
              </w:rPr>
              <w:t>81</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投标文件资格性、符合性审查情况、采用综合评分法时的总得分情况、评标结果等将在成都市公共资源交易服务中心网、四川政府采购网上采购结果公告栏中予以公告。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lang w:eastAsia="zh-CN"/>
              </w:rPr>
              <w:t>成都市金牛区财政局</w:t>
            </w:r>
            <w:r>
              <w:rPr>
                <w:rFonts w:hint="eastAsia" w:asci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8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9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3"/>
        </w:numPr>
        <w:spacing w:before="260" w:after="260" w:line="360" w:lineRule="auto"/>
        <w:jc w:val="left"/>
        <w:outlineLvl w:val="1"/>
        <w:rPr>
          <w:rFonts w:ascii="宋体" w:hAnsi="宋体"/>
          <w:b/>
          <w:bCs/>
          <w:sz w:val="28"/>
          <w:szCs w:val="28"/>
        </w:rPr>
      </w:pPr>
      <w:bookmarkStart w:id="22" w:name="_Toc88056419"/>
      <w:r>
        <w:rPr>
          <w:rFonts w:hint="eastAsia" w:ascii="宋体" w:hAnsi="宋体"/>
          <w:b/>
          <w:bCs/>
          <w:sz w:val="28"/>
          <w:szCs w:val="28"/>
        </w:rPr>
        <w:t>总则</w:t>
      </w:r>
      <w:bookmarkEnd w:id="22"/>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金牛区政府采购中心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金牛区政府采购中心</w:t>
      </w:r>
      <w:r>
        <w:rPr>
          <w:rFonts w:hint="eastAsia" w:ascii="宋体" w:hAnsi="宋体"/>
          <w:sz w:val="28"/>
          <w:szCs w:val="28"/>
        </w:rPr>
        <w:t>负责解释。</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“采购人”和“甲方”系指依法进行政府采购的成都市</w:t>
      </w:r>
      <w:r>
        <w:rPr>
          <w:rFonts w:hint="eastAsia" w:ascii="宋体" w:hAnsi="宋体"/>
          <w:sz w:val="28"/>
          <w:szCs w:val="28"/>
          <w:lang w:val="en-US" w:eastAsia="zh-CN"/>
        </w:rPr>
        <w:t>金牛区</w:t>
      </w:r>
      <w:r>
        <w:rPr>
          <w:rFonts w:hint="eastAsia" w:ascii="宋体" w:hAnsi="宋体"/>
          <w:sz w:val="28"/>
          <w:szCs w:val="28"/>
        </w:rPr>
        <w:t>级机关、事业单位、团体组织。本次招标的采购人是</w:t>
      </w:r>
      <w:r>
        <w:rPr>
          <w:rFonts w:hint="eastAsia" w:ascii="宋体" w:hAnsi="宋体"/>
          <w:b/>
          <w:sz w:val="28"/>
          <w:szCs w:val="28"/>
          <w:lang w:eastAsia="zh-CN"/>
        </w:rPr>
        <w:t xml:space="preserve"> 成都金牛高新技术产业园区管理委员会</w:t>
      </w:r>
      <w:r>
        <w:rPr>
          <w:rFonts w:hint="eastAsia" w:ascii="宋体" w:hAnsi="宋体"/>
          <w:sz w:val="28"/>
          <w:szCs w:val="28"/>
        </w:rPr>
        <w:t>。</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“投标人”系指在按照招标文件“投标邀请”中第六、七、八条规定获取了招标文件，拟参加投标和向采购人提供货物的供应商。“乙方”是指本项目的中标供应商。</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0"/>
        </w:numPr>
        <w:tabs>
          <w:tab w:val="left" w:pos="1134"/>
        </w:tabs>
        <w:spacing w:line="360" w:lineRule="auto"/>
        <w:ind w:left="0" w:firstLine="568"/>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numPr>
          <w:ilvl w:val="0"/>
          <w:numId w:val="10"/>
        </w:numPr>
        <w:tabs>
          <w:tab w:val="left" w:pos="1134"/>
        </w:tabs>
        <w:spacing w:line="600" w:lineRule="exact"/>
        <w:ind w:left="0" w:firstLine="567"/>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金牛区政府采购中心</w:t>
      </w:r>
      <w:r>
        <w:rPr>
          <w:rFonts w:hint="eastAsia" w:ascii="宋体" w:hAnsi="宋体"/>
          <w:sz w:val="28"/>
          <w:szCs w:val="28"/>
        </w:rPr>
        <w:t>依托政府采购云平台组织开标活动，供应商在线参与开标的一种组织形式。</w:t>
      </w:r>
    </w:p>
    <w:p>
      <w:pPr>
        <w:keepNext/>
        <w:keepLines/>
        <w:numPr>
          <w:ilvl w:val="2"/>
          <w:numId w:val="3"/>
        </w:numPr>
        <w:spacing w:line="360" w:lineRule="auto"/>
        <w:ind w:left="3119" w:hanging="3119"/>
        <w:outlineLvl w:val="2"/>
        <w:rPr>
          <w:rFonts w:ascii="宋体" w:hAnsi="宋体"/>
          <w:b/>
          <w:bCs/>
          <w:sz w:val="28"/>
          <w:szCs w:val="28"/>
        </w:rPr>
      </w:pPr>
      <w:bookmarkStart w:id="23" w:name="_Toc217390843"/>
      <w:bookmarkStart w:id="24" w:name="_Toc183582207"/>
      <w:bookmarkStart w:id="25" w:name="_Toc183682344"/>
      <w:bookmarkStart w:id="26" w:name="_Toc217446036"/>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1"/>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2"/>
        </w:numPr>
        <w:tabs>
          <w:tab w:val="left" w:pos="1134"/>
        </w:tabs>
        <w:adjustRightInd w:val="0"/>
        <w:spacing w:line="360" w:lineRule="auto"/>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2"/>
        </w:numPr>
        <w:tabs>
          <w:tab w:val="left" w:pos="1134"/>
        </w:tabs>
        <w:adjustRightInd w:val="0"/>
        <w:spacing w:line="360" w:lineRule="auto"/>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highlight w:val="none"/>
        </w:rPr>
        <w:t>（说明：无供应商为本项目提供整体设计、规范编制或者项目管理、监理、检测等服务。）</w:t>
      </w:r>
    </w:p>
    <w:p>
      <w:pPr>
        <w:numPr>
          <w:ilvl w:val="0"/>
          <w:numId w:val="12"/>
        </w:numPr>
        <w:tabs>
          <w:tab w:val="left" w:pos="1134"/>
        </w:tabs>
        <w:adjustRightInd w:val="0"/>
        <w:spacing w:line="360" w:lineRule="auto"/>
        <w:ind w:left="0" w:firstLine="567"/>
        <w:rPr>
          <w:rFonts w:ascii="宋体" w:hAnsi="宋体"/>
          <w:b/>
          <w:sz w:val="28"/>
          <w:szCs w:val="28"/>
        </w:rPr>
      </w:pPr>
      <w:r>
        <w:rPr>
          <w:rFonts w:hint="eastAsia" w:asciiTheme="minorEastAsia" w:hAnsiTheme="minorEastAsia"/>
          <w:sz w:val="28"/>
          <w:szCs w:val="28"/>
          <w:lang w:val="zh-CN"/>
        </w:rPr>
        <w:t>本项目</w:t>
      </w:r>
      <w:r>
        <w:rPr>
          <w:rFonts w:hint="eastAsia" w:asciiTheme="minorEastAsia" w:hAnsiTheme="minorEastAsia"/>
          <w:b/>
          <w:sz w:val="28"/>
          <w:szCs w:val="28"/>
        </w:rPr>
        <w:t>核心产品为LED显示屏。</w:t>
      </w:r>
      <w:r>
        <w:rPr>
          <w:rFonts w:hint="eastAsia" w:hAnsi="宋体"/>
          <w:sz w:val="28"/>
          <w:szCs w:val="28"/>
        </w:rPr>
        <w:t>提供核心产品品牌相</w:t>
      </w:r>
      <w:r>
        <w:rPr>
          <w:rFonts w:hint="eastAsia" w:hAnsi="宋体"/>
          <w:sz w:val="28"/>
          <w:szCs w:val="28"/>
          <w:lang w:val="zh-CN"/>
        </w:rPr>
        <w:t>同且通过资格检查和符合性检查的不同投标人参加同一项目</w:t>
      </w:r>
      <w:r>
        <w:rPr>
          <w:rFonts w:hAnsi="宋体"/>
          <w:sz w:val="28"/>
          <w:szCs w:val="28"/>
          <w:lang w:val="zh-CN"/>
        </w:rPr>
        <w:t>（</w:t>
      </w:r>
      <w:r>
        <w:rPr>
          <w:rFonts w:hint="eastAsia" w:hAnsi="宋体"/>
          <w:sz w:val="28"/>
          <w:szCs w:val="28"/>
          <w:lang w:val="zh-CN"/>
        </w:rPr>
        <w:t>包件</w:t>
      </w:r>
      <w:r>
        <w:rPr>
          <w:rFonts w:hAnsi="宋体"/>
          <w:sz w:val="28"/>
          <w:szCs w:val="28"/>
          <w:lang w:val="zh-CN"/>
        </w:rPr>
        <w:t>）</w:t>
      </w:r>
      <w:r>
        <w:rPr>
          <w:rFonts w:hint="eastAsia" w:hAnsi="宋体"/>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3"/>
        </w:numPr>
        <w:spacing w:line="360" w:lineRule="auto"/>
        <w:jc w:val="left"/>
        <w:outlineLvl w:val="1"/>
        <w:rPr>
          <w:rFonts w:ascii="宋体" w:hAnsi="宋体"/>
          <w:b/>
          <w:bCs/>
          <w:sz w:val="28"/>
          <w:szCs w:val="28"/>
        </w:rPr>
      </w:pPr>
      <w:bookmarkStart w:id="27" w:name="_Toc88056420"/>
      <w:bookmarkStart w:id="28" w:name="_Toc183682347"/>
      <w:bookmarkStart w:id="29" w:name="_Toc183582210"/>
      <w:bookmarkStart w:id="30" w:name="_Toc217446039"/>
      <w:r>
        <w:rPr>
          <w:rFonts w:hint="eastAsia" w:ascii="宋体" w:hAnsi="宋体"/>
          <w:b/>
          <w:bCs/>
          <w:sz w:val="28"/>
          <w:szCs w:val="28"/>
        </w:rPr>
        <w:t>招标文件</w:t>
      </w:r>
      <w:bookmarkEnd w:id="27"/>
      <w:bookmarkEnd w:id="28"/>
      <w:bookmarkEnd w:id="29"/>
      <w:bookmarkEnd w:id="30"/>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3"/>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89075876"/>
      <w:bookmarkStart w:id="35" w:name="_Toc183582214"/>
      <w:bookmarkStart w:id="36" w:name="_Toc217446042"/>
      <w:bookmarkStart w:id="37" w:name="_Toc183682351"/>
      <w:bookmarkStart w:id="38" w:name="_Toc77400780"/>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金牛区政府采购中心</w:t>
      </w:r>
      <w:r>
        <w:rPr>
          <w:rFonts w:hint="eastAsia" w:ascii="宋体" w:hAnsi="宋体"/>
          <w:sz w:val="28"/>
          <w:szCs w:val="28"/>
        </w:rPr>
        <w:t>可以对已发出的招标文件进行必要的澄清或者修改。</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金牛区政府采购中心</w:t>
      </w:r>
      <w:r>
        <w:rPr>
          <w:rFonts w:hint="eastAsia" w:ascii="宋体" w:hAnsi="宋体"/>
          <w:sz w:val="28"/>
          <w:szCs w:val="28"/>
        </w:rPr>
        <w:t>将在“四川政府采购网”和</w:t>
      </w:r>
      <w:r>
        <w:rPr>
          <w:rFonts w:hint="eastAsia" w:ascii="宋体" w:hAnsi="宋体"/>
          <w:sz w:val="28"/>
          <w:szCs w:val="28"/>
          <w:lang w:eastAsia="zh-CN"/>
        </w:rPr>
        <w:t>“成都市公共资源交易服务中心”网站</w:t>
      </w:r>
      <w:r>
        <w:rPr>
          <w:rFonts w:hint="eastAsia" w:ascii="宋体" w:hAnsi="宋体"/>
          <w:sz w:val="28"/>
          <w:szCs w:val="28"/>
        </w:rPr>
        <w:t>上发布澄清公告，同时通过政府采购云平台将澄清或者修改的内容告知所有在系统中成功获取招标文件的潜在投标人（投标人通过账号或CA证书登录政府采购云平台查看）</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金牛区政府采购中心</w:t>
      </w:r>
      <w:r>
        <w:rPr>
          <w:rFonts w:hint="eastAsia" w:ascii="宋体" w:hAnsi="宋体"/>
          <w:sz w:val="28"/>
          <w:szCs w:val="28"/>
        </w:rPr>
        <w:t>应当在投标截止时间至少15日前，通过政府采购云平台通知所有已获取招标文件的潜在投标人；不足15日的，采购人或</w:t>
      </w:r>
      <w:r>
        <w:rPr>
          <w:rFonts w:hint="eastAsia" w:ascii="宋体" w:hAnsi="宋体"/>
          <w:sz w:val="28"/>
          <w:szCs w:val="28"/>
          <w:lang w:eastAsia="zh-CN"/>
        </w:rPr>
        <w:t>金牛区政府采购中心</w:t>
      </w:r>
      <w:r>
        <w:rPr>
          <w:rFonts w:hint="eastAsia" w:ascii="宋体" w:hAnsi="宋体"/>
          <w:sz w:val="28"/>
          <w:szCs w:val="28"/>
        </w:rPr>
        <w:t>应当顺延提交投标文件的截止时间。</w:t>
      </w:r>
    </w:p>
    <w:p>
      <w:pPr>
        <w:keepNext/>
        <w:keepLines/>
        <w:numPr>
          <w:ilvl w:val="1"/>
          <w:numId w:val="3"/>
        </w:numPr>
        <w:spacing w:line="360" w:lineRule="auto"/>
        <w:jc w:val="left"/>
        <w:outlineLvl w:val="1"/>
        <w:rPr>
          <w:rFonts w:ascii="宋体" w:hAnsi="宋体"/>
          <w:b/>
          <w:bCs/>
          <w:sz w:val="28"/>
          <w:szCs w:val="28"/>
        </w:rPr>
      </w:pPr>
      <w:bookmarkStart w:id="39" w:name="_Toc88056421"/>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3"/>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Pr>
          <w:rFonts w:hint="eastAsia" w:ascii="宋体" w:hAnsi="宋体"/>
          <w:b/>
          <w:bCs/>
          <w:sz w:val="28"/>
          <w:szCs w:val="28"/>
        </w:rPr>
        <w:t>投标文件的语言</w:t>
      </w:r>
      <w:bookmarkEnd w:id="40"/>
      <w:bookmarkEnd w:id="41"/>
      <w:bookmarkEnd w:id="42"/>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cs="Arial"/>
          <w:sz w:val="28"/>
          <w:szCs w:val="28"/>
          <w:lang w:eastAsia="zh-CN"/>
        </w:rPr>
        <w:t>金牛区政府采购中心</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tabs>
          <w:tab w:val="left" w:pos="1134"/>
        </w:tabs>
        <w:spacing w:line="360" w:lineRule="auto"/>
        <w:ind w:left="560"/>
        <w:rPr>
          <w:rFonts w:ascii="宋体" w:hAnsi="宋体"/>
          <w:sz w:val="28"/>
          <w:szCs w:val="28"/>
        </w:rPr>
      </w:pPr>
      <w:r>
        <w:rPr>
          <w:rFonts w:hint="eastAsia" w:ascii="宋体" w:hAnsi="宋体" w:eastAsiaTheme="minorEastAsia" w:cstheme="minorBidi"/>
          <w:sz w:val="28"/>
          <w:szCs w:val="28"/>
        </w:rPr>
        <w:t>三、如因未翻译而造成对供应商的不利后果，由供应商承担。</w:t>
      </w:r>
    </w:p>
    <w:p>
      <w:pPr>
        <w:keepNext/>
        <w:keepLines/>
        <w:numPr>
          <w:ilvl w:val="2"/>
          <w:numId w:val="3"/>
        </w:numPr>
        <w:spacing w:line="360" w:lineRule="auto"/>
        <w:ind w:left="0" w:firstLine="0"/>
        <w:outlineLvl w:val="2"/>
        <w:rPr>
          <w:rFonts w:ascii="宋体" w:hAnsi="宋体"/>
          <w:b/>
          <w:bCs/>
          <w:sz w:val="28"/>
          <w:szCs w:val="28"/>
        </w:rPr>
      </w:pPr>
      <w:bookmarkStart w:id="43" w:name="_Toc183682353"/>
      <w:bookmarkStart w:id="44" w:name="_Toc183582216"/>
      <w:bookmarkStart w:id="45" w:name="_Toc217446044"/>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3"/>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3"/>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3"/>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pStyle w:val="119"/>
        <w:spacing w:line="360" w:lineRule="auto"/>
        <w:ind w:firstLine="560" w:firstLineChars="200"/>
        <w:jc w:val="both"/>
        <w:rPr>
          <w:rFonts w:cs="Times New Roman"/>
          <w:kern w:val="2"/>
          <w:sz w:val="28"/>
          <w:szCs w:val="28"/>
        </w:rPr>
      </w:pPr>
      <w:r>
        <w:rPr>
          <w:rFonts w:hint="eastAsia" w:cs="Times New Roman"/>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sz w:val="28"/>
          <w:szCs w:val="28"/>
        </w:rPr>
      </w:pPr>
      <w:r>
        <w:rPr>
          <w:rFonts w:hint="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如采用投标人所不拥有的知识产权，则在投标报价中必须包括合法获取该知识产权的相关费用。</w:t>
      </w:r>
    </w:p>
    <w:p>
      <w:pPr>
        <w:keepNext/>
        <w:keepLines/>
        <w:numPr>
          <w:ilvl w:val="2"/>
          <w:numId w:val="3"/>
        </w:numPr>
        <w:spacing w:line="360" w:lineRule="auto"/>
        <w:ind w:left="0" w:firstLine="0"/>
        <w:outlineLvl w:val="2"/>
        <w:rPr>
          <w:rFonts w:ascii="宋体" w:hAnsi="宋体"/>
          <w:b/>
          <w:bCs/>
          <w:sz w:val="28"/>
          <w:szCs w:val="28"/>
        </w:rPr>
      </w:pPr>
      <w:bookmarkStart w:id="49" w:name="_Toc183582217"/>
      <w:bookmarkStart w:id="50" w:name="_Toc183682354"/>
      <w:bookmarkStart w:id="51" w:name="_Toc217446048"/>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rPr>
          <w:rFonts w:ascii="宋体" w:hAnsi="宋体"/>
        </w:rPr>
      </w:pPr>
      <w:r>
        <w:rPr>
          <w:rFonts w:hint="eastAsia" w:ascii="宋体" w:hAnsi="宋体"/>
        </w:rPr>
        <w:t>资格响应文件</w:t>
      </w:r>
    </w:p>
    <w:p>
      <w:pPr>
        <w:numPr>
          <w:ilvl w:val="0"/>
          <w:numId w:val="16"/>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关于投标人申明的函；</w:t>
      </w:r>
    </w:p>
    <w:p>
      <w:pPr>
        <w:numPr>
          <w:ilvl w:val="0"/>
          <w:numId w:val="16"/>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6"/>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中小企业声明函（说明：提供了残疾人福利性单位声明函或监狱企业证明文件复印件的不需提供）；</w:t>
      </w:r>
    </w:p>
    <w:p>
      <w:pPr>
        <w:numPr>
          <w:ilvl w:val="0"/>
          <w:numId w:val="16"/>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残疾人福利性单位声明函（说明：提供了中小企业声明函或监狱企业证明文件复印件的不需提供）；</w:t>
      </w:r>
    </w:p>
    <w:p>
      <w:pPr>
        <w:numPr>
          <w:ilvl w:val="0"/>
          <w:numId w:val="16"/>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79"/>
        <w:numPr>
          <w:ilvl w:val="0"/>
          <w:numId w:val="17"/>
        </w:numPr>
        <w:spacing w:before="60" w:line="360" w:lineRule="auto"/>
        <w:ind w:left="0" w:firstLine="546" w:firstLineChars="0"/>
        <w:rPr>
          <w:rFonts w:ascii="宋体" w:hAnsi="宋体"/>
          <w:b/>
          <w:sz w:val="28"/>
          <w:szCs w:val="28"/>
        </w:rPr>
      </w:pPr>
      <w:r>
        <w:rPr>
          <w:rFonts w:hint="eastAsia" w:ascii="宋体" w:hAnsi="宋体"/>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79"/>
        <w:numPr>
          <w:ilvl w:val="0"/>
          <w:numId w:val="17"/>
        </w:numPr>
        <w:spacing w:before="60" w:line="360" w:lineRule="auto"/>
        <w:ind w:left="0" w:firstLine="546" w:firstLineChars="0"/>
        <w:rPr>
          <w:rFonts w:ascii="宋体" w:hAnsi="宋体"/>
          <w:b/>
          <w:sz w:val="28"/>
          <w:szCs w:val="28"/>
        </w:rPr>
      </w:pPr>
      <w:r>
        <w:rPr>
          <w:rFonts w:hint="eastAsia" w:ascii="宋体" w:hAnsi="宋体"/>
          <w:b/>
          <w:sz w:val="28"/>
          <w:szCs w:val="28"/>
        </w:rPr>
        <w:t>营业执照复印件（正本或副本）或法人证书复印件（正本或副本）或其他能够证明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p>
    <w:p>
      <w:pPr>
        <w:pStyle w:val="79"/>
        <w:numPr>
          <w:ilvl w:val="0"/>
          <w:numId w:val="17"/>
        </w:numPr>
        <w:spacing w:before="60" w:line="360" w:lineRule="auto"/>
        <w:ind w:left="0" w:firstLine="546" w:firstLineChars="0"/>
        <w:rPr>
          <w:rFonts w:ascii="宋体" w:hAnsi="宋体"/>
          <w:b/>
          <w:sz w:val="28"/>
          <w:szCs w:val="28"/>
        </w:rPr>
      </w:pPr>
      <w:r>
        <w:rPr>
          <w:rFonts w:hint="eastAsia" w:ascii="宋体" w:hAnsi="宋体"/>
          <w:b/>
          <w:sz w:val="28"/>
          <w:szCs w:val="28"/>
        </w:rPr>
        <w:t>提交采购人对投标人履行合同所必须的设备和专业技术能力无特殊要求，投标人可不提供证明材料；</w:t>
      </w:r>
    </w:p>
    <w:p>
      <w:pPr>
        <w:pStyle w:val="79"/>
        <w:numPr>
          <w:ilvl w:val="0"/>
          <w:numId w:val="17"/>
        </w:numPr>
        <w:spacing w:before="60" w:line="360" w:lineRule="auto"/>
        <w:ind w:left="0" w:firstLine="546" w:firstLineChars="0"/>
        <w:rPr>
          <w:rFonts w:ascii="宋体" w:hAnsi="宋体"/>
          <w:b/>
          <w:sz w:val="28"/>
          <w:szCs w:val="28"/>
        </w:rPr>
      </w:pPr>
      <w:r>
        <w:rPr>
          <w:rFonts w:hint="eastAsia" w:ascii="宋体" w:hAnsi="宋体"/>
          <w:b/>
          <w:sz w:val="28"/>
          <w:szCs w:val="28"/>
        </w:rPr>
        <w:t>采购人对法律、行政法规规定的其他条件无特殊要求，投标人可不提供证明材料。</w:t>
      </w:r>
    </w:p>
    <w:p>
      <w:pPr>
        <w:pStyle w:val="5"/>
        <w:numPr>
          <w:ilvl w:val="3"/>
          <w:numId w:val="3"/>
        </w:numPr>
        <w:rPr>
          <w:rFonts w:ascii="宋体" w:hAnsi="宋体"/>
        </w:rPr>
      </w:pPr>
      <w:r>
        <w:rPr>
          <w:rFonts w:hint="eastAsia" w:ascii="宋体" w:hAnsi="宋体"/>
        </w:rPr>
        <w:t>商务技术</w:t>
      </w:r>
      <w:r>
        <w:rPr>
          <w:rFonts w:ascii="宋体" w:hAnsi="宋体"/>
        </w:rPr>
        <w:t>响应</w:t>
      </w:r>
      <w:r>
        <w:rPr>
          <w:rFonts w:hint="eastAsia" w:ascii="宋体" w:hAnsi="宋体"/>
        </w:rPr>
        <w:t>文件</w:t>
      </w:r>
    </w:p>
    <w:p>
      <w:pPr>
        <w:numPr>
          <w:ilvl w:val="0"/>
          <w:numId w:val="18"/>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投标函；</w:t>
      </w:r>
    </w:p>
    <w:p>
      <w:pPr>
        <w:pStyle w:val="226"/>
        <w:numPr>
          <w:ilvl w:val="0"/>
          <w:numId w:val="18"/>
        </w:numPr>
        <w:ind w:left="0" w:firstLine="567" w:firstLineChars="0"/>
        <w:rPr>
          <w:rFonts w:ascii="宋体" w:hAnsi="宋体"/>
          <w:b/>
          <w:sz w:val="28"/>
          <w:szCs w:val="28"/>
        </w:rPr>
      </w:pPr>
      <w:r>
        <w:rPr>
          <w:rFonts w:hint="eastAsia" w:ascii="宋体" w:hAnsi="宋体"/>
          <w:b/>
          <w:sz w:val="28"/>
          <w:szCs w:val="28"/>
        </w:rPr>
        <w:t>法定代表人或主要负责人身份证明书（说明：主要负责人为供应商提供的其具有独立承担民事责任能力的证明材料中的主要负责人员。）；</w:t>
      </w:r>
    </w:p>
    <w:p>
      <w:pPr>
        <w:numPr>
          <w:ilvl w:val="0"/>
          <w:numId w:val="18"/>
        </w:numPr>
        <w:tabs>
          <w:tab w:val="left" w:pos="1134"/>
        </w:tabs>
        <w:spacing w:line="360" w:lineRule="auto"/>
        <w:ind w:left="0" w:firstLine="567"/>
        <w:rPr>
          <w:rFonts w:ascii="宋体" w:hAnsi="宋体"/>
          <w:b/>
          <w:sz w:val="28"/>
          <w:szCs w:val="28"/>
        </w:rPr>
      </w:pPr>
      <w:r>
        <w:rPr>
          <w:rFonts w:hint="eastAsia" w:ascii="宋体" w:hAnsi="宋体"/>
          <w:b/>
          <w:sz w:val="28"/>
          <w:szCs w:val="28"/>
        </w:rPr>
        <w:t>投标产品技术性能、技术参数和配置的详细描述；</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项目</w:t>
      </w:r>
      <w:r>
        <w:rPr>
          <w:rFonts w:ascii="宋体" w:hAnsi="宋体"/>
          <w:b/>
          <w:sz w:val="28"/>
          <w:szCs w:val="28"/>
        </w:rPr>
        <w:t>实施方案</w:t>
      </w:r>
      <w:r>
        <w:rPr>
          <w:rFonts w:hint="eastAsia" w:ascii="宋体" w:hAnsi="宋体"/>
          <w:b/>
          <w:sz w:val="28"/>
          <w:szCs w:val="28"/>
        </w:rPr>
        <w:t>；</w:t>
      </w:r>
    </w:p>
    <w:p>
      <w:pPr>
        <w:numPr>
          <w:ilvl w:val="0"/>
          <w:numId w:val="18"/>
        </w:numPr>
        <w:tabs>
          <w:tab w:val="left" w:pos="1134"/>
        </w:tabs>
        <w:spacing w:line="360" w:lineRule="auto"/>
        <w:ind w:left="0" w:firstLine="567"/>
        <w:rPr>
          <w:rFonts w:ascii="宋体" w:hAnsi="宋体"/>
          <w:b/>
          <w:sz w:val="28"/>
          <w:szCs w:val="28"/>
        </w:rPr>
      </w:pPr>
      <w:r>
        <w:rPr>
          <w:rFonts w:hint="eastAsia" w:ascii="宋体" w:hAnsi="宋体"/>
          <w:b/>
          <w:sz w:val="28"/>
          <w:szCs w:val="28"/>
        </w:rPr>
        <w:t>承诺函；</w:t>
      </w:r>
    </w:p>
    <w:p>
      <w:pPr>
        <w:numPr>
          <w:ilvl w:val="0"/>
          <w:numId w:val="18"/>
        </w:numPr>
        <w:tabs>
          <w:tab w:val="left" w:pos="1134"/>
        </w:tabs>
        <w:spacing w:line="360" w:lineRule="auto"/>
        <w:ind w:left="0" w:firstLine="567"/>
        <w:rPr>
          <w:rFonts w:ascii="宋体" w:hAnsi="宋体"/>
          <w:b/>
          <w:sz w:val="28"/>
          <w:szCs w:val="28"/>
        </w:rPr>
      </w:pPr>
      <w:r>
        <w:rPr>
          <w:rFonts w:hint="eastAsia" w:ascii="宋体" w:hAnsi="宋体"/>
          <w:b/>
          <w:sz w:val="28"/>
          <w:szCs w:val="28"/>
        </w:rPr>
        <w:t>售后服务及承诺。</w:t>
      </w:r>
    </w:p>
    <w:p>
      <w:pPr>
        <w:pStyle w:val="5"/>
        <w:numPr>
          <w:ilvl w:val="3"/>
          <w:numId w:val="3"/>
        </w:numPr>
        <w:ind w:left="0" w:hanging="8"/>
        <w:rPr>
          <w:rFonts w:ascii="宋体" w:hAnsi="宋体"/>
        </w:rPr>
      </w:pPr>
      <w:r>
        <w:rPr>
          <w:rFonts w:hint="eastAsia" w:ascii="宋体" w:hAnsi="宋体"/>
        </w:rPr>
        <w:t>报价</w:t>
      </w:r>
      <w:r>
        <w:rPr>
          <w:rFonts w:ascii="宋体" w:hAnsi="宋体"/>
        </w:rPr>
        <w:t>要求响应文件</w:t>
      </w:r>
    </w:p>
    <w:p>
      <w:pPr>
        <w:pStyle w:val="77"/>
        <w:numPr>
          <w:ilvl w:val="0"/>
          <w:numId w:val="19"/>
        </w:numPr>
        <w:tabs>
          <w:tab w:val="left" w:pos="1134"/>
        </w:tabs>
        <w:spacing w:line="360" w:lineRule="auto"/>
        <w:ind w:left="0" w:firstLine="567"/>
        <w:rPr>
          <w:rFonts w:ascii="宋体" w:hAnsi="宋体"/>
          <w:b/>
          <w:sz w:val="28"/>
          <w:szCs w:val="28"/>
        </w:rPr>
      </w:pPr>
      <w:r>
        <w:rPr>
          <w:rFonts w:hint="eastAsia" w:ascii="宋体" w:hAnsi="宋体"/>
          <w:b/>
          <w:sz w:val="28"/>
          <w:szCs w:val="28"/>
        </w:rPr>
        <w:t>开标一览表（投标报价以投标人在政府采购云平台开标一览表中填写的报价为准）；</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二、报价明细表(报价明细表中要求填写品牌、规格型号、制造商、进口或国产的，投标人必须载明其投标产品的品牌、规格型号、制造商、进口或国产)。</w:t>
      </w:r>
    </w:p>
    <w:p>
      <w:pPr>
        <w:keepNext/>
        <w:keepLines/>
        <w:numPr>
          <w:ilvl w:val="2"/>
          <w:numId w:val="3"/>
        </w:numPr>
        <w:spacing w:line="360" w:lineRule="auto"/>
        <w:ind w:left="0" w:firstLine="0"/>
        <w:outlineLvl w:val="2"/>
        <w:rPr>
          <w:rFonts w:ascii="宋体" w:hAnsi="宋体"/>
          <w:b/>
          <w:bCs/>
          <w:sz w:val="28"/>
          <w:szCs w:val="28"/>
        </w:rPr>
      </w:pPr>
      <w:bookmarkStart w:id="52" w:name="_Toc316291395"/>
      <w:bookmarkEnd w:id="52"/>
      <w:bookmarkStart w:id="53" w:name="_Toc316292019"/>
      <w:bookmarkEnd w:id="53"/>
      <w:bookmarkStart w:id="54" w:name="_Toc316292020"/>
      <w:bookmarkEnd w:id="54"/>
      <w:bookmarkStart w:id="55" w:name="_Toc316291396"/>
      <w:bookmarkEnd w:id="55"/>
      <w:bookmarkStart w:id="56" w:name="_Toc183582218"/>
      <w:bookmarkStart w:id="57" w:name="_Toc217446049"/>
      <w:bookmarkStart w:id="58" w:name="_Toc183682355"/>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0"/>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1"/>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217446050"/>
      <w:bookmarkStart w:id="60" w:name="_Toc183582223"/>
      <w:bookmarkStart w:id="61" w:name="_Toc18368236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sz w:val="28"/>
          <w:szCs w:val="28"/>
        </w:rPr>
        <w:t>评标委员会不得未经要求投标人确认，直接将投标人投标文件做无效处理。</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3"/>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682361"/>
      <w:bookmarkStart w:id="66" w:name="_Toc183582224"/>
      <w:r>
        <w:rPr>
          <w:rFonts w:hint="eastAsia" w:ascii="宋体" w:hAnsi="宋体"/>
          <w:b/>
          <w:bCs/>
          <w:sz w:val="28"/>
          <w:szCs w:val="28"/>
        </w:rPr>
        <w:t>投标有效期</w:t>
      </w:r>
      <w:bookmarkEnd w:id="64"/>
      <w:bookmarkEnd w:id="65"/>
      <w:bookmarkEnd w:id="66"/>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3"/>
        </w:numPr>
        <w:tabs>
          <w:tab w:val="left" w:pos="851"/>
        </w:tabs>
        <w:spacing w:after="200"/>
        <w:ind w:left="0" w:firstLine="0"/>
        <w:rPr>
          <w:color w:val="auto"/>
        </w:rPr>
      </w:pPr>
      <w:bookmarkStart w:id="67" w:name="_Toc217446054"/>
      <w:bookmarkStart w:id="68" w:name="_Toc183582227"/>
      <w:bookmarkStart w:id="69" w:name="_Toc183682364"/>
      <w:r>
        <w:rPr>
          <w:rFonts w:hint="eastAsia"/>
          <w:color w:val="auto"/>
        </w:rPr>
        <w:t>投标文件的制作和签章、加密</w:t>
      </w:r>
    </w:p>
    <w:p>
      <w:pPr>
        <w:spacing w:line="360" w:lineRule="auto"/>
        <w:ind w:firstLine="562" w:firstLineChars="200"/>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sz w:val="28"/>
          <w:szCs w:val="28"/>
        </w:rPr>
        <w:t>（说明：1、招标文件中要求提供复印件证明材料的，包含提供原件的影印件或复印件。2、要求提供复印件的证明材料须清晰可辨。）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w:t>
      </w:r>
      <w:r>
        <w:rPr>
          <w:rFonts w:hint="eastAsia" w:ascii="宋体" w:hAnsi="宋体"/>
          <w:sz w:val="28"/>
          <w:szCs w:val="28"/>
          <w:lang w:eastAsia="zh-CN"/>
        </w:rPr>
        <w:t>成都市公共资源交易服务中心门户网站</w:t>
      </w:r>
      <w:r>
        <w:rPr>
          <w:rFonts w:hint="eastAsia" w:ascii="宋体" w:hAnsi="宋体"/>
          <w:sz w:val="28"/>
          <w:szCs w:val="28"/>
        </w:rPr>
        <w:t>（https://www.cdggzy.com/）—业务办理—下载专区—政府采购下载专区下载“政采云投标客户端”；下载地址2：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0" w:firstLineChars="200"/>
        <w:rPr>
          <w:rFonts w:ascii="宋体" w:hAnsi="宋体"/>
          <w:sz w:val="28"/>
          <w:szCs w:val="28"/>
        </w:rPr>
      </w:pPr>
      <w:r>
        <w:rPr>
          <w:rFonts w:hint="eastAsia" w:ascii="宋体" w:hAnsi="宋体"/>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4"/>
        <w:numPr>
          <w:ilvl w:val="2"/>
          <w:numId w:val="3"/>
        </w:numPr>
        <w:spacing w:after="200"/>
        <w:ind w:left="0" w:firstLine="0"/>
        <w:rPr>
          <w:color w:val="auto"/>
        </w:rPr>
      </w:pPr>
      <w:r>
        <w:rPr>
          <w:rFonts w:hint="eastAsia"/>
          <w:color w:val="auto"/>
        </w:rPr>
        <w:t>投标文件的</w:t>
      </w:r>
      <w:bookmarkEnd w:id="67"/>
      <w:bookmarkEnd w:id="68"/>
      <w:bookmarkEnd w:id="69"/>
      <w:r>
        <w:rPr>
          <w:rFonts w:hint="eastAsia"/>
          <w:color w:val="auto"/>
        </w:rPr>
        <w:t>提交</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一、投标人应当在投标文件提交截止时间前，将生成的已加密的投标文件成功提交至“政府采购云平台”。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金牛区政府采购中心</w:t>
      </w:r>
      <w:r>
        <w:rPr>
          <w:rFonts w:hint="eastAsia" w:ascii="宋体" w:hAnsi="宋体" w:eastAsiaTheme="minorEastAsia" w:cstheme="minorBidi"/>
          <w:bCs/>
          <w:sz w:val="28"/>
          <w:szCs w:val="28"/>
        </w:rPr>
        <w:t>在“四川政府采购网”和</w:t>
      </w:r>
      <w:r>
        <w:rPr>
          <w:rFonts w:hint="eastAsia" w:ascii="宋体" w:hAnsi="宋体" w:eastAsiaTheme="minorEastAsia" w:cstheme="minorBidi"/>
          <w:bCs/>
          <w:sz w:val="28"/>
          <w:szCs w:val="28"/>
          <w:lang w:eastAsia="zh-CN"/>
        </w:rPr>
        <w:t>“成都市公共资源交易服务中心”网站</w:t>
      </w:r>
      <w:r>
        <w:rPr>
          <w:rFonts w:hint="eastAsia" w:ascii="宋体" w:hAnsi="宋体" w:eastAsiaTheme="minorEastAsia" w:cstheme="minorBidi"/>
          <w:bCs/>
          <w:sz w:val="28"/>
          <w:szCs w:val="28"/>
        </w:rPr>
        <w:t>上发布的澄清公告中修改的时间提交投标文件。</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三、投标人应充分考虑提交文件的不可预见因素，未在投标截止时间前完成提交的，在投标截止时间后将无法提交</w:t>
      </w:r>
      <w:r>
        <w:rPr>
          <w:rFonts w:hint="eastAsia" w:ascii="宋体" w:hAnsi="宋体"/>
          <w:bCs/>
          <w:sz w:val="28"/>
          <w:szCs w:val="28"/>
        </w:rPr>
        <w:t>。</w:t>
      </w:r>
    </w:p>
    <w:p>
      <w:pPr>
        <w:pStyle w:val="4"/>
        <w:numPr>
          <w:ilvl w:val="2"/>
          <w:numId w:val="3"/>
        </w:numPr>
        <w:spacing w:after="200"/>
        <w:ind w:left="0" w:firstLine="0"/>
        <w:rPr>
          <w:color w:val="auto"/>
        </w:rPr>
      </w:pPr>
      <w:r>
        <w:rPr>
          <w:rFonts w:hint="eastAsia"/>
          <w:color w:val="auto"/>
        </w:rPr>
        <w:t>投标文件的补充、修改</w:t>
      </w:r>
    </w:p>
    <w:p>
      <w:pPr>
        <w:numPr>
          <w:ilvl w:val="0"/>
          <w:numId w:val="23"/>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3"/>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在投标截止时间之后，投标人不得对其提交的投标文件做任何补充、修改。</w:t>
      </w:r>
    </w:p>
    <w:p>
      <w:pPr>
        <w:pStyle w:val="4"/>
        <w:numPr>
          <w:ilvl w:val="2"/>
          <w:numId w:val="3"/>
        </w:numPr>
        <w:spacing w:after="200"/>
        <w:ind w:left="0" w:firstLine="0"/>
        <w:rPr>
          <w:color w:val="auto"/>
        </w:rPr>
      </w:pPr>
      <w:bookmarkStart w:id="70" w:name="_Toc316475587"/>
      <w:bookmarkEnd w:id="70"/>
      <w:bookmarkStart w:id="71" w:name="_Toc316475586"/>
      <w:bookmarkEnd w:id="71"/>
      <w:bookmarkStart w:id="72" w:name="_Toc217446055"/>
      <w:bookmarkStart w:id="73" w:name="_Toc183582228"/>
      <w:bookmarkStart w:id="74" w:name="_Toc183682365"/>
      <w:r>
        <w:rPr>
          <w:rFonts w:hint="eastAsia"/>
          <w:color w:val="auto"/>
        </w:rPr>
        <w:t>投标文件的</w:t>
      </w:r>
      <w:bookmarkEnd w:id="72"/>
      <w:bookmarkEnd w:id="73"/>
      <w:bookmarkEnd w:id="74"/>
      <w:r>
        <w:rPr>
          <w:rFonts w:hint="eastAsia"/>
          <w:color w:val="auto"/>
        </w:rPr>
        <w:t>撤回</w:t>
      </w:r>
    </w:p>
    <w:p>
      <w:pPr>
        <w:spacing w:before="120" w:after="200" w:line="360" w:lineRule="auto"/>
        <w:ind w:firstLine="560" w:firstLineChars="200"/>
        <w:rPr>
          <w:rFonts w:ascii="宋体" w:hAnsi="宋体"/>
          <w:bCs/>
          <w:sz w:val="28"/>
          <w:szCs w:val="28"/>
        </w:rPr>
      </w:pPr>
      <w:r>
        <w:rPr>
          <w:rFonts w:hint="eastAsia" w:ascii="宋体" w:hAnsi="宋体"/>
          <w:bCs/>
          <w:sz w:val="28"/>
          <w:szCs w:val="28"/>
        </w:rPr>
        <w:t>在投标截止时间之前，投标人可对已提交的投标文件进行撤回。在投标截止时间之后，投标人不得撤回投标文件。</w:t>
      </w:r>
    </w:p>
    <w:p>
      <w:pPr>
        <w:pStyle w:val="4"/>
        <w:numPr>
          <w:ilvl w:val="2"/>
          <w:numId w:val="3"/>
        </w:numPr>
        <w:spacing w:after="200" w:line="240" w:lineRule="auto"/>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金牛区政府采购中心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金牛区政府采购中心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3"/>
        </w:numPr>
        <w:spacing w:line="360" w:lineRule="auto"/>
        <w:jc w:val="left"/>
        <w:outlineLvl w:val="1"/>
        <w:rPr>
          <w:rFonts w:ascii="宋体" w:hAnsi="宋体"/>
          <w:b/>
          <w:bCs/>
          <w:sz w:val="28"/>
          <w:szCs w:val="28"/>
        </w:rPr>
      </w:pPr>
      <w:bookmarkStart w:id="75" w:name="_Toc183582231"/>
      <w:bookmarkStart w:id="76" w:name="_Toc89075878"/>
      <w:bookmarkStart w:id="77" w:name="_Toc88056422"/>
      <w:bookmarkStart w:id="78" w:name="_Toc77400782"/>
      <w:bookmarkStart w:id="79" w:name="_Toc217446056"/>
      <w:bookmarkStart w:id="80" w:name="_Toc18368236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开标及开标程序</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本项目为不见面开标项目。提交投标文件的投标人不足3家的，不予开标。</w:t>
      </w:r>
    </w:p>
    <w:p>
      <w:pPr>
        <w:pStyle w:val="79"/>
        <w:numPr>
          <w:ilvl w:val="0"/>
          <w:numId w:val="24"/>
        </w:numPr>
        <w:tabs>
          <w:tab w:val="left" w:pos="0"/>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解密投标文件。等待</w:t>
      </w:r>
      <w:r>
        <w:rPr>
          <w:rFonts w:hint="eastAsia" w:ascii="宋体" w:hAnsi="宋体" w:eastAsia="宋体" w:cs="宋体"/>
          <w:sz w:val="28"/>
          <w:szCs w:val="28"/>
          <w:lang w:eastAsia="zh-CN"/>
        </w:rPr>
        <w:t>金牛区政府采购中心</w:t>
      </w:r>
      <w:r>
        <w:rPr>
          <w:rFonts w:hint="eastAsia" w:ascii="宋体" w:hAnsi="宋体" w:eastAsia="宋体" w:cs="宋体"/>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sz w:val="28"/>
          <w:szCs w:val="28"/>
          <w:lang w:eastAsia="zh-CN"/>
        </w:rPr>
        <w:t>金牛区政府采购中心</w:t>
      </w:r>
      <w:r>
        <w:rPr>
          <w:rFonts w:hint="eastAsia" w:ascii="宋体" w:hAnsi="宋体" w:eastAsia="宋体" w:cs="宋体"/>
          <w:sz w:val="28"/>
          <w:szCs w:val="28"/>
        </w:rPr>
        <w:t>断电、断网、系统故障或其他不可抗力等因素，导致系统无法使用外，投标人在规定的解密时间内，未成功解密的投标文件将视为无效投标文件。</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投标人对开标过程和开标记录有疑义，以及认为采购人、</w:t>
      </w:r>
      <w:r>
        <w:rPr>
          <w:rFonts w:hint="eastAsia" w:ascii="宋体" w:hAnsi="宋体" w:eastAsia="宋体" w:cs="宋体"/>
          <w:sz w:val="28"/>
          <w:szCs w:val="28"/>
          <w:lang w:eastAsia="zh-CN"/>
        </w:rPr>
        <w:t>金牛区政府采购中心</w:t>
      </w:r>
      <w:r>
        <w:rPr>
          <w:rFonts w:hint="eastAsia" w:ascii="宋体" w:hAnsi="宋体" w:eastAsia="宋体" w:cs="宋体"/>
          <w:sz w:val="28"/>
          <w:szCs w:val="28"/>
        </w:rPr>
        <w:t>相关工作人员有需要回避的情形的，及时向工作人员提出询问或者回避申请。采购人、</w:t>
      </w:r>
      <w:r>
        <w:rPr>
          <w:rFonts w:hint="eastAsia" w:ascii="宋体" w:hAnsi="宋体" w:eastAsia="宋体" w:cs="宋体"/>
          <w:sz w:val="28"/>
          <w:szCs w:val="28"/>
          <w:lang w:eastAsia="zh-CN"/>
        </w:rPr>
        <w:t>金牛区政府采购中心</w:t>
      </w:r>
      <w:r>
        <w:rPr>
          <w:rFonts w:hint="eastAsia" w:ascii="宋体" w:hAnsi="宋体" w:eastAsia="宋体" w:cs="宋体"/>
          <w:sz w:val="28"/>
          <w:szCs w:val="28"/>
        </w:rPr>
        <w:t>对投标人提出的询问或者回避申请应当及时处理。</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政府采购云平台运行基本环境要求：电脑应安装并顺利运行64位win7以上操作系统，谷歌浏览器；正确的CA及签章驱动等；能流畅访问互联网。</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因</w:t>
      </w:r>
      <w:r>
        <w:rPr>
          <w:rFonts w:hint="eastAsia" w:ascii="宋体" w:hAnsi="宋体" w:eastAsia="宋体" w:cs="宋体"/>
          <w:sz w:val="28"/>
          <w:szCs w:val="28"/>
          <w:lang w:eastAsia="zh-CN"/>
        </w:rPr>
        <w:t>金牛区政府采购中心</w:t>
      </w:r>
      <w:r>
        <w:rPr>
          <w:rFonts w:hint="eastAsia" w:ascii="宋体" w:hAnsi="宋体" w:eastAsia="宋体" w:cs="宋体"/>
          <w:sz w:val="28"/>
          <w:szCs w:val="28"/>
        </w:rPr>
        <w:t>断电、断网、系统故障或其他不可抗力等因素导致不见面开标系统无法正常运行的，开标活动中止或延迟，待系统恢复正常后继续进行开标活动。</w:t>
      </w:r>
    </w:p>
    <w:p>
      <w:pPr>
        <w:pStyle w:val="79"/>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不见面开标过程中，各方主体均应遵守互联网有关规定，不得发表与交易活动无关的言论。</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3"/>
        </w:numPr>
        <w:spacing w:line="360" w:lineRule="auto"/>
        <w:ind w:left="0" w:firstLine="0"/>
        <w:outlineLvl w:val="2"/>
        <w:rPr>
          <w:rFonts w:ascii="宋体" w:hAnsi="宋体"/>
          <w:b/>
          <w:bCs/>
          <w:sz w:val="28"/>
          <w:szCs w:val="28"/>
        </w:rPr>
      </w:pPr>
      <w:bookmarkStart w:id="81" w:name="_Toc183682375"/>
      <w:bookmarkStart w:id="82" w:name="_Toc183582238"/>
      <w:bookmarkStart w:id="83" w:name="_Toc217446063"/>
      <w:r>
        <w:rPr>
          <w:rFonts w:hint="eastAsia" w:ascii="宋体" w:hAnsi="宋体"/>
          <w:b/>
          <w:bCs/>
          <w:sz w:val="28"/>
          <w:szCs w:val="28"/>
        </w:rPr>
        <w:t>中标通知</w:t>
      </w:r>
      <w:bookmarkEnd w:id="81"/>
      <w:bookmarkEnd w:id="82"/>
      <w:r>
        <w:rPr>
          <w:rFonts w:hint="eastAsia" w:ascii="宋体" w:hAnsi="宋体"/>
          <w:b/>
          <w:bCs/>
          <w:sz w:val="28"/>
          <w:szCs w:val="28"/>
        </w:rPr>
        <w:t>书</w:t>
      </w:r>
      <w:bookmarkEnd w:id="83"/>
    </w:p>
    <w:p>
      <w:pPr>
        <w:spacing w:line="360" w:lineRule="auto"/>
        <w:ind w:right="210" w:firstLine="560" w:firstLineChars="200"/>
        <w:rPr>
          <w:rFonts w:ascii="宋体" w:hAnsi="宋体"/>
          <w:sz w:val="28"/>
          <w:szCs w:val="28"/>
        </w:rPr>
      </w:pPr>
      <w:bookmarkStart w:id="84" w:name="_Toc217446064"/>
      <w:bookmarkStart w:id="85" w:name="_Toc183682377"/>
      <w:bookmarkStart w:id="86"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二、中标通知书对采购人和中标人均具有法律效力。三、中标公告在四川政府采购网上公告后，中标供应商自行登录政府采购云平台下载中标通知书。</w:t>
      </w:r>
    </w:p>
    <w:p>
      <w:pPr>
        <w:keepNext/>
        <w:keepLines/>
        <w:numPr>
          <w:ilvl w:val="1"/>
          <w:numId w:val="3"/>
        </w:numPr>
        <w:spacing w:before="240" w:line="360" w:lineRule="auto"/>
        <w:jc w:val="left"/>
        <w:outlineLvl w:val="1"/>
        <w:rPr>
          <w:rFonts w:ascii="宋体" w:hAnsi="宋体"/>
          <w:b/>
          <w:bCs/>
          <w:sz w:val="28"/>
          <w:szCs w:val="28"/>
        </w:rPr>
      </w:pPr>
      <w:bookmarkStart w:id="87" w:name="_Toc88056423"/>
      <w:r>
        <w:rPr>
          <w:rFonts w:hint="eastAsia" w:ascii="宋体" w:hAnsi="宋体"/>
          <w:b/>
          <w:bCs/>
          <w:sz w:val="28"/>
          <w:szCs w:val="28"/>
        </w:rPr>
        <w:t>签订及履行合同和验收</w:t>
      </w:r>
      <w:bookmarkEnd w:id="84"/>
      <w:bookmarkEnd w:id="87"/>
    </w:p>
    <w:p>
      <w:pPr>
        <w:keepNext/>
        <w:keepLines/>
        <w:numPr>
          <w:ilvl w:val="2"/>
          <w:numId w:val="3"/>
        </w:numPr>
        <w:spacing w:line="360" w:lineRule="auto"/>
        <w:ind w:left="0" w:firstLine="0"/>
        <w:outlineLvl w:val="2"/>
        <w:rPr>
          <w:rFonts w:ascii="宋体" w:hAnsi="宋体"/>
          <w:b/>
          <w:bCs/>
          <w:sz w:val="28"/>
          <w:szCs w:val="28"/>
        </w:rPr>
      </w:pPr>
      <w:bookmarkStart w:id="88" w:name="_Toc217446065"/>
      <w:r>
        <w:rPr>
          <w:rFonts w:hint="eastAsia" w:ascii="宋体" w:hAnsi="宋体"/>
          <w:b/>
          <w:bCs/>
          <w:sz w:val="28"/>
          <w:szCs w:val="28"/>
        </w:rPr>
        <w:t>签订合同</w:t>
      </w:r>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3"/>
        </w:numPr>
        <w:spacing w:line="360" w:lineRule="auto"/>
        <w:ind w:left="3119" w:hanging="3119"/>
        <w:outlineLvl w:val="2"/>
        <w:rPr>
          <w:rFonts w:ascii="宋体" w:hAnsi="宋体"/>
          <w:b/>
          <w:bCs/>
          <w:sz w:val="28"/>
          <w:szCs w:val="28"/>
        </w:rPr>
      </w:pPr>
      <w:bookmarkStart w:id="89" w:name="_Toc315871033"/>
      <w:bookmarkEnd w:id="89"/>
      <w:bookmarkStart w:id="90" w:name="_Toc217446066"/>
      <w:r>
        <w:rPr>
          <w:rFonts w:hint="eastAsia" w:ascii="宋体" w:hAnsi="宋体"/>
          <w:b/>
          <w:bCs/>
          <w:sz w:val="28"/>
          <w:szCs w:val="28"/>
        </w:rPr>
        <w:t>合同分包</w:t>
      </w:r>
      <w:bookmarkEnd w:id="90"/>
      <w:r>
        <w:rPr>
          <w:rFonts w:hint="eastAsia" w:ascii="宋体" w:hAnsi="宋体"/>
          <w:b/>
          <w:bCs/>
          <w:sz w:val="28"/>
          <w:szCs w:val="28"/>
        </w:rPr>
        <w:t>和转包</w:t>
      </w:r>
    </w:p>
    <w:p>
      <w:pPr>
        <w:keepNext/>
        <w:keepLines/>
        <w:numPr>
          <w:ilvl w:val="3"/>
          <w:numId w:val="3"/>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w:t>
      </w:r>
      <w:r>
        <w:rPr>
          <w:rFonts w:cs="Times New Roman"/>
          <w:sz w:val="28"/>
          <w:szCs w:val="28"/>
          <w:lang w:val="zh-CN"/>
        </w:rPr>
        <w:t>项目不允许分包</w:t>
      </w:r>
      <w:r>
        <w:rPr>
          <w:rFonts w:hint="eastAsia" w:cs="Times New Roman"/>
          <w:sz w:val="28"/>
          <w:szCs w:val="28"/>
          <w:lang w:val="zh-CN"/>
        </w:rPr>
        <w:t>。</w:t>
      </w:r>
    </w:p>
    <w:p>
      <w:pPr>
        <w:keepNext/>
        <w:keepLines/>
        <w:numPr>
          <w:ilvl w:val="3"/>
          <w:numId w:val="3"/>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3"/>
        </w:numPr>
        <w:spacing w:before="240" w:line="360" w:lineRule="auto"/>
        <w:ind w:left="0" w:firstLine="0"/>
        <w:outlineLvl w:val="2"/>
        <w:rPr>
          <w:rFonts w:ascii="宋体" w:hAnsi="宋体"/>
          <w:b/>
          <w:bCs/>
          <w:sz w:val="28"/>
          <w:szCs w:val="28"/>
        </w:rPr>
      </w:pPr>
      <w:bookmarkStart w:id="91" w:name="_Toc217446067"/>
      <w:r>
        <w:rPr>
          <w:rFonts w:hint="eastAsia" w:ascii="宋体" w:hAnsi="宋体"/>
          <w:b/>
          <w:bCs/>
          <w:sz w:val="28"/>
          <w:szCs w:val="28"/>
        </w:rPr>
        <w:t>采购人增加合同标的的权</w:t>
      </w:r>
      <w:bookmarkEnd w:id="91"/>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3"/>
        </w:numPr>
        <w:spacing w:line="360" w:lineRule="auto"/>
        <w:ind w:left="0" w:firstLine="0"/>
        <w:outlineLvl w:val="2"/>
        <w:rPr>
          <w:rFonts w:ascii="宋体" w:hAnsi="宋体"/>
          <w:b/>
          <w:bCs/>
          <w:sz w:val="28"/>
          <w:szCs w:val="28"/>
        </w:rPr>
      </w:pPr>
      <w:bookmarkStart w:id="92" w:name="_Toc217446068"/>
      <w:r>
        <w:rPr>
          <w:rFonts w:hint="eastAsia" w:ascii="宋体" w:hAnsi="宋体"/>
          <w:b/>
          <w:bCs/>
          <w:sz w:val="28"/>
          <w:szCs w:val="28"/>
        </w:rPr>
        <w:t>履约保证金</w:t>
      </w:r>
      <w:bookmarkEnd w:id="92"/>
    </w:p>
    <w:p>
      <w:pPr>
        <w:spacing w:after="180" w:line="360" w:lineRule="auto"/>
        <w:ind w:firstLine="560" w:firstLineChars="200"/>
        <w:rPr>
          <w:rFonts w:hint="eastAsia" w:eastAsia="宋体" w:asciiTheme="minorEastAsia" w:hAnsiTheme="minorEastAsia"/>
          <w:sz w:val="28"/>
          <w:szCs w:val="28"/>
          <w:lang w:val="zh-CN" w:eastAsia="zh-CN"/>
        </w:rPr>
      </w:pPr>
      <w:bookmarkStart w:id="93" w:name="_Toc217446069"/>
      <w:r>
        <w:rPr>
          <w:rFonts w:hint="eastAsia" w:ascii="宋体" w:hAnsi="宋体"/>
          <w:sz w:val="28"/>
          <w:szCs w:val="28"/>
        </w:rPr>
        <w:t>本项目</w:t>
      </w:r>
      <w:r>
        <w:rPr>
          <w:rFonts w:hint="eastAsia" w:ascii="宋体" w:hAnsi="宋体"/>
          <w:sz w:val="28"/>
          <w:szCs w:val="28"/>
          <w:lang w:val="en-US" w:eastAsia="zh-CN"/>
        </w:rPr>
        <w:t>不收取</w:t>
      </w:r>
      <w:r>
        <w:rPr>
          <w:rFonts w:hint="eastAsia" w:ascii="宋体" w:hAnsi="宋体"/>
          <w:sz w:val="28"/>
          <w:szCs w:val="28"/>
        </w:rPr>
        <w:t>履约保证金</w:t>
      </w:r>
      <w:r>
        <w:rPr>
          <w:rFonts w:hint="eastAsia" w:ascii="宋体" w:hAnsi="宋体"/>
          <w:sz w:val="28"/>
          <w:szCs w:val="28"/>
          <w:lang w:eastAsia="zh-CN"/>
        </w:rPr>
        <w:t>。</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eastAsia="zh-CN"/>
        </w:rPr>
        <w:t>成都市金牛区财政局</w:t>
      </w:r>
      <w:r>
        <w:rPr>
          <w:rFonts w:hint="eastAsia" w:ascii="宋体" w:hAnsi="宋体"/>
          <w:sz w:val="28"/>
          <w:szCs w:val="28"/>
        </w:rPr>
        <w:t>的要求完成合同备案工作。</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3"/>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3"/>
        </w:numPr>
        <w:spacing w:line="360" w:lineRule="auto"/>
        <w:ind w:left="0" w:firstLine="0"/>
        <w:outlineLvl w:val="2"/>
        <w:rPr>
          <w:rFonts w:ascii="宋体" w:hAnsi="宋体"/>
          <w:b/>
          <w:bCs/>
          <w:sz w:val="28"/>
          <w:szCs w:val="28"/>
        </w:rPr>
      </w:pPr>
      <w:bookmarkStart w:id="94" w:name="_Toc217446070"/>
      <w:r>
        <w:rPr>
          <w:rFonts w:hint="eastAsia" w:ascii="宋体" w:hAnsi="宋体"/>
          <w:b/>
          <w:bCs/>
          <w:sz w:val="28"/>
          <w:szCs w:val="28"/>
        </w:rPr>
        <w:t>验收</w:t>
      </w:r>
      <w:bookmarkEnd w:id="94"/>
      <w:r>
        <w:rPr>
          <w:rFonts w:hint="eastAsia" w:ascii="宋体" w:hAnsi="宋体"/>
          <w:b/>
          <w:bCs/>
          <w:sz w:val="28"/>
          <w:szCs w:val="28"/>
        </w:rPr>
        <w:t>考核</w:t>
      </w:r>
    </w:p>
    <w:bookmarkEnd w:id="85"/>
    <w:bookmarkEnd w:id="86"/>
    <w:p>
      <w:pPr>
        <w:pStyle w:val="25"/>
        <w:spacing w:line="360" w:lineRule="auto"/>
        <w:ind w:left="0" w:leftChars="0" w:firstLine="565" w:firstLineChars="202"/>
        <w:rPr>
          <w:rFonts w:ascii="宋体" w:hAnsi="宋体"/>
          <w:sz w:val="28"/>
          <w:szCs w:val="28"/>
        </w:rPr>
      </w:pPr>
      <w:bookmarkStart w:id="95" w:name="_Toc217446074"/>
      <w:bookmarkStart w:id="96" w:name="_Toc183682380"/>
      <w:bookmarkStart w:id="97" w:name="_Toc183582243"/>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社会公共提供的公共服务项目、采购人和实际使用人或者受益者分离、有质疑投诉举报的的采购项目，</w:t>
      </w:r>
      <w:r>
        <w:rPr>
          <w:rFonts w:hint="eastAsia" w:ascii="宋体" w:hAnsi="宋体"/>
          <w:sz w:val="28"/>
          <w:szCs w:val="28"/>
        </w:rPr>
        <w:t>可以</w:t>
      </w:r>
      <w:r>
        <w:rPr>
          <w:rFonts w:ascii="宋体" w:hAnsi="宋体"/>
          <w:sz w:val="28"/>
          <w:szCs w:val="28"/>
        </w:rPr>
        <w:t>邀请国家认可的</w:t>
      </w:r>
      <w:r>
        <w:rPr>
          <w:rFonts w:hint="eastAsia" w:ascii="宋体" w:hAnsi="宋体"/>
          <w:sz w:val="28"/>
          <w:szCs w:val="28"/>
        </w:rPr>
        <w:t>第三方</w:t>
      </w:r>
      <w:r>
        <w:rPr>
          <w:rFonts w:ascii="宋体" w:hAnsi="宋体"/>
          <w:sz w:val="28"/>
          <w:szCs w:val="28"/>
        </w:rPr>
        <w:t>检测机构或者集采机构参与</w:t>
      </w:r>
      <w:r>
        <w:rPr>
          <w:rFonts w:hint="eastAsia" w:ascii="宋体" w:hAnsi="宋体"/>
          <w:sz w:val="28"/>
          <w:szCs w:val="28"/>
        </w:rPr>
        <w:t>履约</w:t>
      </w:r>
      <w:r>
        <w:rPr>
          <w:rFonts w:ascii="宋体" w:hAnsi="宋体"/>
          <w:sz w:val="28"/>
          <w:szCs w:val="28"/>
        </w:rPr>
        <w:t>验收工作</w:t>
      </w:r>
      <w:r>
        <w:rPr>
          <w:rFonts w:hint="eastAsia" w:ascii="宋体" w:hAnsi="宋体"/>
          <w:sz w:val="28"/>
          <w:szCs w:val="28"/>
        </w:rPr>
        <w:t>。</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3"/>
        </w:numPr>
        <w:spacing w:line="360" w:lineRule="auto"/>
        <w:jc w:val="left"/>
        <w:outlineLvl w:val="1"/>
        <w:rPr>
          <w:rFonts w:ascii="宋体" w:hAnsi="宋体"/>
          <w:b/>
          <w:bCs/>
          <w:sz w:val="28"/>
          <w:szCs w:val="28"/>
        </w:rPr>
      </w:pPr>
      <w:bookmarkStart w:id="98" w:name="_Toc88056424"/>
      <w:r>
        <w:rPr>
          <w:rFonts w:hint="eastAsia" w:ascii="宋体" w:hAnsi="宋体"/>
          <w:b/>
          <w:bCs/>
          <w:sz w:val="28"/>
          <w:szCs w:val="28"/>
        </w:rPr>
        <w:t>投标纪律要求</w:t>
      </w:r>
      <w:bookmarkEnd w:id="95"/>
      <w:bookmarkEnd w:id="98"/>
    </w:p>
    <w:p>
      <w:pPr>
        <w:keepNext/>
        <w:keepLines/>
        <w:numPr>
          <w:ilvl w:val="2"/>
          <w:numId w:val="3"/>
        </w:numPr>
        <w:spacing w:line="360" w:lineRule="auto"/>
        <w:ind w:left="0" w:firstLine="0"/>
        <w:outlineLvl w:val="2"/>
        <w:rPr>
          <w:rFonts w:ascii="宋体" w:hAnsi="宋体"/>
          <w:b/>
          <w:bCs/>
          <w:sz w:val="28"/>
          <w:szCs w:val="28"/>
        </w:rPr>
      </w:pPr>
      <w:bookmarkStart w:id="99" w:name="_Toc217446075"/>
      <w:r>
        <w:rPr>
          <w:rFonts w:hint="eastAsia" w:ascii="宋体" w:hAnsi="宋体"/>
          <w:b/>
          <w:bCs/>
          <w:sz w:val="28"/>
          <w:szCs w:val="28"/>
        </w:rPr>
        <w:t>投标人不得具有的情形</w:t>
      </w:r>
      <w:bookmarkEnd w:id="99"/>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金牛区政府采购中心</w:t>
      </w:r>
      <w:r>
        <w:rPr>
          <w:rFonts w:hint="eastAsia" w:ascii="宋体" w:hAnsi="宋体"/>
          <w:sz w:val="28"/>
          <w:szCs w:val="28"/>
        </w:rPr>
        <w:t>、其他投标人恶意串通；</w:t>
      </w:r>
    </w:p>
    <w:p>
      <w:pPr>
        <w:numPr>
          <w:ilvl w:val="1"/>
          <w:numId w:val="25"/>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金牛区政府采购中心</w:t>
      </w:r>
      <w:r>
        <w:rPr>
          <w:rFonts w:hint="eastAsia" w:ascii="宋体" w:hAnsi="宋体"/>
          <w:sz w:val="28"/>
          <w:szCs w:val="28"/>
        </w:rPr>
        <w:t>、评标委员会成员行贿或者提供其他不正当利益；</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金牛区政府采购中心</w:t>
      </w:r>
      <w:r>
        <w:rPr>
          <w:rFonts w:hint="eastAsia" w:ascii="宋体" w:hAnsi="宋体"/>
          <w:sz w:val="28"/>
          <w:szCs w:val="28"/>
        </w:rPr>
        <w:t>进行协商谈判；</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5"/>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left="567"/>
        <w:rPr>
          <w:rFonts w:ascii="宋体" w:hAnsi="宋体"/>
          <w:sz w:val="28"/>
          <w:szCs w:val="28"/>
        </w:rPr>
      </w:pPr>
      <w:r>
        <w:rPr>
          <w:rFonts w:hint="eastAsia" w:ascii="宋体" w:hAnsi="宋体"/>
          <w:sz w:val="28"/>
          <w:szCs w:val="28"/>
        </w:rPr>
        <w:t>十二、拒绝有关部门的监督检查或者向监督检查部门提供虚假情况；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十三、法律法规规定的其他禁止情形。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投标人有上述情形的，按照规定追究法律责任，具备一至十一条情形之一的，其</w:t>
      </w:r>
      <w:r>
        <w:rPr>
          <w:rFonts w:ascii="宋体" w:hAnsi="宋体"/>
          <w:b/>
          <w:sz w:val="28"/>
          <w:szCs w:val="28"/>
        </w:rPr>
        <w:t>投标文件无效，</w:t>
      </w:r>
      <w:r>
        <w:rPr>
          <w:rFonts w:hint="eastAsia" w:ascii="宋体" w:hAnsi="宋体"/>
          <w:b/>
          <w:sz w:val="28"/>
          <w:szCs w:val="28"/>
        </w:rPr>
        <w:t>或</w:t>
      </w:r>
      <w:r>
        <w:rPr>
          <w:rFonts w:ascii="宋体" w:hAnsi="宋体"/>
          <w:b/>
          <w:sz w:val="28"/>
          <w:szCs w:val="28"/>
        </w:rPr>
        <w:t>取消被</w:t>
      </w:r>
      <w:r>
        <w:rPr>
          <w:rFonts w:hint="eastAsia" w:ascii="宋体" w:hAnsi="宋体"/>
          <w:b/>
          <w:sz w:val="28"/>
          <w:szCs w:val="28"/>
        </w:rPr>
        <w:t>确认为中标</w:t>
      </w:r>
      <w:r>
        <w:rPr>
          <w:rFonts w:ascii="宋体" w:hAnsi="宋体"/>
          <w:b/>
          <w:sz w:val="28"/>
          <w:szCs w:val="28"/>
        </w:rPr>
        <w:t>供应商的资格或认定</w:t>
      </w:r>
      <w:r>
        <w:rPr>
          <w:rFonts w:hint="eastAsia" w:ascii="宋体" w:hAnsi="宋体"/>
          <w:b/>
          <w:sz w:val="28"/>
          <w:szCs w:val="28"/>
        </w:rPr>
        <w:t>中标</w:t>
      </w:r>
      <w:r>
        <w:rPr>
          <w:rFonts w:ascii="宋体" w:hAnsi="宋体"/>
          <w:b/>
          <w:sz w:val="28"/>
          <w:szCs w:val="28"/>
        </w:rPr>
        <w:t>无效</w:t>
      </w:r>
      <w:r>
        <w:rPr>
          <w:rFonts w:hint="eastAsia" w:ascii="宋体" w:hAnsi="宋体"/>
          <w:b/>
          <w:sz w:val="28"/>
          <w:szCs w:val="28"/>
        </w:rPr>
        <w:t>。</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lang w:eastAsia="zh-CN"/>
        </w:rPr>
        <w:t>金牛区政府采购中心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及相关人员（包括</w:t>
      </w:r>
      <w:r>
        <w:rPr>
          <w:rFonts w:ascii="宋体" w:hAnsi="宋体" w:cs="Helvetica"/>
          <w:sz w:val="28"/>
          <w:szCs w:val="28"/>
        </w:rPr>
        <w:t>评标委员会的组成人员</w:t>
      </w:r>
      <w:r>
        <w:rPr>
          <w:rFonts w:hint="eastAsia" w:ascii="宋体" w:hAnsi="宋体" w:cs="Helvetica"/>
          <w:sz w:val="28"/>
          <w:szCs w:val="28"/>
        </w:rPr>
        <w:t>）与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3"/>
        </w:numPr>
        <w:spacing w:line="360" w:lineRule="auto"/>
        <w:jc w:val="left"/>
        <w:outlineLvl w:val="1"/>
        <w:rPr>
          <w:rFonts w:ascii="宋体" w:hAnsi="宋体"/>
          <w:b/>
          <w:bCs/>
          <w:sz w:val="28"/>
          <w:szCs w:val="28"/>
        </w:rPr>
      </w:pPr>
      <w:bookmarkStart w:id="100" w:name="_Toc88056425"/>
      <w:bookmarkStart w:id="101" w:name="_Toc217446078"/>
      <w:r>
        <w:rPr>
          <w:rFonts w:hint="eastAsia" w:ascii="宋体" w:hAnsi="宋体"/>
          <w:b/>
          <w:bCs/>
          <w:sz w:val="28"/>
          <w:szCs w:val="28"/>
        </w:rPr>
        <w:t>询问、质疑和投诉</w:t>
      </w:r>
      <w:bookmarkEnd w:id="100"/>
      <w:bookmarkEnd w:id="101"/>
      <w:bookmarkStart w:id="102" w:name="_Toc217446079"/>
    </w:p>
    <w:bookmarkEnd w:id="96"/>
    <w:bookmarkEnd w:id="97"/>
    <w:bookmarkEnd w:id="102"/>
    <w:p>
      <w:pPr>
        <w:numPr>
          <w:ilvl w:val="0"/>
          <w:numId w:val="26"/>
        </w:numPr>
        <w:spacing w:line="360" w:lineRule="auto"/>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6"/>
        </w:numPr>
        <w:spacing w:line="360" w:lineRule="auto"/>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7"/>
        </w:numPr>
        <w:tabs>
          <w:tab w:val="left" w:pos="0"/>
          <w:tab w:val="left" w:pos="1276"/>
        </w:tabs>
        <w:spacing w:after="120" w:line="360" w:lineRule="auto"/>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参加本次政府采购活动应当具备的条件，招标项目技术、服务、商务及其他要求，评标细则及标准，和中标结果中关于资格审查提出询问或质疑的，向采购人提出；</w:t>
      </w:r>
    </w:p>
    <w:p>
      <w:pPr>
        <w:numPr>
          <w:ilvl w:val="1"/>
          <w:numId w:val="27"/>
        </w:numPr>
        <w:tabs>
          <w:tab w:val="left" w:pos="1276"/>
        </w:tabs>
        <w:spacing w:after="120" w:line="360" w:lineRule="auto"/>
        <w:ind w:left="0" w:firstLine="567"/>
        <w:rPr>
          <w:rFonts w:ascii="宋体" w:hAnsi="宋体"/>
          <w:sz w:val="28"/>
          <w:szCs w:val="28"/>
        </w:rPr>
      </w:pPr>
      <w:r>
        <w:rPr>
          <w:rFonts w:hint="eastAsia"/>
          <w:sz w:val="28"/>
          <w:szCs w:val="28"/>
        </w:rPr>
        <w:t>供应商对除上述招标文件中的其他内容，采购过程及中标结果中（除资格审查）</w:t>
      </w:r>
      <w:r>
        <w:rPr>
          <w:rFonts w:hint="eastAsia" w:ascii="宋体" w:hAnsi="宋体"/>
          <w:sz w:val="28"/>
          <w:szCs w:val="28"/>
        </w:rPr>
        <w:t>提出询问或质疑的，向</w:t>
      </w:r>
      <w:r>
        <w:rPr>
          <w:rFonts w:hint="eastAsia" w:ascii="宋体" w:hAnsi="宋体" w:cs="Arial"/>
          <w:sz w:val="28"/>
          <w:szCs w:val="28"/>
          <w:lang w:eastAsia="zh-CN"/>
        </w:rPr>
        <w:t>金牛区政府采购中心</w:t>
      </w:r>
      <w:r>
        <w:rPr>
          <w:rFonts w:hint="eastAsia" w:ascii="宋体" w:hAnsi="宋体"/>
          <w:sz w:val="28"/>
          <w:szCs w:val="28"/>
        </w:rPr>
        <w:t>提出。</w:t>
      </w:r>
    </w:p>
    <w:p>
      <w:pPr>
        <w:numPr>
          <w:ilvl w:val="0"/>
          <w:numId w:val="26"/>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6"/>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6"/>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供应商可通过“政府采购云平台”，或现场等方式向采购人或</w:t>
      </w:r>
      <w:r>
        <w:rPr>
          <w:rFonts w:hint="eastAsia" w:ascii="宋体" w:hAnsi="宋体"/>
          <w:sz w:val="28"/>
          <w:szCs w:val="28"/>
          <w:lang w:eastAsia="zh-CN"/>
        </w:rPr>
        <w:t>金牛区政府采购中心</w:t>
      </w:r>
      <w:r>
        <w:rPr>
          <w:rFonts w:hint="eastAsia" w:ascii="宋体" w:hAnsi="宋体"/>
          <w:sz w:val="28"/>
          <w:szCs w:val="28"/>
        </w:rPr>
        <w:t>提交质疑资料。</w:t>
      </w:r>
    </w:p>
    <w:p>
      <w:pPr>
        <w:numPr>
          <w:ilvl w:val="0"/>
          <w:numId w:val="26"/>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供应商提出质疑时应当准备的资料</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（一）质疑书正本1份；</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供应商对采购人或</w:t>
      </w:r>
      <w:r>
        <w:rPr>
          <w:rFonts w:hint="eastAsia" w:ascii="宋体" w:hAnsi="宋体"/>
          <w:sz w:val="28"/>
          <w:szCs w:val="28"/>
          <w:lang w:eastAsia="zh-CN"/>
        </w:rPr>
        <w:t>金牛区政府采购中心</w:t>
      </w:r>
      <w:r>
        <w:rPr>
          <w:rFonts w:hint="eastAsia" w:ascii="宋体" w:hAnsi="宋体"/>
          <w:sz w:val="28"/>
          <w:szCs w:val="28"/>
        </w:rPr>
        <w:t>的质疑答复不满意，或者采购人或</w:t>
      </w:r>
      <w:r>
        <w:rPr>
          <w:rFonts w:hint="eastAsia" w:ascii="宋体" w:hAnsi="宋体"/>
          <w:sz w:val="28"/>
          <w:szCs w:val="28"/>
          <w:lang w:eastAsia="zh-CN"/>
        </w:rPr>
        <w:t>金牛区政府采购中心</w:t>
      </w:r>
      <w:r>
        <w:rPr>
          <w:rFonts w:hint="eastAsia" w:ascii="宋体" w:hAnsi="宋体"/>
          <w:sz w:val="28"/>
          <w:szCs w:val="28"/>
        </w:rPr>
        <w:t>未在规定期限内作出答复的，供应商可以在答复期满后15个工作日内向同级财政部门提起投诉。</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03" w:name="_Toc316292051"/>
      <w:bookmarkEnd w:id="103"/>
      <w:bookmarkStart w:id="104" w:name="_Toc315871046"/>
      <w:bookmarkEnd w:id="104"/>
      <w:bookmarkStart w:id="105" w:name="_Toc316292049"/>
      <w:bookmarkEnd w:id="105"/>
      <w:bookmarkStart w:id="106" w:name="_Toc315871050"/>
      <w:bookmarkEnd w:id="106"/>
      <w:bookmarkStart w:id="107" w:name="_Toc316292050"/>
      <w:bookmarkEnd w:id="107"/>
      <w:bookmarkStart w:id="108" w:name="_Toc315871047"/>
      <w:bookmarkEnd w:id="108"/>
      <w:bookmarkStart w:id="109" w:name="_Toc315871049"/>
      <w:bookmarkEnd w:id="109"/>
      <w:bookmarkStart w:id="110" w:name="_Toc315871048"/>
      <w:bookmarkEnd w:id="110"/>
      <w:bookmarkStart w:id="111" w:name="_Toc316292052"/>
      <w:bookmarkEnd w:id="111"/>
      <w:bookmarkStart w:id="112" w:name="_Toc315871045"/>
      <w:bookmarkEnd w:id="112"/>
      <w:bookmarkStart w:id="113" w:name="_Toc316292048"/>
      <w:bookmarkEnd w:id="113"/>
      <w:bookmarkStart w:id="114" w:name="_Toc88056426"/>
      <w:r>
        <w:rPr>
          <w:rFonts w:hint="eastAsia" w:ascii="宋体" w:hAnsi="宋体"/>
          <w:b/>
          <w:bCs/>
          <w:spacing w:val="-20"/>
          <w:kern w:val="44"/>
          <w:sz w:val="32"/>
          <w:szCs w:val="32"/>
        </w:rPr>
        <w:t>投标文件格式</w:t>
      </w:r>
      <w:bookmarkEnd w:id="114"/>
    </w:p>
    <w:p>
      <w:pPr>
        <w:keepNext/>
        <w:keepLines/>
        <w:numPr>
          <w:ilvl w:val="1"/>
          <w:numId w:val="3"/>
        </w:numPr>
        <w:spacing w:before="260" w:after="260" w:line="360" w:lineRule="auto"/>
        <w:jc w:val="left"/>
        <w:outlineLvl w:val="1"/>
        <w:rPr>
          <w:rFonts w:ascii="宋体" w:hAnsi="宋体"/>
          <w:b/>
          <w:bCs/>
          <w:sz w:val="28"/>
          <w:szCs w:val="28"/>
        </w:rPr>
      </w:pPr>
      <w:bookmarkStart w:id="115" w:name="_Toc88056427"/>
      <w:r>
        <w:rPr>
          <w:rFonts w:hint="eastAsia" w:ascii="宋体" w:hAnsi="宋体"/>
          <w:b/>
          <w:bCs/>
          <w:sz w:val="28"/>
          <w:szCs w:val="28"/>
        </w:rPr>
        <w:t>投标文件封面格式</w:t>
      </w:r>
      <w:bookmarkEnd w:id="115"/>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 xml:space="preserve"> 成都金牛高新技术产业园区管理委员会LED政府采购项目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金牛政采（2021）A0065号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3"/>
        </w:numPr>
        <w:spacing w:before="260" w:after="260" w:line="360" w:lineRule="auto"/>
        <w:jc w:val="left"/>
        <w:outlineLvl w:val="1"/>
        <w:rPr>
          <w:rFonts w:ascii="宋体" w:hAnsi="宋体"/>
          <w:b/>
          <w:bCs/>
          <w:sz w:val="28"/>
          <w:szCs w:val="28"/>
        </w:rPr>
      </w:pPr>
      <w:bookmarkStart w:id="116" w:name="_Toc88056428"/>
      <w:r>
        <w:rPr>
          <w:rFonts w:hint="eastAsia" w:ascii="宋体" w:hAnsi="宋体"/>
          <w:b/>
          <w:bCs/>
          <w:sz w:val="28"/>
          <w:szCs w:val="28"/>
        </w:rPr>
        <w:t>资格响应文件</w:t>
      </w:r>
      <w:bookmarkEnd w:id="116"/>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关于投标人申明的函</w:t>
      </w:r>
    </w:p>
    <w:p>
      <w:pPr>
        <w:spacing w:line="360" w:lineRule="auto"/>
        <w:rPr>
          <w:rFonts w:hint="eastAsia" w:ascii="宋体" w:hAnsi="宋体" w:eastAsia="宋体"/>
          <w:sz w:val="28"/>
          <w:szCs w:val="28"/>
          <w:lang w:eastAsia="zh-CN"/>
        </w:rPr>
      </w:pPr>
      <w:bookmarkStart w:id="117" w:name="_Toc238581782"/>
      <w:bookmarkStart w:id="118" w:name="_Toc119295087"/>
      <w:bookmarkStart w:id="119" w:name="_Toc119203988"/>
      <w:bookmarkStart w:id="120" w:name="_Toc52184753"/>
      <w:bookmarkStart w:id="121" w:name="_Toc119296788"/>
      <w:bookmarkStart w:id="122" w:name="_Toc146903609"/>
      <w:r>
        <w:rPr>
          <w:rFonts w:hint="eastAsia" w:ascii="宋体" w:hAnsi="宋体"/>
          <w:sz w:val="28"/>
          <w:szCs w:val="28"/>
        </w:rPr>
        <w:t>致：</w:t>
      </w:r>
      <w:bookmarkEnd w:id="117"/>
      <w:r>
        <w:rPr>
          <w:rFonts w:hint="eastAsia" w:ascii="宋体" w:hAnsi="宋体"/>
          <w:sz w:val="28"/>
          <w:szCs w:val="28"/>
          <w:lang w:eastAsia="zh-CN"/>
        </w:rPr>
        <w:t>成都市金牛区政府采购和机关服务中心</w:t>
      </w:r>
    </w:p>
    <w:p>
      <w:pPr>
        <w:spacing w:line="360" w:lineRule="auto"/>
        <w:ind w:firstLine="565" w:firstLineChars="202"/>
        <w:rPr>
          <w:rFonts w:ascii="宋体" w:hAnsi="宋体"/>
          <w:sz w:val="28"/>
          <w:szCs w:val="28"/>
        </w:rPr>
      </w:pPr>
      <w:bookmarkStart w:id="123" w:name="_Toc238581783"/>
      <w:r>
        <w:rPr>
          <w:rFonts w:hint="eastAsia" w:ascii="宋体" w:hAnsi="宋体"/>
          <w:sz w:val="28"/>
          <w:szCs w:val="28"/>
        </w:rPr>
        <w:t>关于我方对</w:t>
      </w:r>
      <w:r>
        <w:rPr>
          <w:rFonts w:hint="eastAsia" w:ascii="宋体" w:hAnsi="宋体"/>
          <w:b/>
          <w:sz w:val="28"/>
          <w:szCs w:val="28"/>
          <w:u w:val="single"/>
          <w:lang w:eastAsia="zh-CN"/>
        </w:rPr>
        <w:t xml:space="preserve"> 成都金牛高新技术产业园区管理委员会LED政府采购项目</w:t>
      </w:r>
      <w:r>
        <w:rPr>
          <w:rFonts w:hint="eastAsia" w:ascii="宋体" w:hAnsi="宋体"/>
          <w:b/>
          <w:sz w:val="28"/>
          <w:szCs w:val="28"/>
          <w:u w:val="single"/>
        </w:rPr>
        <w:t>（项目编号：</w:t>
      </w:r>
      <w:r>
        <w:rPr>
          <w:rFonts w:hint="eastAsia" w:ascii="宋体" w:hAnsi="宋体"/>
          <w:b/>
          <w:sz w:val="28"/>
          <w:szCs w:val="28"/>
          <w:u w:val="single"/>
          <w:lang w:eastAsia="zh-CN"/>
        </w:rPr>
        <w:t>金牛政采（2021）A0065号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3"/>
    </w:p>
    <w:p>
      <w:pPr>
        <w:widowControl/>
        <w:numPr>
          <w:ilvl w:val="2"/>
          <w:numId w:val="28"/>
        </w:numPr>
        <w:spacing w:line="360" w:lineRule="auto"/>
        <w:ind w:left="0" w:firstLine="560" w:firstLineChars="200"/>
        <w:rPr>
          <w:rFonts w:ascii="宋体" w:hAnsi="宋体"/>
          <w:sz w:val="28"/>
          <w:szCs w:val="28"/>
        </w:rPr>
      </w:pPr>
      <w:bookmarkStart w:id="124" w:name="_Toc238581784"/>
      <w:r>
        <w:rPr>
          <w:rFonts w:hint="eastAsia" w:ascii="宋体" w:hAnsi="宋体"/>
          <w:sz w:val="28"/>
          <w:szCs w:val="28"/>
        </w:rPr>
        <w:t>投标人名称及概况：</w:t>
      </w:r>
      <w:bookmarkEnd w:id="118"/>
      <w:bookmarkEnd w:id="119"/>
      <w:bookmarkEnd w:id="120"/>
      <w:bookmarkEnd w:id="121"/>
      <w:bookmarkEnd w:id="122"/>
      <w:bookmarkEnd w:id="124"/>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29"/>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法定代表人或主要负责人姓名：XXXX</w:t>
      </w:r>
    </w:p>
    <w:p>
      <w:pPr>
        <w:widowControl/>
        <w:numPr>
          <w:ilvl w:val="2"/>
          <w:numId w:val="28"/>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成都市金牛区政府采购和机关服务中心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 xml:space="preserve"> 成都金牛高新技术产业园区管理委员会LED政府采购项目</w:t>
      </w:r>
      <w:r>
        <w:rPr>
          <w:rFonts w:hint="eastAsia" w:ascii="宋体" w:hAnsi="宋体"/>
          <w:b/>
          <w:sz w:val="28"/>
          <w:szCs w:val="28"/>
          <w:u w:val="single"/>
        </w:rPr>
        <w:t>（项目编号：</w:t>
      </w:r>
      <w:r>
        <w:rPr>
          <w:rFonts w:hint="eastAsia" w:ascii="宋体" w:hAnsi="宋体"/>
          <w:b/>
          <w:sz w:val="28"/>
          <w:szCs w:val="28"/>
          <w:u w:val="single"/>
          <w:lang w:eastAsia="zh-CN"/>
        </w:rPr>
        <w:t>金牛政采（2021）A0065号</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17"/>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17"/>
        <w:ind w:firstLine="42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Pr>
        <w:widowControl/>
        <w:jc w:val="left"/>
        <w:rPr>
          <w:rFonts w:ascii="宋体" w:hAnsi="宋体"/>
          <w:b/>
          <w:bCs/>
          <w:sz w:val="28"/>
          <w:szCs w:val="28"/>
        </w:rPr>
      </w:pPr>
      <w:r>
        <w:rPr>
          <w:rFonts w:ascii="宋体" w:hAnsi="宋体"/>
          <w:b/>
          <w:bCs/>
          <w:sz w:val="28"/>
          <w:szCs w:val="28"/>
        </w:rPr>
        <w:br w:type="page"/>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bCs/>
          <w:sz w:val="28"/>
          <w:szCs w:val="28"/>
          <w:u w:val="single"/>
          <w:lang w:eastAsia="zh-CN"/>
        </w:rPr>
        <w:t xml:space="preserve"> 成都金牛高新技术产业园区管理委员会</w:t>
      </w:r>
      <w:r>
        <w:rPr>
          <w:rFonts w:hint="eastAsia" w:ascii="宋体" w:hAnsi="宋体"/>
          <w:sz w:val="28"/>
          <w:szCs w:val="28"/>
        </w:rPr>
        <w:t>（单位名称）的</w:t>
      </w:r>
      <w:r>
        <w:rPr>
          <w:rFonts w:hint="eastAsia" w:ascii="宋体" w:hAnsi="宋体"/>
          <w:b/>
          <w:bCs/>
          <w:sz w:val="28"/>
          <w:szCs w:val="28"/>
          <w:u w:val="single"/>
          <w:lang w:eastAsia="zh-CN"/>
        </w:rPr>
        <w:t xml:space="preserve"> 成都金牛高新技术产业园区管理委员会LED政府采购项目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2.</w:t>
      </w:r>
      <w:r>
        <w:rPr>
          <w:rFonts w:hint="eastAsia" w:ascii="宋体" w:hAnsi="宋体"/>
          <w:sz w:val="28"/>
          <w:szCs w:val="28"/>
          <w:u w:val="single"/>
        </w:rPr>
        <w:t xml:space="preserve"> 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79"/>
        <w:tabs>
          <w:tab w:val="left" w:pos="567"/>
          <w:tab w:val="left" w:pos="709"/>
          <w:tab w:val="left" w:pos="851"/>
        </w:tabs>
        <w:spacing w:line="520" w:lineRule="exact"/>
        <w:ind w:firstLine="0" w:firstLineChars="0"/>
        <w:rPr>
          <w:rFonts w:ascii="宋体" w:hAnsi="宋体" w:eastAsia="宋体"/>
          <w:b/>
          <w:sz w:val="28"/>
          <w:szCs w:val="28"/>
        </w:rPr>
      </w:pPr>
    </w:p>
    <w:p>
      <w:pPr>
        <w:pStyle w:val="79"/>
        <w:tabs>
          <w:tab w:val="left" w:pos="567"/>
          <w:tab w:val="left" w:pos="709"/>
          <w:tab w:val="left" w:pos="851"/>
        </w:tabs>
        <w:spacing w:line="520" w:lineRule="exact"/>
        <w:ind w:firstLine="0" w:firstLineChars="0"/>
        <w:rPr>
          <w:rFonts w:ascii="宋体" w:hAnsi="宋体" w:eastAsia="宋体"/>
          <w:b/>
          <w:sz w:val="28"/>
          <w:szCs w:val="28"/>
          <w:vertAlign w:val="superscript"/>
        </w:rPr>
      </w:pPr>
      <w:r>
        <w:rPr>
          <w:rFonts w:hint="eastAsia" w:ascii="宋体" w:hAnsi="宋体" w:eastAsia="宋体"/>
          <w:b/>
          <w:sz w:val="28"/>
          <w:szCs w:val="28"/>
        </w:rPr>
        <w:t>说明： 从业人员、营业收入、资产总额填报上一年度数据，无上一年度数据的新成立企业可不填报。</w:t>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sz w:val="28"/>
          <w:szCs w:val="28"/>
          <w:u w:val="single"/>
          <w:lang w:eastAsia="zh-CN"/>
        </w:rPr>
        <w:t xml:space="preserve"> 成都金牛高新技术产业园区管理委员会LED政府采购项目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8"/>
        <w:jc w:val="right"/>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widowControl/>
        <w:jc w:val="left"/>
        <w:rPr>
          <w:rFonts w:ascii="宋体" w:hAnsi="宋体"/>
          <w:b/>
          <w:bCs/>
          <w:sz w:val="28"/>
          <w:szCs w:val="28"/>
        </w:rPr>
      </w:pPr>
    </w:p>
    <w:p>
      <w:pPr>
        <w:widowControl/>
        <w:jc w:val="left"/>
        <w:rPr>
          <w:rFonts w:ascii="宋体" w:hAnsi="宋体"/>
          <w:b/>
          <w:bCs/>
          <w:sz w:val="28"/>
          <w:szCs w:val="28"/>
        </w:rPr>
      </w:pPr>
      <w:r>
        <w:rPr>
          <w:rFonts w:ascii="宋体" w:hAnsi="宋体"/>
          <w:b/>
          <w:bCs/>
          <w:sz w:val="28"/>
          <w:szCs w:val="28"/>
        </w:rPr>
        <w:br w:type="page"/>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spacing w:line="360" w:lineRule="auto"/>
        <w:ind w:firstLine="560" w:firstLineChars="200"/>
        <w:rPr>
          <w:sz w:val="28"/>
          <w:szCs w:val="28"/>
        </w:rPr>
      </w:pPr>
      <w:r>
        <w:rPr>
          <w:rFonts w:hint="eastAsia"/>
          <w:sz w:val="28"/>
          <w:szCs w:val="28"/>
        </w:rPr>
        <w:t>投标人按招标文件要求，应提供以下相关资格证明材料：</w:t>
      </w:r>
    </w:p>
    <w:p>
      <w:pPr>
        <w:pStyle w:val="79"/>
        <w:numPr>
          <w:ilvl w:val="0"/>
          <w:numId w:val="30"/>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79"/>
        <w:numPr>
          <w:ilvl w:val="0"/>
          <w:numId w:val="30"/>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营业执照复印件（正本或副本）或法人证书复印件（正本或副本）</w:t>
      </w:r>
      <w:r>
        <w:rPr>
          <w:rFonts w:hint="eastAsia" w:ascii="宋体" w:hAnsi="宋体"/>
          <w:kern w:val="0"/>
          <w:sz w:val="28"/>
          <w:szCs w:val="28"/>
        </w:rPr>
        <w:t>或其他能够证明供应商具有独立承担民事责任能力的相关证明材料复印件；</w:t>
      </w:r>
      <w:r>
        <w:rPr>
          <w:rFonts w:hint="eastAsia" w:ascii="宋体" w:hAnsi="宋体"/>
          <w:sz w:val="28"/>
          <w:szCs w:val="28"/>
        </w:rPr>
        <w:t xml:space="preserve"> </w:t>
      </w:r>
    </w:p>
    <w:p>
      <w:pPr>
        <w:pStyle w:val="79"/>
        <w:numPr>
          <w:ilvl w:val="0"/>
          <w:numId w:val="30"/>
        </w:numPr>
        <w:tabs>
          <w:tab w:val="left" w:pos="1134"/>
        </w:tabs>
        <w:spacing w:before="60" w:line="360" w:lineRule="auto"/>
        <w:ind w:left="0" w:firstLine="567" w:firstLineChars="0"/>
        <w:rPr>
          <w:rFonts w:ascii="宋体" w:hAnsi="宋体"/>
          <w:sz w:val="28"/>
          <w:szCs w:val="28"/>
        </w:rPr>
      </w:pPr>
      <w:r>
        <w:rPr>
          <w:rFonts w:hint="eastAsia"/>
          <w:sz w:val="28"/>
          <w:szCs w:val="28"/>
        </w:rPr>
        <w:t>采购人对投标人履行合同所必须的设备和专业技术能力无其他特殊要求，投标人可不提供证明材料；</w:t>
      </w:r>
    </w:p>
    <w:p>
      <w:pPr>
        <w:pStyle w:val="79"/>
        <w:numPr>
          <w:ilvl w:val="0"/>
          <w:numId w:val="30"/>
        </w:numPr>
        <w:tabs>
          <w:tab w:val="left" w:pos="0"/>
          <w:tab w:val="left" w:pos="1134"/>
        </w:tabs>
        <w:spacing w:before="60" w:line="360" w:lineRule="auto"/>
        <w:ind w:left="0" w:firstLine="546" w:firstLineChars="0"/>
        <w:rPr>
          <w:rFonts w:ascii="宋体" w:hAnsi="宋体"/>
          <w:sz w:val="28"/>
          <w:szCs w:val="28"/>
        </w:rPr>
      </w:pPr>
      <w:r>
        <w:rPr>
          <w:rFonts w:hint="eastAsia" w:ascii="宋体" w:hAnsi="宋体"/>
          <w:sz w:val="28"/>
          <w:szCs w:val="28"/>
        </w:rPr>
        <w:t>采购人对法律、行政法规规定的其他条件无其他特殊要求，投标人可不提供证明材料。</w:t>
      </w:r>
    </w:p>
    <w:p>
      <w:pPr>
        <w:widowControl/>
        <w:jc w:val="left"/>
        <w:rPr>
          <w:rFonts w:ascii="宋体" w:hAnsi="宋体"/>
          <w:b/>
          <w:bCs/>
          <w:sz w:val="28"/>
          <w:szCs w:val="28"/>
        </w:rPr>
      </w:pPr>
      <w:r>
        <w:rPr>
          <w:rFonts w:ascii="宋体" w:hAnsi="宋体"/>
          <w:b/>
          <w:bCs/>
          <w:sz w:val="28"/>
          <w:szCs w:val="28"/>
        </w:rPr>
        <w:br w:type="page"/>
      </w:r>
    </w:p>
    <w:p>
      <w:pPr>
        <w:keepNext/>
        <w:keepLines/>
        <w:numPr>
          <w:ilvl w:val="1"/>
          <w:numId w:val="3"/>
        </w:numPr>
        <w:spacing w:line="360" w:lineRule="auto"/>
        <w:jc w:val="left"/>
        <w:outlineLvl w:val="1"/>
        <w:rPr>
          <w:rFonts w:ascii="宋体" w:hAnsi="宋体"/>
          <w:b/>
          <w:bCs/>
          <w:sz w:val="28"/>
          <w:szCs w:val="28"/>
        </w:rPr>
      </w:pPr>
      <w:bookmarkStart w:id="125" w:name="_Toc88056429"/>
      <w:r>
        <w:rPr>
          <w:rFonts w:hint="eastAsia" w:ascii="宋体" w:hAnsi="宋体"/>
          <w:b/>
          <w:bCs/>
          <w:sz w:val="28"/>
          <w:szCs w:val="28"/>
        </w:rPr>
        <w:t>商务技术</w:t>
      </w:r>
      <w:r>
        <w:rPr>
          <w:rFonts w:ascii="宋体" w:hAnsi="宋体"/>
          <w:b/>
          <w:bCs/>
          <w:sz w:val="28"/>
          <w:szCs w:val="28"/>
        </w:rPr>
        <w:t>响应文件</w:t>
      </w:r>
      <w:bookmarkEnd w:id="125"/>
    </w:p>
    <w:p>
      <w:pPr>
        <w:keepNext/>
        <w:keepLines/>
        <w:numPr>
          <w:ilvl w:val="2"/>
          <w:numId w:val="3"/>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成都市金牛区政府采购和机关服务中心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 xml:space="preserve"> 成都金牛高新技术产业园区管理委员会LED政府采购项目</w:t>
      </w:r>
      <w:r>
        <w:rPr>
          <w:rFonts w:hint="eastAsia" w:ascii="宋体" w:hAnsi="宋体"/>
          <w:b/>
          <w:bCs/>
          <w:sz w:val="28"/>
          <w:szCs w:val="28"/>
          <w:u w:val="single"/>
        </w:rPr>
        <w:t>”（</w:t>
      </w:r>
      <w:r>
        <w:rPr>
          <w:rFonts w:hint="eastAsia" w:ascii="宋体" w:hAnsi="宋体"/>
          <w:b/>
          <w:sz w:val="28"/>
          <w:szCs w:val="28"/>
          <w:u w:val="single"/>
        </w:rPr>
        <w:t>项目编号：</w:t>
      </w:r>
      <w:r>
        <w:rPr>
          <w:rFonts w:hint="eastAsia" w:ascii="宋体" w:hAnsi="宋体"/>
          <w:b/>
          <w:sz w:val="28"/>
          <w:szCs w:val="28"/>
          <w:u w:val="single"/>
          <w:lang w:eastAsia="zh-CN"/>
        </w:rPr>
        <w:t>金牛政采（2021）A0065号</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1"/>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26" w:name="_Toc229802674"/>
      <w:bookmarkStart w:id="127" w:name="_Toc239849853"/>
      <w:bookmarkStart w:id="128" w:name="_Toc314574804"/>
      <w:bookmarkStart w:id="129" w:name="_Toc237145395"/>
      <w:bookmarkStart w:id="130" w:name="_Toc240367172"/>
      <w:bookmarkStart w:id="131" w:name="_Toc265494342"/>
      <w:bookmarkStart w:id="132" w:name="_Toc239846734"/>
      <w:bookmarkStart w:id="133" w:name="_Toc231030275"/>
      <w:bookmarkStart w:id="134" w:name="_Toc240865266"/>
    </w:p>
    <w:p>
      <w:pPr>
        <w:widowControl/>
        <w:jc w:val="left"/>
        <w:rPr>
          <w:rFonts w:ascii="宋体" w:hAnsi="宋体"/>
          <w:b/>
          <w:bCs/>
          <w:sz w:val="28"/>
          <w:szCs w:val="28"/>
        </w:rPr>
      </w:pPr>
      <w:r>
        <w:rPr>
          <w:rFonts w:ascii="宋体" w:hAnsi="宋体"/>
          <w:b/>
          <w:bCs/>
          <w:sz w:val="28"/>
          <w:szCs w:val="28"/>
        </w:rPr>
        <w:br w:type="page"/>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法定代表人或主要负责人身份证明书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XXXX（法定代表人或主要负责人姓名）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的法定代表人或主要负责人。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35" w:name="_Toc263768866"/>
      <w:r>
        <w:rPr>
          <w:rFonts w:hint="eastAsia" w:ascii="宋体" w:hAnsi="宋体"/>
          <w:sz w:val="28"/>
          <w:lang w:val="zh-CN"/>
        </w:rPr>
        <w:t>特此证明。</w:t>
      </w:r>
      <w:bookmarkEnd w:id="135"/>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说明：（1）上述证明文件在投标文件中附有法定代表人</w:t>
      </w:r>
      <w:r>
        <w:rPr>
          <w:rFonts w:hint="eastAsia" w:ascii="宋体" w:hAnsi="宋体"/>
          <w:sz w:val="28"/>
          <w:szCs w:val="28"/>
        </w:rPr>
        <w:t>或</w:t>
      </w:r>
      <w:r>
        <w:rPr>
          <w:rFonts w:ascii="宋体" w:hAnsi="宋体"/>
          <w:sz w:val="28"/>
          <w:szCs w:val="28"/>
        </w:rPr>
        <w:t>主要负责人</w:t>
      </w:r>
      <w:r>
        <w:rPr>
          <w:rFonts w:hint="eastAsia" w:ascii="宋体" w:hAnsi="宋体"/>
          <w:b/>
          <w:sz w:val="28"/>
          <w:szCs w:val="28"/>
        </w:rPr>
        <w:t>身份证复印件（身份证两面均应复印）或护照复印件（投标人的法定代表人或</w:t>
      </w:r>
      <w:r>
        <w:rPr>
          <w:rFonts w:ascii="宋体" w:hAnsi="宋体"/>
          <w:b/>
          <w:sz w:val="28"/>
          <w:szCs w:val="28"/>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b/>
          <w:sz w:val="28"/>
          <w:szCs w:val="28"/>
        </w:rPr>
        <w:t xml:space="preserve"> </w:t>
      </w:r>
      <w:bookmarkEnd w:id="126"/>
      <w:bookmarkEnd w:id="127"/>
      <w:bookmarkEnd w:id="128"/>
      <w:bookmarkEnd w:id="129"/>
      <w:bookmarkEnd w:id="130"/>
      <w:bookmarkEnd w:id="131"/>
      <w:bookmarkEnd w:id="132"/>
      <w:bookmarkEnd w:id="133"/>
      <w:bookmarkEnd w:id="134"/>
      <w:bookmarkStart w:id="136" w:name="_Toc315871054"/>
      <w:bookmarkEnd w:id="136"/>
      <w:bookmarkStart w:id="137" w:name="_Toc220299393"/>
      <w:bookmarkStart w:id="138" w:name="_Toc263753605"/>
      <w:bookmarkStart w:id="139" w:name="_Toc302997926"/>
      <w:bookmarkStart w:id="140" w:name="_Toc263768870"/>
      <w:bookmarkStart w:id="141" w:name="_Toc217446083"/>
    </w:p>
    <w:p>
      <w:pPr>
        <w:widowControl/>
        <w:jc w:val="left"/>
        <w:rPr>
          <w:rFonts w:ascii="宋体" w:hAnsi="宋体"/>
          <w:b/>
          <w:bCs/>
          <w:sz w:val="28"/>
          <w:szCs w:val="28"/>
        </w:rPr>
      </w:pPr>
      <w:r>
        <w:rPr>
          <w:rFonts w:ascii="宋体" w:hAnsi="宋体"/>
          <w:b/>
          <w:bCs/>
          <w:sz w:val="28"/>
          <w:szCs w:val="28"/>
        </w:rPr>
        <w:br w:type="page"/>
      </w:r>
    </w:p>
    <w:bookmarkEnd w:id="137"/>
    <w:bookmarkEnd w:id="138"/>
    <w:bookmarkEnd w:id="139"/>
    <w:bookmarkEnd w:id="140"/>
    <w:p>
      <w:pPr>
        <w:keepNext/>
        <w:keepLines/>
        <w:numPr>
          <w:ilvl w:val="2"/>
          <w:numId w:val="3"/>
        </w:numPr>
        <w:spacing w:line="360" w:lineRule="auto"/>
        <w:ind w:left="142" w:hanging="142"/>
        <w:outlineLvl w:val="2"/>
        <w:rPr>
          <w:rFonts w:ascii="宋体" w:hAnsi="宋体"/>
          <w:b/>
          <w:bCs/>
          <w:sz w:val="28"/>
          <w:szCs w:val="28"/>
        </w:rPr>
      </w:pPr>
      <w:bookmarkStart w:id="142" w:name="_Toc263768877"/>
      <w:bookmarkStart w:id="143" w:name="_Toc302997928"/>
      <w:bookmarkStart w:id="144" w:name="_Toc263753619"/>
      <w:r>
        <w:rPr>
          <w:rFonts w:hint="eastAsia" w:ascii="宋体" w:hAnsi="宋体"/>
          <w:b/>
          <w:bCs/>
          <w:sz w:val="28"/>
          <w:szCs w:val="28"/>
        </w:rPr>
        <w:t>投标产品技术性能、技术参数和配置的详细描述</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 xml:space="preserve"> 成都金牛高新技术产业园区管理委员会LED政府采购项目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金牛政采（2021）A0065号</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rPr>
          <w:rFonts w:ascii="宋体" w:hAnsi="宋体"/>
          <w:bCs/>
          <w:sz w:val="28"/>
        </w:rPr>
      </w:pPr>
    </w:p>
    <w:p>
      <w:pPr>
        <w:adjustRightInd w:val="0"/>
        <w:spacing w:line="400" w:lineRule="exact"/>
        <w:rPr>
          <w:rFonts w:ascii="宋体" w:hAnsi="宋体"/>
          <w:bCs/>
          <w:sz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项目实施</w:t>
      </w:r>
      <w:r>
        <w:rPr>
          <w:rFonts w:ascii="宋体" w:hAnsi="宋体"/>
          <w:b/>
          <w:bCs/>
          <w:sz w:val="28"/>
          <w:szCs w:val="28"/>
        </w:rPr>
        <w:t>方案</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bCs/>
          <w:sz w:val="28"/>
          <w:szCs w:val="28"/>
          <w:u w:val="single"/>
          <w:lang w:eastAsia="zh-CN"/>
        </w:rPr>
        <w:t xml:space="preserve"> 成都金牛高新技术产业园区管理委员会LED政府采购项目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金牛政采（2021）A0065号</w:t>
      </w: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rPr>
          <w:rFonts w:ascii="宋体" w:hAnsi="宋体"/>
          <w:b/>
          <w:bCs/>
          <w:sz w:val="28"/>
          <w:szCs w:val="28"/>
        </w:rPr>
      </w:pPr>
    </w:p>
    <w:p>
      <w:pPr>
        <w:spacing w:after="120" w:line="360" w:lineRule="auto"/>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rPr>
          <w:rFonts w:ascii="宋体" w:hAnsi="宋体"/>
          <w:b/>
          <w:bCs/>
          <w:sz w:val="28"/>
          <w:szCs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p>
    <w:p>
      <w:pPr>
        <w:rPr>
          <w:rFonts w:ascii="宋体" w:hAnsi="宋体"/>
          <w:b/>
          <w:bCs/>
          <w:sz w:val="28"/>
          <w:szCs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承诺</w:t>
      </w:r>
      <w:bookmarkEnd w:id="142"/>
      <w:bookmarkEnd w:id="143"/>
      <w:bookmarkEnd w:id="144"/>
      <w:r>
        <w:rPr>
          <w:rFonts w:hint="eastAsia" w:ascii="宋体" w:hAnsi="宋体"/>
          <w:b/>
          <w:bCs/>
          <w:sz w:val="28"/>
          <w:szCs w:val="28"/>
        </w:rPr>
        <w:t>函</w:t>
      </w:r>
    </w:p>
    <w:p>
      <w:pPr>
        <w:snapToGrid w:val="0"/>
        <w:spacing w:line="360" w:lineRule="auto"/>
        <w:ind w:right="-624" w:rightChars="-297"/>
        <w:rPr>
          <w:rFonts w:hint="eastAsia" w:ascii="宋体" w:hAnsi="宋体" w:eastAsia="宋体"/>
          <w:b/>
          <w:sz w:val="28"/>
          <w:szCs w:val="28"/>
          <w:lang w:eastAsia="zh-CN"/>
        </w:rPr>
      </w:pPr>
      <w:r>
        <w:rPr>
          <w:rFonts w:hint="eastAsia" w:ascii="宋体" w:hAnsi="宋体"/>
          <w:b/>
          <w:sz w:val="28"/>
        </w:rPr>
        <w:t>项目名称：</w:t>
      </w:r>
      <w:r>
        <w:rPr>
          <w:rFonts w:hint="eastAsia" w:ascii="宋体" w:hAnsi="宋体"/>
          <w:b/>
          <w:bCs/>
          <w:sz w:val="28"/>
          <w:szCs w:val="28"/>
          <w:u w:val="single"/>
          <w:lang w:eastAsia="zh-CN"/>
        </w:rPr>
        <w:t xml:space="preserve"> 成都金牛高新技术产业园区管理委员会LED政府采购项目</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szCs w:val="28"/>
          <w:u w:val="single"/>
          <w:lang w:eastAsia="zh-CN"/>
        </w:rPr>
        <w:t>金牛政采（2021）A0065号</w:t>
      </w:r>
    </w:p>
    <w:p>
      <w:pPr>
        <w:snapToGrid w:val="0"/>
        <w:spacing w:line="360" w:lineRule="auto"/>
        <w:ind w:firstLine="560" w:firstLineChars="200"/>
        <w:rPr>
          <w:rFonts w:ascii="宋体" w:hAnsi="宋体"/>
          <w:highlight w:val="none"/>
        </w:rPr>
      </w:pPr>
      <w:r>
        <w:rPr>
          <w:rFonts w:hint="eastAsia" w:ascii="宋体" w:hAnsi="宋体"/>
          <w:sz w:val="28"/>
          <w:highlight w:val="none"/>
        </w:rPr>
        <w:t>我单位作为参加本</w:t>
      </w:r>
      <w:r>
        <w:rPr>
          <w:rFonts w:hint="eastAsia" w:ascii="宋体" w:hAnsi="宋体"/>
          <w:sz w:val="28"/>
          <w:szCs w:val="28"/>
          <w:highlight w:val="none"/>
        </w:rPr>
        <w:t>项目</w:t>
      </w:r>
      <w:r>
        <w:rPr>
          <w:rFonts w:hint="eastAsia" w:ascii="宋体" w:hAnsi="宋体"/>
          <w:sz w:val="28"/>
          <w:highlight w:val="none"/>
        </w:rPr>
        <w:t>的投标人，在此郑重承诺：</w:t>
      </w:r>
    </w:p>
    <w:p>
      <w:pPr>
        <w:pStyle w:val="226"/>
        <w:numPr>
          <w:ilvl w:val="0"/>
          <w:numId w:val="32"/>
        </w:numPr>
        <w:tabs>
          <w:tab w:val="left" w:pos="1134"/>
        </w:tabs>
        <w:snapToGrid w:val="0"/>
        <w:spacing w:line="360" w:lineRule="auto"/>
        <w:ind w:left="0" w:firstLine="568" w:firstLineChars="0"/>
        <w:rPr>
          <w:rFonts w:ascii="宋体" w:hAnsi="宋体"/>
          <w:sz w:val="28"/>
          <w:szCs w:val="28"/>
          <w:highlight w:val="none"/>
        </w:rPr>
      </w:pPr>
      <w:r>
        <w:rPr>
          <w:rFonts w:hint="eastAsia" w:ascii="宋体" w:hAnsi="宋体"/>
          <w:sz w:val="28"/>
          <w:szCs w:val="28"/>
          <w:highlight w:val="none"/>
        </w:rPr>
        <w:t>为本项目提供的所有产品、辅材中</w:t>
      </w:r>
      <w:r>
        <w:rPr>
          <w:rFonts w:cs="宋体" w:asciiTheme="minorEastAsia" w:hAnsiTheme="minorEastAsia"/>
          <w:sz w:val="28"/>
          <w:szCs w:val="28"/>
          <w:highlight w:val="none"/>
        </w:rPr>
        <w:t>属于《国家强制性产品认证目录》范围内产品的，均通过国家强制性产品认证并取得认证证书。</w:t>
      </w:r>
    </w:p>
    <w:p>
      <w:pPr>
        <w:pStyle w:val="226"/>
        <w:numPr>
          <w:ilvl w:val="0"/>
          <w:numId w:val="32"/>
        </w:numPr>
        <w:tabs>
          <w:tab w:val="left" w:pos="1134"/>
        </w:tabs>
        <w:snapToGrid w:val="0"/>
        <w:spacing w:line="360" w:lineRule="auto"/>
        <w:ind w:left="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226"/>
        <w:numPr>
          <w:ilvl w:val="0"/>
          <w:numId w:val="32"/>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lang w:val="zh-CN"/>
        </w:rPr>
        <w:t>为本项目提供的所有产品中属于节能产品政府采购品目清单中的政府强制采购产品的，均具有国家确定的认证机构出具的有效期内的节能产品认证证书。</w:t>
      </w:r>
    </w:p>
    <w:p>
      <w:pPr>
        <w:pStyle w:val="226"/>
        <w:numPr>
          <w:ilvl w:val="0"/>
          <w:numId w:val="32"/>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cs="仿宋"/>
          <w:sz w:val="28"/>
          <w:szCs w:val="28"/>
          <w:highlight w:val="none"/>
        </w:rPr>
        <w:t>为本项目实施涉及的商品包装和快递包装，均符合财政部等三部门联合印发商品包装和快递包装政府采购需求标准（试行）（财办库[2020]123号）的要求。</w:t>
      </w:r>
    </w:p>
    <w:p>
      <w:pPr>
        <w:pStyle w:val="226"/>
        <w:numPr>
          <w:ilvl w:val="0"/>
          <w:numId w:val="32"/>
        </w:numPr>
        <w:tabs>
          <w:tab w:val="left" w:pos="1134"/>
        </w:tabs>
        <w:snapToGrid w:val="0"/>
        <w:spacing w:line="360" w:lineRule="auto"/>
        <w:ind w:left="0" w:firstLine="562" w:firstLineChars="0"/>
        <w:rPr>
          <w:rFonts w:ascii="宋体" w:hAnsi="宋体" w:cs="仿宋"/>
          <w:sz w:val="28"/>
          <w:szCs w:val="28"/>
          <w:highlight w:val="none"/>
        </w:rPr>
      </w:pPr>
      <w:r>
        <w:rPr>
          <w:rFonts w:hint="eastAsia" w:ascii="宋体" w:hAnsi="宋体" w:cs="仿宋"/>
          <w:sz w:val="28"/>
          <w:szCs w:val="28"/>
          <w:highlight w:val="none"/>
        </w:rPr>
        <w:t>我方承诺完全响应招标文件</w:t>
      </w:r>
      <w:r>
        <w:rPr>
          <w:rFonts w:ascii="宋体" w:hAnsi="宋体" w:cs="仿宋"/>
          <w:sz w:val="28"/>
          <w:szCs w:val="28"/>
          <w:highlight w:val="none"/>
        </w:rPr>
        <w:t>4.4.2</w:t>
      </w:r>
      <w:r>
        <w:rPr>
          <w:rFonts w:hint="eastAsia" w:ascii="宋体" w:hAnsi="宋体" w:cs="仿宋"/>
          <w:sz w:val="28"/>
          <w:szCs w:val="28"/>
          <w:highlight w:val="none"/>
          <w:lang w:val="en-US" w:eastAsia="zh-CN"/>
        </w:rPr>
        <w:t>包装、运输及保管、保险、4.4.3质量保证与安装调试、4.4.4交货时间</w:t>
      </w:r>
      <w:r>
        <w:rPr>
          <w:rFonts w:hint="eastAsia" w:ascii="宋体" w:hAnsi="宋体" w:cs="仿宋"/>
          <w:sz w:val="28"/>
          <w:szCs w:val="28"/>
          <w:highlight w:val="none"/>
        </w:rPr>
        <w:t>、4.4</w:t>
      </w:r>
      <w:r>
        <w:rPr>
          <w:rFonts w:hint="eastAsia" w:ascii="宋体" w:hAnsi="宋体" w:cs="仿宋"/>
          <w:sz w:val="28"/>
          <w:szCs w:val="28"/>
          <w:highlight w:val="none"/>
          <w:lang w:val="en-US" w:eastAsia="zh-CN"/>
        </w:rPr>
        <w:t>.6</w:t>
      </w:r>
      <w:r>
        <w:rPr>
          <w:rFonts w:hint="eastAsia" w:ascii="宋体" w:hAnsi="宋体" w:cs="仿宋"/>
          <w:sz w:val="28"/>
          <w:szCs w:val="28"/>
          <w:highlight w:val="none"/>
        </w:rPr>
        <w:t>付款</w:t>
      </w:r>
      <w:r>
        <w:rPr>
          <w:rFonts w:ascii="宋体" w:hAnsi="宋体" w:cs="仿宋"/>
          <w:sz w:val="28"/>
          <w:szCs w:val="28"/>
          <w:highlight w:val="none"/>
        </w:rPr>
        <w:t>方式、</w:t>
      </w:r>
      <w:r>
        <w:rPr>
          <w:rFonts w:hint="eastAsia" w:ascii="宋体" w:hAnsi="宋体" w:cs="仿宋"/>
          <w:sz w:val="28"/>
          <w:szCs w:val="28"/>
          <w:highlight w:val="none"/>
        </w:rPr>
        <w:t>4.4.</w:t>
      </w:r>
      <w:r>
        <w:rPr>
          <w:rFonts w:hint="eastAsia" w:ascii="宋体" w:hAnsi="宋体" w:cs="仿宋"/>
          <w:sz w:val="28"/>
          <w:szCs w:val="28"/>
          <w:highlight w:val="none"/>
          <w:lang w:val="en-US" w:eastAsia="zh-CN"/>
        </w:rPr>
        <w:t>7</w:t>
      </w:r>
      <w:r>
        <w:rPr>
          <w:rFonts w:hint="eastAsia" w:ascii="宋体" w:hAnsi="宋体" w:cs="仿宋"/>
          <w:sz w:val="28"/>
          <w:szCs w:val="28"/>
          <w:highlight w:val="none"/>
        </w:rPr>
        <w:t>售后</w:t>
      </w:r>
      <w:r>
        <w:rPr>
          <w:rFonts w:ascii="宋体" w:hAnsi="宋体" w:cs="仿宋"/>
          <w:sz w:val="28"/>
          <w:szCs w:val="28"/>
          <w:highlight w:val="none"/>
        </w:rPr>
        <w:t>服务要求</w:t>
      </w:r>
      <w:r>
        <w:rPr>
          <w:rFonts w:hint="eastAsia" w:ascii="宋体" w:hAnsi="宋体" w:cs="仿宋"/>
          <w:sz w:val="28"/>
          <w:szCs w:val="28"/>
          <w:highlight w:val="none"/>
        </w:rPr>
        <w:t>中的所有要求。</w:t>
      </w:r>
    </w:p>
    <w:p>
      <w:pPr>
        <w:adjustRightInd w:val="0"/>
        <w:snapToGrid w:val="0"/>
        <w:spacing w:line="560" w:lineRule="exact"/>
        <w:rPr>
          <w:rFonts w:ascii="宋体" w:hAnsi="宋体"/>
          <w:sz w:val="28"/>
        </w:rPr>
      </w:pPr>
    </w:p>
    <w:p>
      <w:pPr>
        <w:snapToGrid w:val="0"/>
        <w:spacing w:line="360" w:lineRule="auto"/>
        <w:ind w:firstLine="560" w:firstLineChars="200"/>
        <w:rPr>
          <w:rFonts w:ascii="宋体" w:hAnsi="宋体"/>
          <w:sz w:val="28"/>
          <w:szCs w:val="28"/>
        </w:rPr>
      </w:pPr>
    </w:p>
    <w:p>
      <w:pPr>
        <w:snapToGrid w:val="0"/>
        <w:spacing w:line="360" w:lineRule="auto"/>
        <w:ind w:firstLine="560" w:firstLineChars="200"/>
      </w:pPr>
      <w:r>
        <w:rPr>
          <w:rFonts w:hint="eastAsia" w:ascii="宋体" w:hAnsi="宋体"/>
          <w:sz w:val="28"/>
          <w:szCs w:val="28"/>
        </w:rPr>
        <w:t>特此承诺。</w:t>
      </w: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bookmarkEnd w:id="141"/>
    <w:p>
      <w:pPr>
        <w:rPr>
          <w:rFonts w:ascii="宋体" w:hAnsi="宋体"/>
          <w:bCs/>
          <w:sz w:val="28"/>
          <w:szCs w:val="28"/>
        </w:rPr>
      </w:pPr>
      <w:bookmarkStart w:id="145" w:name="_Toc316475719"/>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售后服务方案</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bCs/>
          <w:sz w:val="28"/>
          <w:szCs w:val="28"/>
          <w:u w:val="single"/>
          <w:lang w:eastAsia="zh-CN"/>
        </w:rPr>
        <w:t xml:space="preserve"> 成都金牛高新技术产业园区管理委员会LED政府采购项目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金牛政采（2021）A0065号</w:t>
      </w:r>
    </w:p>
    <w:p/>
    <w:p/>
    <w:p/>
    <w:p/>
    <w:p/>
    <w:p/>
    <w:p/>
    <w:p/>
    <w:p/>
    <w:p/>
    <w:p/>
    <w:p/>
    <w:p/>
    <w:p/>
    <w:p/>
    <w:p/>
    <w:p/>
    <w:p/>
    <w:p/>
    <w:p/>
    <w:p/>
    <w:p/>
    <w:p/>
    <w:p/>
    <w:p/>
    <w:p/>
    <w:p/>
    <w:p/>
    <w:p/>
    <w:p/>
    <w:p/>
    <w:p/>
    <w:p/>
    <w:p/>
    <w:p/>
    <w:p>
      <w:pPr>
        <w:spacing w:after="120" w:line="360" w:lineRule="auto"/>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
    <w:p>
      <w:pPr>
        <w:keepNext/>
        <w:keepLines/>
        <w:numPr>
          <w:ilvl w:val="1"/>
          <w:numId w:val="3"/>
        </w:numPr>
        <w:spacing w:line="360" w:lineRule="auto"/>
        <w:jc w:val="left"/>
        <w:outlineLvl w:val="1"/>
        <w:rPr>
          <w:rFonts w:ascii="宋体" w:hAnsi="宋体"/>
          <w:b/>
          <w:bCs/>
          <w:sz w:val="28"/>
          <w:szCs w:val="28"/>
        </w:rPr>
      </w:pPr>
      <w:bookmarkStart w:id="146" w:name="_Toc88056430"/>
      <w:r>
        <w:rPr>
          <w:rFonts w:hint="eastAsia" w:ascii="宋体" w:hAnsi="宋体"/>
          <w:b/>
          <w:bCs/>
          <w:sz w:val="28"/>
          <w:szCs w:val="28"/>
        </w:rPr>
        <w:t>报价</w:t>
      </w:r>
      <w:r>
        <w:rPr>
          <w:rFonts w:ascii="宋体" w:hAnsi="宋体"/>
          <w:b/>
          <w:bCs/>
          <w:sz w:val="28"/>
          <w:szCs w:val="28"/>
        </w:rPr>
        <w:t>要求响应文件</w:t>
      </w:r>
      <w:bookmarkEnd w:id="146"/>
    </w:p>
    <w:p>
      <w:pPr>
        <w:keepNext/>
        <w:keepLines/>
        <w:numPr>
          <w:ilvl w:val="2"/>
          <w:numId w:val="3"/>
        </w:numPr>
        <w:spacing w:line="360" w:lineRule="auto"/>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ind w:firstLine="427" w:firstLineChars="152"/>
        <w:rPr>
          <w:rFonts w:hint="eastAsia" w:ascii="宋体" w:hAnsi="宋体" w:eastAsia="宋体"/>
          <w:b/>
          <w:bCs/>
          <w:sz w:val="28"/>
          <w:szCs w:val="28"/>
          <w:lang w:eastAsia="zh-CN"/>
        </w:rPr>
      </w:pPr>
      <w:r>
        <w:rPr>
          <w:rFonts w:hint="eastAsia" w:ascii="宋体" w:hAnsi="宋体"/>
          <w:b/>
          <w:bCs/>
          <w:sz w:val="28"/>
          <w:szCs w:val="28"/>
        </w:rPr>
        <w:t>标项1：</w:t>
      </w:r>
      <w:r>
        <w:rPr>
          <w:rFonts w:hint="eastAsia" w:ascii="宋体" w:hAnsi="宋体"/>
          <w:b/>
          <w:bCs/>
          <w:sz w:val="28"/>
          <w:szCs w:val="28"/>
          <w:u w:val="single"/>
          <w:lang w:eastAsia="zh-CN"/>
        </w:rPr>
        <w:t xml:space="preserve"> 成都金牛高新技术产业园区管理委员会LED政府采购项目</w:t>
      </w:r>
    </w:p>
    <w:tbl>
      <w:tblPr>
        <w:tblStyle w:val="4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sz w:val="28"/>
                <w:szCs w:val="28"/>
              </w:rPr>
            </w:pPr>
            <w:r>
              <w:rPr>
                <w:rFonts w:hint="eastAsia" w:ascii="宋体" w:hAnsi="宋体"/>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tabs>
                <w:tab w:val="left" w:pos="1134"/>
              </w:tabs>
              <w:spacing w:line="560" w:lineRule="exact"/>
              <w:rPr>
                <w:rFonts w:ascii="宋体" w:hAnsi="宋体"/>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rPr>
          <w:rFonts w:ascii="宋体" w:hAnsi="宋体"/>
          <w:bCs/>
          <w:sz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报价明细表</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bCs/>
          <w:sz w:val="28"/>
          <w:szCs w:val="28"/>
          <w:u w:val="single"/>
          <w:lang w:eastAsia="zh-CN"/>
        </w:rPr>
        <w:t xml:space="preserve"> 成都金牛高新技术产业园区管理委员会LED政府采购项目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金牛政采（2021）A0065号</w:t>
      </w:r>
    </w:p>
    <w:tbl>
      <w:tblPr>
        <w:tblStyle w:val="41"/>
        <w:tblW w:w="9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44"/>
        <w:gridCol w:w="742"/>
        <w:gridCol w:w="742"/>
        <w:gridCol w:w="885"/>
        <w:gridCol w:w="886"/>
        <w:gridCol w:w="1030"/>
        <w:gridCol w:w="1142"/>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21" w:type="dxa"/>
            <w:gridSpan w:val="9"/>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hint="eastAsia" w:ascii="宋体" w:hAnsi="宋体" w:eastAsia="宋体" w:cs="宋体"/>
                <w:b/>
                <w:bCs/>
                <w:color w:val="000000"/>
                <w:kern w:val="0"/>
                <w:sz w:val="28"/>
                <w:szCs w:val="28"/>
              </w:rPr>
              <w:t>3楼圆形屏:P2.5软模组全彩LED显示屏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5"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序号</w:t>
            </w:r>
          </w:p>
        </w:tc>
        <w:tc>
          <w:tcPr>
            <w:tcW w:w="1844"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货物名称</w:t>
            </w:r>
          </w:p>
        </w:tc>
        <w:tc>
          <w:tcPr>
            <w:tcW w:w="742"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品牌</w:t>
            </w:r>
          </w:p>
        </w:tc>
        <w:tc>
          <w:tcPr>
            <w:tcW w:w="742"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规格型号</w:t>
            </w:r>
          </w:p>
        </w:tc>
        <w:tc>
          <w:tcPr>
            <w:tcW w:w="885"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制造商</w:t>
            </w:r>
          </w:p>
        </w:tc>
        <w:tc>
          <w:tcPr>
            <w:tcW w:w="886"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进口或国产</w:t>
            </w:r>
          </w:p>
        </w:tc>
        <w:tc>
          <w:tcPr>
            <w:tcW w:w="1030"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数量</w:t>
            </w:r>
          </w:p>
        </w:tc>
        <w:tc>
          <w:tcPr>
            <w:tcW w:w="1142"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rPr>
              <w:t>单价</w:t>
            </w:r>
          </w:p>
        </w:tc>
        <w:tc>
          <w:tcPr>
            <w:tcW w:w="1215" w:type="dxa"/>
            <w:tcBorders>
              <w:top w:val="single" w:color="auto" w:sz="2" w:space="0"/>
              <w:left w:val="single" w:color="auto" w:sz="2" w:space="0"/>
              <w:bottom w:val="single" w:color="auto" w:sz="2" w:space="0"/>
              <w:right w:val="single" w:color="auto" w:sz="2" w:space="0"/>
            </w:tcBorders>
            <w:vAlign w:val="center"/>
          </w:tcPr>
          <w:p>
            <w:pPr>
              <w:pStyle w:val="25"/>
              <w:ind w:left="0" w:leftChars="0"/>
              <w:jc w:val="center"/>
              <w:rPr>
                <w:rFonts w:ascii="宋体" w:hAnsi="宋体"/>
                <w:bCs/>
                <w:szCs w:val="21"/>
                <w:highlight w:val="none"/>
              </w:rPr>
            </w:pPr>
            <w:r>
              <w:rPr>
                <w:rFonts w:ascii="宋体" w:hAnsi="宋体"/>
                <w:b/>
                <w:bCs/>
                <w:szCs w:val="21"/>
                <w:highlight w:val="none"/>
              </w:rPr>
              <w:t>总价</w:t>
            </w:r>
            <w:r>
              <w:rPr>
                <w:rFonts w:hint="eastAsia" w:ascii="宋体" w:hAnsi="宋体"/>
                <w:b/>
                <w:bCs/>
                <w:szCs w:val="21"/>
                <w:highlight w:val="none"/>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735" w:type="dxa"/>
            <w:tcBorders>
              <w:top w:val="single" w:color="auto" w:sz="2"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1</w:t>
            </w:r>
          </w:p>
        </w:tc>
        <w:tc>
          <w:tcPr>
            <w:tcW w:w="1844" w:type="dxa"/>
            <w:tcBorders>
              <w:top w:val="single" w:color="auto" w:sz="2"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742" w:type="dxa"/>
            <w:tcBorders>
              <w:top w:val="single" w:color="auto" w:sz="2"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2"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2"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2"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2"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w:t>
            </w:r>
          </w:p>
        </w:tc>
        <w:tc>
          <w:tcPr>
            <w:tcW w:w="1142" w:type="dxa"/>
            <w:tcBorders>
              <w:top w:val="single" w:color="auto" w:sz="2"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2"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2</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发送卡</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台</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元/台</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3</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黑钛金包边</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hint="eastAsia" w:ascii="宋体" w:hAnsi="宋体" w:eastAsia="宋体"/>
                <w:sz w:val="21"/>
                <w:szCs w:val="21"/>
                <w:highlight w:val="none"/>
                <w:lang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4</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接收卡</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张</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hint="eastAsia" w:ascii="宋体" w:hAnsi="宋体" w:eastAsia="宋体"/>
                <w:sz w:val="21"/>
                <w:szCs w:val="21"/>
                <w:highlight w:val="none"/>
                <w:lang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张</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5</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视频拼接处理器</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台</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hint="eastAsia" w:ascii="宋体" w:hAnsi="宋体" w:eastAsia="宋体"/>
                <w:sz w:val="21"/>
                <w:szCs w:val="21"/>
                <w:highlight w:val="none"/>
                <w:lang w:val="en-US"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台</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6</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安全管理系统</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b/>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b/>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b/>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b/>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color w:val="000000"/>
                <w:kern w:val="0"/>
                <w:sz w:val="20"/>
                <w:szCs w:val="20"/>
              </w:rPr>
              <w:t>套</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val="en-US" w:eastAsia="zh-CN"/>
              </w:rPr>
              <w:t>套</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35" w:type="dxa"/>
            <w:tcBorders>
              <w:top w:val="single" w:color="auto" w:sz="4" w:space="0"/>
              <w:left w:val="single" w:color="auto" w:sz="2" w:space="0"/>
              <w:bottom w:val="single" w:color="auto" w:sz="4"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7</w:t>
            </w:r>
          </w:p>
        </w:tc>
        <w:tc>
          <w:tcPr>
            <w:tcW w:w="1844"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kern w:val="0"/>
                <w:sz w:val="20"/>
                <w:szCs w:val="20"/>
              </w:rPr>
              <w:t>钢架结构</w:t>
            </w: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4"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4"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kern w:val="0"/>
                <w:sz w:val="20"/>
                <w:szCs w:val="20"/>
              </w:rPr>
              <w:t>㎡</w:t>
            </w:r>
          </w:p>
        </w:tc>
        <w:tc>
          <w:tcPr>
            <w:tcW w:w="1142"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4"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8</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kern w:val="0"/>
                <w:sz w:val="20"/>
                <w:szCs w:val="20"/>
              </w:rPr>
              <w:t>顶部承重支撑架</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ascii="宋体" w:hAnsi="宋体"/>
                <w:sz w:val="21"/>
                <w:szCs w:val="21"/>
                <w:highlight w:val="none"/>
              </w:rPr>
            </w:pPr>
            <w:r>
              <w:rPr>
                <w:rFonts w:hint="eastAsia" w:ascii="宋体" w:hAnsi="宋体" w:eastAsia="宋体" w:cs="宋体"/>
                <w:kern w:val="0"/>
                <w:sz w:val="20"/>
                <w:szCs w:val="20"/>
              </w:rPr>
              <w:t>套</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元/套</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9</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sz w:val="21"/>
                <w:szCs w:val="21"/>
                <w:highlight w:val="none"/>
              </w:rPr>
            </w:pPr>
            <w:r>
              <w:rPr>
                <w:rFonts w:hint="eastAsia" w:ascii="宋体" w:hAnsi="宋体" w:eastAsia="宋体" w:cs="宋体"/>
                <w:color w:val="000000"/>
                <w:kern w:val="0"/>
                <w:sz w:val="20"/>
                <w:szCs w:val="20"/>
              </w:rPr>
              <w:t>开关电源</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sz w:val="21"/>
                <w:szCs w:val="21"/>
                <w:highlight w:val="none"/>
              </w:rPr>
            </w:pPr>
            <w:r>
              <w:rPr>
                <w:rFonts w:hint="eastAsia" w:ascii="宋体" w:hAnsi="宋体" w:eastAsia="宋体" w:cs="宋体"/>
                <w:color w:val="000000"/>
                <w:kern w:val="0"/>
                <w:sz w:val="20"/>
                <w:szCs w:val="20"/>
              </w:rPr>
              <w:t>台</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元/台</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default" w:ascii="宋体" w:hAnsi="宋体" w:eastAsia="宋体"/>
                <w:bCs/>
                <w:sz w:val="21"/>
                <w:szCs w:val="21"/>
                <w:highlight w:val="none"/>
                <w:lang w:val="en-US" w:eastAsia="zh-CN"/>
              </w:rPr>
            </w:pPr>
            <w:r>
              <w:rPr>
                <w:rFonts w:hint="eastAsia" w:ascii="宋体" w:hAnsi="宋体"/>
                <w:bCs/>
                <w:sz w:val="21"/>
                <w:szCs w:val="21"/>
                <w:highlight w:val="none"/>
                <w:lang w:val="en-US" w:eastAsia="zh-CN"/>
              </w:rPr>
              <w:t>10</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sz w:val="21"/>
                <w:szCs w:val="21"/>
                <w:highlight w:val="none"/>
                <w:lang w:val="en-US" w:eastAsia="zh-CN"/>
              </w:rPr>
            </w:pPr>
            <w:r>
              <w:rPr>
                <w:rFonts w:hint="eastAsia" w:ascii="宋体" w:hAnsi="宋体" w:eastAsia="宋体" w:cs="宋体"/>
                <w:color w:val="000000"/>
                <w:kern w:val="0"/>
                <w:sz w:val="20"/>
                <w:szCs w:val="20"/>
              </w:rPr>
              <w:t>配电箱</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sz w:val="21"/>
                <w:szCs w:val="21"/>
                <w:highlight w:val="none"/>
              </w:rPr>
            </w:pPr>
            <w:r>
              <w:rPr>
                <w:rFonts w:hint="eastAsia" w:ascii="宋体" w:hAnsi="宋体" w:eastAsia="宋体" w:cs="宋体"/>
                <w:color w:val="000000"/>
                <w:kern w:val="0"/>
                <w:sz w:val="20"/>
                <w:szCs w:val="20"/>
              </w:rPr>
              <w:t>套</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sz w:val="21"/>
                <w:szCs w:val="21"/>
                <w:highlight w:val="none"/>
                <w:lang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套</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default" w:ascii="宋体" w:hAnsi="宋体" w:eastAsia="宋体"/>
                <w:bCs/>
                <w:sz w:val="21"/>
                <w:szCs w:val="21"/>
                <w:highlight w:val="none"/>
                <w:lang w:val="en-US" w:eastAsia="zh-CN"/>
              </w:rPr>
            </w:pPr>
            <w:r>
              <w:rPr>
                <w:rFonts w:hint="eastAsia" w:ascii="宋体" w:hAnsi="宋体"/>
                <w:bCs/>
                <w:sz w:val="21"/>
                <w:szCs w:val="21"/>
                <w:highlight w:val="none"/>
                <w:lang w:val="en-US" w:eastAsia="zh-CN"/>
              </w:rPr>
              <w:t>11</w:t>
            </w:r>
          </w:p>
        </w:tc>
        <w:tc>
          <w:tcPr>
            <w:tcW w:w="1844" w:type="dxa"/>
            <w:tcBorders>
              <w:top w:val="single" w:color="auto" w:sz="4" w:space="0"/>
              <w:left w:val="single" w:color="auto" w:sz="2" w:space="0"/>
              <w:bottom w:val="single" w:color="auto" w:sz="2" w:space="0"/>
              <w:right w:val="single" w:color="auto" w:sz="2" w:space="0"/>
            </w:tcBorders>
            <w:vAlign w:val="bottom"/>
          </w:tcPr>
          <w:p>
            <w:pPr>
              <w:widowControl/>
              <w:jc w:val="center"/>
              <w:rPr>
                <w:rFonts w:hint="eastAsia" w:ascii="宋体" w:hAnsi="宋体"/>
                <w:sz w:val="21"/>
                <w:szCs w:val="21"/>
                <w:highlight w:val="none"/>
              </w:rPr>
            </w:pPr>
            <w:r>
              <w:rPr>
                <w:rFonts w:hint="eastAsia" w:ascii="宋体" w:hAnsi="宋体" w:eastAsia="宋体" w:cs="宋体"/>
                <w:kern w:val="0"/>
                <w:sz w:val="20"/>
                <w:szCs w:val="20"/>
              </w:rPr>
              <w:t>运输安装调试辅材费用</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sz w:val="21"/>
                <w:szCs w:val="21"/>
                <w:highlight w:val="none"/>
                <w:lang w:val="en-US" w:eastAsia="zh-CN"/>
              </w:rPr>
            </w:pPr>
            <w:r>
              <w:rPr>
                <w:rFonts w:hint="eastAsia" w:ascii="宋体" w:hAnsi="宋体" w:eastAsia="宋体" w:cs="宋体"/>
                <w:color w:val="000000"/>
                <w:kern w:val="0"/>
                <w:sz w:val="20"/>
                <w:szCs w:val="20"/>
              </w:rPr>
              <w:t>㎡</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9221" w:type="dxa"/>
            <w:gridSpan w:val="9"/>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3楼会议室：P2.5全彩LED显示屏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bCs/>
                <w:sz w:val="21"/>
                <w:szCs w:val="21"/>
                <w:highlight w:val="none"/>
                <w:lang w:val="en-US" w:eastAsia="zh-CN"/>
              </w:rPr>
            </w:pPr>
            <w:r>
              <w:rPr>
                <w:rFonts w:ascii="宋体" w:hAnsi="宋体"/>
                <w:b/>
                <w:bCs/>
                <w:szCs w:val="21"/>
                <w:highlight w:val="none"/>
              </w:rPr>
              <w:t>序号</w:t>
            </w:r>
          </w:p>
        </w:tc>
        <w:tc>
          <w:tcPr>
            <w:tcW w:w="1844"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cs="宋体"/>
                <w:kern w:val="0"/>
                <w:sz w:val="20"/>
                <w:szCs w:val="20"/>
              </w:rPr>
            </w:pPr>
            <w:r>
              <w:rPr>
                <w:rFonts w:ascii="宋体" w:hAnsi="宋体"/>
                <w:b/>
                <w:bCs/>
                <w:szCs w:val="21"/>
                <w:highlight w:val="none"/>
              </w:rPr>
              <w:t>货物名称</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品牌</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规格型号</w:t>
            </w: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制造商</w:t>
            </w: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进口或国产</w:t>
            </w:r>
          </w:p>
        </w:tc>
        <w:tc>
          <w:tcPr>
            <w:tcW w:w="1030"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cs="宋体"/>
                <w:color w:val="000000"/>
                <w:kern w:val="0"/>
                <w:sz w:val="20"/>
                <w:szCs w:val="20"/>
              </w:rPr>
            </w:pPr>
            <w:r>
              <w:rPr>
                <w:rFonts w:ascii="宋体" w:hAnsi="宋体"/>
                <w:b/>
                <w:bCs/>
                <w:szCs w:val="21"/>
                <w:highlight w:val="none"/>
              </w:rPr>
              <w:t>数量</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单价</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b/>
                <w:bCs/>
                <w:szCs w:val="21"/>
                <w:highlight w:val="none"/>
              </w:rPr>
              <w:t>总价</w:t>
            </w:r>
            <w:r>
              <w:rPr>
                <w:rFonts w:hint="eastAsia" w:ascii="宋体" w:hAnsi="宋体"/>
                <w:b/>
                <w:bCs/>
                <w:szCs w:val="21"/>
                <w:highlight w:val="none"/>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1</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2</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接收卡</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sz w:val="21"/>
                <w:szCs w:val="21"/>
                <w:highlight w:val="none"/>
                <w:lang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张</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3</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视频处理器</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hint="eastAsia" w:ascii="宋体" w:hAnsi="宋体" w:eastAsia="宋体"/>
                <w:sz w:val="21"/>
                <w:szCs w:val="21"/>
                <w:highlight w:val="none"/>
                <w:lang w:eastAsia="zh-CN"/>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台</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4</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钢架结构</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5</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开关电源</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eastAsia="zh-CN"/>
              </w:rPr>
              <w:t>台</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6</w:t>
            </w:r>
          </w:p>
        </w:tc>
        <w:tc>
          <w:tcPr>
            <w:tcW w:w="1844"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配电箱</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sz w:val="21"/>
                <w:szCs w:val="21"/>
                <w:highlight w:val="none"/>
                <w:lang w:val="en-US" w:eastAsia="zh-CN"/>
              </w:rPr>
              <w:t>套</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735" w:type="dxa"/>
            <w:tcBorders>
              <w:top w:val="single" w:color="auto" w:sz="4" w:space="0"/>
              <w:left w:val="single" w:color="auto" w:sz="2" w:space="0"/>
              <w:bottom w:val="single" w:color="auto" w:sz="2" w:space="0"/>
              <w:right w:val="single" w:color="auto" w:sz="2" w:space="0"/>
            </w:tcBorders>
            <w:vAlign w:val="center"/>
          </w:tcPr>
          <w:p>
            <w:pPr>
              <w:pStyle w:val="25"/>
              <w:numPr>
                <w:ilvl w:val="0"/>
                <w:numId w:val="0"/>
              </w:numPr>
              <w:ind w:leftChars="0"/>
              <w:jc w:val="both"/>
              <w:rPr>
                <w:rFonts w:hint="eastAsia" w:ascii="宋体" w:hAnsi="宋体" w:eastAsia="宋体"/>
                <w:bCs/>
                <w:sz w:val="21"/>
                <w:szCs w:val="21"/>
                <w:highlight w:val="none"/>
                <w:lang w:val="en-US" w:eastAsia="zh-CN"/>
              </w:rPr>
            </w:pPr>
            <w:r>
              <w:rPr>
                <w:rFonts w:hint="eastAsia" w:ascii="宋体" w:hAnsi="宋体"/>
                <w:bCs/>
                <w:sz w:val="21"/>
                <w:szCs w:val="21"/>
                <w:highlight w:val="none"/>
                <w:lang w:val="en-US" w:eastAsia="zh-CN"/>
              </w:rPr>
              <w:t>7</w:t>
            </w:r>
          </w:p>
        </w:tc>
        <w:tc>
          <w:tcPr>
            <w:tcW w:w="1844" w:type="dxa"/>
            <w:tcBorders>
              <w:top w:val="single" w:color="auto" w:sz="4" w:space="0"/>
              <w:left w:val="single" w:color="auto" w:sz="2" w:space="0"/>
              <w:bottom w:val="single" w:color="auto" w:sz="2" w:space="0"/>
              <w:right w:val="single" w:color="auto" w:sz="2" w:space="0"/>
            </w:tcBorders>
            <w:vAlign w:val="bottom"/>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运输安装调试辅材费用</w:t>
            </w: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742"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5"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886" w:type="dxa"/>
            <w:tcBorders>
              <w:top w:val="single" w:color="auto" w:sz="4" w:space="0"/>
              <w:left w:val="single" w:color="auto" w:sz="2" w:space="0"/>
              <w:bottom w:val="single" w:color="auto" w:sz="2" w:space="0"/>
              <w:right w:val="single" w:color="auto" w:sz="2" w:space="0"/>
            </w:tcBorders>
            <w:vAlign w:val="center"/>
          </w:tcPr>
          <w:p>
            <w:pPr>
              <w:pStyle w:val="25"/>
              <w:ind w:left="0" w:leftChars="0"/>
              <w:rPr>
                <w:rFonts w:ascii="宋体" w:hAnsi="宋体"/>
                <w:sz w:val="21"/>
                <w:szCs w:val="21"/>
                <w:highlight w:val="none"/>
              </w:rPr>
            </w:pPr>
          </w:p>
        </w:tc>
        <w:tc>
          <w:tcPr>
            <w:tcW w:w="1030" w:type="dxa"/>
            <w:tcBorders>
              <w:top w:val="single" w:color="auto" w:sz="4" w:space="0"/>
              <w:left w:val="single" w:color="auto" w:sz="2" w:space="0"/>
              <w:bottom w:val="single" w:color="auto" w:sz="2" w:space="0"/>
              <w:right w:val="single" w:color="auto" w:sz="2" w:space="0"/>
            </w:tcBorders>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42"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r>
              <w:rPr>
                <w:rFonts w:hint="eastAsia" w:ascii="宋体" w:hAnsi="宋体" w:eastAsia="宋体" w:cs="宋体"/>
                <w:color w:val="000000"/>
                <w:kern w:val="0"/>
                <w:sz w:val="20"/>
                <w:szCs w:val="20"/>
              </w:rPr>
              <w:t>㎡</w:t>
            </w:r>
          </w:p>
        </w:tc>
        <w:tc>
          <w:tcPr>
            <w:tcW w:w="1215" w:type="dxa"/>
            <w:tcBorders>
              <w:top w:val="single" w:color="auto" w:sz="4" w:space="0"/>
              <w:left w:val="single" w:color="auto" w:sz="2" w:space="0"/>
              <w:bottom w:val="single" w:color="auto" w:sz="2" w:space="0"/>
              <w:right w:val="single" w:color="auto" w:sz="2" w:space="0"/>
            </w:tcBorders>
            <w:vAlign w:val="center"/>
          </w:tcPr>
          <w:p>
            <w:pPr>
              <w:pStyle w:val="25"/>
              <w:ind w:left="0" w:leftChars="0"/>
              <w:jc w:val="center"/>
              <w:rPr>
                <w:rFonts w:ascii="宋体" w:hAnsi="宋体"/>
                <w:sz w:val="21"/>
                <w:szCs w:val="21"/>
                <w:highlight w:val="none"/>
              </w:rPr>
            </w:pPr>
            <w:r>
              <w:rPr>
                <w:rFonts w:ascii="宋体" w:hAnsi="宋体"/>
                <w:sz w:val="21"/>
                <w:szCs w:val="21"/>
                <w:highlight w:val="none"/>
              </w:rPr>
              <w:t xml:space="preserve">xx </w:t>
            </w:r>
            <w:r>
              <w:rPr>
                <w:rFonts w:hint="eastAsia" w:ascii="宋体" w:hAnsi="宋体"/>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06"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ascii="宋体" w:hAnsi="宋体"/>
                <w:b/>
                <w:bCs/>
                <w:szCs w:val="21"/>
                <w:highlight w:val="none"/>
              </w:rPr>
            </w:pPr>
            <w:r>
              <w:rPr>
                <w:rFonts w:hint="eastAsia" w:ascii="宋体" w:hAnsi="宋体"/>
                <w:b/>
                <w:bCs/>
                <w:szCs w:val="21"/>
                <w:highlight w:val="none"/>
              </w:rPr>
              <w:t>投标报价（总价合计）</w:t>
            </w:r>
          </w:p>
        </w:tc>
        <w:tc>
          <w:tcPr>
            <w:tcW w:w="1215" w:type="dxa"/>
            <w:tcBorders>
              <w:top w:val="single" w:color="auto" w:sz="2" w:space="0"/>
              <w:left w:val="single" w:color="auto" w:sz="4" w:space="0"/>
              <w:bottom w:val="single" w:color="auto" w:sz="2" w:space="0"/>
              <w:right w:val="single" w:color="auto" w:sz="2" w:space="0"/>
            </w:tcBorders>
            <w:vAlign w:val="center"/>
          </w:tcPr>
          <w:p>
            <w:pPr>
              <w:pStyle w:val="25"/>
              <w:ind w:left="0" w:leftChars="0"/>
              <w:jc w:val="center"/>
              <w:rPr>
                <w:rFonts w:ascii="宋体" w:hAnsi="宋体"/>
                <w:b/>
                <w:bCs/>
                <w:szCs w:val="21"/>
                <w:highlight w:val="none"/>
              </w:rPr>
            </w:pPr>
            <w:r>
              <w:rPr>
                <w:rFonts w:ascii="宋体" w:hAnsi="宋体"/>
                <w:b/>
                <w:bCs/>
                <w:szCs w:val="21"/>
                <w:highlight w:val="none"/>
                <w:u w:val="single"/>
              </w:rPr>
              <w:t xml:space="preserve">xx </w:t>
            </w:r>
            <w:r>
              <w:rPr>
                <w:rFonts w:hint="eastAsia" w:ascii="宋体" w:hAnsi="宋体"/>
                <w:b/>
                <w:bCs/>
                <w:szCs w:val="21"/>
                <w:highlight w:val="none"/>
              </w:rPr>
              <w:t>元</w:t>
            </w:r>
          </w:p>
        </w:tc>
      </w:tr>
    </w:tbl>
    <w:p>
      <w:pPr>
        <w:spacing w:line="440" w:lineRule="atLeast"/>
        <w:rPr>
          <w:rFonts w:ascii="宋体" w:hAnsi="宋体"/>
          <w:b/>
          <w:sz w:val="28"/>
          <w:szCs w:val="28"/>
        </w:rPr>
      </w:pPr>
    </w:p>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2、分项报价明细表格式中要求填写报价</w:t>
      </w:r>
      <w:r>
        <w:rPr>
          <w:rFonts w:ascii="宋体" w:hAnsi="宋体"/>
          <w:b/>
          <w:sz w:val="28"/>
          <w:szCs w:val="28"/>
        </w:rPr>
        <w:t>产品</w:t>
      </w:r>
      <w:r>
        <w:rPr>
          <w:rFonts w:hint="eastAsia" w:ascii="宋体" w:hAnsi="宋体"/>
          <w:b/>
          <w:sz w:val="28"/>
          <w:szCs w:val="28"/>
        </w:rPr>
        <w:t>的品牌、规格型号、制造商、进口或国产的，投标人必须载明其投标产品的品牌、规格型号、制造商、进口或国产。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p>
    <w:p>
      <w:pPr>
        <w:spacing w:line="440" w:lineRule="atLeast"/>
        <w:ind w:firstLine="419" w:firstLineChars="149"/>
        <w:rPr>
          <w:rFonts w:hint="eastAsia" w:ascii="宋体" w:hAnsi="宋体"/>
          <w:b/>
          <w:sz w:val="28"/>
          <w:szCs w:val="28"/>
        </w:rPr>
      </w:pPr>
    </w:p>
    <w:p>
      <w:pPr>
        <w:spacing w:line="440" w:lineRule="atLeast"/>
        <w:ind w:firstLine="419" w:firstLineChars="149"/>
        <w:rPr>
          <w:rFonts w:hint="eastAsia" w:ascii="宋体" w:hAnsi="宋体"/>
          <w:b/>
          <w:sz w:val="28"/>
          <w:szCs w:val="28"/>
        </w:rPr>
      </w:pPr>
    </w:p>
    <w:p>
      <w:pPr>
        <w:spacing w:line="440" w:lineRule="atLeast"/>
        <w:ind w:firstLine="419" w:firstLineChars="149"/>
        <w:rPr>
          <w:rFonts w:hint="eastAsia" w:ascii="宋体" w:hAnsi="宋体"/>
          <w:b/>
          <w:sz w:val="28"/>
          <w:szCs w:val="28"/>
        </w:rPr>
      </w:pPr>
    </w:p>
    <w:p>
      <w:pPr>
        <w:spacing w:line="440" w:lineRule="atLeast"/>
        <w:ind w:firstLine="419" w:firstLineChars="149"/>
        <w:rPr>
          <w:rFonts w:hint="eastAsia" w:ascii="宋体" w:hAnsi="宋体"/>
          <w:b/>
          <w:sz w:val="28"/>
          <w:szCs w:val="28"/>
        </w:rPr>
      </w:pPr>
    </w:p>
    <w:bookmarkEnd w:id="145"/>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47" w:name="_Toc88056431"/>
      <w:bookmarkStart w:id="148" w:name="_Toc217446093"/>
      <w:bookmarkStart w:id="149" w:name="_Toc321382057"/>
      <w:bookmarkStart w:id="150" w:name="_Toc316292231"/>
      <w:r>
        <w:rPr>
          <w:rFonts w:hint="eastAsia" w:ascii="宋体" w:hAnsi="宋体"/>
          <w:b/>
          <w:bCs/>
          <w:spacing w:val="-20"/>
          <w:kern w:val="44"/>
          <w:sz w:val="32"/>
          <w:szCs w:val="32"/>
        </w:rPr>
        <w:t>招标项目技术、服务、商务及其他要求</w:t>
      </w:r>
      <w:bookmarkEnd w:id="147"/>
      <w:bookmarkEnd w:id="148"/>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1" w:name="_Toc88056432"/>
      <w:r>
        <w:rPr>
          <w:rFonts w:hint="eastAsia" w:ascii="宋体" w:hAnsi="宋体"/>
          <w:b/>
          <w:bCs/>
          <w:sz w:val="32"/>
          <w:szCs w:val="32"/>
        </w:rPr>
        <w:t>项目</w:t>
      </w:r>
      <w:r>
        <w:rPr>
          <w:rFonts w:ascii="宋体" w:hAnsi="宋体"/>
          <w:b/>
          <w:bCs/>
          <w:sz w:val="32"/>
          <w:szCs w:val="32"/>
        </w:rPr>
        <w:t>概况</w:t>
      </w:r>
      <w:bookmarkEnd w:id="151"/>
    </w:p>
    <w:p>
      <w:pPr>
        <w:tabs>
          <w:tab w:val="left" w:pos="851"/>
        </w:tabs>
        <w:spacing w:line="360" w:lineRule="auto"/>
        <w:ind w:firstLine="565" w:firstLineChars="202"/>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lang w:val="en-US" w:eastAsia="zh-CN"/>
        </w:rPr>
        <w:t>完成“星轨智谷”高品质科创空间打造工程，用于展示园区形象，满足园区部分企业在招商、洽谈时的宣传展示需求</w:t>
      </w:r>
      <w:r>
        <w:rPr>
          <w:rFonts w:hint="eastAsia" w:asciiTheme="minorEastAsia" w:hAnsiTheme="minorEastAsia" w:eastAsiaTheme="minorEastAsia"/>
          <w:sz w:val="28"/>
          <w:szCs w:val="28"/>
          <w:highlight w:val="none"/>
        </w:rPr>
        <w:t>。</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2" w:name="_Toc88056433"/>
      <w:r>
        <w:rPr>
          <w:rFonts w:hint="eastAsia" w:ascii="宋体" w:hAnsi="宋体"/>
          <w:b/>
          <w:bCs/>
          <w:sz w:val="28"/>
          <w:szCs w:val="28"/>
        </w:rPr>
        <w:t>采购内容</w:t>
      </w:r>
      <w:bookmarkEnd w:id="152"/>
    </w:p>
    <w:tbl>
      <w:tblPr>
        <w:tblStyle w:val="41"/>
        <w:tblW w:w="88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21"/>
        <w:gridCol w:w="1152"/>
        <w:gridCol w:w="1152"/>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853" w:type="dxa"/>
            <w:gridSpan w:val="5"/>
            <w:shd w:val="clear" w:color="auto" w:fill="auto"/>
            <w:vAlign w:val="bottom"/>
          </w:tcPr>
          <w:p>
            <w:pPr>
              <w:spacing w:line="360" w:lineRule="auto"/>
              <w:jc w:val="center"/>
              <w:rPr>
                <w:rFonts w:hint="eastAsia" w:ascii="宋体" w:hAnsi="宋体" w:cs="宋体"/>
                <w:b/>
                <w:bCs/>
                <w:color w:val="auto"/>
              </w:rPr>
            </w:pPr>
            <w:r>
              <w:rPr>
                <w:rFonts w:hint="eastAsia" w:ascii="宋体" w:hAnsi="宋体" w:eastAsia="宋体" w:cs="宋体"/>
                <w:b/>
                <w:bCs/>
                <w:color w:val="000000"/>
                <w:kern w:val="0"/>
                <w:sz w:val="28"/>
                <w:szCs w:val="28"/>
              </w:rPr>
              <w:t>3楼圆形屏:P2.5软模组全彩LED显示屏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648"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序号</w:t>
            </w:r>
          </w:p>
        </w:tc>
        <w:tc>
          <w:tcPr>
            <w:tcW w:w="3421"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货物名称（标的名称）</w:t>
            </w:r>
          </w:p>
        </w:tc>
        <w:tc>
          <w:tcPr>
            <w:tcW w:w="1152" w:type="dxa"/>
            <w:shd w:val="clear" w:color="auto" w:fill="auto"/>
            <w:vAlign w:val="bottom"/>
          </w:tcPr>
          <w:p>
            <w:pPr>
              <w:spacing w:line="360" w:lineRule="auto"/>
              <w:jc w:val="center"/>
              <w:rPr>
                <w:rFonts w:hint="eastAsia" w:ascii="宋体" w:hAnsi="宋体" w:eastAsia="宋体" w:cs="宋体"/>
                <w:b/>
                <w:bCs/>
                <w:color w:val="auto"/>
                <w:lang w:eastAsia="zh-CN"/>
              </w:rPr>
            </w:pPr>
            <w:r>
              <w:rPr>
                <w:rFonts w:hint="eastAsia" w:ascii="宋体" w:hAnsi="宋体" w:cs="宋体"/>
                <w:b/>
                <w:bCs/>
                <w:color w:val="auto"/>
                <w:lang w:eastAsia="zh-CN"/>
              </w:rPr>
              <w:t>单位</w:t>
            </w:r>
          </w:p>
        </w:tc>
        <w:tc>
          <w:tcPr>
            <w:tcW w:w="1152" w:type="dxa"/>
            <w:shd w:val="clear" w:color="auto" w:fill="auto"/>
            <w:vAlign w:val="bottom"/>
          </w:tcPr>
          <w:p>
            <w:pPr>
              <w:spacing w:line="360" w:lineRule="auto"/>
              <w:jc w:val="center"/>
              <w:rPr>
                <w:rFonts w:ascii="宋体" w:hAnsi="宋体" w:cs="宋体"/>
                <w:b/>
                <w:bCs/>
                <w:color w:val="auto"/>
              </w:rPr>
            </w:pPr>
            <w:r>
              <w:rPr>
                <w:rFonts w:hint="eastAsia" w:ascii="宋体" w:hAnsi="宋体" w:cs="宋体"/>
                <w:b/>
                <w:bCs/>
                <w:color w:val="auto"/>
              </w:rPr>
              <w:t>数量</w:t>
            </w:r>
          </w:p>
        </w:tc>
        <w:tc>
          <w:tcPr>
            <w:tcW w:w="2480" w:type="dxa"/>
            <w:vAlign w:val="bottom"/>
          </w:tcPr>
          <w:p>
            <w:pPr>
              <w:spacing w:line="360" w:lineRule="auto"/>
              <w:jc w:val="center"/>
              <w:rPr>
                <w:rFonts w:ascii="宋体" w:hAnsi="宋体" w:cs="宋体"/>
                <w:b/>
                <w:bCs/>
                <w:color w:val="auto"/>
              </w:rPr>
            </w:pPr>
            <w:r>
              <w:rPr>
                <w:rFonts w:hint="eastAsia" w:ascii="宋体" w:hAnsi="宋体" w:cs="宋体"/>
                <w:b/>
                <w:bCs/>
                <w:color w:val="auto"/>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1</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27</w:t>
            </w:r>
          </w:p>
        </w:tc>
        <w:tc>
          <w:tcPr>
            <w:tcW w:w="2480" w:type="dxa"/>
            <w:vAlign w:val="center"/>
          </w:tcPr>
          <w:p>
            <w:pPr>
              <w:widowControl/>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2</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发送卡</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4</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3</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黑钛金包边</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27</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4</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接收卡</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张</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70</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5</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视频拼接处理器</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6</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安全管理系统</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7</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钢架结构</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27</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ascii="宋体" w:hAnsi="宋体"/>
                <w:color w:val="auto"/>
                <w:sz w:val="24"/>
                <w:szCs w:val="24"/>
                <w:highlight w:val="none"/>
              </w:rPr>
            </w:pPr>
            <w:r>
              <w:rPr>
                <w:rFonts w:hint="eastAsia" w:ascii="宋体" w:hAnsi="宋体" w:eastAsia="宋体" w:cs="宋体"/>
                <w:color w:val="000000"/>
                <w:kern w:val="0"/>
                <w:sz w:val="20"/>
                <w:szCs w:val="20"/>
              </w:rPr>
              <w:t>8</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顶部承重支撑架</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8" w:type="dxa"/>
            <w:shd w:val="clear" w:color="auto" w:fill="auto"/>
            <w:vAlign w:val="center"/>
          </w:tcPr>
          <w:p>
            <w:pPr>
              <w:widowControl/>
              <w:jc w:val="center"/>
              <w:rPr>
                <w:rFonts w:hint="eastAsia" w:ascii="宋体" w:hAnsi="宋体" w:eastAsia="宋体"/>
                <w:color w:val="auto"/>
                <w:sz w:val="24"/>
                <w:szCs w:val="24"/>
                <w:highlight w:val="none"/>
                <w:lang w:val="en-US" w:eastAsia="zh-CN"/>
              </w:rPr>
            </w:pPr>
            <w:r>
              <w:rPr>
                <w:rFonts w:hint="eastAsia" w:ascii="宋体" w:hAnsi="宋体" w:eastAsia="宋体" w:cs="宋体"/>
                <w:color w:val="000000"/>
                <w:kern w:val="0"/>
                <w:sz w:val="20"/>
                <w:szCs w:val="20"/>
              </w:rPr>
              <w:t>9</w:t>
            </w:r>
          </w:p>
        </w:tc>
        <w:tc>
          <w:tcPr>
            <w:tcW w:w="3421"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开关电源</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92</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default" w:ascii="宋体" w:hAnsi="宋体"/>
                <w:color w:val="auto"/>
                <w:sz w:val="24"/>
                <w:szCs w:val="24"/>
                <w:highlight w:val="none"/>
                <w:lang w:val="en-US" w:eastAsia="zh-CN"/>
              </w:rPr>
            </w:pPr>
            <w:r>
              <w:rPr>
                <w:rFonts w:hint="eastAsia" w:ascii="宋体" w:hAnsi="宋体" w:eastAsia="宋体" w:cs="宋体"/>
                <w:color w:val="000000"/>
                <w:kern w:val="0"/>
                <w:sz w:val="20"/>
                <w:szCs w:val="20"/>
              </w:rPr>
              <w:t>10</w:t>
            </w:r>
          </w:p>
        </w:tc>
        <w:tc>
          <w:tcPr>
            <w:tcW w:w="3421" w:type="dxa"/>
            <w:shd w:val="clear" w:color="auto" w:fill="auto"/>
            <w:vAlign w:val="center"/>
          </w:tcPr>
          <w:p>
            <w:pPr>
              <w:widowControl/>
              <w:jc w:val="center"/>
              <w:rPr>
                <w:rFonts w:hint="eastAsia" w:ascii="宋体" w:hAnsi="宋体" w:eastAsia="宋体"/>
                <w:color w:val="auto"/>
                <w:sz w:val="24"/>
                <w:szCs w:val="24"/>
                <w:highlight w:val="none"/>
                <w:lang w:val="en-US" w:eastAsia="zh-CN"/>
              </w:rPr>
            </w:pPr>
            <w:r>
              <w:rPr>
                <w:rFonts w:hint="eastAsia" w:ascii="宋体" w:hAnsi="宋体" w:eastAsia="宋体" w:cs="宋体"/>
                <w:color w:val="000000"/>
                <w:kern w:val="0"/>
                <w:sz w:val="20"/>
                <w:szCs w:val="20"/>
              </w:rPr>
              <w:t>配电箱</w:t>
            </w:r>
          </w:p>
        </w:tc>
        <w:tc>
          <w:tcPr>
            <w:tcW w:w="1152" w:type="dxa"/>
            <w:shd w:val="clear" w:color="auto" w:fill="auto"/>
            <w:vAlign w:val="center"/>
          </w:tcPr>
          <w:p>
            <w:pPr>
              <w:widowControl/>
              <w:jc w:val="center"/>
              <w:rPr>
                <w:rFonts w:hint="eastAsia" w:ascii="宋体" w:hAnsi="宋体"/>
                <w:color w:val="auto"/>
                <w:sz w:val="24"/>
                <w:szCs w:val="24"/>
                <w:highlight w:val="none"/>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color w:val="auto"/>
                <w:sz w:val="24"/>
                <w:szCs w:val="24"/>
                <w:highlight w:val="none"/>
                <w:lang w:val="en-US" w:eastAsia="zh-CN"/>
              </w:rPr>
            </w:pPr>
            <w:r>
              <w:rPr>
                <w:rFonts w:hint="eastAsia" w:ascii="宋体" w:hAnsi="宋体" w:eastAsia="宋体" w:cs="宋体"/>
                <w:color w:val="000000"/>
                <w:kern w:val="0"/>
                <w:sz w:val="20"/>
                <w:szCs w:val="20"/>
              </w:rPr>
              <w:t>1</w:t>
            </w:r>
          </w:p>
        </w:tc>
        <w:tc>
          <w:tcPr>
            <w:tcW w:w="2480" w:type="dxa"/>
            <w:vAlign w:val="center"/>
          </w:tcPr>
          <w:p>
            <w:pPr>
              <w:widowControl/>
              <w:jc w:val="center"/>
              <w:rPr>
                <w:rFonts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3421" w:type="dxa"/>
            <w:shd w:val="clear" w:color="auto" w:fill="auto"/>
            <w:vAlign w:val="bottom"/>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运输安装调试辅材费用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8853" w:type="dxa"/>
            <w:gridSpan w:val="5"/>
            <w:shd w:val="clear" w:color="auto" w:fill="auto"/>
            <w:vAlign w:val="center"/>
          </w:tcPr>
          <w:p>
            <w:pPr>
              <w:jc w:val="center"/>
              <w:rPr>
                <w:rFonts w:hint="eastAsia" w:ascii="宋体" w:hAnsi="宋体"/>
                <w:color w:val="auto"/>
                <w:sz w:val="24"/>
                <w:szCs w:val="24"/>
                <w:highlight w:val="none"/>
              </w:rPr>
            </w:pPr>
            <w:r>
              <w:rPr>
                <w:rFonts w:hint="eastAsia" w:ascii="宋体" w:hAnsi="宋体" w:eastAsia="宋体" w:cs="宋体"/>
                <w:b/>
                <w:bCs/>
                <w:color w:val="000000"/>
                <w:kern w:val="0"/>
                <w:sz w:val="28"/>
                <w:szCs w:val="28"/>
              </w:rPr>
              <w:t>3楼会议室：P2.5全彩LED显示屏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序号</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设备名称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单位</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b/>
                <w:bCs/>
                <w:color w:val="000000"/>
                <w:kern w:val="0"/>
                <w:sz w:val="20"/>
                <w:szCs w:val="20"/>
              </w:rPr>
              <w:t>数量</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b/>
                <w:bCs/>
                <w:color w:val="auto"/>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接收卡</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视频处理器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钢架结构</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开关电源</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3421"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配电箱</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480" w:type="dxa"/>
            <w:vAlign w:val="center"/>
          </w:tcPr>
          <w:p>
            <w:pPr>
              <w:jc w:val="center"/>
              <w:rPr>
                <w:rFonts w:hint="eastAsia" w:ascii="宋体" w:hAnsi="宋体"/>
                <w:color w:val="auto"/>
                <w:sz w:val="24"/>
                <w:szCs w:val="24"/>
                <w:highlight w:val="none"/>
              </w:rPr>
            </w:pPr>
            <w:r>
              <w:rPr>
                <w:rFonts w:hint="eastAsia" w:ascii="宋体" w:hAnsi="宋体" w:cs="宋体"/>
                <w:color w:val="000000"/>
                <w:kern w:val="0"/>
                <w:sz w:val="20"/>
                <w:szCs w:val="20"/>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48"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3421" w:type="dxa"/>
            <w:shd w:val="clear" w:color="auto" w:fill="auto"/>
            <w:vAlign w:val="bottom"/>
          </w:tcPr>
          <w:p>
            <w:pPr>
              <w:widowControl/>
              <w:jc w:val="center"/>
              <w:rPr>
                <w:rFonts w:hint="eastAsia" w:ascii="宋体" w:hAnsi="宋体" w:eastAsia="宋体" w:cs="宋体"/>
                <w:color w:val="000000"/>
                <w:kern w:val="0"/>
                <w:sz w:val="20"/>
                <w:szCs w:val="20"/>
              </w:rPr>
            </w:pPr>
            <w:r>
              <w:rPr>
                <w:rFonts w:hint="eastAsia" w:ascii="宋体" w:hAnsi="宋体" w:eastAsia="宋体" w:cs="宋体"/>
                <w:kern w:val="0"/>
                <w:sz w:val="20"/>
                <w:szCs w:val="20"/>
              </w:rPr>
              <w:t>运输安装调试辅材费用</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52" w:type="dxa"/>
            <w:shd w:val="clear" w:color="auto" w:fill="auto"/>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2480" w:type="dxa"/>
            <w:vAlign w:val="center"/>
          </w:tcPr>
          <w:p>
            <w:pPr>
              <w:jc w:val="center"/>
              <w:rPr>
                <w:rFonts w:hint="eastAsia" w:ascii="宋体" w:hAnsi="宋体"/>
                <w:color w:val="auto"/>
                <w:sz w:val="24"/>
                <w:szCs w:val="24"/>
                <w:highlight w:val="none"/>
              </w:rPr>
            </w:pPr>
            <w:r>
              <w:rPr>
                <w:rFonts w:hint="eastAsia" w:ascii="宋体" w:hAnsi="宋体"/>
                <w:sz w:val="24"/>
                <w:szCs w:val="24"/>
              </w:rPr>
              <w:t>/</w:t>
            </w:r>
          </w:p>
        </w:tc>
      </w:tr>
    </w:tbl>
    <w:p>
      <w:pPr>
        <w:keepNext/>
        <w:keepLines/>
        <w:numPr>
          <w:ilvl w:val="0"/>
          <w:numId w:val="0"/>
        </w:numPr>
        <w:tabs>
          <w:tab w:val="left" w:pos="0"/>
          <w:tab w:val="left" w:pos="426"/>
          <w:tab w:val="left" w:pos="576"/>
          <w:tab w:val="left" w:pos="786"/>
        </w:tabs>
        <w:spacing w:line="360" w:lineRule="auto"/>
        <w:ind w:leftChars="0"/>
        <w:outlineLvl w:val="1"/>
        <w:rPr>
          <w:rFonts w:ascii="宋体" w:hAnsi="宋体"/>
          <w:b/>
          <w:bCs/>
          <w:sz w:val="28"/>
          <w:szCs w:val="28"/>
        </w:rPr>
      </w:pP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3" w:name="_Toc88056434"/>
      <w:r>
        <w:rPr>
          <w:rFonts w:hint="eastAsia" w:ascii="宋体" w:hAnsi="宋体"/>
          <w:b/>
          <w:bCs/>
          <w:sz w:val="28"/>
          <w:szCs w:val="32"/>
        </w:rPr>
        <w:t>技术参数及要求</w:t>
      </w:r>
      <w:bookmarkEnd w:id="153"/>
    </w:p>
    <w:tbl>
      <w:tblPr>
        <w:tblStyle w:val="41"/>
        <w:tblW w:w="8943" w:type="dxa"/>
        <w:tblInd w:w="0" w:type="dxa"/>
        <w:tblLayout w:type="fixed"/>
        <w:tblCellMar>
          <w:top w:w="0" w:type="dxa"/>
          <w:left w:w="108" w:type="dxa"/>
          <w:bottom w:w="0" w:type="dxa"/>
          <w:right w:w="108" w:type="dxa"/>
        </w:tblCellMar>
      </w:tblPr>
      <w:tblGrid>
        <w:gridCol w:w="568"/>
        <w:gridCol w:w="1167"/>
        <w:gridCol w:w="552"/>
        <w:gridCol w:w="599"/>
        <w:gridCol w:w="6057"/>
      </w:tblGrid>
      <w:tr>
        <w:tblPrEx>
          <w:tblLayout w:type="fixed"/>
          <w:tblCellMar>
            <w:top w:w="0" w:type="dxa"/>
            <w:left w:w="108" w:type="dxa"/>
            <w:bottom w:w="0" w:type="dxa"/>
            <w:right w:w="108" w:type="dxa"/>
          </w:tblCellMar>
        </w:tblPrEx>
        <w:trPr>
          <w:trHeight w:val="460" w:hRule="atLeast"/>
        </w:trPr>
        <w:tc>
          <w:tcPr>
            <w:tcW w:w="894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3楼圆形屏:P2.5软模组全彩LED显示屏</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设备名称</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单位</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数量</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参数要求</w:t>
            </w:r>
          </w:p>
        </w:tc>
      </w:tr>
      <w:tr>
        <w:tblPrEx>
          <w:tblLayout w:type="fixed"/>
          <w:tblCellMar>
            <w:top w:w="0" w:type="dxa"/>
            <w:left w:w="108" w:type="dxa"/>
            <w:bottom w:w="0" w:type="dxa"/>
            <w:right w:w="108" w:type="dxa"/>
          </w:tblCellMar>
        </w:tblPrEx>
        <w:trPr>
          <w:trHeight w:val="1819"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1、像素点间距：≤2.5mm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2、像素密度：≥160000点/㎡</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3、显示屏面积：长21.12m*高1.28m=27㎡，分辨率：≥8448*512</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4、显示屏模组尺寸：320mm(长)×160mm(宽)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5、显示屏亮度：≥1000cd/m²</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6、水平视角≥170°，垂直视角≥170°</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7、换帧频率：≥60Hz</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★8、刷新频率：≥3840Hz（提供2019年以来CNAS检测报告复印件加盖投标人公章)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▲9、色温：1500K-12000K可调（提供2019年以来CNAS检测报告复印件加盖投标人公章)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▲10、对比度≥9000:1</w:t>
            </w:r>
          </w:p>
          <w:p>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11、驱动IC：高灰高刷IC，具有行消隐功能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12、亮度均匀性≥97%，色度均匀性±0.003Cx,Cy之内</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13、LED使用寿命：≥100000h；</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14、最大功率≤600W/㎡，平均功率≤180W/㎡。</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★15、电源功率因素：内置电源具备PFC功能，功率因素≥0.95（提供2019年以来CNAS检测报告复印件加盖投标人公章)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16、画面延时≤1ms</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17、模组拼接平整度：＜0.1mm。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18、自检技术：可实现远程监控控制，对潜在故障进行日志记录</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★19、具有智能光感护眼功能：显示单元可自动识别环境光强弱，根据环境光变化调节屏幕亮度（提供2019年以来CNAS检测报告复印件加盖投标人公章)</w:t>
            </w:r>
          </w:p>
        </w:tc>
      </w:tr>
      <w:tr>
        <w:tblPrEx>
          <w:tblLayout w:type="fixed"/>
          <w:tblCellMar>
            <w:top w:w="0" w:type="dxa"/>
            <w:left w:w="108" w:type="dxa"/>
            <w:bottom w:w="0" w:type="dxa"/>
            <w:right w:w="108" w:type="dxa"/>
          </w:tblCellMar>
        </w:tblPrEx>
        <w:trPr>
          <w:trHeight w:val="1125"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发送卡</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1、具有2类视频输入接口，包括1路HDMI和2路DVI；</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2、最大输入分辨率1920×1200@60Hz，支持分辨率任意设置；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3、最大带载260万像素，最宽可达4096点，或最高可达2560点；</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4、支持视频源任意切换，缩放和裁剪；</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5、支持画面偏移；</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6、双USB 2.0高速通讯接口，用于电脑调试和主控间任意级联；</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7、支持亮度和色温调节；</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8、支持低亮高灰；</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▲9、为实现高品质的画面处理技术，设备应具备广播级缩放处理能力，并提供获得中国合格评定国家认可委员会认可的第三方检测报告并加盖公章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★10、为保证显示屏的显示效果，设备需支持低亮高灰功能，在10%亮度下依然保持高灰度，并提供获得中国合格评定国家认可委员会认可的第三方检测报告并加盖公章</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黑钛金包边</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1、背面和四周黑钛包边</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接收卡</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70</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1、单卡带载 512×256 像素</w:t>
            </w:r>
          </w:p>
        </w:tc>
      </w:tr>
      <w:tr>
        <w:tblPrEx>
          <w:tblLayout w:type="fixed"/>
          <w:tblCellMar>
            <w:top w:w="0" w:type="dxa"/>
            <w:left w:w="108" w:type="dxa"/>
            <w:bottom w:w="0" w:type="dxa"/>
            <w:right w:w="108" w:type="dxa"/>
          </w:tblCellMar>
        </w:tblPrEx>
        <w:trPr>
          <w:trHeight w:val="7663"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视频拼接处理器</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1、3U主箱体，支持6个输入槽位，2个输出槽位；配置8路HDMI输入,8路HDMI输出；控制卡1张。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2、支持DVI、HDMI、SDI、DP、YPbPr、VGA、CVBS、4K HDMI、IP、HDBaseT、4K HDBaseT、Fiber等信号输入输出。支持DVI、HDMI、DisplayPort、VGA接口的EDID 下载和修改后上传功能。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3、支持窗口拼接、开窗、叠加、漫游、切换、缩放、跨屏、拉伸、拖拽、画中画、多画面分割功能。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4、支持预存场景，支持场景一键切换，支持场景轮巡；支持开窗及场景的预布局。</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5、信号源支持自定义名称。支持复制输出，可用于备份或环出监看。</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6、支持对输入源图像进行裁剪，支持输入像素点进行精确裁剪或鼠标拖拽方式进行可视化裁剪。</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7、支持自定义分辨率，分辨率可手动进行设置。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8、支持B/S（Browser/Server，浏览器/服务器）模式及C/S（Client/Server，客户端/服务器）模式控制方式。</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▲9、单块屏幕最大可同时解码显示128个 1920×1080@30fps 的高清视频信号（提供CNAS检测报告复印件加盖投标人公章)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10、输入板卡热插拔恢复时间&lt;3s；输出板卡热插拔恢复时间&lt;5s</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11、支持系统数据备份恢复，备份的数据包括系统的配置、当前拼接模式、拼接场景、窗口、大屏配置、用户信息、分辨率、快捷键配置信息</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▲12、支持底图功能，最大能上传8K：7680×4320、4K：3840×2160图片作为拼接屏的背景画面（提供CNAS检测报告复印件加盖投标人公章)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▲13、输入输出延时低于30ms，图像开窗响应速度&lt;16ms，场景调取响应速度≦16ms（提供CNAS检测报告复印件加盖投标人公章)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▲14、支持系统数据备份恢复，备份的数据包括系统的配置、当前拼接模式、拼接场景、窗口、大屏配置、用户信息、分辨率、快捷键配置信息（提供CNAS检测报告复印件加盖投标人公章)</w:t>
            </w:r>
          </w:p>
        </w:tc>
      </w:tr>
      <w:tr>
        <w:tblPrEx>
          <w:tblLayout w:type="fixed"/>
          <w:tblCellMar>
            <w:top w:w="0" w:type="dxa"/>
            <w:left w:w="108" w:type="dxa"/>
            <w:bottom w:w="0" w:type="dxa"/>
            <w:right w:w="108" w:type="dxa"/>
          </w:tblCellMar>
        </w:tblPrEx>
        <w:trPr>
          <w:trHeight w:val="3393"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安全管理系统</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▲1、系统：预装系统安全管理软件1套，全部功能采用同一品牌解决方案，C/S架构，B/S管理，简体中文界面。支持SQL Server、Oracle 、MySQL 、IBM DB2、PostGreSQL、Gbase等数据库。客户端支持的操作系统至少包括：Windows/ VISTA /2000/XP/2003 /win2008/win7/Win8/win10，客户端通过微软认证的数字签名；具有外设管理、违规外联监控、软硬件资产管理、流量监控、补丁和软件分发、远程维护、移动存储介质管理、安全网管、服务器健康监控等功能；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2、本地查看：客户端程序提供本地信息查看功能，终端使用人可通过拖盘程序查看本地计算机健康状态、账户共享信息、补丁安装状态、软硬件资产信息、进程服务运行情况；</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安全网管：系统支持网管功能，能够自动发现可网管网络设备，自动生成网络物理连接拓扑图，网络拓扑结构图可显示PC终端连接和开机情况，显示终端IP地址。支持故障定位，依据IP地址或者MAC地址进行故障主机的查询，并且在网络拓扑图中显示；（提供功能界面截图，盖供应商鲜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4、应用程序管理：控制客户端的本地环境上可使用的应用软件范围，禁止非法软件程序的安装和使用，支持黑、白、红三种名单方式；</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★5、违规外联管理，能够对终端计算机的违规外联行为进行控制，实时检测试图接入互联网的行为，一旦出现违规外联行为，系统自动报警并进行阻断；（提供功能界面截图，盖供应商鲜章）</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数据安全：支持对移动存储数据进行透明加密，避免由于移动设备丢失，造成移动设备内重要数据外泄。经过系统格式化为多个分区并注册的U盘，包括启动区、交换区、加密区、日志区，用户的访问操作权限可细化到分区。（提供功能界面截图，盖供应商鲜章）</w:t>
            </w:r>
          </w:p>
        </w:tc>
      </w:tr>
      <w:tr>
        <w:tblPrEx>
          <w:tblLayout w:type="fixed"/>
          <w:tblCellMar>
            <w:top w:w="0" w:type="dxa"/>
            <w:left w:w="108" w:type="dxa"/>
            <w:bottom w:w="0" w:type="dxa"/>
            <w:right w:w="108" w:type="dxa"/>
          </w:tblCellMar>
        </w:tblPrEx>
        <w:trPr>
          <w:trHeight w:val="589"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钢架结构</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1、圆形显示屏支撑钢架结构，采用4m*4cm和4cm*2cm镀锌矩管进行定制.国标Q235钢材现场定制</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顶部承重支撑架</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1、顶部高空承重架的安装和施工，根据现场制作</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开关电源</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92</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1、200W，具有过流欠压保护功能。</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配电箱</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1、支持远程上电、远程开关机和定时开关机</w:t>
            </w:r>
          </w:p>
        </w:tc>
      </w:tr>
      <w:tr>
        <w:tblPrEx>
          <w:tblLayout w:type="fixed"/>
          <w:tblCellMar>
            <w:top w:w="0" w:type="dxa"/>
            <w:left w:w="108" w:type="dxa"/>
            <w:bottom w:w="0" w:type="dxa"/>
            <w:right w:w="108" w:type="dxa"/>
          </w:tblCellMar>
        </w:tblPrEx>
        <w:trPr>
          <w:trHeight w:val="589"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1167" w:type="dxa"/>
            <w:tcBorders>
              <w:top w:val="nil"/>
              <w:left w:val="nil"/>
              <w:bottom w:val="single" w:color="auto" w:sz="4" w:space="0"/>
              <w:right w:val="single" w:color="auto" w:sz="4" w:space="0"/>
            </w:tcBorders>
            <w:noWrap w:val="0"/>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运输安装调试辅材费用</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1、按照招标文件要求自行组织，含全系统的运输、安装调试及售后服务，含满足本项目需求的所有设备、耗材及配件</w:t>
            </w:r>
          </w:p>
        </w:tc>
      </w:tr>
      <w:tr>
        <w:tblPrEx>
          <w:tblLayout w:type="fixed"/>
          <w:tblCellMar>
            <w:top w:w="0" w:type="dxa"/>
            <w:left w:w="108" w:type="dxa"/>
            <w:bottom w:w="0" w:type="dxa"/>
            <w:right w:w="108" w:type="dxa"/>
          </w:tblCellMar>
        </w:tblPrEx>
        <w:trPr>
          <w:trHeight w:val="460" w:hRule="atLeast"/>
        </w:trPr>
        <w:tc>
          <w:tcPr>
            <w:tcW w:w="894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3楼会议室：P2.5全彩LED显示屏</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设备名称</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单位</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数量</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备注</w:t>
            </w:r>
          </w:p>
        </w:tc>
      </w:tr>
      <w:tr>
        <w:tblPrEx>
          <w:tblLayout w:type="fixed"/>
          <w:tblCellMar>
            <w:top w:w="0" w:type="dxa"/>
            <w:left w:w="108" w:type="dxa"/>
            <w:bottom w:w="0" w:type="dxa"/>
            <w:right w:w="108" w:type="dxa"/>
          </w:tblCellMar>
        </w:tblPrEx>
        <w:trPr>
          <w:trHeight w:val="2282"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L</w:t>
            </w:r>
            <w:r>
              <w:rPr>
                <w:rFonts w:ascii="宋体" w:hAnsi="宋体" w:eastAsia="宋体" w:cs="宋体"/>
                <w:color w:val="000000"/>
                <w:kern w:val="0"/>
                <w:sz w:val="20"/>
                <w:szCs w:val="20"/>
              </w:rPr>
              <w:t>ED</w:t>
            </w:r>
            <w:r>
              <w:rPr>
                <w:rFonts w:hint="eastAsia" w:ascii="宋体" w:hAnsi="宋体" w:eastAsia="宋体" w:cs="宋体"/>
                <w:color w:val="000000"/>
                <w:kern w:val="0"/>
                <w:sz w:val="20"/>
                <w:szCs w:val="20"/>
              </w:rPr>
              <w:t>显示屏</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1、像素点间距：≤2.5mm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2、像素密度：≥160000点/㎡</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3、显示屏面积：长3.20m*高1.76m=5.6㎡，分辨率：≥1280*704</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4、显示屏模组尺寸：320mm(长)×160mm(宽)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5、显示屏亮度：≥1000cd/m²</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6、水平视角≥170°，垂直视角≥170°</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7、换帧频率：≥60Hz</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8、刷新频率：≥3840Hz</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9、色温：1500K-12000K可调</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10、对比度≥9000:1</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11、驱动IC：高灰高刷IC，具有行消隐功能</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12、亮度均匀性≥97%，色度均匀性±0.003Cx,Cy之内。</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13、最大功率≤600W/㎡，平均功率≤180W/㎡。</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★14.电源功率因素：内置电源具备PFC功能，功率因素≥0.95（提供2019年以来CNAS检测报告复印件加盖投标人公章)</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★15.具有智能节电功能：低转折节能，4档可调节恒流拐点电压（提供2019年以来CNAS检测报告复印件加盖投标人公章)</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接收卡</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1、单卡带载 512×256 像素</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视频处理器</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1、带载能力260万</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钢架结构</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1、显示屏支撑钢架结构，采用4m*4cm和4cm*2cm镀锌矩管进行定制.</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开关电源</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1、200W，具有过流欠压保护功能。</w:t>
            </w:r>
          </w:p>
        </w:tc>
      </w:tr>
      <w:tr>
        <w:tblPrEx>
          <w:tblLayout w:type="fixed"/>
          <w:tblCellMar>
            <w:top w:w="0" w:type="dxa"/>
            <w:left w:w="108" w:type="dxa"/>
            <w:bottom w:w="0" w:type="dxa"/>
            <w:right w:w="108" w:type="dxa"/>
          </w:tblCellMar>
        </w:tblPrEx>
        <w:trPr>
          <w:trHeight w:val="331"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167"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配电箱</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套</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1、支持远程上电、远程开关机和定时开关机</w:t>
            </w:r>
          </w:p>
        </w:tc>
      </w:tr>
      <w:tr>
        <w:tblPrEx>
          <w:tblLayout w:type="fixed"/>
          <w:tblCellMar>
            <w:top w:w="0" w:type="dxa"/>
            <w:left w:w="108" w:type="dxa"/>
            <w:bottom w:w="0" w:type="dxa"/>
            <w:right w:w="108" w:type="dxa"/>
          </w:tblCellMar>
        </w:tblPrEx>
        <w:trPr>
          <w:trHeight w:val="589" w:hRule="atLeast"/>
        </w:trPr>
        <w:tc>
          <w:tcPr>
            <w:tcW w:w="56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1167" w:type="dxa"/>
            <w:tcBorders>
              <w:top w:val="nil"/>
              <w:left w:val="nil"/>
              <w:bottom w:val="single" w:color="auto" w:sz="4" w:space="0"/>
              <w:right w:val="single" w:color="auto" w:sz="4" w:space="0"/>
            </w:tcBorders>
            <w:noWrap w:val="0"/>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运输安装调试辅材费用</w:t>
            </w:r>
          </w:p>
        </w:tc>
        <w:tc>
          <w:tcPr>
            <w:tcW w:w="5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99"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6057"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1、按照招标文件要求自行组织，含全系统的运输、安装调试及售后服务，含满足本项目需求的所有设备、耗材及配件</w:t>
            </w:r>
          </w:p>
        </w:tc>
      </w:tr>
    </w:tbl>
    <w:p>
      <w:pPr>
        <w:keepNext/>
        <w:keepLines/>
        <w:numPr>
          <w:ilvl w:val="0"/>
          <w:numId w:val="0"/>
        </w:numPr>
        <w:tabs>
          <w:tab w:val="left" w:pos="0"/>
          <w:tab w:val="left" w:pos="426"/>
          <w:tab w:val="left" w:pos="576"/>
          <w:tab w:val="left" w:pos="786"/>
        </w:tabs>
        <w:spacing w:line="360" w:lineRule="auto"/>
        <w:ind w:leftChars="0"/>
        <w:outlineLvl w:val="1"/>
        <w:rPr>
          <w:rFonts w:ascii="宋体" w:hAnsi="宋体"/>
          <w:b/>
          <w:bCs/>
          <w:sz w:val="28"/>
          <w:szCs w:val="32"/>
        </w:rPr>
      </w:pPr>
    </w:p>
    <w:p>
      <w:pPr>
        <w:adjustRightInd w:val="0"/>
        <w:snapToGrid w:val="0"/>
        <w:spacing w:line="360" w:lineRule="auto"/>
        <w:ind w:firstLine="621" w:firstLineChars="221"/>
        <w:rPr>
          <w:b/>
          <w:bCs/>
        </w:rPr>
      </w:pPr>
      <w:bookmarkStart w:id="154" w:name="_Toc529173741"/>
      <w:bookmarkStart w:id="155" w:name="_Toc533672602"/>
      <w:r>
        <w:rPr>
          <w:rFonts w:hint="eastAsia" w:ascii="宋体" w:hAnsi="宋体"/>
          <w:b/>
          <w:bCs/>
          <w:sz w:val="28"/>
          <w:szCs w:val="28"/>
          <w:lang w:val="en-US" w:eastAsia="zh-CN"/>
        </w:rPr>
        <w:t xml:space="preserve"> </w:t>
      </w:r>
      <w:r>
        <w:rPr>
          <w:rFonts w:hint="eastAsia" w:ascii="宋体" w:hAnsi="宋体"/>
          <w:b/>
          <w:bCs/>
          <w:sz w:val="28"/>
          <w:szCs w:val="28"/>
        </w:rPr>
        <w:t>本项目核心产品：LED显示屏</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6" w:name="_Toc88056435"/>
      <w:r>
        <w:rPr>
          <w:rFonts w:hint="eastAsia" w:ascii="宋体" w:hAnsi="宋体"/>
          <w:b/>
          <w:bCs/>
          <w:sz w:val="28"/>
          <w:szCs w:val="28"/>
        </w:rPr>
        <w:t>商务</w:t>
      </w:r>
      <w:r>
        <w:rPr>
          <w:rFonts w:ascii="宋体" w:hAnsi="宋体"/>
          <w:b/>
          <w:bCs/>
          <w:sz w:val="28"/>
          <w:szCs w:val="28"/>
        </w:rPr>
        <w:t>要求</w:t>
      </w:r>
      <w:bookmarkEnd w:id="156"/>
    </w:p>
    <w:bookmarkEnd w:id="154"/>
    <w:bookmarkEnd w:id="155"/>
    <w:p>
      <w:pPr>
        <w:keepNext/>
        <w:keepLines/>
        <w:numPr>
          <w:ilvl w:val="2"/>
          <w:numId w:val="3"/>
        </w:numPr>
        <w:spacing w:line="600" w:lineRule="exact"/>
        <w:ind w:left="3119" w:hanging="3119"/>
        <w:outlineLvl w:val="2"/>
        <w:rPr>
          <w:b/>
          <w:sz w:val="28"/>
          <w:szCs w:val="28"/>
        </w:rPr>
      </w:pPr>
      <w:r>
        <w:rPr>
          <w:b/>
          <w:sz w:val="28"/>
          <w:szCs w:val="28"/>
        </w:rPr>
        <w:t>最高限价</w:t>
      </w:r>
    </w:p>
    <w:p>
      <w:pPr>
        <w:spacing w:line="600" w:lineRule="exact"/>
        <w:ind w:firstLine="562" w:firstLineChars="200"/>
        <w:rPr>
          <w:rFonts w:asciiTheme="minorEastAsia" w:hAnsiTheme="minorEastAsia" w:eastAsiaTheme="minorEastAsia"/>
          <w:sz w:val="28"/>
          <w:szCs w:val="28"/>
          <w:lang w:val="zh-CN"/>
        </w:rPr>
      </w:pPr>
      <w:r>
        <w:rPr>
          <w:rFonts w:hint="eastAsia" w:ascii="宋体" w:hAnsi="宋体"/>
          <w:b/>
          <w:sz w:val="28"/>
          <w:szCs w:val="28"/>
          <w:lang w:val="zh-CN"/>
        </w:rPr>
        <w:t>★本项目</w:t>
      </w:r>
      <w:r>
        <w:rPr>
          <w:rFonts w:asciiTheme="minorEastAsia" w:hAnsiTheme="minorEastAsia" w:eastAsiaTheme="minorEastAsia"/>
          <w:b/>
          <w:sz w:val="28"/>
          <w:szCs w:val="28"/>
          <w:lang w:val="zh-CN"/>
        </w:rPr>
        <w:t>最高限价</w:t>
      </w:r>
      <w:r>
        <w:rPr>
          <w:rFonts w:hint="eastAsia"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en-US" w:eastAsia="zh-CN"/>
        </w:rPr>
        <w:t>48</w:t>
      </w:r>
      <w:r>
        <w:rPr>
          <w:rFonts w:hint="eastAsia" w:asciiTheme="minorEastAsia" w:hAnsiTheme="minorEastAsia" w:eastAsiaTheme="minorEastAsia"/>
          <w:b/>
          <w:sz w:val="28"/>
          <w:szCs w:val="28"/>
          <w:lang w:val="zh-CN"/>
        </w:rPr>
        <w:t>万元，投标人投标报价高于最高限价的其投标文件将按无效投标文件处理</w:t>
      </w:r>
      <w:r>
        <w:rPr>
          <w:rFonts w:hint="eastAsia" w:asciiTheme="minorEastAsia" w:hAnsiTheme="minorEastAsia" w:eastAsiaTheme="minorEastAsia"/>
          <w:sz w:val="28"/>
          <w:szCs w:val="28"/>
          <w:lang w:val="zh-CN"/>
        </w:rPr>
        <w:t>。</w:t>
      </w:r>
    </w:p>
    <w:p>
      <w:pPr>
        <w:keepNext/>
        <w:keepLines/>
        <w:numPr>
          <w:ilvl w:val="2"/>
          <w:numId w:val="3"/>
        </w:numPr>
        <w:spacing w:line="600" w:lineRule="exact"/>
        <w:ind w:left="3119" w:hanging="3119"/>
        <w:outlineLvl w:val="2"/>
        <w:rPr>
          <w:b/>
          <w:sz w:val="28"/>
          <w:szCs w:val="28"/>
        </w:rPr>
      </w:pPr>
      <w:r>
        <w:rPr>
          <w:rFonts w:hint="eastAsia"/>
          <w:b/>
          <w:sz w:val="28"/>
          <w:szCs w:val="28"/>
          <w:lang w:val="en-US" w:eastAsia="zh-CN"/>
        </w:rPr>
        <w:t>★包装、运输及保管、保险</w:t>
      </w:r>
    </w:p>
    <w:p>
      <w:pPr>
        <w:spacing w:line="600" w:lineRule="exact"/>
        <w:ind w:firstLine="703" w:firstLineChars="250"/>
        <w:rPr>
          <w:b/>
          <w:bCs w:val="0"/>
          <w:color w:val="auto"/>
          <w:sz w:val="28"/>
          <w:szCs w:val="28"/>
        </w:rPr>
      </w:pPr>
      <w:r>
        <w:rPr>
          <w:rFonts w:hint="eastAsia" w:asciiTheme="minorEastAsia" w:hAnsiTheme="minorEastAsia" w:eastAsiaTheme="minorEastAsia"/>
          <w:b/>
          <w:bCs w:val="0"/>
          <w:color w:val="auto"/>
          <w:sz w:val="28"/>
          <w:szCs w:val="28"/>
          <w:highlight w:val="none"/>
          <w:lang w:val="zh-CN"/>
        </w:rPr>
        <w:t>投标人承担本项目所有设备的包装、运输及现场安装前的保管、保险工作。（说明：投标人应按招标文件3.3.</w:t>
      </w:r>
      <w:r>
        <w:rPr>
          <w:rFonts w:hint="eastAsia" w:asciiTheme="minorEastAsia" w:hAnsiTheme="minorEastAsia" w:eastAsiaTheme="minorEastAsia"/>
          <w:b/>
          <w:bCs w:val="0"/>
          <w:color w:val="auto"/>
          <w:sz w:val="28"/>
          <w:szCs w:val="28"/>
          <w:highlight w:val="none"/>
          <w:lang w:val="en-US" w:eastAsia="zh-CN"/>
        </w:rPr>
        <w:t>5</w:t>
      </w:r>
      <w:r>
        <w:rPr>
          <w:rFonts w:hint="eastAsia" w:asciiTheme="minorEastAsia" w:hAnsiTheme="minorEastAsia" w:eastAsiaTheme="minorEastAsia"/>
          <w:b/>
          <w:bCs w:val="0"/>
          <w:color w:val="auto"/>
          <w:sz w:val="28"/>
          <w:szCs w:val="28"/>
          <w:highlight w:val="none"/>
          <w:lang w:val="zh-CN"/>
        </w:rPr>
        <w:t>承诺函的格式及要求提供承诺函。）</w:t>
      </w:r>
    </w:p>
    <w:p>
      <w:pPr>
        <w:keepNext/>
        <w:keepLines/>
        <w:numPr>
          <w:ilvl w:val="2"/>
          <w:numId w:val="3"/>
        </w:numPr>
        <w:spacing w:line="600" w:lineRule="exact"/>
        <w:ind w:left="3119" w:hanging="3119"/>
        <w:outlineLvl w:val="2"/>
        <w:rPr>
          <w:rFonts w:hint="eastAsia" w:asciiTheme="minorEastAsia" w:hAnsiTheme="minorEastAsia"/>
          <w:b/>
          <w:sz w:val="28"/>
          <w:szCs w:val="28"/>
          <w:highlight w:val="none"/>
          <w:lang w:val="zh-CN"/>
        </w:rPr>
      </w:pPr>
      <w:r>
        <w:rPr>
          <w:rFonts w:hint="eastAsia"/>
          <w:b/>
          <w:sz w:val="28"/>
          <w:szCs w:val="28"/>
          <w:highlight w:val="none"/>
        </w:rPr>
        <w:t>★</w:t>
      </w:r>
      <w:r>
        <w:rPr>
          <w:rFonts w:hint="eastAsia"/>
          <w:b/>
          <w:sz w:val="28"/>
          <w:szCs w:val="28"/>
          <w:highlight w:val="none"/>
          <w:lang w:val="en-US" w:eastAsia="zh-CN"/>
        </w:rPr>
        <w:t>质量保证与安装调试</w:t>
      </w:r>
    </w:p>
    <w:p>
      <w:pPr>
        <w:spacing w:line="600" w:lineRule="exact"/>
        <w:ind w:firstLine="703" w:firstLineChars="250"/>
        <w:rPr>
          <w:rFonts w:hint="eastAsia" w:asciiTheme="minorEastAsia" w:hAnsiTheme="minorEastAsia" w:eastAsiaTheme="minorEastAsia"/>
          <w:b/>
          <w:bCs w:val="0"/>
          <w:color w:val="auto"/>
          <w:sz w:val="28"/>
          <w:szCs w:val="28"/>
          <w:highlight w:val="none"/>
          <w:lang w:val="zh-CN"/>
        </w:rPr>
      </w:pPr>
      <w:r>
        <w:rPr>
          <w:rFonts w:hint="eastAsia" w:asciiTheme="minorEastAsia" w:hAnsiTheme="minorEastAsia" w:eastAsiaTheme="minorEastAsia"/>
          <w:b/>
          <w:bCs w:val="0"/>
          <w:color w:val="auto"/>
          <w:sz w:val="28"/>
          <w:szCs w:val="28"/>
          <w:highlight w:val="none"/>
          <w:lang w:val="zh-CN"/>
        </w:rPr>
        <w:t>1.本项目整体质量保证期为24个月，质量保证期自所有货物在采购人使用现场安装调试完毕经验收合格并验收合格签署验收证书之日起算。</w:t>
      </w:r>
    </w:p>
    <w:p>
      <w:pPr>
        <w:spacing w:line="600" w:lineRule="exact"/>
        <w:ind w:firstLine="703" w:firstLineChars="250"/>
        <w:rPr>
          <w:rFonts w:hint="eastAsia" w:asciiTheme="minorEastAsia" w:hAnsiTheme="minorEastAsia" w:eastAsiaTheme="minorEastAsia"/>
          <w:b/>
          <w:bCs w:val="0"/>
          <w:color w:val="auto"/>
          <w:sz w:val="28"/>
          <w:szCs w:val="28"/>
          <w:highlight w:val="none"/>
          <w:lang w:val="zh-CN"/>
        </w:rPr>
      </w:pPr>
      <w:r>
        <w:rPr>
          <w:rFonts w:hint="eastAsia" w:asciiTheme="minorEastAsia" w:hAnsiTheme="minorEastAsia" w:eastAsiaTheme="minorEastAsia"/>
          <w:b/>
          <w:bCs w:val="0"/>
          <w:color w:val="auto"/>
          <w:sz w:val="28"/>
          <w:szCs w:val="28"/>
          <w:highlight w:val="none"/>
          <w:lang w:val="en-US" w:eastAsia="zh-CN"/>
        </w:rPr>
        <w:t>2</w:t>
      </w:r>
      <w:r>
        <w:rPr>
          <w:rFonts w:hint="eastAsia" w:asciiTheme="minorEastAsia" w:hAnsiTheme="minorEastAsia" w:eastAsiaTheme="minorEastAsia"/>
          <w:b/>
          <w:bCs w:val="0"/>
          <w:color w:val="auto"/>
          <w:sz w:val="28"/>
          <w:szCs w:val="28"/>
          <w:highlight w:val="none"/>
          <w:lang w:val="zh-CN"/>
        </w:rPr>
        <w:t>.质量保证期内，</w:t>
      </w:r>
      <w:r>
        <w:rPr>
          <w:rFonts w:hint="eastAsia" w:asciiTheme="minorEastAsia" w:hAnsiTheme="minorEastAsia" w:eastAsiaTheme="minorEastAsia"/>
          <w:b/>
          <w:bCs w:val="0"/>
          <w:color w:val="auto"/>
          <w:sz w:val="28"/>
          <w:szCs w:val="28"/>
          <w:highlight w:val="none"/>
          <w:lang w:val="en-US" w:eastAsia="zh-CN"/>
        </w:rPr>
        <w:t>投标人</w:t>
      </w:r>
      <w:r>
        <w:rPr>
          <w:rFonts w:hint="eastAsia" w:asciiTheme="minorEastAsia" w:hAnsiTheme="minorEastAsia" w:eastAsiaTheme="minorEastAsia"/>
          <w:b/>
          <w:bCs w:val="0"/>
          <w:color w:val="auto"/>
          <w:sz w:val="28"/>
          <w:szCs w:val="28"/>
          <w:highlight w:val="none"/>
          <w:lang w:val="zh-CN"/>
        </w:rPr>
        <w:t>应依照国家有关质量保证的相关法规以及本项目招标文件、投标文件的相关要求、承诺等，履行质量保证义务。</w:t>
      </w:r>
    </w:p>
    <w:p>
      <w:pPr>
        <w:spacing w:line="600" w:lineRule="exact"/>
        <w:ind w:firstLine="703" w:firstLineChars="250"/>
        <w:rPr>
          <w:rFonts w:hint="eastAsia" w:asciiTheme="minorEastAsia" w:hAnsiTheme="minorEastAsia" w:eastAsiaTheme="minorEastAsia"/>
          <w:b/>
          <w:bCs w:val="0"/>
          <w:color w:val="auto"/>
          <w:sz w:val="28"/>
          <w:szCs w:val="28"/>
          <w:highlight w:val="none"/>
          <w:lang w:val="zh-CN"/>
        </w:rPr>
      </w:pPr>
      <w:r>
        <w:rPr>
          <w:rFonts w:hint="eastAsia" w:asciiTheme="minorEastAsia" w:hAnsiTheme="minorEastAsia" w:eastAsiaTheme="minorEastAsia"/>
          <w:b/>
          <w:bCs w:val="0"/>
          <w:color w:val="auto"/>
          <w:sz w:val="28"/>
          <w:szCs w:val="28"/>
          <w:highlight w:val="none"/>
          <w:lang w:val="en-US" w:eastAsia="zh-CN"/>
        </w:rPr>
        <w:t>3.</w:t>
      </w:r>
      <w:r>
        <w:rPr>
          <w:rFonts w:hint="eastAsia" w:asciiTheme="minorEastAsia" w:hAnsiTheme="minorEastAsia" w:eastAsiaTheme="minorEastAsia"/>
          <w:b/>
          <w:bCs w:val="0"/>
          <w:color w:val="auto"/>
          <w:sz w:val="28"/>
          <w:szCs w:val="28"/>
          <w:highlight w:val="none"/>
          <w:lang w:val="zh-CN"/>
        </w:rPr>
        <w:t>投标人必须提供本项目采购所有硬件安装服务的全部内容，保证LED大屏单元安装，显示屏背部弱电和强电布线、接线，控制系统安装，大屏参数调节和系统联调、网络联调等。（说明：投标人应按招标文件3.3.5承诺函的格式及要求提供承诺函。）</w:t>
      </w:r>
    </w:p>
    <w:p>
      <w:pPr>
        <w:keepNext/>
        <w:keepLines/>
        <w:numPr>
          <w:ilvl w:val="2"/>
          <w:numId w:val="3"/>
        </w:numPr>
        <w:spacing w:line="600" w:lineRule="exact"/>
        <w:ind w:left="3119" w:hanging="3119"/>
        <w:outlineLvl w:val="2"/>
        <w:rPr>
          <w:b/>
          <w:sz w:val="28"/>
          <w:szCs w:val="28"/>
        </w:rPr>
      </w:pPr>
      <w:r>
        <w:rPr>
          <w:rFonts w:hint="eastAsia"/>
          <w:b/>
          <w:sz w:val="28"/>
          <w:szCs w:val="28"/>
        </w:rPr>
        <w:t>★</w:t>
      </w:r>
      <w:r>
        <w:rPr>
          <w:rFonts w:hint="eastAsia"/>
          <w:b/>
          <w:sz w:val="28"/>
          <w:szCs w:val="28"/>
          <w:lang w:val="en-US" w:eastAsia="zh-CN"/>
        </w:rPr>
        <w:t>交货时间</w:t>
      </w:r>
    </w:p>
    <w:p>
      <w:pPr>
        <w:spacing w:line="600" w:lineRule="exact"/>
        <w:ind w:firstLine="703" w:firstLineChars="250"/>
        <w:rPr>
          <w:b/>
          <w:sz w:val="28"/>
          <w:szCs w:val="28"/>
        </w:rPr>
      </w:pPr>
      <w:r>
        <w:rPr>
          <w:rFonts w:hint="eastAsia" w:asciiTheme="minorEastAsia" w:hAnsiTheme="minorEastAsia" w:eastAsiaTheme="minorEastAsia"/>
          <w:b/>
          <w:bCs w:val="0"/>
          <w:color w:val="auto"/>
          <w:sz w:val="28"/>
          <w:szCs w:val="28"/>
          <w:highlight w:val="none"/>
          <w:lang w:val="zh-CN"/>
        </w:rPr>
        <w:t>合同签订后</w:t>
      </w:r>
      <w:r>
        <w:rPr>
          <w:rFonts w:hint="eastAsia" w:asciiTheme="minorEastAsia" w:hAnsiTheme="minorEastAsia" w:eastAsiaTheme="minorEastAsia"/>
          <w:b/>
          <w:bCs w:val="0"/>
          <w:color w:val="auto"/>
          <w:sz w:val="28"/>
          <w:szCs w:val="28"/>
          <w:highlight w:val="none"/>
          <w:lang w:val="en-US" w:eastAsia="zh-CN"/>
        </w:rPr>
        <w:t>15</w:t>
      </w:r>
      <w:r>
        <w:rPr>
          <w:rFonts w:hint="eastAsia" w:asciiTheme="minorEastAsia" w:hAnsiTheme="minorEastAsia" w:eastAsiaTheme="minorEastAsia"/>
          <w:b/>
          <w:bCs w:val="0"/>
          <w:color w:val="auto"/>
          <w:sz w:val="28"/>
          <w:szCs w:val="28"/>
          <w:highlight w:val="none"/>
          <w:lang w:val="zh-CN"/>
        </w:rPr>
        <w:t>日内，完成项目整体的安装、调试及验收。</w:t>
      </w:r>
      <w:r>
        <w:rPr>
          <w:rFonts w:hint="eastAsia" w:asciiTheme="minorEastAsia" w:hAnsiTheme="minorEastAsia"/>
          <w:b/>
          <w:bCs/>
          <w:sz w:val="28"/>
          <w:szCs w:val="28"/>
          <w:lang w:val="zh-CN"/>
        </w:rPr>
        <w:t>（说明：投标人应按招标文件</w:t>
      </w:r>
      <w:r>
        <w:rPr>
          <w:rFonts w:ascii="Times New Roman" w:hAnsi="Times New Roman"/>
          <w:b/>
          <w:bCs/>
          <w:sz w:val="28"/>
          <w:szCs w:val="28"/>
          <w:lang w:val="zh-CN"/>
        </w:rPr>
        <w:t>3.3</w:t>
      </w:r>
      <w:r>
        <w:rPr>
          <w:rFonts w:hint="eastAsia" w:ascii="Times New Roman" w:hAnsi="Times New Roman"/>
          <w:b/>
          <w:bCs/>
          <w:sz w:val="28"/>
          <w:szCs w:val="28"/>
          <w:lang w:val="zh-CN"/>
        </w:rPr>
        <w:t>.5</w:t>
      </w:r>
      <w:r>
        <w:rPr>
          <w:rFonts w:hint="eastAsia" w:asciiTheme="minorEastAsia" w:hAnsiTheme="minorEastAsia"/>
          <w:b/>
          <w:bCs/>
          <w:sz w:val="28"/>
          <w:szCs w:val="28"/>
          <w:lang w:val="zh-CN"/>
        </w:rPr>
        <w:t>承诺函的格式及要求提供承诺函。）</w:t>
      </w:r>
    </w:p>
    <w:p>
      <w:pPr>
        <w:keepNext/>
        <w:keepLines/>
        <w:numPr>
          <w:ilvl w:val="2"/>
          <w:numId w:val="3"/>
        </w:numPr>
        <w:spacing w:line="600" w:lineRule="exact"/>
        <w:ind w:left="3119" w:hanging="3119"/>
        <w:outlineLvl w:val="2"/>
        <w:rPr>
          <w:b/>
          <w:sz w:val="28"/>
          <w:szCs w:val="28"/>
        </w:rPr>
      </w:pPr>
      <w:r>
        <w:rPr>
          <w:rFonts w:hint="eastAsia"/>
          <w:b/>
          <w:sz w:val="28"/>
          <w:szCs w:val="28"/>
        </w:rPr>
        <w:t>交</w:t>
      </w:r>
      <w:r>
        <w:rPr>
          <w:b/>
          <w:sz w:val="28"/>
          <w:szCs w:val="28"/>
        </w:rPr>
        <w:t>货地点</w:t>
      </w:r>
    </w:p>
    <w:p>
      <w:pPr>
        <w:tabs>
          <w:tab w:val="left" w:pos="1134"/>
        </w:tabs>
        <w:spacing w:line="600" w:lineRule="exact"/>
        <w:ind w:firstLine="565" w:firstLineChars="202"/>
        <w:rPr>
          <w:rFonts w:asciiTheme="minorEastAsia" w:hAnsiTheme="minorEastAsia"/>
          <w:b/>
          <w:bCs/>
          <w:color w:val="auto"/>
          <w:sz w:val="28"/>
          <w:szCs w:val="28"/>
        </w:rPr>
      </w:pPr>
      <w:r>
        <w:rPr>
          <w:rFonts w:hint="eastAsia" w:asciiTheme="minorEastAsia" w:hAnsiTheme="minorEastAsia"/>
          <w:b w:val="0"/>
          <w:bCs w:val="0"/>
          <w:color w:val="auto"/>
          <w:sz w:val="28"/>
          <w:szCs w:val="28"/>
          <w:highlight w:val="none"/>
          <w:lang w:eastAsia="zh-CN"/>
        </w:rPr>
        <w:t xml:space="preserve"> </w:t>
      </w:r>
      <w:r>
        <w:rPr>
          <w:rFonts w:hint="eastAsia" w:asciiTheme="minorEastAsia" w:hAnsiTheme="minorEastAsia"/>
          <w:b w:val="0"/>
          <w:bCs w:val="0"/>
          <w:color w:val="auto"/>
          <w:sz w:val="28"/>
          <w:szCs w:val="28"/>
          <w:highlight w:val="none"/>
          <w:lang w:val="en-US" w:eastAsia="zh-CN"/>
        </w:rPr>
        <w:t>采购人指定地点。</w:t>
      </w:r>
    </w:p>
    <w:p>
      <w:pPr>
        <w:keepNext/>
        <w:keepLines/>
        <w:numPr>
          <w:ilvl w:val="2"/>
          <w:numId w:val="3"/>
        </w:numPr>
        <w:spacing w:line="600" w:lineRule="exact"/>
        <w:ind w:left="3119" w:hanging="3119"/>
        <w:outlineLvl w:val="2"/>
        <w:rPr>
          <w:b/>
          <w:sz w:val="28"/>
          <w:szCs w:val="28"/>
        </w:rPr>
      </w:pPr>
      <w:r>
        <w:rPr>
          <w:rFonts w:hint="eastAsia"/>
          <w:b/>
          <w:sz w:val="28"/>
          <w:szCs w:val="28"/>
        </w:rPr>
        <w:t>★</w:t>
      </w:r>
      <w:r>
        <w:rPr>
          <w:b/>
          <w:sz w:val="28"/>
          <w:szCs w:val="28"/>
        </w:rPr>
        <w:t>付款方式</w:t>
      </w:r>
    </w:p>
    <w:p>
      <w:pPr>
        <w:spacing w:line="600" w:lineRule="exact"/>
        <w:ind w:firstLine="562" w:firstLineChars="200"/>
        <w:rPr>
          <w:rFonts w:hint="eastAsia" w:asciiTheme="minorEastAsia" w:hAnsiTheme="minorEastAsia" w:eastAsiaTheme="minorEastAsia"/>
          <w:sz w:val="28"/>
          <w:szCs w:val="28"/>
          <w:lang w:val="zh-CN"/>
        </w:rPr>
      </w:pPr>
      <w:r>
        <w:rPr>
          <w:rFonts w:hint="eastAsia" w:asciiTheme="minorEastAsia" w:hAnsiTheme="minorEastAsia" w:eastAsiaTheme="minorEastAsia"/>
          <w:b/>
          <w:bCs/>
          <w:sz w:val="28"/>
          <w:szCs w:val="28"/>
          <w:lang w:val="zh-CN"/>
        </w:rPr>
        <w:t>本项目中标通知书发放之日起5个工作日内签订合同、备案及支付预付款，预付款为合同</w:t>
      </w:r>
      <w:r>
        <w:rPr>
          <w:rFonts w:hint="eastAsia" w:asciiTheme="minorEastAsia" w:hAnsiTheme="minorEastAsia" w:eastAsiaTheme="minorEastAsia"/>
          <w:b/>
          <w:bCs/>
          <w:sz w:val="28"/>
          <w:szCs w:val="28"/>
          <w:lang w:val="en-US" w:eastAsia="zh-CN"/>
        </w:rPr>
        <w:t>总</w:t>
      </w:r>
      <w:r>
        <w:rPr>
          <w:rFonts w:hint="eastAsia" w:asciiTheme="minorEastAsia" w:hAnsiTheme="minorEastAsia" w:eastAsiaTheme="minorEastAsia"/>
          <w:b/>
          <w:bCs/>
          <w:sz w:val="28"/>
          <w:szCs w:val="28"/>
          <w:lang w:val="zh-CN"/>
        </w:rPr>
        <w:t>金额的30%。所有货物在采购人使用现场安装调试完毕并经</w:t>
      </w:r>
      <w:r>
        <w:rPr>
          <w:rFonts w:hint="eastAsia" w:asciiTheme="minorEastAsia" w:hAnsiTheme="minorEastAsia" w:eastAsiaTheme="minorEastAsia"/>
          <w:b/>
          <w:bCs/>
          <w:sz w:val="28"/>
          <w:szCs w:val="28"/>
          <w:highlight w:val="none"/>
          <w:lang w:val="zh-CN"/>
        </w:rPr>
        <w:t>验收合格交货后30日内，</w:t>
      </w:r>
      <w:r>
        <w:rPr>
          <w:rFonts w:hint="eastAsia" w:asciiTheme="minorEastAsia" w:hAnsiTheme="minorEastAsia" w:eastAsiaTheme="minorEastAsia"/>
          <w:b/>
          <w:bCs/>
          <w:sz w:val="28"/>
          <w:szCs w:val="28"/>
          <w:lang w:val="zh-CN"/>
        </w:rPr>
        <w:t>采购人向投标人支付合同总金额70%合同款。</w:t>
      </w:r>
      <w:r>
        <w:rPr>
          <w:rFonts w:hint="eastAsia" w:asciiTheme="minorEastAsia" w:hAnsiTheme="minorEastAsia"/>
          <w:b/>
          <w:bCs/>
          <w:sz w:val="28"/>
          <w:szCs w:val="28"/>
          <w:lang w:val="zh-CN"/>
        </w:rPr>
        <w:t>（说明：投标人应按招标文件</w:t>
      </w:r>
      <w:r>
        <w:rPr>
          <w:rFonts w:ascii="Times New Roman" w:hAnsi="Times New Roman"/>
          <w:b/>
          <w:bCs/>
          <w:sz w:val="28"/>
          <w:szCs w:val="28"/>
          <w:lang w:val="zh-CN"/>
        </w:rPr>
        <w:t>3.3</w:t>
      </w:r>
      <w:r>
        <w:rPr>
          <w:rFonts w:hint="eastAsia" w:ascii="Times New Roman" w:hAnsi="Times New Roman"/>
          <w:b/>
          <w:bCs/>
          <w:sz w:val="28"/>
          <w:szCs w:val="28"/>
          <w:lang w:val="zh-CN"/>
        </w:rPr>
        <w:t>.5</w:t>
      </w:r>
      <w:r>
        <w:rPr>
          <w:rFonts w:hint="eastAsia" w:asciiTheme="minorEastAsia" w:hAnsiTheme="minorEastAsia"/>
          <w:b/>
          <w:bCs/>
          <w:sz w:val="28"/>
          <w:szCs w:val="28"/>
          <w:lang w:val="zh-CN"/>
        </w:rPr>
        <w:t>承诺函的格式及要求提供承诺函。）</w:t>
      </w:r>
    </w:p>
    <w:p>
      <w:pPr>
        <w:keepNext/>
        <w:keepLines/>
        <w:numPr>
          <w:ilvl w:val="2"/>
          <w:numId w:val="3"/>
        </w:numPr>
        <w:spacing w:line="600" w:lineRule="exact"/>
        <w:ind w:left="3119" w:hanging="3119"/>
        <w:outlineLvl w:val="2"/>
        <w:rPr>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w:t>
      </w:r>
      <w:r>
        <w:rPr>
          <w:b/>
          <w:color w:val="000000" w:themeColor="text1"/>
          <w:sz w:val="28"/>
          <w:szCs w:val="28"/>
          <w:highlight w:val="none"/>
          <w14:textFill>
            <w14:solidFill>
              <w14:schemeClr w14:val="tx1"/>
            </w14:solidFill>
          </w14:textFill>
        </w:rPr>
        <w:t>售后服务要求</w:t>
      </w:r>
    </w:p>
    <w:p>
      <w:pPr>
        <w:spacing w:line="600" w:lineRule="exact"/>
        <w:ind w:firstLine="562" w:firstLineChars="200"/>
        <w:rPr>
          <w:rFonts w:hint="eastAsia" w:asciiTheme="minorEastAsia" w:hAnsiTheme="minorEastAsia" w:eastAsiaTheme="minorEastAsia"/>
          <w:b/>
          <w:bCs/>
          <w:sz w:val="28"/>
          <w:szCs w:val="28"/>
          <w:highlight w:val="none"/>
          <w:lang w:val="zh-CN" w:eastAsia="zh-CN"/>
        </w:rPr>
      </w:pPr>
      <w:r>
        <w:rPr>
          <w:rFonts w:hint="eastAsia" w:asciiTheme="minorEastAsia" w:hAnsiTheme="minorEastAsia" w:eastAsiaTheme="minorEastAsia"/>
          <w:b/>
          <w:bCs/>
          <w:sz w:val="28"/>
          <w:szCs w:val="28"/>
          <w:highlight w:val="none"/>
          <w:lang w:val="en-US" w:eastAsia="zh-CN"/>
        </w:rPr>
        <w:t>1.</w:t>
      </w:r>
      <w:r>
        <w:rPr>
          <w:rFonts w:hint="eastAsia" w:asciiTheme="minorEastAsia" w:hAnsiTheme="minorEastAsia" w:eastAsiaTheme="minorEastAsia"/>
          <w:b/>
          <w:bCs/>
          <w:sz w:val="28"/>
          <w:szCs w:val="28"/>
          <w:highlight w:val="none"/>
          <w:lang w:val="zh-CN" w:eastAsia="zh-CN"/>
        </w:rPr>
        <w:t>严格履行服务期内采购的商品、设备及服务保修义务；提供全天24小时技术支持服务，对采购人反映的问题在2小时之内及时响应并安排故障解决人员远程解决问题，在远程不能解决问题的情况下，应确保8小时之内赶到现场处理问题。</w:t>
      </w:r>
    </w:p>
    <w:p>
      <w:pPr>
        <w:spacing w:line="600" w:lineRule="exact"/>
        <w:ind w:firstLine="562" w:firstLineChars="200"/>
        <w:rPr>
          <w:rFonts w:hint="eastAsia" w:asciiTheme="minorEastAsia" w:hAnsiTheme="minorEastAsia" w:eastAsiaTheme="minorEastAsia"/>
          <w:b/>
          <w:bCs/>
          <w:sz w:val="28"/>
          <w:szCs w:val="28"/>
          <w:highlight w:val="none"/>
          <w:lang w:val="zh-CN" w:eastAsia="zh-CN"/>
        </w:rPr>
      </w:pPr>
      <w:r>
        <w:rPr>
          <w:rFonts w:hint="eastAsia" w:asciiTheme="minorEastAsia" w:hAnsiTheme="minorEastAsia" w:eastAsiaTheme="minorEastAsia"/>
          <w:b/>
          <w:bCs/>
          <w:sz w:val="28"/>
          <w:szCs w:val="28"/>
          <w:highlight w:val="none"/>
          <w:lang w:val="en-US" w:eastAsia="zh-CN"/>
        </w:rPr>
        <w:t>2.投标人</w:t>
      </w:r>
      <w:r>
        <w:rPr>
          <w:rFonts w:hint="eastAsia" w:asciiTheme="minorEastAsia" w:hAnsiTheme="minorEastAsia" w:eastAsiaTheme="minorEastAsia"/>
          <w:b/>
          <w:bCs/>
          <w:sz w:val="28"/>
          <w:szCs w:val="28"/>
          <w:highlight w:val="none"/>
          <w:lang w:val="zh-CN" w:eastAsia="zh-CN"/>
        </w:rPr>
        <w:t>提供的维护、升级等要求，费用包含在本次项目内，</w:t>
      </w:r>
      <w:r>
        <w:rPr>
          <w:rFonts w:hint="eastAsia" w:asciiTheme="minorEastAsia" w:hAnsiTheme="minorEastAsia" w:eastAsiaTheme="minorEastAsia"/>
          <w:b/>
          <w:bCs/>
          <w:sz w:val="28"/>
          <w:szCs w:val="28"/>
          <w:highlight w:val="none"/>
          <w:lang w:val="en-US" w:eastAsia="zh-CN"/>
        </w:rPr>
        <w:t>不少于5%的备品备件</w:t>
      </w:r>
      <w:r>
        <w:rPr>
          <w:rFonts w:hint="eastAsia" w:asciiTheme="minorEastAsia" w:hAnsiTheme="minorEastAsia" w:eastAsiaTheme="minorEastAsia"/>
          <w:b/>
          <w:bCs/>
          <w:sz w:val="28"/>
          <w:szCs w:val="28"/>
          <w:highlight w:val="none"/>
          <w:lang w:val="zh-CN" w:eastAsia="zh-CN"/>
        </w:rPr>
        <w:t>。</w:t>
      </w:r>
    </w:p>
    <w:p>
      <w:pPr>
        <w:spacing w:line="600" w:lineRule="exact"/>
        <w:ind w:firstLine="562" w:firstLineChars="200"/>
        <w:rPr>
          <w:rFonts w:hint="eastAsia" w:asciiTheme="minorEastAsia" w:hAnsiTheme="minorEastAsia" w:eastAsiaTheme="minorEastAsia"/>
          <w:b/>
          <w:bCs/>
          <w:sz w:val="28"/>
          <w:szCs w:val="28"/>
          <w:highlight w:val="none"/>
          <w:lang w:val="zh-CN" w:eastAsia="zh-CN"/>
        </w:rPr>
      </w:pPr>
      <w:r>
        <w:rPr>
          <w:rFonts w:hint="eastAsia" w:asciiTheme="minorEastAsia" w:hAnsiTheme="minorEastAsia" w:eastAsiaTheme="minorEastAsia"/>
          <w:b/>
          <w:bCs/>
          <w:sz w:val="28"/>
          <w:szCs w:val="28"/>
          <w:highlight w:val="none"/>
          <w:lang w:val="en-US" w:eastAsia="zh-CN"/>
        </w:rPr>
        <w:t>3.</w:t>
      </w:r>
      <w:r>
        <w:rPr>
          <w:rFonts w:hint="eastAsia" w:asciiTheme="minorEastAsia" w:hAnsiTheme="minorEastAsia" w:eastAsiaTheme="minorEastAsia"/>
          <w:b/>
          <w:bCs/>
          <w:sz w:val="28"/>
          <w:szCs w:val="28"/>
          <w:highlight w:val="none"/>
          <w:lang w:val="zh-CN"/>
        </w:rPr>
        <w:t>现场支持。有重大活动需要显示系统时，投标人将派出足够技术人员到场提供技术保障，确保系统正常运行。</w:t>
      </w:r>
    </w:p>
    <w:p>
      <w:pPr>
        <w:spacing w:line="600" w:lineRule="exact"/>
        <w:ind w:firstLine="562" w:firstLineChars="200"/>
        <w:rPr>
          <w:rFonts w:hint="eastAsia" w:asciiTheme="minorEastAsia" w:hAnsiTheme="minorEastAsia" w:eastAsiaTheme="minorEastAsia"/>
          <w:b/>
          <w:bCs/>
          <w:sz w:val="28"/>
          <w:szCs w:val="28"/>
          <w:highlight w:val="none"/>
          <w:lang w:val="zh-CN" w:eastAsia="zh-CN"/>
        </w:rPr>
      </w:pPr>
      <w:r>
        <w:rPr>
          <w:rFonts w:hint="eastAsia" w:asciiTheme="minorEastAsia" w:hAnsiTheme="minorEastAsia" w:eastAsiaTheme="minorEastAsia"/>
          <w:b/>
          <w:bCs/>
          <w:sz w:val="28"/>
          <w:szCs w:val="28"/>
          <w:highlight w:val="none"/>
          <w:lang w:val="en-US" w:eastAsia="zh-CN"/>
        </w:rPr>
        <w:t>4.</w:t>
      </w:r>
      <w:r>
        <w:rPr>
          <w:rFonts w:hint="eastAsia" w:asciiTheme="minorEastAsia" w:hAnsiTheme="minorEastAsia" w:eastAsiaTheme="minorEastAsia"/>
          <w:b/>
          <w:bCs/>
          <w:sz w:val="28"/>
          <w:szCs w:val="28"/>
          <w:highlight w:val="none"/>
          <w:lang w:val="zh-CN"/>
        </w:rPr>
        <w:t>投标人应为本项目提供培训服务，培训内容包含LED显示系统基础知识；LED显示单元的工作原理；控制软件的操作程序和管理；常见故障的排除和解决；系统的日常维护与安全注意事项系统的软件安装；系统软件的日常维护；简单的软硬件故障处理。</w:t>
      </w:r>
    </w:p>
    <w:p>
      <w:pPr>
        <w:spacing w:line="600" w:lineRule="exact"/>
        <w:ind w:firstLine="562" w:firstLineChars="200"/>
        <w:rPr>
          <w:rFonts w:asciiTheme="minorEastAsia" w:hAnsiTheme="minorEastAsia" w:eastAsiaTheme="minorEastAsia"/>
          <w:sz w:val="28"/>
          <w:szCs w:val="28"/>
          <w:highlight w:val="none"/>
          <w:lang w:val="zh-CN"/>
        </w:rPr>
      </w:pPr>
      <w:r>
        <w:rPr>
          <w:rFonts w:hint="eastAsia" w:asciiTheme="minorEastAsia" w:hAnsiTheme="minorEastAsia"/>
          <w:b/>
          <w:bCs/>
          <w:sz w:val="28"/>
          <w:szCs w:val="28"/>
          <w:highlight w:val="none"/>
          <w:lang w:val="zh-CN"/>
        </w:rPr>
        <w:t>（说明：投标人应按招标文件</w:t>
      </w:r>
      <w:r>
        <w:rPr>
          <w:rFonts w:ascii="Times New Roman" w:hAnsi="Times New Roman"/>
          <w:b/>
          <w:bCs/>
          <w:sz w:val="28"/>
          <w:szCs w:val="28"/>
          <w:highlight w:val="none"/>
          <w:lang w:val="zh-CN"/>
        </w:rPr>
        <w:t>3.3</w:t>
      </w:r>
      <w:r>
        <w:rPr>
          <w:rFonts w:hint="eastAsia" w:ascii="Times New Roman" w:hAnsi="Times New Roman"/>
          <w:b/>
          <w:bCs/>
          <w:sz w:val="28"/>
          <w:szCs w:val="28"/>
          <w:highlight w:val="none"/>
          <w:lang w:val="zh-CN"/>
        </w:rPr>
        <w:t>.5</w:t>
      </w:r>
      <w:r>
        <w:rPr>
          <w:rFonts w:hint="eastAsia" w:asciiTheme="minorEastAsia" w:hAnsiTheme="minorEastAsia"/>
          <w:b/>
          <w:bCs/>
          <w:sz w:val="28"/>
          <w:szCs w:val="28"/>
          <w:highlight w:val="none"/>
          <w:lang w:val="zh-CN"/>
        </w:rPr>
        <w:t>承诺函的格式及要求提供承诺函。）</w:t>
      </w:r>
    </w:p>
    <w:p>
      <w:pPr>
        <w:keepNext/>
        <w:keepLines/>
        <w:numPr>
          <w:ilvl w:val="2"/>
          <w:numId w:val="3"/>
        </w:numPr>
        <w:spacing w:line="600" w:lineRule="exact"/>
        <w:ind w:left="3119" w:hanging="3119"/>
        <w:outlineLvl w:val="2"/>
        <w:rPr>
          <w:b/>
          <w:sz w:val="28"/>
          <w:szCs w:val="28"/>
        </w:rPr>
      </w:pPr>
      <w:r>
        <w:rPr>
          <w:b/>
          <w:sz w:val="28"/>
          <w:szCs w:val="28"/>
        </w:rPr>
        <w:t>验收标准</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1.</w:t>
      </w:r>
      <w:r>
        <w:rPr>
          <w:rFonts w:hint="eastAsia" w:asciiTheme="minorEastAsia" w:hAnsiTheme="minorEastAsia" w:eastAsiaTheme="minorEastAsia"/>
          <w:color w:val="auto"/>
          <w:sz w:val="28"/>
          <w:szCs w:val="28"/>
          <w:highlight w:val="none"/>
          <w:lang w:val="zh-CN"/>
        </w:rPr>
        <w:t>货物到达现场后，投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应经采购人或其指定验收单位清点品名、规格、数量；检查外观，作出验收记录，双方签字确认。</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2.</w:t>
      </w:r>
      <w:r>
        <w:rPr>
          <w:rFonts w:hint="eastAsia" w:asciiTheme="minorEastAsia" w:hAnsiTheme="minorEastAsia" w:eastAsiaTheme="minorEastAsia"/>
          <w:color w:val="auto"/>
          <w:sz w:val="28"/>
          <w:szCs w:val="28"/>
          <w:highlight w:val="none"/>
          <w:lang w:val="zh-CN"/>
        </w:rPr>
        <w:t>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应保证货物到达用户所在地完好无损，如有缺漏、损坏，由投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负责调换、补齐或赔偿。</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lang w:val="zh-CN"/>
        </w:rPr>
        <w:t>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应提供完备的技术资料、装箱单和合格证等，并派遣专业技术人员进行现场安装调试。验收合格条件如下：</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zh-CN"/>
        </w:rPr>
        <w:t>（</w:t>
      </w:r>
      <w:r>
        <w:rPr>
          <w:rFonts w:hint="eastAsia" w:asciiTheme="minorEastAsia" w:hAnsiTheme="minorEastAsia" w:eastAsiaTheme="minorEastAsia"/>
          <w:color w:val="auto"/>
          <w:sz w:val="28"/>
          <w:szCs w:val="28"/>
          <w:highlight w:val="none"/>
          <w:lang w:val="en-US" w:eastAsia="zh-CN"/>
        </w:rPr>
        <w:t>1</w:t>
      </w:r>
      <w:r>
        <w:rPr>
          <w:rFonts w:hint="eastAsia" w:asciiTheme="minorEastAsia" w:hAnsiTheme="minorEastAsia" w:eastAsiaTheme="minorEastAsia"/>
          <w:color w:val="auto"/>
          <w:sz w:val="28"/>
          <w:szCs w:val="28"/>
          <w:highlight w:val="none"/>
          <w:lang w:val="zh-CN"/>
        </w:rPr>
        <w:t>）设备品种、规格、数量、技术参数以及商品品牌、制造商等与采购合同一致，性能指标达到规定的标准。</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zh-CN"/>
        </w:rPr>
        <w:t>（</w:t>
      </w:r>
      <w:r>
        <w:rPr>
          <w:rFonts w:hint="eastAsia" w:asciiTheme="minorEastAsia" w:hAnsiTheme="minorEastAsia" w:eastAsiaTheme="minorEastAsia"/>
          <w:color w:val="auto"/>
          <w:sz w:val="28"/>
          <w:szCs w:val="28"/>
          <w:highlight w:val="none"/>
          <w:lang w:val="en-US" w:eastAsia="zh-CN"/>
        </w:rPr>
        <w:t>2</w:t>
      </w:r>
      <w:r>
        <w:rPr>
          <w:rFonts w:hint="eastAsia" w:asciiTheme="minorEastAsia" w:hAnsiTheme="minorEastAsia" w:eastAsiaTheme="minorEastAsia"/>
          <w:color w:val="auto"/>
          <w:sz w:val="28"/>
          <w:szCs w:val="28"/>
          <w:highlight w:val="none"/>
          <w:lang w:val="zh-CN"/>
        </w:rPr>
        <w:t>）货物技术资料、装箱单、合格证等资料齐全。</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zh-CN"/>
        </w:rPr>
        <w:t>（</w:t>
      </w:r>
      <w:r>
        <w:rPr>
          <w:rFonts w:hint="eastAsia" w:asciiTheme="minorEastAsia" w:hAnsiTheme="minorEastAsia" w:eastAsia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lang w:val="zh-CN"/>
        </w:rPr>
        <w:t>）在规定时间内完成交货并验收，并经采购人确认。</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4.</w:t>
      </w:r>
      <w:r>
        <w:rPr>
          <w:rFonts w:hint="eastAsia" w:asciiTheme="minorEastAsia" w:hAnsiTheme="minorEastAsia" w:eastAsiaTheme="minorEastAsia"/>
          <w:color w:val="auto"/>
          <w:sz w:val="28"/>
          <w:szCs w:val="28"/>
          <w:highlight w:val="none"/>
          <w:lang w:val="zh-CN"/>
        </w:rPr>
        <w:t>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提供的货物未达到采购规定要求，且对采购人造成损失的，由投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承担一切责任，并赔偿所造成的损失。</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lang w:val="zh-CN"/>
        </w:rPr>
        <w:t>大型或者复杂的政府采购产品项目，采购人可邀请国家认可的质量检测机构参加验收工作。</w:t>
      </w:r>
    </w:p>
    <w:p>
      <w:pPr>
        <w:spacing w:line="600" w:lineRule="exact"/>
        <w:ind w:firstLine="560" w:firstLineChars="200"/>
        <w:rPr>
          <w:rFonts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6.</w:t>
      </w:r>
      <w:r>
        <w:rPr>
          <w:rFonts w:hint="eastAsia" w:asciiTheme="minorEastAsia" w:hAnsiTheme="minorEastAsia" w:eastAsiaTheme="minorEastAsia"/>
          <w:color w:val="auto"/>
          <w:sz w:val="28"/>
          <w:szCs w:val="28"/>
          <w:highlight w:val="none"/>
          <w:lang w:val="zh-CN"/>
        </w:rPr>
        <w:t>采购人需要制造商对投</w:t>
      </w:r>
      <w:r>
        <w:rPr>
          <w:rFonts w:asciiTheme="minorEastAsia" w:hAnsiTheme="minorEastAsia" w:eastAsiaTheme="minorEastAsia"/>
          <w:color w:val="auto"/>
          <w:sz w:val="28"/>
          <w:szCs w:val="28"/>
          <w:highlight w:val="none"/>
          <w:lang w:val="zh-CN"/>
        </w:rPr>
        <w:t>标人</w:t>
      </w:r>
      <w:r>
        <w:rPr>
          <w:rFonts w:hint="eastAsia" w:asciiTheme="minorEastAsia" w:hAnsiTheme="minorEastAsia" w:eastAsiaTheme="minorEastAsia"/>
          <w:color w:val="auto"/>
          <w:sz w:val="28"/>
          <w:szCs w:val="28"/>
          <w:highlight w:val="none"/>
          <w:lang w:val="zh-CN"/>
        </w:rPr>
        <w:t>交付的产品（包括质量、技术参数等）进行确认的，制造商应予以配合，并出具书面意见。</w:t>
      </w:r>
    </w:p>
    <w:p>
      <w:pPr>
        <w:spacing w:line="600" w:lineRule="exact"/>
        <w:ind w:firstLine="560" w:firstLineChars="200"/>
        <w:rPr>
          <w:rFonts w:hint="eastAsia" w:asciiTheme="minorEastAsia" w:hAnsiTheme="minorEastAsia" w:eastAsiaTheme="minorEastAsia"/>
          <w:color w:val="auto"/>
          <w:sz w:val="28"/>
          <w:szCs w:val="28"/>
          <w:highlight w:val="none"/>
          <w:lang w:val="zh-CN"/>
        </w:rPr>
      </w:pPr>
      <w:r>
        <w:rPr>
          <w:rFonts w:hint="eastAsia" w:asciiTheme="minorEastAsia" w:hAnsiTheme="minorEastAsia" w:eastAsiaTheme="minorEastAsia"/>
          <w:color w:val="auto"/>
          <w:sz w:val="28"/>
          <w:szCs w:val="28"/>
          <w:highlight w:val="none"/>
          <w:lang w:val="en-US" w:eastAsia="zh-CN"/>
        </w:rPr>
        <w:t>7.</w:t>
      </w:r>
      <w:r>
        <w:rPr>
          <w:rFonts w:hint="eastAsia" w:asciiTheme="minorEastAsia" w:hAnsiTheme="minorEastAsia" w:eastAsiaTheme="minorEastAsia"/>
          <w:color w:val="auto"/>
          <w:sz w:val="28"/>
          <w:szCs w:val="28"/>
          <w:highlight w:val="none"/>
          <w:lang w:val="zh-CN"/>
        </w:rPr>
        <w:t>其他未尽事宜应严格按照《四川省政府采购项目需求论证和履约验收管理办法》（川财采〔2015〕32号）的要求进行。</w:t>
      </w:r>
    </w:p>
    <w:p>
      <w:pPr>
        <w:keepNext/>
        <w:keepLines/>
        <w:numPr>
          <w:ilvl w:val="2"/>
          <w:numId w:val="3"/>
        </w:numPr>
        <w:spacing w:line="600" w:lineRule="exact"/>
        <w:ind w:left="3119" w:hanging="3119"/>
        <w:outlineLvl w:val="2"/>
        <w:rPr>
          <w:b/>
          <w:sz w:val="28"/>
          <w:szCs w:val="28"/>
        </w:rPr>
      </w:pPr>
      <w:r>
        <w:rPr>
          <w:b/>
          <w:sz w:val="28"/>
          <w:szCs w:val="28"/>
        </w:rPr>
        <w:t>违约责任</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一、采购人违约责任</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1.采购人无正当理由拒收货物的，采购人应偿付合同总价百分之五的违约金。</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2.因采购人原因逾期支付货款的，除应及时付足货款外，应向投标人偿付欠款总额万分之十/天的违约金；逾期付款超过 30天的，投标人有权终止合同。</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3.采购人偿付的违约金不足以弥补投标人损失的，还应按投标人损失尚未弥补的部分，支付赔偿金给投标人。</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二、投标人违约责任</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1.投标人交付的货物质量不符合合同规定的，投标人应向采购人支付合同总价的百分之五的违约金，并须在合同规定的交货时间内更换合格的货物给采购人，否则，视作投标人不能交付货物而违约。</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2.投标人不能交付货物或逾期交付货物而违约的，除应及时交足货物外，应向采购人偿付逾期交货部分货款总额的万分之十/天的违约金；逾期交货或未能按时完工超过30 天，采购人有权终止合同，投标人则应按合同总价的百分之五的款额向采购人偿付赔偿金，并须全额退还采购人已经付给投标人的货款及其利息。</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3.如货物经投标人3次维修仍不能达到合同约定的质量标准，采购人有权退货，并视作投标人不能交付货物而须支付</w:t>
      </w:r>
      <w:r>
        <w:rPr>
          <w:rFonts w:hint="eastAsia" w:asciiTheme="minorEastAsia" w:hAnsiTheme="minorEastAsia" w:eastAsiaTheme="minorEastAsia"/>
          <w:b w:val="0"/>
          <w:bCs/>
          <w:color w:val="auto"/>
          <w:sz w:val="28"/>
          <w:szCs w:val="28"/>
          <w:highlight w:val="none"/>
          <w:lang w:val="en-US" w:eastAsia="zh-CN"/>
        </w:rPr>
        <w:t>10%</w:t>
      </w:r>
      <w:r>
        <w:rPr>
          <w:rFonts w:hint="eastAsia" w:asciiTheme="minorEastAsia" w:hAnsiTheme="minorEastAsia" w:eastAsiaTheme="minorEastAsia"/>
          <w:b w:val="0"/>
          <w:bCs/>
          <w:color w:val="auto"/>
          <w:sz w:val="28"/>
          <w:szCs w:val="28"/>
          <w:highlight w:val="none"/>
          <w:lang w:val="zh-CN"/>
        </w:rPr>
        <w:t>违约赔偿金给采购人，采购人还可依法追究投标人的违约责任。</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4.投标人货物经采购人送交具有法定资格条件的质量技术监督机构检测后，如检测结果认定货物质量不符合本合同规定标准的，则视为投标人没有按时交货而违约，投标人须在30天内无条件更换合格的货物，如逾期不能更换合格的货物，采购人有权终止本合同，投标人应另付合同总价的百分之五的赔偿金给采购人。</w:t>
      </w:r>
    </w:p>
    <w:p>
      <w:pPr>
        <w:spacing w:line="600" w:lineRule="exact"/>
        <w:ind w:firstLine="560" w:firstLineChars="200"/>
        <w:rPr>
          <w:rFonts w:asciiTheme="minorEastAsia" w:hAnsiTheme="minorEastAsia" w:eastAsiaTheme="minorEastAsia"/>
          <w:b w:val="0"/>
          <w:bCs/>
          <w:color w:val="auto"/>
          <w:sz w:val="28"/>
          <w:szCs w:val="28"/>
          <w:highlight w:val="none"/>
          <w:lang w:val="zh-CN"/>
        </w:rPr>
      </w:pPr>
      <w:r>
        <w:rPr>
          <w:rFonts w:hint="eastAsia" w:asciiTheme="minorEastAsia" w:hAnsiTheme="minorEastAsia" w:eastAsiaTheme="minorEastAsia"/>
          <w:b w:val="0"/>
          <w:bCs/>
          <w:color w:val="auto"/>
          <w:sz w:val="28"/>
          <w:szCs w:val="28"/>
          <w:highlight w:val="none"/>
          <w:lang w:val="zh-CN"/>
        </w:rPr>
        <w:t>5.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五向采购人支付违约金并赔偿因此给采购人造成的一切损失。</w:t>
      </w:r>
    </w:p>
    <w:p>
      <w:pPr>
        <w:spacing w:line="600" w:lineRule="exact"/>
        <w:ind w:firstLine="560" w:firstLineChars="200"/>
        <w:rPr>
          <w:rFonts w:asciiTheme="minorEastAsia" w:hAnsiTheme="minorEastAsia" w:eastAsiaTheme="minorEastAsia"/>
          <w:b w:val="0"/>
          <w:bCs/>
          <w:color w:val="auto"/>
          <w:sz w:val="28"/>
          <w:szCs w:val="28"/>
          <w:highlight w:val="none"/>
        </w:rPr>
      </w:pPr>
      <w:r>
        <w:rPr>
          <w:rFonts w:hint="eastAsia" w:asciiTheme="minorEastAsia" w:hAnsiTheme="minorEastAsia" w:eastAsiaTheme="minorEastAsia"/>
          <w:b w:val="0"/>
          <w:bCs/>
          <w:color w:val="auto"/>
          <w:sz w:val="28"/>
          <w:szCs w:val="28"/>
          <w:highlight w:val="none"/>
          <w:lang w:val="zh-CN"/>
        </w:rPr>
        <w:t>6.投标人偿付的违约金不足以弥补采购人损失的，还应按采购人损失尚未弥补的部分，支付赔偿金给采购人。</w:t>
      </w:r>
    </w:p>
    <w:p>
      <w:pPr>
        <w:keepNext/>
        <w:keepLines/>
        <w:numPr>
          <w:ilvl w:val="2"/>
          <w:numId w:val="3"/>
        </w:numPr>
        <w:spacing w:line="600" w:lineRule="exact"/>
        <w:ind w:left="3119" w:hanging="3119"/>
        <w:outlineLvl w:val="2"/>
        <w:rPr>
          <w:b/>
          <w:sz w:val="28"/>
          <w:szCs w:val="28"/>
        </w:rPr>
      </w:pPr>
      <w:r>
        <w:rPr>
          <w:rFonts w:hint="eastAsia"/>
          <w:b/>
          <w:sz w:val="28"/>
          <w:szCs w:val="28"/>
          <w:lang w:val="en-US" w:eastAsia="zh-CN"/>
        </w:rPr>
        <w:t>解决争议的方式</w:t>
      </w:r>
    </w:p>
    <w:p>
      <w:pPr>
        <w:spacing w:line="600" w:lineRule="exact"/>
        <w:ind w:firstLine="560" w:firstLineChars="200"/>
        <w:rPr>
          <w:rFonts w:hint="default" w:asciiTheme="minorEastAsia" w:hAnsiTheme="minorEastAsia" w:eastAsiaTheme="minorEastAsia"/>
          <w:b w:val="0"/>
          <w:bCs/>
          <w:color w:val="auto"/>
          <w:sz w:val="28"/>
          <w:szCs w:val="28"/>
          <w:highlight w:val="none"/>
          <w:lang w:val="en-US"/>
        </w:rPr>
      </w:pPr>
      <w:r>
        <w:rPr>
          <w:rFonts w:hint="eastAsia" w:asciiTheme="minorEastAsia" w:hAnsiTheme="minorEastAsia" w:eastAsiaTheme="minorEastAsia"/>
          <w:b w:val="0"/>
          <w:bCs/>
          <w:color w:val="auto"/>
          <w:sz w:val="28"/>
          <w:szCs w:val="28"/>
          <w:highlight w:val="none"/>
          <w:lang w:val="en-US" w:eastAsia="zh-CN"/>
        </w:rPr>
        <w:t>提请仲裁。</w:t>
      </w:r>
    </w:p>
    <w:p>
      <w:pPr>
        <w:keepNext/>
        <w:keepLines/>
        <w:numPr>
          <w:ilvl w:val="2"/>
          <w:numId w:val="3"/>
        </w:numPr>
        <w:spacing w:line="600" w:lineRule="exact"/>
        <w:ind w:left="3119" w:hanging="3119"/>
        <w:outlineLvl w:val="2"/>
        <w:rPr>
          <w:b/>
          <w:sz w:val="28"/>
          <w:szCs w:val="28"/>
        </w:rPr>
      </w:pPr>
      <w:r>
        <w:rPr>
          <w:rFonts w:hint="eastAsia"/>
          <w:b/>
          <w:sz w:val="28"/>
          <w:szCs w:val="28"/>
        </w:rPr>
        <w:t>其他要求</w:t>
      </w:r>
    </w:p>
    <w:p>
      <w:pPr>
        <w:pStyle w:val="119"/>
        <w:tabs>
          <w:tab w:val="left" w:pos="1134"/>
        </w:tabs>
        <w:spacing w:before="156" w:line="600" w:lineRule="exact"/>
        <w:ind w:right="210" w:firstLine="562" w:firstLineChars="200"/>
        <w:jc w:val="both"/>
        <w:rPr>
          <w:b/>
          <w:sz w:val="28"/>
          <w:szCs w:val="28"/>
          <w:lang w:val="zh-CN"/>
        </w:rPr>
      </w:pPr>
      <w:r>
        <w:rPr>
          <w:rFonts w:hint="eastAsia"/>
          <w:b/>
          <w:sz w:val="28"/>
          <w:szCs w:val="28"/>
        </w:rPr>
        <w:t>一、</w:t>
      </w:r>
      <w:r>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19"/>
        <w:tabs>
          <w:tab w:val="left" w:pos="1134"/>
        </w:tabs>
        <w:spacing w:before="156" w:line="6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zh-CN"/>
        </w:rPr>
        <w:t>二、★投标人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sz w:val="28"/>
          <w:szCs w:val="28"/>
          <w:lang w:val="zh-CN"/>
        </w:rPr>
        <w:t>3.3.5</w:t>
      </w:r>
      <w:r>
        <w:rPr>
          <w:rFonts w:asciiTheme="minorEastAsia" w:hAnsiTheme="minorEastAsia" w:eastAsiaTheme="minorEastAsia"/>
          <w:b/>
          <w:sz w:val="28"/>
          <w:szCs w:val="28"/>
          <w:lang w:val="zh-CN"/>
        </w:rPr>
        <w:t>承诺函的格式及要求提供承诺函。）</w:t>
      </w:r>
    </w:p>
    <w:p>
      <w:pPr>
        <w:pStyle w:val="119"/>
        <w:tabs>
          <w:tab w:val="left" w:pos="1134"/>
        </w:tabs>
        <w:spacing w:before="156" w:line="6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zh-CN"/>
        </w:rPr>
        <w:t>三、★投标人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w:t>
      </w:r>
      <w:r>
        <w:rPr>
          <w:rFonts w:hint="eastAsia" w:asciiTheme="minorEastAsia" w:hAnsiTheme="minorEastAsia" w:eastAsiaTheme="minorEastAsia"/>
          <w:b/>
          <w:sz w:val="28"/>
          <w:szCs w:val="28"/>
          <w:lang w:val="zh-CN"/>
        </w:rPr>
        <w:t>符合现行的强制性国家相关标准、行业标准。</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3.3.5</w:t>
      </w:r>
      <w:r>
        <w:rPr>
          <w:rFonts w:asciiTheme="minorEastAsia" w:hAnsiTheme="minorEastAsia" w:eastAsiaTheme="minorEastAsia"/>
          <w:b/>
          <w:sz w:val="28"/>
          <w:szCs w:val="28"/>
          <w:lang w:val="zh-CN"/>
        </w:rPr>
        <w:t>承诺函的格式及要求提供承诺函。）</w:t>
      </w:r>
    </w:p>
    <w:p>
      <w:pPr>
        <w:pStyle w:val="119"/>
        <w:tabs>
          <w:tab w:val="left" w:pos="1134"/>
        </w:tabs>
        <w:spacing w:before="156" w:line="6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zh-CN"/>
        </w:rPr>
        <w:t>四</w:t>
      </w:r>
      <w:r>
        <w:rPr>
          <w:rFonts w:asciiTheme="minorEastAsia" w:hAnsiTheme="minorEastAsia" w:eastAsiaTheme="minorEastAsia"/>
          <w:b/>
          <w:sz w:val="28"/>
          <w:szCs w:val="28"/>
          <w:lang w:val="zh-CN"/>
        </w:rPr>
        <w:t>、</w:t>
      </w:r>
      <w:r>
        <w:rPr>
          <w:rFonts w:hint="eastAsia"/>
          <w:b/>
          <w:sz w:val="28"/>
          <w:szCs w:val="28"/>
          <w:lang w:val="zh-CN"/>
        </w:rPr>
        <w:t>★投标人为本项目提供的所有产品中属于节能产品政府采购品目清单中的政府强制采购产品的，投标人必需提供国家确定的认证机构出具的、处于有效期之内的节能产品认证证书复印件加盖投标人公章（鲜章）。</w:t>
      </w:r>
    </w:p>
    <w:p>
      <w:pPr>
        <w:pStyle w:val="119"/>
        <w:tabs>
          <w:tab w:val="left" w:pos="1134"/>
        </w:tabs>
        <w:spacing w:before="156" w:line="6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zh-CN"/>
        </w:rPr>
        <w:t>五、★</w:t>
      </w:r>
      <w:r>
        <w:rPr>
          <w:rFonts w:hint="eastAsia" w:cs="仿宋"/>
          <w:b/>
          <w:sz w:val="28"/>
          <w:szCs w:val="28"/>
        </w:rPr>
        <w:t>为本项目实施涉及的商品包装和快递包装，均符合财政部等三部门联合印发商品包装和快递包装政府采购需求标准（试行）（财办库[2020]123号）的要求。</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3.3.5</w:t>
      </w:r>
      <w:r>
        <w:rPr>
          <w:rFonts w:asciiTheme="minorEastAsia" w:hAnsiTheme="minorEastAsia" w:eastAsiaTheme="minorEastAsia"/>
          <w:b/>
          <w:sz w:val="28"/>
          <w:szCs w:val="28"/>
          <w:lang w:val="zh-CN"/>
        </w:rPr>
        <w:t>承诺函的格式及要求提供承诺函。）</w:t>
      </w:r>
    </w:p>
    <w:p>
      <w:pPr>
        <w:pStyle w:val="119"/>
        <w:tabs>
          <w:tab w:val="left" w:pos="1134"/>
        </w:tabs>
        <w:spacing w:before="156" w:line="600" w:lineRule="exact"/>
        <w:ind w:right="210" w:firstLine="562" w:firstLineChars="200"/>
        <w:jc w:val="both"/>
        <w:rPr>
          <w:rFonts w:asciiTheme="minorEastAsia" w:hAnsiTheme="minorEastAsia" w:eastAsiaTheme="minorEastAsia"/>
          <w:b/>
          <w:color w:val="auto"/>
          <w:sz w:val="28"/>
          <w:szCs w:val="28"/>
          <w:lang w:val="zh-CN"/>
        </w:rPr>
      </w:pPr>
      <w:r>
        <w:rPr>
          <w:rFonts w:hint="eastAsia" w:asciiTheme="minorEastAsia" w:hAnsiTheme="minorEastAsia" w:eastAsiaTheme="minorEastAsia"/>
          <w:b/>
          <w:color w:val="auto"/>
          <w:sz w:val="28"/>
          <w:szCs w:val="28"/>
          <w:lang w:val="zh-CN"/>
        </w:rPr>
        <w:t>注：加★号的为本次招标项目的实质性要求，不允许有负偏离，否则作无效投标处理；带▲号的在评分标准技术指标和配置中说明。</w:t>
      </w:r>
    </w:p>
    <w:p>
      <w:pPr>
        <w:widowControl/>
        <w:jc w:val="left"/>
        <w:rPr>
          <w:rFonts w:ascii="宋体" w:hAnsi="宋体"/>
          <w:b/>
          <w:bCs/>
          <w:spacing w:val="-20"/>
          <w:kern w:val="44"/>
          <w:sz w:val="32"/>
          <w:szCs w:val="32"/>
        </w:rPr>
      </w:pPr>
    </w:p>
    <w:p>
      <w:pPr>
        <w:widowControl/>
        <w:jc w:val="left"/>
        <w:rPr>
          <w:rFonts w:ascii="宋体" w:hAnsi="宋体"/>
          <w:b/>
          <w:bCs/>
          <w:spacing w:val="-20"/>
          <w:kern w:val="44"/>
          <w:sz w:val="32"/>
          <w:szCs w:val="32"/>
        </w:rPr>
      </w:pPr>
    </w:p>
    <w:p>
      <w:pPr>
        <w:widowControl/>
        <w:jc w:val="left"/>
        <w:rPr>
          <w:rFonts w:ascii="宋体" w:hAnsi="宋体"/>
          <w:b/>
          <w:bCs/>
          <w:spacing w:val="-20"/>
          <w:kern w:val="44"/>
          <w:sz w:val="32"/>
          <w:szCs w:val="32"/>
        </w:rPr>
      </w:pPr>
    </w:p>
    <w:p>
      <w:pPr>
        <w:widowControl/>
        <w:jc w:val="left"/>
        <w:rPr>
          <w:rFonts w:ascii="宋体" w:hAnsi="宋体"/>
          <w:b/>
          <w:bCs/>
          <w:spacing w:val="-20"/>
          <w:kern w:val="44"/>
          <w:sz w:val="32"/>
          <w:szCs w:val="32"/>
        </w:rPr>
      </w:pPr>
    </w:p>
    <w:p>
      <w:pPr>
        <w:keepNext/>
        <w:keepLines/>
        <w:numPr>
          <w:ilvl w:val="0"/>
          <w:numId w:val="3"/>
        </w:numPr>
        <w:spacing w:before="340" w:after="330" w:line="400" w:lineRule="exact"/>
        <w:outlineLvl w:val="0"/>
        <w:rPr>
          <w:rFonts w:ascii="宋体" w:hAnsi="宋体"/>
          <w:b/>
          <w:bCs/>
          <w:spacing w:val="-20"/>
          <w:kern w:val="44"/>
          <w:sz w:val="32"/>
          <w:szCs w:val="32"/>
        </w:rPr>
      </w:pPr>
      <w:bookmarkStart w:id="157" w:name="_Toc88056436"/>
      <w:r>
        <w:rPr>
          <w:rFonts w:hint="eastAsia" w:ascii="宋体" w:hAnsi="宋体"/>
          <w:b/>
          <w:bCs/>
          <w:spacing w:val="-20"/>
          <w:kern w:val="44"/>
          <w:sz w:val="32"/>
          <w:szCs w:val="32"/>
        </w:rPr>
        <w:t>资格性审查</w:t>
      </w:r>
      <w:bookmarkEnd w:id="157"/>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金牛区政府采购中心</w:t>
      </w:r>
      <w:r>
        <w:rPr>
          <w:rFonts w:hint="eastAsia" w:ascii="宋体" w:hAnsi="宋体"/>
          <w:sz w:val="28"/>
          <w:szCs w:val="28"/>
        </w:rPr>
        <w:t>将以电子邮件形式通知各投标人。资格性审查标准见下表：</w:t>
      </w:r>
    </w:p>
    <w:tbl>
      <w:tblPr>
        <w:tblStyle w:val="4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44"/>
        <w:gridCol w:w="1747"/>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91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94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91"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投标人应具有独立承担民事责任的能力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w:t>
            </w:r>
            <w:r>
              <w:rPr>
                <w:rFonts w:hint="eastAsia"/>
                <w:sz w:val="20"/>
                <w:lang w:eastAsia="zh-CN"/>
              </w:rPr>
              <w:t>。</w:t>
            </w:r>
            <w:r>
              <w:rPr>
                <w:rFonts w:hint="eastAsia"/>
                <w:sz w:val="20"/>
              </w:rPr>
              <w:t>【</w:t>
            </w:r>
            <w:r>
              <w:rPr>
                <w:rFonts w:hint="eastAsia"/>
                <w:sz w:val="20"/>
                <w:lang w:val="en-US" w:eastAsia="zh-CN"/>
              </w:rPr>
              <w:t>说明</w:t>
            </w:r>
            <w:r>
              <w:rPr>
                <w:rFonts w:hint="eastAsia"/>
                <w:sz w:val="20"/>
              </w:rPr>
              <w:t>：</w:t>
            </w:r>
            <w:r>
              <w:rPr>
                <w:rFonts w:hint="eastAsia" w:ascii="宋体" w:hAnsi="宋体"/>
                <w:sz w:val="20"/>
                <w:szCs w:val="28"/>
              </w:rPr>
              <w:t>①</w:t>
            </w:r>
            <w:r>
              <w:rPr>
                <w:rFonts w:hint="eastAsia"/>
                <w:sz w:val="20"/>
              </w:rPr>
              <w:t>营业执照或法人登记证或其他证明材料载明有期限的，应在有效期限内；</w:t>
            </w:r>
            <w:r>
              <w:rPr>
                <w:rFonts w:hint="eastAsia" w:ascii="宋体" w:hAnsi="宋体"/>
                <w:sz w:val="20"/>
                <w:szCs w:val="28"/>
              </w:rPr>
              <w:t>②</w:t>
            </w:r>
            <w:r>
              <w:rPr>
                <w:rFonts w:hint="eastAsia"/>
                <w:sz w:val="20"/>
              </w:rPr>
              <w:t>在中华人民共和国境内注册。】</w:t>
            </w:r>
            <w:r>
              <w:rPr>
                <w:rFonts w:hint="eastAsia" w:ascii="Times New Roman" w:hAnsi="Times New Roman"/>
                <w:sz w:val="20"/>
              </w:rPr>
              <w:t>（注：①供应商若为企业法人的，提供多证合一的具有统一社会信用代码的营业执照，未实行多证合一的企业提供“营业执照、税务登记证、组织机构代码证；②若为事业法人的，提供具有统一社会信用代码的法人登记证书，未换证的提交事业法人登记证书和组织机构代码证；③若为其他组织的，提供对应主管部门颁发的准许执业证明文件或营业执照；④若为自然人的，提供身份证或其它有效身份证明材料</w:t>
            </w:r>
            <w:r>
              <w:rPr>
                <w:rFonts w:hint="eastAsia" w:ascii="Times New Roman" w:hAnsi="Times New Roman"/>
                <w:sz w:val="20"/>
                <w:lang w:eastAsia="zh-CN"/>
              </w:rPr>
              <w:t>。</w:t>
            </w:r>
            <w:r>
              <w:rPr>
                <w:rFonts w:hint="eastAsia" w:ascii="Times New Roman" w:hAnsi="Times New Roman"/>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44"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按第</w:t>
            </w:r>
            <w:r>
              <w:rPr>
                <w:sz w:val="20"/>
              </w:rPr>
              <w:t>3</w:t>
            </w:r>
            <w:r>
              <w:rPr>
                <w:rFonts w:hint="eastAsia"/>
                <w:sz w:val="20"/>
              </w:rPr>
              <w:t>章的内容及要求提供书面声明材料；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按第</w:t>
            </w:r>
            <w:r>
              <w:rPr>
                <w:sz w:val="20"/>
              </w:rPr>
              <w:t>3</w:t>
            </w:r>
            <w:r>
              <w:rPr>
                <w:rFonts w:hint="eastAsia"/>
                <w:sz w:val="20"/>
              </w:rPr>
              <w:t>章的内容及要求提供书面声明材料。】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44"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投标文件资格响应文件的语言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2191"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943" w:type="dxa"/>
            <w:tcBorders>
              <w:top w:val="single" w:color="auto" w:sz="2" w:space="0"/>
              <w:left w:val="single" w:color="auto" w:sz="2" w:space="0"/>
              <w:bottom w:val="single" w:color="auto" w:sz="2" w:space="0"/>
              <w:right w:val="single" w:color="auto" w:sz="2" w:space="0"/>
            </w:tcBorders>
            <w:vAlign w:val="center"/>
          </w:tcPr>
          <w:p>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【说明：投标人按招标文件3.2.1关于投标人申明的</w:t>
            </w:r>
            <w:r>
              <w:rPr>
                <w:rFonts w:hint="eastAsia"/>
                <w:sz w:val="20"/>
              </w:rPr>
              <w:t>内容</w:t>
            </w:r>
            <w:r>
              <w:rPr>
                <w:rFonts w:hint="eastAsia" w:ascii="宋体" w:hAnsi="宋体"/>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8</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本项目为专门面向中小企业采购项目，投标人提供的货物全部由符合政策要求的中小企业制造（说明：监狱企业、残疾人福利性单位视同小型、微型企业）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中小企业声明函或残疾人福利性单位声明函或投标产品制造商属于监狱企业的证明文件复印件【说明：（1）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2）投标人投标产品全部由采购标的以及其所属行业的中型企业、小型企业、微型企业制造；（3）残疾人福利性单位、监狱企业视同为小型微型企业。】。</w:t>
            </w:r>
          </w:p>
        </w:tc>
      </w:tr>
    </w:tbl>
    <w:p>
      <w:pPr>
        <w:tabs>
          <w:tab w:val="left" w:pos="851"/>
        </w:tabs>
        <w:spacing w:line="360" w:lineRule="auto"/>
        <w:rPr>
          <w:rFonts w:ascii="宋体" w:hAnsi="宋体"/>
          <w:sz w:val="28"/>
          <w:szCs w:val="28"/>
        </w:rPr>
      </w:pPr>
    </w:p>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金牛区政府采购中心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金牛区政府采购中心</w:t>
      </w:r>
      <w:r>
        <w:rPr>
          <w:rFonts w:hint="eastAsia" w:ascii="宋体" w:hAnsi="宋体"/>
          <w:sz w:val="28"/>
          <w:szCs w:val="28"/>
        </w:rPr>
        <w:t>反馈意见。</w:t>
      </w:r>
      <w:r>
        <w:rPr>
          <w:rFonts w:hint="eastAsia" w:ascii="宋体" w:hAnsi="宋体"/>
          <w:sz w:val="28"/>
          <w:szCs w:val="28"/>
          <w:lang w:eastAsia="zh-CN"/>
        </w:rPr>
        <w:t>金牛区政府采购中心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金牛区政府采购中心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b/>
          <w:bCs/>
          <w:spacing w:val="-20"/>
          <w:kern w:val="44"/>
          <w:sz w:val="32"/>
          <w:szCs w:val="32"/>
        </w:rPr>
      </w:pPr>
      <w:r>
        <w:rPr>
          <w:rFonts w:hint="eastAsia" w:ascii="宋体" w:hAnsi="宋体"/>
          <w:sz w:val="28"/>
          <w:szCs w:val="28"/>
        </w:rPr>
        <w:t>四、通过资格性审查的供应商＜3名，采购失败。</w:t>
      </w:r>
      <w:r>
        <w:rPr>
          <w:rFonts w:ascii="宋体" w:hAnsi="宋体"/>
          <w:b/>
          <w:bCs/>
          <w:spacing w:val="-20"/>
          <w:kern w:val="44"/>
          <w:sz w:val="32"/>
          <w:szCs w:val="32"/>
        </w:rPr>
        <w:br w:type="page"/>
      </w:r>
    </w:p>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58" w:name="_Toc88056437"/>
      <w:r>
        <w:rPr>
          <w:rFonts w:hint="eastAsia" w:ascii="宋体" w:hAnsi="宋体"/>
          <w:b/>
          <w:bCs/>
          <w:spacing w:val="-20"/>
          <w:kern w:val="44"/>
          <w:sz w:val="32"/>
          <w:szCs w:val="32"/>
        </w:rPr>
        <w:t>评标办法</w:t>
      </w:r>
      <w:bookmarkEnd w:id="158"/>
    </w:p>
    <w:p>
      <w:pPr>
        <w:keepNext/>
        <w:keepLines/>
        <w:numPr>
          <w:ilvl w:val="1"/>
          <w:numId w:val="3"/>
        </w:numPr>
        <w:spacing w:line="360" w:lineRule="auto"/>
        <w:jc w:val="left"/>
        <w:outlineLvl w:val="1"/>
        <w:rPr>
          <w:rFonts w:ascii="宋体" w:hAnsi="宋体"/>
          <w:b/>
          <w:bCs/>
          <w:sz w:val="28"/>
          <w:szCs w:val="28"/>
        </w:rPr>
      </w:pPr>
      <w:bookmarkStart w:id="159" w:name="_Toc88056438"/>
      <w:r>
        <w:rPr>
          <w:rFonts w:hint="eastAsia" w:ascii="宋体" w:hAnsi="宋体"/>
          <w:b/>
          <w:bCs/>
          <w:sz w:val="28"/>
          <w:szCs w:val="28"/>
        </w:rPr>
        <w:t>总则</w:t>
      </w:r>
      <w:bookmarkEnd w:id="159"/>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金牛区政府采购中心</w:t>
      </w:r>
      <w:r>
        <w:rPr>
          <w:rFonts w:hint="eastAsia" w:ascii="宋体" w:hAnsi="宋体"/>
          <w:sz w:val="28"/>
          <w:szCs w:val="28"/>
        </w:rPr>
        <w:t>负责组织，具体评标事务由采购人或</w:t>
      </w:r>
      <w:r>
        <w:rPr>
          <w:rFonts w:hint="eastAsia" w:cs="Arial"/>
          <w:sz w:val="28"/>
          <w:szCs w:val="28"/>
          <w:lang w:eastAsia="zh-CN"/>
        </w:rPr>
        <w:t>金牛区政府采购中心</w:t>
      </w:r>
      <w:r>
        <w:rPr>
          <w:rFonts w:hint="eastAsia" w:ascii="宋体" w:hAnsi="宋体"/>
          <w:sz w:val="28"/>
          <w:szCs w:val="28"/>
        </w:rPr>
        <w:t>依法组建的评标委员会负责。评标委员会由采购人代表和评审专家组成。</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34"/>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34"/>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34"/>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34"/>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34"/>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34"/>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34"/>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金牛区政府采购中心</w:t>
      </w:r>
      <w:r>
        <w:rPr>
          <w:rFonts w:hint="eastAsia" w:ascii="宋体" w:hAnsi="宋体"/>
          <w:sz w:val="28"/>
          <w:szCs w:val="28"/>
        </w:rPr>
        <w:t>或者财政、监察等有关部门报告或举报非法干预评标工作的行为；</w:t>
      </w:r>
    </w:p>
    <w:p>
      <w:pPr>
        <w:numPr>
          <w:ilvl w:val="1"/>
          <w:numId w:val="34"/>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金牛区政府采购中心</w:t>
      </w:r>
      <w:r>
        <w:rPr>
          <w:rFonts w:hint="eastAsia" w:ascii="宋体" w:hAnsi="宋体"/>
          <w:sz w:val="28"/>
          <w:szCs w:val="28"/>
        </w:rPr>
        <w:t>或者有关部门报告评标中发现的违法行为。</w:t>
      </w:r>
    </w:p>
    <w:p>
      <w:pPr>
        <w:numPr>
          <w:ilvl w:val="1"/>
          <w:numId w:val="34"/>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3"/>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金牛区政府采购中心</w:t>
      </w:r>
      <w:r>
        <w:rPr>
          <w:rFonts w:hint="eastAsia" w:ascii="宋体" w:hAnsi="宋体"/>
          <w:sz w:val="28"/>
          <w:szCs w:val="28"/>
        </w:rPr>
        <w:t>书面解释说明。</w:t>
      </w:r>
    </w:p>
    <w:p>
      <w:pPr>
        <w:keepNext/>
        <w:keepLines/>
        <w:numPr>
          <w:ilvl w:val="1"/>
          <w:numId w:val="3"/>
        </w:numPr>
        <w:spacing w:line="360" w:lineRule="auto"/>
        <w:jc w:val="left"/>
        <w:outlineLvl w:val="1"/>
        <w:rPr>
          <w:rFonts w:ascii="宋体" w:hAnsi="宋体"/>
          <w:b/>
          <w:bCs/>
          <w:sz w:val="28"/>
          <w:szCs w:val="28"/>
        </w:rPr>
      </w:pPr>
      <w:bookmarkStart w:id="160" w:name="_Toc88056439"/>
      <w:r>
        <w:rPr>
          <w:rFonts w:hint="eastAsia" w:ascii="宋体" w:hAnsi="宋体"/>
          <w:b/>
          <w:bCs/>
          <w:sz w:val="28"/>
          <w:szCs w:val="28"/>
        </w:rPr>
        <w:t>评标方法</w:t>
      </w:r>
      <w:bookmarkEnd w:id="160"/>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3"/>
        </w:numPr>
        <w:spacing w:line="360" w:lineRule="auto"/>
        <w:jc w:val="left"/>
        <w:outlineLvl w:val="1"/>
        <w:rPr>
          <w:rFonts w:ascii="宋体" w:hAnsi="宋体"/>
          <w:b/>
          <w:bCs/>
          <w:sz w:val="28"/>
          <w:szCs w:val="28"/>
        </w:rPr>
      </w:pPr>
      <w:bookmarkStart w:id="161" w:name="_Toc88056440"/>
      <w:r>
        <w:rPr>
          <w:rFonts w:hint="eastAsia" w:ascii="宋体" w:hAnsi="宋体"/>
          <w:b/>
          <w:bCs/>
          <w:sz w:val="28"/>
          <w:szCs w:val="28"/>
        </w:rPr>
        <w:t>评标程序</w:t>
      </w:r>
      <w:bookmarkEnd w:id="161"/>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1"/>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w:t>
            </w:r>
            <w:r>
              <w:rPr>
                <w:rFonts w:ascii="宋体" w:hAnsi="宋体"/>
                <w:sz w:val="24"/>
                <w:szCs w:val="28"/>
              </w:rPr>
              <w:t>技术响应文件</w:t>
            </w:r>
            <w:r>
              <w:rPr>
                <w:rFonts w:hint="eastAsia" w:ascii="宋体" w:hAnsi="宋体"/>
                <w:sz w:val="24"/>
                <w:szCs w:val="28"/>
              </w:rPr>
              <w:t>及</w:t>
            </w:r>
            <w:r>
              <w:rPr>
                <w:rFonts w:ascii="宋体" w:hAnsi="宋体"/>
                <w:sz w:val="24"/>
                <w:szCs w:val="28"/>
              </w:rPr>
              <w:t>报价要求响应文件</w:t>
            </w:r>
            <w:r>
              <w:rPr>
                <w:rFonts w:hint="eastAsia" w:ascii="宋体" w:hAnsi="宋体"/>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2</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w:t>
            </w:r>
            <w:r>
              <w:rPr>
                <w:rFonts w:ascii="宋体" w:hAnsi="宋体"/>
                <w:sz w:val="24"/>
                <w:szCs w:val="28"/>
              </w:rPr>
              <w:t>技术响应文件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的计量单位、语言、报价货币、投标有效期</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开标一览表、</w:t>
            </w:r>
            <w:r>
              <w:rPr>
                <w:rFonts w:ascii="宋体" w:hAnsi="宋体"/>
                <w:sz w:val="24"/>
                <w:szCs w:val="28"/>
              </w:rPr>
              <w:t>投标文件</w:t>
            </w:r>
            <w:r>
              <w:rPr>
                <w:rFonts w:hint="eastAsia" w:ascii="宋体" w:hAnsi="宋体"/>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评标委员会不得未经要求投标人确认，直接将投标人投标文件做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不属于禁止参加投标或投标无效的投标人</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（1）根据招标文件的要求不属于禁止参加投标或投标无效的投标人；</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法定代表人或主要负责人身份证复印件或护照复印件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rPr>
            </w:pPr>
            <w:r>
              <w:rPr>
                <w:rFonts w:cs="仿宋_GB2312" w:asciiTheme="minorEastAsia" w:hAnsiTheme="minorEastAsia" w:eastAsiaTheme="minorEastAsia"/>
                <w:sz w:val="24"/>
                <w:szCs w:val="24"/>
              </w:rPr>
              <w:t>承诺函【说明：①按</w:t>
            </w:r>
            <w:r>
              <w:rPr>
                <w:rFonts w:ascii="Times New Roman" w:hAnsi="Times New Roman" w:eastAsiaTheme="minorEastAsia"/>
                <w:sz w:val="24"/>
                <w:szCs w:val="24"/>
              </w:rPr>
              <w:t>3.3.5</w:t>
            </w:r>
            <w:r>
              <w:rPr>
                <w:rFonts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的格式及</w:t>
            </w:r>
            <w:r>
              <w:rPr>
                <w:rFonts w:cs="仿宋_GB2312" w:asciiTheme="minorEastAsia" w:hAnsiTheme="minorEastAsia" w:eastAsiaTheme="minorEastAsia"/>
                <w:sz w:val="24"/>
                <w:szCs w:val="24"/>
              </w:rPr>
              <w:t>要求提供承诺函；②承诺的内容满足招标文件的要求。】。</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金牛区政府采购中心</w:t>
      </w:r>
      <w:r>
        <w:rPr>
          <w:rFonts w:hint="eastAsia" w:ascii="宋体" w:hAnsi="宋体"/>
          <w:sz w:val="28"/>
          <w:szCs w:val="28"/>
        </w:rPr>
        <w:t>将通知投标人（以短信、现场公示、电话、 “政府采购云平台”等任一方式）。投标人如对评审结论有异议的，应及时向</w:t>
      </w:r>
      <w:r>
        <w:rPr>
          <w:rFonts w:hint="eastAsia" w:ascii="宋体" w:hAnsi="宋体"/>
          <w:sz w:val="28"/>
          <w:szCs w:val="28"/>
          <w:lang w:eastAsia="zh-CN"/>
        </w:rPr>
        <w:t>金牛区政府采购中心</w:t>
      </w:r>
      <w:r>
        <w:rPr>
          <w:rFonts w:hint="eastAsia" w:ascii="宋体" w:hAnsi="宋体"/>
          <w:sz w:val="28"/>
          <w:szCs w:val="28"/>
        </w:rPr>
        <w:t>反馈意见。</w:t>
      </w:r>
      <w:r>
        <w:rPr>
          <w:rFonts w:hint="eastAsia" w:ascii="宋体" w:hAnsi="宋体"/>
          <w:sz w:val="28"/>
          <w:szCs w:val="28"/>
          <w:lang w:eastAsia="zh-CN"/>
        </w:rPr>
        <w:t>金牛区政府采购中心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金牛区政府采购中心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35"/>
        </w:numPr>
        <w:tabs>
          <w:tab w:val="left" w:pos="1134"/>
        </w:tabs>
        <w:spacing w:line="360" w:lineRule="auto"/>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金牛区政府采购中心</w:t>
      </w:r>
      <w:r>
        <w:rPr>
          <w:rFonts w:hint="eastAsia" w:ascii="宋体" w:hAnsi="宋体"/>
          <w:sz w:val="28"/>
          <w:szCs w:val="28"/>
        </w:rPr>
        <w:t>书面解释。</w:t>
      </w:r>
      <w:r>
        <w:rPr>
          <w:rFonts w:hint="eastAsia" w:ascii="宋体" w:hAnsi="宋体"/>
          <w:sz w:val="28"/>
          <w:szCs w:val="28"/>
          <w:lang w:eastAsia="zh-CN"/>
        </w:rPr>
        <w:t>金牛区政府采购中心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35"/>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line="360" w:lineRule="auto"/>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6"/>
        </w:numPr>
        <w:tabs>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36"/>
        </w:numPr>
        <w:tabs>
          <w:tab w:val="left" w:pos="1260"/>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36"/>
        </w:numPr>
        <w:tabs>
          <w:tab w:val="left" w:pos="993"/>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35"/>
        </w:numPr>
        <w:tabs>
          <w:tab w:val="left" w:pos="1134"/>
        </w:tabs>
        <w:spacing w:line="360" w:lineRule="auto"/>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（四）总价金额与按单价汇总金额不一致的，以单价金额计算结果为准。</w:t>
      </w:r>
    </w:p>
    <w:p>
      <w:pPr>
        <w:spacing w:line="360" w:lineRule="auto"/>
        <w:ind w:firstLine="561"/>
        <w:rPr>
          <w:sz w:val="28"/>
          <w:szCs w:val="28"/>
        </w:rPr>
      </w:pPr>
      <w:r>
        <w:rPr>
          <w:rFonts w:hint="eastAsia"/>
          <w:sz w:val="28"/>
          <w:szCs w:val="28"/>
        </w:rPr>
        <w:t>同时出现两种以上不一致的，按照前款规定的顺序修正。修正后的报价经投标人确认后产生约束力，投标人不确认的，其投标无效。评标委员会不得未经要求投标人确认，直接将投标人投标文件做无效处理。</w:t>
      </w:r>
    </w:p>
    <w:p>
      <w:pPr>
        <w:tabs>
          <w:tab w:val="left" w:pos="720"/>
        </w:tabs>
        <w:spacing w:line="360" w:lineRule="auto"/>
        <w:ind w:firstLine="561"/>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金牛区政府采购中心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37"/>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37"/>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37"/>
        </w:numPr>
        <w:tabs>
          <w:tab w:val="left" w:pos="851"/>
          <w:tab w:val="left" w:pos="1276"/>
          <w:tab w:val="left" w:pos="1560"/>
        </w:tabs>
        <w:spacing w:line="360" w:lineRule="auto"/>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37"/>
        </w:numPr>
        <w:tabs>
          <w:tab w:val="left" w:pos="851"/>
          <w:tab w:val="left" w:pos="1276"/>
        </w:tabs>
        <w:spacing w:line="360" w:lineRule="auto"/>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360" w:lineRule="auto"/>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3"/>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360" w:lineRule="auto"/>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投标人名单和评标委员会成员名单；</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评标方法和标准；</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38"/>
        </w:numPr>
        <w:tabs>
          <w:tab w:val="left" w:pos="1155"/>
        </w:tabs>
        <w:spacing w:line="360" w:lineRule="auto"/>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3"/>
        </w:numPr>
        <w:spacing w:line="360" w:lineRule="auto"/>
        <w:jc w:val="left"/>
        <w:outlineLvl w:val="1"/>
        <w:rPr>
          <w:rFonts w:ascii="宋体" w:hAnsi="宋体"/>
          <w:b/>
          <w:bCs/>
          <w:sz w:val="28"/>
          <w:szCs w:val="28"/>
        </w:rPr>
      </w:pPr>
      <w:bookmarkStart w:id="162" w:name="_Toc88056441"/>
      <w:r>
        <w:rPr>
          <w:rFonts w:hint="eastAsia" w:ascii="宋体" w:hAnsi="宋体"/>
          <w:b/>
          <w:bCs/>
          <w:sz w:val="28"/>
          <w:szCs w:val="28"/>
        </w:rPr>
        <w:t>评标争议处理规则</w:t>
      </w:r>
      <w:bookmarkEnd w:id="162"/>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金牛区政府采购中心</w:t>
      </w:r>
      <w:r>
        <w:rPr>
          <w:rFonts w:hint="eastAsia" w:ascii="宋体" w:hAnsi="宋体"/>
          <w:sz w:val="28"/>
          <w:szCs w:val="28"/>
        </w:rPr>
        <w:t>书面反映。采购人或</w:t>
      </w:r>
      <w:r>
        <w:rPr>
          <w:rFonts w:hint="eastAsia" w:cs="Arial"/>
          <w:sz w:val="28"/>
          <w:szCs w:val="28"/>
          <w:lang w:eastAsia="zh-CN"/>
        </w:rPr>
        <w:t>金牛区政府采购中心</w:t>
      </w:r>
      <w:r>
        <w:rPr>
          <w:rFonts w:hint="eastAsia" w:ascii="宋体" w:hAnsi="宋体"/>
          <w:sz w:val="28"/>
          <w:szCs w:val="28"/>
        </w:rPr>
        <w:t>收到书面反映后，应当书面报告采购项目同级财政部门依法处理。</w:t>
      </w:r>
    </w:p>
    <w:p>
      <w:pPr>
        <w:keepNext/>
        <w:keepLines/>
        <w:numPr>
          <w:ilvl w:val="1"/>
          <w:numId w:val="3"/>
        </w:numPr>
        <w:spacing w:line="360" w:lineRule="auto"/>
        <w:jc w:val="left"/>
        <w:outlineLvl w:val="1"/>
        <w:rPr>
          <w:rFonts w:ascii="宋体" w:hAnsi="宋体"/>
          <w:b/>
          <w:bCs/>
          <w:sz w:val="28"/>
          <w:szCs w:val="28"/>
        </w:rPr>
      </w:pPr>
      <w:bookmarkStart w:id="163" w:name="_Toc88056442"/>
      <w:r>
        <w:rPr>
          <w:rFonts w:hint="eastAsia" w:ascii="宋体" w:hAnsi="宋体"/>
          <w:b/>
          <w:bCs/>
          <w:sz w:val="28"/>
          <w:szCs w:val="28"/>
        </w:rPr>
        <w:t>评标细则及标准</w:t>
      </w:r>
      <w:bookmarkEnd w:id="163"/>
    </w:p>
    <w:p>
      <w:pPr>
        <w:numPr>
          <w:ilvl w:val="0"/>
          <w:numId w:val="39"/>
        </w:numPr>
        <w:tabs>
          <w:tab w:val="left" w:pos="1155"/>
        </w:tabs>
        <w:spacing w:after="200" w:line="360" w:lineRule="auto"/>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39"/>
        </w:numPr>
        <w:tabs>
          <w:tab w:val="left" w:pos="1155"/>
        </w:tabs>
        <w:spacing w:after="200" w:line="360" w:lineRule="auto"/>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39"/>
        </w:numPr>
        <w:tabs>
          <w:tab w:val="left" w:pos="1155"/>
        </w:tabs>
        <w:spacing w:after="200" w:line="360" w:lineRule="auto"/>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360" w:lineRule="auto"/>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360" w:lineRule="auto"/>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1"/>
        <w:tblpPr w:leftFromText="180" w:rightFromText="180" w:vertAnchor="text" w:horzAnchor="page" w:tblpXSpec="center" w:tblpY="287"/>
        <w:tblOverlap w:val="never"/>
        <w:tblW w:w="8816" w:type="dxa"/>
        <w:tblInd w:w="-4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260"/>
        <w:gridCol w:w="5370"/>
        <w:gridCol w:w="64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blHeader/>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评审项目</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评分标准</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分值</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报价30%</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投标人如为监狱企业、残疾人福利性企业的，则给予其投标报价10%的价格扣除，用扣除后的价格参与评审。[说明：投标人为监狱企业的，提供由省级以上监狱管理局、戒毒管理局（含新疆生产建设兵团）出具的投标人属于监狱企业的证明文件复印件。] </w:t>
            </w:r>
          </w:p>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2、经评标委员会评审，通过资格审查和符合性审查，且投标报价最低的投标人的投标报价作为评标基准价。</w:t>
            </w:r>
          </w:p>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3、投标报价得分=(评标基准价／投标报价)×30。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sz w:val="24"/>
                <w:szCs w:val="24"/>
              </w:rPr>
              <w:t>30</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技术参数36%</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投标人投标产品的技术参数完全满足招标文件技术参数及要求中加▲号的技术参数及要求的得18分；投标人投标产品的技术参数不满足招标文件技术参数及要求中加▲号的技术参数及要求的，则在18分的基础上，每有一项不满足加▲号的技术参数及要求的，扣2分。（共9项。） </w:t>
            </w:r>
          </w:p>
          <w:p>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2、投标人投标产品的技术参数不满足招标文件技术参数及要求中未加▲、★号的技术参数及要求的,则在18分的基础上，每有一项不满足未加▲、★号的技术参数及要求的扣0.3分。（共60项。）</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36</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3</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17"/>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产品信誉10%</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1、为保证所投产品符合实际功能需求，所投LED屏具有图像智能化增强处理技术，提供证明文件得4分，不提供不得分。（提供软件著作权证书复印件加盖投标人公章鲜章）。</w:t>
            </w:r>
          </w:p>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2、为保证所投产品符合实际功能需求，所投LED屏具有蓝光护眼多重过滤保护功能，提供证明文件得4分，不提供不得分。（提供软件著作权证书复印件加盖投标人公章鲜章）。</w:t>
            </w:r>
          </w:p>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3、为保证所投产品符合实际功能需求，所投安全管理系统具有中国国家信息安全产品认证证书，提供证明文件得2分，不提供不得分。（提供证书复印件加盖投标人公章鲜章）</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sz w:val="24"/>
                <w:szCs w:val="24"/>
                <w:lang w:val="en-US"/>
              </w:rPr>
            </w:pPr>
            <w:r>
              <w:rPr>
                <w:rFonts w:hint="eastAsia" w:ascii="宋体" w:hAnsi="宋体" w:cs="宋体"/>
                <w:sz w:val="24"/>
                <w:szCs w:val="24"/>
                <w:lang w:val="en-US" w:eastAsia="zh-CN"/>
              </w:rPr>
              <w:t>10</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8"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4</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17"/>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项目实施方案12%</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投标人项目实施方案包含①项目管理方案、②人员安排、③项目进度计划方案、④项目验收方案、⑤培训服务方案、⑥应急预案和保障措施方案的，得12分；每缺少一个要素的扣2分；</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r>
              <w:rPr>
                <w:rFonts w:hint="eastAsia" w:cs="宋体"/>
                <w:sz w:val="18"/>
                <w:szCs w:val="18"/>
              </w:rPr>
              <w:t>12</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5</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售后服务方案10%</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投标人服务承诺与售后服务方案包括①服务电话和售后人员名单、②保修期内的保修内容与范围、③服务响应时间是否及时快捷、④有售后服务网点设置情况、⑤有质量保证措施的，得10 分；每缺少一个要素的扣2分；</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r>
              <w:rPr>
                <w:rFonts w:hint="eastAsia" w:cs="宋体"/>
                <w:sz w:val="18"/>
                <w:szCs w:val="18"/>
              </w:rPr>
              <w:t>10</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6</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节能、环保2%</w:t>
            </w:r>
          </w:p>
        </w:tc>
        <w:tc>
          <w:tcPr>
            <w:tcW w:w="53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人投标产品中每有一项产品属于最新印发节能产品政府采购品目清单中（除强制采购产品外）的得0.5分,投标人投标产品中每有一项产品属于最新印发的环境标志产品政府采购品目清单中的得0.5分,投标人投标产品中每有一项产品属于政府采购无线局域网产品的得0.5分，本项最多得2分。</w:t>
            </w:r>
          </w:p>
          <w:p>
            <w:pPr>
              <w:spacing w:line="40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注：节能、环境标志产品提供国家确定的认证机构出具的、处于有效期之内的节能产品认证证书复印件、环境标志产品认证证书复印件加盖公章；无线局域网产品提供相关证明材料。</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r>
              <w:rPr>
                <w:rFonts w:hint="eastAsia" w:ascii="宋体" w:hAnsi="宋体" w:cs="宋体"/>
                <w:sz w:val="18"/>
                <w:szCs w:val="18"/>
              </w:rPr>
              <w:t>2</w:t>
            </w:r>
          </w:p>
        </w:tc>
        <w:tc>
          <w:tcPr>
            <w:tcW w:w="7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4"/>
                <w:szCs w:val="24"/>
              </w:rPr>
            </w:pPr>
          </w:p>
        </w:tc>
      </w:tr>
    </w:tbl>
    <w:p>
      <w:pPr>
        <w:rPr>
          <w:rFonts w:ascii="宋体" w:hAnsi="宋体"/>
          <w:sz w:val="28"/>
        </w:rPr>
      </w:pPr>
    </w:p>
    <w:p>
      <w:pPr>
        <w:ind w:firstLine="700" w:firstLineChars="25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3"/>
        </w:numPr>
        <w:spacing w:before="260" w:after="260" w:line="360" w:lineRule="auto"/>
        <w:jc w:val="left"/>
        <w:outlineLvl w:val="1"/>
        <w:rPr>
          <w:rFonts w:ascii="宋体" w:hAnsi="宋体"/>
          <w:b/>
          <w:bCs/>
          <w:sz w:val="28"/>
          <w:szCs w:val="28"/>
        </w:rPr>
      </w:pPr>
      <w:bookmarkStart w:id="164" w:name="_Toc88056443"/>
      <w:r>
        <w:rPr>
          <w:rFonts w:hint="eastAsia" w:ascii="宋体" w:hAnsi="宋体"/>
          <w:b/>
          <w:bCs/>
          <w:sz w:val="28"/>
          <w:szCs w:val="28"/>
        </w:rPr>
        <w:t>废标</w:t>
      </w:r>
      <w:bookmarkEnd w:id="164"/>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0"/>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金牛区政府采购中心</w:t>
      </w:r>
      <w:r>
        <w:rPr>
          <w:rFonts w:hint="eastAsia" w:ascii="宋体" w:hAnsi="宋体"/>
          <w:sz w:val="28"/>
          <w:szCs w:val="28"/>
        </w:rPr>
        <w:t>将在“四川政府采购网”和</w:t>
      </w:r>
      <w:r>
        <w:rPr>
          <w:rFonts w:hint="eastAsia" w:ascii="宋体" w:hAnsi="宋体"/>
          <w:sz w:val="28"/>
          <w:szCs w:val="28"/>
          <w:lang w:eastAsia="zh-CN"/>
        </w:rPr>
        <w:t>“成都市公共资源交易服务中心”网站</w:t>
      </w:r>
      <w:r>
        <w:rPr>
          <w:rFonts w:hint="eastAsia" w:ascii="宋体" w:hAnsi="宋体"/>
          <w:sz w:val="28"/>
          <w:szCs w:val="28"/>
        </w:rPr>
        <w:t>上公告。</w:t>
      </w:r>
    </w:p>
    <w:p>
      <w:pPr>
        <w:keepNext/>
        <w:keepLines/>
        <w:numPr>
          <w:ilvl w:val="1"/>
          <w:numId w:val="3"/>
        </w:numPr>
        <w:spacing w:before="260" w:after="260" w:line="360" w:lineRule="auto"/>
        <w:jc w:val="left"/>
        <w:outlineLvl w:val="1"/>
        <w:rPr>
          <w:rFonts w:ascii="宋体" w:hAnsi="宋体"/>
          <w:b/>
          <w:bCs/>
          <w:sz w:val="28"/>
          <w:szCs w:val="28"/>
        </w:rPr>
      </w:pPr>
      <w:bookmarkStart w:id="165" w:name="_Toc88056444"/>
      <w:r>
        <w:rPr>
          <w:rFonts w:hint="eastAsia" w:ascii="宋体" w:hAnsi="宋体"/>
          <w:b/>
          <w:bCs/>
          <w:sz w:val="28"/>
          <w:szCs w:val="28"/>
        </w:rPr>
        <w:t>定标</w:t>
      </w:r>
      <w:bookmarkEnd w:id="165"/>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w:t>
      </w:r>
      <w:r>
        <w:rPr>
          <w:rFonts w:hint="eastAsia" w:ascii="宋体"/>
          <w:sz w:val="28"/>
          <w:szCs w:val="28"/>
        </w:rPr>
        <w:t>由采购人采取随机抽取的方式确定中标人</w:t>
      </w:r>
      <w:r>
        <w:rPr>
          <w:rFonts w:hint="eastAsia" w:ascii="宋体" w:hAnsi="宋体"/>
          <w:sz w:val="28"/>
          <w:szCs w:val="28"/>
        </w:rPr>
        <w:t>。</w:t>
      </w:r>
    </w:p>
    <w:p>
      <w:pPr>
        <w:spacing w:line="560" w:lineRule="exact"/>
        <w:ind w:firstLine="560" w:firstLineChars="200"/>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金牛区政府采购中心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金牛区政府采购中心</w:t>
      </w:r>
      <w:r>
        <w:rPr>
          <w:rFonts w:hint="eastAsia" w:ascii="宋体" w:hAnsi="宋体" w:cs="Helvetica"/>
          <w:sz w:val="28"/>
          <w:szCs w:val="28"/>
        </w:rPr>
        <w:t>在“四川政府采购网”和</w:t>
      </w:r>
      <w:r>
        <w:rPr>
          <w:rFonts w:hint="eastAsia" w:ascii="宋体" w:hAnsi="宋体" w:cs="Helvetica"/>
          <w:sz w:val="28"/>
          <w:szCs w:val="28"/>
          <w:lang w:eastAsia="zh-CN"/>
        </w:rPr>
        <w:t>“成都市公共资源交易服务中心”网站</w:t>
      </w:r>
      <w:r>
        <w:rPr>
          <w:rFonts w:hint="eastAsia" w:ascii="宋体" w:hAnsi="宋体" w:cs="Helvetica"/>
          <w:sz w:val="28"/>
          <w:szCs w:val="28"/>
        </w:rPr>
        <w:t>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金牛区政府采购中心</w:t>
      </w:r>
      <w:r>
        <w:rPr>
          <w:rFonts w:hint="eastAsia" w:ascii="宋体" w:hAnsi="宋体" w:cs="Helvetica"/>
          <w:sz w:val="28"/>
          <w:szCs w:val="28"/>
        </w:rPr>
        <w:t>不解释中标（成交）或未中标（成交）原因，不退回投标文件和其他投标资料。</w:t>
      </w:r>
    </w:p>
    <w:p>
      <w:pPr>
        <w:keepNext/>
        <w:keepLines/>
        <w:numPr>
          <w:ilvl w:val="1"/>
          <w:numId w:val="3"/>
        </w:numPr>
        <w:spacing w:line="360" w:lineRule="auto"/>
        <w:jc w:val="left"/>
        <w:outlineLvl w:val="1"/>
        <w:rPr>
          <w:rFonts w:ascii="宋体" w:hAnsi="宋体"/>
          <w:b/>
          <w:bCs/>
          <w:sz w:val="28"/>
          <w:szCs w:val="28"/>
        </w:rPr>
      </w:pPr>
      <w:bookmarkStart w:id="166" w:name="_Toc88056445"/>
      <w:r>
        <w:rPr>
          <w:rFonts w:hint="eastAsia" w:ascii="宋体" w:hAnsi="宋体"/>
          <w:b/>
          <w:bCs/>
          <w:sz w:val="28"/>
          <w:szCs w:val="28"/>
        </w:rPr>
        <w:t>评审专家在政府采购活动中承担以下义务</w:t>
      </w:r>
      <w:bookmarkEnd w:id="166"/>
    </w:p>
    <w:p>
      <w:pPr>
        <w:pStyle w:val="79"/>
        <w:numPr>
          <w:ilvl w:val="0"/>
          <w:numId w:val="41"/>
        </w:numPr>
        <w:tabs>
          <w:tab w:val="left" w:pos="284"/>
          <w:tab w:val="left" w:pos="993"/>
          <w:tab w:val="left" w:pos="1134"/>
        </w:tabs>
        <w:spacing w:line="360" w:lineRule="auto"/>
        <w:ind w:left="0" w:firstLine="420" w:firstLineChars="0"/>
        <w:jc w:val="left"/>
        <w:rPr>
          <w:sz w:val="28"/>
          <w:szCs w:val="28"/>
        </w:rPr>
      </w:pPr>
      <w:r>
        <w:rPr>
          <w:rFonts w:hint="eastAsia"/>
          <w:sz w:val="28"/>
          <w:szCs w:val="28"/>
        </w:rPr>
        <w:t>遵守评审工作纪律；</w:t>
      </w:r>
    </w:p>
    <w:p>
      <w:pPr>
        <w:pStyle w:val="79"/>
        <w:numPr>
          <w:ilvl w:val="0"/>
          <w:numId w:val="41"/>
        </w:numPr>
        <w:tabs>
          <w:tab w:val="left" w:pos="284"/>
          <w:tab w:val="left" w:pos="993"/>
          <w:tab w:val="left" w:pos="1134"/>
        </w:tabs>
        <w:spacing w:line="360" w:lineRule="auto"/>
        <w:ind w:left="0" w:firstLine="420" w:firstLineChars="0"/>
        <w:jc w:val="left"/>
        <w:rPr>
          <w:sz w:val="28"/>
          <w:szCs w:val="28"/>
        </w:rPr>
      </w:pPr>
      <w:r>
        <w:rPr>
          <w:rFonts w:hint="eastAsia"/>
          <w:sz w:val="28"/>
          <w:szCs w:val="28"/>
        </w:rPr>
        <w:t>按照客观、公正、审慎的原则，根据招标文件规定的评审程序、评审方法和评审标准进行独立评审；</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不得泄露评审文件、评审情况和在评审过程中获悉的商业秘密；</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及时向财政、监察等部门举报在评审过程中受到非法干预的情况；</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配合答复处理供应商的询问、质疑和投诉等事项；</w:t>
      </w:r>
    </w:p>
    <w:p>
      <w:pPr>
        <w:pStyle w:val="79"/>
        <w:numPr>
          <w:ilvl w:val="0"/>
          <w:numId w:val="41"/>
        </w:numPr>
        <w:tabs>
          <w:tab w:val="left" w:pos="284"/>
          <w:tab w:val="left" w:pos="993"/>
        </w:tabs>
        <w:spacing w:line="360" w:lineRule="auto"/>
        <w:ind w:left="0" w:firstLine="420" w:firstLineChars="0"/>
        <w:jc w:val="left"/>
        <w:rPr>
          <w:sz w:val="28"/>
          <w:szCs w:val="28"/>
        </w:rPr>
      </w:pPr>
      <w:r>
        <w:rPr>
          <w:rFonts w:hint="eastAsia"/>
          <w:sz w:val="28"/>
          <w:szCs w:val="28"/>
        </w:rPr>
        <w:t>法律、法规和规章规定的其他义务。</w:t>
      </w:r>
    </w:p>
    <w:p>
      <w:pPr>
        <w:keepNext/>
        <w:keepLines/>
        <w:numPr>
          <w:ilvl w:val="1"/>
          <w:numId w:val="3"/>
        </w:numPr>
        <w:spacing w:before="240" w:line="360" w:lineRule="auto"/>
        <w:jc w:val="left"/>
        <w:outlineLvl w:val="1"/>
        <w:rPr>
          <w:rFonts w:ascii="宋体" w:hAnsi="宋体"/>
          <w:b/>
          <w:bCs/>
          <w:sz w:val="28"/>
          <w:szCs w:val="28"/>
        </w:rPr>
      </w:pPr>
      <w:bookmarkStart w:id="167" w:name="_Toc88056446"/>
      <w:r>
        <w:rPr>
          <w:rFonts w:hint="eastAsia" w:ascii="宋体" w:hAnsi="宋体"/>
          <w:b/>
          <w:bCs/>
          <w:sz w:val="28"/>
          <w:szCs w:val="28"/>
        </w:rPr>
        <w:t>评审专家在政府采购活动中应当遵守以下工作纪律</w:t>
      </w:r>
      <w:bookmarkEnd w:id="167"/>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w:t>
      </w:r>
      <w:r>
        <w:rPr>
          <w:rFonts w:hint="eastAsia" w:ascii="宋体" w:hAnsi="宋体"/>
          <w:sz w:val="28"/>
          <w:szCs w:val="28"/>
          <w:lang w:eastAsia="zh-CN"/>
        </w:rPr>
        <w:t>金牛区政府采购中心</w:t>
      </w:r>
      <w:r>
        <w:rPr>
          <w:rFonts w:hint="eastAsia" w:ascii="宋体" w:hAnsi="宋体"/>
          <w:sz w:val="28"/>
          <w:szCs w:val="28"/>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金牛区政府采购中心</w:t>
      </w:r>
      <w:r>
        <w:rPr>
          <w:rFonts w:hint="eastAsia" w:ascii="宋体" w:hAnsi="宋体"/>
          <w:sz w:val="28"/>
          <w:szCs w:val="28"/>
        </w:rPr>
        <w:t>，不得私自转托他人；</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numPr>
          <w:ilvl w:val="0"/>
          <w:numId w:val="42"/>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评审现场服从采购代理机构工作人员的管理，接受现场监督人员的合法监督；</w:t>
      </w:r>
    </w:p>
    <w:p>
      <w:pPr>
        <w:tabs>
          <w:tab w:val="left" w:pos="1155"/>
          <w:tab w:val="left" w:pos="1276"/>
          <w:tab w:val="left" w:pos="1418"/>
        </w:tabs>
        <w:spacing w:line="580" w:lineRule="exact"/>
        <w:ind w:firstLine="560" w:firstLineChars="200"/>
        <w:rPr>
          <w:rFonts w:ascii="宋体" w:hAnsi="宋体"/>
          <w:sz w:val="28"/>
          <w:szCs w:val="28"/>
        </w:rPr>
      </w:pPr>
      <w:r>
        <w:rPr>
          <w:rFonts w:hint="eastAsia" w:ascii="宋体" w:hAnsi="宋体"/>
          <w:sz w:val="28"/>
          <w:szCs w:val="28"/>
        </w:rPr>
        <w:t>九、遵守有关廉洁自律规定，不得私下接触供应商，不得收受供应商及有关业务单位和个人的财物或好处，不得接受采购代理机构的请托。</w:t>
      </w:r>
    </w:p>
    <w:p>
      <w:pPr>
        <w:keepNext/>
        <w:keepLines/>
        <w:numPr>
          <w:ilvl w:val="0"/>
          <w:numId w:val="0"/>
        </w:numPr>
        <w:spacing w:line="360" w:lineRule="auto"/>
        <w:ind w:leftChars="0"/>
        <w:jc w:val="both"/>
        <w:outlineLvl w:val="0"/>
        <w:rPr>
          <w:rFonts w:hint="eastAsia" w:ascii="宋体" w:hAnsi="宋体"/>
          <w:b/>
          <w:bCs/>
          <w:spacing w:val="-20"/>
          <w:kern w:val="44"/>
          <w:sz w:val="32"/>
          <w:szCs w:val="32"/>
        </w:rPr>
      </w:pPr>
      <w:bookmarkStart w:id="168" w:name="_Toc217446108"/>
      <w:bookmarkStart w:id="169" w:name="_Toc8573798"/>
      <w:bookmarkStart w:id="170" w:name="_Toc34729074"/>
    </w:p>
    <w:p>
      <w:pPr>
        <w:keepNext/>
        <w:keepLines/>
        <w:numPr>
          <w:ilvl w:val="0"/>
          <w:numId w:val="3"/>
        </w:numPr>
        <w:spacing w:line="360" w:lineRule="auto"/>
        <w:ind w:left="0" w:firstLine="0"/>
        <w:jc w:val="center"/>
        <w:outlineLvl w:val="0"/>
        <w:rPr>
          <w:rFonts w:hint="eastAsia" w:ascii="宋体" w:hAnsi="宋体"/>
          <w:b/>
          <w:bCs/>
          <w:spacing w:val="-20"/>
          <w:kern w:val="44"/>
          <w:sz w:val="32"/>
          <w:szCs w:val="32"/>
        </w:rPr>
      </w:pPr>
      <w:r>
        <w:rPr>
          <w:rFonts w:hint="eastAsia" w:ascii="宋体" w:hAnsi="宋体"/>
          <w:b/>
          <w:bCs/>
          <w:spacing w:val="-20"/>
          <w:kern w:val="44"/>
          <w:sz w:val="32"/>
          <w:szCs w:val="32"/>
        </w:rPr>
        <w:t xml:space="preserve"> </w:t>
      </w:r>
      <w:bookmarkStart w:id="171" w:name="_Toc88138361"/>
      <w:r>
        <w:rPr>
          <w:rFonts w:hint="eastAsia" w:ascii="宋体" w:hAnsi="宋体"/>
          <w:b/>
          <w:bCs/>
          <w:spacing w:val="-20"/>
          <w:kern w:val="44"/>
          <w:sz w:val="32"/>
          <w:szCs w:val="32"/>
        </w:rPr>
        <w:t>拟签订合同文本</w:t>
      </w:r>
      <w:bookmarkEnd w:id="171"/>
    </w:p>
    <w:bookmarkEnd w:id="168"/>
    <w:bookmarkEnd w:id="169"/>
    <w:bookmarkEnd w:id="170"/>
    <w:p>
      <w:pPr>
        <w:pStyle w:val="17"/>
        <w:jc w:val="center"/>
        <w:rPr>
          <w:rFonts w:ascii="宋体" w:hAnsi="宋体"/>
          <w:b/>
          <w:bCs/>
          <w:spacing w:val="-20"/>
          <w:kern w:val="44"/>
          <w:sz w:val="32"/>
          <w:szCs w:val="32"/>
        </w:rPr>
      </w:pPr>
    </w:p>
    <w:p>
      <w:pPr>
        <w:pStyle w:val="17"/>
        <w:jc w:val="center"/>
        <w:rPr>
          <w:rFonts w:ascii="宋体" w:hAnsi="宋体"/>
          <w:b/>
          <w:bCs/>
          <w:spacing w:val="-20"/>
          <w:kern w:val="44"/>
          <w:sz w:val="32"/>
          <w:szCs w:val="32"/>
        </w:rPr>
      </w:pPr>
      <w:r>
        <w:rPr>
          <w:rFonts w:hint="eastAsia" w:ascii="宋体" w:hAnsi="宋体"/>
          <w:b/>
          <w:bCs/>
          <w:spacing w:val="-20"/>
          <w:kern w:val="44"/>
          <w:sz w:val="32"/>
          <w:szCs w:val="32"/>
        </w:rPr>
        <w:t>X</w:t>
      </w:r>
      <w:r>
        <w:rPr>
          <w:rFonts w:ascii="宋体" w:hAnsi="宋体"/>
          <w:b/>
          <w:bCs/>
          <w:spacing w:val="-20"/>
          <w:kern w:val="44"/>
          <w:sz w:val="32"/>
          <w:szCs w:val="32"/>
        </w:rPr>
        <w:t>XX</w:t>
      </w:r>
      <w:r>
        <w:rPr>
          <w:rFonts w:hint="eastAsia" w:ascii="宋体" w:hAnsi="宋体"/>
          <w:b/>
          <w:bCs/>
          <w:spacing w:val="-20"/>
          <w:kern w:val="44"/>
          <w:sz w:val="32"/>
          <w:szCs w:val="32"/>
        </w:rPr>
        <w:t>政府采购合同（货物</w:t>
      </w:r>
      <w:r>
        <w:rPr>
          <w:rFonts w:ascii="宋体" w:hAnsi="宋体"/>
          <w:b/>
          <w:bCs/>
          <w:spacing w:val="-20"/>
          <w:kern w:val="44"/>
          <w:sz w:val="32"/>
          <w:szCs w:val="32"/>
        </w:rPr>
        <w:t>类</w:t>
      </w:r>
      <w:r>
        <w:rPr>
          <w:rFonts w:hint="eastAsia" w:ascii="宋体" w:hAnsi="宋体"/>
          <w:b/>
          <w:bCs/>
          <w:spacing w:val="-20"/>
          <w:kern w:val="44"/>
          <w:sz w:val="32"/>
          <w:szCs w:val="32"/>
        </w:rPr>
        <w:t>）</w:t>
      </w:r>
    </w:p>
    <w:p>
      <w:pPr>
        <w:spacing w:line="560" w:lineRule="exact"/>
        <w:jc w:val="center"/>
        <w:rPr>
          <w:rFonts w:asciiTheme="minorEastAsia" w:hAnsiTheme="minorEastAsia" w:cstheme="minorEastAsia"/>
          <w:sz w:val="32"/>
          <w:szCs w:val="32"/>
        </w:rPr>
      </w:pP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政府采购合同编号：</w:t>
      </w:r>
      <w:r>
        <w:rPr>
          <w:rFonts w:hint="eastAsia"/>
          <w:sz w:val="24"/>
          <w:szCs w:val="32"/>
          <w:u w:val="single"/>
        </w:rPr>
        <w:t xml:space="preserve"> </w:t>
      </w:r>
      <w:r>
        <w:rPr>
          <w:sz w:val="24"/>
          <w:szCs w:val="32"/>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签订地点：</w:t>
      </w:r>
      <w:r>
        <w:rPr>
          <w:rFonts w:hint="eastAsia"/>
          <w:sz w:val="24"/>
          <w:szCs w:val="32"/>
          <w:u w:val="single"/>
        </w:rPr>
        <w:t xml:space="preserve"> </w:t>
      </w:r>
      <w:r>
        <w:rPr>
          <w:sz w:val="24"/>
          <w:szCs w:val="32"/>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签订时间：</w:t>
      </w:r>
      <w:r>
        <w:rPr>
          <w:rFonts w:hint="eastAsia"/>
          <w:sz w:val="24"/>
          <w:szCs w:val="32"/>
        </w:rPr>
        <w:t>20</w:t>
      </w: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采购人（甲方）：</w:t>
      </w:r>
      <w:r>
        <w:rPr>
          <w:rFonts w:asciiTheme="minorEastAsia" w:hAnsiTheme="minorEastAsia" w:cstheme="minorEastAsia"/>
          <w:sz w:val="24"/>
          <w:szCs w:val="24"/>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地址：</w:t>
      </w:r>
      <w:r>
        <w:rPr>
          <w:rFonts w:asciiTheme="minorEastAsia" w:hAnsiTheme="minorEastAsia" w:cstheme="minorEastAsia"/>
          <w:sz w:val="24"/>
          <w:szCs w:val="24"/>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供应商（乙方）：</w:t>
      </w:r>
      <w:r>
        <w:rPr>
          <w:rFonts w:asciiTheme="minorEastAsia" w:hAnsiTheme="minorEastAsia" w:cstheme="minorEastAsia"/>
          <w:sz w:val="24"/>
          <w:szCs w:val="24"/>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地址：</w:t>
      </w:r>
      <w:r>
        <w:rPr>
          <w:rFonts w:asciiTheme="minorEastAsia" w:hAnsiTheme="minorEastAsia" w:cstheme="minorEastAsia"/>
          <w:sz w:val="24"/>
          <w:szCs w:val="24"/>
          <w:u w:val="single"/>
        </w:rPr>
        <w:t xml:space="preserve">                            </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依据《中华人民共和国民法典》《中华人民共和国政府采购法》与项目行业有关的法律法规，以及</w:t>
      </w:r>
      <w:r>
        <w:rPr>
          <w:rFonts w:hint="eastAsia" w:asciiTheme="minorEastAsia" w:hAnsiTheme="minorEastAsia" w:cstheme="minorEastAsia"/>
          <w:sz w:val="24"/>
          <w:szCs w:val="24"/>
          <w:lang w:eastAsia="zh-CN"/>
        </w:rPr>
        <w:t>成都金牛高新技术产业园区管理委员会LED政府采购项目</w:t>
      </w:r>
      <w:r>
        <w:rPr>
          <w:rFonts w:hint="eastAsia" w:asciiTheme="minorEastAsia" w:hAnsiTheme="minorEastAsia" w:cstheme="minorEastAsia"/>
          <w:sz w:val="24"/>
          <w:szCs w:val="24"/>
        </w:rPr>
        <w:t>的《采购文件》，乙方的《投标文件》及《中标通知书》，甲乙双方同意签订本合同。具体情况及要求如下：</w:t>
      </w:r>
      <w:r>
        <w:rPr>
          <w:rFonts w:hint="eastAsia" w:asciiTheme="minorEastAsia" w:hAnsiTheme="minorEastAsia" w:cstheme="minorEastAsia"/>
          <w:sz w:val="24"/>
          <w:szCs w:val="24"/>
        </w:rPr>
        <w:tab/>
      </w:r>
    </w:p>
    <w:p>
      <w:pPr>
        <w:numPr>
          <w:ilvl w:val="0"/>
          <w:numId w:val="43"/>
        </w:numPr>
        <w:spacing w:line="5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标的信息</w:t>
      </w:r>
    </w:p>
    <w:tbl>
      <w:tblPr>
        <w:tblStyle w:val="41"/>
        <w:tblW w:w="9827" w:type="dxa"/>
        <w:tblInd w:w="-36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1"/>
        <w:gridCol w:w="1418"/>
        <w:gridCol w:w="850"/>
        <w:gridCol w:w="1418"/>
        <w:gridCol w:w="1417"/>
        <w:gridCol w:w="851"/>
        <w:gridCol w:w="1417"/>
        <w:gridCol w:w="993"/>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6" w:hRule="atLeast"/>
        </w:trPr>
        <w:tc>
          <w:tcPr>
            <w:tcW w:w="47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货物品名</w:t>
            </w:r>
          </w:p>
        </w:tc>
        <w:tc>
          <w:tcPr>
            <w:tcW w:w="85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品牌</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数量</w:t>
            </w:r>
          </w:p>
        </w:tc>
        <w:tc>
          <w:tcPr>
            <w:tcW w:w="1417" w:type="dxa"/>
            <w:tcBorders>
              <w:top w:val="single" w:color="auto" w:sz="4" w:space="0"/>
              <w:left w:val="single" w:color="auto" w:sz="4" w:space="0"/>
              <w:bottom w:val="single" w:color="auto" w:sz="4" w:space="0"/>
              <w:right w:val="single" w:color="auto" w:sz="4" w:space="0"/>
            </w:tcBorders>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技术</w:t>
            </w:r>
            <w:r>
              <w:rPr>
                <w:rFonts w:asciiTheme="minorEastAsia" w:hAnsiTheme="minorEastAsia" w:cstheme="minorEastAsia"/>
                <w:sz w:val="24"/>
                <w:szCs w:val="24"/>
              </w:rPr>
              <w:t>参数及要求</w:t>
            </w:r>
          </w:p>
        </w:tc>
        <w:tc>
          <w:tcPr>
            <w:tcW w:w="9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单价（元）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总价（元）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7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1</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line="560" w:lineRule="exact"/>
              <w:jc w:val="center"/>
              <w:rPr>
                <w:rFonts w:asciiTheme="minorEastAsia" w:hAnsiTheme="minorEastAsia" w:cstheme="minorEastAsia"/>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7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2</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line="560" w:lineRule="exact"/>
              <w:jc w:val="center"/>
              <w:rPr>
                <w:rFonts w:asciiTheme="minorEastAsia" w:hAnsiTheme="minorEastAsia" w:cstheme="minorEastAsia"/>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7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3</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tcPr>
          <w:p>
            <w:pPr>
              <w:spacing w:line="560" w:lineRule="exact"/>
              <w:jc w:val="center"/>
              <w:rPr>
                <w:rFonts w:asciiTheme="minorEastAsia" w:hAnsiTheme="minorEastAsia" w:cstheme="minorEastAsia"/>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cstheme="minorEastAsia"/>
                <w:sz w:val="24"/>
                <w:szCs w:val="24"/>
              </w:rPr>
            </w:pPr>
          </w:p>
        </w:tc>
      </w:tr>
    </w:tbl>
    <w:p>
      <w:pPr>
        <w:numPr>
          <w:ilvl w:val="0"/>
          <w:numId w:val="43"/>
        </w:numPr>
        <w:spacing w:line="5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合同期限</w:t>
      </w:r>
    </w:p>
    <w:p>
      <w:pPr>
        <w:ind w:firstLine="480" w:firstLineChars="200"/>
        <w:rPr>
          <w:sz w:val="24"/>
          <w:szCs w:val="24"/>
        </w:rPr>
      </w:pPr>
      <w:r>
        <w:rPr>
          <w:sz w:val="24"/>
          <w:szCs w:val="24"/>
        </w:rPr>
        <w:t xml:space="preserve">2.1 </w:t>
      </w:r>
      <w:r>
        <w:rPr>
          <w:rFonts w:hint="eastAsia"/>
          <w:sz w:val="24"/>
          <w:szCs w:val="24"/>
        </w:rPr>
        <w:t>本项目期限自</w:t>
      </w:r>
      <w:r>
        <w:rPr>
          <w:sz w:val="24"/>
          <w:szCs w:val="24"/>
        </w:rPr>
        <w:t xml:space="preserve">20   </w:t>
      </w:r>
      <w:r>
        <w:rPr>
          <w:rFonts w:hint="eastAsia"/>
          <w:sz w:val="24"/>
          <w:szCs w:val="24"/>
        </w:rPr>
        <w:t xml:space="preserve">年 </w:t>
      </w:r>
      <w:r>
        <w:rPr>
          <w:sz w:val="24"/>
          <w:szCs w:val="24"/>
        </w:rPr>
        <w:t xml:space="preserve">  </w:t>
      </w:r>
      <w:r>
        <w:rPr>
          <w:rFonts w:hint="eastAsia"/>
          <w:sz w:val="24"/>
          <w:szCs w:val="24"/>
        </w:rPr>
        <w:t xml:space="preserve">月 </w:t>
      </w:r>
      <w:r>
        <w:rPr>
          <w:sz w:val="24"/>
          <w:szCs w:val="24"/>
        </w:rPr>
        <w:t xml:space="preserve">   </w:t>
      </w:r>
      <w:r>
        <w:rPr>
          <w:rFonts w:hint="eastAsia"/>
          <w:sz w:val="24"/>
          <w:szCs w:val="24"/>
        </w:rPr>
        <w:t>日至2</w:t>
      </w:r>
      <w:r>
        <w:rPr>
          <w:sz w:val="24"/>
          <w:szCs w:val="24"/>
        </w:rPr>
        <w:t>0</w:t>
      </w:r>
      <w:r>
        <w:rPr>
          <w:rFonts w:hint="eastAsia"/>
          <w:sz w:val="24"/>
          <w:szCs w:val="24"/>
        </w:rPr>
        <w:t xml:space="preserve"> </w:t>
      </w:r>
      <w:r>
        <w:rPr>
          <w:sz w:val="24"/>
          <w:szCs w:val="24"/>
        </w:rPr>
        <w:t xml:space="preserve"> </w:t>
      </w: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日止。</w:t>
      </w:r>
    </w:p>
    <w:p>
      <w:pPr>
        <w:ind w:firstLine="480" w:firstLineChars="200"/>
        <w:rPr>
          <w:sz w:val="24"/>
          <w:szCs w:val="24"/>
        </w:rPr>
      </w:pPr>
      <w:r>
        <w:rPr>
          <w:sz w:val="24"/>
          <w:szCs w:val="24"/>
        </w:rPr>
        <w:t xml:space="preserve">2.2 </w:t>
      </w:r>
      <w:r>
        <w:rPr>
          <w:rFonts w:hint="eastAsia"/>
          <w:sz w:val="24"/>
          <w:szCs w:val="24"/>
        </w:rPr>
        <w:t>因本项目系政府采购项目，合同期限为固定期限，乙方应当在合同约定的期限内完成全部项目内容并通过甲方组织的验收。</w:t>
      </w:r>
    </w:p>
    <w:p>
      <w:pPr>
        <w:ind w:firstLine="472" w:firstLineChars="196"/>
        <w:rPr>
          <w:b/>
          <w:sz w:val="24"/>
          <w:szCs w:val="24"/>
        </w:rPr>
      </w:pPr>
      <w:r>
        <w:rPr>
          <w:rFonts w:hint="eastAsia"/>
          <w:b/>
          <w:sz w:val="24"/>
          <w:szCs w:val="24"/>
        </w:rPr>
        <w:t>三、服务内容与质量标准</w:t>
      </w:r>
    </w:p>
    <w:p>
      <w:pPr>
        <w:ind w:firstLine="480" w:firstLineChars="200"/>
        <w:rPr>
          <w:sz w:val="24"/>
          <w:szCs w:val="24"/>
        </w:rPr>
      </w:pPr>
      <w:r>
        <w:rPr>
          <w:sz w:val="24"/>
          <w:szCs w:val="24"/>
        </w:rPr>
        <w:t>3.1 服务内容</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3.</w:t>
      </w:r>
      <w:r>
        <w:rPr>
          <w:rFonts w:hint="eastAsia" w:asciiTheme="minorEastAsia" w:hAnsiTheme="minorEastAsia" w:eastAsiaTheme="minorEastAsia"/>
          <w:kern w:val="0"/>
          <w:sz w:val="24"/>
          <w:szCs w:val="24"/>
          <w:lang w:val="zh-CN" w:bidi="zh-CN"/>
        </w:rPr>
        <w:t>1.1</w:t>
      </w:r>
      <w:r>
        <w:rPr>
          <w:rFonts w:asciiTheme="minorEastAsia" w:hAnsiTheme="minorEastAsia" w:eastAsiaTheme="minorEastAsia"/>
          <w:kern w:val="0"/>
          <w:sz w:val="24"/>
          <w:szCs w:val="24"/>
          <w:lang w:val="zh-CN" w:bidi="zh-CN"/>
        </w:rPr>
        <w:t xml:space="preserve"> </w:t>
      </w:r>
      <w:r>
        <w:rPr>
          <w:rFonts w:hint="eastAsia" w:asciiTheme="minorEastAsia" w:hAnsiTheme="minorEastAsia" w:eastAsiaTheme="minorEastAsia"/>
          <w:kern w:val="0"/>
          <w:sz w:val="24"/>
          <w:szCs w:val="24"/>
          <w:u w:val="single"/>
          <w:lang w:val="zh-CN" w:bidi="zh-CN"/>
        </w:rPr>
        <w:t xml:space="preserve"> </w:t>
      </w:r>
      <w:r>
        <w:rPr>
          <w:rFonts w:asciiTheme="minorEastAsia" w:hAnsiTheme="minorEastAsia" w:eastAsiaTheme="minorEastAsia"/>
          <w:kern w:val="0"/>
          <w:sz w:val="24"/>
          <w:szCs w:val="24"/>
          <w:u w:val="single"/>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u w:val="single"/>
          <w:lang w:val="zh-CN" w:bidi="zh-CN"/>
        </w:rPr>
      </w:pPr>
      <w:r>
        <w:rPr>
          <w:rFonts w:asciiTheme="minorEastAsia" w:hAnsiTheme="minorEastAsia" w:eastAsiaTheme="minorEastAsia"/>
          <w:kern w:val="0"/>
          <w:sz w:val="24"/>
          <w:szCs w:val="24"/>
          <w:lang w:val="zh-CN" w:bidi="zh-CN"/>
        </w:rPr>
        <w:t>3.</w:t>
      </w:r>
      <w:r>
        <w:rPr>
          <w:rFonts w:hint="eastAsia" w:asciiTheme="minorEastAsia" w:hAnsiTheme="minorEastAsia" w:eastAsiaTheme="minorEastAsia"/>
          <w:kern w:val="0"/>
          <w:sz w:val="24"/>
          <w:szCs w:val="24"/>
          <w:lang w:val="zh-CN" w:bidi="zh-CN"/>
        </w:rPr>
        <w:t>1.2</w:t>
      </w:r>
      <w:r>
        <w:rPr>
          <w:rFonts w:asciiTheme="minorEastAsia" w:hAnsiTheme="minorEastAsia" w:eastAsiaTheme="minorEastAsia"/>
          <w:kern w:val="0"/>
          <w:sz w:val="24"/>
          <w:szCs w:val="24"/>
          <w:u w:val="single"/>
          <w:lang w:val="zh-CN" w:bidi="zh-CN"/>
        </w:rPr>
        <w:t xml:space="preserve"> </w:t>
      </w:r>
      <w:r>
        <w:rPr>
          <w:rFonts w:hint="eastAsia" w:asciiTheme="minorEastAsia" w:hAnsiTheme="minorEastAsia" w:eastAsiaTheme="minorEastAsia"/>
          <w:kern w:val="0"/>
          <w:sz w:val="24"/>
          <w:szCs w:val="24"/>
          <w:u w:val="single"/>
          <w:lang w:val="zh-CN" w:bidi="zh-CN"/>
        </w:rPr>
        <w:t xml:space="preserve"> </w:t>
      </w:r>
      <w:r>
        <w:rPr>
          <w:rFonts w:asciiTheme="minorEastAsia" w:hAnsiTheme="minorEastAsia" w:eastAsiaTheme="minorEastAsia"/>
          <w:kern w:val="0"/>
          <w:sz w:val="24"/>
          <w:szCs w:val="24"/>
          <w:u w:val="single"/>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u w:val="single"/>
          <w:lang w:val="zh-CN" w:bidi="zh-CN"/>
        </w:rPr>
      </w:pPr>
      <w:r>
        <w:rPr>
          <w:rFonts w:asciiTheme="minorEastAsia" w:hAnsiTheme="minorEastAsia" w:eastAsiaTheme="minorEastAsia"/>
          <w:kern w:val="0"/>
          <w:sz w:val="24"/>
          <w:szCs w:val="24"/>
          <w:lang w:val="zh-CN" w:bidi="zh-CN"/>
        </w:rPr>
        <w:t>3.</w:t>
      </w:r>
      <w:r>
        <w:rPr>
          <w:rFonts w:hint="eastAsia" w:asciiTheme="minorEastAsia" w:hAnsiTheme="minorEastAsia" w:eastAsiaTheme="minorEastAsia"/>
          <w:kern w:val="0"/>
          <w:sz w:val="24"/>
          <w:szCs w:val="24"/>
          <w:lang w:val="zh-CN" w:bidi="zh-CN"/>
        </w:rPr>
        <w:t>1.3</w:t>
      </w:r>
      <w:r>
        <w:rPr>
          <w:rFonts w:asciiTheme="minorEastAsia" w:hAnsiTheme="minorEastAsia" w:eastAsiaTheme="minorEastAsia"/>
          <w:kern w:val="0"/>
          <w:sz w:val="24"/>
          <w:szCs w:val="24"/>
          <w:lang w:val="zh-CN" w:bidi="zh-CN"/>
        </w:rPr>
        <w:t xml:space="preserve"> </w:t>
      </w:r>
      <w:r>
        <w:rPr>
          <w:rFonts w:hint="eastAsia" w:asciiTheme="minorEastAsia" w:hAnsiTheme="minorEastAsia" w:eastAsiaTheme="minorEastAsia"/>
          <w:kern w:val="0"/>
          <w:sz w:val="24"/>
          <w:szCs w:val="24"/>
          <w:u w:val="single"/>
          <w:lang w:val="zh-CN" w:bidi="zh-CN"/>
        </w:rPr>
        <w:t xml:space="preserve"> </w:t>
      </w:r>
      <w:r>
        <w:rPr>
          <w:rFonts w:asciiTheme="minorEastAsia" w:hAnsiTheme="minorEastAsia" w:eastAsiaTheme="minorEastAsia"/>
          <w:kern w:val="0"/>
          <w:sz w:val="24"/>
          <w:szCs w:val="24"/>
          <w:u w:val="single"/>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3</w:t>
      </w:r>
      <w:r>
        <w:rPr>
          <w:rFonts w:asciiTheme="minorEastAsia" w:hAnsiTheme="minorEastAsia" w:eastAsiaTheme="minorEastAsia"/>
          <w:kern w:val="0"/>
          <w:sz w:val="24"/>
          <w:szCs w:val="24"/>
          <w:lang w:val="zh-CN" w:bidi="zh-CN"/>
        </w:rPr>
        <w:t xml:space="preserve">.2 </w:t>
      </w:r>
      <w:r>
        <w:rPr>
          <w:rFonts w:hint="eastAsia" w:asciiTheme="minorEastAsia" w:hAnsiTheme="minorEastAsia" w:eastAsiaTheme="minorEastAsia"/>
          <w:kern w:val="0"/>
          <w:sz w:val="24"/>
          <w:szCs w:val="24"/>
          <w:lang w:val="zh-CN" w:bidi="zh-CN"/>
        </w:rPr>
        <w:t>质量标准</w:t>
      </w:r>
    </w:p>
    <w:p>
      <w:pPr>
        <w:autoSpaceDE w:val="0"/>
        <w:autoSpaceDN w:val="0"/>
        <w:spacing w:line="440" w:lineRule="exact"/>
        <w:ind w:firstLine="480" w:firstLineChars="200"/>
        <w:rPr>
          <w:rFonts w:asciiTheme="minorEastAsia" w:hAnsiTheme="minorEastAsia" w:eastAsiaTheme="minorEastAsia"/>
          <w:kern w:val="0"/>
          <w:sz w:val="24"/>
          <w:szCs w:val="24"/>
          <w:u w:val="single"/>
          <w:lang w:val="zh-CN" w:bidi="zh-CN"/>
        </w:rPr>
      </w:pPr>
      <w:r>
        <w:rPr>
          <w:rFonts w:hint="eastAsia" w:asciiTheme="minorEastAsia" w:hAnsiTheme="minorEastAsia" w:eastAsiaTheme="minorEastAsia"/>
          <w:kern w:val="0"/>
          <w:sz w:val="24"/>
          <w:szCs w:val="24"/>
          <w:lang w:val="zh-CN" w:bidi="zh-CN"/>
        </w:rPr>
        <w:t>3</w:t>
      </w:r>
      <w:r>
        <w:rPr>
          <w:rFonts w:asciiTheme="minorEastAsia" w:hAnsiTheme="minorEastAsia" w:eastAsiaTheme="minorEastAsia"/>
          <w:kern w:val="0"/>
          <w:sz w:val="24"/>
          <w:szCs w:val="24"/>
          <w:lang w:val="zh-CN" w:bidi="zh-CN"/>
        </w:rPr>
        <w:t xml:space="preserve">.2.1 </w:t>
      </w:r>
      <w:r>
        <w:rPr>
          <w:rFonts w:asciiTheme="minorEastAsia" w:hAnsiTheme="minorEastAsia" w:eastAsiaTheme="minorEastAsia"/>
          <w:kern w:val="0"/>
          <w:sz w:val="24"/>
          <w:szCs w:val="24"/>
          <w:u w:val="single"/>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u w:val="single"/>
          <w:lang w:val="zh-CN" w:bidi="zh-CN"/>
        </w:rPr>
      </w:pPr>
      <w:r>
        <w:rPr>
          <w:rFonts w:hint="eastAsia" w:asciiTheme="minorEastAsia" w:hAnsiTheme="minorEastAsia" w:eastAsiaTheme="minorEastAsia"/>
          <w:kern w:val="0"/>
          <w:sz w:val="24"/>
          <w:szCs w:val="24"/>
          <w:lang w:val="zh-CN" w:bidi="zh-CN"/>
        </w:rPr>
        <w:t>3</w:t>
      </w:r>
      <w:r>
        <w:rPr>
          <w:rFonts w:asciiTheme="minorEastAsia" w:hAnsiTheme="minorEastAsia" w:eastAsiaTheme="minorEastAsia"/>
          <w:kern w:val="0"/>
          <w:sz w:val="24"/>
          <w:szCs w:val="24"/>
          <w:lang w:val="zh-CN" w:bidi="zh-CN"/>
        </w:rPr>
        <w:t xml:space="preserve">.2.2 </w:t>
      </w:r>
      <w:r>
        <w:rPr>
          <w:rFonts w:asciiTheme="minorEastAsia" w:hAnsiTheme="minorEastAsia" w:eastAsiaTheme="minorEastAsia"/>
          <w:kern w:val="0"/>
          <w:sz w:val="24"/>
          <w:szCs w:val="24"/>
          <w:u w:val="single"/>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本合同约定的质量标准和《招标文件》、《投标文件》的内容不一致的，按照最高的标准执行。</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3</w:t>
      </w:r>
      <w:r>
        <w:rPr>
          <w:rFonts w:asciiTheme="minorEastAsia" w:hAnsiTheme="minorEastAsia" w:eastAsiaTheme="minorEastAsia"/>
          <w:kern w:val="0"/>
          <w:sz w:val="24"/>
          <w:szCs w:val="24"/>
          <w:lang w:val="zh-CN" w:bidi="zh-CN"/>
        </w:rPr>
        <w:t xml:space="preserve">.3 </w:t>
      </w:r>
      <w:r>
        <w:rPr>
          <w:rFonts w:hint="eastAsia" w:asciiTheme="minorEastAsia" w:hAnsiTheme="minorEastAsia" w:eastAsiaTheme="minorEastAsia"/>
          <w:kern w:val="0"/>
          <w:sz w:val="24"/>
          <w:szCs w:val="24"/>
          <w:lang w:val="zh-CN" w:bidi="zh-CN"/>
        </w:rPr>
        <w:t>乙方应当提交书面的项目实施计划，对项目每一阶段应当完成的内容及时间节点做出规划，并承诺按照项目实施计划完成全部项目内容。</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四、</w:t>
      </w:r>
      <w:r>
        <w:rPr>
          <w:rFonts w:asciiTheme="minorEastAsia" w:hAnsiTheme="minorEastAsia" w:eastAsiaTheme="minorEastAsia"/>
          <w:b/>
          <w:kern w:val="0"/>
          <w:sz w:val="24"/>
          <w:szCs w:val="24"/>
          <w:lang w:val="zh-CN" w:bidi="zh-CN"/>
        </w:rPr>
        <w:t>验收</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4</w:t>
      </w:r>
      <w:r>
        <w:rPr>
          <w:rFonts w:asciiTheme="minorEastAsia" w:hAnsiTheme="minorEastAsia" w:eastAsiaTheme="minorEastAsia"/>
          <w:kern w:val="0"/>
          <w:sz w:val="24"/>
          <w:szCs w:val="24"/>
          <w:lang w:val="zh-CN" w:bidi="zh-CN"/>
        </w:rPr>
        <w:t>.1</w:t>
      </w:r>
      <w:r>
        <w:rPr>
          <w:rFonts w:cs="宋体" w:asciiTheme="minorEastAsia" w:hAnsiTheme="minorEastAsia" w:eastAsiaTheme="minorEastAsia"/>
          <w:kern w:val="0"/>
          <w:sz w:val="24"/>
          <w:szCs w:val="24"/>
        </w:rPr>
        <w:t xml:space="preserve"> </w:t>
      </w:r>
      <w:r>
        <w:rPr>
          <w:rFonts w:hint="eastAsia" w:cs="宋体" w:asciiTheme="minorEastAsia" w:hAnsiTheme="minorEastAsia" w:eastAsiaTheme="minorEastAsia"/>
          <w:kern w:val="0"/>
          <w:sz w:val="24"/>
          <w:szCs w:val="24"/>
        </w:rPr>
        <w:t xml:space="preserve">对于本次政府采购服务的事项，法律、法规、国家标准、行业标准规定了相关标准的，《招标文件》、《投标文件》及乙方提供的服务均不得低于该标准。 </w:t>
      </w:r>
    </w:p>
    <w:p>
      <w:pPr>
        <w:spacing w:line="440" w:lineRule="exact"/>
        <w:ind w:firstLine="480" w:firstLineChars="200"/>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4.2</w:t>
      </w:r>
      <w:r>
        <w:rPr>
          <w:rFonts w:cs="宋体" w:asciiTheme="minorEastAsia" w:hAnsiTheme="minorEastAsia" w:eastAsiaTheme="minorEastAsia"/>
          <w:kern w:val="0"/>
          <w:sz w:val="24"/>
          <w:szCs w:val="24"/>
        </w:rPr>
        <w:t xml:space="preserve"> </w:t>
      </w:r>
      <w:r>
        <w:rPr>
          <w:rFonts w:hint="eastAsia" w:cs="宋体" w:asciiTheme="minorEastAsia" w:hAnsiTheme="minorEastAsia" w:eastAsiaTheme="minorEastAsia"/>
          <w:kern w:val="0"/>
          <w:sz w:val="24"/>
          <w:szCs w:val="24"/>
        </w:rPr>
        <w:t>《招标文件》的服务要求和乙方提交的《投标文件》的服务标准不一致的，以较高的服务标准为验收标准。</w:t>
      </w:r>
    </w:p>
    <w:p>
      <w:pPr>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4</w:t>
      </w:r>
      <w:r>
        <w:rPr>
          <w:rFonts w:asciiTheme="minorEastAsia" w:hAnsiTheme="minorEastAsia" w:eastAsiaTheme="minorEastAsia"/>
          <w:kern w:val="0"/>
          <w:sz w:val="24"/>
          <w:szCs w:val="24"/>
          <w:lang w:val="zh-CN" w:bidi="zh-CN"/>
        </w:rPr>
        <w:t>.</w:t>
      </w:r>
      <w:r>
        <w:rPr>
          <w:rFonts w:hint="eastAsia" w:asciiTheme="minorEastAsia" w:hAnsiTheme="minorEastAsia" w:eastAsiaTheme="minorEastAsia"/>
          <w:kern w:val="0"/>
          <w:sz w:val="24"/>
          <w:szCs w:val="24"/>
          <w:lang w:val="zh-CN" w:bidi="zh-CN"/>
        </w:rPr>
        <w:t>3</w:t>
      </w:r>
      <w:r>
        <w:rPr>
          <w:rFonts w:asciiTheme="minorEastAsia" w:hAnsiTheme="minorEastAsia" w:eastAsiaTheme="minorEastAsia"/>
          <w:kern w:val="0"/>
          <w:sz w:val="24"/>
          <w:szCs w:val="24"/>
          <w:lang w:val="zh-CN" w:bidi="zh-CN"/>
        </w:rPr>
        <w:t xml:space="preserve"> </w:t>
      </w:r>
      <w:r>
        <w:rPr>
          <w:rFonts w:hint="eastAsia" w:asciiTheme="minorEastAsia" w:hAnsiTheme="minorEastAsia" w:eastAsiaTheme="minorEastAsia"/>
          <w:kern w:val="0"/>
          <w:sz w:val="24"/>
          <w:szCs w:val="24"/>
          <w:lang w:val="zh-CN" w:bidi="zh-CN"/>
        </w:rPr>
        <w:t>验收程序：</w:t>
      </w:r>
      <w:r>
        <w:rPr>
          <w:rFonts w:hint="eastAsia" w:asciiTheme="minorEastAsia" w:hAnsiTheme="minorEastAsia" w:eastAsiaTheme="minorEastAsia"/>
          <w:kern w:val="0"/>
          <w:sz w:val="24"/>
          <w:szCs w:val="24"/>
          <w:lang w:bidi="zh-CN"/>
        </w:rPr>
        <w:t>乙方</w:t>
      </w:r>
      <w:r>
        <w:rPr>
          <w:rFonts w:hint="eastAsia" w:asciiTheme="minorEastAsia" w:hAnsiTheme="minorEastAsia" w:eastAsiaTheme="minorEastAsia"/>
          <w:kern w:val="0"/>
          <w:sz w:val="24"/>
          <w:szCs w:val="24"/>
          <w:lang w:val="zh-CN" w:bidi="zh-CN"/>
        </w:rPr>
        <w:t>应根据标书及合同要求，自行组织设备及人员，在</w:t>
      </w:r>
      <w:r>
        <w:rPr>
          <w:rFonts w:hint="eastAsia" w:asciiTheme="minorEastAsia" w:hAnsiTheme="minorEastAsia" w:eastAsiaTheme="minorEastAsia"/>
          <w:kern w:val="0"/>
          <w:sz w:val="24"/>
          <w:szCs w:val="24"/>
          <w:lang w:bidi="zh-CN"/>
        </w:rPr>
        <w:t>甲方</w:t>
      </w:r>
      <w:r>
        <w:rPr>
          <w:rFonts w:hint="eastAsia" w:asciiTheme="minorEastAsia" w:hAnsiTheme="minorEastAsia" w:eastAsiaTheme="minorEastAsia"/>
          <w:kern w:val="0"/>
          <w:sz w:val="24"/>
          <w:szCs w:val="24"/>
          <w:lang w:val="zh-CN" w:bidi="zh-CN"/>
        </w:rPr>
        <w:t>监查下现场进行测试和验收。</w:t>
      </w:r>
    </w:p>
    <w:p>
      <w:pPr>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1.开箱检验。所有设备、器材开箱时必须完好、无破损。配置与标书及合同约定相符。数量、质量及性能不低于标书及合同要求。如有出入应立即书面记录，由</w:t>
      </w:r>
      <w:r>
        <w:rPr>
          <w:rFonts w:hint="eastAsia" w:asciiTheme="minorEastAsia" w:hAnsiTheme="minorEastAsia" w:eastAsiaTheme="minorEastAsia"/>
          <w:kern w:val="0"/>
          <w:sz w:val="24"/>
          <w:szCs w:val="24"/>
          <w:lang w:bidi="zh-CN"/>
        </w:rPr>
        <w:t>乙方</w:t>
      </w:r>
      <w:r>
        <w:rPr>
          <w:rFonts w:hint="eastAsia" w:asciiTheme="minorEastAsia" w:hAnsiTheme="minorEastAsia" w:eastAsiaTheme="minorEastAsia"/>
          <w:kern w:val="0"/>
          <w:sz w:val="24"/>
          <w:szCs w:val="24"/>
          <w:lang w:val="zh-CN" w:bidi="zh-CN"/>
        </w:rPr>
        <w:t>解决。</w:t>
      </w:r>
    </w:p>
    <w:p>
      <w:pPr>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2.系统测试。系统安装完成后，由</w:t>
      </w:r>
      <w:r>
        <w:rPr>
          <w:rFonts w:hint="eastAsia" w:asciiTheme="minorEastAsia" w:hAnsiTheme="minorEastAsia" w:eastAsiaTheme="minorEastAsia"/>
          <w:kern w:val="0"/>
          <w:sz w:val="24"/>
          <w:szCs w:val="24"/>
          <w:lang w:bidi="zh-CN"/>
        </w:rPr>
        <w:t>乙方</w:t>
      </w:r>
      <w:r>
        <w:rPr>
          <w:rFonts w:hint="eastAsia" w:asciiTheme="minorEastAsia" w:hAnsiTheme="minorEastAsia" w:eastAsiaTheme="minorEastAsia"/>
          <w:kern w:val="0"/>
          <w:sz w:val="24"/>
          <w:szCs w:val="24"/>
          <w:lang w:val="zh-CN" w:bidi="zh-CN"/>
        </w:rPr>
        <w:t>和</w:t>
      </w:r>
      <w:r>
        <w:rPr>
          <w:rFonts w:hint="eastAsia" w:asciiTheme="minorEastAsia" w:hAnsiTheme="minorEastAsia" w:eastAsiaTheme="minorEastAsia"/>
          <w:kern w:val="0"/>
          <w:sz w:val="24"/>
          <w:szCs w:val="24"/>
          <w:lang w:bidi="zh-CN"/>
        </w:rPr>
        <w:t>甲方</w:t>
      </w:r>
      <w:r>
        <w:rPr>
          <w:rFonts w:hint="eastAsia" w:asciiTheme="minorEastAsia" w:hAnsiTheme="minorEastAsia" w:eastAsiaTheme="minorEastAsia"/>
          <w:kern w:val="0"/>
          <w:sz w:val="24"/>
          <w:szCs w:val="24"/>
          <w:lang w:val="zh-CN" w:bidi="zh-CN"/>
        </w:rPr>
        <w:t>按照系统要求的基本功能逐一测试，要求系统运行正常。如果测试过程中发现设备性能指标或功能上不符合标书及合同要求时，被视为性能不合格。</w:t>
      </w:r>
      <w:r>
        <w:rPr>
          <w:rFonts w:hint="eastAsia" w:asciiTheme="minorEastAsia" w:hAnsiTheme="minorEastAsia" w:eastAsiaTheme="minorEastAsia"/>
          <w:kern w:val="0"/>
          <w:sz w:val="24"/>
          <w:szCs w:val="24"/>
          <w:lang w:bidi="zh-CN"/>
        </w:rPr>
        <w:t>甲方</w:t>
      </w:r>
      <w:r>
        <w:rPr>
          <w:rFonts w:hint="eastAsia" w:asciiTheme="minorEastAsia" w:hAnsiTheme="minorEastAsia" w:eastAsiaTheme="minorEastAsia"/>
          <w:kern w:val="0"/>
          <w:sz w:val="24"/>
          <w:szCs w:val="24"/>
          <w:lang w:val="zh-CN" w:bidi="zh-CN"/>
        </w:rPr>
        <w:t>有权拒收并要求赔偿。</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3.产品验收要求。</w:t>
      </w:r>
      <w:r>
        <w:rPr>
          <w:rFonts w:hint="eastAsia" w:asciiTheme="minorEastAsia" w:hAnsiTheme="minorEastAsia" w:eastAsiaTheme="minorEastAsia"/>
          <w:kern w:val="0"/>
          <w:sz w:val="24"/>
          <w:szCs w:val="24"/>
          <w:lang w:bidi="zh-CN"/>
        </w:rPr>
        <w:t>乙方</w:t>
      </w:r>
      <w:r>
        <w:rPr>
          <w:rFonts w:hint="eastAsia" w:asciiTheme="minorEastAsia" w:hAnsiTheme="minorEastAsia" w:eastAsiaTheme="minorEastAsia"/>
          <w:kern w:val="0"/>
          <w:sz w:val="24"/>
          <w:szCs w:val="24"/>
          <w:lang w:val="zh-CN" w:bidi="zh-CN"/>
        </w:rPr>
        <w:t>应负责在项目验收时将系统的全部有关产品说明书、原厂家安装手册、技术文件、资料及安装、验收报告等文档汇集成册交付</w:t>
      </w:r>
      <w:r>
        <w:rPr>
          <w:rFonts w:hint="eastAsia" w:asciiTheme="minorEastAsia" w:hAnsiTheme="minorEastAsia" w:eastAsiaTheme="minorEastAsia"/>
          <w:kern w:val="0"/>
          <w:sz w:val="24"/>
          <w:szCs w:val="24"/>
          <w:lang w:bidi="zh-CN"/>
        </w:rPr>
        <w:t>甲方</w:t>
      </w:r>
      <w:r>
        <w:rPr>
          <w:rFonts w:hint="eastAsia" w:asciiTheme="minorEastAsia" w:hAnsiTheme="minorEastAsia" w:eastAsiaTheme="minorEastAsia"/>
          <w:kern w:val="0"/>
          <w:sz w:val="24"/>
          <w:szCs w:val="24"/>
          <w:lang w:val="zh-CN" w:bidi="zh-CN"/>
        </w:rPr>
        <w:t>。</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五、合同金额</w:t>
      </w:r>
      <w:r>
        <w:rPr>
          <w:rFonts w:asciiTheme="minorEastAsia" w:hAnsiTheme="minorEastAsia" w:eastAsiaTheme="minorEastAsia"/>
          <w:b/>
          <w:kern w:val="0"/>
          <w:sz w:val="24"/>
          <w:szCs w:val="24"/>
          <w:lang w:val="zh-CN" w:bidi="zh-CN"/>
        </w:rPr>
        <w:t>及支付方式</w:t>
      </w:r>
    </w:p>
    <w:p>
      <w:pPr>
        <w:spacing w:line="440" w:lineRule="exact"/>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r>
        <w:rPr>
          <w:rFonts w:cs="宋体" w:asciiTheme="minorEastAsia" w:hAnsiTheme="minorEastAsia" w:eastAsiaTheme="minorEastAsia"/>
          <w:kern w:val="0"/>
          <w:sz w:val="24"/>
          <w:szCs w:val="24"/>
        </w:rPr>
        <w:t xml:space="preserve">1 </w:t>
      </w:r>
      <w:r>
        <w:rPr>
          <w:rFonts w:hint="eastAsia" w:cs="宋体" w:asciiTheme="minorEastAsia" w:hAnsiTheme="minorEastAsia" w:eastAsiaTheme="minorEastAsia"/>
          <w:kern w:val="0"/>
          <w:sz w:val="24"/>
          <w:szCs w:val="24"/>
        </w:rPr>
        <w:t>本合同的总金额按照下列第</w:t>
      </w:r>
      <w:r>
        <w:rPr>
          <w:rFonts w:hint="eastAsia" w:cs="宋体" w:asciiTheme="minorEastAsia" w:hAnsiTheme="minorEastAsia" w:eastAsiaTheme="minorEastAsia"/>
          <w:kern w:val="0"/>
          <w:sz w:val="24"/>
          <w:szCs w:val="24"/>
          <w:u w:val="single"/>
        </w:rPr>
        <w:t xml:space="preserve">     </w:t>
      </w:r>
      <w:r>
        <w:rPr>
          <w:rFonts w:hint="eastAsia" w:cs="宋体" w:asciiTheme="minorEastAsia" w:hAnsiTheme="minorEastAsia" w:eastAsiaTheme="minorEastAsia"/>
          <w:kern w:val="0"/>
          <w:sz w:val="24"/>
          <w:szCs w:val="24"/>
        </w:rPr>
        <w:t>种方法计算：</w:t>
      </w:r>
    </w:p>
    <w:p>
      <w:pPr>
        <w:spacing w:line="440" w:lineRule="exact"/>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（一）固定价格：￥</w:t>
      </w:r>
      <w:r>
        <w:rPr>
          <w:rFonts w:hint="eastAsia" w:cs="宋体" w:asciiTheme="minorEastAsia" w:hAnsiTheme="minorEastAsia" w:eastAsiaTheme="minorEastAsia"/>
          <w:kern w:val="0"/>
          <w:sz w:val="24"/>
          <w:szCs w:val="24"/>
          <w:u w:val="single"/>
        </w:rPr>
        <w:t xml:space="preserve">     </w:t>
      </w:r>
      <w:r>
        <w:rPr>
          <w:rFonts w:hint="eastAsia" w:cs="宋体" w:asciiTheme="minorEastAsia" w:hAnsiTheme="minorEastAsia" w:eastAsiaTheme="minorEastAsia"/>
          <w:kern w:val="0"/>
          <w:sz w:val="24"/>
          <w:szCs w:val="24"/>
        </w:rPr>
        <w:t>元（人民币大写：</w:t>
      </w:r>
      <w:r>
        <w:rPr>
          <w:rFonts w:hint="eastAsia" w:cs="宋体" w:asciiTheme="minorEastAsia" w:hAnsiTheme="minorEastAsia" w:eastAsiaTheme="minorEastAsia"/>
          <w:kern w:val="0"/>
          <w:sz w:val="24"/>
          <w:szCs w:val="24"/>
          <w:u w:val="single"/>
        </w:rPr>
        <w:t xml:space="preserve">    </w:t>
      </w:r>
      <w:r>
        <w:rPr>
          <w:rFonts w:hint="eastAsia" w:cs="宋体" w:asciiTheme="minorEastAsia" w:hAnsiTheme="minorEastAsia" w:eastAsiaTheme="minorEastAsia"/>
          <w:kern w:val="0"/>
          <w:sz w:val="24"/>
          <w:szCs w:val="24"/>
        </w:rPr>
        <w:t>）</w:t>
      </w:r>
    </w:p>
    <w:p>
      <w:pPr>
        <w:spacing w:line="440" w:lineRule="exact"/>
        <w:ind w:firstLine="480" w:firstLineChars="200"/>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（二）可调整价格，价格计算方法为：</w:t>
      </w:r>
      <w:r>
        <w:rPr>
          <w:rFonts w:hint="eastAsia" w:cs="宋体" w:asciiTheme="minorEastAsia" w:hAnsiTheme="minorEastAsia" w:eastAsiaTheme="minorEastAsia"/>
          <w:kern w:val="0"/>
          <w:sz w:val="24"/>
          <w:szCs w:val="24"/>
          <w:u w:val="single"/>
        </w:rPr>
        <w:t xml:space="preserve">                </w:t>
      </w:r>
    </w:p>
    <w:p>
      <w:pPr>
        <w:spacing w:line="440" w:lineRule="exact"/>
        <w:ind w:firstLine="482" w:firstLineChars="200"/>
        <w:rPr>
          <w:rFonts w:cs="宋体" w:asciiTheme="minorEastAsia" w:hAnsiTheme="minorEastAsia" w:eastAsiaTheme="minorEastAsia"/>
          <w:b/>
          <w:kern w:val="0"/>
          <w:sz w:val="24"/>
          <w:szCs w:val="24"/>
          <w:u w:val="single"/>
        </w:rPr>
      </w:pPr>
      <w:r>
        <w:rPr>
          <w:rFonts w:hint="eastAsia" w:cs="宋体" w:asciiTheme="minorEastAsia" w:hAnsiTheme="minorEastAsia" w:eastAsiaTheme="minorEastAsia"/>
          <w:b/>
          <w:kern w:val="0"/>
          <w:sz w:val="24"/>
          <w:szCs w:val="24"/>
          <w:u w:val="single"/>
        </w:rPr>
        <w:t>特别约定：无论以何种方式计算合同金额，乙方因履行本协议应当承担的任何税、费等均由乙方自行承担。</w:t>
      </w:r>
    </w:p>
    <w:p>
      <w:pPr>
        <w:spacing w:line="440" w:lineRule="exact"/>
        <w:ind w:firstLine="480" w:firstLineChars="200"/>
        <w:jc w:val="left"/>
        <w:rPr>
          <w:rFonts w:asciiTheme="minorEastAsia" w:hAnsiTheme="minorEastAsia" w:eastAsiaTheme="minorEastAsia"/>
          <w:bCs/>
          <w:kern w:val="0"/>
          <w:sz w:val="24"/>
          <w:szCs w:val="24"/>
        </w:rPr>
      </w:pPr>
      <w:r>
        <w:rPr>
          <w:rFonts w:hint="eastAsia" w:cs="宋体" w:asciiTheme="minorEastAsia" w:hAnsiTheme="minorEastAsia" w:eastAsiaTheme="minorEastAsia"/>
          <w:kern w:val="0"/>
          <w:sz w:val="24"/>
          <w:szCs w:val="24"/>
        </w:rPr>
        <w:t>5</w:t>
      </w:r>
      <w:r>
        <w:rPr>
          <w:rFonts w:hint="eastAsia" w:asciiTheme="minorEastAsia" w:hAnsiTheme="minorEastAsia" w:eastAsiaTheme="minorEastAsia"/>
          <w:bCs/>
          <w:kern w:val="0"/>
          <w:sz w:val="24"/>
          <w:szCs w:val="24"/>
        </w:rPr>
        <w:t>.2</w:t>
      </w:r>
      <w:r>
        <w:rPr>
          <w:rFonts w:asciiTheme="minorEastAsia" w:hAnsiTheme="minorEastAsia" w:eastAsiaTheme="minorEastAsia"/>
          <w:bCs/>
          <w:kern w:val="0"/>
          <w:sz w:val="24"/>
          <w:szCs w:val="24"/>
        </w:rPr>
        <w:t xml:space="preserve"> </w:t>
      </w:r>
      <w:r>
        <w:rPr>
          <w:rFonts w:hint="eastAsia" w:asciiTheme="minorEastAsia" w:hAnsiTheme="minorEastAsia" w:eastAsiaTheme="minorEastAsia"/>
          <w:bCs/>
          <w:kern w:val="0"/>
          <w:sz w:val="24"/>
          <w:szCs w:val="24"/>
        </w:rPr>
        <w:t>甲方支付的合同金额为包干费用，即甲方除按照第</w:t>
      </w:r>
      <w:r>
        <w:rPr>
          <w:rFonts w:asciiTheme="minorEastAsia" w:hAnsiTheme="minorEastAsia" w:eastAsiaTheme="minorEastAsia"/>
          <w:bCs/>
          <w:kern w:val="0"/>
          <w:sz w:val="24"/>
          <w:szCs w:val="24"/>
        </w:rPr>
        <w:t>6</w:t>
      </w:r>
      <w:r>
        <w:rPr>
          <w:rFonts w:hint="eastAsia" w:asciiTheme="minorEastAsia" w:hAnsiTheme="minorEastAsia" w:eastAsiaTheme="minorEastAsia"/>
          <w:bCs/>
          <w:kern w:val="0"/>
          <w:sz w:val="24"/>
          <w:szCs w:val="24"/>
        </w:rPr>
        <w:t xml:space="preserve">.1条的约定支付合同金额外，无需再向乙方支付任何其他费用。 </w:t>
      </w:r>
    </w:p>
    <w:p>
      <w:pPr>
        <w:spacing w:line="440" w:lineRule="exact"/>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5</w:t>
      </w: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甲方向乙方支付合同款项的，乙方应当按照应收款的金额提交等额的合法发票。未提交发票的，甲方有权不支付该笔款项并不承担任何违约责任。</w:t>
      </w:r>
    </w:p>
    <w:p>
      <w:pPr>
        <w:spacing w:line="440" w:lineRule="exact"/>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5</w:t>
      </w:r>
      <w:r>
        <w:rPr>
          <w:rFonts w:asciiTheme="minorEastAsia" w:hAnsiTheme="minorEastAsia" w:eastAsiaTheme="minorEastAsia"/>
          <w:sz w:val="24"/>
          <w:szCs w:val="24"/>
        </w:rPr>
        <w:t xml:space="preserve">.4 </w:t>
      </w:r>
      <w:r>
        <w:rPr>
          <w:rFonts w:hint="eastAsia" w:asciiTheme="minorEastAsia" w:hAnsiTheme="minorEastAsia" w:eastAsiaTheme="minorEastAsia"/>
          <w:sz w:val="24"/>
          <w:szCs w:val="24"/>
        </w:rPr>
        <w:t>合同金额按照下列第</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种方式支付：</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（一）一次性支付，甲方在项目验收合格后一次性支付全部合同金额。</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（二）按月支付。每月</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日前，甲方支付￥</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元（人民币大写：</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p>
    <w:p>
      <w:pPr>
        <w:spacing w:line="440" w:lineRule="exact"/>
        <w:ind w:firstLine="480" w:firstLineChars="20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（三）分阶段支付。签订合同后5个工作日内支付合同总额的</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0%，货物到现场验收合格后3</w:t>
      </w:r>
      <w:r>
        <w:rPr>
          <w:rFonts w:hint="eastAsia" w:asciiTheme="minorEastAsia" w:hAnsiTheme="minorEastAsia" w:eastAsiaTheme="minorEastAsia"/>
          <w:sz w:val="24"/>
          <w:szCs w:val="24"/>
          <w:lang w:val="en-US" w:eastAsia="zh-CN"/>
        </w:rPr>
        <w:t>0</w:t>
      </w:r>
      <w:r>
        <w:rPr>
          <w:rFonts w:hint="eastAsia" w:asciiTheme="minorEastAsia" w:hAnsiTheme="minorEastAsia" w:eastAsiaTheme="minorEastAsia"/>
          <w:sz w:val="24"/>
          <w:szCs w:val="24"/>
        </w:rPr>
        <w:t>日内支付合同总额的</w:t>
      </w:r>
      <w:r>
        <w:rPr>
          <w:rFonts w:hint="eastAsia" w:asciiTheme="minorEastAsia" w:hAnsiTheme="minorEastAsia" w:eastAsiaTheme="minorEastAsia"/>
          <w:sz w:val="24"/>
          <w:szCs w:val="24"/>
          <w:lang w:val="en-US" w:eastAsia="zh-CN"/>
        </w:rPr>
        <w:t>70</w:t>
      </w:r>
      <w:r>
        <w:rPr>
          <w:rFonts w:hint="eastAsia" w:asciiTheme="minorEastAsia" w:hAnsiTheme="minorEastAsia" w:eastAsiaTheme="minorEastAsia"/>
          <w:sz w:val="24"/>
          <w:szCs w:val="24"/>
        </w:rPr>
        <w:t>%。</w:t>
      </w:r>
    </w:p>
    <w:p>
      <w:pPr>
        <w:spacing w:line="440" w:lineRule="exact"/>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5</w:t>
      </w:r>
      <w:r>
        <w:rPr>
          <w:rFonts w:asciiTheme="minorEastAsia" w:hAnsiTheme="minorEastAsia" w:eastAsiaTheme="minorEastAsia"/>
          <w:sz w:val="24"/>
          <w:szCs w:val="24"/>
        </w:rPr>
        <w:t xml:space="preserve">.5 </w:t>
      </w:r>
      <w:r>
        <w:rPr>
          <w:rFonts w:hint="eastAsia" w:asciiTheme="minorEastAsia" w:hAnsiTheme="minorEastAsia" w:eastAsiaTheme="minorEastAsia"/>
          <w:sz w:val="24"/>
          <w:szCs w:val="24"/>
        </w:rPr>
        <w:t>付款方式：所有款项甲方均</w:t>
      </w:r>
      <w:r>
        <w:rPr>
          <w:rFonts w:hint="eastAsia" w:asciiTheme="minorEastAsia" w:hAnsiTheme="minorEastAsia" w:eastAsiaTheme="minorEastAsia"/>
          <w:bCs/>
          <w:sz w:val="24"/>
          <w:szCs w:val="24"/>
        </w:rPr>
        <w:t xml:space="preserve">以银行转账方式支付到乙方指定的如下银行帐户内 </w:t>
      </w:r>
      <w:r>
        <w:rPr>
          <w:rFonts w:hint="eastAsia" w:asciiTheme="minorEastAsia" w:hAnsiTheme="minorEastAsia" w:eastAsiaTheme="minorEastAsia"/>
          <w:sz w:val="24"/>
          <w:szCs w:val="24"/>
        </w:rPr>
        <w:t>：</w:t>
      </w:r>
    </w:p>
    <w:p>
      <w:pPr>
        <w:tabs>
          <w:tab w:val="left" w:pos="540"/>
        </w:tabs>
        <w:spacing w:line="440" w:lineRule="exact"/>
        <w:ind w:firstLine="480" w:firstLineChars="200"/>
        <w:jc w:val="left"/>
        <w:rPr>
          <w:rFonts w:asciiTheme="minorEastAsia" w:hAnsiTheme="minorEastAsia" w:eastAsiaTheme="minorEastAsia"/>
          <w:sz w:val="24"/>
          <w:szCs w:val="24"/>
          <w:u w:val="single"/>
        </w:rPr>
      </w:pPr>
      <w:r>
        <w:rPr>
          <w:rFonts w:hint="eastAsia" w:asciiTheme="minorEastAsia" w:hAnsiTheme="minorEastAsia" w:eastAsiaTheme="minorEastAsia"/>
          <w:sz w:val="24"/>
          <w:szCs w:val="24"/>
        </w:rPr>
        <w:t xml:space="preserve"> 账户名称：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b/>
          <w:bCs/>
          <w:sz w:val="24"/>
          <w:szCs w:val="24"/>
          <w:u w:val="single"/>
        </w:rPr>
        <w:t xml:space="preserve"> </w:t>
      </w:r>
      <w:r>
        <w:rPr>
          <w:rFonts w:hint="eastAsia" w:asciiTheme="minorEastAsia" w:hAnsiTheme="minorEastAsia" w:eastAsiaTheme="minorEastAsia"/>
          <w:b/>
          <w:bCs/>
          <w:sz w:val="24"/>
          <w:szCs w:val="24"/>
          <w:u w:val="single"/>
        </w:rPr>
        <w:tab/>
      </w:r>
      <w:r>
        <w:rPr>
          <w:rFonts w:hint="eastAsia" w:asciiTheme="minorEastAsia" w:hAnsiTheme="minorEastAsia" w:eastAsiaTheme="minorEastAsia"/>
          <w:sz w:val="24"/>
          <w:szCs w:val="24"/>
          <w:u w:val="single"/>
        </w:rPr>
        <w:t xml:space="preserve">                         </w:t>
      </w:r>
    </w:p>
    <w:p>
      <w:pPr>
        <w:tabs>
          <w:tab w:val="left" w:pos="540"/>
        </w:tabs>
        <w:spacing w:line="44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银行账户：</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b/>
          <w:bCs/>
          <w:sz w:val="24"/>
          <w:szCs w:val="24"/>
          <w:u w:val="single"/>
        </w:rPr>
        <w:t xml:space="preserve">    </w:t>
      </w:r>
      <w:r>
        <w:rPr>
          <w:rFonts w:hint="eastAsia" w:asciiTheme="minorEastAsia" w:hAnsiTheme="minorEastAsia" w:eastAsiaTheme="minorEastAsia"/>
          <w:sz w:val="24"/>
          <w:szCs w:val="24"/>
          <w:u w:val="single"/>
        </w:rPr>
        <w:t xml:space="preserve">                        </w:t>
      </w:r>
    </w:p>
    <w:p>
      <w:pPr>
        <w:tabs>
          <w:tab w:val="left" w:pos="540"/>
        </w:tabs>
        <w:spacing w:line="440" w:lineRule="exact"/>
        <w:ind w:firstLine="480" w:firstLineChars="200"/>
        <w:jc w:val="left"/>
        <w:rPr>
          <w:rFonts w:asciiTheme="minorEastAsia" w:hAnsiTheme="minorEastAsia" w:eastAsiaTheme="minorEastAsia"/>
          <w:sz w:val="24"/>
          <w:szCs w:val="24"/>
          <w:u w:val="single"/>
        </w:rPr>
      </w:pPr>
      <w:r>
        <w:rPr>
          <w:rFonts w:hint="eastAsia" w:asciiTheme="minorEastAsia" w:hAnsiTheme="minorEastAsia" w:eastAsiaTheme="minorEastAsia"/>
          <w:sz w:val="24"/>
          <w:szCs w:val="24"/>
        </w:rPr>
        <w:t xml:space="preserve"> 开户银行：</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b/>
          <w:bCs/>
          <w:sz w:val="24"/>
          <w:szCs w:val="24"/>
          <w:u w:val="single"/>
        </w:rPr>
        <w:t xml:space="preserve">                           </w:t>
      </w:r>
      <w:r>
        <w:rPr>
          <w:rFonts w:hint="eastAsia" w:asciiTheme="minorEastAsia" w:hAnsiTheme="minorEastAsia" w:eastAsiaTheme="minorEastAsia"/>
          <w:sz w:val="24"/>
          <w:szCs w:val="24"/>
          <w:u w:val="single"/>
        </w:rPr>
        <w:t xml:space="preserve"> </w:t>
      </w:r>
    </w:p>
    <w:p>
      <w:pPr>
        <w:tabs>
          <w:tab w:val="left" w:pos="540"/>
        </w:tabs>
        <w:spacing w:line="44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乙方开户银行、账户名称、账号变更的，应当提前3日以书面方式通知甲方。乙方未通知、逾期通知或通知有误的，由此产生的一切风险及法律责任由乙方承担。</w:t>
      </w:r>
    </w:p>
    <w:p>
      <w:pPr>
        <w:spacing w:line="44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六、知识产权</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6.1乙方承诺尊重和保护知识产权。</w:t>
      </w:r>
      <w:r>
        <w:rPr>
          <w:rFonts w:asciiTheme="minorEastAsia" w:hAnsiTheme="minorEastAsia" w:eastAsiaTheme="minorEastAsia"/>
          <w:kern w:val="0"/>
          <w:sz w:val="24"/>
          <w:szCs w:val="24"/>
          <w:lang w:val="zh-CN" w:bidi="zh-CN"/>
        </w:rPr>
        <w:t>乙方</w:t>
      </w:r>
      <w:r>
        <w:rPr>
          <w:rFonts w:hint="eastAsia" w:asciiTheme="minorEastAsia" w:hAnsiTheme="minorEastAsia" w:eastAsiaTheme="minorEastAsia"/>
          <w:kern w:val="0"/>
          <w:sz w:val="24"/>
          <w:szCs w:val="24"/>
          <w:lang w:val="zh-CN" w:bidi="zh-CN"/>
        </w:rPr>
        <w:t>承诺完成本合同的全部或</w:t>
      </w:r>
      <w:r>
        <w:rPr>
          <w:rFonts w:asciiTheme="minorEastAsia" w:hAnsiTheme="minorEastAsia" w:eastAsiaTheme="minorEastAsia"/>
          <w:kern w:val="0"/>
          <w:sz w:val="24"/>
          <w:szCs w:val="24"/>
          <w:lang w:val="zh-CN" w:bidi="zh-CN"/>
        </w:rPr>
        <w:t>任何一部分</w:t>
      </w:r>
      <w:r>
        <w:rPr>
          <w:rFonts w:hint="eastAsia" w:asciiTheme="minorEastAsia" w:hAnsiTheme="minorEastAsia" w:eastAsiaTheme="minorEastAsia"/>
          <w:kern w:val="0"/>
          <w:sz w:val="24"/>
          <w:szCs w:val="24"/>
          <w:lang w:val="zh-CN" w:bidi="zh-CN"/>
        </w:rPr>
        <w:t>内容</w:t>
      </w:r>
      <w:r>
        <w:rPr>
          <w:rFonts w:asciiTheme="minorEastAsia" w:hAnsiTheme="minorEastAsia" w:eastAsiaTheme="minorEastAsia"/>
          <w:kern w:val="0"/>
          <w:sz w:val="24"/>
          <w:szCs w:val="24"/>
          <w:lang w:val="zh-CN" w:bidi="zh-CN"/>
        </w:rPr>
        <w:t>均不会侵犯任何第三方的专利权、商标权或著作权等</w:t>
      </w:r>
      <w:r>
        <w:rPr>
          <w:rFonts w:hint="eastAsia" w:asciiTheme="minorEastAsia" w:hAnsiTheme="minorEastAsia" w:eastAsiaTheme="minorEastAsia"/>
          <w:kern w:val="0"/>
          <w:sz w:val="24"/>
          <w:szCs w:val="24"/>
          <w:lang w:val="zh-CN" w:bidi="zh-CN"/>
        </w:rPr>
        <w:t>合法</w:t>
      </w:r>
      <w:r>
        <w:rPr>
          <w:rFonts w:asciiTheme="minorEastAsia" w:hAnsiTheme="minorEastAsia" w:eastAsiaTheme="minorEastAsia"/>
          <w:kern w:val="0"/>
          <w:sz w:val="24"/>
          <w:szCs w:val="24"/>
          <w:lang w:val="zh-CN" w:bidi="zh-CN"/>
        </w:rPr>
        <w:t>权利。</w:t>
      </w:r>
      <w:r>
        <w:rPr>
          <w:rFonts w:hint="eastAsia" w:asciiTheme="minorEastAsia" w:hAnsiTheme="minorEastAsia" w:eastAsiaTheme="minorEastAsia"/>
          <w:sz w:val="24"/>
          <w:szCs w:val="24"/>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sz w:val="24"/>
          <w:szCs w:val="24"/>
        </w:rPr>
        <w:t>6</w:t>
      </w:r>
      <w:r>
        <w:rPr>
          <w:rFonts w:asciiTheme="minorEastAsia" w:hAnsiTheme="minorEastAsia" w:eastAsiaTheme="minorEastAsia"/>
          <w:kern w:val="0"/>
          <w:sz w:val="24"/>
          <w:szCs w:val="24"/>
          <w:lang w:val="zh-CN" w:bidi="zh-CN"/>
        </w:rPr>
        <w:t>.2 本</w:t>
      </w:r>
      <w:r>
        <w:rPr>
          <w:rFonts w:hint="eastAsia" w:asciiTheme="minorEastAsia" w:hAnsiTheme="minorEastAsia" w:eastAsiaTheme="minorEastAsia"/>
          <w:kern w:val="0"/>
          <w:sz w:val="24"/>
          <w:szCs w:val="24"/>
          <w:lang w:val="zh-CN" w:bidi="zh-CN"/>
        </w:rPr>
        <w:t>合同项目中</w:t>
      </w:r>
      <w:r>
        <w:rPr>
          <w:rFonts w:asciiTheme="minorEastAsia" w:hAnsiTheme="minorEastAsia" w:eastAsiaTheme="minorEastAsia"/>
          <w:kern w:val="0"/>
          <w:sz w:val="24"/>
          <w:szCs w:val="24"/>
          <w:lang w:val="zh-CN" w:bidi="zh-CN"/>
        </w:rPr>
        <w:t>形成的专利权、商标权、著作权等均</w:t>
      </w:r>
      <w:r>
        <w:rPr>
          <w:rFonts w:hint="eastAsia" w:asciiTheme="minorEastAsia" w:hAnsiTheme="minorEastAsia" w:eastAsiaTheme="minorEastAsia"/>
          <w:kern w:val="0"/>
          <w:sz w:val="24"/>
          <w:szCs w:val="24"/>
          <w:lang w:val="zh-CN" w:bidi="zh-CN"/>
        </w:rPr>
        <w:t>权利均</w:t>
      </w:r>
      <w:r>
        <w:rPr>
          <w:rFonts w:asciiTheme="minorEastAsia" w:hAnsiTheme="minorEastAsia" w:eastAsiaTheme="minorEastAsia"/>
          <w:kern w:val="0"/>
          <w:sz w:val="24"/>
          <w:szCs w:val="24"/>
          <w:lang w:val="zh-CN" w:bidi="zh-CN"/>
        </w:rPr>
        <w:t>归甲方所有。未经甲方书面许可，乙方不得擅自使用或许可他人使用。</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.3</w:t>
      </w:r>
      <w:r>
        <w:rPr>
          <w:rFonts w:hint="eastAsia" w:asciiTheme="minorEastAsia" w:hAnsiTheme="minorEastAsia" w:eastAsiaTheme="minorEastAsia"/>
          <w:sz w:val="24"/>
          <w:szCs w:val="24"/>
        </w:rPr>
        <w:t>乙方为履行本合同而侵犯其他权利人的知识产权的，乙方应当承担法律责任，并赔偿因此给甲方造成的包括但不限于律师费、公证费、差旅费、诉讼费等在内的直接和间接损失。</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七、</w:t>
      </w:r>
      <w:r>
        <w:rPr>
          <w:rFonts w:asciiTheme="minorEastAsia" w:hAnsiTheme="minorEastAsia" w:eastAsiaTheme="minorEastAsia"/>
          <w:b/>
          <w:kern w:val="0"/>
          <w:sz w:val="24"/>
          <w:szCs w:val="24"/>
          <w:lang w:val="zh-CN" w:bidi="zh-CN"/>
        </w:rPr>
        <w:t>无权利瑕疵条款</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7</w:t>
      </w:r>
      <w:r>
        <w:rPr>
          <w:rFonts w:asciiTheme="minorEastAsia" w:hAnsiTheme="minorEastAsia" w:eastAsiaTheme="minorEastAsia"/>
          <w:kern w:val="0"/>
          <w:sz w:val="24"/>
          <w:szCs w:val="24"/>
          <w:lang w:val="zh-CN" w:bidi="zh-CN"/>
        </w:rPr>
        <w:t>.1 乙方保证所提供的</w:t>
      </w:r>
      <w:r>
        <w:rPr>
          <w:rFonts w:hint="eastAsia" w:asciiTheme="minorEastAsia" w:hAnsiTheme="minorEastAsia" w:eastAsiaTheme="minorEastAsia"/>
          <w:kern w:val="0"/>
          <w:sz w:val="24"/>
          <w:szCs w:val="24"/>
          <w:lang w:val="zh-CN" w:bidi="zh-CN"/>
        </w:rPr>
        <w:t>项目成果</w:t>
      </w:r>
      <w:r>
        <w:rPr>
          <w:rFonts w:asciiTheme="minorEastAsia" w:hAnsiTheme="minorEastAsia" w:eastAsiaTheme="minorEastAsia"/>
          <w:kern w:val="0"/>
          <w:sz w:val="24"/>
          <w:szCs w:val="24"/>
          <w:lang w:val="zh-CN" w:bidi="zh-CN"/>
        </w:rPr>
        <w:t>不会损害任何第三方的合法权利，</w:t>
      </w:r>
      <w:r>
        <w:rPr>
          <w:rFonts w:hint="eastAsia" w:asciiTheme="minorEastAsia" w:hAnsiTheme="minorEastAsia" w:eastAsiaTheme="minorEastAsia"/>
          <w:kern w:val="0"/>
          <w:sz w:val="24"/>
          <w:szCs w:val="24"/>
          <w:lang w:val="zh-CN" w:bidi="zh-CN"/>
        </w:rPr>
        <w:t>不具有任何权利</w:t>
      </w:r>
      <w:r>
        <w:rPr>
          <w:rFonts w:asciiTheme="minorEastAsia" w:hAnsiTheme="minorEastAsia" w:eastAsiaTheme="minorEastAsia"/>
          <w:kern w:val="0"/>
          <w:sz w:val="24"/>
          <w:szCs w:val="24"/>
          <w:lang w:val="zh-CN" w:bidi="zh-CN"/>
        </w:rPr>
        <w:t>瑕疵。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kern w:val="0"/>
          <w:sz w:val="24"/>
          <w:szCs w:val="24"/>
          <w:lang w:val="zh-CN" w:bidi="zh-CN"/>
        </w:rPr>
        <w:t>7</w:t>
      </w:r>
      <w:r>
        <w:rPr>
          <w:rFonts w:asciiTheme="minorEastAsia" w:hAnsiTheme="minorEastAsia" w:eastAsiaTheme="minorEastAsia"/>
          <w:kern w:val="0"/>
          <w:sz w:val="24"/>
          <w:szCs w:val="24"/>
          <w:lang w:val="zh-CN" w:bidi="zh-CN"/>
        </w:rPr>
        <w:t xml:space="preserve">.2 </w:t>
      </w:r>
      <w:r>
        <w:rPr>
          <w:rFonts w:hint="eastAsia" w:asciiTheme="minorEastAsia" w:hAnsiTheme="minorEastAsia" w:eastAsiaTheme="minorEastAsia"/>
          <w:kern w:val="0"/>
          <w:sz w:val="24"/>
          <w:szCs w:val="24"/>
          <w:lang w:val="zh-CN" w:bidi="zh-CN"/>
        </w:rPr>
        <w:t>因乙方提供的项目成果损害任何第三方的合法权利的</w:t>
      </w:r>
      <w:r>
        <w:rPr>
          <w:rFonts w:hint="eastAsia" w:asciiTheme="minorEastAsia" w:hAnsiTheme="minorEastAsia" w:eastAsiaTheme="minorEastAsia"/>
          <w:sz w:val="24"/>
          <w:szCs w:val="24"/>
        </w:rPr>
        <w:t>乙方应当承担法律责任，并赔偿因此给甲方造成的包括但不限于律师费、公证费、差旅费、诉讼费等在内的直接和间接损失。</w:t>
      </w:r>
    </w:p>
    <w:p>
      <w:pPr>
        <w:autoSpaceDE w:val="0"/>
        <w:autoSpaceDN w:val="0"/>
        <w:spacing w:line="44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八、保密义务</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.1</w:t>
      </w:r>
      <w:r>
        <w:rPr>
          <w:rFonts w:hint="eastAsia" w:asciiTheme="minorEastAsia" w:hAnsiTheme="minorEastAsia" w:eastAsiaTheme="minorEastAsia"/>
          <w:sz w:val="24"/>
          <w:szCs w:val="24"/>
        </w:rPr>
        <w:t>本合同履行过程中，甲、乙双方对于知悉的对方的国家秘密、商业秘密等，均应当保守秘密，不得泄露给任何第三方。</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任何一方（包括员工）违反保密义务的，均应当赔偿因此给对方造成的直接或间接经济损失。</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九、</w:t>
      </w:r>
      <w:r>
        <w:rPr>
          <w:rFonts w:asciiTheme="minorEastAsia" w:hAnsiTheme="minorEastAsia" w:eastAsiaTheme="minorEastAsia"/>
          <w:b/>
          <w:kern w:val="0"/>
          <w:sz w:val="24"/>
          <w:szCs w:val="24"/>
          <w:lang w:val="zh-CN" w:bidi="zh-CN"/>
        </w:rPr>
        <w:t>甲方的权利和义务</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9</w:t>
      </w:r>
      <w:r>
        <w:rPr>
          <w:rFonts w:asciiTheme="minorEastAsia" w:hAnsiTheme="minorEastAsia" w:eastAsiaTheme="minorEastAsia"/>
          <w:kern w:val="0"/>
          <w:sz w:val="24"/>
          <w:szCs w:val="24"/>
          <w:lang w:val="zh-CN" w:bidi="zh-CN"/>
        </w:rPr>
        <w:t xml:space="preserve">.1 </w:t>
      </w:r>
      <w:r>
        <w:rPr>
          <w:rFonts w:hint="eastAsia" w:asciiTheme="minorEastAsia" w:hAnsiTheme="minorEastAsia" w:eastAsiaTheme="minorEastAsia"/>
          <w:kern w:val="0"/>
          <w:sz w:val="24"/>
          <w:szCs w:val="24"/>
          <w:lang w:val="zh-CN" w:bidi="zh-CN"/>
        </w:rPr>
        <w:t>乙方完成本项目的过程中，需要甲方提供协助的，甲方应当协助。</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9</w:t>
      </w:r>
      <w:r>
        <w:rPr>
          <w:rFonts w:asciiTheme="minorEastAsia" w:hAnsiTheme="minorEastAsia" w:eastAsiaTheme="minorEastAsia"/>
          <w:kern w:val="0"/>
          <w:sz w:val="24"/>
          <w:szCs w:val="24"/>
          <w:lang w:val="zh-CN" w:bidi="zh-CN"/>
        </w:rPr>
        <w:t>.2 甲方拥有监管权</w:t>
      </w:r>
      <w:r>
        <w:rPr>
          <w:rFonts w:hint="eastAsia" w:asciiTheme="minorEastAsia" w:hAnsiTheme="minorEastAsia" w:eastAsiaTheme="minorEastAsia"/>
          <w:kern w:val="0"/>
          <w:sz w:val="24"/>
          <w:szCs w:val="24"/>
          <w:lang w:val="zh-CN" w:bidi="zh-CN"/>
        </w:rPr>
        <w:t>，</w:t>
      </w:r>
      <w:r>
        <w:rPr>
          <w:rFonts w:asciiTheme="minorEastAsia" w:hAnsiTheme="minorEastAsia" w:eastAsiaTheme="minorEastAsia"/>
          <w:kern w:val="0"/>
          <w:sz w:val="24"/>
          <w:szCs w:val="24"/>
          <w:lang w:val="zh-CN" w:bidi="zh-CN"/>
        </w:rPr>
        <w:t>有权对合同规定范围内乙方</w:t>
      </w:r>
      <w:r>
        <w:rPr>
          <w:rFonts w:hint="eastAsia" w:asciiTheme="minorEastAsia" w:hAnsiTheme="minorEastAsia" w:eastAsiaTheme="minorEastAsia"/>
          <w:kern w:val="0"/>
          <w:sz w:val="24"/>
          <w:szCs w:val="24"/>
          <w:lang w:val="zh-CN" w:bidi="zh-CN"/>
        </w:rPr>
        <w:t>完成合同的情况</w:t>
      </w:r>
      <w:r>
        <w:rPr>
          <w:rFonts w:asciiTheme="minorEastAsia" w:hAnsiTheme="minorEastAsia" w:eastAsiaTheme="minorEastAsia"/>
          <w:kern w:val="0"/>
          <w:sz w:val="24"/>
          <w:szCs w:val="24"/>
          <w:lang w:val="zh-CN" w:bidi="zh-CN"/>
        </w:rPr>
        <w:t>进行监督和检查。甲方有权下达整改通知书，并要求乙方限期整改。</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9</w:t>
      </w:r>
      <w:r>
        <w:rPr>
          <w:rFonts w:asciiTheme="minorEastAsia" w:hAnsiTheme="minorEastAsia" w:eastAsiaTheme="minorEastAsia"/>
          <w:kern w:val="0"/>
          <w:sz w:val="24"/>
          <w:szCs w:val="24"/>
          <w:lang w:val="zh-CN" w:bidi="zh-CN"/>
        </w:rPr>
        <w:t xml:space="preserve">.3 </w:t>
      </w:r>
      <w:r>
        <w:rPr>
          <w:rFonts w:hint="eastAsia" w:asciiTheme="minorEastAsia" w:hAnsiTheme="minorEastAsia" w:eastAsiaTheme="minorEastAsia"/>
          <w:kern w:val="0"/>
          <w:sz w:val="24"/>
          <w:szCs w:val="24"/>
          <w:lang w:val="zh-CN" w:bidi="zh-CN"/>
        </w:rPr>
        <w:t>甲方应当</w:t>
      </w:r>
      <w:r>
        <w:rPr>
          <w:rFonts w:asciiTheme="minorEastAsia" w:hAnsiTheme="minorEastAsia" w:eastAsiaTheme="minorEastAsia"/>
          <w:kern w:val="0"/>
          <w:sz w:val="24"/>
          <w:szCs w:val="24"/>
          <w:lang w:val="zh-CN" w:bidi="zh-CN"/>
        </w:rPr>
        <w:t>按</w:t>
      </w:r>
      <w:r>
        <w:rPr>
          <w:rFonts w:hint="eastAsia" w:asciiTheme="minorEastAsia" w:hAnsiTheme="minorEastAsia" w:eastAsiaTheme="minorEastAsia"/>
          <w:kern w:val="0"/>
          <w:sz w:val="24"/>
          <w:szCs w:val="24"/>
          <w:lang w:val="zh-CN" w:bidi="zh-CN"/>
        </w:rPr>
        <w:t>照合同约定及时</w:t>
      </w:r>
      <w:r>
        <w:rPr>
          <w:rFonts w:asciiTheme="minorEastAsia" w:hAnsiTheme="minorEastAsia" w:eastAsiaTheme="minorEastAsia"/>
          <w:kern w:val="0"/>
          <w:sz w:val="24"/>
          <w:szCs w:val="24"/>
          <w:lang w:val="zh-CN" w:bidi="zh-CN"/>
        </w:rPr>
        <w:t>向乙方支付</w:t>
      </w:r>
      <w:r>
        <w:rPr>
          <w:rFonts w:hint="eastAsia" w:asciiTheme="minorEastAsia" w:hAnsiTheme="minorEastAsia" w:eastAsiaTheme="minorEastAsia"/>
          <w:kern w:val="0"/>
          <w:sz w:val="24"/>
          <w:szCs w:val="24"/>
          <w:lang w:val="zh-CN" w:bidi="zh-CN"/>
        </w:rPr>
        <w:t>合同款项</w:t>
      </w:r>
      <w:r>
        <w:rPr>
          <w:rFonts w:asciiTheme="minorEastAsia" w:hAnsiTheme="minorEastAsia" w:eastAsiaTheme="minorEastAsia"/>
          <w:kern w:val="0"/>
          <w:sz w:val="24"/>
          <w:szCs w:val="24"/>
          <w:lang w:val="zh-CN" w:bidi="zh-CN"/>
        </w:rPr>
        <w:t>。</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十、</w:t>
      </w:r>
      <w:r>
        <w:rPr>
          <w:rFonts w:asciiTheme="minorEastAsia" w:hAnsiTheme="minorEastAsia" w:eastAsiaTheme="minorEastAsia"/>
          <w:b/>
          <w:kern w:val="0"/>
          <w:sz w:val="24"/>
          <w:szCs w:val="24"/>
          <w:lang w:val="zh-CN" w:bidi="zh-CN"/>
        </w:rPr>
        <w:t>乙方的权利和义务</w:t>
      </w:r>
      <w:r>
        <w:rPr>
          <w:rFonts w:hint="eastAsia" w:asciiTheme="minorEastAsia" w:hAnsiTheme="minorEastAsia" w:eastAsiaTheme="minorEastAsia"/>
          <w:b/>
          <w:kern w:val="0"/>
          <w:sz w:val="24"/>
          <w:szCs w:val="24"/>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 xml:space="preserve">.1 </w:t>
      </w:r>
      <w:r>
        <w:rPr>
          <w:rFonts w:hint="eastAsia" w:asciiTheme="minorEastAsia" w:hAnsiTheme="minorEastAsia" w:eastAsiaTheme="minorEastAsia"/>
          <w:kern w:val="0"/>
          <w:sz w:val="24"/>
          <w:szCs w:val="24"/>
          <w:lang w:val="zh-CN" w:bidi="zh-CN"/>
        </w:rPr>
        <w:t>乙方应当独立完成本合同的全部内容，不得转包或者分包</w:t>
      </w:r>
      <w:r>
        <w:rPr>
          <w:rFonts w:asciiTheme="minorEastAsia" w:hAnsiTheme="minorEastAsia" w:eastAsiaTheme="minorEastAsia"/>
          <w:kern w:val="0"/>
          <w:sz w:val="24"/>
          <w:szCs w:val="24"/>
          <w:lang w:val="zh-CN" w:bidi="zh-CN"/>
        </w:rPr>
        <w:t>。</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.2 如履行本合同需要通过相关行政机关、行业主管部门等的审批的，所有的审批事项均由乙方负责，甲方提供协助。</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.3 接受甲方及相关行政机关、行业主管部门等的监督。</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.4 乙方</w:t>
      </w:r>
      <w:r>
        <w:rPr>
          <w:rFonts w:hint="eastAsia" w:asciiTheme="minorEastAsia" w:hAnsiTheme="minorEastAsia" w:eastAsiaTheme="minorEastAsia"/>
          <w:kern w:val="0"/>
          <w:sz w:val="24"/>
          <w:szCs w:val="24"/>
          <w:lang w:val="zh-CN" w:bidi="zh-CN"/>
        </w:rPr>
        <w:t>为履行本合同需要组织项目活动的，乙方</w:t>
      </w:r>
      <w:r>
        <w:rPr>
          <w:rFonts w:asciiTheme="minorEastAsia" w:hAnsiTheme="minorEastAsia" w:eastAsiaTheme="minorEastAsia"/>
          <w:kern w:val="0"/>
          <w:sz w:val="24"/>
          <w:szCs w:val="24"/>
          <w:lang w:val="zh-CN" w:bidi="zh-CN"/>
        </w:rPr>
        <w:t>应</w:t>
      </w:r>
      <w:r>
        <w:rPr>
          <w:rFonts w:hint="eastAsia" w:asciiTheme="minorEastAsia" w:hAnsiTheme="minorEastAsia" w:eastAsiaTheme="minorEastAsia"/>
          <w:kern w:val="0"/>
          <w:sz w:val="24"/>
          <w:szCs w:val="24"/>
          <w:lang w:val="zh-CN" w:bidi="zh-CN"/>
        </w:rPr>
        <w:t>当</w:t>
      </w:r>
      <w:r>
        <w:rPr>
          <w:rFonts w:asciiTheme="minorEastAsia" w:hAnsiTheme="minorEastAsia" w:eastAsiaTheme="minorEastAsia"/>
          <w:kern w:val="0"/>
          <w:sz w:val="24"/>
          <w:szCs w:val="24"/>
          <w:lang w:val="zh-CN" w:bidi="zh-CN"/>
        </w:rPr>
        <w:t>保证</w:t>
      </w:r>
      <w:r>
        <w:rPr>
          <w:rFonts w:hint="eastAsia" w:asciiTheme="minorEastAsia" w:hAnsiTheme="minorEastAsia" w:eastAsiaTheme="minorEastAsia"/>
          <w:kern w:val="0"/>
          <w:sz w:val="24"/>
          <w:szCs w:val="24"/>
          <w:lang w:val="zh-CN" w:bidi="zh-CN"/>
        </w:rPr>
        <w:t>参加该项目活动的</w:t>
      </w:r>
      <w:r>
        <w:rPr>
          <w:rFonts w:asciiTheme="minorEastAsia" w:hAnsiTheme="minorEastAsia" w:eastAsiaTheme="minorEastAsia"/>
          <w:kern w:val="0"/>
          <w:sz w:val="24"/>
          <w:szCs w:val="24"/>
          <w:lang w:val="zh-CN" w:bidi="zh-CN"/>
        </w:rPr>
        <w:t>人员在活动期间的人身、财产安全，对</w:t>
      </w:r>
      <w:r>
        <w:rPr>
          <w:rFonts w:hint="eastAsia" w:asciiTheme="minorEastAsia" w:hAnsiTheme="minorEastAsia" w:eastAsiaTheme="minorEastAsia"/>
          <w:kern w:val="0"/>
          <w:sz w:val="24"/>
          <w:szCs w:val="24"/>
          <w:lang w:val="zh-CN" w:bidi="zh-CN"/>
        </w:rPr>
        <w:t>参加该项目活动的</w:t>
      </w:r>
      <w:r>
        <w:rPr>
          <w:rFonts w:asciiTheme="minorEastAsia" w:hAnsiTheme="minorEastAsia" w:eastAsiaTheme="minorEastAsia"/>
          <w:kern w:val="0"/>
          <w:sz w:val="24"/>
          <w:szCs w:val="24"/>
          <w:lang w:val="zh-CN" w:bidi="zh-CN"/>
        </w:rPr>
        <w:t>人员在活动期间遭受的财产、人身损害承担全部法律责任。如因此给甲方造成经济损失的，均由乙方承担法律责任。</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.5 根据本合同的规定向甲方收取相关服务费用，并有权在本项目管理范围内管理及合理使用。</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10</w:t>
      </w:r>
      <w:r>
        <w:rPr>
          <w:rFonts w:asciiTheme="minorEastAsia" w:hAnsiTheme="minorEastAsia" w:eastAsiaTheme="minorEastAsia"/>
          <w:kern w:val="0"/>
          <w:sz w:val="24"/>
          <w:szCs w:val="24"/>
          <w:lang w:val="zh-CN" w:bidi="zh-CN"/>
        </w:rPr>
        <w:t>.6 国家法律、法规所规定由乙方承担的其它责任。</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十一、</w:t>
      </w:r>
      <w:r>
        <w:rPr>
          <w:rFonts w:asciiTheme="minorEastAsia" w:hAnsiTheme="minorEastAsia" w:eastAsiaTheme="minorEastAsia"/>
          <w:b/>
          <w:kern w:val="0"/>
          <w:sz w:val="24"/>
          <w:szCs w:val="24"/>
          <w:lang w:val="zh-CN" w:bidi="zh-CN"/>
        </w:rPr>
        <w:t xml:space="preserve"> 违约责任</w:t>
      </w:r>
      <w:r>
        <w:rPr>
          <w:rFonts w:hint="eastAsia" w:asciiTheme="minorEastAsia" w:hAnsiTheme="minorEastAsia" w:eastAsiaTheme="minorEastAsia"/>
          <w:b/>
          <w:kern w:val="0"/>
          <w:sz w:val="24"/>
          <w:szCs w:val="24"/>
          <w:lang w:val="zh-CN" w:bidi="zh-CN"/>
        </w:rPr>
        <w:t xml:space="preserve">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11</w:t>
      </w:r>
      <w:r>
        <w:rPr>
          <w:rFonts w:asciiTheme="minorEastAsia" w:hAnsiTheme="minorEastAsia" w:eastAsiaTheme="minorEastAsia"/>
          <w:kern w:val="0"/>
          <w:sz w:val="24"/>
          <w:szCs w:val="24"/>
          <w:lang w:val="zh-CN" w:bidi="zh-CN"/>
        </w:rPr>
        <w:t xml:space="preserve">.1 </w:t>
      </w:r>
      <w:r>
        <w:rPr>
          <w:rFonts w:hint="eastAsia" w:asciiTheme="minorEastAsia" w:hAnsiTheme="minorEastAsia" w:eastAsiaTheme="minorEastAsia"/>
          <w:kern w:val="0"/>
          <w:sz w:val="24"/>
          <w:szCs w:val="24"/>
          <w:lang w:val="zh-CN" w:bidi="zh-CN"/>
        </w:rPr>
        <w:t>甲方逾期付款的，每逾期一日，按照应付款金额的万分之</w:t>
      </w:r>
      <w:r>
        <w:rPr>
          <w:rFonts w:hint="eastAsia" w:asciiTheme="minorEastAsia" w:hAnsiTheme="minorEastAsia" w:eastAsiaTheme="minorEastAsia"/>
          <w:kern w:val="0"/>
          <w:sz w:val="24"/>
          <w:szCs w:val="24"/>
          <w:lang w:val="en-US" w:bidi="zh-CN"/>
        </w:rPr>
        <w:t>十</w:t>
      </w:r>
      <w:r>
        <w:rPr>
          <w:rFonts w:hint="eastAsia" w:asciiTheme="minorEastAsia" w:hAnsiTheme="minorEastAsia" w:eastAsiaTheme="minorEastAsia"/>
          <w:kern w:val="0"/>
          <w:sz w:val="24"/>
          <w:szCs w:val="24"/>
          <w:lang w:val="zh-CN" w:bidi="zh-CN"/>
        </w:rPr>
        <w:t xml:space="preserve">承担违约责任。 </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11</w:t>
      </w:r>
      <w:r>
        <w:rPr>
          <w:rFonts w:asciiTheme="minorEastAsia" w:hAnsiTheme="minorEastAsia" w:eastAsiaTheme="minorEastAsia"/>
          <w:kern w:val="0"/>
          <w:sz w:val="24"/>
          <w:szCs w:val="24"/>
          <w:lang w:val="zh-CN" w:bidi="zh-CN"/>
        </w:rPr>
        <w:t xml:space="preserve">.2 </w:t>
      </w:r>
      <w:r>
        <w:rPr>
          <w:rFonts w:hint="eastAsia" w:asciiTheme="minorEastAsia" w:hAnsiTheme="minorEastAsia" w:eastAsiaTheme="minorEastAsia"/>
          <w:kern w:val="0"/>
          <w:sz w:val="24"/>
          <w:szCs w:val="24"/>
          <w:lang w:val="zh-CN" w:bidi="zh-CN"/>
        </w:rPr>
        <w:t>乙方逾期完成项目的，每逾期一日，按照合同金额的万分之</w:t>
      </w:r>
      <w:r>
        <w:rPr>
          <w:rFonts w:hint="eastAsia" w:asciiTheme="minorEastAsia" w:hAnsiTheme="minorEastAsia" w:eastAsiaTheme="minorEastAsia"/>
          <w:kern w:val="0"/>
          <w:sz w:val="24"/>
          <w:szCs w:val="24"/>
          <w:lang w:val="en-US" w:bidi="zh-CN"/>
        </w:rPr>
        <w:t>十</w:t>
      </w:r>
      <w:r>
        <w:rPr>
          <w:rFonts w:hint="eastAsia" w:asciiTheme="minorEastAsia" w:hAnsiTheme="minorEastAsia" w:eastAsiaTheme="minorEastAsia"/>
          <w:kern w:val="0"/>
          <w:sz w:val="24"/>
          <w:szCs w:val="24"/>
          <w:lang w:val="zh-CN" w:bidi="zh-CN"/>
        </w:rPr>
        <w:t>承担违约责任。</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11</w:t>
      </w:r>
      <w:r>
        <w:rPr>
          <w:rFonts w:asciiTheme="minorEastAsia" w:hAnsiTheme="minorEastAsia" w:eastAsiaTheme="minorEastAsia"/>
          <w:kern w:val="0"/>
          <w:sz w:val="24"/>
          <w:szCs w:val="24"/>
          <w:lang w:val="zh-CN" w:bidi="zh-CN"/>
        </w:rPr>
        <w:t xml:space="preserve">.3 </w:t>
      </w:r>
      <w:r>
        <w:rPr>
          <w:rFonts w:hint="eastAsia" w:asciiTheme="minorEastAsia" w:hAnsiTheme="minorEastAsia" w:eastAsiaTheme="minorEastAsia"/>
          <w:kern w:val="0"/>
          <w:sz w:val="24"/>
          <w:szCs w:val="24"/>
          <w:lang w:val="zh-CN" w:bidi="zh-CN"/>
        </w:rPr>
        <w:t>乙方未按照《招标文件》《投标文件》《项目实施计划》等约定履行项目的，甲方有权要求乙方进行整改。乙方拒不整改或者</w:t>
      </w:r>
      <w:r>
        <w:rPr>
          <w:rFonts w:hint="eastAsia" w:asciiTheme="minorEastAsia" w:hAnsiTheme="minorEastAsia" w:eastAsiaTheme="minorEastAsia"/>
          <w:kern w:val="0"/>
          <w:sz w:val="24"/>
          <w:szCs w:val="24"/>
          <w:lang w:val="en-US" w:bidi="zh-CN"/>
        </w:rPr>
        <w:t>3</w:t>
      </w:r>
      <w:r>
        <w:rPr>
          <w:rFonts w:hint="eastAsia" w:asciiTheme="minorEastAsia" w:hAnsiTheme="minorEastAsia" w:eastAsiaTheme="minorEastAsia"/>
          <w:kern w:val="0"/>
          <w:sz w:val="24"/>
          <w:szCs w:val="24"/>
          <w:lang w:val="zh-CN" w:bidi="zh-CN"/>
        </w:rPr>
        <w:t>次整改仍然不合格的，甲方有权解除本合同并要求乙方按照合同金额的2</w:t>
      </w:r>
      <w:r>
        <w:rPr>
          <w:rFonts w:asciiTheme="minorEastAsia" w:hAnsiTheme="minorEastAsia" w:eastAsiaTheme="minorEastAsia"/>
          <w:kern w:val="0"/>
          <w:sz w:val="24"/>
          <w:szCs w:val="24"/>
          <w:lang w:val="zh-CN" w:bidi="zh-CN"/>
        </w:rPr>
        <w:t>0%</w:t>
      </w:r>
      <w:r>
        <w:rPr>
          <w:rFonts w:hint="eastAsia" w:asciiTheme="minorEastAsia" w:hAnsiTheme="minorEastAsia" w:eastAsiaTheme="minorEastAsia"/>
          <w:kern w:val="0"/>
          <w:sz w:val="24"/>
          <w:szCs w:val="24"/>
          <w:lang w:val="zh-CN" w:bidi="zh-CN"/>
        </w:rPr>
        <w:t>承担违约责任。</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十二、</w:t>
      </w:r>
      <w:r>
        <w:rPr>
          <w:rFonts w:asciiTheme="minorEastAsia" w:hAnsiTheme="minorEastAsia" w:eastAsiaTheme="minorEastAsia"/>
          <w:b/>
          <w:kern w:val="0"/>
          <w:sz w:val="24"/>
          <w:szCs w:val="24"/>
          <w:lang w:val="zh-CN" w:bidi="zh-CN"/>
        </w:rPr>
        <w:t xml:space="preserve"> 不可抗力事件处理</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2</w:t>
      </w:r>
      <w:r>
        <w:rPr>
          <w:rFonts w:asciiTheme="minorEastAsia" w:hAnsiTheme="minorEastAsia" w:eastAsiaTheme="minorEastAsia"/>
          <w:kern w:val="0"/>
          <w:sz w:val="24"/>
          <w:szCs w:val="24"/>
          <w:lang w:val="zh-CN" w:bidi="zh-CN"/>
        </w:rPr>
        <w:t>.1 在合同有效期内，任何一方因不可抗力事件导致不能履行合同，则合同履行期可延长，其延长期与不可抗力影响期相同。</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2</w:t>
      </w:r>
      <w:r>
        <w:rPr>
          <w:rFonts w:asciiTheme="minorEastAsia" w:hAnsiTheme="minorEastAsia" w:eastAsiaTheme="minorEastAsia"/>
          <w:kern w:val="0"/>
          <w:sz w:val="24"/>
          <w:szCs w:val="24"/>
          <w:lang w:val="zh-CN" w:bidi="zh-CN"/>
        </w:rPr>
        <w:t>.2 不可抗力事件发生后，应立即通知对方，并寄送有关权威机构出具的证明。</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2</w:t>
      </w:r>
      <w:r>
        <w:rPr>
          <w:rFonts w:asciiTheme="minorEastAsia" w:hAnsiTheme="minorEastAsia" w:eastAsiaTheme="minorEastAsia"/>
          <w:kern w:val="0"/>
          <w:sz w:val="24"/>
          <w:szCs w:val="24"/>
          <w:lang w:val="zh-CN" w:bidi="zh-CN"/>
        </w:rPr>
        <w:t>.3 不可抗力事件延续 15 天以上，双方应通过友好协商，确定是否继续履行合同。</w:t>
      </w:r>
    </w:p>
    <w:p>
      <w:pPr>
        <w:tabs>
          <w:tab w:val="left" w:pos="7665"/>
        </w:tabs>
        <w:spacing w:line="44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kern w:val="0"/>
          <w:sz w:val="24"/>
          <w:szCs w:val="24"/>
          <w:lang w:val="zh-CN" w:bidi="zh-CN"/>
        </w:rPr>
        <w:t>十三、</w:t>
      </w:r>
      <w:r>
        <w:rPr>
          <w:rFonts w:hint="eastAsia" w:asciiTheme="minorEastAsia" w:hAnsiTheme="minorEastAsia" w:eastAsiaTheme="minorEastAsia"/>
          <w:b/>
          <w:sz w:val="24"/>
          <w:szCs w:val="24"/>
        </w:rPr>
        <w:t>送达与通知</w:t>
      </w:r>
    </w:p>
    <w:p>
      <w:pPr>
        <w:tabs>
          <w:tab w:val="left" w:pos="7665"/>
        </w:tabs>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w:t>
      </w: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甲方确认的有效送达地址为：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，联系人：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，联系电话：</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，电子邮箱：</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p>
    <w:p>
      <w:pPr>
        <w:tabs>
          <w:tab w:val="center" w:pos="4153"/>
          <w:tab w:val="left" w:pos="6078"/>
        </w:tabs>
        <w:spacing w:line="44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13</w:t>
      </w: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乙方确认的有效送达地址为：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，联系人：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，联系电话：</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 电子邮箱为：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sz w:val="24"/>
          <w:szCs w:val="24"/>
        </w:rPr>
        <w:t>13</w:t>
      </w: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甲乙双方确认上述送达地址适用范围包括非诉时各类通知、协议等文件以及就合同发生纠纷的相关文件和法律文书的送达，还适用于仲裁程序、民事诉讼程序后的一审、二审、再审和执行程序。无论另一方是否签收，发出后3日均视为已经送达并接收。</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十四、其他约定</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4</w:t>
      </w: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 xml:space="preserve"> </w:t>
      </w:r>
      <w:r>
        <w:rPr>
          <w:rFonts w:asciiTheme="minorEastAsia" w:hAnsiTheme="minorEastAsia" w:eastAsiaTheme="minorEastAsia"/>
          <w:kern w:val="0"/>
          <w:sz w:val="24"/>
          <w:szCs w:val="24"/>
          <w:lang w:val="zh-CN" w:bidi="zh-CN"/>
        </w:rPr>
        <w:t>与本合同有关的争端，双方应通过友好协商解决，经协商不能达成协议时，</w:t>
      </w:r>
      <w:r>
        <w:rPr>
          <w:rFonts w:hint="eastAsia" w:asciiTheme="minorEastAsia" w:hAnsiTheme="minorEastAsia" w:eastAsiaTheme="minorEastAsia"/>
          <w:kern w:val="0"/>
          <w:sz w:val="24"/>
          <w:szCs w:val="24"/>
          <w:lang w:val="zh-CN" w:bidi="zh-CN"/>
        </w:rPr>
        <w:t>任何一方均可以向甲方所在地有管辖权的人民法院提起诉讼。</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asciiTheme="minorEastAsia" w:hAnsiTheme="minorEastAsia" w:eastAsiaTheme="minorEastAsia"/>
          <w:kern w:val="0"/>
          <w:sz w:val="24"/>
          <w:szCs w:val="24"/>
          <w:lang w:val="zh-CN" w:bidi="zh-CN"/>
        </w:rPr>
        <w:t>1</w:t>
      </w:r>
      <w:r>
        <w:rPr>
          <w:rFonts w:hint="eastAsia" w:asciiTheme="minorEastAsia" w:hAnsiTheme="minorEastAsia" w:eastAsiaTheme="minorEastAsia"/>
          <w:kern w:val="0"/>
          <w:sz w:val="24"/>
          <w:szCs w:val="24"/>
          <w:lang w:val="zh-CN" w:bidi="zh-CN"/>
        </w:rPr>
        <w:t>4</w:t>
      </w:r>
      <w:r>
        <w:rPr>
          <w:rFonts w:asciiTheme="minorEastAsia" w:hAnsiTheme="minorEastAsia" w:eastAsiaTheme="minorEastAsia"/>
          <w:kern w:val="0"/>
          <w:sz w:val="24"/>
          <w:szCs w:val="24"/>
          <w:lang w:val="zh-CN" w:bidi="zh-CN"/>
        </w:rPr>
        <w:t>.2 合同</w:t>
      </w:r>
      <w:r>
        <w:rPr>
          <w:rFonts w:hint="eastAsia" w:asciiTheme="minorEastAsia" w:hAnsiTheme="minorEastAsia" w:eastAsiaTheme="minorEastAsia"/>
          <w:kern w:val="0"/>
          <w:sz w:val="24"/>
          <w:szCs w:val="24"/>
          <w:lang w:val="zh-CN" w:bidi="zh-CN"/>
        </w:rPr>
        <w:t>履</w:t>
      </w:r>
      <w:r>
        <w:rPr>
          <w:rFonts w:asciiTheme="minorEastAsia" w:hAnsiTheme="minorEastAsia" w:eastAsiaTheme="minorEastAsia"/>
          <w:kern w:val="0"/>
          <w:sz w:val="24"/>
          <w:szCs w:val="24"/>
          <w:lang w:val="zh-CN" w:bidi="zh-CN"/>
        </w:rPr>
        <w:t>行中</w:t>
      </w:r>
      <w:r>
        <w:rPr>
          <w:rFonts w:hint="eastAsia" w:asciiTheme="minorEastAsia" w:hAnsiTheme="minorEastAsia" w:eastAsiaTheme="minorEastAsia"/>
          <w:kern w:val="0"/>
          <w:sz w:val="24"/>
          <w:szCs w:val="24"/>
          <w:lang w:val="zh-CN" w:bidi="zh-CN"/>
        </w:rPr>
        <w:t>需要变更</w:t>
      </w:r>
      <w:r>
        <w:rPr>
          <w:rFonts w:asciiTheme="minorEastAsia" w:hAnsiTheme="minorEastAsia" w:eastAsiaTheme="minorEastAsia"/>
          <w:kern w:val="0"/>
          <w:sz w:val="24"/>
          <w:szCs w:val="24"/>
          <w:lang w:val="zh-CN" w:bidi="zh-CN"/>
        </w:rPr>
        <w:t>采购资金</w:t>
      </w:r>
      <w:r>
        <w:rPr>
          <w:rFonts w:hint="eastAsia" w:asciiTheme="minorEastAsia" w:hAnsiTheme="minorEastAsia" w:eastAsiaTheme="minorEastAsia"/>
          <w:kern w:val="0"/>
          <w:sz w:val="24"/>
          <w:szCs w:val="24"/>
          <w:lang w:val="zh-CN" w:bidi="zh-CN"/>
        </w:rPr>
        <w:t>、</w:t>
      </w:r>
      <w:r>
        <w:rPr>
          <w:rFonts w:asciiTheme="minorEastAsia" w:hAnsiTheme="minorEastAsia" w:eastAsiaTheme="minorEastAsia"/>
          <w:kern w:val="0"/>
          <w:sz w:val="24"/>
          <w:szCs w:val="24"/>
          <w:lang w:val="zh-CN" w:bidi="zh-CN"/>
        </w:rPr>
        <w:t>采购内容</w:t>
      </w:r>
      <w:r>
        <w:rPr>
          <w:rFonts w:hint="eastAsia" w:asciiTheme="minorEastAsia" w:hAnsiTheme="minorEastAsia" w:eastAsiaTheme="minorEastAsia"/>
          <w:kern w:val="0"/>
          <w:sz w:val="24"/>
          <w:szCs w:val="24"/>
          <w:lang w:val="zh-CN" w:bidi="zh-CN"/>
        </w:rPr>
        <w:t>的，应当报请</w:t>
      </w:r>
      <w:r>
        <w:rPr>
          <w:rFonts w:asciiTheme="minorEastAsia" w:hAnsiTheme="minorEastAsia" w:eastAsiaTheme="minorEastAsia"/>
          <w:kern w:val="0"/>
          <w:sz w:val="24"/>
          <w:szCs w:val="24"/>
          <w:lang w:val="zh-CN" w:bidi="zh-CN"/>
        </w:rPr>
        <w:t>政府采购监管部门审批，</w:t>
      </w:r>
      <w:r>
        <w:rPr>
          <w:rFonts w:hint="eastAsia" w:asciiTheme="minorEastAsia" w:hAnsiTheme="minorEastAsia" w:eastAsiaTheme="minorEastAsia"/>
          <w:kern w:val="0"/>
          <w:sz w:val="24"/>
          <w:szCs w:val="24"/>
          <w:lang w:val="zh-CN" w:bidi="zh-CN"/>
        </w:rPr>
        <w:t>并将</w:t>
      </w:r>
      <w:r>
        <w:rPr>
          <w:rFonts w:asciiTheme="minorEastAsia" w:hAnsiTheme="minorEastAsia" w:eastAsiaTheme="minorEastAsia"/>
          <w:kern w:val="0"/>
          <w:sz w:val="24"/>
          <w:szCs w:val="24"/>
          <w:lang w:val="zh-CN" w:bidi="zh-CN"/>
        </w:rPr>
        <w:t>补充协议报政府采购监督管理部门备案。</w:t>
      </w:r>
      <w:r>
        <w:rPr>
          <w:rFonts w:hint="eastAsia" w:asciiTheme="minorEastAsia" w:hAnsiTheme="minorEastAsia" w:eastAsiaTheme="minorEastAsia"/>
          <w:kern w:val="0"/>
          <w:sz w:val="24"/>
          <w:szCs w:val="24"/>
          <w:lang w:val="zh-CN" w:bidi="zh-CN"/>
        </w:rPr>
        <w:t>补充协议</w:t>
      </w:r>
      <w:r>
        <w:rPr>
          <w:rFonts w:asciiTheme="minorEastAsia" w:hAnsiTheme="minorEastAsia" w:eastAsiaTheme="minorEastAsia"/>
          <w:kern w:val="0"/>
          <w:sz w:val="24"/>
          <w:szCs w:val="24"/>
          <w:lang w:val="zh-CN" w:bidi="zh-CN"/>
        </w:rPr>
        <w:t>增加采购资金的，增加的部分不得超过本合同金额的10%。</w:t>
      </w:r>
    </w:p>
    <w:p>
      <w:pPr>
        <w:autoSpaceDE w:val="0"/>
        <w:autoSpaceDN w:val="0"/>
        <w:spacing w:line="440" w:lineRule="exact"/>
        <w:ind w:firstLine="482" w:firstLineChars="200"/>
        <w:rPr>
          <w:rFonts w:asciiTheme="minorEastAsia" w:hAnsiTheme="minorEastAsia" w:eastAsiaTheme="minorEastAsia"/>
          <w:b/>
          <w:kern w:val="0"/>
          <w:sz w:val="24"/>
          <w:szCs w:val="24"/>
          <w:lang w:val="zh-CN" w:bidi="zh-CN"/>
        </w:rPr>
      </w:pPr>
      <w:r>
        <w:rPr>
          <w:rFonts w:hint="eastAsia" w:asciiTheme="minorEastAsia" w:hAnsiTheme="minorEastAsia" w:eastAsiaTheme="minorEastAsia"/>
          <w:b/>
          <w:kern w:val="0"/>
          <w:sz w:val="24"/>
          <w:szCs w:val="24"/>
          <w:lang w:val="zh-CN" w:bidi="zh-CN"/>
        </w:rPr>
        <w:t>十五、</w:t>
      </w:r>
      <w:r>
        <w:rPr>
          <w:rFonts w:asciiTheme="minorEastAsia" w:hAnsiTheme="minorEastAsia" w:eastAsiaTheme="minorEastAsia"/>
          <w:b/>
          <w:kern w:val="0"/>
          <w:sz w:val="24"/>
          <w:szCs w:val="24"/>
          <w:lang w:val="zh-CN" w:bidi="zh-CN"/>
        </w:rPr>
        <w:t>合同生效及其他</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15</w:t>
      </w:r>
      <w:r>
        <w:rPr>
          <w:rFonts w:asciiTheme="minorEastAsia" w:hAnsiTheme="minorEastAsia" w:eastAsiaTheme="minorEastAsia"/>
          <w:kern w:val="0"/>
          <w:sz w:val="24"/>
          <w:szCs w:val="24"/>
          <w:lang w:val="zh-CN" w:bidi="zh-CN"/>
        </w:rPr>
        <w:t>.1 《</w:t>
      </w:r>
      <w:r>
        <w:rPr>
          <w:rFonts w:hint="eastAsia" w:asciiTheme="minorEastAsia" w:hAnsiTheme="minorEastAsia" w:eastAsiaTheme="minorEastAsia"/>
          <w:kern w:val="0"/>
          <w:sz w:val="24"/>
          <w:szCs w:val="24"/>
          <w:lang w:val="zh-CN" w:bidi="zh-CN"/>
        </w:rPr>
        <w:t>招标</w:t>
      </w:r>
      <w:r>
        <w:rPr>
          <w:rFonts w:asciiTheme="minorEastAsia" w:hAnsiTheme="minorEastAsia" w:eastAsiaTheme="minorEastAsia"/>
          <w:kern w:val="0"/>
          <w:sz w:val="24"/>
          <w:szCs w:val="24"/>
          <w:lang w:val="zh-CN" w:bidi="zh-CN"/>
        </w:rPr>
        <w:t>文件》、《</w:t>
      </w:r>
      <w:r>
        <w:rPr>
          <w:rFonts w:hint="eastAsia" w:asciiTheme="minorEastAsia" w:hAnsiTheme="minorEastAsia" w:eastAsiaTheme="minorEastAsia"/>
          <w:kern w:val="0"/>
          <w:sz w:val="24"/>
          <w:szCs w:val="24"/>
          <w:lang w:val="zh-CN" w:bidi="zh-CN"/>
        </w:rPr>
        <w:t>投标</w:t>
      </w:r>
      <w:r>
        <w:rPr>
          <w:rFonts w:asciiTheme="minorEastAsia" w:hAnsiTheme="minorEastAsia" w:eastAsiaTheme="minorEastAsia"/>
          <w:kern w:val="0"/>
          <w:sz w:val="24"/>
          <w:szCs w:val="24"/>
          <w:lang w:val="zh-CN" w:bidi="zh-CN"/>
        </w:rPr>
        <w:t>文件》是本合同的附件，与本合同具有同等法律效力。</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15</w:t>
      </w:r>
      <w:r>
        <w:rPr>
          <w:rFonts w:asciiTheme="minorEastAsia" w:hAnsiTheme="minorEastAsia" w:eastAsiaTheme="minorEastAsia"/>
          <w:kern w:val="0"/>
          <w:sz w:val="24"/>
          <w:szCs w:val="24"/>
          <w:lang w:val="zh-CN" w:bidi="zh-CN"/>
        </w:rPr>
        <w:t>.2 本合同正文及其他文件的解释顺序如下：本合同正文、《</w:t>
      </w:r>
      <w:r>
        <w:rPr>
          <w:rFonts w:hint="eastAsia" w:asciiTheme="minorEastAsia" w:hAnsiTheme="minorEastAsia" w:eastAsiaTheme="minorEastAsia"/>
          <w:kern w:val="0"/>
          <w:sz w:val="24"/>
          <w:szCs w:val="24"/>
          <w:lang w:val="zh-CN" w:bidi="zh-CN"/>
        </w:rPr>
        <w:t>招标</w:t>
      </w:r>
      <w:r>
        <w:rPr>
          <w:rFonts w:asciiTheme="minorEastAsia" w:hAnsiTheme="minorEastAsia" w:eastAsiaTheme="minorEastAsia"/>
          <w:kern w:val="0"/>
          <w:sz w:val="24"/>
          <w:szCs w:val="24"/>
          <w:lang w:val="zh-CN" w:bidi="zh-CN"/>
        </w:rPr>
        <w:t>文件》、《</w:t>
      </w:r>
      <w:r>
        <w:rPr>
          <w:rFonts w:hint="eastAsia" w:asciiTheme="minorEastAsia" w:hAnsiTheme="minorEastAsia" w:eastAsiaTheme="minorEastAsia"/>
          <w:kern w:val="0"/>
          <w:sz w:val="24"/>
          <w:szCs w:val="24"/>
          <w:lang w:val="zh-CN" w:bidi="zh-CN"/>
        </w:rPr>
        <w:t>投标</w:t>
      </w:r>
      <w:r>
        <w:rPr>
          <w:rFonts w:asciiTheme="minorEastAsia" w:hAnsiTheme="minorEastAsia" w:eastAsiaTheme="minorEastAsia"/>
          <w:kern w:val="0"/>
          <w:sz w:val="24"/>
          <w:szCs w:val="24"/>
          <w:lang w:val="zh-CN" w:bidi="zh-CN"/>
        </w:rPr>
        <w:t>文件》。</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15</w:t>
      </w:r>
      <w:r>
        <w:rPr>
          <w:rFonts w:asciiTheme="minorEastAsia" w:hAnsiTheme="minorEastAsia" w:eastAsiaTheme="minorEastAsia"/>
          <w:kern w:val="0"/>
          <w:sz w:val="24"/>
          <w:szCs w:val="24"/>
          <w:lang w:val="zh-CN" w:bidi="zh-CN"/>
        </w:rPr>
        <w:t>.3</w:t>
      </w:r>
      <w:r>
        <w:rPr>
          <w:rFonts w:hint="eastAsia" w:asciiTheme="minorEastAsia" w:hAnsiTheme="minorEastAsia" w:eastAsiaTheme="minorEastAsia"/>
          <w:kern w:val="0"/>
          <w:sz w:val="24"/>
          <w:szCs w:val="24"/>
          <w:lang w:val="zh-CN" w:bidi="zh-CN"/>
        </w:rPr>
        <w:t xml:space="preserve"> 本合同壹式</w:t>
      </w:r>
      <w:r>
        <w:rPr>
          <w:rFonts w:hint="eastAsia" w:asciiTheme="minorEastAsia" w:hAnsiTheme="minorEastAsia" w:eastAsiaTheme="minorEastAsia"/>
          <w:kern w:val="0"/>
          <w:sz w:val="24"/>
          <w:szCs w:val="24"/>
          <w:u w:val="single"/>
          <w:lang w:val="zh-CN" w:bidi="zh-CN"/>
        </w:rPr>
        <w:t xml:space="preserve"> </w:t>
      </w:r>
      <w:r>
        <w:rPr>
          <w:rFonts w:asciiTheme="minorEastAsia" w:hAnsiTheme="minorEastAsia" w:eastAsiaTheme="minorEastAsia"/>
          <w:kern w:val="0"/>
          <w:sz w:val="24"/>
          <w:szCs w:val="24"/>
          <w:u w:val="single"/>
          <w:lang w:val="zh-CN" w:bidi="zh-CN"/>
        </w:rPr>
        <w:t xml:space="preserve">  </w:t>
      </w:r>
      <w:r>
        <w:rPr>
          <w:rFonts w:hint="eastAsia" w:asciiTheme="minorEastAsia" w:hAnsiTheme="minorEastAsia" w:eastAsiaTheme="minorEastAsia"/>
          <w:kern w:val="0"/>
          <w:sz w:val="24"/>
          <w:szCs w:val="24"/>
          <w:lang w:val="zh-CN" w:bidi="zh-CN"/>
        </w:rPr>
        <w:t>份，甲方执叁份，乙方</w:t>
      </w:r>
      <w:r>
        <w:rPr>
          <w:rFonts w:hint="eastAsia" w:asciiTheme="minorEastAsia" w:hAnsiTheme="minorEastAsia" w:eastAsiaTheme="minorEastAsia"/>
          <w:kern w:val="0"/>
          <w:sz w:val="24"/>
          <w:szCs w:val="24"/>
          <w:u w:val="single"/>
          <w:lang w:val="zh-CN" w:bidi="zh-CN"/>
        </w:rPr>
        <w:t xml:space="preserve"> </w:t>
      </w:r>
      <w:r>
        <w:rPr>
          <w:rFonts w:asciiTheme="minorEastAsia" w:hAnsiTheme="minorEastAsia" w:eastAsiaTheme="minorEastAsia"/>
          <w:kern w:val="0"/>
          <w:sz w:val="24"/>
          <w:szCs w:val="24"/>
          <w:u w:val="single"/>
          <w:lang w:val="zh-CN" w:bidi="zh-CN"/>
        </w:rPr>
        <w:t xml:space="preserve">  </w:t>
      </w:r>
      <w:r>
        <w:rPr>
          <w:rFonts w:hint="eastAsia" w:asciiTheme="minorEastAsia" w:hAnsiTheme="minorEastAsia" w:eastAsiaTheme="minorEastAsia"/>
          <w:kern w:val="0"/>
          <w:sz w:val="24"/>
          <w:szCs w:val="24"/>
          <w:lang w:val="zh-CN" w:bidi="zh-CN"/>
        </w:rPr>
        <w:t>份，</w:t>
      </w:r>
      <w:r>
        <w:rPr>
          <w:rFonts w:asciiTheme="minorEastAsia" w:hAnsiTheme="minorEastAsia" w:eastAsiaTheme="minorEastAsia"/>
          <w:kern w:val="0"/>
          <w:sz w:val="24"/>
          <w:szCs w:val="24"/>
          <w:lang w:val="zh-CN" w:bidi="zh-CN"/>
        </w:rPr>
        <w:t>每份具有同等法律效力。</w:t>
      </w:r>
    </w:p>
    <w:p>
      <w:pPr>
        <w:autoSpaceDE w:val="0"/>
        <w:autoSpaceDN w:val="0"/>
        <w:spacing w:line="440" w:lineRule="exact"/>
        <w:ind w:firstLine="480" w:firstLineChars="200"/>
        <w:rPr>
          <w:rFonts w:asciiTheme="minorEastAsia" w:hAnsiTheme="minorEastAsia" w:eastAsiaTheme="minorEastAsia"/>
          <w:kern w:val="0"/>
          <w:sz w:val="24"/>
          <w:szCs w:val="24"/>
          <w:lang w:val="zh-CN" w:bidi="zh-CN"/>
        </w:rPr>
      </w:pPr>
      <w:r>
        <w:rPr>
          <w:rFonts w:hint="eastAsia" w:asciiTheme="minorEastAsia" w:hAnsiTheme="minorEastAsia" w:eastAsiaTheme="minorEastAsia"/>
          <w:kern w:val="0"/>
          <w:sz w:val="24"/>
          <w:szCs w:val="24"/>
          <w:lang w:val="zh-CN" w:bidi="zh-CN"/>
        </w:rPr>
        <w:t>15</w:t>
      </w:r>
      <w:r>
        <w:rPr>
          <w:rFonts w:asciiTheme="minorEastAsia" w:hAnsiTheme="minorEastAsia" w:eastAsiaTheme="minorEastAsia"/>
          <w:kern w:val="0"/>
          <w:sz w:val="24"/>
          <w:szCs w:val="24"/>
          <w:lang w:val="zh-CN" w:bidi="zh-CN"/>
        </w:rPr>
        <w:t>.4 本</w:t>
      </w:r>
      <w:r>
        <w:rPr>
          <w:rFonts w:hint="eastAsia" w:asciiTheme="minorEastAsia" w:hAnsiTheme="minorEastAsia" w:eastAsiaTheme="minorEastAsia"/>
          <w:kern w:val="0"/>
          <w:sz w:val="24"/>
          <w:szCs w:val="24"/>
          <w:lang w:val="zh-CN" w:bidi="zh-CN"/>
        </w:rPr>
        <w:t>合同</w:t>
      </w:r>
      <w:r>
        <w:rPr>
          <w:rFonts w:asciiTheme="minorEastAsia" w:hAnsiTheme="minorEastAsia" w:eastAsiaTheme="minorEastAsia"/>
          <w:kern w:val="0"/>
          <w:sz w:val="24"/>
          <w:szCs w:val="24"/>
          <w:lang w:val="zh-CN" w:bidi="zh-CN"/>
        </w:rPr>
        <w:t>除签名外无任何手写文字或者修改部分。手写文字修改本合同内容的，不具有法律效力。</w:t>
      </w:r>
    </w:p>
    <w:p>
      <w:pPr>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kern w:val="0"/>
          <w:sz w:val="24"/>
          <w:szCs w:val="24"/>
          <w:lang w:val="zh-CN" w:bidi="zh-CN"/>
        </w:rPr>
        <w:t>15</w:t>
      </w:r>
      <w:r>
        <w:rPr>
          <w:rFonts w:asciiTheme="minorEastAsia" w:hAnsiTheme="minorEastAsia" w:eastAsiaTheme="minorEastAsia"/>
          <w:kern w:val="0"/>
          <w:sz w:val="24"/>
          <w:szCs w:val="24"/>
          <w:lang w:val="zh-CN" w:bidi="zh-CN"/>
        </w:rPr>
        <w:t>.5 合同经双方法定代表人或授权委托代理人签字并加盖单位公章后生效</w:t>
      </w:r>
      <w:r>
        <w:rPr>
          <w:rFonts w:hint="eastAsia" w:asciiTheme="minorEastAsia" w:hAnsiTheme="minorEastAsia" w:eastAsiaTheme="minorEastAsia"/>
          <w:kern w:val="0"/>
          <w:sz w:val="24"/>
          <w:szCs w:val="24"/>
          <w:lang w:val="zh-CN" w:bidi="zh-CN"/>
        </w:rPr>
        <w:t>。</w:t>
      </w:r>
    </w:p>
    <w:p>
      <w:pPr>
        <w:pStyle w:val="17"/>
        <w:spacing w:after="0" w:line="560" w:lineRule="exact"/>
        <w:ind w:firstLine="424" w:firstLineChars="177"/>
        <w:rPr>
          <w:rFonts w:asciiTheme="minorEastAsia" w:hAnsiTheme="minorEastAsia" w:cstheme="minorEastAsia"/>
          <w:sz w:val="24"/>
          <w:szCs w:val="24"/>
        </w:rPr>
      </w:pPr>
    </w:p>
    <w:p>
      <w:pPr>
        <w:pStyle w:val="17"/>
        <w:spacing w:after="0" w:line="560" w:lineRule="exact"/>
        <w:ind w:firstLine="424" w:firstLineChars="177"/>
        <w:rPr>
          <w:rFonts w:asciiTheme="minorEastAsia" w:hAnsiTheme="minorEastAsia" w:cstheme="minorEastAsia"/>
          <w:sz w:val="24"/>
          <w:szCs w:val="24"/>
        </w:rPr>
      </w:pPr>
    </w:p>
    <w:p>
      <w:pPr>
        <w:pStyle w:val="17"/>
        <w:ind w:firstLine="424" w:firstLineChars="177"/>
        <w:rPr>
          <w:sz w:val="24"/>
          <w:szCs w:val="32"/>
        </w:rPr>
      </w:pPr>
      <w:r>
        <w:rPr>
          <w:rFonts w:hint="eastAsia"/>
          <w:sz w:val="24"/>
          <w:szCs w:val="32"/>
        </w:rPr>
        <w:t>甲方：   （盖章）</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乙方：   （盖章）</w:t>
      </w:r>
    </w:p>
    <w:p>
      <w:pPr>
        <w:pStyle w:val="17"/>
        <w:ind w:firstLine="424" w:firstLineChars="177"/>
        <w:rPr>
          <w:sz w:val="24"/>
          <w:szCs w:val="32"/>
        </w:rPr>
      </w:pPr>
      <w:r>
        <w:rPr>
          <w:rFonts w:hint="eastAsia"/>
          <w:sz w:val="24"/>
          <w:szCs w:val="32"/>
        </w:rPr>
        <w:t>法定代表人或主要负责人</w:t>
      </w:r>
      <w:r>
        <w:rPr>
          <w:rFonts w:hint="eastAsia"/>
          <w:sz w:val="24"/>
          <w:szCs w:val="32"/>
        </w:rPr>
        <w:tab/>
      </w:r>
      <w:r>
        <w:rPr>
          <w:rFonts w:hint="eastAsia"/>
          <w:sz w:val="24"/>
          <w:szCs w:val="32"/>
        </w:rPr>
        <w:t xml:space="preserve">   </w:t>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法定代表人或主要负责人</w:t>
      </w:r>
    </w:p>
    <w:p>
      <w:pPr>
        <w:pStyle w:val="17"/>
        <w:ind w:firstLine="424" w:firstLineChars="177"/>
        <w:rPr>
          <w:sz w:val="24"/>
          <w:szCs w:val="32"/>
        </w:rPr>
      </w:pPr>
      <w:r>
        <w:rPr>
          <w:rFonts w:hint="eastAsia"/>
          <w:sz w:val="24"/>
          <w:szCs w:val="32"/>
        </w:rPr>
        <w:t>（授权代表）：                            （授权代表）：</w:t>
      </w:r>
    </w:p>
    <w:p>
      <w:pPr>
        <w:pStyle w:val="17"/>
        <w:ind w:firstLine="424" w:firstLineChars="177"/>
        <w:rPr>
          <w:sz w:val="24"/>
          <w:szCs w:val="32"/>
        </w:rPr>
      </w:pPr>
      <w:r>
        <w:rPr>
          <w:rFonts w:hint="eastAsia"/>
          <w:sz w:val="24"/>
          <w:szCs w:val="32"/>
        </w:rPr>
        <w:t>地  址：</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地  址：</w:t>
      </w:r>
    </w:p>
    <w:p>
      <w:pPr>
        <w:pStyle w:val="17"/>
        <w:ind w:firstLine="424" w:firstLineChars="177"/>
        <w:rPr>
          <w:sz w:val="24"/>
          <w:szCs w:val="32"/>
        </w:rPr>
      </w:pPr>
      <w:r>
        <w:rPr>
          <w:rFonts w:hint="eastAsia"/>
          <w:sz w:val="24"/>
          <w:szCs w:val="32"/>
        </w:rPr>
        <w:t>开户银行：</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开户银行：</w:t>
      </w:r>
    </w:p>
    <w:p>
      <w:pPr>
        <w:pStyle w:val="17"/>
        <w:ind w:firstLine="424" w:firstLineChars="177"/>
        <w:rPr>
          <w:sz w:val="24"/>
          <w:szCs w:val="32"/>
        </w:rPr>
      </w:pPr>
      <w:r>
        <w:rPr>
          <w:rFonts w:hint="eastAsia"/>
          <w:sz w:val="24"/>
          <w:szCs w:val="32"/>
        </w:rPr>
        <w:t>账号：</w:t>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账号：</w:t>
      </w:r>
    </w:p>
    <w:p>
      <w:pPr>
        <w:pStyle w:val="17"/>
        <w:ind w:firstLine="424" w:firstLineChars="177"/>
        <w:rPr>
          <w:sz w:val="24"/>
          <w:szCs w:val="32"/>
        </w:rPr>
      </w:pPr>
      <w:r>
        <w:rPr>
          <w:rFonts w:hint="eastAsia"/>
          <w:sz w:val="24"/>
          <w:szCs w:val="32"/>
        </w:rPr>
        <w:t>签订日期： 年  月  日</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签订日期：年 月 日</w:t>
      </w:r>
    </w:p>
    <w:bookmarkEnd w:id="0"/>
    <w:bookmarkEnd w:id="1"/>
    <w:bookmarkEnd w:id="2"/>
    <w:bookmarkEnd w:id="3"/>
    <w:bookmarkEnd w:id="149"/>
    <w:bookmarkEnd w:id="150"/>
    <w:p/>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1651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165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1651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1651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1651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152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0" r="317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1778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165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
    <w:p/>
    <w:sectPr>
      <w:footerReference r:id="rId3"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auto"/>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7"/>
          <w:ind w:firstLine="480"/>
          <w:jc w:val="center"/>
        </w:pPr>
        <w:r>
          <w:fldChar w:fldCharType="begin"/>
        </w:r>
        <w:r>
          <w:instrText xml:space="preserve">PAGE   \* MERGEFORMAT</w:instrText>
        </w:r>
        <w:r>
          <w:fldChar w:fldCharType="separate"/>
        </w:r>
        <w:r>
          <w:rPr>
            <w:lang w:val="zh-CN"/>
          </w:rPr>
          <w:t>4</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9">
    <w:nsid w:val="0000002E"/>
    <w:multiLevelType w:val="multilevel"/>
    <w:tmpl w:val="0000002E"/>
    <w:lvl w:ilvl="0" w:tentative="0">
      <w:start w:val="1"/>
      <w:numFmt w:val="decimal"/>
      <w:pStyle w:val="2"/>
      <w:lvlText w:val="第%1章"/>
      <w:lvlJc w:val="left"/>
      <w:pPr>
        <w:ind w:left="2694"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B7C44A9"/>
    <w:multiLevelType w:val="multilevel"/>
    <w:tmpl w:val="0B7C44A9"/>
    <w:lvl w:ilvl="0" w:tentative="0">
      <w:start w:val="1"/>
      <w:numFmt w:val="japaneseCounting"/>
      <w:lvlText w:val="%1、"/>
      <w:lvlJc w:val="left"/>
      <w:pPr>
        <w:ind w:left="1266" w:hanging="720"/>
      </w:pPr>
      <w:rPr>
        <w:rFonts w:hint="default"/>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0D6B6379"/>
    <w:multiLevelType w:val="multilevel"/>
    <w:tmpl w:val="0D6B6379"/>
    <w:lvl w:ilvl="0" w:tentative="0">
      <w:start w:val="1"/>
      <w:numFmt w:val="chineseCountingThousand"/>
      <w:lvlText w:val="%1、"/>
      <w:lvlJc w:val="left"/>
      <w:pPr>
        <w:ind w:left="1838" w:hanging="420"/>
      </w:p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DA62241"/>
    <w:multiLevelType w:val="multilevel"/>
    <w:tmpl w:val="1DA62241"/>
    <w:lvl w:ilvl="0" w:tentative="0">
      <w:start w:val="1"/>
      <w:numFmt w:val="chineseCountingThousand"/>
      <w:lvlText w:val="(%1)"/>
      <w:lvlJc w:val="left"/>
      <w:pPr>
        <w:ind w:left="986" w:hanging="420"/>
      </w:pPr>
    </w:lvl>
    <w:lvl w:ilvl="1" w:tentative="0">
      <w:start w:val="30"/>
      <w:numFmt w:val="decimal"/>
      <w:lvlText w:val="%2"/>
      <w:lvlJc w:val="left"/>
      <w:pPr>
        <w:ind w:left="1346" w:hanging="360"/>
      </w:pPr>
      <w:rPr>
        <w:rFonts w:hint="default"/>
      </w:r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FCAA284"/>
    <w:multiLevelType w:val="singleLevel"/>
    <w:tmpl w:val="5FCAA284"/>
    <w:lvl w:ilvl="0" w:tentative="0">
      <w:start w:val="1"/>
      <w:numFmt w:val="chineseCounting"/>
      <w:suff w:val="nothing"/>
      <w:lvlText w:val="%1、"/>
      <w:lvlJc w:val="left"/>
      <w:rPr>
        <w:rFonts w:hint="eastAsia"/>
      </w:rPr>
    </w:lvl>
  </w:abstractNum>
  <w:abstractNum w:abstractNumId="3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6">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7">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756C0657"/>
    <w:multiLevelType w:val="multilevel"/>
    <w:tmpl w:val="756C0657"/>
    <w:lvl w:ilvl="0" w:tentative="0">
      <w:start w:val="1"/>
      <w:numFmt w:val="japaneseCounting"/>
      <w:lvlText w:val="%1、"/>
      <w:lvlJc w:val="left"/>
      <w:pPr>
        <w:ind w:left="1288" w:hanging="720"/>
      </w:pPr>
      <w:rPr>
        <w:rFonts w:hint="default"/>
        <w:b w:val="0"/>
        <w:color w:val="auto"/>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9">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0">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31"/>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D4"/>
    <w:rsid w:val="000014AD"/>
    <w:rsid w:val="00003694"/>
    <w:rsid w:val="00006CF2"/>
    <w:rsid w:val="000077A4"/>
    <w:rsid w:val="00012151"/>
    <w:rsid w:val="00012626"/>
    <w:rsid w:val="000141F6"/>
    <w:rsid w:val="00014A41"/>
    <w:rsid w:val="000175B6"/>
    <w:rsid w:val="0001799E"/>
    <w:rsid w:val="00021C25"/>
    <w:rsid w:val="000243B4"/>
    <w:rsid w:val="000246D7"/>
    <w:rsid w:val="00027377"/>
    <w:rsid w:val="00030E31"/>
    <w:rsid w:val="00034235"/>
    <w:rsid w:val="0003441E"/>
    <w:rsid w:val="000352C7"/>
    <w:rsid w:val="00036D45"/>
    <w:rsid w:val="00037233"/>
    <w:rsid w:val="00037CCE"/>
    <w:rsid w:val="000403DE"/>
    <w:rsid w:val="0005087C"/>
    <w:rsid w:val="000514D3"/>
    <w:rsid w:val="000518B7"/>
    <w:rsid w:val="00051C10"/>
    <w:rsid w:val="000523B3"/>
    <w:rsid w:val="00052EA0"/>
    <w:rsid w:val="000556AE"/>
    <w:rsid w:val="00056BC2"/>
    <w:rsid w:val="00060F5A"/>
    <w:rsid w:val="00061B1F"/>
    <w:rsid w:val="00062ED3"/>
    <w:rsid w:val="00064CC8"/>
    <w:rsid w:val="00071C77"/>
    <w:rsid w:val="00072223"/>
    <w:rsid w:val="0007245D"/>
    <w:rsid w:val="00072790"/>
    <w:rsid w:val="00072B3D"/>
    <w:rsid w:val="000740B8"/>
    <w:rsid w:val="00075226"/>
    <w:rsid w:val="00077FBA"/>
    <w:rsid w:val="0008183B"/>
    <w:rsid w:val="0008351A"/>
    <w:rsid w:val="0008396B"/>
    <w:rsid w:val="00090CEC"/>
    <w:rsid w:val="0009158E"/>
    <w:rsid w:val="00094004"/>
    <w:rsid w:val="00094BF4"/>
    <w:rsid w:val="00096806"/>
    <w:rsid w:val="00096E03"/>
    <w:rsid w:val="00097F27"/>
    <w:rsid w:val="000A04C0"/>
    <w:rsid w:val="000A0A88"/>
    <w:rsid w:val="000A0BAD"/>
    <w:rsid w:val="000A1D1F"/>
    <w:rsid w:val="000A2F7D"/>
    <w:rsid w:val="000A6A86"/>
    <w:rsid w:val="000A7952"/>
    <w:rsid w:val="000B0566"/>
    <w:rsid w:val="000B0BDD"/>
    <w:rsid w:val="000B50AA"/>
    <w:rsid w:val="000B582B"/>
    <w:rsid w:val="000B6BFA"/>
    <w:rsid w:val="000C011B"/>
    <w:rsid w:val="000C156C"/>
    <w:rsid w:val="000C4591"/>
    <w:rsid w:val="000C52E5"/>
    <w:rsid w:val="000C7E06"/>
    <w:rsid w:val="000D18C0"/>
    <w:rsid w:val="000D261C"/>
    <w:rsid w:val="000D28CC"/>
    <w:rsid w:val="000D394F"/>
    <w:rsid w:val="000D4993"/>
    <w:rsid w:val="000E0797"/>
    <w:rsid w:val="000E7E9D"/>
    <w:rsid w:val="000F0B3A"/>
    <w:rsid w:val="000F0E67"/>
    <w:rsid w:val="000F472C"/>
    <w:rsid w:val="000F60AD"/>
    <w:rsid w:val="001032A8"/>
    <w:rsid w:val="001050C6"/>
    <w:rsid w:val="0010588D"/>
    <w:rsid w:val="00105E67"/>
    <w:rsid w:val="001073E5"/>
    <w:rsid w:val="00107411"/>
    <w:rsid w:val="00110F78"/>
    <w:rsid w:val="00111D9C"/>
    <w:rsid w:val="00112465"/>
    <w:rsid w:val="0011368F"/>
    <w:rsid w:val="00117416"/>
    <w:rsid w:val="001178B2"/>
    <w:rsid w:val="00117E9F"/>
    <w:rsid w:val="00120CE7"/>
    <w:rsid w:val="001215ED"/>
    <w:rsid w:val="00121DB8"/>
    <w:rsid w:val="00122BD7"/>
    <w:rsid w:val="00122D97"/>
    <w:rsid w:val="001237A6"/>
    <w:rsid w:val="00123A95"/>
    <w:rsid w:val="001243A0"/>
    <w:rsid w:val="001262A7"/>
    <w:rsid w:val="00127207"/>
    <w:rsid w:val="00132C64"/>
    <w:rsid w:val="00134BA8"/>
    <w:rsid w:val="001408B7"/>
    <w:rsid w:val="00140D68"/>
    <w:rsid w:val="00144FDB"/>
    <w:rsid w:val="00145269"/>
    <w:rsid w:val="001471FF"/>
    <w:rsid w:val="00150B2F"/>
    <w:rsid w:val="00153AED"/>
    <w:rsid w:val="00153CE6"/>
    <w:rsid w:val="00155145"/>
    <w:rsid w:val="001649BF"/>
    <w:rsid w:val="00165FD4"/>
    <w:rsid w:val="00167216"/>
    <w:rsid w:val="001724ED"/>
    <w:rsid w:val="00180360"/>
    <w:rsid w:val="00181EB6"/>
    <w:rsid w:val="00182644"/>
    <w:rsid w:val="00183A95"/>
    <w:rsid w:val="001861B9"/>
    <w:rsid w:val="001902FC"/>
    <w:rsid w:val="001919F7"/>
    <w:rsid w:val="00192DEE"/>
    <w:rsid w:val="001A11CD"/>
    <w:rsid w:val="001A16D4"/>
    <w:rsid w:val="001A268E"/>
    <w:rsid w:val="001A4EE7"/>
    <w:rsid w:val="001A7C04"/>
    <w:rsid w:val="001B0B26"/>
    <w:rsid w:val="001B33BD"/>
    <w:rsid w:val="001B63D8"/>
    <w:rsid w:val="001B6694"/>
    <w:rsid w:val="001C04F2"/>
    <w:rsid w:val="001C6504"/>
    <w:rsid w:val="001C7B91"/>
    <w:rsid w:val="001D0739"/>
    <w:rsid w:val="001D2675"/>
    <w:rsid w:val="001D38C2"/>
    <w:rsid w:val="001D57E6"/>
    <w:rsid w:val="001D7B13"/>
    <w:rsid w:val="001E2114"/>
    <w:rsid w:val="001E369C"/>
    <w:rsid w:val="001E3E2B"/>
    <w:rsid w:val="001E567F"/>
    <w:rsid w:val="001E7BDE"/>
    <w:rsid w:val="001E7D2D"/>
    <w:rsid w:val="001F412D"/>
    <w:rsid w:val="00201F03"/>
    <w:rsid w:val="002023F2"/>
    <w:rsid w:val="0020244C"/>
    <w:rsid w:val="002228BF"/>
    <w:rsid w:val="00234BAB"/>
    <w:rsid w:val="0023546D"/>
    <w:rsid w:val="002359E9"/>
    <w:rsid w:val="00236E71"/>
    <w:rsid w:val="002379FB"/>
    <w:rsid w:val="00242C59"/>
    <w:rsid w:val="0024454D"/>
    <w:rsid w:val="0024609F"/>
    <w:rsid w:val="00250119"/>
    <w:rsid w:val="002527EB"/>
    <w:rsid w:val="0025426D"/>
    <w:rsid w:val="002572A3"/>
    <w:rsid w:val="0026057E"/>
    <w:rsid w:val="00261AA6"/>
    <w:rsid w:val="00266214"/>
    <w:rsid w:val="00274FCE"/>
    <w:rsid w:val="00277630"/>
    <w:rsid w:val="00281AF2"/>
    <w:rsid w:val="0028299F"/>
    <w:rsid w:val="00284814"/>
    <w:rsid w:val="00286601"/>
    <w:rsid w:val="00290A5C"/>
    <w:rsid w:val="00290E1D"/>
    <w:rsid w:val="00291F58"/>
    <w:rsid w:val="002923EA"/>
    <w:rsid w:val="0029432D"/>
    <w:rsid w:val="0029763D"/>
    <w:rsid w:val="002A0908"/>
    <w:rsid w:val="002A1E85"/>
    <w:rsid w:val="002A21E7"/>
    <w:rsid w:val="002A2459"/>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F06B8"/>
    <w:rsid w:val="002F2C78"/>
    <w:rsid w:val="002F4288"/>
    <w:rsid w:val="003034CE"/>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30931"/>
    <w:rsid w:val="00345ACC"/>
    <w:rsid w:val="003466A1"/>
    <w:rsid w:val="0035095F"/>
    <w:rsid w:val="00351C5C"/>
    <w:rsid w:val="00352CC6"/>
    <w:rsid w:val="00363C38"/>
    <w:rsid w:val="0036589D"/>
    <w:rsid w:val="003671A2"/>
    <w:rsid w:val="00367A2C"/>
    <w:rsid w:val="00370BBF"/>
    <w:rsid w:val="00370E36"/>
    <w:rsid w:val="003713D7"/>
    <w:rsid w:val="00376071"/>
    <w:rsid w:val="003772F0"/>
    <w:rsid w:val="0037775B"/>
    <w:rsid w:val="00377878"/>
    <w:rsid w:val="00380680"/>
    <w:rsid w:val="0038110B"/>
    <w:rsid w:val="003826D1"/>
    <w:rsid w:val="00384BF6"/>
    <w:rsid w:val="003854BD"/>
    <w:rsid w:val="00385B50"/>
    <w:rsid w:val="003872B9"/>
    <w:rsid w:val="0039004F"/>
    <w:rsid w:val="00390698"/>
    <w:rsid w:val="00392220"/>
    <w:rsid w:val="00392669"/>
    <w:rsid w:val="003973AA"/>
    <w:rsid w:val="003A464B"/>
    <w:rsid w:val="003B0EED"/>
    <w:rsid w:val="003B254C"/>
    <w:rsid w:val="003B3D08"/>
    <w:rsid w:val="003B4E95"/>
    <w:rsid w:val="003C1755"/>
    <w:rsid w:val="003C22B2"/>
    <w:rsid w:val="003C2DEB"/>
    <w:rsid w:val="003C7DC4"/>
    <w:rsid w:val="003D0335"/>
    <w:rsid w:val="003D3695"/>
    <w:rsid w:val="003D5D1A"/>
    <w:rsid w:val="003E0EC4"/>
    <w:rsid w:val="003E352F"/>
    <w:rsid w:val="003E3D94"/>
    <w:rsid w:val="003E6168"/>
    <w:rsid w:val="003F19C0"/>
    <w:rsid w:val="003F231B"/>
    <w:rsid w:val="003F2B24"/>
    <w:rsid w:val="003F449C"/>
    <w:rsid w:val="003F7831"/>
    <w:rsid w:val="003F7C66"/>
    <w:rsid w:val="004008C9"/>
    <w:rsid w:val="004023F4"/>
    <w:rsid w:val="004030C8"/>
    <w:rsid w:val="004044F7"/>
    <w:rsid w:val="0040550B"/>
    <w:rsid w:val="004110CF"/>
    <w:rsid w:val="004132E6"/>
    <w:rsid w:val="00414D00"/>
    <w:rsid w:val="00414E09"/>
    <w:rsid w:val="0041672F"/>
    <w:rsid w:val="00416936"/>
    <w:rsid w:val="004216B6"/>
    <w:rsid w:val="00421A24"/>
    <w:rsid w:val="00421AC8"/>
    <w:rsid w:val="00423A9E"/>
    <w:rsid w:val="004417D5"/>
    <w:rsid w:val="00444A4E"/>
    <w:rsid w:val="00450758"/>
    <w:rsid w:val="00453E3D"/>
    <w:rsid w:val="00454540"/>
    <w:rsid w:val="00454B38"/>
    <w:rsid w:val="00455E6A"/>
    <w:rsid w:val="00461D47"/>
    <w:rsid w:val="0046315B"/>
    <w:rsid w:val="004642AB"/>
    <w:rsid w:val="00473B52"/>
    <w:rsid w:val="00490483"/>
    <w:rsid w:val="00490EB1"/>
    <w:rsid w:val="00492416"/>
    <w:rsid w:val="004937FB"/>
    <w:rsid w:val="004956B1"/>
    <w:rsid w:val="00496BF2"/>
    <w:rsid w:val="00497D96"/>
    <w:rsid w:val="004A33F2"/>
    <w:rsid w:val="004A46B7"/>
    <w:rsid w:val="004A7164"/>
    <w:rsid w:val="004B5BC1"/>
    <w:rsid w:val="004C0629"/>
    <w:rsid w:val="004C21C1"/>
    <w:rsid w:val="004C2617"/>
    <w:rsid w:val="004C749A"/>
    <w:rsid w:val="004D1459"/>
    <w:rsid w:val="004D3A58"/>
    <w:rsid w:val="004D4127"/>
    <w:rsid w:val="004D4BD8"/>
    <w:rsid w:val="004D5161"/>
    <w:rsid w:val="004D51B2"/>
    <w:rsid w:val="004D57C1"/>
    <w:rsid w:val="004E6249"/>
    <w:rsid w:val="004E629C"/>
    <w:rsid w:val="004E69F1"/>
    <w:rsid w:val="004F5AA1"/>
    <w:rsid w:val="004F5C26"/>
    <w:rsid w:val="004F5F12"/>
    <w:rsid w:val="004F77EB"/>
    <w:rsid w:val="00501B1F"/>
    <w:rsid w:val="00503FAD"/>
    <w:rsid w:val="00507023"/>
    <w:rsid w:val="00512A0A"/>
    <w:rsid w:val="00516E36"/>
    <w:rsid w:val="00516FA0"/>
    <w:rsid w:val="00520369"/>
    <w:rsid w:val="005211D0"/>
    <w:rsid w:val="00521CCA"/>
    <w:rsid w:val="00525240"/>
    <w:rsid w:val="005267BB"/>
    <w:rsid w:val="0053002C"/>
    <w:rsid w:val="00534DBE"/>
    <w:rsid w:val="005357F0"/>
    <w:rsid w:val="00540B6F"/>
    <w:rsid w:val="0054101C"/>
    <w:rsid w:val="005416D4"/>
    <w:rsid w:val="005416FA"/>
    <w:rsid w:val="00543F8F"/>
    <w:rsid w:val="0054431E"/>
    <w:rsid w:val="00547506"/>
    <w:rsid w:val="005503FB"/>
    <w:rsid w:val="00552345"/>
    <w:rsid w:val="0055261B"/>
    <w:rsid w:val="00553FA1"/>
    <w:rsid w:val="005551E8"/>
    <w:rsid w:val="0056629C"/>
    <w:rsid w:val="00570B90"/>
    <w:rsid w:val="00570C5A"/>
    <w:rsid w:val="005814A1"/>
    <w:rsid w:val="00585105"/>
    <w:rsid w:val="00590FAA"/>
    <w:rsid w:val="00591B1A"/>
    <w:rsid w:val="0059252D"/>
    <w:rsid w:val="005A0A72"/>
    <w:rsid w:val="005A0D32"/>
    <w:rsid w:val="005A3BB6"/>
    <w:rsid w:val="005A4C6D"/>
    <w:rsid w:val="005A635F"/>
    <w:rsid w:val="005A70E8"/>
    <w:rsid w:val="005B3347"/>
    <w:rsid w:val="005B4FC8"/>
    <w:rsid w:val="005C0053"/>
    <w:rsid w:val="005C0EE2"/>
    <w:rsid w:val="005C2371"/>
    <w:rsid w:val="005C432F"/>
    <w:rsid w:val="005C6364"/>
    <w:rsid w:val="005D2B6B"/>
    <w:rsid w:val="005E19F0"/>
    <w:rsid w:val="005E295C"/>
    <w:rsid w:val="005E5BCB"/>
    <w:rsid w:val="005F120B"/>
    <w:rsid w:val="005F16CC"/>
    <w:rsid w:val="005F43EC"/>
    <w:rsid w:val="005F64A3"/>
    <w:rsid w:val="005F6D42"/>
    <w:rsid w:val="005F77CA"/>
    <w:rsid w:val="00602082"/>
    <w:rsid w:val="006026DE"/>
    <w:rsid w:val="006065F6"/>
    <w:rsid w:val="0061220A"/>
    <w:rsid w:val="00612ABE"/>
    <w:rsid w:val="00626E71"/>
    <w:rsid w:val="00627080"/>
    <w:rsid w:val="006308A5"/>
    <w:rsid w:val="00631D06"/>
    <w:rsid w:val="00632023"/>
    <w:rsid w:val="006320B8"/>
    <w:rsid w:val="006378C1"/>
    <w:rsid w:val="006423D5"/>
    <w:rsid w:val="00642C40"/>
    <w:rsid w:val="0064767E"/>
    <w:rsid w:val="00647A70"/>
    <w:rsid w:val="00647AC9"/>
    <w:rsid w:val="0065074A"/>
    <w:rsid w:val="00653F0D"/>
    <w:rsid w:val="006548AC"/>
    <w:rsid w:val="00654DD5"/>
    <w:rsid w:val="006557AD"/>
    <w:rsid w:val="00656604"/>
    <w:rsid w:val="0066243E"/>
    <w:rsid w:val="00662E72"/>
    <w:rsid w:val="006658EA"/>
    <w:rsid w:val="00666707"/>
    <w:rsid w:val="006670AD"/>
    <w:rsid w:val="00671E18"/>
    <w:rsid w:val="006728EA"/>
    <w:rsid w:val="00673782"/>
    <w:rsid w:val="00675258"/>
    <w:rsid w:val="0067612D"/>
    <w:rsid w:val="00676662"/>
    <w:rsid w:val="00680663"/>
    <w:rsid w:val="00680AEF"/>
    <w:rsid w:val="0068137A"/>
    <w:rsid w:val="0068568B"/>
    <w:rsid w:val="00685F5A"/>
    <w:rsid w:val="006872FD"/>
    <w:rsid w:val="0068756E"/>
    <w:rsid w:val="0069089A"/>
    <w:rsid w:val="006909B9"/>
    <w:rsid w:val="0069285A"/>
    <w:rsid w:val="00696759"/>
    <w:rsid w:val="00697EEA"/>
    <w:rsid w:val="006A27EB"/>
    <w:rsid w:val="006A39DB"/>
    <w:rsid w:val="006A601C"/>
    <w:rsid w:val="006A764C"/>
    <w:rsid w:val="006A767F"/>
    <w:rsid w:val="006B177B"/>
    <w:rsid w:val="006B5446"/>
    <w:rsid w:val="006B7235"/>
    <w:rsid w:val="006C0C79"/>
    <w:rsid w:val="006C2452"/>
    <w:rsid w:val="006C352A"/>
    <w:rsid w:val="006C5F89"/>
    <w:rsid w:val="006C7481"/>
    <w:rsid w:val="006D0175"/>
    <w:rsid w:val="006D0667"/>
    <w:rsid w:val="006D3D22"/>
    <w:rsid w:val="006E3106"/>
    <w:rsid w:val="006E3F62"/>
    <w:rsid w:val="006E4F22"/>
    <w:rsid w:val="006E6EFB"/>
    <w:rsid w:val="006E7141"/>
    <w:rsid w:val="006F02B4"/>
    <w:rsid w:val="006F0597"/>
    <w:rsid w:val="006F50E4"/>
    <w:rsid w:val="006F6EA6"/>
    <w:rsid w:val="006F7414"/>
    <w:rsid w:val="006F7952"/>
    <w:rsid w:val="00700B80"/>
    <w:rsid w:val="007016D6"/>
    <w:rsid w:val="00702EBA"/>
    <w:rsid w:val="00705675"/>
    <w:rsid w:val="00705EED"/>
    <w:rsid w:val="007101E0"/>
    <w:rsid w:val="00712A0B"/>
    <w:rsid w:val="00715456"/>
    <w:rsid w:val="0071625D"/>
    <w:rsid w:val="00717BA9"/>
    <w:rsid w:val="00717DA5"/>
    <w:rsid w:val="00721223"/>
    <w:rsid w:val="00724403"/>
    <w:rsid w:val="007262A8"/>
    <w:rsid w:val="00726D1D"/>
    <w:rsid w:val="00730EE6"/>
    <w:rsid w:val="00735501"/>
    <w:rsid w:val="00740A2F"/>
    <w:rsid w:val="0075127E"/>
    <w:rsid w:val="007513A7"/>
    <w:rsid w:val="00751480"/>
    <w:rsid w:val="00752CD1"/>
    <w:rsid w:val="0075340E"/>
    <w:rsid w:val="007540E4"/>
    <w:rsid w:val="00754F36"/>
    <w:rsid w:val="007560BF"/>
    <w:rsid w:val="007570B7"/>
    <w:rsid w:val="007571C9"/>
    <w:rsid w:val="00757DEB"/>
    <w:rsid w:val="007639DD"/>
    <w:rsid w:val="00764320"/>
    <w:rsid w:val="0076642E"/>
    <w:rsid w:val="00767EFE"/>
    <w:rsid w:val="00770A0A"/>
    <w:rsid w:val="007712B8"/>
    <w:rsid w:val="007715F6"/>
    <w:rsid w:val="007719E0"/>
    <w:rsid w:val="00772D64"/>
    <w:rsid w:val="00773D82"/>
    <w:rsid w:val="0077555F"/>
    <w:rsid w:val="00775C91"/>
    <w:rsid w:val="00776951"/>
    <w:rsid w:val="00780C5B"/>
    <w:rsid w:val="00783451"/>
    <w:rsid w:val="00783E48"/>
    <w:rsid w:val="0078491B"/>
    <w:rsid w:val="00786497"/>
    <w:rsid w:val="00791666"/>
    <w:rsid w:val="00793530"/>
    <w:rsid w:val="00795F4E"/>
    <w:rsid w:val="007970BD"/>
    <w:rsid w:val="007A0A96"/>
    <w:rsid w:val="007A2038"/>
    <w:rsid w:val="007A4A3A"/>
    <w:rsid w:val="007A6EF2"/>
    <w:rsid w:val="007B038E"/>
    <w:rsid w:val="007B0CFC"/>
    <w:rsid w:val="007B1777"/>
    <w:rsid w:val="007B4D7C"/>
    <w:rsid w:val="007B560F"/>
    <w:rsid w:val="007B5FB7"/>
    <w:rsid w:val="007B6E0E"/>
    <w:rsid w:val="007C6002"/>
    <w:rsid w:val="007C7BFC"/>
    <w:rsid w:val="007C7CBC"/>
    <w:rsid w:val="007D2E1D"/>
    <w:rsid w:val="007D4EB4"/>
    <w:rsid w:val="007D5868"/>
    <w:rsid w:val="007D58FF"/>
    <w:rsid w:val="007D5C21"/>
    <w:rsid w:val="007D610F"/>
    <w:rsid w:val="007D64B2"/>
    <w:rsid w:val="007D6D58"/>
    <w:rsid w:val="007D7265"/>
    <w:rsid w:val="007D7BDB"/>
    <w:rsid w:val="007E2A9E"/>
    <w:rsid w:val="007E45B9"/>
    <w:rsid w:val="007E5548"/>
    <w:rsid w:val="007F07FA"/>
    <w:rsid w:val="007F77C7"/>
    <w:rsid w:val="007F7D99"/>
    <w:rsid w:val="00802C18"/>
    <w:rsid w:val="00806E5E"/>
    <w:rsid w:val="008079EB"/>
    <w:rsid w:val="00807CC4"/>
    <w:rsid w:val="008108A4"/>
    <w:rsid w:val="00815525"/>
    <w:rsid w:val="00815E39"/>
    <w:rsid w:val="00816B68"/>
    <w:rsid w:val="00821EFD"/>
    <w:rsid w:val="00822E8B"/>
    <w:rsid w:val="00823E77"/>
    <w:rsid w:val="00827831"/>
    <w:rsid w:val="00827890"/>
    <w:rsid w:val="0083164D"/>
    <w:rsid w:val="008318C0"/>
    <w:rsid w:val="00832F16"/>
    <w:rsid w:val="008344E1"/>
    <w:rsid w:val="00836B86"/>
    <w:rsid w:val="00837091"/>
    <w:rsid w:val="008403F9"/>
    <w:rsid w:val="008409EE"/>
    <w:rsid w:val="0084516F"/>
    <w:rsid w:val="008465E3"/>
    <w:rsid w:val="00846824"/>
    <w:rsid w:val="00846A31"/>
    <w:rsid w:val="00846BBB"/>
    <w:rsid w:val="00851A19"/>
    <w:rsid w:val="0085377B"/>
    <w:rsid w:val="00855DF8"/>
    <w:rsid w:val="008602E5"/>
    <w:rsid w:val="0086235F"/>
    <w:rsid w:val="00863FFA"/>
    <w:rsid w:val="00864349"/>
    <w:rsid w:val="00865690"/>
    <w:rsid w:val="0087013A"/>
    <w:rsid w:val="00872610"/>
    <w:rsid w:val="0087328A"/>
    <w:rsid w:val="00880B9B"/>
    <w:rsid w:val="008819C7"/>
    <w:rsid w:val="008854E1"/>
    <w:rsid w:val="00887597"/>
    <w:rsid w:val="00890872"/>
    <w:rsid w:val="00893B51"/>
    <w:rsid w:val="00894014"/>
    <w:rsid w:val="00894C03"/>
    <w:rsid w:val="00894FD9"/>
    <w:rsid w:val="00895FBF"/>
    <w:rsid w:val="008A0693"/>
    <w:rsid w:val="008A114B"/>
    <w:rsid w:val="008A31B9"/>
    <w:rsid w:val="008A50AC"/>
    <w:rsid w:val="008B1010"/>
    <w:rsid w:val="008B6096"/>
    <w:rsid w:val="008B6379"/>
    <w:rsid w:val="008B659B"/>
    <w:rsid w:val="008B68D8"/>
    <w:rsid w:val="008C2525"/>
    <w:rsid w:val="008C269A"/>
    <w:rsid w:val="008C2BE7"/>
    <w:rsid w:val="008C411C"/>
    <w:rsid w:val="008C6003"/>
    <w:rsid w:val="008D0437"/>
    <w:rsid w:val="008D1E2A"/>
    <w:rsid w:val="008D2A3B"/>
    <w:rsid w:val="008D3722"/>
    <w:rsid w:val="008D3F9F"/>
    <w:rsid w:val="008D41D3"/>
    <w:rsid w:val="008E1246"/>
    <w:rsid w:val="008E258A"/>
    <w:rsid w:val="008E53F9"/>
    <w:rsid w:val="008E7EAE"/>
    <w:rsid w:val="008F1247"/>
    <w:rsid w:val="008F254C"/>
    <w:rsid w:val="008F2A0D"/>
    <w:rsid w:val="008F3853"/>
    <w:rsid w:val="008F38AF"/>
    <w:rsid w:val="008F5E19"/>
    <w:rsid w:val="008F6FA3"/>
    <w:rsid w:val="009018B3"/>
    <w:rsid w:val="0090233C"/>
    <w:rsid w:val="009035B3"/>
    <w:rsid w:val="00905839"/>
    <w:rsid w:val="00907431"/>
    <w:rsid w:val="0091012C"/>
    <w:rsid w:val="009121A3"/>
    <w:rsid w:val="009147A4"/>
    <w:rsid w:val="00915485"/>
    <w:rsid w:val="00917355"/>
    <w:rsid w:val="009217FA"/>
    <w:rsid w:val="009248FC"/>
    <w:rsid w:val="00925230"/>
    <w:rsid w:val="0092585C"/>
    <w:rsid w:val="00926676"/>
    <w:rsid w:val="0093403E"/>
    <w:rsid w:val="009364CF"/>
    <w:rsid w:val="009379FF"/>
    <w:rsid w:val="0094146B"/>
    <w:rsid w:val="0094201C"/>
    <w:rsid w:val="00944105"/>
    <w:rsid w:val="009443DF"/>
    <w:rsid w:val="0094474D"/>
    <w:rsid w:val="00946CAF"/>
    <w:rsid w:val="009500FF"/>
    <w:rsid w:val="00950B69"/>
    <w:rsid w:val="009511AB"/>
    <w:rsid w:val="00951219"/>
    <w:rsid w:val="0095172F"/>
    <w:rsid w:val="00952677"/>
    <w:rsid w:val="00952E2E"/>
    <w:rsid w:val="0096104E"/>
    <w:rsid w:val="009613B3"/>
    <w:rsid w:val="009618DB"/>
    <w:rsid w:val="00962C7D"/>
    <w:rsid w:val="00963F27"/>
    <w:rsid w:val="00964DFB"/>
    <w:rsid w:val="00965E96"/>
    <w:rsid w:val="00966327"/>
    <w:rsid w:val="00966E5B"/>
    <w:rsid w:val="00970DEA"/>
    <w:rsid w:val="00971325"/>
    <w:rsid w:val="009725D8"/>
    <w:rsid w:val="00977951"/>
    <w:rsid w:val="00982626"/>
    <w:rsid w:val="009872DB"/>
    <w:rsid w:val="009878AB"/>
    <w:rsid w:val="009903DE"/>
    <w:rsid w:val="00995C7B"/>
    <w:rsid w:val="009971B8"/>
    <w:rsid w:val="0099791D"/>
    <w:rsid w:val="009A248F"/>
    <w:rsid w:val="009A298F"/>
    <w:rsid w:val="009A3D12"/>
    <w:rsid w:val="009A501D"/>
    <w:rsid w:val="009A5678"/>
    <w:rsid w:val="009A5DBB"/>
    <w:rsid w:val="009A68F5"/>
    <w:rsid w:val="009B06A5"/>
    <w:rsid w:val="009B58AF"/>
    <w:rsid w:val="009C1154"/>
    <w:rsid w:val="009C37CA"/>
    <w:rsid w:val="009C3BA2"/>
    <w:rsid w:val="009C5CE9"/>
    <w:rsid w:val="009C63C3"/>
    <w:rsid w:val="009C746B"/>
    <w:rsid w:val="009D10AD"/>
    <w:rsid w:val="009D6AF5"/>
    <w:rsid w:val="009D6D5B"/>
    <w:rsid w:val="009E01C8"/>
    <w:rsid w:val="009E0372"/>
    <w:rsid w:val="009E19A0"/>
    <w:rsid w:val="009E313A"/>
    <w:rsid w:val="009E5646"/>
    <w:rsid w:val="009E6146"/>
    <w:rsid w:val="009E63B9"/>
    <w:rsid w:val="009F170B"/>
    <w:rsid w:val="009F496E"/>
    <w:rsid w:val="009F4C9A"/>
    <w:rsid w:val="009F6780"/>
    <w:rsid w:val="00A0119E"/>
    <w:rsid w:val="00A022D3"/>
    <w:rsid w:val="00A06B09"/>
    <w:rsid w:val="00A10B6D"/>
    <w:rsid w:val="00A1129D"/>
    <w:rsid w:val="00A12819"/>
    <w:rsid w:val="00A1335D"/>
    <w:rsid w:val="00A1339A"/>
    <w:rsid w:val="00A1574E"/>
    <w:rsid w:val="00A16AA7"/>
    <w:rsid w:val="00A17799"/>
    <w:rsid w:val="00A2013E"/>
    <w:rsid w:val="00A23726"/>
    <w:rsid w:val="00A25B6F"/>
    <w:rsid w:val="00A2615C"/>
    <w:rsid w:val="00A27C24"/>
    <w:rsid w:val="00A301C6"/>
    <w:rsid w:val="00A31667"/>
    <w:rsid w:val="00A31F75"/>
    <w:rsid w:val="00A32061"/>
    <w:rsid w:val="00A3316D"/>
    <w:rsid w:val="00A35765"/>
    <w:rsid w:val="00A36E25"/>
    <w:rsid w:val="00A36F54"/>
    <w:rsid w:val="00A37352"/>
    <w:rsid w:val="00A37E17"/>
    <w:rsid w:val="00A420B4"/>
    <w:rsid w:val="00A44395"/>
    <w:rsid w:val="00A4562E"/>
    <w:rsid w:val="00A5327E"/>
    <w:rsid w:val="00A56FA5"/>
    <w:rsid w:val="00A60A57"/>
    <w:rsid w:val="00A61713"/>
    <w:rsid w:val="00A6408C"/>
    <w:rsid w:val="00A7094C"/>
    <w:rsid w:val="00A70B4C"/>
    <w:rsid w:val="00A71E38"/>
    <w:rsid w:val="00A72ADA"/>
    <w:rsid w:val="00A7726D"/>
    <w:rsid w:val="00A77E4A"/>
    <w:rsid w:val="00A77EF5"/>
    <w:rsid w:val="00A8604E"/>
    <w:rsid w:val="00A861B6"/>
    <w:rsid w:val="00A86A02"/>
    <w:rsid w:val="00A906C8"/>
    <w:rsid w:val="00A93303"/>
    <w:rsid w:val="00A96C4B"/>
    <w:rsid w:val="00AA09CA"/>
    <w:rsid w:val="00AA408C"/>
    <w:rsid w:val="00AA5D51"/>
    <w:rsid w:val="00AA6189"/>
    <w:rsid w:val="00AA660C"/>
    <w:rsid w:val="00AA75E6"/>
    <w:rsid w:val="00AB1127"/>
    <w:rsid w:val="00AB2105"/>
    <w:rsid w:val="00AB41E1"/>
    <w:rsid w:val="00AC5310"/>
    <w:rsid w:val="00AC5977"/>
    <w:rsid w:val="00AD00F2"/>
    <w:rsid w:val="00AD2E49"/>
    <w:rsid w:val="00AD2FF1"/>
    <w:rsid w:val="00AD4A08"/>
    <w:rsid w:val="00AD6BF9"/>
    <w:rsid w:val="00AE18E6"/>
    <w:rsid w:val="00AE1F28"/>
    <w:rsid w:val="00AE5199"/>
    <w:rsid w:val="00AE5F10"/>
    <w:rsid w:val="00AF54C6"/>
    <w:rsid w:val="00AF76D2"/>
    <w:rsid w:val="00B0162A"/>
    <w:rsid w:val="00B018A0"/>
    <w:rsid w:val="00B02E10"/>
    <w:rsid w:val="00B04827"/>
    <w:rsid w:val="00B0526D"/>
    <w:rsid w:val="00B05956"/>
    <w:rsid w:val="00B06C4F"/>
    <w:rsid w:val="00B0755F"/>
    <w:rsid w:val="00B10081"/>
    <w:rsid w:val="00B1357E"/>
    <w:rsid w:val="00B13683"/>
    <w:rsid w:val="00B14099"/>
    <w:rsid w:val="00B204D2"/>
    <w:rsid w:val="00B21170"/>
    <w:rsid w:val="00B22954"/>
    <w:rsid w:val="00B25536"/>
    <w:rsid w:val="00B25CE7"/>
    <w:rsid w:val="00B302DC"/>
    <w:rsid w:val="00B30EB5"/>
    <w:rsid w:val="00B32191"/>
    <w:rsid w:val="00B33E98"/>
    <w:rsid w:val="00B348EB"/>
    <w:rsid w:val="00B37B36"/>
    <w:rsid w:val="00B37BCF"/>
    <w:rsid w:val="00B41925"/>
    <w:rsid w:val="00B41E9C"/>
    <w:rsid w:val="00B42AB8"/>
    <w:rsid w:val="00B46782"/>
    <w:rsid w:val="00B5326F"/>
    <w:rsid w:val="00B560A1"/>
    <w:rsid w:val="00B563AD"/>
    <w:rsid w:val="00B572D0"/>
    <w:rsid w:val="00B6069C"/>
    <w:rsid w:val="00B6125A"/>
    <w:rsid w:val="00B659BB"/>
    <w:rsid w:val="00B65B90"/>
    <w:rsid w:val="00B673F4"/>
    <w:rsid w:val="00B71718"/>
    <w:rsid w:val="00B722EA"/>
    <w:rsid w:val="00B74038"/>
    <w:rsid w:val="00B74D61"/>
    <w:rsid w:val="00B76C9B"/>
    <w:rsid w:val="00B76E20"/>
    <w:rsid w:val="00B777DE"/>
    <w:rsid w:val="00B80F43"/>
    <w:rsid w:val="00B8140B"/>
    <w:rsid w:val="00B82721"/>
    <w:rsid w:val="00B82C8D"/>
    <w:rsid w:val="00B82F9F"/>
    <w:rsid w:val="00B85368"/>
    <w:rsid w:val="00B93DEB"/>
    <w:rsid w:val="00B950DF"/>
    <w:rsid w:val="00B958F4"/>
    <w:rsid w:val="00B95A28"/>
    <w:rsid w:val="00BA25BE"/>
    <w:rsid w:val="00BB0E10"/>
    <w:rsid w:val="00BB2867"/>
    <w:rsid w:val="00BB6E19"/>
    <w:rsid w:val="00BC0A36"/>
    <w:rsid w:val="00BC0EDC"/>
    <w:rsid w:val="00BC247B"/>
    <w:rsid w:val="00BC541F"/>
    <w:rsid w:val="00BC6085"/>
    <w:rsid w:val="00BD1039"/>
    <w:rsid w:val="00BD2D6B"/>
    <w:rsid w:val="00BD3681"/>
    <w:rsid w:val="00BD3F1F"/>
    <w:rsid w:val="00BD454B"/>
    <w:rsid w:val="00BE69B4"/>
    <w:rsid w:val="00BE6BF6"/>
    <w:rsid w:val="00BE6E81"/>
    <w:rsid w:val="00BE74CE"/>
    <w:rsid w:val="00BF2384"/>
    <w:rsid w:val="00BF4B00"/>
    <w:rsid w:val="00BF6056"/>
    <w:rsid w:val="00BF70B8"/>
    <w:rsid w:val="00C01639"/>
    <w:rsid w:val="00C03706"/>
    <w:rsid w:val="00C0374B"/>
    <w:rsid w:val="00C03BB4"/>
    <w:rsid w:val="00C04B7B"/>
    <w:rsid w:val="00C056BB"/>
    <w:rsid w:val="00C0710A"/>
    <w:rsid w:val="00C07C25"/>
    <w:rsid w:val="00C11711"/>
    <w:rsid w:val="00C1524B"/>
    <w:rsid w:val="00C23CE7"/>
    <w:rsid w:val="00C25C2B"/>
    <w:rsid w:val="00C276A7"/>
    <w:rsid w:val="00C27749"/>
    <w:rsid w:val="00C30B81"/>
    <w:rsid w:val="00C30FA1"/>
    <w:rsid w:val="00C32559"/>
    <w:rsid w:val="00C33EF4"/>
    <w:rsid w:val="00C34D1C"/>
    <w:rsid w:val="00C34EB0"/>
    <w:rsid w:val="00C3661B"/>
    <w:rsid w:val="00C36B4E"/>
    <w:rsid w:val="00C4016E"/>
    <w:rsid w:val="00C51A6C"/>
    <w:rsid w:val="00C53932"/>
    <w:rsid w:val="00C53A4A"/>
    <w:rsid w:val="00C54448"/>
    <w:rsid w:val="00C63AC3"/>
    <w:rsid w:val="00C640C6"/>
    <w:rsid w:val="00C6592B"/>
    <w:rsid w:val="00C6699D"/>
    <w:rsid w:val="00C6761E"/>
    <w:rsid w:val="00C67D92"/>
    <w:rsid w:val="00C70E74"/>
    <w:rsid w:val="00C737F6"/>
    <w:rsid w:val="00C74732"/>
    <w:rsid w:val="00C74A2E"/>
    <w:rsid w:val="00C75E07"/>
    <w:rsid w:val="00C7624C"/>
    <w:rsid w:val="00C76867"/>
    <w:rsid w:val="00C76A2E"/>
    <w:rsid w:val="00C77B1C"/>
    <w:rsid w:val="00C80668"/>
    <w:rsid w:val="00C81502"/>
    <w:rsid w:val="00C839FA"/>
    <w:rsid w:val="00C8763F"/>
    <w:rsid w:val="00C905A4"/>
    <w:rsid w:val="00C91820"/>
    <w:rsid w:val="00C9549E"/>
    <w:rsid w:val="00C956B1"/>
    <w:rsid w:val="00C9618B"/>
    <w:rsid w:val="00C9791A"/>
    <w:rsid w:val="00CA06D6"/>
    <w:rsid w:val="00CA07B5"/>
    <w:rsid w:val="00CA51D8"/>
    <w:rsid w:val="00CA7F71"/>
    <w:rsid w:val="00CB09F6"/>
    <w:rsid w:val="00CB181D"/>
    <w:rsid w:val="00CB1CD9"/>
    <w:rsid w:val="00CB35E6"/>
    <w:rsid w:val="00CB466B"/>
    <w:rsid w:val="00CB4B67"/>
    <w:rsid w:val="00CB5AF7"/>
    <w:rsid w:val="00CB66A1"/>
    <w:rsid w:val="00CC0110"/>
    <w:rsid w:val="00CC18DF"/>
    <w:rsid w:val="00CC2FA2"/>
    <w:rsid w:val="00CC42AC"/>
    <w:rsid w:val="00CC4516"/>
    <w:rsid w:val="00CC6032"/>
    <w:rsid w:val="00CD3CBF"/>
    <w:rsid w:val="00CD3DE4"/>
    <w:rsid w:val="00CD7AFB"/>
    <w:rsid w:val="00CE0807"/>
    <w:rsid w:val="00CE448D"/>
    <w:rsid w:val="00CE7A61"/>
    <w:rsid w:val="00CE7D79"/>
    <w:rsid w:val="00CF0E3B"/>
    <w:rsid w:val="00CF2815"/>
    <w:rsid w:val="00CF6E09"/>
    <w:rsid w:val="00CF77E0"/>
    <w:rsid w:val="00D0028F"/>
    <w:rsid w:val="00D0518C"/>
    <w:rsid w:val="00D06718"/>
    <w:rsid w:val="00D10FD7"/>
    <w:rsid w:val="00D174F9"/>
    <w:rsid w:val="00D2197A"/>
    <w:rsid w:val="00D222B2"/>
    <w:rsid w:val="00D23120"/>
    <w:rsid w:val="00D238EE"/>
    <w:rsid w:val="00D26E08"/>
    <w:rsid w:val="00D27B26"/>
    <w:rsid w:val="00D30A36"/>
    <w:rsid w:val="00D312B2"/>
    <w:rsid w:val="00D3184A"/>
    <w:rsid w:val="00D344B3"/>
    <w:rsid w:val="00D3485D"/>
    <w:rsid w:val="00D359F6"/>
    <w:rsid w:val="00D3706A"/>
    <w:rsid w:val="00D37995"/>
    <w:rsid w:val="00D4311A"/>
    <w:rsid w:val="00D43DE9"/>
    <w:rsid w:val="00D547DC"/>
    <w:rsid w:val="00D55190"/>
    <w:rsid w:val="00D56AEA"/>
    <w:rsid w:val="00D60085"/>
    <w:rsid w:val="00D60C6A"/>
    <w:rsid w:val="00D62941"/>
    <w:rsid w:val="00D6306E"/>
    <w:rsid w:val="00D65C74"/>
    <w:rsid w:val="00D65DE5"/>
    <w:rsid w:val="00D67E2D"/>
    <w:rsid w:val="00D73F77"/>
    <w:rsid w:val="00D7670A"/>
    <w:rsid w:val="00D813E5"/>
    <w:rsid w:val="00D82056"/>
    <w:rsid w:val="00D87496"/>
    <w:rsid w:val="00D90D1E"/>
    <w:rsid w:val="00D93B24"/>
    <w:rsid w:val="00D966C9"/>
    <w:rsid w:val="00D96BE0"/>
    <w:rsid w:val="00DA0594"/>
    <w:rsid w:val="00DA15E2"/>
    <w:rsid w:val="00DA21FB"/>
    <w:rsid w:val="00DA31EC"/>
    <w:rsid w:val="00DA3B81"/>
    <w:rsid w:val="00DA5A85"/>
    <w:rsid w:val="00DA6808"/>
    <w:rsid w:val="00DB01BF"/>
    <w:rsid w:val="00DB04A7"/>
    <w:rsid w:val="00DB0F4C"/>
    <w:rsid w:val="00DB0F75"/>
    <w:rsid w:val="00DB1E47"/>
    <w:rsid w:val="00DB23B4"/>
    <w:rsid w:val="00DB2A92"/>
    <w:rsid w:val="00DB3CB7"/>
    <w:rsid w:val="00DB3F66"/>
    <w:rsid w:val="00DB7E76"/>
    <w:rsid w:val="00DC25C4"/>
    <w:rsid w:val="00DC2865"/>
    <w:rsid w:val="00DC6537"/>
    <w:rsid w:val="00DD0BC6"/>
    <w:rsid w:val="00DD151D"/>
    <w:rsid w:val="00DD164F"/>
    <w:rsid w:val="00DD433A"/>
    <w:rsid w:val="00DD517A"/>
    <w:rsid w:val="00DD56D5"/>
    <w:rsid w:val="00DD5D55"/>
    <w:rsid w:val="00DD7A21"/>
    <w:rsid w:val="00DD7C85"/>
    <w:rsid w:val="00DE02EF"/>
    <w:rsid w:val="00DE15D1"/>
    <w:rsid w:val="00DE1E00"/>
    <w:rsid w:val="00DE2A7B"/>
    <w:rsid w:val="00DE34F1"/>
    <w:rsid w:val="00DE3808"/>
    <w:rsid w:val="00DE5380"/>
    <w:rsid w:val="00DE56DF"/>
    <w:rsid w:val="00DF186F"/>
    <w:rsid w:val="00DF1C26"/>
    <w:rsid w:val="00DF42F7"/>
    <w:rsid w:val="00DF7968"/>
    <w:rsid w:val="00E075CA"/>
    <w:rsid w:val="00E12BCD"/>
    <w:rsid w:val="00E159F7"/>
    <w:rsid w:val="00E20E5A"/>
    <w:rsid w:val="00E21A0D"/>
    <w:rsid w:val="00E22362"/>
    <w:rsid w:val="00E223ED"/>
    <w:rsid w:val="00E26769"/>
    <w:rsid w:val="00E274A5"/>
    <w:rsid w:val="00E30E70"/>
    <w:rsid w:val="00E32899"/>
    <w:rsid w:val="00E403D2"/>
    <w:rsid w:val="00E41B13"/>
    <w:rsid w:val="00E4348E"/>
    <w:rsid w:val="00E4569B"/>
    <w:rsid w:val="00E46B93"/>
    <w:rsid w:val="00E47528"/>
    <w:rsid w:val="00E47DFE"/>
    <w:rsid w:val="00E50616"/>
    <w:rsid w:val="00E507A9"/>
    <w:rsid w:val="00E52228"/>
    <w:rsid w:val="00E537F6"/>
    <w:rsid w:val="00E55917"/>
    <w:rsid w:val="00E56964"/>
    <w:rsid w:val="00E57FF3"/>
    <w:rsid w:val="00E632F3"/>
    <w:rsid w:val="00E641A0"/>
    <w:rsid w:val="00E659CF"/>
    <w:rsid w:val="00E66D58"/>
    <w:rsid w:val="00E731B9"/>
    <w:rsid w:val="00E76DB4"/>
    <w:rsid w:val="00E803F1"/>
    <w:rsid w:val="00E8051E"/>
    <w:rsid w:val="00E80555"/>
    <w:rsid w:val="00E80DD4"/>
    <w:rsid w:val="00E83BF7"/>
    <w:rsid w:val="00E867D7"/>
    <w:rsid w:val="00E879F0"/>
    <w:rsid w:val="00E9016E"/>
    <w:rsid w:val="00E91619"/>
    <w:rsid w:val="00E9213F"/>
    <w:rsid w:val="00E967CD"/>
    <w:rsid w:val="00E96C70"/>
    <w:rsid w:val="00EA21BC"/>
    <w:rsid w:val="00EA35CE"/>
    <w:rsid w:val="00EA3811"/>
    <w:rsid w:val="00EA3CAF"/>
    <w:rsid w:val="00EA55D7"/>
    <w:rsid w:val="00EA67F1"/>
    <w:rsid w:val="00EB043D"/>
    <w:rsid w:val="00EB5195"/>
    <w:rsid w:val="00EB5D94"/>
    <w:rsid w:val="00EB7D7D"/>
    <w:rsid w:val="00EC0B24"/>
    <w:rsid w:val="00EC2852"/>
    <w:rsid w:val="00EC2D59"/>
    <w:rsid w:val="00EC3248"/>
    <w:rsid w:val="00EC398D"/>
    <w:rsid w:val="00EC66DD"/>
    <w:rsid w:val="00EC6CA9"/>
    <w:rsid w:val="00EC7450"/>
    <w:rsid w:val="00ED2F68"/>
    <w:rsid w:val="00ED3BC1"/>
    <w:rsid w:val="00ED3E86"/>
    <w:rsid w:val="00ED4D69"/>
    <w:rsid w:val="00ED5FA3"/>
    <w:rsid w:val="00EE04B8"/>
    <w:rsid w:val="00EE42A3"/>
    <w:rsid w:val="00EE69A5"/>
    <w:rsid w:val="00EF0045"/>
    <w:rsid w:val="00EF130A"/>
    <w:rsid w:val="00EF17B6"/>
    <w:rsid w:val="00EF22E3"/>
    <w:rsid w:val="00EF495D"/>
    <w:rsid w:val="00EF4C3C"/>
    <w:rsid w:val="00EF6688"/>
    <w:rsid w:val="00F02E91"/>
    <w:rsid w:val="00F03058"/>
    <w:rsid w:val="00F03927"/>
    <w:rsid w:val="00F04AC1"/>
    <w:rsid w:val="00F20B9E"/>
    <w:rsid w:val="00F219FF"/>
    <w:rsid w:val="00F23178"/>
    <w:rsid w:val="00F23671"/>
    <w:rsid w:val="00F240BF"/>
    <w:rsid w:val="00F244AE"/>
    <w:rsid w:val="00F25130"/>
    <w:rsid w:val="00F33EA5"/>
    <w:rsid w:val="00F400F6"/>
    <w:rsid w:val="00F41AEA"/>
    <w:rsid w:val="00F42C83"/>
    <w:rsid w:val="00F45580"/>
    <w:rsid w:val="00F47CDF"/>
    <w:rsid w:val="00F50729"/>
    <w:rsid w:val="00F5572D"/>
    <w:rsid w:val="00F56531"/>
    <w:rsid w:val="00F60914"/>
    <w:rsid w:val="00F611D2"/>
    <w:rsid w:val="00F615E4"/>
    <w:rsid w:val="00F64A84"/>
    <w:rsid w:val="00F6683C"/>
    <w:rsid w:val="00F67ACB"/>
    <w:rsid w:val="00F73635"/>
    <w:rsid w:val="00F81726"/>
    <w:rsid w:val="00F81C60"/>
    <w:rsid w:val="00F8328F"/>
    <w:rsid w:val="00F90655"/>
    <w:rsid w:val="00FA03F9"/>
    <w:rsid w:val="00FA0C5C"/>
    <w:rsid w:val="00FA20B7"/>
    <w:rsid w:val="00FA2CAE"/>
    <w:rsid w:val="00FA6039"/>
    <w:rsid w:val="00FA639C"/>
    <w:rsid w:val="00FB2B3C"/>
    <w:rsid w:val="00FB2C5D"/>
    <w:rsid w:val="00FB3DE3"/>
    <w:rsid w:val="00FB63F2"/>
    <w:rsid w:val="00FB6571"/>
    <w:rsid w:val="00FB7F91"/>
    <w:rsid w:val="00FC27FC"/>
    <w:rsid w:val="00FC3E65"/>
    <w:rsid w:val="00FC554B"/>
    <w:rsid w:val="00FC6936"/>
    <w:rsid w:val="00FC6C3D"/>
    <w:rsid w:val="00FD0DF8"/>
    <w:rsid w:val="00FD4714"/>
    <w:rsid w:val="00FD5FB7"/>
    <w:rsid w:val="00FD6888"/>
    <w:rsid w:val="00FE02F4"/>
    <w:rsid w:val="00FE47B2"/>
    <w:rsid w:val="00FF4125"/>
    <w:rsid w:val="00FF566B"/>
    <w:rsid w:val="00FF6C30"/>
    <w:rsid w:val="00FF75D6"/>
    <w:rsid w:val="01367331"/>
    <w:rsid w:val="01994D4F"/>
    <w:rsid w:val="01995B0E"/>
    <w:rsid w:val="025B2284"/>
    <w:rsid w:val="02683D9C"/>
    <w:rsid w:val="027F6E3B"/>
    <w:rsid w:val="02B0060C"/>
    <w:rsid w:val="03780B78"/>
    <w:rsid w:val="04480F26"/>
    <w:rsid w:val="04C20051"/>
    <w:rsid w:val="059A765D"/>
    <w:rsid w:val="05DB57B8"/>
    <w:rsid w:val="062203FB"/>
    <w:rsid w:val="066633D9"/>
    <w:rsid w:val="06D66080"/>
    <w:rsid w:val="07047ECE"/>
    <w:rsid w:val="0712683E"/>
    <w:rsid w:val="08290CCA"/>
    <w:rsid w:val="08317469"/>
    <w:rsid w:val="087D7F38"/>
    <w:rsid w:val="089B6610"/>
    <w:rsid w:val="090F34A6"/>
    <w:rsid w:val="09100240"/>
    <w:rsid w:val="099137C9"/>
    <w:rsid w:val="09D07689"/>
    <w:rsid w:val="0B4E7969"/>
    <w:rsid w:val="0B8F6B12"/>
    <w:rsid w:val="0C304585"/>
    <w:rsid w:val="0CB16402"/>
    <w:rsid w:val="0CB748FB"/>
    <w:rsid w:val="0CF356E7"/>
    <w:rsid w:val="0D270F17"/>
    <w:rsid w:val="0D520B98"/>
    <w:rsid w:val="0D9217FF"/>
    <w:rsid w:val="0E9F54F9"/>
    <w:rsid w:val="0EDD2108"/>
    <w:rsid w:val="0F5C08A7"/>
    <w:rsid w:val="101F1BE3"/>
    <w:rsid w:val="10A81903"/>
    <w:rsid w:val="10E072B6"/>
    <w:rsid w:val="13894BD4"/>
    <w:rsid w:val="147705FC"/>
    <w:rsid w:val="148075AE"/>
    <w:rsid w:val="14FA458F"/>
    <w:rsid w:val="163868AA"/>
    <w:rsid w:val="16B44D47"/>
    <w:rsid w:val="16CB66C2"/>
    <w:rsid w:val="16F53F4F"/>
    <w:rsid w:val="181E3D65"/>
    <w:rsid w:val="1823657A"/>
    <w:rsid w:val="18500EE4"/>
    <w:rsid w:val="18932590"/>
    <w:rsid w:val="19055040"/>
    <w:rsid w:val="1987292A"/>
    <w:rsid w:val="19A2414E"/>
    <w:rsid w:val="19A42785"/>
    <w:rsid w:val="19F636A6"/>
    <w:rsid w:val="1A095B1C"/>
    <w:rsid w:val="1A7E323B"/>
    <w:rsid w:val="1BD16895"/>
    <w:rsid w:val="1BDB0DA5"/>
    <w:rsid w:val="1C4158E2"/>
    <w:rsid w:val="1C4D457D"/>
    <w:rsid w:val="1C7B5167"/>
    <w:rsid w:val="1D014681"/>
    <w:rsid w:val="1D057D11"/>
    <w:rsid w:val="1D4110DC"/>
    <w:rsid w:val="1DF07396"/>
    <w:rsid w:val="1EB52891"/>
    <w:rsid w:val="1EEC5078"/>
    <w:rsid w:val="1F6F5A21"/>
    <w:rsid w:val="1F8C2BD9"/>
    <w:rsid w:val="21735CA5"/>
    <w:rsid w:val="217501A6"/>
    <w:rsid w:val="219A6439"/>
    <w:rsid w:val="21E41EFF"/>
    <w:rsid w:val="21F42150"/>
    <w:rsid w:val="229C36C2"/>
    <w:rsid w:val="22BF76F0"/>
    <w:rsid w:val="22C0005B"/>
    <w:rsid w:val="22DC0091"/>
    <w:rsid w:val="237A6EA7"/>
    <w:rsid w:val="23DD343E"/>
    <w:rsid w:val="24EB0EF7"/>
    <w:rsid w:val="24FF2E0C"/>
    <w:rsid w:val="25711AB6"/>
    <w:rsid w:val="261B652B"/>
    <w:rsid w:val="26BC4EBB"/>
    <w:rsid w:val="27207725"/>
    <w:rsid w:val="28170BB2"/>
    <w:rsid w:val="28A36F3A"/>
    <w:rsid w:val="28A4484F"/>
    <w:rsid w:val="28DF5AFB"/>
    <w:rsid w:val="293146FB"/>
    <w:rsid w:val="2A444A48"/>
    <w:rsid w:val="2A6B7807"/>
    <w:rsid w:val="2A8675BA"/>
    <w:rsid w:val="2AA333D6"/>
    <w:rsid w:val="2B22114B"/>
    <w:rsid w:val="2BD2424C"/>
    <w:rsid w:val="2C6F70F4"/>
    <w:rsid w:val="2D345374"/>
    <w:rsid w:val="2DBF7EF3"/>
    <w:rsid w:val="2DC47549"/>
    <w:rsid w:val="2E03776D"/>
    <w:rsid w:val="2E18415B"/>
    <w:rsid w:val="2E28403B"/>
    <w:rsid w:val="2EF21577"/>
    <w:rsid w:val="2F203538"/>
    <w:rsid w:val="2F555DEF"/>
    <w:rsid w:val="2FA75E81"/>
    <w:rsid w:val="30C21D5E"/>
    <w:rsid w:val="30CA6A32"/>
    <w:rsid w:val="30D34FFE"/>
    <w:rsid w:val="31943F01"/>
    <w:rsid w:val="32483DA3"/>
    <w:rsid w:val="33CA7EC2"/>
    <w:rsid w:val="33D00C95"/>
    <w:rsid w:val="340003E3"/>
    <w:rsid w:val="345C4C66"/>
    <w:rsid w:val="360C49D4"/>
    <w:rsid w:val="36127662"/>
    <w:rsid w:val="373C7726"/>
    <w:rsid w:val="374E5DF8"/>
    <w:rsid w:val="38711D79"/>
    <w:rsid w:val="38DD44FA"/>
    <w:rsid w:val="38DF087A"/>
    <w:rsid w:val="39182437"/>
    <w:rsid w:val="39DB4B61"/>
    <w:rsid w:val="3A1D0E80"/>
    <w:rsid w:val="3A5F45C5"/>
    <w:rsid w:val="3B42422F"/>
    <w:rsid w:val="3B8A6325"/>
    <w:rsid w:val="3BA44BDC"/>
    <w:rsid w:val="3C1020AE"/>
    <w:rsid w:val="3C2E5D95"/>
    <w:rsid w:val="3C5B51D0"/>
    <w:rsid w:val="3C810CF7"/>
    <w:rsid w:val="3D577AFF"/>
    <w:rsid w:val="3D832A51"/>
    <w:rsid w:val="3E2F4A2E"/>
    <w:rsid w:val="3E62475E"/>
    <w:rsid w:val="3E911621"/>
    <w:rsid w:val="3E983BC0"/>
    <w:rsid w:val="3ED96F6F"/>
    <w:rsid w:val="3EE43A42"/>
    <w:rsid w:val="3F43263A"/>
    <w:rsid w:val="3FC45AED"/>
    <w:rsid w:val="405620FB"/>
    <w:rsid w:val="40854C54"/>
    <w:rsid w:val="41C7371B"/>
    <w:rsid w:val="424D02B2"/>
    <w:rsid w:val="431C38CE"/>
    <w:rsid w:val="43AF477D"/>
    <w:rsid w:val="44607D45"/>
    <w:rsid w:val="44AF662F"/>
    <w:rsid w:val="45840D66"/>
    <w:rsid w:val="459D02B5"/>
    <w:rsid w:val="45A656D1"/>
    <w:rsid w:val="46CE4F61"/>
    <w:rsid w:val="47C7119C"/>
    <w:rsid w:val="48E84A1C"/>
    <w:rsid w:val="48F5585E"/>
    <w:rsid w:val="497D0540"/>
    <w:rsid w:val="499103F0"/>
    <w:rsid w:val="49D874A8"/>
    <w:rsid w:val="4A7F62D0"/>
    <w:rsid w:val="4A9378A7"/>
    <w:rsid w:val="4B111174"/>
    <w:rsid w:val="4B4E3420"/>
    <w:rsid w:val="4B7E0259"/>
    <w:rsid w:val="4BF76C86"/>
    <w:rsid w:val="4D16138E"/>
    <w:rsid w:val="4E2633B6"/>
    <w:rsid w:val="4E376A4E"/>
    <w:rsid w:val="4E690D59"/>
    <w:rsid w:val="4E925073"/>
    <w:rsid w:val="4F052793"/>
    <w:rsid w:val="4F134B35"/>
    <w:rsid w:val="4F3B7EBF"/>
    <w:rsid w:val="4FC20F99"/>
    <w:rsid w:val="4FFC61C3"/>
    <w:rsid w:val="50BE5FC4"/>
    <w:rsid w:val="50CD1257"/>
    <w:rsid w:val="51750558"/>
    <w:rsid w:val="51BF443D"/>
    <w:rsid w:val="52F64FF0"/>
    <w:rsid w:val="53657AF3"/>
    <w:rsid w:val="53784B50"/>
    <w:rsid w:val="54B97F13"/>
    <w:rsid w:val="54E104D3"/>
    <w:rsid w:val="550018AF"/>
    <w:rsid w:val="55C66B4D"/>
    <w:rsid w:val="55CC1F50"/>
    <w:rsid w:val="561400F5"/>
    <w:rsid w:val="56301712"/>
    <w:rsid w:val="57D74ED9"/>
    <w:rsid w:val="585A7718"/>
    <w:rsid w:val="585D5900"/>
    <w:rsid w:val="58B6486F"/>
    <w:rsid w:val="59BF3D8F"/>
    <w:rsid w:val="5AA31305"/>
    <w:rsid w:val="5B28708D"/>
    <w:rsid w:val="5C4868B3"/>
    <w:rsid w:val="5CDC447F"/>
    <w:rsid w:val="5D894764"/>
    <w:rsid w:val="5EBD1A66"/>
    <w:rsid w:val="5ED84516"/>
    <w:rsid w:val="5FDE5041"/>
    <w:rsid w:val="60395558"/>
    <w:rsid w:val="608A2B5F"/>
    <w:rsid w:val="60E03D35"/>
    <w:rsid w:val="619576C3"/>
    <w:rsid w:val="61BA4586"/>
    <w:rsid w:val="62131B84"/>
    <w:rsid w:val="623205C0"/>
    <w:rsid w:val="626C03CA"/>
    <w:rsid w:val="629628FD"/>
    <w:rsid w:val="62EB6309"/>
    <w:rsid w:val="62FD3A1E"/>
    <w:rsid w:val="63693A84"/>
    <w:rsid w:val="644502FA"/>
    <w:rsid w:val="6486074F"/>
    <w:rsid w:val="65051D1D"/>
    <w:rsid w:val="67BD2434"/>
    <w:rsid w:val="684F77FD"/>
    <w:rsid w:val="695B03FD"/>
    <w:rsid w:val="69DD5685"/>
    <w:rsid w:val="6A026B3F"/>
    <w:rsid w:val="6B45756D"/>
    <w:rsid w:val="6C28108A"/>
    <w:rsid w:val="6C952757"/>
    <w:rsid w:val="6C97015E"/>
    <w:rsid w:val="6D2728C0"/>
    <w:rsid w:val="6E5C3123"/>
    <w:rsid w:val="6E9D1B01"/>
    <w:rsid w:val="6ED13756"/>
    <w:rsid w:val="6EE40E94"/>
    <w:rsid w:val="6EEA5041"/>
    <w:rsid w:val="6FD35191"/>
    <w:rsid w:val="6FEF212E"/>
    <w:rsid w:val="6FF02A83"/>
    <w:rsid w:val="70254BDF"/>
    <w:rsid w:val="71245C30"/>
    <w:rsid w:val="717007BD"/>
    <w:rsid w:val="71903AD3"/>
    <w:rsid w:val="71AB5277"/>
    <w:rsid w:val="72F83160"/>
    <w:rsid w:val="73173852"/>
    <w:rsid w:val="73230BA9"/>
    <w:rsid w:val="73D23A69"/>
    <w:rsid w:val="73F70EE8"/>
    <w:rsid w:val="74047D69"/>
    <w:rsid w:val="74245A33"/>
    <w:rsid w:val="759F76CA"/>
    <w:rsid w:val="75A5137D"/>
    <w:rsid w:val="764B7C05"/>
    <w:rsid w:val="765B1421"/>
    <w:rsid w:val="772C19BF"/>
    <w:rsid w:val="779C18E3"/>
    <w:rsid w:val="77A8625B"/>
    <w:rsid w:val="77CB0E43"/>
    <w:rsid w:val="77D53A70"/>
    <w:rsid w:val="780B2FAD"/>
    <w:rsid w:val="787F02ED"/>
    <w:rsid w:val="78E63056"/>
    <w:rsid w:val="78FD1F24"/>
    <w:rsid w:val="791630D0"/>
    <w:rsid w:val="79867B84"/>
    <w:rsid w:val="799B656D"/>
    <w:rsid w:val="79D9157B"/>
    <w:rsid w:val="79DC6B96"/>
    <w:rsid w:val="7A7B50B2"/>
    <w:rsid w:val="7B71300D"/>
    <w:rsid w:val="7BB7313C"/>
    <w:rsid w:val="7BBD43E3"/>
    <w:rsid w:val="7CB30C26"/>
    <w:rsid w:val="7CB974BC"/>
    <w:rsid w:val="7CD00F47"/>
    <w:rsid w:val="7D050953"/>
    <w:rsid w:val="7D3036DB"/>
    <w:rsid w:val="7D9F4904"/>
    <w:rsid w:val="7DA84959"/>
    <w:rsid w:val="7E4978F8"/>
    <w:rsid w:val="7F1263E6"/>
    <w:rsid w:val="7F217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8"/>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49"/>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0"/>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1"/>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2"/>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3"/>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4"/>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5"/>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6"/>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57"/>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2"/>
    <w:unhideWhenUsed/>
    <w:qFormat/>
    <w:uiPriority w:val="0"/>
    <w:pPr>
      <w:shd w:val="clear" w:color="auto" w:fill="000080"/>
    </w:pPr>
    <w:rPr>
      <w:rFonts w:ascii="Times New Roman" w:hAnsi="Times New Roman"/>
      <w:kern w:val="0"/>
      <w:sz w:val="18"/>
      <w:szCs w:val="18"/>
    </w:rPr>
  </w:style>
  <w:style w:type="paragraph" w:styleId="15">
    <w:name w:val="annotation text"/>
    <w:basedOn w:val="1"/>
    <w:link w:val="59"/>
    <w:unhideWhenUsed/>
    <w:qFormat/>
    <w:uiPriority w:val="0"/>
    <w:pPr>
      <w:jc w:val="left"/>
    </w:pPr>
    <w:rPr>
      <w:rFonts w:ascii="Times New Roman" w:hAnsi="Times New Roman"/>
      <w:kern w:val="0"/>
      <w:sz w:val="18"/>
      <w:szCs w:val="18"/>
    </w:rPr>
  </w:style>
  <w:style w:type="paragraph" w:styleId="16">
    <w:name w:val="Body Text 3"/>
    <w:basedOn w:val="1"/>
    <w:link w:val="69"/>
    <w:unhideWhenUsed/>
    <w:qFormat/>
    <w:uiPriority w:val="0"/>
    <w:pPr>
      <w:jc w:val="center"/>
    </w:pPr>
    <w:rPr>
      <w:rFonts w:ascii="Times New Roman" w:hAnsi="Times New Roman" w:eastAsia="黑体"/>
      <w:sz w:val="44"/>
      <w:szCs w:val="24"/>
    </w:rPr>
  </w:style>
  <w:style w:type="paragraph" w:styleId="17">
    <w:name w:val="Body Text"/>
    <w:basedOn w:val="1"/>
    <w:link w:val="62"/>
    <w:unhideWhenUsed/>
    <w:qFormat/>
    <w:uiPriority w:val="0"/>
    <w:pPr>
      <w:spacing w:after="120"/>
    </w:pPr>
  </w:style>
  <w:style w:type="paragraph" w:styleId="18">
    <w:name w:val="Body Text Indent"/>
    <w:basedOn w:val="1"/>
    <w:link w:val="64"/>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73"/>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6"/>
    <w:unhideWhenUsed/>
    <w:qFormat/>
    <w:uiPriority w:val="0"/>
    <w:pPr>
      <w:ind w:left="100" w:leftChars="2500"/>
    </w:pPr>
    <w:rPr>
      <w:rFonts w:ascii="Times New Roman" w:hAnsi="Times New Roman"/>
      <w:kern w:val="0"/>
      <w:sz w:val="24"/>
      <w:szCs w:val="24"/>
    </w:rPr>
  </w:style>
  <w:style w:type="paragraph" w:styleId="25">
    <w:name w:val="Body Text Indent 2"/>
    <w:basedOn w:val="1"/>
    <w:link w:val="70"/>
    <w:unhideWhenUsed/>
    <w:qFormat/>
    <w:uiPriority w:val="0"/>
    <w:pPr>
      <w:spacing w:after="120" w:line="480" w:lineRule="auto"/>
      <w:ind w:left="420" w:leftChars="200"/>
    </w:p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1"/>
    <w:unhideWhenUsed/>
    <w:qFormat/>
    <w:uiPriority w:val="99"/>
    <w:pPr>
      <w:tabs>
        <w:tab w:val="center" w:pos="4153"/>
        <w:tab w:val="right" w:pos="8306"/>
      </w:tabs>
      <w:snapToGrid w:val="0"/>
      <w:jc w:val="left"/>
    </w:pPr>
    <w:rPr>
      <w:kern w:val="0"/>
      <w:sz w:val="18"/>
      <w:szCs w:val="18"/>
    </w:rPr>
  </w:style>
  <w:style w:type="paragraph" w:styleId="28">
    <w:name w:val="header"/>
    <w:basedOn w:val="1"/>
    <w:link w:val="6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5"/>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58"/>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1"/>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8"/>
    <w:unhideWhenUsed/>
    <w:qFormat/>
    <w:uiPriority w:val="0"/>
    <w:pPr>
      <w:spacing w:after="120" w:line="480" w:lineRule="auto"/>
    </w:pPr>
    <w:rPr>
      <w:rFonts w:ascii="Times New Roman" w:hAnsi="Times New Roman"/>
      <w:kern w:val="0"/>
      <w:sz w:val="18"/>
      <w:szCs w:val="18"/>
    </w:rPr>
  </w:style>
  <w:style w:type="paragraph" w:styleId="38">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39">
    <w:name w:val="annotation subject"/>
    <w:basedOn w:val="15"/>
    <w:next w:val="15"/>
    <w:link w:val="75"/>
    <w:unhideWhenUsed/>
    <w:qFormat/>
    <w:uiPriority w:val="99"/>
    <w:rPr>
      <w:rFonts w:ascii="Calibri" w:hAnsi="Calibri"/>
      <w:b/>
      <w:bCs/>
      <w:kern w:val="2"/>
      <w:sz w:val="21"/>
      <w:szCs w:val="22"/>
    </w:rPr>
  </w:style>
  <w:style w:type="paragraph" w:styleId="40">
    <w:name w:val="Body Text First Indent"/>
    <w:basedOn w:val="17"/>
    <w:link w:val="67"/>
    <w:unhideWhenUsed/>
    <w:qFormat/>
    <w:uiPriority w:val="0"/>
    <w:pPr>
      <w:ind w:firstLine="420" w:firstLineChars="100"/>
    </w:pPr>
    <w:rPr>
      <w:rFonts w:ascii="Times New Roman" w:hAnsi="Times New Roman"/>
      <w:kern w:val="0"/>
      <w:sz w:val="18"/>
      <w:szCs w:val="18"/>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4">
    <w:name w:val="FollowedHyperlink"/>
    <w:basedOn w:val="43"/>
    <w:unhideWhenUsed/>
    <w:qFormat/>
    <w:uiPriority w:val="99"/>
    <w:rPr>
      <w:color w:val="800080" w:themeColor="followedHyperlink"/>
      <w:u w:val="single"/>
      <w14:textFill>
        <w14:solidFill>
          <w14:schemeClr w14:val="folHlink"/>
        </w14:solidFill>
      </w14:textFill>
    </w:rPr>
  </w:style>
  <w:style w:type="character" w:styleId="45">
    <w:name w:val="Hyperlink"/>
    <w:unhideWhenUsed/>
    <w:qFormat/>
    <w:uiPriority w:val="99"/>
    <w:rPr>
      <w:color w:val="0000FF"/>
      <w:u w:val="single"/>
    </w:rPr>
  </w:style>
  <w:style w:type="character" w:styleId="46">
    <w:name w:val="annotation reference"/>
    <w:unhideWhenUsed/>
    <w:qFormat/>
    <w:uiPriority w:val="0"/>
    <w:rPr>
      <w:sz w:val="21"/>
      <w:szCs w:val="21"/>
    </w:rPr>
  </w:style>
  <w:style w:type="character" w:styleId="47">
    <w:name w:val="footnote reference"/>
    <w:unhideWhenUsed/>
    <w:qFormat/>
    <w:uiPriority w:val="0"/>
    <w:rPr>
      <w:vertAlign w:val="superscript"/>
    </w:rPr>
  </w:style>
  <w:style w:type="character" w:customStyle="1" w:styleId="48">
    <w:name w:val="标题 1 字符"/>
    <w:basedOn w:val="43"/>
    <w:link w:val="2"/>
    <w:qFormat/>
    <w:uiPriority w:val="9"/>
    <w:rPr>
      <w:rFonts w:ascii="宋体" w:hAnsi="宋体" w:cs="宋体"/>
      <w:b/>
      <w:bCs/>
      <w:spacing w:val="-20"/>
      <w:kern w:val="44"/>
      <w:sz w:val="32"/>
      <w:szCs w:val="32"/>
    </w:rPr>
  </w:style>
  <w:style w:type="character" w:customStyle="1" w:styleId="49">
    <w:name w:val="标题 2 字符"/>
    <w:basedOn w:val="43"/>
    <w:link w:val="3"/>
    <w:qFormat/>
    <w:uiPriority w:val="99"/>
    <w:rPr>
      <w:rFonts w:ascii="宋体" w:hAnsi="宋体" w:cs="宋体"/>
      <w:b/>
      <w:bCs/>
      <w:kern w:val="2"/>
      <w:sz w:val="28"/>
      <w:szCs w:val="28"/>
    </w:rPr>
  </w:style>
  <w:style w:type="character" w:customStyle="1" w:styleId="50">
    <w:name w:val="标题 3 字符"/>
    <w:basedOn w:val="43"/>
    <w:link w:val="4"/>
    <w:qFormat/>
    <w:uiPriority w:val="99"/>
    <w:rPr>
      <w:rFonts w:ascii="宋体" w:hAnsi="宋体" w:cs="宋体"/>
      <w:b/>
      <w:bCs/>
      <w:color w:val="000000"/>
      <w:sz w:val="28"/>
      <w:szCs w:val="28"/>
    </w:rPr>
  </w:style>
  <w:style w:type="character" w:customStyle="1" w:styleId="51">
    <w:name w:val="标题 4 字符"/>
    <w:basedOn w:val="43"/>
    <w:link w:val="5"/>
    <w:qFormat/>
    <w:uiPriority w:val="0"/>
    <w:rPr>
      <w:rFonts w:ascii="Arial" w:hAnsi="Arial"/>
      <w:b/>
      <w:bCs/>
      <w:sz w:val="28"/>
      <w:szCs w:val="28"/>
    </w:rPr>
  </w:style>
  <w:style w:type="character" w:customStyle="1" w:styleId="52">
    <w:name w:val="标题 5 字符"/>
    <w:basedOn w:val="43"/>
    <w:link w:val="6"/>
    <w:qFormat/>
    <w:uiPriority w:val="0"/>
    <w:rPr>
      <w:rFonts w:ascii="Calibri" w:hAnsi="Calibri" w:cs="宋体"/>
      <w:b/>
      <w:bCs/>
      <w:sz w:val="28"/>
      <w:szCs w:val="28"/>
    </w:rPr>
  </w:style>
  <w:style w:type="character" w:customStyle="1" w:styleId="53">
    <w:name w:val="标题 6 字符"/>
    <w:basedOn w:val="43"/>
    <w:link w:val="7"/>
    <w:qFormat/>
    <w:uiPriority w:val="0"/>
    <w:rPr>
      <w:rFonts w:ascii="Arial" w:hAnsi="Arial"/>
      <w:b/>
      <w:bCs/>
      <w:sz w:val="28"/>
      <w:szCs w:val="18"/>
    </w:rPr>
  </w:style>
  <w:style w:type="character" w:customStyle="1" w:styleId="54">
    <w:name w:val="标题 7 字符"/>
    <w:basedOn w:val="43"/>
    <w:link w:val="8"/>
    <w:semiHidden/>
    <w:qFormat/>
    <w:uiPriority w:val="0"/>
    <w:rPr>
      <w:rFonts w:ascii="Arial Narrow" w:hAnsi="Arial Narrow" w:eastAsia="宋体" w:cs="Times New Roman"/>
      <w:b/>
      <w:bCs/>
      <w:iCs/>
      <w:kern w:val="0"/>
      <w:sz w:val="20"/>
      <w:szCs w:val="24"/>
      <w:lang w:eastAsia="en-US"/>
    </w:rPr>
  </w:style>
  <w:style w:type="character" w:customStyle="1" w:styleId="55">
    <w:name w:val="标题 8 字符"/>
    <w:basedOn w:val="43"/>
    <w:link w:val="9"/>
    <w:semiHidden/>
    <w:qFormat/>
    <w:uiPriority w:val="0"/>
    <w:rPr>
      <w:rFonts w:ascii="Arial" w:hAnsi="Arial" w:eastAsia="黑体" w:cs="Times New Roman"/>
      <w:kern w:val="0"/>
      <w:sz w:val="24"/>
      <w:szCs w:val="24"/>
    </w:rPr>
  </w:style>
  <w:style w:type="character" w:customStyle="1" w:styleId="56">
    <w:name w:val="标题 9 字符"/>
    <w:basedOn w:val="43"/>
    <w:link w:val="10"/>
    <w:semiHidden/>
    <w:qFormat/>
    <w:uiPriority w:val="0"/>
    <w:rPr>
      <w:rFonts w:ascii="Arial" w:hAnsi="Arial" w:eastAsia="黑体" w:cs="Times New Roman"/>
      <w:kern w:val="0"/>
      <w:sz w:val="20"/>
      <w:szCs w:val="21"/>
    </w:rPr>
  </w:style>
  <w:style w:type="character" w:customStyle="1" w:styleId="57">
    <w:name w:val="正文缩进 字符"/>
    <w:link w:val="12"/>
    <w:qFormat/>
    <w:locked/>
    <w:uiPriority w:val="0"/>
  </w:style>
  <w:style w:type="character" w:customStyle="1" w:styleId="58">
    <w:name w:val="脚注文本 字符"/>
    <w:basedOn w:val="43"/>
    <w:link w:val="32"/>
    <w:qFormat/>
    <w:uiPriority w:val="0"/>
    <w:rPr>
      <w:rFonts w:ascii="Calibri" w:hAnsi="Calibri" w:eastAsia="宋体" w:cs="Times New Roman"/>
      <w:sz w:val="18"/>
      <w:szCs w:val="18"/>
    </w:rPr>
  </w:style>
  <w:style w:type="character" w:customStyle="1" w:styleId="59">
    <w:name w:val="批注文字 字符"/>
    <w:basedOn w:val="43"/>
    <w:link w:val="15"/>
    <w:qFormat/>
    <w:uiPriority w:val="99"/>
    <w:rPr>
      <w:rFonts w:ascii="Times New Roman" w:hAnsi="Times New Roman" w:eastAsia="宋体" w:cs="Times New Roman"/>
      <w:kern w:val="0"/>
      <w:sz w:val="18"/>
      <w:szCs w:val="18"/>
    </w:rPr>
  </w:style>
  <w:style w:type="character" w:customStyle="1" w:styleId="60">
    <w:name w:val="页眉 字符"/>
    <w:basedOn w:val="43"/>
    <w:link w:val="28"/>
    <w:qFormat/>
    <w:uiPriority w:val="99"/>
    <w:rPr>
      <w:rFonts w:ascii="Calibri" w:hAnsi="Calibri" w:eastAsia="宋体" w:cs="Times New Roman"/>
      <w:kern w:val="0"/>
      <w:sz w:val="18"/>
      <w:szCs w:val="18"/>
    </w:rPr>
  </w:style>
  <w:style w:type="character" w:customStyle="1" w:styleId="61">
    <w:name w:val="页脚 字符"/>
    <w:basedOn w:val="43"/>
    <w:link w:val="27"/>
    <w:qFormat/>
    <w:uiPriority w:val="99"/>
    <w:rPr>
      <w:rFonts w:ascii="Calibri" w:hAnsi="Calibri" w:eastAsia="宋体" w:cs="Times New Roman"/>
      <w:kern w:val="0"/>
      <w:sz w:val="18"/>
      <w:szCs w:val="18"/>
    </w:rPr>
  </w:style>
  <w:style w:type="character" w:customStyle="1" w:styleId="62">
    <w:name w:val="正文文本 字符"/>
    <w:basedOn w:val="43"/>
    <w:link w:val="17"/>
    <w:qFormat/>
    <w:locked/>
    <w:uiPriority w:val="0"/>
    <w:rPr>
      <w:rFonts w:ascii="Calibri" w:hAnsi="Calibri" w:eastAsia="宋体" w:cs="Times New Roman"/>
    </w:rPr>
  </w:style>
  <w:style w:type="character" w:customStyle="1" w:styleId="63">
    <w:name w:val="正文文本 Char"/>
    <w:basedOn w:val="43"/>
    <w:qFormat/>
    <w:uiPriority w:val="0"/>
    <w:rPr>
      <w:rFonts w:ascii="Calibri" w:hAnsi="Calibri" w:eastAsia="宋体" w:cs="Times New Roman"/>
    </w:rPr>
  </w:style>
  <w:style w:type="character" w:customStyle="1" w:styleId="64">
    <w:name w:val="正文文本缩进 字符"/>
    <w:basedOn w:val="43"/>
    <w:link w:val="18"/>
    <w:qFormat/>
    <w:uiPriority w:val="0"/>
    <w:rPr>
      <w:rFonts w:ascii="Times New Roman" w:hAnsi="Times New Roman" w:eastAsia="宋体" w:cs="Times New Roman"/>
      <w:kern w:val="0"/>
      <w:sz w:val="20"/>
      <w:szCs w:val="24"/>
    </w:rPr>
  </w:style>
  <w:style w:type="character" w:customStyle="1" w:styleId="65">
    <w:name w:val="副标题 字符"/>
    <w:basedOn w:val="43"/>
    <w:link w:val="31"/>
    <w:qFormat/>
    <w:uiPriority w:val="0"/>
    <w:rPr>
      <w:rFonts w:ascii="Cambria" w:hAnsi="Cambria" w:eastAsia="宋体" w:cs="Times New Roman"/>
      <w:b/>
      <w:bCs/>
      <w:kern w:val="28"/>
      <w:sz w:val="32"/>
      <w:szCs w:val="32"/>
    </w:rPr>
  </w:style>
  <w:style w:type="character" w:customStyle="1" w:styleId="66">
    <w:name w:val="日期 字符"/>
    <w:basedOn w:val="43"/>
    <w:link w:val="24"/>
    <w:qFormat/>
    <w:uiPriority w:val="0"/>
    <w:rPr>
      <w:rFonts w:ascii="Times New Roman" w:hAnsi="Times New Roman" w:eastAsia="宋体" w:cs="Times New Roman"/>
      <w:kern w:val="0"/>
      <w:sz w:val="24"/>
      <w:szCs w:val="24"/>
    </w:rPr>
  </w:style>
  <w:style w:type="character" w:customStyle="1" w:styleId="67">
    <w:name w:val="正文首行缩进 字符"/>
    <w:basedOn w:val="63"/>
    <w:link w:val="40"/>
    <w:qFormat/>
    <w:uiPriority w:val="0"/>
    <w:rPr>
      <w:rFonts w:ascii="Times New Roman" w:hAnsi="Times New Roman" w:eastAsia="宋体" w:cs="Times New Roman"/>
      <w:kern w:val="0"/>
      <w:sz w:val="18"/>
      <w:szCs w:val="18"/>
    </w:rPr>
  </w:style>
  <w:style w:type="character" w:customStyle="1" w:styleId="68">
    <w:name w:val="正文文本 2 字符"/>
    <w:basedOn w:val="43"/>
    <w:link w:val="37"/>
    <w:qFormat/>
    <w:uiPriority w:val="0"/>
    <w:rPr>
      <w:rFonts w:ascii="Times New Roman" w:hAnsi="Times New Roman" w:eastAsia="宋体" w:cs="Times New Roman"/>
      <w:kern w:val="0"/>
      <w:sz w:val="18"/>
      <w:szCs w:val="18"/>
    </w:rPr>
  </w:style>
  <w:style w:type="character" w:customStyle="1" w:styleId="69">
    <w:name w:val="正文文本 3 字符"/>
    <w:basedOn w:val="43"/>
    <w:link w:val="16"/>
    <w:qFormat/>
    <w:uiPriority w:val="0"/>
    <w:rPr>
      <w:rFonts w:ascii="Times New Roman" w:hAnsi="Times New Roman" w:eastAsia="黑体" w:cs="Times New Roman"/>
      <w:sz w:val="44"/>
      <w:szCs w:val="24"/>
    </w:rPr>
  </w:style>
  <w:style w:type="character" w:customStyle="1" w:styleId="70">
    <w:name w:val="正文文本缩进 2 字符"/>
    <w:basedOn w:val="43"/>
    <w:link w:val="25"/>
    <w:qFormat/>
    <w:uiPriority w:val="0"/>
    <w:rPr>
      <w:rFonts w:ascii="Calibri" w:hAnsi="Calibri" w:eastAsia="宋体" w:cs="Times New Roman"/>
    </w:rPr>
  </w:style>
  <w:style w:type="character" w:customStyle="1" w:styleId="71">
    <w:name w:val="正文文本缩进 3 字符"/>
    <w:basedOn w:val="43"/>
    <w:link w:val="34"/>
    <w:qFormat/>
    <w:uiPriority w:val="0"/>
    <w:rPr>
      <w:rFonts w:ascii="宋体" w:hAnsi="宋体" w:eastAsia="宋体" w:cs="Times New Roman"/>
      <w:kern w:val="0"/>
      <w:sz w:val="28"/>
      <w:szCs w:val="28"/>
    </w:rPr>
  </w:style>
  <w:style w:type="character" w:customStyle="1" w:styleId="72">
    <w:name w:val="文档结构图 字符"/>
    <w:basedOn w:val="43"/>
    <w:link w:val="14"/>
    <w:qFormat/>
    <w:uiPriority w:val="0"/>
    <w:rPr>
      <w:rFonts w:ascii="Times New Roman" w:hAnsi="Times New Roman" w:eastAsia="宋体" w:cs="Times New Roman"/>
      <w:kern w:val="0"/>
      <w:sz w:val="18"/>
      <w:szCs w:val="18"/>
      <w:shd w:val="clear" w:color="auto" w:fill="000080"/>
    </w:rPr>
  </w:style>
  <w:style w:type="character" w:customStyle="1" w:styleId="73">
    <w:name w:val="纯文本 字符"/>
    <w:link w:val="22"/>
    <w:qFormat/>
    <w:locked/>
    <w:uiPriority w:val="0"/>
    <w:rPr>
      <w:rFonts w:ascii="宋体" w:hAnsi="Courier New" w:eastAsia="宋体" w:cs="Times New Roman"/>
      <w:kern w:val="0"/>
      <w:sz w:val="20"/>
      <w:szCs w:val="18"/>
    </w:rPr>
  </w:style>
  <w:style w:type="character" w:customStyle="1" w:styleId="74">
    <w:name w:val="纯文本 Char"/>
    <w:basedOn w:val="43"/>
    <w:qFormat/>
    <w:uiPriority w:val="0"/>
    <w:rPr>
      <w:rFonts w:ascii="宋体" w:hAnsi="Courier New" w:eastAsia="宋体" w:cs="Courier New"/>
      <w:szCs w:val="21"/>
    </w:rPr>
  </w:style>
  <w:style w:type="character" w:customStyle="1" w:styleId="75">
    <w:name w:val="批注主题 字符"/>
    <w:basedOn w:val="59"/>
    <w:link w:val="39"/>
    <w:qFormat/>
    <w:uiPriority w:val="99"/>
    <w:rPr>
      <w:rFonts w:ascii="Calibri" w:hAnsi="Calibri" w:eastAsia="宋体" w:cs="Times New Roman"/>
      <w:b/>
      <w:bCs/>
      <w:kern w:val="0"/>
      <w:sz w:val="18"/>
      <w:szCs w:val="18"/>
    </w:rPr>
  </w:style>
  <w:style w:type="character" w:customStyle="1" w:styleId="76">
    <w:name w:val="批注框文本 字符"/>
    <w:basedOn w:val="43"/>
    <w:link w:val="26"/>
    <w:qFormat/>
    <w:uiPriority w:val="99"/>
    <w:rPr>
      <w:rFonts w:ascii="Times New Roman" w:hAnsi="Times New Roman" w:eastAsia="宋体" w:cs="Times New Roman"/>
      <w:kern w:val="0"/>
      <w:sz w:val="18"/>
      <w:szCs w:val="18"/>
    </w:rPr>
  </w:style>
  <w:style w:type="paragraph" w:customStyle="1" w:styleId="7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字符"/>
    <w:link w:val="79"/>
    <w:qFormat/>
    <w:locked/>
    <w:uiPriority w:val="34"/>
    <w:rPr>
      <w:rFonts w:ascii="Calibri" w:hAnsi="Calibri"/>
    </w:rPr>
  </w:style>
  <w:style w:type="paragraph" w:customStyle="1" w:styleId="79">
    <w:name w:val="列出段落1"/>
    <w:basedOn w:val="1"/>
    <w:link w:val="78"/>
    <w:qFormat/>
    <w:uiPriority w:val="99"/>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6">
    <w:name w:val="表格文字"/>
    <w:basedOn w:val="1"/>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7"/>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3"/>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9"/>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120"/>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20">
    <w:name w:val="样式 Char Char"/>
    <w:link w:val="119"/>
    <w:qFormat/>
    <w:locked/>
    <w:uiPriority w:val="0"/>
    <w:rPr>
      <w:rFonts w:ascii="宋体" w:hAnsi="宋体" w:eastAsia="宋体" w:cs="宋体"/>
      <w:kern w:val="0"/>
      <w:sz w:val="24"/>
      <w:szCs w:val="24"/>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0"/>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2"/>
    <w:qFormat/>
    <w:uiPriority w:val="0"/>
    <w:pPr>
      <w:tabs>
        <w:tab w:val="left" w:pos="425"/>
      </w:tabs>
    </w:pPr>
    <w:rPr>
      <w:rFonts w:cs="Times New Roman"/>
      <w:sz w:val="44"/>
    </w:rPr>
  </w:style>
  <w:style w:type="paragraph" w:customStyle="1" w:styleId="126">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4"/>
    <w:qFormat/>
    <w:uiPriority w:val="0"/>
    <w:rPr>
      <w:rFonts w:ascii="Tahoma" w:hAnsi="Tahoma"/>
      <w:sz w:val="24"/>
      <w:szCs w:val="24"/>
    </w:rPr>
  </w:style>
  <w:style w:type="paragraph" w:customStyle="1" w:styleId="137">
    <w:name w:val="MM Topic 3"/>
    <w:basedOn w:val="4"/>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0"/>
    <w:qFormat/>
    <w:uiPriority w:val="0"/>
    <w:pPr>
      <w:tabs>
        <w:tab w:val="left" w:pos="5102"/>
      </w:tabs>
    </w:pPr>
  </w:style>
  <w:style w:type="paragraph" w:customStyle="1" w:styleId="143">
    <w:name w:val="MM Topic 5"/>
    <w:basedOn w:val="6"/>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5"/>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3"/>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1"/>
    <w:basedOn w:val="1"/>
    <w:qFormat/>
    <w:uiPriority w:val="0"/>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7">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3"/>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3"/>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3"/>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Char Char Char"/>
    <w:qFormat/>
    <w:uiPriority w:val="0"/>
    <w:rPr>
      <w:rFonts w:hint="eastAsia" w:ascii="宋体" w:hAnsi="宋体" w:eastAsia="宋体"/>
      <w:kern w:val="2"/>
      <w:sz w:val="18"/>
      <w:szCs w:val="18"/>
      <w:lang w:val="en-US" w:eastAsia="zh-CN" w:bidi="ar-SA"/>
    </w:rPr>
  </w:style>
  <w:style w:type="character" w:customStyle="1" w:styleId="191">
    <w:name w:val="Char Char6"/>
    <w:qFormat/>
    <w:uiPriority w:val="0"/>
    <w:rPr>
      <w:kern w:val="2"/>
      <w:sz w:val="21"/>
      <w:szCs w:val="24"/>
    </w:rPr>
  </w:style>
  <w:style w:type="character" w:customStyle="1" w:styleId="192">
    <w:name w:val="正文缩进 Char"/>
    <w:qFormat/>
    <w:uiPriority w:val="0"/>
    <w:rPr>
      <w:kern w:val="2"/>
      <w:sz w:val="21"/>
      <w:lang w:val="zh-CN" w:eastAsia="zh-CN"/>
    </w:rPr>
  </w:style>
  <w:style w:type="character" w:customStyle="1" w:styleId="193">
    <w:name w:val="font11"/>
    <w:basedOn w:val="43"/>
    <w:qFormat/>
    <w:uiPriority w:val="0"/>
    <w:rPr>
      <w:rFonts w:hint="eastAsia" w:ascii="宋体" w:hAnsi="宋体" w:eastAsia="宋体" w:cs="宋体"/>
      <w:b/>
      <w:color w:val="000000"/>
      <w:sz w:val="22"/>
      <w:szCs w:val="22"/>
      <w:u w:val="none"/>
    </w:rPr>
  </w:style>
  <w:style w:type="character" w:customStyle="1" w:styleId="194">
    <w:name w:val="font01"/>
    <w:basedOn w:val="43"/>
    <w:qFormat/>
    <w:uiPriority w:val="0"/>
    <w:rPr>
      <w:rFonts w:hint="eastAsia" w:ascii="宋体" w:hAnsi="宋体" w:eastAsia="宋体" w:cs="宋体"/>
      <w:color w:val="000000"/>
      <w:sz w:val="22"/>
      <w:szCs w:val="22"/>
      <w:u w:val="none"/>
    </w:rPr>
  </w:style>
  <w:style w:type="character" w:customStyle="1" w:styleId="195">
    <w:name w:val="页脚 Char1"/>
    <w:basedOn w:val="43"/>
    <w:qFormat/>
    <w:uiPriority w:val="99"/>
    <w:rPr>
      <w:sz w:val="18"/>
      <w:szCs w:val="18"/>
    </w:rPr>
  </w:style>
  <w:style w:type="character" w:customStyle="1" w:styleId="196">
    <w:name w:val="批注文字 Char2"/>
    <w:qFormat/>
    <w:uiPriority w:val="0"/>
    <w:rPr>
      <w:rFonts w:hint="eastAsia" w:ascii="宋体" w:hAnsi="宋体" w:eastAsia="宋体"/>
      <w:sz w:val="18"/>
      <w:szCs w:val="18"/>
    </w:rPr>
  </w:style>
  <w:style w:type="character" w:customStyle="1" w:styleId="197">
    <w:name w:val="列出段落 Char1"/>
    <w:qFormat/>
    <w:uiPriority w:val="34"/>
    <w:rPr>
      <w:rFonts w:hint="default" w:ascii="Calibri" w:hAnsi="Calibri"/>
      <w:kern w:val="2"/>
      <w:sz w:val="21"/>
      <w:szCs w:val="22"/>
    </w:rPr>
  </w:style>
  <w:style w:type="paragraph" w:customStyle="1" w:styleId="198">
    <w:name w:val="CD正文"/>
    <w:basedOn w:val="97"/>
    <w:qFormat/>
    <w:uiPriority w:val="0"/>
  </w:style>
  <w:style w:type="paragraph" w:customStyle="1" w:styleId="199">
    <w:name w:val="项目符号：一级"/>
    <w:basedOn w:val="84"/>
    <w:next w:val="84"/>
    <w:qFormat/>
    <w:uiPriority w:val="0"/>
  </w:style>
  <w:style w:type="paragraph" w:customStyle="1" w:styleId="200">
    <w:name w:val="修订2"/>
    <w:semiHidden/>
    <w:qFormat/>
    <w:uiPriority w:val="99"/>
    <w:rPr>
      <w:rFonts w:ascii="Calibri" w:hAnsi="Calibri" w:eastAsia="宋体" w:cs="Times New Roman"/>
      <w:kern w:val="2"/>
      <w:sz w:val="21"/>
      <w:szCs w:val="22"/>
      <w:lang w:val="en-US" w:eastAsia="zh-CN" w:bidi="ar-SA"/>
    </w:rPr>
  </w:style>
  <w:style w:type="paragraph" w:customStyle="1" w:styleId="201">
    <w:name w:val="修订21"/>
    <w:semiHidden/>
    <w:qFormat/>
    <w:uiPriority w:val="99"/>
    <w:rPr>
      <w:rFonts w:ascii="Calibri" w:hAnsi="Calibri" w:eastAsia="宋体" w:cs="Times New Roman"/>
      <w:kern w:val="2"/>
      <w:sz w:val="21"/>
      <w:szCs w:val="22"/>
      <w:lang w:val="en-US" w:eastAsia="zh-CN" w:bidi="ar-SA"/>
    </w:rPr>
  </w:style>
  <w:style w:type="paragraph" w:customStyle="1" w:styleId="202">
    <w:name w:val="List Paragraph1"/>
    <w:basedOn w:val="1"/>
    <w:semiHidden/>
    <w:qFormat/>
    <w:uiPriority w:val="0"/>
    <w:pPr>
      <w:ind w:firstLine="420" w:firstLineChars="200"/>
    </w:pPr>
    <w:rPr>
      <w:rFonts w:ascii="Times New Roman" w:hAnsi="Times New Roman"/>
      <w:szCs w:val="24"/>
    </w:rPr>
  </w:style>
  <w:style w:type="paragraph" w:customStyle="1" w:styleId="203">
    <w:name w:val="修订3"/>
    <w:semiHidden/>
    <w:qFormat/>
    <w:uiPriority w:val="99"/>
    <w:rPr>
      <w:rFonts w:ascii="Calibri" w:hAnsi="Calibri" w:eastAsia="宋体" w:cs="Times New Roman"/>
      <w:kern w:val="2"/>
      <w:sz w:val="21"/>
      <w:szCs w:val="22"/>
      <w:lang w:val="en-US" w:eastAsia="zh-CN" w:bidi="ar-SA"/>
    </w:rPr>
  </w:style>
  <w:style w:type="paragraph" w:customStyle="1" w:styleId="204">
    <w:name w:val="Normal Indent1"/>
    <w:basedOn w:val="1"/>
    <w:semiHidden/>
    <w:qFormat/>
    <w:uiPriority w:val="99"/>
    <w:pPr>
      <w:spacing w:line="360" w:lineRule="auto"/>
      <w:ind w:firstLine="200" w:firstLineChars="200"/>
    </w:pPr>
    <w:rPr>
      <w:sz w:val="24"/>
      <w:szCs w:val="24"/>
    </w:rPr>
  </w:style>
  <w:style w:type="character" w:customStyle="1" w:styleId="205">
    <w:name w:val="占位符文本1"/>
    <w:basedOn w:val="43"/>
    <w:semiHidden/>
    <w:qFormat/>
    <w:uiPriority w:val="99"/>
    <w:rPr>
      <w:color w:val="808080"/>
    </w:rPr>
  </w:style>
  <w:style w:type="character" w:customStyle="1" w:styleId="206">
    <w:name w:val="font61"/>
    <w:qFormat/>
    <w:uiPriority w:val="0"/>
    <w:rPr>
      <w:rFonts w:hint="eastAsia" w:ascii="仿宋_GB2312" w:eastAsia="仿宋_GB2312" w:cs="仿宋_GB2312"/>
      <w:color w:val="000000"/>
      <w:sz w:val="24"/>
      <w:szCs w:val="24"/>
      <w:u w:val="none"/>
    </w:rPr>
  </w:style>
  <w:style w:type="character" w:customStyle="1" w:styleId="207">
    <w:name w:val="日期 Char1"/>
    <w:basedOn w:val="43"/>
    <w:semiHidden/>
    <w:qFormat/>
    <w:uiPriority w:val="99"/>
    <w:rPr>
      <w:rFonts w:hint="default" w:ascii="Calibri" w:hAnsi="Calibri" w:eastAsia="宋体" w:cs="Times New Roman"/>
    </w:rPr>
  </w:style>
  <w:style w:type="character" w:customStyle="1" w:styleId="208">
    <w:name w:val="副标题 Char2"/>
    <w:basedOn w:val="43"/>
    <w:qFormat/>
    <w:uiPriority w:val="11"/>
    <w:rPr>
      <w:rFonts w:hint="default" w:eastAsia="宋体" w:asciiTheme="majorHAnsi" w:hAnsiTheme="majorHAnsi" w:cstheme="majorBidi"/>
      <w:b/>
      <w:bCs/>
      <w:kern w:val="28"/>
      <w:sz w:val="32"/>
      <w:szCs w:val="32"/>
    </w:rPr>
  </w:style>
  <w:style w:type="character" w:customStyle="1" w:styleId="209">
    <w:name w:val="正文文本缩进 3 Char1"/>
    <w:basedOn w:val="43"/>
    <w:semiHidden/>
    <w:qFormat/>
    <w:uiPriority w:val="99"/>
    <w:rPr>
      <w:rFonts w:hint="default" w:ascii="Calibri" w:hAnsi="Calibri" w:eastAsia="宋体" w:cs="Times New Roman"/>
      <w:sz w:val="16"/>
      <w:szCs w:val="16"/>
    </w:rPr>
  </w:style>
  <w:style w:type="character" w:customStyle="1" w:styleId="210">
    <w:name w:val="批注框文本 Char1"/>
    <w:basedOn w:val="43"/>
    <w:semiHidden/>
    <w:qFormat/>
    <w:uiPriority w:val="99"/>
    <w:rPr>
      <w:rFonts w:hint="default" w:ascii="Calibri" w:hAnsi="Calibri" w:eastAsia="宋体" w:cs="Times New Roman"/>
      <w:sz w:val="18"/>
      <w:szCs w:val="18"/>
    </w:rPr>
  </w:style>
  <w:style w:type="character" w:customStyle="1" w:styleId="211">
    <w:name w:val="纯文本 Char2"/>
    <w:basedOn w:val="43"/>
    <w:qFormat/>
    <w:uiPriority w:val="99"/>
    <w:rPr>
      <w:rFonts w:hint="eastAsia" w:ascii="宋体" w:hAnsi="Courier New" w:eastAsia="宋体" w:cs="Courier New"/>
      <w:szCs w:val="21"/>
    </w:rPr>
  </w:style>
  <w:style w:type="character" w:customStyle="1" w:styleId="212">
    <w:name w:val="正文文本缩进 2 Char1"/>
    <w:basedOn w:val="43"/>
    <w:semiHidden/>
    <w:qFormat/>
    <w:uiPriority w:val="99"/>
    <w:rPr>
      <w:rFonts w:hint="default" w:ascii="Calibri" w:hAnsi="Calibri" w:eastAsia="宋体" w:cs="Times New Roman"/>
    </w:rPr>
  </w:style>
  <w:style w:type="character" w:customStyle="1" w:styleId="213">
    <w:name w:val="正文文本缩进 Char1"/>
    <w:basedOn w:val="43"/>
    <w:semiHidden/>
    <w:qFormat/>
    <w:uiPriority w:val="99"/>
    <w:rPr>
      <w:rFonts w:hint="default" w:ascii="Calibri" w:hAnsi="Calibri" w:eastAsia="宋体" w:cs="Times New Roman"/>
    </w:rPr>
  </w:style>
  <w:style w:type="character" w:customStyle="1" w:styleId="214">
    <w:name w:val="正文文本 2 Char1"/>
    <w:basedOn w:val="43"/>
    <w:semiHidden/>
    <w:qFormat/>
    <w:uiPriority w:val="99"/>
    <w:rPr>
      <w:rFonts w:hint="default" w:ascii="Calibri" w:hAnsi="Calibri" w:eastAsia="宋体" w:cs="Times New Roman"/>
    </w:rPr>
  </w:style>
  <w:style w:type="character" w:customStyle="1" w:styleId="215">
    <w:name w:val="正文文本 Char3"/>
    <w:basedOn w:val="43"/>
    <w:qFormat/>
    <w:locked/>
    <w:uiPriority w:val="0"/>
    <w:rPr>
      <w:rFonts w:ascii="Calibri" w:hAnsi="Calibri" w:eastAsia="宋体"/>
      <w:kern w:val="2"/>
      <w:sz w:val="21"/>
      <w:szCs w:val="22"/>
    </w:rPr>
  </w:style>
  <w:style w:type="character" w:customStyle="1" w:styleId="216">
    <w:name w:val="正文首行缩进 Char1"/>
    <w:basedOn w:val="215"/>
    <w:semiHidden/>
    <w:qFormat/>
    <w:uiPriority w:val="99"/>
    <w:rPr>
      <w:rFonts w:ascii="Calibri" w:hAnsi="Calibri" w:eastAsia="宋体"/>
      <w:kern w:val="2"/>
      <w:sz w:val="21"/>
      <w:szCs w:val="22"/>
    </w:rPr>
  </w:style>
  <w:style w:type="character" w:customStyle="1" w:styleId="217">
    <w:name w:val="批注文字 Char1"/>
    <w:basedOn w:val="43"/>
    <w:semiHidden/>
    <w:qFormat/>
    <w:uiPriority w:val="0"/>
    <w:rPr>
      <w:rFonts w:hint="default" w:ascii="Calibri" w:hAnsi="Calibri" w:eastAsia="宋体" w:cs="Times New Roman"/>
    </w:rPr>
  </w:style>
  <w:style w:type="character" w:customStyle="1" w:styleId="218">
    <w:name w:val="正文文本 3 Char1"/>
    <w:basedOn w:val="43"/>
    <w:semiHidden/>
    <w:qFormat/>
    <w:uiPriority w:val="99"/>
    <w:rPr>
      <w:rFonts w:hint="default" w:ascii="Calibri" w:hAnsi="Calibri" w:eastAsia="宋体" w:cs="Times New Roman"/>
      <w:sz w:val="16"/>
      <w:szCs w:val="16"/>
    </w:rPr>
  </w:style>
  <w:style w:type="character" w:customStyle="1" w:styleId="219">
    <w:name w:val="文档结构图 Char1"/>
    <w:basedOn w:val="43"/>
    <w:semiHidden/>
    <w:qFormat/>
    <w:uiPriority w:val="99"/>
    <w:rPr>
      <w:rFonts w:hint="eastAsia" w:ascii="宋体" w:hAnsi="Calibri" w:eastAsia="宋体" w:cs="Times New Roman"/>
      <w:sz w:val="18"/>
      <w:szCs w:val="18"/>
    </w:rPr>
  </w:style>
  <w:style w:type="character" w:customStyle="1" w:styleId="220">
    <w:name w:val="font21"/>
    <w:qFormat/>
    <w:uiPriority w:val="0"/>
    <w:rPr>
      <w:rFonts w:hint="eastAsia" w:ascii="仿宋_GB2312" w:eastAsia="仿宋_GB2312" w:cs="仿宋_GB2312"/>
      <w:color w:val="000000"/>
      <w:sz w:val="24"/>
      <w:szCs w:val="24"/>
      <w:u w:val="none"/>
    </w:rPr>
  </w:style>
  <w:style w:type="paragraph" w:customStyle="1" w:styleId="221">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Table Paragraph"/>
    <w:basedOn w:val="1"/>
    <w:qFormat/>
    <w:uiPriority w:val="1"/>
    <w:rPr>
      <w:rFonts w:ascii="宋体" w:hAnsi="宋体" w:cs="宋体"/>
      <w:lang w:eastAsia="en-US" w:bidi="en-US"/>
    </w:rPr>
  </w:style>
  <w:style w:type="character" w:customStyle="1" w:styleId="223">
    <w:name w:val="font41"/>
    <w:qFormat/>
    <w:uiPriority w:val="0"/>
    <w:rPr>
      <w:rFonts w:hint="default" w:ascii="Calibri" w:hAnsi="Calibri" w:cs="Calibri"/>
      <w:color w:val="000000"/>
      <w:sz w:val="20"/>
      <w:szCs w:val="20"/>
      <w:u w:val="none"/>
    </w:rPr>
  </w:style>
  <w:style w:type="character" w:customStyle="1" w:styleId="224">
    <w:name w:val="NormalCharacter"/>
    <w:qFormat/>
    <w:uiPriority w:val="0"/>
  </w:style>
  <w:style w:type="character" w:customStyle="1" w:styleId="225">
    <w:name w:val="sugg-loading"/>
    <w:basedOn w:val="43"/>
    <w:qFormat/>
    <w:uiPriority w:val="0"/>
  </w:style>
  <w:style w:type="paragraph" w:styleId="226">
    <w:name w:val="List Paragraph"/>
    <w:basedOn w:val="1"/>
    <w:link w:val="229"/>
    <w:qFormat/>
    <w:uiPriority w:val="34"/>
    <w:pPr>
      <w:ind w:firstLine="420" w:firstLineChars="200"/>
    </w:pPr>
  </w:style>
  <w:style w:type="character" w:customStyle="1" w:styleId="227">
    <w:name w:val="正文文本 Char4"/>
    <w:basedOn w:val="43"/>
    <w:qFormat/>
    <w:locked/>
    <w:uiPriority w:val="99"/>
    <w:rPr>
      <w:rFonts w:ascii="Calibri" w:hAnsi="Calibri" w:eastAsia="宋体" w:cs="Times New Roman"/>
    </w:rPr>
  </w:style>
  <w:style w:type="paragraph" w:customStyle="1" w:styleId="228">
    <w:name w:val="列出段落111"/>
    <w:basedOn w:val="1"/>
    <w:qFormat/>
    <w:uiPriority w:val="99"/>
    <w:pPr>
      <w:widowControl/>
      <w:ind w:firstLine="420" w:firstLineChars="200"/>
      <w:jc w:val="left"/>
    </w:pPr>
    <w:rPr>
      <w:rFonts w:ascii="Times New Roman" w:hAnsi="Times New Roman"/>
      <w:kern w:val="0"/>
      <w:sz w:val="24"/>
      <w:szCs w:val="24"/>
      <w:lang w:val="zh-CN"/>
    </w:rPr>
  </w:style>
  <w:style w:type="character" w:customStyle="1" w:styleId="229">
    <w:name w:val="列出段落 字符1"/>
    <w:link w:val="226"/>
    <w:qFormat/>
    <w:locked/>
    <w:uiPriority w:val="34"/>
    <w:rPr>
      <w:rFonts w:ascii="Calibri" w:hAnsi="Calibri"/>
      <w:kern w:val="2"/>
      <w:sz w:val="21"/>
      <w:szCs w:val="22"/>
    </w:rPr>
  </w:style>
  <w:style w:type="paragraph" w:customStyle="1" w:styleId="230">
    <w:name w:val="列表段落1"/>
    <w:basedOn w:val="1"/>
    <w:qFormat/>
    <w:uiPriority w:val="34"/>
    <w:pPr>
      <w:ind w:firstLine="420" w:firstLineChars="200"/>
    </w:pPr>
    <w:rPr>
      <w:rFonts w:ascii="宋体" w:hAnsi="宋体" w:cs="宋体"/>
      <w:sz w:val="28"/>
      <w:szCs w:val="28"/>
    </w:rPr>
  </w:style>
  <w:style w:type="paragraph" w:customStyle="1" w:styleId="231">
    <w:name w:val="idp-ltr-html-li"/>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2">
    <w:name w:val="_Style 10"/>
    <w:basedOn w:val="1"/>
    <w:next w:val="226"/>
    <w:qFormat/>
    <w:uiPriority w:val="0"/>
    <w:pPr>
      <w:ind w:firstLine="420" w:firstLineChars="200"/>
    </w:pPr>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21CC50-2309-49BD-8600-D8455D1CE2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35455</Words>
  <Characters>37438</Characters>
  <Lines>46</Lines>
  <Paragraphs>79</Paragraphs>
  <TotalTime>14</TotalTime>
  <ScaleCrop>false</ScaleCrop>
  <LinksUpToDate>false</LinksUpToDate>
  <CharactersWithSpaces>39046</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2021-11-22T01:24:00Z</dcterms:created>
  <dc:creator>高文豪</dc:creator>
  <cp:lastModifiedBy>陈霞</cp:lastModifiedBy>
  <cp:lastPrinted>2021-12-13T07:23:00Z</cp:lastPrinted>
  <dcterms:modified xsi:type="dcterms:W3CDTF">2022-01-27T02:00:48Z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16B5CA6511C34F73B8F080E64963CC25</vt:lpwstr>
  </property>
</Properties>
</file>