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highlight w:val="none"/>
          <w:lang w:val="en-US" w:eastAsia="zh-CN"/>
        </w:rPr>
      </w:pPr>
    </w:p>
    <w:p>
      <w:pPr>
        <w:jc w:val="center"/>
        <w:rPr>
          <w:rFonts w:hint="eastAsia" w:ascii="宋体" w:hAnsi="宋体" w:eastAsia="宋体" w:cs="宋体"/>
          <w:b/>
          <w:color w:val="auto"/>
          <w:sz w:val="30"/>
          <w:szCs w:val="30"/>
          <w:highlight w:val="none"/>
        </w:rPr>
      </w:pPr>
      <w:r>
        <w:rPr>
          <w:rFonts w:hint="eastAsia" w:ascii="宋体" w:hAnsi="宋体" w:eastAsia="宋体" w:cs="宋体"/>
          <w:color w:val="auto"/>
          <w:highlight w:val="none"/>
        </w:rPr>
        <w:drawing>
          <wp:inline distT="0" distB="0" distL="114300" distR="114300">
            <wp:extent cx="2786380" cy="1874520"/>
            <wp:effectExtent l="0" t="0" r="13970" b="1143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1"/>
                    <a:stretch>
                      <a:fillRect/>
                    </a:stretch>
                  </pic:blipFill>
                  <pic:spPr>
                    <a:xfrm>
                      <a:off x="0" y="0"/>
                      <a:ext cx="2786380" cy="1874520"/>
                    </a:xfrm>
                    <a:prstGeom prst="rect">
                      <a:avLst/>
                    </a:prstGeom>
                    <a:noFill/>
                    <a:ln>
                      <a:noFill/>
                    </a:ln>
                  </pic:spPr>
                </pic:pic>
              </a:graphicData>
            </a:graphic>
          </wp:inline>
        </w:drawing>
      </w:r>
    </w:p>
    <w:p>
      <w:pPr>
        <w:jc w:val="center"/>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项目编号：</w:t>
      </w:r>
      <w:r>
        <w:rPr>
          <w:rFonts w:hint="eastAsia" w:hAnsi="宋体" w:eastAsia="宋体" w:cs="宋体"/>
          <w:b/>
          <w:color w:val="auto"/>
          <w:sz w:val="30"/>
          <w:szCs w:val="30"/>
          <w:highlight w:val="none"/>
          <w:lang w:eastAsia="zh-CN"/>
        </w:rPr>
        <w:t>510101202101162</w:t>
      </w:r>
    </w:p>
    <w:p>
      <w:pPr>
        <w:pStyle w:val="2"/>
        <w:rPr>
          <w:rFonts w:hint="eastAsia" w:ascii="宋体" w:hAnsi="宋体" w:eastAsia="宋体" w:cs="宋体"/>
          <w:color w:val="auto"/>
          <w:highlight w:val="none"/>
        </w:rPr>
      </w:pPr>
    </w:p>
    <w:p>
      <w:pPr>
        <w:pStyle w:val="6"/>
        <w:ind w:firstLine="0" w:firstLineChars="0"/>
        <w:jc w:val="center"/>
        <w:rPr>
          <w:rFonts w:hint="eastAsia" w:ascii="宋体" w:hAnsi="宋体" w:eastAsia="宋体" w:cs="宋体"/>
          <w:b/>
          <w:color w:val="auto"/>
          <w:sz w:val="48"/>
          <w:szCs w:val="48"/>
          <w:highlight w:val="none"/>
          <w:lang w:eastAsia="zh-CN"/>
        </w:rPr>
      </w:pPr>
      <w:r>
        <w:rPr>
          <w:rFonts w:hint="eastAsia" w:ascii="宋体" w:hAnsi="宋体" w:eastAsia="宋体" w:cs="宋体"/>
          <w:b/>
          <w:color w:val="auto"/>
          <w:sz w:val="48"/>
          <w:szCs w:val="48"/>
          <w:highlight w:val="none"/>
          <w:lang w:eastAsia="zh-CN"/>
        </w:rPr>
        <w:t>成都市公安局“12·18专案”部分涉案项目审计服务项目</w:t>
      </w:r>
    </w:p>
    <w:p>
      <w:pPr>
        <w:pStyle w:val="7"/>
        <w:spacing w:after="231"/>
        <w:ind w:firstLine="0" w:firstLineChars="0"/>
        <w:rPr>
          <w:rFonts w:hint="eastAsia" w:ascii="宋体" w:hAnsi="宋体" w:eastAsia="宋体" w:cs="宋体"/>
          <w:color w:val="auto"/>
          <w:highlight w:val="none"/>
        </w:rPr>
      </w:pPr>
    </w:p>
    <w:p>
      <w:pPr>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竞争性谈判文件</w:t>
      </w:r>
    </w:p>
    <w:p>
      <w:pPr>
        <w:pStyle w:val="6"/>
        <w:ind w:firstLine="653"/>
        <w:rPr>
          <w:rFonts w:hint="eastAsia" w:ascii="宋体" w:hAnsi="宋体" w:eastAsia="宋体" w:cs="宋体"/>
          <w:b/>
          <w:color w:val="auto"/>
          <w:sz w:val="32"/>
          <w:szCs w:val="32"/>
          <w:highlight w:val="none"/>
        </w:rPr>
      </w:pPr>
    </w:p>
    <w:p>
      <w:pPr>
        <w:pStyle w:val="6"/>
        <w:ind w:firstLine="653"/>
        <w:rPr>
          <w:rFonts w:hint="eastAsia" w:ascii="宋体" w:hAnsi="宋体" w:eastAsia="宋体" w:cs="宋体"/>
          <w:b/>
          <w:color w:val="auto"/>
          <w:sz w:val="32"/>
          <w:szCs w:val="32"/>
          <w:highlight w:val="none"/>
        </w:rPr>
      </w:pPr>
    </w:p>
    <w:p>
      <w:pPr>
        <w:pStyle w:val="6"/>
        <w:ind w:firstLine="0" w:firstLineChars="0"/>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中国·四川（成都）</w:t>
      </w: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zh-CN"/>
        </w:rPr>
        <w:t>四川中意招标有限公司、成都市公安局</w:t>
      </w:r>
      <w:r>
        <w:rPr>
          <w:rFonts w:hint="eastAsia" w:ascii="宋体" w:hAnsi="宋体" w:eastAsia="宋体" w:cs="宋体"/>
          <w:b/>
          <w:color w:val="auto"/>
          <w:sz w:val="32"/>
          <w:szCs w:val="32"/>
          <w:highlight w:val="none"/>
        </w:rPr>
        <w:t>共同编制</w:t>
      </w:r>
    </w:p>
    <w:p>
      <w:pPr>
        <w:spacing w:line="360" w:lineRule="auto"/>
        <w:ind w:firstLine="3965" w:firstLineChars="1300"/>
        <w:rPr>
          <w:rFonts w:hint="eastAsia" w:ascii="宋体" w:hAnsi="宋体" w:eastAsia="宋体" w:cs="宋体"/>
          <w:b/>
          <w:bCs/>
          <w:color w:val="auto"/>
          <w:sz w:val="32"/>
          <w:szCs w:val="32"/>
          <w:highlight w:val="none"/>
          <w:lang w:val="zh-CN"/>
        </w:rPr>
      </w:pPr>
      <w:r>
        <w:rPr>
          <w:rFonts w:hint="eastAsia" w:ascii="宋体" w:hAnsi="宋体" w:eastAsia="宋体" w:cs="宋体"/>
          <w:b/>
          <w:color w:val="auto"/>
          <w:sz w:val="30"/>
          <w:szCs w:val="30"/>
          <w:highlight w:val="none"/>
        </w:rPr>
        <w:t>20</w:t>
      </w:r>
      <w:r>
        <w:rPr>
          <w:rFonts w:hint="eastAsia" w:ascii="宋体" w:hAnsi="宋体" w:eastAsia="宋体" w:cs="宋体"/>
          <w:b/>
          <w:color w:val="auto"/>
          <w:sz w:val="30"/>
          <w:szCs w:val="30"/>
          <w:highlight w:val="none"/>
          <w:lang w:val="en-US" w:eastAsia="zh-CN"/>
        </w:rPr>
        <w:t>21</w:t>
      </w:r>
      <w:r>
        <w:rPr>
          <w:rFonts w:hint="eastAsia" w:ascii="宋体" w:hAnsi="宋体" w:eastAsia="宋体" w:cs="宋体"/>
          <w:b/>
          <w:color w:val="auto"/>
          <w:sz w:val="30"/>
          <w:szCs w:val="30"/>
          <w:highlight w:val="none"/>
        </w:rPr>
        <w:t>年</w:t>
      </w:r>
      <w:r>
        <w:rPr>
          <w:rFonts w:hint="eastAsia" w:hAnsi="宋体" w:eastAsia="宋体" w:cs="宋体"/>
          <w:b/>
          <w:color w:val="auto"/>
          <w:sz w:val="30"/>
          <w:szCs w:val="30"/>
          <w:highlight w:val="none"/>
          <w:lang w:val="en-US" w:eastAsia="zh-CN"/>
        </w:rPr>
        <w:t>8</w:t>
      </w:r>
      <w:r>
        <w:rPr>
          <w:rFonts w:hint="eastAsia" w:ascii="宋体" w:hAnsi="宋体" w:eastAsia="宋体" w:cs="宋体"/>
          <w:b/>
          <w:color w:val="auto"/>
          <w:sz w:val="30"/>
          <w:szCs w:val="30"/>
          <w:highlight w:val="none"/>
          <w:lang w:val="en-US" w:eastAsia="zh-CN"/>
        </w:rPr>
        <w:t>月</w:t>
      </w:r>
    </w:p>
    <w:p>
      <w:pPr>
        <w:rPr>
          <w:rFonts w:hint="eastAsia" w:ascii="宋体" w:hAnsi="宋体" w:eastAsia="宋体" w:cs="宋体"/>
          <w:b/>
          <w:bCs/>
          <w:color w:val="auto"/>
          <w:sz w:val="22"/>
          <w:szCs w:val="18"/>
          <w:highlight w:val="none"/>
        </w:rPr>
      </w:pPr>
      <w:bookmarkStart w:id="0" w:name="_Hlt101233737"/>
      <w:bookmarkEnd w:id="0"/>
      <w:bookmarkStart w:id="1" w:name="_Hlt101843627"/>
      <w:bookmarkEnd w:id="1"/>
    </w:p>
    <w:p>
      <w:pPr>
        <w:rPr>
          <w:rFonts w:hint="eastAsia" w:ascii="宋体" w:hAnsi="宋体" w:eastAsia="宋体" w:cs="宋体"/>
          <w:b/>
          <w:bCs/>
          <w:color w:val="auto"/>
          <w:sz w:val="22"/>
          <w:szCs w:val="18"/>
          <w:highlight w:val="none"/>
        </w:rPr>
        <w:sectPr>
          <w:footerReference r:id="rId5" w:type="first"/>
          <w:headerReference r:id="rId3" w:type="default"/>
          <w:footerReference r:id="rId4" w:type="default"/>
          <w:pgSz w:w="11850" w:h="16783"/>
          <w:pgMar w:top="1440" w:right="1083" w:bottom="1440" w:left="1083" w:header="851" w:footer="992" w:gutter="0"/>
          <w:pgNumType w:start="1"/>
          <w:cols w:space="720" w:num="1"/>
          <w:docGrid w:type="linesAndChars" w:linePitch="463" w:charSpace="1024"/>
        </w:sectPr>
      </w:pPr>
      <w:r>
        <w:rPr>
          <w:rFonts w:hint="eastAsia" w:ascii="宋体" w:hAnsi="宋体" w:eastAsia="宋体" w:cs="宋体"/>
          <w:b/>
          <w:bCs/>
          <w:color w:val="auto"/>
          <w:sz w:val="22"/>
          <w:szCs w:val="18"/>
          <w:highlight w:val="none"/>
        </w:rPr>
        <w:t xml:space="preserve">标书编号：ZY20210571SC-CD-C </w:t>
      </w: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廉洁自律书</w:t>
      </w:r>
      <w:permStart w:id="0" w:edGrp="everyone"/>
      <w:permEnd w:id="0"/>
    </w:p>
    <w:p>
      <w:pPr>
        <w:spacing w:line="560" w:lineRule="exact"/>
        <w:ind w:firstLine="49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为进一步规范四川中意招标有限公司政府采购行为，为采购人、供应商营造公平竞争的政府采购市场环境，维护政府采购制度。四川中意招标有限公司在代理政府采购事务过程中承诺：</w:t>
      </w:r>
    </w:p>
    <w:p>
      <w:pPr>
        <w:spacing w:line="560" w:lineRule="exact"/>
        <w:ind w:firstLine="49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坚持客观、公平、公正原则，按照法律制度规定和委托代理协议的约定办理政府采购事宜，规范代理行为，恪守职业道德，努力提高专业能力，确保服务质量；诚实守信，勤勉尽责，积极维护国家利益、社会公共利益和政府采购相关当事人的合法权益。</w:t>
      </w:r>
    </w:p>
    <w:p>
      <w:pPr>
        <w:spacing w:line="560" w:lineRule="exact"/>
        <w:ind w:firstLine="49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二、公司员工遵纪守法，杜绝以不正当手段争取、承揽代理政府采购事务和向任何单位和个人支付现金、实物或其他利益的行为。</w:t>
      </w:r>
    </w:p>
    <w:p>
      <w:pPr>
        <w:spacing w:line="560" w:lineRule="exact"/>
        <w:ind w:left="17" w:leftChars="5" w:firstLine="467" w:firstLineChars="19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公司员工自觉抵制商业贿赂，防止规定特定条件对供应商实行差别待遇或歧视待遇等行为发生，防止泄露标底或透露对供应商的评审有关情况、中标（成交）候选供应商的推荐情况以及有关商业秘密、与供应商或采购单位恶意串通等损害国家利益、社会公共利益和政府采购相关当事人合法权益行为发生。</w:t>
      </w:r>
    </w:p>
    <w:p>
      <w:pPr>
        <w:spacing w:line="560" w:lineRule="exact"/>
        <w:ind w:firstLine="49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公司员工不接受供应商的礼金、有价证券和贵重物品，不在供应商报销任何应由个人支付的费用，不以任何形式向供应商索要和收受回扣或变相收受贿赂。不参加可能对公正执行采购工作有影响的宴请或娱乐活动。</w:t>
      </w:r>
    </w:p>
    <w:p>
      <w:pPr>
        <w:spacing w:line="560" w:lineRule="exact"/>
        <w:ind w:firstLine="49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五、公司员工不在供应商单位兼职和任职，与供应商不存在商业上的利害关系，不泄漏政府采购过程中的机密，在正常的业务交往中，不故意刁难供应商，影响正常的业务开展。</w:t>
      </w:r>
    </w:p>
    <w:p>
      <w:pPr>
        <w:spacing w:line="560" w:lineRule="exact"/>
        <w:ind w:firstLine="49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质量控制部监督电话：028-870500</w:t>
      </w: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转2014</w:t>
      </w:r>
    </w:p>
    <w:p>
      <w:pPr>
        <w:spacing w:line="560" w:lineRule="exact"/>
        <w:ind w:firstLine="49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质量控制部监督电子邮箱：s.c.zyzb@163.com</w:t>
      </w:r>
    </w:p>
    <w:p>
      <w:pPr>
        <w:pStyle w:val="6"/>
        <w:spacing w:line="360" w:lineRule="exact"/>
        <w:ind w:firstLine="490"/>
        <w:jc w:val="right"/>
        <w:rPr>
          <w:rFonts w:hint="eastAsia" w:ascii="宋体" w:hAnsi="宋体" w:eastAsia="宋体" w:cs="宋体"/>
          <w:color w:val="auto"/>
          <w:sz w:val="24"/>
          <w:highlight w:val="none"/>
        </w:rPr>
      </w:pPr>
    </w:p>
    <w:p>
      <w:pPr>
        <w:pStyle w:val="6"/>
        <w:spacing w:line="360" w:lineRule="exact"/>
        <w:ind w:firstLine="49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pStyle w:val="6"/>
        <w:spacing w:line="360" w:lineRule="exact"/>
        <w:ind w:firstLine="490"/>
        <w:jc w:val="right"/>
        <w:rPr>
          <w:rFonts w:hint="eastAsia" w:ascii="宋体" w:hAnsi="宋体" w:eastAsia="宋体" w:cs="宋体"/>
          <w:color w:val="auto"/>
          <w:kern w:val="0"/>
          <w:sz w:val="28"/>
          <w:szCs w:val="28"/>
          <w:highlight w:val="none"/>
        </w:rPr>
      </w:pPr>
      <w:r>
        <w:rPr>
          <w:rFonts w:hint="eastAsia" w:ascii="宋体" w:hAnsi="宋体" w:eastAsia="宋体" w:cs="宋体"/>
          <w:color w:val="auto"/>
          <w:sz w:val="24"/>
          <w:highlight w:val="none"/>
        </w:rPr>
        <w:t>四川中意招标有限公司</w:t>
      </w:r>
      <w:r>
        <w:rPr>
          <w:rFonts w:hint="eastAsia" w:ascii="宋体" w:hAnsi="宋体" w:eastAsia="宋体" w:cs="宋体"/>
          <w:color w:val="auto"/>
          <w:kern w:val="0"/>
          <w:sz w:val="28"/>
          <w:szCs w:val="28"/>
          <w:highlight w:val="none"/>
        </w:rPr>
        <w:t xml:space="preserve"> </w:t>
      </w:r>
    </w:p>
    <w:p>
      <w:pP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br w:type="page"/>
      </w:r>
    </w:p>
    <w:p>
      <w:pPr>
        <w:spacing w:before="66"/>
        <w:ind w:right="4083"/>
        <w:jc w:val="center"/>
        <w:rPr>
          <w:rFonts w:hint="eastAsia" w:ascii="宋体" w:hAnsi="宋体" w:eastAsia="宋体" w:cs="宋体"/>
          <w:b/>
          <w:color w:val="auto"/>
          <w:sz w:val="32"/>
          <w:highlight w:val="none"/>
        </w:rPr>
      </w:pP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“政采贷”业务</w:t>
      </w:r>
    </w:p>
    <w:p>
      <w:pPr>
        <w:pStyle w:val="2"/>
        <w:keepNext w:val="0"/>
        <w:keepLines w:val="0"/>
        <w:pageBreakBefore w:val="0"/>
        <w:widowControl w:val="0"/>
        <w:kinsoku/>
        <w:wordWrap/>
        <w:overflowPunct/>
        <w:topLinePunct w:val="0"/>
        <w:autoSpaceDE/>
        <w:autoSpaceDN/>
        <w:bidi w:val="0"/>
        <w:adjustRightInd/>
        <w:snapToGrid/>
        <w:spacing w:line="440" w:lineRule="exact"/>
        <w:ind w:right="0" w:firstLine="49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根据《四川省财政厅关于推进四川省政府采购供应商信用融资工作的通知》</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2"/>
          <w:sz w:val="24"/>
          <w:szCs w:val="24"/>
          <w:highlight w:val="none"/>
        </w:rPr>
        <w:t>川财采[2018]123</w:t>
      </w:r>
      <w:r>
        <w:rPr>
          <w:rFonts w:hint="eastAsia" w:ascii="宋体" w:hAnsi="宋体" w:eastAsia="宋体" w:cs="宋体"/>
          <w:color w:val="auto"/>
          <w:spacing w:val="-20"/>
          <w:sz w:val="24"/>
          <w:szCs w:val="24"/>
          <w:highlight w:val="none"/>
        </w:rPr>
        <w:t xml:space="preserve"> 号文</w:t>
      </w:r>
      <w:r>
        <w:rPr>
          <w:rFonts w:hint="eastAsia" w:ascii="宋体" w:hAnsi="宋体" w:eastAsia="宋体" w:cs="宋体"/>
          <w:color w:val="auto"/>
          <w:spacing w:val="-5"/>
          <w:sz w:val="24"/>
          <w:szCs w:val="24"/>
          <w:highlight w:val="none"/>
        </w:rPr>
        <w:t>）的通知，</w:t>
      </w:r>
      <w:r>
        <w:rPr>
          <w:rFonts w:hint="eastAsia" w:ascii="宋体" w:hAnsi="宋体" w:eastAsia="宋体" w:cs="宋体"/>
          <w:color w:val="auto"/>
          <w:spacing w:val="-5"/>
          <w:sz w:val="24"/>
          <w:szCs w:val="24"/>
          <w:highlight w:val="none"/>
          <w:lang w:val="zh-CN"/>
        </w:rPr>
        <w:t>为助力解决政府采购中标、成交供应商资金不足</w:t>
      </w:r>
      <w:r>
        <w:rPr>
          <w:rFonts w:hint="eastAsia" w:ascii="宋体" w:hAnsi="宋体" w:eastAsia="宋体" w:cs="宋体"/>
          <w:color w:val="auto"/>
          <w:spacing w:val="-5"/>
          <w:sz w:val="24"/>
          <w:szCs w:val="24"/>
          <w:highlight w:val="none"/>
        </w:rPr>
        <w:t>、融资难、融资贵的</w:t>
      </w:r>
      <w:r>
        <w:rPr>
          <w:rFonts w:hint="eastAsia" w:ascii="宋体" w:hAnsi="宋体" w:eastAsia="宋体" w:cs="宋体"/>
          <w:color w:val="auto"/>
          <w:spacing w:val="-9"/>
          <w:sz w:val="24"/>
          <w:szCs w:val="24"/>
          <w:highlight w:val="none"/>
        </w:rPr>
        <w:t>问题，有融资需求的供应商可根据四川政府采购网公示的银行及其“政采贷”产品，自行</w:t>
      </w:r>
      <w:r>
        <w:rPr>
          <w:rFonts w:hint="eastAsia" w:ascii="宋体" w:hAnsi="宋体" w:eastAsia="宋体" w:cs="宋体"/>
          <w:color w:val="auto"/>
          <w:spacing w:val="-6"/>
          <w:sz w:val="24"/>
          <w:szCs w:val="24"/>
          <w:highlight w:val="none"/>
        </w:rPr>
        <w:t>选择符合自身情况的“政采贷”银行及其产品，凭中标</w:t>
      </w:r>
      <w:r>
        <w:rPr>
          <w:rFonts w:hint="eastAsia" w:ascii="宋体" w:hAnsi="宋体" w:eastAsia="宋体" w:cs="宋体"/>
          <w:color w:val="auto"/>
          <w:sz w:val="24"/>
          <w:szCs w:val="24"/>
          <w:highlight w:val="none"/>
        </w:rPr>
        <w:t>（成交</w:t>
      </w: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2"/>
          <w:sz w:val="24"/>
          <w:szCs w:val="24"/>
          <w:highlight w:val="none"/>
        </w:rPr>
        <w:t>通知书向银行提出贷款意向</w:t>
      </w:r>
      <w:r>
        <w:rPr>
          <w:rFonts w:hint="eastAsia" w:ascii="宋体" w:hAnsi="宋体" w:eastAsia="宋体" w:cs="宋体"/>
          <w:color w:val="auto"/>
          <w:sz w:val="24"/>
          <w:szCs w:val="24"/>
          <w:highlight w:val="none"/>
        </w:rPr>
        <w:t>申请（详细要求及流程见“川财采[2018]123</w:t>
      </w:r>
      <w:r>
        <w:rPr>
          <w:rFonts w:hint="eastAsia" w:ascii="宋体" w:hAnsi="宋体" w:eastAsia="宋体" w:cs="宋体"/>
          <w:color w:val="auto"/>
          <w:spacing w:val="-20"/>
          <w:sz w:val="24"/>
          <w:szCs w:val="24"/>
          <w:highlight w:val="none"/>
        </w:rPr>
        <w:t xml:space="preserve"> 号文</w:t>
      </w:r>
      <w:r>
        <w:rPr>
          <w:rFonts w:hint="eastAsia" w:ascii="宋体" w:hAnsi="宋体" w:eastAsia="宋体" w:cs="宋体"/>
          <w:color w:val="auto"/>
          <w:sz w:val="24"/>
          <w:szCs w:val="24"/>
          <w:highlight w:val="none"/>
        </w:rPr>
        <w:t>”）。</w:t>
      </w:r>
    </w:p>
    <w:p>
      <w:pPr>
        <w:pStyle w:val="2"/>
        <w:rPr>
          <w:rFonts w:hint="eastAsia" w:ascii="宋体" w:hAnsi="宋体" w:eastAsia="宋体" w:cs="宋体"/>
          <w:color w:val="auto"/>
          <w:sz w:val="15"/>
          <w:highlight w:val="none"/>
        </w:rPr>
      </w:pPr>
    </w:p>
    <w:tbl>
      <w:tblPr>
        <w:tblStyle w:val="30"/>
        <w:tblW w:w="9037" w:type="dxa"/>
        <w:tblInd w:w="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67"/>
        <w:gridCol w:w="53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037" w:type="dxa"/>
            <w:gridSpan w:val="2"/>
            <w:noWrap w:val="0"/>
            <w:vAlign w:val="top"/>
          </w:tcPr>
          <w:p>
            <w:pPr>
              <w:pStyle w:val="54"/>
              <w:spacing w:before="71"/>
              <w:ind w:left="2600" w:right="259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开展“政采贷”业务的银行名单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3667" w:type="dxa"/>
            <w:noWrap w:val="0"/>
            <w:vAlign w:val="top"/>
          </w:tcPr>
          <w:p>
            <w:pPr>
              <w:pStyle w:val="54"/>
              <w:rPr>
                <w:rFonts w:hint="eastAsia" w:ascii="宋体" w:hAnsi="宋体" w:eastAsia="宋体" w:cs="宋体"/>
                <w:color w:val="auto"/>
                <w:sz w:val="24"/>
                <w:highlight w:val="none"/>
              </w:rPr>
            </w:pPr>
            <w:r>
              <w:rPr>
                <w:rFonts w:hint="eastAsia" w:ascii="宋体" w:hAnsi="宋体" w:eastAsia="宋体" w:cs="宋体"/>
                <w:color w:val="auto"/>
                <w:sz w:val="24"/>
                <w:highlight w:val="none"/>
              </w:rPr>
              <w:t>1.中国建设银行四川省分行</w:t>
            </w:r>
          </w:p>
        </w:tc>
        <w:tc>
          <w:tcPr>
            <w:tcW w:w="5370" w:type="dxa"/>
            <w:noWrap w:val="0"/>
            <w:vAlign w:val="top"/>
          </w:tcPr>
          <w:p>
            <w:pPr>
              <w:pStyle w:val="54"/>
              <w:ind w:left="14"/>
              <w:rPr>
                <w:rFonts w:hint="eastAsia" w:ascii="宋体" w:hAnsi="宋体" w:eastAsia="宋体" w:cs="宋体"/>
                <w:color w:val="auto"/>
                <w:sz w:val="24"/>
                <w:highlight w:val="none"/>
              </w:rPr>
            </w:pPr>
            <w:r>
              <w:rPr>
                <w:rFonts w:hint="eastAsia" w:ascii="宋体" w:hAnsi="宋体" w:eastAsia="宋体" w:cs="宋体"/>
                <w:color w:val="auto"/>
                <w:sz w:val="24"/>
                <w:highlight w:val="none"/>
              </w:rPr>
              <w:t>14.渤海银行成都分行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3667" w:type="dxa"/>
            <w:noWrap w:val="0"/>
            <w:vAlign w:val="top"/>
          </w:tcPr>
          <w:p>
            <w:pPr>
              <w:pStyle w:val="54"/>
              <w:spacing w:before="98"/>
              <w:rPr>
                <w:rFonts w:hint="eastAsia" w:ascii="宋体" w:hAnsi="宋体" w:eastAsia="宋体" w:cs="宋体"/>
                <w:color w:val="auto"/>
                <w:sz w:val="24"/>
                <w:highlight w:val="none"/>
              </w:rPr>
            </w:pPr>
            <w:r>
              <w:rPr>
                <w:rFonts w:hint="eastAsia" w:ascii="宋体" w:hAnsi="宋体" w:eastAsia="宋体" w:cs="宋体"/>
                <w:color w:val="auto"/>
                <w:sz w:val="24"/>
                <w:highlight w:val="none"/>
              </w:rPr>
              <w:t>2.中国工商银行四川省分行</w:t>
            </w:r>
          </w:p>
        </w:tc>
        <w:tc>
          <w:tcPr>
            <w:tcW w:w="5370" w:type="dxa"/>
            <w:noWrap w:val="0"/>
            <w:vAlign w:val="top"/>
          </w:tcPr>
          <w:p>
            <w:pPr>
              <w:pStyle w:val="54"/>
              <w:spacing w:before="98"/>
              <w:ind w:left="14"/>
              <w:rPr>
                <w:rFonts w:hint="eastAsia" w:ascii="宋体" w:hAnsi="宋体" w:eastAsia="宋体" w:cs="宋体"/>
                <w:color w:val="auto"/>
                <w:sz w:val="24"/>
                <w:highlight w:val="none"/>
              </w:rPr>
            </w:pPr>
            <w:r>
              <w:rPr>
                <w:rFonts w:hint="eastAsia" w:ascii="宋体" w:hAnsi="宋体" w:eastAsia="宋体" w:cs="宋体"/>
                <w:color w:val="auto"/>
                <w:sz w:val="24"/>
                <w:highlight w:val="none"/>
              </w:rPr>
              <w:t>15.雅安农村商业银行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3667" w:type="dxa"/>
            <w:noWrap w:val="0"/>
            <w:vAlign w:val="top"/>
          </w:tcPr>
          <w:p>
            <w:pPr>
              <w:pStyle w:val="54"/>
              <w:rPr>
                <w:rFonts w:hint="eastAsia" w:ascii="宋体" w:hAnsi="宋体" w:eastAsia="宋体" w:cs="宋体"/>
                <w:color w:val="auto"/>
                <w:sz w:val="24"/>
                <w:highlight w:val="none"/>
              </w:rPr>
            </w:pPr>
            <w:r>
              <w:rPr>
                <w:rFonts w:hint="eastAsia" w:ascii="宋体" w:hAnsi="宋体" w:eastAsia="宋体" w:cs="宋体"/>
                <w:color w:val="auto"/>
                <w:sz w:val="24"/>
                <w:highlight w:val="none"/>
              </w:rPr>
              <w:t>3.中国农业银行四川省分行</w:t>
            </w:r>
          </w:p>
        </w:tc>
        <w:tc>
          <w:tcPr>
            <w:tcW w:w="5370" w:type="dxa"/>
            <w:noWrap w:val="0"/>
            <w:vAlign w:val="top"/>
          </w:tcPr>
          <w:p>
            <w:pPr>
              <w:pStyle w:val="54"/>
              <w:ind w:left="14"/>
              <w:rPr>
                <w:rFonts w:hint="eastAsia" w:ascii="宋体" w:hAnsi="宋体" w:eastAsia="宋体" w:cs="宋体"/>
                <w:color w:val="auto"/>
                <w:sz w:val="24"/>
                <w:highlight w:val="none"/>
              </w:rPr>
            </w:pPr>
            <w:r>
              <w:rPr>
                <w:rFonts w:hint="eastAsia" w:ascii="宋体" w:hAnsi="宋体" w:eastAsia="宋体" w:cs="宋体"/>
                <w:color w:val="auto"/>
                <w:sz w:val="24"/>
                <w:highlight w:val="none"/>
              </w:rPr>
              <w:t>16.雅安市商业银行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2" w:hRule="atLeast"/>
        </w:trPr>
        <w:tc>
          <w:tcPr>
            <w:tcW w:w="3667" w:type="dxa"/>
            <w:noWrap w:val="0"/>
            <w:vAlign w:val="top"/>
          </w:tcPr>
          <w:p>
            <w:pPr>
              <w:pStyle w:val="54"/>
              <w:rPr>
                <w:rFonts w:hint="eastAsia" w:ascii="宋体" w:hAnsi="宋体" w:eastAsia="宋体" w:cs="宋体"/>
                <w:color w:val="auto"/>
                <w:sz w:val="24"/>
                <w:highlight w:val="none"/>
              </w:rPr>
            </w:pPr>
            <w:r>
              <w:rPr>
                <w:rFonts w:hint="eastAsia" w:ascii="宋体" w:hAnsi="宋体" w:eastAsia="宋体" w:cs="宋体"/>
                <w:color w:val="auto"/>
                <w:sz w:val="24"/>
                <w:highlight w:val="none"/>
              </w:rPr>
              <w:t>4.中国银行四川省分行</w:t>
            </w:r>
          </w:p>
        </w:tc>
        <w:tc>
          <w:tcPr>
            <w:tcW w:w="5370" w:type="dxa"/>
            <w:noWrap w:val="0"/>
            <w:vAlign w:val="top"/>
          </w:tcPr>
          <w:p>
            <w:pPr>
              <w:pStyle w:val="54"/>
              <w:ind w:left="14"/>
              <w:rPr>
                <w:rFonts w:hint="eastAsia" w:ascii="宋体" w:hAnsi="宋体" w:eastAsia="宋体" w:cs="宋体"/>
                <w:color w:val="auto"/>
                <w:sz w:val="24"/>
                <w:highlight w:val="none"/>
              </w:rPr>
            </w:pPr>
            <w:r>
              <w:rPr>
                <w:rFonts w:hint="eastAsia" w:ascii="宋体" w:hAnsi="宋体" w:eastAsia="宋体" w:cs="宋体"/>
                <w:color w:val="auto"/>
                <w:sz w:val="24"/>
                <w:highlight w:val="none"/>
              </w:rPr>
              <w:t>17.眉山农村商业银行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3667" w:type="dxa"/>
            <w:noWrap w:val="0"/>
            <w:vAlign w:val="top"/>
          </w:tcPr>
          <w:p>
            <w:pPr>
              <w:pStyle w:val="54"/>
              <w:spacing w:before="98"/>
              <w:rPr>
                <w:rFonts w:hint="eastAsia" w:ascii="宋体" w:hAnsi="宋体" w:eastAsia="宋体" w:cs="宋体"/>
                <w:color w:val="auto"/>
                <w:sz w:val="24"/>
                <w:highlight w:val="none"/>
              </w:rPr>
            </w:pPr>
            <w:r>
              <w:rPr>
                <w:rFonts w:hint="eastAsia" w:ascii="宋体" w:hAnsi="宋体" w:eastAsia="宋体" w:cs="宋体"/>
                <w:color w:val="auto"/>
                <w:sz w:val="24"/>
                <w:highlight w:val="none"/>
              </w:rPr>
              <w:t>5.交通银行四川省分行</w:t>
            </w:r>
          </w:p>
        </w:tc>
        <w:tc>
          <w:tcPr>
            <w:tcW w:w="5370" w:type="dxa"/>
            <w:noWrap w:val="0"/>
            <w:vAlign w:val="top"/>
          </w:tcPr>
          <w:p>
            <w:pPr>
              <w:pStyle w:val="54"/>
              <w:spacing w:before="98"/>
              <w:ind w:left="14"/>
              <w:rPr>
                <w:rFonts w:hint="eastAsia" w:ascii="宋体" w:hAnsi="宋体" w:eastAsia="宋体" w:cs="宋体"/>
                <w:color w:val="auto"/>
                <w:sz w:val="24"/>
                <w:highlight w:val="none"/>
              </w:rPr>
            </w:pPr>
            <w:r>
              <w:rPr>
                <w:rFonts w:hint="eastAsia" w:ascii="宋体" w:hAnsi="宋体" w:eastAsia="宋体" w:cs="宋体"/>
                <w:color w:val="auto"/>
                <w:sz w:val="24"/>
                <w:highlight w:val="none"/>
              </w:rPr>
              <w:t>18.乐山市商业银行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3667" w:type="dxa"/>
            <w:noWrap w:val="0"/>
            <w:vAlign w:val="top"/>
          </w:tcPr>
          <w:p>
            <w:pPr>
              <w:pStyle w:val="54"/>
              <w:rPr>
                <w:rFonts w:hint="eastAsia" w:ascii="宋体" w:hAnsi="宋体" w:eastAsia="宋体" w:cs="宋体"/>
                <w:color w:val="auto"/>
                <w:sz w:val="24"/>
                <w:highlight w:val="none"/>
              </w:rPr>
            </w:pPr>
            <w:r>
              <w:rPr>
                <w:rFonts w:hint="eastAsia" w:ascii="宋体" w:hAnsi="宋体" w:eastAsia="宋体" w:cs="宋体"/>
                <w:color w:val="auto"/>
                <w:sz w:val="24"/>
                <w:highlight w:val="none"/>
              </w:rPr>
              <w:t>6.中国邮储银行四川省分行</w:t>
            </w:r>
          </w:p>
        </w:tc>
        <w:tc>
          <w:tcPr>
            <w:tcW w:w="5370" w:type="dxa"/>
            <w:noWrap w:val="0"/>
            <w:vAlign w:val="top"/>
          </w:tcPr>
          <w:p>
            <w:pPr>
              <w:pStyle w:val="54"/>
              <w:ind w:left="14"/>
              <w:rPr>
                <w:rFonts w:hint="eastAsia" w:ascii="宋体" w:hAnsi="宋体" w:eastAsia="宋体" w:cs="宋体"/>
                <w:color w:val="auto"/>
                <w:sz w:val="24"/>
                <w:highlight w:val="none"/>
              </w:rPr>
            </w:pPr>
            <w:r>
              <w:rPr>
                <w:rFonts w:hint="eastAsia" w:ascii="宋体" w:hAnsi="宋体" w:eastAsia="宋体" w:cs="宋体"/>
                <w:color w:val="auto"/>
                <w:sz w:val="24"/>
                <w:highlight w:val="none"/>
              </w:rPr>
              <w:t>19.乐山嘉州民富村镇银行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3667" w:type="dxa"/>
            <w:noWrap w:val="0"/>
            <w:vAlign w:val="top"/>
          </w:tcPr>
          <w:p>
            <w:pPr>
              <w:pStyle w:val="54"/>
              <w:rPr>
                <w:rFonts w:hint="eastAsia" w:ascii="宋体" w:hAnsi="宋体" w:eastAsia="宋体" w:cs="宋体"/>
                <w:color w:val="auto"/>
                <w:sz w:val="24"/>
                <w:highlight w:val="none"/>
              </w:rPr>
            </w:pPr>
            <w:r>
              <w:rPr>
                <w:rFonts w:hint="eastAsia" w:ascii="宋体" w:hAnsi="宋体" w:eastAsia="宋体" w:cs="宋体"/>
                <w:color w:val="auto"/>
                <w:sz w:val="24"/>
                <w:highlight w:val="none"/>
              </w:rPr>
              <w:t>7.华夏银行成都分行</w:t>
            </w:r>
          </w:p>
        </w:tc>
        <w:tc>
          <w:tcPr>
            <w:tcW w:w="5370" w:type="dxa"/>
            <w:noWrap w:val="0"/>
            <w:vAlign w:val="top"/>
          </w:tcPr>
          <w:p>
            <w:pPr>
              <w:pStyle w:val="54"/>
              <w:ind w:left="14"/>
              <w:rPr>
                <w:rFonts w:hint="eastAsia" w:ascii="宋体" w:hAnsi="宋体" w:eastAsia="宋体" w:cs="宋体"/>
                <w:color w:val="auto"/>
                <w:sz w:val="24"/>
                <w:highlight w:val="none"/>
              </w:rPr>
            </w:pPr>
            <w:r>
              <w:rPr>
                <w:rFonts w:hint="eastAsia" w:ascii="宋体" w:hAnsi="宋体" w:eastAsia="宋体" w:cs="宋体"/>
                <w:color w:val="auto"/>
                <w:sz w:val="24"/>
                <w:highlight w:val="none"/>
              </w:rPr>
              <w:t>20.绵阳市商业银行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1" w:hRule="atLeast"/>
        </w:trPr>
        <w:tc>
          <w:tcPr>
            <w:tcW w:w="3667" w:type="dxa"/>
            <w:noWrap w:val="0"/>
            <w:vAlign w:val="top"/>
          </w:tcPr>
          <w:p>
            <w:pPr>
              <w:pStyle w:val="54"/>
              <w:spacing w:before="98"/>
              <w:rPr>
                <w:rFonts w:hint="eastAsia" w:ascii="宋体" w:hAnsi="宋体" w:eastAsia="宋体" w:cs="宋体"/>
                <w:color w:val="auto"/>
                <w:sz w:val="24"/>
                <w:highlight w:val="none"/>
              </w:rPr>
            </w:pPr>
            <w:r>
              <w:rPr>
                <w:rFonts w:hint="eastAsia" w:ascii="宋体" w:hAnsi="宋体" w:eastAsia="宋体" w:cs="宋体"/>
                <w:color w:val="auto"/>
                <w:sz w:val="24"/>
                <w:highlight w:val="none"/>
              </w:rPr>
              <w:t>8.民生银行成都分行</w:t>
            </w:r>
          </w:p>
        </w:tc>
        <w:tc>
          <w:tcPr>
            <w:tcW w:w="5370" w:type="dxa"/>
            <w:noWrap w:val="0"/>
            <w:vAlign w:val="top"/>
          </w:tcPr>
          <w:p>
            <w:pPr>
              <w:pStyle w:val="54"/>
              <w:spacing w:before="98"/>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21.四川省农村信用社联合社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6" w:hRule="atLeast"/>
        </w:trPr>
        <w:tc>
          <w:tcPr>
            <w:tcW w:w="3667" w:type="dxa"/>
            <w:noWrap w:val="0"/>
            <w:vAlign w:val="top"/>
          </w:tcPr>
          <w:p>
            <w:pPr>
              <w:pStyle w:val="54"/>
              <w:spacing w:before="205"/>
              <w:rPr>
                <w:rFonts w:hint="eastAsia" w:ascii="宋体" w:hAnsi="宋体" w:eastAsia="宋体" w:cs="宋体"/>
                <w:color w:val="auto"/>
                <w:sz w:val="24"/>
                <w:highlight w:val="none"/>
              </w:rPr>
            </w:pPr>
            <w:r>
              <w:rPr>
                <w:rFonts w:hint="eastAsia" w:ascii="宋体" w:hAnsi="宋体" w:eastAsia="宋体" w:cs="宋体"/>
                <w:color w:val="auto"/>
                <w:sz w:val="24"/>
                <w:highlight w:val="none"/>
              </w:rPr>
              <w:t>9.四川天府银行</w:t>
            </w:r>
          </w:p>
        </w:tc>
        <w:tc>
          <w:tcPr>
            <w:tcW w:w="5370" w:type="dxa"/>
            <w:noWrap w:val="0"/>
            <w:vAlign w:val="top"/>
          </w:tcPr>
          <w:p>
            <w:pPr>
              <w:pStyle w:val="54"/>
              <w:spacing w:before="205"/>
              <w:ind w:left="14"/>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22.平安银行股份有限公司成都分行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667" w:type="dxa"/>
            <w:noWrap w:val="0"/>
            <w:vAlign w:val="top"/>
          </w:tcPr>
          <w:p>
            <w:pPr>
              <w:pStyle w:val="54"/>
              <w:spacing w:before="101"/>
              <w:rPr>
                <w:rFonts w:hint="eastAsia" w:ascii="宋体" w:hAnsi="宋体" w:eastAsia="宋体" w:cs="宋体"/>
                <w:color w:val="auto"/>
                <w:sz w:val="24"/>
                <w:highlight w:val="none"/>
              </w:rPr>
            </w:pPr>
            <w:r>
              <w:rPr>
                <w:rFonts w:hint="eastAsia" w:ascii="宋体" w:hAnsi="宋体" w:eastAsia="宋体" w:cs="宋体"/>
                <w:color w:val="auto"/>
                <w:sz w:val="24"/>
                <w:highlight w:val="none"/>
              </w:rPr>
              <w:t>10.兴业银行成都分行</w:t>
            </w:r>
          </w:p>
        </w:tc>
        <w:tc>
          <w:tcPr>
            <w:tcW w:w="5370" w:type="dxa"/>
            <w:noWrap w:val="0"/>
            <w:vAlign w:val="top"/>
          </w:tcPr>
          <w:p>
            <w:pPr>
              <w:pStyle w:val="54"/>
              <w:spacing w:before="101"/>
              <w:ind w:left="14"/>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23.上海浦东发展银行股份有限公司成都分行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667" w:type="dxa"/>
            <w:noWrap w:val="0"/>
            <w:vAlign w:val="top"/>
          </w:tcPr>
          <w:p>
            <w:pPr>
              <w:pStyle w:val="54"/>
              <w:spacing w:before="101"/>
              <w:rPr>
                <w:rFonts w:hint="eastAsia" w:ascii="宋体" w:hAnsi="宋体" w:eastAsia="宋体" w:cs="宋体"/>
                <w:color w:val="auto"/>
                <w:sz w:val="24"/>
                <w:highlight w:val="none"/>
              </w:rPr>
            </w:pPr>
            <w:r>
              <w:rPr>
                <w:rFonts w:hint="eastAsia" w:ascii="宋体" w:hAnsi="宋体" w:eastAsia="宋体" w:cs="宋体"/>
                <w:color w:val="auto"/>
                <w:sz w:val="24"/>
                <w:highlight w:val="none"/>
              </w:rPr>
              <w:t>11.成都银行</w:t>
            </w:r>
          </w:p>
        </w:tc>
        <w:tc>
          <w:tcPr>
            <w:tcW w:w="5370" w:type="dxa"/>
            <w:noWrap w:val="0"/>
            <w:vAlign w:val="top"/>
          </w:tcPr>
          <w:p>
            <w:pPr>
              <w:pStyle w:val="54"/>
              <w:spacing w:before="101"/>
              <w:ind w:left="14"/>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24.雅安雨城惠民村镇银行有限责任公司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667" w:type="dxa"/>
            <w:noWrap w:val="0"/>
            <w:vAlign w:val="top"/>
          </w:tcPr>
          <w:p>
            <w:pPr>
              <w:pStyle w:val="54"/>
              <w:spacing w:before="101"/>
              <w:rPr>
                <w:rFonts w:hint="eastAsia" w:ascii="宋体" w:hAnsi="宋体" w:eastAsia="宋体" w:cs="宋体"/>
                <w:color w:val="auto"/>
                <w:sz w:val="24"/>
                <w:highlight w:val="none"/>
              </w:rPr>
            </w:pPr>
            <w:r>
              <w:rPr>
                <w:rFonts w:hint="eastAsia" w:ascii="宋体" w:hAnsi="宋体" w:eastAsia="宋体" w:cs="宋体"/>
                <w:color w:val="auto"/>
                <w:sz w:val="24"/>
                <w:highlight w:val="none"/>
              </w:rPr>
              <w:t>12.成都农村商业银行</w:t>
            </w:r>
          </w:p>
        </w:tc>
        <w:tc>
          <w:tcPr>
            <w:tcW w:w="5370" w:type="dxa"/>
            <w:noWrap w:val="0"/>
            <w:vAlign w:val="top"/>
          </w:tcPr>
          <w:p>
            <w:pPr>
              <w:pStyle w:val="54"/>
              <w:spacing w:before="101"/>
              <w:ind w:left="14"/>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25.自贡银行股份有限公司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8" w:hRule="atLeast"/>
        </w:trPr>
        <w:tc>
          <w:tcPr>
            <w:tcW w:w="3667" w:type="dxa"/>
            <w:noWrap w:val="0"/>
            <w:vAlign w:val="top"/>
          </w:tcPr>
          <w:p>
            <w:pPr>
              <w:pStyle w:val="54"/>
              <w:spacing w:before="101"/>
              <w:rPr>
                <w:rFonts w:hint="eastAsia" w:ascii="宋体" w:hAnsi="宋体" w:eastAsia="宋体" w:cs="宋体"/>
                <w:color w:val="auto"/>
                <w:sz w:val="24"/>
                <w:highlight w:val="none"/>
              </w:rPr>
            </w:pPr>
            <w:r>
              <w:rPr>
                <w:rFonts w:hint="eastAsia" w:ascii="宋体" w:hAnsi="宋体" w:eastAsia="宋体" w:cs="宋体"/>
                <w:color w:val="auto"/>
                <w:sz w:val="24"/>
                <w:highlight w:val="none"/>
              </w:rPr>
              <w:t>13.上海银行成都分行</w:t>
            </w:r>
          </w:p>
        </w:tc>
        <w:tc>
          <w:tcPr>
            <w:tcW w:w="5370" w:type="dxa"/>
            <w:noWrap w:val="0"/>
            <w:vAlign w:val="top"/>
          </w:tcPr>
          <w:p>
            <w:pPr>
              <w:pStyle w:val="54"/>
              <w:spacing w:before="101"/>
              <w:ind w:left="14"/>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26.宜宾市商业银行股份有限公司</w:t>
            </w:r>
          </w:p>
        </w:tc>
      </w:tr>
    </w:tbl>
    <w:p>
      <w:pPr>
        <w:pStyle w:val="7"/>
        <w:rPr>
          <w:rFonts w:hint="eastAsia" w:ascii="宋体" w:hAnsi="宋体" w:eastAsia="宋体" w:cs="宋体"/>
          <w:color w:val="auto"/>
          <w:highlight w:val="none"/>
        </w:rPr>
      </w:pPr>
    </w:p>
    <w:p>
      <w:pPr>
        <w:pStyle w:val="6"/>
        <w:ind w:firstLine="0" w:firstLineChars="0"/>
        <w:rPr>
          <w:rFonts w:hint="eastAsia" w:ascii="宋体" w:hAnsi="宋体" w:eastAsia="宋体" w:cs="宋体"/>
          <w:color w:val="auto"/>
          <w:highlight w:val="none"/>
        </w:rPr>
        <w:sectPr>
          <w:footerReference r:id="rId6" w:type="default"/>
          <w:pgSz w:w="11850" w:h="16783"/>
          <w:pgMar w:top="1440" w:right="1083" w:bottom="1440" w:left="1083" w:header="851" w:footer="992" w:gutter="0"/>
          <w:pgNumType w:start="1"/>
          <w:cols w:space="720" w:num="1"/>
          <w:docGrid w:type="linesAndChars" w:linePitch="463" w:charSpace="1024"/>
        </w:sectPr>
      </w:pPr>
    </w:p>
    <w:p>
      <w:pPr>
        <w:ind w:right="0" w:rightChars="0"/>
        <w:jc w:val="center"/>
        <w:outlineLvl w:val="0"/>
        <w:rPr>
          <w:rFonts w:hint="eastAsia" w:ascii="宋体" w:hAnsi="宋体" w:eastAsia="宋体" w:cs="宋体"/>
          <w:b/>
          <w:bCs/>
          <w:color w:val="auto"/>
          <w:sz w:val="32"/>
          <w:szCs w:val="32"/>
          <w:highlight w:val="none"/>
        </w:rPr>
      </w:pPr>
      <w:bookmarkStart w:id="2" w:name="_Toc4616412"/>
      <w:r>
        <w:rPr>
          <w:rFonts w:hint="eastAsia" w:ascii="宋体" w:hAnsi="宋体" w:eastAsia="宋体" w:cs="宋体"/>
          <w:b/>
          <w:bCs/>
          <w:color w:val="auto"/>
          <w:sz w:val="36"/>
          <w:szCs w:val="32"/>
          <w:highlight w:val="none"/>
        </w:rPr>
        <w:t>目   录</w:t>
      </w:r>
      <w:bookmarkEnd w:id="2"/>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TOC \o "1-3" \h \z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"_Toc4616412"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end"/>
      </w:r>
    </w:p>
    <w:p>
      <w:pPr>
        <w:pStyle w:val="50"/>
        <w:tabs>
          <w:tab w:val="right" w:leader="dot" w:pos="9320"/>
        </w:tabs>
        <w:spacing w:line="360" w:lineRule="auto"/>
        <w:ind w:right="0" w:right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"_Toc4616413"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  谈判邀请</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_Toc4616413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50"/>
        <w:tabs>
          <w:tab w:val="right" w:leader="dot" w:pos="9320"/>
        </w:tabs>
        <w:spacing w:line="360" w:lineRule="auto"/>
        <w:ind w:right="0" w:right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"_Toc4616427"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谈判须知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p>
      <w:pPr>
        <w:pStyle w:val="50"/>
        <w:tabs>
          <w:tab w:val="right" w:leader="dot" w:pos="9320"/>
        </w:tabs>
        <w:spacing w:line="360" w:lineRule="auto"/>
        <w:ind w:right="0" w:right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"_Toc4616479"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  供应商资格条件要求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2</w:t>
      </w:r>
    </w:p>
    <w:p>
      <w:pPr>
        <w:pStyle w:val="50"/>
        <w:tabs>
          <w:tab w:val="right" w:leader="dot" w:pos="9320"/>
        </w:tabs>
        <w:spacing w:line="360" w:lineRule="auto"/>
        <w:ind w:right="0" w:right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"_Toc4616480"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  供应商资格证明材料</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_Toc4616480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50"/>
        <w:tabs>
          <w:tab w:val="right" w:leader="dot" w:pos="9320"/>
        </w:tabs>
        <w:spacing w:line="360" w:lineRule="auto"/>
        <w:ind w:right="0" w:right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"_Toc4616481"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第五章  采购项目技术、服务、政府采购合同内容条款及其他商务要求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_Toc4616481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50"/>
        <w:tabs>
          <w:tab w:val="right" w:leader="dot" w:pos="9320"/>
        </w:tabs>
        <w:spacing w:line="360" w:lineRule="auto"/>
        <w:ind w:right="0" w:right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"_Toc4616484"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第六章  谈判内容、谈判过程中可能实质性变动的内容</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30</w:t>
      </w:r>
    </w:p>
    <w:p>
      <w:pPr>
        <w:pStyle w:val="50"/>
        <w:tabs>
          <w:tab w:val="right" w:leader="dot" w:pos="9320"/>
        </w:tabs>
        <w:spacing w:line="360" w:lineRule="auto"/>
        <w:ind w:right="0" w:right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"_Toc4616485"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第七章  响应文件格式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31</w:t>
      </w:r>
      <w:r>
        <w:rPr>
          <w:rFonts w:hint="eastAsia" w:ascii="宋体" w:hAnsi="宋体" w:eastAsia="宋体" w:cs="宋体"/>
          <w:color w:val="auto"/>
          <w:sz w:val="28"/>
          <w:szCs w:val="28"/>
          <w:highlight w:val="none"/>
        </w:rPr>
        <w:fldChar w:fldCharType="end"/>
      </w:r>
    </w:p>
    <w:p>
      <w:pPr>
        <w:pStyle w:val="50"/>
        <w:tabs>
          <w:tab w:val="right" w:leader="dot" w:pos="9320"/>
        </w:tabs>
        <w:spacing w:line="360" w:lineRule="auto"/>
        <w:ind w:right="0" w:right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"_Toc4616525"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第八章  评审方法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 xml:space="preserve"> 59</w:t>
      </w:r>
      <w:r>
        <w:rPr>
          <w:rFonts w:hint="eastAsia" w:ascii="宋体" w:hAnsi="宋体" w:eastAsia="宋体" w:cs="宋体"/>
          <w:color w:val="auto"/>
          <w:sz w:val="28"/>
          <w:szCs w:val="28"/>
          <w:highlight w:val="none"/>
        </w:rPr>
        <w:fldChar w:fldCharType="end"/>
      </w:r>
    </w:p>
    <w:p>
      <w:pPr>
        <w:pStyle w:val="50"/>
        <w:tabs>
          <w:tab w:val="right" w:leader="dot" w:pos="9320"/>
        </w:tabs>
        <w:spacing w:line="360" w:lineRule="auto"/>
        <w:ind w:right="0" w:right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"_Toc4616534"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第九章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政府采购合同（草案）</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 xml:space="preserve"> 68</w:t>
      </w:r>
    </w:p>
    <w:p>
      <w:pPr>
        <w:pStyle w:val="50"/>
        <w:tabs>
          <w:tab w:val="right" w:leader="dot" w:pos="9684"/>
        </w:tabs>
        <w:spacing w:line="360" w:lineRule="auto"/>
        <w:ind w:right="0" w:rightChars="0"/>
        <w:rPr>
          <w:rFonts w:hint="eastAsia" w:ascii="宋体" w:hAnsi="宋体" w:eastAsia="宋体" w:cs="宋体"/>
          <w:color w:val="auto"/>
          <w:sz w:val="28"/>
          <w:szCs w:val="28"/>
          <w:highlight w:val="none"/>
          <w:lang w:val="en-US" w:eastAsia="zh-CN"/>
        </w:rPr>
      </w:pPr>
    </w:p>
    <w:p>
      <w:pPr>
        <w:pStyle w:val="50"/>
        <w:tabs>
          <w:tab w:val="right" w:leader="dot" w:pos="9684"/>
        </w:tabs>
        <w:spacing w:line="360" w:lineRule="auto"/>
        <w:ind w:right="0" w:rightChars="0"/>
        <w:rPr>
          <w:rFonts w:hint="eastAsia" w:ascii="宋体" w:hAnsi="宋体" w:eastAsia="宋体" w:cs="宋体"/>
          <w:color w:val="auto"/>
          <w:highlight w:val="none"/>
        </w:rPr>
      </w:pPr>
      <w:r>
        <w:rPr>
          <w:rFonts w:hint="eastAsia" w:ascii="宋体" w:hAnsi="宋体" w:eastAsia="宋体" w:cs="宋体"/>
          <w:color w:val="auto"/>
          <w:sz w:val="28"/>
          <w:szCs w:val="28"/>
          <w:highlight w:val="none"/>
        </w:rPr>
        <w:fldChar w:fldCharType="end"/>
      </w:r>
    </w:p>
    <w:p>
      <w:pPr>
        <w:pStyle w:val="50"/>
        <w:tabs>
          <w:tab w:val="left" w:pos="7190"/>
        </w:tabs>
        <w:ind w:right="0" w:right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ab/>
      </w:r>
    </w:p>
    <w:p>
      <w:pPr>
        <w:pStyle w:val="50"/>
        <w:tabs>
          <w:tab w:val="right" w:leader="dot" w:pos="8250"/>
        </w:tabs>
        <w:ind w:right="0" w:rightChars="0"/>
        <w:rPr>
          <w:rFonts w:hint="eastAsia" w:ascii="宋体" w:hAnsi="宋体" w:eastAsia="宋体" w:cs="宋体"/>
          <w:color w:val="auto"/>
          <w:highlight w:val="none"/>
        </w:rPr>
      </w:pPr>
    </w:p>
    <w:p>
      <w:pPr>
        <w:pStyle w:val="50"/>
        <w:tabs>
          <w:tab w:val="right" w:leader="dot" w:pos="8250"/>
        </w:tabs>
        <w:ind w:right="0" w:rightChars="0"/>
        <w:rPr>
          <w:rFonts w:hint="eastAsia" w:ascii="宋体" w:hAnsi="宋体" w:eastAsia="宋体" w:cs="宋体"/>
          <w:color w:val="auto"/>
          <w:highlight w:val="none"/>
        </w:rPr>
      </w:pPr>
    </w:p>
    <w:p>
      <w:pPr>
        <w:pStyle w:val="50"/>
        <w:tabs>
          <w:tab w:val="right" w:leader="dot" w:pos="8250"/>
        </w:tabs>
        <w:ind w:right="0" w:rightChars="0"/>
        <w:rPr>
          <w:rFonts w:hint="eastAsia" w:ascii="宋体" w:hAnsi="宋体" w:eastAsia="宋体" w:cs="宋体"/>
          <w:color w:val="auto"/>
          <w:highlight w:val="none"/>
        </w:rPr>
      </w:pPr>
    </w:p>
    <w:p>
      <w:pPr>
        <w:pStyle w:val="50"/>
        <w:tabs>
          <w:tab w:val="right" w:leader="dot" w:pos="8250"/>
        </w:tabs>
        <w:rPr>
          <w:rFonts w:hint="eastAsia" w:ascii="宋体" w:hAnsi="宋体" w:eastAsia="宋体" w:cs="宋体"/>
          <w:color w:val="auto"/>
          <w:highlight w:val="none"/>
        </w:rPr>
      </w:pPr>
    </w:p>
    <w:p>
      <w:pPr>
        <w:pStyle w:val="50"/>
        <w:tabs>
          <w:tab w:val="right" w:leader="dot" w:pos="8250"/>
        </w:tabs>
        <w:rPr>
          <w:rFonts w:hint="eastAsia" w:ascii="宋体" w:hAnsi="宋体" w:eastAsia="宋体" w:cs="宋体"/>
          <w:color w:val="auto"/>
          <w:highlight w:val="none"/>
        </w:rPr>
      </w:pPr>
    </w:p>
    <w:p>
      <w:pPr>
        <w:pStyle w:val="50"/>
        <w:tabs>
          <w:tab w:val="right" w:leader="dot" w:pos="8250"/>
        </w:tabs>
        <w:rPr>
          <w:rFonts w:hint="eastAsia" w:ascii="宋体" w:hAnsi="宋体" w:eastAsia="宋体" w:cs="宋体"/>
          <w:color w:val="auto"/>
          <w:highlight w:val="none"/>
        </w:rPr>
      </w:pPr>
    </w:p>
    <w:p>
      <w:pPr>
        <w:pStyle w:val="50"/>
        <w:tabs>
          <w:tab w:val="right" w:leader="dot" w:pos="8250"/>
        </w:tabs>
        <w:rPr>
          <w:rFonts w:hint="eastAsia" w:ascii="宋体" w:hAnsi="宋体" w:eastAsia="宋体" w:cs="宋体"/>
          <w:color w:val="auto"/>
          <w:highlight w:val="none"/>
        </w:rPr>
      </w:pPr>
    </w:p>
    <w:p>
      <w:pPr>
        <w:pStyle w:val="50"/>
        <w:tabs>
          <w:tab w:val="right" w:leader="dot" w:pos="8250"/>
        </w:tabs>
        <w:rPr>
          <w:rFonts w:hint="eastAsia" w:ascii="宋体" w:hAnsi="宋体" w:eastAsia="宋体" w:cs="宋体"/>
          <w:color w:val="auto"/>
          <w:highlight w:val="none"/>
        </w:rPr>
      </w:pPr>
    </w:p>
    <w:p>
      <w:pPr>
        <w:pStyle w:val="50"/>
        <w:tabs>
          <w:tab w:val="right" w:leader="dot" w:pos="8250"/>
        </w:tabs>
        <w:rPr>
          <w:rFonts w:hint="eastAsia" w:ascii="宋体" w:hAnsi="宋体" w:eastAsia="宋体" w:cs="宋体"/>
          <w:color w:val="auto"/>
          <w:highlight w:val="none"/>
        </w:rPr>
      </w:pPr>
    </w:p>
    <w:p>
      <w:pPr>
        <w:pStyle w:val="50"/>
        <w:tabs>
          <w:tab w:val="right" w:leader="dot" w:pos="8250"/>
        </w:tabs>
        <w:rPr>
          <w:rFonts w:hint="eastAsia" w:ascii="宋体" w:hAnsi="宋体" w:eastAsia="宋体" w:cs="宋体"/>
          <w:color w:val="auto"/>
          <w:highlight w:val="none"/>
        </w:rPr>
      </w:pPr>
    </w:p>
    <w:p>
      <w:pPr>
        <w:pStyle w:val="3"/>
        <w:keepNext w:val="0"/>
        <w:keepLines w:val="0"/>
        <w:spacing w:before="260" w:after="260" w:line="360" w:lineRule="exact"/>
        <w:jc w:val="center"/>
        <w:rPr>
          <w:rFonts w:hint="eastAsia" w:ascii="宋体" w:hAnsi="宋体" w:eastAsia="宋体" w:cs="宋体"/>
          <w:color w:val="auto"/>
          <w:highlight w:val="none"/>
        </w:rPr>
      </w:pPr>
      <w:bookmarkStart w:id="344" w:name="_GoBack"/>
      <w:bookmarkEnd w:id="344"/>
      <w:bookmarkStart w:id="3" w:name="_Toc4616413"/>
      <w:bookmarkStart w:id="4" w:name="_Toc32175_WPSOffice_Level1"/>
      <w:r>
        <w:rPr>
          <w:rFonts w:hint="eastAsia" w:ascii="宋体" w:hAnsi="宋体" w:eastAsia="宋体" w:cs="宋体"/>
          <w:bCs w:val="0"/>
          <w:color w:val="auto"/>
          <w:sz w:val="36"/>
          <w:highlight w:val="none"/>
        </w:rPr>
        <w:t>第一章  谈判邀请</w:t>
      </w:r>
      <w:bookmarkEnd w:id="3"/>
      <w:bookmarkEnd w:id="4"/>
    </w:p>
    <w:p>
      <w:pPr>
        <w:spacing w:line="440" w:lineRule="exact"/>
        <w:ind w:firstLine="49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4"/>
          <w:highlight w:val="none"/>
          <w:u w:val="single"/>
        </w:rPr>
        <w:t>四川中意招标有限公司</w:t>
      </w:r>
      <w:r>
        <w:rPr>
          <w:rFonts w:hint="eastAsia" w:ascii="宋体" w:hAnsi="宋体" w:eastAsia="宋体" w:cs="宋体"/>
          <w:color w:val="auto"/>
          <w:sz w:val="24"/>
          <w:highlight w:val="none"/>
        </w:rPr>
        <w:t>（采购代理机构）受</w:t>
      </w:r>
      <w:r>
        <w:rPr>
          <w:rFonts w:hint="eastAsia" w:ascii="宋体" w:hAnsi="宋体" w:eastAsia="宋体" w:cs="宋体"/>
          <w:color w:val="auto"/>
          <w:sz w:val="24"/>
          <w:highlight w:val="none"/>
          <w:u w:val="single"/>
          <w:lang w:val="zh-CN"/>
        </w:rPr>
        <w:t>成都市公安局（</w:t>
      </w:r>
      <w:r>
        <w:rPr>
          <w:rFonts w:hint="eastAsia" w:ascii="宋体" w:hAnsi="宋体" w:eastAsia="宋体" w:cs="宋体"/>
          <w:bCs/>
          <w:color w:val="auto"/>
          <w:sz w:val="24"/>
          <w:highlight w:val="none"/>
        </w:rPr>
        <w:t>采购人）</w:t>
      </w:r>
      <w:r>
        <w:rPr>
          <w:rFonts w:hint="eastAsia" w:ascii="宋体" w:hAnsi="宋体" w:eastAsia="宋体" w:cs="宋体"/>
          <w:color w:val="auto"/>
          <w:sz w:val="24"/>
          <w:highlight w:val="none"/>
        </w:rPr>
        <w:t>委托，拟对</w:t>
      </w:r>
      <w:r>
        <w:rPr>
          <w:rFonts w:hint="eastAsia" w:hAnsi="宋体" w:eastAsia="宋体" w:cs="宋体"/>
          <w:color w:val="auto"/>
          <w:sz w:val="24"/>
          <w:highlight w:val="none"/>
          <w:u w:val="single"/>
          <w:lang w:eastAsia="zh-CN"/>
        </w:rPr>
        <w:t>成都市公安局“12·18专案”部分涉案项目审计服务项目</w:t>
      </w:r>
      <w:r>
        <w:rPr>
          <w:rFonts w:hint="eastAsia" w:ascii="宋体" w:hAnsi="宋体" w:eastAsia="宋体" w:cs="宋体"/>
          <w:color w:val="auto"/>
          <w:sz w:val="24"/>
          <w:szCs w:val="32"/>
          <w:highlight w:val="none"/>
        </w:rPr>
        <w:t>采用竞争性谈判方式</w:t>
      </w:r>
      <w:r>
        <w:rPr>
          <w:rFonts w:hint="eastAsia" w:ascii="宋体" w:hAnsi="宋体" w:eastAsia="宋体" w:cs="宋体"/>
          <w:color w:val="auto"/>
          <w:sz w:val="24"/>
          <w:highlight w:val="none"/>
        </w:rPr>
        <w:t>进行采购，特</w:t>
      </w:r>
      <w:r>
        <w:rPr>
          <w:rFonts w:hint="eastAsia" w:ascii="宋体" w:hAnsi="宋体" w:eastAsia="宋体" w:cs="宋体"/>
          <w:color w:val="auto"/>
          <w:sz w:val="24"/>
          <w:szCs w:val="28"/>
          <w:highlight w:val="none"/>
        </w:rPr>
        <w:t>邀请符合本次采购要求的供应商参加</w:t>
      </w:r>
      <w:r>
        <w:rPr>
          <w:rFonts w:hint="eastAsia" w:ascii="宋体" w:hAnsi="宋体" w:eastAsia="宋体" w:cs="宋体"/>
          <w:color w:val="auto"/>
          <w:sz w:val="24"/>
          <w:highlight w:val="none"/>
        </w:rPr>
        <w:t>本项目的竞争性谈判</w:t>
      </w:r>
      <w:r>
        <w:rPr>
          <w:rFonts w:hint="eastAsia" w:ascii="宋体" w:hAnsi="宋体" w:eastAsia="宋体" w:cs="宋体"/>
          <w:color w:val="auto"/>
          <w:sz w:val="24"/>
          <w:szCs w:val="28"/>
          <w:highlight w:val="none"/>
        </w:rPr>
        <w:t>。</w:t>
      </w:r>
    </w:p>
    <w:p>
      <w:pPr>
        <w:spacing w:line="440" w:lineRule="exact"/>
        <w:ind w:firstLine="490" w:firstLineChars="200"/>
        <w:outlineLvl w:val="2"/>
        <w:rPr>
          <w:rFonts w:hint="eastAsia" w:ascii="宋体" w:hAnsi="宋体" w:eastAsia="宋体" w:cs="宋体"/>
          <w:b/>
          <w:bCs/>
          <w:color w:val="auto"/>
          <w:sz w:val="24"/>
          <w:highlight w:val="none"/>
        </w:rPr>
      </w:pPr>
      <w:bookmarkStart w:id="5" w:name="_Toc4616414"/>
      <w:r>
        <w:rPr>
          <w:rFonts w:hint="eastAsia" w:ascii="宋体" w:hAnsi="宋体" w:eastAsia="宋体" w:cs="宋体"/>
          <w:b/>
          <w:bCs/>
          <w:color w:val="auto"/>
          <w:sz w:val="24"/>
          <w:highlight w:val="none"/>
        </w:rPr>
        <w:t>一、采购项目基本情况</w:t>
      </w:r>
      <w:bookmarkEnd w:id="5"/>
    </w:p>
    <w:p>
      <w:pPr>
        <w:spacing w:line="440" w:lineRule="exact"/>
        <w:ind w:firstLine="490" w:firstLineChars="200"/>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highlight w:val="none"/>
        </w:rPr>
        <w:t>1.项目编号：</w:t>
      </w:r>
      <w:r>
        <w:rPr>
          <w:rFonts w:hint="eastAsia" w:hAnsi="宋体" w:eastAsia="宋体" w:cs="宋体"/>
          <w:color w:val="auto"/>
          <w:sz w:val="24"/>
          <w:highlight w:val="none"/>
          <w:lang w:eastAsia="zh-CN"/>
        </w:rPr>
        <w:t>510101202101162</w:t>
      </w:r>
    </w:p>
    <w:p>
      <w:pPr>
        <w:spacing w:line="440" w:lineRule="exact"/>
        <w:ind w:firstLine="490" w:firstLineChars="200"/>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2.采购项目名称：</w:t>
      </w:r>
      <w:r>
        <w:rPr>
          <w:rFonts w:hint="eastAsia" w:hAnsi="宋体" w:eastAsia="宋体" w:cs="宋体"/>
          <w:color w:val="auto"/>
          <w:sz w:val="24"/>
          <w:highlight w:val="none"/>
          <w:u w:val="single"/>
          <w:lang w:eastAsia="zh-CN"/>
        </w:rPr>
        <w:t>成都市公安局“12·18专案”部分涉案项目审计服务项目</w:t>
      </w:r>
    </w:p>
    <w:p>
      <w:pPr>
        <w:spacing w:line="440" w:lineRule="exact"/>
        <w:ind w:firstLine="49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3.采购人：</w:t>
      </w:r>
      <w:r>
        <w:rPr>
          <w:rFonts w:hint="eastAsia" w:ascii="宋体" w:hAnsi="宋体" w:eastAsia="宋体" w:cs="宋体"/>
          <w:color w:val="auto"/>
          <w:sz w:val="24"/>
          <w:highlight w:val="none"/>
          <w:lang w:eastAsia="zh-CN"/>
        </w:rPr>
        <w:t>成都市公安局</w:t>
      </w:r>
    </w:p>
    <w:p>
      <w:pPr>
        <w:spacing w:line="44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4.采购代理机构：四川中意招标有限公司</w:t>
      </w:r>
    </w:p>
    <w:p>
      <w:pPr>
        <w:spacing w:line="440" w:lineRule="exact"/>
        <w:ind w:firstLine="490" w:firstLineChars="200"/>
        <w:outlineLvl w:val="2"/>
        <w:rPr>
          <w:rFonts w:hint="eastAsia" w:ascii="宋体" w:hAnsi="宋体" w:eastAsia="宋体" w:cs="宋体"/>
          <w:b/>
          <w:bCs/>
          <w:color w:val="auto"/>
          <w:sz w:val="24"/>
          <w:highlight w:val="none"/>
        </w:rPr>
      </w:pPr>
      <w:bookmarkStart w:id="6" w:name="_Toc4616415"/>
      <w:r>
        <w:rPr>
          <w:rFonts w:hint="eastAsia" w:ascii="宋体" w:hAnsi="宋体" w:eastAsia="宋体" w:cs="宋体"/>
          <w:b/>
          <w:bCs/>
          <w:color w:val="auto"/>
          <w:sz w:val="24"/>
          <w:highlight w:val="none"/>
        </w:rPr>
        <w:t>二、资金情况</w:t>
      </w:r>
      <w:bookmarkEnd w:id="6"/>
    </w:p>
    <w:p>
      <w:pPr>
        <w:spacing w:line="420" w:lineRule="exact"/>
        <w:ind w:firstLine="490" w:firstLineChars="200"/>
        <w:jc w:val="left"/>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highlight w:val="none"/>
        </w:rPr>
        <w:t>资金来源及金额：财政性资金。备案号：</w:t>
      </w:r>
      <w:r>
        <w:rPr>
          <w:rFonts w:hint="eastAsia" w:hAnsi="宋体" w:cs="宋体"/>
          <w:color w:val="auto"/>
          <w:sz w:val="24"/>
          <w:highlight w:val="none"/>
        </w:rPr>
        <w:t>(2021)</w:t>
      </w:r>
      <w:r>
        <w:rPr>
          <w:rFonts w:hint="eastAsia" w:hAnsi="宋体" w:eastAsia="宋体" w:cs="宋体"/>
          <w:color w:val="auto"/>
          <w:sz w:val="24"/>
          <w:highlight w:val="none"/>
          <w:lang w:val="en-US" w:eastAsia="zh-CN"/>
        </w:rPr>
        <w:t>2594</w:t>
      </w:r>
      <w:r>
        <w:rPr>
          <w:rFonts w:hint="eastAsia" w:hAnsi="宋体" w:cs="宋体"/>
          <w:color w:val="auto"/>
          <w:sz w:val="24"/>
          <w:highlight w:val="none"/>
        </w:rPr>
        <w:t>号</w:t>
      </w:r>
    </w:p>
    <w:p>
      <w:pPr>
        <w:tabs>
          <w:tab w:val="left" w:pos="7281"/>
        </w:tabs>
        <w:spacing w:after="120" w:line="440" w:lineRule="exact"/>
        <w:ind w:firstLine="490" w:firstLineChars="200"/>
        <w:outlineLvl w:val="2"/>
        <w:rPr>
          <w:rFonts w:hint="eastAsia" w:ascii="宋体" w:hAnsi="宋体" w:eastAsia="宋体" w:cs="宋体"/>
          <w:b/>
          <w:color w:val="auto"/>
          <w:sz w:val="24"/>
          <w:highlight w:val="none"/>
        </w:rPr>
      </w:pPr>
      <w:bookmarkStart w:id="7" w:name="_Toc4616416"/>
      <w:r>
        <w:rPr>
          <w:rFonts w:hint="eastAsia" w:ascii="宋体" w:hAnsi="宋体" w:eastAsia="宋体" w:cs="宋体"/>
          <w:b/>
          <w:color w:val="auto"/>
          <w:sz w:val="24"/>
          <w:highlight w:val="none"/>
        </w:rPr>
        <w:t>三</w:t>
      </w:r>
      <w:r>
        <w:rPr>
          <w:rFonts w:hint="eastAsia" w:ascii="宋体" w:hAnsi="宋体" w:eastAsia="宋体" w:cs="宋体"/>
          <w:b/>
          <w:bCs/>
          <w:color w:val="auto"/>
          <w:sz w:val="24"/>
          <w:highlight w:val="none"/>
        </w:rPr>
        <w:t>、</w:t>
      </w:r>
      <w:r>
        <w:rPr>
          <w:rFonts w:hint="eastAsia" w:ascii="宋体" w:hAnsi="宋体" w:eastAsia="宋体" w:cs="宋体"/>
          <w:b/>
          <w:color w:val="auto"/>
          <w:sz w:val="24"/>
          <w:highlight w:val="none"/>
        </w:rPr>
        <w:t>采购项目简介：</w:t>
      </w:r>
      <w:bookmarkEnd w:id="7"/>
    </w:p>
    <w:p>
      <w:pPr>
        <w:tabs>
          <w:tab w:val="left" w:pos="7281"/>
        </w:tabs>
        <w:spacing w:after="120" w:line="440" w:lineRule="exact"/>
        <w:ind w:firstLine="490" w:firstLineChars="200"/>
        <w:outlineLvl w:val="2"/>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本项目所属行业：</w:t>
      </w:r>
    </w:p>
    <w:tbl>
      <w:tblPr>
        <w:tblStyle w:val="30"/>
        <w:tblW w:w="975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3"/>
        <w:gridCol w:w="1785"/>
        <w:gridCol w:w="2430"/>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2593" w:type="dxa"/>
            <w:noWrap w:val="0"/>
            <w:vAlign w:val="center"/>
          </w:tcPr>
          <w:p>
            <w:pPr>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i w:val="0"/>
                <w:caps w:val="0"/>
                <w:color w:val="auto"/>
                <w:spacing w:val="0"/>
                <w:sz w:val="24"/>
                <w:szCs w:val="24"/>
                <w:highlight w:val="none"/>
                <w:shd w:val="clear" w:color="auto" w:fill="FFFFFF"/>
              </w:rPr>
              <w:t>农、林、牧、渔业</w:t>
            </w:r>
          </w:p>
        </w:tc>
        <w:tc>
          <w:tcPr>
            <w:tcW w:w="1785" w:type="dxa"/>
            <w:noWrap w:val="0"/>
            <w:vAlign w:val="center"/>
          </w:tcPr>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i w:val="0"/>
                <w:caps w:val="0"/>
                <w:color w:val="auto"/>
                <w:spacing w:val="0"/>
                <w:sz w:val="24"/>
                <w:szCs w:val="24"/>
                <w:highlight w:val="none"/>
                <w:shd w:val="clear" w:color="auto" w:fill="FFFFFF"/>
              </w:rPr>
              <w:t>工业</w:t>
            </w:r>
          </w:p>
        </w:tc>
        <w:tc>
          <w:tcPr>
            <w:tcW w:w="2430" w:type="dxa"/>
            <w:noWrap w:val="0"/>
            <w:vAlign w:val="center"/>
          </w:tcPr>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i w:val="0"/>
                <w:caps w:val="0"/>
                <w:color w:val="auto"/>
                <w:spacing w:val="0"/>
                <w:sz w:val="24"/>
                <w:szCs w:val="24"/>
                <w:highlight w:val="none"/>
                <w:shd w:val="clear" w:color="auto" w:fill="FFFFFF"/>
              </w:rPr>
              <w:t>建筑业</w:t>
            </w:r>
          </w:p>
        </w:tc>
        <w:tc>
          <w:tcPr>
            <w:tcW w:w="2949" w:type="dxa"/>
            <w:noWrap w:val="0"/>
            <w:vAlign w:val="center"/>
          </w:tcPr>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i w:val="0"/>
                <w:caps w:val="0"/>
                <w:color w:val="auto"/>
                <w:spacing w:val="0"/>
                <w:sz w:val="24"/>
                <w:szCs w:val="24"/>
                <w:highlight w:val="none"/>
                <w:shd w:val="clear" w:color="auto" w:fill="FFFFFF"/>
              </w:rPr>
              <w:t>批发业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593" w:type="dxa"/>
            <w:noWrap w:val="0"/>
            <w:vAlign w:val="center"/>
          </w:tcPr>
          <w:p>
            <w:pPr>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i w:val="0"/>
                <w:caps w:val="0"/>
                <w:color w:val="auto"/>
                <w:spacing w:val="0"/>
                <w:sz w:val="24"/>
                <w:szCs w:val="24"/>
                <w:highlight w:val="none"/>
                <w:shd w:val="clear" w:color="auto" w:fill="FFFFFF"/>
              </w:rPr>
              <w:t>零售业</w:t>
            </w:r>
          </w:p>
        </w:tc>
        <w:tc>
          <w:tcPr>
            <w:tcW w:w="1785" w:type="dxa"/>
            <w:noWrap w:val="0"/>
            <w:vAlign w:val="center"/>
          </w:tcPr>
          <w:p>
            <w:pPr>
              <w:spacing w:line="360" w:lineRule="auto"/>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i w:val="0"/>
                <w:caps w:val="0"/>
                <w:color w:val="auto"/>
                <w:spacing w:val="0"/>
                <w:sz w:val="24"/>
                <w:szCs w:val="24"/>
                <w:highlight w:val="none"/>
                <w:shd w:val="clear" w:color="auto" w:fill="FFFFFF"/>
              </w:rPr>
              <w:t>交通运输业</w:t>
            </w:r>
          </w:p>
        </w:tc>
        <w:tc>
          <w:tcPr>
            <w:tcW w:w="2430" w:type="dxa"/>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i w:val="0"/>
                <w:caps w:val="0"/>
                <w:color w:val="auto"/>
                <w:spacing w:val="0"/>
                <w:sz w:val="24"/>
                <w:szCs w:val="24"/>
                <w:highlight w:val="none"/>
                <w:shd w:val="clear" w:color="auto" w:fill="FFFFFF"/>
              </w:rPr>
              <w:t>仓储业</w:t>
            </w:r>
          </w:p>
        </w:tc>
        <w:tc>
          <w:tcPr>
            <w:tcW w:w="2949" w:type="dxa"/>
            <w:noWrap w:val="0"/>
            <w:vAlign w:val="center"/>
          </w:tcPr>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i w:val="0"/>
                <w:caps w:val="0"/>
                <w:color w:val="auto"/>
                <w:spacing w:val="0"/>
                <w:sz w:val="24"/>
                <w:szCs w:val="24"/>
                <w:highlight w:val="none"/>
                <w:shd w:val="clear" w:color="auto" w:fill="FFFFFF"/>
              </w:rPr>
              <w:t>邮政业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593" w:type="dxa"/>
            <w:noWrap w:val="0"/>
            <w:vAlign w:val="center"/>
          </w:tcPr>
          <w:p>
            <w:pPr>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i w:val="0"/>
                <w:caps w:val="0"/>
                <w:color w:val="auto"/>
                <w:spacing w:val="0"/>
                <w:sz w:val="24"/>
                <w:szCs w:val="24"/>
                <w:highlight w:val="none"/>
                <w:shd w:val="clear" w:color="auto" w:fill="FFFFFF"/>
              </w:rPr>
              <w:t>住宿业</w:t>
            </w:r>
          </w:p>
        </w:tc>
        <w:tc>
          <w:tcPr>
            <w:tcW w:w="1785" w:type="dxa"/>
            <w:noWrap w:val="0"/>
            <w:vAlign w:val="center"/>
          </w:tcPr>
          <w:p>
            <w:pPr>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i w:val="0"/>
                <w:caps w:val="0"/>
                <w:color w:val="auto"/>
                <w:spacing w:val="0"/>
                <w:sz w:val="24"/>
                <w:szCs w:val="24"/>
                <w:highlight w:val="none"/>
                <w:shd w:val="clear" w:color="auto" w:fill="FFFFFF"/>
              </w:rPr>
              <w:t>餐饮业</w:t>
            </w:r>
          </w:p>
        </w:tc>
        <w:tc>
          <w:tcPr>
            <w:tcW w:w="2430" w:type="dxa"/>
            <w:noWrap w:val="0"/>
            <w:vAlign w:val="center"/>
          </w:tcPr>
          <w:p>
            <w:pPr>
              <w:tabs>
                <w:tab w:val="left" w:pos="2730"/>
                <w:tab w:val="left" w:pos="2835"/>
              </w:tabs>
              <w:adjustRightInd w:val="0"/>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i w:val="0"/>
                <w:caps w:val="0"/>
                <w:color w:val="auto"/>
                <w:spacing w:val="0"/>
                <w:sz w:val="24"/>
                <w:szCs w:val="24"/>
                <w:highlight w:val="none"/>
                <w:shd w:val="clear" w:color="auto" w:fill="FFFFFF"/>
              </w:rPr>
              <w:t>信息传输业</w:t>
            </w:r>
          </w:p>
        </w:tc>
        <w:tc>
          <w:tcPr>
            <w:tcW w:w="2949" w:type="dxa"/>
            <w:noWrap w:val="0"/>
            <w:vAlign w:val="center"/>
          </w:tcPr>
          <w:p>
            <w:pPr>
              <w:tabs>
                <w:tab w:val="left" w:pos="2730"/>
                <w:tab w:val="left" w:pos="2835"/>
              </w:tabs>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i w:val="0"/>
                <w:caps w:val="0"/>
                <w:color w:val="auto"/>
                <w:spacing w:val="0"/>
                <w:sz w:val="24"/>
                <w:szCs w:val="24"/>
                <w:highlight w:val="none"/>
                <w:shd w:val="clear" w:color="auto" w:fill="FFFFFF"/>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593" w:type="dxa"/>
            <w:noWrap w:val="0"/>
            <w:vAlign w:val="center"/>
          </w:tcPr>
          <w:p>
            <w:pPr>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i w:val="0"/>
                <w:caps w:val="0"/>
                <w:color w:val="auto"/>
                <w:spacing w:val="0"/>
                <w:sz w:val="24"/>
                <w:szCs w:val="24"/>
                <w:highlight w:val="none"/>
                <w:shd w:val="clear" w:color="auto" w:fill="FFFFFF"/>
              </w:rPr>
              <w:t>房地产开发经营</w:t>
            </w:r>
          </w:p>
        </w:tc>
        <w:tc>
          <w:tcPr>
            <w:tcW w:w="1785" w:type="dxa"/>
            <w:noWrap w:val="0"/>
            <w:vAlign w:val="center"/>
          </w:tcPr>
          <w:p>
            <w:pPr>
              <w:tabs>
                <w:tab w:val="left" w:pos="2730"/>
                <w:tab w:val="left" w:pos="2835"/>
              </w:tabs>
              <w:adjustRightInd w:val="0"/>
              <w:snapToGrid w:val="0"/>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i w:val="0"/>
                <w:caps w:val="0"/>
                <w:color w:val="auto"/>
                <w:spacing w:val="0"/>
                <w:sz w:val="24"/>
                <w:szCs w:val="24"/>
                <w:highlight w:val="none"/>
                <w:shd w:val="clear" w:color="auto" w:fill="FFFFFF"/>
              </w:rPr>
              <w:t>物业管理</w:t>
            </w:r>
          </w:p>
        </w:tc>
        <w:tc>
          <w:tcPr>
            <w:tcW w:w="2430" w:type="dxa"/>
            <w:noWrap w:val="0"/>
            <w:vAlign w:val="center"/>
          </w:tcPr>
          <w:p>
            <w:pPr>
              <w:tabs>
                <w:tab w:val="left" w:pos="2730"/>
                <w:tab w:val="left" w:pos="2835"/>
              </w:tabs>
              <w:adjustRightInd w:val="0"/>
              <w:snapToGrid w:val="0"/>
              <w:spacing w:line="360" w:lineRule="auto"/>
              <w:jc w:val="left"/>
              <w:rPr>
                <w:rFonts w:hint="eastAsia" w:ascii="宋体" w:hAnsi="宋体" w:eastAsia="宋体" w:cs="宋体"/>
                <w:color w:val="auto"/>
                <w:kern w:val="0"/>
                <w:sz w:val="24"/>
                <w:szCs w:val="24"/>
                <w:highlight w:val="none"/>
              </w:rPr>
            </w:pPr>
            <w:r>
              <w:rPr>
                <w:rFonts w:hint="eastAsia" w:hAnsi="宋体" w:eastAsia="宋体" w:cs="宋体"/>
                <w:color w:val="auto"/>
                <w:sz w:val="24"/>
                <w:szCs w:val="24"/>
                <w:highlight w:val="none"/>
                <w:lang w:eastAsia="zh-CN"/>
              </w:rPr>
              <w:t>☑</w:t>
            </w:r>
            <w:r>
              <w:rPr>
                <w:rFonts w:hint="eastAsia" w:ascii="宋体" w:hAnsi="宋体" w:eastAsia="宋体" w:cs="宋体"/>
                <w:i w:val="0"/>
                <w:caps w:val="0"/>
                <w:color w:val="auto"/>
                <w:spacing w:val="0"/>
                <w:sz w:val="24"/>
                <w:szCs w:val="24"/>
                <w:highlight w:val="none"/>
                <w:shd w:val="clear" w:color="auto" w:fill="FFFFFF"/>
              </w:rPr>
              <w:t>租赁和商务服务业</w:t>
            </w:r>
          </w:p>
        </w:tc>
        <w:tc>
          <w:tcPr>
            <w:tcW w:w="2949" w:type="dxa"/>
            <w:noWrap w:val="0"/>
            <w:vAlign w:val="center"/>
          </w:tcPr>
          <w:p>
            <w:pPr>
              <w:tabs>
                <w:tab w:val="left" w:pos="2730"/>
                <w:tab w:val="left" w:pos="2835"/>
              </w:tabs>
              <w:adjustRightInd w:val="0"/>
              <w:snapToGrid w:val="0"/>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i w:val="0"/>
                <w:caps w:val="0"/>
                <w:color w:val="auto"/>
                <w:spacing w:val="0"/>
                <w:sz w:val="24"/>
                <w:szCs w:val="24"/>
                <w:highlight w:val="none"/>
                <w:shd w:val="clear" w:color="auto" w:fill="FFFFFF"/>
              </w:rPr>
              <w:t>其他未列明行业</w:t>
            </w:r>
          </w:p>
        </w:tc>
      </w:tr>
    </w:tbl>
    <w:p>
      <w:pPr>
        <w:tabs>
          <w:tab w:val="left" w:pos="7281"/>
        </w:tabs>
        <w:spacing w:after="120" w:line="440" w:lineRule="exact"/>
        <w:ind w:firstLine="490" w:firstLineChars="200"/>
        <w:outlineLvl w:val="2"/>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本项目不允许进口产品投标。</w:t>
      </w:r>
    </w:p>
    <w:p>
      <w:pPr>
        <w:tabs>
          <w:tab w:val="left" w:pos="7281"/>
        </w:tabs>
        <w:spacing w:after="120" w:line="440" w:lineRule="exact"/>
        <w:ind w:firstLine="490" w:firstLineChars="200"/>
        <w:outlineLvl w:val="2"/>
        <w:rPr>
          <w:rFonts w:hint="eastAsia" w:ascii="宋体" w:hAnsi="宋体" w:eastAsia="宋体" w:cs="宋体"/>
          <w:color w:val="auto"/>
          <w:sz w:val="24"/>
          <w:highlight w:val="none"/>
        </w:rPr>
      </w:pPr>
      <w:r>
        <w:rPr>
          <w:rFonts w:hint="eastAsia" w:ascii="宋体" w:hAnsi="宋体" w:eastAsia="宋体" w:cs="宋体"/>
          <w:b/>
          <w:color w:val="auto"/>
          <w:sz w:val="24"/>
          <w:highlight w:val="none"/>
        </w:rPr>
        <w:t>本项目共计一包，拟确定一名成交人。</w:t>
      </w:r>
      <w:r>
        <w:rPr>
          <w:rFonts w:hint="eastAsia" w:ascii="宋体" w:hAnsi="宋体" w:eastAsia="宋体" w:cs="宋体"/>
          <w:b/>
          <w:color w:val="auto"/>
          <w:sz w:val="24"/>
          <w:highlight w:val="none"/>
        </w:rPr>
        <w:tab/>
      </w:r>
    </w:p>
    <w:p>
      <w:pPr>
        <w:spacing w:after="120" w:line="440" w:lineRule="exact"/>
        <w:ind w:firstLine="49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（详见谈判文件第</w:t>
      </w:r>
      <w:r>
        <w:rPr>
          <w:rFonts w:hint="eastAsia" w:ascii="宋体" w:hAnsi="宋体" w:eastAsia="宋体" w:cs="宋体"/>
          <w:color w:val="auto"/>
          <w:sz w:val="24"/>
          <w:highlight w:val="none"/>
        </w:rPr>
        <w:t>五</w:t>
      </w:r>
      <w:r>
        <w:rPr>
          <w:rFonts w:hint="eastAsia" w:ascii="宋体" w:hAnsi="宋体" w:eastAsia="宋体" w:cs="宋体"/>
          <w:color w:val="auto"/>
          <w:sz w:val="24"/>
          <w:szCs w:val="28"/>
          <w:highlight w:val="none"/>
        </w:rPr>
        <w:t>章）。</w:t>
      </w:r>
    </w:p>
    <w:p>
      <w:pPr>
        <w:numPr>
          <w:ilvl w:val="0"/>
          <w:numId w:val="1"/>
        </w:numPr>
        <w:spacing w:line="440" w:lineRule="exact"/>
        <w:ind w:firstLine="490" w:firstLineChars="200"/>
        <w:outlineLvl w:val="2"/>
        <w:rPr>
          <w:rFonts w:hint="eastAsia" w:ascii="宋体" w:hAnsi="宋体" w:eastAsia="宋体" w:cs="宋体"/>
          <w:b/>
          <w:color w:val="auto"/>
          <w:sz w:val="24"/>
          <w:highlight w:val="none"/>
        </w:rPr>
      </w:pPr>
      <w:bookmarkStart w:id="8" w:name="_Toc4239"/>
      <w:bookmarkStart w:id="9" w:name="_Toc4616417"/>
      <w:r>
        <w:rPr>
          <w:rFonts w:hint="eastAsia" w:ascii="宋体" w:hAnsi="宋体" w:eastAsia="宋体" w:cs="宋体"/>
          <w:b/>
          <w:color w:val="auto"/>
          <w:sz w:val="24"/>
          <w:highlight w:val="none"/>
        </w:rPr>
        <w:t>供应商邀请方式</w:t>
      </w:r>
      <w:bookmarkEnd w:id="8"/>
      <w:bookmarkEnd w:id="9"/>
    </w:p>
    <w:p>
      <w:pPr>
        <w:spacing w:line="440" w:lineRule="exact"/>
        <w:ind w:firstLine="490" w:firstLineChars="200"/>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zh-CN"/>
        </w:rPr>
        <w:t>本次采购采取方式</w:t>
      </w:r>
      <w:r>
        <w:rPr>
          <w:rFonts w:hint="eastAsia" w:ascii="宋体" w:hAnsi="宋体" w:eastAsia="宋体" w:cs="宋体"/>
          <w:color w:val="auto"/>
          <w:sz w:val="24"/>
          <w:szCs w:val="22"/>
          <w:highlight w:val="none"/>
          <w:lang w:val="en-US" w:eastAsia="zh-CN"/>
        </w:rPr>
        <w:t>1</w:t>
      </w:r>
      <w:r>
        <w:rPr>
          <w:rFonts w:hint="eastAsia" w:ascii="宋体" w:hAnsi="宋体" w:eastAsia="宋体" w:cs="宋体"/>
          <w:color w:val="auto"/>
          <w:sz w:val="24"/>
          <w:szCs w:val="22"/>
          <w:highlight w:val="none"/>
          <w:lang w:val="zh-CN"/>
        </w:rPr>
        <w:t>邀请参加谈判的供应商。</w:t>
      </w:r>
      <w:r>
        <w:rPr>
          <w:rFonts w:hint="eastAsia" w:hAnsi="宋体" w:eastAsia="宋体" w:cs="宋体"/>
          <w:color w:val="auto"/>
          <w:sz w:val="24"/>
          <w:szCs w:val="22"/>
          <w:highlight w:val="none"/>
          <w:lang w:val="en-US" w:eastAsia="zh-CN"/>
        </w:rPr>
        <w:tab/>
      </w:r>
    </w:p>
    <w:p>
      <w:pPr>
        <w:spacing w:line="440" w:lineRule="exact"/>
        <w:ind w:firstLine="490" w:firstLineChars="200"/>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方式1（公告方式）：本次竞争性谈判邀请在四川政府采购网上以公告形式发布；</w:t>
      </w:r>
    </w:p>
    <w:p>
      <w:pPr>
        <w:spacing w:line="440" w:lineRule="exact"/>
        <w:ind w:firstLine="490" w:firstLineChars="200"/>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方式2（书面推荐）：通过采购人和评审专家各自出具书面推荐意见，推荐符合相应资格条件的供应商参与本次采购活动；</w:t>
      </w:r>
    </w:p>
    <w:p>
      <w:pPr>
        <w:spacing w:line="440" w:lineRule="exact"/>
        <w:ind w:firstLine="49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zh-CN"/>
        </w:rPr>
        <w:t>方式3（供应商库随机抽取）：通过省级以上财政部门建立的供应商库中随机抽取供应商。</w:t>
      </w:r>
    </w:p>
    <w:p>
      <w:pPr>
        <w:spacing w:after="120" w:line="440" w:lineRule="exact"/>
        <w:ind w:firstLine="490" w:firstLineChars="200"/>
        <w:outlineLvl w:val="2"/>
        <w:rPr>
          <w:rFonts w:hint="eastAsia" w:ascii="宋体" w:hAnsi="宋体" w:eastAsia="宋体" w:cs="宋体"/>
          <w:b/>
          <w:bCs/>
          <w:color w:val="auto"/>
          <w:sz w:val="24"/>
          <w:highlight w:val="none"/>
        </w:rPr>
      </w:pPr>
      <w:bookmarkStart w:id="10" w:name="_Toc4616418"/>
      <w:r>
        <w:rPr>
          <w:rFonts w:hint="eastAsia" w:ascii="宋体" w:hAnsi="宋体" w:eastAsia="宋体" w:cs="宋体"/>
          <w:b/>
          <w:bCs/>
          <w:color w:val="auto"/>
          <w:sz w:val="24"/>
          <w:highlight w:val="none"/>
        </w:rPr>
        <w:t>五、供应商参加本次政府采购活动应具备下列条件：</w:t>
      </w:r>
      <w:bookmarkEnd w:id="10"/>
    </w:p>
    <w:p>
      <w:pPr>
        <w:spacing w:after="120" w:line="44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详见谈判文件第三章。</w:t>
      </w:r>
    </w:p>
    <w:p>
      <w:pPr>
        <w:spacing w:after="120" w:line="440" w:lineRule="exact"/>
        <w:ind w:firstLine="490" w:firstLineChars="200"/>
        <w:outlineLvl w:val="2"/>
        <w:rPr>
          <w:rFonts w:hint="eastAsia" w:ascii="宋体" w:hAnsi="宋体" w:eastAsia="宋体" w:cs="宋体"/>
          <w:b/>
          <w:color w:val="auto"/>
          <w:sz w:val="24"/>
          <w:highlight w:val="none"/>
        </w:rPr>
      </w:pPr>
      <w:bookmarkStart w:id="11" w:name="_Toc4616419"/>
      <w:r>
        <w:rPr>
          <w:rFonts w:hint="eastAsia" w:ascii="宋体" w:hAnsi="宋体" w:eastAsia="宋体" w:cs="宋体"/>
          <w:b/>
          <w:color w:val="auto"/>
          <w:sz w:val="24"/>
          <w:highlight w:val="none"/>
        </w:rPr>
        <w:t>六、严禁参加本次采购活动的供应商</w:t>
      </w:r>
      <w:bookmarkEnd w:id="11"/>
    </w:p>
    <w:p>
      <w:pPr>
        <w:spacing w:line="44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1.根据《成都市财政局关于在政府采购活动中查询及使用信用记录的通知》（财库〔2016〕125号）的要求，采购人或采购代理机构将通过“信用中国”网站、中国政府采购网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四川政府采购”网站（曝光台）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成都信用”网站等渠道查询供应商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44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的供应商，不得参加本采购项目。供应商为采购人、采购代理机构在确定采购需求、编制谈判文件过程中提供咨询论证，其提供的咨询论证意见成为谈判文件中规定的供应商资格条件、技术服务商务要求、评审因素和标准、政府采购合同等实质性内容条款的，视同为采购项目提供规范编制。</w:t>
      </w:r>
    </w:p>
    <w:p>
      <w:pPr>
        <w:spacing w:after="120" w:line="440" w:lineRule="exact"/>
        <w:ind w:firstLine="490" w:firstLineChars="200"/>
        <w:outlineLvl w:val="2"/>
        <w:rPr>
          <w:rFonts w:hint="eastAsia" w:ascii="宋体" w:hAnsi="宋体" w:eastAsia="宋体" w:cs="宋体"/>
          <w:b/>
          <w:color w:val="auto"/>
          <w:sz w:val="24"/>
          <w:highlight w:val="none"/>
        </w:rPr>
      </w:pPr>
      <w:bookmarkStart w:id="12" w:name="_Toc4616420"/>
      <w:r>
        <w:rPr>
          <w:rFonts w:hint="eastAsia" w:ascii="宋体" w:hAnsi="宋体" w:eastAsia="宋体" w:cs="宋体"/>
          <w:b/>
          <w:color w:val="auto"/>
          <w:sz w:val="24"/>
          <w:highlight w:val="none"/>
        </w:rPr>
        <w:t>七、谈判文件获取方式、时间、地点：</w:t>
      </w:r>
      <w:bookmarkEnd w:id="12"/>
    </w:p>
    <w:p>
      <w:pPr>
        <w:spacing w:after="120" w:line="440" w:lineRule="exact"/>
        <w:ind w:firstLine="490" w:firstLineChars="200"/>
        <w:outlineLvl w:val="2"/>
        <w:rPr>
          <w:rFonts w:hint="eastAsia" w:ascii="宋体" w:hAnsi="宋体" w:eastAsia="宋体" w:cs="宋体"/>
          <w:color w:val="auto"/>
          <w:sz w:val="24"/>
          <w:szCs w:val="22"/>
          <w:highlight w:val="none"/>
          <w:lang w:val="zh-CN"/>
        </w:rPr>
      </w:pPr>
      <w:bookmarkStart w:id="13" w:name="_Toc4616421"/>
      <w:r>
        <w:rPr>
          <w:rFonts w:hint="eastAsia" w:ascii="宋体" w:hAnsi="宋体" w:eastAsia="宋体" w:cs="宋体"/>
          <w:color w:val="auto"/>
          <w:sz w:val="24"/>
          <w:szCs w:val="22"/>
          <w:highlight w:val="none"/>
          <w:lang w:val="zh-CN"/>
        </w:rPr>
        <w:t>谈判文件发售自20</w:t>
      </w:r>
      <w:r>
        <w:rPr>
          <w:rFonts w:hint="eastAsia" w:ascii="宋体" w:hAnsi="宋体" w:eastAsia="宋体" w:cs="宋体"/>
          <w:color w:val="auto"/>
          <w:sz w:val="24"/>
          <w:szCs w:val="22"/>
          <w:highlight w:val="none"/>
          <w:lang w:val="en-US" w:eastAsia="zh-CN"/>
        </w:rPr>
        <w:t>21</w:t>
      </w:r>
      <w:r>
        <w:rPr>
          <w:rFonts w:hint="eastAsia" w:ascii="宋体" w:hAnsi="宋体" w:eastAsia="宋体" w:cs="宋体"/>
          <w:color w:val="auto"/>
          <w:sz w:val="24"/>
          <w:szCs w:val="22"/>
          <w:highlight w:val="none"/>
          <w:lang w:val="zh-CN"/>
        </w:rPr>
        <w:t>年</w:t>
      </w:r>
      <w:r>
        <w:rPr>
          <w:rFonts w:hint="eastAsia" w:hAnsi="宋体" w:eastAsia="宋体" w:cs="宋体"/>
          <w:color w:val="auto"/>
          <w:sz w:val="24"/>
          <w:szCs w:val="22"/>
          <w:highlight w:val="none"/>
          <w:lang w:val="en-US" w:eastAsia="zh-CN"/>
        </w:rPr>
        <w:t>8</w:t>
      </w:r>
      <w:r>
        <w:rPr>
          <w:rFonts w:hint="eastAsia" w:ascii="宋体" w:hAnsi="宋体" w:eastAsia="宋体" w:cs="宋体"/>
          <w:color w:val="auto"/>
          <w:sz w:val="24"/>
          <w:szCs w:val="22"/>
          <w:highlight w:val="none"/>
          <w:lang w:val="en-US" w:eastAsia="zh-CN"/>
        </w:rPr>
        <w:t>月</w:t>
      </w:r>
      <w:r>
        <w:rPr>
          <w:rFonts w:hint="eastAsia" w:hAnsi="宋体" w:eastAsia="宋体" w:cs="宋体"/>
          <w:color w:val="auto"/>
          <w:sz w:val="24"/>
          <w:szCs w:val="22"/>
          <w:highlight w:val="none"/>
          <w:lang w:val="en-US" w:eastAsia="zh-CN"/>
        </w:rPr>
        <w:t>24</w:t>
      </w:r>
      <w:r>
        <w:rPr>
          <w:rFonts w:hint="eastAsia" w:ascii="宋体" w:hAnsi="宋体" w:eastAsia="宋体" w:cs="宋体"/>
          <w:color w:val="auto"/>
          <w:sz w:val="24"/>
          <w:szCs w:val="22"/>
          <w:highlight w:val="none"/>
          <w:lang w:val="zh-CN"/>
        </w:rPr>
        <w:t>日至20</w:t>
      </w:r>
      <w:r>
        <w:rPr>
          <w:rFonts w:hint="eastAsia" w:ascii="宋体" w:hAnsi="宋体" w:eastAsia="宋体" w:cs="宋体"/>
          <w:color w:val="auto"/>
          <w:sz w:val="24"/>
          <w:szCs w:val="22"/>
          <w:highlight w:val="none"/>
        </w:rPr>
        <w:t>21</w:t>
      </w:r>
      <w:r>
        <w:rPr>
          <w:rFonts w:hint="eastAsia" w:ascii="宋体" w:hAnsi="宋体" w:eastAsia="宋体" w:cs="宋体"/>
          <w:color w:val="auto"/>
          <w:sz w:val="24"/>
          <w:szCs w:val="22"/>
          <w:highlight w:val="none"/>
          <w:lang w:val="zh-CN"/>
        </w:rPr>
        <w:t>年</w:t>
      </w:r>
      <w:r>
        <w:rPr>
          <w:rFonts w:hint="eastAsia" w:hAnsi="宋体" w:eastAsia="宋体" w:cs="宋体"/>
          <w:color w:val="auto"/>
          <w:sz w:val="24"/>
          <w:szCs w:val="22"/>
          <w:highlight w:val="none"/>
          <w:lang w:val="en-US" w:eastAsia="zh-CN"/>
        </w:rPr>
        <w:t>8</w:t>
      </w:r>
      <w:r>
        <w:rPr>
          <w:rFonts w:hint="eastAsia" w:ascii="宋体" w:hAnsi="宋体" w:eastAsia="宋体" w:cs="宋体"/>
          <w:color w:val="auto"/>
          <w:sz w:val="24"/>
          <w:szCs w:val="22"/>
          <w:highlight w:val="none"/>
          <w:lang w:val="en-US" w:eastAsia="zh-CN"/>
        </w:rPr>
        <w:t>月</w:t>
      </w:r>
      <w:r>
        <w:rPr>
          <w:rFonts w:hint="eastAsia" w:hAnsi="宋体" w:eastAsia="宋体" w:cs="宋体"/>
          <w:color w:val="auto"/>
          <w:sz w:val="24"/>
          <w:szCs w:val="22"/>
          <w:highlight w:val="none"/>
          <w:lang w:val="en-US" w:eastAsia="zh-CN"/>
        </w:rPr>
        <w:t>25</w:t>
      </w:r>
      <w:r>
        <w:rPr>
          <w:rFonts w:hint="eastAsia" w:ascii="宋体" w:hAnsi="宋体" w:eastAsia="宋体" w:cs="宋体"/>
          <w:color w:val="auto"/>
          <w:sz w:val="24"/>
          <w:szCs w:val="22"/>
          <w:highlight w:val="none"/>
          <w:lang w:val="zh-CN"/>
        </w:rPr>
        <w:t>日每天上午09：00至12：00，下午14：00至17：00（北京时间，法定节假日除外），</w:t>
      </w:r>
      <w:r>
        <w:rPr>
          <w:rFonts w:hint="eastAsia" w:ascii="宋体" w:hAnsi="宋体" w:eastAsia="宋体" w:cs="宋体"/>
          <w:bCs/>
          <w:color w:val="auto"/>
          <w:sz w:val="24"/>
          <w:highlight w:val="none"/>
        </w:rPr>
        <w:t>本项目</w:t>
      </w:r>
      <w:r>
        <w:rPr>
          <w:rFonts w:hint="eastAsia" w:ascii="宋体" w:hAnsi="宋体" w:eastAsia="宋体" w:cs="宋体"/>
          <w:bCs/>
          <w:color w:val="auto"/>
          <w:sz w:val="24"/>
          <w:highlight w:val="none"/>
          <w:lang w:eastAsia="zh-CN"/>
        </w:rPr>
        <w:t>谈判</w:t>
      </w:r>
      <w:r>
        <w:rPr>
          <w:rFonts w:hint="eastAsia" w:ascii="宋体" w:hAnsi="宋体" w:eastAsia="宋体" w:cs="宋体"/>
          <w:bCs/>
          <w:color w:val="auto"/>
          <w:sz w:val="24"/>
          <w:highlight w:val="none"/>
        </w:rPr>
        <w:t>文件无偿获取，</w:t>
      </w:r>
      <w:r>
        <w:rPr>
          <w:rFonts w:hint="eastAsia" w:ascii="宋体" w:hAnsi="宋体" w:eastAsia="宋体" w:cs="宋体"/>
          <w:bCs/>
          <w:color w:val="auto"/>
          <w:sz w:val="24"/>
          <w:highlight w:val="none"/>
          <w:lang w:eastAsia="zh-CN"/>
        </w:rPr>
        <w:t>谈判</w:t>
      </w:r>
      <w:r>
        <w:rPr>
          <w:rFonts w:hint="eastAsia" w:ascii="宋体" w:hAnsi="宋体" w:eastAsia="宋体" w:cs="宋体"/>
          <w:bCs/>
          <w:color w:val="auto"/>
          <w:sz w:val="24"/>
          <w:highlight w:val="none"/>
        </w:rPr>
        <w:t>文件售后不退, 招标资格不能转让。</w:t>
      </w:r>
    </w:p>
    <w:p>
      <w:pPr>
        <w:spacing w:after="120" w:line="440" w:lineRule="exact"/>
        <w:ind w:firstLine="490" w:firstLineChars="200"/>
        <w:outlineLvl w:val="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请供应商通过以下流程进行</w:t>
      </w:r>
      <w:r>
        <w:rPr>
          <w:rFonts w:hint="eastAsia" w:ascii="宋体" w:hAnsi="宋体" w:eastAsia="宋体" w:cs="宋体"/>
          <w:bCs/>
          <w:color w:val="auto"/>
          <w:sz w:val="24"/>
          <w:highlight w:val="none"/>
          <w:lang w:eastAsia="zh-CN"/>
        </w:rPr>
        <w:t>谈判文件</w:t>
      </w:r>
      <w:r>
        <w:rPr>
          <w:rFonts w:hint="eastAsia" w:ascii="宋体" w:hAnsi="宋体" w:eastAsia="宋体" w:cs="宋体"/>
          <w:bCs/>
          <w:color w:val="auto"/>
          <w:sz w:val="24"/>
          <w:highlight w:val="none"/>
        </w:rPr>
        <w:t>获取：</w:t>
      </w:r>
    </w:p>
    <w:p>
      <w:pPr>
        <w:spacing w:after="50" w:line="420" w:lineRule="exact"/>
        <w:ind w:firstLine="490" w:firstLineChars="200"/>
        <w:rPr>
          <w:rFonts w:hint="eastAsia" w:ascii="宋体" w:hAnsi="宋体" w:eastAsia="宋体" w:cs="宋体"/>
          <w:color w:val="auto"/>
          <w:sz w:val="24"/>
          <w:szCs w:val="22"/>
          <w:highlight w:val="none"/>
          <w:lang w:val="zh-CN"/>
        </w:rPr>
      </w:pPr>
      <w:r>
        <w:rPr>
          <w:rFonts w:hint="eastAsia" w:ascii="宋体" w:hAnsi="宋体" w:eastAsia="宋体" w:cs="宋体"/>
          <w:color w:val="auto"/>
          <w:sz w:val="24"/>
          <w:highlight w:val="none"/>
          <w:lang w:val="zh-CN"/>
        </w:rPr>
        <w:t>请供应商通过本单位网站（www.sczyzb.net）进行注册报名；具体操作流程详见该网站的“使用手册”。报名询问电话：028-87050033-0。</w:t>
      </w:r>
    </w:p>
    <w:p>
      <w:pPr>
        <w:spacing w:after="120" w:line="440" w:lineRule="exact"/>
        <w:ind w:firstLine="490" w:firstLineChars="200"/>
        <w:outlineLvl w:val="2"/>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八、递交</w:t>
      </w:r>
      <w:r>
        <w:rPr>
          <w:rFonts w:hint="eastAsia" w:ascii="宋体" w:hAnsi="宋体" w:eastAsia="宋体" w:cs="宋体"/>
          <w:b/>
          <w:color w:val="auto"/>
          <w:sz w:val="24"/>
          <w:szCs w:val="28"/>
          <w:highlight w:val="none"/>
        </w:rPr>
        <w:t>响应文件</w:t>
      </w:r>
      <w:r>
        <w:rPr>
          <w:rFonts w:hint="eastAsia" w:ascii="宋体" w:hAnsi="宋体" w:eastAsia="宋体" w:cs="宋体"/>
          <w:b/>
          <w:color w:val="auto"/>
          <w:sz w:val="24"/>
          <w:highlight w:val="none"/>
        </w:rPr>
        <w:t>起止时间：</w:t>
      </w:r>
      <w:r>
        <w:rPr>
          <w:rFonts w:hint="eastAsia" w:ascii="宋体" w:hAnsi="宋体" w:eastAsia="宋体" w:cs="宋体"/>
          <w:b/>
          <w:bCs/>
          <w:color w:val="auto"/>
          <w:sz w:val="24"/>
          <w:highlight w:val="none"/>
        </w:rPr>
        <w:t>2021年</w:t>
      </w:r>
      <w:r>
        <w:rPr>
          <w:rFonts w:hint="eastAsia" w:hAnsi="宋体" w:eastAsia="宋体" w:cs="宋体"/>
          <w:b/>
          <w:bCs/>
          <w:color w:val="auto"/>
          <w:sz w:val="24"/>
          <w:highlight w:val="none"/>
          <w:lang w:val="en-US" w:eastAsia="zh-CN"/>
        </w:rPr>
        <w:t>8</w:t>
      </w:r>
      <w:r>
        <w:rPr>
          <w:rFonts w:hint="eastAsia" w:ascii="宋体" w:hAnsi="宋体" w:eastAsia="宋体" w:cs="宋体"/>
          <w:b/>
          <w:bCs/>
          <w:color w:val="auto"/>
          <w:sz w:val="24"/>
          <w:highlight w:val="none"/>
          <w:lang w:val="en-US" w:eastAsia="zh-CN"/>
        </w:rPr>
        <w:t>月</w:t>
      </w:r>
      <w:r>
        <w:rPr>
          <w:rFonts w:hint="eastAsia" w:hAnsi="宋体" w:eastAsia="宋体" w:cs="宋体"/>
          <w:b/>
          <w:bCs/>
          <w:color w:val="auto"/>
          <w:sz w:val="24"/>
          <w:highlight w:val="none"/>
          <w:lang w:val="en-US" w:eastAsia="zh-CN"/>
        </w:rPr>
        <w:t>27</w:t>
      </w:r>
      <w:r>
        <w:rPr>
          <w:rFonts w:hint="eastAsia" w:ascii="宋体" w:hAnsi="宋体" w:eastAsia="宋体" w:cs="宋体"/>
          <w:b/>
          <w:bCs/>
          <w:color w:val="auto"/>
          <w:sz w:val="24"/>
          <w:highlight w:val="none"/>
          <w:lang w:val="en-US" w:eastAsia="zh-CN"/>
        </w:rPr>
        <w:t>日</w:t>
      </w:r>
      <w:r>
        <w:rPr>
          <w:rFonts w:hint="eastAsia" w:hAnsi="宋体" w:eastAsia="宋体" w:cs="宋体"/>
          <w:b/>
          <w:bCs/>
          <w:color w:val="auto"/>
          <w:sz w:val="24"/>
          <w:highlight w:val="none"/>
          <w:lang w:val="en-US" w:eastAsia="zh-CN"/>
        </w:rPr>
        <w:t>13</w:t>
      </w:r>
      <w:r>
        <w:rPr>
          <w:rFonts w:hint="eastAsia" w:ascii="宋体" w:hAnsi="宋体" w:eastAsia="宋体" w:cs="宋体"/>
          <w:b/>
          <w:bCs/>
          <w:color w:val="auto"/>
          <w:sz w:val="24"/>
          <w:highlight w:val="none"/>
        </w:rPr>
        <w:t>时30分-</w:t>
      </w:r>
      <w:r>
        <w:rPr>
          <w:rFonts w:hint="eastAsia" w:hAnsi="宋体" w:eastAsia="宋体" w:cs="宋体"/>
          <w:b/>
          <w:color w:val="auto"/>
          <w:sz w:val="24"/>
          <w:highlight w:val="none"/>
          <w:lang w:val="en-US" w:eastAsia="zh-CN"/>
        </w:rPr>
        <w:t>14</w:t>
      </w:r>
      <w:r>
        <w:rPr>
          <w:rFonts w:hint="eastAsia" w:ascii="宋体" w:hAnsi="宋体" w:eastAsia="宋体" w:cs="宋体"/>
          <w:b/>
          <w:color w:val="auto"/>
          <w:sz w:val="24"/>
          <w:highlight w:val="none"/>
        </w:rPr>
        <w:t>时00分</w:t>
      </w:r>
      <w:r>
        <w:rPr>
          <w:rFonts w:hint="eastAsia" w:ascii="宋体" w:hAnsi="宋体" w:eastAsia="宋体" w:cs="宋体"/>
          <w:color w:val="auto"/>
          <w:sz w:val="24"/>
          <w:szCs w:val="28"/>
          <w:highlight w:val="none"/>
        </w:rPr>
        <w:t>（北京时间）。</w:t>
      </w:r>
      <w:bookmarkEnd w:id="13"/>
    </w:p>
    <w:p>
      <w:pPr>
        <w:pStyle w:val="47"/>
        <w:widowControl w:val="0"/>
        <w:autoSpaceDE w:val="0"/>
        <w:autoSpaceDN w:val="0"/>
        <w:adjustRightInd w:val="0"/>
        <w:spacing w:before="0" w:after="0" w:line="439" w:lineRule="exact"/>
        <w:ind w:firstLine="490" w:firstLineChars="200"/>
        <w:jc w:val="left"/>
        <w:outlineLvl w:val="2"/>
        <w:rPr>
          <w:rFonts w:hint="eastAsia" w:ascii="宋体" w:hAnsi="宋体" w:eastAsia="宋体" w:cs="宋体"/>
          <w:color w:val="auto"/>
          <w:sz w:val="24"/>
          <w:szCs w:val="28"/>
          <w:highlight w:val="none"/>
          <w:lang w:eastAsia="zh-CN"/>
        </w:rPr>
      </w:pPr>
      <w:bookmarkStart w:id="14" w:name="_Toc12559"/>
      <w:bookmarkStart w:id="15" w:name="_Toc4616422"/>
      <w:r>
        <w:rPr>
          <w:rFonts w:hint="eastAsia" w:ascii="宋体" w:hAnsi="宋体" w:eastAsia="宋体" w:cs="宋体"/>
          <w:b/>
          <w:color w:val="auto"/>
          <w:sz w:val="24"/>
          <w:highlight w:val="none"/>
          <w:lang w:eastAsia="zh-CN"/>
        </w:rPr>
        <w:t>九、</w:t>
      </w:r>
      <w:bookmarkEnd w:id="14"/>
      <w:r>
        <w:rPr>
          <w:rFonts w:hint="eastAsia" w:ascii="宋体" w:hAnsi="宋体" w:eastAsia="宋体" w:cs="宋体"/>
          <w:b/>
          <w:color w:val="auto"/>
          <w:sz w:val="24"/>
          <w:highlight w:val="none"/>
          <w:lang w:eastAsia="zh-CN"/>
        </w:rPr>
        <w:t>响应文件递交截止时间：</w:t>
      </w:r>
      <w:bookmarkEnd w:id="15"/>
      <w:r>
        <w:rPr>
          <w:rFonts w:hint="eastAsia" w:ascii="宋体" w:hAnsi="宋体" w:eastAsia="宋体" w:cs="宋体"/>
          <w:b/>
          <w:bCs/>
          <w:color w:val="auto"/>
          <w:sz w:val="24"/>
          <w:highlight w:val="none"/>
        </w:rPr>
        <w:t>20</w:t>
      </w:r>
      <w:r>
        <w:rPr>
          <w:rFonts w:hint="eastAsia" w:ascii="宋体" w:hAnsi="宋体" w:eastAsia="宋体" w:cs="宋体"/>
          <w:b/>
          <w:bCs/>
          <w:color w:val="auto"/>
          <w:sz w:val="24"/>
          <w:highlight w:val="none"/>
          <w:lang w:val="en-US" w:eastAsia="zh-CN"/>
        </w:rPr>
        <w:t>21</w:t>
      </w:r>
      <w:r>
        <w:rPr>
          <w:rFonts w:hint="eastAsia" w:ascii="宋体" w:hAnsi="宋体" w:eastAsia="宋体" w:cs="宋体"/>
          <w:b/>
          <w:bCs/>
          <w:color w:val="auto"/>
          <w:sz w:val="24"/>
          <w:highlight w:val="none"/>
        </w:rPr>
        <w:t>年</w:t>
      </w:r>
      <w:r>
        <w:rPr>
          <w:rFonts w:hint="eastAsia" w:ascii="宋体" w:hAnsi="宋体" w:eastAsia="宋体" w:cs="宋体"/>
          <w:b/>
          <w:bCs/>
          <w:color w:val="auto"/>
          <w:sz w:val="24"/>
          <w:highlight w:val="none"/>
          <w:lang w:val="en-US" w:eastAsia="zh-CN"/>
        </w:rPr>
        <w:t>8月27日</w:t>
      </w:r>
      <w:r>
        <w:rPr>
          <w:rFonts w:hint="eastAsia" w:ascii="宋体" w:hAnsi="宋体" w:eastAsia="宋体" w:cs="宋体"/>
          <w:b/>
          <w:color w:val="auto"/>
          <w:sz w:val="24"/>
          <w:highlight w:val="none"/>
          <w:lang w:val="en-US" w:eastAsia="zh-CN"/>
        </w:rPr>
        <w:t>14</w:t>
      </w:r>
      <w:r>
        <w:rPr>
          <w:rFonts w:hint="eastAsia" w:ascii="宋体" w:hAnsi="宋体" w:eastAsia="宋体" w:cs="宋体"/>
          <w:b/>
          <w:color w:val="auto"/>
          <w:sz w:val="24"/>
          <w:highlight w:val="none"/>
        </w:rPr>
        <w:t>时00分</w:t>
      </w:r>
      <w:r>
        <w:rPr>
          <w:rFonts w:hint="eastAsia" w:ascii="宋体" w:hAnsi="宋体" w:eastAsia="宋体" w:cs="宋体"/>
          <w:color w:val="auto"/>
          <w:sz w:val="24"/>
          <w:szCs w:val="28"/>
          <w:highlight w:val="none"/>
        </w:rPr>
        <w:t>（北京时间）</w:t>
      </w:r>
    </w:p>
    <w:p>
      <w:pPr>
        <w:pStyle w:val="47"/>
        <w:widowControl w:val="0"/>
        <w:autoSpaceDE w:val="0"/>
        <w:autoSpaceDN w:val="0"/>
        <w:adjustRightInd w:val="0"/>
        <w:spacing w:before="0" w:after="0" w:line="440" w:lineRule="exact"/>
        <w:ind w:left="482" w:firstLine="490" w:firstLineChars="200"/>
        <w:jc w:val="left"/>
        <w:outlineLvl w:val="2"/>
        <w:rPr>
          <w:rFonts w:hint="eastAsia" w:ascii="宋体" w:hAnsi="宋体" w:eastAsia="宋体" w:cs="宋体"/>
          <w:color w:val="auto"/>
          <w:sz w:val="24"/>
          <w:szCs w:val="28"/>
          <w:highlight w:val="none"/>
          <w:lang w:eastAsia="zh-CN"/>
        </w:rPr>
      </w:pPr>
      <w:bookmarkStart w:id="16" w:name="_Toc4616423"/>
      <w:r>
        <w:rPr>
          <w:rFonts w:hint="eastAsia" w:ascii="宋体" w:hAnsi="宋体" w:eastAsia="宋体" w:cs="宋体"/>
          <w:b/>
          <w:color w:val="auto"/>
          <w:sz w:val="24"/>
          <w:highlight w:val="none"/>
          <w:lang w:eastAsia="zh-CN"/>
        </w:rPr>
        <w:t>响应文件开启时间：</w:t>
      </w:r>
      <w:r>
        <w:rPr>
          <w:rFonts w:hint="eastAsia" w:ascii="宋体" w:hAnsi="宋体" w:eastAsia="宋体" w:cs="宋体"/>
          <w:b/>
          <w:bCs/>
          <w:color w:val="auto"/>
          <w:sz w:val="24"/>
          <w:highlight w:val="none"/>
        </w:rPr>
        <w:t>20</w:t>
      </w:r>
      <w:r>
        <w:rPr>
          <w:rFonts w:hint="eastAsia" w:ascii="宋体" w:hAnsi="宋体" w:eastAsia="宋体" w:cs="宋体"/>
          <w:b/>
          <w:bCs/>
          <w:color w:val="auto"/>
          <w:sz w:val="24"/>
          <w:highlight w:val="none"/>
          <w:lang w:val="en-US" w:eastAsia="zh-CN"/>
        </w:rPr>
        <w:t>21</w:t>
      </w:r>
      <w:r>
        <w:rPr>
          <w:rFonts w:hint="eastAsia" w:ascii="宋体" w:hAnsi="宋体" w:eastAsia="宋体" w:cs="宋体"/>
          <w:b/>
          <w:bCs/>
          <w:color w:val="auto"/>
          <w:sz w:val="24"/>
          <w:highlight w:val="none"/>
        </w:rPr>
        <w:t>年</w:t>
      </w:r>
      <w:r>
        <w:rPr>
          <w:rFonts w:hint="eastAsia" w:ascii="宋体" w:hAnsi="宋体" w:eastAsia="宋体" w:cs="宋体"/>
          <w:b/>
          <w:bCs/>
          <w:color w:val="auto"/>
          <w:sz w:val="24"/>
          <w:highlight w:val="none"/>
          <w:lang w:val="en-US" w:eastAsia="zh-CN"/>
        </w:rPr>
        <w:t>8月27日</w:t>
      </w:r>
      <w:r>
        <w:rPr>
          <w:rFonts w:hint="eastAsia" w:ascii="宋体" w:hAnsi="宋体" w:eastAsia="宋体" w:cs="宋体"/>
          <w:b/>
          <w:color w:val="auto"/>
          <w:sz w:val="24"/>
          <w:highlight w:val="none"/>
          <w:lang w:val="en-US" w:eastAsia="zh-CN"/>
        </w:rPr>
        <w:t>14</w:t>
      </w:r>
      <w:r>
        <w:rPr>
          <w:rFonts w:hint="eastAsia" w:ascii="宋体" w:hAnsi="宋体" w:eastAsia="宋体" w:cs="宋体"/>
          <w:b/>
          <w:color w:val="auto"/>
          <w:sz w:val="24"/>
          <w:highlight w:val="none"/>
        </w:rPr>
        <w:t>时</w:t>
      </w:r>
      <w:r>
        <w:rPr>
          <w:rFonts w:hint="eastAsia" w:ascii="宋体" w:hAnsi="宋体" w:eastAsia="宋体" w:cs="宋体"/>
          <w:b/>
          <w:color w:val="auto"/>
          <w:sz w:val="24"/>
          <w:highlight w:val="none"/>
          <w:lang w:val="en-US" w:eastAsia="zh-CN"/>
        </w:rPr>
        <w:t>00</w:t>
      </w:r>
      <w:r>
        <w:rPr>
          <w:rFonts w:hint="eastAsia" w:ascii="宋体" w:hAnsi="宋体" w:eastAsia="宋体" w:cs="宋体"/>
          <w:b/>
          <w:color w:val="auto"/>
          <w:sz w:val="24"/>
          <w:highlight w:val="none"/>
        </w:rPr>
        <w:t>分</w:t>
      </w:r>
      <w:r>
        <w:rPr>
          <w:rFonts w:hint="eastAsia" w:ascii="宋体" w:hAnsi="宋体" w:eastAsia="宋体" w:cs="宋体"/>
          <w:color w:val="auto"/>
          <w:sz w:val="24"/>
          <w:szCs w:val="28"/>
          <w:highlight w:val="none"/>
        </w:rPr>
        <w:t>（北京时间）</w:t>
      </w:r>
      <w:r>
        <w:rPr>
          <w:rFonts w:hint="eastAsia" w:ascii="宋体" w:hAnsi="宋体" w:eastAsia="宋体" w:cs="宋体"/>
          <w:color w:val="auto"/>
          <w:sz w:val="24"/>
          <w:szCs w:val="28"/>
          <w:highlight w:val="none"/>
          <w:lang w:eastAsia="zh-CN"/>
        </w:rPr>
        <w:t>；</w:t>
      </w:r>
      <w:bookmarkEnd w:id="16"/>
    </w:p>
    <w:p>
      <w:pPr>
        <w:spacing w:after="120" w:line="440" w:lineRule="exact"/>
        <w:ind w:firstLine="490" w:firstLineChars="200"/>
        <w:outlineLvl w:val="2"/>
        <w:rPr>
          <w:rFonts w:hint="eastAsia" w:ascii="宋体" w:hAnsi="宋体" w:eastAsia="宋体" w:cs="宋体"/>
          <w:color w:val="auto"/>
          <w:sz w:val="24"/>
          <w:highlight w:val="none"/>
        </w:rPr>
      </w:pPr>
      <w:bookmarkStart w:id="17" w:name="_Toc4616424"/>
      <w:r>
        <w:rPr>
          <w:rFonts w:hint="eastAsia" w:ascii="宋体" w:hAnsi="宋体" w:eastAsia="宋体" w:cs="宋体"/>
          <w:b/>
          <w:color w:val="auto"/>
          <w:sz w:val="24"/>
          <w:highlight w:val="none"/>
        </w:rPr>
        <w:t>十、递交响应文件地点：</w:t>
      </w:r>
      <w:r>
        <w:rPr>
          <w:rFonts w:hint="eastAsia" w:ascii="宋体" w:hAnsi="宋体" w:eastAsia="宋体" w:cs="宋体"/>
          <w:color w:val="auto"/>
          <w:sz w:val="24"/>
          <w:highlight w:val="none"/>
        </w:rPr>
        <w:t>响应文件必须在递交响应文件截止时间前送达</w:t>
      </w:r>
      <w:r>
        <w:rPr>
          <w:rFonts w:hint="eastAsia" w:ascii="宋体" w:hAnsi="宋体" w:eastAsia="宋体" w:cs="宋体"/>
          <w:color w:val="auto"/>
          <w:sz w:val="24"/>
          <w:szCs w:val="18"/>
          <w:highlight w:val="none"/>
        </w:rPr>
        <w:t>谈判</w:t>
      </w:r>
      <w:r>
        <w:rPr>
          <w:rFonts w:hint="eastAsia" w:ascii="宋体" w:hAnsi="宋体" w:eastAsia="宋体" w:cs="宋体"/>
          <w:color w:val="auto"/>
          <w:sz w:val="24"/>
          <w:highlight w:val="none"/>
        </w:rPr>
        <w:t>地点。逾期送达的响应文件，恕不接收。本次采购不接收邮寄的响应文件。</w:t>
      </w:r>
      <w:bookmarkEnd w:id="17"/>
    </w:p>
    <w:p>
      <w:pPr>
        <w:spacing w:line="440" w:lineRule="exact"/>
        <w:ind w:firstLine="494" w:firstLineChars="202"/>
        <w:outlineLvl w:val="2"/>
        <w:rPr>
          <w:rFonts w:hint="eastAsia" w:ascii="宋体" w:hAnsi="宋体" w:eastAsia="宋体" w:cs="宋体"/>
          <w:color w:val="auto"/>
          <w:sz w:val="24"/>
          <w:szCs w:val="28"/>
          <w:highlight w:val="none"/>
        </w:rPr>
      </w:pPr>
      <w:bookmarkStart w:id="18" w:name="_Toc4616425"/>
      <w:r>
        <w:rPr>
          <w:rFonts w:hint="eastAsia" w:ascii="宋体" w:hAnsi="宋体" w:eastAsia="宋体" w:cs="宋体"/>
          <w:b/>
          <w:color w:val="auto"/>
          <w:sz w:val="24"/>
          <w:szCs w:val="28"/>
          <w:highlight w:val="none"/>
        </w:rPr>
        <w:t>十一、谈判地点：</w:t>
      </w:r>
      <w:r>
        <w:rPr>
          <w:rFonts w:hint="eastAsia" w:ascii="宋体" w:hAnsi="宋体" w:eastAsia="宋体" w:cs="宋体"/>
          <w:color w:val="auto"/>
          <w:sz w:val="24"/>
          <w:highlight w:val="none"/>
          <w:lang w:val="zh-CN"/>
        </w:rPr>
        <w:t>四川省成都市高新区天府大道1700号新世纪环球中心E3门栋6楼2-1-611-615</w:t>
      </w:r>
      <w:r>
        <w:rPr>
          <w:rFonts w:hint="eastAsia" w:ascii="宋体" w:hAnsi="宋体" w:eastAsia="宋体" w:cs="宋体"/>
          <w:color w:val="auto"/>
          <w:sz w:val="24"/>
          <w:szCs w:val="24"/>
          <w:highlight w:val="none"/>
          <w:lang w:val="zh-CN"/>
        </w:rPr>
        <w:t>四川中意招标有限公司会议室</w:t>
      </w:r>
      <w:r>
        <w:rPr>
          <w:rFonts w:hint="eastAsia" w:ascii="宋体" w:hAnsi="宋体" w:eastAsia="宋体" w:cs="宋体"/>
          <w:color w:val="auto"/>
          <w:sz w:val="24"/>
          <w:szCs w:val="28"/>
          <w:highlight w:val="none"/>
        </w:rPr>
        <w:t>。</w:t>
      </w:r>
      <w:bookmarkEnd w:id="18"/>
    </w:p>
    <w:p>
      <w:pPr>
        <w:pStyle w:val="62"/>
        <w:spacing w:after="120" w:line="440" w:lineRule="exact"/>
        <w:ind w:firstLine="492"/>
        <w:outlineLvl w:val="2"/>
        <w:rPr>
          <w:rFonts w:hint="eastAsia" w:ascii="宋体" w:hAnsi="宋体" w:eastAsia="宋体" w:cs="宋体"/>
          <w:b/>
          <w:color w:val="auto"/>
          <w:sz w:val="24"/>
          <w:highlight w:val="none"/>
        </w:rPr>
      </w:pPr>
      <w:bookmarkStart w:id="19" w:name="_Toc4616426"/>
      <w:r>
        <w:rPr>
          <w:rFonts w:hint="eastAsia" w:ascii="宋体" w:hAnsi="宋体" w:eastAsia="宋体" w:cs="宋体"/>
          <w:b/>
          <w:color w:val="auto"/>
          <w:sz w:val="24"/>
          <w:highlight w:val="none"/>
        </w:rPr>
        <w:t>十二、联系方式</w:t>
      </w:r>
      <w:bookmarkEnd w:id="19"/>
    </w:p>
    <w:p>
      <w:pPr>
        <w:pStyle w:val="62"/>
        <w:spacing w:line="400" w:lineRule="exact"/>
        <w:ind w:firstLine="1180" w:firstLineChars="482"/>
        <w:jc w:val="lef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采购人：</w:t>
      </w:r>
      <w:r>
        <w:rPr>
          <w:rFonts w:hint="eastAsia" w:ascii="宋体" w:hAnsi="宋体" w:eastAsia="宋体" w:cs="宋体"/>
          <w:b/>
          <w:bCs/>
          <w:color w:val="auto"/>
          <w:sz w:val="24"/>
          <w:highlight w:val="none"/>
          <w:lang w:eastAsia="zh-CN"/>
        </w:rPr>
        <w:t>成都市公安局</w:t>
      </w:r>
    </w:p>
    <w:p>
      <w:pPr>
        <w:autoSpaceDE w:val="0"/>
        <w:autoSpaceDN w:val="0"/>
        <w:adjustRightInd w:val="0"/>
        <w:spacing w:line="400" w:lineRule="exact"/>
        <w:ind w:firstLine="1225" w:firstLineChars="5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val="zh-CN"/>
        </w:rPr>
        <w:t>成都市文武路136号</w:t>
      </w:r>
      <w:r>
        <w:rPr>
          <w:rFonts w:hint="eastAsia" w:ascii="宋体" w:hAnsi="宋体" w:eastAsia="宋体" w:cs="宋体"/>
          <w:color w:val="auto"/>
          <w:sz w:val="24"/>
          <w:highlight w:val="none"/>
          <w:lang w:val="en-US" w:eastAsia="zh-CN"/>
        </w:rPr>
        <w:t xml:space="preserve"> </w:t>
      </w:r>
    </w:p>
    <w:p>
      <w:pPr>
        <w:autoSpaceDE w:val="0"/>
        <w:autoSpaceDN w:val="0"/>
        <w:adjustRightInd w:val="0"/>
        <w:spacing w:line="400" w:lineRule="exact"/>
        <w:ind w:firstLine="1225" w:firstLineChars="5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hAnsi="宋体" w:eastAsia="宋体" w:cs="宋体"/>
          <w:color w:val="auto"/>
          <w:sz w:val="24"/>
          <w:highlight w:val="none"/>
          <w:lang w:eastAsia="zh-CN"/>
        </w:rPr>
        <w:t>吴</w:t>
      </w:r>
      <w:r>
        <w:rPr>
          <w:rFonts w:hint="eastAsia" w:ascii="宋体" w:hAnsi="宋体" w:eastAsia="宋体" w:cs="宋体"/>
          <w:color w:val="auto"/>
          <w:sz w:val="24"/>
          <w:highlight w:val="none"/>
          <w:lang w:eastAsia="zh-CN"/>
        </w:rPr>
        <w:t>老师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pPr>
        <w:pStyle w:val="62"/>
        <w:spacing w:line="400" w:lineRule="exact"/>
        <w:ind w:firstLine="1225" w:firstLineChars="500"/>
        <w:jc w:val="left"/>
        <w:rPr>
          <w:rFonts w:hint="eastAsia" w:ascii="宋体" w:hAnsi="宋体" w:eastAsia="宋体" w:cs="宋体"/>
          <w:b/>
          <w:color w:val="auto"/>
          <w:sz w:val="24"/>
          <w:highlight w:val="none"/>
          <w:lang w:val="en-US" w:eastAsia="zh-CN"/>
        </w:rPr>
      </w:pPr>
      <w:r>
        <w:rPr>
          <w:rFonts w:hint="eastAsia" w:ascii="宋体" w:hAnsi="宋体" w:eastAsia="宋体" w:cs="宋体"/>
          <w:color w:val="auto"/>
          <w:sz w:val="24"/>
          <w:highlight w:val="none"/>
        </w:rPr>
        <w:t>电  话：</w:t>
      </w:r>
      <w:r>
        <w:rPr>
          <w:rFonts w:hint="eastAsia" w:ascii="宋体" w:hAnsi="宋体" w:eastAsia="宋体" w:cs="宋体"/>
          <w:color w:val="auto"/>
          <w:sz w:val="24"/>
          <w:szCs w:val="22"/>
          <w:highlight w:val="none"/>
        </w:rPr>
        <w:t>028-86407</w:t>
      </w:r>
      <w:r>
        <w:rPr>
          <w:rFonts w:hint="eastAsia" w:hAnsi="宋体" w:eastAsia="宋体" w:cs="宋体"/>
          <w:color w:val="auto"/>
          <w:sz w:val="24"/>
          <w:szCs w:val="22"/>
          <w:highlight w:val="none"/>
          <w:lang w:val="en-US" w:eastAsia="zh-CN"/>
        </w:rPr>
        <w:t>879</w:t>
      </w:r>
      <w:r>
        <w:rPr>
          <w:rFonts w:hint="eastAsia" w:ascii="宋体" w:hAnsi="宋体" w:eastAsia="宋体" w:cs="宋体"/>
          <w:bCs/>
          <w:color w:val="auto"/>
          <w:sz w:val="24"/>
          <w:highlight w:val="none"/>
          <w:lang w:val="en-US" w:eastAsia="zh-CN"/>
        </w:rPr>
        <w:t xml:space="preserve"> </w:t>
      </w:r>
    </w:p>
    <w:p>
      <w:pPr>
        <w:pStyle w:val="12"/>
        <w:spacing w:after="231" w:afterLines="50" w:line="360" w:lineRule="exact"/>
        <w:ind w:firstLine="940" w:firstLineChars="384"/>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采购代理机构： 四川中意招标有限公司 </w:t>
      </w:r>
      <w:r>
        <w:rPr>
          <w:rFonts w:hint="eastAsia" w:ascii="宋体" w:hAnsi="宋体" w:eastAsia="宋体" w:cs="宋体"/>
          <w:color w:val="auto"/>
          <w:sz w:val="24"/>
          <w:highlight w:val="none"/>
        </w:rPr>
        <w:t xml:space="preserve">  </w:t>
      </w:r>
    </w:p>
    <w:p>
      <w:pPr>
        <w:pStyle w:val="62"/>
        <w:spacing w:line="360" w:lineRule="exact"/>
        <w:ind w:left="1207" w:leftChars="35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通讯地址：</w:t>
      </w:r>
      <w:r>
        <w:rPr>
          <w:rFonts w:hint="eastAsia" w:ascii="宋体" w:hAnsi="宋体" w:eastAsia="宋体" w:cs="宋体"/>
          <w:color w:val="auto"/>
          <w:sz w:val="24"/>
          <w:highlight w:val="none"/>
          <w:lang w:val="zh-CN"/>
        </w:rPr>
        <w:t>四川省成都市高新区天府大道1700号新世纪环球中心E3门栋6楼2-1-611-615四川中意招标有限公司</w:t>
      </w:r>
      <w:r>
        <w:rPr>
          <w:rFonts w:hint="eastAsia" w:ascii="宋体" w:hAnsi="宋体" w:eastAsia="宋体" w:cs="宋体"/>
          <w:color w:val="auto"/>
          <w:sz w:val="24"/>
          <w:highlight w:val="none"/>
        </w:rPr>
        <w:t xml:space="preserve"> </w:t>
      </w:r>
    </w:p>
    <w:p>
      <w:pPr>
        <w:pStyle w:val="62"/>
        <w:spacing w:line="440" w:lineRule="exact"/>
        <w:ind w:firstLine="1225"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邮    编：610000</w:t>
      </w:r>
    </w:p>
    <w:p>
      <w:pPr>
        <w:pStyle w:val="62"/>
        <w:spacing w:line="440" w:lineRule="exact"/>
        <w:ind w:firstLine="1225" w:firstLineChars="5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 系 人：</w:t>
      </w:r>
      <w:r>
        <w:rPr>
          <w:rFonts w:hint="eastAsia" w:ascii="宋体" w:hAnsi="宋体" w:eastAsia="宋体" w:cs="宋体"/>
          <w:color w:val="auto"/>
          <w:sz w:val="24"/>
          <w:highlight w:val="none"/>
          <w:lang w:eastAsia="zh-CN"/>
        </w:rPr>
        <w:t>袁女士</w:t>
      </w:r>
    </w:p>
    <w:p>
      <w:pPr>
        <w:pStyle w:val="62"/>
        <w:spacing w:line="440" w:lineRule="exact"/>
        <w:ind w:firstLine="1225"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联系电话：028-87050033</w:t>
      </w:r>
    </w:p>
    <w:p>
      <w:pPr>
        <w:pStyle w:val="62"/>
        <w:spacing w:line="440" w:lineRule="exact"/>
        <w:ind w:firstLine="1225"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真：028-87050233</w:t>
      </w:r>
    </w:p>
    <w:p>
      <w:pPr>
        <w:tabs>
          <w:tab w:val="left" w:pos="2310"/>
        </w:tabs>
        <w:spacing w:line="440" w:lineRule="exact"/>
        <w:ind w:right="690" w:rightChars="200" w:firstLine="1225" w:firstLineChars="5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电子邮件：</w:t>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"mailto:s.c.zyzb@163.com"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s.c.zyzb@163.com</w:t>
      </w:r>
      <w:r>
        <w:rPr>
          <w:rFonts w:hint="eastAsia" w:ascii="宋体" w:hAnsi="宋体" w:eastAsia="宋体" w:cs="宋体"/>
          <w:color w:val="auto"/>
          <w:sz w:val="24"/>
          <w:szCs w:val="22"/>
          <w:highlight w:val="none"/>
        </w:rPr>
        <w:fldChar w:fldCharType="end"/>
      </w:r>
      <w:bookmarkStart w:id="20" w:name="_Toc4620"/>
      <w:bookmarkStart w:id="21" w:name="_Toc7290"/>
      <w:bookmarkStart w:id="22" w:name="_Toc213396945"/>
      <w:bookmarkStart w:id="23" w:name="_Toc30590"/>
      <w:bookmarkStart w:id="24" w:name="_Toc29305"/>
      <w:bookmarkStart w:id="25" w:name="_Toc8346"/>
      <w:bookmarkStart w:id="26" w:name="_Toc23579"/>
      <w:bookmarkStart w:id="27" w:name="_Toc213396759"/>
      <w:bookmarkStart w:id="28" w:name="_Toc213496267"/>
      <w:bookmarkStart w:id="29" w:name="_Toc213397009"/>
      <w:bookmarkStart w:id="30" w:name="_Toc217446031"/>
      <w:bookmarkStart w:id="31" w:name="_Toc25057"/>
      <w:bookmarkStart w:id="32" w:name="_Toc27317"/>
    </w:p>
    <w:p>
      <w:pPr>
        <w:pStyle w:val="6"/>
        <w:ind w:firstLine="490"/>
        <w:rPr>
          <w:rFonts w:hint="eastAsia" w:ascii="宋体" w:hAnsi="宋体" w:eastAsia="宋体" w:cs="宋体"/>
          <w:color w:val="auto"/>
          <w:sz w:val="24"/>
          <w:szCs w:val="22"/>
          <w:highlight w:val="none"/>
        </w:rPr>
      </w:pPr>
    </w:p>
    <w:p>
      <w:pPr>
        <w:pStyle w:val="6"/>
        <w:ind w:firstLine="490"/>
        <w:rPr>
          <w:rFonts w:hint="eastAsia" w:ascii="宋体" w:hAnsi="宋体" w:eastAsia="宋体" w:cs="宋体"/>
          <w:color w:val="auto"/>
          <w:sz w:val="24"/>
          <w:szCs w:val="22"/>
          <w:highlight w:val="none"/>
        </w:rPr>
      </w:pPr>
    </w:p>
    <w:p>
      <w:pPr>
        <w:pStyle w:val="6"/>
        <w:ind w:firstLine="490"/>
        <w:rPr>
          <w:rFonts w:hint="eastAsia" w:ascii="宋体" w:hAnsi="宋体" w:eastAsia="宋体" w:cs="宋体"/>
          <w:color w:val="auto"/>
          <w:sz w:val="24"/>
          <w:szCs w:val="22"/>
          <w:highlight w:val="none"/>
        </w:rPr>
      </w:pPr>
    </w:p>
    <w:p>
      <w:pPr>
        <w:pStyle w:val="6"/>
        <w:ind w:firstLine="490"/>
        <w:rPr>
          <w:rFonts w:hint="eastAsia" w:ascii="宋体" w:hAnsi="宋体" w:eastAsia="宋体" w:cs="宋体"/>
          <w:color w:val="auto"/>
          <w:sz w:val="24"/>
          <w:szCs w:val="22"/>
          <w:highlight w:val="none"/>
        </w:rPr>
      </w:pPr>
    </w:p>
    <w:p>
      <w:pPr>
        <w:pStyle w:val="6"/>
        <w:ind w:firstLine="490"/>
        <w:rPr>
          <w:rFonts w:hint="eastAsia" w:ascii="宋体" w:hAnsi="宋体" w:eastAsia="宋体" w:cs="宋体"/>
          <w:color w:val="auto"/>
          <w:sz w:val="24"/>
          <w:szCs w:val="22"/>
          <w:highlight w:val="none"/>
        </w:rPr>
      </w:pPr>
    </w:p>
    <w:p>
      <w:pPr>
        <w:pStyle w:val="6"/>
        <w:ind w:firstLine="0" w:firstLineChars="0"/>
        <w:rPr>
          <w:rFonts w:hint="eastAsia" w:ascii="宋体" w:hAnsi="宋体" w:eastAsia="宋体" w:cs="宋体"/>
          <w:color w:val="auto"/>
          <w:sz w:val="24"/>
          <w:szCs w:val="22"/>
          <w:highlight w:val="none"/>
        </w:rPr>
      </w:pPr>
    </w:p>
    <w:p>
      <w:pPr>
        <w:pStyle w:val="3"/>
        <w:keepNext w:val="0"/>
        <w:keepLines w:val="0"/>
        <w:spacing w:line="240" w:lineRule="atLeast"/>
        <w:jc w:val="center"/>
        <w:rPr>
          <w:rFonts w:hint="eastAsia" w:ascii="宋体" w:hAnsi="宋体" w:eastAsia="宋体" w:cs="宋体"/>
          <w:color w:val="auto"/>
          <w:sz w:val="36"/>
          <w:szCs w:val="36"/>
          <w:highlight w:val="none"/>
        </w:rPr>
        <w:sectPr>
          <w:footerReference r:id="rId7" w:type="default"/>
          <w:pgSz w:w="11850" w:h="16783"/>
          <w:pgMar w:top="1440" w:right="1083" w:bottom="1440" w:left="1083" w:header="851" w:footer="992" w:gutter="0"/>
          <w:pgNumType w:fmt="decimal" w:start="1"/>
          <w:cols w:space="720" w:num="1"/>
          <w:docGrid w:type="linesAndChars" w:linePitch="463" w:charSpace="1024"/>
        </w:sectPr>
      </w:pPr>
      <w:bookmarkStart w:id="33" w:name="_Toc4616427"/>
      <w:bookmarkStart w:id="34" w:name="_Toc12857"/>
      <w:bookmarkStart w:id="35" w:name="_Toc30738_WPSOffice_Level1"/>
    </w:p>
    <w:p>
      <w:pPr>
        <w:pStyle w:val="3"/>
        <w:keepNext w:val="0"/>
        <w:keepLines w:val="0"/>
        <w:spacing w:line="240" w:lineRule="atLeast"/>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第二章  谈判须知</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pStyle w:val="4"/>
        <w:keepNext w:val="0"/>
        <w:keepLines w:val="0"/>
        <w:spacing w:line="24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36" w:name="_Toc4616428"/>
      <w:r>
        <w:rPr>
          <w:rFonts w:hint="eastAsia" w:ascii="宋体" w:hAnsi="宋体" w:eastAsia="宋体" w:cs="宋体"/>
          <w:color w:val="auto"/>
          <w:highlight w:val="none"/>
        </w:rPr>
        <w:t>一、供应商须知附表</w:t>
      </w:r>
      <w:bookmarkEnd w:id="36"/>
    </w:p>
    <w:tbl>
      <w:tblPr>
        <w:tblStyle w:val="30"/>
        <w:tblW w:w="974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46"/>
        <w:gridCol w:w="2340"/>
        <w:gridCol w:w="655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846" w:type="dxa"/>
            <w:noWrap w:val="0"/>
            <w:vAlign w:val="center"/>
          </w:tcPr>
          <w:p>
            <w:pPr>
              <w:pStyle w:val="56"/>
              <w:spacing w:line="320" w:lineRule="exact"/>
              <w:ind w:left="9"/>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序号 </w:t>
            </w:r>
          </w:p>
        </w:tc>
        <w:tc>
          <w:tcPr>
            <w:tcW w:w="2340" w:type="dxa"/>
            <w:noWrap w:val="0"/>
            <w:vAlign w:val="center"/>
          </w:tcPr>
          <w:p>
            <w:pPr>
              <w:pStyle w:val="56"/>
              <w:spacing w:line="320" w:lineRule="exact"/>
              <w:ind w:left="38"/>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应知事项 </w:t>
            </w:r>
          </w:p>
        </w:tc>
        <w:tc>
          <w:tcPr>
            <w:tcW w:w="6559" w:type="dxa"/>
            <w:noWrap w:val="0"/>
            <w:vAlign w:val="center"/>
          </w:tcPr>
          <w:p>
            <w:pPr>
              <w:pStyle w:val="56"/>
              <w:spacing w:line="32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46" w:type="dxa"/>
            <w:noWrap w:val="0"/>
            <w:vAlign w:val="center"/>
          </w:tcPr>
          <w:p>
            <w:pPr>
              <w:spacing w:line="320" w:lineRule="exact"/>
              <w:ind w:right="23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p>
        </w:tc>
        <w:tc>
          <w:tcPr>
            <w:tcW w:w="2340" w:type="dxa"/>
            <w:noWrap w:val="0"/>
            <w:vAlign w:val="center"/>
          </w:tcPr>
          <w:p>
            <w:pPr>
              <w:spacing w:line="32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确定邀请谈判的方式</w:t>
            </w:r>
          </w:p>
        </w:tc>
        <w:tc>
          <w:tcPr>
            <w:tcW w:w="6559" w:type="dxa"/>
            <w:noWrap w:val="0"/>
            <w:vAlign w:val="center"/>
          </w:tcPr>
          <w:p>
            <w:pPr>
              <w:spacing w:line="32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本次竞争性谈判邀请在四川政府采购网上以公告形式发布；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46" w:type="dxa"/>
            <w:noWrap w:val="0"/>
            <w:vAlign w:val="center"/>
          </w:tcPr>
          <w:p>
            <w:pPr>
              <w:pStyle w:val="56"/>
              <w:spacing w:line="320" w:lineRule="exact"/>
              <w:ind w:right="23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w:t>
            </w:r>
          </w:p>
        </w:tc>
        <w:tc>
          <w:tcPr>
            <w:tcW w:w="2340" w:type="dxa"/>
            <w:noWrap w:val="0"/>
            <w:vAlign w:val="center"/>
          </w:tcPr>
          <w:p>
            <w:pPr>
              <w:spacing w:line="32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采购预算及限价</w:t>
            </w:r>
          </w:p>
          <w:p>
            <w:pPr>
              <w:spacing w:line="320" w:lineRule="exact"/>
              <w:jc w:val="center"/>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（实质性要求）</w:t>
            </w:r>
          </w:p>
        </w:tc>
        <w:tc>
          <w:tcPr>
            <w:tcW w:w="6559" w:type="dxa"/>
            <w:noWrap w:val="0"/>
            <w:vAlign w:val="top"/>
          </w:tcPr>
          <w:p>
            <w:pPr>
              <w:spacing w:line="32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采购预算：</w:t>
            </w:r>
            <w:r>
              <w:rPr>
                <w:rFonts w:hint="eastAsia"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lang w:val="zh-CN"/>
              </w:rPr>
              <w:t>万元(人民币)；</w:t>
            </w:r>
          </w:p>
          <w:p>
            <w:pPr>
              <w:spacing w:line="32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zh-CN"/>
              </w:rPr>
              <w:t>最高限价：</w:t>
            </w:r>
            <w:r>
              <w:rPr>
                <w:rFonts w:hint="eastAsia"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lang w:val="en-US" w:eastAsia="zh-CN"/>
              </w:rPr>
              <w:t>万元（人民币）；</w:t>
            </w:r>
          </w:p>
          <w:p>
            <w:pPr>
              <w:spacing w:line="32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3、</w:t>
            </w:r>
            <w:r>
              <w:rPr>
                <w:rFonts w:hint="eastAsia" w:ascii="宋体" w:hAnsi="宋体" w:eastAsia="宋体" w:cs="宋体"/>
                <w:color w:val="auto"/>
                <w:sz w:val="24"/>
                <w:szCs w:val="24"/>
                <w:highlight w:val="none"/>
                <w:lang w:val="zh-CN"/>
              </w:rPr>
              <w:t>超过最高限价</w:t>
            </w:r>
            <w:r>
              <w:rPr>
                <w:rFonts w:hint="eastAsia" w:ascii="宋体" w:hAnsi="宋体" w:eastAsia="宋体" w:cs="宋体"/>
                <w:color w:val="auto"/>
                <w:sz w:val="24"/>
                <w:szCs w:val="24"/>
                <w:highlight w:val="none"/>
                <w:lang w:val="zh-CN" w:eastAsia="zh-CN"/>
              </w:rPr>
              <w:t>的</w:t>
            </w:r>
            <w:r>
              <w:rPr>
                <w:rFonts w:hint="eastAsia" w:ascii="宋体" w:hAnsi="宋体" w:eastAsia="宋体" w:cs="宋体"/>
                <w:color w:val="auto"/>
                <w:sz w:val="24"/>
                <w:szCs w:val="24"/>
                <w:highlight w:val="none"/>
                <w:lang w:val="zh-CN"/>
              </w:rPr>
              <w:t>投标视为无效投标。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46" w:type="dxa"/>
            <w:noWrap w:val="0"/>
            <w:vAlign w:val="center"/>
          </w:tcPr>
          <w:p>
            <w:pPr>
              <w:pStyle w:val="56"/>
              <w:spacing w:line="320" w:lineRule="exact"/>
              <w:ind w:right="23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340" w:type="dxa"/>
            <w:noWrap w:val="0"/>
            <w:vAlign w:val="center"/>
          </w:tcPr>
          <w:p>
            <w:pPr>
              <w:pStyle w:val="56"/>
              <w:spacing w:line="320" w:lineRule="exact"/>
              <w:ind w:left="38"/>
              <w:jc w:val="center"/>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服务时间</w:t>
            </w:r>
          </w:p>
          <w:p>
            <w:pPr>
              <w:pStyle w:val="56"/>
              <w:spacing w:line="320" w:lineRule="exact"/>
              <w:ind w:left="38"/>
              <w:jc w:val="center"/>
              <w:rPr>
                <w:rFonts w:hint="eastAsia" w:ascii="宋体" w:hAnsi="宋体" w:eastAsia="宋体" w:cs="宋体"/>
                <w:color w:val="auto"/>
                <w:highlight w:val="none"/>
                <w:lang w:val="zh-CN"/>
              </w:rPr>
            </w:pPr>
            <w:r>
              <w:rPr>
                <w:rFonts w:hint="eastAsia" w:ascii="宋体" w:hAnsi="宋体" w:eastAsia="宋体" w:cs="宋体"/>
                <w:b/>
                <w:color w:val="auto"/>
                <w:highlight w:val="none"/>
              </w:rPr>
              <w:t>（实质性要求）</w:t>
            </w:r>
          </w:p>
        </w:tc>
        <w:tc>
          <w:tcPr>
            <w:tcW w:w="6559" w:type="dxa"/>
            <w:noWrap w:val="0"/>
            <w:vAlign w:val="center"/>
          </w:tcPr>
          <w:p>
            <w:pPr>
              <w:pStyle w:val="56"/>
              <w:spacing w:line="320" w:lineRule="exact"/>
              <w:jc w:val="both"/>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详见谈判文件第五章。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46" w:type="dxa"/>
            <w:noWrap w:val="0"/>
            <w:vAlign w:val="center"/>
          </w:tcPr>
          <w:p>
            <w:pPr>
              <w:pStyle w:val="56"/>
              <w:spacing w:line="320" w:lineRule="exact"/>
              <w:ind w:right="23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2340" w:type="dxa"/>
            <w:noWrap w:val="0"/>
            <w:vAlign w:val="center"/>
          </w:tcPr>
          <w:p>
            <w:pPr>
              <w:pStyle w:val="56"/>
              <w:spacing w:line="320" w:lineRule="exact"/>
              <w:ind w:left="38"/>
              <w:jc w:val="center"/>
              <w:rPr>
                <w:rFonts w:hint="eastAsia" w:ascii="宋体" w:hAnsi="宋体" w:eastAsia="宋体" w:cs="宋体"/>
                <w:color w:val="auto"/>
                <w:szCs w:val="22"/>
                <w:highlight w:val="none"/>
                <w:lang w:val="zh-CN"/>
              </w:rPr>
            </w:pPr>
            <w:r>
              <w:rPr>
                <w:rFonts w:hint="eastAsia" w:ascii="宋体" w:hAnsi="宋体" w:eastAsia="宋体" w:cs="宋体"/>
                <w:color w:val="auto"/>
                <w:szCs w:val="22"/>
                <w:highlight w:val="none"/>
                <w:lang w:val="zh-CN"/>
              </w:rPr>
              <w:t>进口产品</w:t>
            </w:r>
          </w:p>
          <w:p>
            <w:pPr>
              <w:pStyle w:val="56"/>
              <w:spacing w:line="320" w:lineRule="exact"/>
              <w:ind w:left="38"/>
              <w:jc w:val="center"/>
              <w:rPr>
                <w:rFonts w:hint="eastAsia" w:ascii="宋体" w:hAnsi="宋体" w:eastAsia="宋体" w:cs="宋体"/>
                <w:color w:val="auto"/>
                <w:szCs w:val="22"/>
                <w:highlight w:val="none"/>
                <w:lang w:val="zh-CN"/>
              </w:rPr>
            </w:pPr>
            <w:r>
              <w:rPr>
                <w:rFonts w:hint="eastAsia" w:ascii="宋体" w:hAnsi="宋体" w:eastAsia="宋体" w:cs="宋体"/>
                <w:b/>
                <w:bCs/>
                <w:color w:val="auto"/>
                <w:szCs w:val="22"/>
                <w:highlight w:val="none"/>
                <w:lang w:val="zh-CN"/>
              </w:rPr>
              <w:t>（实质性要求）</w:t>
            </w:r>
          </w:p>
        </w:tc>
        <w:tc>
          <w:tcPr>
            <w:tcW w:w="6559" w:type="dxa"/>
            <w:noWrap w:val="0"/>
            <w:vAlign w:val="center"/>
          </w:tcPr>
          <w:p>
            <w:pPr>
              <w:pStyle w:val="56"/>
              <w:spacing w:line="320" w:lineRule="exact"/>
              <w:ind w:firstLine="245" w:firstLineChars="100"/>
              <w:jc w:val="both"/>
              <w:rPr>
                <w:rFonts w:hint="eastAsia" w:ascii="宋体" w:hAnsi="宋体" w:eastAsia="宋体" w:cs="宋体"/>
                <w:color w:val="auto"/>
                <w:szCs w:val="22"/>
                <w:highlight w:val="none"/>
                <w:lang w:val="zh-CN" w:eastAsia="zh-CN"/>
              </w:rPr>
            </w:pPr>
            <w:r>
              <w:rPr>
                <w:rFonts w:hint="eastAsia" w:ascii="宋体" w:hAnsi="宋体" w:eastAsia="宋体" w:cs="宋体"/>
                <w:color w:val="auto"/>
                <w:szCs w:val="22"/>
                <w:highlight w:val="none"/>
              </w:rPr>
              <w:t>本项目竞争性谈判文件中未载明“允许采购进口产品”的产品，拒绝进口产品参与竞争，供应商以进口产品响应时，其响应文件按无效处理。载明“允许采购进口产品”的产品，不限制国产产品参与竞争。</w:t>
            </w:r>
            <w:r>
              <w:rPr>
                <w:rFonts w:hint="eastAsia" w:ascii="宋体" w:hAnsi="宋体" w:eastAsia="宋体" w:cs="宋体"/>
                <w:color w:val="auto"/>
                <w:szCs w:val="22"/>
                <w:highlight w:val="none"/>
                <w:lang w:eastAsia="zh-CN"/>
              </w:rPr>
              <w:t>（本项目不允许进口产品投标）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6" w:hRule="atLeast"/>
          <w:jc w:val="center"/>
        </w:trPr>
        <w:tc>
          <w:tcPr>
            <w:tcW w:w="846" w:type="dxa"/>
            <w:noWrap w:val="0"/>
            <w:vAlign w:val="center"/>
          </w:tcPr>
          <w:p>
            <w:pPr>
              <w:pStyle w:val="56"/>
              <w:spacing w:line="320" w:lineRule="exact"/>
              <w:ind w:right="23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w:t>
            </w:r>
          </w:p>
        </w:tc>
        <w:tc>
          <w:tcPr>
            <w:tcW w:w="2340" w:type="dxa"/>
            <w:noWrap w:val="0"/>
            <w:vAlign w:val="center"/>
          </w:tcPr>
          <w:p>
            <w:pPr>
              <w:pStyle w:val="56"/>
              <w:spacing w:line="320" w:lineRule="exact"/>
              <w:ind w:left="38"/>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联合体</w:t>
            </w:r>
          </w:p>
          <w:p>
            <w:pPr>
              <w:pStyle w:val="56"/>
              <w:spacing w:line="320" w:lineRule="exact"/>
              <w:ind w:left="38"/>
              <w:jc w:val="center"/>
              <w:rPr>
                <w:rFonts w:hint="eastAsia" w:ascii="宋体" w:hAnsi="宋体" w:eastAsia="宋体" w:cs="宋体"/>
                <w:color w:val="auto"/>
                <w:highlight w:val="none"/>
                <w:lang w:val="zh-CN"/>
              </w:rPr>
            </w:pPr>
            <w:r>
              <w:rPr>
                <w:rFonts w:hint="eastAsia" w:ascii="宋体" w:hAnsi="宋体" w:eastAsia="宋体" w:cs="宋体"/>
                <w:b/>
                <w:bCs/>
                <w:color w:val="auto"/>
                <w:highlight w:val="none"/>
                <w:lang w:val="zh-CN"/>
              </w:rPr>
              <w:t>（</w:t>
            </w:r>
            <w:r>
              <w:rPr>
                <w:rFonts w:hint="eastAsia" w:ascii="宋体" w:hAnsi="宋体" w:eastAsia="宋体" w:cs="宋体"/>
                <w:b/>
                <w:bCs/>
                <w:color w:val="auto"/>
                <w:highlight w:val="none"/>
                <w:lang w:val="en-US" w:eastAsia="zh-CN"/>
              </w:rPr>
              <w:t>实质性要求</w:t>
            </w:r>
            <w:r>
              <w:rPr>
                <w:rFonts w:hint="eastAsia" w:ascii="宋体" w:hAnsi="宋体" w:eastAsia="宋体" w:cs="宋体"/>
                <w:b/>
                <w:bCs/>
                <w:color w:val="auto"/>
                <w:highlight w:val="none"/>
                <w:lang w:val="zh-CN"/>
              </w:rPr>
              <w:t>）</w:t>
            </w:r>
          </w:p>
        </w:tc>
        <w:tc>
          <w:tcPr>
            <w:tcW w:w="6559" w:type="dxa"/>
            <w:noWrap w:val="0"/>
            <w:vAlign w:val="center"/>
          </w:tcPr>
          <w:p>
            <w:pPr>
              <w:pStyle w:val="56"/>
              <w:spacing w:line="320" w:lineRule="exact"/>
              <w:ind w:firstLine="245" w:firstLineChars="100"/>
              <w:jc w:val="both"/>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不允许联合体参加谈判。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46" w:type="dxa"/>
            <w:noWrap w:val="0"/>
            <w:vAlign w:val="center"/>
          </w:tcPr>
          <w:p>
            <w:pPr>
              <w:pStyle w:val="56"/>
              <w:spacing w:line="320" w:lineRule="exact"/>
              <w:ind w:right="23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6</w:t>
            </w:r>
          </w:p>
        </w:tc>
        <w:tc>
          <w:tcPr>
            <w:tcW w:w="2340" w:type="dxa"/>
            <w:noWrap w:val="0"/>
            <w:vAlign w:val="center"/>
          </w:tcPr>
          <w:p>
            <w:pPr>
              <w:pStyle w:val="56"/>
              <w:spacing w:line="320" w:lineRule="exact"/>
              <w:ind w:left="38"/>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是否专门面向</w:t>
            </w:r>
          </w:p>
          <w:p>
            <w:pPr>
              <w:pStyle w:val="56"/>
              <w:spacing w:line="320" w:lineRule="exact"/>
              <w:ind w:left="38"/>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中小企业采购</w:t>
            </w:r>
          </w:p>
          <w:p>
            <w:pPr>
              <w:pStyle w:val="56"/>
              <w:spacing w:line="320" w:lineRule="exact"/>
              <w:ind w:left="38"/>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的项目</w:t>
            </w:r>
          </w:p>
        </w:tc>
        <w:tc>
          <w:tcPr>
            <w:tcW w:w="6559" w:type="dxa"/>
            <w:noWrap w:val="0"/>
            <w:vAlign w:val="center"/>
          </w:tcPr>
          <w:p>
            <w:pPr>
              <w:pStyle w:val="56"/>
              <w:spacing w:line="320" w:lineRule="exact"/>
              <w:ind w:firstLine="245" w:firstLineChars="100"/>
              <w:jc w:val="both"/>
              <w:rPr>
                <w:rFonts w:hint="eastAsia" w:ascii="宋体" w:hAnsi="宋体" w:eastAsia="宋体" w:cs="宋体"/>
                <w:color w:val="auto"/>
                <w:highlight w:val="none"/>
              </w:rPr>
            </w:pPr>
            <w:r>
              <w:rPr>
                <w:rFonts w:hint="eastAsia"/>
                <w:color w:val="auto"/>
                <w:highlight w:val="none"/>
                <w:lang w:val="zh-CN"/>
              </w:rPr>
              <w:t>本项目为专门面向中小企业采购（含中型、小型、微型企业）的项目，监狱企业、残疾人福利性单位视同为小微企业。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46" w:type="dxa"/>
            <w:noWrap w:val="0"/>
            <w:vAlign w:val="center"/>
          </w:tcPr>
          <w:p>
            <w:pPr>
              <w:pStyle w:val="56"/>
              <w:spacing w:line="320" w:lineRule="exact"/>
              <w:ind w:right="230"/>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en-US" w:eastAsia="zh-CN"/>
              </w:rPr>
              <w:t>7</w:t>
            </w:r>
          </w:p>
        </w:tc>
        <w:tc>
          <w:tcPr>
            <w:tcW w:w="2340" w:type="dxa"/>
            <w:noWrap w:val="0"/>
            <w:vAlign w:val="center"/>
          </w:tcPr>
          <w:p>
            <w:pPr>
              <w:pStyle w:val="56"/>
              <w:spacing w:line="320" w:lineRule="exact"/>
              <w:ind w:left="38"/>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低于成本价</w:t>
            </w:r>
          </w:p>
          <w:p>
            <w:pPr>
              <w:pStyle w:val="56"/>
              <w:spacing w:line="320" w:lineRule="exact"/>
              <w:ind w:left="38"/>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不正当竞争预防措施</w:t>
            </w:r>
          </w:p>
          <w:p>
            <w:pPr>
              <w:pStyle w:val="56"/>
              <w:spacing w:line="320" w:lineRule="exact"/>
              <w:ind w:left="38"/>
              <w:jc w:val="center"/>
              <w:rPr>
                <w:rFonts w:hint="eastAsia" w:ascii="宋体" w:hAnsi="宋体" w:eastAsia="宋体" w:cs="宋体"/>
                <w:color w:val="auto"/>
                <w:highlight w:val="none"/>
                <w:lang w:val="zh-CN"/>
              </w:rPr>
            </w:pPr>
            <w:r>
              <w:rPr>
                <w:rFonts w:hint="eastAsia" w:ascii="宋体" w:hAnsi="宋体" w:eastAsia="宋体" w:cs="宋体"/>
                <w:b/>
                <w:bCs/>
                <w:color w:val="auto"/>
                <w:highlight w:val="none"/>
                <w:lang w:val="zh-CN"/>
              </w:rPr>
              <w:t>（实质性要求）</w:t>
            </w:r>
          </w:p>
        </w:tc>
        <w:tc>
          <w:tcPr>
            <w:tcW w:w="6559" w:type="dxa"/>
            <w:noWrap w:val="0"/>
            <w:vAlign w:val="top"/>
          </w:tcPr>
          <w:p>
            <w:pPr>
              <w:pStyle w:val="56"/>
              <w:spacing w:line="320" w:lineRule="exact"/>
              <w:ind w:firstLine="245" w:firstLineChars="100"/>
              <w:jc w:val="both"/>
              <w:rPr>
                <w:rFonts w:hint="eastAsia" w:ascii="宋体" w:hAnsi="宋体" w:eastAsia="宋体" w:cs="宋体"/>
                <w:color w:val="auto"/>
                <w:highlight w:val="none"/>
              </w:rPr>
            </w:pPr>
            <w:r>
              <w:rPr>
                <w:rFonts w:hint="eastAsia" w:ascii="宋体" w:hAnsi="宋体" w:eastAsia="宋体" w:cs="宋体"/>
                <w:color w:val="auto"/>
                <w:highlight w:val="none"/>
              </w:rPr>
              <w:t>1. 谈判小组认为供应商的报价明显低于其他通过有效性审查供应商的报价，有可能影响产品质量或者不能诚信履约的，应当要求其在评审现场合理的时间内提供书面说明，必要时提交相关证明材料；供应商不能证明其报价合理性的，谈判小组应当将其作为无效报价处理。</w:t>
            </w:r>
          </w:p>
          <w:p>
            <w:pPr>
              <w:pStyle w:val="56"/>
              <w:spacing w:line="320" w:lineRule="exact"/>
              <w:ind w:firstLine="245" w:firstLineChars="100"/>
              <w:jc w:val="both"/>
              <w:rPr>
                <w:rFonts w:hint="eastAsia" w:ascii="宋体" w:hAnsi="宋体" w:eastAsia="宋体" w:cs="宋体"/>
                <w:color w:val="auto"/>
                <w:highlight w:val="none"/>
              </w:rPr>
            </w:pPr>
            <w:r>
              <w:rPr>
                <w:rFonts w:hint="eastAsia" w:ascii="宋体" w:hAnsi="宋体" w:eastAsia="宋体" w:cs="宋体"/>
                <w:color w:val="auto"/>
                <w:highlight w:val="none"/>
              </w:rPr>
              <w:t>2.供应商的书面说明材料应当按照国家财务会计制度的规定要求，逐项就供应商提供的货物、工程和服务的主营业务成本、税金及附加、销售费用、管理费用、财务费用等成本构成事项详细陈述。</w:t>
            </w:r>
          </w:p>
          <w:p>
            <w:pPr>
              <w:pStyle w:val="56"/>
              <w:spacing w:line="320" w:lineRule="exact"/>
              <w:ind w:firstLine="245" w:firstLineChars="100"/>
              <w:jc w:val="both"/>
              <w:rPr>
                <w:rFonts w:hint="eastAsia" w:ascii="宋体" w:hAnsi="宋体" w:eastAsia="宋体" w:cs="宋体"/>
                <w:color w:val="auto"/>
                <w:highlight w:val="none"/>
              </w:rPr>
            </w:pPr>
            <w:r>
              <w:rPr>
                <w:rFonts w:hint="eastAsia" w:ascii="宋体" w:hAnsi="宋体" w:eastAsia="宋体" w:cs="宋体"/>
                <w:color w:val="auto"/>
                <w:highlight w:val="none"/>
              </w:rPr>
              <w:t>3.供应商书面说明应当签字确认或者加盖公章，否则无效。书面说明的签字确认，由其法定代表人/主要负责人/本人或者其授权代表签字确认。</w:t>
            </w:r>
          </w:p>
          <w:p>
            <w:pPr>
              <w:pStyle w:val="56"/>
              <w:spacing w:line="320" w:lineRule="exact"/>
              <w:ind w:firstLine="245" w:firstLineChars="100"/>
              <w:jc w:val="both"/>
              <w:rPr>
                <w:rFonts w:hint="eastAsia" w:ascii="宋体" w:hAnsi="宋体" w:eastAsia="宋体" w:cs="宋体"/>
                <w:color w:val="auto"/>
                <w:highlight w:val="none"/>
                <w:lang w:val="zh-CN"/>
              </w:rPr>
            </w:pPr>
            <w:r>
              <w:rPr>
                <w:rFonts w:hint="eastAsia" w:ascii="宋体" w:hAnsi="宋体" w:eastAsia="宋体" w:cs="宋体"/>
                <w:color w:val="auto"/>
                <w:highlight w:val="none"/>
              </w:rPr>
              <w:t>4.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46" w:type="dxa"/>
            <w:noWrap w:val="0"/>
            <w:vAlign w:val="center"/>
          </w:tcPr>
          <w:p>
            <w:pPr>
              <w:pStyle w:val="56"/>
              <w:spacing w:line="320" w:lineRule="exact"/>
              <w:ind w:right="230"/>
              <w:jc w:val="center"/>
              <w:rPr>
                <w:rFonts w:hint="eastAsia" w:ascii="宋体" w:hAnsi="宋体" w:eastAsia="宋体" w:cs="宋体"/>
                <w:color w:val="auto"/>
                <w:highlight w:val="none"/>
                <w:lang w:eastAsia="zh-CN"/>
              </w:rPr>
            </w:pPr>
            <w:r>
              <w:rPr>
                <w:rFonts w:hint="eastAsia" w:eastAsia="宋体" w:cs="宋体"/>
                <w:color w:val="auto"/>
                <w:highlight w:val="none"/>
                <w:lang w:val="en-US" w:eastAsia="zh-CN"/>
              </w:rPr>
              <w:t>8</w:t>
            </w:r>
          </w:p>
        </w:tc>
        <w:tc>
          <w:tcPr>
            <w:tcW w:w="2340" w:type="dxa"/>
            <w:noWrap w:val="0"/>
            <w:vAlign w:val="center"/>
          </w:tcPr>
          <w:p>
            <w:pPr>
              <w:pStyle w:val="56"/>
              <w:spacing w:line="320" w:lineRule="exact"/>
              <w:ind w:left="38"/>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谈判情况公告</w:t>
            </w:r>
          </w:p>
        </w:tc>
        <w:tc>
          <w:tcPr>
            <w:tcW w:w="6559" w:type="dxa"/>
            <w:noWrap w:val="0"/>
            <w:vAlign w:val="center"/>
          </w:tcPr>
          <w:p>
            <w:pPr>
              <w:pStyle w:val="56"/>
              <w:spacing w:line="320" w:lineRule="exact"/>
              <w:ind w:firstLine="245" w:firstLineChars="100"/>
              <w:jc w:val="both"/>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供应商资格审查情况、谈判情况、报价情况、谈判结果等在四川政府采购网上采购结果公告栏中予以公告。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46" w:type="dxa"/>
            <w:noWrap w:val="0"/>
            <w:vAlign w:val="center"/>
          </w:tcPr>
          <w:p>
            <w:pPr>
              <w:pStyle w:val="56"/>
              <w:spacing w:line="320" w:lineRule="exact"/>
              <w:ind w:right="230"/>
              <w:jc w:val="center"/>
              <w:rPr>
                <w:rFonts w:hint="eastAsia" w:ascii="宋体" w:hAnsi="宋体" w:eastAsia="宋体" w:cs="宋体"/>
                <w:color w:val="auto"/>
                <w:highlight w:val="none"/>
                <w:lang w:val="en-US" w:eastAsia="zh-CN"/>
              </w:rPr>
            </w:pPr>
            <w:r>
              <w:rPr>
                <w:rFonts w:hint="eastAsia" w:eastAsia="宋体" w:cs="宋体"/>
                <w:color w:val="auto"/>
                <w:highlight w:val="none"/>
                <w:lang w:val="en-US" w:eastAsia="zh-CN"/>
              </w:rPr>
              <w:t>9</w:t>
            </w:r>
          </w:p>
        </w:tc>
        <w:tc>
          <w:tcPr>
            <w:tcW w:w="2340" w:type="dxa"/>
            <w:noWrap w:val="0"/>
            <w:vAlign w:val="center"/>
          </w:tcPr>
          <w:p>
            <w:pPr>
              <w:pStyle w:val="56"/>
              <w:spacing w:line="320" w:lineRule="exact"/>
              <w:ind w:firstLine="490" w:firstLineChars="200"/>
              <w:jc w:val="both"/>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谈判保证金</w:t>
            </w:r>
          </w:p>
        </w:tc>
        <w:tc>
          <w:tcPr>
            <w:tcW w:w="6559" w:type="dxa"/>
            <w:noWrap w:val="0"/>
            <w:vAlign w:val="center"/>
          </w:tcPr>
          <w:p>
            <w:pPr>
              <w:pStyle w:val="56"/>
              <w:spacing w:line="320" w:lineRule="exact"/>
              <w:ind w:firstLine="245" w:firstLineChars="100"/>
              <w:jc w:val="both"/>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本项目不收取谈判保证金。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46" w:type="dxa"/>
            <w:noWrap w:val="0"/>
            <w:vAlign w:val="center"/>
          </w:tcPr>
          <w:p>
            <w:pPr>
              <w:pStyle w:val="56"/>
              <w:spacing w:line="320" w:lineRule="exact"/>
              <w:ind w:right="23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eastAsia="宋体" w:cs="宋体"/>
                <w:color w:val="auto"/>
                <w:highlight w:val="none"/>
                <w:lang w:val="en-US" w:eastAsia="zh-CN"/>
              </w:rPr>
              <w:t>0</w:t>
            </w:r>
          </w:p>
        </w:tc>
        <w:tc>
          <w:tcPr>
            <w:tcW w:w="2340" w:type="dxa"/>
            <w:noWrap w:val="0"/>
            <w:vAlign w:val="center"/>
          </w:tcPr>
          <w:p>
            <w:pPr>
              <w:pStyle w:val="56"/>
              <w:spacing w:line="320" w:lineRule="exact"/>
              <w:ind w:left="38"/>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履约保证金</w:t>
            </w:r>
          </w:p>
        </w:tc>
        <w:tc>
          <w:tcPr>
            <w:tcW w:w="6559" w:type="dxa"/>
            <w:noWrap w:val="0"/>
            <w:vAlign w:val="center"/>
          </w:tcPr>
          <w:p>
            <w:pPr>
              <w:pStyle w:val="56"/>
              <w:spacing w:line="320" w:lineRule="exact"/>
              <w:ind w:firstLine="245" w:firstLineChars="100"/>
              <w:jc w:val="both"/>
              <w:rPr>
                <w:rFonts w:hint="eastAsia" w:ascii="宋体" w:hAnsi="宋体" w:eastAsia="宋体" w:cs="宋体"/>
                <w:color w:val="auto"/>
                <w:highlight w:val="none"/>
              </w:rPr>
            </w:pPr>
            <w:r>
              <w:rPr>
                <w:rFonts w:hint="eastAsia" w:ascii="宋体" w:hAnsi="宋体" w:eastAsia="宋体" w:cs="宋体"/>
                <w:color w:val="auto"/>
                <w:highlight w:val="none"/>
                <w:lang w:val="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46" w:type="dxa"/>
            <w:noWrap w:val="0"/>
            <w:vAlign w:val="center"/>
          </w:tcPr>
          <w:p>
            <w:pPr>
              <w:pStyle w:val="56"/>
              <w:spacing w:line="320" w:lineRule="exact"/>
              <w:ind w:right="23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eastAsia="宋体" w:cs="宋体"/>
                <w:color w:val="auto"/>
                <w:highlight w:val="none"/>
                <w:lang w:val="en-US" w:eastAsia="zh-CN"/>
              </w:rPr>
              <w:t>1</w:t>
            </w:r>
          </w:p>
        </w:tc>
        <w:tc>
          <w:tcPr>
            <w:tcW w:w="2340" w:type="dxa"/>
            <w:noWrap w:val="0"/>
            <w:vAlign w:val="center"/>
          </w:tcPr>
          <w:p>
            <w:pPr>
              <w:pStyle w:val="56"/>
              <w:spacing w:line="320" w:lineRule="exact"/>
              <w:ind w:firstLine="490" w:firstLineChars="200"/>
              <w:jc w:val="both"/>
              <w:rPr>
                <w:rFonts w:hint="eastAsia" w:ascii="宋体" w:hAnsi="宋体" w:eastAsia="宋体" w:cs="宋体"/>
                <w:color w:val="auto"/>
                <w:highlight w:val="none"/>
              </w:rPr>
            </w:pPr>
            <w:r>
              <w:rPr>
                <w:rFonts w:hint="eastAsia" w:ascii="宋体" w:hAnsi="宋体" w:eastAsia="宋体" w:cs="宋体"/>
                <w:color w:val="auto"/>
                <w:highlight w:val="none"/>
                <w:lang w:val="zh-CN"/>
              </w:rPr>
              <w:t>成交代理服务费</w:t>
            </w:r>
          </w:p>
        </w:tc>
        <w:tc>
          <w:tcPr>
            <w:tcW w:w="6559" w:type="dxa"/>
            <w:noWrap w:val="0"/>
            <w:vAlign w:val="center"/>
          </w:tcPr>
          <w:p>
            <w:pPr>
              <w:pStyle w:val="56"/>
              <w:spacing w:line="320" w:lineRule="exact"/>
              <w:ind w:firstLine="245" w:firstLineChars="100"/>
              <w:rPr>
                <w:rFonts w:hint="eastAsia" w:ascii="宋体" w:hAnsi="宋体" w:eastAsia="宋体" w:cs="宋体"/>
                <w:color w:val="auto"/>
                <w:highlight w:val="none"/>
                <w:lang w:val="zh-CN"/>
              </w:rPr>
            </w:pPr>
            <w:r>
              <w:rPr>
                <w:rFonts w:hint="eastAsia" w:ascii="宋体" w:hAnsi="宋体" w:eastAsia="宋体" w:cs="宋体"/>
                <w:color w:val="auto"/>
                <w:highlight w:val="none"/>
                <w:lang w:val="zh-CN" w:eastAsia="zh-CN"/>
              </w:rPr>
              <w:t>根据成本加合理利润原则，本项目</w:t>
            </w:r>
            <w:r>
              <w:rPr>
                <w:rFonts w:hint="eastAsia" w:eastAsia="宋体" w:cs="宋体"/>
                <w:color w:val="auto"/>
                <w:highlight w:val="none"/>
                <w:lang w:val="zh-CN" w:eastAsia="zh-CN"/>
              </w:rPr>
              <w:t>成交</w:t>
            </w:r>
            <w:r>
              <w:rPr>
                <w:rFonts w:hint="eastAsia" w:ascii="宋体" w:hAnsi="宋体" w:eastAsia="宋体" w:cs="宋体"/>
                <w:color w:val="auto"/>
                <w:highlight w:val="none"/>
                <w:lang w:val="zh-CN" w:eastAsia="zh-CN"/>
              </w:rPr>
              <w:t>代理服务费定额收取</w:t>
            </w:r>
            <w:r>
              <w:rPr>
                <w:rFonts w:hint="eastAsia" w:ascii="宋体" w:hAnsi="宋体" w:eastAsia="宋体" w:cs="宋体"/>
                <w:color w:val="auto"/>
                <w:highlight w:val="none"/>
                <w:lang w:val="en-US" w:eastAsia="zh-CN"/>
              </w:rPr>
              <w:t xml:space="preserve"> </w:t>
            </w:r>
            <w:r>
              <w:rPr>
                <w:rFonts w:hint="eastAsia"/>
                <w:color w:val="auto"/>
                <w:highlight w:val="none"/>
                <w:lang w:val="en-US" w:eastAsia="zh-CN"/>
              </w:rPr>
              <w:t>13500</w:t>
            </w:r>
            <w:r>
              <w:rPr>
                <w:rFonts w:hint="eastAsia"/>
                <w:color w:val="auto"/>
                <w:highlight w:val="none"/>
                <w:lang w:val="zh-CN" w:eastAsia="zh-CN"/>
              </w:rPr>
              <w:t>元</w:t>
            </w:r>
            <w:r>
              <w:rPr>
                <w:rFonts w:hint="eastAsia" w:ascii="宋体" w:hAnsi="宋体" w:eastAsia="宋体" w:cs="宋体"/>
                <w:color w:val="auto"/>
                <w:highlight w:val="none"/>
                <w:lang w:val="zh-CN" w:eastAsia="zh-CN"/>
              </w:rPr>
              <w:t>，</w:t>
            </w:r>
            <w:r>
              <w:rPr>
                <w:rFonts w:hint="eastAsia" w:ascii="宋体" w:hAnsi="宋体" w:eastAsia="宋体" w:cs="宋体"/>
                <w:color w:val="auto"/>
                <w:highlight w:val="none"/>
                <w:lang w:val="zh-CN"/>
              </w:rPr>
              <w:t>以转账方式缴纳，由成交人承担。</w:t>
            </w:r>
          </w:p>
          <w:p>
            <w:pPr>
              <w:pStyle w:val="56"/>
              <w:wordWrap w:val="0"/>
              <w:spacing w:line="320" w:lineRule="exact"/>
              <w:ind w:firstLine="245" w:firstLineChars="100"/>
              <w:jc w:val="both"/>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收款单位：四川中意招标有限公司</w:t>
            </w:r>
          </w:p>
          <w:p>
            <w:pPr>
              <w:pStyle w:val="56"/>
              <w:wordWrap w:val="0"/>
              <w:spacing w:line="320" w:lineRule="exact"/>
              <w:ind w:firstLine="245" w:firstLineChars="100"/>
              <w:jc w:val="both"/>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开 户 行：平安银行成都金融城支行</w:t>
            </w:r>
          </w:p>
          <w:p>
            <w:pPr>
              <w:pStyle w:val="56"/>
              <w:spacing w:line="320" w:lineRule="exact"/>
              <w:ind w:firstLine="245" w:firstLineChars="100"/>
              <w:jc w:val="both"/>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银行账号：30205508001851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46" w:type="dxa"/>
            <w:noWrap w:val="0"/>
            <w:vAlign w:val="center"/>
          </w:tcPr>
          <w:p>
            <w:pPr>
              <w:pStyle w:val="56"/>
              <w:spacing w:line="320" w:lineRule="exact"/>
              <w:ind w:right="23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eastAsia="宋体" w:cs="宋体"/>
                <w:color w:val="auto"/>
                <w:highlight w:val="none"/>
                <w:lang w:val="en-US" w:eastAsia="zh-CN"/>
              </w:rPr>
              <w:t>2</w:t>
            </w:r>
          </w:p>
        </w:tc>
        <w:tc>
          <w:tcPr>
            <w:tcW w:w="2340" w:type="dxa"/>
            <w:noWrap w:val="0"/>
            <w:vAlign w:val="center"/>
          </w:tcPr>
          <w:p>
            <w:pPr>
              <w:pStyle w:val="56"/>
              <w:spacing w:line="320" w:lineRule="exact"/>
              <w:ind w:left="38"/>
              <w:jc w:val="center"/>
              <w:rPr>
                <w:rFonts w:hint="eastAsia" w:ascii="宋体" w:hAnsi="宋体" w:eastAsia="宋体" w:cs="宋体"/>
                <w:color w:val="auto"/>
                <w:highlight w:val="none"/>
                <w:lang w:val="zh-CN"/>
              </w:rPr>
            </w:pPr>
            <w:r>
              <w:rPr>
                <w:rFonts w:hint="eastAsia" w:ascii="宋体" w:hAnsi="宋体" w:eastAsia="宋体" w:cs="宋体"/>
                <w:bCs/>
                <w:color w:val="auto"/>
                <w:highlight w:val="none"/>
              </w:rPr>
              <w:t>谈判</w:t>
            </w:r>
            <w:r>
              <w:rPr>
                <w:rFonts w:hint="eastAsia" w:ascii="宋体" w:hAnsi="宋体" w:eastAsia="宋体" w:cs="宋体"/>
                <w:color w:val="auto"/>
                <w:highlight w:val="none"/>
                <w:lang w:val="zh-CN"/>
              </w:rPr>
              <w:t>文件咨询</w:t>
            </w:r>
          </w:p>
        </w:tc>
        <w:tc>
          <w:tcPr>
            <w:tcW w:w="6559" w:type="dxa"/>
            <w:noWrap w:val="0"/>
            <w:vAlign w:val="center"/>
          </w:tcPr>
          <w:p>
            <w:pPr>
              <w:pStyle w:val="56"/>
              <w:spacing w:line="320" w:lineRule="exact"/>
              <w:ind w:firstLine="245" w:firstLineChars="100"/>
              <w:jc w:val="both"/>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联系人：袁女士</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 xml:space="preserve"> 联系电话：</w:t>
            </w:r>
            <w:r>
              <w:rPr>
                <w:rFonts w:hint="eastAsia" w:ascii="宋体" w:hAnsi="宋体" w:eastAsia="宋体" w:cs="宋体"/>
                <w:color w:val="auto"/>
                <w:highlight w:val="none"/>
              </w:rPr>
              <w:t>028-87050033-2013</w:t>
            </w:r>
            <w:r>
              <w:rPr>
                <w:rFonts w:hint="eastAsia" w:ascii="宋体" w:hAnsi="宋体" w:eastAsia="宋体" w:cs="宋体"/>
                <w:color w:val="auto"/>
                <w:highlight w:val="none"/>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46" w:type="dxa"/>
            <w:noWrap w:val="0"/>
            <w:vAlign w:val="center"/>
          </w:tcPr>
          <w:p>
            <w:pPr>
              <w:pStyle w:val="56"/>
              <w:spacing w:line="320" w:lineRule="exact"/>
              <w:ind w:right="23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eastAsia="宋体" w:cs="宋体"/>
                <w:color w:val="auto"/>
                <w:highlight w:val="none"/>
                <w:lang w:val="en-US" w:eastAsia="zh-CN"/>
              </w:rPr>
              <w:t>3</w:t>
            </w:r>
          </w:p>
        </w:tc>
        <w:tc>
          <w:tcPr>
            <w:tcW w:w="2340" w:type="dxa"/>
            <w:noWrap w:val="0"/>
            <w:vAlign w:val="center"/>
          </w:tcPr>
          <w:p>
            <w:pPr>
              <w:pStyle w:val="56"/>
              <w:spacing w:line="320" w:lineRule="exact"/>
              <w:ind w:left="38"/>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谈判过程、结果工作咨询</w:t>
            </w:r>
          </w:p>
        </w:tc>
        <w:tc>
          <w:tcPr>
            <w:tcW w:w="6559" w:type="dxa"/>
            <w:noWrap w:val="0"/>
            <w:vAlign w:val="center"/>
          </w:tcPr>
          <w:p>
            <w:pPr>
              <w:pStyle w:val="56"/>
              <w:spacing w:line="320" w:lineRule="exact"/>
              <w:ind w:firstLine="245" w:firstLineChars="100"/>
              <w:jc w:val="both"/>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联系人：袁女士   联系电话：</w:t>
            </w:r>
            <w:r>
              <w:rPr>
                <w:rFonts w:hint="eastAsia" w:ascii="宋体" w:hAnsi="宋体" w:eastAsia="宋体" w:cs="宋体"/>
                <w:color w:val="auto"/>
                <w:highlight w:val="none"/>
              </w:rPr>
              <w:t>028-87050033-0</w:t>
            </w:r>
            <w:r>
              <w:rPr>
                <w:rFonts w:hint="eastAsia" w:ascii="宋体" w:hAnsi="宋体" w:eastAsia="宋体" w:cs="宋体"/>
                <w:color w:val="auto"/>
                <w:highlight w:val="none"/>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46" w:type="dxa"/>
            <w:noWrap w:val="0"/>
            <w:vAlign w:val="center"/>
          </w:tcPr>
          <w:p>
            <w:pPr>
              <w:pStyle w:val="56"/>
              <w:spacing w:line="320" w:lineRule="exact"/>
              <w:ind w:right="23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eastAsia="宋体" w:cs="宋体"/>
                <w:color w:val="auto"/>
                <w:highlight w:val="none"/>
                <w:lang w:val="en-US" w:eastAsia="zh-CN"/>
              </w:rPr>
              <w:t>4</w:t>
            </w:r>
          </w:p>
        </w:tc>
        <w:tc>
          <w:tcPr>
            <w:tcW w:w="2340" w:type="dxa"/>
            <w:noWrap w:val="0"/>
            <w:vAlign w:val="center"/>
          </w:tcPr>
          <w:p>
            <w:pPr>
              <w:pStyle w:val="56"/>
              <w:spacing w:line="320" w:lineRule="exact"/>
              <w:ind w:left="38"/>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成交通知书领取</w:t>
            </w:r>
          </w:p>
        </w:tc>
        <w:tc>
          <w:tcPr>
            <w:tcW w:w="6559" w:type="dxa"/>
            <w:noWrap w:val="0"/>
            <w:vAlign w:val="center"/>
          </w:tcPr>
          <w:p>
            <w:pPr>
              <w:pStyle w:val="56"/>
              <w:spacing w:line="32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采购结果公告在四川政府采购网上发布后，请成交供应商凭有效身份证明证件到四川中意招标有限公司领取成交通知书。（疫情期间，可选择邮寄等非现场方式）</w:t>
            </w:r>
          </w:p>
          <w:p>
            <w:pPr>
              <w:pStyle w:val="56"/>
              <w:spacing w:line="320" w:lineRule="exact"/>
              <w:ind w:firstLine="245" w:firstLineChars="100"/>
              <w:jc w:val="both"/>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联系电话：</w:t>
            </w:r>
            <w:r>
              <w:rPr>
                <w:rFonts w:hint="eastAsia" w:ascii="宋体" w:hAnsi="宋体" w:eastAsia="宋体" w:cs="宋体"/>
                <w:color w:val="auto"/>
                <w:highlight w:val="none"/>
              </w:rPr>
              <w:t>028-87050033-2009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46" w:type="dxa"/>
            <w:noWrap w:val="0"/>
            <w:vAlign w:val="center"/>
          </w:tcPr>
          <w:p>
            <w:pPr>
              <w:pStyle w:val="56"/>
              <w:spacing w:line="320" w:lineRule="exact"/>
              <w:ind w:right="23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eastAsia="宋体" w:cs="宋体"/>
                <w:color w:val="auto"/>
                <w:highlight w:val="none"/>
                <w:lang w:val="en-US" w:eastAsia="zh-CN"/>
              </w:rPr>
              <w:t>5</w:t>
            </w:r>
          </w:p>
        </w:tc>
        <w:tc>
          <w:tcPr>
            <w:tcW w:w="2340" w:type="dxa"/>
            <w:noWrap w:val="0"/>
            <w:vAlign w:val="center"/>
          </w:tcPr>
          <w:p>
            <w:pPr>
              <w:pStyle w:val="56"/>
              <w:spacing w:line="320" w:lineRule="exact"/>
              <w:ind w:left="38"/>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供应商询问</w:t>
            </w:r>
          </w:p>
        </w:tc>
        <w:tc>
          <w:tcPr>
            <w:tcW w:w="6559" w:type="dxa"/>
            <w:noWrap w:val="0"/>
            <w:vAlign w:val="top"/>
          </w:tcPr>
          <w:p>
            <w:pPr>
              <w:wordWrap w:val="0"/>
              <w:spacing w:line="320" w:lineRule="exact"/>
              <w:ind w:right="172" w:rightChars="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根据委托代理协议约定，供应商询问由四川中意招标有限公司和采购人共同</w:t>
            </w:r>
            <w:r>
              <w:rPr>
                <w:rFonts w:hint="eastAsia" w:ascii="宋体" w:hAnsi="宋体" w:eastAsia="宋体" w:cs="宋体"/>
                <w:color w:val="auto"/>
                <w:sz w:val="24"/>
                <w:szCs w:val="24"/>
                <w:highlight w:val="none"/>
                <w:lang w:val="zh-CN"/>
              </w:rPr>
              <w:t>负责答复。（疫情期间，可选择邮件、传真、邮寄等非现场方式）</w:t>
            </w:r>
          </w:p>
          <w:p>
            <w:pPr>
              <w:wordWrap w:val="0"/>
              <w:spacing w:line="320" w:lineRule="exact"/>
              <w:ind w:right="172" w:rightChars="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 系 人：袁女士</w:t>
            </w:r>
          </w:p>
          <w:p>
            <w:pPr>
              <w:wordWrap w:val="0"/>
              <w:spacing w:line="320" w:lineRule="exact"/>
              <w:ind w:right="172" w:rightChars="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联系电话：028-87050033转203</w:t>
            </w:r>
            <w:r>
              <w:rPr>
                <w:rFonts w:hint="eastAsia" w:ascii="宋体" w:hAnsi="宋体" w:eastAsia="宋体" w:cs="宋体"/>
                <w:color w:val="auto"/>
                <w:sz w:val="24"/>
                <w:szCs w:val="24"/>
                <w:highlight w:val="none"/>
              </w:rPr>
              <w:t>9</w:t>
            </w:r>
          </w:p>
          <w:p>
            <w:pPr>
              <w:wordWrap w:val="0"/>
              <w:spacing w:line="320" w:lineRule="exact"/>
              <w:ind w:right="172" w:rightChars="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地址：</w:t>
            </w:r>
            <w:r>
              <w:rPr>
                <w:rFonts w:hint="eastAsia" w:ascii="宋体" w:hAnsi="宋体" w:eastAsia="宋体" w:cs="宋体"/>
                <w:color w:val="auto"/>
                <w:sz w:val="24"/>
                <w:szCs w:val="24"/>
                <w:highlight w:val="none"/>
              </w:rPr>
              <w:t>成都市高新区天府大道1700号新世纪环球中心E3门栋6楼2-1-611-615四川中意招标有限公司</w:t>
            </w:r>
            <w:r>
              <w:rPr>
                <w:rFonts w:hint="eastAsia" w:ascii="宋体" w:hAnsi="宋体" w:eastAsia="宋体" w:cs="宋体"/>
                <w:color w:val="auto"/>
                <w:sz w:val="24"/>
                <w:szCs w:val="24"/>
                <w:highlight w:val="none"/>
                <w:lang w:val="zh-CN"/>
              </w:rPr>
              <w:t>。</w:t>
            </w:r>
          </w:p>
          <w:p>
            <w:pPr>
              <w:wordWrap w:val="0"/>
              <w:spacing w:line="320" w:lineRule="exact"/>
              <w:ind w:right="172" w:rightChars="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lang w:val="zh-CN"/>
              </w:rPr>
              <w:t>610071。</w:t>
            </w:r>
          </w:p>
          <w:p>
            <w:pPr>
              <w:pStyle w:val="56"/>
              <w:spacing w:line="32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为提高采购效率，降低社会成本，鼓励询问主体对于不损害国家及社会利益或自身合法权益的问题或情形采用询问方式处理解决(包含但不限于文字错误、标点符号、不影响响应文件的编制的情形)。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46" w:type="dxa"/>
            <w:tcBorders>
              <w:top w:val="single" w:color="auto" w:sz="8" w:space="0"/>
              <w:left w:val="single" w:color="auto" w:sz="18" w:space="0"/>
              <w:bottom w:val="single" w:color="auto" w:sz="8" w:space="0"/>
              <w:right w:val="single" w:color="auto" w:sz="8" w:space="0"/>
            </w:tcBorders>
            <w:noWrap w:val="0"/>
            <w:vAlign w:val="center"/>
          </w:tcPr>
          <w:p>
            <w:pPr>
              <w:pStyle w:val="56"/>
              <w:spacing w:line="320" w:lineRule="exact"/>
              <w:ind w:right="23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eastAsia="宋体" w:cs="宋体"/>
                <w:color w:val="auto"/>
                <w:highlight w:val="none"/>
                <w:lang w:val="en-US" w:eastAsia="zh-CN"/>
              </w:rPr>
              <w:t>6</w:t>
            </w:r>
          </w:p>
        </w:tc>
        <w:tc>
          <w:tcPr>
            <w:tcW w:w="2340" w:type="dxa"/>
            <w:tcBorders>
              <w:top w:val="single" w:color="auto" w:sz="8" w:space="0"/>
              <w:left w:val="single" w:color="auto" w:sz="8" w:space="0"/>
              <w:bottom w:val="single" w:color="auto" w:sz="8" w:space="0"/>
              <w:right w:val="single" w:color="auto" w:sz="8" w:space="0"/>
            </w:tcBorders>
            <w:noWrap w:val="0"/>
            <w:vAlign w:val="center"/>
          </w:tcPr>
          <w:p>
            <w:pPr>
              <w:pStyle w:val="56"/>
              <w:spacing w:line="320" w:lineRule="exact"/>
              <w:ind w:left="96"/>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供应商质疑</w:t>
            </w:r>
          </w:p>
        </w:tc>
        <w:tc>
          <w:tcPr>
            <w:tcW w:w="6559" w:type="dxa"/>
            <w:tcBorders>
              <w:top w:val="single" w:color="auto" w:sz="8" w:space="0"/>
              <w:left w:val="single" w:color="auto" w:sz="8" w:space="0"/>
              <w:bottom w:val="single" w:color="auto" w:sz="8" w:space="0"/>
              <w:right w:val="single" w:color="auto" w:sz="18" w:space="0"/>
            </w:tcBorders>
            <w:noWrap w:val="0"/>
            <w:vAlign w:val="center"/>
          </w:tcPr>
          <w:p>
            <w:pPr>
              <w:pStyle w:val="56"/>
              <w:spacing w:line="320" w:lineRule="exact"/>
              <w:ind w:firstLine="245" w:firstLineChars="1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根据委托代理协议约定，对谈判文件的质疑由采购人或采购代理机构共同负责答复；对谈判过程的质疑由采购人或采购代理机构共同负责答复；对谈判结果的质疑由采购人或采购代理机构共同负责答复。</w:t>
            </w:r>
          </w:p>
          <w:p>
            <w:pPr>
              <w:spacing w:line="320" w:lineRule="exact"/>
              <w:ind w:right="172" w:rightChars="50" w:firstLine="245" w:firstLineChars="1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接收质疑函方式：书面形式。（疫情期间，可选择传真、邮寄等非现场方式）</w:t>
            </w:r>
          </w:p>
          <w:p>
            <w:pPr>
              <w:pStyle w:val="56"/>
              <w:spacing w:line="320" w:lineRule="exact"/>
              <w:ind w:firstLine="245" w:firstLineChars="100"/>
              <w:rPr>
                <w:rFonts w:hint="eastAsia" w:ascii="宋体" w:hAnsi="宋体" w:eastAsia="宋体" w:cs="宋体"/>
                <w:color w:val="auto"/>
                <w:highlight w:val="none"/>
                <w:lang w:val="zh-CN"/>
              </w:rPr>
            </w:pPr>
            <w:r>
              <w:rPr>
                <w:rFonts w:hint="eastAsia" w:ascii="宋体" w:hAnsi="宋体" w:eastAsia="宋体" w:cs="宋体"/>
                <w:color w:val="auto"/>
                <w:highlight w:val="none"/>
              </w:rPr>
              <w:t>联系部门：四川中意招标有限公司</w:t>
            </w:r>
          </w:p>
          <w:p>
            <w:pPr>
              <w:pStyle w:val="56"/>
              <w:spacing w:line="320" w:lineRule="exact"/>
              <w:ind w:firstLine="245" w:firstLineChars="1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 系 人：袁女士</w:t>
            </w:r>
          </w:p>
          <w:p>
            <w:pPr>
              <w:pStyle w:val="56"/>
              <w:spacing w:line="320" w:lineRule="exact"/>
              <w:ind w:firstLine="245" w:firstLineChars="100"/>
              <w:rPr>
                <w:rFonts w:hint="eastAsia" w:ascii="宋体" w:hAnsi="宋体" w:eastAsia="宋体" w:cs="宋体"/>
                <w:color w:val="auto"/>
                <w:highlight w:val="none"/>
              </w:rPr>
            </w:pPr>
            <w:r>
              <w:rPr>
                <w:rFonts w:hint="eastAsia" w:ascii="宋体" w:hAnsi="宋体" w:eastAsia="宋体" w:cs="宋体"/>
                <w:color w:val="auto"/>
                <w:highlight w:val="none"/>
                <w:lang w:val="zh-CN"/>
              </w:rPr>
              <w:t>联系电话：</w:t>
            </w:r>
            <w:r>
              <w:rPr>
                <w:rFonts w:hint="eastAsia" w:ascii="宋体" w:hAnsi="宋体" w:eastAsia="宋体" w:cs="宋体"/>
                <w:color w:val="auto"/>
                <w:highlight w:val="none"/>
              </w:rPr>
              <w:t>028-87050033-2037</w:t>
            </w:r>
          </w:p>
          <w:p>
            <w:pPr>
              <w:pStyle w:val="56"/>
              <w:spacing w:line="320" w:lineRule="exact"/>
              <w:ind w:firstLine="245" w:firstLineChars="1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联系地址：成都市高新区天府大道1700号新世纪环球中心E3门栋6楼2-1-611-615四川中意招标有限公司。</w:t>
            </w:r>
          </w:p>
          <w:p>
            <w:pPr>
              <w:pStyle w:val="56"/>
              <w:spacing w:line="320" w:lineRule="exact"/>
              <w:ind w:firstLine="245" w:firstLineChars="1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邮政编码：</w:t>
            </w:r>
            <w:r>
              <w:rPr>
                <w:rFonts w:hint="eastAsia" w:ascii="宋体" w:hAnsi="宋体" w:eastAsia="宋体" w:cs="宋体"/>
                <w:color w:val="auto"/>
                <w:highlight w:val="none"/>
              </w:rPr>
              <w:t>610000</w:t>
            </w:r>
          </w:p>
          <w:p>
            <w:pPr>
              <w:pStyle w:val="56"/>
              <w:spacing w:line="320" w:lineRule="exact"/>
              <w:ind w:firstLine="245" w:firstLineChars="1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注：根据《中华人民共和国政府采购法》的规定，供应商质疑不得超出谈判文件、谈判过程、谈判结果的范围。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46" w:type="dxa"/>
            <w:tcBorders>
              <w:top w:val="single" w:color="auto" w:sz="8" w:space="0"/>
              <w:left w:val="single" w:color="auto" w:sz="18" w:space="0"/>
              <w:bottom w:val="single" w:color="auto" w:sz="8" w:space="0"/>
              <w:right w:val="single" w:color="auto" w:sz="8" w:space="0"/>
            </w:tcBorders>
            <w:noWrap w:val="0"/>
            <w:vAlign w:val="center"/>
          </w:tcPr>
          <w:p>
            <w:pPr>
              <w:pStyle w:val="56"/>
              <w:spacing w:line="320" w:lineRule="exact"/>
              <w:ind w:right="230"/>
              <w:jc w:val="center"/>
              <w:rPr>
                <w:rFonts w:hint="default" w:ascii="宋体" w:hAnsi="宋体" w:eastAsia="宋体" w:cs="宋体"/>
                <w:color w:val="auto"/>
                <w:highlight w:val="none"/>
                <w:lang w:val="en-US" w:eastAsia="zh-CN"/>
              </w:rPr>
            </w:pPr>
            <w:r>
              <w:rPr>
                <w:rFonts w:hint="eastAsia" w:eastAsia="宋体" w:cs="宋体"/>
                <w:color w:val="auto"/>
                <w:highlight w:val="none"/>
                <w:lang w:val="en-US" w:eastAsia="zh-CN"/>
              </w:rPr>
              <w:t>17</w:t>
            </w:r>
          </w:p>
        </w:tc>
        <w:tc>
          <w:tcPr>
            <w:tcW w:w="2340" w:type="dxa"/>
            <w:tcBorders>
              <w:top w:val="single" w:color="auto" w:sz="8" w:space="0"/>
              <w:left w:val="single" w:color="auto" w:sz="8" w:space="0"/>
              <w:bottom w:val="single" w:color="auto" w:sz="8" w:space="0"/>
              <w:right w:val="single" w:color="auto" w:sz="8" w:space="0"/>
            </w:tcBorders>
            <w:noWrap w:val="0"/>
            <w:vAlign w:val="center"/>
          </w:tcPr>
          <w:p>
            <w:pPr>
              <w:pStyle w:val="56"/>
              <w:spacing w:line="320" w:lineRule="exact"/>
              <w:ind w:left="96"/>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供应商投诉</w:t>
            </w:r>
          </w:p>
        </w:tc>
        <w:tc>
          <w:tcPr>
            <w:tcW w:w="6559" w:type="dxa"/>
            <w:tcBorders>
              <w:top w:val="single" w:color="auto" w:sz="8" w:space="0"/>
              <w:left w:val="single" w:color="auto" w:sz="8" w:space="0"/>
              <w:bottom w:val="single" w:color="auto" w:sz="8" w:space="0"/>
              <w:right w:val="single" w:color="auto" w:sz="18" w:space="0"/>
            </w:tcBorders>
            <w:noWrap w:val="0"/>
            <w:vAlign w:val="center"/>
          </w:tcPr>
          <w:p>
            <w:pPr>
              <w:spacing w:line="320" w:lineRule="exact"/>
              <w:ind w:right="172" w:right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投诉受理单位：本采购项目同级财政部门，即成都市财政局，</w:t>
            </w:r>
          </w:p>
          <w:p>
            <w:pPr>
              <w:spacing w:line="320" w:lineRule="exact"/>
              <w:ind w:right="172" w:rightChars="50" w:firstLine="245" w:firstLineChars="1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联系电话：028-61882648</w:t>
            </w:r>
          </w:p>
          <w:p>
            <w:pPr>
              <w:pStyle w:val="56"/>
              <w:spacing w:line="320" w:lineRule="exact"/>
              <w:ind w:firstLine="245" w:firstLineChars="100"/>
              <w:rPr>
                <w:rFonts w:hint="eastAsia" w:ascii="宋体" w:hAnsi="宋体" w:eastAsia="宋体" w:cs="宋体"/>
                <w:color w:val="auto"/>
                <w:highlight w:val="none"/>
                <w:lang w:val="zh-CN"/>
              </w:rPr>
            </w:pPr>
            <w:r>
              <w:rPr>
                <w:rFonts w:hint="eastAsia" w:ascii="宋体" w:hAnsi="宋体" w:eastAsia="宋体" w:cs="宋体"/>
                <w:color w:val="auto"/>
                <w:sz w:val="24"/>
                <w:szCs w:val="24"/>
                <w:highlight w:val="none"/>
                <w:lang w:val="zh-CN"/>
              </w:rPr>
              <w:t>地址：成都市武侯区锦城大道366号</w:t>
            </w:r>
            <w:r>
              <w:rPr>
                <w:rFonts w:hint="eastAsia" w:ascii="宋体" w:hAnsi="宋体" w:eastAsia="宋体" w:cs="宋体"/>
                <w:color w:val="auto"/>
                <w:sz w:val="24"/>
                <w:szCs w:val="24"/>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46" w:type="dxa"/>
            <w:tcBorders>
              <w:top w:val="single" w:color="auto" w:sz="8" w:space="0"/>
              <w:left w:val="single" w:color="auto" w:sz="18" w:space="0"/>
              <w:bottom w:val="single" w:color="auto" w:sz="8" w:space="0"/>
              <w:right w:val="single" w:color="auto" w:sz="8" w:space="0"/>
            </w:tcBorders>
            <w:noWrap w:val="0"/>
            <w:vAlign w:val="center"/>
          </w:tcPr>
          <w:p>
            <w:pPr>
              <w:pStyle w:val="56"/>
              <w:spacing w:line="320" w:lineRule="exact"/>
              <w:ind w:right="23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eastAsia="宋体" w:cs="宋体"/>
                <w:color w:val="auto"/>
                <w:highlight w:val="none"/>
                <w:lang w:val="en-US" w:eastAsia="zh-CN"/>
              </w:rPr>
              <w:t>8</w:t>
            </w:r>
          </w:p>
        </w:tc>
        <w:tc>
          <w:tcPr>
            <w:tcW w:w="2340" w:type="dxa"/>
            <w:tcBorders>
              <w:top w:val="single" w:color="auto" w:sz="8" w:space="0"/>
              <w:left w:val="single" w:color="auto" w:sz="8" w:space="0"/>
              <w:bottom w:val="single" w:color="auto" w:sz="8" w:space="0"/>
              <w:right w:val="single" w:color="auto" w:sz="8" w:space="0"/>
            </w:tcBorders>
            <w:noWrap w:val="0"/>
            <w:vAlign w:val="center"/>
          </w:tcPr>
          <w:p>
            <w:pPr>
              <w:pStyle w:val="56"/>
              <w:spacing w:line="320" w:lineRule="exact"/>
              <w:ind w:left="96"/>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政府采购合同</w:t>
            </w:r>
          </w:p>
          <w:p>
            <w:pPr>
              <w:pStyle w:val="56"/>
              <w:spacing w:line="320" w:lineRule="exact"/>
              <w:ind w:left="96"/>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公告备案</w:t>
            </w:r>
          </w:p>
        </w:tc>
        <w:tc>
          <w:tcPr>
            <w:tcW w:w="6559" w:type="dxa"/>
            <w:tcBorders>
              <w:top w:val="single" w:color="auto" w:sz="8" w:space="0"/>
              <w:left w:val="single" w:color="auto" w:sz="8" w:space="0"/>
              <w:bottom w:val="single" w:color="auto" w:sz="8" w:space="0"/>
              <w:right w:val="single" w:color="auto" w:sz="18" w:space="0"/>
            </w:tcBorders>
            <w:noWrap w:val="0"/>
            <w:vAlign w:val="center"/>
          </w:tcPr>
          <w:p>
            <w:pPr>
              <w:pStyle w:val="56"/>
              <w:spacing w:line="320" w:lineRule="exact"/>
              <w:ind w:firstLine="245" w:firstLineChars="1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政府采购合同签订之日起2个工作日内，政府采购合同将在四川政府采购网公告；政府采购合同签订之日起七个工作日内，政府采购合同将向采购项目同级财政部门备案，即省级为四川省财政厅，市州级为各市州财政局，区县为各区县财政局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46" w:type="dxa"/>
            <w:tcBorders>
              <w:top w:val="single" w:color="auto" w:sz="8" w:space="0"/>
              <w:left w:val="single" w:color="auto" w:sz="18" w:space="0"/>
              <w:bottom w:val="single" w:color="auto" w:sz="8" w:space="0"/>
              <w:right w:val="single" w:color="auto" w:sz="8" w:space="0"/>
            </w:tcBorders>
            <w:noWrap w:val="0"/>
            <w:vAlign w:val="center"/>
          </w:tcPr>
          <w:p>
            <w:pPr>
              <w:pStyle w:val="56"/>
              <w:spacing w:line="320" w:lineRule="exact"/>
              <w:ind w:right="230"/>
              <w:jc w:val="center"/>
              <w:rPr>
                <w:rFonts w:hint="default" w:ascii="宋体" w:hAnsi="宋体" w:eastAsia="宋体" w:cs="宋体"/>
                <w:color w:val="auto"/>
                <w:highlight w:val="none"/>
                <w:lang w:val="en-US" w:eastAsia="zh-CN"/>
              </w:rPr>
            </w:pPr>
            <w:r>
              <w:rPr>
                <w:rFonts w:hint="eastAsia" w:eastAsia="宋体" w:cs="宋体"/>
                <w:color w:val="auto"/>
                <w:highlight w:val="none"/>
                <w:lang w:val="en-US" w:eastAsia="zh-CN"/>
              </w:rPr>
              <w:t>19</w:t>
            </w:r>
          </w:p>
        </w:tc>
        <w:tc>
          <w:tcPr>
            <w:tcW w:w="2340" w:type="dxa"/>
            <w:tcBorders>
              <w:top w:val="single" w:color="auto" w:sz="8" w:space="0"/>
              <w:left w:val="single" w:color="auto" w:sz="8" w:space="0"/>
              <w:bottom w:val="single" w:color="auto" w:sz="8" w:space="0"/>
              <w:right w:val="single" w:color="auto" w:sz="8" w:space="0"/>
            </w:tcBorders>
            <w:noWrap w:val="0"/>
            <w:vAlign w:val="center"/>
          </w:tcPr>
          <w:p>
            <w:pPr>
              <w:pStyle w:val="56"/>
              <w:spacing w:line="320" w:lineRule="exact"/>
              <w:ind w:left="96"/>
              <w:jc w:val="center"/>
              <w:rPr>
                <w:rFonts w:hint="eastAsia" w:ascii="宋体" w:hAnsi="宋体" w:eastAsia="宋体" w:cs="宋体"/>
                <w:color w:val="auto"/>
                <w:highlight w:val="none"/>
                <w:lang w:val="zh-CN"/>
              </w:rPr>
            </w:pPr>
            <w:r>
              <w:rPr>
                <w:rFonts w:hint="eastAsia" w:ascii="宋体" w:hAnsi="宋体" w:eastAsia="宋体" w:cs="宋体"/>
                <w:color w:val="auto"/>
                <w:highlight w:val="none"/>
              </w:rPr>
              <w:t>响应文件有效期</w:t>
            </w:r>
          </w:p>
        </w:tc>
        <w:tc>
          <w:tcPr>
            <w:tcW w:w="6559" w:type="dxa"/>
            <w:tcBorders>
              <w:top w:val="single" w:color="auto" w:sz="8" w:space="0"/>
              <w:left w:val="single" w:color="auto" w:sz="8" w:space="0"/>
              <w:bottom w:val="single" w:color="auto" w:sz="8" w:space="0"/>
              <w:right w:val="single" w:color="auto" w:sz="18" w:space="0"/>
            </w:tcBorders>
            <w:noWrap w:val="0"/>
            <w:vAlign w:val="center"/>
          </w:tcPr>
          <w:p>
            <w:pPr>
              <w:pStyle w:val="56"/>
              <w:spacing w:line="320" w:lineRule="exact"/>
              <w:ind w:left="369" w:leftChars="101" w:hanging="21" w:hangingChars="9"/>
              <w:jc w:val="both"/>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递交谈判响应文件截止之日起</w:t>
            </w:r>
            <w:r>
              <w:rPr>
                <w:rFonts w:hint="eastAsia" w:ascii="宋体" w:hAnsi="宋体" w:eastAsia="宋体" w:cs="宋体"/>
                <w:color w:val="auto"/>
                <w:highlight w:val="none"/>
              </w:rPr>
              <w:t>90</w:t>
            </w:r>
            <w:r>
              <w:rPr>
                <w:rFonts w:hint="eastAsia" w:ascii="宋体" w:hAnsi="宋体" w:eastAsia="宋体" w:cs="宋体"/>
                <w:color w:val="auto"/>
                <w:highlight w:val="none"/>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46" w:type="dxa"/>
            <w:tcBorders>
              <w:top w:val="single" w:color="auto" w:sz="8" w:space="0"/>
              <w:left w:val="single" w:color="auto" w:sz="18" w:space="0"/>
              <w:bottom w:val="single" w:color="auto" w:sz="8" w:space="0"/>
              <w:right w:val="single" w:color="auto" w:sz="8" w:space="0"/>
            </w:tcBorders>
            <w:noWrap w:val="0"/>
            <w:vAlign w:val="center"/>
          </w:tcPr>
          <w:p>
            <w:pPr>
              <w:pStyle w:val="56"/>
              <w:spacing w:line="320" w:lineRule="exact"/>
              <w:ind w:right="23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eastAsia="宋体" w:cs="宋体"/>
                <w:color w:val="auto"/>
                <w:highlight w:val="none"/>
                <w:lang w:val="en-US" w:eastAsia="zh-CN"/>
              </w:rPr>
              <w:t>0</w:t>
            </w:r>
          </w:p>
        </w:tc>
        <w:tc>
          <w:tcPr>
            <w:tcW w:w="2340" w:type="dxa"/>
            <w:tcBorders>
              <w:top w:val="single" w:color="auto" w:sz="8" w:space="0"/>
              <w:left w:val="single" w:color="auto" w:sz="8" w:space="0"/>
              <w:bottom w:val="single" w:color="auto" w:sz="8" w:space="0"/>
              <w:right w:val="single" w:color="auto" w:sz="8" w:space="0"/>
            </w:tcBorders>
            <w:noWrap w:val="0"/>
            <w:vAlign w:val="center"/>
          </w:tcPr>
          <w:p>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签字盖章</w:t>
            </w:r>
          </w:p>
        </w:tc>
        <w:tc>
          <w:tcPr>
            <w:tcW w:w="6559" w:type="dxa"/>
            <w:tcBorders>
              <w:top w:val="single" w:color="auto" w:sz="8" w:space="0"/>
              <w:left w:val="single" w:color="auto" w:sz="8" w:space="0"/>
              <w:bottom w:val="single" w:color="auto" w:sz="8" w:space="0"/>
              <w:right w:val="single" w:color="auto" w:sz="18" w:space="0"/>
            </w:tcBorders>
            <w:noWrap w:val="0"/>
            <w:vAlign w:val="center"/>
          </w:tcPr>
          <w:p>
            <w:pPr>
              <w:spacing w:line="320" w:lineRule="exact"/>
              <w:ind w:left="172" w:leftChars="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谈判供应商必须按照竞争性谈判采购文件的规定和要求签字、盖章(法人代表的签字可用具有法定效力的签字章)。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46" w:type="dxa"/>
            <w:tcBorders>
              <w:top w:val="single" w:color="auto" w:sz="8" w:space="0"/>
              <w:left w:val="single" w:color="auto" w:sz="18" w:space="0"/>
              <w:bottom w:val="single" w:color="auto" w:sz="8" w:space="0"/>
              <w:right w:val="single" w:color="auto" w:sz="8" w:space="0"/>
            </w:tcBorders>
            <w:noWrap w:val="0"/>
            <w:vAlign w:val="center"/>
          </w:tcPr>
          <w:p>
            <w:pPr>
              <w:pStyle w:val="56"/>
              <w:spacing w:line="320" w:lineRule="exact"/>
              <w:ind w:right="23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eastAsia="宋体" w:cs="宋体"/>
                <w:color w:val="auto"/>
                <w:highlight w:val="none"/>
                <w:lang w:val="en-US" w:eastAsia="zh-CN"/>
              </w:rPr>
              <w:t>1</w:t>
            </w:r>
          </w:p>
        </w:tc>
        <w:tc>
          <w:tcPr>
            <w:tcW w:w="2340" w:type="dxa"/>
            <w:tcBorders>
              <w:top w:val="single" w:color="auto" w:sz="8" w:space="0"/>
              <w:left w:val="single" w:color="auto" w:sz="8" w:space="0"/>
              <w:bottom w:val="single" w:color="auto" w:sz="8" w:space="0"/>
              <w:right w:val="single" w:color="auto" w:sz="8" w:space="0"/>
            </w:tcBorders>
            <w:noWrap w:val="0"/>
            <w:vAlign w:val="center"/>
          </w:tcPr>
          <w:p>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响应文件封面的标注</w:t>
            </w:r>
          </w:p>
        </w:tc>
        <w:tc>
          <w:tcPr>
            <w:tcW w:w="6559" w:type="dxa"/>
            <w:tcBorders>
              <w:top w:val="single" w:color="auto" w:sz="8" w:space="0"/>
              <w:left w:val="single" w:color="auto" w:sz="8" w:space="0"/>
              <w:bottom w:val="single" w:color="auto" w:sz="8" w:space="0"/>
              <w:right w:val="single" w:color="auto" w:sz="18" w:space="0"/>
            </w:tcBorders>
            <w:noWrap w:val="0"/>
            <w:vAlign w:val="center"/>
          </w:tcPr>
          <w:p>
            <w:pPr>
              <w:spacing w:line="320" w:lineRule="exact"/>
              <w:ind w:left="172" w:leftChars="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响应文件正本和副本的封面上均应标明：竞争性谈判项目名称、项目编号、谈判供应商名称、年月日；并分别在右上角标明“正本”和“副本”字样。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46" w:type="dxa"/>
            <w:tcBorders>
              <w:top w:val="single" w:color="auto" w:sz="8" w:space="0"/>
              <w:left w:val="single" w:color="auto" w:sz="18" w:space="0"/>
              <w:bottom w:val="single" w:color="auto" w:sz="8" w:space="0"/>
              <w:right w:val="single" w:color="auto" w:sz="8" w:space="0"/>
            </w:tcBorders>
            <w:noWrap w:val="0"/>
            <w:vAlign w:val="center"/>
          </w:tcPr>
          <w:p>
            <w:pPr>
              <w:pStyle w:val="56"/>
              <w:spacing w:line="320" w:lineRule="exact"/>
              <w:ind w:right="23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eastAsia="宋体" w:cs="宋体"/>
                <w:color w:val="auto"/>
                <w:highlight w:val="none"/>
                <w:lang w:val="en-US" w:eastAsia="zh-CN"/>
              </w:rPr>
              <w:t>2</w:t>
            </w:r>
          </w:p>
        </w:tc>
        <w:tc>
          <w:tcPr>
            <w:tcW w:w="2340" w:type="dxa"/>
            <w:tcBorders>
              <w:top w:val="single" w:color="auto" w:sz="8" w:space="0"/>
              <w:left w:val="single" w:color="auto" w:sz="8" w:space="0"/>
              <w:bottom w:val="single" w:color="auto" w:sz="8" w:space="0"/>
              <w:right w:val="single" w:color="auto" w:sz="8" w:space="0"/>
            </w:tcBorders>
            <w:noWrap w:val="0"/>
            <w:vAlign w:val="center"/>
          </w:tcPr>
          <w:p>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响应文件外层</w:t>
            </w:r>
          </w:p>
          <w:p>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密封袋的标注及其份数</w:t>
            </w:r>
          </w:p>
        </w:tc>
        <w:tc>
          <w:tcPr>
            <w:tcW w:w="6559" w:type="dxa"/>
            <w:tcBorders>
              <w:top w:val="single" w:color="auto" w:sz="8" w:space="0"/>
              <w:left w:val="single" w:color="auto" w:sz="8" w:space="0"/>
              <w:bottom w:val="single" w:color="auto" w:sz="8" w:space="0"/>
              <w:right w:val="single" w:color="auto" w:sz="18" w:space="0"/>
            </w:tcBorders>
            <w:noWrap w:val="0"/>
            <w:vAlign w:val="center"/>
          </w:tcPr>
          <w:p>
            <w:pPr>
              <w:spacing w:line="320" w:lineRule="exact"/>
              <w:ind w:left="172" w:left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竞争性谈判项目名称、项目编号、谈判供应商名称、年月日。</w:t>
            </w:r>
          </w:p>
          <w:p>
            <w:pPr>
              <w:spacing w:line="320" w:lineRule="exact"/>
              <w:ind w:left="172" w:leftChars="5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一份正本</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二份副本</w:t>
            </w:r>
            <w:r>
              <w:rPr>
                <w:rFonts w:hint="eastAsia" w:ascii="宋体" w:hAnsi="宋体" w:eastAsia="宋体" w:cs="宋体"/>
                <w:b/>
                <w:bCs/>
                <w:color w:val="auto"/>
                <w:sz w:val="24"/>
                <w:szCs w:val="24"/>
                <w:highlight w:val="none"/>
              </w:rPr>
              <w:t>（实质性要求），</w:t>
            </w:r>
            <w:r>
              <w:rPr>
                <w:rFonts w:hint="eastAsia" w:ascii="宋体" w:hAnsi="宋体" w:eastAsia="宋体" w:cs="宋体"/>
                <w:color w:val="auto"/>
                <w:sz w:val="24"/>
                <w:szCs w:val="24"/>
                <w:highlight w:val="none"/>
              </w:rPr>
              <w:t>电子文档一份(U盘)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U盘中的电子文档为</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正本PDF扫描件</w:t>
            </w:r>
            <w:r>
              <w:rPr>
                <w:rFonts w:hint="eastAsia" w:ascii="宋体" w:hAnsi="宋体" w:eastAsia="宋体" w:cs="宋体"/>
                <w:color w:val="auto"/>
                <w:sz w:val="24"/>
                <w:szCs w:val="24"/>
                <w:highlight w:val="none"/>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46" w:type="dxa"/>
            <w:tcBorders>
              <w:top w:val="single" w:color="auto" w:sz="8" w:space="0"/>
              <w:left w:val="single" w:color="auto" w:sz="18" w:space="0"/>
              <w:bottom w:val="single" w:color="auto" w:sz="8" w:space="0"/>
              <w:right w:val="single" w:color="auto" w:sz="8" w:space="0"/>
            </w:tcBorders>
            <w:noWrap w:val="0"/>
            <w:vAlign w:val="center"/>
          </w:tcPr>
          <w:p>
            <w:pPr>
              <w:pStyle w:val="56"/>
              <w:spacing w:after="72" w:line="320" w:lineRule="exact"/>
              <w:ind w:right="264" w:firstLine="245" w:firstLineChars="1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eastAsia="宋体" w:cs="宋体"/>
                <w:color w:val="auto"/>
                <w:highlight w:val="none"/>
                <w:lang w:val="en-US" w:eastAsia="zh-CN"/>
              </w:rPr>
              <w:t>3</w:t>
            </w:r>
          </w:p>
        </w:tc>
        <w:tc>
          <w:tcPr>
            <w:tcW w:w="2340" w:type="dxa"/>
            <w:tcBorders>
              <w:top w:val="single" w:color="auto" w:sz="8" w:space="0"/>
              <w:left w:val="single" w:color="auto" w:sz="8" w:space="0"/>
              <w:bottom w:val="single" w:color="auto" w:sz="8" w:space="0"/>
              <w:right w:val="single" w:color="auto" w:sz="8" w:space="0"/>
            </w:tcBorders>
            <w:noWrap w:val="0"/>
            <w:vAlign w:val="center"/>
          </w:tcPr>
          <w:p>
            <w:pPr>
              <w:spacing w:line="320" w:lineRule="exact"/>
              <w:ind w:left="172" w:leftChars="50" w:right="172" w:right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是否组织潜在供应商踏勘项目现场</w:t>
            </w:r>
          </w:p>
        </w:tc>
        <w:tc>
          <w:tcPr>
            <w:tcW w:w="6559" w:type="dxa"/>
            <w:tcBorders>
              <w:top w:val="single" w:color="auto" w:sz="8" w:space="0"/>
              <w:left w:val="single" w:color="auto" w:sz="8" w:space="0"/>
              <w:bottom w:val="single" w:color="auto" w:sz="8" w:space="0"/>
              <w:right w:val="single" w:color="auto" w:sz="18" w:space="0"/>
            </w:tcBorders>
            <w:noWrap w:val="0"/>
            <w:vAlign w:val="center"/>
          </w:tcPr>
          <w:p>
            <w:pPr>
              <w:spacing w:line="320" w:lineRule="exact"/>
              <w:ind w:right="172" w:rightChars="50" w:firstLine="245"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本次采购不组织踏勘项目现场。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46" w:type="dxa"/>
            <w:tcBorders>
              <w:top w:val="single" w:color="auto" w:sz="8" w:space="0"/>
              <w:left w:val="single" w:color="auto" w:sz="18" w:space="0"/>
              <w:bottom w:val="single" w:color="auto" w:sz="8" w:space="0"/>
              <w:right w:val="single" w:color="auto" w:sz="8" w:space="0"/>
            </w:tcBorders>
            <w:noWrap w:val="0"/>
            <w:vAlign w:val="center"/>
          </w:tcPr>
          <w:p>
            <w:pPr>
              <w:pStyle w:val="56"/>
              <w:spacing w:line="320" w:lineRule="exact"/>
              <w:ind w:right="23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eastAsia="宋体" w:cs="宋体"/>
                <w:color w:val="auto"/>
                <w:highlight w:val="none"/>
                <w:lang w:val="en-US" w:eastAsia="zh-CN"/>
              </w:rPr>
              <w:t>4</w:t>
            </w:r>
          </w:p>
        </w:tc>
        <w:tc>
          <w:tcPr>
            <w:tcW w:w="2340" w:type="dxa"/>
            <w:tcBorders>
              <w:top w:val="single" w:color="auto" w:sz="8" w:space="0"/>
              <w:left w:val="single" w:color="auto" w:sz="8" w:space="0"/>
              <w:bottom w:val="single" w:color="auto" w:sz="8" w:space="0"/>
              <w:right w:val="single" w:color="auto" w:sz="8" w:space="0"/>
            </w:tcBorders>
            <w:noWrap w:val="0"/>
            <w:vAlign w:val="center"/>
          </w:tcPr>
          <w:p>
            <w:pPr>
              <w:pStyle w:val="56"/>
              <w:spacing w:line="320" w:lineRule="exact"/>
              <w:ind w:left="96"/>
              <w:jc w:val="center"/>
              <w:rPr>
                <w:rFonts w:hint="eastAsia" w:ascii="宋体" w:hAnsi="宋体" w:eastAsia="宋体" w:cs="宋体"/>
                <w:color w:val="auto"/>
                <w:highlight w:val="none"/>
              </w:rPr>
            </w:pPr>
            <w:r>
              <w:rPr>
                <w:rFonts w:hint="eastAsia" w:ascii="宋体" w:hAnsi="宋体" w:eastAsia="宋体" w:cs="宋体"/>
                <w:b/>
                <w:bCs/>
                <w:color w:val="auto"/>
                <w:kern w:val="2"/>
                <w:highlight w:val="none"/>
                <w:lang w:val="zh-CN"/>
              </w:rPr>
              <w:t>特别提醒</w:t>
            </w:r>
          </w:p>
        </w:tc>
        <w:tc>
          <w:tcPr>
            <w:tcW w:w="6559" w:type="dxa"/>
            <w:tcBorders>
              <w:top w:val="single" w:color="auto" w:sz="8" w:space="0"/>
              <w:left w:val="single" w:color="auto" w:sz="8" w:space="0"/>
              <w:bottom w:val="single" w:color="auto" w:sz="8" w:space="0"/>
              <w:right w:val="single" w:color="auto" w:sz="18" w:space="0"/>
            </w:tcBorders>
            <w:noWrap w:val="0"/>
            <w:vAlign w:val="center"/>
          </w:tcPr>
          <w:p>
            <w:pPr>
              <w:pStyle w:val="56"/>
              <w:spacing w:line="320" w:lineRule="exact"/>
              <w:ind w:firstLine="245" w:firstLineChars="100"/>
              <w:jc w:val="both"/>
              <w:rPr>
                <w:rFonts w:hint="eastAsia" w:ascii="宋体" w:hAnsi="宋体" w:eastAsia="宋体" w:cs="宋体"/>
                <w:color w:val="auto"/>
                <w:highlight w:val="none"/>
                <w:lang w:val="zh-CN"/>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供应商必须按照谈判文件据实填写，不得虚假应答，凡经查实，将取消资格，并上报财政部门，处以采购金额5‰以上10‰以下的罚款，列入不良行为记录名单，在1-3年内禁止参加政府采购活动。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46" w:type="dxa"/>
            <w:tcBorders>
              <w:top w:val="single" w:color="auto" w:sz="8" w:space="0"/>
              <w:left w:val="single" w:color="auto" w:sz="18" w:space="0"/>
              <w:bottom w:val="single" w:color="auto" w:sz="8" w:space="0"/>
              <w:right w:val="single" w:color="auto" w:sz="8" w:space="0"/>
            </w:tcBorders>
            <w:noWrap w:val="0"/>
            <w:vAlign w:val="center"/>
          </w:tcPr>
          <w:p>
            <w:pPr>
              <w:pStyle w:val="56"/>
              <w:spacing w:line="320" w:lineRule="exact"/>
              <w:ind w:right="23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eastAsia="宋体" w:cs="宋体"/>
                <w:color w:val="auto"/>
                <w:highlight w:val="none"/>
                <w:lang w:val="en-US" w:eastAsia="zh-CN"/>
              </w:rPr>
              <w:t>5</w:t>
            </w:r>
          </w:p>
        </w:tc>
        <w:tc>
          <w:tcPr>
            <w:tcW w:w="2340" w:type="dxa"/>
            <w:tcBorders>
              <w:top w:val="single" w:color="auto" w:sz="8" w:space="0"/>
              <w:left w:val="single" w:color="auto" w:sz="8" w:space="0"/>
              <w:bottom w:val="single" w:color="auto" w:sz="8" w:space="0"/>
              <w:right w:val="single" w:color="auto" w:sz="8" w:space="0"/>
            </w:tcBorders>
            <w:noWrap w:val="0"/>
            <w:vAlign w:val="center"/>
          </w:tcPr>
          <w:p>
            <w:pPr>
              <w:pStyle w:val="56"/>
              <w:wordWrap w:val="0"/>
              <w:spacing w:line="320" w:lineRule="exact"/>
              <w:ind w:left="96"/>
              <w:jc w:val="center"/>
              <w:rPr>
                <w:rFonts w:hint="eastAsia" w:ascii="宋体" w:hAnsi="宋体" w:eastAsia="宋体" w:cs="宋体"/>
                <w:b/>
                <w:bCs/>
                <w:color w:val="auto"/>
                <w:kern w:val="2"/>
                <w:highlight w:val="none"/>
                <w:lang w:val="zh-CN"/>
              </w:rPr>
            </w:pPr>
            <w:r>
              <w:rPr>
                <w:rFonts w:hint="eastAsia" w:ascii="宋体" w:hAnsi="宋体" w:eastAsia="宋体" w:cs="宋体"/>
                <w:b/>
                <w:bCs/>
                <w:color w:val="auto"/>
                <w:kern w:val="2"/>
                <w:highlight w:val="none"/>
                <w:lang w:val="zh-CN"/>
              </w:rPr>
              <w:t>政府采购供应商信用融资</w:t>
            </w:r>
          </w:p>
        </w:tc>
        <w:tc>
          <w:tcPr>
            <w:tcW w:w="6559" w:type="dxa"/>
            <w:tcBorders>
              <w:top w:val="single" w:color="auto" w:sz="8" w:space="0"/>
              <w:left w:val="single" w:color="auto" w:sz="8" w:space="0"/>
              <w:bottom w:val="single" w:color="auto" w:sz="8" w:space="0"/>
              <w:right w:val="single" w:color="auto" w:sz="18" w:space="0"/>
            </w:tcBorders>
            <w:noWrap w:val="0"/>
            <w:vAlign w:val="center"/>
          </w:tcPr>
          <w:p>
            <w:pPr>
              <w:pStyle w:val="56"/>
              <w:wordWrap w:val="0"/>
              <w:spacing w:line="320" w:lineRule="exact"/>
              <w:ind w:firstLine="245" w:firstLineChars="1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56"/>
              <w:wordWrap w:val="0"/>
              <w:spacing w:line="320" w:lineRule="exact"/>
              <w:ind w:firstLine="245" w:firstLineChars="100"/>
              <w:rPr>
                <w:rFonts w:hint="eastAsia" w:ascii="宋体" w:hAnsi="宋体" w:eastAsia="宋体" w:cs="宋体"/>
                <w:color w:val="auto"/>
                <w:highlight w:val="none"/>
              </w:rPr>
            </w:pPr>
            <w:r>
              <w:rPr>
                <w:rFonts w:hint="eastAsia" w:ascii="宋体" w:hAnsi="宋体" w:eastAsia="宋体" w:cs="宋体"/>
                <w:color w:val="auto"/>
                <w:highlight w:val="none"/>
                <w:lang w:val="zh-CN"/>
              </w:rPr>
              <w:t>2.根据《四川省财政厅关于推进四川省政府采购供应商信用融资工作的通知》(川财采[2018]123号文)文件要求，有融资需求的供应商可联系四川中意招标有限公司“政采贷”办理咨询电话：028-87050033转2009。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46" w:type="dxa"/>
            <w:tcBorders>
              <w:top w:val="single" w:color="auto" w:sz="8" w:space="0"/>
              <w:left w:val="single" w:color="auto" w:sz="18" w:space="0"/>
              <w:bottom w:val="single" w:color="auto" w:sz="8" w:space="0"/>
              <w:right w:val="single" w:color="auto" w:sz="8" w:space="0"/>
            </w:tcBorders>
            <w:noWrap w:val="0"/>
            <w:vAlign w:val="center"/>
          </w:tcPr>
          <w:p>
            <w:pPr>
              <w:pStyle w:val="56"/>
              <w:spacing w:line="320" w:lineRule="exact"/>
              <w:ind w:right="23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eastAsia="宋体" w:cs="宋体"/>
                <w:color w:val="auto"/>
                <w:highlight w:val="none"/>
                <w:lang w:val="en-US" w:eastAsia="zh-CN"/>
              </w:rPr>
              <w:t>6</w:t>
            </w:r>
          </w:p>
        </w:tc>
        <w:tc>
          <w:tcPr>
            <w:tcW w:w="2340" w:type="dxa"/>
            <w:tcBorders>
              <w:top w:val="single" w:color="auto" w:sz="8" w:space="0"/>
              <w:left w:val="single" w:color="auto" w:sz="8" w:space="0"/>
              <w:bottom w:val="single" w:color="auto" w:sz="8" w:space="0"/>
              <w:right w:val="single" w:color="auto" w:sz="8" w:space="0"/>
            </w:tcBorders>
            <w:noWrap w:val="0"/>
            <w:vAlign w:val="center"/>
          </w:tcPr>
          <w:p>
            <w:pPr>
              <w:pStyle w:val="56"/>
              <w:spacing w:line="320" w:lineRule="exact"/>
              <w:ind w:left="96"/>
              <w:jc w:val="center"/>
              <w:rPr>
                <w:rFonts w:hint="eastAsia" w:ascii="宋体" w:hAnsi="宋体" w:eastAsia="宋体" w:cs="宋体"/>
                <w:b/>
                <w:bCs/>
                <w:color w:val="auto"/>
                <w:kern w:val="2"/>
                <w:highlight w:val="none"/>
                <w:lang w:val="zh-CN"/>
              </w:rPr>
            </w:pPr>
            <w:r>
              <w:rPr>
                <w:rFonts w:hint="eastAsia" w:ascii="宋体" w:hAnsi="宋体" w:eastAsia="宋体" w:cs="宋体"/>
                <w:color w:val="auto"/>
                <w:highlight w:val="none"/>
                <w:lang w:val="zh-CN"/>
              </w:rPr>
              <w:t>备注</w:t>
            </w:r>
          </w:p>
        </w:tc>
        <w:tc>
          <w:tcPr>
            <w:tcW w:w="6559" w:type="dxa"/>
            <w:tcBorders>
              <w:top w:val="single" w:color="auto" w:sz="8" w:space="0"/>
              <w:left w:val="single" w:color="auto" w:sz="8" w:space="0"/>
              <w:bottom w:val="single" w:color="auto" w:sz="8" w:space="0"/>
              <w:right w:val="single" w:color="auto" w:sz="18" w:space="0"/>
            </w:tcBorders>
            <w:noWrap w:val="0"/>
            <w:vAlign w:val="center"/>
          </w:tcPr>
          <w:p>
            <w:pPr>
              <w:pStyle w:val="56"/>
              <w:spacing w:line="320" w:lineRule="exact"/>
              <w:ind w:left="369" w:leftChars="101" w:hanging="21" w:hangingChars="9"/>
              <w:jc w:val="both"/>
              <w:rPr>
                <w:rFonts w:hint="eastAsia" w:ascii="宋体" w:hAnsi="宋体" w:eastAsia="宋体" w:cs="宋体"/>
                <w:color w:val="auto"/>
                <w:highlight w:val="none"/>
              </w:rPr>
            </w:pPr>
            <w:r>
              <w:rPr>
                <w:rFonts w:hint="eastAsia" w:ascii="宋体" w:hAnsi="宋体" w:eastAsia="宋体" w:cs="宋体"/>
                <w:color w:val="auto"/>
                <w:highlight w:val="none"/>
                <w:lang w:val="zh-CN"/>
              </w:rPr>
              <w:t>若谈判文件中其他内容与须知前附表内容不一致的，以须知前附表为准。</w:t>
            </w:r>
          </w:p>
        </w:tc>
      </w:tr>
    </w:tbl>
    <w:p>
      <w:pPr>
        <w:pStyle w:val="4"/>
        <w:keepNext w:val="0"/>
        <w:keepLines w:val="0"/>
        <w:pageBreakBefore/>
        <w:widowControl w:val="0"/>
        <w:kinsoku/>
        <w:wordWrap/>
        <w:overflowPunct/>
        <w:topLinePunct w:val="0"/>
        <w:autoSpaceDE/>
        <w:autoSpaceDN/>
        <w:bidi w:val="0"/>
        <w:adjustRightInd/>
        <w:snapToGrid/>
        <w:spacing w:before="0" w:after="0" w:line="400" w:lineRule="exact"/>
        <w:jc w:val="center"/>
        <w:textAlignment w:val="auto"/>
        <w:rPr>
          <w:rFonts w:hint="eastAsia" w:ascii="宋体" w:hAnsi="宋体" w:eastAsia="宋体" w:cs="宋体"/>
          <w:bCs w:val="0"/>
          <w:color w:val="auto"/>
          <w:highlight w:val="none"/>
        </w:rPr>
      </w:pPr>
      <w:bookmarkStart w:id="37" w:name="_Toc4616429"/>
      <w:r>
        <w:rPr>
          <w:rFonts w:hint="eastAsia" w:ascii="宋体" w:hAnsi="宋体" w:eastAsia="宋体" w:cs="宋体"/>
          <w:bCs w:val="0"/>
          <w:color w:val="auto"/>
          <w:highlight w:val="none"/>
        </w:rPr>
        <w:t>二、总  则</w:t>
      </w:r>
      <w:bookmarkEnd w:id="37"/>
    </w:p>
    <w:p>
      <w:pPr>
        <w:rPr>
          <w:rFonts w:hint="eastAsia" w:ascii="宋体" w:hAnsi="宋体" w:eastAsia="宋体" w:cs="宋体"/>
          <w:color w:val="auto"/>
          <w:highlight w:val="none"/>
        </w:rPr>
      </w:pPr>
      <w:bookmarkStart w:id="38" w:name="_Toc183682342"/>
      <w:bookmarkStart w:id="39" w:name="_Toc183582205"/>
      <w:bookmarkStart w:id="40" w:name="_Toc217446034"/>
    </w:p>
    <w:bookmarkEnd w:id="38"/>
    <w:bookmarkEnd w:id="39"/>
    <w:bookmarkEnd w:id="40"/>
    <w:p>
      <w:pPr>
        <w:pStyle w:val="5"/>
        <w:keepNext w:val="0"/>
        <w:keepLines w:val="0"/>
        <w:spacing w:before="0" w:after="0" w:line="400" w:lineRule="exact"/>
        <w:ind w:firstLine="490" w:firstLineChars="200"/>
        <w:rPr>
          <w:rFonts w:hint="eastAsia" w:ascii="宋体" w:hAnsi="宋体" w:eastAsia="宋体" w:cs="宋体"/>
          <w:color w:val="auto"/>
          <w:sz w:val="24"/>
          <w:highlight w:val="none"/>
        </w:rPr>
      </w:pPr>
      <w:bookmarkStart w:id="41" w:name="_Toc4616430"/>
      <w:bookmarkStart w:id="42" w:name="_Toc183582231"/>
      <w:bookmarkStart w:id="43" w:name="_Toc77400782"/>
      <w:bookmarkStart w:id="44" w:name="_Toc89075878"/>
      <w:bookmarkStart w:id="45" w:name="_Toc183682368"/>
      <w:bookmarkStart w:id="46" w:name="_Toc217446056"/>
      <w:r>
        <w:rPr>
          <w:rFonts w:hint="eastAsia" w:ascii="宋体" w:hAnsi="宋体" w:eastAsia="宋体" w:cs="宋体"/>
          <w:color w:val="auto"/>
          <w:sz w:val="24"/>
          <w:highlight w:val="none"/>
        </w:rPr>
        <w:t>1.</w:t>
      </w:r>
      <w:r>
        <w:rPr>
          <w:rFonts w:hint="eastAsia" w:ascii="宋体" w:hAnsi="宋体" w:eastAsia="宋体" w:cs="宋体"/>
          <w:color w:val="auto"/>
          <w:sz w:val="24"/>
          <w:szCs w:val="24"/>
          <w:highlight w:val="none"/>
        </w:rPr>
        <w:t>适用范围</w:t>
      </w:r>
      <w:bookmarkEnd w:id="41"/>
    </w:p>
    <w:p>
      <w:pPr>
        <w:tabs>
          <w:tab w:val="left" w:pos="7665"/>
        </w:tabs>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 本谈判文件仅适用于本次谈判所叙述的货物采购。</w:t>
      </w:r>
    </w:p>
    <w:p>
      <w:pPr>
        <w:tabs>
          <w:tab w:val="left" w:pos="7665"/>
        </w:tabs>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 本谈判文件的解释权归采购人和采购代理机构所有。</w:t>
      </w:r>
    </w:p>
    <w:p>
      <w:pPr>
        <w:rPr>
          <w:rFonts w:hint="eastAsia" w:ascii="宋体" w:hAnsi="宋体" w:eastAsia="宋体" w:cs="宋体"/>
          <w:color w:val="auto"/>
          <w:highlight w:val="none"/>
        </w:rPr>
      </w:pPr>
      <w:bookmarkStart w:id="47" w:name="_Toc217446035"/>
      <w:bookmarkStart w:id="48" w:name="_Toc183682343"/>
      <w:bookmarkStart w:id="49" w:name="_Toc183582206"/>
    </w:p>
    <w:p>
      <w:pPr>
        <w:pStyle w:val="5"/>
        <w:keepNext w:val="0"/>
        <w:keepLines w:val="0"/>
        <w:spacing w:before="0" w:after="0" w:line="400" w:lineRule="exact"/>
        <w:ind w:firstLine="490" w:firstLineChars="200"/>
        <w:rPr>
          <w:rFonts w:hint="eastAsia" w:ascii="宋体" w:hAnsi="宋体" w:eastAsia="宋体" w:cs="宋体"/>
          <w:color w:val="auto"/>
          <w:sz w:val="24"/>
          <w:highlight w:val="none"/>
        </w:rPr>
      </w:pPr>
      <w:bookmarkStart w:id="50" w:name="_Toc4616431"/>
      <w:r>
        <w:rPr>
          <w:rFonts w:hint="eastAsia" w:ascii="宋体" w:hAnsi="宋体" w:eastAsia="宋体" w:cs="宋体"/>
          <w:color w:val="auto"/>
          <w:sz w:val="24"/>
          <w:highlight w:val="none"/>
        </w:rPr>
        <w:t>2.</w:t>
      </w:r>
      <w:bookmarkEnd w:id="47"/>
      <w:bookmarkEnd w:id="48"/>
      <w:bookmarkEnd w:id="49"/>
      <w:r>
        <w:rPr>
          <w:rFonts w:hint="eastAsia" w:ascii="宋体" w:hAnsi="宋体" w:eastAsia="宋体" w:cs="宋体"/>
          <w:color w:val="auto"/>
          <w:sz w:val="24"/>
          <w:highlight w:val="none"/>
        </w:rPr>
        <w:t>采购主体</w:t>
      </w:r>
      <w:bookmarkEnd w:id="50"/>
    </w:p>
    <w:p>
      <w:pPr>
        <w:tabs>
          <w:tab w:val="left" w:pos="7665"/>
        </w:tabs>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2.1本次谈判的采购人是</w:t>
      </w:r>
      <w:r>
        <w:rPr>
          <w:rFonts w:hint="eastAsia" w:ascii="宋体" w:hAnsi="宋体" w:eastAsia="宋体" w:cs="宋体"/>
          <w:color w:val="auto"/>
          <w:sz w:val="24"/>
          <w:highlight w:val="none"/>
          <w:u w:val="single"/>
          <w:lang w:eastAsia="zh-CN"/>
        </w:rPr>
        <w:t>成都市公安局</w:t>
      </w:r>
      <w:r>
        <w:rPr>
          <w:rFonts w:hint="eastAsia" w:ascii="宋体" w:hAnsi="宋体" w:eastAsia="宋体" w:cs="宋体"/>
          <w:color w:val="auto"/>
          <w:sz w:val="24"/>
          <w:highlight w:val="none"/>
        </w:rPr>
        <w:t>。</w:t>
      </w:r>
    </w:p>
    <w:p>
      <w:pPr>
        <w:tabs>
          <w:tab w:val="left" w:pos="7665"/>
        </w:tabs>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2.2本次谈判的采购代理机构是</w:t>
      </w:r>
      <w:r>
        <w:rPr>
          <w:rFonts w:hint="eastAsia" w:ascii="宋体" w:hAnsi="宋体" w:eastAsia="宋体" w:cs="宋体"/>
          <w:color w:val="auto"/>
          <w:sz w:val="24"/>
          <w:highlight w:val="none"/>
          <w:u w:val="single"/>
        </w:rPr>
        <w:t>四川中意招标有限公司</w:t>
      </w:r>
      <w:r>
        <w:rPr>
          <w:rFonts w:hint="eastAsia" w:ascii="宋体" w:hAnsi="宋体" w:eastAsia="宋体" w:cs="宋体"/>
          <w:color w:val="auto"/>
          <w:sz w:val="24"/>
          <w:highlight w:val="none"/>
        </w:rPr>
        <w:t>。</w:t>
      </w:r>
    </w:p>
    <w:p>
      <w:pPr>
        <w:rPr>
          <w:rFonts w:hint="eastAsia" w:ascii="宋体" w:hAnsi="宋体" w:eastAsia="宋体" w:cs="宋体"/>
          <w:color w:val="auto"/>
          <w:highlight w:val="none"/>
        </w:rPr>
      </w:pPr>
    </w:p>
    <w:p>
      <w:pPr>
        <w:pStyle w:val="5"/>
        <w:keepNext w:val="0"/>
        <w:keepLines w:val="0"/>
        <w:spacing w:before="0" w:after="0" w:line="400" w:lineRule="exact"/>
        <w:ind w:firstLine="490" w:firstLineChars="200"/>
        <w:rPr>
          <w:rFonts w:hint="eastAsia" w:ascii="宋体" w:hAnsi="宋体" w:eastAsia="宋体" w:cs="宋体"/>
          <w:color w:val="auto"/>
          <w:sz w:val="24"/>
          <w:highlight w:val="none"/>
        </w:rPr>
      </w:pPr>
      <w:bookmarkStart w:id="51" w:name="_Toc217446036"/>
      <w:bookmarkStart w:id="52" w:name="_Toc217390843"/>
      <w:bookmarkStart w:id="53" w:name="_Toc183682344"/>
      <w:bookmarkStart w:id="54" w:name="_Toc183582207"/>
      <w:bookmarkStart w:id="55" w:name="_Toc4616432"/>
      <w:r>
        <w:rPr>
          <w:rFonts w:hint="eastAsia" w:ascii="宋体" w:hAnsi="宋体" w:eastAsia="宋体" w:cs="宋体"/>
          <w:color w:val="auto"/>
          <w:sz w:val="24"/>
          <w:highlight w:val="none"/>
        </w:rPr>
        <w:t>3.合格</w:t>
      </w:r>
      <w:bookmarkEnd w:id="51"/>
      <w:bookmarkEnd w:id="52"/>
      <w:bookmarkEnd w:id="53"/>
      <w:bookmarkEnd w:id="54"/>
      <w:r>
        <w:rPr>
          <w:rFonts w:hint="eastAsia" w:ascii="宋体" w:hAnsi="宋体" w:eastAsia="宋体" w:cs="宋体"/>
          <w:color w:val="auto"/>
          <w:sz w:val="24"/>
          <w:highlight w:val="none"/>
        </w:rPr>
        <w:t>供应商（实质性要求）</w:t>
      </w:r>
      <w:bookmarkEnd w:id="55"/>
    </w:p>
    <w:p>
      <w:pPr>
        <w:tabs>
          <w:tab w:val="left" w:pos="7665"/>
        </w:tabs>
        <w:spacing w:line="40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合格供应商应具备以下条件：</w:t>
      </w:r>
    </w:p>
    <w:p>
      <w:pPr>
        <w:tabs>
          <w:tab w:val="left" w:pos="7665"/>
        </w:tabs>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具备法律法规和本采购文件规定的资格条件；</w:t>
      </w:r>
    </w:p>
    <w:p>
      <w:pPr>
        <w:tabs>
          <w:tab w:val="left" w:pos="7665"/>
        </w:tabs>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 不属于禁止参加本项目采购活动的供应商；</w:t>
      </w:r>
    </w:p>
    <w:p>
      <w:pPr>
        <w:tabs>
          <w:tab w:val="left" w:pos="7665"/>
        </w:tabs>
        <w:spacing w:line="400" w:lineRule="exact"/>
        <w:ind w:firstLine="122" w:firstLineChars="50"/>
        <w:rPr>
          <w:rFonts w:hint="eastAsia" w:ascii="宋体" w:hAnsi="宋体" w:eastAsia="宋体" w:cs="宋体"/>
          <w:color w:val="auto"/>
          <w:spacing w:val="-4"/>
          <w:sz w:val="24"/>
          <w:highlight w:val="none"/>
        </w:rPr>
      </w:pPr>
      <w:r>
        <w:rPr>
          <w:rFonts w:hint="eastAsia" w:ascii="宋体" w:hAnsi="宋体" w:eastAsia="宋体" w:cs="宋体"/>
          <w:vanish/>
          <w:color w:val="auto"/>
          <w:sz w:val="24"/>
          <w:highlight w:val="none"/>
        </w:rPr>
        <w:cr/>
      </w:r>
      <w:r>
        <w:rPr>
          <w:rFonts w:hint="eastAsia" w:ascii="宋体" w:hAnsi="宋体" w:eastAsia="宋体" w:cs="宋体"/>
          <w:vanish/>
          <w:color w:val="auto"/>
          <w:sz w:val="24"/>
          <w:highlight w:val="none"/>
        </w:rPr>
        <w:t>XXX</w:t>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vanish/>
          <w:color w:val="auto"/>
          <w:sz w:val="24"/>
          <w:highlight w:val="none"/>
        </w:rPr>
        <w:pgNum/>
      </w:r>
      <w:r>
        <w:rPr>
          <w:rFonts w:hint="eastAsia" w:ascii="宋体" w:hAnsi="宋体" w:eastAsia="宋体" w:cs="宋体"/>
          <w:color w:val="auto"/>
          <w:sz w:val="24"/>
          <w:highlight w:val="none"/>
        </w:rPr>
        <w:t xml:space="preserve">   3.3按规定获取了谈判文件，属于实质性参加政府采购活动的供应商。</w:t>
      </w:r>
    </w:p>
    <w:p>
      <w:pPr>
        <w:rPr>
          <w:rFonts w:hint="eastAsia" w:ascii="宋体" w:hAnsi="宋体" w:eastAsia="宋体" w:cs="宋体"/>
          <w:color w:val="auto"/>
          <w:highlight w:val="none"/>
        </w:rPr>
      </w:pPr>
      <w:bookmarkStart w:id="56" w:name="_Toc183582208"/>
      <w:bookmarkStart w:id="57" w:name="_Toc183682345"/>
      <w:bookmarkStart w:id="58" w:name="_Toc217446037"/>
    </w:p>
    <w:p>
      <w:pPr>
        <w:pStyle w:val="5"/>
        <w:keepNext w:val="0"/>
        <w:keepLines w:val="0"/>
        <w:spacing w:before="0" w:after="0" w:line="400" w:lineRule="exact"/>
        <w:ind w:firstLine="490" w:firstLineChars="200"/>
        <w:rPr>
          <w:rFonts w:hint="eastAsia" w:ascii="宋体" w:hAnsi="宋体" w:eastAsia="宋体" w:cs="宋体"/>
          <w:color w:val="auto"/>
          <w:sz w:val="24"/>
          <w:highlight w:val="none"/>
        </w:rPr>
      </w:pPr>
      <w:bookmarkStart w:id="59" w:name="_Toc4616433"/>
      <w:r>
        <w:rPr>
          <w:rFonts w:hint="eastAsia" w:ascii="宋体" w:hAnsi="宋体" w:eastAsia="宋体" w:cs="宋体"/>
          <w:color w:val="auto"/>
          <w:sz w:val="24"/>
          <w:highlight w:val="none"/>
        </w:rPr>
        <w:t>4.谈判费用</w:t>
      </w:r>
      <w:bookmarkEnd w:id="56"/>
      <w:bookmarkEnd w:id="57"/>
      <w:bookmarkEnd w:id="58"/>
      <w:r>
        <w:rPr>
          <w:rFonts w:hint="eastAsia" w:ascii="宋体" w:hAnsi="宋体" w:eastAsia="宋体" w:cs="宋体"/>
          <w:color w:val="auto"/>
          <w:sz w:val="24"/>
          <w:highlight w:val="none"/>
        </w:rPr>
        <w:t>（实质性要求）</w:t>
      </w:r>
      <w:bookmarkEnd w:id="59"/>
    </w:p>
    <w:p>
      <w:pPr>
        <w:tabs>
          <w:tab w:val="left" w:pos="7665"/>
        </w:tabs>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供应商应自行承担参加谈判活动的全部费用。</w:t>
      </w:r>
    </w:p>
    <w:p>
      <w:pPr>
        <w:rPr>
          <w:rFonts w:hint="eastAsia" w:ascii="宋体" w:hAnsi="宋体" w:eastAsia="宋体" w:cs="宋体"/>
          <w:color w:val="auto"/>
          <w:highlight w:val="none"/>
        </w:rPr>
      </w:pPr>
    </w:p>
    <w:p>
      <w:pPr>
        <w:pStyle w:val="68"/>
        <w:spacing w:line="400" w:lineRule="exact"/>
        <w:ind w:firstLine="490" w:firstLineChars="200"/>
        <w:outlineLvl w:val="2"/>
        <w:rPr>
          <w:rFonts w:hint="eastAsia" w:ascii="宋体" w:hAnsi="宋体" w:eastAsia="宋体" w:cs="宋体"/>
          <w:b/>
          <w:color w:val="auto"/>
          <w:sz w:val="24"/>
          <w:highlight w:val="none"/>
        </w:rPr>
      </w:pPr>
      <w:bookmarkStart w:id="60" w:name="_Toc4616434"/>
      <w:r>
        <w:rPr>
          <w:rFonts w:hint="eastAsia" w:ascii="宋体" w:hAnsi="宋体" w:eastAsia="宋体" w:cs="宋体"/>
          <w:b/>
          <w:color w:val="auto"/>
          <w:sz w:val="24"/>
          <w:highlight w:val="none"/>
        </w:rPr>
        <w:t>5.充分、公平竞争保障措施（实质性要求）</w:t>
      </w:r>
      <w:bookmarkEnd w:id="60"/>
    </w:p>
    <w:p>
      <w:pPr>
        <w:pStyle w:val="28"/>
        <w:autoSpaceDE w:val="0"/>
        <w:spacing w:before="0" w:beforeAutospacing="0" w:after="150" w:afterAutospacing="0" w:line="460" w:lineRule="exact"/>
        <w:ind w:firstLine="490" w:firstLineChars="200"/>
        <w:jc w:val="both"/>
        <w:rPr>
          <w:rFonts w:hint="eastAsia" w:ascii="宋体" w:hAnsi="宋体" w:eastAsia="宋体" w:cs="宋体"/>
          <w:color w:val="auto"/>
          <w:sz w:val="24"/>
          <w:szCs w:val="24"/>
          <w:highlight w:val="none"/>
        </w:rPr>
      </w:pPr>
      <w:r>
        <w:rPr>
          <w:rFonts w:hint="eastAsia" w:ascii="宋体" w:hAnsi="宋体" w:eastAsia="宋体" w:cs="宋体"/>
          <w:b/>
          <w:color w:val="auto"/>
          <w:sz w:val="24"/>
          <w:highlight w:val="none"/>
        </w:rPr>
        <w:t>5.1提供相同品牌产品处理</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提供相同品牌产品且通过资格审查、符合性审查的不同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参加同一合同项下投标的，按一家</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计算，评审后得分最高的同品牌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获得</w:t>
      </w:r>
      <w:r>
        <w:rPr>
          <w:rFonts w:hint="eastAsia" w:ascii="宋体" w:hAnsi="宋体" w:eastAsia="宋体" w:cs="宋体"/>
          <w:color w:val="auto"/>
          <w:sz w:val="24"/>
          <w:szCs w:val="24"/>
          <w:highlight w:val="none"/>
          <w:lang w:eastAsia="zh-CN"/>
        </w:rPr>
        <w:t>成交人</w:t>
      </w:r>
      <w:r>
        <w:rPr>
          <w:rFonts w:hint="eastAsia" w:ascii="宋体" w:hAnsi="宋体" w:eastAsia="宋体" w:cs="宋体"/>
          <w:color w:val="auto"/>
          <w:sz w:val="24"/>
          <w:szCs w:val="24"/>
          <w:highlight w:val="none"/>
        </w:rPr>
        <w:t>推荐资格；评审得分相同的，由采购人或者采购人委托评标委员会按照</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规定的方式确定一个</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获得</w:t>
      </w:r>
      <w:r>
        <w:rPr>
          <w:rFonts w:hint="eastAsia" w:ascii="宋体" w:hAnsi="宋体" w:eastAsia="宋体" w:cs="宋体"/>
          <w:color w:val="auto"/>
          <w:sz w:val="24"/>
          <w:szCs w:val="24"/>
          <w:highlight w:val="none"/>
          <w:lang w:eastAsia="zh-CN"/>
        </w:rPr>
        <w:t>成交人</w:t>
      </w:r>
      <w:r>
        <w:rPr>
          <w:rFonts w:hint="eastAsia" w:ascii="宋体" w:hAnsi="宋体" w:eastAsia="宋体" w:cs="宋体"/>
          <w:color w:val="auto"/>
          <w:sz w:val="24"/>
          <w:szCs w:val="24"/>
          <w:highlight w:val="none"/>
        </w:rPr>
        <w:t>推荐资格，</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未规定的采取由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代表在本项目监督下现场随机抽取方式确定，其他同品牌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不作为中标候选人。</w:t>
      </w:r>
    </w:p>
    <w:p>
      <w:pPr>
        <w:pStyle w:val="52"/>
        <w:spacing w:line="400" w:lineRule="exact"/>
        <w:ind w:left="1" w:firstLine="45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2"/>
          <w:highlight w:val="none"/>
        </w:rPr>
        <w:t>　</w:t>
      </w:r>
      <w:r>
        <w:rPr>
          <w:rFonts w:hint="eastAsia" w:ascii="宋体" w:hAnsi="宋体" w:eastAsia="宋体" w:cs="宋体"/>
          <w:color w:val="auto"/>
          <w:sz w:val="24"/>
          <w:szCs w:val="24"/>
          <w:highlight w:val="none"/>
        </w:rPr>
        <w:t>非单一产品采购项目中，多家</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提供的部分核心产品品牌相同的，视为提供相同品牌产品。</w:t>
      </w:r>
      <w:r>
        <w:rPr>
          <w:rFonts w:hint="eastAsia" w:hAnsi="宋体" w:cs="宋体"/>
          <w:b/>
          <w:bCs/>
          <w:color w:val="auto"/>
          <w:sz w:val="24"/>
          <w:highlight w:val="none"/>
        </w:rPr>
        <w:t>（因本项目为服务项目，故不涉及此条）</w:t>
      </w:r>
      <w:r>
        <w:rPr>
          <w:rFonts w:hint="eastAsia" w:ascii="宋体" w:hAnsi="宋体" w:eastAsia="宋体" w:cs="宋体"/>
          <w:b/>
          <w:bCs/>
          <w:color w:val="auto"/>
          <w:sz w:val="24"/>
          <w:szCs w:val="24"/>
          <w:highlight w:val="none"/>
        </w:rPr>
        <w:t>。</w:t>
      </w:r>
    </w:p>
    <w:p>
      <w:pPr>
        <w:pStyle w:val="68"/>
        <w:spacing w:line="460" w:lineRule="exact"/>
        <w:ind w:left="1" w:firstLine="490"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5.2利害关系供应商处理。</w:t>
      </w:r>
      <w:r>
        <w:rPr>
          <w:rFonts w:hint="eastAsia" w:ascii="宋体" w:hAnsi="宋体" w:eastAsia="宋体" w:cs="宋体"/>
          <w:color w:val="auto"/>
          <w:sz w:val="24"/>
          <w:highlight w:val="none"/>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作为无效处理。</w:t>
      </w:r>
    </w:p>
    <w:p>
      <w:pPr>
        <w:pStyle w:val="68"/>
        <w:spacing w:line="460" w:lineRule="exact"/>
        <w:ind w:left="1" w:firstLine="490"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5.3前期参与供应商处理。</w:t>
      </w:r>
      <w:r>
        <w:rPr>
          <w:rFonts w:hint="eastAsia" w:ascii="宋体" w:hAnsi="宋体" w:eastAsia="宋体" w:cs="宋体"/>
          <w:color w:val="auto"/>
          <w:sz w:val="24"/>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68"/>
        <w:spacing w:line="460" w:lineRule="exact"/>
        <w:ind w:left="1" w:firstLine="490"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5.4 利害关系代理人处理。</w:t>
      </w:r>
      <w:r>
        <w:rPr>
          <w:rFonts w:hint="eastAsia" w:ascii="宋体" w:hAnsi="宋体" w:eastAsia="宋体" w:cs="宋体"/>
          <w:color w:val="auto"/>
          <w:sz w:val="24"/>
          <w:highlight w:val="none"/>
        </w:rPr>
        <w:t>2家以上的供应商不得在同一合同项下的采购项目中，同时委托同一个自然人、同一单位的人员作为其代理人，否则，其</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作为无效处理。</w:t>
      </w:r>
    </w:p>
    <w:p>
      <w:pPr>
        <w:spacing w:line="460" w:lineRule="exact"/>
        <w:ind w:firstLine="490" w:firstLineChars="200"/>
        <w:jc w:val="lef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rPr>
        <w:t>5.5</w:t>
      </w:r>
      <w:r>
        <w:rPr>
          <w:rFonts w:hint="eastAsia" w:ascii="宋体" w:hAnsi="宋体" w:eastAsia="宋体" w:cs="宋体"/>
          <w:b/>
          <w:bCs/>
          <w:color w:val="auto"/>
          <w:sz w:val="24"/>
          <w:highlight w:val="none"/>
          <w:lang w:val="zh-CN"/>
        </w:rPr>
        <w:t>如为信息系统采购项目</w:t>
      </w:r>
      <w:r>
        <w:rPr>
          <w:rFonts w:hint="eastAsia" w:ascii="宋体" w:hAnsi="宋体" w:eastAsia="宋体" w:cs="宋体"/>
          <w:color w:val="auto"/>
          <w:sz w:val="24"/>
          <w:highlight w:val="none"/>
          <w:lang w:val="zh-CN"/>
        </w:rPr>
        <w:t>，供应商不得为该整体项目或其中分项目前期工作提供过设计、编制、管理等服务的法人及附属单位。</w:t>
      </w:r>
    </w:p>
    <w:p>
      <w:pPr>
        <w:spacing w:line="460" w:lineRule="exact"/>
        <w:ind w:firstLine="49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5.6供应商实际控制人或者中高级管理人员，同时是采购代理机构工作人员，不得参与本项目政府采购活动。</w:t>
      </w:r>
    </w:p>
    <w:p>
      <w:pPr>
        <w:spacing w:line="460" w:lineRule="exact"/>
        <w:ind w:firstLine="49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5.7供应商与采购代理机构存在关联关系，或者是采购代理机构的母公司或子公司，不得参加本项目政府采购活动。</w:t>
      </w:r>
    </w:p>
    <w:p>
      <w:pPr>
        <w:spacing w:line="460" w:lineRule="exact"/>
        <w:ind w:firstLine="490" w:firstLineChars="200"/>
        <w:jc w:val="left"/>
        <w:rPr>
          <w:rFonts w:hint="eastAsia" w:ascii="宋体" w:hAnsi="宋体" w:eastAsia="宋体" w:cs="宋体"/>
          <w:color w:val="auto"/>
          <w:sz w:val="24"/>
          <w:highlight w:val="none"/>
          <w:lang w:val="zh-CN"/>
        </w:rPr>
      </w:pPr>
      <w:r>
        <w:rPr>
          <w:rFonts w:hint="eastAsia" w:ascii="宋体" w:hAnsi="宋体" w:eastAsia="宋体" w:cs="宋体"/>
          <w:b/>
          <w:bCs/>
          <w:color w:val="auto"/>
          <w:sz w:val="24"/>
          <w:highlight w:val="none"/>
          <w:lang w:val="zh-CN"/>
        </w:rPr>
        <w:t>5.8回避</w:t>
      </w:r>
      <w:r>
        <w:rPr>
          <w:rFonts w:hint="eastAsia" w:ascii="宋体" w:hAnsi="宋体" w:eastAsia="宋体" w:cs="宋体"/>
          <w:color w:val="auto"/>
          <w:sz w:val="24"/>
          <w:highlight w:val="none"/>
          <w:lang w:val="zh-CN"/>
        </w:rPr>
        <w:t>。政府采购活动中，采购人员及相关人员与供应商有下列利害关系之一的，应当回避：</w:t>
      </w:r>
    </w:p>
    <w:p>
      <w:pPr>
        <w:spacing w:line="460" w:lineRule="exact"/>
        <w:ind w:firstLine="49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（1）参加采购活动前3年内与供应商存在劳动关系；</w:t>
      </w:r>
    </w:p>
    <w:p>
      <w:pPr>
        <w:spacing w:line="460" w:lineRule="exact"/>
        <w:ind w:firstLine="49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（2）参加采购活动前3年内担任供应商的董事、监事；</w:t>
      </w:r>
    </w:p>
    <w:p>
      <w:pPr>
        <w:spacing w:line="460" w:lineRule="exact"/>
        <w:ind w:firstLine="49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（3）参加采购活动前3年内是供应商的控股股东或者实际控制人；</w:t>
      </w:r>
    </w:p>
    <w:p>
      <w:pPr>
        <w:spacing w:line="460" w:lineRule="exact"/>
        <w:ind w:firstLine="49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（4）与供应商的法定代表人或者负责人有夫妻、直系血亲、三代以内旁系血亲或者近姻亲关系；</w:t>
      </w:r>
    </w:p>
    <w:p>
      <w:pPr>
        <w:spacing w:line="460" w:lineRule="exact"/>
        <w:ind w:firstLine="49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（5）与供应商有其他可能影响政府采购活动公平、公正进行的关系。</w:t>
      </w:r>
    </w:p>
    <w:p>
      <w:pPr>
        <w:spacing w:line="460" w:lineRule="exact"/>
        <w:ind w:firstLine="49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pPr>
        <w:pStyle w:val="68"/>
        <w:spacing w:line="400" w:lineRule="exact"/>
        <w:ind w:left="1"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68"/>
        <w:spacing w:line="400" w:lineRule="exact"/>
        <w:ind w:left="1" w:firstLine="490" w:firstLineChars="200"/>
        <w:rPr>
          <w:rFonts w:hint="eastAsia" w:ascii="宋体" w:hAnsi="宋体" w:eastAsia="宋体" w:cs="宋体"/>
          <w:b/>
          <w:color w:val="auto"/>
          <w:sz w:val="24"/>
          <w:highlight w:val="none"/>
        </w:rPr>
      </w:pPr>
    </w:p>
    <w:p>
      <w:pPr>
        <w:pStyle w:val="68"/>
        <w:spacing w:line="400" w:lineRule="exact"/>
        <w:ind w:left="1" w:firstLine="49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6.联合体竞争性谈判（实质性要求）</w:t>
      </w:r>
      <w:r>
        <w:rPr>
          <w:rFonts w:hint="eastAsia" w:ascii="宋体" w:hAnsi="宋体" w:eastAsia="宋体" w:cs="宋体"/>
          <w:b/>
          <w:bCs/>
          <w:color w:val="auto"/>
          <w:sz w:val="24"/>
          <w:highlight w:val="none"/>
        </w:rPr>
        <w:t>本项目不接受联合体参与采购活动</w:t>
      </w:r>
    </w:p>
    <w:p>
      <w:pPr>
        <w:pStyle w:val="68"/>
        <w:spacing w:line="400" w:lineRule="exact"/>
        <w:ind w:left="1"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 两个以上供应商可以组成一个联合体竞争性谈判，以一个供应商的身份竞争性谈判。</w:t>
      </w:r>
    </w:p>
    <w:p>
      <w:pPr>
        <w:pStyle w:val="68"/>
        <w:spacing w:line="400" w:lineRule="exact"/>
        <w:ind w:left="1"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6.2 联合体各方之间应当签订联合体竞争性谈判协议，明确约定联合体各方承担的工作和相应的责任。联合体参与竞争性谈判的，应在响应文件中提供联合体协议原件。</w:t>
      </w:r>
    </w:p>
    <w:p>
      <w:pPr>
        <w:pStyle w:val="68"/>
        <w:spacing w:line="400" w:lineRule="exact"/>
        <w:ind w:left="1"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6.3 联合体应当确定其中一个单位为竞争性谈判的全权代表，负责参加竞争性谈判的一切事务。</w:t>
      </w:r>
    </w:p>
    <w:p>
      <w:pPr>
        <w:pStyle w:val="68"/>
        <w:spacing w:line="400" w:lineRule="exact"/>
        <w:ind w:left="1"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6.4 联合体各方应当共同与采购人签订采购合同，就采购合同约定的事项对采购人承担连带责任。</w:t>
      </w:r>
    </w:p>
    <w:p>
      <w:pPr>
        <w:pStyle w:val="68"/>
        <w:spacing w:line="400" w:lineRule="exact"/>
        <w:ind w:left="1"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6.5联合体中有同类资质的供应商按照联合体分工承担相同工作的，将按照资质等级较低的供应商确定资质等级。</w:t>
      </w:r>
    </w:p>
    <w:p>
      <w:pPr>
        <w:pStyle w:val="68"/>
        <w:spacing w:line="400" w:lineRule="exact"/>
        <w:ind w:left="1"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6.6以联合体形式参加政府采购活动的，联合体各方不得再单独参加或者与其他供应商另外组成联合体参加同一合同项下的政府采购活动。</w:t>
      </w:r>
    </w:p>
    <w:p>
      <w:pPr>
        <w:pStyle w:val="68"/>
        <w:spacing w:line="400" w:lineRule="exact"/>
        <w:ind w:left="1" w:firstLine="490" w:firstLineChars="200"/>
        <w:rPr>
          <w:rFonts w:hint="eastAsia" w:ascii="宋体" w:hAnsi="宋体" w:eastAsia="宋体" w:cs="宋体"/>
          <w:color w:val="auto"/>
          <w:sz w:val="24"/>
          <w:highlight w:val="none"/>
        </w:rPr>
      </w:pPr>
    </w:p>
    <w:p>
      <w:pPr>
        <w:pStyle w:val="68"/>
        <w:spacing w:line="400" w:lineRule="exact"/>
        <w:ind w:firstLine="490" w:firstLineChars="200"/>
        <w:outlineLvl w:val="2"/>
        <w:rPr>
          <w:rFonts w:hint="eastAsia" w:ascii="宋体" w:hAnsi="宋体" w:eastAsia="宋体" w:cs="宋体"/>
          <w:b/>
          <w:color w:val="auto"/>
          <w:sz w:val="24"/>
          <w:highlight w:val="none"/>
        </w:rPr>
      </w:pPr>
      <w:bookmarkStart w:id="61" w:name="_Toc4616435"/>
      <w:r>
        <w:rPr>
          <w:rFonts w:hint="eastAsia" w:ascii="宋体" w:hAnsi="宋体" w:eastAsia="宋体" w:cs="宋体"/>
          <w:b/>
          <w:color w:val="auto"/>
          <w:sz w:val="24"/>
          <w:highlight w:val="none"/>
        </w:rPr>
        <w:t>7.谈判保证金（实质性要求）</w:t>
      </w:r>
      <w:bookmarkEnd w:id="61"/>
    </w:p>
    <w:p>
      <w:pPr>
        <w:spacing w:line="400" w:lineRule="exact"/>
        <w:ind w:firstLine="479" w:firstLineChars="196"/>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lang w:eastAsia="zh-CN"/>
        </w:rPr>
        <w:t>本项目不收取谈判保证金</w:t>
      </w:r>
      <w:r>
        <w:rPr>
          <w:rFonts w:hint="eastAsia" w:ascii="宋体" w:hAnsi="宋体" w:eastAsia="宋体" w:cs="宋体"/>
          <w:color w:val="auto"/>
          <w:sz w:val="24"/>
          <w:highlight w:val="none"/>
        </w:rPr>
        <w:t>。</w:t>
      </w:r>
    </w:p>
    <w:p>
      <w:pPr>
        <w:spacing w:line="400" w:lineRule="exact"/>
        <w:ind w:firstLine="479" w:firstLineChars="196"/>
        <w:rPr>
          <w:rFonts w:hint="eastAsia" w:ascii="宋体" w:hAnsi="宋体" w:eastAsia="宋体" w:cs="宋体"/>
          <w:color w:val="auto"/>
          <w:sz w:val="24"/>
          <w:highlight w:val="none"/>
        </w:rPr>
      </w:pPr>
    </w:p>
    <w:p>
      <w:pPr>
        <w:spacing w:line="400" w:lineRule="exact"/>
        <w:ind w:firstLine="479" w:firstLineChars="196"/>
        <w:outlineLvl w:val="2"/>
        <w:rPr>
          <w:rFonts w:hint="eastAsia" w:ascii="宋体" w:hAnsi="宋体" w:eastAsia="宋体" w:cs="宋体"/>
          <w:b/>
          <w:color w:val="auto"/>
          <w:sz w:val="24"/>
          <w:highlight w:val="none"/>
        </w:rPr>
      </w:pPr>
      <w:bookmarkStart w:id="62" w:name="_Toc4616436"/>
      <w:r>
        <w:rPr>
          <w:rFonts w:hint="eastAsia" w:ascii="宋体" w:hAnsi="宋体" w:eastAsia="宋体" w:cs="宋体"/>
          <w:b/>
          <w:color w:val="auto"/>
          <w:sz w:val="24"/>
          <w:highlight w:val="none"/>
        </w:rPr>
        <w:t>8.响应文件有效期（实质性要求）</w:t>
      </w:r>
      <w:bookmarkEnd w:id="62"/>
    </w:p>
    <w:p>
      <w:pPr>
        <w:spacing w:line="400" w:lineRule="exact"/>
        <w:ind w:firstLine="479"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响应文件有效期为递交谈判响应文件截止之日起90天。供应商响应文件中必须载明响应文件有效期，响应文件中载明的响应文件有效期可以长于谈判文件规定的期限，但不得短于谈判文件规定的期限。否则，其响应文件将作为无效响应处理。</w:t>
      </w:r>
    </w:p>
    <w:p>
      <w:pPr>
        <w:spacing w:line="400" w:lineRule="exact"/>
        <w:ind w:firstLine="479" w:firstLineChars="196"/>
        <w:rPr>
          <w:rFonts w:hint="eastAsia" w:ascii="宋体" w:hAnsi="宋体" w:eastAsia="宋体" w:cs="宋体"/>
          <w:color w:val="auto"/>
          <w:sz w:val="24"/>
          <w:highlight w:val="none"/>
        </w:rPr>
      </w:pPr>
    </w:p>
    <w:p>
      <w:pPr>
        <w:pStyle w:val="12"/>
        <w:numPr>
          <w:ilvl w:val="0"/>
          <w:numId w:val="2"/>
        </w:numPr>
        <w:spacing w:line="400" w:lineRule="exact"/>
        <w:ind w:firstLine="490" w:firstLineChars="200"/>
        <w:outlineLvl w:val="2"/>
        <w:rPr>
          <w:rFonts w:hint="eastAsia" w:ascii="宋体" w:hAnsi="宋体" w:eastAsia="宋体" w:cs="宋体"/>
          <w:b/>
          <w:bCs/>
          <w:color w:val="auto"/>
          <w:sz w:val="24"/>
          <w:szCs w:val="24"/>
          <w:highlight w:val="none"/>
        </w:rPr>
      </w:pPr>
      <w:bookmarkStart w:id="63" w:name="_Toc4616437"/>
      <w:r>
        <w:rPr>
          <w:rFonts w:hint="eastAsia" w:ascii="宋体" w:hAnsi="宋体" w:eastAsia="宋体" w:cs="宋体"/>
          <w:b/>
          <w:bCs/>
          <w:color w:val="auto"/>
          <w:sz w:val="24"/>
          <w:szCs w:val="24"/>
          <w:highlight w:val="none"/>
        </w:rPr>
        <w:t>知识产权（实质性要求）</w:t>
      </w:r>
      <w:bookmarkEnd w:id="63"/>
    </w:p>
    <w:p>
      <w:pPr>
        <w:pStyle w:val="12"/>
        <w:spacing w:line="400" w:lineRule="exact"/>
        <w:ind w:firstLine="49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9.1 </w:t>
      </w:r>
      <w:r>
        <w:rPr>
          <w:rFonts w:hint="eastAsia" w:ascii="宋体" w:hAnsi="宋体" w:eastAsia="宋体" w:cs="宋体"/>
          <w:color w:val="auto"/>
          <w:sz w:val="24"/>
          <w:highlight w:val="none"/>
        </w:rPr>
        <w:t>供应商</w:t>
      </w:r>
      <w:r>
        <w:rPr>
          <w:rFonts w:hint="eastAsia" w:ascii="宋体" w:hAnsi="宋体" w:eastAsia="宋体" w:cs="宋体"/>
          <w:color w:val="auto"/>
          <w:sz w:val="24"/>
          <w:szCs w:val="24"/>
          <w:highlight w:val="none"/>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eastAsia="宋体" w:cs="宋体"/>
          <w:color w:val="auto"/>
          <w:sz w:val="24"/>
          <w:highlight w:val="none"/>
        </w:rPr>
        <w:t>供应商</w:t>
      </w:r>
      <w:r>
        <w:rPr>
          <w:rFonts w:hint="eastAsia" w:ascii="宋体" w:hAnsi="宋体" w:eastAsia="宋体" w:cs="宋体"/>
          <w:color w:val="auto"/>
          <w:sz w:val="24"/>
          <w:szCs w:val="24"/>
          <w:highlight w:val="none"/>
        </w:rPr>
        <w:t>承担所有相关责任。</w:t>
      </w:r>
    </w:p>
    <w:p>
      <w:pPr>
        <w:pStyle w:val="12"/>
        <w:spacing w:line="400" w:lineRule="exact"/>
        <w:ind w:firstLine="49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除非谈判文件特别规定，采购人享有本项目实施过程中产生的知识成果及知识产权。</w:t>
      </w:r>
    </w:p>
    <w:p>
      <w:pPr>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9.3 </w:t>
      </w:r>
      <w:r>
        <w:rPr>
          <w:rFonts w:hint="eastAsia" w:ascii="宋体" w:hAnsi="宋体" w:eastAsia="宋体" w:cs="宋体"/>
          <w:color w:val="auto"/>
          <w:sz w:val="24"/>
          <w:szCs w:val="24"/>
          <w:highlight w:val="none"/>
        </w:rPr>
        <w:t>供应商如欲在项目实施过程中采用自有知识成果，使用该知识成果后，供应商需提供开发接口和开发手册等技术文档，并承诺提供无限期技术支持，采购人享有永久使用权（含采购人委托第三方在该项目后续开发的使用权），同时需在响应文件中提供声明，并提供相关知识产权证明文件，否则视为供应商未在本项目实施过程中采用自有知识成果，不影响有效性。</w:t>
      </w:r>
    </w:p>
    <w:p>
      <w:pPr>
        <w:spacing w:line="400" w:lineRule="exact"/>
        <w:ind w:firstLine="469"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9.4 </w:t>
      </w:r>
      <w:r>
        <w:rPr>
          <w:rFonts w:hint="eastAsia" w:ascii="宋体" w:hAnsi="宋体" w:eastAsia="宋体" w:cs="宋体"/>
          <w:color w:val="auto"/>
          <w:sz w:val="24"/>
          <w:szCs w:val="24"/>
          <w:highlight w:val="none"/>
        </w:rPr>
        <w:t>如采用供应商所不拥有的知识产权，则在谈判报价中必须包括合法获取该知识产权的相关费用，采购人不再因供应商采用所不拥有的知识产权而另行支付任何费用。</w:t>
      </w:r>
      <w:r>
        <w:rPr>
          <w:rFonts w:hint="eastAsia" w:ascii="宋体" w:hAnsi="宋体" w:eastAsia="宋体" w:cs="宋体"/>
          <w:color w:val="auto"/>
          <w:sz w:val="24"/>
          <w:highlight w:val="none"/>
        </w:rPr>
        <w:t xml:space="preserve"> </w:t>
      </w:r>
    </w:p>
    <w:p>
      <w:pPr>
        <w:rPr>
          <w:rFonts w:hint="eastAsia" w:ascii="宋体" w:hAnsi="宋体" w:eastAsia="宋体" w:cs="宋体"/>
          <w:color w:val="auto"/>
          <w:highlight w:val="none"/>
        </w:rPr>
      </w:pPr>
      <w:bookmarkStart w:id="64" w:name="_Toc183682346"/>
      <w:bookmarkStart w:id="65" w:name="_Toc183582209"/>
      <w:bookmarkStart w:id="66" w:name="_Toc89075875"/>
      <w:bookmarkStart w:id="67" w:name="_Toc77400779"/>
      <w:bookmarkStart w:id="68" w:name="_Toc217446038"/>
    </w:p>
    <w:p>
      <w:pPr>
        <w:pStyle w:val="4"/>
        <w:keepNext w:val="0"/>
        <w:keepLines w:val="0"/>
        <w:spacing w:before="0" w:after="0" w:line="400" w:lineRule="exact"/>
        <w:jc w:val="center"/>
        <w:rPr>
          <w:rFonts w:hint="eastAsia" w:ascii="宋体" w:hAnsi="宋体" w:eastAsia="宋体" w:cs="宋体"/>
          <w:bCs w:val="0"/>
          <w:color w:val="auto"/>
          <w:highlight w:val="none"/>
        </w:rPr>
      </w:pPr>
      <w:bookmarkStart w:id="69" w:name="_Toc4616438"/>
      <w:r>
        <w:rPr>
          <w:rFonts w:hint="eastAsia" w:ascii="宋体" w:hAnsi="宋体" w:eastAsia="宋体" w:cs="宋体"/>
          <w:bCs w:val="0"/>
          <w:color w:val="auto"/>
          <w:highlight w:val="none"/>
        </w:rPr>
        <w:t>三、谈判文件</w:t>
      </w:r>
      <w:bookmarkEnd w:id="64"/>
      <w:bookmarkEnd w:id="65"/>
      <w:bookmarkEnd w:id="66"/>
      <w:bookmarkEnd w:id="67"/>
      <w:bookmarkEnd w:id="68"/>
      <w:bookmarkEnd w:id="69"/>
    </w:p>
    <w:p>
      <w:pPr>
        <w:rPr>
          <w:rFonts w:hint="eastAsia" w:ascii="宋体" w:hAnsi="宋体" w:eastAsia="宋体" w:cs="宋体"/>
          <w:color w:val="auto"/>
          <w:highlight w:val="none"/>
        </w:rPr>
      </w:pPr>
      <w:bookmarkStart w:id="70" w:name="_Toc183582210"/>
      <w:bookmarkStart w:id="71" w:name="_Toc183682347"/>
      <w:bookmarkStart w:id="72" w:name="_Toc217446039"/>
    </w:p>
    <w:p>
      <w:pPr>
        <w:pStyle w:val="5"/>
        <w:keepNext w:val="0"/>
        <w:keepLines w:val="0"/>
        <w:spacing w:before="0" w:after="0" w:line="400" w:lineRule="exact"/>
        <w:ind w:firstLine="490" w:firstLineChars="200"/>
        <w:rPr>
          <w:rFonts w:hint="eastAsia" w:ascii="宋体" w:hAnsi="宋体" w:eastAsia="宋体" w:cs="宋体"/>
          <w:color w:val="auto"/>
          <w:sz w:val="24"/>
          <w:highlight w:val="none"/>
        </w:rPr>
      </w:pPr>
      <w:bookmarkStart w:id="73" w:name="_Toc4616439"/>
      <w:r>
        <w:rPr>
          <w:rFonts w:hint="eastAsia" w:ascii="宋体" w:hAnsi="宋体" w:eastAsia="宋体" w:cs="宋体"/>
          <w:color w:val="auto"/>
          <w:sz w:val="24"/>
          <w:highlight w:val="none"/>
        </w:rPr>
        <w:t>10.谈判文件的构成</w:t>
      </w:r>
      <w:bookmarkEnd w:id="70"/>
      <w:bookmarkEnd w:id="71"/>
      <w:bookmarkEnd w:id="72"/>
      <w:r>
        <w:rPr>
          <w:rFonts w:hint="eastAsia" w:ascii="宋体" w:hAnsi="宋体" w:eastAsia="宋体" w:cs="宋体"/>
          <w:color w:val="auto"/>
          <w:sz w:val="24"/>
          <w:highlight w:val="none"/>
        </w:rPr>
        <w:t>（实质性要求）</w:t>
      </w:r>
      <w:bookmarkEnd w:id="73"/>
    </w:p>
    <w:p>
      <w:pPr>
        <w:tabs>
          <w:tab w:val="left" w:pos="720"/>
        </w:tabs>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1 谈判文件是供应商准备响应文件和参加谈判的依据，同时也是谈判的重要依据。谈判文件用以阐明谈判项目所需的资质、技术、服务及报价等要求、谈判程序、有关规定和注意事项以及合同主要条款等。</w:t>
      </w:r>
    </w:p>
    <w:p>
      <w:pPr>
        <w:tabs>
          <w:tab w:val="left" w:pos="7665"/>
        </w:tabs>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2 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p>
    <w:p>
      <w:pPr>
        <w:rPr>
          <w:rFonts w:hint="eastAsia" w:ascii="宋体" w:hAnsi="宋体" w:eastAsia="宋体" w:cs="宋体"/>
          <w:color w:val="auto"/>
          <w:highlight w:val="none"/>
        </w:rPr>
      </w:pPr>
      <w:bookmarkStart w:id="74" w:name="_Toc183682348"/>
      <w:bookmarkStart w:id="75" w:name="_Toc183582211"/>
      <w:bookmarkStart w:id="76" w:name="_Toc217446040"/>
    </w:p>
    <w:p>
      <w:pPr>
        <w:pStyle w:val="5"/>
        <w:keepNext w:val="0"/>
        <w:keepLines w:val="0"/>
        <w:spacing w:before="0" w:after="0" w:line="400" w:lineRule="exact"/>
        <w:ind w:firstLine="490" w:firstLineChars="200"/>
        <w:rPr>
          <w:rFonts w:hint="eastAsia" w:ascii="宋体" w:hAnsi="宋体" w:eastAsia="宋体" w:cs="宋体"/>
          <w:color w:val="auto"/>
          <w:sz w:val="24"/>
          <w:highlight w:val="none"/>
        </w:rPr>
      </w:pPr>
      <w:bookmarkStart w:id="77" w:name="_Toc4616440"/>
      <w:r>
        <w:rPr>
          <w:rFonts w:hint="eastAsia" w:ascii="宋体" w:hAnsi="宋体" w:eastAsia="宋体" w:cs="宋体"/>
          <w:color w:val="auto"/>
          <w:sz w:val="24"/>
          <w:highlight w:val="none"/>
        </w:rPr>
        <w:t>11.谈判文件的澄清</w:t>
      </w:r>
      <w:bookmarkEnd w:id="74"/>
      <w:bookmarkEnd w:id="75"/>
      <w:r>
        <w:rPr>
          <w:rFonts w:hint="eastAsia" w:ascii="宋体" w:hAnsi="宋体" w:eastAsia="宋体" w:cs="宋体"/>
          <w:color w:val="auto"/>
          <w:sz w:val="24"/>
          <w:highlight w:val="none"/>
        </w:rPr>
        <w:t>和修改</w:t>
      </w:r>
      <w:bookmarkEnd w:id="76"/>
      <w:bookmarkEnd w:id="77"/>
    </w:p>
    <w:p>
      <w:pPr>
        <w:tabs>
          <w:tab w:val="left" w:pos="720"/>
        </w:tabs>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在递交响应文件截止时间前，采购人、采购代理机构可以对谈判文件进行澄清或者修改。</w:t>
      </w:r>
    </w:p>
    <w:p>
      <w:pPr>
        <w:tabs>
          <w:tab w:val="left" w:pos="720"/>
        </w:tabs>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采购代理机构对已发出的谈判文件进行澄清或者修改，应当以书面形式将澄清或者修改的内容通知所有购买了谈判文件的供应商，同时在四川政府采购网上发布更正公告。该澄清或者修改的内容为谈判文件的组成部分，澄清或者修改的内容可能影响响应文件编制的，采购人或者采购代理机构发布公告并书面通知供应商的时间，应当在提交首次响应文件截止之日起3个工作日前；不足上述时间的，应当顺延递交响应文件的截止时间。</w:t>
      </w:r>
    </w:p>
    <w:p>
      <w:pPr>
        <w:tabs>
          <w:tab w:val="left" w:pos="720"/>
        </w:tabs>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11.3供应商认为采购人或采购代理机构需要对谈判文件进行澄清或者修改的，可以在谈判截止时间前3日以书面形式向采购人或采购代理机构提出申请，由采购人或采购代理机构决定是否采纳供应商的申请事项</w:t>
      </w:r>
    </w:p>
    <w:p>
      <w:pPr>
        <w:rPr>
          <w:rFonts w:hint="eastAsia" w:ascii="宋体" w:hAnsi="宋体" w:eastAsia="宋体" w:cs="宋体"/>
          <w:color w:val="auto"/>
          <w:highlight w:val="none"/>
        </w:rPr>
      </w:pPr>
    </w:p>
    <w:p>
      <w:pPr>
        <w:pStyle w:val="5"/>
        <w:keepNext w:val="0"/>
        <w:keepLines w:val="0"/>
        <w:spacing w:before="0" w:after="0" w:line="400" w:lineRule="exact"/>
        <w:ind w:firstLine="490" w:firstLineChars="200"/>
        <w:rPr>
          <w:rFonts w:hint="eastAsia" w:ascii="宋体" w:hAnsi="宋体" w:eastAsia="宋体" w:cs="宋体"/>
          <w:color w:val="auto"/>
          <w:sz w:val="24"/>
          <w:highlight w:val="none"/>
        </w:rPr>
      </w:pPr>
      <w:bookmarkStart w:id="78" w:name="_Toc4616441"/>
      <w:bookmarkStart w:id="79" w:name="_Toc217446041"/>
      <w:bookmarkStart w:id="80" w:name="_Toc208848971"/>
      <w:r>
        <w:rPr>
          <w:rFonts w:hint="eastAsia" w:ascii="宋体" w:hAnsi="宋体" w:eastAsia="宋体" w:cs="宋体"/>
          <w:color w:val="auto"/>
          <w:sz w:val="24"/>
          <w:highlight w:val="none"/>
        </w:rPr>
        <w:t>12.答疑会和现场考察</w:t>
      </w:r>
      <w:bookmarkEnd w:id="78"/>
      <w:bookmarkEnd w:id="79"/>
      <w:bookmarkEnd w:id="80"/>
    </w:p>
    <w:p>
      <w:pPr>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 根据采购项目和具体情况，采购人、采购代理机构认为有必要，可以在谈判文件提供期限截止后响应文件提交截止前，组织已获取谈判文件的潜在供应商现场考察或者召开答疑会。</w:t>
      </w:r>
    </w:p>
    <w:p>
      <w:pPr>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采购人、采购代理机构组织现场考察或者召开答疑会的，将以书面形式通知所有获取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400" w:lineRule="exact"/>
        <w:ind w:firstLine="428"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12.3 供应商自行承担参加答疑会和现场考察的一切费用。</w:t>
      </w:r>
    </w:p>
    <w:p>
      <w:pPr>
        <w:rPr>
          <w:rFonts w:hint="eastAsia" w:ascii="宋体" w:hAnsi="宋体" w:eastAsia="宋体" w:cs="宋体"/>
          <w:color w:val="auto"/>
          <w:highlight w:val="none"/>
        </w:rPr>
      </w:pPr>
      <w:bookmarkStart w:id="81" w:name="_Toc89075876"/>
      <w:bookmarkStart w:id="82" w:name="_Toc183682351"/>
      <w:bookmarkStart w:id="83" w:name="_Toc77400780"/>
      <w:bookmarkStart w:id="84" w:name="_Toc183582214"/>
      <w:bookmarkStart w:id="85" w:name="_Toc217446042"/>
    </w:p>
    <w:p>
      <w:pPr>
        <w:pStyle w:val="4"/>
        <w:keepNext w:val="0"/>
        <w:keepLines w:val="0"/>
        <w:spacing w:before="0" w:after="0" w:line="400" w:lineRule="exact"/>
        <w:jc w:val="center"/>
        <w:rPr>
          <w:rFonts w:hint="eastAsia" w:ascii="宋体" w:hAnsi="宋体" w:eastAsia="宋体" w:cs="宋体"/>
          <w:bCs w:val="0"/>
          <w:color w:val="auto"/>
          <w:highlight w:val="none"/>
        </w:rPr>
      </w:pPr>
      <w:bookmarkStart w:id="86" w:name="_Toc4616442"/>
      <w:r>
        <w:rPr>
          <w:rFonts w:hint="eastAsia" w:ascii="宋体" w:hAnsi="宋体" w:eastAsia="宋体" w:cs="宋体"/>
          <w:bCs w:val="0"/>
          <w:color w:val="auto"/>
          <w:highlight w:val="none"/>
        </w:rPr>
        <w:t>四、响应文件</w:t>
      </w:r>
      <w:bookmarkEnd w:id="81"/>
      <w:bookmarkEnd w:id="82"/>
      <w:bookmarkEnd w:id="83"/>
      <w:bookmarkEnd w:id="84"/>
      <w:bookmarkEnd w:id="85"/>
      <w:bookmarkEnd w:id="86"/>
    </w:p>
    <w:p>
      <w:pPr>
        <w:rPr>
          <w:rFonts w:hint="eastAsia" w:ascii="宋体" w:hAnsi="宋体" w:eastAsia="宋体" w:cs="宋体"/>
          <w:color w:val="auto"/>
          <w:highlight w:val="none"/>
        </w:rPr>
      </w:pPr>
      <w:bookmarkStart w:id="87" w:name="_Toc183682352"/>
      <w:bookmarkStart w:id="88" w:name="_Toc183582215"/>
      <w:bookmarkStart w:id="89" w:name="_Toc217446043"/>
    </w:p>
    <w:p>
      <w:pPr>
        <w:pStyle w:val="5"/>
        <w:keepNext w:val="0"/>
        <w:keepLines w:val="0"/>
        <w:spacing w:before="0" w:after="0" w:line="400" w:lineRule="exact"/>
        <w:ind w:firstLine="490" w:firstLineChars="200"/>
        <w:rPr>
          <w:rFonts w:hint="eastAsia" w:ascii="宋体" w:hAnsi="宋体" w:eastAsia="宋体" w:cs="宋体"/>
          <w:color w:val="auto"/>
          <w:sz w:val="24"/>
          <w:highlight w:val="none"/>
        </w:rPr>
      </w:pPr>
      <w:bookmarkStart w:id="90" w:name="_Toc4616443"/>
      <w:r>
        <w:rPr>
          <w:rFonts w:hint="eastAsia" w:ascii="宋体" w:hAnsi="宋体" w:eastAsia="宋体" w:cs="宋体"/>
          <w:color w:val="auto"/>
          <w:sz w:val="24"/>
          <w:highlight w:val="none"/>
        </w:rPr>
        <w:t>13.响应文件的组成（实质性要求）</w:t>
      </w:r>
      <w:bookmarkEnd w:id="90"/>
    </w:p>
    <w:p>
      <w:pPr>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13.1供应商应按照谈判文件的规定和要求编制响应文件。供应商在成交后将成交项目的非主体、非关键性工作分包他人完成的，应当在响应文件中载明或谈判过程中澄清。</w:t>
      </w:r>
    </w:p>
    <w:p>
      <w:pPr>
        <w:spacing w:line="400" w:lineRule="exact"/>
        <w:ind w:left="3" w:leftChars="1"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13.2资格性响应文件：供应商按照谈判文件要求编写资格性响应文件：</w:t>
      </w:r>
    </w:p>
    <w:p>
      <w:pPr>
        <w:numPr>
          <w:ilvl w:val="0"/>
          <w:numId w:val="3"/>
        </w:numPr>
        <w:spacing w:line="400" w:lineRule="exact"/>
        <w:ind w:left="3" w:leftChars="1"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声明函、承诺函；</w:t>
      </w:r>
    </w:p>
    <w:p>
      <w:pPr>
        <w:numPr>
          <w:ilvl w:val="0"/>
          <w:numId w:val="3"/>
        </w:numPr>
        <w:spacing w:line="400" w:lineRule="exact"/>
        <w:ind w:left="3" w:leftChars="1"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供应商的资格声明；</w:t>
      </w:r>
    </w:p>
    <w:p>
      <w:pPr>
        <w:numPr>
          <w:ilvl w:val="0"/>
          <w:numId w:val="3"/>
        </w:numPr>
        <w:spacing w:line="400" w:lineRule="exact"/>
        <w:ind w:left="3" w:leftChars="1"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谈判文件第四章所要求提供的证明材料；</w:t>
      </w:r>
    </w:p>
    <w:p>
      <w:pPr>
        <w:numPr>
          <w:ilvl w:val="0"/>
          <w:numId w:val="3"/>
        </w:numPr>
        <w:spacing w:line="400" w:lineRule="exact"/>
        <w:ind w:left="3" w:leftChars="1"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供应商认为需要提供的文件和资料；</w:t>
      </w:r>
    </w:p>
    <w:p>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13.2 其他响应文件：供应商须按谈判文件的要求编写其他响应文件，对谈判文件提出的要求和条件做出实质性响应。响应文件应包括但不限于下列内容：</w:t>
      </w:r>
    </w:p>
    <w:p>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（1）谈判函；</w:t>
      </w:r>
    </w:p>
    <w:p>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（2）报价表（</w:t>
      </w:r>
      <w:r>
        <w:rPr>
          <w:rFonts w:hint="eastAsia" w:ascii="宋体" w:hAnsi="宋体" w:eastAsia="宋体" w:cs="宋体"/>
          <w:b/>
          <w:bCs/>
          <w:color w:val="auto"/>
          <w:sz w:val="24"/>
          <w:szCs w:val="24"/>
          <w:highlight w:val="none"/>
        </w:rPr>
        <w:t>若响应文件中提供的报价与现场提供的不一致时，以现场提供的为准</w:t>
      </w:r>
      <w:r>
        <w:rPr>
          <w:rFonts w:hint="eastAsia" w:ascii="宋体" w:hAnsi="宋体" w:eastAsia="宋体" w:cs="宋体"/>
          <w:color w:val="auto"/>
          <w:sz w:val="24"/>
          <w:highlight w:val="none"/>
        </w:rPr>
        <w:t>）；</w:t>
      </w:r>
    </w:p>
    <w:p>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（3）技术、服务、商务和合同重要条款响应偏离表；</w:t>
      </w:r>
    </w:p>
    <w:p>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（4）供应商应按照谈判文件中售后服务要求作出的积极响应和有利于采购人的承诺；（如适用）</w:t>
      </w:r>
    </w:p>
    <w:p>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（5）质量保证和售后服务承诺、服务计划等文件；（如适用）</w:t>
      </w:r>
    </w:p>
    <w:p>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（6）供应商认为需要提供的文件和资料；</w:t>
      </w:r>
    </w:p>
    <w:p>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（7）供应商按照谈判文件要求作出的其它应答和承诺。</w:t>
      </w:r>
    </w:p>
    <w:p>
      <w:pPr>
        <w:rPr>
          <w:rFonts w:hint="eastAsia" w:ascii="宋体" w:hAnsi="宋体" w:eastAsia="宋体" w:cs="宋体"/>
          <w:color w:val="auto"/>
          <w:highlight w:val="none"/>
        </w:rPr>
      </w:pPr>
    </w:p>
    <w:p>
      <w:pPr>
        <w:pStyle w:val="5"/>
        <w:keepNext w:val="0"/>
        <w:keepLines w:val="0"/>
        <w:spacing w:before="0" w:after="0" w:line="400" w:lineRule="exact"/>
        <w:ind w:firstLine="490" w:firstLineChars="200"/>
        <w:rPr>
          <w:rFonts w:hint="eastAsia" w:ascii="宋体" w:hAnsi="宋体" w:eastAsia="宋体" w:cs="宋体"/>
          <w:bCs w:val="0"/>
          <w:color w:val="auto"/>
          <w:sz w:val="24"/>
          <w:highlight w:val="none"/>
        </w:rPr>
      </w:pPr>
      <w:bookmarkStart w:id="91" w:name="_Toc4616444"/>
      <w:r>
        <w:rPr>
          <w:rFonts w:hint="eastAsia" w:ascii="宋体" w:hAnsi="宋体" w:eastAsia="宋体" w:cs="宋体"/>
          <w:bCs w:val="0"/>
          <w:color w:val="auto"/>
          <w:sz w:val="24"/>
          <w:highlight w:val="none"/>
        </w:rPr>
        <w:t>14.响应文件的语言</w:t>
      </w:r>
      <w:bookmarkEnd w:id="87"/>
      <w:bookmarkEnd w:id="88"/>
      <w:bookmarkEnd w:id="89"/>
      <w:r>
        <w:rPr>
          <w:rFonts w:hint="eastAsia" w:ascii="宋体" w:hAnsi="宋体" w:eastAsia="宋体" w:cs="宋体"/>
          <w:bCs w:val="0"/>
          <w:color w:val="auto"/>
          <w:sz w:val="24"/>
          <w:highlight w:val="none"/>
        </w:rPr>
        <w:t>（实质性要求）</w:t>
      </w:r>
      <w:bookmarkEnd w:id="91"/>
    </w:p>
    <w:p>
      <w:pPr>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 供应商提交的响应文件以及供应商与采购人、采购代理机构就有关报价的所有来往书面文件均须使用中文。响应文件中如附有外文资料，须逐一对应翻译成中文并加盖供应商公章后附在相关外文资料后面。（说明：供应商的法定代表人为外籍人士的，法定代表人的签字和护照除外。）</w:t>
      </w:r>
    </w:p>
    <w:p>
      <w:pPr>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 翻译的中文资料与外文资料如果出现差异和矛盾，以中文为准。但不能故意错误翻译，否则，供应商的响应文件将作为无效处理。</w:t>
      </w:r>
    </w:p>
    <w:p>
      <w:pPr>
        <w:rPr>
          <w:rFonts w:hint="eastAsia" w:ascii="宋体" w:hAnsi="宋体" w:eastAsia="宋体" w:cs="宋体"/>
          <w:color w:val="auto"/>
          <w:highlight w:val="none"/>
        </w:rPr>
      </w:pPr>
      <w:bookmarkStart w:id="92" w:name="_Toc183682353"/>
      <w:bookmarkStart w:id="93" w:name="_Toc217446044"/>
      <w:bookmarkStart w:id="94" w:name="_Toc183582216"/>
    </w:p>
    <w:p>
      <w:pPr>
        <w:pStyle w:val="5"/>
        <w:keepNext w:val="0"/>
        <w:keepLines w:val="0"/>
        <w:spacing w:before="0" w:after="0" w:line="400" w:lineRule="exact"/>
        <w:ind w:firstLine="490" w:firstLineChars="200"/>
        <w:rPr>
          <w:rFonts w:hint="eastAsia" w:ascii="宋体" w:hAnsi="宋体" w:eastAsia="宋体" w:cs="宋体"/>
          <w:color w:val="auto"/>
          <w:sz w:val="24"/>
          <w:highlight w:val="none"/>
        </w:rPr>
      </w:pPr>
      <w:bookmarkStart w:id="95" w:name="_Toc4616445"/>
      <w:r>
        <w:rPr>
          <w:rFonts w:hint="eastAsia" w:ascii="宋体" w:hAnsi="宋体" w:eastAsia="宋体" w:cs="宋体"/>
          <w:color w:val="auto"/>
          <w:sz w:val="24"/>
          <w:highlight w:val="none"/>
        </w:rPr>
        <w:t>15.计量单位</w:t>
      </w:r>
      <w:bookmarkEnd w:id="92"/>
      <w:bookmarkEnd w:id="93"/>
      <w:bookmarkEnd w:id="94"/>
      <w:r>
        <w:rPr>
          <w:rFonts w:hint="eastAsia" w:ascii="宋体" w:hAnsi="宋体" w:eastAsia="宋体" w:cs="宋体"/>
          <w:color w:val="auto"/>
          <w:sz w:val="24"/>
          <w:highlight w:val="none"/>
        </w:rPr>
        <w:t>（实质性要求）</w:t>
      </w:r>
      <w:bookmarkEnd w:id="95"/>
    </w:p>
    <w:p>
      <w:pPr>
        <w:spacing w:line="400" w:lineRule="exact"/>
        <w:ind w:firstLine="479"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除谈判文件中另有规定外，本次采购项目所有合同项下的报价均采用国家法定的计量单位。</w:t>
      </w:r>
    </w:p>
    <w:p>
      <w:pPr>
        <w:spacing w:line="400" w:lineRule="exact"/>
        <w:ind w:firstLine="477" w:firstLineChars="195"/>
        <w:outlineLvl w:val="2"/>
        <w:rPr>
          <w:rFonts w:hint="eastAsia" w:ascii="宋体" w:hAnsi="宋体" w:eastAsia="宋体" w:cs="宋体"/>
          <w:b/>
          <w:bCs/>
          <w:color w:val="auto"/>
          <w:sz w:val="24"/>
          <w:highlight w:val="none"/>
        </w:rPr>
      </w:pPr>
      <w:bookmarkStart w:id="96" w:name="_Toc4616446"/>
      <w:bookmarkStart w:id="97" w:name="_Toc217446045"/>
      <w:r>
        <w:rPr>
          <w:rFonts w:hint="eastAsia" w:ascii="宋体" w:hAnsi="宋体" w:eastAsia="宋体" w:cs="宋体"/>
          <w:b/>
          <w:bCs/>
          <w:color w:val="auto"/>
          <w:sz w:val="24"/>
          <w:highlight w:val="none"/>
        </w:rPr>
        <w:t>16.</w:t>
      </w:r>
      <w:r>
        <w:rPr>
          <w:rFonts w:hint="eastAsia" w:ascii="宋体" w:hAnsi="宋体" w:eastAsia="宋体" w:cs="宋体"/>
          <w:b/>
          <w:color w:val="auto"/>
          <w:sz w:val="24"/>
          <w:highlight w:val="none"/>
        </w:rPr>
        <w:t>报价要求</w:t>
      </w:r>
      <w:r>
        <w:rPr>
          <w:rFonts w:hint="eastAsia" w:ascii="宋体" w:hAnsi="宋体" w:eastAsia="宋体" w:cs="宋体"/>
          <w:b/>
          <w:bCs/>
          <w:color w:val="auto"/>
          <w:sz w:val="24"/>
          <w:highlight w:val="none"/>
        </w:rPr>
        <w:t>（实质性要求）</w:t>
      </w:r>
      <w:bookmarkEnd w:id="96"/>
    </w:p>
    <w:p>
      <w:pPr>
        <w:spacing w:line="400" w:lineRule="exact"/>
        <w:ind w:firstLine="477" w:firstLineChars="19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16.1本次谈判项目的</w:t>
      </w:r>
      <w:r>
        <w:rPr>
          <w:rFonts w:hint="eastAsia" w:ascii="宋体" w:hAnsi="宋体" w:eastAsia="宋体" w:cs="宋体"/>
          <w:color w:val="auto"/>
          <w:sz w:val="24"/>
          <w:highlight w:val="none"/>
        </w:rPr>
        <w:t>报价货币为</w:t>
      </w:r>
      <w:r>
        <w:rPr>
          <w:rFonts w:hint="eastAsia" w:ascii="宋体" w:hAnsi="宋体" w:eastAsia="宋体" w:cs="宋体"/>
          <w:bCs/>
          <w:color w:val="auto"/>
          <w:sz w:val="24"/>
          <w:highlight w:val="none"/>
        </w:rPr>
        <w:t>人民币，报价以谈判文件规定为准。</w:t>
      </w:r>
    </w:p>
    <w:p>
      <w:pPr>
        <w:spacing w:line="400" w:lineRule="exact"/>
        <w:ind w:firstLine="477" w:firstLineChars="19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16.2 供应商在响应文件中可不提供报价，在谈判现场由评审委员会通知现场报价（最后报价表格式由采购代理机构现场提供，格式详见第七章）。</w:t>
      </w:r>
      <w:r>
        <w:rPr>
          <w:rFonts w:hint="eastAsia" w:ascii="宋体" w:hAnsi="宋体" w:eastAsia="宋体" w:cs="宋体"/>
          <w:b/>
          <w:bCs/>
          <w:color w:val="auto"/>
          <w:sz w:val="24"/>
          <w:szCs w:val="24"/>
          <w:highlight w:val="none"/>
        </w:rPr>
        <w:t>若响应文件中提供的报价与现场提供的不一致时，以现场提供的为准。</w:t>
      </w:r>
    </w:p>
    <w:p>
      <w:pPr>
        <w:spacing w:line="400" w:lineRule="exact"/>
        <w:ind w:firstLine="477" w:firstLineChars="19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16.3本次谈判采购最后报价采用现场报价，通过资格审查及有效性审查</w:t>
      </w:r>
    </w:p>
    <w:p>
      <w:pPr>
        <w:spacing w:line="400" w:lineRule="exact"/>
        <w:ind w:firstLine="477" w:firstLineChars="19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的供应商按谈判小组要求进行报价。</w:t>
      </w:r>
    </w:p>
    <w:p>
      <w:pPr>
        <w:spacing w:line="400" w:lineRule="exact"/>
        <w:ind w:firstLine="477" w:firstLineChars="19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16.4供应商报价（包括最后报价）应为完成本竞争性谈判文件中所要求的服务所应包括内容的所有价格。</w:t>
      </w:r>
    </w:p>
    <w:p>
      <w:pPr>
        <w:spacing w:line="400" w:lineRule="exact"/>
        <w:ind w:firstLine="477" w:firstLineChars="19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16.5成交供应商的成交价是以最后报价表的报价为准，并以此作为结算的依据。</w:t>
      </w:r>
    </w:p>
    <w:p>
      <w:pPr>
        <w:spacing w:line="400" w:lineRule="exact"/>
        <w:ind w:left="241" w:leftChars="70" w:firstLine="232" w:firstLineChars="95"/>
        <w:rPr>
          <w:rFonts w:hint="eastAsia" w:ascii="宋体" w:hAnsi="宋体" w:eastAsia="宋体" w:cs="宋体"/>
          <w:color w:val="auto"/>
          <w:sz w:val="24"/>
          <w:highlight w:val="none"/>
        </w:rPr>
      </w:pPr>
      <w:r>
        <w:rPr>
          <w:rFonts w:hint="eastAsia" w:ascii="宋体" w:hAnsi="宋体" w:eastAsia="宋体" w:cs="宋体"/>
          <w:bCs/>
          <w:color w:val="auto"/>
          <w:sz w:val="24"/>
          <w:highlight w:val="none"/>
        </w:rPr>
        <w:t>16.6</w:t>
      </w:r>
      <w:r>
        <w:rPr>
          <w:rFonts w:hint="eastAsia" w:ascii="宋体" w:hAnsi="宋体" w:eastAsia="宋体" w:cs="宋体"/>
          <w:color w:val="auto"/>
          <w:sz w:val="24"/>
          <w:highlight w:val="none"/>
        </w:rPr>
        <w:t>谈判人在每一次报价时只允许有一个报价，任何有选择或可调整的报价将不予接受，并按无效谈判处理。</w:t>
      </w:r>
    </w:p>
    <w:p>
      <w:pPr>
        <w:rPr>
          <w:rFonts w:hint="eastAsia" w:ascii="宋体" w:hAnsi="宋体" w:eastAsia="宋体" w:cs="宋体"/>
          <w:color w:val="auto"/>
          <w:highlight w:val="none"/>
        </w:rPr>
      </w:pPr>
    </w:p>
    <w:p>
      <w:pPr>
        <w:spacing w:line="400" w:lineRule="exact"/>
        <w:ind w:left="3" w:leftChars="1" w:firstLine="490" w:firstLineChars="200"/>
        <w:outlineLvl w:val="2"/>
        <w:rPr>
          <w:rFonts w:hint="eastAsia" w:ascii="宋体" w:hAnsi="宋体" w:eastAsia="宋体" w:cs="宋体"/>
          <w:b/>
          <w:bCs/>
          <w:color w:val="auto"/>
          <w:sz w:val="24"/>
          <w:szCs w:val="22"/>
          <w:highlight w:val="none"/>
        </w:rPr>
      </w:pPr>
      <w:bookmarkStart w:id="98" w:name="_Toc4616447"/>
      <w:r>
        <w:rPr>
          <w:rFonts w:hint="eastAsia" w:ascii="宋体" w:hAnsi="宋体" w:eastAsia="宋体" w:cs="宋体"/>
          <w:b/>
          <w:bCs/>
          <w:color w:val="auto"/>
          <w:sz w:val="24"/>
          <w:szCs w:val="22"/>
          <w:highlight w:val="none"/>
        </w:rPr>
        <w:t>17.报价其他注意事项</w:t>
      </w:r>
      <w:bookmarkEnd w:id="98"/>
    </w:p>
    <w:p>
      <w:pPr>
        <w:pStyle w:val="6"/>
        <w:ind w:firstLine="49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竞争性谈判文件内容，由供应商参照谈判文件的要求进行报价。除合同条款中确定遇不可抗力因素外，在项目实施过程中发生的一切事故、问题和可能发生的费用均由供应商自行负责。总报价应包括为完成本项目所发生的所有费用，并承担一切风险责任。</w:t>
      </w:r>
    </w:p>
    <w:p>
      <w:pPr>
        <w:spacing w:line="400" w:lineRule="exact"/>
        <w:ind w:firstLine="477" w:firstLineChars="195"/>
        <w:rPr>
          <w:rFonts w:hint="eastAsia" w:ascii="宋体" w:hAnsi="宋体" w:eastAsia="宋体" w:cs="宋体"/>
          <w:b/>
          <w:bCs/>
          <w:color w:val="auto"/>
          <w:sz w:val="24"/>
          <w:highlight w:val="none"/>
        </w:rPr>
      </w:pPr>
    </w:p>
    <w:bookmarkEnd w:id="97"/>
    <w:p>
      <w:pPr>
        <w:spacing w:line="400" w:lineRule="exact"/>
        <w:ind w:left="3" w:leftChars="1" w:firstLine="490" w:firstLineChars="200"/>
        <w:outlineLvl w:val="2"/>
        <w:rPr>
          <w:rFonts w:hint="eastAsia" w:ascii="宋体" w:hAnsi="宋体" w:eastAsia="宋体" w:cs="宋体"/>
          <w:b/>
          <w:color w:val="auto"/>
          <w:sz w:val="24"/>
          <w:highlight w:val="none"/>
        </w:rPr>
      </w:pPr>
      <w:bookmarkStart w:id="99" w:name="_Toc4616448"/>
      <w:r>
        <w:rPr>
          <w:rFonts w:hint="eastAsia" w:ascii="宋体" w:hAnsi="宋体" w:eastAsia="宋体" w:cs="宋体"/>
          <w:b/>
          <w:color w:val="auto"/>
          <w:sz w:val="24"/>
          <w:highlight w:val="none"/>
        </w:rPr>
        <w:t>18.响应文件格式</w:t>
      </w:r>
      <w:bookmarkEnd w:id="99"/>
    </w:p>
    <w:p>
      <w:pPr>
        <w:spacing w:line="400" w:lineRule="exact"/>
        <w:ind w:left="3" w:leftChars="1"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供应商应执行谈判文件第七章的规定要求。</w:t>
      </w:r>
    </w:p>
    <w:p>
      <w:pPr>
        <w:spacing w:line="400" w:lineRule="exact"/>
        <w:ind w:left="3" w:leftChars="1"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18.2 对于没有格式要求的谈判文件由供应商自行编写。</w:t>
      </w:r>
    </w:p>
    <w:p>
      <w:pPr>
        <w:spacing w:line="400" w:lineRule="exact"/>
        <w:ind w:firstLine="479" w:firstLineChars="196"/>
        <w:rPr>
          <w:rFonts w:hint="eastAsia" w:ascii="宋体" w:hAnsi="宋体" w:eastAsia="宋体" w:cs="宋体"/>
          <w:color w:val="auto"/>
          <w:sz w:val="24"/>
          <w:highlight w:val="none"/>
        </w:rPr>
      </w:pPr>
      <w:bookmarkStart w:id="100" w:name="_Toc183682361"/>
      <w:bookmarkStart w:id="101" w:name="_Toc183582224"/>
      <w:bookmarkStart w:id="102" w:name="_Toc217446051"/>
    </w:p>
    <w:p>
      <w:pPr>
        <w:spacing w:line="400" w:lineRule="exact"/>
        <w:ind w:left="3" w:leftChars="1" w:firstLine="490" w:firstLineChars="200"/>
        <w:outlineLvl w:val="2"/>
        <w:rPr>
          <w:rFonts w:hint="eastAsia" w:ascii="宋体" w:hAnsi="宋体" w:eastAsia="宋体" w:cs="宋体"/>
          <w:b/>
          <w:color w:val="auto"/>
          <w:sz w:val="24"/>
          <w:szCs w:val="22"/>
          <w:highlight w:val="none"/>
        </w:rPr>
      </w:pPr>
      <w:bookmarkStart w:id="103" w:name="_Toc4616449"/>
      <w:r>
        <w:rPr>
          <w:rFonts w:hint="eastAsia" w:ascii="宋体" w:hAnsi="宋体" w:eastAsia="宋体" w:cs="宋体"/>
          <w:b/>
          <w:color w:val="auto"/>
          <w:sz w:val="24"/>
          <w:szCs w:val="22"/>
          <w:highlight w:val="none"/>
        </w:rPr>
        <w:t>19.响应文件的编制和签署</w:t>
      </w:r>
      <w:bookmarkEnd w:id="103"/>
    </w:p>
    <w:p>
      <w:pPr>
        <w:spacing w:line="400" w:lineRule="exact"/>
        <w:rPr>
          <w:rFonts w:hint="eastAsia" w:ascii="宋体" w:hAnsi="宋体" w:eastAsia="宋体" w:cs="宋体"/>
          <w:color w:val="auto"/>
          <w:highlight w:val="none"/>
        </w:rPr>
      </w:pPr>
      <w:r>
        <w:rPr>
          <w:rFonts w:hint="eastAsia" w:ascii="宋体" w:hAnsi="宋体" w:eastAsia="宋体" w:cs="宋体"/>
          <w:bCs/>
          <w:color w:val="auto"/>
          <w:sz w:val="24"/>
          <w:highlight w:val="none"/>
        </w:rPr>
        <w:t xml:space="preserve">    19.1 响应文件分资格、资质性及其他类似效力响应文件、其他响应文件两部分，分册装订。</w:t>
      </w:r>
    </w:p>
    <w:p>
      <w:pPr>
        <w:spacing w:line="400" w:lineRule="exact"/>
        <w:ind w:firstLine="479"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19.2 响应文件正本1份副本2份</w:t>
      </w:r>
      <w:r>
        <w:rPr>
          <w:rFonts w:hint="eastAsia" w:ascii="宋体" w:hAnsi="宋体" w:eastAsia="宋体" w:cs="宋体"/>
          <w:b/>
          <w:bCs/>
          <w:color w:val="auto"/>
          <w:sz w:val="24"/>
          <w:highlight w:val="none"/>
        </w:rPr>
        <w:t>（实质性要求）</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电子文档一份(U盘)</w:t>
      </w:r>
      <w:r>
        <w:rPr>
          <w:rFonts w:hint="eastAsia" w:ascii="宋体" w:hAnsi="宋体" w:eastAsia="宋体" w:cs="宋体"/>
          <w:color w:val="auto"/>
          <w:sz w:val="24"/>
          <w:highlight w:val="none"/>
        </w:rPr>
        <w:t>，并在其封面上清楚地标明采购项目名称、采购项目编号、包件号及名称（若有）、供应商名称以及“正本”或“副本”字样。若正本和副本有不一致的内容，以正本书面响应文件为准。</w:t>
      </w:r>
    </w:p>
    <w:bookmarkEnd w:id="100"/>
    <w:bookmarkEnd w:id="101"/>
    <w:bookmarkEnd w:id="102"/>
    <w:p>
      <w:pPr>
        <w:tabs>
          <w:tab w:val="left" w:pos="1095"/>
        </w:tabs>
        <w:spacing w:line="400" w:lineRule="exact"/>
        <w:ind w:firstLine="469"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19.3 响应文件正本和副本均需打印或用不褪色、不变质的墨水书写，并在规定签章处签字和盖章。响应文件副本可采用正本的复印件，电子文档采用U盘制作。</w:t>
      </w:r>
    </w:p>
    <w:p>
      <w:pPr>
        <w:tabs>
          <w:tab w:val="left" w:pos="1095"/>
        </w:tabs>
        <w:spacing w:line="400" w:lineRule="exact"/>
        <w:ind w:firstLine="469"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19.4响应文件的打印和书写应清楚工整，任何行间插字、涂改或增删，必须由供应商的法定代表人或其授权代表签字并盖供应商公章。字迹潦草、表达不清或可能导致非唯一理解的响应文件可能被作为无效处理。</w:t>
      </w:r>
    </w:p>
    <w:p>
      <w:pPr>
        <w:tabs>
          <w:tab w:val="left" w:pos="1080"/>
        </w:tabs>
        <w:spacing w:line="400" w:lineRule="exact"/>
        <w:ind w:firstLine="469"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19.5响应文件应由供应商法定代表人/主要负责人/本人或其授权代表在响应文件要求的地方签字（或加盖私人印章），要求加盖公章的地方加盖单位公章，不得使用专用章（如经济合同章、谈判专用章等）或下属单位印章代替。</w:t>
      </w:r>
    </w:p>
    <w:p>
      <w:pPr>
        <w:tabs>
          <w:tab w:val="left" w:pos="1080"/>
        </w:tabs>
        <w:spacing w:line="400" w:lineRule="exact"/>
        <w:ind w:firstLine="469"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19.6响应文件正本和副本需要编目编码。</w:t>
      </w:r>
    </w:p>
    <w:p>
      <w:pPr>
        <w:tabs>
          <w:tab w:val="left" w:pos="1080"/>
        </w:tabs>
        <w:spacing w:line="400" w:lineRule="exact"/>
        <w:ind w:firstLine="469"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19.7响应文件不得散装或不得采用活页夹等可随时拆换的方式装订，不得有零散页。根据《关于促进政府采购公平竞争优化营商环境的通知》（财库〔2019〕38号）不得因装订、纸张、文件排序等非实质性的格式、形式问题限制和影响供应商响应。</w:t>
      </w:r>
    </w:p>
    <w:p>
      <w:pPr>
        <w:tabs>
          <w:tab w:val="left" w:pos="1080"/>
        </w:tabs>
        <w:spacing w:line="400" w:lineRule="exact"/>
        <w:ind w:firstLine="469" w:firstLineChars="192"/>
        <w:rPr>
          <w:rFonts w:hint="eastAsia" w:ascii="宋体" w:hAnsi="宋体" w:eastAsia="宋体" w:cs="宋体"/>
          <w:color w:val="auto"/>
          <w:highlight w:val="none"/>
        </w:rPr>
      </w:pPr>
      <w:r>
        <w:rPr>
          <w:rFonts w:hint="eastAsia" w:ascii="宋体" w:hAnsi="宋体" w:eastAsia="宋体" w:cs="宋体"/>
          <w:color w:val="auto"/>
          <w:sz w:val="24"/>
          <w:highlight w:val="none"/>
        </w:rPr>
        <w:t>19.8响应文件正本和副本统一用A4幅面纸印制（图、表及证件可以除外）。</w:t>
      </w:r>
    </w:p>
    <w:p>
      <w:pPr>
        <w:tabs>
          <w:tab w:val="left" w:pos="1080"/>
        </w:tabs>
        <w:spacing w:line="400" w:lineRule="exact"/>
        <w:ind w:firstLine="469" w:firstLineChars="192"/>
        <w:rPr>
          <w:rFonts w:hint="eastAsia" w:ascii="宋体" w:hAnsi="宋体" w:eastAsia="宋体" w:cs="宋体"/>
          <w:b/>
          <w:color w:val="auto"/>
          <w:sz w:val="24"/>
          <w:highlight w:val="none"/>
        </w:rPr>
      </w:pPr>
      <w:r>
        <w:rPr>
          <w:rFonts w:hint="eastAsia" w:ascii="宋体" w:hAnsi="宋体" w:eastAsia="宋体" w:cs="宋体"/>
          <w:color w:val="auto"/>
          <w:sz w:val="24"/>
          <w:highlight w:val="none"/>
        </w:rPr>
        <w:t>19.9</w:t>
      </w:r>
      <w:r>
        <w:rPr>
          <w:rFonts w:hint="eastAsia" w:ascii="宋体" w:hAnsi="宋体" w:eastAsia="宋体" w:cs="宋体"/>
          <w:b/>
          <w:color w:val="auto"/>
          <w:sz w:val="24"/>
          <w:highlight w:val="none"/>
        </w:rPr>
        <w:t>（实质性要求）</w:t>
      </w:r>
      <w:r>
        <w:rPr>
          <w:rFonts w:hint="eastAsia" w:ascii="宋体" w:hAnsi="宋体" w:eastAsia="宋体" w:cs="宋体"/>
          <w:color w:val="auto"/>
          <w:sz w:val="24"/>
          <w:highlight w:val="none"/>
        </w:rPr>
        <w:t>响应文件应根据谈判文件的要求制作，签署、盖章。（按照《四川省政府采购评审工作规程（修订）》规范）</w:t>
      </w:r>
    </w:p>
    <w:p>
      <w:pPr>
        <w:tabs>
          <w:tab w:val="left" w:pos="1080"/>
        </w:tabs>
        <w:spacing w:line="400" w:lineRule="exact"/>
        <w:ind w:firstLine="469" w:firstLineChars="192"/>
        <w:outlineLvl w:val="2"/>
        <w:rPr>
          <w:rFonts w:hint="eastAsia" w:ascii="宋体" w:hAnsi="宋体" w:eastAsia="宋体" w:cs="宋体"/>
          <w:b/>
          <w:color w:val="auto"/>
          <w:sz w:val="24"/>
          <w:highlight w:val="none"/>
        </w:rPr>
      </w:pPr>
      <w:bookmarkStart w:id="104" w:name="_Toc4616450"/>
      <w:bookmarkStart w:id="105" w:name="_Toc183682363"/>
      <w:bookmarkStart w:id="106" w:name="_Toc89075877"/>
      <w:bookmarkStart w:id="107" w:name="_Toc217446053"/>
      <w:bookmarkStart w:id="108" w:name="_Toc183582226"/>
      <w:bookmarkStart w:id="109" w:name="_Toc77400781"/>
      <w:r>
        <w:rPr>
          <w:rFonts w:hint="eastAsia" w:ascii="宋体" w:hAnsi="宋体" w:eastAsia="宋体" w:cs="宋体"/>
          <w:b/>
          <w:color w:val="auto"/>
          <w:sz w:val="24"/>
          <w:highlight w:val="none"/>
        </w:rPr>
        <w:t>20.响应文件的密封和标注（不属于本项目谈判小组评审范畴，由采购代理机构在接收响应文件时及时处理）</w:t>
      </w:r>
      <w:bookmarkEnd w:id="104"/>
    </w:p>
    <w:p>
      <w:pPr>
        <w:tabs>
          <w:tab w:val="left" w:pos="1080"/>
        </w:tabs>
        <w:spacing w:line="400" w:lineRule="exact"/>
        <w:ind w:firstLine="469"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20.1 响应文件可以单独密封包装，也可以所有响应文件密封包装在一个密封袋内。</w:t>
      </w:r>
    </w:p>
    <w:p>
      <w:pPr>
        <w:tabs>
          <w:tab w:val="left" w:pos="1080"/>
        </w:tabs>
        <w:spacing w:line="400" w:lineRule="exact"/>
        <w:ind w:firstLine="469"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20.2 响应文件密封袋的最外层应清楚地标明采购项目名称、采购项目编号、包件号及名称（若有）、供应商名称。</w:t>
      </w:r>
    </w:p>
    <w:p>
      <w:pPr>
        <w:tabs>
          <w:tab w:val="left" w:pos="1080"/>
        </w:tabs>
        <w:spacing w:line="400" w:lineRule="exact"/>
        <w:ind w:firstLine="469"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20.3 所有外层密封袋的封口处应粘贴牢固。</w:t>
      </w:r>
    </w:p>
    <w:p>
      <w:pPr>
        <w:tabs>
          <w:tab w:val="left" w:pos="1080"/>
        </w:tabs>
        <w:spacing w:line="400" w:lineRule="exact"/>
        <w:ind w:firstLine="469"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20.4 未按以上要求进行密封的响应文件，采购人、采购代理机构将拒收或者在时间允许的范围内，要求修改完善后接收。</w:t>
      </w:r>
    </w:p>
    <w:p>
      <w:pPr>
        <w:tabs>
          <w:tab w:val="left" w:pos="1080"/>
        </w:tabs>
        <w:spacing w:line="400" w:lineRule="exact"/>
        <w:ind w:firstLine="469" w:firstLineChars="192"/>
        <w:outlineLvl w:val="2"/>
        <w:rPr>
          <w:rFonts w:hint="eastAsia" w:ascii="宋体" w:hAnsi="宋体" w:eastAsia="宋体" w:cs="宋体"/>
          <w:b/>
          <w:color w:val="auto"/>
          <w:sz w:val="24"/>
          <w:highlight w:val="none"/>
        </w:rPr>
      </w:pPr>
      <w:bookmarkStart w:id="110" w:name="_Toc4616451"/>
      <w:r>
        <w:rPr>
          <w:rFonts w:hint="eastAsia" w:ascii="宋体" w:hAnsi="宋体" w:eastAsia="宋体" w:cs="宋体"/>
          <w:b/>
          <w:color w:val="auto"/>
          <w:sz w:val="24"/>
          <w:highlight w:val="none"/>
        </w:rPr>
        <w:t>21.响应文件的递交</w:t>
      </w:r>
      <w:bookmarkEnd w:id="110"/>
    </w:p>
    <w:p>
      <w:pPr>
        <w:tabs>
          <w:tab w:val="left" w:pos="1080"/>
        </w:tabs>
        <w:spacing w:line="400" w:lineRule="exact"/>
        <w:ind w:firstLine="469"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21.1 响应文件应于递交响应文件截止时间前送达指定地点，采购代理机构拒绝接收截止时间后送达的响应文件。谈判供应商应在竞争性谈判文件规定的谈判截止时间前，将响应文件按竞争性谈判文件规定要求密封后送达谈判地点。未按照以上要求递交响应文件将被拒绝接收，响应文件递交截止时间以后送达的响应文件将被拒绝接收。</w:t>
      </w:r>
    </w:p>
    <w:p>
      <w:pPr>
        <w:tabs>
          <w:tab w:val="left" w:pos="1080"/>
        </w:tabs>
        <w:spacing w:line="400" w:lineRule="exact"/>
        <w:ind w:firstLine="469"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21.2 采购代理机构将向通过资格审查的供应商发出谈判邀请；告知未通过资格审查的供应商未通过的原因。</w:t>
      </w:r>
    </w:p>
    <w:p>
      <w:pPr>
        <w:tabs>
          <w:tab w:val="left" w:pos="1080"/>
        </w:tabs>
        <w:spacing w:line="400" w:lineRule="exact"/>
        <w:ind w:firstLine="469"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21.3 最后报价表在谈判后，谈判小组要求供应商进行最后报价时递交。</w:t>
      </w:r>
    </w:p>
    <w:p>
      <w:pPr>
        <w:tabs>
          <w:tab w:val="left" w:pos="1080"/>
        </w:tabs>
        <w:spacing w:line="400" w:lineRule="exact"/>
        <w:ind w:firstLine="469"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21.4 本次采购不接收邮寄的响应文件</w:t>
      </w:r>
      <w:bookmarkEnd w:id="105"/>
      <w:bookmarkEnd w:id="106"/>
      <w:bookmarkEnd w:id="107"/>
      <w:bookmarkEnd w:id="108"/>
      <w:bookmarkEnd w:id="109"/>
      <w:bookmarkStart w:id="111" w:name="_Toc183582228"/>
      <w:bookmarkStart w:id="112" w:name="_Toc217446055"/>
      <w:bookmarkStart w:id="113" w:name="_Toc183682365"/>
      <w:r>
        <w:rPr>
          <w:rFonts w:hint="eastAsia" w:ascii="宋体" w:hAnsi="宋体" w:eastAsia="宋体" w:cs="宋体"/>
          <w:color w:val="auto"/>
          <w:sz w:val="24"/>
          <w:highlight w:val="none"/>
        </w:rPr>
        <w:t>。</w:t>
      </w:r>
    </w:p>
    <w:p>
      <w:pPr>
        <w:tabs>
          <w:tab w:val="left" w:pos="1080"/>
        </w:tabs>
        <w:spacing w:line="400" w:lineRule="exact"/>
        <w:ind w:firstLine="469" w:firstLineChars="192"/>
        <w:outlineLvl w:val="2"/>
        <w:rPr>
          <w:rFonts w:hint="eastAsia" w:ascii="宋体" w:hAnsi="宋体" w:eastAsia="宋体" w:cs="宋体"/>
          <w:b/>
          <w:color w:val="auto"/>
          <w:sz w:val="24"/>
          <w:highlight w:val="none"/>
        </w:rPr>
      </w:pPr>
      <w:bookmarkStart w:id="114" w:name="_Toc4616452"/>
      <w:r>
        <w:rPr>
          <w:rFonts w:hint="eastAsia" w:ascii="宋体" w:hAnsi="宋体" w:eastAsia="宋体" w:cs="宋体"/>
          <w:b/>
          <w:color w:val="auto"/>
          <w:sz w:val="24"/>
          <w:highlight w:val="none"/>
        </w:rPr>
        <w:t>22.响应文件的修改和撤回（补充、修改响应文件的密封和标注按照本章“20.响应文件的密封和标注”规定处理）</w:t>
      </w:r>
      <w:bookmarkEnd w:id="114"/>
    </w:p>
    <w:p>
      <w:pPr>
        <w:pStyle w:val="6"/>
        <w:spacing w:line="400" w:lineRule="exact"/>
        <w:ind w:firstLine="490"/>
        <w:rPr>
          <w:rFonts w:hint="eastAsia" w:ascii="宋体" w:hAnsi="宋体" w:eastAsia="宋体" w:cs="宋体"/>
          <w:color w:val="auto"/>
          <w:sz w:val="24"/>
          <w:highlight w:val="none"/>
        </w:rPr>
      </w:pPr>
      <w:r>
        <w:rPr>
          <w:rFonts w:hint="eastAsia" w:ascii="宋体" w:hAnsi="宋体" w:eastAsia="宋体" w:cs="宋体"/>
          <w:color w:val="auto"/>
          <w:sz w:val="24"/>
          <w:highlight w:val="none"/>
        </w:rPr>
        <w:t>22.1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22.2供应商对响应文件修改的书面材料或撤回的通知应该按规定进行编写、密封、标注和递送，并注明“修改响应文件”字样。</w:t>
      </w:r>
    </w:p>
    <w:p>
      <w:pPr>
        <w:adjustRightInd w:val="0"/>
        <w:snapToGrid w:val="0"/>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 供应商不得在递交截止时间起至响应文件有效期期满前撤回其响应文件（已提交响应文件的供应商，在提交最后报价之前，根据谈判情况退出谈判的除外）。否则其谈判保证金将按“第二章总则7.6”的相关规定被没收</w:t>
      </w:r>
      <w:r>
        <w:rPr>
          <w:rFonts w:hint="eastAsia" w:ascii="宋体" w:hAnsi="宋体" w:eastAsia="宋体" w:cs="宋体"/>
          <w:b/>
          <w:bCs/>
          <w:color w:val="auto"/>
          <w:sz w:val="24"/>
          <w:highlight w:val="none"/>
        </w:rPr>
        <w:t>（如涉及）</w:t>
      </w:r>
      <w:r>
        <w:rPr>
          <w:rFonts w:hint="eastAsia" w:ascii="宋体" w:hAnsi="宋体" w:eastAsia="宋体" w:cs="宋体"/>
          <w:color w:val="auto"/>
          <w:sz w:val="24"/>
          <w:highlight w:val="none"/>
        </w:rPr>
        <w:t>。</w:t>
      </w:r>
    </w:p>
    <w:p>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22.4 响应文件中报价如果出现下列不一致的，可按以下原则进行修改：</w:t>
      </w:r>
    </w:p>
    <w:p>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（一）大写金额和小写金额不一致的，以大写金额为准，但大写金额文字存在错误的，应当先对大写金额的文字错误进行澄清、说明或者更正，再行修正。</w:t>
      </w:r>
    </w:p>
    <w:p>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（二）总价金额与按单价汇总金额不一致的，以单价金额计算结果为准，但单价或者单价汇总金额存在数字或者文字错误的，应当先对数字或者文字错误进行澄清、说明或者更正，再行修正。</w:t>
      </w:r>
    </w:p>
    <w:p>
      <w:pPr>
        <w:adjustRightInd w:val="0"/>
        <w:snapToGrid w:val="0"/>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（三）单价金额小数点或者百分比有明显错位的，以总价为准，修正单价。</w:t>
      </w:r>
    </w:p>
    <w:p>
      <w:pPr>
        <w:adjustRightInd w:val="0"/>
        <w:snapToGrid w:val="0"/>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22.5 供应商对其提交的响应文件的真实性、合法性承担法律责任。</w:t>
      </w:r>
      <w:bookmarkEnd w:id="111"/>
      <w:bookmarkEnd w:id="112"/>
      <w:bookmarkEnd w:id="113"/>
    </w:p>
    <w:p>
      <w:pPr>
        <w:tabs>
          <w:tab w:val="left" w:pos="1080"/>
        </w:tabs>
        <w:spacing w:line="400" w:lineRule="exact"/>
        <w:ind w:firstLine="469" w:firstLineChars="192"/>
        <w:rPr>
          <w:rFonts w:hint="eastAsia" w:ascii="宋体" w:hAnsi="宋体" w:eastAsia="宋体" w:cs="宋体"/>
          <w:color w:val="auto"/>
          <w:sz w:val="24"/>
          <w:highlight w:val="none"/>
        </w:rPr>
      </w:pPr>
    </w:p>
    <w:p>
      <w:pPr>
        <w:pStyle w:val="4"/>
        <w:keepNext w:val="0"/>
        <w:keepLines w:val="0"/>
        <w:spacing w:line="400" w:lineRule="exact"/>
        <w:jc w:val="center"/>
        <w:rPr>
          <w:rFonts w:hint="eastAsia" w:ascii="宋体" w:hAnsi="宋体" w:eastAsia="宋体" w:cs="宋体"/>
          <w:color w:val="auto"/>
          <w:highlight w:val="none"/>
        </w:rPr>
      </w:pPr>
      <w:bookmarkStart w:id="115" w:name="_Toc4616453"/>
      <w:r>
        <w:rPr>
          <w:rFonts w:hint="eastAsia" w:ascii="宋体" w:hAnsi="宋体" w:eastAsia="宋体" w:cs="宋体"/>
          <w:color w:val="auto"/>
          <w:highlight w:val="none"/>
        </w:rPr>
        <w:t>五、评审</w:t>
      </w:r>
      <w:bookmarkEnd w:id="115"/>
    </w:p>
    <w:p>
      <w:pPr>
        <w:pStyle w:val="5"/>
        <w:keepNext w:val="0"/>
        <w:keepLines w:val="0"/>
        <w:spacing w:line="400" w:lineRule="exact"/>
        <w:ind w:firstLine="490" w:firstLineChars="200"/>
        <w:rPr>
          <w:rFonts w:hint="eastAsia" w:ascii="宋体" w:hAnsi="宋体" w:eastAsia="宋体" w:cs="宋体"/>
          <w:color w:val="auto"/>
          <w:sz w:val="24"/>
          <w:szCs w:val="24"/>
          <w:highlight w:val="none"/>
        </w:rPr>
      </w:pPr>
      <w:bookmarkStart w:id="116" w:name="_Toc4616454"/>
      <w:r>
        <w:rPr>
          <w:rFonts w:hint="eastAsia" w:ascii="宋体" w:hAnsi="宋体" w:eastAsia="宋体" w:cs="宋体"/>
          <w:color w:val="auto"/>
          <w:sz w:val="24"/>
          <w:szCs w:val="24"/>
          <w:highlight w:val="none"/>
        </w:rPr>
        <w:t>23.谈判小组的组建及其评审工作按照有关法律制度和本文件第八章的规定进行。</w:t>
      </w:r>
      <w:bookmarkEnd w:id="116"/>
    </w:p>
    <w:p>
      <w:pPr>
        <w:pStyle w:val="4"/>
        <w:keepNext w:val="0"/>
        <w:keepLines w:val="0"/>
        <w:spacing w:line="400" w:lineRule="exact"/>
        <w:jc w:val="center"/>
        <w:rPr>
          <w:rFonts w:hint="eastAsia" w:ascii="宋体" w:hAnsi="宋体" w:eastAsia="宋体" w:cs="宋体"/>
          <w:color w:val="auto"/>
          <w:highlight w:val="none"/>
        </w:rPr>
      </w:pPr>
      <w:bookmarkStart w:id="117" w:name="_Toc4616455"/>
      <w:r>
        <w:rPr>
          <w:rFonts w:hint="eastAsia" w:ascii="宋体" w:hAnsi="宋体" w:eastAsia="宋体" w:cs="宋体"/>
          <w:color w:val="auto"/>
          <w:highlight w:val="none"/>
        </w:rPr>
        <w:t>六、成交事项</w:t>
      </w:r>
      <w:bookmarkEnd w:id="117"/>
    </w:p>
    <w:p>
      <w:pPr>
        <w:pStyle w:val="5"/>
        <w:keepNext w:val="0"/>
        <w:keepLines w:val="0"/>
        <w:spacing w:before="0" w:after="0" w:line="400" w:lineRule="exact"/>
        <w:ind w:firstLine="490" w:firstLineChars="200"/>
        <w:rPr>
          <w:rFonts w:hint="eastAsia" w:ascii="宋体" w:hAnsi="宋体" w:eastAsia="宋体" w:cs="宋体"/>
          <w:color w:val="auto"/>
          <w:sz w:val="24"/>
          <w:szCs w:val="24"/>
          <w:highlight w:val="none"/>
        </w:rPr>
      </w:pPr>
      <w:bookmarkStart w:id="118" w:name="_Toc4616456"/>
      <w:r>
        <w:rPr>
          <w:rFonts w:hint="eastAsia" w:ascii="宋体" w:hAnsi="宋体" w:eastAsia="宋体" w:cs="宋体"/>
          <w:color w:val="auto"/>
          <w:sz w:val="24"/>
          <w:szCs w:val="24"/>
          <w:highlight w:val="none"/>
        </w:rPr>
        <w:t>24.确定成交供应商</w:t>
      </w:r>
      <w:bookmarkEnd w:id="118"/>
    </w:p>
    <w:p>
      <w:pPr>
        <w:spacing w:line="400" w:lineRule="exact"/>
        <w:ind w:firstLine="49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方式一：采购人将按谈判小组推荐的成交候选供应商顺序确定成交供应商。</w:t>
      </w:r>
    </w:p>
    <w:p>
      <w:pPr>
        <w:spacing w:line="400" w:lineRule="exact"/>
        <w:ind w:firstLine="49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方式二：采购人授权谈判小组根据供应商最后报价排名直接确定成交供应商。</w:t>
      </w:r>
    </w:p>
    <w:p>
      <w:pPr>
        <w:spacing w:line="400" w:lineRule="exact"/>
        <w:ind w:firstLine="490" w:firstLineChars="200"/>
        <w:rPr>
          <w:rFonts w:hint="eastAsia" w:ascii="宋体" w:hAnsi="宋体" w:eastAsia="宋体" w:cs="宋体"/>
          <w:color w:val="auto"/>
          <w:highlight w:val="none"/>
        </w:rPr>
      </w:pPr>
      <w:r>
        <w:rPr>
          <w:rFonts w:hint="eastAsia" w:ascii="宋体" w:hAnsi="宋体" w:eastAsia="宋体" w:cs="宋体"/>
          <w:bCs/>
          <w:color w:val="auto"/>
          <w:sz w:val="24"/>
          <w:szCs w:val="24"/>
          <w:highlight w:val="none"/>
        </w:rPr>
        <w:t>本项目采用</w:t>
      </w:r>
      <w:r>
        <w:rPr>
          <w:rFonts w:hint="eastAsia" w:ascii="宋体" w:hAnsi="宋体" w:eastAsia="宋体" w:cs="宋体"/>
          <w:bCs/>
          <w:color w:val="auto"/>
          <w:sz w:val="24"/>
          <w:szCs w:val="24"/>
          <w:highlight w:val="none"/>
          <w:u w:val="single"/>
        </w:rPr>
        <w:t>方式一</w:t>
      </w:r>
      <w:r>
        <w:rPr>
          <w:rFonts w:hint="eastAsia" w:ascii="宋体" w:hAnsi="宋体" w:eastAsia="宋体" w:cs="宋体"/>
          <w:bCs/>
          <w:color w:val="auto"/>
          <w:sz w:val="24"/>
          <w:szCs w:val="24"/>
          <w:highlight w:val="none"/>
        </w:rPr>
        <w:t>确定成交供应商。</w:t>
      </w:r>
    </w:p>
    <w:p>
      <w:pPr>
        <w:spacing w:line="400" w:lineRule="exact"/>
        <w:ind w:firstLine="49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24.1采购代理机构自评审结束后2个工作日内将谈判报告及有关资料送交采购人确定成交供应商。</w:t>
      </w:r>
    </w:p>
    <w:p>
      <w:pPr>
        <w:spacing w:line="400" w:lineRule="exact"/>
        <w:ind w:firstLine="49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24.2采购人收到谈判报告及有关资料后，将在5个工作日内按照谈判报告中推荐的成交候选供应商顺序确定成交供应商。成交候选供应商并列的，采购人自主采取公平、择优的方式选择成交供应商。采购人逾期未确定成交供应商且不提出异议的，视为确定谈判报告提出的排序第一的供应商为成交供应商。</w:t>
      </w:r>
    </w:p>
    <w:p>
      <w:pPr>
        <w:spacing w:line="400" w:lineRule="exact"/>
        <w:ind w:firstLine="49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24.3采购人确定成交供应商过程中，发现成交候选供应商有下列情形之一的，应当不予确定其为成交供应商：</w:t>
      </w:r>
    </w:p>
    <w:p>
      <w:pPr>
        <w:spacing w:line="400" w:lineRule="exact"/>
        <w:ind w:firstLine="49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（1）发现成交候选供应商存在禁止参加本项目采购活动的违法行为的；</w:t>
      </w:r>
    </w:p>
    <w:p>
      <w:pPr>
        <w:spacing w:line="400" w:lineRule="exact"/>
        <w:ind w:firstLine="49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（2）成交候选供应商因不可抗力，不能继续参加政府采购活动。</w:t>
      </w:r>
    </w:p>
    <w:p>
      <w:pPr>
        <w:spacing w:line="400" w:lineRule="exact"/>
        <w:ind w:firstLine="49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（3）成交候选供应商无偿赠与或者低于成本价竞争；</w:t>
      </w:r>
    </w:p>
    <w:p>
      <w:pPr>
        <w:spacing w:line="400" w:lineRule="exact"/>
        <w:ind w:firstLine="49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（4）成交候选供应商提供虚假材料；</w:t>
      </w:r>
    </w:p>
    <w:p>
      <w:pPr>
        <w:spacing w:line="400" w:lineRule="exact"/>
        <w:ind w:firstLine="49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（5）成交候选供应商恶意串通。</w:t>
      </w:r>
    </w:p>
    <w:p>
      <w:pPr>
        <w:spacing w:line="400" w:lineRule="exact"/>
        <w:ind w:firstLine="49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成交候选供应商有本条情形之一的，采购人可以确定后一位成交候选供应商为成交供应商，依次类推。无法确定成交供应商的，应当重新组织采购。</w:t>
      </w:r>
    </w:p>
    <w:p>
      <w:pPr>
        <w:pStyle w:val="5"/>
        <w:keepNext w:val="0"/>
        <w:keepLines w:val="0"/>
        <w:spacing w:after="0" w:line="400" w:lineRule="exact"/>
        <w:ind w:firstLine="490" w:firstLineChars="200"/>
        <w:rPr>
          <w:rFonts w:hint="eastAsia" w:ascii="宋体" w:hAnsi="宋体" w:eastAsia="宋体" w:cs="宋体"/>
          <w:color w:val="auto"/>
          <w:sz w:val="24"/>
          <w:szCs w:val="24"/>
          <w:highlight w:val="none"/>
        </w:rPr>
      </w:pPr>
      <w:bookmarkStart w:id="119" w:name="_Toc1473"/>
      <w:bookmarkStart w:id="120" w:name="_Toc4616457"/>
      <w:r>
        <w:rPr>
          <w:rFonts w:hint="eastAsia" w:ascii="宋体" w:hAnsi="宋体" w:eastAsia="宋体" w:cs="宋体"/>
          <w:color w:val="auto"/>
          <w:sz w:val="24"/>
          <w:szCs w:val="24"/>
          <w:highlight w:val="none"/>
        </w:rPr>
        <w:t>25.行贿犯罪</w:t>
      </w:r>
      <w:bookmarkEnd w:id="119"/>
      <w:r>
        <w:rPr>
          <w:rFonts w:hint="eastAsia" w:ascii="宋体" w:hAnsi="宋体" w:eastAsia="宋体" w:cs="宋体"/>
          <w:color w:val="auto"/>
          <w:sz w:val="24"/>
          <w:szCs w:val="24"/>
          <w:highlight w:val="none"/>
        </w:rPr>
        <w:t>记录及</w:t>
      </w:r>
      <w:r>
        <w:rPr>
          <w:rFonts w:hint="eastAsia" w:ascii="宋体" w:hAnsi="宋体" w:eastAsia="宋体" w:cs="宋体"/>
          <w:bCs w:val="0"/>
          <w:color w:val="auto"/>
          <w:sz w:val="24"/>
          <w:szCs w:val="24"/>
          <w:highlight w:val="none"/>
        </w:rPr>
        <w:t>信用信息查询</w:t>
      </w:r>
      <w:bookmarkEnd w:id="120"/>
    </w:p>
    <w:p>
      <w:pPr>
        <w:spacing w:line="400" w:lineRule="exact"/>
        <w:ind w:firstLine="49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25.1</w:t>
      </w:r>
      <w:r>
        <w:rPr>
          <w:rFonts w:hint="eastAsia" w:ascii="宋体" w:hAnsi="宋体" w:eastAsia="宋体" w:cs="宋体"/>
          <w:bCs/>
          <w:color w:val="auto"/>
          <w:sz w:val="24"/>
          <w:szCs w:val="24"/>
          <w:highlight w:val="none"/>
          <w:lang w:val="en-US" w:eastAsia="zh-CN"/>
        </w:rPr>
        <w:t>成交</w:t>
      </w:r>
      <w:r>
        <w:rPr>
          <w:rFonts w:hint="eastAsia" w:ascii="宋体" w:hAnsi="宋体" w:eastAsia="宋体" w:cs="宋体"/>
          <w:bCs/>
          <w:color w:val="auto"/>
          <w:sz w:val="24"/>
          <w:szCs w:val="24"/>
          <w:highlight w:val="none"/>
        </w:rPr>
        <w:t>候选供应商单位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spacing w:line="400" w:lineRule="exact"/>
        <w:ind w:firstLine="49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25.2.供应商信用信息查询</w:t>
      </w:r>
    </w:p>
    <w:p>
      <w:pPr>
        <w:spacing w:line="400" w:lineRule="exact"/>
        <w:ind w:firstLine="48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25.2.1 供应商信用信息查询渠道：</w:t>
      </w:r>
    </w:p>
    <w:p>
      <w:pPr>
        <w:spacing w:line="400" w:lineRule="exact"/>
        <w:ind w:firstLine="48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“信用中国”、“中国政府采购网”</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四川政府采购网</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highlight w:val="none"/>
        </w:rPr>
        <w:t>成都信用”</w:t>
      </w:r>
      <w:r>
        <w:rPr>
          <w:rFonts w:hint="eastAsia" w:ascii="宋体" w:hAnsi="宋体" w:eastAsia="宋体" w:cs="宋体"/>
          <w:bCs/>
          <w:color w:val="auto"/>
          <w:sz w:val="24"/>
          <w:szCs w:val="24"/>
          <w:highlight w:val="none"/>
        </w:rPr>
        <w:t>网站</w:t>
      </w:r>
    </w:p>
    <w:p>
      <w:pPr>
        <w:spacing w:line="400" w:lineRule="exact"/>
        <w:ind w:firstLine="48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25.2.2 供应商信用信息查询截止时间</w:t>
      </w:r>
    </w:p>
    <w:p>
      <w:pPr>
        <w:spacing w:line="400" w:lineRule="exact"/>
        <w:ind w:firstLine="48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信用信息查询在</w:t>
      </w:r>
      <w:r>
        <w:rPr>
          <w:rFonts w:hint="eastAsia" w:ascii="宋体" w:hAnsi="宋体" w:eastAsia="宋体" w:cs="宋体"/>
          <w:bCs/>
          <w:color w:val="auto"/>
          <w:sz w:val="24"/>
          <w:szCs w:val="24"/>
          <w:highlight w:val="none"/>
          <w:lang w:eastAsia="zh-CN"/>
        </w:rPr>
        <w:t>响应文件递交</w:t>
      </w:r>
      <w:r>
        <w:rPr>
          <w:rFonts w:hint="eastAsia" w:ascii="宋体" w:hAnsi="宋体" w:eastAsia="宋体" w:cs="宋体"/>
          <w:bCs/>
          <w:color w:val="auto"/>
          <w:sz w:val="24"/>
          <w:szCs w:val="24"/>
          <w:highlight w:val="none"/>
        </w:rPr>
        <w:t>截止时间当日。</w:t>
      </w:r>
    </w:p>
    <w:p>
      <w:pPr>
        <w:spacing w:line="400" w:lineRule="exact"/>
        <w:ind w:firstLine="48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25.2.3 供应商信用信息查询记录和证据留存的具体方式：</w:t>
      </w:r>
    </w:p>
    <w:p>
      <w:pPr>
        <w:spacing w:line="400" w:lineRule="exact"/>
        <w:ind w:firstLine="48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采购代理机构通过“信用中国”、“中国政府采购网”</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四川政府采购网</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highlight w:val="none"/>
        </w:rPr>
        <w:t>成都信用”</w:t>
      </w:r>
      <w:r>
        <w:rPr>
          <w:rFonts w:hint="eastAsia" w:ascii="宋体" w:hAnsi="宋体" w:eastAsia="宋体" w:cs="宋体"/>
          <w:bCs/>
          <w:color w:val="auto"/>
          <w:sz w:val="24"/>
          <w:szCs w:val="24"/>
          <w:highlight w:val="none"/>
        </w:rPr>
        <w:t>网站对供应商进行信用记录查询，并将查询记录存档。</w:t>
      </w:r>
    </w:p>
    <w:p>
      <w:pPr>
        <w:spacing w:line="400" w:lineRule="exact"/>
        <w:ind w:firstLine="48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25.2.4非企业参与谈判的无需查询。</w:t>
      </w:r>
    </w:p>
    <w:p>
      <w:pPr>
        <w:spacing w:line="400" w:lineRule="exact"/>
        <w:ind w:firstLine="48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25.2.5供应商信用信息的使用：凡被列入失信被执行人、重大税收违法案件当事人名单、政府采购严重违法失信行为记录名单的，视为存在不良信用记录，参与本项目的将被拒绝。</w:t>
      </w:r>
    </w:p>
    <w:p>
      <w:pPr>
        <w:rPr>
          <w:rFonts w:hint="eastAsia" w:ascii="宋体" w:hAnsi="宋体" w:eastAsia="宋体" w:cs="宋体"/>
          <w:color w:val="auto"/>
          <w:highlight w:val="none"/>
        </w:rPr>
      </w:pPr>
    </w:p>
    <w:p>
      <w:pPr>
        <w:pStyle w:val="5"/>
        <w:keepNext w:val="0"/>
        <w:keepLines w:val="0"/>
        <w:spacing w:before="0" w:after="0" w:line="400" w:lineRule="exact"/>
        <w:ind w:firstLine="490" w:firstLineChars="200"/>
        <w:rPr>
          <w:rFonts w:hint="eastAsia" w:ascii="宋体" w:hAnsi="宋体" w:eastAsia="宋体" w:cs="宋体"/>
          <w:color w:val="auto"/>
          <w:sz w:val="24"/>
          <w:szCs w:val="24"/>
          <w:highlight w:val="none"/>
        </w:rPr>
      </w:pPr>
      <w:bookmarkStart w:id="121" w:name="_Toc4616458"/>
      <w:r>
        <w:rPr>
          <w:rFonts w:hint="eastAsia" w:ascii="宋体" w:hAnsi="宋体" w:eastAsia="宋体" w:cs="宋体"/>
          <w:color w:val="auto"/>
          <w:sz w:val="24"/>
          <w:szCs w:val="24"/>
          <w:highlight w:val="none"/>
        </w:rPr>
        <w:t>26.成交结果</w:t>
      </w:r>
      <w:bookmarkEnd w:id="121"/>
    </w:p>
    <w:p>
      <w:pPr>
        <w:spacing w:line="400" w:lineRule="exact"/>
        <w:ind w:firstLine="49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26.1采购人确定成交供应商后，将及时书面通知采购代理机构，发出成交通知书并发布成交结果公告。</w:t>
      </w:r>
    </w:p>
    <w:p>
      <w:pPr>
        <w:spacing w:line="400" w:lineRule="exact"/>
        <w:ind w:firstLine="49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26.2成交供应商应当及时领取成交通知书。本项目需要交纳履约保证金的，成交供应商应当及时向采购人交纳（如涉及）。</w:t>
      </w:r>
    </w:p>
    <w:p>
      <w:pPr>
        <w:spacing w:line="400" w:lineRule="exact"/>
        <w:ind w:firstLine="49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26.3成交供应商不能及时领取成交通知书，采购人或者采购代理机构应当通过邮寄、快递等方式将项目成交通知书送达成交供应商。</w:t>
      </w:r>
    </w:p>
    <w:p>
      <w:pPr>
        <w:ind w:firstLine="490" w:firstLineChars="200"/>
        <w:rPr>
          <w:rFonts w:hint="eastAsia" w:ascii="宋体" w:hAnsi="宋体" w:eastAsia="宋体" w:cs="宋体"/>
          <w:color w:val="auto"/>
          <w:sz w:val="24"/>
          <w:highlight w:val="none"/>
        </w:rPr>
      </w:pPr>
    </w:p>
    <w:p>
      <w:pPr>
        <w:pStyle w:val="5"/>
        <w:keepNext w:val="0"/>
        <w:keepLines w:val="0"/>
        <w:spacing w:before="0" w:after="0" w:line="400" w:lineRule="exact"/>
        <w:ind w:firstLine="490" w:firstLineChars="200"/>
        <w:rPr>
          <w:rFonts w:hint="eastAsia" w:ascii="宋体" w:hAnsi="宋体" w:eastAsia="宋体" w:cs="宋体"/>
          <w:color w:val="auto"/>
          <w:sz w:val="24"/>
          <w:szCs w:val="24"/>
          <w:highlight w:val="none"/>
        </w:rPr>
      </w:pPr>
      <w:bookmarkStart w:id="122" w:name="_Toc4616459"/>
      <w:r>
        <w:rPr>
          <w:rFonts w:hint="eastAsia" w:ascii="宋体" w:hAnsi="宋体" w:eastAsia="宋体" w:cs="宋体"/>
          <w:color w:val="auto"/>
          <w:sz w:val="24"/>
          <w:szCs w:val="24"/>
          <w:highlight w:val="none"/>
        </w:rPr>
        <w:t>27.成交通知书</w:t>
      </w:r>
      <w:bookmarkEnd w:id="122"/>
    </w:p>
    <w:p>
      <w:pPr>
        <w:spacing w:line="400" w:lineRule="exact"/>
        <w:ind w:firstLine="49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27.1成交通知书为签订政府采购合同的依据之一，是合同的有效组成部分。</w:t>
      </w:r>
    </w:p>
    <w:p>
      <w:pPr>
        <w:spacing w:line="400" w:lineRule="exact"/>
        <w:ind w:firstLine="49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27.2成交通知书对采购人和成交供应商均具有法律效力。成交通知书发出后，采购人无正当理由改变成交结果，或者成交供应商无正当理由放弃成交的，将承担相应的法律责任。</w:t>
      </w:r>
    </w:p>
    <w:p>
      <w:pPr>
        <w:spacing w:line="400" w:lineRule="exact"/>
        <w:ind w:firstLine="490" w:firstLineChars="200"/>
        <w:rPr>
          <w:rFonts w:hint="eastAsia" w:ascii="宋体" w:hAnsi="宋体" w:eastAsia="宋体" w:cs="宋体"/>
          <w:bCs/>
          <w:color w:val="auto"/>
          <w:highlight w:val="none"/>
        </w:rPr>
      </w:pPr>
      <w:r>
        <w:rPr>
          <w:rFonts w:hint="eastAsia" w:ascii="宋体" w:hAnsi="宋体" w:eastAsia="宋体" w:cs="宋体"/>
          <w:bCs/>
          <w:color w:val="auto"/>
          <w:sz w:val="24"/>
          <w:szCs w:val="24"/>
          <w:highlight w:val="none"/>
        </w:rPr>
        <w:t>27.3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4"/>
        <w:keepNext w:val="0"/>
        <w:keepLines w:val="0"/>
        <w:spacing w:line="400" w:lineRule="exact"/>
        <w:jc w:val="center"/>
        <w:rPr>
          <w:rFonts w:hint="eastAsia" w:ascii="宋体" w:hAnsi="宋体" w:eastAsia="宋体" w:cs="宋体"/>
          <w:color w:val="auto"/>
          <w:highlight w:val="none"/>
        </w:rPr>
      </w:pPr>
      <w:bookmarkStart w:id="123" w:name="_Toc4616460"/>
      <w:r>
        <w:rPr>
          <w:rFonts w:hint="eastAsia" w:ascii="宋体" w:hAnsi="宋体" w:eastAsia="宋体" w:cs="宋体"/>
          <w:color w:val="auto"/>
          <w:highlight w:val="none"/>
        </w:rPr>
        <w:t>七、合同事项</w:t>
      </w:r>
      <w:bookmarkEnd w:id="123"/>
    </w:p>
    <w:p>
      <w:pPr>
        <w:pStyle w:val="5"/>
        <w:keepNext w:val="0"/>
        <w:keepLines w:val="0"/>
        <w:spacing w:before="0" w:after="0" w:line="400" w:lineRule="exact"/>
        <w:ind w:firstLine="479" w:firstLineChars="196"/>
        <w:rPr>
          <w:rFonts w:hint="eastAsia" w:ascii="宋体" w:hAnsi="宋体" w:eastAsia="宋体" w:cs="宋体"/>
          <w:color w:val="auto"/>
          <w:sz w:val="24"/>
          <w:szCs w:val="24"/>
          <w:highlight w:val="none"/>
        </w:rPr>
      </w:pPr>
      <w:bookmarkStart w:id="124" w:name="_Toc101250646"/>
      <w:bookmarkStart w:id="125" w:name="_Toc101174151"/>
      <w:bookmarkStart w:id="126" w:name="_Toc430773927"/>
      <w:bookmarkStart w:id="127" w:name="_Toc4616461"/>
      <w:bookmarkStart w:id="128" w:name="_Toc209847069"/>
      <w:bookmarkStart w:id="129" w:name="_Toc101338364"/>
      <w:r>
        <w:rPr>
          <w:rFonts w:hint="eastAsia" w:ascii="宋体" w:hAnsi="宋体" w:eastAsia="宋体" w:cs="宋体"/>
          <w:color w:val="auto"/>
          <w:sz w:val="24"/>
          <w:szCs w:val="24"/>
          <w:highlight w:val="none"/>
        </w:rPr>
        <w:t>28.签订合同</w:t>
      </w:r>
      <w:bookmarkEnd w:id="124"/>
      <w:bookmarkEnd w:id="125"/>
      <w:bookmarkEnd w:id="126"/>
      <w:bookmarkEnd w:id="127"/>
      <w:bookmarkEnd w:id="128"/>
      <w:bookmarkEnd w:id="129"/>
    </w:p>
    <w:p>
      <w:pPr>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28.1 成交供应商应在成交通知书发出之日起三十日内与采购人签订采购合同。由于成交供应商的原因逾期未与采购人签订采购合同的，将视为放弃成交，取消其成交资格并将按相关规定进行处理。</w:t>
      </w:r>
    </w:p>
    <w:p>
      <w:pPr>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28.2 谈判文件、成交供应商的响应文件及双方确认的澄清文件等，均为有法律约束力的经济合同的组成部分。</w:t>
      </w:r>
    </w:p>
    <w:p>
      <w:pPr>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28.3 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28.4 成交供应商因不可抗力原因不能履行采购合同或放弃成交的，采购人可以与排在成交供应商之后第一位的成交候选人签订采购合同，以此类推。</w:t>
      </w:r>
    </w:p>
    <w:p>
      <w:pPr>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28.5成交供应商在合同签订之后两个工作日内，将签订的合同（一份）送四川中意招标有限公司。</w:t>
      </w:r>
      <w:r>
        <w:rPr>
          <w:rFonts w:hint="eastAsia" w:ascii="宋体" w:hAnsi="宋体" w:eastAsia="宋体" w:cs="宋体"/>
          <w:b/>
          <w:bCs/>
          <w:color w:val="auto"/>
          <w:sz w:val="24"/>
          <w:highlight w:val="none"/>
        </w:rPr>
        <w:t>(疫情期间，可邮寄。联系人，联系电话等详见供应商须知前附表)</w:t>
      </w:r>
    </w:p>
    <w:p>
      <w:pPr>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28.6 竞争性谈判文件、成交供应商提交的响应文件、谈判中的最后报价、成交供应商承诺书、成交通知书等均称为有法律约束力的合同组成内容。</w:t>
      </w:r>
    </w:p>
    <w:p>
      <w:pPr>
        <w:spacing w:line="400" w:lineRule="exact"/>
        <w:ind w:firstLine="490" w:firstLineChars="200"/>
        <w:rPr>
          <w:rFonts w:hint="eastAsia" w:ascii="宋体" w:hAnsi="宋体" w:eastAsia="宋体" w:cs="宋体"/>
          <w:color w:val="auto"/>
          <w:sz w:val="24"/>
          <w:highlight w:val="none"/>
        </w:rPr>
      </w:pPr>
    </w:p>
    <w:p>
      <w:pPr>
        <w:spacing w:line="400" w:lineRule="exact"/>
        <w:ind w:firstLine="490" w:firstLineChars="200"/>
        <w:outlineLvl w:val="2"/>
        <w:rPr>
          <w:rFonts w:hint="eastAsia" w:ascii="宋体" w:hAnsi="宋体" w:eastAsia="宋体" w:cs="宋体"/>
          <w:b/>
          <w:color w:val="auto"/>
          <w:sz w:val="24"/>
          <w:highlight w:val="none"/>
        </w:rPr>
      </w:pPr>
      <w:bookmarkStart w:id="130" w:name="_Toc4616462"/>
      <w:r>
        <w:rPr>
          <w:rFonts w:hint="eastAsia" w:ascii="宋体" w:hAnsi="宋体" w:eastAsia="宋体" w:cs="宋体"/>
          <w:b/>
          <w:color w:val="auto"/>
          <w:sz w:val="24"/>
          <w:highlight w:val="none"/>
        </w:rPr>
        <w:t>29.合同分包（实质性要求）本项目不允许分包</w:t>
      </w:r>
      <w:bookmarkEnd w:id="130"/>
    </w:p>
    <w:p>
      <w:pPr>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分包履行合同的部分应当为采购项目的非主体、非关键性工作，不属于成交供应商的主要合同义务。</w:t>
      </w:r>
    </w:p>
    <w:p>
      <w:pPr>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29.2 采购合同实行分包履行的，成交供应商就采购项目和分包项目向采购人负责，分包供应商就分包项目承担责任。</w:t>
      </w:r>
    </w:p>
    <w:p>
      <w:pPr>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29.3 中小企业依据</w:t>
      </w:r>
      <w:r>
        <w:rPr>
          <w:rFonts w:hint="eastAsia" w:ascii="宋体" w:hAnsi="宋体" w:eastAsia="宋体" w:cs="宋体"/>
          <w:color w:val="auto"/>
          <w:sz w:val="24"/>
          <w:szCs w:val="24"/>
          <w:highlight w:val="none"/>
        </w:rPr>
        <w:t>《政府采购促进中小企业发展管理办法》（财库﹝2020﹞46 号）</w:t>
      </w:r>
      <w:r>
        <w:rPr>
          <w:rFonts w:hint="eastAsia" w:ascii="宋体" w:hAnsi="宋体" w:eastAsia="宋体" w:cs="宋体"/>
          <w:color w:val="auto"/>
          <w:sz w:val="24"/>
          <w:highlight w:val="none"/>
        </w:rPr>
        <w:t>规定的政策获取政府采购合同后，小型、微型企业不得分包或转包给大型、中型企业，中型企业不得分包或转包给大型企业。</w:t>
      </w:r>
    </w:p>
    <w:p>
      <w:pPr>
        <w:spacing w:line="400" w:lineRule="exact"/>
        <w:ind w:firstLine="49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29.4采购人同意分包的，应当允许和鼓励获得政府采购合同的大型企业依法向中小企业分包</w:t>
      </w:r>
      <w:r>
        <w:rPr>
          <w:rFonts w:hint="eastAsia" w:ascii="宋体" w:hAnsi="宋体" w:eastAsia="宋体" w:cs="宋体"/>
          <w:color w:val="auto"/>
          <w:sz w:val="24"/>
          <w:highlight w:val="none"/>
          <w:lang w:eastAsia="zh-CN"/>
        </w:rPr>
        <w:t>。</w:t>
      </w:r>
    </w:p>
    <w:p>
      <w:pPr>
        <w:spacing w:line="400" w:lineRule="exact"/>
        <w:ind w:firstLine="490" w:firstLineChars="200"/>
        <w:outlineLvl w:val="2"/>
        <w:rPr>
          <w:rFonts w:hint="eastAsia" w:ascii="宋体" w:hAnsi="宋体" w:eastAsia="宋体" w:cs="宋体"/>
          <w:b/>
          <w:color w:val="auto"/>
          <w:sz w:val="24"/>
          <w:highlight w:val="none"/>
        </w:rPr>
      </w:pPr>
      <w:bookmarkStart w:id="131" w:name="_Toc4616463"/>
      <w:r>
        <w:rPr>
          <w:rFonts w:hint="eastAsia" w:ascii="宋体" w:hAnsi="宋体" w:eastAsia="宋体" w:cs="宋体"/>
          <w:b/>
          <w:color w:val="auto"/>
          <w:sz w:val="24"/>
          <w:highlight w:val="none"/>
        </w:rPr>
        <w:t>30.合同转包（实质性要求）本项目不允许转包</w:t>
      </w:r>
      <w:bookmarkEnd w:id="131"/>
    </w:p>
    <w:p>
      <w:pPr>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成交供应商转包的，视同拒绝履行政府采购合同义务，将依法追究法律责任。</w:t>
      </w:r>
    </w:p>
    <w:p>
      <w:pPr>
        <w:spacing w:line="400" w:lineRule="exact"/>
        <w:ind w:firstLine="490" w:firstLineChars="200"/>
        <w:rPr>
          <w:rFonts w:hint="eastAsia" w:ascii="宋体" w:hAnsi="宋体" w:eastAsia="宋体" w:cs="宋体"/>
          <w:color w:val="auto"/>
          <w:sz w:val="24"/>
          <w:highlight w:val="none"/>
        </w:rPr>
      </w:pPr>
    </w:p>
    <w:p>
      <w:pPr>
        <w:spacing w:line="400" w:lineRule="exact"/>
        <w:ind w:firstLine="490" w:firstLineChars="200"/>
        <w:outlineLvl w:val="2"/>
        <w:rPr>
          <w:rFonts w:hint="eastAsia" w:ascii="宋体" w:hAnsi="宋体" w:eastAsia="宋体" w:cs="宋体"/>
          <w:b/>
          <w:color w:val="auto"/>
          <w:sz w:val="24"/>
          <w:highlight w:val="none"/>
        </w:rPr>
      </w:pPr>
      <w:bookmarkStart w:id="132" w:name="_Toc4616464"/>
      <w:r>
        <w:rPr>
          <w:rFonts w:hint="eastAsia" w:ascii="宋体" w:hAnsi="宋体" w:eastAsia="宋体" w:cs="宋体"/>
          <w:b/>
          <w:color w:val="auto"/>
          <w:sz w:val="24"/>
          <w:highlight w:val="none"/>
        </w:rPr>
        <w:t>31.补充合同</w:t>
      </w:r>
      <w:bookmarkEnd w:id="132"/>
    </w:p>
    <w:p>
      <w:pPr>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rPr>
          <w:rFonts w:hint="eastAsia" w:ascii="宋体" w:hAnsi="宋体" w:eastAsia="宋体" w:cs="宋体"/>
          <w:color w:val="auto"/>
          <w:sz w:val="24"/>
          <w:highlight w:val="none"/>
        </w:rPr>
      </w:pPr>
    </w:p>
    <w:p>
      <w:pPr>
        <w:spacing w:line="400" w:lineRule="exact"/>
        <w:ind w:firstLine="490" w:firstLineChars="200"/>
        <w:outlineLvl w:val="2"/>
        <w:rPr>
          <w:rFonts w:hint="eastAsia" w:ascii="宋体" w:hAnsi="宋体" w:eastAsia="宋体" w:cs="宋体"/>
          <w:b/>
          <w:color w:val="auto"/>
          <w:sz w:val="24"/>
          <w:highlight w:val="none"/>
        </w:rPr>
      </w:pPr>
      <w:bookmarkStart w:id="133" w:name="_Toc4616465"/>
      <w:r>
        <w:rPr>
          <w:rFonts w:hint="eastAsia" w:ascii="宋体" w:hAnsi="宋体" w:eastAsia="宋体" w:cs="宋体"/>
          <w:b/>
          <w:color w:val="auto"/>
          <w:sz w:val="24"/>
          <w:highlight w:val="none"/>
        </w:rPr>
        <w:t>32.履约保证金</w:t>
      </w:r>
      <w:bookmarkEnd w:id="133"/>
    </w:p>
    <w:p>
      <w:pPr>
        <w:spacing w:line="400" w:lineRule="exact"/>
        <w:ind w:firstLine="479" w:firstLineChars="196"/>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lang w:eastAsia="zh-CN"/>
        </w:rPr>
        <w:t>本项目不收取</w:t>
      </w:r>
      <w:r>
        <w:rPr>
          <w:rFonts w:hint="eastAsia" w:hAnsi="宋体" w:eastAsia="宋体" w:cs="宋体"/>
          <w:color w:val="auto"/>
          <w:sz w:val="24"/>
          <w:szCs w:val="22"/>
          <w:highlight w:val="none"/>
          <w:lang w:eastAsia="zh-CN"/>
        </w:rPr>
        <w:t>履约</w:t>
      </w:r>
      <w:r>
        <w:rPr>
          <w:rFonts w:hint="eastAsia" w:ascii="宋体" w:hAnsi="宋体" w:eastAsia="宋体" w:cs="宋体"/>
          <w:color w:val="auto"/>
          <w:sz w:val="24"/>
          <w:szCs w:val="22"/>
          <w:highlight w:val="none"/>
          <w:lang w:eastAsia="zh-CN"/>
        </w:rPr>
        <w:t>保证金</w:t>
      </w:r>
      <w:r>
        <w:rPr>
          <w:rFonts w:hint="eastAsia" w:ascii="宋体" w:hAnsi="宋体" w:eastAsia="宋体" w:cs="宋体"/>
          <w:color w:val="auto"/>
          <w:sz w:val="24"/>
          <w:highlight w:val="none"/>
        </w:rPr>
        <w:t>。</w:t>
      </w:r>
    </w:p>
    <w:p>
      <w:pPr>
        <w:spacing w:line="400" w:lineRule="exact"/>
        <w:rPr>
          <w:rFonts w:hint="eastAsia" w:ascii="宋体" w:hAnsi="宋体" w:eastAsia="宋体" w:cs="宋体"/>
          <w:color w:val="auto"/>
          <w:sz w:val="24"/>
          <w:highlight w:val="none"/>
        </w:rPr>
      </w:pPr>
    </w:p>
    <w:p>
      <w:pPr>
        <w:spacing w:line="400" w:lineRule="exact"/>
        <w:ind w:firstLine="490" w:firstLineChars="200"/>
        <w:outlineLvl w:val="2"/>
        <w:rPr>
          <w:rFonts w:hint="eastAsia" w:ascii="宋体" w:hAnsi="宋体" w:eastAsia="宋体" w:cs="宋体"/>
          <w:b/>
          <w:color w:val="auto"/>
          <w:sz w:val="24"/>
          <w:highlight w:val="none"/>
        </w:rPr>
      </w:pPr>
      <w:bookmarkStart w:id="134" w:name="_Toc4616466"/>
      <w:r>
        <w:rPr>
          <w:rFonts w:hint="eastAsia" w:ascii="宋体" w:hAnsi="宋体" w:eastAsia="宋体" w:cs="宋体"/>
          <w:b/>
          <w:color w:val="auto"/>
          <w:sz w:val="24"/>
          <w:highlight w:val="none"/>
        </w:rPr>
        <w:t>33.合同公告</w:t>
      </w:r>
      <w:bookmarkEnd w:id="134"/>
    </w:p>
    <w:p>
      <w:pPr>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采购人应当自政府采购合同签订（双方当事人均已签字盖章）之日起2个工作日内，将政府采购合同在四川政府采购网上公告，但政府采购合同中涉及国家秘密、商业秘密的内容除外。</w:t>
      </w:r>
    </w:p>
    <w:p>
      <w:pPr>
        <w:spacing w:line="400" w:lineRule="exact"/>
        <w:rPr>
          <w:rFonts w:hint="eastAsia" w:ascii="宋体" w:hAnsi="宋体" w:eastAsia="宋体" w:cs="宋体"/>
          <w:color w:val="auto"/>
          <w:sz w:val="24"/>
          <w:highlight w:val="none"/>
        </w:rPr>
      </w:pPr>
    </w:p>
    <w:p>
      <w:pPr>
        <w:spacing w:line="400" w:lineRule="exact"/>
        <w:ind w:firstLine="490" w:firstLineChars="200"/>
        <w:outlineLvl w:val="2"/>
        <w:rPr>
          <w:rFonts w:hint="eastAsia" w:ascii="宋体" w:hAnsi="宋体" w:eastAsia="宋体" w:cs="宋体"/>
          <w:b/>
          <w:color w:val="auto"/>
          <w:sz w:val="24"/>
          <w:highlight w:val="none"/>
        </w:rPr>
      </w:pPr>
      <w:bookmarkStart w:id="135" w:name="_Toc4616467"/>
      <w:r>
        <w:rPr>
          <w:rFonts w:hint="eastAsia" w:ascii="宋体" w:hAnsi="宋体" w:eastAsia="宋体" w:cs="宋体"/>
          <w:b/>
          <w:color w:val="auto"/>
          <w:sz w:val="24"/>
          <w:highlight w:val="none"/>
        </w:rPr>
        <w:t>34.合同备案</w:t>
      </w:r>
      <w:bookmarkEnd w:id="135"/>
    </w:p>
    <w:p>
      <w:pPr>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采购人应当将政府采购合同副本自签订（双方当事人均已签字盖章）之日起七个工作日内通过四川政府采购网报同级财政部门备案。</w:t>
      </w:r>
    </w:p>
    <w:p>
      <w:pPr>
        <w:spacing w:line="400" w:lineRule="exact"/>
        <w:rPr>
          <w:rFonts w:hint="eastAsia" w:ascii="宋体" w:hAnsi="宋体" w:eastAsia="宋体" w:cs="宋体"/>
          <w:color w:val="auto"/>
          <w:sz w:val="24"/>
          <w:highlight w:val="none"/>
        </w:rPr>
      </w:pPr>
    </w:p>
    <w:p>
      <w:pPr>
        <w:spacing w:line="400" w:lineRule="exact"/>
        <w:ind w:firstLine="490" w:firstLineChars="200"/>
        <w:outlineLvl w:val="2"/>
        <w:rPr>
          <w:rFonts w:hint="eastAsia" w:ascii="宋体" w:hAnsi="宋体" w:eastAsia="宋体" w:cs="宋体"/>
          <w:b/>
          <w:color w:val="auto"/>
          <w:sz w:val="24"/>
          <w:highlight w:val="none"/>
        </w:rPr>
      </w:pPr>
      <w:bookmarkStart w:id="136" w:name="_Toc4616468"/>
      <w:r>
        <w:rPr>
          <w:rFonts w:hint="eastAsia" w:ascii="宋体" w:hAnsi="宋体" w:eastAsia="宋体" w:cs="宋体"/>
          <w:b/>
          <w:color w:val="auto"/>
          <w:sz w:val="24"/>
          <w:highlight w:val="none"/>
        </w:rPr>
        <w:t>35.履行合同</w:t>
      </w:r>
      <w:bookmarkEnd w:id="136"/>
    </w:p>
    <w:p>
      <w:pPr>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35.1 成交供应商与采购人签订合同后，合同双方应严格执行合同条款，履行合同规定的义务，保证合同的顺利完成。</w:t>
      </w:r>
    </w:p>
    <w:p>
      <w:pPr>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35.2 在合同履行过程中，如发生合同纠纷，合同双方应按照《</w:t>
      </w:r>
      <w:r>
        <w:rPr>
          <w:rFonts w:hint="eastAsia" w:ascii="宋体" w:hAnsi="宋体" w:eastAsia="宋体" w:cs="宋体"/>
          <w:color w:val="auto"/>
          <w:sz w:val="24"/>
          <w:highlight w:val="none"/>
          <w:lang w:eastAsia="zh-CN"/>
        </w:rPr>
        <w:t>中华人民共和国民法典</w:t>
      </w:r>
      <w:r>
        <w:rPr>
          <w:rFonts w:hint="eastAsia" w:ascii="宋体" w:hAnsi="宋体" w:eastAsia="宋体" w:cs="宋体"/>
          <w:color w:val="auto"/>
          <w:sz w:val="24"/>
          <w:highlight w:val="none"/>
        </w:rPr>
        <w:t>》的有关规定进行处理。</w:t>
      </w:r>
    </w:p>
    <w:p>
      <w:pPr>
        <w:spacing w:line="400" w:lineRule="exact"/>
        <w:ind w:firstLine="490" w:firstLineChars="200"/>
        <w:rPr>
          <w:rFonts w:hint="eastAsia" w:ascii="宋体" w:hAnsi="宋体" w:eastAsia="宋体" w:cs="宋体"/>
          <w:color w:val="auto"/>
          <w:sz w:val="24"/>
          <w:highlight w:val="none"/>
        </w:rPr>
      </w:pPr>
    </w:p>
    <w:p>
      <w:pPr>
        <w:spacing w:line="400" w:lineRule="exact"/>
        <w:ind w:firstLine="490" w:firstLineChars="200"/>
        <w:outlineLvl w:val="2"/>
        <w:rPr>
          <w:rFonts w:hint="eastAsia" w:ascii="宋体" w:hAnsi="宋体" w:eastAsia="宋体" w:cs="宋体"/>
          <w:b/>
          <w:color w:val="auto"/>
          <w:sz w:val="24"/>
          <w:highlight w:val="none"/>
        </w:rPr>
      </w:pPr>
      <w:bookmarkStart w:id="137" w:name="_Toc4616469"/>
      <w:r>
        <w:rPr>
          <w:rFonts w:hint="eastAsia" w:ascii="宋体" w:hAnsi="宋体" w:eastAsia="宋体" w:cs="宋体"/>
          <w:b/>
          <w:color w:val="auto"/>
          <w:sz w:val="24"/>
          <w:highlight w:val="none"/>
        </w:rPr>
        <w:t>36.验收</w:t>
      </w:r>
      <w:bookmarkEnd w:id="137"/>
    </w:p>
    <w:p>
      <w:pPr>
        <w:spacing w:line="440" w:lineRule="exact"/>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36.1</w:t>
      </w:r>
      <w:r>
        <w:rPr>
          <w:rFonts w:hint="eastAsia" w:ascii="宋体" w:hAnsi="宋体" w:eastAsia="宋体" w:cs="宋体"/>
          <w:color w:val="auto"/>
          <w:sz w:val="24"/>
          <w:highlight w:val="none"/>
          <w:lang w:eastAsia="zh-CN"/>
        </w:rPr>
        <w:t>详见谈判文件第五章。</w:t>
      </w:r>
    </w:p>
    <w:p>
      <w:pPr>
        <w:spacing w:line="400" w:lineRule="exact"/>
        <w:rPr>
          <w:rFonts w:hint="eastAsia" w:ascii="宋体" w:hAnsi="宋体" w:eastAsia="宋体" w:cs="宋体"/>
          <w:color w:val="auto"/>
          <w:sz w:val="24"/>
          <w:highlight w:val="none"/>
          <w:lang w:val="en-US" w:eastAsia="zh-CN"/>
        </w:rPr>
      </w:pPr>
    </w:p>
    <w:p>
      <w:pPr>
        <w:spacing w:line="400" w:lineRule="exact"/>
        <w:ind w:firstLine="490" w:firstLineChars="200"/>
        <w:outlineLvl w:val="2"/>
        <w:rPr>
          <w:rFonts w:hint="eastAsia" w:ascii="宋体" w:hAnsi="宋体" w:eastAsia="宋体" w:cs="宋体"/>
          <w:b/>
          <w:color w:val="auto"/>
          <w:sz w:val="24"/>
          <w:highlight w:val="none"/>
        </w:rPr>
      </w:pPr>
      <w:bookmarkStart w:id="138" w:name="_Toc4616470"/>
      <w:r>
        <w:rPr>
          <w:rFonts w:hint="eastAsia" w:ascii="宋体" w:hAnsi="宋体" w:eastAsia="宋体" w:cs="宋体"/>
          <w:b/>
          <w:color w:val="auto"/>
          <w:sz w:val="24"/>
          <w:highlight w:val="none"/>
        </w:rPr>
        <w:t>37.资金支付</w:t>
      </w:r>
      <w:bookmarkEnd w:id="138"/>
    </w:p>
    <w:p>
      <w:pPr>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采购人将按照政府采购合同规定，及时向成交供应商支付采购资金。</w:t>
      </w:r>
    </w:p>
    <w:p>
      <w:pPr>
        <w:spacing w:line="400" w:lineRule="exact"/>
        <w:ind w:firstLine="49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支付方式为：</w:t>
      </w:r>
      <w:r>
        <w:rPr>
          <w:rFonts w:hint="eastAsia" w:ascii="宋体" w:hAnsi="宋体" w:eastAsia="宋体" w:cs="宋体"/>
          <w:color w:val="auto"/>
          <w:sz w:val="24"/>
          <w:szCs w:val="22"/>
          <w:highlight w:val="none"/>
        </w:rPr>
        <w:t>详见谈判文件第五章。</w:t>
      </w:r>
    </w:p>
    <w:p>
      <w:pPr>
        <w:pStyle w:val="4"/>
        <w:keepNext w:val="0"/>
        <w:keepLines w:val="0"/>
        <w:spacing w:before="0" w:after="0" w:line="400" w:lineRule="exact"/>
        <w:jc w:val="center"/>
        <w:rPr>
          <w:rFonts w:hint="eastAsia" w:ascii="宋体" w:hAnsi="宋体" w:eastAsia="宋体" w:cs="宋体"/>
          <w:color w:val="auto"/>
          <w:sz w:val="24"/>
          <w:highlight w:val="none"/>
        </w:rPr>
      </w:pPr>
      <w:bookmarkStart w:id="139" w:name="_Toc4616471"/>
      <w:r>
        <w:rPr>
          <w:rFonts w:hint="eastAsia" w:ascii="宋体" w:hAnsi="宋体" w:eastAsia="宋体" w:cs="宋体"/>
          <w:color w:val="auto"/>
          <w:highlight w:val="none"/>
        </w:rPr>
        <w:t>八、谈判纪律要求</w:t>
      </w:r>
      <w:bookmarkEnd w:id="139"/>
    </w:p>
    <w:p>
      <w:pPr>
        <w:tabs>
          <w:tab w:val="left" w:pos="851"/>
        </w:tabs>
        <w:spacing w:line="360" w:lineRule="auto"/>
        <w:ind w:firstLine="490" w:firstLineChars="200"/>
        <w:outlineLvl w:val="2"/>
        <w:rPr>
          <w:rFonts w:hint="eastAsia" w:ascii="宋体" w:hAnsi="宋体" w:eastAsia="宋体" w:cs="宋体"/>
          <w:b/>
          <w:color w:val="auto"/>
          <w:sz w:val="24"/>
          <w:highlight w:val="none"/>
        </w:rPr>
      </w:pPr>
      <w:bookmarkStart w:id="140" w:name="_Toc4616472"/>
      <w:r>
        <w:rPr>
          <w:rFonts w:hint="eastAsia" w:ascii="宋体" w:hAnsi="宋体" w:eastAsia="宋体" w:cs="宋体"/>
          <w:b/>
          <w:color w:val="auto"/>
          <w:sz w:val="24"/>
          <w:highlight w:val="none"/>
        </w:rPr>
        <w:t>38.供应商不得具有的情形</w:t>
      </w:r>
      <w:bookmarkEnd w:id="140"/>
    </w:p>
    <w:p>
      <w:pPr>
        <w:tabs>
          <w:tab w:val="left" w:pos="851"/>
        </w:tabs>
        <w:spacing w:line="360" w:lineRule="auto"/>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供应商参加本项目谈判不得有下列情形：</w:t>
      </w:r>
    </w:p>
    <w:p>
      <w:pPr>
        <w:spacing w:line="400" w:lineRule="exact"/>
        <w:ind w:firstLine="49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（1）提供虚假材料谋取成交；</w:t>
      </w:r>
    </w:p>
    <w:p>
      <w:pPr>
        <w:spacing w:line="400" w:lineRule="exact"/>
        <w:ind w:firstLine="49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（2）采取不正当手段诋毁、排挤其他供应商；</w:t>
      </w:r>
    </w:p>
    <w:p>
      <w:pPr>
        <w:spacing w:line="400" w:lineRule="exact"/>
        <w:ind w:firstLine="49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（3）与采购人、采购代理机构、或其他供应商恶意串通；</w:t>
      </w:r>
    </w:p>
    <w:p>
      <w:pPr>
        <w:spacing w:line="400" w:lineRule="exact"/>
        <w:ind w:firstLine="49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（4）向采购人、采购代理机构、谈判小组成员行贿或者提供其他不正当利益；</w:t>
      </w:r>
    </w:p>
    <w:p>
      <w:pPr>
        <w:spacing w:line="400" w:lineRule="exact"/>
        <w:ind w:firstLine="49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（5）在谈判过程中与采购人、采购代理机构进行协商；</w:t>
      </w:r>
    </w:p>
    <w:p>
      <w:pPr>
        <w:spacing w:line="400" w:lineRule="exact"/>
        <w:ind w:firstLine="49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（6）成交后无正当理由拒不与采购人签订政府采购合同；</w:t>
      </w:r>
    </w:p>
    <w:p>
      <w:pPr>
        <w:spacing w:line="400" w:lineRule="exact"/>
        <w:ind w:firstLine="49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（7）未按照谈判文件确定的事项签订政府采购合同；</w:t>
      </w:r>
    </w:p>
    <w:p>
      <w:pPr>
        <w:spacing w:line="400" w:lineRule="exact"/>
        <w:ind w:firstLine="49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（8）将政府采购合同转包或者违规分包；</w:t>
      </w:r>
    </w:p>
    <w:p>
      <w:pPr>
        <w:spacing w:line="400" w:lineRule="exact"/>
        <w:ind w:firstLine="49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（9）提供假冒伪劣产品；</w:t>
      </w:r>
    </w:p>
    <w:p>
      <w:pPr>
        <w:spacing w:line="400" w:lineRule="exact"/>
        <w:ind w:firstLine="49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（10）擅自变更、中止或者终止政府采购合同；</w:t>
      </w:r>
    </w:p>
    <w:p>
      <w:pPr>
        <w:spacing w:line="400" w:lineRule="exact"/>
        <w:ind w:firstLine="49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（11）拒绝有关部门的监督检查或者向监督检查部门提供虚假情况；</w:t>
      </w:r>
    </w:p>
    <w:p>
      <w:pPr>
        <w:spacing w:line="400" w:lineRule="exact"/>
        <w:ind w:firstLine="49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（12）法律法规规定的其他情形。</w:t>
      </w:r>
    </w:p>
    <w:p>
      <w:pPr>
        <w:spacing w:line="400" w:lineRule="exact"/>
        <w:ind w:firstLine="49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供应商有上述情形的，按照规定追究法律责任，具备（1）-（10）条情形之一的，同时将取消被确认为成交供应商的资格或者认定成交无效。</w:t>
      </w:r>
    </w:p>
    <w:p>
      <w:pPr>
        <w:tabs>
          <w:tab w:val="left" w:pos="851"/>
        </w:tabs>
        <w:spacing w:line="360" w:lineRule="auto"/>
        <w:jc w:val="center"/>
        <w:outlineLvl w:val="1"/>
        <w:rPr>
          <w:rFonts w:hint="eastAsia" w:ascii="宋体" w:hAnsi="宋体" w:eastAsia="宋体" w:cs="宋体"/>
          <w:b/>
          <w:color w:val="auto"/>
          <w:sz w:val="32"/>
          <w:szCs w:val="32"/>
          <w:highlight w:val="none"/>
        </w:rPr>
      </w:pPr>
      <w:bookmarkStart w:id="141" w:name="_Toc4616473"/>
    </w:p>
    <w:p>
      <w:pPr>
        <w:tabs>
          <w:tab w:val="left" w:pos="851"/>
        </w:tabs>
        <w:spacing w:line="360" w:lineRule="auto"/>
        <w:jc w:val="center"/>
        <w:outlineLvl w:val="1"/>
        <w:rPr>
          <w:rFonts w:hint="eastAsia" w:ascii="宋体" w:hAnsi="宋体" w:eastAsia="宋体" w:cs="宋体"/>
          <w:color w:val="auto"/>
          <w:sz w:val="24"/>
          <w:highlight w:val="none"/>
        </w:rPr>
      </w:pPr>
      <w:r>
        <w:rPr>
          <w:rFonts w:hint="eastAsia" w:ascii="宋体" w:hAnsi="宋体" w:eastAsia="宋体" w:cs="宋体"/>
          <w:b/>
          <w:color w:val="auto"/>
          <w:sz w:val="32"/>
          <w:szCs w:val="32"/>
          <w:highlight w:val="none"/>
        </w:rPr>
        <w:t>九、询问、质疑和投诉</w:t>
      </w:r>
      <w:bookmarkEnd w:id="141"/>
    </w:p>
    <w:p>
      <w:pPr>
        <w:tabs>
          <w:tab w:val="left" w:pos="851"/>
        </w:tabs>
        <w:spacing w:line="360" w:lineRule="auto"/>
        <w:ind w:firstLine="490" w:firstLineChars="200"/>
        <w:outlineLvl w:val="2"/>
        <w:rPr>
          <w:rFonts w:hint="eastAsia" w:ascii="宋体" w:hAnsi="宋体" w:eastAsia="宋体" w:cs="宋体"/>
          <w:b/>
          <w:color w:val="auto"/>
          <w:sz w:val="24"/>
          <w:szCs w:val="22"/>
          <w:highlight w:val="none"/>
        </w:rPr>
      </w:pPr>
      <w:bookmarkStart w:id="142" w:name="_Toc3726"/>
      <w:bookmarkStart w:id="143" w:name="_Toc4616474"/>
      <w:r>
        <w:rPr>
          <w:rFonts w:hint="eastAsia" w:ascii="宋体" w:hAnsi="宋体" w:eastAsia="宋体" w:cs="宋体"/>
          <w:b/>
          <w:color w:val="auto"/>
          <w:sz w:val="24"/>
          <w:szCs w:val="22"/>
          <w:highlight w:val="none"/>
        </w:rPr>
        <w:t>39.询问</w:t>
      </w:r>
      <w:bookmarkEnd w:id="142"/>
      <w:bookmarkEnd w:id="143"/>
    </w:p>
    <w:p>
      <w:pPr>
        <w:autoSpaceDE w:val="0"/>
        <w:autoSpaceDN w:val="0"/>
        <w:adjustRightInd w:val="0"/>
        <w:spacing w:line="460" w:lineRule="exact"/>
        <w:ind w:firstLine="49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对政府采购活动有疑问的，可以向采购人或其委托的采购代理机构提出询问。供应商对采购文件中的技术、商务及其他要求、定标结果的询问，应向采购人提出；对采购过程和程序等内容的询问，应向采购代理机构提出。</w:t>
      </w:r>
    </w:p>
    <w:p>
      <w:pPr>
        <w:autoSpaceDE w:val="0"/>
        <w:autoSpaceDN w:val="0"/>
        <w:adjustRightInd w:val="0"/>
        <w:spacing w:line="460" w:lineRule="exact"/>
        <w:ind w:firstLine="245"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询问应当明确询问事项，以书面形式提出，并由供应商签字或者加盖公章。</w:t>
      </w:r>
    </w:p>
    <w:p>
      <w:pPr>
        <w:autoSpaceDE w:val="0"/>
        <w:autoSpaceDN w:val="0"/>
        <w:adjustRightInd w:val="0"/>
        <w:spacing w:line="460" w:lineRule="exact"/>
        <w:ind w:firstLine="245"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采购人及有权答复的采购代理机构应当以书面形式答复供应商的询问。</w:t>
      </w:r>
    </w:p>
    <w:p>
      <w:pPr>
        <w:autoSpaceDE w:val="0"/>
        <w:autoSpaceDN w:val="0"/>
        <w:adjustRightInd w:val="0"/>
        <w:spacing w:line="460" w:lineRule="exact"/>
        <w:ind w:firstLine="245"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询问事项超出采购代理机构委托授权范围的，采购代理机构应当书面告知供应商向采购人提出询问。</w:t>
      </w:r>
    </w:p>
    <w:p>
      <w:pPr>
        <w:spacing w:line="400" w:lineRule="exact"/>
        <w:ind w:firstLine="49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质疑、投诉</w:t>
      </w:r>
    </w:p>
    <w:p>
      <w:pPr>
        <w:spacing w:line="400" w:lineRule="exact"/>
        <w:ind w:firstLine="49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质疑、投诉的接收和处理严格按照《中华人民共和国政府采购法》、《中华人民共和国财政部令第94号—政府采购质疑和投诉办法》、《财政部关于加强政府采购供应商投诉受理审查工作的通知》的规定办理（详细规定请在四川政府采购网法律法规模块查询）。</w:t>
      </w:r>
    </w:p>
    <w:p>
      <w:pPr>
        <w:spacing w:line="440" w:lineRule="exact"/>
        <w:ind w:firstLine="49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供应商如认为谈判文件使自己的合法权益受到损害，可按照以上规定程序和办法提出质疑。供应商对可以质疑的采购文件提出质疑的，须在购买采购文件之日起7个工作日内提出，逾期提交的质疑不予受理。</w:t>
      </w:r>
    </w:p>
    <w:p>
      <w:pPr>
        <w:spacing w:line="440" w:lineRule="exact"/>
        <w:ind w:firstLine="49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供应商在法定质疑期内一次性提出针对同一采购程序环节的质疑。</w:t>
      </w:r>
    </w:p>
    <w:p>
      <w:pPr>
        <w:spacing w:line="440" w:lineRule="exact"/>
        <w:ind w:firstLine="49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质疑、投诉应当采用书面形式，质疑书、投诉书均应明确阐述谈判文件、询价过程、成交结果中使自己的合法权益受到损害的实质性内容，提供相关事实、依据和证据及其来源或线索，并确保真实性，便于有关单位调查、答复和处理。质疑人行使质疑权时，必须坚持“谁主张谁举证”，遵守“实事求是”和“谨慎性”原则，不得进行虚假、恶意质疑，不得以质疑为手段获取不当得利、实现非法目的。</w:t>
      </w:r>
    </w:p>
    <w:p>
      <w:pPr>
        <w:tabs>
          <w:tab w:val="left" w:pos="851"/>
        </w:tabs>
        <w:spacing w:line="360" w:lineRule="auto"/>
        <w:jc w:val="center"/>
        <w:outlineLvl w:val="1"/>
        <w:rPr>
          <w:rFonts w:hint="eastAsia" w:ascii="宋体" w:hAnsi="宋体" w:eastAsia="宋体" w:cs="宋体"/>
          <w:color w:val="auto"/>
          <w:sz w:val="24"/>
          <w:highlight w:val="none"/>
        </w:rPr>
      </w:pPr>
      <w:bookmarkStart w:id="144" w:name="_Toc4616475"/>
      <w:r>
        <w:rPr>
          <w:rFonts w:hint="eastAsia" w:ascii="宋体" w:hAnsi="宋体" w:eastAsia="宋体" w:cs="宋体"/>
          <w:b/>
          <w:color w:val="auto"/>
          <w:sz w:val="32"/>
          <w:szCs w:val="32"/>
          <w:highlight w:val="none"/>
        </w:rPr>
        <w:t>十、其  他</w:t>
      </w:r>
      <w:bookmarkEnd w:id="144"/>
    </w:p>
    <w:p>
      <w:pPr>
        <w:tabs>
          <w:tab w:val="left" w:pos="851"/>
        </w:tabs>
        <w:ind w:firstLine="493"/>
        <w:jc w:val="left"/>
        <w:outlineLvl w:val="2"/>
        <w:rPr>
          <w:rFonts w:hint="eastAsia" w:ascii="宋体" w:hAnsi="宋体" w:eastAsia="宋体" w:cs="宋体"/>
          <w:color w:val="auto"/>
          <w:sz w:val="24"/>
          <w:szCs w:val="22"/>
          <w:highlight w:val="none"/>
        </w:rPr>
      </w:pPr>
      <w:bookmarkStart w:id="145" w:name="_Toc4616476"/>
      <w:r>
        <w:rPr>
          <w:rFonts w:hint="eastAsia" w:ascii="宋体" w:hAnsi="宋体" w:eastAsia="宋体" w:cs="宋体"/>
          <w:color w:val="auto"/>
          <w:sz w:val="24"/>
          <w:szCs w:val="22"/>
          <w:highlight w:val="none"/>
        </w:rPr>
        <w:t>40.本谈判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谈判文件不再做调整。</w:t>
      </w:r>
      <w:bookmarkEnd w:id="145"/>
    </w:p>
    <w:p>
      <w:pPr>
        <w:tabs>
          <w:tab w:val="left" w:pos="851"/>
        </w:tabs>
        <w:ind w:firstLine="493"/>
        <w:jc w:val="left"/>
        <w:outlineLvl w:val="2"/>
        <w:rPr>
          <w:rFonts w:hint="eastAsia" w:ascii="宋体" w:hAnsi="宋体" w:eastAsia="宋体" w:cs="宋体"/>
          <w:color w:val="auto"/>
          <w:sz w:val="24"/>
          <w:szCs w:val="22"/>
          <w:highlight w:val="none"/>
        </w:rPr>
      </w:pPr>
      <w:bookmarkStart w:id="146" w:name="_Toc4616477"/>
      <w:r>
        <w:rPr>
          <w:rFonts w:hint="eastAsia" w:ascii="宋体" w:hAnsi="宋体" w:eastAsia="宋体" w:cs="宋体"/>
          <w:color w:val="auto"/>
          <w:sz w:val="24"/>
          <w:szCs w:val="22"/>
          <w:highlight w:val="none"/>
        </w:rPr>
        <w:t>41.（实质性要求）国家或行业主管部门对供应商和采购产品的技术标准、质量标准和资格资质条件等有强制性规定的，必须符合其要求。</w:t>
      </w:r>
      <w:bookmarkEnd w:id="146"/>
    </w:p>
    <w:p>
      <w:pPr>
        <w:tabs>
          <w:tab w:val="left" w:pos="851"/>
        </w:tabs>
        <w:ind w:firstLine="493"/>
        <w:jc w:val="left"/>
        <w:outlineLvl w:val="2"/>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4</w:t>
      </w:r>
      <w:r>
        <w:rPr>
          <w:rFonts w:hint="eastAsia" w:ascii="宋体" w:hAnsi="宋体" w:eastAsia="宋体" w:cs="宋体"/>
          <w:color w:val="auto"/>
          <w:sz w:val="24"/>
          <w:szCs w:val="22"/>
          <w:highlight w:val="none"/>
          <w:lang w:val="en-US" w:eastAsia="zh-CN"/>
        </w:rPr>
        <w:t>2</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eastAsia="zh-CN"/>
        </w:rPr>
        <w:t>（实质性要求）成交人根据财政部等三部门联合印发商品包装和快递包装政府采购需求标准（试行）财库办【2020】123号文要求，若我方提供的货物、服务、工程涉及商品包装和快递包装的，将按照采购文件后附的《商品包装政府采购需求标准（试行）》、《快递包装政府采购需求标准（试行）》的标准要求执行。</w:t>
      </w:r>
    </w:p>
    <w:p>
      <w:pPr>
        <w:tabs>
          <w:tab w:val="left" w:pos="851"/>
        </w:tabs>
        <w:ind w:firstLine="493"/>
        <w:jc w:val="left"/>
        <w:outlineLvl w:val="2"/>
        <w:rPr>
          <w:rFonts w:hint="default" w:ascii="宋体" w:hAnsi="宋体" w:eastAsia="宋体" w:cs="宋体"/>
          <w:color w:val="auto"/>
          <w:sz w:val="24"/>
          <w:szCs w:val="22"/>
          <w:highlight w:val="none"/>
          <w:lang w:val="en-US"/>
        </w:rPr>
      </w:pPr>
      <w:r>
        <w:rPr>
          <w:rFonts w:hint="eastAsia" w:ascii="宋体" w:hAnsi="宋体" w:eastAsia="宋体" w:cs="宋体"/>
          <w:color w:val="auto"/>
          <w:sz w:val="24"/>
          <w:szCs w:val="22"/>
          <w:highlight w:val="none"/>
          <w:lang w:val="en-US" w:eastAsia="zh-CN"/>
        </w:rPr>
        <w:t>43.（实质性要求）国家或行业主管部门对供应商和采购产品的技术标准、质量标准和资格资质条件等有强制性规定的，必须符合其要求。43、（实质性要求）中标人根据财政部等三部门联合印发商品包装和快递包装政府采购需求标准（试行）财库办【2020】123号文要求，若我方提供的货物、服务、工程涉及商品包装和快递包装的，将按照采购文件后附的《商品包装政府采购需求标准（试行）》、《快递包装政府采购需求标准（试行）》的标准要求执行。</w:t>
      </w:r>
    </w:p>
    <w:p>
      <w:pPr>
        <w:ind w:firstLine="490" w:firstLineChars="200"/>
        <w:jc w:val="left"/>
        <w:outlineLvl w:val="2"/>
        <w:rPr>
          <w:rFonts w:hint="eastAsia" w:ascii="宋体" w:hAnsi="宋体" w:eastAsia="宋体" w:cs="宋体"/>
          <w:b/>
          <w:bCs/>
          <w:color w:val="auto"/>
          <w:sz w:val="24"/>
          <w:szCs w:val="22"/>
          <w:highlight w:val="none"/>
        </w:rPr>
      </w:pPr>
      <w:bookmarkStart w:id="147" w:name="_Toc4616478"/>
      <w:bookmarkStart w:id="148" w:name="_Toc2446"/>
      <w:r>
        <w:rPr>
          <w:rFonts w:hint="eastAsia" w:ascii="宋体" w:hAnsi="宋体" w:eastAsia="宋体" w:cs="宋体"/>
          <w:b/>
          <w:bCs/>
          <w:color w:val="auto"/>
          <w:sz w:val="24"/>
          <w:szCs w:val="22"/>
          <w:highlight w:val="none"/>
        </w:rPr>
        <w:t>4</w:t>
      </w:r>
      <w:r>
        <w:rPr>
          <w:rFonts w:hint="eastAsia" w:ascii="宋体" w:hAnsi="宋体" w:eastAsia="宋体" w:cs="宋体"/>
          <w:b/>
          <w:bCs/>
          <w:color w:val="auto"/>
          <w:sz w:val="24"/>
          <w:szCs w:val="22"/>
          <w:highlight w:val="none"/>
          <w:lang w:val="en-US" w:eastAsia="zh-CN"/>
        </w:rPr>
        <w:t>4</w:t>
      </w:r>
      <w:r>
        <w:rPr>
          <w:rFonts w:hint="eastAsia" w:ascii="宋体" w:hAnsi="宋体" w:eastAsia="宋体" w:cs="宋体"/>
          <w:b/>
          <w:bCs/>
          <w:color w:val="auto"/>
          <w:sz w:val="24"/>
          <w:szCs w:val="22"/>
          <w:highlight w:val="none"/>
        </w:rPr>
        <w:t>.本次采购文件中加注（实质性要求）的条款，若未明确要求提供证明材料或承诺函，视为仅约束成交人，由成交人和采购人签订合同前进行核实。</w:t>
      </w:r>
      <w:bookmarkEnd w:id="147"/>
    </w:p>
    <w:p>
      <w:pPr>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149" w:name="_Toc3027"/>
      <w:bookmarkStart w:id="150" w:name="_Toc8317"/>
      <w:bookmarkStart w:id="151" w:name="_Toc7243"/>
      <w:bookmarkStart w:id="152" w:name="_Toc216"/>
      <w:bookmarkStart w:id="153" w:name="_Toc5269_WPSOffice_Level1"/>
      <w:bookmarkStart w:id="154" w:name="_Toc12054"/>
      <w:bookmarkStart w:id="155" w:name="_Toc21317"/>
      <w:bookmarkStart w:id="156" w:name="_Toc6958"/>
      <w:bookmarkStart w:id="157" w:name="_Toc4616479"/>
      <w:bookmarkStart w:id="158" w:name="_Toc7599"/>
      <w:r>
        <w:rPr>
          <w:rFonts w:hint="eastAsia" w:ascii="宋体" w:hAnsi="宋体" w:eastAsia="宋体" w:cs="宋体"/>
          <w:b/>
          <w:color w:val="auto"/>
          <w:sz w:val="36"/>
          <w:szCs w:val="36"/>
          <w:highlight w:val="none"/>
        </w:rPr>
        <w:t>第三章  供应商资格条件要求</w:t>
      </w:r>
      <w:bookmarkEnd w:id="148"/>
      <w:bookmarkEnd w:id="149"/>
      <w:bookmarkEnd w:id="150"/>
      <w:bookmarkEnd w:id="151"/>
      <w:bookmarkEnd w:id="152"/>
      <w:bookmarkEnd w:id="153"/>
      <w:bookmarkEnd w:id="154"/>
      <w:bookmarkEnd w:id="155"/>
      <w:bookmarkEnd w:id="156"/>
      <w:bookmarkEnd w:id="157"/>
      <w:bookmarkEnd w:id="158"/>
    </w:p>
    <w:p>
      <w:p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一、参加谈判的供应商应具备下列资格条件：</w:t>
      </w:r>
    </w:p>
    <w:p>
      <w:pPr>
        <w:pStyle w:val="62"/>
        <w:spacing w:line="460" w:lineRule="exact"/>
        <w:ind w:firstLine="612"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tabs>
          <w:tab w:val="left" w:pos="7665"/>
        </w:tabs>
        <w:spacing w:line="460" w:lineRule="exact"/>
        <w:ind w:firstLine="612"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tabs>
          <w:tab w:val="left" w:pos="7665"/>
        </w:tabs>
        <w:spacing w:line="460" w:lineRule="exact"/>
        <w:ind w:firstLine="612"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3、具有履行合同所必须的设备和专业技术能力；</w:t>
      </w:r>
    </w:p>
    <w:p>
      <w:pPr>
        <w:tabs>
          <w:tab w:val="left" w:pos="7665"/>
        </w:tabs>
        <w:spacing w:line="460" w:lineRule="exact"/>
        <w:ind w:firstLine="612"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4、具有依法缴纳税收和社会保障资金的良好记录；</w:t>
      </w:r>
    </w:p>
    <w:p>
      <w:pPr>
        <w:tabs>
          <w:tab w:val="left" w:pos="7665"/>
        </w:tabs>
        <w:spacing w:line="460" w:lineRule="exact"/>
        <w:ind w:firstLine="612"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本次政府采购活动前三年内，在经营活动中没有重大违法记录（1、所称重大违法记录，是指供应商因违法经营受到刑事处罚或者责令停产停业、吊销许可证或者执照、较大数额罚款等行政处罚。2、本项目确定供应商重大违法记录中较大数额罚款的金额标准为：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对非经营活动中公民的违法行为处以罚款或者没收财产2000元以上、法人或者其他组织的违法行为处以罚款或者没收财产2万元以上；对在经营活动中的违法行为处以罚款或者没收财产5万元以上。）；</w:t>
      </w:r>
    </w:p>
    <w:p>
      <w:pPr>
        <w:tabs>
          <w:tab w:val="left" w:pos="7665"/>
        </w:tabs>
        <w:spacing w:line="460" w:lineRule="exact"/>
        <w:ind w:firstLine="612"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pPr>
        <w:tabs>
          <w:tab w:val="left" w:pos="7665"/>
        </w:tabs>
        <w:spacing w:line="460" w:lineRule="exact"/>
        <w:ind w:firstLine="612"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7、根据本项目的特殊性提出的特定资格要求：供应商需取得《会计师事务所执业证书》，并在有效期限内。</w:t>
      </w:r>
    </w:p>
    <w:p>
      <w:pPr>
        <w:tabs>
          <w:tab w:val="left" w:pos="7665"/>
        </w:tabs>
        <w:spacing w:line="460" w:lineRule="exact"/>
        <w:ind w:firstLine="612"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8、本项目专门面向中小微企业（残疾人企业、监狱企业、符合中小企业划分标准的个体工商户）采购。</w:t>
      </w:r>
    </w:p>
    <w:p>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二、谈判产品的资格、资质性及其他类似效力要求</w:t>
      </w:r>
    </w:p>
    <w:p>
      <w:pPr>
        <w:adjustRightInd w:val="0"/>
        <w:snapToGrid w:val="0"/>
        <w:spacing w:line="400" w:lineRule="exact"/>
        <w:ind w:firstLine="479"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1、提供法定代表人/单位负责人授权书原件及法人或单位负责人和授权代表身份证复印件（法人代表参加谈判只需提供法人身份证复印件）。</w:t>
      </w:r>
    </w:p>
    <w:p>
      <w:pPr>
        <w:spacing w:line="460" w:lineRule="exact"/>
        <w:ind w:firstLine="367" w:firstLineChars="1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根据财政部、发展改革委、生态环境部、市场监管总局联合发布《关于调整优化节能产品、环境标志产品政府采购执行机制的通知》(财库〔2019〕9 号)，对政府采购节能产品、环境标志产品实施品目清单管理，本项目如涉及政府强制采购产品（节能产品政府采购品目清单中★号产品），供应商在谈判时须按照《关于印发节能产品政府采购品目清单的通知》（财库〔2019〕19号）要求提供认证机构名录内单位出具的节能产品认证证书，否则其响应文件将被视为无效响应处理。认证机构名录详见《参与实施政府采购节能产品认证机构名录》。（如涉及）</w:t>
      </w:r>
    </w:p>
    <w:p>
      <w:pPr>
        <w:spacing w:line="460" w:lineRule="exact"/>
        <w:ind w:firstLine="367" w:firstLineChars="1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强制采购产品类别如下：</w:t>
      </w:r>
    </w:p>
    <w:p>
      <w:pPr>
        <w:spacing w:line="460" w:lineRule="exact"/>
        <w:ind w:firstLine="367" w:firstLineChars="1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台式计算机，便携式计算机，平板式微型计算机，激光打印机，针式打印机，液晶显示器，制冷压缩机(指冷水机组、水源热泵机组、溴化锂吸收式冷水机组)，空调机组[指多联式空调（热泵）机组(制冷量&gt;14000W)、单元式空气调节机(制冷量&gt;14000W)]，专用制冷、空调设备（指机房空调），镇流器（指管型荧光灯镇流器），空调机[指房间空气调节器、多联式空调（热泵）机组（制冷量≤14000W）、单元式空气调节机(制冷量≤14000W)]，电热水器，普通照明用双端荧光灯，电视设备[指普通电视设备（电视机）]，视频设备（指监视器），便器（指坐便器、蹲便器、小便器），水嘴。</w:t>
      </w:r>
    </w:p>
    <w:p>
      <w:pPr>
        <w:spacing w:line="460" w:lineRule="exact"/>
        <w:ind w:firstLine="49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3、技术参数中如涉及到3C强制认证产品或其他国家强制要求均满足相关要求，投标时提供《中国强制性产品认证》（3C证书）或其他国家强制要求证明材料复印件,或提供承诺函，承诺中标后签订合同前向采购人提供。（如涉及）</w:t>
      </w:r>
      <w:r>
        <w:rPr>
          <w:rFonts w:hint="eastAsia" w:ascii="宋体" w:hAnsi="宋体" w:eastAsia="宋体" w:cs="宋体"/>
          <w:color w:val="auto"/>
          <w:sz w:val="24"/>
          <w:highlight w:val="none"/>
          <w:lang w:val="zh-CN"/>
        </w:rPr>
        <w:t>台式计算机，便携式计算机，平板式微型计算机，激光打印机，针式打印机，液晶显示器，制冷压缩机(指冷水机组、水源热泵机组、溴化锂吸收式冷水机组)，空调机组[指多联式空调（热泵）机组(制冷量&gt;14000W)、单元式空气调节机(制冷量&gt;14000W)]，专用制冷、空调设备（指机房空调），镇流器（指管型荧光灯镇流器），空调机[指房间空气调节器、多联式空调（热泵）机组（制冷量≤14000W）、单元式空气调节机(制冷量≤14000W)]，电热水器，普通照明用双端荧光灯，电视设备[指普通电视设备（电视机）]，视频设备（指监视器），便器（指坐便器、蹲便器、小便器），水嘴。</w:t>
      </w:r>
    </w:p>
    <w:p>
      <w:pPr>
        <w:adjustRightInd w:val="0"/>
        <w:snapToGrid w:val="0"/>
        <w:spacing w:line="400" w:lineRule="exact"/>
        <w:ind w:firstLine="479" w:firstLineChars="196"/>
        <w:jc w:val="left"/>
        <w:rPr>
          <w:rFonts w:hint="eastAsia" w:ascii="宋体" w:hAnsi="宋体" w:eastAsia="宋体" w:cs="宋体"/>
          <w:color w:val="auto"/>
          <w:sz w:val="24"/>
          <w:szCs w:val="22"/>
          <w:highlight w:val="none"/>
        </w:rPr>
      </w:pPr>
      <w:r>
        <w:rPr>
          <w:rFonts w:hint="eastAsia" w:hAnsi="宋体" w:eastAsia="宋体" w:cs="宋体"/>
          <w:color w:val="auto"/>
          <w:sz w:val="24"/>
          <w:szCs w:val="22"/>
          <w:highlight w:val="none"/>
          <w:lang w:val="en-US" w:eastAsia="zh-CN"/>
        </w:rPr>
        <w:t>4</w:t>
      </w:r>
      <w:r>
        <w:rPr>
          <w:rFonts w:hint="eastAsia" w:ascii="宋体" w:hAnsi="宋体" w:eastAsia="宋体" w:cs="宋体"/>
          <w:color w:val="auto"/>
          <w:sz w:val="24"/>
          <w:szCs w:val="22"/>
          <w:highlight w:val="none"/>
        </w:rPr>
        <w:t>、供应商单位不得具有行贿犯罪记录；</w:t>
      </w:r>
    </w:p>
    <w:p>
      <w:pPr>
        <w:pStyle w:val="62"/>
        <w:spacing w:line="460" w:lineRule="exact"/>
        <w:ind w:firstLine="480"/>
        <w:rPr>
          <w:rFonts w:hint="eastAsia" w:ascii="宋体" w:hAnsi="宋体" w:eastAsia="宋体" w:cs="宋体"/>
          <w:color w:val="auto"/>
          <w:sz w:val="24"/>
          <w:szCs w:val="22"/>
          <w:highlight w:val="none"/>
          <w:lang w:val="en-US" w:eastAsia="zh-CN"/>
        </w:rPr>
      </w:pPr>
      <w:r>
        <w:rPr>
          <w:rFonts w:hint="eastAsia" w:hAnsi="宋体" w:eastAsia="宋体" w:cs="宋体"/>
          <w:color w:val="auto"/>
          <w:sz w:val="24"/>
          <w:szCs w:val="22"/>
          <w:highlight w:val="none"/>
          <w:lang w:val="en-US" w:eastAsia="zh-CN"/>
        </w:rPr>
        <w:t>5</w:t>
      </w:r>
      <w:r>
        <w:rPr>
          <w:rFonts w:hint="eastAsia" w:ascii="宋体" w:hAnsi="宋体" w:eastAsia="宋体" w:cs="宋体"/>
          <w:color w:val="auto"/>
          <w:sz w:val="24"/>
          <w:szCs w:val="22"/>
          <w:highlight w:val="none"/>
        </w:rPr>
        <w:t>、根据《成都市财政局关于在政府采购活动中查询及使用信用记录的通知》（成财采〔2017〕26号）的要求</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zh-TW"/>
        </w:rPr>
        <w:t>截止至</w:t>
      </w:r>
      <w:r>
        <w:rPr>
          <w:rFonts w:hint="eastAsia" w:ascii="宋体" w:hAnsi="宋体" w:eastAsia="宋体" w:cs="宋体"/>
          <w:color w:val="auto"/>
          <w:sz w:val="24"/>
          <w:szCs w:val="22"/>
          <w:highlight w:val="none"/>
          <w:lang w:eastAsia="zh-CN"/>
        </w:rPr>
        <w:t>谈判</w:t>
      </w:r>
      <w:r>
        <w:rPr>
          <w:rFonts w:hint="eastAsia" w:ascii="宋体" w:hAnsi="宋体" w:eastAsia="宋体" w:cs="宋体"/>
          <w:color w:val="auto"/>
          <w:sz w:val="24"/>
          <w:szCs w:val="22"/>
          <w:highlight w:val="none"/>
        </w:rPr>
        <w:t>截止时间当日</w:t>
      </w:r>
      <w:r>
        <w:rPr>
          <w:rFonts w:hint="eastAsia" w:ascii="宋体" w:hAnsi="宋体" w:eastAsia="宋体" w:cs="宋体"/>
          <w:color w:val="auto"/>
          <w:sz w:val="24"/>
          <w:szCs w:val="22"/>
          <w:highlight w:val="none"/>
          <w:lang w:val="zh-TW" w:eastAsia="zh-TW"/>
        </w:rPr>
        <w:t>，采购代理机构将通过“信用中国”网站、“中国政府采购网”网站、“四川政府采购”网站（曝光台）、“成都信用”网站等渠道查询供应商的信用记录并保存信用记录结果网页截图，拒绝列入失信被执行人、重大税收违法案件当事人名单、政府采购严重违法失信行为记录名单中的供应商参加本项目的政府采购活动。</w:t>
      </w:r>
      <w:r>
        <w:rPr>
          <w:rFonts w:hint="eastAsia" w:ascii="宋体" w:hAnsi="宋体" w:eastAsia="宋体" w:cs="宋体"/>
          <w:color w:val="auto"/>
          <w:sz w:val="24"/>
          <w:szCs w:val="22"/>
          <w:highlight w:val="none"/>
          <w:lang w:val="zh-CN" w:eastAsia="zh-TW"/>
        </w:rPr>
        <w:t>如相关失信记录已失效，供应商须提供相关证明材料,若因投标人为事业单位、团体组织、自然人等原因，在</w:t>
      </w:r>
      <w:r>
        <w:rPr>
          <w:rFonts w:hint="eastAsia" w:ascii="宋体" w:hAnsi="宋体" w:eastAsia="宋体" w:cs="宋体"/>
          <w:color w:val="auto"/>
          <w:sz w:val="24"/>
          <w:szCs w:val="22"/>
          <w:highlight w:val="none"/>
          <w:lang w:val="zh-TW" w:eastAsia="zh-TW"/>
        </w:rPr>
        <w:t>“信用中国”网站、“中国政府采购网”网站、“四川政府采购”网站（曝光台）、“成都信用”</w:t>
      </w:r>
      <w:r>
        <w:rPr>
          <w:rFonts w:hint="eastAsia" w:ascii="宋体" w:hAnsi="宋体" w:eastAsia="宋体" w:cs="宋体"/>
          <w:color w:val="auto"/>
          <w:sz w:val="24"/>
          <w:szCs w:val="22"/>
          <w:highlight w:val="none"/>
          <w:lang w:val="zh-CN" w:eastAsia="zh-TW"/>
        </w:rPr>
        <w:t>网站等渠道未查询到信息的，视为未被列入失信记录</w:t>
      </w:r>
      <w:r>
        <w:rPr>
          <w:rFonts w:hint="eastAsia" w:ascii="宋体" w:hAnsi="宋体" w:eastAsia="宋体" w:cs="宋体"/>
          <w:color w:val="auto"/>
          <w:sz w:val="24"/>
          <w:szCs w:val="22"/>
          <w:highlight w:val="none"/>
          <w:lang w:val="zh-CN" w:eastAsia="zh-CN"/>
        </w:rPr>
        <w:t>。</w:t>
      </w:r>
    </w:p>
    <w:p>
      <w:pPr>
        <w:pStyle w:val="62"/>
        <w:spacing w:line="400" w:lineRule="exact"/>
        <w:ind w:firstLine="0" w:firstLine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w:t>
      </w:r>
    </w:p>
    <w:p>
      <w:pPr>
        <w:spacing w:line="400" w:lineRule="exact"/>
        <w:ind w:right="172" w:right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本项目确定供应商重大违法记录中经营活动中较大数额罚款的金额标准为：是指对非经营活动中公民的违法行为处以罚款或者没收财产2000元以上、法人或者其他组织的违法行为处以罚款或者没收财产2万元以上;对在经营活动中的违法行为处以罚款或者没收财产5万元以上。国务院有关部门规定的较大数额标准低于前款规定的，从其规定。采购项目所属行业行政主管部门对较大数额罚款金额标准有明文规定的，可以根据采购项目所属行业行政主管部分规定的较大数额罚款金额标准为准；采购项目所属行业行政主管部门对较大数额罚款金额标准未明文规定的，应当以四川省人民政府规定的行政处罚罚款听证标准金额为准。（四川省人民政府令（第317号）《四川省行政处罚听证程序规定》）</w:t>
      </w:r>
    </w:p>
    <w:p>
      <w:pPr>
        <w:numPr>
          <w:ilvl w:val="0"/>
          <w:numId w:val="4"/>
        </w:numPr>
        <w:spacing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供应商应当提供的资格、资质性及其他类似效力要求的相关证明材料详见第四章。</w:t>
      </w:r>
    </w:p>
    <w:p>
      <w:pPr>
        <w:spacing w:line="400" w:lineRule="exact"/>
        <w:ind w:right="172" w:rightChars="5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159" w:name="_Toc1969"/>
      <w:bookmarkStart w:id="160" w:name="_Toc31907"/>
      <w:bookmarkStart w:id="161" w:name="_Toc14043"/>
      <w:bookmarkStart w:id="162" w:name="_Toc23512"/>
      <w:bookmarkStart w:id="163" w:name="_Toc23763"/>
      <w:bookmarkStart w:id="164" w:name="_Toc17163"/>
      <w:bookmarkStart w:id="165" w:name="_Toc8078"/>
      <w:bookmarkStart w:id="166" w:name="_Toc16821_WPSOffice_Level1"/>
      <w:bookmarkStart w:id="167" w:name="_Toc31166"/>
      <w:bookmarkStart w:id="168" w:name="_Toc24892"/>
      <w:bookmarkStart w:id="169" w:name="_Toc4616480"/>
    </w:p>
    <w:p>
      <w:pPr>
        <w:spacing w:line="400" w:lineRule="exact"/>
        <w:ind w:right="172" w:rightChars="50"/>
        <w:jc w:val="center"/>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36"/>
          <w:szCs w:val="36"/>
          <w:highlight w:val="none"/>
        </w:rPr>
        <w:t>第四章  供应商资格证明材料</w:t>
      </w:r>
      <w:bookmarkEnd w:id="159"/>
      <w:bookmarkEnd w:id="160"/>
      <w:bookmarkEnd w:id="161"/>
      <w:bookmarkEnd w:id="162"/>
      <w:bookmarkEnd w:id="163"/>
      <w:bookmarkEnd w:id="164"/>
      <w:bookmarkEnd w:id="165"/>
      <w:bookmarkEnd w:id="166"/>
      <w:bookmarkEnd w:id="167"/>
      <w:bookmarkEnd w:id="168"/>
      <w:bookmarkEnd w:id="169"/>
    </w:p>
    <w:p>
      <w:pPr>
        <w:spacing w:line="400" w:lineRule="exact"/>
        <w:ind w:firstLine="479" w:firstLineChars="196"/>
        <w:rPr>
          <w:rFonts w:hint="eastAsia" w:ascii="宋体" w:hAnsi="宋体" w:eastAsia="宋体" w:cs="宋体"/>
          <w:b/>
          <w:bCs/>
          <w:color w:val="auto"/>
          <w:sz w:val="24"/>
          <w:highlight w:val="none"/>
        </w:rPr>
      </w:pPr>
    </w:p>
    <w:p>
      <w:pPr>
        <w:keepNext w:val="0"/>
        <w:keepLines w:val="0"/>
        <w:pageBreakBefore w:val="0"/>
        <w:kinsoku/>
        <w:overflowPunct/>
        <w:topLinePunct w:val="0"/>
        <w:bidi w:val="0"/>
        <w:spacing w:line="440" w:lineRule="exact"/>
        <w:ind w:firstLine="479" w:firstLineChars="196"/>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一、供应商应提交的资格证明材料</w:t>
      </w:r>
    </w:p>
    <w:p>
      <w:pPr>
        <w:adjustRightInd w:val="0"/>
        <w:snapToGrid w:val="0"/>
        <w:spacing w:line="400" w:lineRule="exact"/>
        <w:ind w:firstLine="479" w:firstLineChars="196"/>
        <w:jc w:val="left"/>
        <w:rPr>
          <w:rFonts w:hint="eastAsia" w:ascii="宋体" w:hAnsi="宋体" w:eastAsia="宋体" w:cs="宋体"/>
          <w:color w:val="auto"/>
          <w:sz w:val="24"/>
          <w:highlight w:val="none"/>
        </w:rPr>
      </w:pPr>
      <w:bookmarkStart w:id="170" w:name="_Toc10760"/>
      <w:bookmarkStart w:id="171" w:name="_Toc30123"/>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TW"/>
        </w:rPr>
        <w:t>具有独立承担民事责任的能力</w:t>
      </w:r>
      <w:r>
        <w:rPr>
          <w:rFonts w:hint="eastAsia" w:ascii="宋体" w:hAnsi="宋体" w:eastAsia="宋体" w:cs="宋体"/>
          <w:color w:val="auto"/>
          <w:sz w:val="24"/>
          <w:highlight w:val="none"/>
        </w:rPr>
        <w:t>（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它组织：提供“对应主管部门颁发的准许执业证明文件或营业执照”；④若为自然人：提供“身份证明材料”。以上均提供复印件）</w:t>
      </w:r>
    </w:p>
    <w:p>
      <w:pPr>
        <w:adjustRightInd w:val="0"/>
        <w:snapToGrid w:val="0"/>
        <w:spacing w:line="400" w:lineRule="exact"/>
        <w:ind w:firstLine="479"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2、有依法缴纳税收和社会保障资金，提供承诺函或提供202</w:t>
      </w:r>
      <w:r>
        <w:rPr>
          <w:rFonts w:hint="eastAsia" w:hAnsi="宋体" w:eastAsia="宋体" w:cs="宋体"/>
          <w:color w:val="auto"/>
          <w:sz w:val="24"/>
          <w:highlight w:val="none"/>
          <w:lang w:val="en-US" w:eastAsia="zh-CN"/>
        </w:rPr>
        <w:t>1</w:t>
      </w:r>
      <w:r>
        <w:rPr>
          <w:rFonts w:hint="eastAsia" w:ascii="宋体" w:hAnsi="宋体" w:eastAsia="宋体" w:cs="宋体"/>
          <w:color w:val="auto"/>
          <w:sz w:val="24"/>
          <w:highlight w:val="none"/>
        </w:rPr>
        <w:t>年以来（任意</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个月）社会保障资金缴纳的证明材料和依法缴纳税收的证明材料（复印件）。依法免税或不需要缴纳社会保障资金的供应商，应提供相应文件证明其依法免税或不需要缴纳社会保障资金。</w:t>
      </w:r>
    </w:p>
    <w:p>
      <w:pPr>
        <w:adjustRightInd w:val="0"/>
        <w:snapToGrid w:val="0"/>
        <w:spacing w:line="400" w:lineRule="exact"/>
        <w:ind w:firstLine="479" w:firstLineChars="196"/>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zh-CN"/>
        </w:rPr>
        <w:t>提供有良好商业信誉的承诺函。</w:t>
      </w:r>
    </w:p>
    <w:p>
      <w:pPr>
        <w:adjustRightInd w:val="0"/>
        <w:snapToGrid w:val="0"/>
        <w:spacing w:line="400" w:lineRule="exact"/>
        <w:ind w:firstLine="479" w:firstLineChars="196"/>
        <w:jc w:val="left"/>
        <w:rPr>
          <w:rFonts w:hint="eastAsia" w:ascii="宋体" w:hAnsi="宋体" w:eastAsia="宋体" w:cs="宋体"/>
          <w:color w:val="auto"/>
          <w:sz w:val="24"/>
          <w:highlight w:val="none"/>
          <w:lang w:val="zh-CN" w:eastAsia="zh-TW"/>
        </w:rPr>
      </w:pPr>
      <w:r>
        <w:rPr>
          <w:rFonts w:hint="eastAsia" w:ascii="宋体" w:hAnsi="宋体" w:eastAsia="宋体" w:cs="宋体"/>
          <w:color w:val="auto"/>
          <w:sz w:val="24"/>
          <w:highlight w:val="none"/>
          <w:lang w:val="zh-CN"/>
        </w:rPr>
        <w:t>健全的财务会计制度，提供财务状况报告或财务报表或银行出具的资信证明复印件，【财务状况报告或财务报表若为第三方机构出具至少包含资产负债表、现金流量表、利润表（或损益表）；若为供应商自行出具至少包含资产负债表；】新成立不足1年或1个财务年度的可提供加盖公章的验资报告或营业执照副本复印件或资产负债表；非营利性单位或其他机关事业单位以符合财务会计制度为准。供应商为自然人的须提供承诺函。</w:t>
      </w:r>
    </w:p>
    <w:p>
      <w:pPr>
        <w:adjustRightInd w:val="0"/>
        <w:snapToGrid w:val="0"/>
        <w:spacing w:line="400" w:lineRule="exact"/>
        <w:ind w:firstLine="479"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4、具有履行合同所必需的设备和专业技术能力的承诺函。</w:t>
      </w:r>
    </w:p>
    <w:p>
      <w:pPr>
        <w:keepNext w:val="0"/>
        <w:keepLines w:val="0"/>
        <w:pageBreakBefore w:val="0"/>
        <w:widowControl w:val="0"/>
        <w:kinsoku/>
        <w:overflowPunct/>
        <w:topLinePunct w:val="0"/>
        <w:bidi w:val="0"/>
        <w:adjustRightInd w:val="0"/>
        <w:snapToGrid w:val="0"/>
        <w:spacing w:line="440" w:lineRule="exact"/>
        <w:ind w:firstLine="479" w:firstLineChars="196"/>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参加本次政府采购活动前三年内，在经营活动中没有重大违法记录的承诺函(成立不足三年的从成立之日起计算)（1、所称重大违法记录，是指供应商因违法经营受到刑事处罚或者责令停产停业、吊销许可证或者执照、较大数额罚款等行政处罚。2、本项目确定供应商重大违法记录中较大数额罚款的金额标准为：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对非经营活动中公民的违法行为处以罚款或者没收财产2000元以上、法人或者其他组织的违法行为处以罚款或者没收财产2万元以上；对在经营活动中的违法行为处以罚款或者没收财产5万元以上。）。</w:t>
      </w:r>
    </w:p>
    <w:p>
      <w:pPr>
        <w:tabs>
          <w:tab w:val="left" w:pos="7665"/>
        </w:tabs>
        <w:spacing w:line="460" w:lineRule="exact"/>
        <w:ind w:firstLine="612"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、根据本项目的特殊性提出的特定资格要求：供应商需取得《会计师事务所执业证书》，并在有效期限内</w:t>
      </w:r>
      <w:r>
        <w:rPr>
          <w:rFonts w:hint="eastAsia" w:ascii="宋体" w:hAnsi="宋体" w:eastAsia="宋体" w:cs="宋体"/>
          <w:color w:val="auto"/>
          <w:sz w:val="24"/>
          <w:highlight w:val="none"/>
          <w:lang w:eastAsia="zh-CN"/>
        </w:rPr>
        <w:t>，提供证明材料</w:t>
      </w:r>
      <w:r>
        <w:rPr>
          <w:rFonts w:hint="eastAsia" w:ascii="宋体" w:hAnsi="宋体" w:eastAsia="宋体" w:cs="宋体"/>
          <w:color w:val="auto"/>
          <w:sz w:val="24"/>
          <w:highlight w:val="none"/>
        </w:rPr>
        <w:t>。</w:t>
      </w:r>
    </w:p>
    <w:p>
      <w:pPr>
        <w:tabs>
          <w:tab w:val="left" w:pos="7665"/>
        </w:tabs>
        <w:spacing w:line="460" w:lineRule="exact"/>
        <w:ind w:firstLine="612"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7、本项目专门面向中小微企业（残疾人企业、监狱企业、符合中小企业划分标准的个体工商户）采购，提供中小企业声明函。</w:t>
      </w:r>
    </w:p>
    <w:p>
      <w:pPr>
        <w:keepNext w:val="0"/>
        <w:keepLines w:val="0"/>
        <w:pageBreakBefore w:val="0"/>
        <w:kinsoku/>
        <w:overflowPunct/>
        <w:topLinePunct w:val="0"/>
        <w:bidi w:val="0"/>
        <w:spacing w:before="100" w:after="100" w:line="440" w:lineRule="exact"/>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二、其他要求</w:t>
      </w:r>
    </w:p>
    <w:p>
      <w:pPr>
        <w:keepNext w:val="0"/>
        <w:keepLines w:val="0"/>
        <w:pageBreakBefore w:val="0"/>
        <w:kinsoku/>
        <w:overflowPunct/>
        <w:topLinePunct w:val="0"/>
        <w:bidi w:val="0"/>
        <w:adjustRightInd w:val="0"/>
        <w:snapToGrid w:val="0"/>
        <w:spacing w:line="440" w:lineRule="exact"/>
        <w:ind w:firstLine="479" w:firstLineChars="196"/>
        <w:jc w:val="left"/>
        <w:textAlignment w:val="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color w:val="auto"/>
          <w:sz w:val="24"/>
          <w:highlight w:val="none"/>
        </w:rPr>
        <w:t>提供法定代表人/单位负责人授权书原件及法人或单位负责人和授权代表身份证复印件（法人代表参加谈判只需提供法人身份证复印件）。</w:t>
      </w:r>
    </w:p>
    <w:p>
      <w:pPr>
        <w:spacing w:line="460" w:lineRule="exact"/>
        <w:ind w:firstLine="49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、根据财政部、发展改革委、生态环境部、市场监管总局联合发布《关于调整优化节能产品、环境标志产品政府采购执行机制的通知》(财库〔2019〕9 号)，对政府采购节能产品、环境标志产品实施品目清单管理，本项目如涉及政府强制采购产品（节能产品政府采购品目清单中★号产品），供应商在投标时须按照《关于印发节能产品政府采购品目清单的通知》（财库〔2019〕19号）要求提供认证机构名录内单位出具的节能产品认证证书，否则其投标文件将被视为无效响应处理。认证机构名录详见《参与实施政府采购节能产品认证机构名录》。（如涉及）</w:t>
      </w:r>
    </w:p>
    <w:p>
      <w:pPr>
        <w:spacing w:line="460" w:lineRule="exact"/>
        <w:ind w:firstLine="367" w:firstLineChars="1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强制采购产品类别如下：</w:t>
      </w:r>
    </w:p>
    <w:p>
      <w:pPr>
        <w:spacing w:line="400" w:lineRule="exact"/>
        <w:ind w:firstLine="490" w:firstLineChars="200"/>
        <w:rPr>
          <w:rFonts w:hint="eastAsia" w:ascii="宋体" w:hAnsi="宋体" w:eastAsia="宋体" w:cs="宋体"/>
          <w:color w:val="auto"/>
          <w:highlight w:val="none"/>
        </w:rPr>
      </w:pPr>
      <w:r>
        <w:rPr>
          <w:rFonts w:hint="eastAsia" w:ascii="宋体" w:hAnsi="宋体" w:eastAsia="宋体" w:cs="宋体"/>
          <w:color w:val="auto"/>
          <w:sz w:val="24"/>
          <w:highlight w:val="none"/>
          <w:lang w:val="zh-CN"/>
        </w:rPr>
        <w:t>台式计算机，便携式计算机，平板式微型计算机，激光打印机，针式打印机，液晶显示器，制冷压缩机(指冷水机组、水源热泵机组、溴化锂吸收式冷水机组)，空调机组[指多联式空调（热泵）机组(制冷量&gt;14000W)、单元式空气调节机(制冷量&gt;14000W)]，专用制冷、空调设备（指机房空调），镇流器（指管型荧光灯镇流器），空调机[指房间空气调节器、多联式空调（热泵）机组（制冷量≤14000W）、单元式空气调节机(制冷量≤14000W)]，电热水器，普通照明用双端荧光灯，电视设备[指普通电视设备（电视机）]，视频设备（指监视器），便器（指坐便器、蹲便器、小便器），水嘴。</w:t>
      </w:r>
    </w:p>
    <w:p>
      <w:pPr>
        <w:spacing w:line="460" w:lineRule="exact"/>
        <w:ind w:firstLine="49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3、技术参数中如涉及到3C强制认证产品或其他国家强制要求均满足相关要求，投标时提供《中国强制性产品认证》（3C证书）或其他国家强制要求证明材料复印件,或提供承诺函，承诺中标后签订合同前向采购人提供。（如涉及）</w:t>
      </w:r>
      <w:r>
        <w:rPr>
          <w:rFonts w:hint="eastAsia" w:ascii="宋体" w:hAnsi="宋体" w:eastAsia="宋体" w:cs="宋体"/>
          <w:color w:val="auto"/>
          <w:sz w:val="24"/>
          <w:highlight w:val="none"/>
          <w:lang w:val="zh-CN"/>
        </w:rPr>
        <w:t>台式计算机，便携式计算机，平板式微型计算机，激光打印机，针式打印机，液晶显示器，制冷压缩机(指冷水机组、水源热泵机组、溴化锂吸收式冷水机组)，空调机组[指多联式空调（热泵）机组(制冷量&gt;14000W)、单元式空气调节机(制冷量&gt;14000W)]，专用制冷、空调设备（指机房空调），镇流器（指管型荧光灯镇流器），空调机[指房间空气调节器、多联式空调（热泵）机组（制冷量≤14000W）、单元式空气调节机(制冷量≤14000W)]，电热水器，普通照明用双端荧光灯，电视设备[指普通电视设备（电视机）]，视频设备（指监视器），便器（指坐便器、蹲便器、小便器），水嘴。</w:t>
      </w:r>
    </w:p>
    <w:p>
      <w:pPr>
        <w:keepNext w:val="0"/>
        <w:keepLines w:val="0"/>
        <w:pageBreakBefore w:val="0"/>
        <w:kinsoku/>
        <w:wordWrap w:val="0"/>
        <w:overflowPunct/>
        <w:topLinePunct w:val="0"/>
        <w:bidi w:val="0"/>
        <w:adjustRightInd w:val="0"/>
        <w:snapToGrid w:val="0"/>
        <w:spacing w:line="440" w:lineRule="exact"/>
        <w:ind w:firstLine="479" w:firstLineChars="196"/>
        <w:jc w:val="left"/>
        <w:textAlignment w:val="auto"/>
        <w:rPr>
          <w:rFonts w:hint="eastAsia" w:ascii="宋体" w:hAnsi="宋体" w:eastAsia="宋体" w:cs="宋体"/>
          <w:color w:val="auto"/>
          <w:sz w:val="24"/>
          <w:highlight w:val="none"/>
        </w:rPr>
      </w:pPr>
      <w:r>
        <w:rPr>
          <w:rFonts w:hint="eastAsia" w:hAnsi="宋体" w:eastAsia="宋体" w:cs="宋体"/>
          <w:color w:val="auto"/>
          <w:sz w:val="24"/>
          <w:highlight w:val="none"/>
          <w:lang w:val="en-US" w:eastAsia="zh-CN"/>
        </w:rPr>
        <w:t>4</w:t>
      </w:r>
      <w:r>
        <w:rPr>
          <w:rFonts w:hint="eastAsia" w:ascii="宋体" w:hAnsi="宋体" w:eastAsia="宋体" w:cs="宋体"/>
          <w:color w:val="auto"/>
          <w:sz w:val="24"/>
          <w:highlight w:val="none"/>
        </w:rPr>
        <w:t>、供应商单位不得具有行贿犯罪记录，提供承诺函。</w:t>
      </w:r>
    </w:p>
    <w:p>
      <w:pPr>
        <w:tabs>
          <w:tab w:val="left" w:pos="7665"/>
        </w:tabs>
        <w:spacing w:line="400" w:lineRule="exact"/>
        <w:ind w:firstLine="490" w:firstLineChars="200"/>
        <w:rPr>
          <w:rFonts w:hint="eastAsia" w:ascii="宋体" w:hAnsi="宋体" w:eastAsia="宋体" w:cs="宋体"/>
          <w:color w:val="auto"/>
          <w:highlight w:val="none"/>
        </w:rPr>
      </w:pPr>
      <w:r>
        <w:rPr>
          <w:rFonts w:hint="eastAsia" w:hAnsi="宋体" w:eastAsia="宋体" w:cs="宋体"/>
          <w:color w:val="auto"/>
          <w:sz w:val="24"/>
          <w:highlight w:val="none"/>
          <w:lang w:val="en-US" w:eastAsia="zh-CN"/>
        </w:rPr>
        <w:t>5</w:t>
      </w:r>
      <w:r>
        <w:rPr>
          <w:rFonts w:hint="eastAsia" w:ascii="宋体" w:hAnsi="宋体" w:eastAsia="宋体" w:cs="宋体"/>
          <w:color w:val="auto"/>
          <w:sz w:val="24"/>
          <w:highlight w:val="none"/>
        </w:rPr>
        <w:t>、根据《成都市财政局关于在政府采购活动中查询及使用信用记录的通知》（成财采〔2017〕26号）的要求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zh-TW"/>
        </w:rPr>
        <w:t>截止至</w:t>
      </w:r>
      <w:r>
        <w:rPr>
          <w:rFonts w:hint="eastAsia" w:ascii="宋体" w:hAnsi="宋体" w:eastAsia="宋体" w:cs="宋体"/>
          <w:bCs/>
          <w:color w:val="auto"/>
          <w:sz w:val="24"/>
          <w:szCs w:val="24"/>
          <w:highlight w:val="none"/>
          <w:lang w:eastAsia="zh-CN"/>
        </w:rPr>
        <w:t>谈判</w:t>
      </w:r>
      <w:r>
        <w:rPr>
          <w:rFonts w:hint="eastAsia" w:ascii="宋体" w:hAnsi="宋体" w:eastAsia="宋体" w:cs="宋体"/>
          <w:bCs/>
          <w:color w:val="auto"/>
          <w:sz w:val="24"/>
          <w:szCs w:val="24"/>
          <w:highlight w:val="none"/>
        </w:rPr>
        <w:t>截止时间当日</w:t>
      </w:r>
      <w:r>
        <w:rPr>
          <w:rFonts w:hint="eastAsia" w:ascii="宋体" w:hAnsi="宋体" w:eastAsia="宋体" w:cs="宋体"/>
          <w:color w:val="auto"/>
          <w:sz w:val="24"/>
          <w:highlight w:val="none"/>
          <w:lang w:val="zh-TW" w:eastAsia="zh-TW"/>
        </w:rPr>
        <w:t>，采购代理机构将通过“信用中国”网站、“中国政府采购网”网站、“四川政府采购”网站（曝光台）、“成都信用”网站等渠道查询供应商的信用记录并保存信用记录结果网页截图，拒绝列入失信被执行人、重大税收违法案件当事人名单、政府采购严重违法失信行为记录名单中的供应商参加本项目的政府采购活动。</w:t>
      </w:r>
      <w:r>
        <w:rPr>
          <w:rFonts w:hint="eastAsia" w:ascii="宋体" w:hAnsi="宋体" w:eastAsia="宋体" w:cs="宋体"/>
          <w:color w:val="auto"/>
          <w:sz w:val="24"/>
          <w:highlight w:val="none"/>
          <w:lang w:val="zh-CN" w:eastAsia="zh-TW"/>
        </w:rPr>
        <w:t>如相关失信记录已失效，供应商须提供相关证明材料,若因投标人为事业单位、团体组织、自然人等原因，在</w:t>
      </w:r>
      <w:r>
        <w:rPr>
          <w:rFonts w:hint="eastAsia" w:ascii="宋体" w:hAnsi="宋体" w:eastAsia="宋体" w:cs="宋体"/>
          <w:color w:val="auto"/>
          <w:sz w:val="24"/>
          <w:highlight w:val="none"/>
          <w:lang w:val="zh-TW" w:eastAsia="zh-TW"/>
        </w:rPr>
        <w:t>“信用中国”网站、“中国政府采购网”网站、“四川政府采购”网站（曝光台）、“成都信用”</w:t>
      </w:r>
      <w:r>
        <w:rPr>
          <w:rFonts w:hint="eastAsia" w:ascii="宋体" w:hAnsi="宋体" w:eastAsia="宋体" w:cs="宋体"/>
          <w:color w:val="auto"/>
          <w:sz w:val="24"/>
          <w:highlight w:val="none"/>
          <w:lang w:val="zh-CN" w:eastAsia="zh-TW"/>
        </w:rPr>
        <w:t>网站等渠道未查询到信息的，视为未被列入失信记录。本条由代理机构查询。</w:t>
      </w:r>
    </w:p>
    <w:p>
      <w:pPr>
        <w:adjustRightInd w:val="0"/>
        <w:snapToGrid w:val="0"/>
        <w:spacing w:line="360" w:lineRule="auto"/>
        <w:ind w:firstLine="245" w:firstLineChars="100"/>
        <w:jc w:val="left"/>
        <w:rPr>
          <w:rFonts w:hint="eastAsia" w:ascii="宋体" w:hAnsi="宋体" w:eastAsia="宋体" w:cs="宋体"/>
          <w:b/>
          <w:bCs/>
          <w:color w:val="auto"/>
          <w:sz w:val="24"/>
          <w:highlight w:val="none"/>
        </w:rPr>
      </w:pPr>
      <w:bookmarkStart w:id="172" w:name="_Toc25645"/>
      <w:bookmarkStart w:id="173" w:name="_Toc23353"/>
      <w:bookmarkStart w:id="174" w:name="_Toc6133"/>
      <w:bookmarkStart w:id="175" w:name="_Toc8942"/>
      <w:bookmarkStart w:id="176" w:name="_Toc8823"/>
      <w:bookmarkStart w:id="177" w:name="_Toc16226"/>
      <w:bookmarkStart w:id="178" w:name="_Toc984"/>
      <w:r>
        <w:rPr>
          <w:rFonts w:hint="eastAsia" w:ascii="宋体" w:hAnsi="宋体" w:eastAsia="宋体" w:cs="宋体"/>
          <w:b/>
          <w:bCs/>
          <w:color w:val="auto"/>
          <w:sz w:val="24"/>
          <w:highlight w:val="none"/>
        </w:rPr>
        <w:t>注：1、以上证明材料均需加盖供应商鲜章，或以骑缝章代替。</w:t>
      </w:r>
    </w:p>
    <w:p>
      <w:pPr>
        <w:adjustRightInd w:val="0"/>
        <w:snapToGrid w:val="0"/>
        <w:spacing w:line="360" w:lineRule="auto"/>
        <w:ind w:firstLine="735" w:firstLineChars="3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2、本章要求提供的相关证明材料应当结合采购项目具体情况和供应商的组织机构性质确定，不得一概而论。</w:t>
      </w:r>
    </w:p>
    <w:p>
      <w:pPr>
        <w:pStyle w:val="6"/>
        <w:ind w:firstLine="430"/>
        <w:rPr>
          <w:rFonts w:hint="eastAsia" w:ascii="宋体" w:hAnsi="宋体" w:eastAsia="宋体" w:cs="宋体"/>
          <w:color w:val="auto"/>
          <w:highlight w:val="none"/>
        </w:rPr>
        <w:sectPr>
          <w:pgSz w:w="11850" w:h="16783"/>
          <w:pgMar w:top="1440" w:right="1083" w:bottom="1440" w:left="1083" w:header="851" w:footer="992" w:gutter="0"/>
          <w:pgNumType w:fmt="decimal"/>
          <w:cols w:space="720" w:num="1"/>
          <w:docGrid w:type="linesAndChars" w:linePitch="463" w:charSpace="1024"/>
        </w:sectPr>
      </w:pPr>
    </w:p>
    <w:bookmarkEnd w:id="42"/>
    <w:bookmarkEnd w:id="43"/>
    <w:bookmarkEnd w:id="44"/>
    <w:bookmarkEnd w:id="45"/>
    <w:bookmarkEnd w:id="46"/>
    <w:bookmarkEnd w:id="170"/>
    <w:bookmarkEnd w:id="171"/>
    <w:bookmarkEnd w:id="172"/>
    <w:bookmarkEnd w:id="173"/>
    <w:bookmarkEnd w:id="174"/>
    <w:bookmarkEnd w:id="175"/>
    <w:bookmarkEnd w:id="176"/>
    <w:bookmarkEnd w:id="177"/>
    <w:bookmarkEnd w:id="178"/>
    <w:p>
      <w:pPr>
        <w:spacing w:line="360" w:lineRule="auto"/>
        <w:jc w:val="center"/>
        <w:rPr>
          <w:rFonts w:hint="eastAsia" w:ascii="宋体" w:hAnsi="宋体" w:eastAsia="宋体" w:cs="宋体"/>
          <w:b/>
          <w:color w:val="auto"/>
          <w:sz w:val="32"/>
          <w:szCs w:val="32"/>
          <w:highlight w:val="none"/>
        </w:rPr>
      </w:pPr>
      <w:bookmarkStart w:id="179" w:name="_Toc24924"/>
      <w:bookmarkStart w:id="180" w:name="_Toc32561"/>
      <w:bookmarkStart w:id="181" w:name="_Toc2907"/>
      <w:bookmarkStart w:id="182" w:name="_Toc183582232"/>
      <w:bookmarkStart w:id="183" w:name="_Toc183682369"/>
      <w:bookmarkStart w:id="184" w:name="_Toc217446057"/>
    </w:p>
    <w:p>
      <w:pPr>
        <w:keepNext w:val="0"/>
        <w:keepLines w:val="0"/>
        <w:pageBreakBefore/>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color w:val="auto"/>
          <w:highlight w:val="none"/>
        </w:rPr>
      </w:pPr>
      <w:bookmarkStart w:id="185" w:name="_Toc4616481"/>
      <w:bookmarkStart w:id="186" w:name="_Toc335_WPSOffice_Level1"/>
      <w:bookmarkStart w:id="187" w:name="_Toc4616487"/>
      <w:bookmarkStart w:id="188" w:name="_Toc209"/>
      <w:r>
        <w:rPr>
          <w:rFonts w:hint="eastAsia" w:ascii="宋体" w:hAnsi="宋体" w:eastAsia="宋体" w:cs="宋体"/>
          <w:b/>
          <w:color w:val="auto"/>
          <w:sz w:val="36"/>
          <w:szCs w:val="36"/>
          <w:highlight w:val="none"/>
        </w:rPr>
        <w:t>第五章 采购项目技术、服务、政府采购合同内容条款及其他商务要求</w:t>
      </w:r>
      <w:bookmarkEnd w:id="185"/>
      <w:bookmarkEnd w:id="186"/>
    </w:p>
    <w:p>
      <w:pPr>
        <w:pageBreakBefore w:val="0"/>
        <w:widowControl w:val="0"/>
        <w:kinsoku/>
        <w:wordWrap/>
        <w:overflowPunct/>
        <w:topLinePunct w:val="0"/>
        <w:autoSpaceDE/>
        <w:autoSpaceDN/>
        <w:bidi w:val="0"/>
        <w:adjustRightInd/>
        <w:snapToGrid/>
        <w:spacing w:line="400" w:lineRule="exact"/>
        <w:ind w:firstLine="650" w:firstLineChars="200"/>
        <w:jc w:val="center"/>
        <w:textAlignment w:val="auto"/>
        <w:rPr>
          <w:rFonts w:hint="eastAsia" w:ascii="宋体" w:hAnsi="宋体" w:eastAsia="宋体" w:cs="宋体"/>
          <w:b/>
          <w:bCs/>
          <w:color w:val="auto"/>
          <w:sz w:val="32"/>
          <w:szCs w:val="32"/>
          <w:highlight w:val="none"/>
          <w:lang w:eastAsia="zh-CN"/>
        </w:rPr>
      </w:pPr>
      <w:bookmarkStart w:id="189" w:name="_Toc23220"/>
      <w:bookmarkStart w:id="190" w:name="_Toc10005"/>
      <w:bookmarkStart w:id="191" w:name="_Toc30401"/>
      <w:bookmarkStart w:id="192" w:name="_Toc4248"/>
      <w:bookmarkStart w:id="193" w:name="_Toc17325"/>
      <w:bookmarkStart w:id="194" w:name="_Toc16577_WPSOffice_Level1"/>
      <w:bookmarkStart w:id="195" w:name="_Toc26815"/>
      <w:bookmarkStart w:id="196" w:name="_Toc2364"/>
      <w:bookmarkStart w:id="197" w:name="_Toc4616484"/>
      <w:bookmarkStart w:id="198" w:name="_Toc26257"/>
      <w:bookmarkStart w:id="199" w:name="_Toc8933"/>
    </w:p>
    <w:p>
      <w:pPr>
        <w:pStyle w:val="15"/>
        <w:snapToGrid w:val="0"/>
        <w:spacing w:line="360" w:lineRule="auto"/>
        <w:jc w:val="center"/>
        <w:rPr>
          <w:rFonts w:hAnsi="宋体"/>
          <w:b/>
          <w:bCs/>
          <w:color w:val="auto"/>
          <w:sz w:val="28"/>
          <w:szCs w:val="28"/>
          <w:highlight w:val="none"/>
        </w:rPr>
      </w:pPr>
      <w:r>
        <w:rPr>
          <w:rFonts w:hint="eastAsia" w:hAnsi="宋体"/>
          <w:b/>
          <w:bCs/>
          <w:color w:val="auto"/>
          <w:sz w:val="28"/>
          <w:szCs w:val="28"/>
          <w:highlight w:val="none"/>
        </w:rPr>
        <w:t>(一)服务要求</w:t>
      </w:r>
    </w:p>
    <w:p>
      <w:pPr>
        <w:spacing w:line="240" w:lineRule="auto"/>
        <w:rPr>
          <w:rFonts w:hAnsi="宋体" w:cs="宋体"/>
          <w:b/>
          <w:bCs/>
          <w:color w:val="auto"/>
          <w:sz w:val="24"/>
          <w:highlight w:val="none"/>
        </w:rPr>
      </w:pPr>
      <w:r>
        <w:rPr>
          <w:rFonts w:hint="eastAsia" w:hAnsi="宋体" w:cs="宋体"/>
          <w:b/>
          <w:bCs/>
          <w:color w:val="auto"/>
          <w:sz w:val="24"/>
          <w:highlight w:val="none"/>
        </w:rPr>
        <w:t>一、项目概述</w:t>
      </w:r>
    </w:p>
    <w:p>
      <w:pPr>
        <w:spacing w:line="240" w:lineRule="auto"/>
        <w:ind w:firstLine="612" w:firstLineChars="250"/>
        <w:rPr>
          <w:rFonts w:hAnsi="宋体" w:cs="宋体"/>
          <w:color w:val="auto"/>
          <w:sz w:val="24"/>
          <w:highlight w:val="none"/>
        </w:rPr>
      </w:pPr>
      <w:r>
        <w:rPr>
          <w:rFonts w:hAnsi="宋体" w:cs="宋体"/>
          <w:color w:val="auto"/>
          <w:sz w:val="24"/>
          <w:highlight w:val="none"/>
        </w:rPr>
        <w:t>成都市公安局</w:t>
      </w:r>
      <w:r>
        <w:rPr>
          <w:rFonts w:hint="eastAsia" w:hAnsi="宋体" w:cs="宋体"/>
          <w:color w:val="auto"/>
          <w:sz w:val="24"/>
          <w:highlight w:val="none"/>
        </w:rPr>
        <w:t>需对</w:t>
      </w:r>
      <w:r>
        <w:rPr>
          <w:rFonts w:hint="eastAsia" w:hAnsi="宋体" w:cs="宋体"/>
          <w:color w:val="auto"/>
          <w:sz w:val="24"/>
          <w:highlight w:val="none"/>
          <w:lang w:val="en-US" w:eastAsia="zh-CN"/>
        </w:rPr>
        <w:t>2014年至2017年</w:t>
      </w:r>
      <w:r>
        <w:rPr>
          <w:rFonts w:hint="eastAsia" w:hAnsi="宋体" w:cs="宋体"/>
          <w:color w:val="auto"/>
          <w:sz w:val="24"/>
          <w:highlight w:val="none"/>
        </w:rPr>
        <w:t>涉案的两个项目共计约100亿元资金实际使用情况进行</w:t>
      </w:r>
      <w:r>
        <w:rPr>
          <w:rFonts w:hAnsi="宋体" w:cs="宋体"/>
          <w:color w:val="auto"/>
          <w:sz w:val="24"/>
          <w:highlight w:val="none"/>
        </w:rPr>
        <w:t>司法</w:t>
      </w:r>
      <w:r>
        <w:rPr>
          <w:rFonts w:hint="eastAsia" w:hAnsi="宋体" w:cs="宋体"/>
          <w:color w:val="auto"/>
          <w:sz w:val="24"/>
          <w:highlight w:val="none"/>
        </w:rPr>
        <w:t>审计，涉及到对相关公司资金流水、财务项目类别和银行凭证</w:t>
      </w:r>
      <w:r>
        <w:rPr>
          <w:rFonts w:hint="eastAsia" w:hAnsi="宋体" w:cs="宋体"/>
          <w:color w:val="auto"/>
          <w:sz w:val="24"/>
          <w:highlight w:val="none"/>
          <w:lang w:eastAsia="zh-CN"/>
        </w:rPr>
        <w:t>等</w:t>
      </w:r>
      <w:r>
        <w:rPr>
          <w:rFonts w:hint="eastAsia" w:hAnsi="宋体" w:cs="宋体"/>
          <w:color w:val="auto"/>
          <w:sz w:val="24"/>
          <w:highlight w:val="none"/>
        </w:rPr>
        <w:t>进行审核，项目</w:t>
      </w:r>
      <w:r>
        <w:rPr>
          <w:rFonts w:hAnsi="宋体" w:cs="宋体"/>
          <w:color w:val="auto"/>
          <w:sz w:val="24"/>
          <w:highlight w:val="none"/>
        </w:rPr>
        <w:t>采购</w:t>
      </w:r>
      <w:r>
        <w:rPr>
          <w:rFonts w:hint="eastAsia" w:hAnsi="宋体" w:cs="宋体"/>
          <w:color w:val="auto"/>
          <w:sz w:val="24"/>
          <w:highlight w:val="none"/>
        </w:rPr>
        <w:t>预算90万元。</w:t>
      </w:r>
    </w:p>
    <w:p>
      <w:pPr>
        <w:spacing w:line="240" w:lineRule="auto"/>
        <w:rPr>
          <w:rFonts w:hAnsi="宋体" w:cs="宋体"/>
          <w:b/>
          <w:bCs/>
          <w:color w:val="auto"/>
          <w:sz w:val="24"/>
          <w:highlight w:val="none"/>
        </w:rPr>
      </w:pPr>
      <w:r>
        <w:rPr>
          <w:rFonts w:hint="eastAsia" w:hAnsi="宋体" w:cs="宋体"/>
          <w:b/>
          <w:bCs/>
          <w:color w:val="auto"/>
          <w:sz w:val="24"/>
          <w:highlight w:val="none"/>
        </w:rPr>
        <w:t>二、服务内容及范围</w:t>
      </w:r>
    </w:p>
    <w:p>
      <w:pPr>
        <w:spacing w:line="240" w:lineRule="auto"/>
        <w:ind w:firstLine="490" w:firstLineChars="200"/>
        <w:rPr>
          <w:rFonts w:hAnsi="宋体" w:cs="宋体"/>
          <w:color w:val="auto"/>
          <w:sz w:val="24"/>
          <w:highlight w:val="none"/>
        </w:rPr>
      </w:pPr>
      <w:r>
        <w:rPr>
          <w:rFonts w:hint="eastAsia" w:hAnsi="宋体" w:cs="宋体"/>
          <w:color w:val="auto"/>
          <w:sz w:val="24"/>
          <w:highlight w:val="none"/>
        </w:rPr>
        <w:t>1、服务实现目标：</w:t>
      </w:r>
    </w:p>
    <w:p>
      <w:pPr>
        <w:spacing w:line="240" w:lineRule="auto"/>
        <w:ind w:firstLine="490" w:firstLineChars="200"/>
        <w:rPr>
          <w:rFonts w:hAnsi="宋体" w:cs="宋体"/>
          <w:color w:val="auto"/>
          <w:sz w:val="24"/>
          <w:highlight w:val="none"/>
        </w:rPr>
      </w:pPr>
      <w:r>
        <w:rPr>
          <w:rFonts w:hint="eastAsia" w:hAnsi="宋体" w:cs="宋体"/>
          <w:color w:val="auto"/>
          <w:sz w:val="24"/>
          <w:highlight w:val="none"/>
        </w:rPr>
        <w:t>1.1供应商应根据采购人提供的公司的银行流水、财务凭证、货物供销合同、采购清单等相关资料进行分析，以确定涉案的公司使用资金是否有违法违规行为，资金使用真实流向以及真实使用公司或个人，以及涉嫌违法犯罪的行为。</w:t>
      </w:r>
    </w:p>
    <w:p>
      <w:pPr>
        <w:spacing w:line="240" w:lineRule="auto"/>
        <w:ind w:firstLine="490" w:firstLineChars="200"/>
        <w:rPr>
          <w:rFonts w:hAnsi="宋体" w:cs="宋体"/>
          <w:color w:val="auto"/>
          <w:sz w:val="24"/>
          <w:highlight w:val="none"/>
        </w:rPr>
      </w:pPr>
      <w:r>
        <w:rPr>
          <w:rFonts w:hint="eastAsia" w:hAnsi="宋体" w:cs="宋体"/>
          <w:color w:val="auto"/>
          <w:sz w:val="24"/>
          <w:highlight w:val="none"/>
        </w:rPr>
        <w:t>1.2供应商应根据采购人提供的相关公司财务账本和银行流水，分析判断公司财务状况、经营状况等情况。公司与客户在采购往来中是否存在出入库记录异常等情况，对利用资金的支出项目和与客户的交易往来项目是否真实进行分析审计，并出具审计意见。</w:t>
      </w:r>
    </w:p>
    <w:p>
      <w:pPr>
        <w:spacing w:line="240" w:lineRule="auto"/>
        <w:ind w:firstLine="490" w:firstLineChars="200"/>
        <w:rPr>
          <w:rFonts w:hAnsi="宋体" w:cs="宋体"/>
          <w:color w:val="auto"/>
          <w:sz w:val="24"/>
          <w:highlight w:val="none"/>
        </w:rPr>
      </w:pPr>
      <w:r>
        <w:rPr>
          <w:rFonts w:hint="eastAsia" w:hAnsi="宋体" w:cs="宋体"/>
          <w:color w:val="auto"/>
          <w:sz w:val="24"/>
          <w:highlight w:val="none"/>
        </w:rPr>
        <w:t>2、服务需执行的相关标准规范:按照财物制度标准及现行相关标准规范执行。</w:t>
      </w:r>
    </w:p>
    <w:p>
      <w:pPr>
        <w:spacing w:line="240" w:lineRule="auto"/>
        <w:ind w:firstLine="490" w:firstLineChars="200"/>
        <w:rPr>
          <w:rFonts w:hAnsi="宋体" w:cs="宋体"/>
          <w:color w:val="auto"/>
          <w:sz w:val="24"/>
          <w:szCs w:val="22"/>
          <w:highlight w:val="none"/>
        </w:rPr>
      </w:pPr>
      <w:r>
        <w:rPr>
          <w:rFonts w:hint="eastAsia" w:hAnsi="宋体" w:cs="宋体"/>
          <w:color w:val="auto"/>
          <w:sz w:val="24"/>
          <w:szCs w:val="22"/>
          <w:highlight w:val="none"/>
        </w:rPr>
        <w:t>注：</w:t>
      </w:r>
      <w:r>
        <w:rPr>
          <w:rFonts w:hint="eastAsia" w:hAnsi="宋体" w:cs="宋体"/>
          <w:color w:val="auto"/>
          <w:sz w:val="24"/>
          <w:szCs w:val="24"/>
          <w:highlight w:val="none"/>
        </w:rPr>
        <w:t>在整个项目的审计过程中，供应商的服务范围包括但不仅限于审计服务工作，若采购人需供应商配合与本项目有关的工作，供应商应积极配合。</w:t>
      </w:r>
    </w:p>
    <w:p>
      <w:pPr>
        <w:spacing w:line="240" w:lineRule="auto"/>
        <w:rPr>
          <w:rFonts w:hAnsi="宋体" w:cs="宋体"/>
          <w:b/>
          <w:bCs/>
          <w:color w:val="auto"/>
          <w:sz w:val="24"/>
          <w:highlight w:val="none"/>
        </w:rPr>
      </w:pPr>
      <w:r>
        <w:rPr>
          <w:rFonts w:hint="eastAsia" w:hAnsi="宋体" w:cs="宋体"/>
          <w:b/>
          <w:bCs/>
          <w:color w:val="auto"/>
          <w:sz w:val="24"/>
          <w:highlight w:val="none"/>
        </w:rPr>
        <w:t>三、其他要求</w:t>
      </w:r>
    </w:p>
    <w:p>
      <w:pPr>
        <w:spacing w:line="240" w:lineRule="auto"/>
        <w:ind w:firstLine="490" w:firstLineChars="200"/>
        <w:rPr>
          <w:rFonts w:hint="eastAsia" w:hAnsi="宋体" w:cs="宋体"/>
          <w:color w:val="auto"/>
          <w:sz w:val="24"/>
          <w:highlight w:val="none"/>
        </w:rPr>
      </w:pPr>
      <w:r>
        <w:rPr>
          <w:rFonts w:hAnsi="宋体" w:cs="宋体"/>
          <w:color w:val="auto"/>
          <w:sz w:val="24"/>
          <w:highlight w:val="none"/>
        </w:rPr>
        <w:t>保密条款：</w:t>
      </w:r>
      <w:r>
        <w:rPr>
          <w:rFonts w:hint="eastAsia" w:hAnsi="宋体" w:cs="宋体"/>
          <w:color w:val="auto"/>
          <w:sz w:val="24"/>
          <w:highlight w:val="none"/>
        </w:rPr>
        <w:t>供应商</w:t>
      </w:r>
      <w:r>
        <w:rPr>
          <w:rFonts w:hAnsi="宋体" w:cs="宋体"/>
          <w:color w:val="auto"/>
          <w:sz w:val="24"/>
          <w:highlight w:val="none"/>
        </w:rPr>
        <w:t>应对本项目中涉及的</w:t>
      </w:r>
      <w:r>
        <w:rPr>
          <w:rFonts w:hint="eastAsia" w:hAnsi="宋体" w:cs="宋体"/>
          <w:color w:val="auto"/>
          <w:sz w:val="24"/>
          <w:highlight w:val="none"/>
        </w:rPr>
        <w:t>审计</w:t>
      </w:r>
      <w:r>
        <w:rPr>
          <w:rFonts w:hAnsi="宋体" w:cs="宋体"/>
          <w:color w:val="auto"/>
          <w:sz w:val="24"/>
          <w:highlight w:val="none"/>
        </w:rPr>
        <w:t>材料、</w:t>
      </w:r>
      <w:r>
        <w:rPr>
          <w:rFonts w:hint="eastAsia" w:hAnsi="宋体" w:cs="宋体"/>
          <w:color w:val="auto"/>
          <w:sz w:val="24"/>
          <w:highlight w:val="none"/>
        </w:rPr>
        <w:t>案件情况</w:t>
      </w:r>
      <w:r>
        <w:rPr>
          <w:rFonts w:hAnsi="宋体" w:cs="宋体"/>
          <w:color w:val="auto"/>
          <w:sz w:val="24"/>
          <w:highlight w:val="none"/>
        </w:rPr>
        <w:t>、</w:t>
      </w:r>
      <w:r>
        <w:rPr>
          <w:rFonts w:hint="eastAsia" w:hAnsi="宋体" w:cs="宋体"/>
          <w:color w:val="auto"/>
          <w:sz w:val="24"/>
          <w:highlight w:val="none"/>
        </w:rPr>
        <w:t>涉及公司</w:t>
      </w:r>
      <w:r>
        <w:rPr>
          <w:rFonts w:hAnsi="宋体" w:cs="宋体"/>
          <w:color w:val="auto"/>
          <w:sz w:val="24"/>
          <w:highlight w:val="none"/>
        </w:rPr>
        <w:t>严格保密，不得外泄给除委托方以外的第三方</w:t>
      </w:r>
      <w:r>
        <w:rPr>
          <w:rFonts w:hint="eastAsia" w:hAnsi="宋体" w:cs="宋体"/>
          <w:color w:val="auto"/>
          <w:sz w:val="24"/>
          <w:highlight w:val="none"/>
        </w:rPr>
        <w:t>，需签订承诺函。</w:t>
      </w:r>
    </w:p>
    <w:p>
      <w:pPr>
        <w:spacing w:line="240" w:lineRule="auto"/>
        <w:ind w:firstLine="490" w:firstLineChars="200"/>
        <w:rPr>
          <w:rFonts w:hAnsi="宋体" w:cs="宋体"/>
          <w:color w:val="auto"/>
          <w:sz w:val="24"/>
          <w:highlight w:val="none"/>
        </w:rPr>
      </w:pPr>
      <w:r>
        <w:rPr>
          <w:rFonts w:hint="eastAsia" w:hAnsi="宋体" w:cs="宋体"/>
          <w:color w:val="auto"/>
          <w:sz w:val="24"/>
          <w:highlight w:val="none"/>
        </w:rPr>
        <w:t>服务期内，供应商在响应文件中的项目服务团队必须全程参与鉴定项目，未经采购人同意不得随意更换项目负责人和项目组成员。若确定的项目负责人(即鉴定项目现场负责人）不能胜任工作，采购人有权要求更换。在项目人员不足的情况下无条件接受采购人增加人员的要求。</w:t>
      </w:r>
    </w:p>
    <w:p>
      <w:pPr>
        <w:pStyle w:val="15"/>
        <w:snapToGrid w:val="0"/>
        <w:spacing w:line="240" w:lineRule="auto"/>
        <w:rPr>
          <w:rFonts w:hAnsi="宋体"/>
          <w:b/>
          <w:bCs/>
          <w:color w:val="auto"/>
          <w:sz w:val="28"/>
          <w:szCs w:val="28"/>
          <w:highlight w:val="none"/>
        </w:rPr>
      </w:pPr>
    </w:p>
    <w:p>
      <w:pPr>
        <w:pStyle w:val="15"/>
        <w:snapToGrid w:val="0"/>
        <w:spacing w:line="240" w:lineRule="auto"/>
        <w:jc w:val="center"/>
        <w:rPr>
          <w:rFonts w:hAnsi="宋体" w:cs="宋体"/>
          <w:color w:val="auto"/>
          <w:sz w:val="36"/>
          <w:szCs w:val="36"/>
          <w:highlight w:val="none"/>
        </w:rPr>
      </w:pPr>
      <w:r>
        <w:rPr>
          <w:rFonts w:hint="eastAsia" w:hAnsi="宋体"/>
          <w:b/>
          <w:bCs/>
          <w:color w:val="auto"/>
          <w:sz w:val="28"/>
          <w:szCs w:val="28"/>
          <w:highlight w:val="none"/>
        </w:rPr>
        <w:t>(二)商务要求</w:t>
      </w:r>
    </w:p>
    <w:p>
      <w:pPr>
        <w:spacing w:line="240" w:lineRule="auto"/>
        <w:rPr>
          <w:rFonts w:hAnsi="宋体" w:cs="宋体"/>
          <w:color w:val="auto"/>
          <w:sz w:val="24"/>
          <w:highlight w:val="none"/>
        </w:rPr>
      </w:pPr>
      <w:r>
        <w:rPr>
          <w:rFonts w:hint="eastAsia" w:hAnsi="宋体" w:cs="宋体"/>
          <w:b/>
          <w:color w:val="auto"/>
          <w:sz w:val="24"/>
          <w:highlight w:val="none"/>
        </w:rPr>
        <w:t>1、服务期限：</w:t>
      </w:r>
      <w:r>
        <w:rPr>
          <w:rFonts w:hint="eastAsia" w:hAnsi="宋体" w:cs="宋体"/>
          <w:color w:val="auto"/>
          <w:sz w:val="24"/>
          <w:highlight w:val="none"/>
        </w:rPr>
        <w:t>签订合同后，供应商应在90个工作日内出具鉴定报告。如因客观原因无法完成的，供应商应提前15个工作日告知采购人，协商解决；如因供应商原因未能按要求按时完成审计、评估工作的，其应承担相应责任，并每天按合同总价的1%扣除服务费用。</w:t>
      </w:r>
    </w:p>
    <w:p>
      <w:pPr>
        <w:spacing w:line="240" w:lineRule="auto"/>
        <w:rPr>
          <w:rFonts w:hAnsi="宋体" w:cs="宋体"/>
          <w:color w:val="auto"/>
          <w:sz w:val="24"/>
          <w:highlight w:val="none"/>
        </w:rPr>
      </w:pPr>
      <w:r>
        <w:rPr>
          <w:rFonts w:hint="eastAsia" w:hAnsi="宋体" w:cs="宋体"/>
          <w:b/>
          <w:color w:val="auto"/>
          <w:sz w:val="24"/>
          <w:highlight w:val="none"/>
        </w:rPr>
        <w:t>2、服务地点：</w:t>
      </w:r>
      <w:r>
        <w:rPr>
          <w:rFonts w:hint="eastAsia" w:hAnsi="宋体" w:cs="宋体"/>
          <w:color w:val="auto"/>
          <w:sz w:val="24"/>
          <w:highlight w:val="none"/>
        </w:rPr>
        <w:t>四川省成都市。</w:t>
      </w:r>
    </w:p>
    <w:p>
      <w:pPr>
        <w:spacing w:line="240" w:lineRule="auto"/>
        <w:rPr>
          <w:rFonts w:hAnsi="宋体" w:cs="宋体"/>
          <w:color w:val="auto"/>
          <w:sz w:val="24"/>
          <w:highlight w:val="none"/>
        </w:rPr>
      </w:pPr>
      <w:r>
        <w:rPr>
          <w:rFonts w:hint="eastAsia" w:hAnsi="宋体" w:cs="宋体"/>
          <w:b/>
          <w:bCs/>
          <w:color w:val="auto"/>
          <w:sz w:val="24"/>
          <w:highlight w:val="none"/>
        </w:rPr>
        <w:t>3、付款方式：</w:t>
      </w:r>
      <w:r>
        <w:rPr>
          <w:rFonts w:hint="eastAsia" w:hAnsi="宋体" w:cs="宋体"/>
          <w:color w:val="auto"/>
          <w:sz w:val="24"/>
          <w:highlight w:val="none"/>
        </w:rPr>
        <w:t>合同签订后支付合同约定的服务款项的30%，出具鉴定报告后支付合同约定的服务款项的40%，履约验收通过后支付合同约定的服务款项的30%。</w:t>
      </w:r>
    </w:p>
    <w:p>
      <w:pPr>
        <w:spacing w:line="240" w:lineRule="auto"/>
        <w:rPr>
          <w:rFonts w:hAnsi="宋体" w:cs="宋体"/>
          <w:color w:val="auto"/>
          <w:sz w:val="24"/>
          <w:highlight w:val="none"/>
        </w:rPr>
      </w:pPr>
      <w:r>
        <w:rPr>
          <w:rFonts w:hint="eastAsia" w:hAnsi="宋体" w:cs="宋体"/>
          <w:b/>
          <w:color w:val="auto"/>
          <w:sz w:val="24"/>
          <w:highlight w:val="none"/>
        </w:rPr>
        <w:t>4、</w:t>
      </w:r>
      <w:r>
        <w:rPr>
          <w:rFonts w:hint="eastAsia" w:hAnsi="宋体" w:cs="宋体"/>
          <w:b/>
          <w:bCs/>
          <w:color w:val="auto"/>
          <w:sz w:val="24"/>
          <w:highlight w:val="none"/>
        </w:rPr>
        <w:t>验收标准：</w:t>
      </w:r>
      <w:r>
        <w:rPr>
          <w:rFonts w:hint="eastAsia" w:hAnsi="宋体" w:cs="宋体"/>
          <w:color w:val="auto"/>
          <w:sz w:val="24"/>
          <w:highlight w:val="none"/>
        </w:rPr>
        <w:t>成交人与采购人将参照《财政部关于进一步加强政府采购需求和履约验收管理的指导意见》(财库〔2016〕205号)的要求进行验收。</w:t>
      </w:r>
    </w:p>
    <w:p>
      <w:pPr>
        <w:spacing w:line="240" w:lineRule="auto"/>
        <w:rPr>
          <w:rFonts w:hAnsi="宋体" w:cs="华文中宋"/>
          <w:bCs/>
          <w:color w:val="auto"/>
          <w:sz w:val="24"/>
          <w:highlight w:val="none"/>
        </w:rPr>
      </w:pPr>
      <w:r>
        <w:rPr>
          <w:rFonts w:hint="eastAsia" w:hAnsi="宋体" w:cs="华文中宋"/>
          <w:b/>
          <w:bCs/>
          <w:color w:val="auto"/>
          <w:sz w:val="24"/>
          <w:highlight w:val="none"/>
        </w:rPr>
        <w:t>5、其它要求：</w:t>
      </w:r>
      <w:r>
        <w:rPr>
          <w:rFonts w:hint="eastAsia" w:hAnsi="宋体" w:cs="华文中宋"/>
          <w:bCs/>
          <w:color w:val="auto"/>
          <w:sz w:val="24"/>
          <w:highlight w:val="none"/>
        </w:rPr>
        <w:t>签订合同后供应商按采购人要求提出具体工作实施方案，经综合评定可行后采购人按方案要求提取相应鉴定资料，供应商按采购人要求上门取样</w:t>
      </w:r>
      <w:r>
        <w:rPr>
          <w:rFonts w:hint="eastAsia" w:hAnsi="宋体" w:cs="宋体"/>
          <w:color w:val="auto"/>
          <w:sz w:val="24"/>
          <w:highlight w:val="none"/>
        </w:rPr>
        <w:t>。</w:t>
      </w:r>
    </w:p>
    <w:p>
      <w:pPr>
        <w:adjustRightInd w:val="0"/>
        <w:snapToGrid w:val="0"/>
        <w:spacing w:line="360" w:lineRule="auto"/>
        <w:rPr>
          <w:rFonts w:hAnsi="宋体" w:cs="宋体"/>
          <w:b/>
          <w:bCs/>
          <w:color w:val="auto"/>
          <w:sz w:val="24"/>
          <w:szCs w:val="24"/>
          <w:highlight w:val="none"/>
        </w:rPr>
      </w:pPr>
      <w:r>
        <w:rPr>
          <w:rFonts w:hint="eastAsia" w:hAnsi="宋体" w:cs="宋体"/>
          <w:b/>
          <w:bCs/>
          <w:color w:val="auto"/>
          <w:kern w:val="2"/>
          <w:sz w:val="24"/>
          <w:szCs w:val="24"/>
          <w:highlight w:val="none"/>
        </w:rPr>
        <w:t>6、违约责任：</w:t>
      </w:r>
    </w:p>
    <w:p>
      <w:pPr>
        <w:adjustRightInd w:val="0"/>
        <w:snapToGrid w:val="0"/>
        <w:spacing w:line="360" w:lineRule="auto"/>
        <w:ind w:firstLine="490" w:firstLineChars="200"/>
        <w:rPr>
          <w:rFonts w:hAnsi="宋体" w:cs="宋体"/>
          <w:color w:val="auto"/>
          <w:kern w:val="2"/>
          <w:sz w:val="24"/>
          <w:szCs w:val="24"/>
          <w:highlight w:val="none"/>
        </w:rPr>
      </w:pPr>
      <w:r>
        <w:rPr>
          <w:rFonts w:hint="eastAsia" w:hAnsi="宋体" w:cs="宋体"/>
          <w:color w:val="auto"/>
          <w:kern w:val="2"/>
          <w:sz w:val="24"/>
          <w:szCs w:val="24"/>
          <w:highlight w:val="none"/>
        </w:rPr>
        <w:t>6.1采购完成后，甲乙双方应按规定按时签订服务合同；双方必须遵守合同并执行合同中的各项规定，保证合同正常履行。因不可抗力导致双方或一方不能履行或不能完全履行合同约定的有关业务时，采购人和成交人双方相互不承担违约责任（不可抗力的一方或双方应于不可抗力发生后15日内将情况告知对方，并提供有关部门的证明）；在不可抗力影响消除后的合理时间内，一方或双方应当继续履行协议。</w:t>
      </w:r>
    </w:p>
    <w:p>
      <w:pPr>
        <w:adjustRightInd w:val="0"/>
        <w:snapToGrid w:val="0"/>
        <w:spacing w:line="360" w:lineRule="auto"/>
        <w:ind w:firstLine="490" w:firstLineChars="200"/>
        <w:rPr>
          <w:rFonts w:hint="eastAsia" w:ascii="Times New Roman" w:hAnsi="宋体" w:eastAsia="宋体" w:cs="宋体"/>
          <w:color w:val="auto"/>
          <w:kern w:val="2"/>
          <w:sz w:val="24"/>
          <w:szCs w:val="24"/>
          <w:highlight w:val="none"/>
        </w:rPr>
      </w:pPr>
      <w:r>
        <w:rPr>
          <w:rFonts w:hint="eastAsia" w:ascii="Times New Roman" w:hAnsi="宋体" w:eastAsia="宋体" w:cs="宋体"/>
          <w:color w:val="auto"/>
          <w:kern w:val="2"/>
          <w:sz w:val="24"/>
          <w:szCs w:val="24"/>
          <w:highlight w:val="none"/>
        </w:rPr>
        <w:t>6.2服务期内因成交供应商原因出现服务中断情况或因成交供应商工作人员在履行职务过程中的的疏忽、失职、过错等故意或者过失原因给采购方造成损失或为按时出具审计报告的，供应商应承担全部的赔偿责任。</w:t>
      </w:r>
    </w:p>
    <w:p>
      <w:pPr>
        <w:adjustRightInd w:val="0"/>
        <w:snapToGrid w:val="0"/>
        <w:spacing w:line="360" w:lineRule="auto"/>
        <w:ind w:firstLine="490" w:firstLineChars="200"/>
        <w:rPr>
          <w:rFonts w:hint="eastAsia" w:ascii="Times New Roman" w:hAnsi="宋体" w:eastAsia="宋体" w:cs="宋体"/>
          <w:color w:val="auto"/>
          <w:kern w:val="2"/>
          <w:sz w:val="24"/>
          <w:szCs w:val="24"/>
          <w:highlight w:val="none"/>
        </w:rPr>
      </w:pPr>
      <w:r>
        <w:rPr>
          <w:rFonts w:hint="eastAsia" w:ascii="Times New Roman" w:hAnsi="宋体" w:eastAsia="宋体" w:cs="宋体"/>
          <w:color w:val="auto"/>
          <w:kern w:val="2"/>
          <w:sz w:val="24"/>
          <w:szCs w:val="24"/>
          <w:highlight w:val="none"/>
        </w:rPr>
        <w:t>6.3如成交供应商违反本合同协议导致合同无法继续履行，无法实现合同目的的，采购人有权解除本合同，成交供应商还应赔偿采购人违约金，违约金金额为合同总金额的15%。</w:t>
      </w:r>
    </w:p>
    <w:p>
      <w:pPr>
        <w:spacing w:line="360" w:lineRule="auto"/>
        <w:rPr>
          <w:rFonts w:hint="eastAsia" w:hAnsi="宋体" w:cs="宋体"/>
          <w:color w:val="auto"/>
          <w:kern w:val="2"/>
          <w:sz w:val="24"/>
          <w:szCs w:val="24"/>
          <w:highlight w:val="none"/>
        </w:rPr>
      </w:pPr>
    </w:p>
    <w:p>
      <w:pPr>
        <w:widowControl w:val="0"/>
        <w:adjustRightInd w:val="0"/>
        <w:spacing w:after="60" w:line="360" w:lineRule="auto"/>
        <w:ind w:left="103" w:leftChars="30" w:right="103" w:rightChars="30"/>
        <w:jc w:val="left"/>
        <w:textAlignment w:val="baseline"/>
        <w:rPr>
          <w:rFonts w:hint="eastAsia" w:ascii="宋体" w:hAnsi="宋体" w:eastAsia="宋体" w:cs="宋体"/>
          <w:color w:val="auto"/>
          <w:kern w:val="2"/>
          <w:sz w:val="24"/>
          <w:szCs w:val="24"/>
          <w:highlight w:val="none"/>
          <w:lang w:val="en-US" w:eastAsia="zh-CN" w:bidi="ar-SA"/>
        </w:rPr>
      </w:pPr>
      <w:r>
        <w:rPr>
          <w:rFonts w:hint="eastAsia" w:hAnsi="宋体" w:cs="宋体"/>
          <w:b/>
          <w:color w:val="auto"/>
          <w:sz w:val="24"/>
          <w:highlight w:val="none"/>
        </w:rPr>
        <w:t>注：以上要求均为最低要求，不允许有负偏离，否则按无效响应处理</w:t>
      </w:r>
      <w:r>
        <w:rPr>
          <w:rFonts w:hint="eastAsia" w:hAnsi="宋体" w:cs="宋体"/>
          <w:color w:val="auto"/>
          <w:sz w:val="24"/>
          <w:highlight w:val="none"/>
        </w:rPr>
        <w:t>。</w:t>
      </w:r>
    </w:p>
    <w:p>
      <w:pPr>
        <w:keepNext w:val="0"/>
        <w:keepLines w:val="0"/>
        <w:pageBreakBefore/>
        <w:widowControl/>
        <w:numPr>
          <w:ilvl w:val="0"/>
          <w:numId w:val="0"/>
        </w:numPr>
        <w:kinsoku/>
        <w:wordWrap/>
        <w:overflowPunct/>
        <w:topLinePunct w:val="0"/>
        <w:autoSpaceDE/>
        <w:autoSpaceDN/>
        <w:bidi w:val="0"/>
        <w:adjustRightInd/>
        <w:snapToGrid/>
        <w:spacing w:line="440" w:lineRule="exact"/>
        <w:ind w:left="0" w:firstLine="482"/>
        <w:jc w:val="left"/>
        <w:textAlignment w:val="auto"/>
        <w:outlineLvl w:val="9"/>
        <w:rPr>
          <w:rFonts w:hint="eastAsia" w:ascii="宋体" w:hAnsi="宋体" w:eastAsia="宋体" w:cs="宋体"/>
          <w:bCs/>
          <w:color w:val="auto"/>
          <w:sz w:val="36"/>
          <w:szCs w:val="36"/>
          <w:highlight w:val="none"/>
        </w:rPr>
      </w:pPr>
      <w:r>
        <w:rPr>
          <w:rFonts w:hint="eastAsia" w:ascii="宋体" w:hAnsi="宋体" w:eastAsia="宋体" w:cs="宋体"/>
          <w:b/>
          <w:color w:val="auto"/>
          <w:sz w:val="36"/>
          <w:szCs w:val="36"/>
          <w:highlight w:val="none"/>
        </w:rPr>
        <w:t>第六章  谈判内容、谈判过程中</w:t>
      </w:r>
      <w:bookmarkEnd w:id="189"/>
      <w:bookmarkEnd w:id="190"/>
      <w:bookmarkEnd w:id="191"/>
      <w:bookmarkEnd w:id="192"/>
      <w:bookmarkEnd w:id="193"/>
      <w:r>
        <w:rPr>
          <w:rFonts w:hint="eastAsia" w:ascii="宋体" w:hAnsi="宋体" w:eastAsia="宋体" w:cs="宋体"/>
          <w:b/>
          <w:color w:val="auto"/>
          <w:sz w:val="36"/>
          <w:szCs w:val="36"/>
          <w:highlight w:val="none"/>
        </w:rPr>
        <w:t>可能实质性变动的内容</w:t>
      </w:r>
      <w:bookmarkEnd w:id="194"/>
      <w:bookmarkEnd w:id="195"/>
      <w:bookmarkEnd w:id="196"/>
      <w:bookmarkEnd w:id="197"/>
      <w:bookmarkEnd w:id="198"/>
      <w:bookmarkEnd w:id="199"/>
    </w:p>
    <w:p>
      <w:pPr>
        <w:tabs>
          <w:tab w:val="left" w:pos="7665"/>
        </w:tabs>
        <w:spacing w:line="400" w:lineRule="exact"/>
        <w:ind w:firstLine="480"/>
        <w:rPr>
          <w:rFonts w:hint="eastAsia" w:ascii="宋体" w:hAnsi="宋体" w:eastAsia="宋体" w:cs="宋体"/>
          <w:bCs/>
          <w:color w:val="auto"/>
          <w:sz w:val="28"/>
          <w:szCs w:val="28"/>
          <w:highlight w:val="none"/>
        </w:rPr>
      </w:pPr>
    </w:p>
    <w:p>
      <w:pPr>
        <w:tabs>
          <w:tab w:val="left" w:pos="7665"/>
        </w:tabs>
        <w:spacing w:line="400" w:lineRule="exact"/>
        <w:ind w:firstLine="48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一、谈判内容：</w:t>
      </w:r>
    </w:p>
    <w:p>
      <w:pPr>
        <w:tabs>
          <w:tab w:val="left" w:pos="7665"/>
        </w:tabs>
        <w:spacing w:line="400" w:lineRule="exact"/>
        <w:ind w:firstLine="48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 供应商提供的采购标的价格。</w:t>
      </w:r>
    </w:p>
    <w:p>
      <w:pPr>
        <w:tabs>
          <w:tab w:val="left" w:pos="7665"/>
        </w:tabs>
        <w:spacing w:line="400" w:lineRule="exact"/>
        <w:ind w:firstLine="48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 相关专利、专有技术、商务等情况说明。</w:t>
      </w:r>
    </w:p>
    <w:p>
      <w:pPr>
        <w:tabs>
          <w:tab w:val="left" w:pos="7665"/>
        </w:tabs>
        <w:spacing w:line="400" w:lineRule="exact"/>
        <w:ind w:firstLine="48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 合同主要条款及价格商定情况。</w:t>
      </w:r>
    </w:p>
    <w:p>
      <w:pPr>
        <w:tabs>
          <w:tab w:val="left" w:pos="7665"/>
        </w:tabs>
        <w:spacing w:line="400" w:lineRule="exact"/>
        <w:ind w:firstLine="48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二、谈判过程中可能实质性变动的内容：</w:t>
      </w:r>
    </w:p>
    <w:p>
      <w:pPr>
        <w:tabs>
          <w:tab w:val="left" w:pos="7665"/>
        </w:tabs>
        <w:spacing w:line="400" w:lineRule="exact"/>
        <w:ind w:firstLine="48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1．供应商报价</w:t>
      </w:r>
    </w:p>
    <w:p>
      <w:pPr>
        <w:tabs>
          <w:tab w:val="left" w:pos="7665"/>
        </w:tabs>
        <w:spacing w:line="400" w:lineRule="exact"/>
        <w:ind w:firstLine="48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2．采购需求中的技术、商务、服务要求以及合同草案条款等。实质性变动</w:t>
      </w:r>
    </w:p>
    <w:p>
      <w:pPr>
        <w:tabs>
          <w:tab w:val="left" w:pos="7665"/>
        </w:tabs>
        <w:spacing w:line="400" w:lineRule="exact"/>
        <w:ind w:firstLine="48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的内容，须经谈判小组中的采购人代表确认。</w:t>
      </w:r>
    </w:p>
    <w:p>
      <w:pPr>
        <w:rPr>
          <w:rFonts w:hint="eastAsia" w:ascii="宋体" w:hAnsi="宋体" w:eastAsia="宋体" w:cs="宋体"/>
          <w:color w:val="auto"/>
          <w:highlight w:val="none"/>
        </w:rPr>
      </w:pPr>
      <w:r>
        <w:rPr>
          <w:rFonts w:hint="eastAsia" w:ascii="宋体" w:hAnsi="宋体" w:eastAsia="宋体" w:cs="宋体"/>
          <w:color w:val="auto"/>
          <w:sz w:val="24"/>
          <w:szCs w:val="24"/>
          <w:highlight w:val="none"/>
        </w:rPr>
        <w:t>注：由采购人代表在谈判现场认定。</w:t>
      </w:r>
    </w:p>
    <w:p>
      <w:pPr>
        <w:jc w:val="center"/>
        <w:rPr>
          <w:rFonts w:hint="eastAsia" w:ascii="宋体" w:hAnsi="宋体" w:eastAsia="宋体" w:cs="宋体"/>
          <w:b/>
          <w:color w:val="auto"/>
          <w:sz w:val="36"/>
          <w:szCs w:val="36"/>
          <w:highlight w:val="none"/>
        </w:rPr>
      </w:pPr>
      <w:r>
        <w:rPr>
          <w:rFonts w:hint="eastAsia" w:ascii="宋体" w:hAnsi="宋体" w:eastAsia="宋体" w:cs="宋体"/>
          <w:color w:val="auto"/>
          <w:highlight w:val="none"/>
        </w:rPr>
        <w:br w:type="page"/>
      </w:r>
      <w:bookmarkStart w:id="200" w:name="_Toc24160"/>
      <w:bookmarkStart w:id="201" w:name="_Toc8917"/>
      <w:bookmarkStart w:id="202" w:name="_Toc25356"/>
      <w:bookmarkStart w:id="203" w:name="_Toc4616485"/>
      <w:bookmarkStart w:id="204" w:name="_Toc19997_WPSOffice_Level1"/>
      <w:bookmarkStart w:id="205" w:name="_Toc8965"/>
      <w:bookmarkStart w:id="206" w:name="_Toc3740"/>
      <w:bookmarkStart w:id="207" w:name="_Toc23994"/>
      <w:bookmarkStart w:id="208" w:name="_Toc15373"/>
      <w:bookmarkStart w:id="209" w:name="_Toc1190"/>
      <w:bookmarkStart w:id="210" w:name="_Toc13885"/>
      <w:r>
        <w:rPr>
          <w:rFonts w:hint="eastAsia" w:ascii="宋体" w:hAnsi="宋体" w:eastAsia="宋体" w:cs="宋体"/>
          <w:b/>
          <w:bCs/>
          <w:color w:val="auto"/>
          <w:highlight w:val="none"/>
        </w:rPr>
        <w:t>第七章  响应文件格式</w:t>
      </w:r>
      <w:bookmarkEnd w:id="200"/>
      <w:bookmarkEnd w:id="201"/>
      <w:bookmarkEnd w:id="202"/>
      <w:bookmarkEnd w:id="203"/>
      <w:bookmarkEnd w:id="204"/>
      <w:bookmarkEnd w:id="205"/>
      <w:bookmarkEnd w:id="206"/>
      <w:bookmarkEnd w:id="207"/>
      <w:bookmarkEnd w:id="208"/>
      <w:bookmarkEnd w:id="209"/>
      <w:bookmarkEnd w:id="210"/>
    </w:p>
    <w:p>
      <w:pPr>
        <w:rPr>
          <w:rFonts w:hint="eastAsia" w:ascii="宋体" w:hAnsi="宋体" w:eastAsia="宋体" w:cs="宋体"/>
          <w:b/>
          <w:color w:val="auto"/>
          <w:sz w:val="32"/>
          <w:szCs w:val="32"/>
          <w:highlight w:val="none"/>
        </w:rPr>
      </w:pP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一、本章所制响应文件格式，除格式中明确将该格式作为实质性要求的，一律不具有强制性。</w:t>
      </w:r>
    </w:p>
    <w:p>
      <w:pPr>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二、本章所制响应文件格式有关表格中的备注栏，由供应商根据自身响应情况作解</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释性说明，不作为必填项。（如果供应商响应文件中已经去掉备注而无其他解释性说明，则视为完全理解并同意备注中的要求）</w:t>
      </w:r>
    </w:p>
    <w:p>
      <w:pPr>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三、本章所制响应文件格式中需要填写的相关内容事项，可能会与本采购项目无关，在不改变响应文件原义、不影响本项目采购需求的情况下，供应商可以不予填写，但应当注明。</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四、本章格式如为多页的，无须逐页盖章。</w:t>
      </w:r>
    </w:p>
    <w:p>
      <w:pPr>
        <w:jc w:val="cente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spacing w:line="360" w:lineRule="auto"/>
        <w:rPr>
          <w:rFonts w:hint="eastAsia" w:ascii="宋体" w:hAnsi="宋体" w:eastAsia="宋体" w:cs="宋体"/>
          <w:color w:val="auto"/>
          <w:sz w:val="36"/>
          <w:szCs w:val="24"/>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color w:val="auto"/>
          <w:sz w:val="36"/>
          <w:szCs w:val="24"/>
          <w:highlight w:val="none"/>
        </w:rPr>
        <w:t>封面</w:t>
      </w:r>
    </w:p>
    <w:p>
      <w:pPr>
        <w:spacing w:line="360" w:lineRule="auto"/>
        <w:rPr>
          <w:rFonts w:hint="eastAsia" w:ascii="宋体" w:hAnsi="宋体" w:eastAsia="宋体" w:cs="宋体"/>
          <w:color w:val="auto"/>
          <w:sz w:val="36"/>
          <w:szCs w:val="24"/>
          <w:highlight w:val="none"/>
        </w:rPr>
      </w:pPr>
      <w:r>
        <w:rPr>
          <w:rFonts w:hint="eastAsia" w:ascii="宋体" w:hAnsi="宋体" w:eastAsia="宋体" w:cs="宋体"/>
          <w:color w:val="auto"/>
          <w:sz w:val="36"/>
          <w:highlight w:val="none"/>
        </w:rPr>
        <mc:AlternateContent>
          <mc:Choice Requires="wps">
            <w:drawing>
              <wp:anchor distT="0" distB="0" distL="114300" distR="114300" simplePos="0" relativeHeight="251661312" behindDoc="0" locked="0" layoutInCell="1" allowOverlap="1">
                <wp:simplePos x="0" y="0"/>
                <wp:positionH relativeFrom="column">
                  <wp:posOffset>4519930</wp:posOffset>
                </wp:positionH>
                <wp:positionV relativeFrom="paragraph">
                  <wp:posOffset>15875</wp:posOffset>
                </wp:positionV>
                <wp:extent cx="1371600" cy="400050"/>
                <wp:effectExtent l="4445" t="4445" r="14605" b="14605"/>
                <wp:wrapNone/>
                <wp:docPr id="1" name="文本框 3"/>
                <wp:cNvGraphicFramePr/>
                <a:graphic xmlns:a="http://schemas.openxmlformats.org/drawingml/2006/main">
                  <a:graphicData uri="http://schemas.microsoft.com/office/word/2010/wordprocessingShape">
                    <wps:wsp>
                      <wps:cNvSpPr txBox="1"/>
                      <wps:spPr>
                        <a:xfrm>
                          <a:off x="0" y="0"/>
                          <a:ext cx="1371600" cy="400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正本或副本</w:t>
                            </w:r>
                          </w:p>
                        </w:txbxContent>
                      </wps:txbx>
                      <wps:bodyPr wrap="square" upright="1"/>
                    </wps:wsp>
                  </a:graphicData>
                </a:graphic>
              </wp:anchor>
            </w:drawing>
          </mc:Choice>
          <mc:Fallback>
            <w:pict>
              <v:shape id="文本框 3" o:spid="_x0000_s1026" o:spt="202" type="#_x0000_t202" style="position:absolute;left:0pt;margin-left:355.9pt;margin-top:1.25pt;height:31.5pt;width:108pt;z-index:251661312;mso-width-relative:page;mso-height-relative:page;" fillcolor="#FFFFFF" filled="t" stroked="t" coordsize="21600,21600" o:gfxdata="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PuxYzXAAAACAEAAA8AAAAA&#10;AAAAAQAgAAAAIgAAAGRycy9kb3ducmV2LnhtbFBLAQIUABQAAAAIAIdO4kBiurzfFQIAAEQEAAAO&#10;AAAAAAAAAAEAIAAAACYBAABkcnMvZTJvRG9jLnhtbFBLBQYAAAAABgAGAFkBAACtBQAAAAA=&#10;">
                <v:fill on="t" focussize="0,0"/>
                <v:stroke color="#000000" joinstyle="miter"/>
                <v:imagedata o:title=""/>
                <o:lock v:ext="edit" aspectratio="f"/>
                <v:textbox>
                  <w:txbxContent>
                    <w:p>
                      <w:pPr>
                        <w:rPr>
                          <w:rFonts w:hint="eastAsia"/>
                        </w:rPr>
                      </w:pPr>
                      <w:r>
                        <w:rPr>
                          <w:rFonts w:hint="eastAsia"/>
                        </w:rPr>
                        <w:t>正本或副本</w:t>
                      </w:r>
                    </w:p>
                  </w:txbxContent>
                </v:textbox>
              </v:shape>
            </w:pict>
          </mc:Fallback>
        </mc:AlternateContent>
      </w:r>
    </w:p>
    <w:p>
      <w:pPr>
        <w:spacing w:line="360" w:lineRule="auto"/>
        <w:jc w:val="right"/>
        <w:rPr>
          <w:rFonts w:hint="eastAsia" w:ascii="宋体" w:hAnsi="宋体" w:eastAsia="宋体" w:cs="宋体"/>
          <w:color w:val="auto"/>
          <w:sz w:val="36"/>
          <w:szCs w:val="24"/>
          <w:highlight w:val="none"/>
        </w:rPr>
      </w:pPr>
    </w:p>
    <w:p>
      <w:pPr>
        <w:jc w:val="center"/>
        <w:rPr>
          <w:rFonts w:hint="eastAsia" w:ascii="宋体" w:hAnsi="宋体" w:eastAsia="宋体" w:cs="宋体"/>
          <w:b/>
          <w:color w:val="auto"/>
          <w:sz w:val="56"/>
          <w:szCs w:val="56"/>
          <w:highlight w:val="none"/>
        </w:rPr>
      </w:pPr>
      <w:r>
        <w:rPr>
          <w:rFonts w:hint="eastAsia" w:ascii="宋体" w:hAnsi="宋体" w:eastAsia="宋体" w:cs="宋体"/>
          <w:b/>
          <w:color w:val="auto"/>
          <w:sz w:val="56"/>
          <w:szCs w:val="56"/>
          <w:highlight w:val="none"/>
        </w:rPr>
        <w:t>包号（如涉及）</w:t>
      </w:r>
    </w:p>
    <w:p>
      <w:pPr>
        <w:jc w:val="center"/>
        <w:outlineLvl w:val="0"/>
        <w:rPr>
          <w:rFonts w:hint="eastAsia" w:hAnsi="宋体" w:cs="宋体"/>
          <w:b/>
          <w:color w:val="auto"/>
          <w:sz w:val="72"/>
          <w:szCs w:val="72"/>
          <w:highlight w:val="none"/>
        </w:rPr>
      </w:pPr>
      <w:r>
        <w:rPr>
          <w:rFonts w:hint="eastAsia" w:hAnsi="宋体" w:cs="宋体"/>
          <w:b/>
          <w:color w:val="auto"/>
          <w:sz w:val="72"/>
          <w:szCs w:val="72"/>
          <w:highlight w:val="none"/>
        </w:rPr>
        <w:t>资格、资质性响应文件</w:t>
      </w:r>
    </w:p>
    <w:p>
      <w:pPr>
        <w:jc w:val="center"/>
        <w:rPr>
          <w:rFonts w:hint="eastAsia" w:hAnsi="宋体" w:cs="宋体"/>
          <w:b/>
          <w:color w:val="auto"/>
          <w:sz w:val="72"/>
          <w:szCs w:val="72"/>
          <w:highlight w:val="none"/>
        </w:rPr>
      </w:pPr>
    </w:p>
    <w:p>
      <w:pPr>
        <w:jc w:val="left"/>
        <w:rPr>
          <w:rFonts w:hint="eastAsia" w:hAnsi="宋体" w:cs="宋体"/>
          <w:b/>
          <w:color w:val="auto"/>
          <w:sz w:val="44"/>
          <w:szCs w:val="44"/>
          <w:highlight w:val="none"/>
        </w:rPr>
      </w:pPr>
    </w:p>
    <w:p>
      <w:pPr>
        <w:ind w:firstLine="2225" w:firstLineChars="500"/>
        <w:jc w:val="left"/>
        <w:rPr>
          <w:rFonts w:hint="eastAsia" w:hAnsi="宋体" w:cs="宋体"/>
          <w:b/>
          <w:color w:val="auto"/>
          <w:sz w:val="44"/>
          <w:szCs w:val="44"/>
          <w:highlight w:val="none"/>
        </w:rPr>
      </w:pPr>
    </w:p>
    <w:p>
      <w:pPr>
        <w:spacing w:line="360" w:lineRule="auto"/>
        <w:ind w:firstLine="2225" w:firstLineChars="500"/>
        <w:jc w:val="left"/>
        <w:rPr>
          <w:rFonts w:hint="eastAsia" w:hAnsi="宋体" w:cs="宋体"/>
          <w:b/>
          <w:color w:val="auto"/>
          <w:sz w:val="44"/>
          <w:szCs w:val="44"/>
          <w:highlight w:val="none"/>
        </w:rPr>
      </w:pPr>
      <w:r>
        <w:rPr>
          <w:rFonts w:hint="eastAsia" w:hAnsi="宋体" w:cs="宋体"/>
          <w:b/>
          <w:color w:val="auto"/>
          <w:sz w:val="44"/>
          <w:szCs w:val="44"/>
          <w:highlight w:val="none"/>
        </w:rPr>
        <w:t>项目名称：________________</w:t>
      </w:r>
    </w:p>
    <w:p>
      <w:pPr>
        <w:spacing w:line="360" w:lineRule="auto"/>
        <w:ind w:firstLine="2225" w:firstLineChars="500"/>
        <w:jc w:val="left"/>
        <w:rPr>
          <w:rFonts w:hint="eastAsia" w:hAnsi="宋体" w:cs="宋体"/>
          <w:b/>
          <w:color w:val="auto"/>
          <w:sz w:val="44"/>
          <w:szCs w:val="44"/>
          <w:highlight w:val="none"/>
        </w:rPr>
      </w:pPr>
      <w:r>
        <w:rPr>
          <w:rFonts w:hint="eastAsia" w:hAnsi="宋体" w:cs="宋体"/>
          <w:b/>
          <w:color w:val="auto"/>
          <w:sz w:val="44"/>
          <w:szCs w:val="44"/>
          <w:highlight w:val="none"/>
        </w:rPr>
        <w:t>项目编号：________________</w:t>
      </w:r>
    </w:p>
    <w:p>
      <w:pPr>
        <w:spacing w:line="360" w:lineRule="auto"/>
        <w:ind w:firstLine="2225" w:firstLineChars="500"/>
        <w:jc w:val="left"/>
        <w:rPr>
          <w:rFonts w:hint="eastAsia" w:hAnsi="宋体" w:cs="宋体"/>
          <w:b/>
          <w:color w:val="auto"/>
          <w:sz w:val="44"/>
          <w:szCs w:val="44"/>
          <w:highlight w:val="none"/>
        </w:rPr>
      </w:pPr>
      <w:r>
        <w:rPr>
          <w:rFonts w:hint="eastAsia" w:hAnsi="宋体" w:cs="宋体"/>
          <w:b/>
          <w:color w:val="auto"/>
          <w:sz w:val="44"/>
          <w:szCs w:val="44"/>
          <w:highlight w:val="none"/>
        </w:rPr>
        <w:t>供应商名称：______________(盖章）</w:t>
      </w:r>
    </w:p>
    <w:p>
      <w:pPr>
        <w:spacing w:line="360" w:lineRule="auto"/>
        <w:ind w:firstLine="2225" w:firstLineChars="500"/>
        <w:jc w:val="left"/>
        <w:rPr>
          <w:rFonts w:hint="eastAsia" w:hAnsi="宋体" w:cs="宋体"/>
          <w:b/>
          <w:color w:val="auto"/>
          <w:sz w:val="44"/>
          <w:szCs w:val="44"/>
          <w:highlight w:val="none"/>
        </w:rPr>
      </w:pPr>
      <w:r>
        <w:rPr>
          <w:rFonts w:hint="eastAsia" w:hAnsi="宋体" w:cs="宋体"/>
          <w:b/>
          <w:color w:val="auto"/>
          <w:sz w:val="44"/>
          <w:szCs w:val="44"/>
          <w:highlight w:val="none"/>
        </w:rPr>
        <w:t>谈判日期：____年___月___日</w:t>
      </w:r>
    </w:p>
    <w:p>
      <w:pPr>
        <w:jc w:val="center"/>
        <w:rPr>
          <w:rFonts w:hint="eastAsia" w:ascii="宋体" w:hAnsi="宋体" w:eastAsia="宋体" w:cs="宋体"/>
          <w:b/>
          <w:color w:val="auto"/>
          <w:sz w:val="56"/>
          <w:szCs w:val="56"/>
          <w:highlight w:val="none"/>
        </w:rPr>
      </w:pPr>
    </w:p>
    <w:p>
      <w:pPr>
        <w:keepNext w:val="0"/>
        <w:keepLines w:val="0"/>
        <w:pageBreakBefore/>
        <w:widowControl w:val="0"/>
        <w:kinsoku/>
        <w:wordWrap/>
        <w:overflowPunct/>
        <w:topLinePunct w:val="0"/>
        <w:autoSpaceDE/>
        <w:autoSpaceDN/>
        <w:bidi w:val="0"/>
        <w:adjustRightInd/>
        <w:snapToGrid/>
        <w:jc w:val="center"/>
        <w:textAlignment w:val="auto"/>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一、法定代表人/单位负责人授权书</w:t>
      </w:r>
      <w:bookmarkEnd w:id="187"/>
      <w:bookmarkEnd w:id="188"/>
    </w:p>
    <w:p>
      <w:pPr>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lang w:val="zh-CN"/>
        </w:rPr>
        <w:t>（若为授权代表参加，提供此页</w:t>
      </w:r>
      <w:r>
        <w:rPr>
          <w:rFonts w:hint="eastAsia" w:ascii="宋体" w:hAnsi="宋体" w:eastAsia="宋体" w:cs="宋体"/>
          <w:color w:val="auto"/>
          <w:highlight w:val="none"/>
        </w:rPr>
        <w:t>）</w:t>
      </w:r>
    </w:p>
    <w:p>
      <w:pPr>
        <w:spacing w:line="400" w:lineRule="exact"/>
        <w:rPr>
          <w:rFonts w:hint="eastAsia" w:ascii="宋体" w:hAnsi="宋体" w:eastAsia="宋体" w:cs="宋体"/>
          <w:color w:val="auto"/>
          <w:sz w:val="24"/>
          <w:highlight w:val="none"/>
        </w:rPr>
      </w:pP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四川中意招标有限公司：</w:t>
      </w:r>
    </w:p>
    <w:p>
      <w:pPr>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本授权声明：XXX（单位名称）,XXX（法定代表人/单位负责人姓名、职务）授权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（被授权人姓名、职务）为我方参加XXX项目（项目编号：XXX）谈判采购活动的合法代表，以我方名义全权处理该项目有关谈判、报价、签订合同以及执行合同等一切事宜。</w:t>
      </w:r>
    </w:p>
    <w:p>
      <w:pPr>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特此声明。</w:t>
      </w:r>
    </w:p>
    <w:p>
      <w:pPr>
        <w:spacing w:line="600" w:lineRule="exact"/>
        <w:ind w:firstLine="49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委托期限：</w:t>
      </w:r>
      <w:r>
        <w:rPr>
          <w:rFonts w:hint="eastAsia" w:ascii="宋体" w:hAnsi="宋体" w:eastAsia="宋体" w:cs="宋体"/>
          <w:color w:val="auto"/>
          <w:sz w:val="24"/>
          <w:highlight w:val="none"/>
          <w:u w:val="single"/>
        </w:rPr>
        <w:t>自本授权委托书签署之日起至谈判文件约定的“谈判有效期”结束为止。</w:t>
      </w:r>
    </w:p>
    <w:p>
      <w:pPr>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代理人无转委托权，特此委托</w:t>
      </w:r>
    </w:p>
    <w:p>
      <w:pPr>
        <w:spacing w:line="6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附：法定代表人/单位负责人及被委托人身份证复印件</w:t>
      </w:r>
    </w:p>
    <w:p>
      <w:pPr>
        <w:spacing w:line="400" w:lineRule="exact"/>
        <w:ind w:firstLine="490" w:firstLineChars="200"/>
        <w:rPr>
          <w:rFonts w:hint="eastAsia" w:ascii="宋体" w:hAnsi="宋体" w:eastAsia="宋体" w:cs="宋体"/>
          <w:color w:val="auto"/>
          <w:sz w:val="24"/>
          <w:highlight w:val="none"/>
        </w:rPr>
      </w:pPr>
    </w:p>
    <w:p>
      <w:pPr>
        <w:spacing w:line="400" w:lineRule="exact"/>
        <w:ind w:firstLine="490" w:firstLineChars="200"/>
        <w:rPr>
          <w:rFonts w:hint="eastAsia" w:ascii="宋体" w:hAnsi="宋体" w:eastAsia="宋体" w:cs="宋体"/>
          <w:color w:val="auto"/>
          <w:sz w:val="24"/>
          <w:highlight w:val="none"/>
        </w:rPr>
      </w:pPr>
    </w:p>
    <w:p>
      <w:pPr>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供应商名称：XXX（盖单位公章）</w:t>
      </w:r>
    </w:p>
    <w:p>
      <w:pPr>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法定代表人/单位负责人（签字或盖章）：XXX</w:t>
      </w:r>
    </w:p>
    <w:p>
      <w:pPr>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职    务：XXX</w:t>
      </w:r>
    </w:p>
    <w:p>
      <w:pPr>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被授权人签字：XXX</w:t>
      </w:r>
    </w:p>
    <w:p>
      <w:pPr>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职    务：XXX</w:t>
      </w:r>
    </w:p>
    <w:p>
      <w:pPr>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期：XXX年XXX月XXX日</w:t>
      </w:r>
    </w:p>
    <w:p>
      <w:pPr>
        <w:pStyle w:val="43"/>
        <w:rPr>
          <w:rFonts w:hint="eastAsia" w:ascii="宋体" w:hAnsi="宋体" w:eastAsia="宋体" w:cs="宋体"/>
          <w:color w:val="auto"/>
          <w:highlight w:val="none"/>
        </w:rPr>
      </w:pPr>
    </w:p>
    <w:p>
      <w:pPr>
        <w:pStyle w:val="43"/>
        <w:rPr>
          <w:rFonts w:hint="eastAsia" w:ascii="宋体" w:hAnsi="宋体" w:eastAsia="宋体" w:cs="宋体"/>
          <w:color w:val="auto"/>
          <w:highlight w:val="none"/>
        </w:rPr>
      </w:pPr>
    </w:p>
    <w:p>
      <w:pPr>
        <w:widowControl/>
        <w:spacing w:line="360" w:lineRule="atLeast"/>
        <w:jc w:val="left"/>
        <w:rPr>
          <w:rFonts w:hint="eastAsia" w:ascii="宋体" w:hAnsi="宋体" w:eastAsia="宋体" w:cs="宋体"/>
          <w:b/>
          <w:color w:val="auto"/>
          <w:sz w:val="24"/>
          <w:highlight w:val="none"/>
        </w:rPr>
      </w:pPr>
    </w:p>
    <w:p>
      <w:pPr>
        <w:widowControl/>
        <w:spacing w:line="360" w:lineRule="atLeas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注：1、供应商为法人单位时提供“法定代表人授权书”，供应商为其他组织时提供“单位负责人授权书”，供应商为自然人时提供“自然人身份证明材料”。</w:t>
      </w:r>
    </w:p>
    <w:p>
      <w:pPr>
        <w:widowControl/>
        <w:spacing w:line="360" w:lineRule="atLeast"/>
        <w:ind w:left="317" w:leftChars="92"/>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2、应附法定代表人/单位负责人身份证明材料复印件和授权代表身份证明材料复印件。</w:t>
      </w:r>
    </w:p>
    <w:p>
      <w:pPr>
        <w:widowControl/>
        <w:spacing w:line="360" w:lineRule="atLeast"/>
        <w:ind w:left="317" w:leftChars="92"/>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3、身份证明材料包括居民身份证或户口本或军官证或护照等。</w:t>
      </w:r>
    </w:p>
    <w:p>
      <w:pPr>
        <w:widowControl/>
        <w:spacing w:line="360" w:lineRule="atLeast"/>
        <w:ind w:left="317" w:leftChars="92"/>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4、身份证明材料应同时提供其在有效期的材料，如居民身份证正、反面复印件。</w:t>
      </w:r>
    </w:p>
    <w:p>
      <w:pPr>
        <w:widowControl/>
        <w:spacing w:line="360" w:lineRule="atLeast"/>
        <w:ind w:left="317" w:leftChars="92"/>
        <w:jc w:val="left"/>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5、此授权书盖章位置未做强制性要求。</w:t>
      </w:r>
    </w:p>
    <w:p>
      <w:pPr>
        <w:pStyle w:val="43"/>
        <w:rPr>
          <w:rFonts w:hint="eastAsia" w:ascii="宋体" w:hAnsi="宋体" w:eastAsia="宋体" w:cs="宋体"/>
          <w:color w:val="auto"/>
          <w:highlight w:val="none"/>
        </w:rPr>
      </w:pPr>
    </w:p>
    <w:p>
      <w:pPr>
        <w:spacing w:line="400" w:lineRule="exact"/>
        <w:rPr>
          <w:rFonts w:hint="eastAsia" w:ascii="宋体" w:hAnsi="宋体" w:eastAsia="宋体" w:cs="宋体"/>
          <w:color w:val="auto"/>
          <w:sz w:val="24"/>
          <w:highlight w:val="none"/>
        </w:rPr>
      </w:pPr>
    </w:p>
    <w:p>
      <w:pPr>
        <w:spacing w:line="400" w:lineRule="exact"/>
        <w:rPr>
          <w:rFonts w:hint="eastAsia" w:ascii="宋体" w:hAnsi="宋体" w:eastAsia="宋体" w:cs="宋体"/>
          <w:color w:val="auto"/>
          <w:sz w:val="32"/>
          <w:highlight w:val="none"/>
        </w:rPr>
      </w:pP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法定代表人/单位负责人身份证明</w:t>
      </w:r>
    </w:p>
    <w:p>
      <w:pPr>
        <w:jc w:val="center"/>
        <w:rPr>
          <w:rFonts w:hint="eastAsia" w:ascii="宋体" w:hAnsi="宋体" w:eastAsia="宋体" w:cs="宋体"/>
          <w:bCs/>
          <w:color w:val="auto"/>
          <w:sz w:val="28"/>
          <w:szCs w:val="28"/>
          <w:highlight w:val="none"/>
        </w:rPr>
      </w:pPr>
      <w:r>
        <w:rPr>
          <w:rFonts w:hint="eastAsia" w:ascii="宋体" w:hAnsi="宋体" w:eastAsia="宋体" w:cs="宋体"/>
          <w:color w:val="auto"/>
          <w:sz w:val="21"/>
          <w:szCs w:val="21"/>
          <w:highlight w:val="none"/>
          <w:lang w:val="zh-CN"/>
        </w:rPr>
        <w:t>（若为法定代表人</w:t>
      </w:r>
      <w:r>
        <w:rPr>
          <w:rFonts w:hint="eastAsia" w:ascii="宋体" w:hAnsi="宋体" w:eastAsia="宋体" w:cs="宋体"/>
          <w:color w:val="auto"/>
          <w:sz w:val="21"/>
          <w:szCs w:val="21"/>
          <w:highlight w:val="none"/>
        </w:rPr>
        <w:t>/单位负责人</w:t>
      </w:r>
      <w:r>
        <w:rPr>
          <w:rFonts w:hint="eastAsia" w:ascii="宋体" w:hAnsi="宋体" w:eastAsia="宋体" w:cs="宋体"/>
          <w:color w:val="auto"/>
          <w:sz w:val="21"/>
          <w:szCs w:val="21"/>
          <w:highlight w:val="none"/>
          <w:lang w:val="zh-CN"/>
        </w:rPr>
        <w:t>参加，提供此页）</w:t>
      </w:r>
    </w:p>
    <w:p>
      <w:pPr>
        <w:spacing w:line="360" w:lineRule="auto"/>
        <w:ind w:firstLine="855" w:firstLineChars="300"/>
        <w:rPr>
          <w:rFonts w:hint="eastAsia" w:ascii="宋体" w:hAnsi="宋体" w:eastAsia="宋体" w:cs="宋体"/>
          <w:bCs/>
          <w:color w:val="auto"/>
          <w:sz w:val="28"/>
          <w:szCs w:val="28"/>
          <w:highlight w:val="none"/>
        </w:rPr>
      </w:pPr>
    </w:p>
    <w:p>
      <w:pPr>
        <w:spacing w:line="360" w:lineRule="auto"/>
        <w:ind w:firstLine="735" w:firstLineChars="3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________(姓名）系___________________（供应商名称）的法定代表人/单位负责人（职务：_____________,电话：_________________）。</w:t>
      </w:r>
    </w:p>
    <w:p>
      <w:pPr>
        <w:spacing w:line="360" w:lineRule="auto"/>
        <w:ind w:firstLine="735" w:firstLineChars="300"/>
        <w:rPr>
          <w:rFonts w:hint="eastAsia" w:ascii="宋体" w:hAnsi="宋体" w:eastAsia="宋体" w:cs="宋体"/>
          <w:bCs/>
          <w:color w:val="auto"/>
          <w:sz w:val="24"/>
          <w:szCs w:val="24"/>
          <w:highlight w:val="none"/>
        </w:rPr>
      </w:pPr>
    </w:p>
    <w:p>
      <w:pPr>
        <w:spacing w:line="360" w:lineRule="auto"/>
        <w:ind w:firstLine="735" w:firstLineChars="3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特此证明。</w:t>
      </w:r>
    </w:p>
    <w:p>
      <w:pPr>
        <w:spacing w:line="360" w:lineRule="auto"/>
        <w:ind w:firstLine="735" w:firstLineChars="300"/>
        <w:rPr>
          <w:rFonts w:hint="eastAsia" w:ascii="宋体" w:hAnsi="宋体" w:eastAsia="宋体" w:cs="宋体"/>
          <w:bCs/>
          <w:color w:val="auto"/>
          <w:sz w:val="24"/>
          <w:szCs w:val="24"/>
          <w:highlight w:val="none"/>
        </w:rPr>
      </w:pPr>
    </w:p>
    <w:p>
      <w:pPr>
        <w:spacing w:line="360" w:lineRule="auto"/>
        <w:ind w:firstLine="735" w:firstLineChars="300"/>
        <w:rPr>
          <w:rFonts w:hint="eastAsia" w:ascii="宋体" w:hAnsi="宋体" w:eastAsia="宋体" w:cs="宋体"/>
          <w:bCs/>
          <w:color w:val="auto"/>
          <w:sz w:val="24"/>
          <w:szCs w:val="24"/>
          <w:highlight w:val="none"/>
        </w:rPr>
      </w:pPr>
    </w:p>
    <w:p>
      <w:pPr>
        <w:spacing w:line="360" w:lineRule="auto"/>
        <w:ind w:firstLine="735" w:firstLineChars="3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附：法定代表人/单位负责人身份证复印件（提供其在有效期的材料，居民身份证正、反面复印件）</w:t>
      </w:r>
    </w:p>
    <w:p>
      <w:pPr>
        <w:spacing w:line="360" w:lineRule="auto"/>
        <w:ind w:firstLine="735" w:firstLineChars="300"/>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供应商：_______________________（盖单位公章）</w:t>
      </w:r>
    </w:p>
    <w:p>
      <w:pPr>
        <w:spacing w:line="360" w:lineRule="auto"/>
        <w:ind w:firstLine="245"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法定代表人/单位负责人签字或者加盖法定代表人/单位负责人名章：___________</w:t>
      </w:r>
    </w:p>
    <w:p>
      <w:pPr>
        <w:jc w:val="center"/>
        <w:rPr>
          <w:rFonts w:hint="eastAsia" w:ascii="宋体" w:hAnsi="宋体" w:eastAsia="宋体" w:cs="宋体"/>
          <w:b/>
          <w:color w:val="auto"/>
          <w:sz w:val="32"/>
          <w:szCs w:val="32"/>
          <w:highlight w:val="none"/>
        </w:rPr>
      </w:pPr>
    </w:p>
    <w:p>
      <w:pPr>
        <w:widowControl/>
        <w:spacing w:line="360" w:lineRule="atLeas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 1、供应商为自然人时提供“自然人身份证明材料”。</w:t>
      </w:r>
    </w:p>
    <w:p>
      <w:pPr>
        <w:widowControl/>
        <w:spacing w:line="360" w:lineRule="atLeast"/>
        <w:ind w:left="317" w:leftChars="92" w:firstLine="245" w:firstLineChars="1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2、身份证明材料包括居民身份证或户口本或军官证或护照等。</w:t>
      </w:r>
    </w:p>
    <w:p>
      <w:pPr>
        <w:widowControl/>
        <w:spacing w:line="360" w:lineRule="atLeast"/>
        <w:ind w:left="317" w:leftChars="92" w:firstLine="245" w:firstLineChars="1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、身份证明材料应同时提供其在有效期的材料，如居民身份证正、反面复印件。</w:t>
      </w:r>
    </w:p>
    <w:p>
      <w:pPr>
        <w:widowControl/>
        <w:spacing w:line="360" w:lineRule="atLeast"/>
        <w:ind w:left="317" w:leftChars="92" w:firstLine="245" w:firstLineChars="1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、此授权书盖章位置未做强制性要求。</w:t>
      </w:r>
    </w:p>
    <w:p>
      <w:pPr>
        <w:spacing w:line="400" w:lineRule="exact"/>
        <w:jc w:val="center"/>
        <w:outlineLvl w:val="1"/>
        <w:rPr>
          <w:rFonts w:hint="eastAsia" w:ascii="宋体" w:hAnsi="宋体" w:eastAsia="宋体" w:cs="宋体"/>
          <w:b/>
          <w:color w:val="auto"/>
          <w:sz w:val="32"/>
          <w:szCs w:val="32"/>
          <w:highlight w:val="none"/>
        </w:rPr>
        <w:sectPr>
          <w:footerReference r:id="rId8" w:type="default"/>
          <w:type w:val="continuous"/>
          <w:pgSz w:w="11850" w:h="16783"/>
          <w:pgMar w:top="1440" w:right="1083" w:bottom="1440" w:left="1083" w:header="851" w:footer="992" w:gutter="0"/>
          <w:pgNumType w:fmt="decimal"/>
          <w:cols w:space="720" w:num="1"/>
          <w:docGrid w:type="linesAndChars" w:linePitch="463" w:charSpace="1024"/>
        </w:sectPr>
      </w:pPr>
      <w:bookmarkStart w:id="211" w:name="_Toc4616488"/>
    </w:p>
    <w:p>
      <w:pPr>
        <w:spacing w:line="400" w:lineRule="exact"/>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二、承诺函</w:t>
      </w:r>
      <w:bookmarkEnd w:id="211"/>
    </w:p>
    <w:p>
      <w:pPr>
        <w:spacing w:line="380" w:lineRule="exact"/>
        <w:ind w:firstLine="570" w:firstLineChars="200"/>
        <w:jc w:val="center"/>
        <w:rPr>
          <w:rFonts w:hint="eastAsia" w:ascii="宋体" w:hAnsi="宋体" w:eastAsia="宋体" w:cs="宋体"/>
          <w:b/>
          <w:color w:val="auto"/>
          <w:sz w:val="28"/>
          <w:szCs w:val="28"/>
          <w:highlight w:val="none"/>
        </w:rPr>
      </w:pPr>
    </w:p>
    <w:p>
      <w:pPr>
        <w:spacing w:line="380" w:lineRule="exact"/>
        <w:ind w:firstLine="49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四川中意招标有限公司：</w:t>
      </w:r>
    </w:p>
    <w:p>
      <w:pPr>
        <w:spacing w:line="380" w:lineRule="exact"/>
        <w:ind w:firstLine="49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我公司作为本次采购项目的供应商，根据谈判文件要求，现郑重承诺如下：</w:t>
      </w:r>
    </w:p>
    <w:p>
      <w:pPr>
        <w:spacing w:line="380" w:lineRule="exact"/>
        <w:ind w:firstLine="49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一、具备《中华人民共和国政府采购法》第二十二条第一款和本项目规定的条件：</w:t>
      </w:r>
    </w:p>
    <w:p>
      <w:pPr>
        <w:spacing w:line="380" w:lineRule="exact"/>
        <w:ind w:firstLine="49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（一）具有独立承担民事责任的能力；</w:t>
      </w:r>
    </w:p>
    <w:p>
      <w:pPr>
        <w:spacing w:line="380" w:lineRule="exact"/>
        <w:ind w:firstLine="49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（二）具有良好的商业信誉和健全的财务会计制度；</w:t>
      </w:r>
    </w:p>
    <w:p>
      <w:pPr>
        <w:spacing w:line="380" w:lineRule="exact"/>
        <w:ind w:firstLine="49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（三）具有履行合同所必需的设备和专业技术能力；</w:t>
      </w:r>
    </w:p>
    <w:p>
      <w:pPr>
        <w:spacing w:line="380" w:lineRule="exact"/>
        <w:ind w:firstLine="49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（四）有依法缴纳税收和社会保障资金的良好记录；</w:t>
      </w:r>
    </w:p>
    <w:p>
      <w:pPr>
        <w:spacing w:line="380" w:lineRule="exact"/>
        <w:ind w:firstLine="49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（五）参加政府采购活动前三年内，在经营活动中没有重大违法记录；</w:t>
      </w:r>
    </w:p>
    <w:p>
      <w:pPr>
        <w:spacing w:line="380" w:lineRule="exact"/>
        <w:ind w:firstLine="49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（六）法律、行政法规规定的其他条件；</w:t>
      </w:r>
    </w:p>
    <w:p>
      <w:pPr>
        <w:pStyle w:val="43"/>
        <w:spacing w:line="380" w:lineRule="exact"/>
        <w:ind w:firstLine="490" w:firstLineChars="200"/>
        <w:rPr>
          <w:rFonts w:hint="eastAsia" w:ascii="宋体" w:hAnsi="宋体" w:eastAsia="宋体" w:cs="宋体"/>
          <w:color w:val="auto"/>
          <w:highlight w:val="none"/>
        </w:rPr>
      </w:pPr>
      <w:r>
        <w:rPr>
          <w:rFonts w:hint="eastAsia" w:hAnsi="宋体" w:eastAsia="宋体" w:cs="宋体"/>
          <w:color w:val="auto"/>
          <w:highlight w:val="none"/>
          <w:lang w:eastAsia="zh-CN"/>
        </w:rPr>
        <w:t>（</w:t>
      </w:r>
      <w:r>
        <w:rPr>
          <w:rFonts w:hint="eastAsia" w:ascii="宋体" w:hAnsi="宋体" w:eastAsia="宋体" w:cs="宋体"/>
          <w:color w:val="auto"/>
          <w:highlight w:val="none"/>
        </w:rPr>
        <w:t>七</w:t>
      </w:r>
      <w:r>
        <w:rPr>
          <w:rFonts w:hint="eastAsia" w:hAnsi="宋体" w:eastAsia="宋体" w:cs="宋体"/>
          <w:color w:val="auto"/>
          <w:highlight w:val="none"/>
          <w:lang w:eastAsia="zh-CN"/>
        </w:rPr>
        <w:t>）我单位不具有行贿犯罪记录</w:t>
      </w:r>
      <w:r>
        <w:rPr>
          <w:rFonts w:hint="eastAsia" w:ascii="宋体" w:hAnsi="宋体" w:eastAsia="宋体" w:cs="宋体"/>
          <w:color w:val="auto"/>
          <w:highlight w:val="none"/>
        </w:rPr>
        <w:t>。</w:t>
      </w:r>
    </w:p>
    <w:p>
      <w:pPr>
        <w:spacing w:line="380" w:lineRule="exact"/>
        <w:ind w:firstLine="490" w:firstLineChars="200"/>
        <w:jc w:val="left"/>
        <w:rPr>
          <w:rFonts w:hint="eastAsia" w:ascii="宋体" w:hAnsi="宋体" w:eastAsia="宋体" w:cs="宋体"/>
          <w:color w:val="auto"/>
          <w:sz w:val="24"/>
          <w:highlight w:val="none"/>
        </w:rPr>
      </w:pPr>
    </w:p>
    <w:p>
      <w:pPr>
        <w:spacing w:line="380" w:lineRule="exact"/>
        <w:ind w:firstLine="490" w:firstLineChars="200"/>
        <w:jc w:val="left"/>
        <w:rPr>
          <w:rFonts w:hint="eastAsia" w:ascii="宋体" w:hAnsi="宋体" w:eastAsia="宋体" w:cs="宋体"/>
          <w:color w:val="auto"/>
          <w:sz w:val="24"/>
          <w:highlight w:val="none"/>
        </w:rPr>
      </w:pPr>
    </w:p>
    <w:p>
      <w:pPr>
        <w:spacing w:line="380" w:lineRule="exact"/>
        <w:ind w:firstLine="49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本公司对上述承诺的内容事项真实性负责。如经查实上述承诺的内容事项存在虚假，我公司愿意接受以提供虚假材料谋取成交的法律责任。</w:t>
      </w:r>
    </w:p>
    <w:p>
      <w:pPr>
        <w:spacing w:line="380" w:lineRule="exact"/>
        <w:ind w:firstLine="49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法定代表人签字或者加盖个人私章：XXXX</w:t>
      </w:r>
    </w:p>
    <w:p>
      <w:pPr>
        <w:spacing w:line="380" w:lineRule="exact"/>
        <w:ind w:firstLine="49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授权代表签字：XXXX</w:t>
      </w:r>
    </w:p>
    <w:p>
      <w:pPr>
        <w:spacing w:line="380" w:lineRule="exact"/>
        <w:ind w:firstLine="49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供应商名称：XXXX（盖章）</w:t>
      </w:r>
    </w:p>
    <w:p>
      <w:pPr>
        <w:spacing w:line="380" w:lineRule="exact"/>
        <w:ind w:firstLine="49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期：XXX年XXX月XXX日</w:t>
      </w:r>
    </w:p>
    <w:p>
      <w:pPr>
        <w:pStyle w:val="6"/>
        <w:ind w:firstLine="490"/>
        <w:rPr>
          <w:rFonts w:hint="eastAsia" w:ascii="宋体" w:hAnsi="宋体" w:eastAsia="宋体" w:cs="宋体"/>
          <w:color w:val="auto"/>
          <w:sz w:val="24"/>
          <w:highlight w:val="none"/>
        </w:rPr>
      </w:pPr>
    </w:p>
    <w:p>
      <w:pPr>
        <w:tabs>
          <w:tab w:val="left" w:pos="7665"/>
        </w:tabs>
        <w:spacing w:line="460" w:lineRule="exact"/>
        <w:ind w:firstLine="650" w:firstLineChars="200"/>
        <w:jc w:val="center"/>
        <w:outlineLvl w:val="1"/>
        <w:rPr>
          <w:rFonts w:hint="eastAsia" w:ascii="宋体" w:hAnsi="宋体" w:eastAsia="宋体" w:cs="宋体"/>
          <w:b/>
          <w:color w:val="auto"/>
          <w:sz w:val="32"/>
          <w:szCs w:val="32"/>
          <w:highlight w:val="none"/>
        </w:rPr>
        <w:sectPr>
          <w:pgSz w:w="11850" w:h="16783"/>
          <w:pgMar w:top="1440" w:right="1083" w:bottom="1440" w:left="1083" w:header="851" w:footer="992" w:gutter="0"/>
          <w:pgNumType w:fmt="decimal"/>
          <w:cols w:space="720" w:num="1"/>
          <w:docGrid w:type="linesAndChars" w:linePitch="463" w:charSpace="1024"/>
        </w:sectPr>
      </w:pPr>
      <w:bookmarkStart w:id="212" w:name="_Toc4616489"/>
    </w:p>
    <w:p>
      <w:pPr>
        <w:tabs>
          <w:tab w:val="left" w:pos="7665"/>
        </w:tabs>
        <w:spacing w:line="460" w:lineRule="exact"/>
        <w:ind w:firstLine="650" w:firstLineChars="200"/>
        <w:jc w:val="center"/>
        <w:outlineLvl w:val="1"/>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rPr>
        <w:t>三、</w:t>
      </w:r>
      <w:bookmarkEnd w:id="212"/>
      <w:r>
        <w:rPr>
          <w:rFonts w:hint="eastAsia" w:ascii="宋体" w:hAnsi="宋体" w:eastAsia="宋体" w:cs="宋体"/>
          <w:b/>
          <w:bCs/>
          <w:color w:val="auto"/>
          <w:sz w:val="32"/>
          <w:szCs w:val="32"/>
          <w:highlight w:val="none"/>
        </w:rPr>
        <w:t>强制节能清单（如涉及）</w:t>
      </w:r>
    </w:p>
    <w:p>
      <w:pPr>
        <w:spacing w:line="460" w:lineRule="exact"/>
        <w:ind w:firstLine="367" w:firstLineChars="150"/>
        <w:rPr>
          <w:rFonts w:hint="eastAsia" w:ascii="宋体" w:hAnsi="宋体" w:eastAsia="宋体" w:cs="宋体"/>
          <w:color w:val="auto"/>
          <w:sz w:val="24"/>
          <w:szCs w:val="18"/>
          <w:highlight w:val="none"/>
          <w:lang w:val="zh-CN"/>
        </w:rPr>
      </w:pPr>
      <w:r>
        <w:rPr>
          <w:rFonts w:hint="eastAsia" w:ascii="宋体" w:hAnsi="宋体" w:eastAsia="宋体" w:cs="宋体"/>
          <w:color w:val="auto"/>
          <w:sz w:val="24"/>
          <w:szCs w:val="18"/>
          <w:highlight w:val="none"/>
          <w:lang w:val="zh-CN"/>
        </w:rPr>
        <w:t>根据财政部、发展改革委、生态环境部、市场监管总局联合发布《关于调整优化节能产品、环境标志产品政府采购执行机制的通知》(财库〔2019〕9 号)，对政府采购节能产品、环境标志产品实施品目清单管理，本项目如涉及政府强制采购产品（节能产品政府采购品目清单中★号产品），供应商在响应时须按照《关于印发节能产品政府采购品目清单的通知》（财库〔2019〕19号）要求提供认证机构名录内单位出具的节能产品认证证书，否则其响应文件将被视为无效响应处理。认证机构名录详见《参与实施政府采购节能产品认证机构名录》。</w:t>
      </w:r>
      <w:r>
        <w:rPr>
          <w:rFonts w:hint="eastAsia" w:ascii="宋体" w:hAnsi="宋体" w:eastAsia="宋体" w:cs="宋体"/>
          <w:color w:val="auto"/>
          <w:sz w:val="24"/>
          <w:highlight w:val="none"/>
          <w:lang w:val="zh-CN"/>
        </w:rPr>
        <w:t>强制采购产品类别如下：台式计算机，便携式计算机，平板式微型计算机，激光打印机，针式打印机，液晶显示器，制冷压缩机(指冷水机组、水源热泵机组、溴化锂吸收式冷水机组)，空调机组[指多联式空调（热泵）机组(制冷量&gt;14000W)、单元式空气调节机(制冷量&gt;14000W)]，专用制冷、空调设备（指机房空调），镇流器（指管型荧光灯镇流器），空调机[指房间空气调节器、多联式空调（热泵）机组（制冷量≤14000W）、单元式空气调节机(制冷量≤14000W)]，电热水器，普通照明用双端荧光灯，电视设备[指普通电视设备（电视机）]，视频设备（指监视器），便器（指坐便器、蹲便器、小便器），水嘴。</w:t>
      </w:r>
    </w:p>
    <w:p>
      <w:pPr>
        <w:spacing w:line="420" w:lineRule="exact"/>
        <w:ind w:firstLine="490" w:firstLineChars="200"/>
        <w:jc w:val="left"/>
        <w:rPr>
          <w:rFonts w:hint="eastAsia" w:ascii="宋体" w:hAnsi="宋体" w:eastAsia="宋体" w:cs="宋体"/>
          <w:bCs/>
          <w:color w:val="auto"/>
          <w:sz w:val="24"/>
          <w:highlight w:val="none"/>
          <w:lang w:val="zh-CN"/>
        </w:rPr>
      </w:pPr>
    </w:p>
    <w:p>
      <w:pPr>
        <w:pStyle w:val="6"/>
        <w:ind w:firstLine="430"/>
        <w:rPr>
          <w:rFonts w:hint="eastAsia" w:ascii="宋体" w:hAnsi="宋体" w:eastAsia="宋体" w:cs="宋体"/>
          <w:color w:val="auto"/>
          <w:highlight w:val="none"/>
        </w:rPr>
      </w:pPr>
    </w:p>
    <w:p>
      <w:pPr>
        <w:pStyle w:val="6"/>
        <w:ind w:firstLine="430"/>
        <w:rPr>
          <w:rFonts w:hint="eastAsia" w:ascii="宋体" w:hAnsi="宋体" w:eastAsia="宋体" w:cs="宋体"/>
          <w:color w:val="auto"/>
          <w:highlight w:val="none"/>
        </w:rPr>
      </w:pPr>
    </w:p>
    <w:p>
      <w:pPr>
        <w:pStyle w:val="6"/>
        <w:ind w:firstLine="430"/>
        <w:rPr>
          <w:rFonts w:hint="eastAsia" w:ascii="宋体" w:hAnsi="宋体" w:eastAsia="宋体" w:cs="宋体"/>
          <w:color w:val="auto"/>
          <w:highlight w:val="none"/>
        </w:rPr>
      </w:pPr>
    </w:p>
    <w:p>
      <w:pPr>
        <w:pStyle w:val="6"/>
        <w:ind w:firstLine="430"/>
        <w:rPr>
          <w:rFonts w:hint="eastAsia" w:ascii="宋体" w:hAnsi="宋体" w:eastAsia="宋体" w:cs="宋体"/>
          <w:color w:val="auto"/>
          <w:highlight w:val="none"/>
        </w:rPr>
      </w:pPr>
    </w:p>
    <w:p>
      <w:pPr>
        <w:pStyle w:val="6"/>
        <w:ind w:firstLine="430"/>
        <w:rPr>
          <w:rFonts w:hint="eastAsia" w:ascii="宋体" w:hAnsi="宋体" w:eastAsia="宋体" w:cs="宋体"/>
          <w:color w:val="auto"/>
          <w:highlight w:val="none"/>
        </w:rPr>
      </w:pPr>
    </w:p>
    <w:p>
      <w:pPr>
        <w:pStyle w:val="6"/>
        <w:ind w:firstLine="430"/>
        <w:rPr>
          <w:rFonts w:hint="eastAsia" w:ascii="宋体" w:hAnsi="宋体" w:eastAsia="宋体" w:cs="宋体"/>
          <w:color w:val="auto"/>
          <w:highlight w:val="none"/>
        </w:rPr>
      </w:pPr>
    </w:p>
    <w:p>
      <w:pPr>
        <w:pStyle w:val="6"/>
        <w:ind w:firstLine="430"/>
        <w:rPr>
          <w:rFonts w:hint="eastAsia" w:ascii="宋体" w:hAnsi="宋体" w:eastAsia="宋体" w:cs="宋体"/>
          <w:color w:val="auto"/>
          <w:highlight w:val="none"/>
        </w:rPr>
      </w:pPr>
    </w:p>
    <w:p>
      <w:pPr>
        <w:pStyle w:val="6"/>
        <w:ind w:firstLine="430"/>
        <w:rPr>
          <w:rFonts w:hint="eastAsia" w:ascii="宋体" w:hAnsi="宋体" w:eastAsia="宋体" w:cs="宋体"/>
          <w:color w:val="auto"/>
          <w:highlight w:val="none"/>
        </w:rPr>
      </w:pPr>
    </w:p>
    <w:p>
      <w:pPr>
        <w:pStyle w:val="6"/>
        <w:ind w:firstLine="430"/>
        <w:rPr>
          <w:rFonts w:hint="eastAsia" w:ascii="宋体" w:hAnsi="宋体" w:eastAsia="宋体" w:cs="宋体"/>
          <w:color w:val="auto"/>
          <w:highlight w:val="none"/>
        </w:rPr>
      </w:pPr>
    </w:p>
    <w:p>
      <w:pPr>
        <w:pStyle w:val="6"/>
        <w:ind w:firstLine="430"/>
        <w:rPr>
          <w:rFonts w:hint="eastAsia" w:ascii="宋体" w:hAnsi="宋体" w:eastAsia="宋体" w:cs="宋体"/>
          <w:color w:val="auto"/>
          <w:highlight w:val="none"/>
        </w:rPr>
      </w:pPr>
    </w:p>
    <w:p>
      <w:pPr>
        <w:pStyle w:val="6"/>
        <w:ind w:firstLine="430"/>
        <w:rPr>
          <w:rFonts w:hint="eastAsia" w:ascii="宋体" w:hAnsi="宋体" w:eastAsia="宋体" w:cs="宋体"/>
          <w:color w:val="auto"/>
          <w:highlight w:val="none"/>
        </w:rPr>
      </w:pPr>
    </w:p>
    <w:p>
      <w:pPr>
        <w:pStyle w:val="6"/>
        <w:ind w:firstLine="430"/>
        <w:rPr>
          <w:rFonts w:hint="eastAsia" w:ascii="宋体" w:hAnsi="宋体" w:eastAsia="宋体" w:cs="宋体"/>
          <w:color w:val="auto"/>
          <w:highlight w:val="none"/>
        </w:rPr>
      </w:pPr>
    </w:p>
    <w:p>
      <w:pPr>
        <w:pStyle w:val="6"/>
        <w:ind w:firstLine="430"/>
        <w:rPr>
          <w:rFonts w:hint="eastAsia" w:ascii="宋体" w:hAnsi="宋体" w:eastAsia="宋体" w:cs="宋体"/>
          <w:color w:val="auto"/>
          <w:highlight w:val="none"/>
        </w:rPr>
      </w:pPr>
    </w:p>
    <w:p>
      <w:pPr>
        <w:pStyle w:val="6"/>
        <w:ind w:firstLine="430"/>
        <w:rPr>
          <w:rFonts w:hint="eastAsia" w:ascii="宋体" w:hAnsi="宋体" w:eastAsia="宋体" w:cs="宋体"/>
          <w:color w:val="auto"/>
          <w:highlight w:val="none"/>
        </w:rPr>
      </w:pPr>
    </w:p>
    <w:p>
      <w:pPr>
        <w:pStyle w:val="6"/>
        <w:ind w:firstLine="653"/>
        <w:jc w:val="center"/>
        <w:rPr>
          <w:rFonts w:hint="eastAsia" w:ascii="宋体" w:hAnsi="宋体" w:eastAsia="宋体" w:cs="宋体"/>
          <w:b/>
          <w:color w:val="auto"/>
          <w:sz w:val="32"/>
          <w:szCs w:val="28"/>
          <w:highlight w:val="none"/>
        </w:rPr>
      </w:pPr>
      <w:bookmarkStart w:id="213" w:name="_Toc4616491"/>
      <w:r>
        <w:rPr>
          <w:rFonts w:hint="eastAsia" w:ascii="宋体" w:hAnsi="宋体" w:eastAsia="宋体" w:cs="宋体"/>
          <w:b/>
          <w:color w:val="auto"/>
          <w:sz w:val="32"/>
          <w:szCs w:val="28"/>
          <w:highlight w:val="none"/>
        </w:rPr>
        <w:t>四、具有独立承担民事责任能力的证明材料</w:t>
      </w:r>
      <w:bookmarkEnd w:id="213"/>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（如营业执照）</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jc w:val="center"/>
        <w:outlineLvl w:val="1"/>
        <w:rPr>
          <w:rFonts w:hint="eastAsia" w:ascii="宋体" w:hAnsi="宋体" w:eastAsia="宋体" w:cs="宋体"/>
          <w:b/>
          <w:color w:val="auto"/>
          <w:sz w:val="32"/>
          <w:szCs w:val="28"/>
          <w:highlight w:val="none"/>
        </w:rPr>
      </w:pPr>
      <w:bookmarkStart w:id="214" w:name="_Toc4616492"/>
      <w:r>
        <w:rPr>
          <w:rFonts w:hint="eastAsia" w:ascii="宋体" w:hAnsi="宋体" w:eastAsia="宋体" w:cs="宋体"/>
          <w:b/>
          <w:color w:val="auto"/>
          <w:sz w:val="32"/>
          <w:szCs w:val="28"/>
          <w:highlight w:val="none"/>
        </w:rPr>
        <w:t>五、提供具有良好的商业信誉和健全的财务会计制度的证明材料</w:t>
      </w:r>
      <w:bookmarkEnd w:id="214"/>
    </w:p>
    <w:p>
      <w:pPr>
        <w:jc w:val="center"/>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（根据第四章要求提供）</w:t>
      </w:r>
    </w:p>
    <w:p>
      <w:pPr>
        <w:jc w:val="center"/>
        <w:rPr>
          <w:rFonts w:hint="eastAsia" w:ascii="宋体" w:hAnsi="宋体" w:eastAsia="宋体" w:cs="宋体"/>
          <w:color w:val="auto"/>
          <w:highlight w:val="none"/>
        </w:rPr>
      </w:pPr>
    </w:p>
    <w:p>
      <w:pPr>
        <w:pStyle w:val="6"/>
        <w:ind w:firstLine="430"/>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4"/>
        <w:spacing w:before="0" w:after="0" w:line="240" w:lineRule="auto"/>
        <w:jc w:val="center"/>
        <w:rPr>
          <w:rFonts w:hint="eastAsia" w:ascii="宋体" w:hAnsi="宋体" w:eastAsia="宋体" w:cs="宋体"/>
          <w:b/>
          <w:bCs w:val="0"/>
          <w:color w:val="auto"/>
          <w:sz w:val="32"/>
          <w:highlight w:val="none"/>
        </w:rPr>
      </w:pPr>
      <w:bookmarkStart w:id="215" w:name="_Toc4616510"/>
      <w:r>
        <w:rPr>
          <w:rFonts w:hint="eastAsia" w:ascii="宋体" w:hAnsi="宋体" w:eastAsia="宋体" w:cs="宋体"/>
          <w:b/>
          <w:bCs w:val="0"/>
          <w:color w:val="auto"/>
          <w:kern w:val="0"/>
          <w:sz w:val="32"/>
          <w:szCs w:val="28"/>
          <w:highlight w:val="none"/>
          <w:lang w:val="en-US" w:eastAsia="zh-CN" w:bidi="ar-SA"/>
        </w:rPr>
        <w:t>六、</w:t>
      </w:r>
      <w:bookmarkEnd w:id="215"/>
      <w:r>
        <w:rPr>
          <w:rFonts w:hint="eastAsia" w:ascii="宋体" w:hAnsi="宋体" w:eastAsia="宋体" w:cs="宋体"/>
          <w:b/>
          <w:bCs w:val="0"/>
          <w:color w:val="auto"/>
          <w:sz w:val="32"/>
          <w:highlight w:val="none"/>
        </w:rPr>
        <w:t>3C及其他国家强制要求承诺函（如涉及）</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我方承诺：</w:t>
      </w:r>
    </w:p>
    <w:p>
      <w:pPr>
        <w:rPr>
          <w:rFonts w:hint="eastAsia" w:ascii="宋体" w:hAnsi="宋体" w:eastAsia="宋体" w:cs="宋体"/>
          <w:color w:val="auto"/>
          <w:sz w:val="24"/>
          <w:szCs w:val="24"/>
          <w:highlight w:val="none"/>
        </w:rPr>
      </w:pPr>
    </w:p>
    <w:p>
      <w:pPr>
        <w:ind w:firstLine="49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本项目技术参数中如涉及到3C强制认证产品或其他国家强制要求我公司均满足相关要求，我方若</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后签订合同前向采购人提供《中国强制性产品认证》（3C证书）或其他国家强制要求证明材料复印件。</w:t>
      </w:r>
    </w:p>
    <w:p>
      <w:pPr>
        <w:rPr>
          <w:rFonts w:hint="eastAsia" w:ascii="宋体" w:hAnsi="宋体" w:eastAsia="宋体" w:cs="宋体"/>
          <w:color w:val="auto"/>
          <w:sz w:val="24"/>
          <w:szCs w:val="24"/>
          <w:highlight w:val="none"/>
        </w:rPr>
      </w:pPr>
    </w:p>
    <w:p>
      <w:pPr>
        <w:rPr>
          <w:rFonts w:hint="eastAsia" w:ascii="宋体" w:hAnsi="宋体" w:eastAsia="宋体" w:cs="宋体"/>
          <w:color w:val="auto"/>
          <w:szCs w:val="22"/>
          <w:highlight w:val="none"/>
        </w:rPr>
      </w:pPr>
    </w:p>
    <w:p>
      <w:pPr>
        <w:rPr>
          <w:rFonts w:hint="eastAsia" w:ascii="宋体" w:hAnsi="宋体" w:eastAsia="宋体" w:cs="宋体"/>
          <w:color w:val="auto"/>
          <w:szCs w:val="22"/>
          <w:highlight w:val="none"/>
        </w:rPr>
      </w:pPr>
    </w:p>
    <w:p>
      <w:pPr>
        <w:rPr>
          <w:rFonts w:hint="eastAsia" w:ascii="宋体" w:hAnsi="宋体" w:eastAsia="宋体" w:cs="宋体"/>
          <w:color w:val="auto"/>
          <w:szCs w:val="22"/>
          <w:highlight w:val="none"/>
        </w:rPr>
      </w:pP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供应商名称：XXXX（单位公章）。</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法定代表人/单位负责人或授权代表（签字或加盖个人名章）：XXXX。</w:t>
      </w:r>
    </w:p>
    <w:p>
      <w:pPr>
        <w:jc w:val="left"/>
        <w:rPr>
          <w:rFonts w:hint="eastAsia" w:ascii="宋体" w:hAnsi="宋体" w:eastAsia="宋体" w:cs="宋体"/>
          <w:b/>
          <w:bCs/>
          <w:color w:val="auto"/>
          <w:sz w:val="36"/>
          <w:szCs w:val="36"/>
          <w:highlight w:val="none"/>
        </w:rPr>
      </w:pP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日期：XXXX。</w:t>
      </w:r>
    </w:p>
    <w:p>
      <w:pPr>
        <w:rPr>
          <w:rFonts w:hint="eastAsia" w:ascii="宋体" w:hAnsi="宋体" w:eastAsia="宋体" w:cs="宋体"/>
          <w:color w:val="auto"/>
          <w:szCs w:val="22"/>
          <w:highlight w:val="none"/>
        </w:rPr>
      </w:pPr>
    </w:p>
    <w:p>
      <w:pPr>
        <w:widowControl/>
        <w:spacing w:line="360" w:lineRule="atLeast"/>
        <w:rPr>
          <w:rFonts w:hint="eastAsia" w:ascii="宋体" w:hAnsi="宋体" w:eastAsia="宋体" w:cs="宋体"/>
          <w:b/>
          <w:color w:val="auto"/>
          <w:sz w:val="24"/>
          <w:highlight w:val="none"/>
        </w:rPr>
      </w:pPr>
      <w:r>
        <w:rPr>
          <w:rFonts w:hint="eastAsia" w:ascii="宋体" w:hAnsi="宋体" w:eastAsia="宋体" w:cs="宋体"/>
          <w:b/>
          <w:color w:val="auto"/>
          <w:sz w:val="24"/>
          <w:szCs w:val="22"/>
          <w:highlight w:val="none"/>
        </w:rPr>
        <w:t>注：供应商根据自身情况如实进行承诺，格式可以自拟。</w:t>
      </w:r>
    </w:p>
    <w:p>
      <w:pPr>
        <w:rPr>
          <w:rFonts w:hint="eastAsia" w:ascii="宋体" w:hAnsi="宋体" w:eastAsia="宋体" w:cs="宋体"/>
          <w:color w:val="auto"/>
          <w:highlight w:val="none"/>
        </w:rPr>
      </w:pPr>
    </w:p>
    <w:p>
      <w:pPr>
        <w:rPr>
          <w:rFonts w:hint="eastAsia" w:ascii="宋体" w:hAnsi="宋体" w:eastAsia="宋体" w:cs="宋体"/>
          <w:b/>
          <w:color w:val="auto"/>
          <w:sz w:val="32"/>
          <w:szCs w:val="28"/>
          <w:highlight w:val="none"/>
          <w:lang w:val="en-US" w:eastAsia="zh-CN"/>
        </w:rPr>
      </w:pPr>
      <w:bookmarkStart w:id="216" w:name="_Toc4616503"/>
      <w:r>
        <w:rPr>
          <w:rFonts w:hint="eastAsia" w:ascii="宋体" w:hAnsi="宋体" w:eastAsia="宋体" w:cs="宋体"/>
          <w:b/>
          <w:color w:val="auto"/>
          <w:sz w:val="32"/>
          <w:szCs w:val="28"/>
          <w:highlight w:val="none"/>
          <w:lang w:val="en-US" w:eastAsia="zh-CN"/>
        </w:rPr>
        <w:br w:type="page"/>
      </w:r>
    </w:p>
    <w:p>
      <w:pPr>
        <w:jc w:val="center"/>
        <w:rPr>
          <w:rFonts w:hint="eastAsia" w:ascii="宋体" w:hAnsi="宋体" w:eastAsia="宋体" w:cs="宋体"/>
          <w:b/>
          <w:color w:val="auto"/>
          <w:sz w:val="32"/>
          <w:szCs w:val="28"/>
          <w:highlight w:val="none"/>
          <w:lang w:val="zh-CN"/>
        </w:rPr>
      </w:pPr>
      <w:r>
        <w:rPr>
          <w:rFonts w:hint="eastAsia" w:ascii="宋体" w:hAnsi="宋体" w:eastAsia="宋体" w:cs="宋体"/>
          <w:b/>
          <w:color w:val="auto"/>
          <w:sz w:val="32"/>
          <w:szCs w:val="28"/>
          <w:highlight w:val="none"/>
          <w:lang w:val="en-US" w:eastAsia="zh-CN"/>
        </w:rPr>
        <w:t>七</w:t>
      </w:r>
      <w:r>
        <w:rPr>
          <w:rFonts w:hint="eastAsia" w:ascii="宋体" w:hAnsi="宋体" w:eastAsia="宋体" w:cs="宋体"/>
          <w:b/>
          <w:color w:val="auto"/>
          <w:sz w:val="32"/>
          <w:szCs w:val="28"/>
          <w:highlight w:val="none"/>
        </w:rPr>
        <w:t>、</w:t>
      </w:r>
      <w:r>
        <w:rPr>
          <w:rFonts w:hint="eastAsia" w:ascii="宋体" w:hAnsi="宋体" w:eastAsia="宋体" w:cs="宋体"/>
          <w:b/>
          <w:color w:val="auto"/>
          <w:sz w:val="32"/>
          <w:szCs w:val="28"/>
          <w:highlight w:val="none"/>
          <w:lang w:val="zh-CN"/>
        </w:rPr>
        <w:t>根据采购项目的特殊要求，供应商提供具有特定条件的证明材料</w:t>
      </w:r>
    </w:p>
    <w:p>
      <w:pPr>
        <w:jc w:val="center"/>
        <w:rPr>
          <w:rFonts w:hint="eastAsia" w:ascii="宋体" w:hAnsi="宋体" w:eastAsia="宋体" w:cs="宋体"/>
          <w:b/>
          <w:color w:val="auto"/>
          <w:sz w:val="32"/>
          <w:szCs w:val="28"/>
          <w:highlight w:val="none"/>
          <w:lang w:val="zh-CN"/>
        </w:rPr>
      </w:pPr>
      <w:r>
        <w:rPr>
          <w:rFonts w:hint="eastAsia" w:ascii="宋体" w:hAnsi="宋体" w:eastAsia="宋体" w:cs="宋体"/>
          <w:b/>
          <w:color w:val="auto"/>
          <w:sz w:val="32"/>
          <w:szCs w:val="28"/>
          <w:highlight w:val="none"/>
          <w:lang w:val="zh-CN"/>
        </w:rPr>
        <w:t>（如涉及）</w:t>
      </w:r>
    </w:p>
    <w:p>
      <w:pPr>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（根据第四章要求提供）</w:t>
      </w:r>
    </w:p>
    <w:p>
      <w:pPr>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p>
    <w:p>
      <w:pPr>
        <w:widowControl/>
        <w:spacing w:line="360" w:lineRule="atLeast"/>
        <w:jc w:val="center"/>
        <w:outlineLvl w:val="1"/>
        <w:rPr>
          <w:rFonts w:hint="eastAsia" w:ascii="宋体" w:hAnsi="宋体" w:eastAsia="宋体" w:cs="宋体"/>
          <w:b/>
          <w:color w:val="auto"/>
          <w:sz w:val="32"/>
          <w:szCs w:val="28"/>
          <w:highlight w:val="none"/>
        </w:rPr>
      </w:pPr>
      <w:r>
        <w:rPr>
          <w:rFonts w:hint="eastAsia" w:hAnsi="宋体" w:eastAsia="宋体" w:cs="宋体"/>
          <w:b/>
          <w:color w:val="auto"/>
          <w:sz w:val="32"/>
          <w:szCs w:val="28"/>
          <w:highlight w:val="none"/>
          <w:lang w:val="en-US" w:eastAsia="zh-CN"/>
        </w:rPr>
        <w:t>八</w:t>
      </w:r>
      <w:r>
        <w:rPr>
          <w:rFonts w:hint="eastAsia" w:ascii="宋体" w:hAnsi="宋体" w:eastAsia="宋体" w:cs="宋体"/>
          <w:b/>
          <w:color w:val="auto"/>
          <w:sz w:val="32"/>
          <w:szCs w:val="28"/>
          <w:highlight w:val="none"/>
        </w:rPr>
        <w:t>、中小企业声明函</w:t>
      </w:r>
    </w:p>
    <w:p>
      <w:pPr>
        <w:spacing w:line="588" w:lineRule="exact"/>
        <w:jc w:val="left"/>
        <w:rPr>
          <w:rFonts w:hint="eastAsia" w:ascii="宋体" w:hAnsi="宋体" w:eastAsia="宋体" w:cs="宋体"/>
          <w:b/>
          <w:color w:val="auto"/>
          <w:spacing w:val="6"/>
          <w:sz w:val="24"/>
          <w:highlight w:val="none"/>
        </w:rPr>
      </w:pPr>
    </w:p>
    <w:p>
      <w:pPr>
        <w:pStyle w:val="2"/>
        <w:wordWrap w:val="0"/>
        <w:spacing w:before="105" w:line="440" w:lineRule="exact"/>
        <w:ind w:right="417" w:firstLine="645"/>
        <w:rPr>
          <w:rFonts w:ascii="宋体" w:hAnsi="宋体" w:cs="宋体"/>
          <w:color w:val="auto"/>
          <w:spacing w:val="-3"/>
          <w:sz w:val="24"/>
          <w:highlight w:val="none"/>
        </w:rPr>
      </w:pPr>
      <w:r>
        <w:rPr>
          <w:rFonts w:hint="eastAsia" w:ascii="宋体" w:hAnsi="宋体" w:cs="宋体"/>
          <w:color w:val="auto"/>
          <w:spacing w:val="-3"/>
          <w:sz w:val="24"/>
          <w:highlight w:val="none"/>
        </w:rPr>
        <w:t>本公司（联合体）郑重声明，根据《政府采购促进中小企业发展管理办法》（财库﹝2020﹞46 号）的规定，本公司（联合体）参加（</w:t>
      </w:r>
      <w:r>
        <w:rPr>
          <w:rFonts w:hint="eastAsia" w:ascii="宋体" w:hAnsi="宋体" w:cs="宋体"/>
          <w:color w:val="auto"/>
          <w:spacing w:val="-3"/>
          <w:sz w:val="24"/>
          <w:highlight w:val="none"/>
          <w:u w:val="single"/>
        </w:rPr>
        <w:t>单位名称</w:t>
      </w:r>
      <w:r>
        <w:rPr>
          <w:rFonts w:hint="eastAsia" w:ascii="宋体" w:hAnsi="宋体" w:cs="宋体"/>
          <w:color w:val="auto"/>
          <w:spacing w:val="-3"/>
          <w:sz w:val="24"/>
          <w:highlight w:val="none"/>
        </w:rPr>
        <w:t>）的（</w:t>
      </w:r>
      <w:r>
        <w:rPr>
          <w:rFonts w:hint="eastAsia" w:ascii="宋体" w:hAnsi="宋体" w:cs="宋体"/>
          <w:color w:val="auto"/>
          <w:spacing w:val="-3"/>
          <w:sz w:val="24"/>
          <w:highlight w:val="none"/>
          <w:u w:val="single"/>
        </w:rPr>
        <w:t>项目名称</w:t>
      </w:r>
      <w:r>
        <w:rPr>
          <w:rFonts w:hint="eastAsia" w:ascii="宋体" w:hAnsi="宋体" w:cs="宋体"/>
          <w:color w:val="auto"/>
          <w:spacing w:val="-3"/>
          <w:sz w:val="24"/>
          <w:highlight w:val="none"/>
        </w:rPr>
        <w:t>）采购活动，</w:t>
      </w:r>
      <w:r>
        <w:rPr>
          <w:rFonts w:hint="eastAsia" w:ascii="宋体" w:hAnsi="宋体" w:cs="宋体"/>
          <w:color w:val="auto"/>
          <w:spacing w:val="-3"/>
          <w:sz w:val="24"/>
          <w:highlight w:val="none"/>
          <w:u w:val="single"/>
        </w:rPr>
        <w:t>服务全部由符合政策要求的中小企业承接</w:t>
      </w:r>
      <w:r>
        <w:rPr>
          <w:rFonts w:hint="eastAsia" w:ascii="宋体" w:hAnsi="宋体" w:cs="宋体"/>
          <w:color w:val="auto"/>
          <w:spacing w:val="-3"/>
          <w:sz w:val="24"/>
          <w:highlight w:val="none"/>
        </w:rPr>
        <w:t>。相关企业（含联合体中的中小企业、签订分包意向协议的中小企业）的具体情况如下：</w:t>
      </w:r>
    </w:p>
    <w:p>
      <w:pPr>
        <w:pStyle w:val="2"/>
        <w:wordWrap w:val="0"/>
        <w:spacing w:before="105" w:line="440" w:lineRule="exact"/>
        <w:ind w:right="417" w:firstLine="645"/>
        <w:rPr>
          <w:rFonts w:ascii="宋体" w:hAnsi="宋体" w:cs="宋体"/>
          <w:color w:val="auto"/>
          <w:spacing w:val="-3"/>
          <w:sz w:val="24"/>
          <w:highlight w:val="none"/>
        </w:rPr>
      </w:pPr>
      <w:r>
        <w:rPr>
          <w:rFonts w:hint="eastAsia" w:ascii="宋体" w:hAnsi="宋体" w:cs="宋体"/>
          <w:color w:val="auto"/>
          <w:spacing w:val="-3"/>
          <w:sz w:val="24"/>
          <w:highlight w:val="none"/>
        </w:rPr>
        <w:t xml:space="preserve">1. </w:t>
      </w:r>
      <w:r>
        <w:rPr>
          <w:rFonts w:hint="eastAsia" w:ascii="宋体" w:hAnsi="宋体" w:cs="宋体"/>
          <w:color w:val="auto"/>
          <w:spacing w:val="-3"/>
          <w:sz w:val="24"/>
          <w:highlight w:val="none"/>
          <w:u w:val="single"/>
        </w:rPr>
        <w:t xml:space="preserve">（ 标 的 名 称 ） </w:t>
      </w:r>
      <w:r>
        <w:rPr>
          <w:rFonts w:hint="eastAsia" w:ascii="宋体" w:hAnsi="宋体" w:cs="宋体"/>
          <w:color w:val="auto"/>
          <w:spacing w:val="-3"/>
          <w:sz w:val="24"/>
          <w:highlight w:val="none"/>
        </w:rPr>
        <w:t xml:space="preserve">， 属 于 </w:t>
      </w:r>
      <w:r>
        <w:rPr>
          <w:rFonts w:hint="eastAsia" w:ascii="宋体" w:hAnsi="宋体" w:cs="宋体"/>
          <w:color w:val="auto"/>
          <w:spacing w:val="-3"/>
          <w:sz w:val="24"/>
          <w:highlight w:val="none"/>
          <w:u w:val="single"/>
        </w:rPr>
        <w:t xml:space="preserve">（ 采 购 文 件 中 明 确 的 所 属 行 业 ） </w:t>
      </w:r>
      <w:r>
        <w:rPr>
          <w:rFonts w:hint="eastAsia" w:ascii="宋体" w:hAnsi="宋体" w:cs="宋体"/>
          <w:color w:val="auto"/>
          <w:spacing w:val="-3"/>
          <w:sz w:val="24"/>
          <w:highlight w:val="none"/>
        </w:rPr>
        <w:t>行业；承接企业为</w:t>
      </w:r>
      <w:r>
        <w:rPr>
          <w:rFonts w:hint="eastAsia" w:ascii="宋体" w:hAnsi="宋体" w:cs="宋体"/>
          <w:color w:val="auto"/>
          <w:spacing w:val="-3"/>
          <w:sz w:val="24"/>
          <w:highlight w:val="none"/>
          <w:u w:val="single"/>
        </w:rPr>
        <w:t>（企业名称）</w:t>
      </w:r>
      <w:r>
        <w:rPr>
          <w:rFonts w:hint="eastAsia" w:ascii="宋体" w:hAnsi="宋体" w:cs="宋体"/>
          <w:color w:val="auto"/>
          <w:spacing w:val="-3"/>
          <w:sz w:val="24"/>
          <w:highlight w:val="none"/>
        </w:rPr>
        <w:t>，从业人员</w:t>
      </w:r>
      <w:r>
        <w:rPr>
          <w:rFonts w:hint="eastAsia" w:ascii="宋体" w:hAnsi="宋体" w:cs="宋体"/>
          <w:color w:val="auto"/>
          <w:spacing w:val="-3"/>
          <w:sz w:val="24"/>
          <w:highlight w:val="none"/>
          <w:u w:val="single"/>
        </w:rPr>
        <w:t xml:space="preserve">      </w:t>
      </w:r>
      <w:r>
        <w:rPr>
          <w:rFonts w:hint="eastAsia" w:ascii="宋体" w:hAnsi="宋体" w:cs="宋体"/>
          <w:color w:val="auto"/>
          <w:spacing w:val="-3"/>
          <w:sz w:val="24"/>
          <w:highlight w:val="none"/>
        </w:rPr>
        <w:t>人，营业收入为</w:t>
      </w:r>
      <w:r>
        <w:rPr>
          <w:rFonts w:hint="eastAsia" w:ascii="宋体" w:hAnsi="宋体" w:cs="宋体"/>
          <w:color w:val="auto"/>
          <w:spacing w:val="-3"/>
          <w:sz w:val="24"/>
          <w:highlight w:val="none"/>
          <w:u w:val="single"/>
        </w:rPr>
        <w:t xml:space="preserve">       </w:t>
      </w:r>
      <w:r>
        <w:rPr>
          <w:rFonts w:hint="eastAsia" w:ascii="宋体" w:hAnsi="宋体" w:cs="宋体"/>
          <w:color w:val="auto"/>
          <w:spacing w:val="-3"/>
          <w:sz w:val="24"/>
          <w:highlight w:val="none"/>
        </w:rPr>
        <w:tab/>
      </w:r>
      <w:r>
        <w:rPr>
          <w:rFonts w:hint="eastAsia" w:ascii="宋体" w:hAnsi="宋体" w:cs="宋体"/>
          <w:color w:val="auto"/>
          <w:spacing w:val="-3"/>
          <w:sz w:val="24"/>
          <w:highlight w:val="none"/>
        </w:rPr>
        <w:t>万元，资产总额为</w:t>
      </w:r>
      <w:r>
        <w:rPr>
          <w:rFonts w:hint="eastAsia" w:ascii="宋体" w:hAnsi="宋体" w:cs="宋体"/>
          <w:color w:val="auto"/>
          <w:spacing w:val="-3"/>
          <w:sz w:val="24"/>
          <w:highlight w:val="none"/>
          <w:u w:val="single"/>
        </w:rPr>
        <w:t xml:space="preserve">       </w:t>
      </w:r>
      <w:r>
        <w:rPr>
          <w:rFonts w:hint="eastAsia" w:ascii="宋体" w:hAnsi="宋体" w:cs="宋体"/>
          <w:color w:val="auto"/>
          <w:spacing w:val="-3"/>
          <w:sz w:val="24"/>
          <w:highlight w:val="none"/>
        </w:rPr>
        <w:t>万元，属于（</w:t>
      </w:r>
      <w:r>
        <w:rPr>
          <w:rFonts w:hint="eastAsia" w:ascii="宋体" w:hAnsi="宋体" w:cs="宋体"/>
          <w:color w:val="auto"/>
          <w:spacing w:val="-3"/>
          <w:sz w:val="24"/>
          <w:highlight w:val="none"/>
          <w:u w:val="single"/>
        </w:rPr>
        <w:t>中型企业、小型企业、微型企业</w:t>
      </w:r>
      <w:r>
        <w:rPr>
          <w:rFonts w:hint="eastAsia" w:ascii="宋体" w:hAnsi="宋体" w:cs="宋体"/>
          <w:color w:val="auto"/>
          <w:spacing w:val="-3"/>
          <w:sz w:val="24"/>
          <w:highlight w:val="none"/>
        </w:rPr>
        <w:t>）；</w:t>
      </w:r>
    </w:p>
    <w:p>
      <w:pPr>
        <w:pStyle w:val="2"/>
        <w:wordWrap w:val="0"/>
        <w:spacing w:before="105" w:line="440" w:lineRule="exact"/>
        <w:ind w:right="417" w:firstLine="645"/>
        <w:rPr>
          <w:rFonts w:hint="eastAsia" w:ascii="宋体" w:hAnsi="宋体" w:eastAsia="宋体" w:cs="宋体"/>
          <w:color w:val="auto"/>
          <w:spacing w:val="-3"/>
          <w:sz w:val="24"/>
          <w:highlight w:val="none"/>
        </w:rPr>
      </w:pPr>
      <w:r>
        <w:rPr>
          <w:rFonts w:hint="eastAsia" w:ascii="宋体" w:hAnsi="宋体" w:cs="宋体"/>
          <w:color w:val="auto"/>
          <w:spacing w:val="-3"/>
          <w:sz w:val="24"/>
          <w:highlight w:val="none"/>
        </w:rPr>
        <w:t>2.</w:t>
      </w:r>
      <w:r>
        <w:rPr>
          <w:rFonts w:hint="eastAsia" w:ascii="宋体" w:hAnsi="宋体" w:cs="宋体"/>
          <w:color w:val="auto"/>
          <w:spacing w:val="-3"/>
          <w:sz w:val="24"/>
          <w:highlight w:val="none"/>
          <w:u w:val="single"/>
        </w:rPr>
        <w:t>（ 标 的 名 称 ）</w:t>
      </w:r>
      <w:r>
        <w:rPr>
          <w:rFonts w:hint="eastAsia" w:ascii="宋体" w:hAnsi="宋体" w:cs="宋体"/>
          <w:color w:val="auto"/>
          <w:spacing w:val="-3"/>
          <w:sz w:val="24"/>
          <w:highlight w:val="none"/>
        </w:rPr>
        <w:t xml:space="preserve"> ， 属 于 </w:t>
      </w:r>
      <w:r>
        <w:rPr>
          <w:rFonts w:hint="eastAsia" w:ascii="宋体" w:hAnsi="宋体" w:cs="宋体"/>
          <w:color w:val="auto"/>
          <w:spacing w:val="-3"/>
          <w:sz w:val="24"/>
          <w:highlight w:val="none"/>
          <w:u w:val="single"/>
        </w:rPr>
        <w:t xml:space="preserve">（ 采 购 文 件 中 明 确 的 所 属 行 业 ） </w:t>
      </w:r>
      <w:r>
        <w:rPr>
          <w:rFonts w:hint="eastAsia" w:ascii="宋体" w:hAnsi="宋体" w:cs="宋体"/>
          <w:color w:val="auto"/>
          <w:spacing w:val="-3"/>
          <w:sz w:val="24"/>
          <w:highlight w:val="none"/>
        </w:rPr>
        <w:t>行业；承接企业为</w:t>
      </w:r>
      <w:r>
        <w:rPr>
          <w:rFonts w:hint="eastAsia" w:ascii="宋体" w:hAnsi="宋体" w:cs="宋体"/>
          <w:color w:val="auto"/>
          <w:spacing w:val="-3"/>
          <w:sz w:val="24"/>
          <w:highlight w:val="none"/>
          <w:u w:val="single"/>
        </w:rPr>
        <w:t>（企业名称）</w:t>
      </w:r>
      <w:r>
        <w:rPr>
          <w:rFonts w:hint="eastAsia" w:ascii="宋体" w:hAnsi="宋体" w:cs="宋体"/>
          <w:color w:val="auto"/>
          <w:spacing w:val="-3"/>
          <w:sz w:val="24"/>
          <w:highlight w:val="none"/>
        </w:rPr>
        <w:t>，从业人员</w:t>
      </w:r>
      <w:r>
        <w:rPr>
          <w:rFonts w:hint="eastAsia" w:ascii="宋体" w:hAnsi="宋体" w:cs="宋体"/>
          <w:color w:val="auto"/>
          <w:spacing w:val="-3"/>
          <w:sz w:val="24"/>
          <w:highlight w:val="none"/>
          <w:u w:val="single"/>
        </w:rPr>
        <w:t xml:space="preserve">         </w:t>
      </w:r>
      <w:r>
        <w:rPr>
          <w:rFonts w:hint="eastAsia" w:ascii="宋体" w:hAnsi="宋体" w:cs="宋体"/>
          <w:color w:val="auto"/>
          <w:spacing w:val="-3"/>
          <w:sz w:val="24"/>
          <w:highlight w:val="none"/>
        </w:rPr>
        <w:t>人，营业收入为</w:t>
      </w:r>
      <w:r>
        <w:rPr>
          <w:rFonts w:hint="eastAsia" w:ascii="宋体" w:hAnsi="宋体" w:cs="宋体"/>
          <w:color w:val="auto"/>
          <w:spacing w:val="-3"/>
          <w:sz w:val="24"/>
          <w:highlight w:val="none"/>
          <w:u w:val="single"/>
        </w:rPr>
        <w:t xml:space="preserve">       </w:t>
      </w:r>
      <w:r>
        <w:rPr>
          <w:rFonts w:hint="eastAsia" w:ascii="宋体" w:hAnsi="宋体" w:cs="宋体"/>
          <w:color w:val="auto"/>
          <w:spacing w:val="-3"/>
          <w:sz w:val="24"/>
          <w:highlight w:val="none"/>
        </w:rPr>
        <w:t>万元，资产总额为</w:t>
      </w:r>
      <w:r>
        <w:rPr>
          <w:rFonts w:hint="eastAsia" w:ascii="宋体" w:hAnsi="宋体" w:cs="宋体"/>
          <w:color w:val="auto"/>
          <w:spacing w:val="-3"/>
          <w:sz w:val="24"/>
          <w:highlight w:val="none"/>
          <w:u w:val="single"/>
        </w:rPr>
        <w:t xml:space="preserve">         </w:t>
      </w:r>
      <w:r>
        <w:rPr>
          <w:rFonts w:hint="eastAsia" w:ascii="宋体" w:hAnsi="宋体" w:cs="宋体"/>
          <w:color w:val="auto"/>
          <w:spacing w:val="-3"/>
          <w:sz w:val="24"/>
          <w:highlight w:val="none"/>
        </w:rPr>
        <w:t>万元，属于（</w:t>
      </w:r>
      <w:r>
        <w:rPr>
          <w:rFonts w:hint="eastAsia" w:ascii="宋体" w:hAnsi="宋体" w:cs="宋体"/>
          <w:color w:val="auto"/>
          <w:spacing w:val="-3"/>
          <w:sz w:val="24"/>
          <w:highlight w:val="none"/>
          <w:u w:val="single"/>
        </w:rPr>
        <w:t>中型企业、小型企业、微型企业</w:t>
      </w:r>
      <w:r>
        <w:rPr>
          <w:rFonts w:hint="eastAsia" w:ascii="宋体" w:hAnsi="宋体" w:cs="宋体"/>
          <w:color w:val="auto"/>
          <w:spacing w:val="-3"/>
          <w:sz w:val="24"/>
          <w:highlight w:val="none"/>
        </w:rPr>
        <w:t>）</w:t>
      </w:r>
      <w:r>
        <w:rPr>
          <w:rFonts w:hint="eastAsia" w:ascii="宋体" w:hAnsi="宋体" w:eastAsia="宋体" w:cs="宋体"/>
          <w:color w:val="auto"/>
          <w:spacing w:val="-3"/>
          <w:sz w:val="24"/>
          <w:highlight w:val="none"/>
        </w:rPr>
        <w:t>；</w:t>
      </w:r>
    </w:p>
    <w:p>
      <w:pPr>
        <w:pStyle w:val="2"/>
        <w:wordWrap w:val="0"/>
        <w:spacing w:before="105" w:line="440" w:lineRule="exact"/>
        <w:ind w:right="417" w:firstLine="645"/>
        <w:rPr>
          <w:rFonts w:hint="eastAsia" w:ascii="宋体" w:hAnsi="宋体" w:eastAsia="宋体" w:cs="宋体"/>
          <w:color w:val="auto"/>
          <w:spacing w:val="-3"/>
          <w:sz w:val="24"/>
          <w:highlight w:val="none"/>
        </w:rPr>
      </w:pPr>
      <w:r>
        <w:rPr>
          <w:rFonts w:hint="eastAsia" w:ascii="宋体" w:hAnsi="宋体" w:eastAsia="宋体" w:cs="宋体"/>
          <w:color w:val="auto"/>
          <w:spacing w:val="-3"/>
          <w:sz w:val="24"/>
          <w:highlight w:val="none"/>
        </w:rPr>
        <w:t>……</w:t>
      </w:r>
    </w:p>
    <w:p>
      <w:pPr>
        <w:pStyle w:val="2"/>
        <w:wordWrap w:val="0"/>
        <w:spacing w:before="105" w:line="440" w:lineRule="exact"/>
        <w:ind w:right="417" w:firstLine="645"/>
        <w:rPr>
          <w:rFonts w:hint="eastAsia" w:ascii="宋体" w:hAnsi="宋体" w:eastAsia="宋体" w:cs="宋体"/>
          <w:color w:val="auto"/>
          <w:spacing w:val="-3"/>
          <w:sz w:val="24"/>
          <w:highlight w:val="none"/>
        </w:rPr>
      </w:pPr>
      <w:r>
        <w:rPr>
          <w:rFonts w:hint="eastAsia" w:ascii="宋体" w:hAnsi="宋体" w:eastAsia="宋体" w:cs="宋体"/>
          <w:color w:val="auto"/>
          <w:spacing w:val="-3"/>
          <w:sz w:val="24"/>
          <w:highlight w:val="none"/>
        </w:rPr>
        <w:t>以上企业，不属于大企业的分支机构，不存在控股股东为大企业的情形，也不存在与大企业的负责人为同一人的情形。</w:t>
      </w:r>
    </w:p>
    <w:p>
      <w:pPr>
        <w:pStyle w:val="2"/>
        <w:wordWrap w:val="0"/>
        <w:spacing w:before="105" w:line="440" w:lineRule="exact"/>
        <w:ind w:right="417" w:firstLine="645"/>
        <w:rPr>
          <w:rFonts w:hint="eastAsia" w:ascii="宋体" w:hAnsi="宋体" w:eastAsia="宋体" w:cs="宋体"/>
          <w:color w:val="auto"/>
          <w:spacing w:val="-3"/>
          <w:sz w:val="24"/>
          <w:highlight w:val="none"/>
        </w:rPr>
      </w:pPr>
      <w:r>
        <w:rPr>
          <w:rFonts w:hint="eastAsia" w:ascii="宋体" w:hAnsi="宋体" w:eastAsia="宋体" w:cs="宋体"/>
          <w:color w:val="auto"/>
          <w:spacing w:val="-3"/>
          <w:sz w:val="24"/>
          <w:highlight w:val="none"/>
        </w:rPr>
        <w:t>本企业对上述声明内容的真实性负责。如有虚假，将依法承担相应责任。</w:t>
      </w:r>
    </w:p>
    <w:p>
      <w:pPr>
        <w:pStyle w:val="2"/>
        <w:wordWrap w:val="0"/>
        <w:spacing w:before="105" w:line="440" w:lineRule="exact"/>
        <w:ind w:right="417" w:firstLine="645"/>
        <w:rPr>
          <w:rFonts w:hint="eastAsia" w:ascii="宋体" w:hAnsi="宋体" w:eastAsia="宋体" w:cs="宋体"/>
          <w:color w:val="auto"/>
          <w:spacing w:val="-3"/>
          <w:sz w:val="24"/>
          <w:highlight w:val="none"/>
        </w:rPr>
      </w:pPr>
      <w:r>
        <w:rPr>
          <w:rFonts w:hint="eastAsia" w:ascii="宋体" w:hAnsi="宋体" w:eastAsia="宋体" w:cs="宋体"/>
          <w:color w:val="auto"/>
          <w:spacing w:val="-3"/>
          <w:sz w:val="24"/>
          <w:highlight w:val="none"/>
        </w:rPr>
        <w:t>企业名称（盖章）：日期：</w:t>
      </w:r>
    </w:p>
    <w:p>
      <w:pPr>
        <w:wordWrap w:val="0"/>
        <w:spacing w:line="440" w:lineRule="exact"/>
        <w:rPr>
          <w:rFonts w:hint="eastAsia" w:ascii="宋体" w:hAnsi="宋体" w:eastAsia="宋体" w:cs="宋体"/>
          <w:color w:val="auto"/>
          <w:sz w:val="24"/>
          <w:szCs w:val="24"/>
          <w:highlight w:val="none"/>
        </w:rPr>
      </w:pPr>
    </w:p>
    <w:p>
      <w:pPr>
        <w:pStyle w:val="2"/>
        <w:wordWrap w:val="0"/>
        <w:spacing w:before="105" w:line="440" w:lineRule="exact"/>
        <w:ind w:right="417" w:firstLine="645"/>
        <w:rPr>
          <w:rFonts w:hint="eastAsia" w:ascii="宋体" w:hAnsi="宋体" w:eastAsia="宋体" w:cs="宋体"/>
          <w:b/>
          <w:bCs/>
          <w:color w:val="auto"/>
          <w:spacing w:val="-3"/>
          <w:sz w:val="24"/>
          <w:highlight w:val="none"/>
          <w:lang w:val="zh-CN"/>
        </w:rPr>
      </w:pPr>
      <w:r>
        <w:rPr>
          <w:rFonts w:hint="eastAsia" w:ascii="宋体" w:hAnsi="宋体" w:eastAsia="宋体" w:cs="宋体"/>
          <w:b/>
          <w:bCs/>
          <w:color w:val="auto"/>
          <w:spacing w:val="-3"/>
          <w:sz w:val="24"/>
          <w:highlight w:val="none"/>
        </w:rPr>
        <w:t>注：</w:t>
      </w:r>
      <w:r>
        <w:rPr>
          <w:rFonts w:hint="eastAsia" w:ascii="宋体" w:hAnsi="宋体" w:eastAsia="宋体" w:cs="宋体"/>
          <w:b/>
          <w:bCs/>
          <w:color w:val="auto"/>
          <w:spacing w:val="-3"/>
          <w:sz w:val="24"/>
          <w:highlight w:val="none"/>
          <w:lang w:val="en-US" w:eastAsia="zh-CN"/>
        </w:rPr>
        <w:t>1、</w:t>
      </w:r>
      <w:r>
        <w:rPr>
          <w:rFonts w:hint="eastAsia" w:ascii="宋体" w:hAnsi="宋体" w:eastAsia="宋体" w:cs="宋体"/>
          <w:b/>
          <w:bCs/>
          <w:color w:val="auto"/>
          <w:spacing w:val="-3"/>
          <w:sz w:val="24"/>
          <w:highlight w:val="none"/>
          <w:lang w:val="zh-CN"/>
        </w:rPr>
        <w:t>从业人员、营业收入、资产总额填报上一年度数据，无上一年度数据的新成立企业可不填报。</w:t>
      </w:r>
    </w:p>
    <w:p>
      <w:pPr>
        <w:pStyle w:val="2"/>
        <w:wordWrap w:val="0"/>
        <w:spacing w:before="105" w:line="440" w:lineRule="exact"/>
        <w:ind w:right="417" w:firstLine="645"/>
        <w:rPr>
          <w:rFonts w:hint="eastAsia" w:ascii="宋体" w:hAnsi="宋体" w:eastAsia="宋体" w:cs="宋体"/>
          <w:b/>
          <w:bCs/>
          <w:color w:val="auto"/>
          <w:spacing w:val="-3"/>
          <w:sz w:val="24"/>
          <w:highlight w:val="none"/>
          <w:lang w:val="en-US" w:eastAsia="zh-CN"/>
        </w:rPr>
      </w:pPr>
      <w:r>
        <w:rPr>
          <w:rFonts w:hint="eastAsia" w:ascii="宋体" w:hAnsi="宋体" w:eastAsia="宋体" w:cs="宋体"/>
          <w:b/>
          <w:bCs/>
          <w:color w:val="auto"/>
          <w:spacing w:val="-3"/>
          <w:sz w:val="24"/>
          <w:highlight w:val="none"/>
          <w:lang w:val="en-US" w:eastAsia="zh-CN"/>
        </w:rPr>
        <w:t>2、由中小企业承接，即提供服务的人员为中小企业依照《中华人民共和国劳动合同法》订立劳动合同的从业人员。</w:t>
      </w:r>
    </w:p>
    <w:p>
      <w:pPr>
        <w:pStyle w:val="2"/>
        <w:wordWrap w:val="0"/>
        <w:spacing w:before="105" w:line="440" w:lineRule="exact"/>
        <w:ind w:right="417" w:firstLine="645"/>
        <w:rPr>
          <w:rFonts w:hint="eastAsia" w:ascii="宋体" w:hAnsi="宋体" w:eastAsia="宋体" w:cs="宋体"/>
          <w:b/>
          <w:bCs/>
          <w:color w:val="auto"/>
          <w:spacing w:val="-3"/>
          <w:sz w:val="24"/>
          <w:highlight w:val="none"/>
          <w:lang w:val="en-US" w:eastAsia="zh-CN"/>
        </w:rPr>
      </w:pPr>
      <w:r>
        <w:rPr>
          <w:rFonts w:hint="eastAsia" w:hAnsi="宋体" w:cs="宋体"/>
          <w:b/>
          <w:color w:val="auto"/>
          <w:sz w:val="24"/>
          <w:highlight w:val="none"/>
          <w:lang w:val="en-US" w:eastAsia="zh-CN"/>
        </w:rPr>
        <w:t>3、团体组织和事业单位不属于中小企业划分范畴，不能参加专门面向中小的项目，如果提供中小承诺函，属于虚假响应。</w:t>
      </w:r>
      <w:r>
        <w:rPr>
          <w:rFonts w:hint="eastAsia" w:ascii="宋体" w:hAnsi="宋体" w:eastAsia="宋体" w:cs="宋体"/>
          <w:b/>
          <w:bCs/>
          <w:color w:val="auto"/>
          <w:spacing w:val="-3"/>
          <w:sz w:val="24"/>
          <w:highlight w:val="none"/>
          <w:lang w:val="en-US" w:eastAsia="zh-CN"/>
        </w:rPr>
        <w:br w:type="page"/>
      </w:r>
    </w:p>
    <w:p>
      <w:pPr>
        <w:widowControl/>
        <w:spacing w:line="360" w:lineRule="atLeast"/>
        <w:jc w:val="center"/>
        <w:outlineLvl w:val="1"/>
        <w:rPr>
          <w:rFonts w:hint="eastAsia" w:ascii="宋体" w:hAnsi="宋体" w:eastAsia="宋体" w:cs="宋体"/>
          <w:b/>
          <w:color w:val="auto"/>
          <w:sz w:val="32"/>
          <w:szCs w:val="28"/>
          <w:highlight w:val="none"/>
        </w:rPr>
      </w:pPr>
      <w:r>
        <w:rPr>
          <w:rFonts w:hint="eastAsia" w:hAnsi="宋体" w:eastAsia="宋体" w:cs="宋体"/>
          <w:b/>
          <w:color w:val="auto"/>
          <w:sz w:val="32"/>
          <w:szCs w:val="28"/>
          <w:highlight w:val="none"/>
          <w:lang w:val="en-US" w:eastAsia="zh-CN"/>
        </w:rPr>
        <w:t>九</w:t>
      </w:r>
      <w:r>
        <w:rPr>
          <w:rFonts w:hint="eastAsia" w:ascii="宋体" w:hAnsi="宋体" w:eastAsia="宋体" w:cs="宋体"/>
          <w:b/>
          <w:color w:val="auto"/>
          <w:sz w:val="32"/>
          <w:szCs w:val="28"/>
          <w:highlight w:val="none"/>
        </w:rPr>
        <w:t>、残疾人福利性单位声明函</w:t>
      </w:r>
    </w:p>
    <w:p>
      <w:pPr>
        <w:widowControl/>
        <w:spacing w:before="100" w:beforeAutospacing="1" w:after="100" w:afterAutospacing="1" w:line="432"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p>
      <w:pPr>
        <w:spacing w:line="400" w:lineRule="exact"/>
        <w:ind w:right="362" w:rightChars="105" w:firstLine="51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highlight w:val="none"/>
        </w:rPr>
        <w:t>〔2017〕 141</w:t>
      </w:r>
      <w:r>
        <w:rPr>
          <w:rFonts w:hint="eastAsia" w:ascii="宋体" w:hAnsi="宋体" w:eastAsia="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400" w:lineRule="exact"/>
        <w:ind w:right="362" w:rightChars="105" w:firstLine="514" w:firstLineChars="200"/>
        <w:jc w:val="left"/>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pPr>
        <w:widowControl/>
        <w:spacing w:line="400" w:lineRule="exact"/>
        <w:jc w:val="left"/>
        <w:rPr>
          <w:rFonts w:hint="eastAsia" w:ascii="宋体" w:hAnsi="宋体" w:eastAsia="宋体" w:cs="宋体"/>
          <w:color w:val="auto"/>
          <w:sz w:val="24"/>
          <w:highlight w:val="none"/>
        </w:rPr>
      </w:pPr>
    </w:p>
    <w:p>
      <w:pPr>
        <w:widowControl/>
        <w:spacing w:line="400" w:lineRule="exact"/>
        <w:jc w:val="left"/>
        <w:rPr>
          <w:rFonts w:hint="eastAsia" w:ascii="宋体" w:hAnsi="宋体" w:eastAsia="宋体" w:cs="宋体"/>
          <w:color w:val="auto"/>
          <w:sz w:val="24"/>
          <w:highlight w:val="none"/>
        </w:rPr>
      </w:pPr>
    </w:p>
    <w:p>
      <w:pPr>
        <w:widowControl/>
        <w:spacing w:line="400" w:lineRule="exact"/>
        <w:jc w:val="left"/>
        <w:rPr>
          <w:rFonts w:hint="eastAsia" w:ascii="宋体" w:hAnsi="宋体" w:eastAsia="宋体" w:cs="宋体"/>
          <w:color w:val="auto"/>
          <w:sz w:val="24"/>
          <w:highlight w:val="none"/>
        </w:rPr>
      </w:pPr>
    </w:p>
    <w:p>
      <w:pPr>
        <w:widowControl/>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p>
      <w:pPr>
        <w:ind w:firstLine="49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单位名称：XXXX（盖单位公章）</w:t>
      </w:r>
    </w:p>
    <w:p>
      <w:pPr>
        <w:ind w:firstLine="49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法定代表人或授权代表（签字）：XXXX</w:t>
      </w:r>
    </w:p>
    <w:p>
      <w:pPr>
        <w:ind w:firstLine="49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日期：XXXX</w:t>
      </w:r>
    </w:p>
    <w:p>
      <w:pPr>
        <w:ind w:firstLine="490" w:firstLineChars="200"/>
        <w:jc w:val="left"/>
        <w:rPr>
          <w:rFonts w:hint="eastAsia" w:ascii="宋体" w:hAnsi="宋体" w:eastAsia="宋体" w:cs="宋体"/>
          <w:color w:val="auto"/>
          <w:sz w:val="24"/>
          <w:highlight w:val="none"/>
        </w:rPr>
      </w:pPr>
    </w:p>
    <w:p>
      <w:pPr>
        <w:spacing w:line="340" w:lineRule="exact"/>
        <w:ind w:right="20" w:rightChars="6"/>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注：1.若未提供此表的则不享受残疾人企业政策。</w:t>
      </w:r>
    </w:p>
    <w:p>
      <w:pPr>
        <w:spacing w:line="340" w:lineRule="exact"/>
        <w:ind w:right="20" w:rightChars="6"/>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 xml:space="preserve">    2、享受政府采购支持政策的残疾人福利性单位应当同时满足以下条件：</w:t>
      </w:r>
    </w:p>
    <w:p>
      <w:pPr>
        <w:spacing w:line="340" w:lineRule="exact"/>
        <w:ind w:right="20" w:rightChars="6"/>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（一）安置的残疾人占本单位在职职工人数的比例不低于25%（含25%），并且安置的残疾人人数不少于10人（含10人）；</w:t>
      </w:r>
    </w:p>
    <w:p>
      <w:pPr>
        <w:spacing w:line="340" w:lineRule="exact"/>
        <w:ind w:right="20" w:rightChars="6"/>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（二）依法与安置的每位残疾人签订了一年以上（含一年）的劳动合同或服务协议；</w:t>
      </w:r>
    </w:p>
    <w:p>
      <w:pPr>
        <w:spacing w:line="340" w:lineRule="exact"/>
        <w:ind w:right="20" w:rightChars="6"/>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（三）为安置的每位残疾人按月足额缴纳了基本养老保险、基本医疗保险、失业保险、工伤保险和生育保险等社会保险费；</w:t>
      </w:r>
    </w:p>
    <w:p>
      <w:pPr>
        <w:spacing w:line="340" w:lineRule="exact"/>
        <w:ind w:right="20" w:rightChars="6"/>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（四）通过银行等金融机构向安置的每位残疾人，按月支付了不低于单位所在区县适用的经省级人民政府批准的月最低工资标准的工资；</w:t>
      </w:r>
    </w:p>
    <w:p>
      <w:pPr>
        <w:spacing w:line="340" w:lineRule="exact"/>
        <w:ind w:right="20" w:rightChars="6"/>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（五）提供本单位制造的货物、承担的工程或者服务（以下简称产品），或者提供其他残疾人福利性单位制造的货物（不包括使用非残疾人福利性单位注册商标的货物）。</w:t>
      </w:r>
    </w:p>
    <w:p>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jc w:val="center"/>
        <w:outlineLvl w:val="1"/>
        <w:rPr>
          <w:rFonts w:hint="eastAsia" w:ascii="宋体" w:hAnsi="宋体" w:eastAsia="宋体" w:cs="宋体"/>
          <w:b/>
          <w:color w:val="auto"/>
          <w:sz w:val="32"/>
          <w:szCs w:val="28"/>
          <w:highlight w:val="none"/>
        </w:rPr>
        <w:sectPr>
          <w:pgSz w:w="11850" w:h="16783"/>
          <w:pgMar w:top="1440" w:right="1083" w:bottom="1440" w:left="1083" w:header="851" w:footer="992" w:gutter="0"/>
          <w:pgNumType w:fmt="decimal"/>
          <w:cols w:space="720" w:num="1"/>
          <w:docGrid w:type="linesAndChars" w:linePitch="463" w:charSpace="1024"/>
        </w:sectPr>
      </w:pPr>
    </w:p>
    <w:p>
      <w:pPr>
        <w:jc w:val="center"/>
        <w:outlineLvl w:val="1"/>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28"/>
          <w:highlight w:val="none"/>
          <w:lang w:val="en-US" w:eastAsia="zh-CN"/>
        </w:rPr>
        <w:t>十</w:t>
      </w:r>
      <w:r>
        <w:rPr>
          <w:rFonts w:hint="eastAsia" w:ascii="宋体" w:hAnsi="宋体" w:eastAsia="宋体" w:cs="宋体"/>
          <w:b/>
          <w:color w:val="auto"/>
          <w:sz w:val="32"/>
          <w:szCs w:val="28"/>
          <w:highlight w:val="none"/>
        </w:rPr>
        <w:t>、监狱企业的证明文件</w:t>
      </w:r>
    </w:p>
    <w:p>
      <w:pPr>
        <w:widowControl/>
        <w:spacing w:line="240" w:lineRule="exact"/>
        <w:ind w:firstLine="367" w:firstLineChars="150"/>
        <w:jc w:val="center"/>
        <w:rPr>
          <w:rFonts w:hint="eastAsia" w:ascii="宋体" w:hAnsi="宋体" w:eastAsia="宋体" w:cs="宋体"/>
          <w:color w:val="auto"/>
          <w:sz w:val="24"/>
          <w:highlight w:val="none"/>
        </w:rPr>
      </w:pPr>
    </w:p>
    <w:p>
      <w:pPr>
        <w:widowControl/>
        <w:ind w:firstLine="367" w:firstLineChars="150"/>
        <w:jc w:val="center"/>
        <w:rPr>
          <w:rFonts w:hint="eastAsia" w:ascii="宋体" w:hAnsi="宋体" w:eastAsia="宋体" w:cs="宋体"/>
          <w:color w:val="auto"/>
          <w:sz w:val="24"/>
          <w:highlight w:val="none"/>
        </w:rPr>
      </w:pPr>
    </w:p>
    <w:p>
      <w:pPr>
        <w:widowControl/>
        <w:ind w:firstLine="367" w:firstLineChars="150"/>
        <w:jc w:val="left"/>
        <w:rPr>
          <w:rFonts w:hint="eastAsia" w:ascii="宋体" w:hAnsi="宋体" w:eastAsia="宋体" w:cs="宋体"/>
          <w:color w:val="auto"/>
          <w:sz w:val="24"/>
          <w:highlight w:val="none"/>
        </w:rPr>
      </w:pPr>
    </w:p>
    <w:p>
      <w:pPr>
        <w:widowControl/>
        <w:ind w:firstLine="367" w:firstLineChars="150"/>
        <w:jc w:val="left"/>
        <w:rPr>
          <w:rFonts w:hint="eastAsia" w:ascii="宋体" w:hAnsi="宋体" w:eastAsia="宋体" w:cs="宋体"/>
          <w:color w:val="auto"/>
          <w:sz w:val="24"/>
          <w:highlight w:val="none"/>
        </w:rPr>
      </w:pPr>
    </w:p>
    <w:p>
      <w:pPr>
        <w:widowControl/>
        <w:ind w:firstLine="367" w:firstLineChars="150"/>
        <w:jc w:val="left"/>
        <w:rPr>
          <w:rFonts w:hint="eastAsia" w:ascii="宋体" w:hAnsi="宋体" w:eastAsia="宋体" w:cs="宋体"/>
          <w:color w:val="auto"/>
          <w:sz w:val="24"/>
          <w:highlight w:val="none"/>
        </w:rPr>
      </w:pPr>
    </w:p>
    <w:p>
      <w:pPr>
        <w:widowControl/>
        <w:jc w:val="left"/>
        <w:rPr>
          <w:rFonts w:hint="eastAsia" w:ascii="宋体" w:hAnsi="宋体" w:eastAsia="宋体" w:cs="宋体"/>
          <w:color w:val="auto"/>
          <w:sz w:val="24"/>
          <w:highlight w:val="none"/>
        </w:rPr>
      </w:pPr>
    </w:p>
    <w:p>
      <w:pPr>
        <w:widowControl/>
        <w:ind w:firstLine="367" w:firstLineChars="150"/>
        <w:jc w:val="left"/>
        <w:rPr>
          <w:rFonts w:hint="eastAsia" w:ascii="宋体" w:hAnsi="宋体" w:eastAsia="宋体" w:cs="宋体"/>
          <w:color w:val="auto"/>
          <w:sz w:val="24"/>
          <w:highlight w:val="none"/>
        </w:rPr>
      </w:pPr>
    </w:p>
    <w:p>
      <w:pPr>
        <w:widowControl/>
        <w:ind w:firstLine="367" w:firstLineChars="150"/>
        <w:jc w:val="left"/>
        <w:rPr>
          <w:rFonts w:hint="eastAsia" w:ascii="宋体" w:hAnsi="宋体" w:eastAsia="宋体" w:cs="宋体"/>
          <w:color w:val="auto"/>
          <w:sz w:val="24"/>
          <w:highlight w:val="none"/>
        </w:rPr>
      </w:pPr>
    </w:p>
    <w:p>
      <w:pPr>
        <w:widowControl/>
        <w:ind w:firstLine="385" w:firstLineChars="150"/>
        <w:jc w:val="lef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注：1、根据《司法部关于政府采购支持监狱企业发展有关问题的通知》财库〔2014〕68号，监狱企业参加政府采购活动时，应当提供由省级以上监狱管理局、戒毒管理局（含新疆生产建设兵团）出具的属于监狱企业的证明文件。</w:t>
      </w:r>
    </w:p>
    <w:p>
      <w:pPr>
        <w:pStyle w:val="2"/>
        <w:rPr>
          <w:rFonts w:hint="eastAsia"/>
          <w:color w:val="auto"/>
          <w:highlight w:val="none"/>
        </w:rPr>
      </w:pPr>
      <w:r>
        <w:rPr>
          <w:rFonts w:hint="eastAsia" w:ascii="宋体" w:hAnsi="宋体" w:eastAsia="宋体" w:cs="宋体"/>
          <w:b/>
          <w:color w:val="auto"/>
          <w:spacing w:val="6"/>
          <w:sz w:val="24"/>
          <w:highlight w:val="none"/>
        </w:rPr>
        <w:t xml:space="preserve">   2、若未提供此表的则不享受监狱企业政策。</w:t>
      </w:r>
    </w:p>
    <w:p>
      <w:pPr>
        <w:numPr>
          <w:ilvl w:val="0"/>
          <w:numId w:val="0"/>
        </w:numPr>
        <w:jc w:val="both"/>
        <w:outlineLvl w:val="1"/>
        <w:rPr>
          <w:rFonts w:hint="eastAsia" w:ascii="宋体" w:hAnsi="宋体" w:eastAsia="宋体" w:cs="宋体"/>
          <w:b/>
          <w:color w:val="auto"/>
          <w:sz w:val="32"/>
          <w:szCs w:val="28"/>
          <w:highlight w:val="none"/>
          <w:lang w:val="zh-CN"/>
        </w:rPr>
      </w:pPr>
    </w:p>
    <w:p>
      <w:pPr>
        <w:widowControl/>
        <w:spacing w:line="360" w:lineRule="atLeast"/>
        <w:jc w:val="center"/>
        <w:outlineLvl w:val="1"/>
        <w:rPr>
          <w:rFonts w:hint="eastAsia" w:ascii="宋体" w:hAnsi="宋体" w:eastAsia="宋体" w:cs="宋体"/>
          <w:b/>
          <w:color w:val="auto"/>
          <w:sz w:val="32"/>
          <w:szCs w:val="28"/>
          <w:highlight w:val="none"/>
        </w:rPr>
      </w:pPr>
    </w:p>
    <w:p>
      <w:pPr>
        <w:spacing w:line="588" w:lineRule="exact"/>
        <w:jc w:val="left"/>
        <w:rPr>
          <w:rFonts w:hint="eastAsia" w:ascii="宋体" w:hAnsi="宋体" w:eastAsia="宋体" w:cs="宋体"/>
          <w:b/>
          <w:color w:val="auto"/>
          <w:spacing w:val="6"/>
          <w:sz w:val="24"/>
          <w:highlight w:val="none"/>
        </w:rPr>
      </w:pPr>
    </w:p>
    <w:bookmarkEnd w:id="216"/>
    <w:p>
      <w:pPr>
        <w:rPr>
          <w:rFonts w:hint="eastAsia" w:ascii="宋体" w:hAnsi="宋体" w:eastAsia="宋体" w:cs="宋体"/>
          <w:color w:val="auto"/>
          <w:sz w:val="36"/>
          <w:szCs w:val="24"/>
          <w:highlight w:val="none"/>
        </w:rPr>
      </w:pPr>
      <w:r>
        <w:rPr>
          <w:rFonts w:hint="eastAsia" w:ascii="宋体" w:hAnsi="宋体" w:eastAsia="宋体" w:cs="宋体"/>
          <w:color w:val="auto"/>
          <w:sz w:val="36"/>
          <w:szCs w:val="24"/>
          <w:highlight w:val="none"/>
        </w:rPr>
        <w:br w:type="page"/>
      </w:r>
    </w:p>
    <w:p>
      <w:pPr>
        <w:spacing w:line="360" w:lineRule="auto"/>
        <w:rPr>
          <w:rFonts w:hint="eastAsia" w:ascii="宋体" w:hAnsi="宋体" w:eastAsia="宋体" w:cs="宋体"/>
          <w:color w:val="auto"/>
          <w:sz w:val="36"/>
          <w:szCs w:val="24"/>
          <w:highlight w:val="none"/>
        </w:rPr>
      </w:pPr>
      <w:r>
        <w:rPr>
          <w:rFonts w:hint="eastAsia" w:ascii="宋体" w:hAnsi="宋体" w:eastAsia="宋体" w:cs="宋体"/>
          <w:color w:val="auto"/>
          <w:sz w:val="36"/>
          <w:szCs w:val="24"/>
          <w:highlight w:val="none"/>
        </w:rPr>
        <w:t>封面</w:t>
      </w:r>
    </w:p>
    <w:p>
      <w:pPr>
        <w:spacing w:line="360" w:lineRule="auto"/>
        <w:rPr>
          <w:rFonts w:hint="eastAsia" w:ascii="宋体" w:hAnsi="宋体" w:eastAsia="宋体" w:cs="宋体"/>
          <w:color w:val="auto"/>
          <w:sz w:val="36"/>
          <w:szCs w:val="24"/>
          <w:highlight w:val="none"/>
        </w:rPr>
      </w:pPr>
      <w:r>
        <w:rPr>
          <w:rFonts w:hint="eastAsia" w:ascii="宋体" w:hAnsi="宋体" w:eastAsia="宋体" w:cs="宋体"/>
          <w:color w:val="auto"/>
          <w:sz w:val="36"/>
          <w:highlight w:val="none"/>
        </w:rPr>
        <mc:AlternateContent>
          <mc:Choice Requires="wps">
            <w:drawing>
              <wp:anchor distT="0" distB="0" distL="114300" distR="114300" simplePos="0" relativeHeight="251659264" behindDoc="0" locked="0" layoutInCell="1" allowOverlap="1">
                <wp:simplePos x="0" y="0"/>
                <wp:positionH relativeFrom="column">
                  <wp:posOffset>4519930</wp:posOffset>
                </wp:positionH>
                <wp:positionV relativeFrom="paragraph">
                  <wp:posOffset>15875</wp:posOffset>
                </wp:positionV>
                <wp:extent cx="1371600" cy="400050"/>
                <wp:effectExtent l="4445" t="4445" r="14605" b="14605"/>
                <wp:wrapNone/>
                <wp:docPr id="2" name="文本框 4"/>
                <wp:cNvGraphicFramePr/>
                <a:graphic xmlns:a="http://schemas.openxmlformats.org/drawingml/2006/main">
                  <a:graphicData uri="http://schemas.microsoft.com/office/word/2010/wordprocessingShape">
                    <wps:wsp>
                      <wps:cNvSpPr txBox="1"/>
                      <wps:spPr>
                        <a:xfrm>
                          <a:off x="0" y="0"/>
                          <a:ext cx="1371600" cy="400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正本或副本</w:t>
                            </w:r>
                          </w:p>
                        </w:txbxContent>
                      </wps:txbx>
                      <wps:bodyPr wrap="square" upright="1"/>
                    </wps:wsp>
                  </a:graphicData>
                </a:graphic>
              </wp:anchor>
            </w:drawing>
          </mc:Choice>
          <mc:Fallback>
            <w:pict>
              <v:shape id="文本框 4" o:spid="_x0000_s1026" o:spt="202" type="#_x0000_t202" style="position:absolute;left:0pt;margin-left:355.9pt;margin-top:1.25pt;height:31.5pt;width:108pt;z-index:251659264;mso-width-relative:page;mso-height-relative:page;" fillcolor="#FFFFFF" filled="t" stroked="t" coordsize="21600,21600" o:gfxdata="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D7sWM1wAAAAgBAAAPAAAA&#10;AAAAAAEAIAAAACIAAABkcnMvZG93bnJldi54bWxQSwECFAAUAAAACACHTuJAljkE/hYCAABEBAAA&#10;DgAAAAAAAAABACAAAAAmAQAAZHJzL2Uyb0RvYy54bWxQSwUGAAAAAAYABgBZAQAArgUAAAAA&#10;">
                <v:fill on="t" focussize="0,0"/>
                <v:stroke color="#000000" joinstyle="miter"/>
                <v:imagedata o:title=""/>
                <o:lock v:ext="edit" aspectratio="f"/>
                <v:textbox>
                  <w:txbxContent>
                    <w:p>
                      <w:pPr>
                        <w:rPr>
                          <w:rFonts w:hint="eastAsia"/>
                        </w:rPr>
                      </w:pPr>
                      <w:r>
                        <w:rPr>
                          <w:rFonts w:hint="eastAsia"/>
                        </w:rPr>
                        <w:t>正本或副本</w:t>
                      </w:r>
                    </w:p>
                  </w:txbxContent>
                </v:textbox>
              </v:shape>
            </w:pict>
          </mc:Fallback>
        </mc:AlternateContent>
      </w:r>
    </w:p>
    <w:p>
      <w:pPr>
        <w:spacing w:line="360" w:lineRule="auto"/>
        <w:jc w:val="right"/>
        <w:rPr>
          <w:rFonts w:hint="eastAsia" w:ascii="宋体" w:hAnsi="宋体" w:eastAsia="宋体" w:cs="宋体"/>
          <w:color w:val="auto"/>
          <w:sz w:val="36"/>
          <w:szCs w:val="24"/>
          <w:highlight w:val="none"/>
        </w:rPr>
      </w:pPr>
    </w:p>
    <w:p>
      <w:pPr>
        <w:jc w:val="center"/>
        <w:rPr>
          <w:rFonts w:hint="eastAsia" w:ascii="宋体" w:hAnsi="宋体" w:eastAsia="宋体" w:cs="宋体"/>
          <w:b/>
          <w:color w:val="auto"/>
          <w:sz w:val="56"/>
          <w:szCs w:val="56"/>
          <w:highlight w:val="none"/>
        </w:rPr>
      </w:pPr>
      <w:r>
        <w:rPr>
          <w:rFonts w:hint="eastAsia" w:ascii="宋体" w:hAnsi="宋体" w:eastAsia="宋体" w:cs="宋体"/>
          <w:b/>
          <w:color w:val="auto"/>
          <w:sz w:val="56"/>
          <w:szCs w:val="56"/>
          <w:highlight w:val="none"/>
        </w:rPr>
        <w:t>包号（如涉及）</w:t>
      </w:r>
    </w:p>
    <w:p>
      <w:pPr>
        <w:jc w:val="center"/>
        <w:rPr>
          <w:rFonts w:hint="eastAsia" w:ascii="宋体" w:hAnsi="宋体" w:eastAsia="宋体" w:cs="宋体"/>
          <w:b/>
          <w:color w:val="auto"/>
          <w:sz w:val="56"/>
          <w:szCs w:val="56"/>
          <w:highlight w:val="none"/>
        </w:rPr>
      </w:pPr>
    </w:p>
    <w:p>
      <w:pPr>
        <w:jc w:val="center"/>
        <w:outlineLvl w:val="0"/>
        <w:rPr>
          <w:rFonts w:hint="eastAsia" w:ascii="宋体" w:hAnsi="宋体" w:eastAsia="宋体" w:cs="宋体"/>
          <w:b/>
          <w:color w:val="auto"/>
          <w:sz w:val="72"/>
          <w:szCs w:val="72"/>
          <w:highlight w:val="none"/>
        </w:rPr>
      </w:pPr>
      <w:bookmarkStart w:id="217" w:name="_Toc4616494"/>
      <w:r>
        <w:rPr>
          <w:rFonts w:hint="eastAsia" w:ascii="宋体" w:hAnsi="宋体" w:eastAsia="宋体" w:cs="宋体"/>
          <w:b/>
          <w:color w:val="auto"/>
          <w:sz w:val="72"/>
          <w:szCs w:val="72"/>
          <w:highlight w:val="none"/>
        </w:rPr>
        <w:t>其它响应文件</w:t>
      </w:r>
      <w:bookmarkEnd w:id="217"/>
    </w:p>
    <w:p>
      <w:pPr>
        <w:rPr>
          <w:rFonts w:hint="eastAsia" w:ascii="宋体" w:hAnsi="宋体" w:eastAsia="宋体" w:cs="宋体"/>
          <w:b/>
          <w:color w:val="auto"/>
          <w:sz w:val="56"/>
          <w:szCs w:val="56"/>
          <w:highlight w:val="none"/>
        </w:rPr>
      </w:pPr>
    </w:p>
    <w:p>
      <w:pPr>
        <w:ind w:firstLine="2225" w:firstLineChars="500"/>
        <w:jc w:val="left"/>
        <w:rPr>
          <w:rFonts w:hint="eastAsia" w:ascii="宋体" w:hAnsi="宋体" w:eastAsia="宋体" w:cs="宋体"/>
          <w:b/>
          <w:color w:val="auto"/>
          <w:sz w:val="44"/>
          <w:szCs w:val="44"/>
          <w:highlight w:val="none"/>
        </w:rPr>
      </w:pPr>
    </w:p>
    <w:p>
      <w:pPr>
        <w:rPr>
          <w:rFonts w:hint="eastAsia" w:ascii="宋体" w:hAnsi="宋体" w:eastAsia="宋体" w:cs="宋体"/>
          <w:color w:val="auto"/>
          <w:highlight w:val="none"/>
        </w:rPr>
      </w:pPr>
    </w:p>
    <w:p>
      <w:pPr>
        <w:spacing w:line="360" w:lineRule="auto"/>
        <w:ind w:firstLine="2225" w:firstLineChars="500"/>
        <w:jc w:val="left"/>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项目名称：________________</w:t>
      </w:r>
    </w:p>
    <w:p>
      <w:pPr>
        <w:spacing w:line="360" w:lineRule="auto"/>
        <w:ind w:firstLine="2225" w:firstLineChars="500"/>
        <w:jc w:val="left"/>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项目编号：________________</w:t>
      </w:r>
    </w:p>
    <w:p>
      <w:pPr>
        <w:spacing w:line="360" w:lineRule="auto"/>
        <w:ind w:firstLine="2225" w:firstLineChars="500"/>
        <w:jc w:val="left"/>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供应商名称：______________(盖章）</w:t>
      </w:r>
    </w:p>
    <w:p>
      <w:pPr>
        <w:spacing w:line="360" w:lineRule="auto"/>
        <w:ind w:firstLine="2225" w:firstLineChars="500"/>
        <w:jc w:val="left"/>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谈判日期：____年___月___日</w:t>
      </w:r>
    </w:p>
    <w:p>
      <w:pPr>
        <w:pStyle w:val="6"/>
        <w:ind w:firstLine="516"/>
        <w:rPr>
          <w:rFonts w:hint="eastAsia" w:ascii="宋体" w:hAnsi="宋体" w:eastAsia="宋体" w:cs="宋体"/>
          <w:b/>
          <w:color w:val="auto"/>
          <w:spacing w:val="6"/>
          <w:sz w:val="24"/>
          <w:highlight w:val="none"/>
        </w:rPr>
      </w:pPr>
    </w:p>
    <w:p>
      <w:pPr>
        <w:pStyle w:val="6"/>
        <w:ind w:firstLine="0" w:firstLineChars="0"/>
        <w:rPr>
          <w:rFonts w:hint="eastAsia" w:ascii="宋体" w:hAnsi="宋体" w:eastAsia="宋体" w:cs="宋体"/>
          <w:b/>
          <w:color w:val="auto"/>
          <w:spacing w:val="6"/>
          <w:sz w:val="24"/>
          <w:highlight w:val="none"/>
        </w:rPr>
      </w:pPr>
    </w:p>
    <w:p>
      <w:pPr>
        <w:jc w:val="center"/>
        <w:outlineLvl w:val="1"/>
        <w:rPr>
          <w:rFonts w:hint="eastAsia" w:ascii="宋体" w:hAnsi="宋体" w:eastAsia="宋体" w:cs="宋体"/>
          <w:b/>
          <w:bCs/>
          <w:color w:val="auto"/>
          <w:sz w:val="32"/>
          <w:szCs w:val="32"/>
          <w:highlight w:val="none"/>
        </w:rPr>
      </w:pPr>
      <w:bookmarkStart w:id="218" w:name="_Toc4616495"/>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rPr>
        <w:t>一、供应商基本情况表</w:t>
      </w:r>
      <w:bookmarkEnd w:id="218"/>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05"/>
        <w:gridCol w:w="55"/>
        <w:gridCol w:w="900"/>
        <w:gridCol w:w="360"/>
        <w:gridCol w:w="608"/>
        <w:gridCol w:w="292"/>
        <w:gridCol w:w="360"/>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620" w:type="dxa"/>
            <w:noWrap w:val="0"/>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供应商名称</w:t>
            </w:r>
          </w:p>
        </w:tc>
        <w:tc>
          <w:tcPr>
            <w:tcW w:w="7285" w:type="dxa"/>
            <w:gridSpan w:val="11"/>
            <w:noWrap w:val="0"/>
            <w:vAlign w:val="center"/>
          </w:tcPr>
          <w:p>
            <w:pPr>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620" w:type="dxa"/>
            <w:noWrap w:val="0"/>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注册地址</w:t>
            </w:r>
          </w:p>
        </w:tc>
        <w:tc>
          <w:tcPr>
            <w:tcW w:w="4680" w:type="dxa"/>
            <w:gridSpan w:val="6"/>
            <w:noWrap w:val="0"/>
            <w:vAlign w:val="center"/>
          </w:tcPr>
          <w:p>
            <w:pPr>
              <w:jc w:val="center"/>
              <w:rPr>
                <w:rFonts w:hint="eastAsia" w:ascii="宋体" w:hAnsi="宋体" w:eastAsia="宋体" w:cs="宋体"/>
                <w:bCs/>
                <w:color w:val="auto"/>
                <w:sz w:val="24"/>
                <w:szCs w:val="24"/>
                <w:highlight w:val="none"/>
              </w:rPr>
            </w:pPr>
          </w:p>
        </w:tc>
        <w:tc>
          <w:tcPr>
            <w:tcW w:w="1260" w:type="dxa"/>
            <w:gridSpan w:val="3"/>
            <w:noWrap w:val="0"/>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邮政编码</w:t>
            </w:r>
          </w:p>
        </w:tc>
        <w:tc>
          <w:tcPr>
            <w:tcW w:w="1345" w:type="dxa"/>
            <w:gridSpan w:val="2"/>
            <w:noWrap w:val="0"/>
            <w:vAlign w:val="center"/>
          </w:tcPr>
          <w:p>
            <w:pPr>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20" w:type="dxa"/>
            <w:vMerge w:val="restart"/>
            <w:noWrap w:val="0"/>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联系方式</w:t>
            </w:r>
          </w:p>
        </w:tc>
        <w:tc>
          <w:tcPr>
            <w:tcW w:w="1080" w:type="dxa"/>
            <w:noWrap w:val="0"/>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p>
        </w:tc>
        <w:tc>
          <w:tcPr>
            <w:tcW w:w="3600" w:type="dxa"/>
            <w:gridSpan w:val="5"/>
            <w:noWrap w:val="0"/>
            <w:vAlign w:val="center"/>
          </w:tcPr>
          <w:p>
            <w:pPr>
              <w:jc w:val="center"/>
              <w:rPr>
                <w:rFonts w:hint="eastAsia" w:ascii="宋体" w:hAnsi="宋体" w:eastAsia="宋体" w:cs="宋体"/>
                <w:bCs/>
                <w:color w:val="auto"/>
                <w:sz w:val="24"/>
                <w:szCs w:val="24"/>
                <w:highlight w:val="none"/>
              </w:rPr>
            </w:pPr>
          </w:p>
        </w:tc>
        <w:tc>
          <w:tcPr>
            <w:tcW w:w="1260" w:type="dxa"/>
            <w:gridSpan w:val="3"/>
            <w:noWrap w:val="0"/>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p>
        </w:tc>
        <w:tc>
          <w:tcPr>
            <w:tcW w:w="1345" w:type="dxa"/>
            <w:gridSpan w:val="2"/>
            <w:noWrap w:val="0"/>
            <w:vAlign w:val="center"/>
          </w:tcPr>
          <w:p>
            <w:pPr>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620" w:type="dxa"/>
            <w:vMerge w:val="continue"/>
            <w:noWrap w:val="0"/>
            <w:vAlign w:val="center"/>
          </w:tcPr>
          <w:p>
            <w:pPr>
              <w:jc w:val="center"/>
              <w:rPr>
                <w:rFonts w:hint="eastAsia" w:ascii="宋体" w:hAnsi="宋体" w:eastAsia="宋体" w:cs="宋体"/>
                <w:bCs/>
                <w:color w:val="auto"/>
                <w:sz w:val="24"/>
                <w:szCs w:val="24"/>
                <w:highlight w:val="none"/>
              </w:rPr>
            </w:pPr>
          </w:p>
        </w:tc>
        <w:tc>
          <w:tcPr>
            <w:tcW w:w="1080" w:type="dxa"/>
            <w:noWrap w:val="0"/>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传真</w:t>
            </w:r>
          </w:p>
        </w:tc>
        <w:tc>
          <w:tcPr>
            <w:tcW w:w="3600" w:type="dxa"/>
            <w:gridSpan w:val="5"/>
            <w:noWrap w:val="0"/>
            <w:vAlign w:val="center"/>
          </w:tcPr>
          <w:p>
            <w:pPr>
              <w:jc w:val="center"/>
              <w:rPr>
                <w:rFonts w:hint="eastAsia" w:ascii="宋体" w:hAnsi="宋体" w:eastAsia="宋体" w:cs="宋体"/>
                <w:bCs/>
                <w:color w:val="auto"/>
                <w:sz w:val="24"/>
                <w:szCs w:val="24"/>
                <w:highlight w:val="none"/>
              </w:rPr>
            </w:pPr>
          </w:p>
        </w:tc>
        <w:tc>
          <w:tcPr>
            <w:tcW w:w="1260" w:type="dxa"/>
            <w:gridSpan w:val="3"/>
            <w:noWrap w:val="0"/>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网址</w:t>
            </w:r>
          </w:p>
        </w:tc>
        <w:tc>
          <w:tcPr>
            <w:tcW w:w="1345" w:type="dxa"/>
            <w:gridSpan w:val="2"/>
            <w:noWrap w:val="0"/>
            <w:vAlign w:val="center"/>
          </w:tcPr>
          <w:p>
            <w:pPr>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20" w:type="dxa"/>
            <w:noWrap w:val="0"/>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组织结构</w:t>
            </w:r>
          </w:p>
        </w:tc>
        <w:tc>
          <w:tcPr>
            <w:tcW w:w="7285" w:type="dxa"/>
            <w:gridSpan w:val="11"/>
            <w:noWrap w:val="0"/>
            <w:vAlign w:val="center"/>
          </w:tcPr>
          <w:p>
            <w:pPr>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620" w:type="dxa"/>
            <w:noWrap w:val="0"/>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w:t>
            </w:r>
          </w:p>
        </w:tc>
        <w:tc>
          <w:tcPr>
            <w:tcW w:w="1260" w:type="dxa"/>
            <w:gridSpan w:val="2"/>
            <w:noWrap w:val="0"/>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姓名</w:t>
            </w:r>
          </w:p>
        </w:tc>
        <w:tc>
          <w:tcPr>
            <w:tcW w:w="1260" w:type="dxa"/>
            <w:noWrap w:val="0"/>
            <w:vAlign w:val="center"/>
          </w:tcPr>
          <w:p>
            <w:pPr>
              <w:jc w:val="center"/>
              <w:rPr>
                <w:rFonts w:hint="eastAsia" w:ascii="宋体" w:hAnsi="宋体" w:eastAsia="宋体" w:cs="宋体"/>
                <w:bCs/>
                <w:color w:val="auto"/>
                <w:sz w:val="24"/>
                <w:szCs w:val="24"/>
                <w:highlight w:val="none"/>
              </w:rPr>
            </w:pPr>
          </w:p>
        </w:tc>
        <w:tc>
          <w:tcPr>
            <w:tcW w:w="1260" w:type="dxa"/>
            <w:gridSpan w:val="2"/>
            <w:noWrap w:val="0"/>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技术职称</w:t>
            </w:r>
          </w:p>
        </w:tc>
        <w:tc>
          <w:tcPr>
            <w:tcW w:w="1260" w:type="dxa"/>
            <w:gridSpan w:val="2"/>
            <w:noWrap w:val="0"/>
            <w:vAlign w:val="center"/>
          </w:tcPr>
          <w:p>
            <w:pPr>
              <w:jc w:val="center"/>
              <w:rPr>
                <w:rFonts w:hint="eastAsia" w:ascii="宋体" w:hAnsi="宋体" w:eastAsia="宋体" w:cs="宋体"/>
                <w:bCs/>
                <w:color w:val="auto"/>
                <w:sz w:val="24"/>
                <w:szCs w:val="24"/>
                <w:highlight w:val="none"/>
              </w:rPr>
            </w:pPr>
          </w:p>
        </w:tc>
        <w:tc>
          <w:tcPr>
            <w:tcW w:w="1260" w:type="dxa"/>
            <w:gridSpan w:val="3"/>
            <w:noWrap w:val="0"/>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p>
        </w:tc>
        <w:tc>
          <w:tcPr>
            <w:tcW w:w="985" w:type="dxa"/>
            <w:noWrap w:val="0"/>
            <w:vAlign w:val="center"/>
          </w:tcPr>
          <w:p>
            <w:pPr>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620" w:type="dxa"/>
            <w:noWrap w:val="0"/>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技术负责人</w:t>
            </w:r>
          </w:p>
        </w:tc>
        <w:tc>
          <w:tcPr>
            <w:tcW w:w="1260" w:type="dxa"/>
            <w:gridSpan w:val="2"/>
            <w:noWrap w:val="0"/>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姓名</w:t>
            </w:r>
          </w:p>
        </w:tc>
        <w:tc>
          <w:tcPr>
            <w:tcW w:w="1260" w:type="dxa"/>
            <w:noWrap w:val="0"/>
            <w:vAlign w:val="center"/>
          </w:tcPr>
          <w:p>
            <w:pPr>
              <w:jc w:val="center"/>
              <w:rPr>
                <w:rFonts w:hint="eastAsia" w:ascii="宋体" w:hAnsi="宋体" w:eastAsia="宋体" w:cs="宋体"/>
                <w:bCs/>
                <w:color w:val="auto"/>
                <w:sz w:val="24"/>
                <w:szCs w:val="24"/>
                <w:highlight w:val="none"/>
              </w:rPr>
            </w:pPr>
          </w:p>
        </w:tc>
        <w:tc>
          <w:tcPr>
            <w:tcW w:w="1260" w:type="dxa"/>
            <w:gridSpan w:val="2"/>
            <w:noWrap w:val="0"/>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技术职称</w:t>
            </w:r>
          </w:p>
        </w:tc>
        <w:tc>
          <w:tcPr>
            <w:tcW w:w="1260" w:type="dxa"/>
            <w:gridSpan w:val="2"/>
            <w:noWrap w:val="0"/>
            <w:vAlign w:val="center"/>
          </w:tcPr>
          <w:p>
            <w:pPr>
              <w:jc w:val="center"/>
              <w:rPr>
                <w:rFonts w:hint="eastAsia" w:ascii="宋体" w:hAnsi="宋体" w:eastAsia="宋体" w:cs="宋体"/>
                <w:bCs/>
                <w:color w:val="auto"/>
                <w:sz w:val="24"/>
                <w:szCs w:val="24"/>
                <w:highlight w:val="none"/>
              </w:rPr>
            </w:pPr>
          </w:p>
        </w:tc>
        <w:tc>
          <w:tcPr>
            <w:tcW w:w="1260" w:type="dxa"/>
            <w:gridSpan w:val="3"/>
            <w:noWrap w:val="0"/>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p>
        </w:tc>
        <w:tc>
          <w:tcPr>
            <w:tcW w:w="985" w:type="dxa"/>
            <w:noWrap w:val="0"/>
            <w:vAlign w:val="center"/>
          </w:tcPr>
          <w:p>
            <w:pPr>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20" w:type="dxa"/>
            <w:noWrap w:val="0"/>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成立时间</w:t>
            </w:r>
          </w:p>
        </w:tc>
        <w:tc>
          <w:tcPr>
            <w:tcW w:w="2520" w:type="dxa"/>
            <w:gridSpan w:val="3"/>
            <w:noWrap w:val="0"/>
            <w:vAlign w:val="center"/>
          </w:tcPr>
          <w:p>
            <w:pPr>
              <w:jc w:val="center"/>
              <w:rPr>
                <w:rFonts w:hint="eastAsia" w:ascii="宋体" w:hAnsi="宋体" w:eastAsia="宋体" w:cs="宋体"/>
                <w:bCs/>
                <w:color w:val="auto"/>
                <w:sz w:val="24"/>
                <w:szCs w:val="24"/>
                <w:highlight w:val="none"/>
              </w:rPr>
            </w:pPr>
          </w:p>
        </w:tc>
        <w:tc>
          <w:tcPr>
            <w:tcW w:w="4765" w:type="dxa"/>
            <w:gridSpan w:val="8"/>
            <w:noWrap w:val="0"/>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620" w:type="dxa"/>
            <w:noWrap w:val="0"/>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企业资质等级</w:t>
            </w:r>
          </w:p>
        </w:tc>
        <w:tc>
          <w:tcPr>
            <w:tcW w:w="2520" w:type="dxa"/>
            <w:gridSpan w:val="3"/>
            <w:noWrap w:val="0"/>
            <w:vAlign w:val="center"/>
          </w:tcPr>
          <w:p>
            <w:pPr>
              <w:jc w:val="center"/>
              <w:rPr>
                <w:rFonts w:hint="eastAsia" w:ascii="宋体" w:hAnsi="宋体" w:eastAsia="宋体" w:cs="宋体"/>
                <w:bCs/>
                <w:color w:val="auto"/>
                <w:sz w:val="24"/>
                <w:szCs w:val="24"/>
                <w:highlight w:val="none"/>
              </w:rPr>
            </w:pPr>
          </w:p>
        </w:tc>
        <w:tc>
          <w:tcPr>
            <w:tcW w:w="1205" w:type="dxa"/>
            <w:vMerge w:val="restart"/>
            <w:noWrap w:val="0"/>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其中</w:t>
            </w:r>
          </w:p>
        </w:tc>
        <w:tc>
          <w:tcPr>
            <w:tcW w:w="1923" w:type="dxa"/>
            <w:gridSpan w:val="4"/>
            <w:noWrap w:val="0"/>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项目经理</w:t>
            </w:r>
          </w:p>
        </w:tc>
        <w:tc>
          <w:tcPr>
            <w:tcW w:w="1637" w:type="dxa"/>
            <w:gridSpan w:val="3"/>
            <w:noWrap w:val="0"/>
            <w:vAlign w:val="center"/>
          </w:tcPr>
          <w:p>
            <w:pPr>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20" w:type="dxa"/>
            <w:noWrap w:val="0"/>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营业执照</w:t>
            </w:r>
            <w:r>
              <w:rPr>
                <w:rFonts w:hint="eastAsia" w:ascii="宋体" w:hAnsi="宋体" w:eastAsia="宋体" w:cs="宋体"/>
                <w:color w:val="auto"/>
                <w:sz w:val="24"/>
                <w:szCs w:val="24"/>
                <w:highlight w:val="none"/>
              </w:rPr>
              <w:t>号</w:t>
            </w:r>
          </w:p>
        </w:tc>
        <w:tc>
          <w:tcPr>
            <w:tcW w:w="2520" w:type="dxa"/>
            <w:gridSpan w:val="3"/>
            <w:noWrap w:val="0"/>
            <w:vAlign w:val="center"/>
          </w:tcPr>
          <w:p>
            <w:pPr>
              <w:jc w:val="center"/>
              <w:rPr>
                <w:rFonts w:hint="eastAsia" w:ascii="宋体" w:hAnsi="宋体" w:eastAsia="宋体" w:cs="宋体"/>
                <w:bCs/>
                <w:color w:val="auto"/>
                <w:sz w:val="24"/>
                <w:szCs w:val="24"/>
                <w:highlight w:val="none"/>
              </w:rPr>
            </w:pPr>
          </w:p>
        </w:tc>
        <w:tc>
          <w:tcPr>
            <w:tcW w:w="1205" w:type="dxa"/>
            <w:vMerge w:val="continue"/>
            <w:noWrap w:val="0"/>
            <w:vAlign w:val="center"/>
          </w:tcPr>
          <w:p>
            <w:pPr>
              <w:jc w:val="center"/>
              <w:rPr>
                <w:rFonts w:hint="eastAsia" w:ascii="宋体" w:hAnsi="宋体" w:eastAsia="宋体" w:cs="宋体"/>
                <w:bCs/>
                <w:color w:val="auto"/>
                <w:sz w:val="24"/>
                <w:szCs w:val="24"/>
                <w:highlight w:val="none"/>
              </w:rPr>
            </w:pPr>
          </w:p>
        </w:tc>
        <w:tc>
          <w:tcPr>
            <w:tcW w:w="1923" w:type="dxa"/>
            <w:gridSpan w:val="4"/>
            <w:noWrap w:val="0"/>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高级职称人员</w:t>
            </w:r>
          </w:p>
        </w:tc>
        <w:tc>
          <w:tcPr>
            <w:tcW w:w="1637" w:type="dxa"/>
            <w:gridSpan w:val="3"/>
            <w:noWrap w:val="0"/>
            <w:vAlign w:val="center"/>
          </w:tcPr>
          <w:p>
            <w:pPr>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620" w:type="dxa"/>
            <w:noWrap w:val="0"/>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注册资金</w:t>
            </w:r>
          </w:p>
        </w:tc>
        <w:tc>
          <w:tcPr>
            <w:tcW w:w="2520" w:type="dxa"/>
            <w:gridSpan w:val="3"/>
            <w:noWrap w:val="0"/>
            <w:vAlign w:val="center"/>
          </w:tcPr>
          <w:p>
            <w:pPr>
              <w:jc w:val="center"/>
              <w:rPr>
                <w:rFonts w:hint="eastAsia" w:ascii="宋体" w:hAnsi="宋体" w:eastAsia="宋体" w:cs="宋体"/>
                <w:bCs/>
                <w:color w:val="auto"/>
                <w:sz w:val="24"/>
                <w:szCs w:val="24"/>
                <w:highlight w:val="none"/>
              </w:rPr>
            </w:pPr>
          </w:p>
        </w:tc>
        <w:tc>
          <w:tcPr>
            <w:tcW w:w="1205" w:type="dxa"/>
            <w:vMerge w:val="continue"/>
            <w:noWrap w:val="0"/>
            <w:vAlign w:val="center"/>
          </w:tcPr>
          <w:p>
            <w:pPr>
              <w:jc w:val="center"/>
              <w:rPr>
                <w:rFonts w:hint="eastAsia" w:ascii="宋体" w:hAnsi="宋体" w:eastAsia="宋体" w:cs="宋体"/>
                <w:bCs/>
                <w:color w:val="auto"/>
                <w:sz w:val="24"/>
                <w:szCs w:val="24"/>
                <w:highlight w:val="none"/>
              </w:rPr>
            </w:pPr>
          </w:p>
        </w:tc>
        <w:tc>
          <w:tcPr>
            <w:tcW w:w="1923" w:type="dxa"/>
            <w:gridSpan w:val="4"/>
            <w:noWrap w:val="0"/>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中级职称人员</w:t>
            </w:r>
          </w:p>
        </w:tc>
        <w:tc>
          <w:tcPr>
            <w:tcW w:w="1637" w:type="dxa"/>
            <w:gridSpan w:val="3"/>
            <w:noWrap w:val="0"/>
            <w:vAlign w:val="center"/>
          </w:tcPr>
          <w:p>
            <w:pPr>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20" w:type="dxa"/>
            <w:noWrap w:val="0"/>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开户银行</w:t>
            </w:r>
          </w:p>
        </w:tc>
        <w:tc>
          <w:tcPr>
            <w:tcW w:w="2520" w:type="dxa"/>
            <w:gridSpan w:val="3"/>
            <w:noWrap w:val="0"/>
            <w:vAlign w:val="center"/>
          </w:tcPr>
          <w:p>
            <w:pPr>
              <w:jc w:val="center"/>
              <w:rPr>
                <w:rFonts w:hint="eastAsia" w:ascii="宋体" w:hAnsi="宋体" w:eastAsia="宋体" w:cs="宋体"/>
                <w:bCs/>
                <w:color w:val="auto"/>
                <w:sz w:val="24"/>
                <w:szCs w:val="24"/>
                <w:highlight w:val="none"/>
              </w:rPr>
            </w:pPr>
          </w:p>
        </w:tc>
        <w:tc>
          <w:tcPr>
            <w:tcW w:w="1205" w:type="dxa"/>
            <w:vMerge w:val="continue"/>
            <w:noWrap w:val="0"/>
            <w:vAlign w:val="center"/>
          </w:tcPr>
          <w:p>
            <w:pPr>
              <w:jc w:val="center"/>
              <w:rPr>
                <w:rFonts w:hint="eastAsia" w:ascii="宋体" w:hAnsi="宋体" w:eastAsia="宋体" w:cs="宋体"/>
                <w:bCs/>
                <w:color w:val="auto"/>
                <w:sz w:val="24"/>
                <w:szCs w:val="24"/>
                <w:highlight w:val="none"/>
              </w:rPr>
            </w:pPr>
          </w:p>
        </w:tc>
        <w:tc>
          <w:tcPr>
            <w:tcW w:w="1923" w:type="dxa"/>
            <w:gridSpan w:val="4"/>
            <w:noWrap w:val="0"/>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初级职称人员</w:t>
            </w:r>
          </w:p>
        </w:tc>
        <w:tc>
          <w:tcPr>
            <w:tcW w:w="1637" w:type="dxa"/>
            <w:gridSpan w:val="3"/>
            <w:noWrap w:val="0"/>
            <w:vAlign w:val="center"/>
          </w:tcPr>
          <w:p>
            <w:pPr>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20" w:type="dxa"/>
            <w:noWrap w:val="0"/>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账号</w:t>
            </w:r>
          </w:p>
        </w:tc>
        <w:tc>
          <w:tcPr>
            <w:tcW w:w="2520" w:type="dxa"/>
            <w:gridSpan w:val="3"/>
            <w:noWrap w:val="0"/>
            <w:vAlign w:val="center"/>
          </w:tcPr>
          <w:p>
            <w:pPr>
              <w:jc w:val="center"/>
              <w:rPr>
                <w:rFonts w:hint="eastAsia" w:ascii="宋体" w:hAnsi="宋体" w:eastAsia="宋体" w:cs="宋体"/>
                <w:bCs/>
                <w:color w:val="auto"/>
                <w:sz w:val="24"/>
                <w:szCs w:val="24"/>
                <w:highlight w:val="none"/>
              </w:rPr>
            </w:pPr>
          </w:p>
        </w:tc>
        <w:tc>
          <w:tcPr>
            <w:tcW w:w="1205" w:type="dxa"/>
            <w:vMerge w:val="continue"/>
            <w:noWrap w:val="0"/>
            <w:vAlign w:val="center"/>
          </w:tcPr>
          <w:p>
            <w:pPr>
              <w:jc w:val="center"/>
              <w:rPr>
                <w:rFonts w:hint="eastAsia" w:ascii="宋体" w:hAnsi="宋体" w:eastAsia="宋体" w:cs="宋体"/>
                <w:bCs/>
                <w:color w:val="auto"/>
                <w:sz w:val="24"/>
                <w:szCs w:val="24"/>
                <w:highlight w:val="none"/>
              </w:rPr>
            </w:pPr>
          </w:p>
        </w:tc>
        <w:tc>
          <w:tcPr>
            <w:tcW w:w="1923" w:type="dxa"/>
            <w:gridSpan w:val="4"/>
            <w:noWrap w:val="0"/>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技工</w:t>
            </w:r>
          </w:p>
        </w:tc>
        <w:tc>
          <w:tcPr>
            <w:tcW w:w="1637" w:type="dxa"/>
            <w:gridSpan w:val="3"/>
            <w:noWrap w:val="0"/>
            <w:vAlign w:val="center"/>
          </w:tcPr>
          <w:p>
            <w:pPr>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620" w:type="dxa"/>
            <w:noWrap w:val="0"/>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经营范围</w:t>
            </w:r>
          </w:p>
        </w:tc>
        <w:tc>
          <w:tcPr>
            <w:tcW w:w="7285" w:type="dxa"/>
            <w:gridSpan w:val="11"/>
            <w:noWrap w:val="0"/>
            <w:vAlign w:val="center"/>
          </w:tcPr>
          <w:p>
            <w:pPr>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620" w:type="dxa"/>
            <w:noWrap w:val="0"/>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c>
          <w:tcPr>
            <w:tcW w:w="7285" w:type="dxa"/>
            <w:gridSpan w:val="11"/>
            <w:noWrap w:val="0"/>
            <w:vAlign w:val="center"/>
          </w:tcPr>
          <w:p>
            <w:pPr>
              <w:jc w:val="center"/>
              <w:rPr>
                <w:rFonts w:hint="eastAsia" w:ascii="宋体" w:hAnsi="宋体" w:eastAsia="宋体" w:cs="宋体"/>
                <w:bCs/>
                <w:color w:val="auto"/>
                <w:sz w:val="24"/>
                <w:szCs w:val="24"/>
                <w:highlight w:val="none"/>
              </w:rPr>
            </w:pPr>
          </w:p>
        </w:tc>
      </w:tr>
    </w:tbl>
    <w:p>
      <w:pPr>
        <w:widowControl/>
        <w:spacing w:line="360" w:lineRule="atLeast"/>
        <w:ind w:firstLine="479"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注：1、事业单位、其他组织及自然人谈判根据实际情况据实填写此表，若未填报完善不影响谈判资质及效力。</w:t>
      </w:r>
    </w:p>
    <w:p>
      <w:pPr>
        <w:widowControl/>
        <w:spacing w:line="360" w:lineRule="atLeast"/>
        <w:ind w:firstLine="724" w:firstLineChars="2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b/>
          <w:color w:val="auto"/>
          <w:sz w:val="24"/>
          <w:highlight w:val="none"/>
        </w:rPr>
        <w:t>此表格中需要填写的</w:t>
      </w:r>
      <w:r>
        <w:rPr>
          <w:rFonts w:hint="eastAsia" w:ascii="宋体" w:hAnsi="宋体" w:eastAsia="宋体" w:cs="宋体"/>
          <w:color w:val="auto"/>
          <w:sz w:val="24"/>
          <w:highlight w:val="none"/>
        </w:rPr>
        <w:t>若无涉及可不填写此项或“</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w:t>
      </w:r>
    </w:p>
    <w:p>
      <w:pPr>
        <w:widowControl/>
        <w:spacing w:line="360" w:lineRule="atLeast"/>
        <w:ind w:firstLine="479"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供应商名称：XXXX（单位盖章）。</w:t>
      </w:r>
    </w:p>
    <w:p>
      <w:pPr>
        <w:widowControl/>
        <w:spacing w:line="360" w:lineRule="atLeast"/>
        <w:ind w:firstLine="479" w:firstLineChars="196"/>
        <w:jc w:val="left"/>
        <w:rPr>
          <w:rFonts w:hint="eastAsia" w:ascii="宋体" w:hAnsi="宋体" w:eastAsia="宋体" w:cs="宋体"/>
          <w:color w:val="auto"/>
          <w:highlight w:val="none"/>
        </w:rPr>
      </w:pPr>
      <w:r>
        <w:rPr>
          <w:rFonts w:hint="eastAsia" w:ascii="宋体" w:hAnsi="宋体" w:eastAsia="宋体" w:cs="宋体"/>
          <w:color w:val="auto"/>
          <w:sz w:val="24"/>
          <w:highlight w:val="none"/>
        </w:rPr>
        <w:t>日期: XXXX。</w:t>
      </w:r>
    </w:p>
    <w:p>
      <w:pPr>
        <w:rPr>
          <w:rFonts w:hint="eastAsia" w:ascii="宋体" w:hAnsi="宋体" w:eastAsia="宋体" w:cs="宋体"/>
          <w:b/>
          <w:color w:val="auto"/>
          <w:sz w:val="32"/>
          <w:szCs w:val="32"/>
          <w:highlight w:val="none"/>
        </w:rPr>
      </w:pPr>
      <w:bookmarkStart w:id="219" w:name="_Toc4616496"/>
      <w:r>
        <w:rPr>
          <w:rFonts w:hint="eastAsia" w:ascii="宋体" w:hAnsi="宋体" w:eastAsia="宋体" w:cs="宋体"/>
          <w:b/>
          <w:color w:val="auto"/>
          <w:sz w:val="32"/>
          <w:szCs w:val="32"/>
          <w:highlight w:val="none"/>
        </w:rPr>
        <w:br w:type="page"/>
      </w:r>
    </w:p>
    <w:p>
      <w:pPr>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二、谈 判 函</w:t>
      </w:r>
      <w:bookmarkEnd w:id="179"/>
      <w:bookmarkEnd w:id="180"/>
      <w:bookmarkEnd w:id="181"/>
      <w:bookmarkEnd w:id="219"/>
    </w:p>
    <w:p>
      <w:pPr>
        <w:spacing w:line="3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四川中意招标有限公司</w:t>
      </w:r>
      <w:r>
        <w:rPr>
          <w:rFonts w:hint="eastAsia" w:ascii="宋体" w:hAnsi="宋体" w:eastAsia="宋体" w:cs="宋体"/>
          <w:color w:val="auto"/>
          <w:sz w:val="24"/>
          <w:highlight w:val="none"/>
        </w:rPr>
        <w:t>(采购代理机构名称)：</w:t>
      </w:r>
    </w:p>
    <w:p>
      <w:pPr>
        <w:keepNext w:val="0"/>
        <w:keepLines w:val="0"/>
        <w:pageBreakBefore w:val="0"/>
        <w:kinsoku/>
        <w:wordWrap/>
        <w:overflowPunct/>
        <w:topLinePunct w:val="0"/>
        <w:autoSpaceDE/>
        <w:autoSpaceDN/>
        <w:bidi w:val="0"/>
        <w:adjustRightInd/>
        <w:snapToGrid/>
        <w:spacing w:line="400" w:lineRule="exact"/>
        <w:ind w:firstLine="49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我方全面研究了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”项目竞争性谈判采购文件(项目编号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)，决定参加贵单位组织的本项目谈判。我方授权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(姓名、职务)代表我方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(谈判单位的名称)全权处理本项目谈判的有关事宜。</w:t>
      </w:r>
    </w:p>
    <w:p>
      <w:pPr>
        <w:keepNext w:val="0"/>
        <w:keepLines w:val="0"/>
        <w:pageBreakBefore w:val="0"/>
        <w:kinsoku/>
        <w:wordWrap/>
        <w:overflowPunct/>
        <w:topLinePunct w:val="0"/>
        <w:autoSpaceDE/>
        <w:autoSpaceDN/>
        <w:bidi w:val="0"/>
        <w:adjustRightInd/>
        <w:snapToGrid/>
        <w:spacing w:line="400" w:lineRule="exact"/>
        <w:ind w:firstLine="49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1、我方完全接受本采购项目谈判文件全部内容。自愿按照竞争性谈判采购文件规定的各项要求（</w:t>
      </w:r>
      <w:r>
        <w:rPr>
          <w:rFonts w:hint="eastAsia" w:ascii="宋体" w:hAnsi="宋体" w:eastAsia="宋体" w:cs="宋体"/>
          <w:b/>
          <w:color w:val="auto"/>
          <w:sz w:val="24"/>
          <w:highlight w:val="none"/>
        </w:rPr>
        <w:t>包括文件中“注”和“实质性要求”的内容</w:t>
      </w:r>
      <w:r>
        <w:rPr>
          <w:rFonts w:hint="eastAsia" w:ascii="宋体" w:hAnsi="宋体" w:eastAsia="宋体" w:cs="宋体"/>
          <w:color w:val="auto"/>
          <w:sz w:val="24"/>
          <w:highlight w:val="none"/>
        </w:rPr>
        <w:t>）向采购人提供所需货物。</w:t>
      </w:r>
    </w:p>
    <w:p>
      <w:pPr>
        <w:keepNext w:val="0"/>
        <w:keepLines w:val="0"/>
        <w:pageBreakBefore w:val="0"/>
        <w:kinsoku/>
        <w:wordWrap/>
        <w:overflowPunct/>
        <w:topLinePunct w:val="0"/>
        <w:autoSpaceDE/>
        <w:autoSpaceDN/>
        <w:bidi w:val="0"/>
        <w:adjustRightInd/>
        <w:snapToGrid/>
        <w:spacing w:line="400" w:lineRule="exact"/>
        <w:ind w:firstLine="49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2、一旦我方成交，我方将严格履行合同规定的责任和义务。</w:t>
      </w:r>
    </w:p>
    <w:p>
      <w:pPr>
        <w:keepNext w:val="0"/>
        <w:keepLines w:val="0"/>
        <w:pageBreakBefore w:val="0"/>
        <w:widowControl/>
        <w:kinsoku/>
        <w:wordWrap/>
        <w:overflowPunct/>
        <w:topLinePunct w:val="0"/>
        <w:autoSpaceDE/>
        <w:autoSpaceDN/>
        <w:bidi w:val="0"/>
        <w:adjustRightInd/>
        <w:snapToGrid/>
        <w:spacing w:line="400" w:lineRule="exact"/>
        <w:ind w:firstLine="479" w:firstLineChars="196"/>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（实质性要求）</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、一旦我方成交，我方将严格履行政府采购合同规定的责任和义务。</w:t>
      </w:r>
    </w:p>
    <w:p>
      <w:pPr>
        <w:keepNext w:val="0"/>
        <w:keepLines w:val="0"/>
        <w:pageBreakBefore w:val="0"/>
        <w:kinsoku/>
        <w:wordWrap/>
        <w:overflowPunct/>
        <w:topLinePunct w:val="0"/>
        <w:autoSpaceDE/>
        <w:autoSpaceDN/>
        <w:bidi w:val="0"/>
        <w:adjustRightInd/>
        <w:snapToGrid/>
        <w:spacing w:line="400" w:lineRule="exact"/>
        <w:ind w:firstLine="490" w:firstLineChars="200"/>
        <w:jc w:val="left"/>
        <w:textAlignment w:val="auto"/>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rPr>
        <w:t>（实质性要求）</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rPr>
        <w:t>、我方承诺，成交后如未按照合同签订时约定的时间按时完成交货安装，采购人有权要求我方按照合同约定的交货时间每延期一天按合同总价款的千分之二金额向采购人缴纳违约金。我公司愿意承担相应法律责任。</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9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我方为本项目提交的响应文件正本1份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副本2份</w:t>
      </w:r>
      <w:r>
        <w:rPr>
          <w:rFonts w:hint="eastAsia" w:ascii="宋体" w:hAnsi="宋体" w:eastAsia="宋体" w:cs="宋体"/>
          <w:b/>
          <w:bCs/>
          <w:color w:val="auto"/>
          <w:sz w:val="24"/>
          <w:szCs w:val="24"/>
          <w:highlight w:val="none"/>
        </w:rPr>
        <w:t>（实质性要求）</w:t>
      </w:r>
      <w:r>
        <w:rPr>
          <w:rFonts w:hint="eastAsia" w:ascii="宋体" w:hAnsi="宋体" w:eastAsia="宋体" w:cs="宋体"/>
          <w:color w:val="auto"/>
          <w:sz w:val="24"/>
          <w:highlight w:val="none"/>
        </w:rPr>
        <w:t>，电子文档1份（U盘）。</w:t>
      </w:r>
    </w:p>
    <w:p>
      <w:pPr>
        <w:keepNext w:val="0"/>
        <w:keepLines w:val="0"/>
        <w:pageBreakBefore w:val="0"/>
        <w:kinsoku/>
        <w:wordWrap/>
        <w:overflowPunct/>
        <w:topLinePunct w:val="0"/>
        <w:autoSpaceDE/>
        <w:autoSpaceDN/>
        <w:bidi w:val="0"/>
        <w:adjustRightInd/>
        <w:snapToGrid/>
        <w:spacing w:line="400" w:lineRule="exact"/>
        <w:ind w:firstLine="49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、我方承诺</w:t>
      </w:r>
      <w:r>
        <w:rPr>
          <w:rFonts w:hint="eastAsia" w:ascii="宋体" w:hAnsi="宋体" w:eastAsia="宋体" w:cs="宋体"/>
          <w:color w:val="auto"/>
          <w:sz w:val="24"/>
          <w:highlight w:val="none"/>
          <w:lang w:val="zh-CN"/>
        </w:rPr>
        <w:t>，谈判有效期为</w:t>
      </w:r>
      <w:r>
        <w:rPr>
          <w:rFonts w:hint="eastAsia" w:ascii="宋体" w:hAnsi="宋体" w:eastAsia="宋体" w:cs="宋体"/>
          <w:color w:val="auto"/>
          <w:sz w:val="24"/>
          <w:szCs w:val="22"/>
          <w:highlight w:val="none"/>
          <w:lang w:val="zh-CN"/>
        </w:rPr>
        <w:t>递交谈判响应文件截止之日起90天。</w:t>
      </w:r>
    </w:p>
    <w:p>
      <w:pPr>
        <w:keepNext w:val="0"/>
        <w:keepLines w:val="0"/>
        <w:pageBreakBefore w:val="0"/>
        <w:kinsoku/>
        <w:wordWrap/>
        <w:overflowPunct/>
        <w:topLinePunct w:val="0"/>
        <w:autoSpaceDE/>
        <w:autoSpaceDN/>
        <w:bidi w:val="0"/>
        <w:adjustRightInd/>
        <w:snapToGrid/>
        <w:spacing w:line="400" w:lineRule="exact"/>
        <w:ind w:firstLine="49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、我方愿意提供贵公司可能另外要求的，与谈判有关的文件资料，并保证我方已提供和将要提供的文件资料是真实、准确的。</w:t>
      </w:r>
    </w:p>
    <w:p>
      <w:pPr>
        <w:keepNext w:val="0"/>
        <w:keepLines w:val="0"/>
        <w:pageBreakBefore w:val="0"/>
        <w:kinsoku/>
        <w:wordWrap/>
        <w:overflowPunct/>
        <w:topLinePunct w:val="0"/>
        <w:autoSpaceDE/>
        <w:autoSpaceDN/>
        <w:bidi w:val="0"/>
        <w:adjustRightInd/>
        <w:snapToGrid/>
        <w:spacing w:line="400" w:lineRule="exact"/>
        <w:ind w:firstLine="49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、我方承诺不得恶意报价。</w:t>
      </w:r>
    </w:p>
    <w:p>
      <w:pPr>
        <w:spacing w:line="340" w:lineRule="exact"/>
        <w:ind w:firstLine="490" w:firstLineChars="200"/>
        <w:rPr>
          <w:rFonts w:hint="eastAsia" w:ascii="宋体" w:hAnsi="宋体" w:eastAsia="宋体" w:cs="宋体"/>
          <w:color w:val="auto"/>
          <w:sz w:val="24"/>
          <w:highlight w:val="none"/>
        </w:rPr>
      </w:pPr>
    </w:p>
    <w:p>
      <w:pPr>
        <w:spacing w:line="340" w:lineRule="exact"/>
        <w:ind w:firstLine="490" w:firstLineChars="200"/>
        <w:rPr>
          <w:rFonts w:hint="eastAsia" w:ascii="宋体" w:hAnsi="宋体" w:eastAsia="宋体" w:cs="宋体"/>
          <w:color w:val="auto"/>
          <w:sz w:val="24"/>
          <w:highlight w:val="none"/>
        </w:rPr>
      </w:pPr>
    </w:p>
    <w:p>
      <w:pPr>
        <w:spacing w:line="34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谈判供应商名称：        (盖章)</w:t>
      </w:r>
    </w:p>
    <w:p>
      <w:pPr>
        <w:spacing w:line="34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法定代表人/单位负责人或授权代表(签字)：</w:t>
      </w:r>
    </w:p>
    <w:p>
      <w:pPr>
        <w:spacing w:line="34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通讯地址：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邮政编码：</w:t>
      </w:r>
    </w:p>
    <w:p>
      <w:pPr>
        <w:spacing w:line="34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联系电话：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传    真：</w:t>
      </w:r>
    </w:p>
    <w:p>
      <w:pPr>
        <w:spacing w:line="34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期：</w:t>
      </w:r>
    </w:p>
    <w:p>
      <w:pPr>
        <w:widowControl/>
        <w:spacing w:line="360" w:lineRule="atLeast"/>
        <w:jc w:val="center"/>
        <w:outlineLvl w:val="1"/>
        <w:rPr>
          <w:rFonts w:hint="eastAsia" w:ascii="宋体" w:hAnsi="宋体" w:eastAsia="宋体" w:cs="宋体"/>
          <w:b/>
          <w:bCs/>
          <w:color w:val="auto"/>
          <w:kern w:val="2"/>
          <w:sz w:val="32"/>
          <w:szCs w:val="32"/>
          <w:highlight w:val="none"/>
          <w:lang w:eastAsia="zh-CN"/>
        </w:rPr>
      </w:pPr>
      <w:r>
        <w:rPr>
          <w:rFonts w:hint="eastAsia" w:ascii="宋体" w:hAnsi="宋体" w:eastAsia="宋体" w:cs="宋体"/>
          <w:b/>
          <w:color w:val="auto"/>
          <w:sz w:val="32"/>
          <w:szCs w:val="32"/>
          <w:highlight w:val="none"/>
        </w:rPr>
        <w:br w:type="page"/>
      </w:r>
      <w:bookmarkStart w:id="220" w:name="_Toc15986"/>
      <w:bookmarkStart w:id="221" w:name="_Toc4616498"/>
      <w:r>
        <w:rPr>
          <w:rFonts w:hint="eastAsia" w:ascii="宋体" w:hAnsi="宋体" w:eastAsia="宋体" w:cs="宋体"/>
          <w:b/>
          <w:bCs/>
          <w:color w:val="auto"/>
          <w:sz w:val="32"/>
          <w:szCs w:val="32"/>
          <w:highlight w:val="none"/>
          <w:lang w:eastAsia="zh-CN"/>
        </w:rPr>
        <w:t>三</w:t>
      </w:r>
      <w:r>
        <w:rPr>
          <w:rFonts w:hint="eastAsia" w:ascii="宋体" w:hAnsi="宋体" w:eastAsia="宋体" w:cs="宋体"/>
          <w:b/>
          <w:bCs/>
          <w:color w:val="auto"/>
          <w:sz w:val="32"/>
          <w:szCs w:val="32"/>
          <w:highlight w:val="none"/>
        </w:rPr>
        <w:t>、</w:t>
      </w:r>
      <w:bookmarkEnd w:id="220"/>
      <w:bookmarkEnd w:id="221"/>
      <w:r>
        <w:rPr>
          <w:rFonts w:hint="eastAsia" w:ascii="宋体" w:hAnsi="宋体" w:eastAsia="宋体" w:cs="宋体"/>
          <w:b/>
          <w:bCs/>
          <w:color w:val="auto"/>
          <w:kern w:val="2"/>
          <w:sz w:val="32"/>
          <w:szCs w:val="32"/>
          <w:highlight w:val="none"/>
          <w:lang w:eastAsia="zh-CN"/>
        </w:rPr>
        <w:t>服务应答表</w:t>
      </w:r>
    </w:p>
    <w:p>
      <w:pPr>
        <w:widowControl/>
        <w:spacing w:line="360" w:lineRule="atLeas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416"/>
        <w:gridCol w:w="4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18" w:type="dxa"/>
            <w:vAlign w:val="center"/>
          </w:tcPr>
          <w:p>
            <w:pPr>
              <w:widowControl/>
              <w:spacing w:line="360" w:lineRule="atLeast"/>
              <w:jc w:val="left"/>
              <w:rPr>
                <w:rFonts w:hAnsi="宋体" w:cs="宋体"/>
                <w:color w:val="auto"/>
                <w:sz w:val="24"/>
                <w:highlight w:val="none"/>
              </w:rPr>
            </w:pPr>
            <w:r>
              <w:rPr>
                <w:rFonts w:hint="eastAsia" w:hAnsi="宋体" w:cs="宋体"/>
                <w:color w:val="auto"/>
                <w:sz w:val="24"/>
                <w:highlight w:val="none"/>
              </w:rPr>
              <w:t>序号</w:t>
            </w:r>
          </w:p>
        </w:tc>
        <w:tc>
          <w:tcPr>
            <w:tcW w:w="1416" w:type="dxa"/>
            <w:vAlign w:val="center"/>
          </w:tcPr>
          <w:p>
            <w:pPr>
              <w:widowControl/>
              <w:spacing w:line="360" w:lineRule="atLeast"/>
              <w:jc w:val="left"/>
              <w:rPr>
                <w:rFonts w:hAnsi="宋体" w:cs="宋体"/>
                <w:color w:val="auto"/>
                <w:sz w:val="24"/>
                <w:highlight w:val="none"/>
              </w:rPr>
            </w:pPr>
            <w:r>
              <w:rPr>
                <w:rFonts w:hint="eastAsia" w:hAnsi="宋体" w:cs="宋体"/>
                <w:color w:val="auto"/>
                <w:sz w:val="24"/>
                <w:highlight w:val="none"/>
              </w:rPr>
              <w:t>采购要求</w:t>
            </w:r>
          </w:p>
        </w:tc>
        <w:tc>
          <w:tcPr>
            <w:tcW w:w="4532" w:type="dxa"/>
            <w:vAlign w:val="center"/>
          </w:tcPr>
          <w:p>
            <w:pPr>
              <w:widowControl/>
              <w:spacing w:line="360" w:lineRule="atLeast"/>
              <w:ind w:firstLine="479" w:firstLineChars="196"/>
              <w:jc w:val="center"/>
              <w:rPr>
                <w:rFonts w:hAnsi="宋体" w:cs="宋体"/>
                <w:color w:val="auto"/>
                <w:sz w:val="24"/>
                <w:highlight w:val="none"/>
              </w:rPr>
            </w:pPr>
            <w:r>
              <w:rPr>
                <w:rFonts w:hint="eastAsia" w:hAnsi="宋体" w:eastAsia="宋体" w:cs="宋体"/>
                <w:color w:val="auto"/>
                <w:sz w:val="24"/>
                <w:highlight w:val="none"/>
                <w:lang w:eastAsia="zh-CN"/>
              </w:rPr>
              <w:t>谈判</w:t>
            </w:r>
            <w:r>
              <w:rPr>
                <w:rFonts w:hint="eastAsia" w:hAnsi="宋体" w:cs="宋体"/>
                <w:color w:val="auto"/>
                <w:sz w:val="24"/>
                <w:highlight w:val="none"/>
              </w:rPr>
              <w:t>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18" w:type="dxa"/>
          </w:tcPr>
          <w:p>
            <w:pPr>
              <w:widowControl/>
              <w:spacing w:line="360" w:lineRule="atLeast"/>
              <w:ind w:firstLine="479" w:firstLineChars="196"/>
              <w:jc w:val="left"/>
              <w:rPr>
                <w:rFonts w:hAnsi="宋体" w:cs="宋体"/>
                <w:color w:val="auto"/>
                <w:sz w:val="24"/>
                <w:highlight w:val="none"/>
              </w:rPr>
            </w:pPr>
            <w:r>
              <w:rPr>
                <w:rFonts w:hint="eastAsia" w:hAnsi="宋体" w:cs="宋体"/>
                <w:color w:val="auto"/>
                <w:sz w:val="24"/>
                <w:highlight w:val="none"/>
              </w:rPr>
              <w:t>1</w:t>
            </w:r>
          </w:p>
        </w:tc>
        <w:tc>
          <w:tcPr>
            <w:tcW w:w="1416" w:type="dxa"/>
          </w:tcPr>
          <w:p>
            <w:pPr>
              <w:widowControl/>
              <w:spacing w:line="360" w:lineRule="atLeast"/>
              <w:ind w:firstLine="479" w:firstLineChars="196"/>
              <w:jc w:val="left"/>
              <w:rPr>
                <w:rFonts w:hAnsi="宋体" w:cs="宋体"/>
                <w:color w:val="auto"/>
                <w:sz w:val="24"/>
                <w:highlight w:val="none"/>
              </w:rPr>
            </w:pPr>
          </w:p>
        </w:tc>
        <w:tc>
          <w:tcPr>
            <w:tcW w:w="4532" w:type="dxa"/>
          </w:tcPr>
          <w:p>
            <w:pPr>
              <w:widowControl/>
              <w:spacing w:line="360" w:lineRule="atLeast"/>
              <w:ind w:firstLine="479" w:firstLineChars="196"/>
              <w:jc w:val="left"/>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18" w:type="dxa"/>
          </w:tcPr>
          <w:p>
            <w:pPr>
              <w:widowControl/>
              <w:spacing w:line="360" w:lineRule="atLeast"/>
              <w:ind w:firstLine="479" w:firstLineChars="196"/>
              <w:jc w:val="left"/>
              <w:rPr>
                <w:rFonts w:hAnsi="宋体" w:cs="宋体"/>
                <w:color w:val="auto"/>
                <w:sz w:val="24"/>
                <w:highlight w:val="none"/>
              </w:rPr>
            </w:pPr>
            <w:r>
              <w:rPr>
                <w:rFonts w:hint="eastAsia" w:hAnsi="宋体" w:cs="宋体"/>
                <w:color w:val="auto"/>
                <w:sz w:val="24"/>
                <w:highlight w:val="none"/>
              </w:rPr>
              <w:t>2</w:t>
            </w:r>
          </w:p>
        </w:tc>
        <w:tc>
          <w:tcPr>
            <w:tcW w:w="1416" w:type="dxa"/>
          </w:tcPr>
          <w:p>
            <w:pPr>
              <w:widowControl/>
              <w:spacing w:line="360" w:lineRule="atLeast"/>
              <w:ind w:firstLine="479" w:firstLineChars="196"/>
              <w:jc w:val="left"/>
              <w:rPr>
                <w:rFonts w:hAnsi="宋体" w:cs="宋体"/>
                <w:color w:val="auto"/>
                <w:sz w:val="24"/>
                <w:highlight w:val="none"/>
              </w:rPr>
            </w:pPr>
          </w:p>
        </w:tc>
        <w:tc>
          <w:tcPr>
            <w:tcW w:w="4532" w:type="dxa"/>
          </w:tcPr>
          <w:p>
            <w:pPr>
              <w:widowControl/>
              <w:spacing w:line="360" w:lineRule="atLeast"/>
              <w:ind w:firstLine="479" w:firstLineChars="196"/>
              <w:jc w:val="left"/>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18" w:type="dxa"/>
          </w:tcPr>
          <w:p>
            <w:pPr>
              <w:widowControl/>
              <w:spacing w:line="360" w:lineRule="atLeast"/>
              <w:ind w:firstLine="479" w:firstLineChars="196"/>
              <w:jc w:val="left"/>
              <w:rPr>
                <w:rFonts w:hAnsi="宋体" w:cs="宋体"/>
                <w:color w:val="auto"/>
                <w:sz w:val="24"/>
                <w:highlight w:val="none"/>
              </w:rPr>
            </w:pPr>
            <w:r>
              <w:rPr>
                <w:rFonts w:hint="eastAsia" w:hAnsi="宋体" w:cs="宋体"/>
                <w:color w:val="auto"/>
                <w:sz w:val="24"/>
                <w:highlight w:val="none"/>
              </w:rPr>
              <w:t>3</w:t>
            </w:r>
          </w:p>
        </w:tc>
        <w:tc>
          <w:tcPr>
            <w:tcW w:w="1416" w:type="dxa"/>
          </w:tcPr>
          <w:p>
            <w:pPr>
              <w:widowControl/>
              <w:spacing w:line="360" w:lineRule="atLeast"/>
              <w:ind w:firstLine="479" w:firstLineChars="196"/>
              <w:jc w:val="left"/>
              <w:rPr>
                <w:rFonts w:hAnsi="宋体" w:cs="宋体"/>
                <w:color w:val="auto"/>
                <w:sz w:val="24"/>
                <w:highlight w:val="none"/>
              </w:rPr>
            </w:pPr>
          </w:p>
        </w:tc>
        <w:tc>
          <w:tcPr>
            <w:tcW w:w="4532" w:type="dxa"/>
          </w:tcPr>
          <w:p>
            <w:pPr>
              <w:widowControl/>
              <w:spacing w:line="360" w:lineRule="atLeast"/>
              <w:ind w:firstLine="479" w:firstLineChars="196"/>
              <w:jc w:val="left"/>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18" w:type="dxa"/>
          </w:tcPr>
          <w:p>
            <w:pPr>
              <w:widowControl/>
              <w:spacing w:line="360" w:lineRule="atLeast"/>
              <w:ind w:firstLine="479" w:firstLineChars="196"/>
              <w:jc w:val="left"/>
              <w:rPr>
                <w:rFonts w:hAnsi="宋体" w:cs="宋体"/>
                <w:color w:val="auto"/>
                <w:sz w:val="24"/>
                <w:highlight w:val="none"/>
              </w:rPr>
            </w:pPr>
            <w:r>
              <w:rPr>
                <w:rFonts w:hint="eastAsia" w:hAnsi="宋体" w:cs="宋体"/>
                <w:color w:val="auto"/>
                <w:sz w:val="24"/>
                <w:highlight w:val="none"/>
              </w:rPr>
              <w:t>4</w:t>
            </w:r>
          </w:p>
        </w:tc>
        <w:tc>
          <w:tcPr>
            <w:tcW w:w="1416" w:type="dxa"/>
          </w:tcPr>
          <w:p>
            <w:pPr>
              <w:widowControl/>
              <w:spacing w:line="360" w:lineRule="atLeast"/>
              <w:ind w:firstLine="479" w:firstLineChars="196"/>
              <w:jc w:val="left"/>
              <w:rPr>
                <w:rFonts w:hAnsi="宋体" w:cs="宋体"/>
                <w:color w:val="auto"/>
                <w:sz w:val="24"/>
                <w:highlight w:val="none"/>
              </w:rPr>
            </w:pPr>
          </w:p>
        </w:tc>
        <w:tc>
          <w:tcPr>
            <w:tcW w:w="4532" w:type="dxa"/>
          </w:tcPr>
          <w:p>
            <w:pPr>
              <w:widowControl/>
              <w:spacing w:line="360" w:lineRule="atLeast"/>
              <w:ind w:firstLine="479" w:firstLineChars="196"/>
              <w:jc w:val="left"/>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18" w:type="dxa"/>
          </w:tcPr>
          <w:p>
            <w:pPr>
              <w:widowControl/>
              <w:spacing w:line="360" w:lineRule="atLeast"/>
              <w:ind w:firstLine="479" w:firstLineChars="196"/>
              <w:jc w:val="left"/>
              <w:rPr>
                <w:rFonts w:hAnsi="宋体" w:cs="宋体"/>
                <w:color w:val="auto"/>
                <w:sz w:val="24"/>
                <w:highlight w:val="none"/>
              </w:rPr>
            </w:pPr>
            <w:r>
              <w:rPr>
                <w:rFonts w:hint="eastAsia" w:hAnsi="宋体" w:cs="宋体"/>
                <w:color w:val="auto"/>
                <w:sz w:val="24"/>
                <w:highlight w:val="none"/>
              </w:rPr>
              <w:t>......</w:t>
            </w:r>
          </w:p>
        </w:tc>
        <w:tc>
          <w:tcPr>
            <w:tcW w:w="1416" w:type="dxa"/>
          </w:tcPr>
          <w:p>
            <w:pPr>
              <w:widowControl/>
              <w:spacing w:line="360" w:lineRule="atLeast"/>
              <w:ind w:firstLine="479" w:firstLineChars="196"/>
              <w:jc w:val="left"/>
              <w:rPr>
                <w:rFonts w:hAnsi="宋体" w:cs="宋体"/>
                <w:color w:val="auto"/>
                <w:sz w:val="24"/>
                <w:highlight w:val="none"/>
              </w:rPr>
            </w:pPr>
          </w:p>
        </w:tc>
        <w:tc>
          <w:tcPr>
            <w:tcW w:w="4532" w:type="dxa"/>
          </w:tcPr>
          <w:p>
            <w:pPr>
              <w:widowControl/>
              <w:spacing w:line="360" w:lineRule="atLeast"/>
              <w:ind w:firstLine="479" w:firstLineChars="196"/>
              <w:jc w:val="left"/>
              <w:rPr>
                <w:rFonts w:hAnsi="宋体" w:cs="宋体"/>
                <w:color w:val="auto"/>
                <w:sz w:val="24"/>
                <w:highlight w:val="none"/>
              </w:rPr>
            </w:pPr>
          </w:p>
        </w:tc>
      </w:tr>
    </w:tbl>
    <w:p>
      <w:pPr>
        <w:widowControl/>
        <w:spacing w:line="360" w:lineRule="atLeast"/>
        <w:ind w:firstLine="479" w:firstLineChars="196"/>
        <w:jc w:val="left"/>
        <w:rPr>
          <w:rFonts w:hint="eastAsia" w:ascii="宋体" w:hAnsi="宋体" w:eastAsia="宋体" w:cs="宋体"/>
          <w:color w:val="auto"/>
          <w:sz w:val="24"/>
          <w:highlight w:val="none"/>
        </w:rPr>
      </w:pPr>
    </w:p>
    <w:p>
      <w:pPr>
        <w:pStyle w:val="67"/>
        <w:widowControl w:val="0"/>
        <w:tabs>
          <w:tab w:val="left" w:pos="0"/>
        </w:tabs>
        <w:autoSpaceDE w:val="0"/>
        <w:autoSpaceDN w:val="0"/>
        <w:adjustRightInd w:val="0"/>
        <w:spacing w:before="0" w:after="0" w:line="312" w:lineRule="exact"/>
        <w:ind w:left="5" w:firstLine="486" w:firstLineChars="199"/>
        <w:jc w:val="left"/>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按照第五章服务要求提供。</w:t>
      </w:r>
    </w:p>
    <w:p>
      <w:pPr>
        <w:pStyle w:val="67"/>
        <w:widowControl w:val="0"/>
        <w:tabs>
          <w:tab w:val="left" w:pos="0"/>
        </w:tabs>
        <w:autoSpaceDE w:val="0"/>
        <w:autoSpaceDN w:val="0"/>
        <w:adjustRightInd w:val="0"/>
        <w:spacing w:before="0" w:after="0" w:line="312" w:lineRule="exact"/>
        <w:ind w:left="5" w:firstLine="486" w:firstLineChars="199"/>
        <w:jc w:val="left"/>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2.不得虚假应答，否则将取消其谈判或成交资格。</w:t>
      </w:r>
    </w:p>
    <w:p>
      <w:pPr>
        <w:pStyle w:val="67"/>
        <w:widowControl w:val="0"/>
        <w:tabs>
          <w:tab w:val="left" w:pos="0"/>
        </w:tabs>
        <w:autoSpaceDE w:val="0"/>
        <w:autoSpaceDN w:val="0"/>
        <w:adjustRightInd w:val="0"/>
        <w:spacing w:before="0" w:after="0" w:line="312" w:lineRule="exact"/>
        <w:ind w:left="5" w:firstLine="486" w:firstLineChars="199"/>
        <w:jc w:val="left"/>
        <w:rPr>
          <w:rFonts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3.以上表格</w:t>
      </w:r>
      <w:r>
        <w:rPr>
          <w:rFonts w:hint="eastAsia" w:ascii="宋体" w:hAnsi="宋体" w:eastAsia="宋体" w:cs="宋体"/>
          <w:color w:val="auto"/>
          <w:sz w:val="24"/>
          <w:highlight w:val="none"/>
          <w:lang w:eastAsia="zh-CN"/>
        </w:rPr>
        <w:t>格式行、列可增减。</w:t>
      </w:r>
    </w:p>
    <w:p>
      <w:pPr>
        <w:pStyle w:val="67"/>
        <w:widowControl w:val="0"/>
        <w:tabs>
          <w:tab w:val="left" w:pos="0"/>
        </w:tabs>
        <w:autoSpaceDE w:val="0"/>
        <w:autoSpaceDN w:val="0"/>
        <w:adjustRightInd w:val="0"/>
        <w:spacing w:before="0" w:after="0" w:line="312" w:lineRule="exact"/>
        <w:ind w:left="5" w:firstLine="486" w:firstLineChars="199"/>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4.除本偏离表所列的偏离指标外，供应商其他所有条款均完全响应“谈判文件”中要求的，若未在上表中声明响应情况，视为完全响应不存在任何偏离。</w:t>
      </w:r>
    </w:p>
    <w:p>
      <w:pPr>
        <w:pStyle w:val="67"/>
        <w:widowControl w:val="0"/>
        <w:tabs>
          <w:tab w:val="left" w:pos="0"/>
        </w:tabs>
        <w:autoSpaceDE w:val="0"/>
        <w:autoSpaceDN w:val="0"/>
        <w:adjustRightInd w:val="0"/>
        <w:spacing w:before="0" w:after="0" w:line="312" w:lineRule="exact"/>
        <w:ind w:left="5" w:firstLine="486" w:firstLineChars="199"/>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特别提醒：供应商必须按照谈判文件据实填写，不得虚假应答，凡经查实，将取消其成交资格，并上报财政部门，处以采购金额5‰以上10‰以下的罚款，列入不良行为记录名单，在1-3年内禁止参加政府采购活动。</w:t>
      </w:r>
    </w:p>
    <w:p>
      <w:pPr>
        <w:widowControl/>
        <w:spacing w:line="360" w:lineRule="atLeast"/>
        <w:ind w:firstLine="980" w:firstLineChars="400"/>
        <w:jc w:val="left"/>
        <w:rPr>
          <w:rFonts w:hint="eastAsia" w:ascii="宋体" w:hAnsi="宋体" w:eastAsia="宋体" w:cs="宋体"/>
          <w:color w:val="auto"/>
          <w:sz w:val="24"/>
          <w:highlight w:val="none"/>
        </w:rPr>
      </w:pPr>
    </w:p>
    <w:p>
      <w:pPr>
        <w:widowControl/>
        <w:spacing w:line="360" w:lineRule="atLeast"/>
        <w:ind w:firstLine="479" w:firstLineChars="196"/>
        <w:jc w:val="left"/>
        <w:rPr>
          <w:rFonts w:hint="eastAsia" w:ascii="宋体" w:hAnsi="宋体" w:eastAsia="宋体" w:cs="宋体"/>
          <w:color w:val="auto"/>
          <w:sz w:val="24"/>
          <w:highlight w:val="none"/>
        </w:rPr>
      </w:pPr>
    </w:p>
    <w:p>
      <w:pPr>
        <w:widowControl/>
        <w:spacing w:line="360" w:lineRule="atLeast"/>
        <w:ind w:firstLine="479" w:firstLineChars="196"/>
        <w:jc w:val="left"/>
        <w:rPr>
          <w:rFonts w:hint="eastAsia" w:ascii="宋体" w:hAnsi="宋体" w:eastAsia="宋体" w:cs="宋体"/>
          <w:color w:val="auto"/>
          <w:sz w:val="24"/>
          <w:highlight w:val="none"/>
        </w:rPr>
      </w:pPr>
    </w:p>
    <w:p>
      <w:pPr>
        <w:widowControl/>
        <w:spacing w:line="360" w:lineRule="atLeast"/>
        <w:ind w:firstLine="479"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名称：XXXX（单位盖章）。</w:t>
      </w:r>
    </w:p>
    <w:p>
      <w:pPr>
        <w:widowControl/>
        <w:spacing w:line="360" w:lineRule="atLeast"/>
        <w:ind w:firstLine="479"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法定代表人/单位负责人或授权代表（签字或加盖个人名章）：XXXX。</w:t>
      </w:r>
    </w:p>
    <w:p>
      <w:pPr>
        <w:widowControl/>
        <w:spacing w:line="360" w:lineRule="atLeast"/>
        <w:ind w:firstLine="479"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XXXX。</w:t>
      </w:r>
    </w:p>
    <w:p>
      <w:pPr>
        <w:keepNext w:val="0"/>
        <w:keepLines w:val="0"/>
        <w:pageBreakBefore/>
        <w:widowControl/>
        <w:kinsoku/>
        <w:wordWrap/>
        <w:overflowPunct/>
        <w:topLinePunct w:val="0"/>
        <w:autoSpaceDE/>
        <w:autoSpaceDN/>
        <w:bidi w:val="0"/>
        <w:adjustRightInd/>
        <w:snapToGrid/>
        <w:spacing w:line="360" w:lineRule="atLeast"/>
        <w:ind w:firstLine="636" w:firstLineChars="196"/>
        <w:jc w:val="center"/>
        <w:textAlignment w:val="auto"/>
        <w:rPr>
          <w:rFonts w:hint="eastAsia" w:hAnsi="宋体" w:cs="宋体"/>
          <w:b/>
          <w:bCs/>
          <w:color w:val="auto"/>
          <w:kern w:val="2"/>
          <w:sz w:val="32"/>
          <w:szCs w:val="32"/>
          <w:highlight w:val="none"/>
        </w:rPr>
      </w:pPr>
      <w:r>
        <w:rPr>
          <w:rFonts w:hint="eastAsia" w:hAnsi="宋体" w:cs="宋体"/>
          <w:b/>
          <w:bCs/>
          <w:color w:val="auto"/>
          <w:sz w:val="32"/>
          <w:szCs w:val="32"/>
          <w:highlight w:val="none"/>
        </w:rPr>
        <w:t>四、</w:t>
      </w:r>
      <w:r>
        <w:rPr>
          <w:rFonts w:hint="eastAsia" w:hAnsi="宋体" w:cs="宋体"/>
          <w:b/>
          <w:bCs/>
          <w:color w:val="auto"/>
          <w:kern w:val="2"/>
          <w:sz w:val="32"/>
          <w:szCs w:val="32"/>
          <w:highlight w:val="none"/>
        </w:rPr>
        <w:t>服务方案</w:t>
      </w:r>
    </w:p>
    <w:p>
      <w:pPr>
        <w:widowControl/>
        <w:spacing w:line="360" w:lineRule="atLeast"/>
        <w:ind w:firstLine="479" w:firstLineChars="196"/>
        <w:jc w:val="left"/>
        <w:rPr>
          <w:rFonts w:hAnsi="宋体" w:cs="宋体"/>
          <w:b/>
          <w:bCs/>
          <w:color w:val="auto"/>
          <w:sz w:val="24"/>
          <w:highlight w:val="none"/>
        </w:rPr>
      </w:pPr>
      <w:r>
        <w:rPr>
          <w:rFonts w:hint="eastAsia" w:hAnsi="宋体" w:cs="宋体"/>
          <w:b/>
          <w:bCs/>
          <w:color w:val="auto"/>
          <w:sz w:val="24"/>
          <w:highlight w:val="none"/>
        </w:rPr>
        <w:t>供应商根据本项目制定服务方案格式自拟</w:t>
      </w:r>
    </w:p>
    <w:p>
      <w:pPr>
        <w:keepNext w:val="0"/>
        <w:keepLines w:val="0"/>
        <w:pageBreakBefore/>
        <w:widowControl/>
        <w:kinsoku/>
        <w:wordWrap/>
        <w:overflowPunct/>
        <w:topLinePunct w:val="0"/>
        <w:autoSpaceDE/>
        <w:autoSpaceDN/>
        <w:bidi w:val="0"/>
        <w:adjustRightInd/>
        <w:snapToGrid/>
        <w:spacing w:line="360" w:lineRule="atLeast"/>
        <w:jc w:val="center"/>
        <w:textAlignment w:val="auto"/>
        <w:outlineLvl w:val="1"/>
        <w:rPr>
          <w:rFonts w:hint="eastAsia" w:ascii="宋体" w:hAnsi="宋体" w:eastAsia="宋体" w:cs="宋体"/>
          <w:b/>
          <w:color w:val="auto"/>
          <w:sz w:val="36"/>
          <w:szCs w:val="36"/>
          <w:highlight w:val="none"/>
        </w:rPr>
      </w:pPr>
      <w:bookmarkStart w:id="222" w:name="_Toc4616499"/>
      <w:r>
        <w:rPr>
          <w:rFonts w:hint="eastAsia" w:hAnsi="宋体" w:eastAsia="宋体" w:cs="宋体"/>
          <w:b/>
          <w:color w:val="auto"/>
          <w:sz w:val="32"/>
          <w:szCs w:val="32"/>
          <w:highlight w:val="none"/>
          <w:lang w:eastAsia="zh-CN"/>
        </w:rPr>
        <w:t>五</w:t>
      </w:r>
      <w:r>
        <w:rPr>
          <w:rFonts w:hint="eastAsia" w:ascii="宋体" w:hAnsi="宋体" w:eastAsia="宋体" w:cs="宋体"/>
          <w:b/>
          <w:color w:val="auto"/>
          <w:sz w:val="32"/>
          <w:szCs w:val="32"/>
          <w:highlight w:val="none"/>
        </w:rPr>
        <w:t>、商务应答表</w:t>
      </w:r>
      <w:bookmarkEnd w:id="222"/>
    </w:p>
    <w:p>
      <w:pPr>
        <w:widowControl/>
        <w:spacing w:line="360" w:lineRule="atLeast"/>
        <w:ind w:firstLine="479" w:firstLineChars="196"/>
        <w:jc w:val="left"/>
        <w:rPr>
          <w:rFonts w:hint="eastAsia" w:ascii="宋体" w:hAnsi="宋体" w:eastAsia="宋体" w:cs="宋体"/>
          <w:b/>
          <w:color w:val="auto"/>
          <w:sz w:val="24"/>
          <w:highlight w:val="none"/>
        </w:rPr>
      </w:pPr>
    </w:p>
    <w:p>
      <w:pPr>
        <w:widowControl/>
        <w:spacing w:line="360" w:lineRule="atLeast"/>
        <w:ind w:firstLine="479"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项目编号：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687"/>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18" w:type="dxa"/>
            <w:noWrap w:val="0"/>
            <w:vAlign w:val="center"/>
          </w:tcPr>
          <w:p>
            <w:pPr>
              <w:widowControl/>
              <w:spacing w:line="360" w:lineRule="atLeas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687" w:type="dxa"/>
            <w:noWrap w:val="0"/>
            <w:vAlign w:val="center"/>
          </w:tcPr>
          <w:p>
            <w:pPr>
              <w:widowControl/>
              <w:spacing w:line="360" w:lineRule="atLeas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采购要求</w:t>
            </w:r>
          </w:p>
        </w:tc>
        <w:tc>
          <w:tcPr>
            <w:tcW w:w="3261" w:type="dxa"/>
            <w:noWrap w:val="0"/>
            <w:vAlign w:val="center"/>
          </w:tcPr>
          <w:p>
            <w:pPr>
              <w:widowControl/>
              <w:spacing w:line="360" w:lineRule="atLeast"/>
              <w:ind w:firstLine="479" w:firstLineChars="196"/>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谈判应答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18" w:type="dxa"/>
            <w:noWrap w:val="0"/>
            <w:vAlign w:val="top"/>
          </w:tcPr>
          <w:p>
            <w:pPr>
              <w:widowControl/>
              <w:spacing w:line="360" w:lineRule="atLeast"/>
              <w:ind w:firstLine="479" w:firstLineChars="196"/>
              <w:jc w:val="left"/>
              <w:rPr>
                <w:rFonts w:hint="eastAsia" w:ascii="宋体" w:hAnsi="宋体" w:eastAsia="宋体" w:cs="宋体"/>
                <w:color w:val="auto"/>
                <w:sz w:val="24"/>
                <w:highlight w:val="none"/>
              </w:rPr>
            </w:pPr>
          </w:p>
        </w:tc>
        <w:tc>
          <w:tcPr>
            <w:tcW w:w="2687" w:type="dxa"/>
            <w:noWrap w:val="0"/>
            <w:vAlign w:val="top"/>
          </w:tcPr>
          <w:p>
            <w:pPr>
              <w:widowControl/>
              <w:spacing w:line="360" w:lineRule="atLeast"/>
              <w:ind w:firstLine="479" w:firstLineChars="196"/>
              <w:jc w:val="left"/>
              <w:rPr>
                <w:rFonts w:hint="eastAsia" w:ascii="宋体" w:hAnsi="宋体" w:eastAsia="宋体" w:cs="宋体"/>
                <w:color w:val="auto"/>
                <w:sz w:val="24"/>
                <w:highlight w:val="none"/>
              </w:rPr>
            </w:pPr>
          </w:p>
        </w:tc>
        <w:tc>
          <w:tcPr>
            <w:tcW w:w="3261" w:type="dxa"/>
            <w:noWrap w:val="0"/>
            <w:vAlign w:val="top"/>
          </w:tcPr>
          <w:p>
            <w:pPr>
              <w:widowControl/>
              <w:spacing w:line="360" w:lineRule="atLeast"/>
              <w:ind w:firstLine="479" w:firstLineChars="196"/>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18" w:type="dxa"/>
            <w:noWrap w:val="0"/>
            <w:vAlign w:val="top"/>
          </w:tcPr>
          <w:p>
            <w:pPr>
              <w:widowControl/>
              <w:spacing w:line="360" w:lineRule="atLeast"/>
              <w:ind w:firstLine="479" w:firstLineChars="196"/>
              <w:jc w:val="left"/>
              <w:rPr>
                <w:rFonts w:hint="eastAsia" w:ascii="宋体" w:hAnsi="宋体" w:eastAsia="宋体" w:cs="宋体"/>
                <w:color w:val="auto"/>
                <w:sz w:val="24"/>
                <w:highlight w:val="none"/>
              </w:rPr>
            </w:pPr>
          </w:p>
        </w:tc>
        <w:tc>
          <w:tcPr>
            <w:tcW w:w="2687" w:type="dxa"/>
            <w:noWrap w:val="0"/>
            <w:vAlign w:val="top"/>
          </w:tcPr>
          <w:p>
            <w:pPr>
              <w:widowControl/>
              <w:spacing w:line="360" w:lineRule="atLeast"/>
              <w:ind w:firstLine="479" w:firstLineChars="196"/>
              <w:jc w:val="left"/>
              <w:rPr>
                <w:rFonts w:hint="eastAsia" w:ascii="宋体" w:hAnsi="宋体" w:eastAsia="宋体" w:cs="宋体"/>
                <w:color w:val="auto"/>
                <w:sz w:val="24"/>
                <w:highlight w:val="none"/>
              </w:rPr>
            </w:pPr>
          </w:p>
        </w:tc>
        <w:tc>
          <w:tcPr>
            <w:tcW w:w="3261" w:type="dxa"/>
            <w:noWrap w:val="0"/>
            <w:vAlign w:val="top"/>
          </w:tcPr>
          <w:p>
            <w:pPr>
              <w:widowControl/>
              <w:spacing w:line="360" w:lineRule="atLeast"/>
              <w:ind w:firstLine="479" w:firstLineChars="196"/>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18" w:type="dxa"/>
            <w:noWrap w:val="0"/>
            <w:vAlign w:val="top"/>
          </w:tcPr>
          <w:p>
            <w:pPr>
              <w:widowControl/>
              <w:spacing w:line="360" w:lineRule="atLeast"/>
              <w:ind w:firstLine="479" w:firstLineChars="196"/>
              <w:jc w:val="left"/>
              <w:rPr>
                <w:rFonts w:hint="eastAsia" w:ascii="宋体" w:hAnsi="宋体" w:eastAsia="宋体" w:cs="宋体"/>
                <w:color w:val="auto"/>
                <w:sz w:val="24"/>
                <w:highlight w:val="none"/>
              </w:rPr>
            </w:pPr>
          </w:p>
        </w:tc>
        <w:tc>
          <w:tcPr>
            <w:tcW w:w="2687" w:type="dxa"/>
            <w:noWrap w:val="0"/>
            <w:vAlign w:val="top"/>
          </w:tcPr>
          <w:p>
            <w:pPr>
              <w:widowControl/>
              <w:spacing w:line="360" w:lineRule="atLeast"/>
              <w:ind w:firstLine="479" w:firstLineChars="196"/>
              <w:jc w:val="left"/>
              <w:rPr>
                <w:rFonts w:hint="eastAsia" w:ascii="宋体" w:hAnsi="宋体" w:eastAsia="宋体" w:cs="宋体"/>
                <w:color w:val="auto"/>
                <w:sz w:val="24"/>
                <w:highlight w:val="none"/>
              </w:rPr>
            </w:pPr>
          </w:p>
        </w:tc>
        <w:tc>
          <w:tcPr>
            <w:tcW w:w="3261" w:type="dxa"/>
            <w:noWrap w:val="0"/>
            <w:vAlign w:val="top"/>
          </w:tcPr>
          <w:p>
            <w:pPr>
              <w:widowControl/>
              <w:spacing w:line="360" w:lineRule="atLeast"/>
              <w:ind w:firstLine="479" w:firstLineChars="196"/>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18" w:type="dxa"/>
            <w:noWrap w:val="0"/>
            <w:vAlign w:val="top"/>
          </w:tcPr>
          <w:p>
            <w:pPr>
              <w:widowControl/>
              <w:spacing w:line="360" w:lineRule="atLeast"/>
              <w:ind w:firstLine="479" w:firstLineChars="196"/>
              <w:jc w:val="left"/>
              <w:rPr>
                <w:rFonts w:hint="eastAsia" w:ascii="宋体" w:hAnsi="宋体" w:eastAsia="宋体" w:cs="宋体"/>
                <w:color w:val="auto"/>
                <w:sz w:val="24"/>
                <w:highlight w:val="none"/>
              </w:rPr>
            </w:pPr>
          </w:p>
        </w:tc>
        <w:tc>
          <w:tcPr>
            <w:tcW w:w="2687" w:type="dxa"/>
            <w:noWrap w:val="0"/>
            <w:vAlign w:val="top"/>
          </w:tcPr>
          <w:p>
            <w:pPr>
              <w:widowControl/>
              <w:spacing w:line="360" w:lineRule="atLeast"/>
              <w:ind w:firstLine="479" w:firstLineChars="196"/>
              <w:jc w:val="left"/>
              <w:rPr>
                <w:rFonts w:hint="eastAsia" w:ascii="宋体" w:hAnsi="宋体" w:eastAsia="宋体" w:cs="宋体"/>
                <w:color w:val="auto"/>
                <w:sz w:val="24"/>
                <w:highlight w:val="none"/>
              </w:rPr>
            </w:pPr>
          </w:p>
        </w:tc>
        <w:tc>
          <w:tcPr>
            <w:tcW w:w="3261" w:type="dxa"/>
            <w:noWrap w:val="0"/>
            <w:vAlign w:val="top"/>
          </w:tcPr>
          <w:p>
            <w:pPr>
              <w:widowControl/>
              <w:spacing w:line="360" w:lineRule="atLeast"/>
              <w:ind w:firstLine="479" w:firstLineChars="196"/>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18" w:type="dxa"/>
            <w:noWrap w:val="0"/>
            <w:vAlign w:val="top"/>
          </w:tcPr>
          <w:p>
            <w:pPr>
              <w:widowControl/>
              <w:spacing w:line="360" w:lineRule="atLeast"/>
              <w:ind w:firstLine="479" w:firstLineChars="196"/>
              <w:jc w:val="left"/>
              <w:rPr>
                <w:rFonts w:hint="eastAsia" w:ascii="宋体" w:hAnsi="宋体" w:eastAsia="宋体" w:cs="宋体"/>
                <w:color w:val="auto"/>
                <w:sz w:val="24"/>
                <w:highlight w:val="none"/>
              </w:rPr>
            </w:pPr>
          </w:p>
        </w:tc>
        <w:tc>
          <w:tcPr>
            <w:tcW w:w="2687" w:type="dxa"/>
            <w:noWrap w:val="0"/>
            <w:vAlign w:val="top"/>
          </w:tcPr>
          <w:p>
            <w:pPr>
              <w:widowControl/>
              <w:spacing w:line="360" w:lineRule="atLeast"/>
              <w:ind w:firstLine="479" w:firstLineChars="196"/>
              <w:jc w:val="left"/>
              <w:rPr>
                <w:rFonts w:hint="eastAsia" w:ascii="宋体" w:hAnsi="宋体" w:eastAsia="宋体" w:cs="宋体"/>
                <w:color w:val="auto"/>
                <w:sz w:val="24"/>
                <w:highlight w:val="none"/>
              </w:rPr>
            </w:pPr>
          </w:p>
        </w:tc>
        <w:tc>
          <w:tcPr>
            <w:tcW w:w="3261" w:type="dxa"/>
            <w:noWrap w:val="0"/>
            <w:vAlign w:val="top"/>
          </w:tcPr>
          <w:p>
            <w:pPr>
              <w:widowControl/>
              <w:spacing w:line="360" w:lineRule="atLeast"/>
              <w:ind w:firstLine="479" w:firstLineChars="196"/>
              <w:jc w:val="left"/>
              <w:rPr>
                <w:rFonts w:hint="eastAsia" w:ascii="宋体" w:hAnsi="宋体" w:eastAsia="宋体" w:cs="宋体"/>
                <w:color w:val="auto"/>
                <w:sz w:val="24"/>
                <w:highlight w:val="none"/>
              </w:rPr>
            </w:pPr>
          </w:p>
        </w:tc>
      </w:tr>
    </w:tbl>
    <w:p>
      <w:pPr>
        <w:widowControl/>
        <w:spacing w:line="360" w:lineRule="atLeast"/>
        <w:jc w:val="left"/>
        <w:rPr>
          <w:rFonts w:hint="eastAsia" w:ascii="宋体" w:hAnsi="宋体" w:eastAsia="宋体" w:cs="宋体"/>
          <w:color w:val="auto"/>
          <w:sz w:val="24"/>
          <w:highlight w:val="none"/>
        </w:rPr>
      </w:pPr>
    </w:p>
    <w:p>
      <w:pPr>
        <w:widowControl/>
        <w:spacing w:line="360" w:lineRule="atLeast"/>
        <w:ind w:firstLine="479"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注：1.本表可只填写</w:t>
      </w:r>
      <w:r>
        <w:rPr>
          <w:rFonts w:hint="eastAsia" w:hAnsi="宋体" w:eastAsia="宋体" w:cs="宋体"/>
          <w:color w:val="auto"/>
          <w:sz w:val="24"/>
          <w:highlight w:val="none"/>
          <w:lang w:eastAsia="zh-CN"/>
        </w:rPr>
        <w:t>响应</w:t>
      </w:r>
      <w:r>
        <w:rPr>
          <w:rFonts w:hint="eastAsia" w:ascii="宋体" w:hAnsi="宋体" w:eastAsia="宋体" w:cs="宋体"/>
          <w:color w:val="auto"/>
          <w:sz w:val="24"/>
          <w:highlight w:val="none"/>
        </w:rPr>
        <w:t>文件中与采购文件有偏离（包括正偏离）的内容，</w:t>
      </w:r>
      <w:r>
        <w:rPr>
          <w:rFonts w:hint="eastAsia" w:hAnsi="宋体" w:eastAsia="宋体" w:cs="宋体"/>
          <w:color w:val="auto"/>
          <w:sz w:val="24"/>
          <w:highlight w:val="none"/>
          <w:lang w:eastAsia="zh-CN"/>
        </w:rPr>
        <w:t>响应</w:t>
      </w:r>
      <w:r>
        <w:rPr>
          <w:rFonts w:hint="eastAsia" w:ascii="宋体" w:hAnsi="宋体" w:eastAsia="宋体" w:cs="宋体"/>
          <w:color w:val="auto"/>
          <w:sz w:val="24"/>
          <w:highlight w:val="none"/>
        </w:rPr>
        <w:t>文件中商务条款响应与采购文件要求完全一致的，可以不用在此表中列出。</w:t>
      </w:r>
    </w:p>
    <w:p>
      <w:pPr>
        <w:widowControl/>
        <w:spacing w:line="360" w:lineRule="atLeast"/>
        <w:ind w:firstLine="479"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2.如供应商有任何偏离的条款，必须在</w:t>
      </w:r>
      <w:r>
        <w:rPr>
          <w:rFonts w:hint="eastAsia" w:hAnsi="宋体" w:eastAsia="宋体" w:cs="宋体"/>
          <w:color w:val="auto"/>
          <w:sz w:val="24"/>
          <w:highlight w:val="none"/>
          <w:lang w:eastAsia="zh-CN"/>
        </w:rPr>
        <w:t>响应</w:t>
      </w:r>
      <w:r>
        <w:rPr>
          <w:rFonts w:hint="eastAsia" w:ascii="宋体" w:hAnsi="宋体" w:eastAsia="宋体" w:cs="宋体"/>
          <w:color w:val="auto"/>
          <w:sz w:val="24"/>
          <w:highlight w:val="none"/>
        </w:rPr>
        <w:t>文件中对偏离条款进行逐条应答。供应商未明确表明是否偏离的条款，均视为完全满足。若供应商存在对采购文件条款不满足的同时又不在本表中进行体现，将被视为提供虚假材料谋取中标。</w:t>
      </w:r>
    </w:p>
    <w:p>
      <w:pPr>
        <w:widowControl/>
        <w:spacing w:line="360" w:lineRule="atLeast"/>
        <w:ind w:firstLine="479"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3.以上表格格式行、列可增减。</w:t>
      </w:r>
    </w:p>
    <w:p>
      <w:pPr>
        <w:widowControl/>
        <w:spacing w:line="360" w:lineRule="atLeast"/>
        <w:ind w:firstLine="479"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4.特别提醒：供应商不得虚假应答，凡经查实，将取消其中标资格，并上报财政部门，处以采购金额5‰以上10‰以下的罚款，列入不良行为记录名单，在1-3年内禁止参加政府采购活动。</w:t>
      </w:r>
    </w:p>
    <w:p>
      <w:pPr>
        <w:widowControl/>
        <w:spacing w:line="360" w:lineRule="atLeast"/>
        <w:ind w:firstLine="479" w:firstLineChars="196"/>
        <w:jc w:val="left"/>
        <w:rPr>
          <w:rFonts w:hint="eastAsia" w:ascii="宋体" w:hAnsi="宋体" w:eastAsia="宋体" w:cs="宋体"/>
          <w:color w:val="auto"/>
          <w:sz w:val="24"/>
          <w:highlight w:val="none"/>
        </w:rPr>
      </w:pPr>
    </w:p>
    <w:p>
      <w:pPr>
        <w:widowControl/>
        <w:spacing w:line="360" w:lineRule="atLeast"/>
        <w:ind w:firstLine="479"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供应商名称：XXXX（单位盖章）。</w:t>
      </w:r>
    </w:p>
    <w:p>
      <w:pPr>
        <w:widowControl/>
        <w:spacing w:line="360" w:lineRule="atLeast"/>
        <w:ind w:firstLine="49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XXXX。</w:t>
      </w:r>
    </w:p>
    <w:p>
      <w:pPr>
        <w:jc w:val="center"/>
        <w:outlineLvl w:val="1"/>
        <w:rPr>
          <w:rFonts w:hint="eastAsia" w:ascii="宋体" w:hAnsi="宋体" w:eastAsia="宋体" w:cs="宋体"/>
          <w:b/>
          <w:bCs/>
          <w:color w:val="auto"/>
          <w:sz w:val="28"/>
          <w:szCs w:val="28"/>
          <w:highlight w:val="none"/>
        </w:rPr>
      </w:pPr>
      <w:bookmarkStart w:id="223" w:name="_Toc4616500"/>
      <w:r>
        <w:rPr>
          <w:rFonts w:hint="eastAsia" w:hAnsi="宋体" w:eastAsia="宋体" w:cs="宋体"/>
          <w:b/>
          <w:color w:val="auto"/>
          <w:sz w:val="32"/>
          <w:szCs w:val="32"/>
          <w:highlight w:val="none"/>
          <w:lang w:eastAsia="zh-CN"/>
        </w:rPr>
        <w:t>六</w:t>
      </w:r>
      <w:r>
        <w:rPr>
          <w:rFonts w:hint="eastAsia" w:ascii="宋体" w:hAnsi="宋体" w:eastAsia="宋体" w:cs="宋体"/>
          <w:b/>
          <w:color w:val="auto"/>
          <w:sz w:val="32"/>
          <w:szCs w:val="32"/>
          <w:highlight w:val="none"/>
        </w:rPr>
        <w:t>、</w:t>
      </w:r>
      <w:bookmarkStart w:id="224" w:name="_Toc27383"/>
      <w:bookmarkStart w:id="225" w:name="_Toc29240"/>
      <w:r>
        <w:rPr>
          <w:rFonts w:hint="eastAsia" w:ascii="宋体" w:hAnsi="宋体" w:eastAsia="宋体" w:cs="宋体"/>
          <w:b/>
          <w:color w:val="auto"/>
          <w:sz w:val="32"/>
          <w:szCs w:val="32"/>
          <w:highlight w:val="none"/>
        </w:rPr>
        <w:t>初始报价表</w:t>
      </w:r>
      <w:bookmarkEnd w:id="223"/>
      <w:bookmarkEnd w:id="224"/>
      <w:bookmarkEnd w:id="225"/>
    </w:p>
    <w:p>
      <w:pPr>
        <w:spacing w:line="400" w:lineRule="exact"/>
        <w:jc w:val="left"/>
        <w:rPr>
          <w:rFonts w:hint="eastAsia" w:ascii="宋体" w:hAnsi="宋体" w:eastAsia="宋体" w:cs="宋体"/>
          <w:color w:val="auto"/>
          <w:sz w:val="24"/>
          <w:highlight w:val="none"/>
        </w:rPr>
      </w:pPr>
    </w:p>
    <w:tbl>
      <w:tblPr>
        <w:tblStyle w:val="30"/>
        <w:tblW w:w="0" w:type="auto"/>
        <w:jc w:val="center"/>
        <w:tblLayout w:type="fixed"/>
        <w:tblCellMar>
          <w:top w:w="0" w:type="dxa"/>
          <w:left w:w="108" w:type="dxa"/>
          <w:bottom w:w="0" w:type="dxa"/>
          <w:right w:w="108" w:type="dxa"/>
        </w:tblCellMar>
      </w:tblPr>
      <w:tblGrid>
        <w:gridCol w:w="819"/>
        <w:gridCol w:w="1354"/>
        <w:gridCol w:w="719"/>
        <w:gridCol w:w="2282"/>
        <w:gridCol w:w="4310"/>
      </w:tblGrid>
      <w:tr>
        <w:tblPrEx>
          <w:tblCellMar>
            <w:top w:w="0" w:type="dxa"/>
            <w:left w:w="108" w:type="dxa"/>
            <w:bottom w:w="0" w:type="dxa"/>
            <w:right w:w="108" w:type="dxa"/>
          </w:tblCellMar>
        </w:tblPrEx>
        <w:trPr>
          <w:trHeight w:val="506" w:hRule="atLeast"/>
          <w:jc w:val="center"/>
        </w:trPr>
        <w:tc>
          <w:tcPr>
            <w:tcW w:w="2892"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s="宋体"/>
                <w:bCs/>
                <w:color w:val="auto"/>
                <w:sz w:val="24"/>
                <w:highlight w:val="none"/>
              </w:rPr>
            </w:pPr>
            <w:r>
              <w:rPr>
                <w:rFonts w:hint="eastAsia" w:hAnsi="宋体" w:cs="宋体"/>
                <w:bCs/>
                <w:color w:val="auto"/>
                <w:sz w:val="24"/>
                <w:highlight w:val="none"/>
              </w:rPr>
              <w:t>项目名称</w:t>
            </w:r>
          </w:p>
        </w:tc>
        <w:tc>
          <w:tcPr>
            <w:tcW w:w="6592" w:type="dxa"/>
            <w:gridSpan w:val="2"/>
            <w:tcBorders>
              <w:top w:val="single" w:color="auto" w:sz="4" w:space="0"/>
              <w:left w:val="nil"/>
              <w:bottom w:val="single" w:color="auto" w:sz="4" w:space="0"/>
              <w:right w:val="single" w:color="auto" w:sz="4" w:space="0"/>
            </w:tcBorders>
            <w:vAlign w:val="center"/>
          </w:tcPr>
          <w:p>
            <w:pPr>
              <w:rPr>
                <w:rFonts w:hAnsi="宋体" w:cs="宋体"/>
                <w:bCs/>
                <w:color w:val="auto"/>
                <w:sz w:val="24"/>
                <w:highlight w:val="none"/>
              </w:rPr>
            </w:pPr>
          </w:p>
        </w:tc>
      </w:tr>
      <w:tr>
        <w:tblPrEx>
          <w:tblCellMar>
            <w:top w:w="0" w:type="dxa"/>
            <w:left w:w="108" w:type="dxa"/>
            <w:bottom w:w="0" w:type="dxa"/>
            <w:right w:w="108" w:type="dxa"/>
          </w:tblCellMar>
        </w:tblPrEx>
        <w:trPr>
          <w:trHeight w:val="443" w:hRule="atLeast"/>
          <w:jc w:val="center"/>
        </w:trPr>
        <w:tc>
          <w:tcPr>
            <w:tcW w:w="2892"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s="宋体"/>
                <w:bCs/>
                <w:color w:val="auto"/>
                <w:sz w:val="24"/>
                <w:highlight w:val="none"/>
              </w:rPr>
            </w:pPr>
            <w:r>
              <w:rPr>
                <w:rFonts w:hint="eastAsia" w:hAnsi="宋体" w:cs="宋体"/>
                <w:bCs/>
                <w:color w:val="auto"/>
                <w:sz w:val="24"/>
                <w:highlight w:val="none"/>
              </w:rPr>
              <w:t>项目编号</w:t>
            </w:r>
          </w:p>
        </w:tc>
        <w:tc>
          <w:tcPr>
            <w:tcW w:w="6592" w:type="dxa"/>
            <w:gridSpan w:val="2"/>
            <w:tcBorders>
              <w:top w:val="single" w:color="auto" w:sz="4" w:space="0"/>
              <w:left w:val="nil"/>
              <w:bottom w:val="single" w:color="auto" w:sz="4" w:space="0"/>
              <w:right w:val="single" w:color="auto" w:sz="4" w:space="0"/>
            </w:tcBorders>
            <w:vAlign w:val="center"/>
          </w:tcPr>
          <w:p>
            <w:pPr>
              <w:rPr>
                <w:rFonts w:hAnsi="宋体" w:cs="宋体"/>
                <w:bCs/>
                <w:color w:val="auto"/>
                <w:sz w:val="24"/>
                <w:highlight w:val="none"/>
              </w:rPr>
            </w:pPr>
          </w:p>
        </w:tc>
      </w:tr>
      <w:tr>
        <w:tblPrEx>
          <w:tblCellMar>
            <w:top w:w="0" w:type="dxa"/>
            <w:left w:w="108" w:type="dxa"/>
            <w:bottom w:w="0" w:type="dxa"/>
            <w:right w:w="108" w:type="dxa"/>
          </w:tblCellMar>
        </w:tblPrEx>
        <w:trPr>
          <w:trHeight w:val="960" w:hRule="atLeast"/>
          <w:jc w:val="center"/>
        </w:trPr>
        <w:tc>
          <w:tcPr>
            <w:tcW w:w="819" w:type="dxa"/>
            <w:tcBorders>
              <w:top w:val="nil"/>
              <w:left w:val="single" w:color="auto" w:sz="4" w:space="0"/>
              <w:bottom w:val="single" w:color="auto" w:sz="4" w:space="0"/>
              <w:right w:val="single" w:color="auto" w:sz="4" w:space="0"/>
            </w:tcBorders>
            <w:vAlign w:val="center"/>
          </w:tcPr>
          <w:p>
            <w:pPr>
              <w:jc w:val="center"/>
              <w:rPr>
                <w:rFonts w:hAnsi="宋体" w:cs="宋体"/>
                <w:bCs/>
                <w:color w:val="auto"/>
                <w:sz w:val="24"/>
                <w:highlight w:val="none"/>
              </w:rPr>
            </w:pPr>
            <w:r>
              <w:rPr>
                <w:rFonts w:hint="eastAsia" w:hAnsi="宋体" w:cs="宋体"/>
                <w:bCs/>
                <w:color w:val="auto"/>
                <w:sz w:val="24"/>
                <w:highlight w:val="none"/>
              </w:rPr>
              <w:t>序号</w:t>
            </w:r>
          </w:p>
        </w:tc>
        <w:tc>
          <w:tcPr>
            <w:tcW w:w="4355" w:type="dxa"/>
            <w:gridSpan w:val="3"/>
            <w:tcBorders>
              <w:top w:val="nil"/>
              <w:left w:val="nil"/>
              <w:bottom w:val="single" w:color="auto" w:sz="4" w:space="0"/>
              <w:right w:val="single" w:color="auto" w:sz="4" w:space="0"/>
            </w:tcBorders>
            <w:vAlign w:val="center"/>
          </w:tcPr>
          <w:p>
            <w:pPr>
              <w:jc w:val="center"/>
              <w:rPr>
                <w:rFonts w:hAnsi="宋体" w:cs="宋体"/>
                <w:bCs/>
                <w:color w:val="auto"/>
                <w:sz w:val="24"/>
                <w:highlight w:val="none"/>
              </w:rPr>
            </w:pPr>
            <w:r>
              <w:rPr>
                <w:rFonts w:hint="eastAsia" w:hAnsi="宋体" w:cs="宋体"/>
                <w:bCs/>
                <w:color w:val="auto"/>
                <w:sz w:val="24"/>
                <w:highlight w:val="none"/>
              </w:rPr>
              <w:t>服务内容</w:t>
            </w:r>
          </w:p>
        </w:tc>
        <w:tc>
          <w:tcPr>
            <w:tcW w:w="4310" w:type="dxa"/>
            <w:tcBorders>
              <w:top w:val="nil"/>
              <w:left w:val="nil"/>
              <w:bottom w:val="single" w:color="auto" w:sz="4" w:space="0"/>
              <w:right w:val="single" w:color="auto" w:sz="4" w:space="0"/>
            </w:tcBorders>
            <w:vAlign w:val="center"/>
          </w:tcPr>
          <w:p>
            <w:pPr>
              <w:jc w:val="center"/>
              <w:rPr>
                <w:rFonts w:hAnsi="宋体" w:cs="宋体"/>
                <w:bCs/>
                <w:color w:val="auto"/>
                <w:sz w:val="24"/>
                <w:highlight w:val="none"/>
              </w:rPr>
            </w:pPr>
            <w:r>
              <w:rPr>
                <w:rFonts w:hint="eastAsia" w:hAnsi="宋体" w:cs="宋体"/>
                <w:bCs/>
                <w:color w:val="auto"/>
                <w:sz w:val="24"/>
                <w:highlight w:val="none"/>
              </w:rPr>
              <w:t>服务期限</w:t>
            </w:r>
          </w:p>
        </w:tc>
      </w:tr>
      <w:tr>
        <w:tblPrEx>
          <w:tblCellMar>
            <w:top w:w="0" w:type="dxa"/>
            <w:left w:w="108" w:type="dxa"/>
            <w:bottom w:w="0" w:type="dxa"/>
            <w:right w:w="108" w:type="dxa"/>
          </w:tblCellMar>
        </w:tblPrEx>
        <w:trPr>
          <w:trHeight w:val="816" w:hRule="atLeast"/>
          <w:jc w:val="center"/>
        </w:trPr>
        <w:tc>
          <w:tcPr>
            <w:tcW w:w="819" w:type="dxa"/>
            <w:tcBorders>
              <w:top w:val="nil"/>
              <w:left w:val="single" w:color="auto" w:sz="4" w:space="0"/>
              <w:bottom w:val="single" w:color="auto" w:sz="4" w:space="0"/>
              <w:right w:val="single" w:color="auto" w:sz="4" w:space="0"/>
            </w:tcBorders>
            <w:vAlign w:val="center"/>
          </w:tcPr>
          <w:p>
            <w:pPr>
              <w:jc w:val="center"/>
              <w:rPr>
                <w:rFonts w:hAnsi="宋体" w:cs="宋体"/>
                <w:bCs/>
                <w:color w:val="auto"/>
                <w:sz w:val="24"/>
                <w:highlight w:val="none"/>
              </w:rPr>
            </w:pPr>
            <w:r>
              <w:rPr>
                <w:rFonts w:hint="eastAsia" w:hAnsi="宋体" w:cs="宋体"/>
                <w:bCs/>
                <w:color w:val="auto"/>
                <w:sz w:val="24"/>
                <w:highlight w:val="none"/>
              </w:rPr>
              <w:t>1</w:t>
            </w:r>
          </w:p>
        </w:tc>
        <w:tc>
          <w:tcPr>
            <w:tcW w:w="4355" w:type="dxa"/>
            <w:gridSpan w:val="3"/>
            <w:tcBorders>
              <w:top w:val="nil"/>
              <w:left w:val="nil"/>
              <w:bottom w:val="single" w:color="auto" w:sz="4" w:space="0"/>
              <w:right w:val="single" w:color="auto" w:sz="4" w:space="0"/>
            </w:tcBorders>
            <w:vAlign w:val="center"/>
          </w:tcPr>
          <w:p>
            <w:pPr>
              <w:jc w:val="center"/>
              <w:rPr>
                <w:rFonts w:hAnsi="宋体" w:cs="宋体"/>
                <w:bCs/>
                <w:color w:val="auto"/>
                <w:sz w:val="24"/>
                <w:szCs w:val="24"/>
                <w:highlight w:val="none"/>
              </w:rPr>
            </w:pPr>
          </w:p>
        </w:tc>
        <w:tc>
          <w:tcPr>
            <w:tcW w:w="4310" w:type="dxa"/>
            <w:tcBorders>
              <w:top w:val="nil"/>
              <w:left w:val="nil"/>
              <w:bottom w:val="single" w:color="auto" w:sz="4" w:space="0"/>
              <w:right w:val="single" w:color="auto" w:sz="4" w:space="0"/>
            </w:tcBorders>
            <w:vAlign w:val="center"/>
          </w:tcPr>
          <w:p>
            <w:pPr>
              <w:widowControl/>
              <w:spacing w:line="360" w:lineRule="auto"/>
              <w:jc w:val="center"/>
              <w:rPr>
                <w:rFonts w:hAnsi="宋体" w:cs="宋体"/>
                <w:bCs/>
                <w:color w:val="auto"/>
                <w:sz w:val="24"/>
                <w:highlight w:val="none"/>
              </w:rPr>
            </w:pPr>
          </w:p>
        </w:tc>
      </w:tr>
      <w:tr>
        <w:tblPrEx>
          <w:tblCellMar>
            <w:top w:w="0" w:type="dxa"/>
            <w:left w:w="108" w:type="dxa"/>
            <w:bottom w:w="0" w:type="dxa"/>
            <w:right w:w="108" w:type="dxa"/>
          </w:tblCellMar>
        </w:tblPrEx>
        <w:trPr>
          <w:trHeight w:val="1271" w:hRule="atLeast"/>
          <w:jc w:val="center"/>
        </w:trPr>
        <w:tc>
          <w:tcPr>
            <w:tcW w:w="2173"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24"/>
                <w:highlight w:val="none"/>
              </w:rPr>
            </w:pPr>
            <w:r>
              <w:rPr>
                <w:rFonts w:hint="eastAsia" w:hAnsi="宋体" w:eastAsia="宋体" w:cs="宋体"/>
                <w:bCs/>
                <w:color w:val="auto"/>
                <w:sz w:val="24"/>
                <w:highlight w:val="none"/>
                <w:lang w:eastAsia="zh-CN"/>
              </w:rPr>
              <w:t>谈判</w:t>
            </w:r>
            <w:r>
              <w:rPr>
                <w:rFonts w:hint="eastAsia" w:hAnsi="宋体" w:cs="宋体"/>
                <w:bCs/>
                <w:color w:val="auto"/>
                <w:sz w:val="24"/>
                <w:highlight w:val="none"/>
              </w:rPr>
              <w:t>总价</w:t>
            </w:r>
          </w:p>
        </w:tc>
        <w:tc>
          <w:tcPr>
            <w:tcW w:w="7311" w:type="dxa"/>
            <w:gridSpan w:val="3"/>
            <w:tcBorders>
              <w:top w:val="single" w:color="auto" w:sz="4" w:space="0"/>
              <w:left w:val="nil"/>
              <w:bottom w:val="single" w:color="auto" w:sz="4" w:space="0"/>
              <w:right w:val="single" w:color="auto" w:sz="4" w:space="0"/>
            </w:tcBorders>
            <w:vAlign w:val="center"/>
          </w:tcPr>
          <w:p>
            <w:pPr>
              <w:rPr>
                <w:rFonts w:hAnsi="宋体" w:cs="宋体"/>
                <w:b/>
                <w:color w:val="auto"/>
                <w:sz w:val="24"/>
                <w:highlight w:val="none"/>
              </w:rPr>
            </w:pPr>
            <w:r>
              <w:rPr>
                <w:rFonts w:hint="eastAsia" w:hAnsi="宋体" w:cs="宋体"/>
                <w:b/>
                <w:bCs/>
                <w:color w:val="auto"/>
                <w:sz w:val="24"/>
                <w:highlight w:val="none"/>
              </w:rPr>
              <w:t>人民币大写：             元   （小写：           ）</w:t>
            </w:r>
          </w:p>
        </w:tc>
      </w:tr>
    </w:tbl>
    <w:p>
      <w:pPr>
        <w:spacing w:line="400" w:lineRule="exact"/>
        <w:jc w:val="left"/>
        <w:rPr>
          <w:rFonts w:hint="eastAsia" w:ascii="宋体" w:hAnsi="宋体" w:eastAsia="宋体" w:cs="宋体"/>
          <w:color w:val="auto"/>
          <w:sz w:val="24"/>
          <w:highlight w:val="none"/>
        </w:rPr>
      </w:pPr>
    </w:p>
    <w:p>
      <w:pPr>
        <w:spacing w:line="400" w:lineRule="exact"/>
        <w:ind w:firstLine="245"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其他需要承诺的事宜；</w:t>
      </w:r>
    </w:p>
    <w:p>
      <w:pPr>
        <w:spacing w:line="400" w:lineRule="exact"/>
        <w:ind w:firstLine="735" w:firstLineChars="3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zh-CN"/>
        </w:rPr>
        <w:t>此表作为</w:t>
      </w:r>
      <w:r>
        <w:rPr>
          <w:rFonts w:hint="eastAsia" w:ascii="宋体" w:hAnsi="宋体" w:eastAsia="宋体" w:cs="宋体"/>
          <w:b/>
          <w:bCs/>
          <w:color w:val="auto"/>
          <w:sz w:val="24"/>
          <w:szCs w:val="24"/>
          <w:highlight w:val="none"/>
        </w:rPr>
        <w:t>第一轮报价，在响应文件中提供。</w:t>
      </w:r>
    </w:p>
    <w:p>
      <w:pPr>
        <w:spacing w:line="400" w:lineRule="exact"/>
        <w:ind w:firstLine="735"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3、报价应包括响应文件规定的全部内容。</w:t>
      </w:r>
    </w:p>
    <w:p>
      <w:pPr>
        <w:pStyle w:val="6"/>
        <w:ind w:firstLine="430"/>
        <w:rPr>
          <w:rFonts w:hint="eastAsia" w:ascii="宋体" w:hAnsi="宋体" w:eastAsia="宋体" w:cs="宋体"/>
          <w:color w:val="auto"/>
          <w:highlight w:val="none"/>
        </w:rPr>
      </w:pPr>
    </w:p>
    <w:p>
      <w:pPr>
        <w:spacing w:line="400" w:lineRule="exact"/>
        <w:ind w:firstLine="49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bookmarkStart w:id="226" w:name="_Toc363717111"/>
      <w:bookmarkEnd w:id="226"/>
      <w:bookmarkStart w:id="227" w:name="_Toc365309132"/>
      <w:bookmarkEnd w:id="227"/>
      <w:bookmarkStart w:id="228" w:name="_Toc343514659"/>
      <w:bookmarkEnd w:id="228"/>
      <w:bookmarkStart w:id="229" w:name="_Toc217446089"/>
      <w:bookmarkEnd w:id="229"/>
      <w:bookmarkStart w:id="230" w:name="_Toc317509433"/>
      <w:bookmarkEnd w:id="230"/>
      <w:bookmarkStart w:id="231" w:name="_Toc343514501"/>
      <w:bookmarkEnd w:id="231"/>
    </w:p>
    <w:p>
      <w:pPr>
        <w:jc w:val="center"/>
        <w:rPr>
          <w:rFonts w:hint="eastAsia" w:ascii="宋体" w:hAnsi="宋体" w:eastAsia="宋体" w:cs="宋体"/>
          <w:color w:val="auto"/>
          <w:sz w:val="28"/>
          <w:szCs w:val="28"/>
          <w:highlight w:val="none"/>
        </w:rPr>
      </w:pPr>
    </w:p>
    <w:p>
      <w:pPr>
        <w:spacing w:line="400" w:lineRule="exact"/>
        <w:ind w:firstLine="4655" w:firstLineChars="19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法定代表/单位负责人或授权代表签字：</w:t>
      </w:r>
    </w:p>
    <w:p>
      <w:pPr>
        <w:spacing w:line="400" w:lineRule="exact"/>
        <w:ind w:firstLine="490" w:firstLineChars="200"/>
        <w:jc w:val="left"/>
        <w:rPr>
          <w:rFonts w:hint="eastAsia" w:ascii="宋体" w:hAnsi="宋体" w:eastAsia="宋体" w:cs="宋体"/>
          <w:color w:val="auto"/>
          <w:sz w:val="24"/>
          <w:highlight w:val="none"/>
        </w:rPr>
      </w:pPr>
    </w:p>
    <w:p>
      <w:pPr>
        <w:spacing w:line="400" w:lineRule="exact"/>
        <w:ind w:firstLine="4655" w:firstLineChars="19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         (盖章)</w:t>
      </w:r>
    </w:p>
    <w:p>
      <w:pPr>
        <w:spacing w:line="400" w:lineRule="exact"/>
        <w:ind w:firstLine="490" w:firstLineChars="200"/>
        <w:jc w:val="left"/>
        <w:rPr>
          <w:rFonts w:hint="eastAsia" w:ascii="宋体" w:hAnsi="宋体" w:eastAsia="宋体" w:cs="宋体"/>
          <w:color w:val="auto"/>
          <w:sz w:val="24"/>
          <w:highlight w:val="none"/>
        </w:rPr>
      </w:pPr>
    </w:p>
    <w:p>
      <w:pPr>
        <w:spacing w:line="400" w:lineRule="exact"/>
        <w:ind w:firstLine="4655" w:firstLineChars="19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pStyle w:val="4"/>
        <w:spacing w:before="0" w:after="0" w:line="400" w:lineRule="exact"/>
        <w:jc w:val="center"/>
        <w:rPr>
          <w:rFonts w:hint="eastAsia" w:ascii="宋体" w:hAnsi="宋体" w:eastAsia="宋体" w:cs="宋体"/>
          <w:color w:val="auto"/>
          <w:szCs w:val="28"/>
          <w:highlight w:val="none"/>
        </w:rPr>
      </w:pPr>
    </w:p>
    <w:p>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pPr>
        <w:pStyle w:val="4"/>
        <w:spacing w:before="0" w:after="0" w:line="400" w:lineRule="exact"/>
        <w:jc w:val="center"/>
        <w:rPr>
          <w:rFonts w:hint="eastAsia" w:ascii="宋体" w:hAnsi="宋体" w:eastAsia="宋体" w:cs="宋体"/>
          <w:color w:val="auto"/>
          <w:sz w:val="30"/>
          <w:szCs w:val="30"/>
          <w:highlight w:val="none"/>
        </w:rPr>
      </w:pPr>
      <w:bookmarkStart w:id="232" w:name="_Toc4616501"/>
      <w:r>
        <w:rPr>
          <w:rFonts w:hint="eastAsia" w:ascii="宋体" w:hAnsi="宋体" w:eastAsia="宋体" w:cs="宋体"/>
          <w:color w:val="auto"/>
          <w:sz w:val="30"/>
          <w:szCs w:val="30"/>
          <w:highlight w:val="none"/>
          <w:lang w:eastAsia="zh-CN"/>
        </w:rPr>
        <w:t>七</w:t>
      </w:r>
      <w:r>
        <w:rPr>
          <w:rFonts w:hint="eastAsia" w:ascii="宋体" w:hAnsi="宋体" w:eastAsia="宋体" w:cs="宋体"/>
          <w:color w:val="auto"/>
          <w:sz w:val="30"/>
          <w:szCs w:val="30"/>
          <w:highlight w:val="none"/>
        </w:rPr>
        <w:t>、最后报价一览表</w:t>
      </w:r>
      <w:bookmarkEnd w:id="232"/>
    </w:p>
    <w:p>
      <w:pPr>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w:t>
      </w:r>
    </w:p>
    <w:tbl>
      <w:tblPr>
        <w:tblStyle w:val="30"/>
        <w:tblW w:w="0" w:type="auto"/>
        <w:jc w:val="center"/>
        <w:tblLayout w:type="fixed"/>
        <w:tblCellMar>
          <w:top w:w="0" w:type="dxa"/>
          <w:left w:w="108" w:type="dxa"/>
          <w:bottom w:w="0" w:type="dxa"/>
          <w:right w:w="108" w:type="dxa"/>
        </w:tblCellMar>
      </w:tblPr>
      <w:tblGrid>
        <w:gridCol w:w="819"/>
        <w:gridCol w:w="1354"/>
        <w:gridCol w:w="719"/>
        <w:gridCol w:w="2282"/>
        <w:gridCol w:w="4310"/>
      </w:tblGrid>
      <w:tr>
        <w:tblPrEx>
          <w:tblCellMar>
            <w:top w:w="0" w:type="dxa"/>
            <w:left w:w="108" w:type="dxa"/>
            <w:bottom w:w="0" w:type="dxa"/>
            <w:right w:w="108" w:type="dxa"/>
          </w:tblCellMar>
        </w:tblPrEx>
        <w:trPr>
          <w:trHeight w:val="506" w:hRule="atLeast"/>
          <w:jc w:val="center"/>
        </w:trPr>
        <w:tc>
          <w:tcPr>
            <w:tcW w:w="2892" w:type="dxa"/>
            <w:gridSpan w:val="3"/>
            <w:tcBorders>
              <w:top w:val="single" w:color="auto" w:sz="4" w:space="0"/>
              <w:left w:val="single" w:color="auto" w:sz="4" w:space="0"/>
              <w:bottom w:val="single" w:color="auto" w:sz="4" w:space="0"/>
              <w:right w:val="single" w:color="auto" w:sz="4" w:space="0"/>
            </w:tcBorders>
            <w:vAlign w:val="center"/>
          </w:tcPr>
          <w:p>
            <w:pPr>
              <w:pStyle w:val="6"/>
              <w:spacing w:before="100" w:beforeAutospacing="1"/>
              <w:ind w:left="0" w:leftChars="0" w:firstLine="0" w:firstLineChars="0"/>
              <w:rPr>
                <w:rFonts w:hAnsi="宋体" w:cs="宋体"/>
                <w:bCs/>
                <w:color w:val="auto"/>
                <w:sz w:val="24"/>
                <w:highlight w:val="none"/>
              </w:rPr>
            </w:pPr>
            <w:r>
              <w:rPr>
                <w:rFonts w:hint="eastAsia" w:ascii="宋体" w:hAnsi="宋体" w:eastAsia="宋体" w:cs="宋体"/>
                <w:color w:val="auto"/>
                <w:sz w:val="24"/>
                <w:highlight w:val="none"/>
              </w:rPr>
              <w:t xml:space="preserve">  </w:t>
            </w:r>
            <w:r>
              <w:rPr>
                <w:rFonts w:hint="eastAsia" w:hAnsi="宋体" w:cs="宋体"/>
                <w:bCs/>
                <w:color w:val="auto"/>
                <w:sz w:val="24"/>
                <w:highlight w:val="none"/>
              </w:rPr>
              <w:t>项目名称</w:t>
            </w:r>
          </w:p>
        </w:tc>
        <w:tc>
          <w:tcPr>
            <w:tcW w:w="6592" w:type="dxa"/>
            <w:gridSpan w:val="2"/>
            <w:tcBorders>
              <w:top w:val="single" w:color="auto" w:sz="4" w:space="0"/>
              <w:left w:val="nil"/>
              <w:bottom w:val="single" w:color="auto" w:sz="4" w:space="0"/>
              <w:right w:val="single" w:color="auto" w:sz="4" w:space="0"/>
            </w:tcBorders>
            <w:vAlign w:val="center"/>
          </w:tcPr>
          <w:p>
            <w:pPr>
              <w:rPr>
                <w:rFonts w:hAnsi="宋体" w:cs="宋体"/>
                <w:bCs/>
                <w:color w:val="auto"/>
                <w:sz w:val="24"/>
                <w:highlight w:val="none"/>
              </w:rPr>
            </w:pPr>
          </w:p>
        </w:tc>
      </w:tr>
      <w:tr>
        <w:tblPrEx>
          <w:tblCellMar>
            <w:top w:w="0" w:type="dxa"/>
            <w:left w:w="108" w:type="dxa"/>
            <w:bottom w:w="0" w:type="dxa"/>
            <w:right w:w="108" w:type="dxa"/>
          </w:tblCellMar>
        </w:tblPrEx>
        <w:trPr>
          <w:trHeight w:val="443" w:hRule="atLeast"/>
          <w:jc w:val="center"/>
        </w:trPr>
        <w:tc>
          <w:tcPr>
            <w:tcW w:w="2892"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s="宋体"/>
                <w:bCs/>
                <w:color w:val="auto"/>
                <w:sz w:val="24"/>
                <w:highlight w:val="none"/>
              </w:rPr>
            </w:pPr>
            <w:r>
              <w:rPr>
                <w:rFonts w:hint="eastAsia" w:hAnsi="宋体" w:cs="宋体"/>
                <w:bCs/>
                <w:color w:val="auto"/>
                <w:sz w:val="24"/>
                <w:highlight w:val="none"/>
              </w:rPr>
              <w:t>项目编号</w:t>
            </w:r>
          </w:p>
        </w:tc>
        <w:tc>
          <w:tcPr>
            <w:tcW w:w="6592" w:type="dxa"/>
            <w:gridSpan w:val="2"/>
            <w:tcBorders>
              <w:top w:val="single" w:color="auto" w:sz="4" w:space="0"/>
              <w:left w:val="nil"/>
              <w:bottom w:val="single" w:color="auto" w:sz="4" w:space="0"/>
              <w:right w:val="single" w:color="auto" w:sz="4" w:space="0"/>
            </w:tcBorders>
            <w:vAlign w:val="center"/>
          </w:tcPr>
          <w:p>
            <w:pPr>
              <w:rPr>
                <w:rFonts w:hAnsi="宋体" w:cs="宋体"/>
                <w:bCs/>
                <w:color w:val="auto"/>
                <w:sz w:val="24"/>
                <w:highlight w:val="none"/>
              </w:rPr>
            </w:pPr>
          </w:p>
        </w:tc>
      </w:tr>
      <w:tr>
        <w:tblPrEx>
          <w:tblCellMar>
            <w:top w:w="0" w:type="dxa"/>
            <w:left w:w="108" w:type="dxa"/>
            <w:bottom w:w="0" w:type="dxa"/>
            <w:right w:w="108" w:type="dxa"/>
          </w:tblCellMar>
        </w:tblPrEx>
        <w:trPr>
          <w:trHeight w:val="960" w:hRule="atLeast"/>
          <w:jc w:val="center"/>
        </w:trPr>
        <w:tc>
          <w:tcPr>
            <w:tcW w:w="819" w:type="dxa"/>
            <w:tcBorders>
              <w:top w:val="nil"/>
              <w:left w:val="single" w:color="auto" w:sz="4" w:space="0"/>
              <w:bottom w:val="single" w:color="auto" w:sz="4" w:space="0"/>
              <w:right w:val="single" w:color="auto" w:sz="4" w:space="0"/>
            </w:tcBorders>
            <w:vAlign w:val="center"/>
          </w:tcPr>
          <w:p>
            <w:pPr>
              <w:jc w:val="center"/>
              <w:rPr>
                <w:rFonts w:hAnsi="宋体" w:cs="宋体"/>
                <w:bCs/>
                <w:color w:val="auto"/>
                <w:sz w:val="24"/>
                <w:highlight w:val="none"/>
              </w:rPr>
            </w:pPr>
            <w:r>
              <w:rPr>
                <w:rFonts w:hint="eastAsia" w:hAnsi="宋体" w:cs="宋体"/>
                <w:bCs/>
                <w:color w:val="auto"/>
                <w:sz w:val="24"/>
                <w:highlight w:val="none"/>
              </w:rPr>
              <w:t>序号</w:t>
            </w:r>
          </w:p>
        </w:tc>
        <w:tc>
          <w:tcPr>
            <w:tcW w:w="4355" w:type="dxa"/>
            <w:gridSpan w:val="3"/>
            <w:tcBorders>
              <w:top w:val="nil"/>
              <w:left w:val="nil"/>
              <w:bottom w:val="single" w:color="auto" w:sz="4" w:space="0"/>
              <w:right w:val="single" w:color="auto" w:sz="4" w:space="0"/>
            </w:tcBorders>
            <w:vAlign w:val="center"/>
          </w:tcPr>
          <w:p>
            <w:pPr>
              <w:jc w:val="center"/>
              <w:rPr>
                <w:rFonts w:hAnsi="宋体" w:cs="宋体"/>
                <w:bCs/>
                <w:color w:val="auto"/>
                <w:sz w:val="24"/>
                <w:highlight w:val="none"/>
              </w:rPr>
            </w:pPr>
            <w:r>
              <w:rPr>
                <w:rFonts w:hint="eastAsia" w:hAnsi="宋体" w:cs="宋体"/>
                <w:bCs/>
                <w:color w:val="auto"/>
                <w:sz w:val="24"/>
                <w:highlight w:val="none"/>
              </w:rPr>
              <w:t>服务内容</w:t>
            </w:r>
          </w:p>
        </w:tc>
        <w:tc>
          <w:tcPr>
            <w:tcW w:w="4310" w:type="dxa"/>
            <w:tcBorders>
              <w:top w:val="nil"/>
              <w:left w:val="nil"/>
              <w:bottom w:val="single" w:color="auto" w:sz="4" w:space="0"/>
              <w:right w:val="single" w:color="auto" w:sz="4" w:space="0"/>
            </w:tcBorders>
            <w:vAlign w:val="center"/>
          </w:tcPr>
          <w:p>
            <w:pPr>
              <w:jc w:val="center"/>
              <w:rPr>
                <w:rFonts w:hAnsi="宋体" w:cs="宋体"/>
                <w:bCs/>
                <w:color w:val="auto"/>
                <w:sz w:val="24"/>
                <w:highlight w:val="none"/>
              </w:rPr>
            </w:pPr>
            <w:r>
              <w:rPr>
                <w:rFonts w:hint="eastAsia" w:hAnsi="宋体" w:cs="宋体"/>
                <w:bCs/>
                <w:color w:val="auto"/>
                <w:sz w:val="24"/>
                <w:highlight w:val="none"/>
              </w:rPr>
              <w:t>服务期限</w:t>
            </w:r>
          </w:p>
        </w:tc>
      </w:tr>
      <w:tr>
        <w:tblPrEx>
          <w:tblCellMar>
            <w:top w:w="0" w:type="dxa"/>
            <w:left w:w="108" w:type="dxa"/>
            <w:bottom w:w="0" w:type="dxa"/>
            <w:right w:w="108" w:type="dxa"/>
          </w:tblCellMar>
        </w:tblPrEx>
        <w:trPr>
          <w:trHeight w:val="816" w:hRule="atLeast"/>
          <w:jc w:val="center"/>
        </w:trPr>
        <w:tc>
          <w:tcPr>
            <w:tcW w:w="819" w:type="dxa"/>
            <w:tcBorders>
              <w:top w:val="nil"/>
              <w:left w:val="single" w:color="auto" w:sz="4" w:space="0"/>
              <w:bottom w:val="single" w:color="auto" w:sz="4" w:space="0"/>
              <w:right w:val="single" w:color="auto" w:sz="4" w:space="0"/>
            </w:tcBorders>
            <w:vAlign w:val="center"/>
          </w:tcPr>
          <w:p>
            <w:pPr>
              <w:jc w:val="center"/>
              <w:rPr>
                <w:rFonts w:hAnsi="宋体" w:cs="宋体"/>
                <w:bCs/>
                <w:color w:val="auto"/>
                <w:sz w:val="24"/>
                <w:highlight w:val="none"/>
              </w:rPr>
            </w:pPr>
            <w:r>
              <w:rPr>
                <w:rFonts w:hint="eastAsia" w:hAnsi="宋体" w:cs="宋体"/>
                <w:bCs/>
                <w:color w:val="auto"/>
                <w:sz w:val="24"/>
                <w:highlight w:val="none"/>
              </w:rPr>
              <w:t>1</w:t>
            </w:r>
          </w:p>
        </w:tc>
        <w:tc>
          <w:tcPr>
            <w:tcW w:w="4355" w:type="dxa"/>
            <w:gridSpan w:val="3"/>
            <w:tcBorders>
              <w:top w:val="nil"/>
              <w:left w:val="nil"/>
              <w:bottom w:val="single" w:color="auto" w:sz="4" w:space="0"/>
              <w:right w:val="single" w:color="auto" w:sz="4" w:space="0"/>
            </w:tcBorders>
            <w:vAlign w:val="center"/>
          </w:tcPr>
          <w:p>
            <w:pPr>
              <w:jc w:val="center"/>
              <w:rPr>
                <w:rFonts w:hAnsi="宋体" w:cs="宋体"/>
                <w:bCs/>
                <w:color w:val="auto"/>
                <w:sz w:val="24"/>
                <w:szCs w:val="24"/>
                <w:highlight w:val="none"/>
              </w:rPr>
            </w:pPr>
          </w:p>
        </w:tc>
        <w:tc>
          <w:tcPr>
            <w:tcW w:w="4310" w:type="dxa"/>
            <w:tcBorders>
              <w:top w:val="nil"/>
              <w:left w:val="nil"/>
              <w:bottom w:val="single" w:color="auto" w:sz="4" w:space="0"/>
              <w:right w:val="single" w:color="auto" w:sz="4" w:space="0"/>
            </w:tcBorders>
            <w:vAlign w:val="center"/>
          </w:tcPr>
          <w:p>
            <w:pPr>
              <w:widowControl/>
              <w:spacing w:line="360" w:lineRule="auto"/>
              <w:jc w:val="center"/>
              <w:rPr>
                <w:rFonts w:hAnsi="宋体" w:cs="宋体"/>
                <w:bCs/>
                <w:color w:val="auto"/>
                <w:sz w:val="24"/>
                <w:highlight w:val="none"/>
              </w:rPr>
            </w:pPr>
          </w:p>
        </w:tc>
      </w:tr>
      <w:tr>
        <w:tblPrEx>
          <w:tblCellMar>
            <w:top w:w="0" w:type="dxa"/>
            <w:left w:w="108" w:type="dxa"/>
            <w:bottom w:w="0" w:type="dxa"/>
            <w:right w:w="108" w:type="dxa"/>
          </w:tblCellMar>
        </w:tblPrEx>
        <w:trPr>
          <w:trHeight w:val="1271" w:hRule="atLeast"/>
          <w:jc w:val="center"/>
        </w:trPr>
        <w:tc>
          <w:tcPr>
            <w:tcW w:w="2173"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24"/>
                <w:highlight w:val="none"/>
              </w:rPr>
            </w:pPr>
            <w:r>
              <w:rPr>
                <w:rFonts w:hint="eastAsia" w:hAnsi="宋体" w:eastAsia="宋体" w:cs="宋体"/>
                <w:bCs/>
                <w:color w:val="auto"/>
                <w:sz w:val="24"/>
                <w:highlight w:val="none"/>
                <w:lang w:eastAsia="zh-CN"/>
              </w:rPr>
              <w:t>谈判</w:t>
            </w:r>
            <w:r>
              <w:rPr>
                <w:rFonts w:hint="eastAsia" w:hAnsi="宋体" w:cs="宋体"/>
                <w:bCs/>
                <w:color w:val="auto"/>
                <w:sz w:val="24"/>
                <w:highlight w:val="none"/>
              </w:rPr>
              <w:t>总价</w:t>
            </w:r>
          </w:p>
        </w:tc>
        <w:tc>
          <w:tcPr>
            <w:tcW w:w="7311" w:type="dxa"/>
            <w:gridSpan w:val="3"/>
            <w:tcBorders>
              <w:top w:val="single" w:color="auto" w:sz="4" w:space="0"/>
              <w:left w:val="nil"/>
              <w:bottom w:val="single" w:color="auto" w:sz="4" w:space="0"/>
              <w:right w:val="single" w:color="auto" w:sz="4" w:space="0"/>
            </w:tcBorders>
            <w:vAlign w:val="center"/>
          </w:tcPr>
          <w:p>
            <w:pPr>
              <w:rPr>
                <w:rFonts w:hAnsi="宋体" w:cs="宋体"/>
                <w:b/>
                <w:color w:val="auto"/>
                <w:sz w:val="24"/>
                <w:highlight w:val="none"/>
              </w:rPr>
            </w:pPr>
            <w:r>
              <w:rPr>
                <w:rFonts w:hint="eastAsia" w:hAnsi="宋体" w:cs="宋体"/>
                <w:b/>
                <w:bCs/>
                <w:color w:val="auto"/>
                <w:sz w:val="24"/>
                <w:highlight w:val="none"/>
              </w:rPr>
              <w:t>人民币大写：             元   （小写：           ）</w:t>
            </w:r>
          </w:p>
        </w:tc>
      </w:tr>
    </w:tbl>
    <w:p>
      <w:pPr>
        <w:pStyle w:val="6"/>
        <w:spacing w:before="100" w:beforeAutospacing="1"/>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400" w:lineRule="exact"/>
        <w:ind w:firstLine="245"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其他需要承诺的事宜；</w:t>
      </w:r>
    </w:p>
    <w:p>
      <w:pPr>
        <w:spacing w:line="400" w:lineRule="exact"/>
        <w:ind w:firstLine="735"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b/>
          <w:color w:val="auto"/>
          <w:sz w:val="24"/>
          <w:highlight w:val="none"/>
        </w:rPr>
        <w:t>此表不放在谈判文件中</w:t>
      </w:r>
      <w:r>
        <w:rPr>
          <w:rFonts w:hint="eastAsia" w:ascii="宋体" w:hAnsi="宋体" w:eastAsia="宋体" w:cs="宋体"/>
          <w:color w:val="auto"/>
          <w:sz w:val="24"/>
          <w:highlight w:val="none"/>
        </w:rPr>
        <w:t>，请供应商提前盖章留存后在资格性与有效性审查结束并通过后，</w:t>
      </w:r>
      <w:r>
        <w:rPr>
          <w:rFonts w:hint="eastAsia" w:ascii="宋体" w:hAnsi="宋体" w:eastAsia="宋体" w:cs="宋体"/>
          <w:b/>
          <w:bCs/>
          <w:color w:val="auto"/>
          <w:sz w:val="24"/>
          <w:szCs w:val="24"/>
          <w:highlight w:val="none"/>
        </w:rPr>
        <w:t>密封现场递交</w:t>
      </w:r>
      <w:r>
        <w:rPr>
          <w:rFonts w:hint="eastAsia" w:ascii="宋体" w:hAnsi="宋体" w:eastAsia="宋体" w:cs="宋体"/>
          <w:b/>
          <w:bCs/>
          <w:color w:val="auto"/>
          <w:szCs w:val="28"/>
          <w:highlight w:val="none"/>
        </w:rPr>
        <w:t>。</w:t>
      </w:r>
    </w:p>
    <w:p>
      <w:pPr>
        <w:spacing w:line="400" w:lineRule="exact"/>
        <w:ind w:firstLine="735" w:firstLineChars="3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3、最后</w:t>
      </w:r>
      <w:r>
        <w:rPr>
          <w:rFonts w:hint="eastAsia" w:ascii="宋体" w:hAnsi="宋体" w:eastAsia="宋体" w:cs="宋体"/>
          <w:bCs/>
          <w:color w:val="auto"/>
          <w:sz w:val="24"/>
          <w:szCs w:val="24"/>
          <w:highlight w:val="none"/>
        </w:rPr>
        <w:t>报价</w:t>
      </w:r>
      <w:r>
        <w:rPr>
          <w:rFonts w:hint="eastAsia" w:ascii="宋体" w:hAnsi="宋体" w:eastAsia="宋体" w:cs="宋体"/>
          <w:color w:val="auto"/>
          <w:sz w:val="24"/>
          <w:szCs w:val="24"/>
          <w:highlight w:val="none"/>
        </w:rPr>
        <w:t>应包括响应文件规定的全部内容。</w:t>
      </w:r>
    </w:p>
    <w:p>
      <w:pPr>
        <w:spacing w:line="400" w:lineRule="exact"/>
        <w:ind w:firstLine="735" w:firstLineChars="300"/>
        <w:rPr>
          <w:rFonts w:hint="eastAsia" w:ascii="宋体" w:hAnsi="宋体" w:eastAsia="宋体" w:cs="宋体"/>
          <w:color w:val="auto"/>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highlight w:val="none"/>
        </w:rPr>
        <w:t>最后报价一览表应当签字（或盖章）确认或者加盖公章。</w:t>
      </w:r>
    </w:p>
    <w:p>
      <w:pPr>
        <w:spacing w:line="400" w:lineRule="exact"/>
        <w:ind w:firstLine="490" w:firstLineChars="200"/>
        <w:rPr>
          <w:rFonts w:hint="eastAsia" w:ascii="宋体" w:hAnsi="宋体" w:eastAsia="宋体" w:cs="宋体"/>
          <w:color w:val="auto"/>
          <w:sz w:val="24"/>
          <w:highlight w:val="none"/>
        </w:rPr>
      </w:pPr>
    </w:p>
    <w:p>
      <w:pPr>
        <w:spacing w:line="400" w:lineRule="exact"/>
        <w:ind w:firstLine="490" w:firstLineChars="200"/>
        <w:rPr>
          <w:rFonts w:hint="eastAsia" w:ascii="宋体" w:hAnsi="宋体" w:eastAsia="宋体" w:cs="宋体"/>
          <w:color w:val="auto"/>
          <w:sz w:val="24"/>
          <w:highlight w:val="none"/>
        </w:rPr>
      </w:pPr>
    </w:p>
    <w:p>
      <w:pPr>
        <w:spacing w:line="400" w:lineRule="exact"/>
        <w:ind w:firstLine="49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法定代表/单位负责人或授权代表签字：</w:t>
      </w:r>
    </w:p>
    <w:p>
      <w:pPr>
        <w:spacing w:line="400" w:lineRule="exact"/>
        <w:ind w:firstLine="490" w:firstLineChars="200"/>
        <w:jc w:val="right"/>
        <w:rPr>
          <w:rFonts w:hint="eastAsia" w:ascii="宋体" w:hAnsi="宋体" w:eastAsia="宋体" w:cs="宋体"/>
          <w:color w:val="auto"/>
          <w:sz w:val="24"/>
          <w:highlight w:val="none"/>
        </w:rPr>
      </w:pPr>
    </w:p>
    <w:p>
      <w:pPr>
        <w:spacing w:line="400" w:lineRule="exact"/>
        <w:ind w:firstLine="49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供应商名称：         (盖章)</w:t>
      </w:r>
    </w:p>
    <w:p>
      <w:pPr>
        <w:spacing w:line="400" w:lineRule="exact"/>
        <w:rPr>
          <w:rFonts w:hint="eastAsia" w:ascii="宋体" w:hAnsi="宋体" w:eastAsia="宋体" w:cs="宋体"/>
          <w:color w:val="auto"/>
          <w:sz w:val="24"/>
          <w:highlight w:val="none"/>
        </w:rPr>
      </w:pPr>
    </w:p>
    <w:p>
      <w:pPr>
        <w:jc w:val="center"/>
        <w:outlineLvl w:val="1"/>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    期：</w:t>
      </w:r>
      <w:r>
        <w:rPr>
          <w:rFonts w:hint="eastAsia" w:ascii="宋体" w:hAnsi="宋体" w:eastAsia="宋体" w:cs="宋体"/>
          <w:b/>
          <w:bCs/>
          <w:color w:val="auto"/>
          <w:sz w:val="32"/>
          <w:szCs w:val="32"/>
          <w:highlight w:val="none"/>
        </w:rPr>
        <w:br w:type="page"/>
      </w:r>
      <w:bookmarkStart w:id="233" w:name="_Toc4616502"/>
      <w:r>
        <w:rPr>
          <w:rFonts w:hint="eastAsia" w:hAnsi="宋体" w:eastAsia="宋体" w:cs="宋体"/>
          <w:b/>
          <w:bCs/>
          <w:color w:val="auto"/>
          <w:sz w:val="32"/>
          <w:szCs w:val="32"/>
          <w:highlight w:val="none"/>
          <w:lang w:eastAsia="zh-CN"/>
        </w:rPr>
        <w:t>八</w:t>
      </w:r>
      <w:r>
        <w:rPr>
          <w:rFonts w:hint="eastAsia" w:ascii="宋体" w:hAnsi="宋体" w:eastAsia="宋体" w:cs="宋体"/>
          <w:b/>
          <w:bCs/>
          <w:color w:val="auto"/>
          <w:sz w:val="32"/>
          <w:szCs w:val="32"/>
          <w:highlight w:val="none"/>
        </w:rPr>
        <w:t>、供应商类似项目履约能力一览表</w:t>
      </w:r>
      <w:bookmarkEnd w:id="233"/>
    </w:p>
    <w:p>
      <w:pPr>
        <w:spacing w:line="400" w:lineRule="exact"/>
        <w:rPr>
          <w:rFonts w:hint="eastAsia" w:ascii="宋体" w:hAnsi="宋体" w:eastAsia="宋体" w:cs="宋体"/>
          <w:color w:val="auto"/>
          <w:sz w:val="24"/>
          <w:highlight w:val="none"/>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noWrap w:val="0"/>
            <w:vAlign w:val="center"/>
          </w:tcPr>
          <w:p>
            <w:pPr>
              <w:spacing w:line="400" w:lineRule="exact"/>
              <w:ind w:firstLine="107"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年份</w:t>
            </w:r>
          </w:p>
        </w:tc>
        <w:tc>
          <w:tcPr>
            <w:tcW w:w="1439" w:type="dxa"/>
            <w:noWrap w:val="0"/>
            <w:vAlign w:val="center"/>
          </w:tcPr>
          <w:p>
            <w:pPr>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用户名称</w:t>
            </w:r>
          </w:p>
        </w:tc>
        <w:tc>
          <w:tcPr>
            <w:tcW w:w="1319" w:type="dxa"/>
            <w:noWrap w:val="0"/>
            <w:vAlign w:val="center"/>
          </w:tcPr>
          <w:p>
            <w:pPr>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160" w:type="dxa"/>
            <w:noWrap w:val="0"/>
            <w:vAlign w:val="center"/>
          </w:tcPr>
          <w:p>
            <w:pPr>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完成时间</w:t>
            </w:r>
          </w:p>
        </w:tc>
        <w:tc>
          <w:tcPr>
            <w:tcW w:w="1421" w:type="dxa"/>
            <w:gridSpan w:val="2"/>
            <w:noWrap w:val="0"/>
            <w:vAlign w:val="center"/>
          </w:tcPr>
          <w:p>
            <w:pPr>
              <w:spacing w:line="400" w:lineRule="exact"/>
              <w:ind w:firstLine="107"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合同金额</w:t>
            </w:r>
          </w:p>
        </w:tc>
        <w:tc>
          <w:tcPr>
            <w:tcW w:w="1614" w:type="dxa"/>
            <w:gridSpan w:val="2"/>
            <w:tcBorders>
              <w:right w:val="single" w:color="auto" w:sz="4" w:space="0"/>
            </w:tcBorders>
            <w:noWrap w:val="0"/>
            <w:vAlign w:val="center"/>
          </w:tcPr>
          <w:p>
            <w:pPr>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是否通过验收</w:t>
            </w:r>
          </w:p>
        </w:tc>
        <w:tc>
          <w:tcPr>
            <w:tcW w:w="1387" w:type="dxa"/>
            <w:gridSpan w:val="2"/>
            <w:tcBorders>
              <w:left w:val="single" w:color="auto" w:sz="4" w:space="0"/>
            </w:tcBorders>
            <w:noWrap w:val="0"/>
            <w:vAlign w:val="center"/>
          </w:tcPr>
          <w:p>
            <w:pPr>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jc w:val="center"/>
              <w:rPr>
                <w:rFonts w:hint="eastAsia" w:ascii="宋体" w:hAnsi="宋体" w:eastAsia="宋体" w:cs="宋体"/>
                <w:color w:val="auto"/>
                <w:sz w:val="21"/>
                <w:szCs w:val="21"/>
                <w:highlight w:val="none"/>
              </w:rPr>
            </w:pPr>
          </w:p>
        </w:tc>
        <w:tc>
          <w:tcPr>
            <w:tcW w:w="1439" w:type="dxa"/>
            <w:noWrap w:val="0"/>
            <w:vAlign w:val="center"/>
          </w:tcPr>
          <w:p>
            <w:pPr>
              <w:spacing w:line="400" w:lineRule="exact"/>
              <w:jc w:val="center"/>
              <w:rPr>
                <w:rFonts w:hint="eastAsia" w:ascii="宋体" w:hAnsi="宋体" w:eastAsia="宋体" w:cs="宋体"/>
                <w:color w:val="auto"/>
                <w:sz w:val="21"/>
                <w:szCs w:val="21"/>
                <w:highlight w:val="none"/>
              </w:rPr>
            </w:pPr>
          </w:p>
        </w:tc>
        <w:tc>
          <w:tcPr>
            <w:tcW w:w="1319" w:type="dxa"/>
            <w:noWrap w:val="0"/>
            <w:vAlign w:val="center"/>
          </w:tcPr>
          <w:p>
            <w:pPr>
              <w:spacing w:line="400" w:lineRule="exact"/>
              <w:jc w:val="center"/>
              <w:rPr>
                <w:rFonts w:hint="eastAsia" w:ascii="宋体" w:hAnsi="宋体" w:eastAsia="宋体" w:cs="宋体"/>
                <w:color w:val="auto"/>
                <w:sz w:val="21"/>
                <w:szCs w:val="21"/>
                <w:highlight w:val="none"/>
              </w:rPr>
            </w:pPr>
          </w:p>
        </w:tc>
        <w:tc>
          <w:tcPr>
            <w:tcW w:w="1160" w:type="dxa"/>
            <w:noWrap w:val="0"/>
            <w:vAlign w:val="center"/>
          </w:tcPr>
          <w:p>
            <w:pPr>
              <w:spacing w:line="400" w:lineRule="exact"/>
              <w:jc w:val="center"/>
              <w:rPr>
                <w:rFonts w:hint="eastAsia" w:ascii="宋体" w:hAnsi="宋体" w:eastAsia="宋体" w:cs="宋体"/>
                <w:color w:val="auto"/>
                <w:sz w:val="21"/>
                <w:szCs w:val="21"/>
                <w:highlight w:val="none"/>
              </w:rPr>
            </w:pPr>
          </w:p>
        </w:tc>
        <w:tc>
          <w:tcPr>
            <w:tcW w:w="1421" w:type="dxa"/>
            <w:gridSpan w:val="2"/>
            <w:noWrap w:val="0"/>
            <w:vAlign w:val="center"/>
          </w:tcPr>
          <w:p>
            <w:pPr>
              <w:spacing w:line="400" w:lineRule="exact"/>
              <w:jc w:val="center"/>
              <w:rPr>
                <w:rFonts w:hint="eastAsia" w:ascii="宋体" w:hAnsi="宋体" w:eastAsia="宋体" w:cs="宋体"/>
                <w:color w:val="auto"/>
                <w:sz w:val="21"/>
                <w:szCs w:val="21"/>
                <w:highlight w:val="none"/>
              </w:rPr>
            </w:pPr>
          </w:p>
        </w:tc>
        <w:tc>
          <w:tcPr>
            <w:tcW w:w="1614" w:type="dxa"/>
            <w:gridSpan w:val="2"/>
            <w:tcBorders>
              <w:righ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c>
          <w:tcPr>
            <w:tcW w:w="1387"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jc w:val="center"/>
              <w:rPr>
                <w:rFonts w:hint="eastAsia" w:ascii="宋体" w:hAnsi="宋体" w:eastAsia="宋体" w:cs="宋体"/>
                <w:color w:val="auto"/>
                <w:sz w:val="21"/>
                <w:szCs w:val="21"/>
                <w:highlight w:val="none"/>
              </w:rPr>
            </w:pPr>
          </w:p>
        </w:tc>
        <w:tc>
          <w:tcPr>
            <w:tcW w:w="1439" w:type="dxa"/>
            <w:noWrap w:val="0"/>
            <w:vAlign w:val="center"/>
          </w:tcPr>
          <w:p>
            <w:pPr>
              <w:spacing w:line="400" w:lineRule="exact"/>
              <w:jc w:val="center"/>
              <w:rPr>
                <w:rFonts w:hint="eastAsia" w:ascii="宋体" w:hAnsi="宋体" w:eastAsia="宋体" w:cs="宋体"/>
                <w:color w:val="auto"/>
                <w:sz w:val="21"/>
                <w:szCs w:val="21"/>
                <w:highlight w:val="none"/>
              </w:rPr>
            </w:pPr>
          </w:p>
        </w:tc>
        <w:tc>
          <w:tcPr>
            <w:tcW w:w="1319" w:type="dxa"/>
            <w:noWrap w:val="0"/>
            <w:vAlign w:val="center"/>
          </w:tcPr>
          <w:p>
            <w:pPr>
              <w:spacing w:line="400" w:lineRule="exact"/>
              <w:jc w:val="center"/>
              <w:rPr>
                <w:rFonts w:hint="eastAsia" w:ascii="宋体" w:hAnsi="宋体" w:eastAsia="宋体" w:cs="宋体"/>
                <w:color w:val="auto"/>
                <w:sz w:val="21"/>
                <w:szCs w:val="21"/>
                <w:highlight w:val="none"/>
              </w:rPr>
            </w:pPr>
          </w:p>
        </w:tc>
        <w:tc>
          <w:tcPr>
            <w:tcW w:w="1160" w:type="dxa"/>
            <w:noWrap w:val="0"/>
            <w:vAlign w:val="center"/>
          </w:tcPr>
          <w:p>
            <w:pPr>
              <w:spacing w:line="400" w:lineRule="exact"/>
              <w:jc w:val="center"/>
              <w:rPr>
                <w:rFonts w:hint="eastAsia" w:ascii="宋体" w:hAnsi="宋体" w:eastAsia="宋体" w:cs="宋体"/>
                <w:color w:val="auto"/>
                <w:sz w:val="21"/>
                <w:szCs w:val="21"/>
                <w:highlight w:val="none"/>
              </w:rPr>
            </w:pPr>
          </w:p>
        </w:tc>
        <w:tc>
          <w:tcPr>
            <w:tcW w:w="1421" w:type="dxa"/>
            <w:gridSpan w:val="2"/>
            <w:noWrap w:val="0"/>
            <w:vAlign w:val="center"/>
          </w:tcPr>
          <w:p>
            <w:pPr>
              <w:spacing w:line="400" w:lineRule="exact"/>
              <w:jc w:val="center"/>
              <w:rPr>
                <w:rFonts w:hint="eastAsia" w:ascii="宋体" w:hAnsi="宋体" w:eastAsia="宋体" w:cs="宋体"/>
                <w:color w:val="auto"/>
                <w:sz w:val="21"/>
                <w:szCs w:val="21"/>
                <w:highlight w:val="none"/>
              </w:rPr>
            </w:pPr>
          </w:p>
        </w:tc>
        <w:tc>
          <w:tcPr>
            <w:tcW w:w="1614" w:type="dxa"/>
            <w:gridSpan w:val="2"/>
            <w:tcBorders>
              <w:righ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c>
          <w:tcPr>
            <w:tcW w:w="1387"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jc w:val="center"/>
              <w:rPr>
                <w:rFonts w:hint="eastAsia" w:ascii="宋体" w:hAnsi="宋体" w:eastAsia="宋体" w:cs="宋体"/>
                <w:color w:val="auto"/>
                <w:sz w:val="21"/>
                <w:szCs w:val="21"/>
                <w:highlight w:val="none"/>
              </w:rPr>
            </w:pPr>
          </w:p>
        </w:tc>
        <w:tc>
          <w:tcPr>
            <w:tcW w:w="1439" w:type="dxa"/>
            <w:noWrap w:val="0"/>
            <w:vAlign w:val="center"/>
          </w:tcPr>
          <w:p>
            <w:pPr>
              <w:spacing w:line="400" w:lineRule="exact"/>
              <w:jc w:val="center"/>
              <w:rPr>
                <w:rFonts w:hint="eastAsia" w:ascii="宋体" w:hAnsi="宋体" w:eastAsia="宋体" w:cs="宋体"/>
                <w:color w:val="auto"/>
                <w:sz w:val="21"/>
                <w:szCs w:val="21"/>
                <w:highlight w:val="none"/>
              </w:rPr>
            </w:pPr>
          </w:p>
        </w:tc>
        <w:tc>
          <w:tcPr>
            <w:tcW w:w="1319" w:type="dxa"/>
            <w:noWrap w:val="0"/>
            <w:vAlign w:val="center"/>
          </w:tcPr>
          <w:p>
            <w:pPr>
              <w:spacing w:line="400" w:lineRule="exact"/>
              <w:jc w:val="center"/>
              <w:rPr>
                <w:rFonts w:hint="eastAsia" w:ascii="宋体" w:hAnsi="宋体" w:eastAsia="宋体" w:cs="宋体"/>
                <w:color w:val="auto"/>
                <w:sz w:val="21"/>
                <w:szCs w:val="21"/>
                <w:highlight w:val="none"/>
              </w:rPr>
            </w:pPr>
          </w:p>
        </w:tc>
        <w:tc>
          <w:tcPr>
            <w:tcW w:w="1160" w:type="dxa"/>
            <w:noWrap w:val="0"/>
            <w:vAlign w:val="center"/>
          </w:tcPr>
          <w:p>
            <w:pPr>
              <w:spacing w:line="400" w:lineRule="exact"/>
              <w:jc w:val="center"/>
              <w:rPr>
                <w:rFonts w:hint="eastAsia" w:ascii="宋体" w:hAnsi="宋体" w:eastAsia="宋体" w:cs="宋体"/>
                <w:color w:val="auto"/>
                <w:sz w:val="21"/>
                <w:szCs w:val="21"/>
                <w:highlight w:val="none"/>
              </w:rPr>
            </w:pPr>
          </w:p>
        </w:tc>
        <w:tc>
          <w:tcPr>
            <w:tcW w:w="1421" w:type="dxa"/>
            <w:gridSpan w:val="2"/>
            <w:noWrap w:val="0"/>
            <w:vAlign w:val="center"/>
          </w:tcPr>
          <w:p>
            <w:pPr>
              <w:spacing w:line="400" w:lineRule="exact"/>
              <w:jc w:val="center"/>
              <w:rPr>
                <w:rFonts w:hint="eastAsia" w:ascii="宋体" w:hAnsi="宋体" w:eastAsia="宋体" w:cs="宋体"/>
                <w:color w:val="auto"/>
                <w:sz w:val="21"/>
                <w:szCs w:val="21"/>
                <w:highlight w:val="none"/>
              </w:rPr>
            </w:pPr>
          </w:p>
        </w:tc>
        <w:tc>
          <w:tcPr>
            <w:tcW w:w="1614" w:type="dxa"/>
            <w:gridSpan w:val="2"/>
            <w:tcBorders>
              <w:righ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c>
          <w:tcPr>
            <w:tcW w:w="1387"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jc w:val="center"/>
              <w:rPr>
                <w:rFonts w:hint="eastAsia" w:ascii="宋体" w:hAnsi="宋体" w:eastAsia="宋体" w:cs="宋体"/>
                <w:color w:val="auto"/>
                <w:sz w:val="21"/>
                <w:szCs w:val="21"/>
                <w:highlight w:val="none"/>
              </w:rPr>
            </w:pPr>
          </w:p>
        </w:tc>
        <w:tc>
          <w:tcPr>
            <w:tcW w:w="1439" w:type="dxa"/>
            <w:tcBorders>
              <w:righ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c>
          <w:tcPr>
            <w:tcW w:w="1319" w:type="dxa"/>
            <w:tcBorders>
              <w:lef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c>
          <w:tcPr>
            <w:tcW w:w="1160" w:type="dxa"/>
            <w:noWrap w:val="0"/>
            <w:vAlign w:val="center"/>
          </w:tcPr>
          <w:p>
            <w:pPr>
              <w:spacing w:line="400" w:lineRule="exact"/>
              <w:jc w:val="center"/>
              <w:rPr>
                <w:rFonts w:hint="eastAsia" w:ascii="宋体" w:hAnsi="宋体" w:eastAsia="宋体" w:cs="宋体"/>
                <w:color w:val="auto"/>
                <w:sz w:val="21"/>
                <w:szCs w:val="21"/>
                <w:highlight w:val="none"/>
              </w:rPr>
            </w:pPr>
          </w:p>
        </w:tc>
        <w:tc>
          <w:tcPr>
            <w:tcW w:w="1421" w:type="dxa"/>
            <w:gridSpan w:val="2"/>
            <w:noWrap w:val="0"/>
            <w:vAlign w:val="center"/>
          </w:tcPr>
          <w:p>
            <w:pPr>
              <w:spacing w:line="400" w:lineRule="exact"/>
              <w:jc w:val="center"/>
              <w:rPr>
                <w:rFonts w:hint="eastAsia" w:ascii="宋体" w:hAnsi="宋体" w:eastAsia="宋体" w:cs="宋体"/>
                <w:color w:val="auto"/>
                <w:sz w:val="21"/>
                <w:szCs w:val="21"/>
                <w:highlight w:val="none"/>
              </w:rPr>
            </w:pPr>
          </w:p>
        </w:tc>
        <w:tc>
          <w:tcPr>
            <w:tcW w:w="1614" w:type="dxa"/>
            <w:gridSpan w:val="2"/>
            <w:tcBorders>
              <w:righ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c>
          <w:tcPr>
            <w:tcW w:w="1387"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noWrap w:val="0"/>
            <w:vAlign w:val="center"/>
          </w:tcPr>
          <w:p>
            <w:pPr>
              <w:spacing w:line="400" w:lineRule="exact"/>
              <w:rPr>
                <w:rFonts w:hint="eastAsia" w:ascii="宋体" w:hAnsi="宋体" w:eastAsia="宋体" w:cs="宋体"/>
                <w:color w:val="auto"/>
                <w:sz w:val="21"/>
                <w:szCs w:val="21"/>
                <w:highlight w:val="none"/>
              </w:rPr>
            </w:pPr>
          </w:p>
        </w:tc>
        <w:tc>
          <w:tcPr>
            <w:tcW w:w="1439" w:type="dxa"/>
            <w:tcBorders>
              <w:left w:val="single" w:color="auto" w:sz="4" w:space="0"/>
              <w:right w:val="single" w:color="auto" w:sz="4" w:space="0"/>
            </w:tcBorders>
            <w:noWrap w:val="0"/>
            <w:vAlign w:val="center"/>
          </w:tcPr>
          <w:p>
            <w:pPr>
              <w:spacing w:line="400" w:lineRule="exact"/>
              <w:rPr>
                <w:rFonts w:hint="eastAsia" w:ascii="宋体" w:hAnsi="宋体" w:eastAsia="宋体" w:cs="宋体"/>
                <w:color w:val="auto"/>
                <w:sz w:val="21"/>
                <w:szCs w:val="21"/>
                <w:highlight w:val="none"/>
              </w:rPr>
            </w:pPr>
          </w:p>
        </w:tc>
        <w:tc>
          <w:tcPr>
            <w:tcW w:w="1319" w:type="dxa"/>
            <w:tcBorders>
              <w:left w:val="single" w:color="auto" w:sz="4" w:space="0"/>
              <w:right w:val="single" w:color="auto" w:sz="4" w:space="0"/>
            </w:tcBorders>
            <w:noWrap w:val="0"/>
            <w:vAlign w:val="center"/>
          </w:tcPr>
          <w:p>
            <w:pPr>
              <w:spacing w:line="400" w:lineRule="exact"/>
              <w:rPr>
                <w:rFonts w:hint="eastAsia" w:ascii="宋体" w:hAnsi="宋体" w:eastAsia="宋体" w:cs="宋体"/>
                <w:color w:val="auto"/>
                <w:sz w:val="21"/>
                <w:szCs w:val="21"/>
                <w:highlight w:val="none"/>
              </w:rPr>
            </w:pPr>
          </w:p>
        </w:tc>
        <w:tc>
          <w:tcPr>
            <w:tcW w:w="1160" w:type="dxa"/>
            <w:tcBorders>
              <w:left w:val="single" w:color="auto" w:sz="4" w:space="0"/>
              <w:right w:val="single" w:color="auto" w:sz="4" w:space="0"/>
            </w:tcBorders>
            <w:noWrap w:val="0"/>
            <w:vAlign w:val="center"/>
          </w:tcPr>
          <w:p>
            <w:pPr>
              <w:spacing w:line="400" w:lineRule="exact"/>
              <w:rPr>
                <w:rFonts w:hint="eastAsia" w:ascii="宋体" w:hAnsi="宋体" w:eastAsia="宋体" w:cs="宋体"/>
                <w:color w:val="auto"/>
                <w:sz w:val="21"/>
                <w:szCs w:val="21"/>
                <w:highlight w:val="none"/>
              </w:rPr>
            </w:pPr>
          </w:p>
        </w:tc>
        <w:tc>
          <w:tcPr>
            <w:tcW w:w="1415" w:type="dxa"/>
            <w:tcBorders>
              <w:left w:val="single" w:color="auto" w:sz="4" w:space="0"/>
              <w:right w:val="single" w:color="auto" w:sz="4" w:space="0"/>
            </w:tcBorders>
            <w:noWrap w:val="0"/>
            <w:vAlign w:val="center"/>
          </w:tcPr>
          <w:p>
            <w:pPr>
              <w:spacing w:line="400" w:lineRule="exact"/>
              <w:rPr>
                <w:rFonts w:hint="eastAsia" w:ascii="宋体" w:hAnsi="宋体" w:eastAsia="宋体" w:cs="宋体"/>
                <w:color w:val="auto"/>
                <w:sz w:val="21"/>
                <w:szCs w:val="21"/>
                <w:highlight w:val="none"/>
              </w:rPr>
            </w:pPr>
          </w:p>
        </w:tc>
        <w:tc>
          <w:tcPr>
            <w:tcW w:w="1605" w:type="dxa"/>
            <w:gridSpan w:val="2"/>
            <w:tcBorders>
              <w:left w:val="single" w:color="auto" w:sz="4" w:space="0"/>
              <w:right w:val="single" w:color="auto" w:sz="4" w:space="0"/>
            </w:tcBorders>
            <w:noWrap w:val="0"/>
            <w:vAlign w:val="center"/>
          </w:tcPr>
          <w:p>
            <w:pPr>
              <w:spacing w:line="400" w:lineRule="exact"/>
              <w:rPr>
                <w:rFonts w:hint="eastAsia" w:ascii="宋体" w:hAnsi="宋体" w:eastAsia="宋体" w:cs="宋体"/>
                <w:color w:val="auto"/>
                <w:sz w:val="21"/>
                <w:szCs w:val="21"/>
                <w:highlight w:val="none"/>
              </w:rPr>
            </w:pPr>
          </w:p>
        </w:tc>
        <w:tc>
          <w:tcPr>
            <w:tcW w:w="1392" w:type="dxa"/>
            <w:gridSpan w:val="2"/>
            <w:tcBorders>
              <w:left w:val="single" w:color="auto" w:sz="4" w:space="0"/>
            </w:tcBorders>
            <w:noWrap w:val="0"/>
            <w:vAlign w:val="center"/>
          </w:tcPr>
          <w:p>
            <w:pPr>
              <w:spacing w:line="40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rPr>
                <w:rFonts w:hint="eastAsia" w:ascii="宋体" w:hAnsi="宋体" w:eastAsia="宋体" w:cs="宋体"/>
                <w:color w:val="auto"/>
                <w:sz w:val="21"/>
                <w:szCs w:val="21"/>
                <w:highlight w:val="none"/>
              </w:rPr>
            </w:pPr>
          </w:p>
        </w:tc>
        <w:tc>
          <w:tcPr>
            <w:tcW w:w="1439" w:type="dxa"/>
            <w:noWrap w:val="0"/>
            <w:vAlign w:val="center"/>
          </w:tcPr>
          <w:p>
            <w:pPr>
              <w:spacing w:line="400" w:lineRule="exact"/>
              <w:rPr>
                <w:rFonts w:hint="eastAsia" w:ascii="宋体" w:hAnsi="宋体" w:eastAsia="宋体" w:cs="宋体"/>
                <w:color w:val="auto"/>
                <w:sz w:val="21"/>
                <w:szCs w:val="21"/>
                <w:highlight w:val="none"/>
              </w:rPr>
            </w:pPr>
          </w:p>
        </w:tc>
        <w:tc>
          <w:tcPr>
            <w:tcW w:w="1319" w:type="dxa"/>
            <w:noWrap w:val="0"/>
            <w:vAlign w:val="center"/>
          </w:tcPr>
          <w:p>
            <w:pPr>
              <w:spacing w:line="400" w:lineRule="exact"/>
              <w:rPr>
                <w:rFonts w:hint="eastAsia" w:ascii="宋体" w:hAnsi="宋体" w:eastAsia="宋体" w:cs="宋体"/>
                <w:color w:val="auto"/>
                <w:sz w:val="21"/>
                <w:szCs w:val="21"/>
                <w:highlight w:val="none"/>
              </w:rPr>
            </w:pPr>
          </w:p>
        </w:tc>
        <w:tc>
          <w:tcPr>
            <w:tcW w:w="1160" w:type="dxa"/>
            <w:noWrap w:val="0"/>
            <w:vAlign w:val="center"/>
          </w:tcPr>
          <w:p>
            <w:pPr>
              <w:spacing w:line="400" w:lineRule="exact"/>
              <w:rPr>
                <w:rFonts w:hint="eastAsia" w:ascii="宋体" w:hAnsi="宋体" w:eastAsia="宋体" w:cs="宋体"/>
                <w:color w:val="auto"/>
                <w:sz w:val="21"/>
                <w:szCs w:val="21"/>
                <w:highlight w:val="none"/>
              </w:rPr>
            </w:pPr>
          </w:p>
        </w:tc>
        <w:tc>
          <w:tcPr>
            <w:tcW w:w="1421" w:type="dxa"/>
            <w:gridSpan w:val="2"/>
            <w:tcBorders>
              <w:right w:val="single" w:color="auto" w:sz="4" w:space="0"/>
            </w:tcBorders>
            <w:noWrap w:val="0"/>
            <w:vAlign w:val="center"/>
          </w:tcPr>
          <w:p>
            <w:pPr>
              <w:spacing w:line="400" w:lineRule="exact"/>
              <w:rPr>
                <w:rFonts w:hint="eastAsia" w:ascii="宋体" w:hAnsi="宋体" w:eastAsia="宋体" w:cs="宋体"/>
                <w:color w:val="auto"/>
                <w:sz w:val="21"/>
                <w:szCs w:val="21"/>
                <w:highlight w:val="none"/>
              </w:rPr>
            </w:pPr>
          </w:p>
        </w:tc>
        <w:tc>
          <w:tcPr>
            <w:tcW w:w="1614" w:type="dxa"/>
            <w:gridSpan w:val="2"/>
            <w:tcBorders>
              <w:left w:val="single" w:color="auto" w:sz="4" w:space="0"/>
              <w:right w:val="single" w:color="auto" w:sz="4" w:space="0"/>
            </w:tcBorders>
            <w:noWrap w:val="0"/>
            <w:vAlign w:val="center"/>
          </w:tcPr>
          <w:p>
            <w:pPr>
              <w:spacing w:line="400" w:lineRule="exact"/>
              <w:rPr>
                <w:rFonts w:hint="eastAsia" w:ascii="宋体" w:hAnsi="宋体" w:eastAsia="宋体" w:cs="宋体"/>
                <w:color w:val="auto"/>
                <w:sz w:val="21"/>
                <w:szCs w:val="21"/>
                <w:highlight w:val="none"/>
              </w:rPr>
            </w:pPr>
          </w:p>
        </w:tc>
        <w:tc>
          <w:tcPr>
            <w:tcW w:w="1387" w:type="dxa"/>
            <w:gridSpan w:val="2"/>
            <w:tcBorders>
              <w:left w:val="single" w:color="auto" w:sz="4" w:space="0"/>
            </w:tcBorders>
            <w:noWrap w:val="0"/>
            <w:vAlign w:val="center"/>
          </w:tcPr>
          <w:p>
            <w:pPr>
              <w:spacing w:line="40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jc w:val="center"/>
              <w:rPr>
                <w:rFonts w:hint="eastAsia" w:ascii="宋体" w:hAnsi="宋体" w:eastAsia="宋体" w:cs="宋体"/>
                <w:color w:val="auto"/>
                <w:sz w:val="21"/>
                <w:szCs w:val="21"/>
                <w:highlight w:val="none"/>
              </w:rPr>
            </w:pPr>
          </w:p>
        </w:tc>
        <w:tc>
          <w:tcPr>
            <w:tcW w:w="1439" w:type="dxa"/>
            <w:noWrap w:val="0"/>
            <w:vAlign w:val="center"/>
          </w:tcPr>
          <w:p>
            <w:pPr>
              <w:spacing w:line="400" w:lineRule="exact"/>
              <w:jc w:val="center"/>
              <w:rPr>
                <w:rFonts w:hint="eastAsia" w:ascii="宋体" w:hAnsi="宋体" w:eastAsia="宋体" w:cs="宋体"/>
                <w:color w:val="auto"/>
                <w:sz w:val="21"/>
                <w:szCs w:val="21"/>
                <w:highlight w:val="none"/>
              </w:rPr>
            </w:pPr>
          </w:p>
        </w:tc>
        <w:tc>
          <w:tcPr>
            <w:tcW w:w="1319" w:type="dxa"/>
            <w:noWrap w:val="0"/>
            <w:vAlign w:val="center"/>
          </w:tcPr>
          <w:p>
            <w:pPr>
              <w:spacing w:line="400" w:lineRule="exact"/>
              <w:jc w:val="center"/>
              <w:rPr>
                <w:rFonts w:hint="eastAsia" w:ascii="宋体" w:hAnsi="宋体" w:eastAsia="宋体" w:cs="宋体"/>
                <w:color w:val="auto"/>
                <w:sz w:val="21"/>
                <w:szCs w:val="21"/>
                <w:highlight w:val="none"/>
              </w:rPr>
            </w:pPr>
          </w:p>
        </w:tc>
        <w:tc>
          <w:tcPr>
            <w:tcW w:w="1160" w:type="dxa"/>
            <w:noWrap w:val="0"/>
            <w:vAlign w:val="center"/>
          </w:tcPr>
          <w:p>
            <w:pPr>
              <w:spacing w:line="400" w:lineRule="exact"/>
              <w:jc w:val="center"/>
              <w:rPr>
                <w:rFonts w:hint="eastAsia" w:ascii="宋体" w:hAnsi="宋体" w:eastAsia="宋体" w:cs="宋体"/>
                <w:color w:val="auto"/>
                <w:sz w:val="21"/>
                <w:szCs w:val="21"/>
                <w:highlight w:val="none"/>
              </w:rPr>
            </w:pPr>
          </w:p>
        </w:tc>
        <w:tc>
          <w:tcPr>
            <w:tcW w:w="1421" w:type="dxa"/>
            <w:gridSpan w:val="2"/>
            <w:tcBorders>
              <w:righ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c>
          <w:tcPr>
            <w:tcW w:w="1614"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c>
          <w:tcPr>
            <w:tcW w:w="1387"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jc w:val="center"/>
              <w:rPr>
                <w:rFonts w:hint="eastAsia" w:ascii="宋体" w:hAnsi="宋体" w:eastAsia="宋体" w:cs="宋体"/>
                <w:color w:val="auto"/>
                <w:sz w:val="21"/>
                <w:szCs w:val="21"/>
                <w:highlight w:val="none"/>
              </w:rPr>
            </w:pPr>
          </w:p>
        </w:tc>
        <w:tc>
          <w:tcPr>
            <w:tcW w:w="1439" w:type="dxa"/>
            <w:noWrap w:val="0"/>
            <w:vAlign w:val="center"/>
          </w:tcPr>
          <w:p>
            <w:pPr>
              <w:spacing w:line="400" w:lineRule="exact"/>
              <w:jc w:val="center"/>
              <w:rPr>
                <w:rFonts w:hint="eastAsia" w:ascii="宋体" w:hAnsi="宋体" w:eastAsia="宋体" w:cs="宋体"/>
                <w:color w:val="auto"/>
                <w:sz w:val="21"/>
                <w:szCs w:val="21"/>
                <w:highlight w:val="none"/>
              </w:rPr>
            </w:pPr>
          </w:p>
        </w:tc>
        <w:tc>
          <w:tcPr>
            <w:tcW w:w="1319" w:type="dxa"/>
            <w:noWrap w:val="0"/>
            <w:vAlign w:val="center"/>
          </w:tcPr>
          <w:p>
            <w:pPr>
              <w:spacing w:line="400" w:lineRule="exact"/>
              <w:jc w:val="center"/>
              <w:rPr>
                <w:rFonts w:hint="eastAsia" w:ascii="宋体" w:hAnsi="宋体" w:eastAsia="宋体" w:cs="宋体"/>
                <w:color w:val="auto"/>
                <w:sz w:val="21"/>
                <w:szCs w:val="21"/>
                <w:highlight w:val="none"/>
              </w:rPr>
            </w:pPr>
          </w:p>
        </w:tc>
        <w:tc>
          <w:tcPr>
            <w:tcW w:w="1160" w:type="dxa"/>
            <w:noWrap w:val="0"/>
            <w:vAlign w:val="center"/>
          </w:tcPr>
          <w:p>
            <w:pPr>
              <w:spacing w:line="400" w:lineRule="exact"/>
              <w:jc w:val="center"/>
              <w:rPr>
                <w:rFonts w:hint="eastAsia" w:ascii="宋体" w:hAnsi="宋体" w:eastAsia="宋体" w:cs="宋体"/>
                <w:color w:val="auto"/>
                <w:sz w:val="21"/>
                <w:szCs w:val="21"/>
                <w:highlight w:val="none"/>
              </w:rPr>
            </w:pPr>
          </w:p>
        </w:tc>
        <w:tc>
          <w:tcPr>
            <w:tcW w:w="1421" w:type="dxa"/>
            <w:gridSpan w:val="2"/>
            <w:tcBorders>
              <w:righ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c>
          <w:tcPr>
            <w:tcW w:w="1614"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c>
          <w:tcPr>
            <w:tcW w:w="1387"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c>
          <w:tcPr>
            <w:tcW w:w="1439" w:type="dxa"/>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c>
          <w:tcPr>
            <w:tcW w:w="1319" w:type="dxa"/>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c>
          <w:tcPr>
            <w:tcW w:w="1160" w:type="dxa"/>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c>
          <w:tcPr>
            <w:tcW w:w="1421" w:type="dxa"/>
            <w:gridSpan w:val="2"/>
            <w:tcBorders>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c>
          <w:tcPr>
            <w:tcW w:w="1614" w:type="dxa"/>
            <w:gridSpan w:val="2"/>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c>
          <w:tcPr>
            <w:tcW w:w="1387" w:type="dxa"/>
            <w:gridSpan w:val="2"/>
            <w:tcBorders>
              <w:left w:val="single" w:color="auto" w:sz="4" w:space="0"/>
              <w:bottom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c>
          <w:tcPr>
            <w:tcW w:w="1439" w:type="dxa"/>
            <w:tcBorders>
              <w:top w:val="single" w:color="auto" w:sz="4" w:space="0"/>
              <w:bottom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c>
          <w:tcPr>
            <w:tcW w:w="1319" w:type="dxa"/>
            <w:tcBorders>
              <w:top w:val="single" w:color="auto" w:sz="4" w:space="0"/>
              <w:bottom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c>
          <w:tcPr>
            <w:tcW w:w="1160" w:type="dxa"/>
            <w:tcBorders>
              <w:top w:val="single" w:color="auto" w:sz="4" w:space="0"/>
              <w:bottom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c>
          <w:tcPr>
            <w:tcW w:w="1421" w:type="dxa"/>
            <w:gridSpan w:val="2"/>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c>
          <w:tcPr>
            <w:tcW w:w="161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c>
          <w:tcPr>
            <w:tcW w:w="1387"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c>
          <w:tcPr>
            <w:tcW w:w="1439" w:type="dxa"/>
            <w:tcBorders>
              <w:top w:val="single" w:color="auto" w:sz="4" w:space="0"/>
              <w:bottom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c>
          <w:tcPr>
            <w:tcW w:w="1319" w:type="dxa"/>
            <w:tcBorders>
              <w:top w:val="single" w:color="auto" w:sz="4" w:space="0"/>
              <w:bottom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c>
          <w:tcPr>
            <w:tcW w:w="1160" w:type="dxa"/>
            <w:tcBorders>
              <w:top w:val="single" w:color="auto" w:sz="4" w:space="0"/>
              <w:bottom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c>
          <w:tcPr>
            <w:tcW w:w="1421" w:type="dxa"/>
            <w:gridSpan w:val="2"/>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c>
          <w:tcPr>
            <w:tcW w:w="161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c>
          <w:tcPr>
            <w:tcW w:w="1387"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c>
          <w:tcPr>
            <w:tcW w:w="1439" w:type="dxa"/>
            <w:tcBorders>
              <w:top w:val="single" w:color="auto" w:sz="4" w:space="0"/>
              <w:bottom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c>
          <w:tcPr>
            <w:tcW w:w="1319" w:type="dxa"/>
            <w:tcBorders>
              <w:top w:val="single" w:color="auto" w:sz="4" w:space="0"/>
              <w:bottom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c>
          <w:tcPr>
            <w:tcW w:w="1160" w:type="dxa"/>
            <w:tcBorders>
              <w:top w:val="single" w:color="auto" w:sz="4" w:space="0"/>
              <w:bottom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c>
          <w:tcPr>
            <w:tcW w:w="1421" w:type="dxa"/>
            <w:gridSpan w:val="2"/>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c>
          <w:tcPr>
            <w:tcW w:w="161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c>
          <w:tcPr>
            <w:tcW w:w="1387"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c>
          <w:tcPr>
            <w:tcW w:w="1439" w:type="dxa"/>
            <w:tcBorders>
              <w:top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c>
          <w:tcPr>
            <w:tcW w:w="1319" w:type="dxa"/>
            <w:tcBorders>
              <w:top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c>
          <w:tcPr>
            <w:tcW w:w="1160" w:type="dxa"/>
            <w:tcBorders>
              <w:top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c>
          <w:tcPr>
            <w:tcW w:w="1421" w:type="dxa"/>
            <w:gridSpan w:val="2"/>
            <w:tcBorders>
              <w:top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c>
          <w:tcPr>
            <w:tcW w:w="1614" w:type="dxa"/>
            <w:gridSpan w:val="2"/>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c>
          <w:tcPr>
            <w:tcW w:w="1387" w:type="dxa"/>
            <w:gridSpan w:val="2"/>
            <w:tcBorders>
              <w:top w:val="single" w:color="auto" w:sz="4" w:space="0"/>
              <w:lef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注：供应商（仅限于供应商自己的）以上履约能力需提供有关书面证明材料。</w:t>
      </w:r>
    </w:p>
    <w:p>
      <w:pPr>
        <w:spacing w:line="400" w:lineRule="exact"/>
        <w:ind w:left="360"/>
        <w:jc w:val="center"/>
        <w:rPr>
          <w:rFonts w:hint="eastAsia" w:ascii="宋体" w:hAnsi="宋体" w:eastAsia="宋体" w:cs="宋体"/>
          <w:color w:val="auto"/>
          <w:sz w:val="24"/>
          <w:highlight w:val="none"/>
        </w:rPr>
      </w:pPr>
    </w:p>
    <w:p>
      <w:pPr>
        <w:jc w:val="left"/>
        <w:rPr>
          <w:rFonts w:hint="eastAsia" w:ascii="宋体" w:hAnsi="宋体" w:eastAsia="宋体" w:cs="宋体"/>
          <w:color w:val="auto"/>
          <w:highlight w:val="none"/>
        </w:rPr>
      </w:pPr>
    </w:p>
    <w:p>
      <w:pPr>
        <w:adjustRightInd w:val="0"/>
        <w:spacing w:line="400" w:lineRule="exact"/>
        <w:ind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pPr>
        <w:spacing w:line="400" w:lineRule="exact"/>
        <w:ind w:firstLine="49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日期:</w:t>
      </w:r>
      <w:r>
        <w:rPr>
          <w:rFonts w:hint="eastAsia" w:ascii="宋体" w:hAnsi="宋体" w:eastAsia="宋体" w:cs="宋体"/>
          <w:color w:val="auto"/>
          <w:sz w:val="24"/>
          <w:highlight w:val="none"/>
          <w:u w:val="single"/>
        </w:rPr>
        <w:t xml:space="preserve">              </w:t>
      </w:r>
    </w:p>
    <w:p>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pacing w:line="400" w:lineRule="exact"/>
        <w:rPr>
          <w:rFonts w:hint="eastAsia" w:ascii="宋体" w:hAnsi="宋体" w:eastAsia="宋体" w:cs="宋体"/>
          <w:color w:val="auto"/>
          <w:sz w:val="28"/>
          <w:szCs w:val="28"/>
          <w:highlight w:val="none"/>
        </w:rPr>
      </w:pPr>
    </w:p>
    <w:p>
      <w:pPr>
        <w:spacing w:line="400" w:lineRule="exact"/>
        <w:ind w:firstLine="490" w:firstLineChars="200"/>
        <w:jc w:val="center"/>
        <w:rPr>
          <w:rFonts w:hint="eastAsia" w:ascii="宋体" w:hAnsi="宋体" w:eastAsia="宋体" w:cs="宋体"/>
          <w:color w:val="auto"/>
          <w:sz w:val="24"/>
          <w:highlight w:val="none"/>
        </w:rPr>
      </w:pPr>
      <w:bookmarkStart w:id="234" w:name="_Toc16459"/>
      <w:bookmarkEnd w:id="234"/>
    </w:p>
    <w:p>
      <w:pPr>
        <w:rPr>
          <w:rFonts w:hint="eastAsia" w:ascii="宋体" w:hAnsi="宋体" w:eastAsia="宋体" w:cs="宋体"/>
          <w:color w:val="auto"/>
          <w:highlight w:val="none"/>
        </w:rPr>
      </w:pPr>
    </w:p>
    <w:p>
      <w:pPr>
        <w:spacing w:line="400" w:lineRule="exact"/>
        <w:ind w:firstLine="49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widowControl/>
        <w:spacing w:line="588" w:lineRule="exact"/>
        <w:jc w:val="center"/>
        <w:outlineLvl w:val="1"/>
        <w:rPr>
          <w:rFonts w:hint="eastAsia" w:ascii="宋体" w:hAnsi="宋体" w:eastAsia="宋体" w:cs="宋体"/>
          <w:b/>
          <w:color w:val="auto"/>
          <w:sz w:val="32"/>
          <w:szCs w:val="28"/>
          <w:highlight w:val="none"/>
        </w:rPr>
      </w:pPr>
      <w:r>
        <w:rPr>
          <w:rFonts w:hint="eastAsia" w:ascii="宋体" w:hAnsi="宋体" w:eastAsia="宋体" w:cs="宋体"/>
          <w:b/>
          <w:color w:val="auto"/>
          <w:spacing w:val="6"/>
          <w:sz w:val="24"/>
          <w:highlight w:val="none"/>
        </w:rPr>
        <w:br w:type="page"/>
      </w:r>
      <w:bookmarkStart w:id="235" w:name="_Toc4616506"/>
      <w:r>
        <w:rPr>
          <w:rFonts w:hint="eastAsia" w:hAnsi="宋体" w:eastAsia="宋体" w:cs="宋体"/>
          <w:b/>
          <w:color w:val="auto"/>
          <w:sz w:val="32"/>
          <w:szCs w:val="32"/>
          <w:highlight w:val="none"/>
          <w:lang w:eastAsia="zh-CN"/>
        </w:rPr>
        <w:t>九</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28"/>
          <w:highlight w:val="none"/>
        </w:rPr>
        <w:t>成交代理服务费承诺书</w:t>
      </w:r>
      <w:bookmarkEnd w:id="235"/>
    </w:p>
    <w:p>
      <w:pPr>
        <w:shd w:val="clear" w:color="auto" w:fill="FFFFFF"/>
        <w:snapToGrid w:val="0"/>
        <w:spacing w:line="400" w:lineRule="exact"/>
        <w:ind w:right="-589" w:rightChars="-171" w:firstLine="49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shd w:val="clear" w:color="auto" w:fill="FFFFFF"/>
        <w:snapToGrid w:val="0"/>
        <w:spacing w:line="400" w:lineRule="exact"/>
        <w:ind w:right="-589" w:rightChars="-17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致：四川中意招标有限公司</w:t>
      </w:r>
    </w:p>
    <w:p>
      <w:pPr>
        <w:shd w:val="clear" w:color="auto" w:fill="FFFFFF"/>
        <w:snapToGrid w:val="0"/>
        <w:spacing w:line="400" w:lineRule="exact"/>
        <w:ind w:right="20" w:rightChars="6" w:firstLine="49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我单位在贵公司代理的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谈判活动中若获成交，我们保证在收到成交通知后2个工作日内按</w:t>
      </w:r>
      <w:r>
        <w:rPr>
          <w:rFonts w:hint="eastAsia" w:ascii="宋体" w:hAnsi="宋体" w:eastAsia="宋体" w:cs="宋体"/>
          <w:color w:val="auto"/>
          <w:sz w:val="24"/>
          <w:szCs w:val="24"/>
          <w:highlight w:val="none"/>
          <w:lang w:val="zh-CN"/>
        </w:rPr>
        <w:t>谈判采购文件</w:t>
      </w:r>
      <w:r>
        <w:rPr>
          <w:rFonts w:hint="eastAsia" w:ascii="宋体" w:hAnsi="宋体" w:eastAsia="宋体" w:cs="宋体"/>
          <w:color w:val="auto"/>
          <w:sz w:val="24"/>
          <w:szCs w:val="24"/>
          <w:highlight w:val="none"/>
        </w:rPr>
        <w:t>的规定，以支票、银行汇票、电汇、现金或经贵公司认可的一种方式，向贵公司即四川中意招标有限公司指定的银行账号，按照</w:t>
      </w:r>
      <w:r>
        <w:rPr>
          <w:rFonts w:hint="eastAsia" w:ascii="宋体" w:hAnsi="宋体" w:eastAsia="宋体" w:cs="宋体"/>
          <w:color w:val="auto"/>
          <w:sz w:val="24"/>
          <w:szCs w:val="24"/>
          <w:highlight w:val="none"/>
          <w:lang w:val="zh-CN"/>
        </w:rPr>
        <w:t>谈判采购文件中</w:t>
      </w:r>
      <w:r>
        <w:rPr>
          <w:rFonts w:hint="eastAsia" w:ascii="宋体" w:hAnsi="宋体" w:eastAsia="宋体" w:cs="宋体"/>
          <w:color w:val="auto"/>
          <w:sz w:val="24"/>
          <w:szCs w:val="24"/>
          <w:highlight w:val="none"/>
        </w:rPr>
        <w:t>成交代理服务费收取标准一次性支付全额的成交代理服务费，</w:t>
      </w:r>
      <w:r>
        <w:rPr>
          <w:rFonts w:hint="eastAsia" w:ascii="宋体" w:hAnsi="宋体" w:eastAsia="宋体" w:cs="宋体"/>
          <w:color w:val="auto"/>
          <w:sz w:val="24"/>
          <w:highlight w:val="none"/>
        </w:rPr>
        <w:t>同时我公司承诺，若因我公司原因造成自愿放弃</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资格或项目废标或质疑投诉取消</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资格等情况发生，我公司愿意承担所造成的一切损失。</w:t>
      </w:r>
    </w:p>
    <w:p>
      <w:pPr>
        <w:shd w:val="clear" w:color="auto" w:fill="FFFFFF"/>
        <w:snapToGrid w:val="0"/>
        <w:spacing w:line="400" w:lineRule="exact"/>
        <w:ind w:right="20" w:rightChars="6" w:firstLine="49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shd w:val="clear" w:color="auto" w:fill="FFFFFF"/>
        <w:snapToGrid w:val="0"/>
        <w:spacing w:line="400" w:lineRule="exact"/>
        <w:ind w:right="20" w:rightChars="6" w:firstLine="49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hd w:val="clear" w:color="auto" w:fill="FFFFFF"/>
        <w:snapToGrid w:val="0"/>
        <w:spacing w:line="400" w:lineRule="exact"/>
        <w:ind w:right="-589" w:rightChars="-171" w:firstLine="49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shd w:val="clear" w:color="auto" w:fill="FFFFFF"/>
        <w:snapToGrid w:val="0"/>
        <w:spacing w:line="400" w:lineRule="exact"/>
        <w:ind w:right="-589" w:rightChars="-171" w:firstLine="49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shd w:val="clear" w:color="auto" w:fill="FFFFFF"/>
        <w:snapToGrid w:val="0"/>
        <w:spacing w:line="400" w:lineRule="exact"/>
        <w:ind w:right="-589" w:rightChars="-171" w:firstLine="49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shd w:val="clear" w:color="auto" w:fill="FFFFFF"/>
        <w:snapToGrid w:val="0"/>
        <w:spacing w:line="400" w:lineRule="exact"/>
        <w:ind w:right="-589" w:rightChars="-171" w:firstLine="49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shd w:val="clear" w:color="auto" w:fill="FFFFFF"/>
        <w:snapToGrid w:val="0"/>
        <w:spacing w:line="400" w:lineRule="exact"/>
        <w:ind w:right="-589" w:rightChars="-171" w:firstLine="49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承诺方法定名称(承诺方盖章)：</w:t>
      </w:r>
    </w:p>
    <w:p>
      <w:pPr>
        <w:shd w:val="clear" w:color="auto" w:fill="FFFFFF"/>
        <w:snapToGrid w:val="0"/>
        <w:spacing w:line="400" w:lineRule="exact"/>
        <w:ind w:right="-589" w:rightChars="-171" w:firstLine="490" w:firstLineChars="200"/>
        <w:jc w:val="left"/>
        <w:rPr>
          <w:rFonts w:hint="eastAsia" w:ascii="宋体" w:hAnsi="宋体" w:eastAsia="宋体" w:cs="宋体"/>
          <w:color w:val="auto"/>
          <w:sz w:val="24"/>
          <w:szCs w:val="24"/>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widowControl/>
        <w:ind w:firstLine="385" w:firstLineChars="150"/>
        <w:jc w:val="left"/>
        <w:rPr>
          <w:rFonts w:hint="eastAsia" w:ascii="宋体" w:hAnsi="宋体" w:eastAsia="宋体" w:cs="宋体"/>
          <w:b/>
          <w:color w:val="auto"/>
          <w:spacing w:val="6"/>
          <w:sz w:val="24"/>
          <w:highlight w:val="none"/>
        </w:rPr>
      </w:pPr>
    </w:p>
    <w:p>
      <w:pPr>
        <w:widowControl/>
        <w:ind w:firstLine="385" w:firstLineChars="150"/>
        <w:jc w:val="left"/>
        <w:rPr>
          <w:rFonts w:hint="eastAsia" w:ascii="宋体" w:hAnsi="宋体" w:eastAsia="宋体" w:cs="宋体"/>
          <w:b/>
          <w:color w:val="auto"/>
          <w:spacing w:val="6"/>
          <w:sz w:val="24"/>
          <w:highlight w:val="none"/>
        </w:rPr>
      </w:pPr>
    </w:p>
    <w:p>
      <w:pPr>
        <w:pStyle w:val="17"/>
        <w:tabs>
          <w:tab w:val="left" w:pos="0"/>
        </w:tabs>
        <w:ind w:left="0" w:leftChars="0"/>
        <w:rPr>
          <w:rFonts w:hint="eastAsia" w:ascii="宋体" w:hAnsi="宋体" w:eastAsia="宋体" w:cs="宋体"/>
          <w:color w:val="auto"/>
          <w:highlight w:val="none"/>
        </w:rPr>
      </w:pPr>
    </w:p>
    <w:p>
      <w:pPr>
        <w:pStyle w:val="17"/>
        <w:tabs>
          <w:tab w:val="left" w:pos="0"/>
        </w:tabs>
        <w:ind w:left="0" w:leftChars="0"/>
        <w:rPr>
          <w:rFonts w:hint="eastAsia" w:ascii="宋体" w:hAnsi="宋体" w:eastAsia="宋体" w:cs="宋体"/>
          <w:color w:val="auto"/>
          <w:highlight w:val="none"/>
        </w:rPr>
      </w:pPr>
    </w:p>
    <w:p>
      <w:pPr>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236" w:name="_Toc4616507"/>
      <w:r>
        <w:rPr>
          <w:rFonts w:hint="eastAsia" w:hAnsi="宋体" w:eastAsia="宋体" w:cs="宋体"/>
          <w:b/>
          <w:color w:val="auto"/>
          <w:sz w:val="32"/>
          <w:szCs w:val="32"/>
          <w:highlight w:val="none"/>
          <w:lang w:eastAsia="zh-CN"/>
        </w:rPr>
        <w:t>十</w:t>
      </w:r>
      <w:r>
        <w:rPr>
          <w:rFonts w:hint="eastAsia" w:ascii="宋体" w:hAnsi="宋体" w:eastAsia="宋体" w:cs="宋体"/>
          <w:b/>
          <w:color w:val="auto"/>
          <w:sz w:val="32"/>
          <w:szCs w:val="32"/>
          <w:highlight w:val="none"/>
        </w:rPr>
        <w:t>、供应商本项目管理、技术、服务人员情况表</w:t>
      </w:r>
      <w:bookmarkEnd w:id="236"/>
    </w:p>
    <w:p>
      <w:pPr>
        <w:rPr>
          <w:rFonts w:hint="eastAsia" w:ascii="宋体" w:hAnsi="宋体" w:eastAsia="宋体" w:cs="宋体"/>
          <w:color w:val="auto"/>
          <w:sz w:val="32"/>
          <w:szCs w:val="32"/>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类别</w:t>
            </w:r>
          </w:p>
        </w:tc>
        <w:tc>
          <w:tcPr>
            <w:tcW w:w="947" w:type="dxa"/>
            <w:vMerge w:val="restart"/>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947" w:type="dxa"/>
            <w:vMerge w:val="restart"/>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947" w:type="dxa"/>
            <w:vMerge w:val="restart"/>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947" w:type="dxa"/>
            <w:vMerge w:val="restart"/>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常住地</w:t>
            </w:r>
          </w:p>
        </w:tc>
        <w:tc>
          <w:tcPr>
            <w:tcW w:w="3788" w:type="dxa"/>
            <w:gridSpan w:val="4"/>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ascii="宋体" w:hAnsi="宋体" w:eastAsia="宋体" w:cs="宋体"/>
                <w:color w:val="auto"/>
                <w:sz w:val="24"/>
                <w:highlight w:val="none"/>
              </w:rPr>
            </w:pPr>
          </w:p>
        </w:tc>
        <w:tc>
          <w:tcPr>
            <w:tcW w:w="947" w:type="dxa"/>
            <w:vMerge w:val="continue"/>
            <w:noWrap w:val="0"/>
            <w:vAlign w:val="center"/>
          </w:tcPr>
          <w:p>
            <w:pPr>
              <w:jc w:val="center"/>
              <w:rPr>
                <w:rFonts w:hint="eastAsia" w:ascii="宋体" w:hAnsi="宋体" w:eastAsia="宋体" w:cs="宋体"/>
                <w:color w:val="auto"/>
                <w:sz w:val="24"/>
                <w:highlight w:val="none"/>
              </w:rPr>
            </w:pPr>
          </w:p>
        </w:tc>
        <w:tc>
          <w:tcPr>
            <w:tcW w:w="947" w:type="dxa"/>
            <w:vMerge w:val="continue"/>
            <w:noWrap w:val="0"/>
            <w:vAlign w:val="center"/>
          </w:tcPr>
          <w:p>
            <w:pPr>
              <w:jc w:val="center"/>
              <w:rPr>
                <w:rFonts w:hint="eastAsia" w:ascii="宋体" w:hAnsi="宋体" w:eastAsia="宋体" w:cs="宋体"/>
                <w:color w:val="auto"/>
                <w:sz w:val="24"/>
                <w:highlight w:val="none"/>
              </w:rPr>
            </w:pPr>
          </w:p>
        </w:tc>
        <w:tc>
          <w:tcPr>
            <w:tcW w:w="947" w:type="dxa"/>
            <w:vMerge w:val="continue"/>
            <w:noWrap w:val="0"/>
            <w:vAlign w:val="center"/>
          </w:tcPr>
          <w:p>
            <w:pPr>
              <w:jc w:val="center"/>
              <w:rPr>
                <w:rFonts w:hint="eastAsia" w:ascii="宋体" w:hAnsi="宋体" w:eastAsia="宋体" w:cs="宋体"/>
                <w:color w:val="auto"/>
                <w:sz w:val="24"/>
                <w:highlight w:val="none"/>
              </w:rPr>
            </w:pPr>
          </w:p>
        </w:tc>
        <w:tc>
          <w:tcPr>
            <w:tcW w:w="947" w:type="dxa"/>
            <w:vMerge w:val="continue"/>
            <w:noWrap w:val="0"/>
            <w:vAlign w:val="center"/>
          </w:tcPr>
          <w:p>
            <w:pPr>
              <w:jc w:val="center"/>
              <w:rPr>
                <w:rFonts w:hint="eastAsia" w:ascii="宋体" w:hAnsi="宋体" w:eastAsia="宋体" w:cs="宋体"/>
                <w:color w:val="auto"/>
                <w:sz w:val="24"/>
                <w:highlight w:val="none"/>
              </w:rPr>
            </w:pPr>
          </w:p>
        </w:tc>
        <w:tc>
          <w:tcPr>
            <w:tcW w:w="947"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证书</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947"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级别</w:t>
            </w:r>
          </w:p>
        </w:tc>
        <w:tc>
          <w:tcPr>
            <w:tcW w:w="947"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证号</w:t>
            </w:r>
          </w:p>
        </w:tc>
        <w:tc>
          <w:tcPr>
            <w:tcW w:w="947"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XXXX</w:t>
            </w:r>
            <w:r>
              <w:rPr>
                <w:rFonts w:hint="eastAsia" w:ascii="宋体" w:hAnsi="宋体" w:eastAsia="宋体" w:cs="宋体"/>
                <w:color w:val="auto"/>
                <w:sz w:val="24"/>
                <w:highlight w:val="none"/>
              </w:rPr>
              <w:t>人员</w:t>
            </w: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XXXX</w:t>
            </w:r>
            <w:r>
              <w:rPr>
                <w:rFonts w:hint="eastAsia" w:ascii="宋体" w:hAnsi="宋体" w:eastAsia="宋体" w:cs="宋体"/>
                <w:color w:val="auto"/>
                <w:sz w:val="24"/>
                <w:highlight w:val="none"/>
              </w:rPr>
              <w:t>人员</w:t>
            </w: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XXXX</w:t>
            </w:r>
            <w:r>
              <w:rPr>
                <w:rFonts w:hint="eastAsia" w:ascii="宋体" w:hAnsi="宋体" w:eastAsia="宋体" w:cs="宋体"/>
                <w:color w:val="auto"/>
                <w:sz w:val="24"/>
                <w:highlight w:val="none"/>
              </w:rPr>
              <w:t>人员</w:t>
            </w: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c>
          <w:tcPr>
            <w:tcW w:w="947" w:type="dxa"/>
            <w:noWrap w:val="0"/>
            <w:vAlign w:val="top"/>
          </w:tcPr>
          <w:p>
            <w:pPr>
              <w:rPr>
                <w:rFonts w:hint="eastAsia" w:ascii="宋体" w:hAnsi="宋体" w:eastAsia="宋体" w:cs="宋体"/>
                <w:color w:val="auto"/>
                <w:sz w:val="24"/>
                <w:highlight w:val="none"/>
              </w:rPr>
            </w:pPr>
          </w:p>
        </w:tc>
      </w:tr>
    </w:tbl>
    <w:p>
      <w:pPr>
        <w:widowControl/>
        <w:spacing w:line="360" w:lineRule="atLeas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注：1、此表格中需要填写的</w:t>
      </w:r>
      <w:r>
        <w:rPr>
          <w:rFonts w:hint="eastAsia" w:ascii="宋体" w:hAnsi="宋体" w:eastAsia="宋体" w:cs="宋体"/>
          <w:color w:val="auto"/>
          <w:sz w:val="24"/>
          <w:highlight w:val="none"/>
        </w:rPr>
        <w:t>若无涉及可不填写此项或“</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w:t>
      </w:r>
    </w:p>
    <w:p>
      <w:pPr>
        <w:widowControl/>
        <w:spacing w:line="360" w:lineRule="atLeast"/>
        <w:ind w:firstLine="479" w:firstLineChars="196"/>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2、此表格式可自拟。</w:t>
      </w: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供应商名称：XXX（盖单位公章）</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期：XXX</w:t>
      </w: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highlight w:val="none"/>
        </w:rPr>
      </w:pPr>
    </w:p>
    <w:p>
      <w:pPr>
        <w:pStyle w:val="17"/>
        <w:spacing w:line="240" w:lineRule="auto"/>
        <w:ind w:left="0" w:leftChars="0"/>
        <w:jc w:val="center"/>
        <w:outlineLvl w:val="1"/>
        <w:rPr>
          <w:rFonts w:hint="eastAsia" w:ascii="宋体" w:hAnsi="宋体" w:eastAsia="宋体" w:cs="宋体"/>
          <w:b/>
          <w:bCs/>
          <w:color w:val="auto"/>
          <w:sz w:val="32"/>
          <w:szCs w:val="32"/>
          <w:highlight w:val="none"/>
        </w:rPr>
      </w:pPr>
      <w:bookmarkStart w:id="237" w:name="_Toc4616508"/>
      <w:bookmarkStart w:id="238" w:name="_Toc343609173"/>
      <w:bookmarkStart w:id="239" w:name="_Toc311728210"/>
      <w:bookmarkStart w:id="240" w:name="_Toc1095"/>
      <w:bookmarkStart w:id="241" w:name="_Toc306956831"/>
      <w:bookmarkStart w:id="242" w:name="_Toc311728085"/>
      <w:bookmarkStart w:id="243" w:name="_Toc311122402"/>
      <w:bookmarkStart w:id="244" w:name="_Toc359493464"/>
      <w:bookmarkStart w:id="245" w:name="_Toc307564869"/>
      <w:r>
        <w:rPr>
          <w:rFonts w:hint="eastAsia" w:ascii="宋体" w:hAnsi="宋体" w:eastAsia="宋体" w:cs="宋体"/>
          <w:b/>
          <w:bCs/>
          <w:color w:val="auto"/>
          <w:sz w:val="32"/>
          <w:szCs w:val="32"/>
          <w:highlight w:val="none"/>
        </w:rPr>
        <w:t>十</w:t>
      </w:r>
      <w:r>
        <w:rPr>
          <w:rFonts w:hint="eastAsia" w:ascii="宋体" w:hAnsi="宋体" w:eastAsia="宋体" w:cs="宋体"/>
          <w:b/>
          <w:bCs/>
          <w:color w:val="auto"/>
          <w:sz w:val="32"/>
          <w:szCs w:val="32"/>
          <w:highlight w:val="none"/>
          <w:lang w:eastAsia="zh-CN"/>
        </w:rPr>
        <w:t>一</w:t>
      </w:r>
      <w:r>
        <w:rPr>
          <w:rFonts w:hint="eastAsia" w:ascii="宋体" w:hAnsi="宋体" w:eastAsia="宋体" w:cs="宋体"/>
          <w:b/>
          <w:bCs/>
          <w:color w:val="auto"/>
          <w:sz w:val="32"/>
          <w:szCs w:val="32"/>
          <w:highlight w:val="none"/>
        </w:rPr>
        <w:t>、知识产权声明函</w:t>
      </w:r>
      <w:bookmarkEnd w:id="237"/>
    </w:p>
    <w:p>
      <w:pPr>
        <w:pStyle w:val="17"/>
        <w:spacing w:line="240" w:lineRule="auto"/>
        <w:ind w:left="0" w:leftChars="0"/>
        <w:rPr>
          <w:rFonts w:hint="eastAsia" w:ascii="宋体" w:hAnsi="宋体" w:eastAsia="宋体" w:cs="宋体"/>
          <w:color w:val="auto"/>
          <w:sz w:val="24"/>
          <w:highlight w:val="none"/>
        </w:rPr>
      </w:pPr>
    </w:p>
    <w:p>
      <w:pPr>
        <w:pStyle w:val="17"/>
        <w:spacing w:line="40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致：四川中意招标有限公司</w:t>
      </w:r>
    </w:p>
    <w:p>
      <w:pPr>
        <w:pStyle w:val="17"/>
        <w:spacing w:line="400" w:lineRule="exact"/>
        <w:ind w:left="0" w:leftChars="0"/>
        <w:rPr>
          <w:rFonts w:hint="eastAsia" w:ascii="宋体" w:hAnsi="宋体" w:eastAsia="宋体" w:cs="宋体"/>
          <w:color w:val="auto"/>
          <w:sz w:val="24"/>
          <w:highlight w:val="none"/>
        </w:rPr>
      </w:pPr>
    </w:p>
    <w:p>
      <w:pPr>
        <w:pStyle w:val="17"/>
        <w:spacing w:line="40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本单位__________________（公司名称）参加__________________（项目名称）的谈判活动，现承诺声明：</w:t>
      </w:r>
    </w:p>
    <w:p>
      <w:pPr>
        <w:pStyle w:val="17"/>
        <w:numPr>
          <w:ilvl w:val="0"/>
          <w:numId w:val="5"/>
        </w:numPr>
        <w:spacing w:line="400" w:lineRule="exact"/>
        <w:ind w:left="238" w:leftChars="0"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pPr>
        <w:pStyle w:val="17"/>
        <w:numPr>
          <w:ilvl w:val="0"/>
          <w:numId w:val="5"/>
        </w:numPr>
        <w:spacing w:line="400" w:lineRule="exact"/>
        <w:ind w:left="238" w:leftChars="0"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采购人享有本项目实施过程中产生的知识成果及知识产权。</w:t>
      </w:r>
    </w:p>
    <w:p>
      <w:pPr>
        <w:pStyle w:val="17"/>
        <w:numPr>
          <w:ilvl w:val="0"/>
          <w:numId w:val="5"/>
        </w:numPr>
        <w:spacing w:line="400" w:lineRule="exact"/>
        <w:ind w:left="238" w:leftChars="0"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pPr>
        <w:pStyle w:val="17"/>
        <w:numPr>
          <w:ilvl w:val="0"/>
          <w:numId w:val="5"/>
        </w:numPr>
        <w:spacing w:line="400" w:lineRule="exact"/>
        <w:ind w:left="238" w:leftChars="0"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如采用本单位所不拥有的知识产权，本单位承诺在本项目报价中已经包括合法获取该知识产权的相关费用。</w:t>
      </w:r>
    </w:p>
    <w:p>
      <w:pPr>
        <w:pStyle w:val="17"/>
        <w:spacing w:line="400" w:lineRule="exact"/>
        <w:ind w:left="0" w:leftChars="0"/>
        <w:rPr>
          <w:rFonts w:hint="eastAsia" w:ascii="宋体" w:hAnsi="宋体" w:eastAsia="宋体" w:cs="宋体"/>
          <w:color w:val="auto"/>
          <w:sz w:val="24"/>
          <w:highlight w:val="none"/>
        </w:rPr>
      </w:pPr>
    </w:p>
    <w:p>
      <w:pPr>
        <w:pStyle w:val="17"/>
        <w:spacing w:line="400" w:lineRule="exact"/>
        <w:ind w:left="0" w:leftChars="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注：1、本单位对上述承诺声明内容事项真实性负责。如经查实上述承诺声明的内容事项存在虚假或未履行，本单位愿意接受以提供虚假材料谋取成交追究法律责任。</w:t>
      </w:r>
    </w:p>
    <w:p>
      <w:pPr>
        <w:pStyle w:val="12"/>
        <w:spacing w:line="400" w:lineRule="exact"/>
        <w:ind w:firstLine="490" w:firstLineChars="200"/>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2、如供应商承诺函后，再发生知识产权纠纷，则全部责任由供应商负责。</w:t>
      </w:r>
    </w:p>
    <w:p>
      <w:pPr>
        <w:pStyle w:val="17"/>
        <w:spacing w:line="400" w:lineRule="exact"/>
        <w:ind w:left="0" w:leftChars="0"/>
        <w:rPr>
          <w:rFonts w:hint="eastAsia" w:ascii="宋体" w:hAnsi="宋体" w:eastAsia="宋体" w:cs="宋体"/>
          <w:color w:val="auto"/>
          <w:sz w:val="24"/>
          <w:highlight w:val="none"/>
        </w:rPr>
      </w:pPr>
    </w:p>
    <w:p>
      <w:pPr>
        <w:pStyle w:val="17"/>
        <w:spacing w:line="400" w:lineRule="exact"/>
        <w:ind w:left="0" w:leftChars="0"/>
        <w:rPr>
          <w:rFonts w:hint="eastAsia" w:ascii="宋体" w:hAnsi="宋体" w:eastAsia="宋体" w:cs="宋体"/>
          <w:color w:val="auto"/>
          <w:sz w:val="24"/>
          <w:highlight w:val="none"/>
        </w:rPr>
      </w:pPr>
    </w:p>
    <w:p>
      <w:pPr>
        <w:pStyle w:val="17"/>
        <w:spacing w:line="400" w:lineRule="exact"/>
        <w:ind w:left="0" w:leftChars="0"/>
        <w:rPr>
          <w:rFonts w:hint="eastAsia" w:ascii="宋体" w:hAnsi="宋体" w:eastAsia="宋体" w:cs="宋体"/>
          <w:color w:val="auto"/>
          <w:sz w:val="24"/>
          <w:highlight w:val="none"/>
        </w:rPr>
      </w:pPr>
    </w:p>
    <w:p>
      <w:pPr>
        <w:pStyle w:val="17"/>
        <w:spacing w:line="40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供应商名称：__________________（盖章）</w:t>
      </w:r>
    </w:p>
    <w:p>
      <w:pPr>
        <w:pStyle w:val="17"/>
        <w:spacing w:line="40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bookmarkEnd w:id="238"/>
    <w:bookmarkEnd w:id="239"/>
    <w:bookmarkEnd w:id="240"/>
    <w:bookmarkEnd w:id="241"/>
    <w:bookmarkEnd w:id="242"/>
    <w:bookmarkEnd w:id="243"/>
    <w:bookmarkEnd w:id="244"/>
    <w:bookmarkEnd w:id="245"/>
    <w:p>
      <w:pPr>
        <w:widowControl/>
        <w:spacing w:line="360" w:lineRule="atLeast"/>
        <w:jc w:val="center"/>
        <w:outlineLvl w:val="1"/>
        <w:rPr>
          <w:rFonts w:hint="eastAsia" w:ascii="宋体" w:hAnsi="宋体" w:eastAsia="宋体" w:cs="宋体"/>
          <w:b/>
          <w:color w:val="auto"/>
          <w:sz w:val="32"/>
          <w:szCs w:val="28"/>
          <w:highlight w:val="none"/>
          <w:lang w:eastAsia="zh-CN"/>
        </w:rPr>
        <w:sectPr>
          <w:pgSz w:w="11850" w:h="16783"/>
          <w:pgMar w:top="1440" w:right="1083" w:bottom="1440" w:left="1083" w:header="851" w:footer="992" w:gutter="0"/>
          <w:pgNumType w:fmt="decimal"/>
          <w:cols w:space="720" w:num="1"/>
          <w:docGrid w:type="linesAndChars" w:linePitch="463" w:charSpace="1024"/>
        </w:sectPr>
      </w:pPr>
      <w:bookmarkStart w:id="246" w:name="_Toc4392"/>
      <w:bookmarkStart w:id="247" w:name="_Toc24850"/>
      <w:bookmarkStart w:id="248" w:name="_Toc28944"/>
      <w:bookmarkStart w:id="249" w:name="_Toc4230"/>
      <w:bookmarkStart w:id="250" w:name="_Toc21676"/>
      <w:bookmarkStart w:id="251" w:name="_Toc28518"/>
      <w:bookmarkStart w:id="252" w:name="_Toc7658"/>
      <w:bookmarkStart w:id="253" w:name="_Toc17518"/>
      <w:bookmarkStart w:id="254" w:name="_Toc2180"/>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十</w:t>
      </w:r>
      <w:r>
        <w:rPr>
          <w:rFonts w:hint="eastAsia" w:hAnsi="宋体" w:eastAsia="宋体" w:cs="宋体"/>
          <w:b/>
          <w:bCs/>
          <w:color w:val="auto"/>
          <w:kern w:val="2"/>
          <w:sz w:val="32"/>
          <w:szCs w:val="32"/>
          <w:highlight w:val="none"/>
          <w:lang w:val="en-US" w:eastAsia="zh-CN" w:bidi="ar-SA"/>
        </w:rPr>
        <w:t>二</w:t>
      </w:r>
      <w:r>
        <w:rPr>
          <w:rFonts w:hint="eastAsia" w:ascii="宋体" w:hAnsi="宋体" w:eastAsia="宋体" w:cs="宋体"/>
          <w:b/>
          <w:bCs/>
          <w:color w:val="auto"/>
          <w:kern w:val="2"/>
          <w:sz w:val="32"/>
          <w:szCs w:val="32"/>
          <w:highlight w:val="none"/>
          <w:lang w:val="en-US" w:eastAsia="zh-CN" w:bidi="ar-SA"/>
        </w:rPr>
        <w:t>、其他实质性要求承诺</w:t>
      </w:r>
    </w:p>
    <w:p>
      <w:pPr>
        <w:widowControl/>
        <w:spacing w:line="420" w:lineRule="exact"/>
        <w:jc w:val="left"/>
        <w:rPr>
          <w:rFonts w:hint="eastAsia" w:ascii="宋体" w:hAnsi="宋体" w:eastAsia="宋体" w:cs="宋体"/>
          <w:color w:val="auto"/>
          <w:sz w:val="24"/>
          <w:szCs w:val="22"/>
          <w:highlight w:val="none"/>
        </w:rPr>
      </w:pPr>
    </w:p>
    <w:p>
      <w:pPr>
        <w:keepNext w:val="0"/>
        <w:keepLines w:val="0"/>
        <w:pageBreakBefore w:val="0"/>
        <w:widowControl/>
        <w:kinsoku/>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四川中意招标有限公司：</w:t>
      </w:r>
    </w:p>
    <w:p>
      <w:pPr>
        <w:keepNext w:val="0"/>
        <w:keepLines w:val="0"/>
        <w:pageBreakBefore w:val="0"/>
        <w:widowControl/>
        <w:kinsoku/>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我公司作为本次采购项目的</w:t>
      </w:r>
      <w:r>
        <w:rPr>
          <w:rFonts w:hint="eastAsia" w:ascii="宋体" w:hAnsi="宋体" w:eastAsia="宋体" w:cs="宋体"/>
          <w:color w:val="auto"/>
          <w:sz w:val="24"/>
          <w:szCs w:val="22"/>
          <w:highlight w:val="none"/>
          <w:lang w:eastAsia="zh-CN"/>
        </w:rPr>
        <w:t>供应商</w:t>
      </w:r>
      <w:r>
        <w:rPr>
          <w:rFonts w:hint="eastAsia" w:ascii="宋体" w:hAnsi="宋体" w:eastAsia="宋体" w:cs="宋体"/>
          <w:color w:val="auto"/>
          <w:sz w:val="24"/>
          <w:szCs w:val="22"/>
          <w:highlight w:val="none"/>
        </w:rPr>
        <w:t>，根据</w:t>
      </w:r>
      <w:r>
        <w:rPr>
          <w:rFonts w:hint="eastAsia" w:ascii="宋体" w:hAnsi="宋体" w:eastAsia="宋体" w:cs="宋体"/>
          <w:color w:val="auto"/>
          <w:sz w:val="24"/>
          <w:szCs w:val="22"/>
          <w:highlight w:val="none"/>
          <w:lang w:eastAsia="zh-CN"/>
        </w:rPr>
        <w:t>谈判</w:t>
      </w:r>
      <w:r>
        <w:rPr>
          <w:rFonts w:hint="eastAsia" w:ascii="宋体" w:hAnsi="宋体" w:eastAsia="宋体" w:cs="宋体"/>
          <w:color w:val="auto"/>
          <w:sz w:val="24"/>
          <w:szCs w:val="22"/>
          <w:highlight w:val="none"/>
        </w:rPr>
        <w:t>文件要求，现郑重承诺如下：</w:t>
      </w:r>
    </w:p>
    <w:p>
      <w:pPr>
        <w:keepNext w:val="0"/>
        <w:keepLines w:val="0"/>
        <w:pageBreakBefore w:val="0"/>
        <w:widowControl/>
        <w:kinsoku/>
        <w:wordWrap w:val="0"/>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b/>
          <w:color w:val="auto"/>
          <w:sz w:val="24"/>
          <w:szCs w:val="22"/>
          <w:highlight w:val="none"/>
        </w:rPr>
        <w:t>（实质性要求）</w:t>
      </w:r>
      <w:r>
        <w:rPr>
          <w:rFonts w:hint="eastAsia" w:ascii="宋体" w:hAnsi="宋体" w:eastAsia="宋体" w:cs="宋体"/>
          <w:color w:val="auto"/>
          <w:sz w:val="24"/>
          <w:szCs w:val="22"/>
          <w:highlight w:val="none"/>
        </w:rPr>
        <w:t>一、</w:t>
      </w:r>
      <w:r>
        <w:rPr>
          <w:rFonts w:hint="eastAsia" w:ascii="宋体" w:hAnsi="宋体" w:eastAsia="宋体" w:cs="宋体"/>
          <w:color w:val="auto"/>
          <w:sz w:val="24"/>
          <w:highlight w:val="none"/>
        </w:rPr>
        <w:t>我方承诺，我单位及其现任法定代表人、主要负责人不具有行贿犯罪记录。</w:t>
      </w:r>
    </w:p>
    <w:p>
      <w:pPr>
        <w:keepNext w:val="0"/>
        <w:keepLines w:val="0"/>
        <w:pageBreakBefore w:val="0"/>
        <w:widowControl/>
        <w:kinsoku/>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b/>
          <w:color w:val="auto"/>
          <w:sz w:val="24"/>
          <w:szCs w:val="22"/>
          <w:highlight w:val="none"/>
        </w:rPr>
        <w:t>（实质性要求）</w:t>
      </w:r>
      <w:r>
        <w:rPr>
          <w:rFonts w:hint="eastAsia" w:ascii="宋体" w:hAnsi="宋体" w:eastAsia="宋体" w:cs="宋体"/>
          <w:color w:val="auto"/>
          <w:sz w:val="24"/>
          <w:szCs w:val="22"/>
          <w:highlight w:val="none"/>
        </w:rPr>
        <w:t>二、</w:t>
      </w:r>
      <w:r>
        <w:rPr>
          <w:rFonts w:hint="eastAsia" w:ascii="宋体" w:hAnsi="宋体" w:eastAsia="宋体" w:cs="宋体"/>
          <w:color w:val="auto"/>
          <w:sz w:val="24"/>
          <w:szCs w:val="22"/>
          <w:highlight w:val="none"/>
          <w:lang w:eastAsia="zh-CN"/>
        </w:rPr>
        <w:t>响应</w:t>
      </w:r>
      <w:r>
        <w:rPr>
          <w:rFonts w:hint="eastAsia" w:ascii="宋体" w:hAnsi="宋体" w:eastAsia="宋体" w:cs="宋体"/>
          <w:color w:val="auto"/>
          <w:sz w:val="24"/>
          <w:szCs w:val="22"/>
          <w:highlight w:val="none"/>
        </w:rPr>
        <w:t>文件中提供的任何资料和技术、服务、商务等响应承诺情况都是真实的、有效的、合法的。</w:t>
      </w:r>
    </w:p>
    <w:p>
      <w:pPr>
        <w:keepNext w:val="0"/>
        <w:keepLines w:val="0"/>
        <w:pageBreakBefore w:val="0"/>
        <w:widowControl/>
        <w:kinsoku/>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b/>
          <w:color w:val="auto"/>
          <w:sz w:val="24"/>
          <w:szCs w:val="22"/>
          <w:highlight w:val="none"/>
        </w:rPr>
        <w:t>（实质性要求）</w:t>
      </w:r>
      <w:r>
        <w:rPr>
          <w:rFonts w:hint="eastAsia" w:ascii="宋体" w:hAnsi="宋体" w:eastAsia="宋体" w:cs="宋体"/>
          <w:color w:val="auto"/>
          <w:sz w:val="24"/>
          <w:szCs w:val="22"/>
          <w:highlight w:val="none"/>
        </w:rPr>
        <w:t>三、如本项目评标过程中需要提供样品，则我公司提供的样品即为</w:t>
      </w:r>
      <w:r>
        <w:rPr>
          <w:rFonts w:hint="eastAsia" w:ascii="宋体" w:hAnsi="宋体" w:eastAsia="宋体" w:cs="宋体"/>
          <w:color w:val="auto"/>
          <w:sz w:val="24"/>
          <w:szCs w:val="22"/>
          <w:highlight w:val="none"/>
          <w:lang w:eastAsia="zh-CN"/>
        </w:rPr>
        <w:t>成交</w:t>
      </w:r>
      <w:r>
        <w:rPr>
          <w:rFonts w:hint="eastAsia" w:ascii="宋体" w:hAnsi="宋体" w:eastAsia="宋体" w:cs="宋体"/>
          <w:color w:val="auto"/>
          <w:sz w:val="24"/>
          <w:szCs w:val="22"/>
          <w:highlight w:val="none"/>
        </w:rPr>
        <w:t>后将要提供的</w:t>
      </w:r>
      <w:r>
        <w:rPr>
          <w:rFonts w:hint="eastAsia" w:ascii="宋体" w:hAnsi="宋体" w:eastAsia="宋体" w:cs="宋体"/>
          <w:color w:val="auto"/>
          <w:sz w:val="24"/>
          <w:szCs w:val="22"/>
          <w:highlight w:val="none"/>
          <w:lang w:eastAsia="zh-CN"/>
        </w:rPr>
        <w:t>成交</w:t>
      </w:r>
      <w:r>
        <w:rPr>
          <w:rFonts w:hint="eastAsia" w:ascii="宋体" w:hAnsi="宋体" w:eastAsia="宋体" w:cs="宋体"/>
          <w:color w:val="auto"/>
          <w:sz w:val="24"/>
          <w:szCs w:val="22"/>
          <w:highlight w:val="none"/>
        </w:rPr>
        <w:t>产品，我公司对提供样品的性能和质量负责，因样品存在缺陷或者不符合</w:t>
      </w:r>
      <w:r>
        <w:rPr>
          <w:rFonts w:hint="eastAsia" w:ascii="宋体" w:hAnsi="宋体" w:eastAsia="宋体" w:cs="宋体"/>
          <w:color w:val="auto"/>
          <w:sz w:val="24"/>
          <w:szCs w:val="22"/>
          <w:highlight w:val="none"/>
          <w:lang w:eastAsia="zh-CN"/>
        </w:rPr>
        <w:t>谈判文件</w:t>
      </w:r>
      <w:r>
        <w:rPr>
          <w:rFonts w:hint="eastAsia" w:ascii="宋体" w:hAnsi="宋体" w:eastAsia="宋体" w:cs="宋体"/>
          <w:color w:val="auto"/>
          <w:sz w:val="24"/>
          <w:szCs w:val="22"/>
          <w:highlight w:val="none"/>
        </w:rPr>
        <w:t>要求导致未能</w:t>
      </w:r>
      <w:r>
        <w:rPr>
          <w:rFonts w:hint="eastAsia" w:ascii="宋体" w:hAnsi="宋体" w:eastAsia="宋体" w:cs="宋体"/>
          <w:color w:val="auto"/>
          <w:sz w:val="24"/>
          <w:szCs w:val="22"/>
          <w:highlight w:val="none"/>
          <w:lang w:eastAsia="zh-CN"/>
        </w:rPr>
        <w:t>成交</w:t>
      </w:r>
      <w:r>
        <w:rPr>
          <w:rFonts w:hint="eastAsia" w:ascii="宋体" w:hAnsi="宋体" w:eastAsia="宋体" w:cs="宋体"/>
          <w:color w:val="auto"/>
          <w:sz w:val="24"/>
          <w:szCs w:val="22"/>
          <w:highlight w:val="none"/>
        </w:rPr>
        <w:t>的，我公司愿意承担相应不利后果。</w:t>
      </w:r>
    </w:p>
    <w:p>
      <w:pPr>
        <w:keepNext w:val="0"/>
        <w:keepLines w:val="0"/>
        <w:pageBreakBefore w:val="0"/>
        <w:widowControl/>
        <w:kinsoku/>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sz w:val="24"/>
          <w:szCs w:val="22"/>
          <w:highlight w:val="none"/>
          <w:lang w:val="zh-CN"/>
        </w:rPr>
      </w:pPr>
      <w:r>
        <w:rPr>
          <w:rFonts w:hint="eastAsia" w:ascii="宋体" w:hAnsi="宋体" w:eastAsia="宋体" w:cs="宋体"/>
          <w:b/>
          <w:bCs/>
          <w:color w:val="auto"/>
          <w:sz w:val="24"/>
          <w:szCs w:val="22"/>
          <w:highlight w:val="none"/>
        </w:rPr>
        <w:t>（实质性要求）</w:t>
      </w:r>
      <w:r>
        <w:rPr>
          <w:rFonts w:hint="eastAsia" w:ascii="宋体" w:hAnsi="宋体" w:eastAsia="宋体" w:cs="宋体"/>
          <w:color w:val="auto"/>
          <w:sz w:val="24"/>
          <w:szCs w:val="22"/>
          <w:highlight w:val="none"/>
        </w:rPr>
        <w:t>四、</w:t>
      </w:r>
      <w:r>
        <w:rPr>
          <w:rFonts w:hint="eastAsia" w:ascii="宋体" w:hAnsi="宋体" w:eastAsia="宋体" w:cs="宋体"/>
          <w:color w:val="auto"/>
          <w:sz w:val="24"/>
          <w:szCs w:val="22"/>
          <w:highlight w:val="none"/>
          <w:lang w:val="zh-CN"/>
        </w:rPr>
        <w:t>我方承诺，成交后如未按照合同签订时约定的时间按时完成，采购人有权要求我方按照合同约定的时间每延期一天按合同总价款的千分之二金额向采购人缴纳违约金。我公司愿意承担相应法律责任。</w:t>
      </w:r>
    </w:p>
    <w:p>
      <w:pPr>
        <w:keepNext w:val="0"/>
        <w:keepLines w:val="0"/>
        <w:pageBreakBefore w:val="0"/>
        <w:widowControl/>
        <w:kinsoku/>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sz w:val="24"/>
          <w:szCs w:val="22"/>
          <w:highlight w:val="none"/>
          <w:lang w:val="zh-CN"/>
        </w:rPr>
      </w:pPr>
      <w:r>
        <w:rPr>
          <w:rFonts w:hint="eastAsia" w:ascii="宋体" w:hAnsi="宋体" w:eastAsia="宋体" w:cs="宋体"/>
          <w:b/>
          <w:bCs/>
          <w:color w:val="auto"/>
          <w:sz w:val="24"/>
          <w:szCs w:val="22"/>
          <w:highlight w:val="none"/>
        </w:rPr>
        <w:t>（实质性要求）</w:t>
      </w:r>
      <w:r>
        <w:rPr>
          <w:rFonts w:hint="eastAsia" w:ascii="宋体" w:hAnsi="宋体" w:eastAsia="宋体" w:cs="宋体"/>
          <w:color w:val="auto"/>
          <w:sz w:val="24"/>
          <w:szCs w:val="22"/>
          <w:highlight w:val="none"/>
        </w:rPr>
        <w:t>五、</w:t>
      </w:r>
      <w:r>
        <w:rPr>
          <w:rFonts w:hint="eastAsia" w:ascii="宋体" w:hAnsi="宋体" w:eastAsia="宋体" w:cs="宋体"/>
          <w:color w:val="auto"/>
          <w:sz w:val="24"/>
          <w:szCs w:val="22"/>
          <w:highlight w:val="none"/>
          <w:lang w:val="zh-CN"/>
        </w:rPr>
        <w:t>我方承诺，</w:t>
      </w:r>
      <w:r>
        <w:rPr>
          <w:rFonts w:hint="eastAsia" w:ascii="宋体" w:hAnsi="宋体" w:eastAsia="宋体" w:cs="宋体"/>
          <w:color w:val="auto"/>
          <w:sz w:val="24"/>
          <w:szCs w:val="22"/>
          <w:highlight w:val="none"/>
        </w:rPr>
        <w:t>我方未在技术偏离表中应答的技术响应情况，视为完全响应不存在任何偏离。我方在</w:t>
      </w:r>
      <w:r>
        <w:rPr>
          <w:rFonts w:hint="eastAsia" w:ascii="宋体" w:hAnsi="宋体" w:eastAsia="宋体" w:cs="宋体"/>
          <w:color w:val="auto"/>
          <w:sz w:val="24"/>
          <w:szCs w:val="22"/>
          <w:highlight w:val="none"/>
          <w:lang w:eastAsia="zh-CN"/>
        </w:rPr>
        <w:t>响应</w:t>
      </w:r>
      <w:r>
        <w:rPr>
          <w:rFonts w:hint="eastAsia" w:ascii="宋体" w:hAnsi="宋体" w:eastAsia="宋体" w:cs="宋体"/>
          <w:color w:val="auto"/>
          <w:sz w:val="24"/>
          <w:szCs w:val="22"/>
          <w:highlight w:val="none"/>
        </w:rPr>
        <w:t>文件中提供的标的性能指标，均为真实准确，如</w:t>
      </w:r>
      <w:r>
        <w:rPr>
          <w:rFonts w:hint="eastAsia" w:ascii="宋体" w:hAnsi="宋体" w:eastAsia="宋体" w:cs="宋体"/>
          <w:color w:val="auto"/>
          <w:sz w:val="24"/>
          <w:szCs w:val="22"/>
          <w:highlight w:val="none"/>
          <w:lang w:eastAsia="zh-CN"/>
        </w:rPr>
        <w:t>采购人</w:t>
      </w:r>
      <w:r>
        <w:rPr>
          <w:rFonts w:hint="eastAsia" w:ascii="宋体" w:hAnsi="宋体" w:eastAsia="宋体" w:cs="宋体"/>
          <w:color w:val="auto"/>
          <w:sz w:val="24"/>
          <w:szCs w:val="22"/>
          <w:highlight w:val="none"/>
        </w:rPr>
        <w:t>在验收或使用过程中发现</w:t>
      </w:r>
      <w:r>
        <w:rPr>
          <w:rFonts w:hint="eastAsia" w:ascii="宋体" w:hAnsi="宋体" w:eastAsia="宋体" w:cs="宋体"/>
          <w:color w:val="auto"/>
          <w:sz w:val="24"/>
          <w:szCs w:val="22"/>
          <w:highlight w:val="none"/>
          <w:lang w:eastAsia="zh-CN"/>
        </w:rPr>
        <w:t>供应商</w:t>
      </w:r>
      <w:r>
        <w:rPr>
          <w:rFonts w:hint="eastAsia" w:ascii="宋体" w:hAnsi="宋体" w:eastAsia="宋体" w:cs="宋体"/>
          <w:color w:val="auto"/>
          <w:sz w:val="24"/>
          <w:szCs w:val="22"/>
          <w:highlight w:val="none"/>
        </w:rPr>
        <w:t>弄虚作假，经第三方验证属实，</w:t>
      </w:r>
      <w:r>
        <w:rPr>
          <w:rFonts w:hint="eastAsia" w:ascii="宋体" w:hAnsi="宋体" w:eastAsia="宋体" w:cs="宋体"/>
          <w:color w:val="auto"/>
          <w:sz w:val="24"/>
          <w:szCs w:val="22"/>
          <w:highlight w:val="none"/>
          <w:lang w:val="zh-CN"/>
        </w:rPr>
        <w:t>我公司愿意承担相应法律责任。</w:t>
      </w:r>
    </w:p>
    <w:p>
      <w:pPr>
        <w:keepNext w:val="0"/>
        <w:keepLines w:val="0"/>
        <w:pageBreakBefore w:val="0"/>
        <w:kinsoku/>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（实质性要求）</w:t>
      </w:r>
      <w:r>
        <w:rPr>
          <w:rFonts w:hint="eastAsia" w:ascii="宋体" w:hAnsi="宋体" w:eastAsia="宋体" w:cs="宋体"/>
          <w:color w:val="auto"/>
          <w:sz w:val="24"/>
          <w:highlight w:val="none"/>
          <w:lang w:eastAsia="zh-CN"/>
        </w:rPr>
        <w:t>六</w:t>
      </w:r>
      <w:r>
        <w:rPr>
          <w:rFonts w:hint="eastAsia" w:ascii="宋体" w:hAnsi="宋体" w:eastAsia="宋体" w:cs="宋体"/>
          <w:color w:val="auto"/>
          <w:sz w:val="24"/>
          <w:highlight w:val="none"/>
        </w:rPr>
        <w:t>、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pPr>
        <w:keepNext w:val="0"/>
        <w:keepLines w:val="0"/>
        <w:pageBreakBefore w:val="0"/>
        <w:kinsoku/>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（实质性要求）</w:t>
      </w:r>
      <w:r>
        <w:rPr>
          <w:rFonts w:hint="eastAsia" w:ascii="宋体" w:hAnsi="宋体" w:eastAsia="宋体" w:cs="宋体"/>
          <w:color w:val="auto"/>
          <w:sz w:val="24"/>
          <w:highlight w:val="none"/>
          <w:lang w:eastAsia="zh-CN"/>
        </w:rPr>
        <w:t>七</w:t>
      </w:r>
      <w:r>
        <w:rPr>
          <w:rFonts w:hint="eastAsia" w:ascii="宋体" w:hAnsi="宋体" w:eastAsia="宋体" w:cs="宋体"/>
          <w:color w:val="auto"/>
          <w:sz w:val="24"/>
          <w:highlight w:val="none"/>
        </w:rPr>
        <w:t>、在参加本次采购活动中，不存在与单位负责人为同一人或者存在直接控股、管理关系的其他供应商参与同一合同项下的政府采购活动的行为。</w:t>
      </w:r>
    </w:p>
    <w:p>
      <w:pPr>
        <w:keepNext w:val="0"/>
        <w:keepLines w:val="0"/>
        <w:pageBreakBefore w:val="0"/>
        <w:kinsoku/>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（实质性要求）</w:t>
      </w:r>
      <w:r>
        <w:rPr>
          <w:rFonts w:hint="eastAsia" w:ascii="宋体" w:hAnsi="宋体" w:eastAsia="宋体" w:cs="宋体"/>
          <w:color w:val="auto"/>
          <w:sz w:val="24"/>
          <w:highlight w:val="none"/>
          <w:lang w:eastAsia="zh-CN"/>
        </w:rPr>
        <w:t>八</w:t>
      </w:r>
      <w:r>
        <w:rPr>
          <w:rFonts w:hint="eastAsia" w:ascii="宋体" w:hAnsi="宋体" w:eastAsia="宋体" w:cs="宋体"/>
          <w:color w:val="auto"/>
          <w:sz w:val="24"/>
          <w:highlight w:val="none"/>
        </w:rPr>
        <w:t>、在参加本次采购活动中，不存在和其他供应商在同一合同项下的采购项目中，同时委托同一个自然人、同一单位的人员作为代理人的行为。</w:t>
      </w:r>
    </w:p>
    <w:p>
      <w:pPr>
        <w:keepNext w:val="0"/>
        <w:keepLines w:val="0"/>
        <w:pageBreakBefore w:val="0"/>
        <w:kinsoku/>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（实质性要求）</w:t>
      </w:r>
      <w:r>
        <w:rPr>
          <w:rFonts w:hint="eastAsia" w:ascii="宋体" w:hAnsi="宋体" w:eastAsia="宋体" w:cs="宋体"/>
          <w:color w:val="auto"/>
          <w:sz w:val="24"/>
          <w:highlight w:val="none"/>
          <w:lang w:eastAsia="zh-CN"/>
        </w:rPr>
        <w:t>九</w:t>
      </w:r>
      <w:r>
        <w:rPr>
          <w:rFonts w:hint="eastAsia" w:ascii="宋体" w:hAnsi="宋体" w:eastAsia="宋体" w:cs="宋体"/>
          <w:color w:val="auto"/>
          <w:sz w:val="24"/>
          <w:highlight w:val="none"/>
        </w:rPr>
        <w:t>、响应文件中提供的任何资料和技术、服务、商务等响应承诺情况都是真实的、有效的、合法的。</w:t>
      </w:r>
    </w:p>
    <w:p>
      <w:pPr>
        <w:keepNext w:val="0"/>
        <w:keepLines w:val="0"/>
        <w:pageBreakBefore w:val="0"/>
        <w:kinsoku/>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（实质性要求）</w:t>
      </w:r>
      <w:r>
        <w:rPr>
          <w:rFonts w:hint="eastAsia" w:ascii="宋体" w:hAnsi="宋体" w:eastAsia="宋体" w:cs="宋体"/>
          <w:color w:val="auto"/>
          <w:sz w:val="24"/>
          <w:highlight w:val="none"/>
          <w:lang w:eastAsia="zh-CN"/>
        </w:rPr>
        <w:t>十</w:t>
      </w:r>
      <w:r>
        <w:rPr>
          <w:rFonts w:hint="eastAsia" w:ascii="宋体" w:hAnsi="宋体" w:eastAsia="宋体" w:cs="宋体"/>
          <w:color w:val="auto"/>
          <w:sz w:val="24"/>
          <w:highlight w:val="none"/>
        </w:rPr>
        <w:t>、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pPr>
        <w:spacing w:line="380" w:lineRule="exact"/>
        <w:ind w:firstLine="480" w:firstLineChars="200"/>
        <w:jc w:val="left"/>
        <w:rPr>
          <w:rFonts w:hint="eastAsia" w:ascii="宋体" w:hAnsi="宋体" w:eastAsia="宋体" w:cs="宋体"/>
          <w:color w:val="auto"/>
          <w:sz w:val="24"/>
          <w:highlight w:val="none"/>
        </w:rPr>
      </w:pPr>
    </w:p>
    <w:p>
      <w:pPr>
        <w:spacing w:line="380" w:lineRule="exact"/>
        <w:ind w:firstLine="480" w:firstLineChars="200"/>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本公司对上述承诺的内容事项真实性负责。如经查实上述承诺的内容事项存在虚假，我公司愿意接受以提供虚假材料谋取</w:t>
      </w:r>
      <w:r>
        <w:rPr>
          <w:rFonts w:hint="eastAsia" w:ascii="宋体" w:hAnsi="宋体" w:eastAsia="宋体" w:cs="宋体"/>
          <w:color w:val="auto"/>
          <w:sz w:val="24"/>
          <w:szCs w:val="22"/>
          <w:highlight w:val="none"/>
          <w:lang w:eastAsia="zh-CN"/>
        </w:rPr>
        <w:t>成交</w:t>
      </w:r>
      <w:r>
        <w:rPr>
          <w:rFonts w:hint="eastAsia" w:ascii="宋体" w:hAnsi="宋体" w:eastAsia="宋体" w:cs="宋体"/>
          <w:color w:val="auto"/>
          <w:sz w:val="24"/>
          <w:szCs w:val="22"/>
          <w:highlight w:val="none"/>
        </w:rPr>
        <w:t>追究法律责任。</w:t>
      </w:r>
    </w:p>
    <w:p>
      <w:pPr>
        <w:widowControl/>
        <w:spacing w:line="360" w:lineRule="atLeast"/>
        <w:ind w:firstLine="480" w:firstLineChars="200"/>
        <w:jc w:val="left"/>
        <w:rPr>
          <w:rFonts w:hint="eastAsia" w:ascii="宋体" w:hAnsi="宋体" w:eastAsia="宋体" w:cs="宋体"/>
          <w:color w:val="auto"/>
          <w:sz w:val="24"/>
          <w:szCs w:val="22"/>
          <w:highlight w:val="none"/>
        </w:rPr>
      </w:pPr>
    </w:p>
    <w:p>
      <w:pPr>
        <w:widowControl/>
        <w:spacing w:line="360" w:lineRule="atLeast"/>
        <w:jc w:val="left"/>
        <w:rPr>
          <w:rFonts w:hint="eastAsia" w:ascii="宋体" w:hAnsi="宋体" w:eastAsia="宋体" w:cs="宋体"/>
          <w:color w:val="auto"/>
          <w:sz w:val="24"/>
          <w:szCs w:val="22"/>
          <w:highlight w:val="none"/>
        </w:rPr>
      </w:pPr>
    </w:p>
    <w:p>
      <w:pPr>
        <w:widowControl/>
        <w:spacing w:line="360" w:lineRule="atLeast"/>
        <w:ind w:firstLine="480" w:firstLineChars="200"/>
        <w:jc w:val="left"/>
        <w:rPr>
          <w:rFonts w:hint="eastAsia" w:ascii="宋体" w:hAnsi="宋体" w:eastAsia="宋体" w:cs="宋体"/>
          <w:color w:val="auto"/>
          <w:sz w:val="24"/>
          <w:szCs w:val="22"/>
          <w:highlight w:val="none"/>
        </w:rPr>
      </w:pPr>
    </w:p>
    <w:p>
      <w:pPr>
        <w:widowControl/>
        <w:spacing w:line="360" w:lineRule="atLeast"/>
        <w:jc w:val="left"/>
        <w:rPr>
          <w:rFonts w:hint="eastAsia" w:ascii="宋体" w:hAnsi="宋体" w:eastAsia="宋体" w:cs="宋体"/>
          <w:color w:val="auto"/>
          <w:sz w:val="24"/>
          <w:szCs w:val="22"/>
          <w:highlight w:val="none"/>
        </w:rPr>
      </w:pPr>
    </w:p>
    <w:p>
      <w:pPr>
        <w:widowControl/>
        <w:spacing w:line="360" w:lineRule="atLeast"/>
        <w:ind w:firstLine="480" w:firstLineChars="200"/>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eastAsia="zh-CN"/>
        </w:rPr>
        <w:t>供应商</w:t>
      </w:r>
      <w:r>
        <w:rPr>
          <w:rFonts w:hint="eastAsia" w:ascii="宋体" w:hAnsi="宋体" w:eastAsia="宋体" w:cs="宋体"/>
          <w:color w:val="auto"/>
          <w:sz w:val="24"/>
          <w:szCs w:val="22"/>
          <w:highlight w:val="none"/>
        </w:rPr>
        <w:t>名称：XXXX（单位公章）。</w:t>
      </w:r>
    </w:p>
    <w:p>
      <w:pPr>
        <w:widowControl/>
        <w:spacing w:line="360" w:lineRule="atLeast"/>
        <w:ind w:firstLine="470" w:firstLineChars="196"/>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法定代表人/单位负责人或授权代表（签字或加盖个人名章）：XXXX。    </w:t>
      </w:r>
    </w:p>
    <w:p>
      <w:pPr>
        <w:widowControl/>
        <w:spacing w:line="360" w:lineRule="atLeast"/>
        <w:ind w:firstLine="480" w:firstLineChars="200"/>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日    期：XXXX。</w:t>
      </w:r>
    </w:p>
    <w:p>
      <w:pPr>
        <w:spacing w:line="360" w:lineRule="exact"/>
        <w:jc w:val="center"/>
        <w:rPr>
          <w:rFonts w:hint="eastAsia" w:ascii="宋体" w:hAnsi="宋体" w:eastAsia="宋体" w:cs="宋体"/>
          <w:b/>
          <w:color w:val="auto"/>
          <w:sz w:val="32"/>
          <w:szCs w:val="32"/>
          <w:highlight w:val="none"/>
        </w:rPr>
      </w:pPr>
    </w:p>
    <w:p>
      <w:pPr>
        <w:bidi w:val="0"/>
        <w:rPr>
          <w:rFonts w:hint="eastAsia" w:ascii="宋体" w:hAnsi="宋体" w:eastAsia="宋体" w:cs="宋体"/>
          <w:b/>
          <w:color w:val="auto"/>
          <w:sz w:val="32"/>
          <w:szCs w:val="32"/>
          <w:highlight w:val="none"/>
        </w:rPr>
      </w:pPr>
    </w:p>
    <w:p>
      <w:pPr>
        <w:bidi w:val="0"/>
        <w:rPr>
          <w:rFonts w:hint="eastAsia" w:ascii="宋体" w:hAnsi="宋体" w:eastAsia="宋体" w:cs="宋体"/>
          <w:b/>
          <w:color w:val="auto"/>
          <w:sz w:val="32"/>
          <w:szCs w:val="32"/>
          <w:highlight w:val="none"/>
        </w:rPr>
      </w:pPr>
    </w:p>
    <w:p>
      <w:pPr>
        <w:bidi w:val="0"/>
        <w:rPr>
          <w:rFonts w:hint="eastAsia" w:ascii="宋体" w:hAnsi="宋体" w:eastAsia="宋体" w:cs="宋体"/>
          <w:b/>
          <w:color w:val="auto"/>
          <w:sz w:val="32"/>
          <w:szCs w:val="32"/>
          <w:highlight w:val="none"/>
        </w:rPr>
      </w:pPr>
    </w:p>
    <w:p>
      <w:pPr>
        <w:bidi w:val="0"/>
        <w:rPr>
          <w:rFonts w:hint="eastAsia" w:ascii="宋体" w:hAnsi="宋体" w:eastAsia="宋体" w:cs="宋体"/>
          <w:b/>
          <w:color w:val="auto"/>
          <w:sz w:val="32"/>
          <w:szCs w:val="32"/>
          <w:highlight w:val="none"/>
        </w:rPr>
      </w:pPr>
    </w:p>
    <w:p>
      <w:pPr>
        <w:bidi w:val="0"/>
        <w:rPr>
          <w:rFonts w:hint="eastAsia" w:ascii="宋体" w:hAnsi="宋体" w:eastAsia="宋体" w:cs="宋体"/>
          <w:b/>
          <w:color w:val="auto"/>
          <w:sz w:val="32"/>
          <w:szCs w:val="32"/>
          <w:highlight w:val="none"/>
        </w:rPr>
      </w:pPr>
    </w:p>
    <w:p>
      <w:pPr>
        <w:bidi w:val="0"/>
        <w:rPr>
          <w:rFonts w:hint="eastAsia" w:ascii="宋体" w:hAnsi="宋体" w:eastAsia="宋体" w:cs="宋体"/>
          <w:b/>
          <w:color w:val="auto"/>
          <w:sz w:val="32"/>
          <w:szCs w:val="32"/>
          <w:highlight w:val="none"/>
        </w:rPr>
      </w:pPr>
    </w:p>
    <w:p>
      <w:pPr>
        <w:bidi w:val="0"/>
        <w:rPr>
          <w:rFonts w:hint="eastAsia" w:ascii="宋体" w:hAnsi="宋体" w:eastAsia="宋体" w:cs="宋体"/>
          <w:b/>
          <w:color w:val="auto"/>
          <w:sz w:val="32"/>
          <w:szCs w:val="32"/>
          <w:highlight w:val="none"/>
        </w:rPr>
      </w:pPr>
    </w:p>
    <w:p>
      <w:pPr>
        <w:bidi w:val="0"/>
        <w:rPr>
          <w:rFonts w:hint="eastAsia" w:ascii="宋体" w:hAnsi="宋体" w:eastAsia="宋体" w:cs="宋体"/>
          <w:b/>
          <w:color w:val="auto"/>
          <w:sz w:val="32"/>
          <w:szCs w:val="32"/>
          <w:highlight w:val="none"/>
        </w:rPr>
      </w:pPr>
    </w:p>
    <w:p>
      <w:pPr>
        <w:bidi w:val="0"/>
        <w:rPr>
          <w:rFonts w:hint="eastAsia" w:ascii="宋体" w:hAnsi="宋体" w:eastAsia="宋体" w:cs="宋体"/>
          <w:b/>
          <w:color w:val="auto"/>
          <w:sz w:val="32"/>
          <w:szCs w:val="32"/>
          <w:highlight w:val="none"/>
        </w:rPr>
      </w:pPr>
    </w:p>
    <w:p>
      <w:pPr>
        <w:bidi w:val="0"/>
        <w:rPr>
          <w:rFonts w:hint="eastAsia" w:ascii="宋体" w:hAnsi="宋体" w:eastAsia="宋体" w:cs="宋体"/>
          <w:b/>
          <w:color w:val="auto"/>
          <w:sz w:val="32"/>
          <w:szCs w:val="32"/>
          <w:highlight w:val="none"/>
        </w:rPr>
      </w:pPr>
    </w:p>
    <w:p>
      <w:pPr>
        <w:bidi w:val="0"/>
        <w:rPr>
          <w:rFonts w:hint="eastAsia" w:ascii="宋体" w:hAnsi="宋体" w:eastAsia="宋体" w:cs="宋体"/>
          <w:b/>
          <w:color w:val="auto"/>
          <w:sz w:val="32"/>
          <w:szCs w:val="32"/>
          <w:highlight w:val="none"/>
        </w:rPr>
      </w:pPr>
    </w:p>
    <w:p>
      <w:pPr>
        <w:bidi w:val="0"/>
        <w:rPr>
          <w:rFonts w:hint="eastAsia" w:ascii="宋体" w:hAnsi="宋体" w:eastAsia="宋体" w:cs="宋体"/>
          <w:b/>
          <w:color w:val="auto"/>
          <w:sz w:val="32"/>
          <w:szCs w:val="32"/>
          <w:highlight w:val="none"/>
        </w:rPr>
      </w:pPr>
    </w:p>
    <w:p>
      <w:pPr>
        <w:bidi w:val="0"/>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pPr>
        <w:bidi w:val="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商务、技术、服务应答附表</w:t>
      </w:r>
    </w:p>
    <w:p>
      <w:pPr>
        <w:spacing w:line="360" w:lineRule="exact"/>
        <w:jc w:val="center"/>
        <w:rPr>
          <w:rFonts w:hint="eastAsia" w:ascii="宋体" w:hAnsi="宋体" w:eastAsia="宋体" w:cs="宋体"/>
          <w:bCs/>
          <w:color w:val="auto"/>
          <w:sz w:val="28"/>
          <w:szCs w:val="28"/>
          <w:highlight w:val="none"/>
        </w:rPr>
      </w:pPr>
      <w:r>
        <w:rPr>
          <w:rFonts w:hint="eastAsia" w:ascii="宋体" w:hAnsi="宋体" w:eastAsia="宋体" w:cs="宋体"/>
          <w:b/>
          <w:color w:val="auto"/>
          <w:sz w:val="32"/>
          <w:szCs w:val="32"/>
          <w:highlight w:val="none"/>
        </w:rPr>
        <w:t>（仅用于成交结果公告，此表不作为评审内容）</w:t>
      </w:r>
    </w:p>
    <w:p>
      <w:pPr>
        <w:spacing w:line="36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根据《中华人民共和国政府采购法实施条例》第四十三条第三款要求，中标、成交结果公告应当公告中标（成交）供应商的相关内容，请供应商根据响应情况如实完善以下内容，结果公告时公布中标（成交）供应商的相关信息。</w:t>
      </w:r>
    </w:p>
    <w:tbl>
      <w:tblPr>
        <w:tblStyle w:val="30"/>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78"/>
        <w:gridCol w:w="463"/>
        <w:gridCol w:w="1635"/>
        <w:gridCol w:w="275"/>
        <w:gridCol w:w="1075"/>
        <w:gridCol w:w="30"/>
        <w:gridCol w:w="1529"/>
        <w:gridCol w:w="31"/>
        <w:gridCol w:w="2362"/>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8678" w:type="dxa"/>
            <w:gridSpan w:val="9"/>
            <w:noWrap w:val="0"/>
            <w:vAlign w:val="center"/>
          </w:tcPr>
          <w:p>
            <w:pPr>
              <w:spacing w:line="360" w:lineRule="exact"/>
              <w:jc w:val="center"/>
              <w:outlineLvl w:val="1"/>
              <w:rPr>
                <w:rFonts w:hint="eastAsia" w:ascii="宋体" w:hAnsi="宋体" w:eastAsia="宋体" w:cs="宋体"/>
                <w:color w:val="auto"/>
                <w:sz w:val="24"/>
                <w:highlight w:val="none"/>
              </w:rPr>
            </w:pPr>
            <w:bookmarkStart w:id="255" w:name="_Toc4616512"/>
            <w:r>
              <w:rPr>
                <w:rFonts w:hint="eastAsia" w:ascii="宋体" w:hAnsi="宋体" w:eastAsia="宋体" w:cs="宋体"/>
                <w:b/>
                <w:color w:val="auto"/>
                <w:sz w:val="24"/>
                <w:highlight w:val="none"/>
              </w:rPr>
              <w:t>中标（成交）供应商的相关信息</w:t>
            </w:r>
            <w:bookmarkEnd w:id="255"/>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noWrap w:val="0"/>
            <w:vAlign w:val="center"/>
          </w:tcPr>
          <w:p>
            <w:pPr>
              <w:spacing w:line="360" w:lineRule="exact"/>
              <w:outlineLvl w:val="1"/>
              <w:rPr>
                <w:rFonts w:hint="eastAsia" w:ascii="宋体" w:hAnsi="宋体" w:eastAsia="宋体" w:cs="宋体"/>
                <w:color w:val="auto"/>
                <w:sz w:val="24"/>
                <w:highlight w:val="none"/>
              </w:rPr>
            </w:pPr>
            <w:bookmarkStart w:id="256" w:name="_Toc4616513"/>
            <w:r>
              <w:rPr>
                <w:rFonts w:hint="eastAsia" w:ascii="宋体" w:hAnsi="宋体" w:eastAsia="宋体" w:cs="宋体"/>
                <w:color w:val="auto"/>
                <w:sz w:val="24"/>
                <w:highlight w:val="none"/>
              </w:rPr>
              <w:t>*项目名称</w:t>
            </w:r>
            <w:bookmarkEnd w:id="256"/>
          </w:p>
        </w:tc>
        <w:tc>
          <w:tcPr>
            <w:tcW w:w="6937" w:type="dxa"/>
            <w:gridSpan w:val="7"/>
            <w:noWrap w:val="0"/>
            <w:vAlign w:val="center"/>
          </w:tcPr>
          <w:p>
            <w:pPr>
              <w:spacing w:line="360" w:lineRule="exact"/>
              <w:ind w:firstLine="470" w:firstLineChars="196"/>
              <w:outlineLvl w:val="1"/>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noWrap w:val="0"/>
            <w:vAlign w:val="center"/>
          </w:tcPr>
          <w:p>
            <w:pPr>
              <w:spacing w:line="360" w:lineRule="exact"/>
              <w:outlineLvl w:val="1"/>
              <w:rPr>
                <w:rFonts w:hint="eastAsia" w:ascii="宋体" w:hAnsi="宋体" w:eastAsia="宋体" w:cs="宋体"/>
                <w:color w:val="auto"/>
                <w:sz w:val="24"/>
                <w:highlight w:val="none"/>
              </w:rPr>
            </w:pPr>
            <w:bookmarkStart w:id="257" w:name="_Toc4616514"/>
            <w:r>
              <w:rPr>
                <w:rFonts w:hint="eastAsia" w:ascii="宋体" w:hAnsi="宋体" w:eastAsia="宋体" w:cs="宋体"/>
                <w:color w:val="auto"/>
                <w:sz w:val="24"/>
                <w:highlight w:val="none"/>
              </w:rPr>
              <w:t>*供应商名称</w:t>
            </w:r>
            <w:bookmarkEnd w:id="257"/>
          </w:p>
        </w:tc>
        <w:tc>
          <w:tcPr>
            <w:tcW w:w="6937" w:type="dxa"/>
            <w:gridSpan w:val="7"/>
            <w:noWrap w:val="0"/>
            <w:vAlign w:val="center"/>
          </w:tcPr>
          <w:p>
            <w:pPr>
              <w:spacing w:line="360" w:lineRule="exact"/>
              <w:ind w:firstLine="470" w:firstLineChars="196"/>
              <w:outlineLvl w:val="1"/>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noWrap w:val="0"/>
            <w:vAlign w:val="center"/>
          </w:tcPr>
          <w:p>
            <w:pPr>
              <w:spacing w:line="360" w:lineRule="exact"/>
              <w:outlineLvl w:val="1"/>
              <w:rPr>
                <w:rFonts w:hint="eastAsia" w:ascii="宋体" w:hAnsi="宋体" w:eastAsia="宋体" w:cs="宋体"/>
                <w:color w:val="auto"/>
                <w:sz w:val="24"/>
                <w:highlight w:val="none"/>
              </w:rPr>
            </w:pPr>
            <w:bookmarkStart w:id="258" w:name="_Toc4616515"/>
            <w:r>
              <w:rPr>
                <w:rFonts w:hint="eastAsia" w:ascii="宋体" w:hAnsi="宋体" w:eastAsia="宋体" w:cs="宋体"/>
                <w:color w:val="auto"/>
                <w:sz w:val="24"/>
                <w:highlight w:val="none"/>
              </w:rPr>
              <w:t>*注册地址</w:t>
            </w:r>
            <w:bookmarkEnd w:id="258"/>
          </w:p>
        </w:tc>
        <w:tc>
          <w:tcPr>
            <w:tcW w:w="2985" w:type="dxa"/>
            <w:gridSpan w:val="3"/>
            <w:tcBorders>
              <w:right w:val="single" w:color="auto" w:sz="4" w:space="0"/>
            </w:tcBorders>
            <w:noWrap w:val="0"/>
            <w:vAlign w:val="center"/>
          </w:tcPr>
          <w:p>
            <w:pPr>
              <w:spacing w:line="360" w:lineRule="exact"/>
              <w:outlineLvl w:val="1"/>
              <w:rPr>
                <w:rFonts w:hint="eastAsia" w:ascii="宋体" w:hAnsi="宋体" w:eastAsia="宋体" w:cs="宋体"/>
                <w:color w:val="auto"/>
                <w:sz w:val="24"/>
                <w:highlight w:val="none"/>
              </w:rPr>
            </w:pPr>
          </w:p>
        </w:tc>
        <w:tc>
          <w:tcPr>
            <w:tcW w:w="1590" w:type="dxa"/>
            <w:gridSpan w:val="3"/>
            <w:tcBorders>
              <w:left w:val="single" w:color="auto" w:sz="4" w:space="0"/>
              <w:right w:val="single" w:color="auto" w:sz="4" w:space="0"/>
            </w:tcBorders>
            <w:noWrap w:val="0"/>
            <w:vAlign w:val="center"/>
          </w:tcPr>
          <w:p>
            <w:pPr>
              <w:spacing w:line="360" w:lineRule="exact"/>
              <w:outlineLvl w:val="1"/>
              <w:rPr>
                <w:rFonts w:hint="eastAsia" w:ascii="宋体" w:hAnsi="宋体" w:eastAsia="宋体" w:cs="宋体"/>
                <w:color w:val="auto"/>
                <w:sz w:val="24"/>
                <w:highlight w:val="none"/>
              </w:rPr>
            </w:pPr>
            <w:bookmarkStart w:id="259" w:name="_Toc4616516"/>
            <w:r>
              <w:rPr>
                <w:rFonts w:hint="eastAsia" w:ascii="宋体" w:hAnsi="宋体" w:eastAsia="宋体" w:cs="宋体"/>
                <w:color w:val="auto"/>
                <w:sz w:val="24"/>
                <w:highlight w:val="none"/>
              </w:rPr>
              <w:t>*行政区域</w:t>
            </w:r>
            <w:bookmarkEnd w:id="259"/>
          </w:p>
        </w:tc>
        <w:tc>
          <w:tcPr>
            <w:tcW w:w="2362" w:type="dxa"/>
            <w:tcBorders>
              <w:left w:val="single" w:color="auto" w:sz="4" w:space="0"/>
            </w:tcBorders>
            <w:noWrap w:val="0"/>
            <w:vAlign w:val="center"/>
          </w:tcPr>
          <w:p>
            <w:pPr>
              <w:spacing w:line="360" w:lineRule="exact"/>
              <w:ind w:firstLine="470" w:firstLineChars="196"/>
              <w:outlineLvl w:val="1"/>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noWrap w:val="0"/>
            <w:vAlign w:val="center"/>
          </w:tcPr>
          <w:p>
            <w:pPr>
              <w:spacing w:line="360" w:lineRule="exact"/>
              <w:outlineLvl w:val="1"/>
              <w:rPr>
                <w:rFonts w:hint="eastAsia" w:ascii="宋体" w:hAnsi="宋体" w:eastAsia="宋体" w:cs="宋体"/>
                <w:color w:val="auto"/>
                <w:sz w:val="24"/>
                <w:highlight w:val="none"/>
              </w:rPr>
            </w:pPr>
            <w:bookmarkStart w:id="260" w:name="_Toc4616517"/>
            <w:r>
              <w:rPr>
                <w:rFonts w:hint="eastAsia" w:ascii="宋体" w:hAnsi="宋体" w:eastAsia="宋体" w:cs="宋体"/>
                <w:color w:val="auto"/>
                <w:sz w:val="24"/>
                <w:highlight w:val="none"/>
              </w:rPr>
              <w:t>*供应商规模</w:t>
            </w:r>
            <w:bookmarkEnd w:id="260"/>
          </w:p>
        </w:tc>
        <w:tc>
          <w:tcPr>
            <w:tcW w:w="6937" w:type="dxa"/>
            <w:gridSpan w:val="7"/>
            <w:noWrap w:val="0"/>
            <w:vAlign w:val="center"/>
          </w:tcPr>
          <w:p>
            <w:pPr>
              <w:spacing w:line="360" w:lineRule="exact"/>
              <w:jc w:val="center"/>
              <w:outlineLvl w:val="1"/>
              <w:rPr>
                <w:rFonts w:hint="eastAsia" w:ascii="宋体" w:hAnsi="宋体" w:eastAsia="宋体" w:cs="宋体"/>
                <w:color w:val="auto"/>
                <w:sz w:val="24"/>
                <w:highlight w:val="none"/>
              </w:rPr>
            </w:pPr>
            <w:bookmarkStart w:id="261" w:name="_Toc4616518"/>
            <w:r>
              <w:rPr>
                <w:rFonts w:hint="eastAsia" w:ascii="宋体" w:hAnsi="宋体" w:eastAsia="宋体" w:cs="宋体"/>
                <w:color w:val="auto"/>
                <w:sz w:val="24"/>
                <w:szCs w:val="24"/>
                <w:highlight w:val="none"/>
              </w:rPr>
              <w:t>□大型企业□中型企业□小微型企业（对应处打“√”）</w:t>
            </w:r>
            <w:bookmarkEnd w:id="261"/>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41" w:type="dxa"/>
            <w:gridSpan w:val="2"/>
            <w:vMerge w:val="restart"/>
            <w:noWrap w:val="0"/>
            <w:vAlign w:val="center"/>
          </w:tcPr>
          <w:p>
            <w:pPr>
              <w:spacing w:line="360" w:lineRule="exact"/>
              <w:outlineLvl w:val="1"/>
              <w:rPr>
                <w:rFonts w:hint="eastAsia" w:ascii="宋体" w:hAnsi="宋体" w:eastAsia="宋体" w:cs="宋体"/>
                <w:color w:val="auto"/>
                <w:sz w:val="24"/>
                <w:highlight w:val="none"/>
              </w:rPr>
            </w:pPr>
            <w:bookmarkStart w:id="262" w:name="_Toc4616519"/>
            <w:r>
              <w:rPr>
                <w:rFonts w:hint="eastAsia" w:ascii="宋体" w:hAnsi="宋体" w:eastAsia="宋体" w:cs="宋体"/>
                <w:color w:val="auto"/>
                <w:sz w:val="24"/>
                <w:highlight w:val="none"/>
              </w:rPr>
              <w:t>*单位联系方式</w:t>
            </w:r>
            <w:bookmarkEnd w:id="262"/>
          </w:p>
        </w:tc>
        <w:tc>
          <w:tcPr>
            <w:tcW w:w="1635" w:type="dxa"/>
            <w:noWrap w:val="0"/>
            <w:vAlign w:val="center"/>
          </w:tcPr>
          <w:p>
            <w:pPr>
              <w:spacing w:line="360" w:lineRule="exact"/>
              <w:outlineLvl w:val="1"/>
              <w:rPr>
                <w:rFonts w:hint="eastAsia" w:ascii="宋体" w:hAnsi="宋体" w:eastAsia="宋体" w:cs="宋体"/>
                <w:color w:val="auto"/>
                <w:sz w:val="24"/>
                <w:highlight w:val="none"/>
              </w:rPr>
            </w:pPr>
            <w:bookmarkStart w:id="263" w:name="_Toc4616520"/>
            <w:r>
              <w:rPr>
                <w:rFonts w:hint="eastAsia" w:ascii="宋体" w:hAnsi="宋体" w:eastAsia="宋体" w:cs="宋体"/>
                <w:color w:val="auto"/>
                <w:sz w:val="24"/>
                <w:highlight w:val="none"/>
              </w:rPr>
              <w:t>*单位联系人</w:t>
            </w:r>
            <w:bookmarkEnd w:id="263"/>
          </w:p>
        </w:tc>
        <w:tc>
          <w:tcPr>
            <w:tcW w:w="1380" w:type="dxa"/>
            <w:gridSpan w:val="3"/>
            <w:noWrap w:val="0"/>
            <w:vAlign w:val="center"/>
          </w:tcPr>
          <w:p>
            <w:pPr>
              <w:spacing w:line="360" w:lineRule="exact"/>
              <w:ind w:firstLine="470" w:firstLineChars="196"/>
              <w:outlineLvl w:val="1"/>
              <w:rPr>
                <w:rFonts w:hint="eastAsia" w:ascii="宋体" w:hAnsi="宋体" w:eastAsia="宋体" w:cs="宋体"/>
                <w:color w:val="auto"/>
                <w:sz w:val="24"/>
                <w:highlight w:val="none"/>
              </w:rPr>
            </w:pPr>
          </w:p>
        </w:tc>
        <w:tc>
          <w:tcPr>
            <w:tcW w:w="1529" w:type="dxa"/>
            <w:noWrap w:val="0"/>
            <w:vAlign w:val="center"/>
          </w:tcPr>
          <w:p>
            <w:pPr>
              <w:spacing w:line="360" w:lineRule="exact"/>
              <w:outlineLvl w:val="1"/>
              <w:rPr>
                <w:rFonts w:hint="eastAsia" w:ascii="宋体" w:hAnsi="宋体" w:eastAsia="宋体" w:cs="宋体"/>
                <w:color w:val="auto"/>
                <w:sz w:val="24"/>
                <w:highlight w:val="none"/>
              </w:rPr>
            </w:pPr>
            <w:bookmarkStart w:id="264" w:name="_Toc4616521"/>
            <w:r>
              <w:rPr>
                <w:rFonts w:hint="eastAsia" w:ascii="宋体" w:hAnsi="宋体" w:eastAsia="宋体" w:cs="宋体"/>
                <w:color w:val="auto"/>
                <w:sz w:val="24"/>
                <w:highlight w:val="none"/>
              </w:rPr>
              <w:t>*单位电话</w:t>
            </w:r>
            <w:bookmarkEnd w:id="264"/>
          </w:p>
        </w:tc>
        <w:tc>
          <w:tcPr>
            <w:tcW w:w="2393" w:type="dxa"/>
            <w:gridSpan w:val="2"/>
            <w:noWrap w:val="0"/>
            <w:vAlign w:val="center"/>
          </w:tcPr>
          <w:p>
            <w:pPr>
              <w:spacing w:line="360" w:lineRule="exact"/>
              <w:ind w:firstLine="470" w:firstLineChars="196"/>
              <w:outlineLvl w:val="1"/>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741" w:type="dxa"/>
            <w:gridSpan w:val="2"/>
            <w:vMerge w:val="continue"/>
            <w:noWrap w:val="0"/>
            <w:vAlign w:val="center"/>
          </w:tcPr>
          <w:p>
            <w:pPr>
              <w:spacing w:line="360" w:lineRule="exact"/>
              <w:rPr>
                <w:rFonts w:hint="eastAsia" w:ascii="宋体" w:hAnsi="宋体" w:eastAsia="宋体" w:cs="宋体"/>
                <w:color w:val="auto"/>
                <w:highlight w:val="none"/>
              </w:rPr>
            </w:pPr>
          </w:p>
        </w:tc>
        <w:tc>
          <w:tcPr>
            <w:tcW w:w="1635" w:type="dxa"/>
            <w:noWrap w:val="0"/>
            <w:vAlign w:val="center"/>
          </w:tcPr>
          <w:p>
            <w:pPr>
              <w:spacing w:line="360" w:lineRule="exact"/>
              <w:outlineLvl w:val="1"/>
              <w:rPr>
                <w:rFonts w:hint="eastAsia" w:ascii="宋体" w:hAnsi="宋体" w:eastAsia="宋体" w:cs="宋体"/>
                <w:color w:val="auto"/>
                <w:sz w:val="24"/>
                <w:highlight w:val="none"/>
              </w:rPr>
            </w:pPr>
            <w:bookmarkStart w:id="265" w:name="_Toc4616522"/>
            <w:r>
              <w:rPr>
                <w:rFonts w:hint="eastAsia" w:ascii="宋体" w:hAnsi="宋体" w:eastAsia="宋体" w:cs="宋体"/>
                <w:color w:val="auto"/>
                <w:sz w:val="24"/>
                <w:highlight w:val="none"/>
              </w:rPr>
              <w:t>*单位邮箱</w:t>
            </w:r>
            <w:bookmarkEnd w:id="265"/>
          </w:p>
        </w:tc>
        <w:tc>
          <w:tcPr>
            <w:tcW w:w="5302" w:type="dxa"/>
            <w:gridSpan w:val="6"/>
            <w:noWrap w:val="0"/>
            <w:vAlign w:val="center"/>
          </w:tcPr>
          <w:p>
            <w:pPr>
              <w:spacing w:line="360" w:lineRule="exact"/>
              <w:ind w:firstLine="470" w:firstLineChars="196"/>
              <w:outlineLvl w:val="1"/>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8678" w:type="dxa"/>
            <w:gridSpan w:val="9"/>
            <w:noWrap w:val="0"/>
            <w:vAlign w:val="center"/>
          </w:tcPr>
          <w:p>
            <w:pPr>
              <w:spacing w:line="360" w:lineRule="exact"/>
              <w:ind w:firstLine="472" w:firstLineChars="196"/>
              <w:outlineLvl w:val="1"/>
              <w:rPr>
                <w:rFonts w:hint="eastAsia" w:ascii="宋体" w:hAnsi="宋体" w:eastAsia="宋体" w:cs="宋体"/>
                <w:color w:val="auto"/>
                <w:sz w:val="24"/>
                <w:highlight w:val="none"/>
              </w:rPr>
            </w:pPr>
            <w:bookmarkStart w:id="266" w:name="_Toc4616523"/>
            <w:r>
              <w:rPr>
                <w:rFonts w:hint="eastAsia" w:ascii="宋体" w:hAnsi="宋体" w:eastAsia="宋体" w:cs="宋体"/>
                <w:b/>
                <w:bCs/>
                <w:color w:val="auto"/>
                <w:sz w:val="24"/>
                <w:highlight w:val="none"/>
              </w:rPr>
              <w:t>注：以上*号项信息供应商须如实填写，信息将录入四川省政府采购计划执行系统，若因供应商提供错误信息造成的问题，由其自身承担。</w:t>
            </w:r>
            <w:bookmarkEnd w:id="266"/>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restart"/>
            <w:tcBorders>
              <w:right w:val="single" w:color="auto" w:sz="4" w:space="0"/>
            </w:tcBorders>
            <w:noWrap w:val="0"/>
            <w:vAlign w:val="center"/>
          </w:tcPr>
          <w:p>
            <w:pPr>
              <w:spacing w:line="360" w:lineRule="exact"/>
              <w:outlineLvl w:val="1"/>
              <w:rPr>
                <w:rFonts w:hint="eastAsia" w:ascii="宋体" w:hAnsi="宋体" w:eastAsia="宋体" w:cs="宋体"/>
                <w:b/>
                <w:bCs/>
                <w:color w:val="auto"/>
                <w:sz w:val="24"/>
                <w:highlight w:val="none"/>
              </w:rPr>
            </w:pPr>
            <w:bookmarkStart w:id="267" w:name="_Toc4616524"/>
            <w:r>
              <w:rPr>
                <w:rFonts w:hint="eastAsia" w:ascii="宋体" w:hAnsi="宋体" w:eastAsia="宋体" w:cs="宋体"/>
                <w:b/>
                <w:bCs/>
                <w:color w:val="auto"/>
                <w:sz w:val="24"/>
                <w:highlight w:val="none"/>
              </w:rPr>
              <w:t>供应商应答“采购文件”的主要内容</w:t>
            </w:r>
            <w:bookmarkEnd w:id="267"/>
          </w:p>
        </w:tc>
        <w:tc>
          <w:tcPr>
            <w:tcW w:w="2373" w:type="dxa"/>
            <w:gridSpan w:val="3"/>
            <w:tcBorders>
              <w:left w:val="single" w:color="auto" w:sz="4" w:space="0"/>
              <w:right w:val="single" w:color="auto" w:sz="4" w:space="0"/>
            </w:tcBorders>
            <w:noWrap w:val="0"/>
            <w:vAlign w:val="center"/>
          </w:tcPr>
          <w:p>
            <w:pPr>
              <w:spacing w:line="360" w:lineRule="exact"/>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主要中标或者成交标的的名称</w:t>
            </w:r>
          </w:p>
        </w:tc>
        <w:tc>
          <w:tcPr>
            <w:tcW w:w="5027" w:type="dxa"/>
            <w:gridSpan w:val="5"/>
            <w:tcBorders>
              <w:left w:val="single" w:color="auto" w:sz="4" w:space="0"/>
            </w:tcBorders>
            <w:noWrap w:val="0"/>
            <w:vAlign w:val="center"/>
          </w:tcPr>
          <w:p>
            <w:pPr>
              <w:spacing w:line="360" w:lineRule="exact"/>
              <w:rPr>
                <w:rFonts w:hint="eastAsia" w:ascii="宋体" w:hAnsi="宋体" w:eastAsia="宋体" w:cs="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right w:val="single" w:color="auto" w:sz="4" w:space="0"/>
            </w:tcBorders>
            <w:noWrap w:val="0"/>
            <w:vAlign w:val="center"/>
          </w:tcPr>
          <w:p>
            <w:pPr>
              <w:spacing w:line="360" w:lineRule="exact"/>
              <w:ind w:firstLine="472" w:firstLineChars="196"/>
              <w:outlineLvl w:val="1"/>
              <w:rPr>
                <w:rFonts w:hint="eastAsia" w:ascii="宋体" w:hAnsi="宋体" w:eastAsia="宋体" w:cs="宋体"/>
                <w:b/>
                <w:bCs/>
                <w:color w:val="auto"/>
                <w:sz w:val="24"/>
                <w:highlight w:val="none"/>
              </w:rPr>
            </w:pPr>
          </w:p>
        </w:tc>
        <w:tc>
          <w:tcPr>
            <w:tcW w:w="2373" w:type="dxa"/>
            <w:gridSpan w:val="3"/>
            <w:tcBorders>
              <w:left w:val="single" w:color="auto" w:sz="4" w:space="0"/>
              <w:right w:val="single" w:color="auto" w:sz="4" w:space="0"/>
            </w:tcBorders>
            <w:noWrap w:val="0"/>
            <w:vAlign w:val="center"/>
          </w:tcPr>
          <w:p>
            <w:pPr>
              <w:spacing w:line="360" w:lineRule="exact"/>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主要中标或者成交标的的规格型号</w:t>
            </w:r>
          </w:p>
        </w:tc>
        <w:tc>
          <w:tcPr>
            <w:tcW w:w="5027" w:type="dxa"/>
            <w:gridSpan w:val="5"/>
            <w:tcBorders>
              <w:left w:val="single" w:color="auto" w:sz="4" w:space="0"/>
            </w:tcBorders>
            <w:noWrap w:val="0"/>
            <w:vAlign w:val="center"/>
          </w:tcPr>
          <w:p>
            <w:pPr>
              <w:spacing w:line="360" w:lineRule="exact"/>
              <w:rPr>
                <w:rFonts w:hint="eastAsia" w:ascii="宋体" w:hAnsi="宋体" w:eastAsia="宋体" w:cs="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right w:val="single" w:color="auto" w:sz="4" w:space="0"/>
            </w:tcBorders>
            <w:noWrap w:val="0"/>
            <w:vAlign w:val="center"/>
          </w:tcPr>
          <w:p>
            <w:pPr>
              <w:spacing w:line="360" w:lineRule="exact"/>
              <w:ind w:firstLine="472" w:firstLineChars="196"/>
              <w:outlineLvl w:val="1"/>
              <w:rPr>
                <w:rFonts w:hint="eastAsia" w:ascii="宋体" w:hAnsi="宋体" w:eastAsia="宋体" w:cs="宋体"/>
                <w:b/>
                <w:bCs/>
                <w:color w:val="auto"/>
                <w:sz w:val="24"/>
                <w:highlight w:val="none"/>
              </w:rPr>
            </w:pPr>
          </w:p>
        </w:tc>
        <w:tc>
          <w:tcPr>
            <w:tcW w:w="2373" w:type="dxa"/>
            <w:gridSpan w:val="3"/>
            <w:tcBorders>
              <w:left w:val="single" w:color="auto" w:sz="4" w:space="0"/>
              <w:right w:val="single" w:color="auto" w:sz="4" w:space="0"/>
            </w:tcBorders>
            <w:noWrap w:val="0"/>
            <w:vAlign w:val="center"/>
          </w:tcPr>
          <w:p>
            <w:pPr>
              <w:spacing w:line="360" w:lineRule="exact"/>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主要中标或者成交标的的数量</w:t>
            </w:r>
          </w:p>
        </w:tc>
        <w:tc>
          <w:tcPr>
            <w:tcW w:w="5027" w:type="dxa"/>
            <w:gridSpan w:val="5"/>
            <w:tcBorders>
              <w:left w:val="single" w:color="auto" w:sz="4" w:space="0"/>
            </w:tcBorders>
            <w:noWrap w:val="0"/>
            <w:vAlign w:val="center"/>
          </w:tcPr>
          <w:p>
            <w:pPr>
              <w:spacing w:line="360" w:lineRule="exact"/>
              <w:rPr>
                <w:rFonts w:hint="eastAsia" w:ascii="宋体" w:hAnsi="宋体" w:eastAsia="宋体" w:cs="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right w:val="single" w:color="auto" w:sz="4" w:space="0"/>
            </w:tcBorders>
            <w:noWrap w:val="0"/>
            <w:vAlign w:val="center"/>
          </w:tcPr>
          <w:p>
            <w:pPr>
              <w:spacing w:line="360" w:lineRule="exact"/>
              <w:ind w:firstLine="472" w:firstLineChars="196"/>
              <w:outlineLvl w:val="1"/>
              <w:rPr>
                <w:rFonts w:hint="eastAsia" w:ascii="宋体" w:hAnsi="宋体" w:eastAsia="宋体" w:cs="宋体"/>
                <w:b/>
                <w:bCs/>
                <w:color w:val="auto"/>
                <w:sz w:val="24"/>
                <w:highlight w:val="none"/>
              </w:rPr>
            </w:pPr>
          </w:p>
        </w:tc>
        <w:tc>
          <w:tcPr>
            <w:tcW w:w="2373" w:type="dxa"/>
            <w:gridSpan w:val="3"/>
            <w:tcBorders>
              <w:left w:val="single" w:color="auto" w:sz="4" w:space="0"/>
              <w:right w:val="single" w:color="auto" w:sz="4" w:space="0"/>
            </w:tcBorders>
            <w:noWrap w:val="0"/>
            <w:vAlign w:val="center"/>
          </w:tcPr>
          <w:p>
            <w:pPr>
              <w:spacing w:line="360" w:lineRule="exact"/>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主要中标或者成交标的的单价</w:t>
            </w:r>
          </w:p>
        </w:tc>
        <w:tc>
          <w:tcPr>
            <w:tcW w:w="5027" w:type="dxa"/>
            <w:gridSpan w:val="5"/>
            <w:tcBorders>
              <w:left w:val="single" w:color="auto" w:sz="4" w:space="0"/>
            </w:tcBorders>
            <w:noWrap w:val="0"/>
            <w:vAlign w:val="center"/>
          </w:tcPr>
          <w:p>
            <w:pPr>
              <w:spacing w:line="360" w:lineRule="exact"/>
              <w:rPr>
                <w:rFonts w:hint="eastAsia" w:ascii="宋体" w:hAnsi="宋体" w:eastAsia="宋体" w:cs="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right w:val="single" w:color="auto" w:sz="4" w:space="0"/>
            </w:tcBorders>
            <w:noWrap w:val="0"/>
            <w:vAlign w:val="center"/>
          </w:tcPr>
          <w:p>
            <w:pPr>
              <w:spacing w:line="360" w:lineRule="exact"/>
              <w:ind w:firstLine="472" w:firstLineChars="196"/>
              <w:outlineLvl w:val="1"/>
              <w:rPr>
                <w:rFonts w:hint="eastAsia" w:ascii="宋体" w:hAnsi="宋体" w:eastAsia="宋体" w:cs="宋体"/>
                <w:b/>
                <w:bCs/>
                <w:color w:val="auto"/>
                <w:sz w:val="24"/>
                <w:highlight w:val="none"/>
              </w:rPr>
            </w:pPr>
          </w:p>
        </w:tc>
        <w:tc>
          <w:tcPr>
            <w:tcW w:w="2373" w:type="dxa"/>
            <w:gridSpan w:val="3"/>
            <w:tcBorders>
              <w:left w:val="single" w:color="auto" w:sz="4" w:space="0"/>
              <w:right w:val="single" w:color="auto" w:sz="4" w:space="0"/>
            </w:tcBorders>
            <w:noWrap w:val="0"/>
            <w:vAlign w:val="center"/>
          </w:tcPr>
          <w:p>
            <w:pPr>
              <w:spacing w:line="360" w:lineRule="exact"/>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主要中标或者成交标的的服务要求（如：交货期、质保期、售后服务等等）</w:t>
            </w:r>
          </w:p>
        </w:tc>
        <w:tc>
          <w:tcPr>
            <w:tcW w:w="5027" w:type="dxa"/>
            <w:gridSpan w:val="5"/>
            <w:tcBorders>
              <w:left w:val="single" w:color="auto" w:sz="4" w:space="0"/>
            </w:tcBorders>
            <w:noWrap w:val="0"/>
            <w:vAlign w:val="center"/>
          </w:tcPr>
          <w:p>
            <w:pPr>
              <w:widowControl/>
              <w:numPr>
                <w:ilvl w:val="0"/>
                <w:numId w:val="6"/>
              </w:numPr>
              <w:spacing w:line="360" w:lineRule="exact"/>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p>
            <w:pPr>
              <w:widowControl/>
              <w:numPr>
                <w:ilvl w:val="0"/>
                <w:numId w:val="6"/>
              </w:numPr>
              <w:spacing w:line="360" w:lineRule="exact"/>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p>
            <w:pPr>
              <w:widowControl/>
              <w:numPr>
                <w:ilvl w:val="0"/>
                <w:numId w:val="6"/>
              </w:numPr>
              <w:spacing w:line="360" w:lineRule="exact"/>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p>
            <w:pPr>
              <w:spacing w:line="360" w:lineRule="exact"/>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w:t>
            </w:r>
          </w:p>
        </w:tc>
      </w:tr>
    </w:tbl>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widowControl/>
        <w:numPr>
          <w:ilvl w:val="0"/>
          <w:numId w:val="7"/>
        </w:num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供应商需如实完善表格内容。</w:t>
      </w:r>
    </w:p>
    <w:p>
      <w:pPr>
        <w:widowControl/>
        <w:numPr>
          <w:ilvl w:val="0"/>
          <w:numId w:val="7"/>
        </w:num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供应商应答的主要内容应与响应文件一致，可以进行简要概括性表述。</w:t>
      </w:r>
    </w:p>
    <w:p>
      <w:pPr>
        <w:widowControl/>
        <w:numPr>
          <w:ilvl w:val="0"/>
          <w:numId w:val="7"/>
        </w:num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供应商应答的主要内容仅用于结果公告，供应商自行完善的内容视为不涉及供应商商业秘密。若供应商没有填写或没有递交此表，视为允许采购代理机构将供应商响应文件中所有相关的应答内容进行公告。</w:t>
      </w:r>
    </w:p>
    <w:p>
      <w:pPr>
        <w:spacing w:line="3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供应商名称：（盖章）</w:t>
      </w:r>
    </w:p>
    <w:p>
      <w:pPr>
        <w:spacing w:line="360" w:lineRule="exact"/>
        <w:ind w:firstLine="420" w:firstLineChars="175"/>
        <w:rPr>
          <w:rFonts w:hint="eastAsia" w:ascii="宋体" w:hAnsi="宋体" w:eastAsia="宋体" w:cs="宋体"/>
          <w:bCs/>
          <w:color w:val="auto"/>
          <w:sz w:val="24"/>
          <w:highlight w:val="none"/>
        </w:rPr>
      </w:pPr>
      <w:r>
        <w:rPr>
          <w:rFonts w:hint="eastAsia" w:ascii="宋体" w:hAnsi="宋体" w:eastAsia="宋体" w:cs="宋体"/>
          <w:color w:val="auto"/>
          <w:sz w:val="24"/>
          <w:highlight w:val="none"/>
        </w:rPr>
        <w:t>法定代表人/单位负责人或授权代表（签字或加盖个人印章）</w:t>
      </w:r>
      <w:r>
        <w:rPr>
          <w:rFonts w:hint="eastAsia" w:ascii="宋体" w:hAnsi="宋体" w:eastAsia="宋体" w:cs="宋体"/>
          <w:bCs/>
          <w:color w:val="auto"/>
          <w:sz w:val="24"/>
          <w:highlight w:val="none"/>
        </w:rPr>
        <w:t>：</w:t>
      </w:r>
    </w:p>
    <w:p>
      <w:pPr>
        <w:spacing w:line="360" w:lineRule="exact"/>
        <w:ind w:firstLine="420" w:firstLineChars="175"/>
        <w:rPr>
          <w:rFonts w:hint="eastAsia" w:ascii="宋体" w:hAnsi="宋体" w:eastAsia="宋体" w:cs="宋体"/>
          <w:color w:val="auto"/>
          <w:highlight w:val="none"/>
        </w:rPr>
      </w:pPr>
      <w:r>
        <w:rPr>
          <w:rFonts w:hint="eastAsia" w:ascii="宋体" w:hAnsi="宋体" w:eastAsia="宋体" w:cs="宋体"/>
          <w:bCs/>
          <w:color w:val="auto"/>
          <w:sz w:val="24"/>
          <w:highlight w:val="none"/>
        </w:rPr>
        <w:t>谈判日期:</w:t>
      </w:r>
    </w:p>
    <w:p>
      <w:pPr>
        <w:pStyle w:val="3"/>
        <w:keepNext w:val="0"/>
        <w:keepLines w:val="0"/>
        <w:spacing w:before="0" w:after="0" w:line="400" w:lineRule="exact"/>
        <w:jc w:val="center"/>
        <w:rPr>
          <w:rFonts w:hint="eastAsia" w:ascii="宋体" w:hAnsi="宋体" w:eastAsia="宋体" w:cs="宋体"/>
          <w:color w:val="auto"/>
          <w:highlight w:val="none"/>
        </w:rPr>
      </w:pPr>
      <w:bookmarkStart w:id="268" w:name="_Toc4616525"/>
      <w:bookmarkStart w:id="269" w:name="_Toc12192_WPSOffice_Level1"/>
      <w:r>
        <w:rPr>
          <w:rFonts w:hint="eastAsia" w:ascii="宋体" w:hAnsi="宋体" w:eastAsia="宋体" w:cs="宋体"/>
          <w:bCs w:val="0"/>
          <w:color w:val="auto"/>
          <w:sz w:val="36"/>
          <w:szCs w:val="36"/>
          <w:highlight w:val="none"/>
        </w:rPr>
        <w:t>第</w:t>
      </w:r>
      <w:r>
        <w:rPr>
          <w:rFonts w:hint="eastAsia" w:ascii="宋体" w:hAnsi="宋体" w:eastAsia="宋体" w:cs="宋体"/>
          <w:color w:val="auto"/>
          <w:sz w:val="36"/>
          <w:szCs w:val="36"/>
          <w:highlight w:val="none"/>
        </w:rPr>
        <w:t>八</w:t>
      </w:r>
      <w:r>
        <w:rPr>
          <w:rFonts w:hint="eastAsia" w:ascii="宋体" w:hAnsi="宋体" w:eastAsia="宋体" w:cs="宋体"/>
          <w:bCs w:val="0"/>
          <w:color w:val="auto"/>
          <w:sz w:val="36"/>
          <w:szCs w:val="36"/>
          <w:highlight w:val="none"/>
        </w:rPr>
        <w:t xml:space="preserve">章  </w:t>
      </w:r>
      <w:r>
        <w:rPr>
          <w:rFonts w:hint="eastAsia" w:ascii="宋体" w:hAnsi="宋体" w:eastAsia="宋体" w:cs="宋体"/>
          <w:color w:val="auto"/>
          <w:sz w:val="36"/>
          <w:szCs w:val="36"/>
          <w:highlight w:val="none"/>
        </w:rPr>
        <w:t>评审方法</w:t>
      </w:r>
      <w:bookmarkEnd w:id="246"/>
      <w:bookmarkEnd w:id="247"/>
      <w:bookmarkEnd w:id="248"/>
      <w:bookmarkEnd w:id="249"/>
      <w:bookmarkEnd w:id="250"/>
      <w:bookmarkEnd w:id="251"/>
      <w:bookmarkEnd w:id="252"/>
      <w:bookmarkEnd w:id="253"/>
      <w:bookmarkEnd w:id="254"/>
      <w:bookmarkEnd w:id="268"/>
      <w:bookmarkEnd w:id="269"/>
    </w:p>
    <w:p>
      <w:pPr>
        <w:rPr>
          <w:rFonts w:hint="eastAsia" w:ascii="宋体" w:hAnsi="宋体" w:eastAsia="宋体" w:cs="宋体"/>
          <w:color w:val="auto"/>
          <w:highlight w:val="none"/>
        </w:rPr>
      </w:pPr>
    </w:p>
    <w:p>
      <w:pPr>
        <w:pStyle w:val="4"/>
        <w:keepNext w:val="0"/>
        <w:keepLines w:val="0"/>
        <w:spacing w:before="0" w:after="0" w:line="400" w:lineRule="exact"/>
        <w:ind w:firstLine="551" w:firstLineChars="196"/>
        <w:jc w:val="center"/>
        <w:rPr>
          <w:rFonts w:hint="eastAsia" w:ascii="宋体" w:hAnsi="宋体" w:eastAsia="宋体" w:cs="宋体"/>
          <w:color w:val="auto"/>
          <w:sz w:val="28"/>
          <w:szCs w:val="28"/>
          <w:highlight w:val="none"/>
        </w:rPr>
      </w:pPr>
      <w:bookmarkStart w:id="270" w:name="_Toc4616526"/>
      <w:r>
        <w:rPr>
          <w:rFonts w:hint="eastAsia" w:ascii="宋体" w:hAnsi="宋体" w:eastAsia="宋体" w:cs="宋体"/>
          <w:color w:val="auto"/>
          <w:sz w:val="28"/>
          <w:szCs w:val="28"/>
          <w:highlight w:val="none"/>
        </w:rPr>
        <w:t>1.总则</w:t>
      </w:r>
      <w:bookmarkEnd w:id="270"/>
    </w:p>
    <w:p>
      <w:pPr>
        <w:spacing w:line="40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 根据《中华人民共和国政府采购法》、《中华人民共和国政府采购法实施条例》、《政府采购非招标采购方式管理办法》等法律制度，结合采购项目特点制定本谈判办法。</w:t>
      </w:r>
    </w:p>
    <w:p>
      <w:pPr>
        <w:spacing w:line="40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 谈判工作由采购代理机构负责组织，具体谈判由采购代理机构依法组建的谈判小组负责。谈判小组由采购人代表和有关技术、经济、法律等方面的专家组成。</w:t>
      </w:r>
    </w:p>
    <w:p>
      <w:pPr>
        <w:spacing w:line="40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 谈判工作应遵循公平、公正、科学及择优的原则，并以相同的谈判程序和标准对待所有的供应商。</w:t>
      </w:r>
    </w:p>
    <w:p>
      <w:pPr>
        <w:spacing w:line="40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 谈判小组按照谈判文件规定的谈判方法和标准进行谈判，并独立履行下列职责：</w:t>
      </w:r>
    </w:p>
    <w:p>
      <w:pPr>
        <w:spacing w:line="40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（一）熟悉和理解谈判文件，确定谈判文件内容是否违反国家有关强制性规定或者谈判文件存在歧义、重大缺陷；</w:t>
      </w:r>
    </w:p>
    <w:p>
      <w:pPr>
        <w:spacing w:line="40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（二）审查供应商响应文件是否满足谈判文件要求，并作出公正评价；</w:t>
      </w:r>
    </w:p>
    <w:p>
      <w:pPr>
        <w:spacing w:line="40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（三）根据需要要求供应商对谈判文件有关事项作出澄清、说明或者纠正；</w:t>
      </w:r>
    </w:p>
    <w:p>
      <w:pPr>
        <w:spacing w:line="40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（四）推荐成交供应商，或者受采购人委托确定成交供应商；</w:t>
      </w:r>
    </w:p>
    <w:p>
      <w:pPr>
        <w:spacing w:line="40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（五）起草评审报告并进行签署；</w:t>
      </w:r>
    </w:p>
    <w:p>
      <w:pPr>
        <w:spacing w:line="40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（六）向采购人、财政部门或者其他监督部门报告非法干预评审工作的行为；</w:t>
      </w:r>
    </w:p>
    <w:p>
      <w:pPr>
        <w:spacing w:line="40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（七）法律、法规和规章规定的其他职责。</w:t>
      </w:r>
    </w:p>
    <w:p>
      <w:pPr>
        <w:spacing w:line="40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 （实质性要求）谈判过程独立、保密。供应商非法干预谈判过程的，其响应文件作为无效处理。</w:t>
      </w:r>
    </w:p>
    <w:p>
      <w:pPr>
        <w:spacing w:line="40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 谈判小组评价响应文件，除谈判小组要求其澄清、说明或者纠正而提供的资料外，仅依据响应文件本身的内容，不寻求供应商提供其他外部证据。</w:t>
      </w:r>
    </w:p>
    <w:p>
      <w:pPr>
        <w:rPr>
          <w:rFonts w:hint="eastAsia" w:ascii="宋体" w:hAnsi="宋体" w:eastAsia="宋体" w:cs="宋体"/>
          <w:color w:val="auto"/>
          <w:highlight w:val="none"/>
        </w:rPr>
      </w:pPr>
    </w:p>
    <w:p>
      <w:pPr>
        <w:pStyle w:val="4"/>
        <w:keepNext w:val="0"/>
        <w:keepLines w:val="0"/>
        <w:spacing w:before="0" w:after="0" w:line="400" w:lineRule="exact"/>
        <w:ind w:firstLine="551" w:firstLineChars="196"/>
        <w:jc w:val="center"/>
        <w:rPr>
          <w:rFonts w:hint="eastAsia" w:ascii="宋体" w:hAnsi="宋体" w:eastAsia="宋体" w:cs="宋体"/>
          <w:color w:val="auto"/>
          <w:sz w:val="28"/>
          <w:szCs w:val="28"/>
          <w:highlight w:val="none"/>
        </w:rPr>
      </w:pPr>
      <w:bookmarkStart w:id="271" w:name="_Toc4616527"/>
      <w:r>
        <w:rPr>
          <w:rFonts w:hint="eastAsia" w:ascii="宋体" w:hAnsi="宋体" w:eastAsia="宋体" w:cs="宋体"/>
          <w:color w:val="auto"/>
          <w:sz w:val="28"/>
          <w:szCs w:val="28"/>
          <w:highlight w:val="none"/>
        </w:rPr>
        <w:t>2.评审程序</w:t>
      </w:r>
      <w:bookmarkEnd w:id="271"/>
    </w:p>
    <w:p>
      <w:pPr>
        <w:spacing w:line="40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2.1熟悉和理解谈判文件和停止评审。</w:t>
      </w:r>
    </w:p>
    <w:p>
      <w:pPr>
        <w:spacing w:line="40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2.1.1 谈判小组正式评审前，应当对谈判文件进行熟悉和理解，内容主要包括谈判文件中供应商资格条件要求、采购项目技术、服务和商务要求、评审方法和标准、政府采购政策要求以及政府采购合同主要条款等。</w:t>
      </w:r>
    </w:p>
    <w:p>
      <w:pPr>
        <w:spacing w:line="40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2.1.2 本谈判文件有下列情形之一的，谈判小组应当停止评审：</w:t>
      </w:r>
    </w:p>
    <w:p>
      <w:pPr>
        <w:spacing w:line="40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（1）谈判文件的规定存在歧义、重大缺陷的；</w:t>
      </w:r>
    </w:p>
    <w:p>
      <w:pPr>
        <w:spacing w:line="40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（2）谈判文件明显以不合理条件对供应商实行差别待遇或者歧视待遇的；</w:t>
      </w:r>
    </w:p>
    <w:p>
      <w:pPr>
        <w:spacing w:line="40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（3）采购项目属于国家规定的优先、强制采购范围，但是谈判文件未依法体现优先、强制采购相关规定的；</w:t>
      </w:r>
    </w:p>
    <w:p>
      <w:pPr>
        <w:spacing w:line="40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（4）采购项目属于政府采购促进中小企业发展的范围，但是谈判文件未依法体现促进中小企业发展相关规定的；</w:t>
      </w:r>
    </w:p>
    <w:p>
      <w:pPr>
        <w:spacing w:line="40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（5）谈判文件将供应商的资格条件列为评分因素的；</w:t>
      </w:r>
    </w:p>
    <w:p>
      <w:pPr>
        <w:spacing w:line="40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（6）谈判文件载明的成交原则不合法的；</w:t>
      </w:r>
    </w:p>
    <w:p>
      <w:pPr>
        <w:spacing w:line="40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（7）谈判文件有违反国家其他有关强制性规定的情形。</w:t>
      </w:r>
    </w:p>
    <w:p>
      <w:pPr>
        <w:spacing w:line="40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出现本条规定应当停止评审情形的，谈判小组应当向采购人书面说明情况。除本条规定的情形外，谈判小组不得以任何方式和理由停止评审。</w:t>
      </w:r>
    </w:p>
    <w:p>
      <w:pPr>
        <w:spacing w:line="40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 资格性审查。</w:t>
      </w:r>
    </w:p>
    <w:p>
      <w:pPr>
        <w:adjustRightInd w:val="0"/>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本项目需要谈判小组进行资格性检查。</w:t>
      </w:r>
    </w:p>
    <w:p>
      <w:pPr>
        <w:spacing w:line="40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谈判小组应依据法律法规和谈判文件的规定，对响应文件是否按照规定要求提供资格性证明材料、是否属于禁止参加谈判的供应商等进行审查，以确定供应商是否具备谈判资格。</w:t>
      </w:r>
    </w:p>
    <w:p>
      <w:pPr>
        <w:pStyle w:val="6"/>
        <w:spacing w:line="400" w:lineRule="exact"/>
        <w:ind w:firstLine="49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2.2.2响应文件有下列情况之一者视为无效：</w:t>
      </w:r>
    </w:p>
    <w:p>
      <w:pPr>
        <w:pStyle w:val="6"/>
        <w:numPr>
          <w:ilvl w:val="0"/>
          <w:numId w:val="8"/>
        </w:numPr>
        <w:spacing w:line="400" w:lineRule="exact"/>
        <w:ind w:firstLine="49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响应文件正副本数量不足；</w:t>
      </w:r>
    </w:p>
    <w:p>
      <w:pPr>
        <w:pStyle w:val="6"/>
        <w:numPr>
          <w:ilvl w:val="0"/>
          <w:numId w:val="8"/>
        </w:numPr>
        <w:spacing w:line="400" w:lineRule="exact"/>
        <w:ind w:firstLine="49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未缴纳保证金；</w:t>
      </w:r>
      <w:r>
        <w:rPr>
          <w:rFonts w:hint="eastAsia" w:ascii="宋体" w:hAnsi="宋体" w:eastAsia="宋体" w:cs="宋体"/>
          <w:b/>
          <w:color w:val="auto"/>
          <w:sz w:val="24"/>
          <w:highlight w:val="none"/>
        </w:rPr>
        <w:t>（如涉及）</w:t>
      </w:r>
    </w:p>
    <w:p>
      <w:pPr>
        <w:pStyle w:val="6"/>
        <w:numPr>
          <w:ilvl w:val="0"/>
          <w:numId w:val="8"/>
        </w:numPr>
        <w:spacing w:line="400" w:lineRule="exact"/>
        <w:ind w:firstLine="49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供应商针对同一项目递交两份或多份内容不同的响应文件，未书面声明哪一份有效的；</w:t>
      </w:r>
    </w:p>
    <w:p>
      <w:pPr>
        <w:pStyle w:val="6"/>
        <w:spacing w:line="400" w:lineRule="exact"/>
        <w:ind w:firstLine="49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（4）供应商在一份响应文件里，同一轮报价中对同一项目有两个或多个报价的；</w:t>
      </w:r>
    </w:p>
    <w:p>
      <w:pPr>
        <w:pStyle w:val="15"/>
        <w:snapToGrid w:val="0"/>
        <w:spacing w:line="400" w:lineRule="exact"/>
        <w:ind w:firstLine="480" w:firstLineChars="20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lang w:val="zh-CN"/>
        </w:rPr>
        <w:t>）经最终谈判后，供应商的响应文件仍不能完全响应采购文件的实质性要求的；</w:t>
      </w:r>
    </w:p>
    <w:p>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(6)属于竞争性谈判文件中无效响应情形的。</w:t>
      </w:r>
    </w:p>
    <w:p>
      <w:pPr>
        <w:pStyle w:val="15"/>
        <w:snapToGrid w:val="0"/>
        <w:spacing w:line="400" w:lineRule="exact"/>
        <w:ind w:firstLine="480" w:firstLineChars="20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但谈判小组对响应文件签署、盖章等进行审查过程中，有下列情形的，谈判小组应当评定为不影响整个响应文件有效性和采购活动公平竞争，并通过响应文件的有效性审查：</w:t>
      </w:r>
    </w:p>
    <w:p>
      <w:pPr>
        <w:pStyle w:val="15"/>
        <w:snapToGrid w:val="0"/>
        <w:spacing w:line="400" w:lineRule="exact"/>
        <w:ind w:firstLine="480" w:firstLineChars="20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 （</w:t>
      </w: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zh-CN"/>
        </w:rPr>
        <w:t>）响应文件正副本数量齐全；</w:t>
      </w:r>
    </w:p>
    <w:p>
      <w:pPr>
        <w:pStyle w:val="15"/>
        <w:snapToGrid w:val="0"/>
        <w:spacing w:line="400" w:lineRule="exact"/>
        <w:ind w:firstLine="480" w:firstLineChars="20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 （</w:t>
      </w: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zh-CN"/>
        </w:rPr>
        <w:t>）响应文件存在个别地方（总数不能超过2个）没有法定代表人/单位负责人签字，但有法定代表人/单位负责人的私人印章或者有效授权代理人签字的；</w:t>
      </w:r>
    </w:p>
    <w:p>
      <w:pPr>
        <w:pStyle w:val="15"/>
        <w:snapToGrid w:val="0"/>
        <w:spacing w:line="400" w:lineRule="exact"/>
        <w:ind w:firstLine="480" w:firstLineChars="20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 （</w:t>
      </w: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zh-CN"/>
        </w:rPr>
        <w:t>）响应文件除采购文件明确要求加盖单位(法人)公章的以外，其他地方以相关专用章加盖的；</w:t>
      </w:r>
    </w:p>
    <w:p>
      <w:pPr>
        <w:pStyle w:val="15"/>
        <w:snapToGrid w:val="0"/>
        <w:spacing w:line="400" w:lineRule="exact"/>
        <w:ind w:firstLine="480" w:firstLineChars="20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 （</w:t>
      </w: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lang w:val="zh-CN"/>
        </w:rPr>
        <w:t>）以骑缝章的形式代替响应文件内容逐页盖章的（但是骑缝章模糊不清，印章名称无法辨认的除外）。</w:t>
      </w:r>
    </w:p>
    <w:p>
      <w:pPr>
        <w:pStyle w:val="15"/>
        <w:snapToGrid w:val="0"/>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bCs/>
          <w:color w:val="auto"/>
          <w:sz w:val="24"/>
          <w:szCs w:val="24"/>
          <w:highlight w:val="none"/>
        </w:rPr>
        <w:t>谈判小组</w:t>
      </w:r>
      <w:r>
        <w:rPr>
          <w:rFonts w:hint="eastAsia" w:ascii="宋体" w:hAnsi="宋体" w:eastAsia="宋体" w:cs="宋体"/>
          <w:bCs/>
          <w:color w:val="auto"/>
          <w:sz w:val="24"/>
          <w:szCs w:val="24"/>
          <w:highlight w:val="none"/>
          <w:lang w:val="zh-CN"/>
        </w:rPr>
        <w:t>对所有响应文件的有效性、完整性和响应程度进行审查</w:t>
      </w:r>
      <w:r>
        <w:rPr>
          <w:rFonts w:hint="eastAsia" w:ascii="宋体" w:hAnsi="宋体" w:eastAsia="宋体" w:cs="宋体"/>
          <w:bCs/>
          <w:color w:val="auto"/>
          <w:sz w:val="24"/>
          <w:szCs w:val="24"/>
          <w:highlight w:val="none"/>
        </w:rPr>
        <w:t>后，向采购</w:t>
      </w:r>
      <w:r>
        <w:rPr>
          <w:rFonts w:hint="eastAsia" w:ascii="宋体" w:hAnsi="宋体" w:eastAsia="宋体" w:cs="宋体"/>
          <w:bCs/>
          <w:color w:val="auto"/>
          <w:sz w:val="24"/>
          <w:szCs w:val="24"/>
          <w:highlight w:val="none"/>
          <w:lang w:val="zh-CN"/>
        </w:rPr>
        <w:t>代理机构</w:t>
      </w:r>
      <w:r>
        <w:rPr>
          <w:rFonts w:hint="eastAsia" w:ascii="宋体" w:hAnsi="宋体" w:eastAsia="宋体" w:cs="宋体"/>
          <w:bCs/>
          <w:color w:val="auto"/>
          <w:sz w:val="24"/>
          <w:szCs w:val="24"/>
          <w:highlight w:val="none"/>
        </w:rPr>
        <w:t>出具</w:t>
      </w:r>
      <w:r>
        <w:rPr>
          <w:rFonts w:hint="eastAsia" w:ascii="宋体" w:hAnsi="宋体" w:eastAsia="宋体" w:cs="宋体"/>
          <w:bCs/>
          <w:color w:val="auto"/>
          <w:sz w:val="24"/>
          <w:szCs w:val="24"/>
          <w:highlight w:val="none"/>
          <w:lang w:val="zh-CN"/>
        </w:rPr>
        <w:t>有效性、完整性和响应程度</w:t>
      </w:r>
      <w:r>
        <w:rPr>
          <w:rFonts w:hint="eastAsia" w:ascii="宋体" w:hAnsi="宋体" w:eastAsia="宋体" w:cs="宋体"/>
          <w:bCs/>
          <w:color w:val="auto"/>
          <w:sz w:val="24"/>
          <w:szCs w:val="24"/>
          <w:highlight w:val="none"/>
        </w:rPr>
        <w:t>审查报告，确定继续谈判的供应商名单。没有通过</w:t>
      </w:r>
      <w:r>
        <w:rPr>
          <w:rFonts w:hint="eastAsia" w:ascii="宋体" w:hAnsi="宋体" w:eastAsia="宋体" w:cs="宋体"/>
          <w:bCs/>
          <w:color w:val="auto"/>
          <w:sz w:val="24"/>
          <w:szCs w:val="24"/>
          <w:highlight w:val="none"/>
          <w:lang w:val="zh-CN"/>
        </w:rPr>
        <w:t>有效性、完整性和响应程度</w:t>
      </w:r>
      <w:r>
        <w:rPr>
          <w:rFonts w:hint="eastAsia" w:ascii="宋体" w:hAnsi="宋体" w:eastAsia="宋体" w:cs="宋体"/>
          <w:bCs/>
          <w:color w:val="auto"/>
          <w:sz w:val="24"/>
          <w:szCs w:val="24"/>
          <w:highlight w:val="none"/>
        </w:rPr>
        <w:t>审查的供应商，谈判小组应在</w:t>
      </w:r>
      <w:r>
        <w:rPr>
          <w:rFonts w:hint="eastAsia" w:ascii="宋体" w:hAnsi="宋体" w:eastAsia="宋体" w:cs="宋体"/>
          <w:bCs/>
          <w:color w:val="auto"/>
          <w:sz w:val="24"/>
          <w:szCs w:val="24"/>
          <w:highlight w:val="none"/>
          <w:lang w:val="zh-CN"/>
        </w:rPr>
        <w:t>有效性、完整性和响应程度</w:t>
      </w:r>
      <w:r>
        <w:rPr>
          <w:rFonts w:hint="eastAsia" w:ascii="宋体" w:hAnsi="宋体" w:eastAsia="宋体" w:cs="宋体"/>
          <w:bCs/>
          <w:color w:val="auto"/>
          <w:sz w:val="24"/>
          <w:szCs w:val="24"/>
          <w:highlight w:val="none"/>
        </w:rPr>
        <w:t>审查报告中说明原因。</w:t>
      </w:r>
    </w:p>
    <w:p>
      <w:pPr>
        <w:spacing w:line="40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2.2.1谈判小组应依据法律法规和谈判文件的规定，对响应文件是否按照规定要求提供资格性证明材料、是否属于禁止参加谈判的供应商等进行审查，以确定供应商是否具备谈判资格。</w:t>
      </w:r>
    </w:p>
    <w:p>
      <w:pPr>
        <w:spacing w:line="40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2.2.2资格性审查结束后，谈判小组应当出具资格性审查报告，没有通过资格审查的供应商，谈判小组应当在资格审查报告中说明原因。</w:t>
      </w:r>
    </w:p>
    <w:p>
      <w:pPr>
        <w:spacing w:line="40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2.2.3谈判小组应依据谈判文件规定的所有实质性要求，对符合资格的响应文件进行有效性、完整性和响应程度审查，以确定参加谈判的供应商名单。</w:t>
      </w:r>
    </w:p>
    <w:p>
      <w:pPr>
        <w:pStyle w:val="43"/>
        <w:spacing w:line="360" w:lineRule="auto"/>
        <w:contextualSpacing/>
        <w:jc w:val="center"/>
        <w:outlineLvl w:val="2"/>
        <w:rPr>
          <w:rFonts w:hint="eastAsia" w:ascii="宋体" w:hAnsi="宋体" w:eastAsia="宋体" w:cs="宋体"/>
          <w:b/>
          <w:color w:val="auto"/>
          <w:kern w:val="2"/>
          <w:highlight w:val="none"/>
        </w:rPr>
      </w:pPr>
      <w:bookmarkStart w:id="272" w:name="_Toc4616528"/>
      <w:r>
        <w:rPr>
          <w:rFonts w:hint="eastAsia" w:ascii="宋体" w:hAnsi="宋体" w:eastAsia="宋体" w:cs="宋体"/>
          <w:b/>
          <w:color w:val="auto"/>
          <w:kern w:val="2"/>
          <w:highlight w:val="none"/>
        </w:rPr>
        <w:t>有效性</w:t>
      </w:r>
      <w:r>
        <w:rPr>
          <w:rFonts w:hint="eastAsia" w:ascii="宋体" w:hAnsi="宋体" w:eastAsia="宋体" w:cs="宋体"/>
          <w:bCs/>
          <w:color w:val="auto"/>
          <w:highlight w:val="none"/>
        </w:rPr>
        <w:t>、</w:t>
      </w:r>
      <w:r>
        <w:rPr>
          <w:rFonts w:hint="eastAsia" w:ascii="宋体" w:hAnsi="宋体" w:eastAsia="宋体" w:cs="宋体"/>
          <w:b/>
          <w:color w:val="auto"/>
          <w:highlight w:val="none"/>
        </w:rPr>
        <w:t>完整性和响应程度</w:t>
      </w:r>
      <w:r>
        <w:rPr>
          <w:rFonts w:hint="eastAsia" w:ascii="宋体" w:hAnsi="宋体" w:eastAsia="宋体" w:cs="宋体"/>
          <w:b/>
          <w:color w:val="auto"/>
          <w:kern w:val="2"/>
          <w:highlight w:val="none"/>
        </w:rPr>
        <w:t>审查表</w:t>
      </w:r>
      <w:bookmarkEnd w:id="272"/>
    </w:p>
    <w:tbl>
      <w:tblPr>
        <w:tblStyle w:val="30"/>
        <w:tblW w:w="0" w:type="auto"/>
        <w:jc w:val="center"/>
        <w:tblLayout w:type="fixed"/>
        <w:tblCellMar>
          <w:top w:w="0" w:type="dxa"/>
          <w:left w:w="108" w:type="dxa"/>
          <w:bottom w:w="0" w:type="dxa"/>
          <w:right w:w="108" w:type="dxa"/>
        </w:tblCellMar>
      </w:tblPr>
      <w:tblGrid>
        <w:gridCol w:w="758"/>
        <w:gridCol w:w="2029"/>
        <w:gridCol w:w="4335"/>
        <w:gridCol w:w="1896"/>
      </w:tblGrid>
      <w:tr>
        <w:tblPrEx>
          <w:tblCellMar>
            <w:top w:w="0" w:type="dxa"/>
            <w:left w:w="108" w:type="dxa"/>
            <w:bottom w:w="0" w:type="dxa"/>
            <w:right w:w="108" w:type="dxa"/>
          </w:tblCellMar>
        </w:tblPrEx>
        <w:trPr>
          <w:trHeight w:val="573" w:hRule="atLeast"/>
          <w:jc w:val="center"/>
        </w:trPr>
        <w:tc>
          <w:tcPr>
            <w:tcW w:w="758" w:type="dxa"/>
            <w:tcBorders>
              <w:top w:val="single" w:color="auto" w:sz="12" w:space="0"/>
              <w:left w:val="single" w:color="auto" w:sz="12"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029" w:type="dxa"/>
            <w:tcBorders>
              <w:top w:val="single" w:color="auto" w:sz="12" w:space="0"/>
              <w:left w:val="nil"/>
              <w:bottom w:val="single" w:color="auto" w:sz="4" w:space="0"/>
              <w:right w:val="single" w:color="auto" w:sz="4" w:space="0"/>
            </w:tcBorders>
            <w:noWrap w:val="0"/>
            <w:vAlign w:val="center"/>
          </w:tcPr>
          <w:p>
            <w:pPr>
              <w:spacing w:before="231" w:beforeLines="50" w:after="231" w:afterLines="50" w:line="300" w:lineRule="exact"/>
              <w:ind w:firstLine="361" w:firstLineChars="15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项目内容</w:t>
            </w:r>
          </w:p>
        </w:tc>
        <w:tc>
          <w:tcPr>
            <w:tcW w:w="4335" w:type="dxa"/>
            <w:tcBorders>
              <w:top w:val="single" w:color="auto" w:sz="12" w:space="0"/>
              <w:left w:val="nil"/>
              <w:bottom w:val="single" w:color="auto" w:sz="4" w:space="0"/>
              <w:right w:val="single" w:color="auto" w:sz="4" w:space="0"/>
            </w:tcBorders>
            <w:noWrap w:val="0"/>
            <w:vAlign w:val="center"/>
          </w:tcPr>
          <w:p>
            <w:pPr>
              <w:spacing w:before="231" w:beforeLines="50" w:after="231" w:afterLines="50" w:line="3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1896" w:type="dxa"/>
            <w:tcBorders>
              <w:top w:val="single" w:color="auto" w:sz="12" w:space="0"/>
              <w:left w:val="nil"/>
              <w:bottom w:val="single" w:color="auto" w:sz="4" w:space="0"/>
              <w:right w:val="single" w:color="auto" w:sz="12" w:space="0"/>
            </w:tcBorders>
            <w:noWrap w:val="0"/>
            <w:vAlign w:val="center"/>
          </w:tcPr>
          <w:p>
            <w:pPr>
              <w:spacing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tblPrEx>
          <w:tblCellMar>
            <w:top w:w="0" w:type="dxa"/>
            <w:left w:w="108" w:type="dxa"/>
            <w:bottom w:w="0" w:type="dxa"/>
            <w:right w:w="108" w:type="dxa"/>
          </w:tblCellMar>
        </w:tblPrEx>
        <w:trPr>
          <w:trHeight w:val="753" w:hRule="atLeast"/>
          <w:jc w:val="center"/>
        </w:trPr>
        <w:tc>
          <w:tcPr>
            <w:tcW w:w="758" w:type="dxa"/>
            <w:tcBorders>
              <w:top w:val="single" w:color="auto" w:sz="4" w:space="0"/>
              <w:left w:val="single" w:color="auto" w:sz="12"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p>
        </w:tc>
        <w:tc>
          <w:tcPr>
            <w:tcW w:w="2029" w:type="dxa"/>
            <w:tcBorders>
              <w:top w:val="single" w:color="auto" w:sz="4" w:space="0"/>
              <w:left w:val="nil"/>
              <w:bottom w:val="single" w:color="auto" w:sz="4" w:space="0"/>
              <w:right w:val="single" w:color="auto" w:sz="4" w:space="0"/>
            </w:tcBorders>
            <w:noWrap w:val="0"/>
            <w:vAlign w:val="center"/>
          </w:tcPr>
          <w:p>
            <w:pPr>
              <w:spacing w:line="40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文件正副本数量</w:t>
            </w:r>
          </w:p>
        </w:tc>
        <w:tc>
          <w:tcPr>
            <w:tcW w:w="4335" w:type="dxa"/>
            <w:tcBorders>
              <w:top w:val="single" w:color="auto" w:sz="4" w:space="0"/>
              <w:left w:val="nil"/>
              <w:bottom w:val="single" w:color="auto" w:sz="4" w:space="0"/>
              <w:right w:val="single" w:color="auto" w:sz="4" w:space="0"/>
            </w:tcBorders>
            <w:noWrap w:val="0"/>
            <w:vAlign w:val="center"/>
          </w:tcPr>
          <w:p>
            <w:pPr>
              <w:spacing w:line="40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文件正副本数量</w:t>
            </w:r>
            <w:r>
              <w:rPr>
                <w:rFonts w:hint="eastAsia" w:ascii="宋体" w:hAnsi="宋体" w:eastAsia="宋体" w:cs="宋体"/>
                <w:color w:val="auto"/>
                <w:sz w:val="21"/>
                <w:szCs w:val="21"/>
                <w:highlight w:val="none"/>
              </w:rPr>
              <w:t>是否按照谈判文件要求提交。</w:t>
            </w:r>
          </w:p>
        </w:tc>
        <w:tc>
          <w:tcPr>
            <w:tcW w:w="1896" w:type="dxa"/>
            <w:tcBorders>
              <w:top w:val="nil"/>
              <w:left w:val="nil"/>
              <w:bottom w:val="single" w:color="auto" w:sz="4" w:space="0"/>
              <w:right w:val="single" w:color="auto" w:sz="12" w:space="0"/>
            </w:tcBorders>
            <w:noWrap w:val="0"/>
            <w:vAlign w:val="center"/>
          </w:tcPr>
          <w:p>
            <w:pPr>
              <w:spacing w:line="400" w:lineRule="exact"/>
              <w:jc w:val="left"/>
              <w:rPr>
                <w:rFonts w:hint="eastAsia" w:ascii="宋体" w:hAnsi="宋体" w:eastAsia="宋体" w:cs="宋体"/>
                <w:color w:val="auto"/>
                <w:sz w:val="21"/>
                <w:szCs w:val="21"/>
                <w:highlight w:val="none"/>
                <w:lang w:val="zh-CN"/>
              </w:rPr>
            </w:pPr>
          </w:p>
        </w:tc>
      </w:tr>
      <w:tr>
        <w:tblPrEx>
          <w:tblCellMar>
            <w:top w:w="0" w:type="dxa"/>
            <w:left w:w="108" w:type="dxa"/>
            <w:bottom w:w="0" w:type="dxa"/>
            <w:right w:w="108" w:type="dxa"/>
          </w:tblCellMar>
        </w:tblPrEx>
        <w:trPr>
          <w:trHeight w:val="753" w:hRule="atLeast"/>
          <w:jc w:val="center"/>
        </w:trPr>
        <w:tc>
          <w:tcPr>
            <w:tcW w:w="758" w:type="dxa"/>
            <w:tcBorders>
              <w:top w:val="single" w:color="auto" w:sz="4" w:space="0"/>
              <w:left w:val="single" w:color="auto" w:sz="12"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029" w:type="dxa"/>
            <w:tcBorders>
              <w:top w:val="single" w:color="auto" w:sz="4" w:space="0"/>
              <w:left w:val="nil"/>
              <w:bottom w:val="single" w:color="auto" w:sz="4" w:space="0"/>
              <w:right w:val="single" w:color="auto" w:sz="4" w:space="0"/>
            </w:tcBorders>
            <w:noWrap w:val="0"/>
            <w:vAlign w:val="center"/>
          </w:tcPr>
          <w:p>
            <w:pPr>
              <w:spacing w:line="40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响应文件签字、盖章</w:t>
            </w:r>
          </w:p>
        </w:tc>
        <w:tc>
          <w:tcPr>
            <w:tcW w:w="4335" w:type="dxa"/>
            <w:tcBorders>
              <w:top w:val="single" w:color="auto" w:sz="4" w:space="0"/>
              <w:left w:val="nil"/>
              <w:bottom w:val="single" w:color="auto" w:sz="4" w:space="0"/>
              <w:right w:val="single" w:color="auto" w:sz="4" w:space="0"/>
            </w:tcBorders>
            <w:noWrap w:val="0"/>
            <w:vAlign w:val="center"/>
          </w:tcPr>
          <w:p>
            <w:pPr>
              <w:spacing w:line="40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响应文件签字、盖章是否符合谈判文件要求。</w:t>
            </w:r>
          </w:p>
        </w:tc>
        <w:tc>
          <w:tcPr>
            <w:tcW w:w="1896" w:type="dxa"/>
            <w:tcBorders>
              <w:top w:val="nil"/>
              <w:left w:val="nil"/>
              <w:bottom w:val="single" w:color="auto" w:sz="4" w:space="0"/>
              <w:right w:val="single" w:color="auto" w:sz="12" w:space="0"/>
            </w:tcBorders>
            <w:noWrap w:val="0"/>
            <w:vAlign w:val="center"/>
          </w:tcPr>
          <w:p>
            <w:pPr>
              <w:spacing w:line="400" w:lineRule="exact"/>
              <w:jc w:val="left"/>
              <w:rPr>
                <w:rFonts w:hint="eastAsia" w:ascii="宋体" w:hAnsi="宋体" w:eastAsia="宋体" w:cs="宋体"/>
                <w:color w:val="auto"/>
                <w:sz w:val="21"/>
                <w:szCs w:val="21"/>
                <w:highlight w:val="none"/>
                <w:lang w:val="zh-CN"/>
              </w:rPr>
            </w:pPr>
          </w:p>
        </w:tc>
      </w:tr>
      <w:tr>
        <w:tblPrEx>
          <w:tblCellMar>
            <w:top w:w="0" w:type="dxa"/>
            <w:left w:w="108" w:type="dxa"/>
            <w:bottom w:w="0" w:type="dxa"/>
            <w:right w:w="108" w:type="dxa"/>
          </w:tblCellMar>
        </w:tblPrEx>
        <w:trPr>
          <w:trHeight w:val="605" w:hRule="atLeast"/>
          <w:jc w:val="center"/>
        </w:trPr>
        <w:tc>
          <w:tcPr>
            <w:tcW w:w="758" w:type="dxa"/>
            <w:tcBorders>
              <w:top w:val="single" w:color="auto" w:sz="4" w:space="0"/>
              <w:left w:val="single" w:color="auto" w:sz="12" w:space="0"/>
              <w:bottom w:val="single" w:color="auto" w:sz="12" w:space="0"/>
              <w:right w:val="single" w:color="auto" w:sz="4" w:space="0"/>
            </w:tcBorders>
            <w:noWrap w:val="0"/>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结论</w:t>
            </w:r>
          </w:p>
        </w:tc>
        <w:tc>
          <w:tcPr>
            <w:tcW w:w="6364" w:type="dxa"/>
            <w:gridSpan w:val="2"/>
            <w:tcBorders>
              <w:top w:val="single" w:color="auto" w:sz="4" w:space="0"/>
              <w:left w:val="nil"/>
              <w:bottom w:val="single" w:color="auto" w:sz="12" w:space="0"/>
              <w:right w:val="single" w:color="auto" w:sz="4" w:space="0"/>
            </w:tcBorders>
            <w:noWrap w:val="0"/>
            <w:vAlign w:val="center"/>
          </w:tcPr>
          <w:p>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应全部通过</w:t>
            </w:r>
          </w:p>
        </w:tc>
        <w:tc>
          <w:tcPr>
            <w:tcW w:w="1896" w:type="dxa"/>
            <w:tcBorders>
              <w:top w:val="single" w:color="auto" w:sz="4" w:space="0"/>
              <w:left w:val="nil"/>
              <w:bottom w:val="single" w:color="auto" w:sz="12" w:space="0"/>
              <w:right w:val="single" w:color="auto" w:sz="12" w:space="0"/>
            </w:tcBorders>
            <w:noWrap w:val="0"/>
            <w:vAlign w:val="center"/>
          </w:tcPr>
          <w:p>
            <w:pPr>
              <w:spacing w:line="400" w:lineRule="exact"/>
              <w:jc w:val="center"/>
              <w:rPr>
                <w:rFonts w:hint="eastAsia" w:ascii="宋体" w:hAnsi="宋体" w:eastAsia="宋体" w:cs="宋体"/>
                <w:b/>
                <w:bCs/>
                <w:color w:val="auto"/>
                <w:sz w:val="24"/>
                <w:szCs w:val="24"/>
                <w:highlight w:val="none"/>
              </w:rPr>
            </w:pPr>
          </w:p>
        </w:tc>
      </w:tr>
    </w:tbl>
    <w:p>
      <w:pPr>
        <w:keepNext w:val="0"/>
        <w:keepLines w:val="0"/>
        <w:pageBreakBefore w:val="0"/>
        <w:widowControl w:val="0"/>
        <w:kinsoku/>
        <w:wordWrap/>
        <w:overflowPunct/>
        <w:topLinePunct w:val="0"/>
        <w:autoSpaceDE/>
        <w:autoSpaceDN/>
        <w:bidi w:val="0"/>
        <w:spacing w:line="440" w:lineRule="exact"/>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2.2.4采购代理机构宣布未通过资格性审查的供应商名单时，应当告知供应商未通过审查的原因。</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szCs w:val="24"/>
          <w:highlight w:val="none"/>
        </w:rPr>
        <w:t>2.2.5</w:t>
      </w:r>
      <w:r>
        <w:rPr>
          <w:rFonts w:hint="eastAsia" w:ascii="宋体" w:hAnsi="宋体" w:eastAsia="宋体" w:cs="宋体"/>
          <w:bCs/>
          <w:color w:val="auto"/>
          <w:sz w:val="24"/>
          <w:highlight w:val="none"/>
        </w:rPr>
        <w:t>响应文件（包括单独递交的报价一览表）有下列情形的，本项目不作为实质性要求进行规定，即不作为有效性审查事项，不得作为无效报价处理：</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（一）存在个别地方（不超过2个）没有法定代表人签字，但有法定代表人的私人印章或者有效授权代理人签字的；</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（二）除谈判文件明确要求加盖单位(法人)公章的以外，其他地方以相关专用章加盖的；</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（三）以骑缝章的形式代替响应文件内容逐页盖章的（但是骑缝章模糊不清，印章名称无法辨认的除外）；</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（四）其他不影响采购项目实质性要求的情形。</w:t>
      </w:r>
    </w:p>
    <w:p>
      <w:pPr>
        <w:keepNext w:val="0"/>
        <w:keepLines w:val="0"/>
        <w:pageBreakBefore w:val="0"/>
        <w:widowControl w:val="0"/>
        <w:kinsoku/>
        <w:wordWrap/>
        <w:overflowPunct/>
        <w:topLinePunct w:val="0"/>
        <w:autoSpaceDE/>
        <w:autoSpaceDN/>
        <w:bidi w:val="0"/>
        <w:spacing w:line="440" w:lineRule="exact"/>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2.3通过资格性审查的供应商不足</w:t>
      </w:r>
      <w:r>
        <w:rPr>
          <w:rFonts w:hint="eastAsia" w:ascii="宋体" w:hAnsi="宋体" w:eastAsia="宋体" w:cs="宋体"/>
          <w:bCs/>
          <w:color w:val="auto"/>
          <w:sz w:val="24"/>
          <w:highlight w:val="none"/>
        </w:rPr>
        <w:t>3</w:t>
      </w:r>
      <w:r>
        <w:rPr>
          <w:rFonts w:hint="eastAsia" w:ascii="宋体" w:hAnsi="宋体" w:eastAsia="宋体" w:cs="宋体"/>
          <w:bCs/>
          <w:color w:val="auto"/>
          <w:sz w:val="24"/>
          <w:szCs w:val="24"/>
          <w:highlight w:val="none"/>
        </w:rPr>
        <w:t>家的</w:t>
      </w:r>
      <w:r>
        <w:rPr>
          <w:rFonts w:hint="eastAsia" w:ascii="宋体" w:hAnsi="宋体" w:eastAsia="宋体" w:cs="宋体"/>
          <w:b/>
          <w:color w:val="auto"/>
          <w:sz w:val="24"/>
          <w:szCs w:val="24"/>
          <w:highlight w:val="none"/>
        </w:rPr>
        <w:t>（本章2.3.1的情况除外）</w:t>
      </w:r>
      <w:r>
        <w:rPr>
          <w:rFonts w:hint="eastAsia" w:ascii="宋体" w:hAnsi="宋体" w:eastAsia="宋体" w:cs="宋体"/>
          <w:bCs/>
          <w:color w:val="auto"/>
          <w:sz w:val="24"/>
          <w:szCs w:val="24"/>
          <w:highlight w:val="none"/>
        </w:rPr>
        <w:t>，终止本次采购活动，并发布终止采购活动公告。</w:t>
      </w:r>
    </w:p>
    <w:p>
      <w:pPr>
        <w:keepNext w:val="0"/>
        <w:keepLines w:val="0"/>
        <w:pageBreakBefore w:val="0"/>
        <w:widowControl w:val="0"/>
        <w:kinsoku/>
        <w:wordWrap/>
        <w:overflowPunct/>
        <w:topLinePunct w:val="0"/>
        <w:autoSpaceDE/>
        <w:autoSpaceDN/>
        <w:bidi w:val="0"/>
        <w:spacing w:line="44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根据《政府采购非招标采购方式管理办法》（财政部令第74号）的相关规定，公开招标的货物、服务采购项目，招标过程中提交响应文件或者经评审实质性响应谈判文件要求的供应商只有两家时，采购人、采购代理机构按照</w:t>
      </w:r>
      <w:bookmarkStart w:id="273" w:name="_Toc15727"/>
      <w:r>
        <w:rPr>
          <w:rFonts w:hint="eastAsia" w:ascii="宋体" w:hAnsi="宋体" w:eastAsia="宋体" w:cs="宋体"/>
          <w:color w:val="auto"/>
          <w:sz w:val="24"/>
          <w:szCs w:val="24"/>
          <w:highlight w:val="none"/>
        </w:rPr>
        <w:t>本办法</w:t>
      </w:r>
      <w:bookmarkEnd w:id="273"/>
      <w:r>
        <w:rPr>
          <w:rFonts w:hint="eastAsia" w:ascii="宋体" w:hAnsi="宋体" w:eastAsia="宋体" w:cs="宋体"/>
          <w:color w:val="auto"/>
          <w:sz w:val="24"/>
          <w:szCs w:val="24"/>
          <w:highlight w:val="none"/>
        </w:rPr>
        <w:t>第四条经本级财政部门批准后可以与该两家供应商进行竞争性谈判采购，采购人、采购代理机构应当根据谈判文件中的采购需求编制谈判文件，成立谈判小组，由谈判小组对谈判文件进行确认。符合本款情形的，本办法第三十三条、第三十五条中规定的供应商最低数量可以为两家。</w:t>
      </w:r>
    </w:p>
    <w:p>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spacing w:line="440" w:lineRule="exact"/>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2.4 谈判</w:t>
      </w:r>
    </w:p>
    <w:p>
      <w:pPr>
        <w:keepNext w:val="0"/>
        <w:keepLines w:val="0"/>
        <w:pageBreakBefore w:val="0"/>
        <w:widowControl w:val="0"/>
        <w:kinsoku/>
        <w:wordWrap/>
        <w:overflowPunct/>
        <w:topLinePunct w:val="0"/>
        <w:autoSpaceDE/>
        <w:autoSpaceDN/>
        <w:bidi w:val="0"/>
        <w:spacing w:line="440" w:lineRule="exact"/>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2.4.1谈判小组所有成员集中与单一供应商分别进行一轮或多轮谈判，并给予所有参加谈判的供应商平等的谈判机会。谈判顺序以现场抽签的方式确定。谈判过程中，谈判小组可以根据谈判情况调整谈判轮次。</w:t>
      </w:r>
    </w:p>
    <w:p>
      <w:pPr>
        <w:keepNext w:val="0"/>
        <w:keepLines w:val="0"/>
        <w:pageBreakBefore w:val="0"/>
        <w:widowControl w:val="0"/>
        <w:kinsoku/>
        <w:wordWrap/>
        <w:overflowPunct/>
        <w:topLinePunct w:val="0"/>
        <w:autoSpaceDE/>
        <w:autoSpaceDN/>
        <w:bidi w:val="0"/>
        <w:spacing w:line="440" w:lineRule="exact"/>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2.4.2每轮谈判开始前，谈判小组应根据谈判文件的规定，并结合各供应商的响应文件拟定谈判内容。</w:t>
      </w:r>
    </w:p>
    <w:p>
      <w:pPr>
        <w:keepNext w:val="0"/>
        <w:keepLines w:val="0"/>
        <w:pageBreakBefore w:val="0"/>
        <w:widowControl w:val="0"/>
        <w:kinsoku/>
        <w:wordWrap/>
        <w:overflowPunct/>
        <w:topLinePunct w:val="0"/>
        <w:autoSpaceDE/>
        <w:autoSpaceDN/>
        <w:bidi w:val="0"/>
        <w:spacing w:line="440" w:lineRule="exact"/>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2.4.3在谈判过程中，谈判小组可以根据谈判文件和谈判情况实质性变动谈判文件的技术、服务要求以及合同草案条款，但不得变动谈判文件中的其他内容。实质性变动的内容，须经采购人代表书面确认。</w:t>
      </w:r>
    </w:p>
    <w:p>
      <w:pPr>
        <w:keepNext w:val="0"/>
        <w:keepLines w:val="0"/>
        <w:pageBreakBefore w:val="0"/>
        <w:widowControl w:val="0"/>
        <w:kinsoku/>
        <w:wordWrap/>
        <w:overflowPunct/>
        <w:topLinePunct w:val="0"/>
        <w:autoSpaceDE/>
        <w:autoSpaceDN/>
        <w:bidi w:val="0"/>
        <w:spacing w:line="440" w:lineRule="exact"/>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2.4.4对谈判文件作出的实质性变动是谈判文件的有效组成部分，谈判小组应当及时以书面形式同时通知所有参加谈判的供应商。</w:t>
      </w:r>
    </w:p>
    <w:p>
      <w:pPr>
        <w:keepNext w:val="0"/>
        <w:keepLines w:val="0"/>
        <w:pageBreakBefore w:val="0"/>
        <w:widowControl w:val="0"/>
        <w:kinsoku/>
        <w:wordWrap/>
        <w:overflowPunct/>
        <w:topLinePunct w:val="0"/>
        <w:autoSpaceDE/>
        <w:autoSpaceDN/>
        <w:bidi w:val="0"/>
        <w:spacing w:line="440" w:lineRule="exact"/>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2.4.5谈判过程中，谈判文件变动的，供应商应当按照谈判文件的变动情况和谈判小组的要求重新提交响应文件，并由其法定代表人/主要负责人/本人或其授权代表签字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pPr>
        <w:keepNext w:val="0"/>
        <w:keepLines w:val="0"/>
        <w:pageBreakBefore w:val="0"/>
        <w:widowControl w:val="0"/>
        <w:kinsoku/>
        <w:wordWrap/>
        <w:overflowPunct/>
        <w:topLinePunct w:val="0"/>
        <w:autoSpaceDE/>
        <w:autoSpaceDN/>
        <w:bidi w:val="0"/>
        <w:spacing w:line="440" w:lineRule="exact"/>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2.4.6谈判过程中，谈判的任何一方不得透露与谈判有关的其他供应商的技术资料、价格和其他信息。</w:t>
      </w:r>
    </w:p>
    <w:p>
      <w:pPr>
        <w:keepNext w:val="0"/>
        <w:keepLines w:val="0"/>
        <w:pageBreakBefore w:val="0"/>
        <w:widowControl w:val="0"/>
        <w:kinsoku/>
        <w:wordWrap/>
        <w:overflowPunct/>
        <w:topLinePunct w:val="0"/>
        <w:autoSpaceDE/>
        <w:autoSpaceDN/>
        <w:bidi w:val="0"/>
        <w:spacing w:line="440" w:lineRule="exact"/>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2.4.7谈判过程中，谈判小组发现或者知晓供应商存在违法、违纪行为的，谈判小组应当将该供应商淘汰，不允许其提交最后报价。</w:t>
      </w:r>
    </w:p>
    <w:p>
      <w:pPr>
        <w:keepNext w:val="0"/>
        <w:keepLines w:val="0"/>
        <w:pageBreakBefore w:val="0"/>
        <w:widowControl w:val="0"/>
        <w:kinsoku/>
        <w:wordWrap/>
        <w:overflowPunct/>
        <w:topLinePunct w:val="0"/>
        <w:autoSpaceDE/>
        <w:autoSpaceDN/>
        <w:bidi w:val="0"/>
        <w:spacing w:line="440" w:lineRule="exact"/>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2.4.8谈判完成后，谈判小组应出具谈判情况记录表，谈判情况记录表需包含谈判内容、谈判意见、实质性变动内容等。   </w:t>
      </w:r>
    </w:p>
    <w:p>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2.5</w:t>
      </w:r>
      <w:r>
        <w:rPr>
          <w:rFonts w:hint="eastAsia" w:ascii="宋体" w:hAnsi="宋体" w:eastAsia="宋体" w:cs="宋体"/>
          <w:color w:val="auto"/>
          <w:sz w:val="24"/>
          <w:highlight w:val="none"/>
        </w:rPr>
        <w:t>最后报价。</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2.5.1谈判文件能够详细列明采购标的的技术、服务要求的，谈判结束后，谈判小组应当要求所有实质性响应的供应商在规定时间内提交最后报价，提交最后报价的供应商不得少于3家</w:t>
      </w:r>
      <w:r>
        <w:rPr>
          <w:rFonts w:hint="eastAsia" w:ascii="宋体" w:hAnsi="宋体" w:eastAsia="宋体" w:cs="宋体"/>
          <w:b/>
          <w:color w:val="auto"/>
          <w:sz w:val="24"/>
          <w:szCs w:val="24"/>
          <w:highlight w:val="none"/>
        </w:rPr>
        <w:t>（本章2.3.1的情况除外）</w:t>
      </w:r>
      <w:r>
        <w:rPr>
          <w:rFonts w:hint="eastAsia" w:ascii="宋体" w:hAnsi="宋体" w:eastAsia="宋体" w:cs="宋体"/>
          <w:color w:val="auto"/>
          <w:sz w:val="24"/>
          <w:highlight w:val="none"/>
        </w:rPr>
        <w:t>。或谈判文件不能详细列明采购标的的技术、服务要求，需经谈判由供应商提供最终设计方案或解决方案的，谈判结束后，谈判小组应当按照少数服从多数的原则投票推荐3家以上</w:t>
      </w:r>
      <w:r>
        <w:rPr>
          <w:rFonts w:hint="eastAsia" w:ascii="宋体" w:hAnsi="宋体" w:eastAsia="宋体" w:cs="宋体"/>
          <w:b/>
          <w:color w:val="auto"/>
          <w:sz w:val="24"/>
          <w:szCs w:val="24"/>
          <w:highlight w:val="none"/>
        </w:rPr>
        <w:t>（本章2.3.1的情况除外）</w:t>
      </w:r>
      <w:r>
        <w:rPr>
          <w:rFonts w:hint="eastAsia" w:ascii="宋体" w:hAnsi="宋体" w:eastAsia="宋体" w:cs="宋体"/>
          <w:color w:val="auto"/>
          <w:sz w:val="24"/>
          <w:highlight w:val="none"/>
        </w:rPr>
        <w:t>供应商的设计方案或者解决方案，并要求其在规定时间内提交最后报价。</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2.5.2谈判结束后，谈判小组应当要求所有实质性响应的供应商在规定时间内提交最后报价。两轮（若有）以上报价的，供应商在未提高响应文件中承诺的产品及其服务质量的情况下，其最后报价不得高于对该项目之前的报价，否则，谈判小组应当对其响应文件按无效处理，并书面告知供应商，说明理由。</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2.5.3供应商最后报价应当由法定代表人/主要负责人/本人或其授权代表签字确认或加盖公章。最后报价是供应商响应文件的有效组成部分。</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6"/>
        <w:keepNext w:val="0"/>
        <w:keepLines w:val="0"/>
        <w:pageBreakBefore w:val="0"/>
        <w:widowControl w:val="0"/>
        <w:kinsoku/>
        <w:wordWrap/>
        <w:overflowPunct/>
        <w:topLinePunct w:val="0"/>
        <w:autoSpaceDE/>
        <w:autoSpaceDN/>
        <w:bidi w:val="0"/>
        <w:spacing w:line="440" w:lineRule="exact"/>
        <w:ind w:firstLine="49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2.5.5 根据《政府采购促进中小企业发展管理办法》（财库﹝2020﹞46 号）的规定，对小型和微型企业产品的价格给予10%的价格扣除，用扣除后的价格参与评审。残疾企业、监狱企业视同小微企业。</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 谈判小组复核。供应商最后报价结束后，谈判小组应当进行评审复核，对拟推荐为成交候选供应商的、报价最低的、供应商资格审查未通过的、供应商响应文件作无效处理的重点复核。</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2.7推荐成交候选供应商。谈判小组复核后，应当按照供应商的报价由低到高顺序推荐不少于3名</w:t>
      </w:r>
      <w:r>
        <w:rPr>
          <w:rFonts w:hint="eastAsia" w:ascii="宋体" w:hAnsi="宋体" w:eastAsia="宋体" w:cs="宋体"/>
          <w:b/>
          <w:bCs/>
          <w:color w:val="auto"/>
          <w:sz w:val="24"/>
          <w:szCs w:val="22"/>
          <w:highlight w:val="none"/>
        </w:rPr>
        <w:t>（本章2.3.1的情况除外）</w:t>
      </w:r>
      <w:r>
        <w:rPr>
          <w:rFonts w:hint="eastAsia" w:ascii="宋体" w:hAnsi="宋体" w:eastAsia="宋体" w:cs="宋体"/>
          <w:color w:val="auto"/>
          <w:sz w:val="24"/>
          <w:szCs w:val="22"/>
          <w:highlight w:val="none"/>
        </w:rPr>
        <w:t>成交候选供应商，并编写谈判报告。</w:t>
      </w:r>
      <w:r>
        <w:rPr>
          <w:rFonts w:hint="eastAsia" w:ascii="宋体" w:hAnsi="宋体" w:eastAsia="宋体" w:cs="宋体"/>
          <w:color w:val="auto"/>
          <w:sz w:val="24"/>
          <w:szCs w:val="22"/>
          <w:highlight w:val="none"/>
          <w:lang w:val="zh-CN"/>
        </w:rPr>
        <w:t>供应商报价相同的，以提供节能（强制节能除外）</w:t>
      </w:r>
      <w:r>
        <w:rPr>
          <w:rFonts w:hint="eastAsia" w:ascii="宋体" w:hAnsi="宋体" w:eastAsia="宋体" w:cs="宋体"/>
          <w:color w:val="auto"/>
          <w:sz w:val="24"/>
          <w:szCs w:val="22"/>
          <w:highlight w:val="none"/>
        </w:rPr>
        <w:t>或</w:t>
      </w:r>
      <w:r>
        <w:rPr>
          <w:rFonts w:hint="eastAsia" w:ascii="宋体" w:hAnsi="宋体" w:eastAsia="宋体" w:cs="宋体"/>
          <w:color w:val="auto"/>
          <w:sz w:val="24"/>
          <w:szCs w:val="22"/>
          <w:highlight w:val="none"/>
          <w:lang w:val="zh-CN"/>
        </w:rPr>
        <w:t>环保产品认证</w:t>
      </w:r>
      <w:r>
        <w:rPr>
          <w:rFonts w:hint="eastAsia" w:ascii="宋体" w:hAnsi="宋体" w:eastAsia="宋体" w:cs="宋体"/>
          <w:color w:val="auto"/>
          <w:sz w:val="24"/>
          <w:szCs w:val="22"/>
          <w:highlight w:val="none"/>
        </w:rPr>
        <w:t>或无线局域网产品或</w:t>
      </w:r>
      <w:r>
        <w:rPr>
          <w:rFonts w:hint="eastAsia" w:ascii="宋体" w:hAnsi="宋体" w:eastAsia="宋体" w:cs="宋体"/>
          <w:color w:val="auto"/>
          <w:sz w:val="24"/>
          <w:szCs w:val="22"/>
          <w:highlight w:val="none"/>
          <w:lang w:val="zh-CN"/>
        </w:rPr>
        <w:t>供应商属于</w:t>
      </w:r>
      <w:r>
        <w:rPr>
          <w:rFonts w:hint="eastAsia" w:ascii="宋体" w:hAnsi="宋体" w:eastAsia="宋体" w:cs="宋体"/>
          <w:color w:val="auto"/>
          <w:sz w:val="24"/>
          <w:szCs w:val="22"/>
          <w:highlight w:val="none"/>
          <w:lang w:eastAsia="zh-CN"/>
        </w:rPr>
        <w:t>不发达地区或少数民族地区、自主创新企业、高新科技企业</w:t>
      </w:r>
      <w:r>
        <w:rPr>
          <w:rFonts w:hint="eastAsia" w:ascii="宋体" w:hAnsi="宋体" w:eastAsia="宋体" w:cs="宋体"/>
          <w:color w:val="auto"/>
          <w:sz w:val="24"/>
          <w:szCs w:val="22"/>
          <w:highlight w:val="none"/>
          <w:lang w:val="zh-CN"/>
        </w:rPr>
        <w:t>的成交候选供应商优先，</w:t>
      </w:r>
      <w:r>
        <w:rPr>
          <w:rFonts w:hint="eastAsia" w:ascii="宋体" w:hAnsi="宋体" w:eastAsia="宋体" w:cs="宋体"/>
          <w:color w:val="auto"/>
          <w:sz w:val="24"/>
          <w:szCs w:val="22"/>
          <w:highlight w:val="none"/>
        </w:rPr>
        <w:t>供应商报价相同的，且均</w:t>
      </w:r>
      <w:r>
        <w:rPr>
          <w:rFonts w:hint="eastAsia" w:ascii="宋体" w:hAnsi="宋体" w:eastAsia="宋体" w:cs="宋体"/>
          <w:color w:val="auto"/>
          <w:sz w:val="24"/>
          <w:szCs w:val="22"/>
          <w:highlight w:val="none"/>
          <w:lang w:val="zh-CN"/>
        </w:rPr>
        <w:t>提供</w:t>
      </w:r>
      <w:r>
        <w:rPr>
          <w:rFonts w:hint="eastAsia" w:ascii="宋体" w:hAnsi="宋体" w:eastAsia="宋体" w:cs="宋体"/>
          <w:color w:val="auto"/>
          <w:sz w:val="24"/>
          <w:szCs w:val="22"/>
          <w:highlight w:val="none"/>
        </w:rPr>
        <w:t>以上优先项的，以优先项数量最多的供应商为优先，数量一致的供应商并列；（</w:t>
      </w:r>
      <w:r>
        <w:rPr>
          <w:rFonts w:hint="eastAsia" w:ascii="宋体" w:hAnsi="宋体" w:eastAsia="宋体" w:cs="宋体"/>
          <w:color w:val="auto"/>
          <w:sz w:val="24"/>
          <w:szCs w:val="22"/>
          <w:highlight w:val="none"/>
          <w:lang w:eastAsia="zh-CN"/>
        </w:rPr>
        <w:t>不发达地区或少数民族地区、自主创新企业、高新科技企业</w:t>
      </w:r>
      <w:r>
        <w:rPr>
          <w:rFonts w:hint="eastAsia" w:ascii="宋体" w:hAnsi="宋体" w:eastAsia="宋体" w:cs="宋体"/>
          <w:color w:val="auto"/>
          <w:sz w:val="24"/>
          <w:szCs w:val="22"/>
          <w:highlight w:val="none"/>
        </w:rPr>
        <w:t>的供应商需提供属于</w:t>
      </w:r>
      <w:r>
        <w:rPr>
          <w:rFonts w:hint="eastAsia" w:ascii="宋体" w:hAnsi="宋体" w:eastAsia="宋体" w:cs="宋体"/>
          <w:color w:val="auto"/>
          <w:sz w:val="24"/>
          <w:szCs w:val="22"/>
          <w:highlight w:val="none"/>
          <w:lang w:eastAsia="zh-CN"/>
        </w:rPr>
        <w:t>不发达地区或少数民族地区、自主创新企业、高新科技企业</w:t>
      </w:r>
      <w:r>
        <w:rPr>
          <w:rFonts w:hint="eastAsia" w:ascii="宋体" w:hAnsi="宋体" w:eastAsia="宋体" w:cs="宋体"/>
          <w:color w:val="auto"/>
          <w:sz w:val="24"/>
          <w:szCs w:val="22"/>
          <w:highlight w:val="none"/>
        </w:rPr>
        <w:t>企业的相关证明材料，或供应商注册地为少数民族地区。）供应商报价相同的，成交候选供应商并列，由采购人自主采取公平择优的方式选择成交供应商。</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本项目若为服务类项目则不适用优先采购节能、环保标志、无线局域网产品的政策措施。</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2.8采购人/采购代理机构现场复核评审结果。</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2.8.1推荐成交候选供应商后，谈判小组拟出具谈判报告前，采购人/采购代理机构应当组织2名以上的本单位工作人员，在采购现场监督人员的监督之下，依据有关的法律制度和谈判文件对评审结果进行复核，出具复核报告，存在资格性审查认定错误的，采购人/采购代理机构应当根据情况书面建议谈判小组现场修改评审结果。由谈判小组自主决定是否采纳采购人/采购代理机构的书面建议，并承担独立评审责任。谈判小组采纳采购人/采购代理机构书面建议的，应当按照规定现场修改评审结果或者重新评审，并在谈判报告中详细记载有关事宜；不采纳采购人/采购代理机构书面建议的，应当书面说明理由。采购人/采购代理机构书面建议未被谈判小组采纳的，应当接照规定程序要求继续组织实施采购活动，不得擅自中止采购活动。采购人/采购代理机构认为谈判小组评审结果不合法的，应当书面报告采购项目同级财政部门。</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采购人/采购代理机构复核过程中，谈判小组成员不得离开评审现场。</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2.8.2有下列情形之一的，不得现场修改评审结果：</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（1）谈判小组已经出具谈判报告并且离开评审现场的；</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（2）采购人/采购代理机构现场复核时，复核工作人员数量不足的；</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（3）采购人/采购代理机构现场复核时，没有采购监督人员现场监督的；</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（4）采购人/采购代理机构现场复核内容超出规定范围的；</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（5）采购人/采购代理机构未提供书面建议的。</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2.9编写谈判报告。谈判小组推荐成交候选供应商后，应向采购人/采购代理机构出具谈判报告。谈判报告应当包括以下主要内容：</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（1）邀请供应商参加采购活动的具体方式和相关情况，以及参加采购活动的供应商名单；</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（2）评审日期和地点，谈判小组、询价小组成员名单；</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（3）评审情况记录和说明，包括对供应商的资格审查情况、供应商响应文件审查情况、谈判情况、报价情况等；</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（4）推荐的成交候选人的名单及理由。</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2.10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2.11供应商澄清、说明</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2.11.2谈判小组要求供应商澄清、说明或者更正响应文件应当以书面形式作出。供应商的澄清、说明或者更正应当由法定代表人/主要负责人/本人或其授权代表签字或者加盖公章。</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2.12终止谈判采购活动。</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出现下列情形之一的，采购人或者采购代理机构应当终止竞争性谈判采购活动，发布项目终止公告并说明原因，重新开展采购活动：</w:t>
      </w:r>
    </w:p>
    <w:p>
      <w:pPr>
        <w:keepNext w:val="0"/>
        <w:keepLines w:val="0"/>
        <w:pageBreakBefore w:val="0"/>
        <w:widowControl w:val="0"/>
        <w:kinsoku/>
        <w:wordWrap/>
        <w:overflowPunct/>
        <w:topLinePunct w:val="0"/>
        <w:autoSpaceDE/>
        <w:autoSpaceDN/>
        <w:bidi w:val="0"/>
        <w:spacing w:line="440" w:lineRule="exact"/>
        <w:ind w:firstLine="360" w:firstLineChars="1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（1）因情况变化，不再符合规定的竞争性谈判采购方式适用情形的；</w:t>
      </w:r>
    </w:p>
    <w:p>
      <w:pPr>
        <w:keepNext w:val="0"/>
        <w:keepLines w:val="0"/>
        <w:pageBreakBefore w:val="0"/>
        <w:widowControl w:val="0"/>
        <w:kinsoku/>
        <w:wordWrap/>
        <w:overflowPunct/>
        <w:topLinePunct w:val="0"/>
        <w:autoSpaceDE/>
        <w:autoSpaceDN/>
        <w:bidi w:val="0"/>
        <w:spacing w:line="440" w:lineRule="exact"/>
        <w:ind w:firstLine="360" w:firstLineChars="1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（2）出现影响采购公正的违法、违规行为的；</w:t>
      </w:r>
    </w:p>
    <w:p>
      <w:pPr>
        <w:keepNext w:val="0"/>
        <w:keepLines w:val="0"/>
        <w:pageBreakBefore w:val="0"/>
        <w:widowControl w:val="0"/>
        <w:kinsoku/>
        <w:wordWrap/>
        <w:overflowPunct/>
        <w:topLinePunct w:val="0"/>
        <w:autoSpaceDE/>
        <w:autoSpaceDN/>
        <w:bidi w:val="0"/>
        <w:spacing w:line="440" w:lineRule="exact"/>
        <w:ind w:firstLine="360" w:firstLineChars="15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w:t>
      </w:r>
      <w:r>
        <w:rPr>
          <w:rFonts w:hint="eastAsia" w:ascii="宋体" w:hAnsi="宋体" w:eastAsia="宋体" w:cs="宋体"/>
          <w:b/>
          <w:bCs/>
          <w:color w:val="auto"/>
          <w:sz w:val="24"/>
          <w:szCs w:val="22"/>
          <w:highlight w:val="none"/>
        </w:rPr>
        <w:t>（本章2.3.1的情况除外）</w:t>
      </w:r>
      <w:r>
        <w:rPr>
          <w:rFonts w:hint="eastAsia" w:ascii="宋体" w:hAnsi="宋体" w:eastAsia="宋体" w:cs="宋体"/>
          <w:color w:val="auto"/>
          <w:sz w:val="24"/>
          <w:szCs w:val="22"/>
          <w:highlight w:val="none"/>
        </w:rPr>
        <w:t>在采购过程中符合要求的供应商或者报价未超过采购预算的供应商不足3家的。</w:t>
      </w:r>
    </w:p>
    <w:p>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highlight w:val="none"/>
        </w:rPr>
      </w:pPr>
    </w:p>
    <w:p>
      <w:pPr>
        <w:keepNext w:val="0"/>
        <w:keepLines w:val="0"/>
        <w:pageBreakBefore w:val="0"/>
        <w:widowControl w:val="0"/>
        <w:tabs>
          <w:tab w:val="left" w:pos="851"/>
        </w:tabs>
        <w:kinsoku/>
        <w:wordWrap/>
        <w:overflowPunct/>
        <w:topLinePunct w:val="0"/>
        <w:autoSpaceDE/>
        <w:autoSpaceDN/>
        <w:bidi w:val="0"/>
        <w:spacing w:line="440" w:lineRule="exact"/>
        <w:ind w:firstLine="482" w:firstLineChars="200"/>
        <w:textAlignment w:val="auto"/>
        <w:outlineLvl w:val="1"/>
        <w:rPr>
          <w:rFonts w:hint="eastAsia" w:ascii="宋体" w:hAnsi="宋体" w:eastAsia="宋体" w:cs="宋体"/>
          <w:b/>
          <w:color w:val="auto"/>
          <w:sz w:val="24"/>
          <w:highlight w:val="none"/>
        </w:rPr>
      </w:pPr>
      <w:bookmarkStart w:id="274" w:name="_Toc4616529"/>
      <w:r>
        <w:rPr>
          <w:rFonts w:hint="eastAsia" w:ascii="宋体" w:hAnsi="宋体" w:eastAsia="宋体" w:cs="宋体"/>
          <w:b/>
          <w:color w:val="auto"/>
          <w:sz w:val="24"/>
          <w:highlight w:val="none"/>
        </w:rPr>
        <w:t>3.谈判纪律及注意事项</w:t>
      </w:r>
      <w:bookmarkEnd w:id="274"/>
    </w:p>
    <w:p>
      <w:pPr>
        <w:keepNext w:val="0"/>
        <w:keepLines w:val="0"/>
        <w:pageBreakBefore w:val="0"/>
        <w:widowControl w:val="0"/>
        <w:tabs>
          <w:tab w:val="left" w:pos="851"/>
        </w:tabs>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3.1谈判小组内部讨论的情况和意见必须保密，任何人不得以任何形式透露给供应商或与供应商有关的单位或个人。</w:t>
      </w:r>
    </w:p>
    <w:p>
      <w:pPr>
        <w:keepNext w:val="0"/>
        <w:keepLines w:val="0"/>
        <w:pageBreakBefore w:val="0"/>
        <w:widowControl w:val="0"/>
        <w:tabs>
          <w:tab w:val="left" w:pos="851"/>
        </w:tabs>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3.2在谈判过程中，供应商不得以任何形式对谈判小组成员进行旨在影响谈判结果的私下接触，否则将取消其参与谈判的资格。</w:t>
      </w:r>
    </w:p>
    <w:p>
      <w:pPr>
        <w:keepNext w:val="0"/>
        <w:keepLines w:val="0"/>
        <w:pageBreakBefore w:val="0"/>
        <w:widowControl w:val="0"/>
        <w:tabs>
          <w:tab w:val="left" w:pos="851"/>
        </w:tabs>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3.3对各供应商的商业秘密，谈判小组成员应予以保密，不得泄露给其他供应商。</w:t>
      </w:r>
    </w:p>
    <w:p>
      <w:pPr>
        <w:keepNext w:val="0"/>
        <w:keepLines w:val="0"/>
        <w:pageBreakBefore w:val="0"/>
        <w:widowControl w:val="0"/>
        <w:tabs>
          <w:tab w:val="left" w:pos="851"/>
        </w:tabs>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3.4谈判小组独立评判，推荐成交候选人，并写出书面报告。</w:t>
      </w:r>
    </w:p>
    <w:p>
      <w:pPr>
        <w:keepNext w:val="0"/>
        <w:keepLines w:val="0"/>
        <w:pageBreakBefore w:val="0"/>
        <w:widowControl w:val="0"/>
        <w:tabs>
          <w:tab w:val="left" w:pos="851"/>
        </w:tabs>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3.5谈判小组可根据需要对供应商进行实地考察。</w:t>
      </w:r>
    </w:p>
    <w:p>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highlight w:val="none"/>
        </w:rPr>
      </w:pPr>
    </w:p>
    <w:p>
      <w:pPr>
        <w:pStyle w:val="4"/>
        <w:keepNext w:val="0"/>
        <w:keepLines w:val="0"/>
        <w:pageBreakBefore w:val="0"/>
        <w:widowControl w:val="0"/>
        <w:numPr>
          <w:ilvl w:val="0"/>
          <w:numId w:val="9"/>
        </w:numPr>
        <w:kinsoku/>
        <w:wordWrap/>
        <w:overflowPunct/>
        <w:topLinePunct w:val="0"/>
        <w:autoSpaceDE/>
        <w:autoSpaceDN/>
        <w:bidi w:val="0"/>
        <w:spacing w:before="0" w:after="0" w:line="440" w:lineRule="exact"/>
        <w:ind w:firstLine="472" w:firstLineChars="196"/>
        <w:textAlignment w:val="auto"/>
        <w:rPr>
          <w:rFonts w:hint="eastAsia" w:ascii="宋体" w:hAnsi="宋体" w:eastAsia="宋体" w:cs="宋体"/>
          <w:color w:val="auto"/>
          <w:sz w:val="24"/>
          <w:szCs w:val="24"/>
          <w:highlight w:val="none"/>
        </w:rPr>
      </w:pPr>
      <w:bookmarkStart w:id="275" w:name="_Toc4616530"/>
      <w:r>
        <w:rPr>
          <w:rFonts w:hint="eastAsia" w:ascii="宋体" w:hAnsi="宋体" w:eastAsia="宋体" w:cs="宋体"/>
          <w:color w:val="auto"/>
          <w:sz w:val="24"/>
          <w:szCs w:val="24"/>
          <w:highlight w:val="none"/>
        </w:rPr>
        <w:t>确定成交供应商</w:t>
      </w:r>
      <w:bookmarkEnd w:id="275"/>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方式一：采购人将按谈判小组推荐的成交候选供应商顺序确定成交供应商。</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方式二：采购人授权谈判小组根据供应商最后报价排名直接确定成交供应商。</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bCs/>
          <w:color w:val="auto"/>
          <w:sz w:val="24"/>
          <w:szCs w:val="24"/>
          <w:highlight w:val="none"/>
        </w:rPr>
        <w:t>本项目采用方式一确定成交供应商。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4.1 采购代理机构应当在评审结束后2个工作日内将评审报告送采购人确认；</w:t>
      </w:r>
      <w:bookmarkStart w:id="276" w:name="_Toc209847066"/>
      <w:bookmarkStart w:id="277" w:name="_Toc430773925"/>
      <w:bookmarkStart w:id="278" w:name="_Toc101174147"/>
      <w:bookmarkStart w:id="279" w:name="_Toc101338360"/>
      <w:bookmarkStart w:id="280" w:name="_Toc101250642"/>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4.2 采购人应当在收到评审报告后5个工作日内，从评审报告提出的成交候选人中，根据质量和服务均能满足</w:t>
      </w:r>
      <w:r>
        <w:rPr>
          <w:rFonts w:hint="eastAsia" w:ascii="宋体" w:hAnsi="宋体" w:eastAsia="宋体" w:cs="宋体"/>
          <w:bCs/>
          <w:color w:val="auto"/>
          <w:sz w:val="24"/>
          <w:highlight w:val="none"/>
        </w:rPr>
        <w:t>谈判</w:t>
      </w:r>
      <w:r>
        <w:rPr>
          <w:rFonts w:hint="eastAsia" w:ascii="宋体" w:hAnsi="宋体" w:eastAsia="宋体" w:cs="宋体"/>
          <w:color w:val="auto"/>
          <w:sz w:val="24"/>
          <w:highlight w:val="none"/>
        </w:rPr>
        <w:t>文件实质性响应要求且最后报价最低的原则确定成交供应商。谈判报价相同的并列，响应文件满足竞争性谈判文件全部实质性要求且谈判报价最低的供应商为成交候选人；报价相同且满足竞争性谈判文件全部实质性要求的并列，由采购人自主采取公平、择优的方式选择成交供应商。</w:t>
      </w:r>
    </w:p>
    <w:bookmarkEnd w:id="276"/>
    <w:bookmarkEnd w:id="277"/>
    <w:bookmarkEnd w:id="278"/>
    <w:bookmarkEnd w:id="279"/>
    <w:bookmarkEnd w:id="280"/>
    <w:p>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highlight w:val="none"/>
        </w:rPr>
      </w:pPr>
    </w:p>
    <w:p>
      <w:pPr>
        <w:pStyle w:val="4"/>
        <w:keepNext w:val="0"/>
        <w:keepLines w:val="0"/>
        <w:pageBreakBefore w:val="0"/>
        <w:widowControl w:val="0"/>
        <w:kinsoku/>
        <w:wordWrap/>
        <w:overflowPunct/>
        <w:topLinePunct w:val="0"/>
        <w:autoSpaceDE/>
        <w:autoSpaceDN/>
        <w:bidi w:val="0"/>
        <w:spacing w:before="0" w:after="0" w:line="440" w:lineRule="exact"/>
        <w:ind w:firstLine="472" w:firstLineChars="196"/>
        <w:textAlignment w:val="auto"/>
        <w:rPr>
          <w:rFonts w:hint="eastAsia" w:ascii="宋体" w:hAnsi="宋体" w:eastAsia="宋体" w:cs="宋体"/>
          <w:color w:val="auto"/>
          <w:sz w:val="24"/>
          <w:szCs w:val="24"/>
          <w:highlight w:val="none"/>
        </w:rPr>
      </w:pPr>
      <w:bookmarkStart w:id="281" w:name="_Toc4616531"/>
      <w:r>
        <w:rPr>
          <w:rFonts w:hint="eastAsia" w:ascii="宋体" w:hAnsi="宋体" w:eastAsia="宋体" w:cs="宋体"/>
          <w:color w:val="auto"/>
          <w:sz w:val="24"/>
          <w:szCs w:val="24"/>
          <w:highlight w:val="none"/>
        </w:rPr>
        <w:t>5.成交通知书</w:t>
      </w:r>
      <w:bookmarkEnd w:id="281"/>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5.1 成交通知书为签订政府采购合同的依据之一，是合同的有效组成部分。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 采购人按符合采购需求的合格供应商确定成交供应商，确定成交供应商后2个工作日内，采购代理机构在“四川政府采购网”上公示成交结果，由采购代理机构按照相关法律法规向成交供应商发出成交通知书。</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5.3 成交通知书将作为签订合同的依据。成交通知书对采购人和成交供应商均具有法律效力。成交通知书发出后，采购人改变成交结果或成交供应商无正当理由放弃成交项目的，应当依法承担相关责任。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5.4 采购人和采购代理机构不对成交或未成交原因作出解释，也不退还响应文件。</w:t>
      </w:r>
    </w:p>
    <w:p>
      <w:pPr>
        <w:keepNext w:val="0"/>
        <w:keepLines w:val="0"/>
        <w:pageBreakBefore w:val="0"/>
        <w:widowControl w:val="0"/>
        <w:tabs>
          <w:tab w:val="left" w:pos="7665"/>
        </w:tabs>
        <w:kinsoku/>
        <w:wordWrap/>
        <w:overflowPunct/>
        <w:topLinePunct w:val="0"/>
        <w:autoSpaceDE/>
        <w:autoSpaceDN/>
        <w:bidi w:val="0"/>
        <w:spacing w:line="440" w:lineRule="exact"/>
        <w:ind w:firstLine="482" w:firstLineChars="200"/>
        <w:textAlignment w:val="auto"/>
        <w:outlineLvl w:val="1"/>
        <w:rPr>
          <w:rFonts w:hint="eastAsia" w:ascii="宋体" w:hAnsi="宋体" w:eastAsia="宋体" w:cs="宋体"/>
          <w:b/>
          <w:color w:val="auto"/>
          <w:sz w:val="24"/>
          <w:highlight w:val="none"/>
        </w:rPr>
      </w:pPr>
      <w:bookmarkStart w:id="282" w:name="_Toc4616532"/>
      <w:r>
        <w:rPr>
          <w:rFonts w:hint="eastAsia" w:ascii="宋体" w:hAnsi="宋体" w:eastAsia="宋体" w:cs="宋体"/>
          <w:b/>
          <w:color w:val="auto"/>
          <w:sz w:val="24"/>
          <w:highlight w:val="none"/>
        </w:rPr>
        <w:t>6.谈判小组在政府采购活动中承担以下义务：</w:t>
      </w:r>
      <w:bookmarkEnd w:id="282"/>
    </w:p>
    <w:p>
      <w:pPr>
        <w:keepNext w:val="0"/>
        <w:keepLines w:val="0"/>
        <w:pageBreakBefore w:val="0"/>
        <w:widowControl w:val="0"/>
        <w:tabs>
          <w:tab w:val="left" w:pos="7665"/>
        </w:tabs>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（一）遵守评审工作纪律；</w:t>
      </w:r>
    </w:p>
    <w:p>
      <w:pPr>
        <w:keepNext w:val="0"/>
        <w:keepLines w:val="0"/>
        <w:pageBreakBefore w:val="0"/>
        <w:widowControl w:val="0"/>
        <w:tabs>
          <w:tab w:val="left" w:pos="7665"/>
        </w:tabs>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（二）按照客观、公正、审慎的原则，根据谈判文件规定的评审程序、评审方法和评审标准进行独立评审；</w:t>
      </w:r>
    </w:p>
    <w:p>
      <w:pPr>
        <w:keepNext w:val="0"/>
        <w:keepLines w:val="0"/>
        <w:pageBreakBefore w:val="0"/>
        <w:widowControl w:val="0"/>
        <w:tabs>
          <w:tab w:val="left" w:pos="7665"/>
        </w:tabs>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（三）不得泄露评审文件、评审情况和在评审过程中获悉的商业秘密；</w:t>
      </w:r>
    </w:p>
    <w:p>
      <w:pPr>
        <w:keepNext w:val="0"/>
        <w:keepLines w:val="0"/>
        <w:pageBreakBefore w:val="0"/>
        <w:widowControl w:val="0"/>
        <w:tabs>
          <w:tab w:val="left" w:pos="7665"/>
        </w:tabs>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（四）及时向财政部门报告评审过程中发现的采购人、采购代理机构向评审专家做倾向性、误导性的解释或者说明，以及供应商行贿、提供虚假材料或者串通等违法行为；</w:t>
      </w:r>
    </w:p>
    <w:p>
      <w:pPr>
        <w:keepNext w:val="0"/>
        <w:keepLines w:val="0"/>
        <w:pageBreakBefore w:val="0"/>
        <w:widowControl w:val="0"/>
        <w:tabs>
          <w:tab w:val="left" w:pos="7665"/>
        </w:tabs>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（五）发现谈判文件内容违反国家有关强制性规定或者谈判文件存在歧义、重大缺陷导致评审工作无法进行时，停止评审并向采购人或者采购代理机构书面说明情况；</w:t>
      </w:r>
    </w:p>
    <w:p>
      <w:pPr>
        <w:keepNext w:val="0"/>
        <w:keepLines w:val="0"/>
        <w:pageBreakBefore w:val="0"/>
        <w:widowControl w:val="0"/>
        <w:tabs>
          <w:tab w:val="left" w:pos="7665"/>
        </w:tabs>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（六）及时向财政、监察等部门举报在评审过程中受到非法干预的情况；</w:t>
      </w:r>
    </w:p>
    <w:p>
      <w:pPr>
        <w:keepNext w:val="0"/>
        <w:keepLines w:val="0"/>
        <w:pageBreakBefore w:val="0"/>
        <w:widowControl w:val="0"/>
        <w:tabs>
          <w:tab w:val="left" w:pos="7665"/>
        </w:tabs>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（七）配合答复处理供应商的询问、质疑和投诉等事项；</w:t>
      </w:r>
    </w:p>
    <w:p>
      <w:pPr>
        <w:keepNext w:val="0"/>
        <w:keepLines w:val="0"/>
        <w:pageBreakBefore w:val="0"/>
        <w:widowControl w:val="0"/>
        <w:tabs>
          <w:tab w:val="left" w:pos="7665"/>
        </w:tabs>
        <w:kinsoku/>
        <w:wordWrap/>
        <w:overflowPunct/>
        <w:topLinePunct w:val="0"/>
        <w:autoSpaceDE/>
        <w:autoSpaceDN/>
        <w:bidi w:val="0"/>
        <w:spacing w:line="440" w:lineRule="exact"/>
        <w:ind w:firstLine="482" w:firstLineChars="200"/>
        <w:textAlignment w:val="auto"/>
        <w:outlineLvl w:val="1"/>
        <w:rPr>
          <w:rFonts w:hint="eastAsia" w:ascii="宋体" w:hAnsi="宋体" w:eastAsia="宋体" w:cs="宋体"/>
          <w:b/>
          <w:color w:val="auto"/>
          <w:sz w:val="24"/>
          <w:highlight w:val="none"/>
        </w:rPr>
      </w:pPr>
      <w:bookmarkStart w:id="283" w:name="_Toc4616533"/>
      <w:r>
        <w:rPr>
          <w:rFonts w:hint="eastAsia" w:ascii="宋体" w:hAnsi="宋体" w:eastAsia="宋体" w:cs="宋体"/>
          <w:b/>
          <w:color w:val="auto"/>
          <w:sz w:val="24"/>
          <w:highlight w:val="none"/>
        </w:rPr>
        <w:t>7.评审专家在政府采购活动中应当遵守以下工作纪律：</w:t>
      </w:r>
      <w:bookmarkEnd w:id="283"/>
    </w:p>
    <w:p>
      <w:pPr>
        <w:keepNext w:val="0"/>
        <w:keepLines w:val="0"/>
        <w:pageBreakBefore w:val="0"/>
        <w:widowControl w:val="0"/>
        <w:tabs>
          <w:tab w:val="left" w:pos="7665"/>
        </w:tabs>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（一）不得参加与自己有《中华人民共和国政府采购法实施条例》第九条规定的利害关系的政府采购项目的评审活动。发现参加了与自己有利害关系的评审活动，须主动提出回避，退出评审；</w:t>
      </w:r>
    </w:p>
    <w:p>
      <w:pPr>
        <w:keepNext w:val="0"/>
        <w:keepLines w:val="0"/>
        <w:pageBreakBefore w:val="0"/>
        <w:widowControl w:val="0"/>
        <w:tabs>
          <w:tab w:val="left" w:pos="7665"/>
        </w:tabs>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（二）评审前，应当将通讯工具或者相关电子设备交由采购代理机构统一保管；</w:t>
      </w:r>
    </w:p>
    <w:p>
      <w:pPr>
        <w:keepNext w:val="0"/>
        <w:keepLines w:val="0"/>
        <w:pageBreakBefore w:val="0"/>
        <w:widowControl w:val="0"/>
        <w:tabs>
          <w:tab w:val="left" w:pos="7665"/>
        </w:tabs>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（三）评审过程中，不得与外界联系，因发生不可预见情况，确实需要与外界联系的，应当在监督人员监督之下办理；</w:t>
      </w:r>
    </w:p>
    <w:p>
      <w:pPr>
        <w:keepNext w:val="0"/>
        <w:keepLines w:val="0"/>
        <w:pageBreakBefore w:val="0"/>
        <w:widowControl w:val="0"/>
        <w:tabs>
          <w:tab w:val="left" w:pos="7665"/>
        </w:tabs>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keepNext w:val="0"/>
        <w:keepLines w:val="0"/>
        <w:pageBreakBefore w:val="0"/>
        <w:widowControl w:val="0"/>
        <w:tabs>
          <w:tab w:val="left" w:pos="7665"/>
        </w:tabs>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（五）在评审过程中和评审结束后，不得记录、复制或带走任何评审资料，不得向外界透露评审内容；</w:t>
      </w:r>
    </w:p>
    <w:p>
      <w:pPr>
        <w:keepNext w:val="0"/>
        <w:keepLines w:val="0"/>
        <w:pageBreakBefore w:val="0"/>
        <w:widowControl w:val="0"/>
        <w:tabs>
          <w:tab w:val="left" w:pos="7665"/>
        </w:tabs>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（六）评审现场服从采购代理机构工作人员的管理，接受现场监督人员的合法监督；</w:t>
      </w:r>
    </w:p>
    <w:p>
      <w:pPr>
        <w:keepNext w:val="0"/>
        <w:keepLines w:val="0"/>
        <w:pageBreakBefore w:val="0"/>
        <w:widowControl w:val="0"/>
        <w:tabs>
          <w:tab w:val="left" w:pos="7665"/>
        </w:tabs>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（七）遵守有关廉洁自律规定，不得私下接触供应商，不得收受供应商及有关业务单位和个人的财物或好处，不得接受采购代理机构的请托。</w:t>
      </w:r>
    </w:p>
    <w:p>
      <w:pPr>
        <w:numPr>
          <w:ilvl w:val="0"/>
          <w:numId w:val="10"/>
        </w:numPr>
        <w:tabs>
          <w:tab w:val="left" w:pos="7665"/>
        </w:tabs>
        <w:spacing w:line="400" w:lineRule="exact"/>
        <w:jc w:val="center"/>
        <w:outlineLvl w:val="0"/>
        <w:rPr>
          <w:rFonts w:hint="eastAsia" w:ascii="宋体" w:hAnsi="宋体" w:eastAsia="宋体" w:cs="宋体"/>
          <w:b/>
          <w:bCs/>
          <w:color w:val="auto"/>
          <w:sz w:val="36"/>
          <w:szCs w:val="36"/>
          <w:highlight w:val="none"/>
        </w:rPr>
      </w:pPr>
      <w:r>
        <w:rPr>
          <w:rFonts w:hint="eastAsia" w:ascii="宋体" w:hAnsi="宋体" w:eastAsia="宋体" w:cs="宋体"/>
          <w:color w:val="auto"/>
          <w:sz w:val="36"/>
          <w:szCs w:val="36"/>
          <w:highlight w:val="none"/>
        </w:rPr>
        <w:br w:type="page"/>
      </w:r>
      <w:bookmarkEnd w:id="182"/>
      <w:bookmarkEnd w:id="183"/>
      <w:bookmarkEnd w:id="184"/>
      <w:r>
        <w:rPr>
          <w:rFonts w:hint="eastAsia" w:ascii="宋体" w:hAnsi="宋体" w:eastAsia="宋体" w:cs="宋体"/>
          <w:b/>
          <w:bCs/>
          <w:color w:val="auto"/>
          <w:sz w:val="36"/>
          <w:szCs w:val="36"/>
          <w:highlight w:val="none"/>
        </w:rPr>
        <w:t xml:space="preserve"> </w:t>
      </w:r>
      <w:bookmarkStart w:id="284" w:name="_Toc26694_WPSOffice_Level1"/>
      <w:bookmarkStart w:id="285" w:name="_Toc4616534"/>
      <w:r>
        <w:rPr>
          <w:rFonts w:hint="eastAsia" w:ascii="宋体" w:hAnsi="宋体" w:eastAsia="宋体" w:cs="宋体"/>
          <w:b/>
          <w:bCs/>
          <w:color w:val="auto"/>
          <w:sz w:val="36"/>
          <w:szCs w:val="36"/>
          <w:highlight w:val="none"/>
        </w:rPr>
        <w:t>政府采购合同（草案）</w:t>
      </w:r>
      <w:bookmarkEnd w:id="284"/>
      <w:bookmarkEnd w:id="285"/>
    </w:p>
    <w:p>
      <w:pPr>
        <w:pStyle w:val="15"/>
        <w:spacing w:line="360" w:lineRule="auto"/>
        <w:rPr>
          <w:rFonts w:hint="eastAsia" w:ascii="宋体" w:hAnsi="宋体" w:eastAsia="宋体" w:cs="宋体"/>
          <w:color w:val="auto"/>
          <w:sz w:val="24"/>
          <w:szCs w:val="24"/>
          <w:highlight w:val="none"/>
        </w:rPr>
      </w:pPr>
      <w:bookmarkStart w:id="286" w:name="_Hlt101846155"/>
      <w:bookmarkEnd w:id="286"/>
    </w:p>
    <w:p>
      <w:pPr>
        <w:spacing w:line="360" w:lineRule="auto"/>
        <w:ind w:firstLine="480" w:firstLineChars="200"/>
        <w:rPr>
          <w:rFonts w:hAnsi="宋体" w:cs="宋体"/>
          <w:color w:val="auto"/>
          <w:sz w:val="24"/>
          <w:highlight w:val="none"/>
        </w:rPr>
      </w:pPr>
      <w:r>
        <w:rPr>
          <w:rFonts w:hint="eastAsia" w:hAnsi="宋体" w:cs="宋体"/>
          <w:color w:val="auto"/>
          <w:sz w:val="24"/>
          <w:highlight w:val="none"/>
        </w:rPr>
        <w:t>合同编号：</w:t>
      </w:r>
    </w:p>
    <w:p>
      <w:pPr>
        <w:spacing w:line="360" w:lineRule="auto"/>
        <w:ind w:firstLine="480" w:firstLineChars="200"/>
        <w:rPr>
          <w:rFonts w:hAnsi="宋体" w:cs="宋体"/>
          <w:color w:val="auto"/>
          <w:sz w:val="24"/>
          <w:highlight w:val="none"/>
        </w:rPr>
      </w:pPr>
      <w:r>
        <w:rPr>
          <w:rFonts w:hint="eastAsia" w:hAnsi="宋体" w:cs="宋体"/>
          <w:color w:val="auto"/>
          <w:sz w:val="24"/>
          <w:highlight w:val="none"/>
        </w:rPr>
        <w:t>签订地点：</w:t>
      </w:r>
    </w:p>
    <w:p>
      <w:pPr>
        <w:spacing w:line="360" w:lineRule="auto"/>
        <w:ind w:firstLine="480" w:firstLineChars="200"/>
        <w:rPr>
          <w:rFonts w:hAnsi="宋体" w:cs="宋体"/>
          <w:color w:val="auto"/>
          <w:sz w:val="24"/>
          <w:highlight w:val="none"/>
        </w:rPr>
      </w:pPr>
      <w:r>
        <w:rPr>
          <w:rFonts w:hint="eastAsia" w:hAnsi="宋体" w:cs="宋体"/>
          <w:color w:val="auto"/>
          <w:sz w:val="24"/>
          <w:highlight w:val="none"/>
        </w:rPr>
        <w:t>签订时间：</w:t>
      </w:r>
      <w:r>
        <w:rPr>
          <w:rFonts w:hint="eastAsia" w:hAnsi="宋体" w:cs="宋体"/>
          <w:color w:val="auto"/>
          <w:szCs w:val="21"/>
          <w:highlight w:val="none"/>
        </w:rPr>
        <w:t xml:space="preserve">   </w:t>
      </w:r>
      <w:r>
        <w:rPr>
          <w:rFonts w:hint="eastAsia" w:hAnsi="宋体" w:cs="宋体"/>
          <w:color w:val="auto"/>
          <w:sz w:val="24"/>
          <w:highlight w:val="none"/>
        </w:rPr>
        <w:t>年</w:t>
      </w:r>
      <w:r>
        <w:rPr>
          <w:rFonts w:hint="eastAsia" w:hAnsi="宋体" w:cs="宋体"/>
          <w:color w:val="auto"/>
          <w:szCs w:val="21"/>
          <w:highlight w:val="none"/>
        </w:rPr>
        <w:t xml:space="preserve">   </w:t>
      </w:r>
      <w:r>
        <w:rPr>
          <w:rFonts w:hint="eastAsia" w:hAnsi="宋体" w:cs="宋体"/>
          <w:color w:val="auto"/>
          <w:sz w:val="24"/>
          <w:highlight w:val="none"/>
        </w:rPr>
        <w:t>月</w:t>
      </w:r>
      <w:r>
        <w:rPr>
          <w:rFonts w:hint="eastAsia" w:hAnsi="宋体" w:cs="宋体"/>
          <w:color w:val="auto"/>
          <w:szCs w:val="21"/>
          <w:highlight w:val="none"/>
        </w:rPr>
        <w:t xml:space="preserve">   </w:t>
      </w:r>
      <w:r>
        <w:rPr>
          <w:rFonts w:hint="eastAsia" w:hAnsi="宋体" w:cs="宋体"/>
          <w:color w:val="auto"/>
          <w:sz w:val="24"/>
          <w:highlight w:val="none"/>
        </w:rPr>
        <w:t>日。</w:t>
      </w:r>
    </w:p>
    <w:p>
      <w:pPr>
        <w:spacing w:line="360" w:lineRule="auto"/>
        <w:ind w:firstLine="480" w:firstLineChars="200"/>
        <w:rPr>
          <w:rFonts w:hAnsi="宋体" w:cs="宋体"/>
          <w:color w:val="auto"/>
          <w:sz w:val="24"/>
          <w:highlight w:val="none"/>
        </w:rPr>
      </w:pPr>
      <w:r>
        <w:rPr>
          <w:rFonts w:hint="eastAsia" w:hAnsi="宋体" w:cs="宋体"/>
          <w:color w:val="auto"/>
          <w:sz w:val="24"/>
          <w:highlight w:val="none"/>
        </w:rPr>
        <w:t>采购人（甲方）：</w:t>
      </w:r>
      <w:r>
        <w:rPr>
          <w:rFonts w:hint="eastAsia" w:hAnsi="宋体" w:cs="宋体"/>
          <w:color w:val="auto"/>
          <w:sz w:val="24"/>
          <w:highlight w:val="none"/>
          <w:u w:val="single"/>
        </w:rPr>
        <w:t xml:space="preserve">                              </w:t>
      </w:r>
    </w:p>
    <w:p>
      <w:pPr>
        <w:spacing w:line="360" w:lineRule="auto"/>
        <w:ind w:firstLine="480" w:firstLineChars="200"/>
        <w:rPr>
          <w:rFonts w:hAnsi="宋体" w:cs="宋体"/>
          <w:color w:val="auto"/>
          <w:sz w:val="24"/>
          <w:highlight w:val="none"/>
        </w:rPr>
      </w:pPr>
      <w:r>
        <w:rPr>
          <w:rFonts w:hint="eastAsia" w:hAnsi="宋体" w:cs="宋体"/>
          <w:color w:val="auto"/>
          <w:sz w:val="24"/>
          <w:highlight w:val="none"/>
        </w:rPr>
        <w:t>供应商（乙方）：</w:t>
      </w:r>
      <w:r>
        <w:rPr>
          <w:rFonts w:hint="eastAsia" w:hAnsi="宋体" w:cs="宋体"/>
          <w:color w:val="auto"/>
          <w:sz w:val="24"/>
          <w:highlight w:val="none"/>
          <w:u w:val="single"/>
        </w:rPr>
        <w:t xml:space="preserve">                              </w:t>
      </w:r>
      <w:r>
        <w:rPr>
          <w:rFonts w:hint="eastAsia" w:hAnsi="宋体" w:cs="宋体"/>
          <w:color w:val="auto"/>
          <w:highlight w:val="none"/>
        </w:rPr>
        <w:t xml:space="preserve">                                       </w:t>
      </w:r>
    </w:p>
    <w:p>
      <w:pPr>
        <w:adjustRightInd w:val="0"/>
        <w:snapToGrid w:val="0"/>
        <w:spacing w:line="360" w:lineRule="auto"/>
        <w:ind w:right="480"/>
        <w:jc w:val="left"/>
        <w:rPr>
          <w:rFonts w:hAnsi="宋体" w:cs="宋体"/>
          <w:color w:val="auto"/>
          <w:sz w:val="24"/>
          <w:highlight w:val="none"/>
        </w:rPr>
      </w:pPr>
      <w:r>
        <w:rPr>
          <w:rFonts w:hint="eastAsia" w:hAnsi="宋体" w:cs="宋体"/>
          <w:color w:val="auto"/>
          <w:sz w:val="24"/>
          <w:highlight w:val="none"/>
        </w:rPr>
        <w:t>根据《中华人民共和国政府采购法》、《中华人民共和国民法典》及</w:t>
      </w:r>
      <w:r>
        <w:rPr>
          <w:rFonts w:hint="eastAsia" w:hAnsi="宋体" w:cs="宋体"/>
          <w:color w:val="auto"/>
          <w:sz w:val="24"/>
          <w:highlight w:val="none"/>
          <w:u w:val="single"/>
        </w:rPr>
        <w:t xml:space="preserve"> 成都市公安局“12·18专案”部分涉案项目审计服务项目</w:t>
      </w:r>
      <w:r>
        <w:rPr>
          <w:rFonts w:hint="eastAsia" w:hAnsi="宋体" w:cs="宋体"/>
          <w:color w:val="auto"/>
          <w:sz w:val="24"/>
          <w:highlight w:val="none"/>
        </w:rPr>
        <w:t>（项目编号</w:t>
      </w:r>
      <w:r>
        <w:rPr>
          <w:rFonts w:hint="eastAsia" w:hAnsi="宋体" w:eastAsia="宋体" w:cs="宋体"/>
          <w:color w:val="auto"/>
          <w:sz w:val="24"/>
          <w:highlight w:val="none"/>
          <w:lang w:val="en-US" w:eastAsia="zh-CN"/>
        </w:rPr>
        <w:t>:</w:t>
      </w:r>
      <w:r>
        <w:rPr>
          <w:rFonts w:ascii="微软雅黑" w:hAnsi="微软雅黑" w:eastAsia="微软雅黑" w:cs="微软雅黑"/>
          <w:i w:val="0"/>
          <w:iCs w:val="0"/>
          <w:caps w:val="0"/>
          <w:color w:val="333333"/>
          <w:spacing w:val="0"/>
          <w:sz w:val="21"/>
          <w:szCs w:val="21"/>
          <w:shd w:val="clear" w:fill="FFFFFF"/>
        </w:rPr>
        <w:t>510101202101162</w:t>
      </w:r>
      <w:r>
        <w:rPr>
          <w:rFonts w:hint="eastAsia" w:hAnsi="宋体" w:cs="宋体"/>
          <w:color w:val="auto"/>
          <w:sz w:val="24"/>
          <w:highlight w:val="none"/>
        </w:rPr>
        <w:t>）的《</w:t>
      </w:r>
      <w:r>
        <w:rPr>
          <w:rFonts w:hint="eastAsia" w:hAnsi="宋体" w:eastAsia="宋体" w:cs="宋体"/>
          <w:color w:val="auto"/>
          <w:sz w:val="24"/>
          <w:highlight w:val="none"/>
          <w:lang w:eastAsia="zh-CN"/>
        </w:rPr>
        <w:t>谈判</w:t>
      </w:r>
      <w:r>
        <w:rPr>
          <w:rFonts w:hint="eastAsia" w:hAnsi="宋体" w:cs="宋体"/>
          <w:color w:val="auto"/>
          <w:sz w:val="24"/>
          <w:highlight w:val="none"/>
        </w:rPr>
        <w:t>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bookmarkStart w:id="287" w:name="_Toc307823123"/>
      <w:bookmarkStart w:id="288" w:name="_Toc309113425"/>
      <w:bookmarkStart w:id="289" w:name="_Toc309113764"/>
      <w:bookmarkStart w:id="290" w:name="_Toc307501162"/>
      <w:bookmarkStart w:id="291" w:name="_Toc307565067"/>
    </w:p>
    <w:bookmarkEnd w:id="287"/>
    <w:bookmarkEnd w:id="288"/>
    <w:bookmarkEnd w:id="289"/>
    <w:bookmarkEnd w:id="290"/>
    <w:bookmarkEnd w:id="291"/>
    <w:p>
      <w:pPr>
        <w:numPr>
          <w:ilvl w:val="0"/>
          <w:numId w:val="11"/>
        </w:numPr>
        <w:spacing w:line="360" w:lineRule="auto"/>
        <w:rPr>
          <w:rFonts w:hAnsi="宋体" w:cs="宋体"/>
          <w:b/>
          <w:color w:val="auto"/>
          <w:sz w:val="24"/>
          <w:highlight w:val="none"/>
        </w:rPr>
      </w:pPr>
      <w:r>
        <w:rPr>
          <w:rFonts w:hint="eastAsia" w:hAnsi="宋体" w:cs="宋体"/>
          <w:b/>
          <w:color w:val="auto"/>
          <w:sz w:val="24"/>
          <w:highlight w:val="none"/>
        </w:rPr>
        <w:t>项目基本情况</w:t>
      </w:r>
    </w:p>
    <w:p>
      <w:pPr>
        <w:spacing w:line="360" w:lineRule="auto"/>
        <w:rPr>
          <w:rFonts w:hAnsi="宋体" w:cs="宋体"/>
          <w:b/>
          <w:color w:val="auto"/>
          <w:sz w:val="24"/>
          <w:highlight w:val="none"/>
        </w:rPr>
      </w:pPr>
    </w:p>
    <w:p>
      <w:pPr>
        <w:numPr>
          <w:ilvl w:val="0"/>
          <w:numId w:val="11"/>
        </w:numPr>
        <w:spacing w:line="360" w:lineRule="auto"/>
        <w:rPr>
          <w:rFonts w:hAnsi="宋体" w:cs="宋体"/>
          <w:color w:val="auto"/>
          <w:sz w:val="24"/>
          <w:highlight w:val="none"/>
        </w:rPr>
      </w:pPr>
      <w:r>
        <w:rPr>
          <w:rFonts w:hint="eastAsia" w:hAnsi="宋体" w:cs="宋体"/>
          <w:b/>
          <w:color w:val="auto"/>
          <w:sz w:val="24"/>
          <w:highlight w:val="none"/>
        </w:rPr>
        <w:t>合同期限</w:t>
      </w:r>
    </w:p>
    <w:p>
      <w:pPr>
        <w:spacing w:line="360" w:lineRule="auto"/>
        <w:rPr>
          <w:rFonts w:hAnsi="宋体" w:cs="宋体"/>
          <w:color w:val="auto"/>
          <w:sz w:val="24"/>
          <w:highlight w:val="none"/>
        </w:rPr>
      </w:pPr>
    </w:p>
    <w:p>
      <w:pPr>
        <w:numPr>
          <w:ilvl w:val="0"/>
          <w:numId w:val="11"/>
        </w:numPr>
        <w:spacing w:line="360" w:lineRule="auto"/>
        <w:rPr>
          <w:rFonts w:hAnsi="宋体" w:cs="宋体"/>
          <w:b/>
          <w:color w:val="auto"/>
          <w:sz w:val="24"/>
          <w:highlight w:val="none"/>
        </w:rPr>
      </w:pPr>
      <w:bookmarkStart w:id="292" w:name="_Toc185395249"/>
      <w:bookmarkStart w:id="293" w:name="_Toc225670751"/>
      <w:bookmarkStart w:id="294" w:name="_Toc237145406"/>
      <w:bookmarkStart w:id="295" w:name="_Toc239233914"/>
      <w:bookmarkStart w:id="296" w:name="_Toc247334841"/>
      <w:bookmarkStart w:id="297" w:name="_Toc211911348"/>
      <w:bookmarkStart w:id="298" w:name="_Toc238984975"/>
      <w:bookmarkStart w:id="299" w:name="_Toc282696226"/>
      <w:bookmarkStart w:id="300" w:name="_Toc225244852"/>
      <w:bookmarkStart w:id="301" w:name="_Toc251768862"/>
      <w:bookmarkStart w:id="302" w:name="_Toc286993786"/>
      <w:bookmarkStart w:id="303" w:name="_Toc239568418"/>
      <w:bookmarkStart w:id="304" w:name="_Toc232492928"/>
      <w:bookmarkStart w:id="305" w:name="_Toc241833903"/>
      <w:bookmarkStart w:id="306" w:name="_Toc211854449"/>
      <w:bookmarkStart w:id="307" w:name="_Toc225654644"/>
      <w:bookmarkStart w:id="308" w:name="_Toc283019214"/>
      <w:bookmarkStart w:id="309" w:name="_Toc212019594"/>
      <w:r>
        <w:rPr>
          <w:rFonts w:hint="eastAsia" w:hAnsi="宋体" w:cs="宋体"/>
          <w:b/>
          <w:color w:val="auto"/>
          <w:sz w:val="24"/>
          <w:highlight w:val="none"/>
        </w:rPr>
        <w:t>服务内容与质量标准</w:t>
      </w:r>
    </w:p>
    <w:p>
      <w:pPr>
        <w:spacing w:line="360" w:lineRule="auto"/>
        <w:ind w:left="567"/>
        <w:rPr>
          <w:rFonts w:hAnsi="宋体" w:cs="宋体"/>
          <w:color w:val="auto"/>
          <w:sz w:val="24"/>
          <w:highlight w:val="none"/>
        </w:rPr>
      </w:pPr>
      <w:r>
        <w:rPr>
          <w:rFonts w:hint="eastAsia" w:hAnsi="宋体" w:cs="宋体"/>
          <w:color w:val="auto"/>
          <w:sz w:val="24"/>
          <w:highlight w:val="none"/>
        </w:rPr>
        <w:t>1、XXXX；</w:t>
      </w:r>
    </w:p>
    <w:p>
      <w:pPr>
        <w:spacing w:line="360" w:lineRule="auto"/>
        <w:ind w:left="567"/>
        <w:rPr>
          <w:rFonts w:hAnsi="宋体" w:cs="宋体"/>
          <w:color w:val="auto"/>
          <w:sz w:val="24"/>
          <w:highlight w:val="none"/>
        </w:rPr>
      </w:pPr>
      <w:r>
        <w:rPr>
          <w:rFonts w:hint="eastAsia" w:hAnsi="宋体" w:cs="宋体"/>
          <w:color w:val="auto"/>
          <w:sz w:val="24"/>
          <w:highlight w:val="none"/>
        </w:rPr>
        <w:t>2、XXXX；</w:t>
      </w:r>
    </w:p>
    <w:p>
      <w:pPr>
        <w:numPr>
          <w:ilvl w:val="0"/>
          <w:numId w:val="11"/>
        </w:numPr>
        <w:spacing w:line="360" w:lineRule="auto"/>
        <w:rPr>
          <w:rFonts w:hAnsi="宋体" w:cs="宋体"/>
          <w:b/>
          <w:color w:val="auto"/>
          <w:sz w:val="24"/>
          <w:highlight w:val="none"/>
        </w:rPr>
      </w:pPr>
      <w:r>
        <w:rPr>
          <w:rFonts w:hint="eastAsia" w:hAnsi="宋体" w:cs="宋体"/>
          <w:b/>
          <w:color w:val="auto"/>
          <w:sz w:val="24"/>
          <w:highlight w:val="none"/>
        </w:rPr>
        <w:t>服务费用及支付方式</w:t>
      </w:r>
    </w:p>
    <w:p>
      <w:pPr>
        <w:numPr>
          <w:ilvl w:val="0"/>
          <w:numId w:val="12"/>
        </w:numPr>
        <w:spacing w:line="360" w:lineRule="auto"/>
        <w:ind w:firstLine="567"/>
        <w:rPr>
          <w:rFonts w:hAnsi="宋体" w:cs="宋体"/>
          <w:b/>
          <w:color w:val="auto"/>
          <w:sz w:val="24"/>
          <w:highlight w:val="none"/>
        </w:rPr>
      </w:pPr>
      <w:r>
        <w:rPr>
          <w:rFonts w:hint="eastAsia" w:hAnsi="宋体" w:cs="宋体"/>
          <w:b/>
          <w:color w:val="auto"/>
          <w:sz w:val="24"/>
          <w:highlight w:val="none"/>
        </w:rPr>
        <w:t>本项目服务费用由以下组成：</w:t>
      </w:r>
    </w:p>
    <w:p>
      <w:pPr>
        <w:spacing w:line="360" w:lineRule="auto"/>
        <w:ind w:firstLine="480" w:firstLineChars="200"/>
        <w:rPr>
          <w:rFonts w:hAnsi="宋体" w:cs="宋体"/>
          <w:color w:val="auto"/>
          <w:sz w:val="24"/>
          <w:highlight w:val="none"/>
        </w:rPr>
      </w:pPr>
      <w:r>
        <w:rPr>
          <w:rFonts w:hint="eastAsia" w:hAnsi="宋体" w:cs="宋体"/>
          <w:color w:val="auto"/>
          <w:sz w:val="24"/>
          <w:highlight w:val="none"/>
        </w:rPr>
        <w:t>1、XX万元；</w:t>
      </w:r>
    </w:p>
    <w:p>
      <w:pPr>
        <w:spacing w:line="360" w:lineRule="auto"/>
        <w:ind w:firstLine="480" w:firstLineChars="200"/>
        <w:rPr>
          <w:rFonts w:hAnsi="宋体" w:cs="宋体"/>
          <w:color w:val="auto"/>
          <w:sz w:val="24"/>
          <w:highlight w:val="none"/>
        </w:rPr>
      </w:pPr>
      <w:r>
        <w:rPr>
          <w:rFonts w:hint="eastAsia" w:hAnsi="宋体" w:cs="宋体"/>
          <w:color w:val="auto"/>
          <w:sz w:val="24"/>
          <w:highlight w:val="none"/>
        </w:rPr>
        <w:t>2、XX万元；</w:t>
      </w:r>
    </w:p>
    <w:p>
      <w:pPr>
        <w:spacing w:line="360" w:lineRule="auto"/>
        <w:ind w:firstLine="480" w:firstLineChars="200"/>
        <w:rPr>
          <w:rFonts w:hAnsi="宋体" w:cs="宋体"/>
          <w:color w:val="auto"/>
          <w:sz w:val="24"/>
          <w:highlight w:val="none"/>
        </w:rPr>
      </w:pPr>
      <w:r>
        <w:rPr>
          <w:rFonts w:hint="eastAsia" w:hAnsi="宋体" w:cs="宋体"/>
          <w:color w:val="auto"/>
          <w:sz w:val="24"/>
          <w:highlight w:val="none"/>
        </w:rPr>
        <w:t>……</w:t>
      </w:r>
    </w:p>
    <w:p>
      <w:pPr>
        <w:numPr>
          <w:ilvl w:val="0"/>
          <w:numId w:val="12"/>
        </w:numPr>
        <w:tabs>
          <w:tab w:val="left" w:pos="780"/>
        </w:tabs>
        <w:spacing w:line="360" w:lineRule="auto"/>
        <w:ind w:firstLine="567"/>
        <w:rPr>
          <w:rFonts w:hAnsi="宋体" w:cs="宋体"/>
          <w:b/>
          <w:color w:val="auto"/>
          <w:sz w:val="24"/>
          <w:highlight w:val="none"/>
        </w:rPr>
      </w:pPr>
      <w:r>
        <w:rPr>
          <w:rFonts w:hint="eastAsia" w:hAnsi="宋体" w:cs="宋体"/>
          <w:b/>
          <w:color w:val="auto"/>
          <w:sz w:val="24"/>
          <w:highlight w:val="none"/>
        </w:rPr>
        <w:t>服务费支付方式：</w:t>
      </w:r>
      <w:r>
        <w:rPr>
          <w:rFonts w:hint="eastAsia" w:hAnsi="宋体" w:cs="宋体"/>
          <w:color w:val="auto"/>
          <w:sz w:val="24"/>
          <w:highlight w:val="none"/>
        </w:rPr>
        <w:t>合同签订后支付合同约定的服务款项的30%，出具鉴定报告后支付合同约定的服务款项的40%，履约验收通过后支付合同约定的服务款项的30%。</w:t>
      </w:r>
      <w:r>
        <w:rPr>
          <w:rFonts w:hint="eastAsia" w:hAnsi="宋体" w:cs="宋体"/>
          <w:b/>
          <w:color w:val="auto"/>
          <w:sz w:val="24"/>
          <w:highlight w:val="none"/>
        </w:rPr>
        <w:t xml:space="preserve"> </w:t>
      </w:r>
    </w:p>
    <w:p>
      <w:pPr>
        <w:spacing w:line="360" w:lineRule="auto"/>
        <w:ind w:firstLine="480" w:firstLineChars="200"/>
        <w:rPr>
          <w:rFonts w:hAnsi="宋体" w:cs="宋体"/>
          <w:color w:val="auto"/>
          <w:sz w:val="24"/>
          <w:szCs w:val="24"/>
          <w:highlight w:val="none"/>
          <w:lang w:val="zh-CN"/>
        </w:rPr>
      </w:pPr>
    </w:p>
    <w:p>
      <w:pPr>
        <w:spacing w:line="360" w:lineRule="auto"/>
        <w:ind w:firstLine="480" w:firstLineChars="200"/>
        <w:rPr>
          <w:rFonts w:hAnsi="宋体" w:cs="宋体"/>
          <w:b/>
          <w:color w:val="auto"/>
          <w:sz w:val="24"/>
          <w:highlight w:val="none"/>
        </w:rPr>
      </w:pPr>
      <w:r>
        <w:rPr>
          <w:rFonts w:hint="eastAsia" w:hAnsi="宋体" w:cs="宋体"/>
          <w:b/>
          <w:color w:val="auto"/>
          <w:sz w:val="24"/>
          <w:highlight w:val="none"/>
        </w:rPr>
        <w:t>知识产权</w:t>
      </w:r>
    </w:p>
    <w:p>
      <w:pPr>
        <w:tabs>
          <w:tab w:val="left" w:pos="1440"/>
        </w:tabs>
        <w:spacing w:line="360" w:lineRule="auto"/>
        <w:ind w:firstLine="480" w:firstLineChars="200"/>
        <w:rPr>
          <w:rFonts w:hAnsi="宋体" w:cs="宋体"/>
          <w:color w:val="auto"/>
          <w:sz w:val="24"/>
          <w:highlight w:val="none"/>
        </w:rPr>
      </w:pPr>
      <w:r>
        <w:rPr>
          <w:rFonts w:hint="eastAsia" w:hAnsi="宋体" w:cs="宋体"/>
          <w:color w:val="auto"/>
          <w:sz w:val="24"/>
          <w:highlight w:val="none"/>
        </w:rPr>
        <w:t>乙方应保证所提供的服务或其任何一部分均不会侵犯任何第三方的专利权、商标权或著作权。</w:t>
      </w:r>
    </w:p>
    <w:p>
      <w:pPr>
        <w:numPr>
          <w:ilvl w:val="0"/>
          <w:numId w:val="11"/>
        </w:numPr>
        <w:spacing w:line="360" w:lineRule="auto"/>
        <w:rPr>
          <w:rFonts w:hAnsi="宋体" w:cs="宋体"/>
          <w:b/>
          <w:color w:val="auto"/>
          <w:sz w:val="24"/>
          <w:highlight w:val="none"/>
        </w:rPr>
      </w:pPr>
      <w:r>
        <w:rPr>
          <w:rFonts w:hint="eastAsia" w:hAnsi="宋体" w:cs="宋体"/>
          <w:b/>
          <w:color w:val="auto"/>
          <w:sz w:val="24"/>
          <w:highlight w:val="none"/>
        </w:rPr>
        <w:t>无产权瑕疵条款</w:t>
      </w:r>
    </w:p>
    <w:p>
      <w:pPr>
        <w:tabs>
          <w:tab w:val="left" w:pos="1440"/>
        </w:tabs>
        <w:spacing w:line="360" w:lineRule="auto"/>
        <w:ind w:firstLine="480" w:firstLineChars="200"/>
        <w:rPr>
          <w:rFonts w:hAnsi="宋体" w:cs="宋体"/>
          <w:color w:val="auto"/>
          <w:sz w:val="24"/>
          <w:highlight w:val="none"/>
        </w:rPr>
      </w:pPr>
      <w:r>
        <w:rPr>
          <w:rFonts w:hint="eastAsia" w:hAnsi="宋体" w:cs="宋体"/>
          <w:color w:val="auto"/>
          <w:sz w:val="24"/>
          <w:highlight w:val="none"/>
        </w:rPr>
        <w:t>乙方保证所提供的服务的所有权完全属于乙方且无任何抵押、查封等产权瑕疵。如有产权瑕疵的，视为乙方违约。乙方应负担由此而产生的一切损失。</w:t>
      </w:r>
    </w:p>
    <w:p>
      <w:pPr>
        <w:numPr>
          <w:ilvl w:val="0"/>
          <w:numId w:val="11"/>
        </w:numPr>
        <w:spacing w:line="360" w:lineRule="auto"/>
        <w:rPr>
          <w:rFonts w:hAnsi="宋体" w:cs="宋体"/>
          <w:b/>
          <w:color w:val="auto"/>
          <w:sz w:val="24"/>
          <w:highlight w:val="none"/>
        </w:rPr>
      </w:pPr>
      <w:r>
        <w:rPr>
          <w:rFonts w:hint="eastAsia" w:hAnsi="宋体" w:cs="宋体"/>
          <w:b/>
          <w:color w:val="auto"/>
          <w:sz w:val="24"/>
          <w:highlight w:val="none"/>
        </w:rPr>
        <w:t>甲方的权利和义务</w:t>
      </w:r>
    </w:p>
    <w:p>
      <w:pPr>
        <w:adjustRightInd w:val="0"/>
        <w:spacing w:line="360" w:lineRule="auto"/>
        <w:ind w:firstLine="480" w:firstLineChars="200"/>
        <w:jc w:val="left"/>
        <w:textAlignment w:val="baseline"/>
        <w:rPr>
          <w:rFonts w:hAnsi="宋体" w:cs="宋体"/>
          <w:bCs/>
          <w:color w:val="auto"/>
          <w:sz w:val="24"/>
          <w:highlight w:val="none"/>
        </w:rPr>
      </w:pPr>
      <w:r>
        <w:rPr>
          <w:rFonts w:hint="eastAsia" w:hAnsi="宋体" w:cs="宋体"/>
          <w:bCs/>
          <w:color w:val="auto"/>
          <w:sz w:val="24"/>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360" w:lineRule="auto"/>
        <w:ind w:firstLine="480" w:firstLineChars="200"/>
        <w:jc w:val="left"/>
        <w:textAlignment w:val="baseline"/>
        <w:rPr>
          <w:rFonts w:hAnsi="宋体" w:cs="宋体"/>
          <w:bCs/>
          <w:color w:val="auto"/>
          <w:sz w:val="24"/>
          <w:highlight w:val="none"/>
        </w:rPr>
      </w:pPr>
      <w:r>
        <w:rPr>
          <w:rFonts w:hint="eastAsia" w:hAnsi="宋体" w:cs="宋体"/>
          <w:bCs/>
          <w:color w:val="auto"/>
          <w:sz w:val="24"/>
          <w:highlight w:val="none"/>
        </w:rPr>
        <w:t>2、甲方有权依据双方签订的考评办法对乙方提供的服务进行定期考评。当考评结果未达到标准时，有权依据相关办法对乙方进行管理。</w:t>
      </w:r>
    </w:p>
    <w:p>
      <w:pPr>
        <w:adjustRightInd w:val="0"/>
        <w:spacing w:line="360" w:lineRule="auto"/>
        <w:ind w:firstLine="480" w:firstLineChars="200"/>
        <w:jc w:val="left"/>
        <w:textAlignment w:val="baseline"/>
        <w:rPr>
          <w:rFonts w:hAnsi="宋体" w:cs="宋体"/>
          <w:bCs/>
          <w:color w:val="auto"/>
          <w:sz w:val="24"/>
          <w:highlight w:val="none"/>
        </w:rPr>
      </w:pPr>
      <w:r>
        <w:rPr>
          <w:rFonts w:hint="eastAsia" w:hAnsi="宋体" w:cs="宋体"/>
          <w:bCs/>
          <w:color w:val="auto"/>
          <w:sz w:val="24"/>
          <w:highlight w:val="none"/>
        </w:rPr>
        <w:t>3、负责检查监督乙方管理工作的实施及制度的执行情况。</w:t>
      </w:r>
    </w:p>
    <w:p>
      <w:pPr>
        <w:adjustRightInd w:val="0"/>
        <w:spacing w:line="360" w:lineRule="auto"/>
        <w:ind w:firstLine="480" w:firstLineChars="200"/>
        <w:jc w:val="left"/>
        <w:textAlignment w:val="baseline"/>
        <w:rPr>
          <w:rFonts w:hAnsi="宋体" w:cs="宋体"/>
          <w:bCs/>
          <w:color w:val="auto"/>
          <w:sz w:val="24"/>
          <w:highlight w:val="none"/>
        </w:rPr>
      </w:pPr>
      <w:r>
        <w:rPr>
          <w:rFonts w:hint="eastAsia" w:hAnsi="宋体" w:cs="宋体"/>
          <w:bCs/>
          <w:color w:val="auto"/>
          <w:sz w:val="24"/>
          <w:highlight w:val="none"/>
        </w:rPr>
        <w:t>4、根据本合同规定，按时向乙方支付应付服务费用。</w:t>
      </w:r>
    </w:p>
    <w:p>
      <w:pPr>
        <w:adjustRightInd w:val="0"/>
        <w:spacing w:line="360" w:lineRule="auto"/>
        <w:ind w:firstLine="480" w:firstLineChars="200"/>
        <w:jc w:val="left"/>
        <w:textAlignment w:val="baseline"/>
        <w:rPr>
          <w:rFonts w:hAnsi="宋体" w:cs="宋体"/>
          <w:bCs/>
          <w:color w:val="auto"/>
          <w:sz w:val="24"/>
          <w:highlight w:val="none"/>
        </w:rPr>
      </w:pPr>
      <w:r>
        <w:rPr>
          <w:rFonts w:hint="eastAsia" w:hAnsi="宋体" w:cs="宋体"/>
          <w:bCs/>
          <w:color w:val="auto"/>
          <w:sz w:val="24"/>
          <w:highlight w:val="none"/>
        </w:rPr>
        <w:t>5、国家法律、法规所规定由甲方承担的其它责任。</w:t>
      </w:r>
    </w:p>
    <w:p>
      <w:pPr>
        <w:numPr>
          <w:ilvl w:val="0"/>
          <w:numId w:val="11"/>
        </w:numPr>
        <w:spacing w:line="360" w:lineRule="auto"/>
        <w:rPr>
          <w:rFonts w:hAnsi="宋体" w:cs="宋体"/>
          <w:b/>
          <w:color w:val="auto"/>
          <w:sz w:val="24"/>
          <w:highlight w:val="none"/>
        </w:rPr>
      </w:pPr>
      <w:r>
        <w:rPr>
          <w:rFonts w:hint="eastAsia" w:hAnsi="宋体" w:cs="宋体"/>
          <w:b/>
          <w:color w:val="auto"/>
          <w:sz w:val="24"/>
          <w:highlight w:val="none"/>
        </w:rPr>
        <w:t>乙方的权利和义务</w:t>
      </w:r>
    </w:p>
    <w:p>
      <w:pPr>
        <w:adjustRightInd w:val="0"/>
        <w:spacing w:line="360" w:lineRule="auto"/>
        <w:ind w:firstLine="480" w:firstLineChars="200"/>
        <w:jc w:val="left"/>
        <w:textAlignment w:val="baseline"/>
        <w:rPr>
          <w:rFonts w:hAnsi="宋体" w:cs="宋体"/>
          <w:bCs/>
          <w:color w:val="auto"/>
          <w:sz w:val="24"/>
          <w:highlight w:val="none"/>
        </w:rPr>
      </w:pPr>
      <w:r>
        <w:rPr>
          <w:rFonts w:hint="eastAsia" w:hAnsi="宋体" w:cs="宋体"/>
          <w:bCs/>
          <w:color w:val="auto"/>
          <w:sz w:val="24"/>
          <w:highlight w:val="none"/>
        </w:rPr>
        <w:t>1、对本合同规定的委托服务范围内的项目享有管理权及服务义务。</w:t>
      </w:r>
    </w:p>
    <w:p>
      <w:pPr>
        <w:adjustRightInd w:val="0"/>
        <w:spacing w:line="360" w:lineRule="auto"/>
        <w:ind w:firstLine="480" w:firstLineChars="200"/>
        <w:jc w:val="left"/>
        <w:textAlignment w:val="baseline"/>
        <w:rPr>
          <w:rFonts w:hAnsi="宋体" w:cs="宋体"/>
          <w:bCs/>
          <w:color w:val="auto"/>
          <w:sz w:val="24"/>
          <w:highlight w:val="none"/>
        </w:rPr>
      </w:pPr>
      <w:r>
        <w:rPr>
          <w:rFonts w:hint="eastAsia" w:hAnsi="宋体" w:cs="宋体"/>
          <w:bCs/>
          <w:color w:val="auto"/>
          <w:sz w:val="24"/>
          <w:highlight w:val="none"/>
        </w:rPr>
        <w:t>2、根据本合同的规定向甲方收取相关服务费用，并有权在本项目管理范围内管理及合理使用。</w:t>
      </w:r>
    </w:p>
    <w:p>
      <w:pPr>
        <w:adjustRightInd w:val="0"/>
        <w:spacing w:line="360" w:lineRule="auto"/>
        <w:ind w:firstLine="480" w:firstLineChars="200"/>
        <w:jc w:val="left"/>
        <w:textAlignment w:val="baseline"/>
        <w:rPr>
          <w:rFonts w:hAnsi="宋体" w:cs="宋体"/>
          <w:color w:val="auto"/>
          <w:sz w:val="24"/>
          <w:highlight w:val="none"/>
        </w:rPr>
      </w:pPr>
      <w:r>
        <w:rPr>
          <w:rFonts w:hint="eastAsia" w:hAnsi="宋体" w:cs="宋体"/>
          <w:color w:val="auto"/>
          <w:sz w:val="24"/>
          <w:highlight w:val="none"/>
        </w:rPr>
        <w:t>3、及时向甲方通告本项目服务范围内有关服务的重大事项，及时配合处理投诉。</w:t>
      </w:r>
    </w:p>
    <w:p>
      <w:pPr>
        <w:adjustRightInd w:val="0"/>
        <w:spacing w:line="360" w:lineRule="auto"/>
        <w:ind w:firstLine="480" w:firstLineChars="200"/>
        <w:jc w:val="left"/>
        <w:textAlignment w:val="baseline"/>
        <w:rPr>
          <w:rFonts w:hAnsi="宋体" w:cs="宋体"/>
          <w:bCs/>
          <w:color w:val="auto"/>
          <w:sz w:val="24"/>
          <w:highlight w:val="none"/>
        </w:rPr>
      </w:pPr>
      <w:r>
        <w:rPr>
          <w:rFonts w:hint="eastAsia" w:hAnsi="宋体" w:cs="宋体"/>
          <w:color w:val="auto"/>
          <w:sz w:val="24"/>
          <w:highlight w:val="none"/>
        </w:rPr>
        <w:t>4、</w:t>
      </w:r>
      <w:r>
        <w:rPr>
          <w:rFonts w:hint="eastAsia" w:hAnsi="宋体" w:cs="宋体"/>
          <w:bCs/>
          <w:color w:val="auto"/>
          <w:sz w:val="24"/>
          <w:highlight w:val="none"/>
        </w:rPr>
        <w:t>接受项目行业管理部门及政府有关部门的指导，接受甲方的监督。</w:t>
      </w:r>
    </w:p>
    <w:p>
      <w:pPr>
        <w:adjustRightInd w:val="0"/>
        <w:spacing w:line="360" w:lineRule="auto"/>
        <w:ind w:firstLine="480" w:firstLineChars="200"/>
        <w:jc w:val="left"/>
        <w:textAlignment w:val="baseline"/>
        <w:rPr>
          <w:rFonts w:hAnsi="宋体" w:cs="宋体"/>
          <w:bCs/>
          <w:color w:val="auto"/>
          <w:sz w:val="24"/>
          <w:highlight w:val="none"/>
        </w:rPr>
      </w:pPr>
      <w:r>
        <w:rPr>
          <w:rFonts w:hint="eastAsia" w:hAnsi="宋体" w:cs="宋体"/>
          <w:bCs/>
          <w:color w:val="auto"/>
          <w:sz w:val="24"/>
          <w:highlight w:val="none"/>
        </w:rPr>
        <w:t>5、国家法律、法规所规定由乙方承担的其它责任。</w:t>
      </w:r>
    </w:p>
    <w:p>
      <w:pPr>
        <w:numPr>
          <w:ilvl w:val="0"/>
          <w:numId w:val="11"/>
        </w:numPr>
        <w:spacing w:line="360" w:lineRule="auto"/>
        <w:rPr>
          <w:rFonts w:hAnsi="宋体" w:cs="宋体"/>
          <w:b/>
          <w:color w:val="auto"/>
          <w:sz w:val="24"/>
          <w:highlight w:val="none"/>
        </w:rPr>
      </w:pPr>
      <w:r>
        <w:rPr>
          <w:rFonts w:hint="eastAsia" w:hAnsi="宋体" w:cs="宋体"/>
          <w:b/>
          <w:color w:val="auto"/>
          <w:sz w:val="24"/>
          <w:highlight w:val="none"/>
        </w:rPr>
        <w:t>违约责任</w:t>
      </w:r>
    </w:p>
    <w:p>
      <w:pPr>
        <w:adjustRightInd w:val="0"/>
        <w:spacing w:line="360" w:lineRule="auto"/>
        <w:ind w:firstLine="480" w:firstLineChars="200"/>
        <w:jc w:val="left"/>
        <w:textAlignment w:val="baseline"/>
        <w:rPr>
          <w:rFonts w:hAnsi="宋体" w:cs="宋体"/>
          <w:bCs/>
          <w:color w:val="auto"/>
          <w:sz w:val="24"/>
          <w:highlight w:val="none"/>
        </w:rPr>
      </w:pPr>
      <w:r>
        <w:rPr>
          <w:rFonts w:hint="eastAsia" w:hAnsi="宋体" w:cs="宋体"/>
          <w:bCs/>
          <w:color w:val="auto"/>
          <w:sz w:val="24"/>
          <w:highlight w:val="none"/>
        </w:rPr>
        <w:t>1、甲乙双方必须遵守本合同并执行合同中的各项规定，保证本合同的正常履行。</w:t>
      </w:r>
    </w:p>
    <w:p>
      <w:pPr>
        <w:adjustRightInd w:val="0"/>
        <w:spacing w:line="360" w:lineRule="auto"/>
        <w:ind w:firstLine="480" w:firstLineChars="200"/>
        <w:jc w:val="left"/>
        <w:textAlignment w:val="baseline"/>
        <w:rPr>
          <w:rFonts w:hAnsi="宋体" w:cs="宋体"/>
          <w:bCs/>
          <w:color w:val="auto"/>
          <w:sz w:val="24"/>
          <w:highlight w:val="none"/>
        </w:rPr>
      </w:pPr>
      <w:r>
        <w:rPr>
          <w:rFonts w:hint="eastAsia" w:hAnsi="宋体" w:cs="宋体"/>
          <w:bCs/>
          <w:color w:val="auto"/>
          <w:sz w:val="24"/>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11"/>
        </w:numPr>
        <w:spacing w:line="360" w:lineRule="auto"/>
        <w:rPr>
          <w:rFonts w:hAnsi="宋体" w:cs="宋体"/>
          <w:b/>
          <w:color w:val="auto"/>
          <w:sz w:val="24"/>
          <w:highlight w:val="none"/>
        </w:rPr>
      </w:pPr>
      <w:r>
        <w:rPr>
          <w:rFonts w:hint="eastAsia" w:hAnsi="宋体" w:cs="宋体"/>
          <w:b/>
          <w:color w:val="auto"/>
          <w:sz w:val="24"/>
          <w:highlight w:val="none"/>
        </w:rPr>
        <w:t>不可抗力事件处理</w:t>
      </w:r>
    </w:p>
    <w:p>
      <w:pPr>
        <w:tabs>
          <w:tab w:val="left" w:pos="0"/>
        </w:tabs>
        <w:spacing w:line="360" w:lineRule="auto"/>
        <w:ind w:firstLine="480" w:firstLineChars="200"/>
        <w:rPr>
          <w:rFonts w:hAnsi="宋体" w:cs="宋体"/>
          <w:color w:val="auto"/>
          <w:sz w:val="24"/>
          <w:highlight w:val="none"/>
        </w:rPr>
      </w:pPr>
      <w:r>
        <w:rPr>
          <w:rFonts w:hint="eastAsia" w:hAnsi="宋体" w:cs="宋体"/>
          <w:color w:val="auto"/>
          <w:sz w:val="24"/>
          <w:highlight w:val="none"/>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hAnsi="宋体" w:cs="宋体"/>
          <w:color w:val="auto"/>
          <w:sz w:val="24"/>
          <w:highlight w:val="none"/>
        </w:rPr>
      </w:pPr>
      <w:r>
        <w:rPr>
          <w:rFonts w:hint="eastAsia" w:hAnsi="宋体" w:cs="宋体"/>
          <w:color w:val="auto"/>
          <w:sz w:val="24"/>
          <w:highlight w:val="none"/>
        </w:rPr>
        <w:t>2、不可抗力事件发生后，应立即通知对方，并寄送有关权威机构出具的证明。</w:t>
      </w:r>
    </w:p>
    <w:p>
      <w:pPr>
        <w:tabs>
          <w:tab w:val="left" w:pos="0"/>
        </w:tabs>
        <w:spacing w:line="360" w:lineRule="auto"/>
        <w:ind w:firstLine="480" w:firstLineChars="200"/>
        <w:rPr>
          <w:rFonts w:hAnsi="宋体" w:cs="宋体"/>
          <w:color w:val="auto"/>
          <w:sz w:val="24"/>
          <w:highlight w:val="none"/>
        </w:rPr>
      </w:pPr>
      <w:r>
        <w:rPr>
          <w:rFonts w:hint="eastAsia" w:hAnsi="宋体" w:cs="宋体"/>
          <w:color w:val="auto"/>
          <w:sz w:val="24"/>
          <w:highlight w:val="none"/>
        </w:rPr>
        <w:t>3、不可抗力事件延续XX天以上，双方应通过友好协商，确定是否继续履行合同。</w:t>
      </w:r>
    </w:p>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Pr>
        <w:numPr>
          <w:ilvl w:val="0"/>
          <w:numId w:val="11"/>
        </w:numPr>
        <w:spacing w:line="360" w:lineRule="auto"/>
        <w:rPr>
          <w:rFonts w:hAnsi="宋体" w:cs="宋体"/>
          <w:b/>
          <w:color w:val="auto"/>
          <w:sz w:val="24"/>
          <w:highlight w:val="none"/>
        </w:rPr>
      </w:pPr>
      <w:bookmarkStart w:id="310" w:name="_Toc211911353"/>
      <w:bookmarkStart w:id="311" w:name="_Toc232492933"/>
      <w:bookmarkStart w:id="312" w:name="_Toc241833908"/>
      <w:bookmarkStart w:id="313" w:name="_Toc185395254"/>
      <w:bookmarkStart w:id="314" w:name="_Toc211854454"/>
      <w:bookmarkStart w:id="315" w:name="_Toc225670756"/>
      <w:bookmarkStart w:id="316" w:name="_Toc239233919"/>
      <w:bookmarkStart w:id="317" w:name="_Toc225244857"/>
      <w:bookmarkStart w:id="318" w:name="_Toc238984980"/>
      <w:bookmarkStart w:id="319" w:name="_Toc247334846"/>
      <w:bookmarkStart w:id="320" w:name="_Toc239568423"/>
      <w:bookmarkStart w:id="321" w:name="_Toc251768867"/>
      <w:bookmarkStart w:id="322" w:name="_Toc225654649"/>
      <w:bookmarkStart w:id="323" w:name="_Toc212019599"/>
      <w:bookmarkStart w:id="324" w:name="_Toc286993792"/>
      <w:bookmarkStart w:id="325" w:name="_Toc237145411"/>
      <w:r>
        <w:rPr>
          <w:rFonts w:hint="eastAsia" w:hAnsi="宋体" w:cs="宋体"/>
          <w:b/>
          <w:color w:val="auto"/>
          <w:sz w:val="24"/>
          <w:highlight w:val="none"/>
        </w:rPr>
        <w:t>解决合同纠纷的方式</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pPr>
        <w:tabs>
          <w:tab w:val="left" w:pos="0"/>
        </w:tabs>
        <w:spacing w:line="360" w:lineRule="auto"/>
        <w:ind w:firstLine="480" w:firstLineChars="200"/>
        <w:rPr>
          <w:rFonts w:hAnsi="宋体" w:cs="宋体"/>
          <w:color w:val="auto"/>
          <w:sz w:val="24"/>
          <w:highlight w:val="none"/>
        </w:rPr>
      </w:pPr>
      <w:r>
        <w:rPr>
          <w:rFonts w:hint="eastAsia" w:hAnsi="宋体" w:cs="宋体"/>
          <w:color w:val="auto"/>
          <w:sz w:val="24"/>
          <w:highlight w:val="none"/>
        </w:rPr>
        <w:t>1、在执行本合同中发生的或与本合同有关的争端，双方应通过友好协商解决，经协商在XX天内不能达成协议时，由甲方所在地人民法院诉讼管辖。</w:t>
      </w:r>
    </w:p>
    <w:p>
      <w:pPr>
        <w:tabs>
          <w:tab w:val="left" w:pos="0"/>
        </w:tabs>
        <w:spacing w:line="360" w:lineRule="auto"/>
        <w:ind w:firstLine="480" w:firstLineChars="200"/>
        <w:rPr>
          <w:rFonts w:hAnsi="宋体" w:cs="宋体"/>
          <w:color w:val="auto"/>
          <w:sz w:val="24"/>
          <w:highlight w:val="none"/>
        </w:rPr>
      </w:pPr>
      <w:r>
        <w:rPr>
          <w:rFonts w:hint="eastAsia" w:hAnsi="宋体" w:cs="宋体"/>
          <w:color w:val="auto"/>
          <w:sz w:val="24"/>
          <w:highlight w:val="none"/>
        </w:rPr>
        <w:t xml:space="preserve">2、诉讼费、律师费、保全费等应由败诉方负担。 </w:t>
      </w:r>
    </w:p>
    <w:p>
      <w:pPr>
        <w:tabs>
          <w:tab w:val="left" w:pos="0"/>
        </w:tabs>
        <w:spacing w:line="360" w:lineRule="auto"/>
        <w:ind w:firstLine="480" w:firstLineChars="200"/>
        <w:rPr>
          <w:rFonts w:hAnsi="宋体" w:cs="宋体"/>
          <w:color w:val="auto"/>
          <w:sz w:val="24"/>
          <w:highlight w:val="none"/>
        </w:rPr>
      </w:pPr>
      <w:r>
        <w:rPr>
          <w:rFonts w:hint="eastAsia" w:hAnsi="宋体" w:cs="宋体"/>
          <w:color w:val="auto"/>
          <w:sz w:val="24"/>
          <w:highlight w:val="none"/>
        </w:rPr>
        <w:t xml:space="preserve">3、在诉讼期间，除正在进行诉讼部分外，合同其他部分继续执行。  </w:t>
      </w:r>
    </w:p>
    <w:p>
      <w:pPr>
        <w:numPr>
          <w:ilvl w:val="0"/>
          <w:numId w:val="11"/>
        </w:numPr>
        <w:spacing w:line="360" w:lineRule="auto"/>
        <w:rPr>
          <w:rFonts w:hAnsi="宋体" w:cs="宋体"/>
          <w:b/>
          <w:color w:val="auto"/>
          <w:sz w:val="24"/>
          <w:highlight w:val="none"/>
        </w:rPr>
      </w:pPr>
      <w:bookmarkStart w:id="326" w:name="_Toc247334847"/>
      <w:bookmarkStart w:id="327" w:name="_Toc239233920"/>
      <w:bookmarkStart w:id="328" w:name="_Toc225670757"/>
      <w:bookmarkStart w:id="329" w:name="_Toc225244858"/>
      <w:bookmarkStart w:id="330" w:name="_Toc239568424"/>
      <w:bookmarkStart w:id="331" w:name="_Toc232492934"/>
      <w:bookmarkStart w:id="332" w:name="_Toc241833909"/>
      <w:bookmarkStart w:id="333" w:name="_Toc185395255"/>
      <w:bookmarkStart w:id="334" w:name="_Toc286993793"/>
      <w:bookmarkStart w:id="335" w:name="_Toc283019219"/>
      <w:bookmarkStart w:id="336" w:name="_Toc251768868"/>
      <w:bookmarkStart w:id="337" w:name="_Toc225654650"/>
      <w:bookmarkStart w:id="338" w:name="_Toc238984981"/>
      <w:bookmarkStart w:id="339" w:name="_Toc211854455"/>
      <w:bookmarkStart w:id="340" w:name="_Toc282696231"/>
      <w:bookmarkStart w:id="341" w:name="_Toc237145412"/>
      <w:bookmarkStart w:id="342" w:name="_Toc211911354"/>
      <w:bookmarkStart w:id="343" w:name="_Toc212019600"/>
      <w:r>
        <w:rPr>
          <w:rFonts w:hint="eastAsia" w:hAnsi="宋体" w:cs="宋体"/>
          <w:b/>
          <w:color w:val="auto"/>
          <w:sz w:val="24"/>
          <w:highlight w:val="none"/>
        </w:rPr>
        <w:t>合同</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Pr>
          <w:rFonts w:hint="eastAsia" w:hAnsi="宋体" w:cs="宋体"/>
          <w:b/>
          <w:color w:val="auto"/>
          <w:sz w:val="24"/>
          <w:highlight w:val="none"/>
        </w:rPr>
        <w:t>生效及其他</w:t>
      </w:r>
    </w:p>
    <w:p>
      <w:pPr>
        <w:pStyle w:val="73"/>
        <w:spacing w:line="360" w:lineRule="auto"/>
        <w:ind w:firstLine="480"/>
        <w:rPr>
          <w:rFonts w:hAnsi="宋体" w:cs="宋体"/>
          <w:color w:val="auto"/>
          <w:sz w:val="24"/>
          <w:szCs w:val="24"/>
          <w:highlight w:val="none"/>
        </w:rPr>
      </w:pPr>
      <w:r>
        <w:rPr>
          <w:rFonts w:hint="eastAsia" w:hAnsi="宋体" w:cs="宋体"/>
          <w:color w:val="auto"/>
          <w:sz w:val="24"/>
          <w:szCs w:val="24"/>
          <w:highlight w:val="none"/>
        </w:rPr>
        <w:t>1、合同经双方法定代表人或授权委托代理人签字并加盖单位公章后生效。</w:t>
      </w:r>
    </w:p>
    <w:p>
      <w:pPr>
        <w:pStyle w:val="73"/>
        <w:spacing w:line="360" w:lineRule="auto"/>
        <w:ind w:firstLine="480"/>
        <w:rPr>
          <w:rFonts w:hAnsi="宋体" w:cs="宋体"/>
          <w:color w:val="auto"/>
          <w:sz w:val="24"/>
          <w:szCs w:val="24"/>
          <w:highlight w:val="none"/>
        </w:rPr>
      </w:pPr>
      <w:r>
        <w:rPr>
          <w:rFonts w:hint="eastAsia" w:hAnsi="宋体" w:cs="宋体"/>
          <w:color w:val="auto"/>
          <w:sz w:val="24"/>
          <w:szCs w:val="24"/>
          <w:highlight w:val="none"/>
        </w:rPr>
        <w:t>2、合同执行中涉及采购资金和采购内容修改或补充的，须经政府采购监管部门审批，并签书面补充协议报政府采购监督管理部门备案，方可作为主合同不可分割的一部分。</w:t>
      </w:r>
    </w:p>
    <w:p>
      <w:pPr>
        <w:pStyle w:val="73"/>
        <w:spacing w:line="360" w:lineRule="auto"/>
        <w:ind w:firstLine="480"/>
        <w:rPr>
          <w:rFonts w:hAnsi="宋体" w:cs="宋体"/>
          <w:color w:val="auto"/>
          <w:sz w:val="24"/>
          <w:szCs w:val="24"/>
          <w:highlight w:val="none"/>
        </w:rPr>
      </w:pPr>
      <w:r>
        <w:rPr>
          <w:rFonts w:hint="eastAsia" w:hAnsi="宋体" w:cs="宋体"/>
          <w:color w:val="auto"/>
          <w:sz w:val="24"/>
          <w:szCs w:val="24"/>
          <w:highlight w:val="none"/>
        </w:rPr>
        <w:t>3、本合同一式XX份，自双方签章之日起起效。甲方XX份，乙方XX份，政府采购代理机构XX份，同级财政部门备案XX份，具有同等法律效力。</w:t>
      </w:r>
    </w:p>
    <w:p>
      <w:pPr>
        <w:pStyle w:val="73"/>
        <w:spacing w:line="400" w:lineRule="exact"/>
        <w:ind w:firstLine="480"/>
        <w:rPr>
          <w:rFonts w:hAnsi="宋体" w:cs="宋体"/>
          <w:color w:val="auto"/>
          <w:sz w:val="24"/>
          <w:szCs w:val="24"/>
          <w:highlight w:val="none"/>
        </w:rPr>
      </w:pPr>
      <w:r>
        <w:rPr>
          <w:rFonts w:hint="eastAsia" w:hAnsi="宋体" w:cs="宋体"/>
          <w:color w:val="auto"/>
          <w:sz w:val="24"/>
          <w:szCs w:val="24"/>
          <w:highlight w:val="none"/>
        </w:rPr>
        <w:t>4、若本次采购项目涉及商品包装和快递包装的，乙方应当按照财办库【2020】123号文和采购文件规定的具体包装要求执行。甲方也应当按照财办库【2020】123号文和采购文件规定的具体包装要求进行验收，必要时可要求乙方在履约验收环节出具检测报告。</w:t>
      </w:r>
    </w:p>
    <w:p>
      <w:pPr>
        <w:numPr>
          <w:ilvl w:val="0"/>
          <w:numId w:val="11"/>
        </w:numPr>
        <w:spacing w:line="360" w:lineRule="auto"/>
        <w:rPr>
          <w:rFonts w:hAnsi="宋体" w:cs="宋体"/>
          <w:b/>
          <w:color w:val="auto"/>
          <w:sz w:val="24"/>
          <w:highlight w:val="none"/>
        </w:rPr>
      </w:pPr>
      <w:r>
        <w:rPr>
          <w:rFonts w:hint="eastAsia" w:hAnsi="宋体" w:cs="宋体"/>
          <w:b/>
          <w:color w:val="auto"/>
          <w:sz w:val="24"/>
          <w:highlight w:val="none"/>
        </w:rPr>
        <w:t>附件</w:t>
      </w:r>
    </w:p>
    <w:p>
      <w:pPr>
        <w:pStyle w:val="73"/>
        <w:spacing w:line="360" w:lineRule="auto"/>
        <w:ind w:firstLine="480"/>
        <w:rPr>
          <w:rFonts w:hAnsi="宋体" w:cs="宋体"/>
          <w:color w:val="auto"/>
          <w:sz w:val="24"/>
          <w:szCs w:val="24"/>
          <w:highlight w:val="none"/>
        </w:rPr>
      </w:pPr>
      <w:r>
        <w:rPr>
          <w:rFonts w:hint="eastAsia" w:hAnsi="宋体" w:cs="宋体"/>
          <w:color w:val="auto"/>
          <w:sz w:val="24"/>
          <w:szCs w:val="24"/>
          <w:highlight w:val="none"/>
        </w:rPr>
        <w:t>1、项目</w:t>
      </w:r>
      <w:r>
        <w:rPr>
          <w:rFonts w:hint="eastAsia" w:hAnsi="宋体" w:cs="宋体"/>
          <w:color w:val="auto"/>
          <w:sz w:val="24"/>
          <w:szCs w:val="24"/>
          <w:highlight w:val="none"/>
          <w:lang w:eastAsia="zh-CN"/>
        </w:rPr>
        <w:t>谈判</w:t>
      </w:r>
      <w:r>
        <w:rPr>
          <w:rFonts w:hint="eastAsia" w:hAnsi="宋体" w:cs="宋体"/>
          <w:color w:val="auto"/>
          <w:sz w:val="24"/>
          <w:szCs w:val="24"/>
          <w:highlight w:val="none"/>
        </w:rPr>
        <w:t>文件</w:t>
      </w:r>
    </w:p>
    <w:p>
      <w:pPr>
        <w:pStyle w:val="73"/>
        <w:spacing w:line="360" w:lineRule="auto"/>
        <w:ind w:firstLine="480"/>
        <w:rPr>
          <w:rFonts w:hAnsi="宋体" w:cs="宋体"/>
          <w:color w:val="auto"/>
          <w:sz w:val="24"/>
          <w:szCs w:val="24"/>
          <w:highlight w:val="none"/>
        </w:rPr>
      </w:pPr>
      <w:r>
        <w:rPr>
          <w:rFonts w:hint="eastAsia" w:hAnsi="宋体" w:cs="宋体"/>
          <w:color w:val="auto"/>
          <w:sz w:val="24"/>
          <w:szCs w:val="24"/>
          <w:highlight w:val="none"/>
        </w:rPr>
        <w:t>2、项目修改澄清文件</w:t>
      </w:r>
    </w:p>
    <w:p>
      <w:pPr>
        <w:pStyle w:val="73"/>
        <w:spacing w:line="360" w:lineRule="auto"/>
        <w:ind w:firstLine="480"/>
        <w:rPr>
          <w:rFonts w:hAnsi="宋体" w:cs="宋体"/>
          <w:color w:val="auto"/>
          <w:sz w:val="24"/>
          <w:szCs w:val="24"/>
          <w:highlight w:val="none"/>
        </w:rPr>
      </w:pPr>
      <w:r>
        <w:rPr>
          <w:rFonts w:hint="eastAsia" w:hAnsi="宋体" w:cs="宋体"/>
          <w:color w:val="auto"/>
          <w:sz w:val="24"/>
          <w:szCs w:val="24"/>
          <w:highlight w:val="none"/>
        </w:rPr>
        <w:t>3、项目响应文件</w:t>
      </w:r>
    </w:p>
    <w:p>
      <w:pPr>
        <w:pStyle w:val="73"/>
        <w:spacing w:line="360" w:lineRule="auto"/>
        <w:ind w:firstLine="480"/>
        <w:rPr>
          <w:rFonts w:hAnsi="宋体" w:cs="宋体"/>
          <w:color w:val="auto"/>
          <w:sz w:val="24"/>
          <w:szCs w:val="24"/>
          <w:highlight w:val="none"/>
        </w:rPr>
      </w:pPr>
      <w:r>
        <w:rPr>
          <w:rFonts w:hint="eastAsia" w:hAnsi="宋体" w:cs="宋体"/>
          <w:color w:val="auto"/>
          <w:sz w:val="24"/>
          <w:szCs w:val="24"/>
          <w:highlight w:val="none"/>
        </w:rPr>
        <w:t>4、成交通知书</w:t>
      </w:r>
    </w:p>
    <w:p>
      <w:pPr>
        <w:pStyle w:val="73"/>
        <w:spacing w:line="360" w:lineRule="auto"/>
        <w:ind w:firstLine="480"/>
        <w:rPr>
          <w:rFonts w:hAnsi="宋体" w:cs="宋体"/>
          <w:color w:val="auto"/>
          <w:sz w:val="24"/>
          <w:szCs w:val="24"/>
          <w:highlight w:val="none"/>
        </w:rPr>
      </w:pPr>
      <w:r>
        <w:rPr>
          <w:rFonts w:hint="eastAsia" w:hAnsi="宋体" w:cs="宋体"/>
          <w:color w:val="auto"/>
          <w:sz w:val="24"/>
          <w:szCs w:val="24"/>
          <w:highlight w:val="none"/>
        </w:rPr>
        <w:t>5、保密承诺函</w:t>
      </w:r>
    </w:p>
    <w:p>
      <w:pPr>
        <w:pStyle w:val="73"/>
        <w:spacing w:line="360" w:lineRule="auto"/>
        <w:ind w:firstLine="480"/>
        <w:rPr>
          <w:rFonts w:hAnsi="宋体" w:cs="宋体"/>
          <w:color w:val="auto"/>
          <w:sz w:val="24"/>
          <w:szCs w:val="24"/>
          <w:highlight w:val="none"/>
        </w:rPr>
      </w:pPr>
      <w:r>
        <w:rPr>
          <w:rFonts w:hint="eastAsia" w:hAnsi="宋体" w:cs="宋体"/>
          <w:color w:val="auto"/>
          <w:sz w:val="24"/>
          <w:szCs w:val="24"/>
          <w:highlight w:val="none"/>
        </w:rPr>
        <w:t>6、其他</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 xml:space="preserve">甲方：   (盖章)   </w:t>
      </w:r>
      <w:r>
        <w:rPr>
          <w:rFonts w:hint="eastAsia" w:hAnsi="宋体" w:cs="宋体"/>
          <w:color w:val="auto"/>
          <w:sz w:val="24"/>
          <w:highlight w:val="none"/>
        </w:rPr>
        <w:tab/>
      </w:r>
      <w:r>
        <w:rPr>
          <w:rFonts w:hint="eastAsia" w:hAnsi="宋体" w:cs="宋体"/>
          <w:color w:val="auto"/>
          <w:sz w:val="24"/>
          <w:highlight w:val="none"/>
        </w:rPr>
        <w:tab/>
      </w:r>
      <w:r>
        <w:rPr>
          <w:rFonts w:hint="eastAsia" w:hAnsi="宋体" w:cs="宋体"/>
          <w:color w:val="auto"/>
          <w:sz w:val="24"/>
          <w:highlight w:val="none"/>
        </w:rPr>
        <w:tab/>
      </w:r>
      <w:r>
        <w:rPr>
          <w:rFonts w:hint="eastAsia" w:hAnsi="宋体" w:cs="宋体"/>
          <w:color w:val="auto"/>
          <w:sz w:val="24"/>
          <w:highlight w:val="none"/>
        </w:rPr>
        <w:t xml:space="preserve">       乙方：   (盖章)</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法定代表人(授权代表)：            法定代表人(授权代表)：</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地    址：                         地    址：</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开户银行：                         开户银行：</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账号：                             账号：</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电    话：                         电    话：</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传    真：                         传    真：</w:t>
      </w:r>
    </w:p>
    <w:p>
      <w:pPr>
        <w:pStyle w:val="6"/>
        <w:spacing w:line="400" w:lineRule="exact"/>
        <w:ind w:firstLineChars="175"/>
        <w:rPr>
          <w:rFonts w:ascii="宋体" w:hAnsi="宋体" w:cs="宋体"/>
          <w:color w:val="auto"/>
          <w:sz w:val="24"/>
          <w:highlight w:val="none"/>
        </w:rPr>
      </w:pPr>
      <w:r>
        <w:rPr>
          <w:rFonts w:hint="eastAsia" w:ascii="宋体" w:hAnsi="宋体" w:cs="宋体"/>
          <w:color w:val="auto"/>
          <w:sz w:val="24"/>
          <w:highlight w:val="none"/>
        </w:rPr>
        <w:t xml:space="preserve">签约日期：XX年XX月XX日 </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签约日期：XX年XX月XX日</w:t>
      </w:r>
    </w:p>
    <w:p>
      <w:pPr>
        <w:rPr>
          <w:rFonts w:hAnsi="宋体" w:cs="宋体"/>
          <w:b/>
          <w:bCs/>
          <w:color w:val="auto"/>
          <w:sz w:val="24"/>
          <w:highlight w:val="none"/>
        </w:rPr>
      </w:pPr>
      <w:r>
        <w:rPr>
          <w:rFonts w:hint="eastAsia" w:hAnsi="宋体" w:cs="宋体"/>
          <w:b/>
          <w:bCs/>
          <w:color w:val="auto"/>
          <w:sz w:val="24"/>
          <w:highlight w:val="none"/>
        </w:rPr>
        <w:t>注：1、以上合同条款采购人与成交人签订合同时可根据实际情况进行调整、修改或重新起草合同条款。</w:t>
      </w:r>
    </w:p>
    <w:p>
      <w:pPr>
        <w:rPr>
          <w:rFonts w:hint="eastAsia" w:ascii="宋体" w:hAnsi="宋体" w:eastAsia="宋体" w:cs="宋体"/>
          <w:b/>
          <w:bCs/>
          <w:color w:val="auto"/>
          <w:sz w:val="32"/>
          <w:szCs w:val="32"/>
          <w:highlight w:val="none"/>
          <w:lang w:val="zh-CN"/>
        </w:rPr>
      </w:pPr>
      <w:r>
        <w:rPr>
          <w:rFonts w:hint="eastAsia" w:hAnsi="宋体" w:cs="宋体"/>
          <w:b/>
          <w:bCs/>
          <w:color w:val="auto"/>
          <w:sz w:val="24"/>
          <w:szCs w:val="22"/>
          <w:highlight w:val="none"/>
        </w:rPr>
        <w:t>2、资金支付条件及履约方式等详见第五章商务条款。</w:t>
      </w:r>
    </w:p>
    <w:sectPr>
      <w:footerReference r:id="rId9" w:type="default"/>
      <w:pgSz w:w="11906" w:h="16838"/>
      <w:pgMar w:top="1440" w:right="1080" w:bottom="1440" w:left="108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仿宋" w:hAnsi="仿宋" w:eastAsia="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158</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OMkijLAQAAnAMAAA4AAAAAAAAAAQAgAAAAHgEAAGRycy9lMm9E&#10;b2MueG1sUEsFBgAAAAAGAAYAWQEAAFsFAAAAAA==&#10;">
              <v:fill on="f" focussize="0,0"/>
              <v:stroke on="f"/>
              <v:imagedata o:title=""/>
              <o:lock v:ext="edit" aspectratio="f"/>
              <v:textbox inset="0mm,0mm,0mm,0mm" style="mso-fit-shape-to-text:t;">
                <w:txbxContent>
                  <w:p>
                    <w:pPr>
                      <w:pStyle w:val="1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158</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beforeLines="0" w:afterLines="0"/>
      <w:jc w:val="center"/>
      <w:rPr>
        <w:rFonts w:hint="eastAsia" w:eastAsia="宋体"/>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27</w:t>
                          </w:r>
                          <w:r>
                            <w:rPr>
                              <w:rFonts w:hint="eastAsia" w:eastAsia="宋体"/>
                              <w:lang w:eastAsia="zh-CN"/>
                            </w:rPr>
                            <w:fldChar w:fldCharType="end"/>
                          </w:r>
                          <w:r>
                            <w:rPr>
                              <w:rFonts w:hint="eastAsia" w:eastAsia="宋体"/>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27</w:t>
                    </w:r>
                    <w:r>
                      <w:rPr>
                        <w:rFonts w:hint="eastAsia" w:eastAsia="宋体"/>
                        <w:lang w:eastAsia="zh-CN"/>
                      </w:rPr>
                      <w:fldChar w:fldCharType="end"/>
                    </w:r>
                    <w:r>
                      <w:rPr>
                        <w:rFonts w:hint="eastAsia" w:eastAsia="宋体"/>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hint="eastAsia" w:ascii="Times New Roman" w:hAnsi="Calibri" w:eastAsia="宋体" w:cs="Times New Roman"/>
        <w:kern w:val="2"/>
        <w:sz w:val="18"/>
        <w:szCs w:val="20"/>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52</w:t>
                          </w:r>
                          <w:r>
                            <w:rPr>
                              <w:rFonts w:hint="eastAsia" w:eastAsia="宋体"/>
                              <w:lang w:eastAsia="zh-CN"/>
                            </w:rPr>
                            <w:fldChar w:fldCharType="end"/>
                          </w:r>
                          <w:r>
                            <w:rPr>
                              <w:rFonts w:hint="eastAsia" w:eastAsia="宋体"/>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52</w:t>
                    </w:r>
                    <w:r>
                      <w:rPr>
                        <w:rFonts w:hint="eastAsia" w:eastAsia="宋体"/>
                        <w:lang w:eastAsia="zh-CN"/>
                      </w:rPr>
                      <w:fldChar w:fldCharType="end"/>
                    </w:r>
                    <w:r>
                      <w:rPr>
                        <w:rFonts w:hint="eastAsia" w:eastAsia="宋体"/>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hAnsi="宋体" w:cs="宋体"/>
        <w:b/>
        <w:bCs/>
        <w:color w:val="000000"/>
        <w:sz w:val="22"/>
      </w:rPr>
    </w:pPr>
    <w:r>
      <w:rPr>
        <w:rFonts w:hint="eastAsia" w:hAnsi="宋体" w:cs="宋体"/>
        <w:color w:val="000000"/>
      </w:rPr>
      <w:drawing>
        <wp:inline distT="0" distB="0" distL="114300" distR="114300">
          <wp:extent cx="396875" cy="233045"/>
          <wp:effectExtent l="0" t="0" r="3175" b="14605"/>
          <wp:docPr id="9" name="图片 3" descr="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小LOGO"/>
                  <pic:cNvPicPr>
                    <a:picLocks noChangeAspect="1"/>
                  </pic:cNvPicPr>
                </pic:nvPicPr>
                <pic:blipFill>
                  <a:blip r:embed="rId1"/>
                  <a:stretch>
                    <a:fillRect/>
                  </a:stretch>
                </pic:blipFill>
                <pic:spPr>
                  <a:xfrm>
                    <a:off x="0" y="0"/>
                    <a:ext cx="396875" cy="233045"/>
                  </a:xfrm>
                  <a:prstGeom prst="rect">
                    <a:avLst/>
                  </a:prstGeom>
                  <a:noFill/>
                  <a:ln>
                    <a:noFill/>
                  </a:ln>
                </pic:spPr>
              </pic:pic>
            </a:graphicData>
          </a:graphic>
        </wp:inline>
      </w:drawing>
    </w:r>
    <w:r>
      <w:rPr>
        <w:rFonts w:hint="eastAsia" w:hAnsi="宋体" w:cs="宋体"/>
        <w:b/>
        <w:bCs/>
        <w:color w:val="000000"/>
        <w:sz w:val="22"/>
      </w:rPr>
      <w:t>四川中意招标有限公司</w:t>
    </w:r>
  </w:p>
  <w:p>
    <w:pPr>
      <w:pStyle w:val="20"/>
      <w:pBdr>
        <w:bottom w:val="none" w:color="auto" w:sz="0" w:space="0"/>
      </w:pBdr>
      <w:jc w:val="both"/>
    </w:pPr>
    <w:r>
      <w:rPr>
        <w:sz w:val="15"/>
      </w:rPr>
      <w:pict>
        <v:shape id="PowerPlusWaterMarkObject18166" o:spid="_x0000_s2050" o:spt="136" type="#_x0000_t136" style="position:absolute;left:0pt;height:40.25pt;width:353.4pt;mso-position-horizontal:center;mso-position-horizontal-relative:margin;mso-position-vertical:center;mso-position-vertical-relative:margin;rotation:-2949120f;z-index:-251653120;mso-width-relative:page;mso-height-relative:page;" fillcolor="#C0C0C0" filled="t" stroked="f" coordsize="21600,21600" adj="10800">
          <v:path/>
          <v:fill on="t" opacity="32768f" focussize="0,0"/>
          <v:stroke on="f"/>
          <v:imagedata o:title=""/>
          <o:lock v:ext="edit" aspectratio="t"/>
          <v:textpath on="t" fitshape="t" fitpath="t" trim="t" xscale="f" string="四川中意招标有限公司" style="font-family:宋体;font-size:40pt;v-same-letter-heights:f;v-text-align:center;"/>
        </v:shape>
      </w:pict>
    </w:r>
    <w:r>
      <w:rPr>
        <w:rFonts w:hint="eastAsia" w:hAnsi="宋体" w:cs="宋体"/>
        <w:b/>
        <w:bCs/>
        <w:color w:val="000000"/>
        <w:sz w:val="15"/>
        <w:szCs w:val="15"/>
        <w:u w:val="single"/>
      </w:rPr>
      <w:t>SI CHUAN ZHONG YI TENDERING CO.,LTD.</w:t>
    </w:r>
    <w:r>
      <w:rPr>
        <w:rFonts w:hint="eastAsia" w:hAnsi="宋体" w:cs="宋体"/>
        <w:b/>
        <w:bCs/>
        <w:color w:val="000000"/>
        <w:sz w:val="24"/>
        <w:szCs w:val="22"/>
        <w:u w:val="single"/>
      </w:rPr>
      <w:t xml:space="preserve"> </w:t>
    </w:r>
    <w:r>
      <w:rPr>
        <w:rFonts w:hint="eastAsia" w:hAnsi="宋体" w:cs="宋体"/>
        <w:color w:val="000000"/>
        <w:sz w:val="32"/>
        <w:szCs w:val="28"/>
        <w:u w:val="single"/>
      </w:rPr>
      <w:t xml:space="preserve"> </w:t>
    </w:r>
    <w:r>
      <w:rPr>
        <w:rFonts w:hint="eastAsia" w:hAnsi="宋体" w:cs="宋体"/>
        <w:color w:val="000000"/>
        <w:u w:val="single"/>
      </w:rPr>
      <w:t xml:space="preserve">                          </w:t>
    </w:r>
    <w:r>
      <w:rPr>
        <w:rFonts w:hint="eastAsia" w:hAnsi="宋体" w:eastAsia="宋体" w:cs="宋体"/>
        <w:color w:val="000000"/>
        <w:u w:val="single"/>
        <w:lang w:val="en-US" w:eastAsia="zh-CN"/>
      </w:rPr>
      <w:t xml:space="preserve">           </w:t>
    </w:r>
    <w:r>
      <w:rPr>
        <w:rFonts w:hint="eastAsia" w:hAnsi="宋体" w:cs="宋体"/>
        <w:color w:val="000000"/>
        <w:u w:val="single"/>
      </w:rPr>
      <w:t xml:space="preserve">          </w:t>
    </w:r>
    <w:r>
      <w:rPr>
        <w:rFonts w:hint="eastAsia" w:hAnsi="宋体" w:cs="宋体"/>
        <w:b/>
        <w:bCs/>
        <w:color w:val="000000"/>
        <w:sz w:val="21"/>
        <w:u w:val="single"/>
      </w:rPr>
      <w:t>公正 独立 客观 诚信</w:t>
    </w:r>
    <w:r>
      <w:rPr>
        <w:rFonts w:hint="eastAsia" w:hAnsi="宋体" w:cs="宋体"/>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25CC6"/>
    <w:multiLevelType w:val="singleLevel"/>
    <w:tmpl w:val="8E325CC6"/>
    <w:lvl w:ilvl="0" w:tentative="0">
      <w:start w:val="9"/>
      <w:numFmt w:val="decimal"/>
      <w:lvlText w:val="%1."/>
      <w:lvlJc w:val="left"/>
      <w:pPr>
        <w:tabs>
          <w:tab w:val="left" w:pos="312"/>
        </w:tabs>
      </w:pPr>
    </w:lvl>
  </w:abstractNum>
  <w:abstractNum w:abstractNumId="1">
    <w:nsid w:val="D136D844"/>
    <w:multiLevelType w:val="singleLevel"/>
    <w:tmpl w:val="D136D844"/>
    <w:lvl w:ilvl="0" w:tentative="0">
      <w:start w:val="9"/>
      <w:numFmt w:val="chineseCounting"/>
      <w:suff w:val="space"/>
      <w:lvlText w:val="第%1章"/>
      <w:lvlJc w:val="left"/>
      <w:rPr>
        <w:rFonts w:hint="eastAsia"/>
      </w:rPr>
    </w:lvl>
  </w:abstractNum>
  <w:abstractNum w:abstractNumId="2">
    <w:nsid w:val="00000001"/>
    <w:multiLevelType w:val="multilevel"/>
    <w:tmpl w:val="00000001"/>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2AEA894B"/>
    <w:multiLevelType w:val="singleLevel"/>
    <w:tmpl w:val="2AEA894B"/>
    <w:lvl w:ilvl="0" w:tentative="0">
      <w:start w:val="4"/>
      <w:numFmt w:val="decimal"/>
      <w:lvlText w:val="%1."/>
      <w:lvlJc w:val="left"/>
      <w:pPr>
        <w:tabs>
          <w:tab w:val="left" w:pos="312"/>
        </w:tabs>
      </w:pPr>
    </w:lvl>
  </w:abstractNum>
  <w:abstractNum w:abstractNumId="4">
    <w:nsid w:val="2EE16D75"/>
    <w:multiLevelType w:val="singleLevel"/>
    <w:tmpl w:val="2EE16D75"/>
    <w:lvl w:ilvl="0" w:tentative="0">
      <w:start w:val="4"/>
      <w:numFmt w:val="chineseCounting"/>
      <w:suff w:val="nothing"/>
      <w:lvlText w:val="%1、"/>
      <w:lvlJc w:val="left"/>
      <w:rPr>
        <w:rFonts w:hint="eastAsia"/>
      </w:rPr>
    </w:lvl>
  </w:abstractNum>
  <w:abstractNum w:abstractNumId="5">
    <w:nsid w:val="3437560C"/>
    <w:multiLevelType w:val="multilevel"/>
    <w:tmpl w:val="3437560C"/>
    <w:lvl w:ilvl="0" w:tentative="0">
      <w:start w:val="1"/>
      <w:numFmt w:val="chineseCounting"/>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51C7086"/>
    <w:multiLevelType w:val="singleLevel"/>
    <w:tmpl w:val="351C7086"/>
    <w:lvl w:ilvl="0" w:tentative="0">
      <w:start w:val="1"/>
      <w:numFmt w:val="decimal"/>
      <w:suff w:val="nothing"/>
      <w:lvlText w:val="（%1）"/>
      <w:lvlJc w:val="left"/>
    </w:lvl>
  </w:abstractNum>
  <w:abstractNum w:abstractNumId="7">
    <w:nsid w:val="464F58BB"/>
    <w:multiLevelType w:val="singleLevel"/>
    <w:tmpl w:val="464F58BB"/>
    <w:lvl w:ilvl="0" w:tentative="0">
      <w:start w:val="1"/>
      <w:numFmt w:val="decimal"/>
      <w:suff w:val="nothing"/>
      <w:lvlText w:val="%1、"/>
      <w:lvlJc w:val="left"/>
      <w:pPr>
        <w:ind w:left="240" w:firstLine="0"/>
      </w:pPr>
    </w:lvl>
  </w:abstractNum>
  <w:abstractNum w:abstractNumId="8">
    <w:nsid w:val="587D89C6"/>
    <w:multiLevelType w:val="singleLevel"/>
    <w:tmpl w:val="587D89C6"/>
    <w:lvl w:ilvl="0" w:tentative="0">
      <w:start w:val="1"/>
      <w:numFmt w:val="decimal"/>
      <w:suff w:val="nothing"/>
      <w:lvlText w:val="%1、"/>
      <w:lvlJc w:val="left"/>
    </w:lvl>
  </w:abstractNum>
  <w:abstractNum w:abstractNumId="9">
    <w:nsid w:val="58807131"/>
    <w:multiLevelType w:val="singleLevel"/>
    <w:tmpl w:val="58807131"/>
    <w:lvl w:ilvl="0" w:tentative="0">
      <w:start w:val="1"/>
      <w:numFmt w:val="decimal"/>
      <w:suff w:val="nothing"/>
      <w:lvlText w:val="%1、"/>
      <w:lvlJc w:val="left"/>
    </w:lvl>
  </w:abstractNum>
  <w:abstractNum w:abstractNumId="10">
    <w:nsid w:val="58A3F34C"/>
    <w:multiLevelType w:val="singleLevel"/>
    <w:tmpl w:val="58A3F34C"/>
    <w:lvl w:ilvl="0" w:tentative="0">
      <w:start w:val="2"/>
      <w:numFmt w:val="decimal"/>
      <w:suff w:val="nothing"/>
      <w:lvlText w:val="%1、"/>
      <w:lvlJc w:val="left"/>
    </w:lvl>
  </w:abstractNum>
  <w:abstractNum w:abstractNumId="11">
    <w:nsid w:val="58DF70C0"/>
    <w:multiLevelType w:val="singleLevel"/>
    <w:tmpl w:val="58DF70C0"/>
    <w:lvl w:ilvl="0" w:tentative="0">
      <w:start w:val="1"/>
      <w:numFmt w:val="decimal"/>
      <w:suff w:val="nothing"/>
      <w:lvlText w:val="（%1）"/>
      <w:lvlJc w:val="left"/>
    </w:lvl>
  </w:abstractNum>
  <w:num w:numId="1">
    <w:abstractNumId w:val="4"/>
  </w:num>
  <w:num w:numId="2">
    <w:abstractNumId w:val="0"/>
  </w:num>
  <w:num w:numId="3">
    <w:abstractNumId w:val="6"/>
  </w:num>
  <w:num w:numId="4">
    <w:abstractNumId w:val="10"/>
  </w:num>
  <w:num w:numId="5">
    <w:abstractNumId w:val="7"/>
  </w:num>
  <w:num w:numId="6">
    <w:abstractNumId w:val="9"/>
  </w:num>
  <w:num w:numId="7">
    <w:abstractNumId w:val="8"/>
  </w:num>
  <w:num w:numId="8">
    <w:abstractNumId w:val="11"/>
  </w:num>
  <w:num w:numId="9">
    <w:abstractNumId w:val="3"/>
  </w:num>
  <w:num w:numId="10">
    <w:abstractNumId w:val="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2ZR/nmJ8fDmgmzssirgyg3Vcdyw=" w:salt="5X2xqoI0MZRpdr5p/cWHJg=="/>
  <w:defaultTabStop w:val="420"/>
  <w:hyphenationZone w:val="360"/>
  <w:drawingGridHorizontalSpacing w:val="173"/>
  <w:drawingGridVerticalSpacing w:val="232"/>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660"/>
    <w:rsid w:val="0000243B"/>
    <w:rsid w:val="00004B89"/>
    <w:rsid w:val="00004FE1"/>
    <w:rsid w:val="00006CEA"/>
    <w:rsid w:val="00007D34"/>
    <w:rsid w:val="000109B7"/>
    <w:rsid w:val="00011937"/>
    <w:rsid w:val="00013884"/>
    <w:rsid w:val="00015AD4"/>
    <w:rsid w:val="000201AB"/>
    <w:rsid w:val="00020C0A"/>
    <w:rsid w:val="00021F2A"/>
    <w:rsid w:val="000222FA"/>
    <w:rsid w:val="00023E17"/>
    <w:rsid w:val="000246A1"/>
    <w:rsid w:val="00024A16"/>
    <w:rsid w:val="00026555"/>
    <w:rsid w:val="0002669F"/>
    <w:rsid w:val="00026E80"/>
    <w:rsid w:val="00031558"/>
    <w:rsid w:val="00031D73"/>
    <w:rsid w:val="00032335"/>
    <w:rsid w:val="00032783"/>
    <w:rsid w:val="00035948"/>
    <w:rsid w:val="00037841"/>
    <w:rsid w:val="000408C4"/>
    <w:rsid w:val="000415D6"/>
    <w:rsid w:val="00041FE4"/>
    <w:rsid w:val="000440F6"/>
    <w:rsid w:val="00046697"/>
    <w:rsid w:val="0004677D"/>
    <w:rsid w:val="00046D63"/>
    <w:rsid w:val="000474DE"/>
    <w:rsid w:val="00050590"/>
    <w:rsid w:val="00051366"/>
    <w:rsid w:val="000517C7"/>
    <w:rsid w:val="000526C6"/>
    <w:rsid w:val="00052B12"/>
    <w:rsid w:val="00052CD1"/>
    <w:rsid w:val="00053337"/>
    <w:rsid w:val="00054BA4"/>
    <w:rsid w:val="00055C21"/>
    <w:rsid w:val="00056979"/>
    <w:rsid w:val="00057397"/>
    <w:rsid w:val="00061464"/>
    <w:rsid w:val="0006264C"/>
    <w:rsid w:val="00062E97"/>
    <w:rsid w:val="000657E0"/>
    <w:rsid w:val="0006634F"/>
    <w:rsid w:val="0006738D"/>
    <w:rsid w:val="000676DF"/>
    <w:rsid w:val="00070D82"/>
    <w:rsid w:val="0007177D"/>
    <w:rsid w:val="000731F0"/>
    <w:rsid w:val="00074138"/>
    <w:rsid w:val="000743DD"/>
    <w:rsid w:val="0007588A"/>
    <w:rsid w:val="00075F20"/>
    <w:rsid w:val="000767DE"/>
    <w:rsid w:val="000812F3"/>
    <w:rsid w:val="00081A37"/>
    <w:rsid w:val="00081A47"/>
    <w:rsid w:val="00082B75"/>
    <w:rsid w:val="000839BF"/>
    <w:rsid w:val="00084183"/>
    <w:rsid w:val="0008437F"/>
    <w:rsid w:val="0008602F"/>
    <w:rsid w:val="00086A4E"/>
    <w:rsid w:val="000873B3"/>
    <w:rsid w:val="00090600"/>
    <w:rsid w:val="00090A00"/>
    <w:rsid w:val="00092B4C"/>
    <w:rsid w:val="00093ABA"/>
    <w:rsid w:val="00095148"/>
    <w:rsid w:val="000958DC"/>
    <w:rsid w:val="000963B8"/>
    <w:rsid w:val="000A1518"/>
    <w:rsid w:val="000A1D01"/>
    <w:rsid w:val="000A2A84"/>
    <w:rsid w:val="000A32C6"/>
    <w:rsid w:val="000A3E64"/>
    <w:rsid w:val="000A4196"/>
    <w:rsid w:val="000A42C7"/>
    <w:rsid w:val="000A4B2E"/>
    <w:rsid w:val="000A4EA5"/>
    <w:rsid w:val="000A4F0C"/>
    <w:rsid w:val="000B07DD"/>
    <w:rsid w:val="000B0F4B"/>
    <w:rsid w:val="000B1C2C"/>
    <w:rsid w:val="000B22AC"/>
    <w:rsid w:val="000B2DD2"/>
    <w:rsid w:val="000B428C"/>
    <w:rsid w:val="000B58C4"/>
    <w:rsid w:val="000B7FD8"/>
    <w:rsid w:val="000C00DD"/>
    <w:rsid w:val="000C0146"/>
    <w:rsid w:val="000C1BCB"/>
    <w:rsid w:val="000C22DB"/>
    <w:rsid w:val="000C3110"/>
    <w:rsid w:val="000C405E"/>
    <w:rsid w:val="000C4129"/>
    <w:rsid w:val="000C4762"/>
    <w:rsid w:val="000C5D2D"/>
    <w:rsid w:val="000D03B4"/>
    <w:rsid w:val="000D0846"/>
    <w:rsid w:val="000D0F0A"/>
    <w:rsid w:val="000D4EFB"/>
    <w:rsid w:val="000D60C5"/>
    <w:rsid w:val="000D705A"/>
    <w:rsid w:val="000D7A45"/>
    <w:rsid w:val="000E551F"/>
    <w:rsid w:val="000E583C"/>
    <w:rsid w:val="000F2A83"/>
    <w:rsid w:val="000F422B"/>
    <w:rsid w:val="000F4897"/>
    <w:rsid w:val="000F5C99"/>
    <w:rsid w:val="000F7124"/>
    <w:rsid w:val="00100B7D"/>
    <w:rsid w:val="00100C85"/>
    <w:rsid w:val="00100FCD"/>
    <w:rsid w:val="00101565"/>
    <w:rsid w:val="0010167E"/>
    <w:rsid w:val="001033D2"/>
    <w:rsid w:val="001035A5"/>
    <w:rsid w:val="0010549D"/>
    <w:rsid w:val="001114EB"/>
    <w:rsid w:val="001116C7"/>
    <w:rsid w:val="001119A8"/>
    <w:rsid w:val="00111F41"/>
    <w:rsid w:val="0011411F"/>
    <w:rsid w:val="00114DE5"/>
    <w:rsid w:val="00114EBA"/>
    <w:rsid w:val="001150A5"/>
    <w:rsid w:val="001153F5"/>
    <w:rsid w:val="00115DD8"/>
    <w:rsid w:val="001176BD"/>
    <w:rsid w:val="0012276E"/>
    <w:rsid w:val="00123E53"/>
    <w:rsid w:val="00126265"/>
    <w:rsid w:val="00126D87"/>
    <w:rsid w:val="00131F14"/>
    <w:rsid w:val="001329EB"/>
    <w:rsid w:val="00133244"/>
    <w:rsid w:val="001345C8"/>
    <w:rsid w:val="00134DF5"/>
    <w:rsid w:val="00135A93"/>
    <w:rsid w:val="00136485"/>
    <w:rsid w:val="00136D53"/>
    <w:rsid w:val="00142470"/>
    <w:rsid w:val="00142B9B"/>
    <w:rsid w:val="0014429A"/>
    <w:rsid w:val="001464DD"/>
    <w:rsid w:val="001500D3"/>
    <w:rsid w:val="00150BFF"/>
    <w:rsid w:val="00151441"/>
    <w:rsid w:val="00152F7F"/>
    <w:rsid w:val="00152F8A"/>
    <w:rsid w:val="00153D4C"/>
    <w:rsid w:val="00154CBA"/>
    <w:rsid w:val="00154FC3"/>
    <w:rsid w:val="0015606A"/>
    <w:rsid w:val="0015612A"/>
    <w:rsid w:val="00156466"/>
    <w:rsid w:val="00156852"/>
    <w:rsid w:val="00156D44"/>
    <w:rsid w:val="001575FD"/>
    <w:rsid w:val="00161AEF"/>
    <w:rsid w:val="00162078"/>
    <w:rsid w:val="001627BA"/>
    <w:rsid w:val="001633A3"/>
    <w:rsid w:val="001648CD"/>
    <w:rsid w:val="001651C1"/>
    <w:rsid w:val="001652F8"/>
    <w:rsid w:val="00165833"/>
    <w:rsid w:val="00167ED2"/>
    <w:rsid w:val="00170C8C"/>
    <w:rsid w:val="00175AEB"/>
    <w:rsid w:val="001763A5"/>
    <w:rsid w:val="00177EB9"/>
    <w:rsid w:val="0018382C"/>
    <w:rsid w:val="0018390E"/>
    <w:rsid w:val="00183F9B"/>
    <w:rsid w:val="0018449A"/>
    <w:rsid w:val="001854B0"/>
    <w:rsid w:val="00185A14"/>
    <w:rsid w:val="00185A39"/>
    <w:rsid w:val="00185F2C"/>
    <w:rsid w:val="00186AEA"/>
    <w:rsid w:val="001876EA"/>
    <w:rsid w:val="00187C36"/>
    <w:rsid w:val="00187D88"/>
    <w:rsid w:val="001909DA"/>
    <w:rsid w:val="00193802"/>
    <w:rsid w:val="00193E56"/>
    <w:rsid w:val="00196B7A"/>
    <w:rsid w:val="001974BF"/>
    <w:rsid w:val="0019756E"/>
    <w:rsid w:val="001A0BE4"/>
    <w:rsid w:val="001A183A"/>
    <w:rsid w:val="001A4D34"/>
    <w:rsid w:val="001A67F1"/>
    <w:rsid w:val="001A761A"/>
    <w:rsid w:val="001B1A35"/>
    <w:rsid w:val="001B22E9"/>
    <w:rsid w:val="001B31CA"/>
    <w:rsid w:val="001B3E78"/>
    <w:rsid w:val="001B4227"/>
    <w:rsid w:val="001B4B2D"/>
    <w:rsid w:val="001C1863"/>
    <w:rsid w:val="001C20D6"/>
    <w:rsid w:val="001C326F"/>
    <w:rsid w:val="001C4A5B"/>
    <w:rsid w:val="001C5AF6"/>
    <w:rsid w:val="001C695D"/>
    <w:rsid w:val="001D09B3"/>
    <w:rsid w:val="001D0F62"/>
    <w:rsid w:val="001D1D12"/>
    <w:rsid w:val="001D2331"/>
    <w:rsid w:val="001D3913"/>
    <w:rsid w:val="001D51B7"/>
    <w:rsid w:val="001D799A"/>
    <w:rsid w:val="001E012B"/>
    <w:rsid w:val="001E0521"/>
    <w:rsid w:val="001E12C0"/>
    <w:rsid w:val="001E148C"/>
    <w:rsid w:val="001E35DB"/>
    <w:rsid w:val="001E3B05"/>
    <w:rsid w:val="001E5BB0"/>
    <w:rsid w:val="001E6EF9"/>
    <w:rsid w:val="001F035E"/>
    <w:rsid w:val="001F31EE"/>
    <w:rsid w:val="001F64F5"/>
    <w:rsid w:val="001F74E9"/>
    <w:rsid w:val="001F7DBD"/>
    <w:rsid w:val="00202AE6"/>
    <w:rsid w:val="00203068"/>
    <w:rsid w:val="002032C6"/>
    <w:rsid w:val="00204191"/>
    <w:rsid w:val="00206D18"/>
    <w:rsid w:val="0021013C"/>
    <w:rsid w:val="0021142A"/>
    <w:rsid w:val="002120D0"/>
    <w:rsid w:val="002125E6"/>
    <w:rsid w:val="00213920"/>
    <w:rsid w:val="00217024"/>
    <w:rsid w:val="002214AE"/>
    <w:rsid w:val="00221F47"/>
    <w:rsid w:val="00224333"/>
    <w:rsid w:val="00224CDC"/>
    <w:rsid w:val="002270B2"/>
    <w:rsid w:val="00230304"/>
    <w:rsid w:val="00230D10"/>
    <w:rsid w:val="002320BC"/>
    <w:rsid w:val="00233212"/>
    <w:rsid w:val="002332EA"/>
    <w:rsid w:val="002342C9"/>
    <w:rsid w:val="002373D5"/>
    <w:rsid w:val="00240448"/>
    <w:rsid w:val="00240784"/>
    <w:rsid w:val="00242277"/>
    <w:rsid w:val="0024316D"/>
    <w:rsid w:val="00244015"/>
    <w:rsid w:val="0024518B"/>
    <w:rsid w:val="0024682C"/>
    <w:rsid w:val="002470DA"/>
    <w:rsid w:val="00250692"/>
    <w:rsid w:val="0025359C"/>
    <w:rsid w:val="00255D4B"/>
    <w:rsid w:val="00260E91"/>
    <w:rsid w:val="00262A61"/>
    <w:rsid w:val="00263C90"/>
    <w:rsid w:val="00264935"/>
    <w:rsid w:val="00265F18"/>
    <w:rsid w:val="00267B91"/>
    <w:rsid w:val="002710BB"/>
    <w:rsid w:val="00277B58"/>
    <w:rsid w:val="00280D8F"/>
    <w:rsid w:val="00281347"/>
    <w:rsid w:val="00281907"/>
    <w:rsid w:val="00282C3E"/>
    <w:rsid w:val="002857AA"/>
    <w:rsid w:val="0028582F"/>
    <w:rsid w:val="00286A27"/>
    <w:rsid w:val="00287687"/>
    <w:rsid w:val="00287FD3"/>
    <w:rsid w:val="0029048E"/>
    <w:rsid w:val="00291539"/>
    <w:rsid w:val="002945D2"/>
    <w:rsid w:val="00294EBC"/>
    <w:rsid w:val="0029626C"/>
    <w:rsid w:val="00296ACA"/>
    <w:rsid w:val="0029722F"/>
    <w:rsid w:val="002A0B7A"/>
    <w:rsid w:val="002A0C82"/>
    <w:rsid w:val="002A6A39"/>
    <w:rsid w:val="002A7224"/>
    <w:rsid w:val="002B067F"/>
    <w:rsid w:val="002B25EB"/>
    <w:rsid w:val="002B30CF"/>
    <w:rsid w:val="002B6D25"/>
    <w:rsid w:val="002B7D1D"/>
    <w:rsid w:val="002B7E6D"/>
    <w:rsid w:val="002C0964"/>
    <w:rsid w:val="002C3905"/>
    <w:rsid w:val="002C7DDE"/>
    <w:rsid w:val="002D0A09"/>
    <w:rsid w:val="002D2FA9"/>
    <w:rsid w:val="002D5D7E"/>
    <w:rsid w:val="002D73AE"/>
    <w:rsid w:val="002E13B6"/>
    <w:rsid w:val="002E1CD7"/>
    <w:rsid w:val="002E2016"/>
    <w:rsid w:val="002E372F"/>
    <w:rsid w:val="002E38A1"/>
    <w:rsid w:val="002E53EC"/>
    <w:rsid w:val="002E7B45"/>
    <w:rsid w:val="002F0D48"/>
    <w:rsid w:val="002F3919"/>
    <w:rsid w:val="002F4012"/>
    <w:rsid w:val="002F5A38"/>
    <w:rsid w:val="002F6EEF"/>
    <w:rsid w:val="002F797B"/>
    <w:rsid w:val="00302602"/>
    <w:rsid w:val="0030262F"/>
    <w:rsid w:val="0030413D"/>
    <w:rsid w:val="00305CB0"/>
    <w:rsid w:val="0030638D"/>
    <w:rsid w:val="00306772"/>
    <w:rsid w:val="00306A59"/>
    <w:rsid w:val="00306F89"/>
    <w:rsid w:val="0030729C"/>
    <w:rsid w:val="003104A8"/>
    <w:rsid w:val="0031060A"/>
    <w:rsid w:val="0031253B"/>
    <w:rsid w:val="00314009"/>
    <w:rsid w:val="003147B3"/>
    <w:rsid w:val="00315B90"/>
    <w:rsid w:val="0031795E"/>
    <w:rsid w:val="00321BCE"/>
    <w:rsid w:val="00322BB8"/>
    <w:rsid w:val="003230A0"/>
    <w:rsid w:val="00323546"/>
    <w:rsid w:val="00327B03"/>
    <w:rsid w:val="00330499"/>
    <w:rsid w:val="00331304"/>
    <w:rsid w:val="00331FC6"/>
    <w:rsid w:val="0033261E"/>
    <w:rsid w:val="003331D2"/>
    <w:rsid w:val="0033430E"/>
    <w:rsid w:val="00334A11"/>
    <w:rsid w:val="00335511"/>
    <w:rsid w:val="00335BD1"/>
    <w:rsid w:val="00340988"/>
    <w:rsid w:val="003419CA"/>
    <w:rsid w:val="00346A47"/>
    <w:rsid w:val="0034725A"/>
    <w:rsid w:val="0035067D"/>
    <w:rsid w:val="00352BE5"/>
    <w:rsid w:val="003534C0"/>
    <w:rsid w:val="00353C5F"/>
    <w:rsid w:val="00354318"/>
    <w:rsid w:val="00354A64"/>
    <w:rsid w:val="00355FC0"/>
    <w:rsid w:val="00356EBE"/>
    <w:rsid w:val="003576C4"/>
    <w:rsid w:val="00364647"/>
    <w:rsid w:val="00365913"/>
    <w:rsid w:val="0037029D"/>
    <w:rsid w:val="00370C8A"/>
    <w:rsid w:val="0037288F"/>
    <w:rsid w:val="00372E53"/>
    <w:rsid w:val="0037405F"/>
    <w:rsid w:val="00375F5B"/>
    <w:rsid w:val="00376AE8"/>
    <w:rsid w:val="00377222"/>
    <w:rsid w:val="0038007E"/>
    <w:rsid w:val="00380C57"/>
    <w:rsid w:val="00381E2B"/>
    <w:rsid w:val="003834FD"/>
    <w:rsid w:val="00383BFA"/>
    <w:rsid w:val="00384FE6"/>
    <w:rsid w:val="00392130"/>
    <w:rsid w:val="00395323"/>
    <w:rsid w:val="00395A66"/>
    <w:rsid w:val="00396685"/>
    <w:rsid w:val="003B035C"/>
    <w:rsid w:val="003B07A2"/>
    <w:rsid w:val="003B13FE"/>
    <w:rsid w:val="003B1AB5"/>
    <w:rsid w:val="003B20C9"/>
    <w:rsid w:val="003B4511"/>
    <w:rsid w:val="003B4C27"/>
    <w:rsid w:val="003B4C57"/>
    <w:rsid w:val="003B6F87"/>
    <w:rsid w:val="003C0054"/>
    <w:rsid w:val="003C0851"/>
    <w:rsid w:val="003C14AB"/>
    <w:rsid w:val="003C1E7C"/>
    <w:rsid w:val="003C2A86"/>
    <w:rsid w:val="003C384D"/>
    <w:rsid w:val="003C4CE5"/>
    <w:rsid w:val="003C668B"/>
    <w:rsid w:val="003D0141"/>
    <w:rsid w:val="003D0DE3"/>
    <w:rsid w:val="003D1437"/>
    <w:rsid w:val="003D4B45"/>
    <w:rsid w:val="003D54BF"/>
    <w:rsid w:val="003D629B"/>
    <w:rsid w:val="003D6FFA"/>
    <w:rsid w:val="003E35F5"/>
    <w:rsid w:val="003F1B6B"/>
    <w:rsid w:val="003F1F79"/>
    <w:rsid w:val="003F2938"/>
    <w:rsid w:val="003F3CFE"/>
    <w:rsid w:val="003F4F88"/>
    <w:rsid w:val="00400273"/>
    <w:rsid w:val="00400415"/>
    <w:rsid w:val="00400F8F"/>
    <w:rsid w:val="00401075"/>
    <w:rsid w:val="00401CBD"/>
    <w:rsid w:val="00403397"/>
    <w:rsid w:val="00405597"/>
    <w:rsid w:val="004056A0"/>
    <w:rsid w:val="004067A0"/>
    <w:rsid w:val="004071DA"/>
    <w:rsid w:val="004079D1"/>
    <w:rsid w:val="00413E13"/>
    <w:rsid w:val="00414AC5"/>
    <w:rsid w:val="004153E9"/>
    <w:rsid w:val="00420862"/>
    <w:rsid w:val="004233F9"/>
    <w:rsid w:val="00424278"/>
    <w:rsid w:val="004259A8"/>
    <w:rsid w:val="00427793"/>
    <w:rsid w:val="004277FA"/>
    <w:rsid w:val="004301A5"/>
    <w:rsid w:val="00431CBD"/>
    <w:rsid w:val="004349C5"/>
    <w:rsid w:val="00436108"/>
    <w:rsid w:val="004367F8"/>
    <w:rsid w:val="004368E1"/>
    <w:rsid w:val="00436A1E"/>
    <w:rsid w:val="00437F68"/>
    <w:rsid w:val="00441691"/>
    <w:rsid w:val="004440D6"/>
    <w:rsid w:val="0044451B"/>
    <w:rsid w:val="004472FF"/>
    <w:rsid w:val="00447F5D"/>
    <w:rsid w:val="00451934"/>
    <w:rsid w:val="004522CD"/>
    <w:rsid w:val="00453DA2"/>
    <w:rsid w:val="00454103"/>
    <w:rsid w:val="00454399"/>
    <w:rsid w:val="00454CBB"/>
    <w:rsid w:val="00457964"/>
    <w:rsid w:val="00463BA1"/>
    <w:rsid w:val="004643AF"/>
    <w:rsid w:val="00464C62"/>
    <w:rsid w:val="00465A54"/>
    <w:rsid w:val="00466209"/>
    <w:rsid w:val="004672D5"/>
    <w:rsid w:val="00471F12"/>
    <w:rsid w:val="00474121"/>
    <w:rsid w:val="0047453F"/>
    <w:rsid w:val="00474A2F"/>
    <w:rsid w:val="004753B1"/>
    <w:rsid w:val="004760B8"/>
    <w:rsid w:val="00476556"/>
    <w:rsid w:val="00477AD0"/>
    <w:rsid w:val="00482935"/>
    <w:rsid w:val="004837E8"/>
    <w:rsid w:val="00484A3D"/>
    <w:rsid w:val="00485734"/>
    <w:rsid w:val="0048581D"/>
    <w:rsid w:val="004859C3"/>
    <w:rsid w:val="00485EDF"/>
    <w:rsid w:val="00487A87"/>
    <w:rsid w:val="004904F7"/>
    <w:rsid w:val="00490A1F"/>
    <w:rsid w:val="0049113E"/>
    <w:rsid w:val="004960BF"/>
    <w:rsid w:val="004967DA"/>
    <w:rsid w:val="004A11B8"/>
    <w:rsid w:val="004A2B4F"/>
    <w:rsid w:val="004A2F2D"/>
    <w:rsid w:val="004A6596"/>
    <w:rsid w:val="004A75CA"/>
    <w:rsid w:val="004A7ED0"/>
    <w:rsid w:val="004B42C6"/>
    <w:rsid w:val="004B4E67"/>
    <w:rsid w:val="004B58B4"/>
    <w:rsid w:val="004B6063"/>
    <w:rsid w:val="004B7913"/>
    <w:rsid w:val="004B7CD4"/>
    <w:rsid w:val="004C127C"/>
    <w:rsid w:val="004C1A76"/>
    <w:rsid w:val="004C2D18"/>
    <w:rsid w:val="004C3CC5"/>
    <w:rsid w:val="004D17B5"/>
    <w:rsid w:val="004D1BB2"/>
    <w:rsid w:val="004D1CAF"/>
    <w:rsid w:val="004D1D4C"/>
    <w:rsid w:val="004D26AF"/>
    <w:rsid w:val="004D438D"/>
    <w:rsid w:val="004D6786"/>
    <w:rsid w:val="004D6AA0"/>
    <w:rsid w:val="004D6EA3"/>
    <w:rsid w:val="004E095F"/>
    <w:rsid w:val="004E0DC1"/>
    <w:rsid w:val="004E2BA2"/>
    <w:rsid w:val="004E33AA"/>
    <w:rsid w:val="004E4688"/>
    <w:rsid w:val="004E4ECE"/>
    <w:rsid w:val="004E5317"/>
    <w:rsid w:val="004E55B9"/>
    <w:rsid w:val="004E7C5E"/>
    <w:rsid w:val="004F053A"/>
    <w:rsid w:val="004F2BA1"/>
    <w:rsid w:val="004F368C"/>
    <w:rsid w:val="004F6640"/>
    <w:rsid w:val="005023EE"/>
    <w:rsid w:val="005079F4"/>
    <w:rsid w:val="00507A20"/>
    <w:rsid w:val="00512813"/>
    <w:rsid w:val="00512F35"/>
    <w:rsid w:val="00516884"/>
    <w:rsid w:val="0051796C"/>
    <w:rsid w:val="0052129A"/>
    <w:rsid w:val="0052149F"/>
    <w:rsid w:val="005234C2"/>
    <w:rsid w:val="00523933"/>
    <w:rsid w:val="00524715"/>
    <w:rsid w:val="0052522E"/>
    <w:rsid w:val="005252FC"/>
    <w:rsid w:val="005257A1"/>
    <w:rsid w:val="005275DB"/>
    <w:rsid w:val="00531E0F"/>
    <w:rsid w:val="00531EC1"/>
    <w:rsid w:val="00534655"/>
    <w:rsid w:val="0053654A"/>
    <w:rsid w:val="005379D8"/>
    <w:rsid w:val="0054439D"/>
    <w:rsid w:val="00544435"/>
    <w:rsid w:val="005455D7"/>
    <w:rsid w:val="00545ACC"/>
    <w:rsid w:val="0054613F"/>
    <w:rsid w:val="00546A3F"/>
    <w:rsid w:val="00546F02"/>
    <w:rsid w:val="00547477"/>
    <w:rsid w:val="00550637"/>
    <w:rsid w:val="00551E54"/>
    <w:rsid w:val="00552A5B"/>
    <w:rsid w:val="00555666"/>
    <w:rsid w:val="005557BB"/>
    <w:rsid w:val="0055769A"/>
    <w:rsid w:val="005603D7"/>
    <w:rsid w:val="00560776"/>
    <w:rsid w:val="00561401"/>
    <w:rsid w:val="00562180"/>
    <w:rsid w:val="005630C2"/>
    <w:rsid w:val="005651F2"/>
    <w:rsid w:val="00566BF2"/>
    <w:rsid w:val="00567B7F"/>
    <w:rsid w:val="00567FBF"/>
    <w:rsid w:val="005721BA"/>
    <w:rsid w:val="00573D6D"/>
    <w:rsid w:val="0057474A"/>
    <w:rsid w:val="00574E6B"/>
    <w:rsid w:val="00575EC8"/>
    <w:rsid w:val="005770E1"/>
    <w:rsid w:val="00582877"/>
    <w:rsid w:val="00585C10"/>
    <w:rsid w:val="00585D18"/>
    <w:rsid w:val="005876D8"/>
    <w:rsid w:val="00590091"/>
    <w:rsid w:val="00591410"/>
    <w:rsid w:val="0059168E"/>
    <w:rsid w:val="00591E80"/>
    <w:rsid w:val="00592118"/>
    <w:rsid w:val="0059553F"/>
    <w:rsid w:val="00597CD5"/>
    <w:rsid w:val="005A5642"/>
    <w:rsid w:val="005A5777"/>
    <w:rsid w:val="005A5A76"/>
    <w:rsid w:val="005A6B6C"/>
    <w:rsid w:val="005B0037"/>
    <w:rsid w:val="005B0EA2"/>
    <w:rsid w:val="005B2702"/>
    <w:rsid w:val="005B3818"/>
    <w:rsid w:val="005B52B1"/>
    <w:rsid w:val="005C08FA"/>
    <w:rsid w:val="005C10F2"/>
    <w:rsid w:val="005C1D26"/>
    <w:rsid w:val="005C3E17"/>
    <w:rsid w:val="005C5C83"/>
    <w:rsid w:val="005D1258"/>
    <w:rsid w:val="005D14FA"/>
    <w:rsid w:val="005D72BC"/>
    <w:rsid w:val="005E0542"/>
    <w:rsid w:val="005E0927"/>
    <w:rsid w:val="005E0EB8"/>
    <w:rsid w:val="005E15BA"/>
    <w:rsid w:val="005E290B"/>
    <w:rsid w:val="005E306B"/>
    <w:rsid w:val="005E4E76"/>
    <w:rsid w:val="005E61DB"/>
    <w:rsid w:val="005F28F4"/>
    <w:rsid w:val="005F39AC"/>
    <w:rsid w:val="005F6406"/>
    <w:rsid w:val="00605136"/>
    <w:rsid w:val="006063A3"/>
    <w:rsid w:val="0060753A"/>
    <w:rsid w:val="00610DCC"/>
    <w:rsid w:val="00611B73"/>
    <w:rsid w:val="006120A9"/>
    <w:rsid w:val="00612C9E"/>
    <w:rsid w:val="00614B06"/>
    <w:rsid w:val="00614DE1"/>
    <w:rsid w:val="006160F6"/>
    <w:rsid w:val="006169D0"/>
    <w:rsid w:val="00616C8F"/>
    <w:rsid w:val="00616EAA"/>
    <w:rsid w:val="00621870"/>
    <w:rsid w:val="00622EAF"/>
    <w:rsid w:val="00623615"/>
    <w:rsid w:val="00626234"/>
    <w:rsid w:val="00627813"/>
    <w:rsid w:val="00633FA7"/>
    <w:rsid w:val="0063436C"/>
    <w:rsid w:val="00643045"/>
    <w:rsid w:val="006437C9"/>
    <w:rsid w:val="00645C78"/>
    <w:rsid w:val="00646470"/>
    <w:rsid w:val="00646570"/>
    <w:rsid w:val="006467A5"/>
    <w:rsid w:val="006467AE"/>
    <w:rsid w:val="0065007F"/>
    <w:rsid w:val="00650EC4"/>
    <w:rsid w:val="00651D15"/>
    <w:rsid w:val="00652426"/>
    <w:rsid w:val="00652D66"/>
    <w:rsid w:val="006530CF"/>
    <w:rsid w:val="00654741"/>
    <w:rsid w:val="0065519A"/>
    <w:rsid w:val="0065793E"/>
    <w:rsid w:val="006620C0"/>
    <w:rsid w:val="00662776"/>
    <w:rsid w:val="006666FB"/>
    <w:rsid w:val="00666994"/>
    <w:rsid w:val="0066748C"/>
    <w:rsid w:val="0066773D"/>
    <w:rsid w:val="00667F67"/>
    <w:rsid w:val="006708E4"/>
    <w:rsid w:val="00670BD0"/>
    <w:rsid w:val="006727BE"/>
    <w:rsid w:val="006733AC"/>
    <w:rsid w:val="00677EB4"/>
    <w:rsid w:val="0068055C"/>
    <w:rsid w:val="00680F34"/>
    <w:rsid w:val="006815B2"/>
    <w:rsid w:val="00681C9F"/>
    <w:rsid w:val="00682060"/>
    <w:rsid w:val="006825D3"/>
    <w:rsid w:val="006826F0"/>
    <w:rsid w:val="00682AC8"/>
    <w:rsid w:val="0068375A"/>
    <w:rsid w:val="0068510B"/>
    <w:rsid w:val="00685570"/>
    <w:rsid w:val="00685E9A"/>
    <w:rsid w:val="00687E71"/>
    <w:rsid w:val="00690343"/>
    <w:rsid w:val="00692DF5"/>
    <w:rsid w:val="0069397B"/>
    <w:rsid w:val="00695848"/>
    <w:rsid w:val="006959B9"/>
    <w:rsid w:val="0069634F"/>
    <w:rsid w:val="006973DA"/>
    <w:rsid w:val="00697D05"/>
    <w:rsid w:val="006A0322"/>
    <w:rsid w:val="006A0C8E"/>
    <w:rsid w:val="006A2572"/>
    <w:rsid w:val="006A45A1"/>
    <w:rsid w:val="006A4E33"/>
    <w:rsid w:val="006A5561"/>
    <w:rsid w:val="006A6791"/>
    <w:rsid w:val="006A6B41"/>
    <w:rsid w:val="006A7FB3"/>
    <w:rsid w:val="006A7FB6"/>
    <w:rsid w:val="006B3179"/>
    <w:rsid w:val="006B3693"/>
    <w:rsid w:val="006B43B6"/>
    <w:rsid w:val="006B55E6"/>
    <w:rsid w:val="006B5F8C"/>
    <w:rsid w:val="006B6634"/>
    <w:rsid w:val="006B728F"/>
    <w:rsid w:val="006B7390"/>
    <w:rsid w:val="006B73C5"/>
    <w:rsid w:val="006B791C"/>
    <w:rsid w:val="006C009C"/>
    <w:rsid w:val="006C1C4A"/>
    <w:rsid w:val="006C34E1"/>
    <w:rsid w:val="006C3CD7"/>
    <w:rsid w:val="006C434D"/>
    <w:rsid w:val="006C5DBB"/>
    <w:rsid w:val="006C5EA7"/>
    <w:rsid w:val="006C752A"/>
    <w:rsid w:val="006C7882"/>
    <w:rsid w:val="006D00F5"/>
    <w:rsid w:val="006D1487"/>
    <w:rsid w:val="006D4E10"/>
    <w:rsid w:val="006D539E"/>
    <w:rsid w:val="006D7AEE"/>
    <w:rsid w:val="006E0F4A"/>
    <w:rsid w:val="006E1B6F"/>
    <w:rsid w:val="006E222F"/>
    <w:rsid w:val="006E280B"/>
    <w:rsid w:val="006E2904"/>
    <w:rsid w:val="006E3610"/>
    <w:rsid w:val="006E3819"/>
    <w:rsid w:val="006E3977"/>
    <w:rsid w:val="006E3EA3"/>
    <w:rsid w:val="006E45EC"/>
    <w:rsid w:val="006E57C3"/>
    <w:rsid w:val="006E5FAB"/>
    <w:rsid w:val="006E6619"/>
    <w:rsid w:val="006E6C7E"/>
    <w:rsid w:val="006F0A22"/>
    <w:rsid w:val="006F19FC"/>
    <w:rsid w:val="006F6F4D"/>
    <w:rsid w:val="006F7134"/>
    <w:rsid w:val="006F72D9"/>
    <w:rsid w:val="006F7D3A"/>
    <w:rsid w:val="00703490"/>
    <w:rsid w:val="007038FE"/>
    <w:rsid w:val="00703934"/>
    <w:rsid w:val="00706597"/>
    <w:rsid w:val="00707B59"/>
    <w:rsid w:val="0071161C"/>
    <w:rsid w:val="007119C7"/>
    <w:rsid w:val="00713216"/>
    <w:rsid w:val="00716115"/>
    <w:rsid w:val="00720DE0"/>
    <w:rsid w:val="00721582"/>
    <w:rsid w:val="007234D6"/>
    <w:rsid w:val="007236E6"/>
    <w:rsid w:val="0072427E"/>
    <w:rsid w:val="007252FD"/>
    <w:rsid w:val="0072782C"/>
    <w:rsid w:val="00730609"/>
    <w:rsid w:val="007313B7"/>
    <w:rsid w:val="00731DA2"/>
    <w:rsid w:val="0073276D"/>
    <w:rsid w:val="00734122"/>
    <w:rsid w:val="00737F15"/>
    <w:rsid w:val="0074082A"/>
    <w:rsid w:val="007423F5"/>
    <w:rsid w:val="00742877"/>
    <w:rsid w:val="0074393D"/>
    <w:rsid w:val="00743991"/>
    <w:rsid w:val="00746AD4"/>
    <w:rsid w:val="00747E4C"/>
    <w:rsid w:val="007515C4"/>
    <w:rsid w:val="007540CC"/>
    <w:rsid w:val="00755A08"/>
    <w:rsid w:val="00755D10"/>
    <w:rsid w:val="00756231"/>
    <w:rsid w:val="00757287"/>
    <w:rsid w:val="00757D3C"/>
    <w:rsid w:val="00761495"/>
    <w:rsid w:val="00762466"/>
    <w:rsid w:val="00764146"/>
    <w:rsid w:val="007646F7"/>
    <w:rsid w:val="007663CC"/>
    <w:rsid w:val="00766C89"/>
    <w:rsid w:val="007673B6"/>
    <w:rsid w:val="007707AA"/>
    <w:rsid w:val="00771D67"/>
    <w:rsid w:val="00774962"/>
    <w:rsid w:val="00780DCA"/>
    <w:rsid w:val="007818C9"/>
    <w:rsid w:val="00782920"/>
    <w:rsid w:val="007865E1"/>
    <w:rsid w:val="007866F2"/>
    <w:rsid w:val="00786C7F"/>
    <w:rsid w:val="00787464"/>
    <w:rsid w:val="0079064A"/>
    <w:rsid w:val="0079221D"/>
    <w:rsid w:val="00794130"/>
    <w:rsid w:val="007A009E"/>
    <w:rsid w:val="007A01F7"/>
    <w:rsid w:val="007A0F8C"/>
    <w:rsid w:val="007A13C0"/>
    <w:rsid w:val="007A4490"/>
    <w:rsid w:val="007A4F56"/>
    <w:rsid w:val="007A5F1C"/>
    <w:rsid w:val="007A7069"/>
    <w:rsid w:val="007A70D1"/>
    <w:rsid w:val="007A72A6"/>
    <w:rsid w:val="007A7526"/>
    <w:rsid w:val="007B153E"/>
    <w:rsid w:val="007B283B"/>
    <w:rsid w:val="007B2F12"/>
    <w:rsid w:val="007B6900"/>
    <w:rsid w:val="007B7884"/>
    <w:rsid w:val="007C0294"/>
    <w:rsid w:val="007C12CC"/>
    <w:rsid w:val="007C1322"/>
    <w:rsid w:val="007C3B0F"/>
    <w:rsid w:val="007C4432"/>
    <w:rsid w:val="007C563E"/>
    <w:rsid w:val="007C58F6"/>
    <w:rsid w:val="007C6221"/>
    <w:rsid w:val="007C74F4"/>
    <w:rsid w:val="007C7A1B"/>
    <w:rsid w:val="007D1073"/>
    <w:rsid w:val="007D25A6"/>
    <w:rsid w:val="007D425A"/>
    <w:rsid w:val="007D45A9"/>
    <w:rsid w:val="007D5A19"/>
    <w:rsid w:val="007D6A14"/>
    <w:rsid w:val="007E193D"/>
    <w:rsid w:val="007E31A6"/>
    <w:rsid w:val="007E37B8"/>
    <w:rsid w:val="007E4F90"/>
    <w:rsid w:val="007E79B1"/>
    <w:rsid w:val="007F00ED"/>
    <w:rsid w:val="007F25C1"/>
    <w:rsid w:val="007F5FAD"/>
    <w:rsid w:val="007F620C"/>
    <w:rsid w:val="007F66EC"/>
    <w:rsid w:val="007F6CB0"/>
    <w:rsid w:val="008004E8"/>
    <w:rsid w:val="00800BB6"/>
    <w:rsid w:val="00800BE0"/>
    <w:rsid w:val="00801B05"/>
    <w:rsid w:val="008025D3"/>
    <w:rsid w:val="00803005"/>
    <w:rsid w:val="0080329A"/>
    <w:rsid w:val="00803799"/>
    <w:rsid w:val="0080744E"/>
    <w:rsid w:val="00807A32"/>
    <w:rsid w:val="00807BB1"/>
    <w:rsid w:val="008102C8"/>
    <w:rsid w:val="008127C3"/>
    <w:rsid w:val="00813B77"/>
    <w:rsid w:val="0081715B"/>
    <w:rsid w:val="00817D26"/>
    <w:rsid w:val="00821A14"/>
    <w:rsid w:val="00825C03"/>
    <w:rsid w:val="008266FA"/>
    <w:rsid w:val="0082752B"/>
    <w:rsid w:val="00830484"/>
    <w:rsid w:val="00830A98"/>
    <w:rsid w:val="0083100F"/>
    <w:rsid w:val="00831330"/>
    <w:rsid w:val="00831AF4"/>
    <w:rsid w:val="008373DB"/>
    <w:rsid w:val="00840D1C"/>
    <w:rsid w:val="00841290"/>
    <w:rsid w:val="00841CA6"/>
    <w:rsid w:val="008425B7"/>
    <w:rsid w:val="00842BE8"/>
    <w:rsid w:val="008431CE"/>
    <w:rsid w:val="00845524"/>
    <w:rsid w:val="00847236"/>
    <w:rsid w:val="008510BC"/>
    <w:rsid w:val="0085131C"/>
    <w:rsid w:val="00851335"/>
    <w:rsid w:val="00851D92"/>
    <w:rsid w:val="00852E08"/>
    <w:rsid w:val="00854F3C"/>
    <w:rsid w:val="00857EA5"/>
    <w:rsid w:val="0086048E"/>
    <w:rsid w:val="0086190B"/>
    <w:rsid w:val="0086322E"/>
    <w:rsid w:val="00864CF5"/>
    <w:rsid w:val="00865C33"/>
    <w:rsid w:val="0087069A"/>
    <w:rsid w:val="00870D3F"/>
    <w:rsid w:val="0087135D"/>
    <w:rsid w:val="00873AD3"/>
    <w:rsid w:val="00874451"/>
    <w:rsid w:val="00875714"/>
    <w:rsid w:val="008771C5"/>
    <w:rsid w:val="008834FA"/>
    <w:rsid w:val="00884F4B"/>
    <w:rsid w:val="00887A37"/>
    <w:rsid w:val="008944AF"/>
    <w:rsid w:val="0089587E"/>
    <w:rsid w:val="008970D5"/>
    <w:rsid w:val="008A0734"/>
    <w:rsid w:val="008A4078"/>
    <w:rsid w:val="008A4D8F"/>
    <w:rsid w:val="008A773B"/>
    <w:rsid w:val="008A773E"/>
    <w:rsid w:val="008B0085"/>
    <w:rsid w:val="008B0F81"/>
    <w:rsid w:val="008B2B51"/>
    <w:rsid w:val="008B346E"/>
    <w:rsid w:val="008B4E2A"/>
    <w:rsid w:val="008B5136"/>
    <w:rsid w:val="008B68FD"/>
    <w:rsid w:val="008C1831"/>
    <w:rsid w:val="008C2AE5"/>
    <w:rsid w:val="008C2E09"/>
    <w:rsid w:val="008C32D0"/>
    <w:rsid w:val="008C3677"/>
    <w:rsid w:val="008C3970"/>
    <w:rsid w:val="008C48F8"/>
    <w:rsid w:val="008C5BEC"/>
    <w:rsid w:val="008C74E6"/>
    <w:rsid w:val="008D11B3"/>
    <w:rsid w:val="008D3C61"/>
    <w:rsid w:val="008D6485"/>
    <w:rsid w:val="008D706D"/>
    <w:rsid w:val="008D7542"/>
    <w:rsid w:val="008E1ADA"/>
    <w:rsid w:val="008E1C35"/>
    <w:rsid w:val="008E2427"/>
    <w:rsid w:val="008E3C69"/>
    <w:rsid w:val="008E46ED"/>
    <w:rsid w:val="008E512D"/>
    <w:rsid w:val="008E5891"/>
    <w:rsid w:val="008E5F09"/>
    <w:rsid w:val="008F1C1A"/>
    <w:rsid w:val="008F1DDA"/>
    <w:rsid w:val="008F2063"/>
    <w:rsid w:val="008F39B8"/>
    <w:rsid w:val="008F4222"/>
    <w:rsid w:val="008F6979"/>
    <w:rsid w:val="0090101B"/>
    <w:rsid w:val="00901748"/>
    <w:rsid w:val="009018E5"/>
    <w:rsid w:val="00901C1E"/>
    <w:rsid w:val="00902CF4"/>
    <w:rsid w:val="0090478A"/>
    <w:rsid w:val="00904E21"/>
    <w:rsid w:val="009056D3"/>
    <w:rsid w:val="00905841"/>
    <w:rsid w:val="00907D77"/>
    <w:rsid w:val="00910778"/>
    <w:rsid w:val="00910F99"/>
    <w:rsid w:val="00916557"/>
    <w:rsid w:val="00916B28"/>
    <w:rsid w:val="00920A89"/>
    <w:rsid w:val="00921F6C"/>
    <w:rsid w:val="0092358B"/>
    <w:rsid w:val="009235E0"/>
    <w:rsid w:val="009247C4"/>
    <w:rsid w:val="00924A8B"/>
    <w:rsid w:val="00924F80"/>
    <w:rsid w:val="0092521F"/>
    <w:rsid w:val="00926E97"/>
    <w:rsid w:val="0092700A"/>
    <w:rsid w:val="00927144"/>
    <w:rsid w:val="009306D2"/>
    <w:rsid w:val="00933D99"/>
    <w:rsid w:val="009346ED"/>
    <w:rsid w:val="00935053"/>
    <w:rsid w:val="0093790A"/>
    <w:rsid w:val="00945A9B"/>
    <w:rsid w:val="00947548"/>
    <w:rsid w:val="009528ED"/>
    <w:rsid w:val="00952B22"/>
    <w:rsid w:val="00954F7F"/>
    <w:rsid w:val="009551C7"/>
    <w:rsid w:val="00956519"/>
    <w:rsid w:val="009618EC"/>
    <w:rsid w:val="00961BBD"/>
    <w:rsid w:val="00962308"/>
    <w:rsid w:val="0096295D"/>
    <w:rsid w:val="00964086"/>
    <w:rsid w:val="00964479"/>
    <w:rsid w:val="00966399"/>
    <w:rsid w:val="00970924"/>
    <w:rsid w:val="009717A5"/>
    <w:rsid w:val="0097195D"/>
    <w:rsid w:val="009721A4"/>
    <w:rsid w:val="009752EE"/>
    <w:rsid w:val="00976204"/>
    <w:rsid w:val="00982994"/>
    <w:rsid w:val="00984E58"/>
    <w:rsid w:val="0098561A"/>
    <w:rsid w:val="0098675D"/>
    <w:rsid w:val="009875D7"/>
    <w:rsid w:val="00990E2B"/>
    <w:rsid w:val="00993E2E"/>
    <w:rsid w:val="0099514C"/>
    <w:rsid w:val="00995594"/>
    <w:rsid w:val="00996CE3"/>
    <w:rsid w:val="009A07C7"/>
    <w:rsid w:val="009A0958"/>
    <w:rsid w:val="009A1FE1"/>
    <w:rsid w:val="009A20D0"/>
    <w:rsid w:val="009A4BD5"/>
    <w:rsid w:val="009A5259"/>
    <w:rsid w:val="009A6CC8"/>
    <w:rsid w:val="009B38F6"/>
    <w:rsid w:val="009B5022"/>
    <w:rsid w:val="009C17E0"/>
    <w:rsid w:val="009C2134"/>
    <w:rsid w:val="009C21A8"/>
    <w:rsid w:val="009C3988"/>
    <w:rsid w:val="009C3CAF"/>
    <w:rsid w:val="009D004A"/>
    <w:rsid w:val="009D0197"/>
    <w:rsid w:val="009D19AE"/>
    <w:rsid w:val="009D1A19"/>
    <w:rsid w:val="009D2109"/>
    <w:rsid w:val="009D2805"/>
    <w:rsid w:val="009D3609"/>
    <w:rsid w:val="009D5637"/>
    <w:rsid w:val="009D6A24"/>
    <w:rsid w:val="009D7994"/>
    <w:rsid w:val="009E3963"/>
    <w:rsid w:val="009E46B1"/>
    <w:rsid w:val="009E7668"/>
    <w:rsid w:val="009E7AD9"/>
    <w:rsid w:val="009E7F81"/>
    <w:rsid w:val="009F1FFE"/>
    <w:rsid w:val="009F25D1"/>
    <w:rsid w:val="009F31B2"/>
    <w:rsid w:val="009F60DF"/>
    <w:rsid w:val="00A04DCF"/>
    <w:rsid w:val="00A066BF"/>
    <w:rsid w:val="00A075EF"/>
    <w:rsid w:val="00A100BF"/>
    <w:rsid w:val="00A107A2"/>
    <w:rsid w:val="00A1253B"/>
    <w:rsid w:val="00A130E7"/>
    <w:rsid w:val="00A14150"/>
    <w:rsid w:val="00A17860"/>
    <w:rsid w:val="00A21609"/>
    <w:rsid w:val="00A227B0"/>
    <w:rsid w:val="00A25B97"/>
    <w:rsid w:val="00A3179E"/>
    <w:rsid w:val="00A33051"/>
    <w:rsid w:val="00A331CA"/>
    <w:rsid w:val="00A33805"/>
    <w:rsid w:val="00A33AFF"/>
    <w:rsid w:val="00A347D9"/>
    <w:rsid w:val="00A34AB7"/>
    <w:rsid w:val="00A34DB9"/>
    <w:rsid w:val="00A3546D"/>
    <w:rsid w:val="00A35DEB"/>
    <w:rsid w:val="00A365D7"/>
    <w:rsid w:val="00A36E24"/>
    <w:rsid w:val="00A3731C"/>
    <w:rsid w:val="00A3757E"/>
    <w:rsid w:val="00A40262"/>
    <w:rsid w:val="00A40BCF"/>
    <w:rsid w:val="00A450A0"/>
    <w:rsid w:val="00A46D08"/>
    <w:rsid w:val="00A47CB3"/>
    <w:rsid w:val="00A51A79"/>
    <w:rsid w:val="00A52119"/>
    <w:rsid w:val="00A53021"/>
    <w:rsid w:val="00A5530F"/>
    <w:rsid w:val="00A5544C"/>
    <w:rsid w:val="00A55909"/>
    <w:rsid w:val="00A6271C"/>
    <w:rsid w:val="00A65E47"/>
    <w:rsid w:val="00A667F0"/>
    <w:rsid w:val="00A67908"/>
    <w:rsid w:val="00A708C8"/>
    <w:rsid w:val="00A7183A"/>
    <w:rsid w:val="00A71F21"/>
    <w:rsid w:val="00A71F44"/>
    <w:rsid w:val="00A71F5A"/>
    <w:rsid w:val="00A72A33"/>
    <w:rsid w:val="00A7376A"/>
    <w:rsid w:val="00A737B7"/>
    <w:rsid w:val="00A77774"/>
    <w:rsid w:val="00A80B2E"/>
    <w:rsid w:val="00A825FB"/>
    <w:rsid w:val="00A83208"/>
    <w:rsid w:val="00A8489E"/>
    <w:rsid w:val="00A85309"/>
    <w:rsid w:val="00A858C3"/>
    <w:rsid w:val="00A87F68"/>
    <w:rsid w:val="00A92951"/>
    <w:rsid w:val="00A94B75"/>
    <w:rsid w:val="00A96BEE"/>
    <w:rsid w:val="00A97EBF"/>
    <w:rsid w:val="00AA04F9"/>
    <w:rsid w:val="00AA0F1D"/>
    <w:rsid w:val="00AA13B3"/>
    <w:rsid w:val="00AA191D"/>
    <w:rsid w:val="00AA1DCF"/>
    <w:rsid w:val="00AA2E6B"/>
    <w:rsid w:val="00AA7C7C"/>
    <w:rsid w:val="00AB56FB"/>
    <w:rsid w:val="00AB57DC"/>
    <w:rsid w:val="00AB5A01"/>
    <w:rsid w:val="00AB6EB6"/>
    <w:rsid w:val="00AC06D3"/>
    <w:rsid w:val="00AC1DC4"/>
    <w:rsid w:val="00AC2EB2"/>
    <w:rsid w:val="00AC301A"/>
    <w:rsid w:val="00AC3246"/>
    <w:rsid w:val="00AC3317"/>
    <w:rsid w:val="00AC35D7"/>
    <w:rsid w:val="00AC4F12"/>
    <w:rsid w:val="00AC5315"/>
    <w:rsid w:val="00AC611F"/>
    <w:rsid w:val="00AC6B73"/>
    <w:rsid w:val="00AC6F1A"/>
    <w:rsid w:val="00AD0276"/>
    <w:rsid w:val="00AD192B"/>
    <w:rsid w:val="00AD28CD"/>
    <w:rsid w:val="00AD438F"/>
    <w:rsid w:val="00AD7006"/>
    <w:rsid w:val="00AD7780"/>
    <w:rsid w:val="00AE02D5"/>
    <w:rsid w:val="00AE0937"/>
    <w:rsid w:val="00AE0A4F"/>
    <w:rsid w:val="00AE2347"/>
    <w:rsid w:val="00AE32A1"/>
    <w:rsid w:val="00AE4129"/>
    <w:rsid w:val="00AE529B"/>
    <w:rsid w:val="00AE6F79"/>
    <w:rsid w:val="00AF02AD"/>
    <w:rsid w:val="00AF1883"/>
    <w:rsid w:val="00AF7313"/>
    <w:rsid w:val="00B00943"/>
    <w:rsid w:val="00B00AA8"/>
    <w:rsid w:val="00B01D46"/>
    <w:rsid w:val="00B03EA2"/>
    <w:rsid w:val="00B03F3C"/>
    <w:rsid w:val="00B04E09"/>
    <w:rsid w:val="00B0539A"/>
    <w:rsid w:val="00B05431"/>
    <w:rsid w:val="00B06E7A"/>
    <w:rsid w:val="00B075E9"/>
    <w:rsid w:val="00B11B8D"/>
    <w:rsid w:val="00B12950"/>
    <w:rsid w:val="00B13F07"/>
    <w:rsid w:val="00B14EA7"/>
    <w:rsid w:val="00B154C8"/>
    <w:rsid w:val="00B21AC2"/>
    <w:rsid w:val="00B21BC8"/>
    <w:rsid w:val="00B23AF1"/>
    <w:rsid w:val="00B26143"/>
    <w:rsid w:val="00B26B85"/>
    <w:rsid w:val="00B30115"/>
    <w:rsid w:val="00B329DF"/>
    <w:rsid w:val="00B34A5D"/>
    <w:rsid w:val="00B361A5"/>
    <w:rsid w:val="00B36583"/>
    <w:rsid w:val="00B372DE"/>
    <w:rsid w:val="00B4292D"/>
    <w:rsid w:val="00B42D14"/>
    <w:rsid w:val="00B47C98"/>
    <w:rsid w:val="00B47E5F"/>
    <w:rsid w:val="00B5583D"/>
    <w:rsid w:val="00B56946"/>
    <w:rsid w:val="00B57119"/>
    <w:rsid w:val="00B60727"/>
    <w:rsid w:val="00B64DE9"/>
    <w:rsid w:val="00B65206"/>
    <w:rsid w:val="00B66D3D"/>
    <w:rsid w:val="00B71560"/>
    <w:rsid w:val="00B71E95"/>
    <w:rsid w:val="00B73B7D"/>
    <w:rsid w:val="00B7599E"/>
    <w:rsid w:val="00B805B7"/>
    <w:rsid w:val="00B80DFC"/>
    <w:rsid w:val="00B80EDE"/>
    <w:rsid w:val="00B81556"/>
    <w:rsid w:val="00B84254"/>
    <w:rsid w:val="00B859B8"/>
    <w:rsid w:val="00B87988"/>
    <w:rsid w:val="00B87B37"/>
    <w:rsid w:val="00B90574"/>
    <w:rsid w:val="00B90CBD"/>
    <w:rsid w:val="00B92E98"/>
    <w:rsid w:val="00B9529C"/>
    <w:rsid w:val="00B9543F"/>
    <w:rsid w:val="00B9553B"/>
    <w:rsid w:val="00BA3397"/>
    <w:rsid w:val="00BA3CA3"/>
    <w:rsid w:val="00BA3D2D"/>
    <w:rsid w:val="00BA7DC3"/>
    <w:rsid w:val="00BA7DE8"/>
    <w:rsid w:val="00BB161B"/>
    <w:rsid w:val="00BB3ECA"/>
    <w:rsid w:val="00BB471C"/>
    <w:rsid w:val="00BB4988"/>
    <w:rsid w:val="00BB573B"/>
    <w:rsid w:val="00BB5D41"/>
    <w:rsid w:val="00BB61E6"/>
    <w:rsid w:val="00BB6415"/>
    <w:rsid w:val="00BB64A1"/>
    <w:rsid w:val="00BB767C"/>
    <w:rsid w:val="00BC1890"/>
    <w:rsid w:val="00BC229A"/>
    <w:rsid w:val="00BC5C4C"/>
    <w:rsid w:val="00BC6B83"/>
    <w:rsid w:val="00BC6DAD"/>
    <w:rsid w:val="00BD00D8"/>
    <w:rsid w:val="00BD2189"/>
    <w:rsid w:val="00BD25AF"/>
    <w:rsid w:val="00BD40F4"/>
    <w:rsid w:val="00BD5592"/>
    <w:rsid w:val="00BD6381"/>
    <w:rsid w:val="00BD7565"/>
    <w:rsid w:val="00BE174B"/>
    <w:rsid w:val="00BE1798"/>
    <w:rsid w:val="00BE26DA"/>
    <w:rsid w:val="00BE53FC"/>
    <w:rsid w:val="00BE5860"/>
    <w:rsid w:val="00BF15BA"/>
    <w:rsid w:val="00BF3D62"/>
    <w:rsid w:val="00BF5678"/>
    <w:rsid w:val="00BF6518"/>
    <w:rsid w:val="00BF7568"/>
    <w:rsid w:val="00BF7D33"/>
    <w:rsid w:val="00BF7FC6"/>
    <w:rsid w:val="00C01DA2"/>
    <w:rsid w:val="00C03A52"/>
    <w:rsid w:val="00C03FE1"/>
    <w:rsid w:val="00C048B1"/>
    <w:rsid w:val="00C0539B"/>
    <w:rsid w:val="00C056EE"/>
    <w:rsid w:val="00C05C8D"/>
    <w:rsid w:val="00C117A2"/>
    <w:rsid w:val="00C15341"/>
    <w:rsid w:val="00C16AF9"/>
    <w:rsid w:val="00C20E1F"/>
    <w:rsid w:val="00C215E3"/>
    <w:rsid w:val="00C26270"/>
    <w:rsid w:val="00C30E92"/>
    <w:rsid w:val="00C34221"/>
    <w:rsid w:val="00C37429"/>
    <w:rsid w:val="00C406BA"/>
    <w:rsid w:val="00C411E5"/>
    <w:rsid w:val="00C43F1C"/>
    <w:rsid w:val="00C452B7"/>
    <w:rsid w:val="00C45A12"/>
    <w:rsid w:val="00C46DC8"/>
    <w:rsid w:val="00C5118A"/>
    <w:rsid w:val="00C51F56"/>
    <w:rsid w:val="00C5216B"/>
    <w:rsid w:val="00C5374F"/>
    <w:rsid w:val="00C53BA5"/>
    <w:rsid w:val="00C53E7F"/>
    <w:rsid w:val="00C53F5E"/>
    <w:rsid w:val="00C566A8"/>
    <w:rsid w:val="00C56C4B"/>
    <w:rsid w:val="00C57C53"/>
    <w:rsid w:val="00C60BB5"/>
    <w:rsid w:val="00C613F7"/>
    <w:rsid w:val="00C62FBC"/>
    <w:rsid w:val="00C630C0"/>
    <w:rsid w:val="00C65BAC"/>
    <w:rsid w:val="00C65FAA"/>
    <w:rsid w:val="00C66CC2"/>
    <w:rsid w:val="00C70023"/>
    <w:rsid w:val="00C70E10"/>
    <w:rsid w:val="00C7317A"/>
    <w:rsid w:val="00C7443C"/>
    <w:rsid w:val="00C74A60"/>
    <w:rsid w:val="00C77B4B"/>
    <w:rsid w:val="00C77FD7"/>
    <w:rsid w:val="00C81ECD"/>
    <w:rsid w:val="00C84EF2"/>
    <w:rsid w:val="00C8530A"/>
    <w:rsid w:val="00C87CFF"/>
    <w:rsid w:val="00C91EEF"/>
    <w:rsid w:val="00C92B04"/>
    <w:rsid w:val="00C93302"/>
    <w:rsid w:val="00C96476"/>
    <w:rsid w:val="00C966E5"/>
    <w:rsid w:val="00C97D01"/>
    <w:rsid w:val="00C97F09"/>
    <w:rsid w:val="00CA1D22"/>
    <w:rsid w:val="00CA71E8"/>
    <w:rsid w:val="00CB0A51"/>
    <w:rsid w:val="00CB53CC"/>
    <w:rsid w:val="00CB596F"/>
    <w:rsid w:val="00CC02B6"/>
    <w:rsid w:val="00CC0515"/>
    <w:rsid w:val="00CC1EDA"/>
    <w:rsid w:val="00CC218A"/>
    <w:rsid w:val="00CC2EDE"/>
    <w:rsid w:val="00CC4394"/>
    <w:rsid w:val="00CC44AE"/>
    <w:rsid w:val="00CC5671"/>
    <w:rsid w:val="00CC68F4"/>
    <w:rsid w:val="00CD1D5D"/>
    <w:rsid w:val="00CD1E58"/>
    <w:rsid w:val="00CD3365"/>
    <w:rsid w:val="00CD41B0"/>
    <w:rsid w:val="00CD471E"/>
    <w:rsid w:val="00CD482D"/>
    <w:rsid w:val="00CD4EE2"/>
    <w:rsid w:val="00CD695D"/>
    <w:rsid w:val="00CD7A14"/>
    <w:rsid w:val="00CE07E6"/>
    <w:rsid w:val="00CE1BD9"/>
    <w:rsid w:val="00CE1E6D"/>
    <w:rsid w:val="00CE2561"/>
    <w:rsid w:val="00CE2B99"/>
    <w:rsid w:val="00CE2FCF"/>
    <w:rsid w:val="00CE318F"/>
    <w:rsid w:val="00CE48ED"/>
    <w:rsid w:val="00CE6C4B"/>
    <w:rsid w:val="00CF0797"/>
    <w:rsid w:val="00CF36D8"/>
    <w:rsid w:val="00CF46D5"/>
    <w:rsid w:val="00CF6803"/>
    <w:rsid w:val="00CF7710"/>
    <w:rsid w:val="00CF7ADB"/>
    <w:rsid w:val="00D0033D"/>
    <w:rsid w:val="00D006B0"/>
    <w:rsid w:val="00D00BE4"/>
    <w:rsid w:val="00D02560"/>
    <w:rsid w:val="00D03EEB"/>
    <w:rsid w:val="00D04121"/>
    <w:rsid w:val="00D111BB"/>
    <w:rsid w:val="00D12F06"/>
    <w:rsid w:val="00D155CF"/>
    <w:rsid w:val="00D170E0"/>
    <w:rsid w:val="00D20BE7"/>
    <w:rsid w:val="00D229F0"/>
    <w:rsid w:val="00D23291"/>
    <w:rsid w:val="00D24B67"/>
    <w:rsid w:val="00D25C54"/>
    <w:rsid w:val="00D3160B"/>
    <w:rsid w:val="00D32F80"/>
    <w:rsid w:val="00D338D3"/>
    <w:rsid w:val="00D33F03"/>
    <w:rsid w:val="00D360C6"/>
    <w:rsid w:val="00D365C0"/>
    <w:rsid w:val="00D40B36"/>
    <w:rsid w:val="00D40B48"/>
    <w:rsid w:val="00D42D0E"/>
    <w:rsid w:val="00D42E1F"/>
    <w:rsid w:val="00D445DC"/>
    <w:rsid w:val="00D45287"/>
    <w:rsid w:val="00D4573D"/>
    <w:rsid w:val="00D46EEB"/>
    <w:rsid w:val="00D475F2"/>
    <w:rsid w:val="00D4768A"/>
    <w:rsid w:val="00D5094C"/>
    <w:rsid w:val="00D519FF"/>
    <w:rsid w:val="00D5274E"/>
    <w:rsid w:val="00D53693"/>
    <w:rsid w:val="00D537A9"/>
    <w:rsid w:val="00D547AC"/>
    <w:rsid w:val="00D5490A"/>
    <w:rsid w:val="00D55561"/>
    <w:rsid w:val="00D557A0"/>
    <w:rsid w:val="00D5609C"/>
    <w:rsid w:val="00D6045B"/>
    <w:rsid w:val="00D60A82"/>
    <w:rsid w:val="00D61169"/>
    <w:rsid w:val="00D61F43"/>
    <w:rsid w:val="00D63F07"/>
    <w:rsid w:val="00D64252"/>
    <w:rsid w:val="00D664D5"/>
    <w:rsid w:val="00D66C0A"/>
    <w:rsid w:val="00D67F8F"/>
    <w:rsid w:val="00D7104E"/>
    <w:rsid w:val="00D72E5B"/>
    <w:rsid w:val="00D745C3"/>
    <w:rsid w:val="00D759B5"/>
    <w:rsid w:val="00D76FB8"/>
    <w:rsid w:val="00D8053D"/>
    <w:rsid w:val="00D8103F"/>
    <w:rsid w:val="00D828CE"/>
    <w:rsid w:val="00D85C6B"/>
    <w:rsid w:val="00D90CAD"/>
    <w:rsid w:val="00D92A5C"/>
    <w:rsid w:val="00D93747"/>
    <w:rsid w:val="00D93C60"/>
    <w:rsid w:val="00D93FCC"/>
    <w:rsid w:val="00D944F3"/>
    <w:rsid w:val="00D97010"/>
    <w:rsid w:val="00DA2236"/>
    <w:rsid w:val="00DA2485"/>
    <w:rsid w:val="00DA3338"/>
    <w:rsid w:val="00DA4D00"/>
    <w:rsid w:val="00DA603B"/>
    <w:rsid w:val="00DB1C75"/>
    <w:rsid w:val="00DB24E8"/>
    <w:rsid w:val="00DB307A"/>
    <w:rsid w:val="00DB472C"/>
    <w:rsid w:val="00DB4DA3"/>
    <w:rsid w:val="00DB70C2"/>
    <w:rsid w:val="00DC1D5F"/>
    <w:rsid w:val="00DC1FAD"/>
    <w:rsid w:val="00DC20F9"/>
    <w:rsid w:val="00DC46A3"/>
    <w:rsid w:val="00DC56ED"/>
    <w:rsid w:val="00DC6B89"/>
    <w:rsid w:val="00DC7F24"/>
    <w:rsid w:val="00DD36FD"/>
    <w:rsid w:val="00DD6E27"/>
    <w:rsid w:val="00DE28C4"/>
    <w:rsid w:val="00DE29A8"/>
    <w:rsid w:val="00DE32AE"/>
    <w:rsid w:val="00DE4225"/>
    <w:rsid w:val="00DE7A57"/>
    <w:rsid w:val="00DE7C1A"/>
    <w:rsid w:val="00DF1747"/>
    <w:rsid w:val="00DF43EA"/>
    <w:rsid w:val="00DF5FB1"/>
    <w:rsid w:val="00DF781B"/>
    <w:rsid w:val="00E0008B"/>
    <w:rsid w:val="00E009F3"/>
    <w:rsid w:val="00E00DDC"/>
    <w:rsid w:val="00E01FA7"/>
    <w:rsid w:val="00E039F6"/>
    <w:rsid w:val="00E0432C"/>
    <w:rsid w:val="00E048E5"/>
    <w:rsid w:val="00E0593A"/>
    <w:rsid w:val="00E06831"/>
    <w:rsid w:val="00E07B26"/>
    <w:rsid w:val="00E07F21"/>
    <w:rsid w:val="00E10044"/>
    <w:rsid w:val="00E1039C"/>
    <w:rsid w:val="00E11B1B"/>
    <w:rsid w:val="00E12E23"/>
    <w:rsid w:val="00E13548"/>
    <w:rsid w:val="00E13FA0"/>
    <w:rsid w:val="00E13FB6"/>
    <w:rsid w:val="00E1487A"/>
    <w:rsid w:val="00E14903"/>
    <w:rsid w:val="00E16DAB"/>
    <w:rsid w:val="00E179A4"/>
    <w:rsid w:val="00E17D3B"/>
    <w:rsid w:val="00E2006D"/>
    <w:rsid w:val="00E2326F"/>
    <w:rsid w:val="00E23AAC"/>
    <w:rsid w:val="00E24432"/>
    <w:rsid w:val="00E254CB"/>
    <w:rsid w:val="00E25815"/>
    <w:rsid w:val="00E26F1D"/>
    <w:rsid w:val="00E3140F"/>
    <w:rsid w:val="00E31A51"/>
    <w:rsid w:val="00E31A7B"/>
    <w:rsid w:val="00E322A9"/>
    <w:rsid w:val="00E3275C"/>
    <w:rsid w:val="00E32769"/>
    <w:rsid w:val="00E33021"/>
    <w:rsid w:val="00E33342"/>
    <w:rsid w:val="00E3344C"/>
    <w:rsid w:val="00E35CC1"/>
    <w:rsid w:val="00E35E7C"/>
    <w:rsid w:val="00E42958"/>
    <w:rsid w:val="00E42B06"/>
    <w:rsid w:val="00E43C88"/>
    <w:rsid w:val="00E43E75"/>
    <w:rsid w:val="00E45060"/>
    <w:rsid w:val="00E47625"/>
    <w:rsid w:val="00E503C0"/>
    <w:rsid w:val="00E52A52"/>
    <w:rsid w:val="00E52AE7"/>
    <w:rsid w:val="00E53C5F"/>
    <w:rsid w:val="00E543F8"/>
    <w:rsid w:val="00E54438"/>
    <w:rsid w:val="00E55DD8"/>
    <w:rsid w:val="00E55F86"/>
    <w:rsid w:val="00E57570"/>
    <w:rsid w:val="00E57F4D"/>
    <w:rsid w:val="00E57FDC"/>
    <w:rsid w:val="00E600D2"/>
    <w:rsid w:val="00E60ED6"/>
    <w:rsid w:val="00E611C6"/>
    <w:rsid w:val="00E62037"/>
    <w:rsid w:val="00E65027"/>
    <w:rsid w:val="00E65773"/>
    <w:rsid w:val="00E65A5A"/>
    <w:rsid w:val="00E66970"/>
    <w:rsid w:val="00E6717F"/>
    <w:rsid w:val="00E6719F"/>
    <w:rsid w:val="00E71A4E"/>
    <w:rsid w:val="00E72946"/>
    <w:rsid w:val="00E730DD"/>
    <w:rsid w:val="00E74DC2"/>
    <w:rsid w:val="00E757E9"/>
    <w:rsid w:val="00E7593F"/>
    <w:rsid w:val="00E768F9"/>
    <w:rsid w:val="00E76AC1"/>
    <w:rsid w:val="00E771B0"/>
    <w:rsid w:val="00E77F8A"/>
    <w:rsid w:val="00E829CB"/>
    <w:rsid w:val="00E83971"/>
    <w:rsid w:val="00E8554D"/>
    <w:rsid w:val="00E859F8"/>
    <w:rsid w:val="00E86422"/>
    <w:rsid w:val="00E87AD1"/>
    <w:rsid w:val="00E87C9B"/>
    <w:rsid w:val="00E9018A"/>
    <w:rsid w:val="00E90CCC"/>
    <w:rsid w:val="00E9134C"/>
    <w:rsid w:val="00E91731"/>
    <w:rsid w:val="00E93090"/>
    <w:rsid w:val="00E93C34"/>
    <w:rsid w:val="00E93D2D"/>
    <w:rsid w:val="00E97AD2"/>
    <w:rsid w:val="00EA0C5A"/>
    <w:rsid w:val="00EA2291"/>
    <w:rsid w:val="00EA2450"/>
    <w:rsid w:val="00EA2BCA"/>
    <w:rsid w:val="00EA2C71"/>
    <w:rsid w:val="00EA4EED"/>
    <w:rsid w:val="00EA60DD"/>
    <w:rsid w:val="00EA7215"/>
    <w:rsid w:val="00EA76A4"/>
    <w:rsid w:val="00EA7E56"/>
    <w:rsid w:val="00EB021E"/>
    <w:rsid w:val="00EB0C4B"/>
    <w:rsid w:val="00EB0E52"/>
    <w:rsid w:val="00EB0FC5"/>
    <w:rsid w:val="00EB1F77"/>
    <w:rsid w:val="00EB7927"/>
    <w:rsid w:val="00EC0D2F"/>
    <w:rsid w:val="00EC63A7"/>
    <w:rsid w:val="00ED0D35"/>
    <w:rsid w:val="00ED0E9C"/>
    <w:rsid w:val="00ED1E20"/>
    <w:rsid w:val="00ED1EBA"/>
    <w:rsid w:val="00ED2FB9"/>
    <w:rsid w:val="00ED4D48"/>
    <w:rsid w:val="00ED6DC5"/>
    <w:rsid w:val="00ED70B4"/>
    <w:rsid w:val="00EE2DA4"/>
    <w:rsid w:val="00EE4005"/>
    <w:rsid w:val="00EE4C19"/>
    <w:rsid w:val="00EE6433"/>
    <w:rsid w:val="00EE6812"/>
    <w:rsid w:val="00EE7DDF"/>
    <w:rsid w:val="00EF171D"/>
    <w:rsid w:val="00EF19BF"/>
    <w:rsid w:val="00EF23AC"/>
    <w:rsid w:val="00EF2B6F"/>
    <w:rsid w:val="00EF36DF"/>
    <w:rsid w:val="00EF65C0"/>
    <w:rsid w:val="00EF6AC5"/>
    <w:rsid w:val="00EF7534"/>
    <w:rsid w:val="00EF7B68"/>
    <w:rsid w:val="00F00972"/>
    <w:rsid w:val="00F03CD9"/>
    <w:rsid w:val="00F03DBA"/>
    <w:rsid w:val="00F04E06"/>
    <w:rsid w:val="00F05511"/>
    <w:rsid w:val="00F06C75"/>
    <w:rsid w:val="00F0715F"/>
    <w:rsid w:val="00F071CD"/>
    <w:rsid w:val="00F1067B"/>
    <w:rsid w:val="00F10C7F"/>
    <w:rsid w:val="00F11827"/>
    <w:rsid w:val="00F124CD"/>
    <w:rsid w:val="00F127FE"/>
    <w:rsid w:val="00F14DB7"/>
    <w:rsid w:val="00F14F6E"/>
    <w:rsid w:val="00F21AB5"/>
    <w:rsid w:val="00F22ED1"/>
    <w:rsid w:val="00F24866"/>
    <w:rsid w:val="00F2667A"/>
    <w:rsid w:val="00F30258"/>
    <w:rsid w:val="00F315C5"/>
    <w:rsid w:val="00F32B6C"/>
    <w:rsid w:val="00F407D9"/>
    <w:rsid w:val="00F41844"/>
    <w:rsid w:val="00F41E24"/>
    <w:rsid w:val="00F44ADA"/>
    <w:rsid w:val="00F44C08"/>
    <w:rsid w:val="00F45A66"/>
    <w:rsid w:val="00F47A5A"/>
    <w:rsid w:val="00F504AD"/>
    <w:rsid w:val="00F52B82"/>
    <w:rsid w:val="00F54EDC"/>
    <w:rsid w:val="00F60526"/>
    <w:rsid w:val="00F6130E"/>
    <w:rsid w:val="00F61897"/>
    <w:rsid w:val="00F61EE2"/>
    <w:rsid w:val="00F65354"/>
    <w:rsid w:val="00F65C61"/>
    <w:rsid w:val="00F66421"/>
    <w:rsid w:val="00F66635"/>
    <w:rsid w:val="00F717C7"/>
    <w:rsid w:val="00F72551"/>
    <w:rsid w:val="00F7314F"/>
    <w:rsid w:val="00F73983"/>
    <w:rsid w:val="00F74313"/>
    <w:rsid w:val="00F748B8"/>
    <w:rsid w:val="00F75123"/>
    <w:rsid w:val="00F76090"/>
    <w:rsid w:val="00F80464"/>
    <w:rsid w:val="00F80708"/>
    <w:rsid w:val="00F8342E"/>
    <w:rsid w:val="00F8456D"/>
    <w:rsid w:val="00F847C6"/>
    <w:rsid w:val="00F85837"/>
    <w:rsid w:val="00F85C96"/>
    <w:rsid w:val="00F87CC2"/>
    <w:rsid w:val="00F9063F"/>
    <w:rsid w:val="00F9089D"/>
    <w:rsid w:val="00F90B81"/>
    <w:rsid w:val="00F90C0A"/>
    <w:rsid w:val="00F912E2"/>
    <w:rsid w:val="00F91673"/>
    <w:rsid w:val="00F91943"/>
    <w:rsid w:val="00F91DD6"/>
    <w:rsid w:val="00F935ED"/>
    <w:rsid w:val="00F949E4"/>
    <w:rsid w:val="00F9528D"/>
    <w:rsid w:val="00F957AF"/>
    <w:rsid w:val="00F96036"/>
    <w:rsid w:val="00F96886"/>
    <w:rsid w:val="00F96F2A"/>
    <w:rsid w:val="00F97818"/>
    <w:rsid w:val="00FA1933"/>
    <w:rsid w:val="00FA2FB0"/>
    <w:rsid w:val="00FA37EF"/>
    <w:rsid w:val="00FA4432"/>
    <w:rsid w:val="00FB0E0E"/>
    <w:rsid w:val="00FB0EBD"/>
    <w:rsid w:val="00FB1795"/>
    <w:rsid w:val="00FB27E2"/>
    <w:rsid w:val="00FB2D03"/>
    <w:rsid w:val="00FB44B4"/>
    <w:rsid w:val="00FB44BC"/>
    <w:rsid w:val="00FB4F69"/>
    <w:rsid w:val="00FB73F4"/>
    <w:rsid w:val="00FB784C"/>
    <w:rsid w:val="00FC1BAD"/>
    <w:rsid w:val="00FC271A"/>
    <w:rsid w:val="00FC2C6A"/>
    <w:rsid w:val="00FC3211"/>
    <w:rsid w:val="00FC3252"/>
    <w:rsid w:val="00FC4A60"/>
    <w:rsid w:val="00FC532D"/>
    <w:rsid w:val="00FC5ED7"/>
    <w:rsid w:val="00FD0FA7"/>
    <w:rsid w:val="00FD2643"/>
    <w:rsid w:val="00FD2E21"/>
    <w:rsid w:val="00FD3C9B"/>
    <w:rsid w:val="00FD3D7B"/>
    <w:rsid w:val="00FD4076"/>
    <w:rsid w:val="00FD5282"/>
    <w:rsid w:val="00FE0B80"/>
    <w:rsid w:val="00FE21DA"/>
    <w:rsid w:val="00FE26B5"/>
    <w:rsid w:val="00FE2D09"/>
    <w:rsid w:val="00FE37C0"/>
    <w:rsid w:val="00FE3E44"/>
    <w:rsid w:val="00FE4E97"/>
    <w:rsid w:val="00FE5364"/>
    <w:rsid w:val="00FE5708"/>
    <w:rsid w:val="00FE5D7D"/>
    <w:rsid w:val="00FE5FD6"/>
    <w:rsid w:val="00FF1DE6"/>
    <w:rsid w:val="00FF2B47"/>
    <w:rsid w:val="00FF3EB3"/>
    <w:rsid w:val="00FF44B7"/>
    <w:rsid w:val="00FF5CD6"/>
    <w:rsid w:val="00FF5E86"/>
    <w:rsid w:val="010C252D"/>
    <w:rsid w:val="013964E2"/>
    <w:rsid w:val="015F053F"/>
    <w:rsid w:val="019A7F8D"/>
    <w:rsid w:val="01A76D14"/>
    <w:rsid w:val="01B83E6C"/>
    <w:rsid w:val="01CB4BD0"/>
    <w:rsid w:val="01D400CD"/>
    <w:rsid w:val="01D850CA"/>
    <w:rsid w:val="01E40ECA"/>
    <w:rsid w:val="01E533D5"/>
    <w:rsid w:val="01F20E03"/>
    <w:rsid w:val="01F3476E"/>
    <w:rsid w:val="02233182"/>
    <w:rsid w:val="02243758"/>
    <w:rsid w:val="025E2697"/>
    <w:rsid w:val="025F4180"/>
    <w:rsid w:val="026D3FA1"/>
    <w:rsid w:val="02752C9A"/>
    <w:rsid w:val="027A7B8A"/>
    <w:rsid w:val="029758A5"/>
    <w:rsid w:val="02A17F50"/>
    <w:rsid w:val="02A200E8"/>
    <w:rsid w:val="02AA4B29"/>
    <w:rsid w:val="02B12ECD"/>
    <w:rsid w:val="02C7113E"/>
    <w:rsid w:val="02CA3130"/>
    <w:rsid w:val="02D629F8"/>
    <w:rsid w:val="02E141E9"/>
    <w:rsid w:val="03037C9E"/>
    <w:rsid w:val="033110C6"/>
    <w:rsid w:val="03336C4E"/>
    <w:rsid w:val="036A36D1"/>
    <w:rsid w:val="036C2CB8"/>
    <w:rsid w:val="03803064"/>
    <w:rsid w:val="03931748"/>
    <w:rsid w:val="03947C93"/>
    <w:rsid w:val="039C2BA8"/>
    <w:rsid w:val="03A765F8"/>
    <w:rsid w:val="03B651F0"/>
    <w:rsid w:val="03BC1057"/>
    <w:rsid w:val="03C43303"/>
    <w:rsid w:val="03FE2334"/>
    <w:rsid w:val="04287ADD"/>
    <w:rsid w:val="04341675"/>
    <w:rsid w:val="043B3897"/>
    <w:rsid w:val="044222E3"/>
    <w:rsid w:val="04461853"/>
    <w:rsid w:val="04495512"/>
    <w:rsid w:val="045D21CB"/>
    <w:rsid w:val="04671265"/>
    <w:rsid w:val="04836592"/>
    <w:rsid w:val="0484175F"/>
    <w:rsid w:val="048C7F85"/>
    <w:rsid w:val="048D0193"/>
    <w:rsid w:val="04926F81"/>
    <w:rsid w:val="0492750C"/>
    <w:rsid w:val="04A41C61"/>
    <w:rsid w:val="04AB71A7"/>
    <w:rsid w:val="04B204AE"/>
    <w:rsid w:val="04B34411"/>
    <w:rsid w:val="04D8431F"/>
    <w:rsid w:val="04ED28EE"/>
    <w:rsid w:val="04F40C83"/>
    <w:rsid w:val="05020D06"/>
    <w:rsid w:val="05102F8E"/>
    <w:rsid w:val="0531266F"/>
    <w:rsid w:val="0538486D"/>
    <w:rsid w:val="053A554C"/>
    <w:rsid w:val="054E69E5"/>
    <w:rsid w:val="05606267"/>
    <w:rsid w:val="05855850"/>
    <w:rsid w:val="058D73D6"/>
    <w:rsid w:val="058E0E42"/>
    <w:rsid w:val="059F6D54"/>
    <w:rsid w:val="05C24BA0"/>
    <w:rsid w:val="05FD1004"/>
    <w:rsid w:val="06275CB3"/>
    <w:rsid w:val="064A5213"/>
    <w:rsid w:val="064B2C0D"/>
    <w:rsid w:val="0655664C"/>
    <w:rsid w:val="06587FA0"/>
    <w:rsid w:val="066A4F09"/>
    <w:rsid w:val="0675288B"/>
    <w:rsid w:val="06787010"/>
    <w:rsid w:val="06853E86"/>
    <w:rsid w:val="06897CCF"/>
    <w:rsid w:val="068F01A9"/>
    <w:rsid w:val="06A802CB"/>
    <w:rsid w:val="06A97AE5"/>
    <w:rsid w:val="06BA0EBC"/>
    <w:rsid w:val="06BB540E"/>
    <w:rsid w:val="06C32110"/>
    <w:rsid w:val="06E342BC"/>
    <w:rsid w:val="06F52A16"/>
    <w:rsid w:val="07033680"/>
    <w:rsid w:val="07096643"/>
    <w:rsid w:val="071554BC"/>
    <w:rsid w:val="071A7CD4"/>
    <w:rsid w:val="0747586B"/>
    <w:rsid w:val="074838AA"/>
    <w:rsid w:val="075A7F45"/>
    <w:rsid w:val="075E3EA3"/>
    <w:rsid w:val="076444CC"/>
    <w:rsid w:val="077812C7"/>
    <w:rsid w:val="07795780"/>
    <w:rsid w:val="07850DC3"/>
    <w:rsid w:val="07B24DD2"/>
    <w:rsid w:val="07B35340"/>
    <w:rsid w:val="07DB731A"/>
    <w:rsid w:val="07E779C3"/>
    <w:rsid w:val="08125A10"/>
    <w:rsid w:val="08217B6F"/>
    <w:rsid w:val="08393DFD"/>
    <w:rsid w:val="083D7C82"/>
    <w:rsid w:val="08543C44"/>
    <w:rsid w:val="085C4FBC"/>
    <w:rsid w:val="08650A40"/>
    <w:rsid w:val="086F3C72"/>
    <w:rsid w:val="088B39B7"/>
    <w:rsid w:val="08A23DF5"/>
    <w:rsid w:val="08AF0774"/>
    <w:rsid w:val="08BD3EDB"/>
    <w:rsid w:val="08FA6D84"/>
    <w:rsid w:val="08FC7FCD"/>
    <w:rsid w:val="09006BF1"/>
    <w:rsid w:val="090933A4"/>
    <w:rsid w:val="09167CAC"/>
    <w:rsid w:val="092B3720"/>
    <w:rsid w:val="09313309"/>
    <w:rsid w:val="094014D7"/>
    <w:rsid w:val="09692BE9"/>
    <w:rsid w:val="09774E1A"/>
    <w:rsid w:val="097D4F1D"/>
    <w:rsid w:val="099C72BA"/>
    <w:rsid w:val="09A71320"/>
    <w:rsid w:val="09B55C3B"/>
    <w:rsid w:val="09B626D1"/>
    <w:rsid w:val="09D13FBF"/>
    <w:rsid w:val="0A0E5A3A"/>
    <w:rsid w:val="0A132FCF"/>
    <w:rsid w:val="0A19104F"/>
    <w:rsid w:val="0A1D6C4C"/>
    <w:rsid w:val="0A2344A3"/>
    <w:rsid w:val="0A3A13E2"/>
    <w:rsid w:val="0A3D3BB4"/>
    <w:rsid w:val="0A41139B"/>
    <w:rsid w:val="0A6B03D9"/>
    <w:rsid w:val="0A7E1398"/>
    <w:rsid w:val="0A865F37"/>
    <w:rsid w:val="0A8B4E9F"/>
    <w:rsid w:val="0A90194F"/>
    <w:rsid w:val="0A9A50A4"/>
    <w:rsid w:val="0A9D71BA"/>
    <w:rsid w:val="0AA1536A"/>
    <w:rsid w:val="0AA41607"/>
    <w:rsid w:val="0AA74584"/>
    <w:rsid w:val="0AB16C8E"/>
    <w:rsid w:val="0AD91EA4"/>
    <w:rsid w:val="0AE25443"/>
    <w:rsid w:val="0B171BC6"/>
    <w:rsid w:val="0B1F01E8"/>
    <w:rsid w:val="0B257F62"/>
    <w:rsid w:val="0B2D50D4"/>
    <w:rsid w:val="0B2E44FC"/>
    <w:rsid w:val="0B33168C"/>
    <w:rsid w:val="0B595AAC"/>
    <w:rsid w:val="0B5C0519"/>
    <w:rsid w:val="0B6E7267"/>
    <w:rsid w:val="0B903A2F"/>
    <w:rsid w:val="0B9E67FA"/>
    <w:rsid w:val="0BAD7F85"/>
    <w:rsid w:val="0BBF3E3B"/>
    <w:rsid w:val="0BCA324E"/>
    <w:rsid w:val="0BE46C2A"/>
    <w:rsid w:val="0BF75868"/>
    <w:rsid w:val="0BFB79CC"/>
    <w:rsid w:val="0C166589"/>
    <w:rsid w:val="0C19431E"/>
    <w:rsid w:val="0C2E30BA"/>
    <w:rsid w:val="0C3B0290"/>
    <w:rsid w:val="0C3E71B2"/>
    <w:rsid w:val="0C405F79"/>
    <w:rsid w:val="0C461264"/>
    <w:rsid w:val="0C643495"/>
    <w:rsid w:val="0C7D007A"/>
    <w:rsid w:val="0C8615DB"/>
    <w:rsid w:val="0C8A1C48"/>
    <w:rsid w:val="0C921C69"/>
    <w:rsid w:val="0C9D790B"/>
    <w:rsid w:val="0CBC049B"/>
    <w:rsid w:val="0CC01048"/>
    <w:rsid w:val="0CE558EC"/>
    <w:rsid w:val="0D2608BA"/>
    <w:rsid w:val="0D277DBE"/>
    <w:rsid w:val="0D374EC2"/>
    <w:rsid w:val="0D5E3C3B"/>
    <w:rsid w:val="0D5F2F8B"/>
    <w:rsid w:val="0D933124"/>
    <w:rsid w:val="0DA84FDF"/>
    <w:rsid w:val="0DAA725F"/>
    <w:rsid w:val="0DD442C3"/>
    <w:rsid w:val="0DEF67AA"/>
    <w:rsid w:val="0E0D5678"/>
    <w:rsid w:val="0E133A3E"/>
    <w:rsid w:val="0E2311B6"/>
    <w:rsid w:val="0E295658"/>
    <w:rsid w:val="0E2B2351"/>
    <w:rsid w:val="0E3A59F2"/>
    <w:rsid w:val="0E457070"/>
    <w:rsid w:val="0E7A61EF"/>
    <w:rsid w:val="0E916254"/>
    <w:rsid w:val="0EA02E65"/>
    <w:rsid w:val="0EB95231"/>
    <w:rsid w:val="0EBD2A18"/>
    <w:rsid w:val="0EC018E5"/>
    <w:rsid w:val="0EDA12C9"/>
    <w:rsid w:val="0EF95636"/>
    <w:rsid w:val="0EFF46FE"/>
    <w:rsid w:val="0F0D00D7"/>
    <w:rsid w:val="0F1D1D04"/>
    <w:rsid w:val="0F224738"/>
    <w:rsid w:val="0F344371"/>
    <w:rsid w:val="0F444E20"/>
    <w:rsid w:val="0F5C00A3"/>
    <w:rsid w:val="0F6532AE"/>
    <w:rsid w:val="0FA56F82"/>
    <w:rsid w:val="0FAB2D2D"/>
    <w:rsid w:val="0FBC7477"/>
    <w:rsid w:val="0FC34E97"/>
    <w:rsid w:val="0FC81B9D"/>
    <w:rsid w:val="0FD73EB6"/>
    <w:rsid w:val="0FD7675B"/>
    <w:rsid w:val="0FDA2FBF"/>
    <w:rsid w:val="0FDB642C"/>
    <w:rsid w:val="0FEE636A"/>
    <w:rsid w:val="10222E3F"/>
    <w:rsid w:val="10230681"/>
    <w:rsid w:val="102F2E15"/>
    <w:rsid w:val="10380193"/>
    <w:rsid w:val="10646606"/>
    <w:rsid w:val="106D703D"/>
    <w:rsid w:val="107A124B"/>
    <w:rsid w:val="109472B0"/>
    <w:rsid w:val="109B4052"/>
    <w:rsid w:val="10B34ED6"/>
    <w:rsid w:val="10BA2ACF"/>
    <w:rsid w:val="10C1555C"/>
    <w:rsid w:val="10CE2B82"/>
    <w:rsid w:val="111009B7"/>
    <w:rsid w:val="1123391D"/>
    <w:rsid w:val="11277362"/>
    <w:rsid w:val="112B383C"/>
    <w:rsid w:val="114D2362"/>
    <w:rsid w:val="1155723F"/>
    <w:rsid w:val="115A499B"/>
    <w:rsid w:val="11672699"/>
    <w:rsid w:val="116D5B78"/>
    <w:rsid w:val="118F566C"/>
    <w:rsid w:val="11A84A9F"/>
    <w:rsid w:val="11BC1723"/>
    <w:rsid w:val="11D5427B"/>
    <w:rsid w:val="11D854E1"/>
    <w:rsid w:val="11DD3EB3"/>
    <w:rsid w:val="11E66B6B"/>
    <w:rsid w:val="11E87043"/>
    <w:rsid w:val="12082A0D"/>
    <w:rsid w:val="121B644C"/>
    <w:rsid w:val="122F5EA7"/>
    <w:rsid w:val="12500CD1"/>
    <w:rsid w:val="12592A45"/>
    <w:rsid w:val="127217CD"/>
    <w:rsid w:val="129A0494"/>
    <w:rsid w:val="12A30BB5"/>
    <w:rsid w:val="12B035E4"/>
    <w:rsid w:val="12B9063D"/>
    <w:rsid w:val="12C60C65"/>
    <w:rsid w:val="12C636E8"/>
    <w:rsid w:val="12E45361"/>
    <w:rsid w:val="13394882"/>
    <w:rsid w:val="13450A4F"/>
    <w:rsid w:val="13454EDD"/>
    <w:rsid w:val="134C53A7"/>
    <w:rsid w:val="134E4773"/>
    <w:rsid w:val="135F2C07"/>
    <w:rsid w:val="13773F4D"/>
    <w:rsid w:val="13794D48"/>
    <w:rsid w:val="138C7941"/>
    <w:rsid w:val="13B94EAF"/>
    <w:rsid w:val="13D222AE"/>
    <w:rsid w:val="13E8043F"/>
    <w:rsid w:val="13FD10C7"/>
    <w:rsid w:val="13FD6B29"/>
    <w:rsid w:val="14026A37"/>
    <w:rsid w:val="140D73CE"/>
    <w:rsid w:val="14124E82"/>
    <w:rsid w:val="14146936"/>
    <w:rsid w:val="141545C7"/>
    <w:rsid w:val="145F4435"/>
    <w:rsid w:val="146A6824"/>
    <w:rsid w:val="147E127E"/>
    <w:rsid w:val="148302DA"/>
    <w:rsid w:val="148F354D"/>
    <w:rsid w:val="14B077ED"/>
    <w:rsid w:val="14E95BD8"/>
    <w:rsid w:val="15051423"/>
    <w:rsid w:val="150C0943"/>
    <w:rsid w:val="150C0AE8"/>
    <w:rsid w:val="152F2788"/>
    <w:rsid w:val="154113DB"/>
    <w:rsid w:val="156B6F53"/>
    <w:rsid w:val="156D6F0C"/>
    <w:rsid w:val="15702C87"/>
    <w:rsid w:val="15775D12"/>
    <w:rsid w:val="15791828"/>
    <w:rsid w:val="157A579F"/>
    <w:rsid w:val="15865E26"/>
    <w:rsid w:val="15903F4D"/>
    <w:rsid w:val="15C2309C"/>
    <w:rsid w:val="15C56A8E"/>
    <w:rsid w:val="15C62FB4"/>
    <w:rsid w:val="15ED14E7"/>
    <w:rsid w:val="160E04FA"/>
    <w:rsid w:val="16291AE8"/>
    <w:rsid w:val="16400FCC"/>
    <w:rsid w:val="16405B4D"/>
    <w:rsid w:val="16485043"/>
    <w:rsid w:val="1669416D"/>
    <w:rsid w:val="167F00CB"/>
    <w:rsid w:val="168E67C6"/>
    <w:rsid w:val="16AE7EE6"/>
    <w:rsid w:val="16B107DC"/>
    <w:rsid w:val="16E57E5E"/>
    <w:rsid w:val="171D1225"/>
    <w:rsid w:val="17212D5C"/>
    <w:rsid w:val="174223E7"/>
    <w:rsid w:val="17551B16"/>
    <w:rsid w:val="17703D5F"/>
    <w:rsid w:val="17706295"/>
    <w:rsid w:val="17810A57"/>
    <w:rsid w:val="179544F2"/>
    <w:rsid w:val="17F13C4E"/>
    <w:rsid w:val="17F13FAA"/>
    <w:rsid w:val="18015BDF"/>
    <w:rsid w:val="180A1488"/>
    <w:rsid w:val="182E2691"/>
    <w:rsid w:val="18347D9B"/>
    <w:rsid w:val="184239FC"/>
    <w:rsid w:val="18457163"/>
    <w:rsid w:val="1848027C"/>
    <w:rsid w:val="184B7926"/>
    <w:rsid w:val="184D776A"/>
    <w:rsid w:val="185377BC"/>
    <w:rsid w:val="187715AF"/>
    <w:rsid w:val="18A96439"/>
    <w:rsid w:val="18BD7BA9"/>
    <w:rsid w:val="18D4143A"/>
    <w:rsid w:val="18D824E4"/>
    <w:rsid w:val="18DC4D78"/>
    <w:rsid w:val="18F37ED7"/>
    <w:rsid w:val="18F410BB"/>
    <w:rsid w:val="1922664C"/>
    <w:rsid w:val="19574F98"/>
    <w:rsid w:val="195B18D2"/>
    <w:rsid w:val="1963254D"/>
    <w:rsid w:val="196A7662"/>
    <w:rsid w:val="1971245F"/>
    <w:rsid w:val="19771FB2"/>
    <w:rsid w:val="19885395"/>
    <w:rsid w:val="19985DA1"/>
    <w:rsid w:val="199C277D"/>
    <w:rsid w:val="19A81FCE"/>
    <w:rsid w:val="19AC4819"/>
    <w:rsid w:val="19B63564"/>
    <w:rsid w:val="19DA0E55"/>
    <w:rsid w:val="19F9516F"/>
    <w:rsid w:val="1A115D48"/>
    <w:rsid w:val="1A162078"/>
    <w:rsid w:val="1A1E567D"/>
    <w:rsid w:val="1A207354"/>
    <w:rsid w:val="1A3832F3"/>
    <w:rsid w:val="1A563D43"/>
    <w:rsid w:val="1A614C54"/>
    <w:rsid w:val="1A731A5E"/>
    <w:rsid w:val="1A7D64BB"/>
    <w:rsid w:val="1A80148B"/>
    <w:rsid w:val="1A801755"/>
    <w:rsid w:val="1A867CE1"/>
    <w:rsid w:val="1A8A061C"/>
    <w:rsid w:val="1AA91363"/>
    <w:rsid w:val="1ABC4060"/>
    <w:rsid w:val="1AC55EF5"/>
    <w:rsid w:val="1AFC3C45"/>
    <w:rsid w:val="1B011E95"/>
    <w:rsid w:val="1B076652"/>
    <w:rsid w:val="1B3671A0"/>
    <w:rsid w:val="1B6143E6"/>
    <w:rsid w:val="1B76662E"/>
    <w:rsid w:val="1B88628C"/>
    <w:rsid w:val="1B9E7EAB"/>
    <w:rsid w:val="1BAB1AEF"/>
    <w:rsid w:val="1BB468DC"/>
    <w:rsid w:val="1BB9196F"/>
    <w:rsid w:val="1BBE4D20"/>
    <w:rsid w:val="1BCF62C2"/>
    <w:rsid w:val="1BD828D6"/>
    <w:rsid w:val="1BE51513"/>
    <w:rsid w:val="1BF1083F"/>
    <w:rsid w:val="1BFB4C38"/>
    <w:rsid w:val="1C0B7229"/>
    <w:rsid w:val="1C2774B7"/>
    <w:rsid w:val="1C2C6301"/>
    <w:rsid w:val="1C355954"/>
    <w:rsid w:val="1C385C6A"/>
    <w:rsid w:val="1C813CC8"/>
    <w:rsid w:val="1C931736"/>
    <w:rsid w:val="1C9D6B8D"/>
    <w:rsid w:val="1CA37B39"/>
    <w:rsid w:val="1CB507A2"/>
    <w:rsid w:val="1CC866D1"/>
    <w:rsid w:val="1CCE0F95"/>
    <w:rsid w:val="1CDB10DF"/>
    <w:rsid w:val="1CDB4E31"/>
    <w:rsid w:val="1CE35A59"/>
    <w:rsid w:val="1D2B02B0"/>
    <w:rsid w:val="1D2B234A"/>
    <w:rsid w:val="1D3A1C11"/>
    <w:rsid w:val="1D3C7485"/>
    <w:rsid w:val="1D5632CA"/>
    <w:rsid w:val="1D5E2FDA"/>
    <w:rsid w:val="1D776D3E"/>
    <w:rsid w:val="1D7A5780"/>
    <w:rsid w:val="1D8761B5"/>
    <w:rsid w:val="1D8C3E6C"/>
    <w:rsid w:val="1D9D107E"/>
    <w:rsid w:val="1D9F4068"/>
    <w:rsid w:val="1DAB06C3"/>
    <w:rsid w:val="1DCC2C35"/>
    <w:rsid w:val="1E0309D8"/>
    <w:rsid w:val="1E3213E1"/>
    <w:rsid w:val="1E4414E5"/>
    <w:rsid w:val="1E5A3844"/>
    <w:rsid w:val="1E6373DF"/>
    <w:rsid w:val="1E6D657B"/>
    <w:rsid w:val="1E771E2A"/>
    <w:rsid w:val="1E777FE7"/>
    <w:rsid w:val="1E791EED"/>
    <w:rsid w:val="1E7A2A71"/>
    <w:rsid w:val="1E843DD5"/>
    <w:rsid w:val="1E8838BD"/>
    <w:rsid w:val="1E9D659F"/>
    <w:rsid w:val="1EB01C09"/>
    <w:rsid w:val="1EB567C3"/>
    <w:rsid w:val="1EC23542"/>
    <w:rsid w:val="1EC81C6A"/>
    <w:rsid w:val="1EE458E3"/>
    <w:rsid w:val="1EF77930"/>
    <w:rsid w:val="1EF871F2"/>
    <w:rsid w:val="1EF9372F"/>
    <w:rsid w:val="1F0A54B8"/>
    <w:rsid w:val="1F1D62A4"/>
    <w:rsid w:val="1F1E664C"/>
    <w:rsid w:val="1F326657"/>
    <w:rsid w:val="1F3C1B8A"/>
    <w:rsid w:val="1F4423A4"/>
    <w:rsid w:val="1F66586C"/>
    <w:rsid w:val="1F8F479E"/>
    <w:rsid w:val="1F955E32"/>
    <w:rsid w:val="1FA42B5A"/>
    <w:rsid w:val="1FA60D90"/>
    <w:rsid w:val="1FB51F83"/>
    <w:rsid w:val="1FB87CD9"/>
    <w:rsid w:val="1FC15A64"/>
    <w:rsid w:val="1FC16A47"/>
    <w:rsid w:val="1FDD0DA7"/>
    <w:rsid w:val="1FE425D9"/>
    <w:rsid w:val="1FE77795"/>
    <w:rsid w:val="1FEF0FE6"/>
    <w:rsid w:val="20087EC7"/>
    <w:rsid w:val="200A2663"/>
    <w:rsid w:val="201C440D"/>
    <w:rsid w:val="201E79CD"/>
    <w:rsid w:val="203B0A31"/>
    <w:rsid w:val="204B2B73"/>
    <w:rsid w:val="206E5C7B"/>
    <w:rsid w:val="209F2E08"/>
    <w:rsid w:val="20C238D2"/>
    <w:rsid w:val="20CE7C40"/>
    <w:rsid w:val="21062869"/>
    <w:rsid w:val="21084633"/>
    <w:rsid w:val="21095677"/>
    <w:rsid w:val="214F43A5"/>
    <w:rsid w:val="2150783F"/>
    <w:rsid w:val="215241B7"/>
    <w:rsid w:val="21542F1B"/>
    <w:rsid w:val="215549CF"/>
    <w:rsid w:val="219E5005"/>
    <w:rsid w:val="21B62896"/>
    <w:rsid w:val="21C214AC"/>
    <w:rsid w:val="21D947D3"/>
    <w:rsid w:val="21D96868"/>
    <w:rsid w:val="21EF46DA"/>
    <w:rsid w:val="22005A29"/>
    <w:rsid w:val="22115A7A"/>
    <w:rsid w:val="221E464D"/>
    <w:rsid w:val="222B6F17"/>
    <w:rsid w:val="224967FB"/>
    <w:rsid w:val="22512803"/>
    <w:rsid w:val="2255644A"/>
    <w:rsid w:val="22675900"/>
    <w:rsid w:val="22721830"/>
    <w:rsid w:val="227D7B5E"/>
    <w:rsid w:val="228841B0"/>
    <w:rsid w:val="22936C60"/>
    <w:rsid w:val="22950485"/>
    <w:rsid w:val="229F11FD"/>
    <w:rsid w:val="22B72DCB"/>
    <w:rsid w:val="22CA4034"/>
    <w:rsid w:val="22D06C58"/>
    <w:rsid w:val="22D63485"/>
    <w:rsid w:val="22D7318F"/>
    <w:rsid w:val="22DA5B05"/>
    <w:rsid w:val="22E97B89"/>
    <w:rsid w:val="22F3023C"/>
    <w:rsid w:val="22FC1C4C"/>
    <w:rsid w:val="23191DEC"/>
    <w:rsid w:val="231D69DC"/>
    <w:rsid w:val="23322A31"/>
    <w:rsid w:val="23332B49"/>
    <w:rsid w:val="234E0315"/>
    <w:rsid w:val="238F10E1"/>
    <w:rsid w:val="239E5459"/>
    <w:rsid w:val="23A22DAC"/>
    <w:rsid w:val="23A62125"/>
    <w:rsid w:val="23B32CBA"/>
    <w:rsid w:val="23C6367B"/>
    <w:rsid w:val="23E46EF5"/>
    <w:rsid w:val="23E66BF2"/>
    <w:rsid w:val="23E92FA4"/>
    <w:rsid w:val="240678D8"/>
    <w:rsid w:val="241C11CC"/>
    <w:rsid w:val="2443119A"/>
    <w:rsid w:val="244451D0"/>
    <w:rsid w:val="24676CD9"/>
    <w:rsid w:val="24734E22"/>
    <w:rsid w:val="24743DDC"/>
    <w:rsid w:val="249A5002"/>
    <w:rsid w:val="24A54FCC"/>
    <w:rsid w:val="24C16F0B"/>
    <w:rsid w:val="24CC3096"/>
    <w:rsid w:val="24D1446A"/>
    <w:rsid w:val="24D847C0"/>
    <w:rsid w:val="24EA7F1E"/>
    <w:rsid w:val="24ED6591"/>
    <w:rsid w:val="25083BDA"/>
    <w:rsid w:val="253417E5"/>
    <w:rsid w:val="253549FE"/>
    <w:rsid w:val="25675EF9"/>
    <w:rsid w:val="25677FC0"/>
    <w:rsid w:val="256E12FE"/>
    <w:rsid w:val="2571767A"/>
    <w:rsid w:val="257806E2"/>
    <w:rsid w:val="25862416"/>
    <w:rsid w:val="25CF7A8C"/>
    <w:rsid w:val="260E046F"/>
    <w:rsid w:val="264C5433"/>
    <w:rsid w:val="267D0137"/>
    <w:rsid w:val="2695315A"/>
    <w:rsid w:val="26A43F54"/>
    <w:rsid w:val="26AC1AD3"/>
    <w:rsid w:val="26DE0BD6"/>
    <w:rsid w:val="26E16F50"/>
    <w:rsid w:val="26F33015"/>
    <w:rsid w:val="270170C6"/>
    <w:rsid w:val="274D2CA6"/>
    <w:rsid w:val="27596F06"/>
    <w:rsid w:val="275B0CA6"/>
    <w:rsid w:val="2770540B"/>
    <w:rsid w:val="277B4128"/>
    <w:rsid w:val="277C037D"/>
    <w:rsid w:val="27922614"/>
    <w:rsid w:val="27E421A3"/>
    <w:rsid w:val="27F24EC1"/>
    <w:rsid w:val="27F402C0"/>
    <w:rsid w:val="280031E4"/>
    <w:rsid w:val="28131D21"/>
    <w:rsid w:val="28504BEB"/>
    <w:rsid w:val="28720A52"/>
    <w:rsid w:val="288A7A67"/>
    <w:rsid w:val="288B7842"/>
    <w:rsid w:val="28A06A21"/>
    <w:rsid w:val="28A1078D"/>
    <w:rsid w:val="28B04398"/>
    <w:rsid w:val="28BA6BAC"/>
    <w:rsid w:val="28C825F7"/>
    <w:rsid w:val="28E16B70"/>
    <w:rsid w:val="28F306DC"/>
    <w:rsid w:val="28FD7A16"/>
    <w:rsid w:val="29182290"/>
    <w:rsid w:val="291E3AC8"/>
    <w:rsid w:val="29213192"/>
    <w:rsid w:val="29505E44"/>
    <w:rsid w:val="29534CB4"/>
    <w:rsid w:val="297742EF"/>
    <w:rsid w:val="299D4981"/>
    <w:rsid w:val="29AA75AD"/>
    <w:rsid w:val="29BA4CCE"/>
    <w:rsid w:val="29BA6CB1"/>
    <w:rsid w:val="29D40E8F"/>
    <w:rsid w:val="29E5631D"/>
    <w:rsid w:val="29F01F12"/>
    <w:rsid w:val="29F25592"/>
    <w:rsid w:val="29FA2A26"/>
    <w:rsid w:val="2A0C197C"/>
    <w:rsid w:val="2A24160A"/>
    <w:rsid w:val="2A2F23CE"/>
    <w:rsid w:val="2A3416FB"/>
    <w:rsid w:val="2A3F25F1"/>
    <w:rsid w:val="2A527483"/>
    <w:rsid w:val="2A6400E1"/>
    <w:rsid w:val="2A6E1FCD"/>
    <w:rsid w:val="2A7510BD"/>
    <w:rsid w:val="2A916980"/>
    <w:rsid w:val="2A9611B3"/>
    <w:rsid w:val="2ADD6E75"/>
    <w:rsid w:val="2AF753C0"/>
    <w:rsid w:val="2B2304A3"/>
    <w:rsid w:val="2B2F0DFC"/>
    <w:rsid w:val="2B3650A6"/>
    <w:rsid w:val="2B4B3266"/>
    <w:rsid w:val="2B5A47AD"/>
    <w:rsid w:val="2B5E37E2"/>
    <w:rsid w:val="2B6537D0"/>
    <w:rsid w:val="2B6B09F3"/>
    <w:rsid w:val="2B782802"/>
    <w:rsid w:val="2B7B4871"/>
    <w:rsid w:val="2B8B4188"/>
    <w:rsid w:val="2B9E5670"/>
    <w:rsid w:val="2BB5109D"/>
    <w:rsid w:val="2BBD1979"/>
    <w:rsid w:val="2BCB09A3"/>
    <w:rsid w:val="2C1E48A8"/>
    <w:rsid w:val="2C212869"/>
    <w:rsid w:val="2C215C14"/>
    <w:rsid w:val="2C5B70FF"/>
    <w:rsid w:val="2C632F0B"/>
    <w:rsid w:val="2C7F3597"/>
    <w:rsid w:val="2C8009EF"/>
    <w:rsid w:val="2C8C45F5"/>
    <w:rsid w:val="2CCD304A"/>
    <w:rsid w:val="2CCF37D2"/>
    <w:rsid w:val="2CD65A3E"/>
    <w:rsid w:val="2CEC4A88"/>
    <w:rsid w:val="2CF24658"/>
    <w:rsid w:val="2D0109F5"/>
    <w:rsid w:val="2D027D46"/>
    <w:rsid w:val="2D1A08FD"/>
    <w:rsid w:val="2D3E58A4"/>
    <w:rsid w:val="2D621649"/>
    <w:rsid w:val="2D6C2CD7"/>
    <w:rsid w:val="2D801930"/>
    <w:rsid w:val="2DD01516"/>
    <w:rsid w:val="2DFD16B1"/>
    <w:rsid w:val="2E107A44"/>
    <w:rsid w:val="2E115932"/>
    <w:rsid w:val="2E1913A2"/>
    <w:rsid w:val="2E34665A"/>
    <w:rsid w:val="2E407A6B"/>
    <w:rsid w:val="2E4B1019"/>
    <w:rsid w:val="2E4B1E85"/>
    <w:rsid w:val="2E570EAE"/>
    <w:rsid w:val="2E6D67B3"/>
    <w:rsid w:val="2E760415"/>
    <w:rsid w:val="2E7968E5"/>
    <w:rsid w:val="2E832C1E"/>
    <w:rsid w:val="2E8B0FE5"/>
    <w:rsid w:val="2EAE55ED"/>
    <w:rsid w:val="2EB253AC"/>
    <w:rsid w:val="2EF2395C"/>
    <w:rsid w:val="2F035C3F"/>
    <w:rsid w:val="2F0D133C"/>
    <w:rsid w:val="2F0E132B"/>
    <w:rsid w:val="2F10233E"/>
    <w:rsid w:val="2F164D6B"/>
    <w:rsid w:val="2F224D9D"/>
    <w:rsid w:val="2F3C1E6C"/>
    <w:rsid w:val="2F521F36"/>
    <w:rsid w:val="2F7018E8"/>
    <w:rsid w:val="2F793C19"/>
    <w:rsid w:val="2F91300D"/>
    <w:rsid w:val="2FA452DC"/>
    <w:rsid w:val="2FB245D9"/>
    <w:rsid w:val="2FB34D7D"/>
    <w:rsid w:val="2FB73952"/>
    <w:rsid w:val="2FCB709F"/>
    <w:rsid w:val="2FDD517D"/>
    <w:rsid w:val="2FE6335C"/>
    <w:rsid w:val="2FEA5FA6"/>
    <w:rsid w:val="2FEB2783"/>
    <w:rsid w:val="2FEE4D21"/>
    <w:rsid w:val="2FF47F29"/>
    <w:rsid w:val="3000477A"/>
    <w:rsid w:val="302D19C6"/>
    <w:rsid w:val="30352CE5"/>
    <w:rsid w:val="30364F0D"/>
    <w:rsid w:val="304669EB"/>
    <w:rsid w:val="30825929"/>
    <w:rsid w:val="30880AA3"/>
    <w:rsid w:val="308F545D"/>
    <w:rsid w:val="30B05CD6"/>
    <w:rsid w:val="30CA36D5"/>
    <w:rsid w:val="30CB21EB"/>
    <w:rsid w:val="30D47F3A"/>
    <w:rsid w:val="30F0189E"/>
    <w:rsid w:val="30F1589D"/>
    <w:rsid w:val="311F6374"/>
    <w:rsid w:val="31344C0A"/>
    <w:rsid w:val="313E2437"/>
    <w:rsid w:val="313E5C4D"/>
    <w:rsid w:val="315259CF"/>
    <w:rsid w:val="31593364"/>
    <w:rsid w:val="31A05A62"/>
    <w:rsid w:val="31BE3AAF"/>
    <w:rsid w:val="31CE0017"/>
    <w:rsid w:val="31D600F1"/>
    <w:rsid w:val="31DA0A05"/>
    <w:rsid w:val="31E050B0"/>
    <w:rsid w:val="31E21F89"/>
    <w:rsid w:val="32062F66"/>
    <w:rsid w:val="32246EE1"/>
    <w:rsid w:val="322753E9"/>
    <w:rsid w:val="323203D3"/>
    <w:rsid w:val="323C0EA1"/>
    <w:rsid w:val="323C3F92"/>
    <w:rsid w:val="32570F72"/>
    <w:rsid w:val="325C0BB4"/>
    <w:rsid w:val="32637114"/>
    <w:rsid w:val="32694D7C"/>
    <w:rsid w:val="327D76E4"/>
    <w:rsid w:val="328714B7"/>
    <w:rsid w:val="32895BD6"/>
    <w:rsid w:val="329B35C0"/>
    <w:rsid w:val="32C04489"/>
    <w:rsid w:val="32D95890"/>
    <w:rsid w:val="32E50416"/>
    <w:rsid w:val="32EA5D0B"/>
    <w:rsid w:val="32ED0353"/>
    <w:rsid w:val="32FD68E3"/>
    <w:rsid w:val="332A40BA"/>
    <w:rsid w:val="333324A3"/>
    <w:rsid w:val="33392F1F"/>
    <w:rsid w:val="333E1457"/>
    <w:rsid w:val="334D2083"/>
    <w:rsid w:val="33601847"/>
    <w:rsid w:val="33624DA3"/>
    <w:rsid w:val="33670940"/>
    <w:rsid w:val="337A2CF9"/>
    <w:rsid w:val="339264FA"/>
    <w:rsid w:val="33973ADB"/>
    <w:rsid w:val="33983413"/>
    <w:rsid w:val="33AE2CE3"/>
    <w:rsid w:val="33B4588C"/>
    <w:rsid w:val="33B54544"/>
    <w:rsid w:val="33C87568"/>
    <w:rsid w:val="33C96ABD"/>
    <w:rsid w:val="33CA1252"/>
    <w:rsid w:val="33E43763"/>
    <w:rsid w:val="33E75D76"/>
    <w:rsid w:val="341C624A"/>
    <w:rsid w:val="342E1981"/>
    <w:rsid w:val="34317BDA"/>
    <w:rsid w:val="34606F1A"/>
    <w:rsid w:val="34665DAE"/>
    <w:rsid w:val="34693F61"/>
    <w:rsid w:val="34714A0C"/>
    <w:rsid w:val="347970F4"/>
    <w:rsid w:val="348C2A15"/>
    <w:rsid w:val="348C3882"/>
    <w:rsid w:val="3491041C"/>
    <w:rsid w:val="34965A0A"/>
    <w:rsid w:val="34B81E53"/>
    <w:rsid w:val="34CE2286"/>
    <w:rsid w:val="34DF22E4"/>
    <w:rsid w:val="34E949AC"/>
    <w:rsid w:val="34FD5A28"/>
    <w:rsid w:val="352B6D35"/>
    <w:rsid w:val="353E6E6B"/>
    <w:rsid w:val="35644D7C"/>
    <w:rsid w:val="35701248"/>
    <w:rsid w:val="358B5891"/>
    <w:rsid w:val="359B2EB8"/>
    <w:rsid w:val="35A84FB1"/>
    <w:rsid w:val="35B2030D"/>
    <w:rsid w:val="35B675A0"/>
    <w:rsid w:val="35C65C77"/>
    <w:rsid w:val="35E22AB7"/>
    <w:rsid w:val="35E5214F"/>
    <w:rsid w:val="35E63A82"/>
    <w:rsid w:val="362F5E00"/>
    <w:rsid w:val="36304096"/>
    <w:rsid w:val="36337382"/>
    <w:rsid w:val="364804E8"/>
    <w:rsid w:val="366E32BC"/>
    <w:rsid w:val="3686755E"/>
    <w:rsid w:val="369759FC"/>
    <w:rsid w:val="36AB6688"/>
    <w:rsid w:val="36BF0926"/>
    <w:rsid w:val="36C618D9"/>
    <w:rsid w:val="36CD1EE8"/>
    <w:rsid w:val="36EB2842"/>
    <w:rsid w:val="36FA2B0C"/>
    <w:rsid w:val="3719124F"/>
    <w:rsid w:val="371E636F"/>
    <w:rsid w:val="37275190"/>
    <w:rsid w:val="37304EA6"/>
    <w:rsid w:val="375531BA"/>
    <w:rsid w:val="376563D6"/>
    <w:rsid w:val="378A2AB5"/>
    <w:rsid w:val="379A0CC2"/>
    <w:rsid w:val="37A80F19"/>
    <w:rsid w:val="37B80D1C"/>
    <w:rsid w:val="37BC76FC"/>
    <w:rsid w:val="37C16F6E"/>
    <w:rsid w:val="37C245CF"/>
    <w:rsid w:val="37D2297D"/>
    <w:rsid w:val="37E044C2"/>
    <w:rsid w:val="37E534D5"/>
    <w:rsid w:val="37F06488"/>
    <w:rsid w:val="37FB7DAB"/>
    <w:rsid w:val="380A6B09"/>
    <w:rsid w:val="380E08EE"/>
    <w:rsid w:val="38230D03"/>
    <w:rsid w:val="38297E1B"/>
    <w:rsid w:val="38371535"/>
    <w:rsid w:val="38391D5D"/>
    <w:rsid w:val="385066C2"/>
    <w:rsid w:val="389422C0"/>
    <w:rsid w:val="38970513"/>
    <w:rsid w:val="38B23673"/>
    <w:rsid w:val="38B545B7"/>
    <w:rsid w:val="38B75FFD"/>
    <w:rsid w:val="38BF0C54"/>
    <w:rsid w:val="38C1714A"/>
    <w:rsid w:val="38CE239F"/>
    <w:rsid w:val="38E9371B"/>
    <w:rsid w:val="38FE0799"/>
    <w:rsid w:val="3919325C"/>
    <w:rsid w:val="392D4749"/>
    <w:rsid w:val="39540422"/>
    <w:rsid w:val="39576B93"/>
    <w:rsid w:val="39687106"/>
    <w:rsid w:val="397C5418"/>
    <w:rsid w:val="398E684B"/>
    <w:rsid w:val="39A12BC3"/>
    <w:rsid w:val="39B94381"/>
    <w:rsid w:val="39C117AC"/>
    <w:rsid w:val="39CF2434"/>
    <w:rsid w:val="39E33B60"/>
    <w:rsid w:val="39EF334D"/>
    <w:rsid w:val="39FF3CC4"/>
    <w:rsid w:val="3A054105"/>
    <w:rsid w:val="3A293D21"/>
    <w:rsid w:val="3A295EEE"/>
    <w:rsid w:val="3A370D5B"/>
    <w:rsid w:val="3A382EA1"/>
    <w:rsid w:val="3A4208B9"/>
    <w:rsid w:val="3A423DB5"/>
    <w:rsid w:val="3A48277E"/>
    <w:rsid w:val="3A4E61BE"/>
    <w:rsid w:val="3A6A63B2"/>
    <w:rsid w:val="3A7036D3"/>
    <w:rsid w:val="3A7E78D5"/>
    <w:rsid w:val="3A8C268C"/>
    <w:rsid w:val="3A9174E8"/>
    <w:rsid w:val="3ABF3362"/>
    <w:rsid w:val="3AE65EB7"/>
    <w:rsid w:val="3AF80323"/>
    <w:rsid w:val="3AFB0073"/>
    <w:rsid w:val="3AFF1D2D"/>
    <w:rsid w:val="3B2035A3"/>
    <w:rsid w:val="3B233638"/>
    <w:rsid w:val="3B2876EB"/>
    <w:rsid w:val="3B4358E1"/>
    <w:rsid w:val="3B5E2EB1"/>
    <w:rsid w:val="3B785CDA"/>
    <w:rsid w:val="3B8E1160"/>
    <w:rsid w:val="3B926898"/>
    <w:rsid w:val="3BB035F6"/>
    <w:rsid w:val="3BCF5AA5"/>
    <w:rsid w:val="3BD95634"/>
    <w:rsid w:val="3BDB33B9"/>
    <w:rsid w:val="3BDE5005"/>
    <w:rsid w:val="3BEF123A"/>
    <w:rsid w:val="3BF21951"/>
    <w:rsid w:val="3C2D4353"/>
    <w:rsid w:val="3C3B136F"/>
    <w:rsid w:val="3C3C0FE3"/>
    <w:rsid w:val="3C5233D5"/>
    <w:rsid w:val="3C533FFB"/>
    <w:rsid w:val="3C583AD1"/>
    <w:rsid w:val="3C622C27"/>
    <w:rsid w:val="3C6A42DC"/>
    <w:rsid w:val="3C73715B"/>
    <w:rsid w:val="3C794780"/>
    <w:rsid w:val="3C8A3053"/>
    <w:rsid w:val="3C946A9C"/>
    <w:rsid w:val="3C9F17C1"/>
    <w:rsid w:val="3CA64B77"/>
    <w:rsid w:val="3CCB21C7"/>
    <w:rsid w:val="3CCB3508"/>
    <w:rsid w:val="3CCC59A0"/>
    <w:rsid w:val="3CD405D4"/>
    <w:rsid w:val="3CE22132"/>
    <w:rsid w:val="3CEC3CAC"/>
    <w:rsid w:val="3D1844B4"/>
    <w:rsid w:val="3D196DF2"/>
    <w:rsid w:val="3D3F3F2C"/>
    <w:rsid w:val="3D461728"/>
    <w:rsid w:val="3D4E7512"/>
    <w:rsid w:val="3D4F5CE0"/>
    <w:rsid w:val="3D582FD1"/>
    <w:rsid w:val="3D584056"/>
    <w:rsid w:val="3D5A5E27"/>
    <w:rsid w:val="3D845435"/>
    <w:rsid w:val="3D8470CB"/>
    <w:rsid w:val="3D895083"/>
    <w:rsid w:val="3D97018C"/>
    <w:rsid w:val="3DAE3E51"/>
    <w:rsid w:val="3DBB5A67"/>
    <w:rsid w:val="3DD65D8C"/>
    <w:rsid w:val="3DE14CBD"/>
    <w:rsid w:val="3DE90E8F"/>
    <w:rsid w:val="3DF25636"/>
    <w:rsid w:val="3E055A3B"/>
    <w:rsid w:val="3E0979D2"/>
    <w:rsid w:val="3E370CE5"/>
    <w:rsid w:val="3E884397"/>
    <w:rsid w:val="3E9325D5"/>
    <w:rsid w:val="3E994151"/>
    <w:rsid w:val="3EAC323E"/>
    <w:rsid w:val="3EB17ED9"/>
    <w:rsid w:val="3EC701BF"/>
    <w:rsid w:val="3EC9735E"/>
    <w:rsid w:val="3EE24956"/>
    <w:rsid w:val="3EE555A6"/>
    <w:rsid w:val="3F095043"/>
    <w:rsid w:val="3F0B1E57"/>
    <w:rsid w:val="3F110CAD"/>
    <w:rsid w:val="3F282FAC"/>
    <w:rsid w:val="3F3A4426"/>
    <w:rsid w:val="3F485D9F"/>
    <w:rsid w:val="3F562024"/>
    <w:rsid w:val="3F5B3B04"/>
    <w:rsid w:val="3F687941"/>
    <w:rsid w:val="3F6B5705"/>
    <w:rsid w:val="3F6C5A3A"/>
    <w:rsid w:val="3F8416E2"/>
    <w:rsid w:val="3F8B62D1"/>
    <w:rsid w:val="3F922B5F"/>
    <w:rsid w:val="3F962C25"/>
    <w:rsid w:val="3FA306C8"/>
    <w:rsid w:val="3FB14B54"/>
    <w:rsid w:val="3FC120CB"/>
    <w:rsid w:val="3FC93109"/>
    <w:rsid w:val="3FD1537D"/>
    <w:rsid w:val="3FD56A92"/>
    <w:rsid w:val="3FD60BF0"/>
    <w:rsid w:val="3FE242DC"/>
    <w:rsid w:val="3FF77E1B"/>
    <w:rsid w:val="3FFB2820"/>
    <w:rsid w:val="40022B44"/>
    <w:rsid w:val="401422C6"/>
    <w:rsid w:val="4030668D"/>
    <w:rsid w:val="403354B1"/>
    <w:rsid w:val="4039664F"/>
    <w:rsid w:val="40635FB9"/>
    <w:rsid w:val="406C7A99"/>
    <w:rsid w:val="407A7433"/>
    <w:rsid w:val="407F5B35"/>
    <w:rsid w:val="40BA33D2"/>
    <w:rsid w:val="40E65DEC"/>
    <w:rsid w:val="40F100B1"/>
    <w:rsid w:val="40F41339"/>
    <w:rsid w:val="41202726"/>
    <w:rsid w:val="4124151B"/>
    <w:rsid w:val="41610813"/>
    <w:rsid w:val="416577C7"/>
    <w:rsid w:val="416745B3"/>
    <w:rsid w:val="41693CA5"/>
    <w:rsid w:val="41731ED0"/>
    <w:rsid w:val="417713D4"/>
    <w:rsid w:val="41775C53"/>
    <w:rsid w:val="418446BE"/>
    <w:rsid w:val="419F3C80"/>
    <w:rsid w:val="41A00438"/>
    <w:rsid w:val="41A80CC4"/>
    <w:rsid w:val="41A85FE2"/>
    <w:rsid w:val="41A95E97"/>
    <w:rsid w:val="41B64B9C"/>
    <w:rsid w:val="41BE77F0"/>
    <w:rsid w:val="41C91892"/>
    <w:rsid w:val="41EA09CC"/>
    <w:rsid w:val="41F7192D"/>
    <w:rsid w:val="41FD4DF5"/>
    <w:rsid w:val="42021262"/>
    <w:rsid w:val="42244E2F"/>
    <w:rsid w:val="4241201E"/>
    <w:rsid w:val="42461E08"/>
    <w:rsid w:val="4262698B"/>
    <w:rsid w:val="426A0A74"/>
    <w:rsid w:val="426E3296"/>
    <w:rsid w:val="42835909"/>
    <w:rsid w:val="4291442C"/>
    <w:rsid w:val="429313EC"/>
    <w:rsid w:val="42B95944"/>
    <w:rsid w:val="42D54A0C"/>
    <w:rsid w:val="42FD564A"/>
    <w:rsid w:val="42FF048F"/>
    <w:rsid w:val="430469DD"/>
    <w:rsid w:val="4304765E"/>
    <w:rsid w:val="43107994"/>
    <w:rsid w:val="43113357"/>
    <w:rsid w:val="4313793E"/>
    <w:rsid w:val="433C602A"/>
    <w:rsid w:val="435C311F"/>
    <w:rsid w:val="43640835"/>
    <w:rsid w:val="437E120D"/>
    <w:rsid w:val="437E4E3B"/>
    <w:rsid w:val="43AD4015"/>
    <w:rsid w:val="43BA6FDC"/>
    <w:rsid w:val="43C9073D"/>
    <w:rsid w:val="43DE5C61"/>
    <w:rsid w:val="43FB0366"/>
    <w:rsid w:val="44011CE3"/>
    <w:rsid w:val="44205FBC"/>
    <w:rsid w:val="44231C48"/>
    <w:rsid w:val="442334EA"/>
    <w:rsid w:val="44242337"/>
    <w:rsid w:val="44546DCF"/>
    <w:rsid w:val="44580B72"/>
    <w:rsid w:val="446E7F78"/>
    <w:rsid w:val="44776CE4"/>
    <w:rsid w:val="448D248C"/>
    <w:rsid w:val="448F42ED"/>
    <w:rsid w:val="44A61986"/>
    <w:rsid w:val="44AD7BA9"/>
    <w:rsid w:val="44B9638D"/>
    <w:rsid w:val="44E1438D"/>
    <w:rsid w:val="44F40897"/>
    <w:rsid w:val="44F759F3"/>
    <w:rsid w:val="45097C1F"/>
    <w:rsid w:val="452554D9"/>
    <w:rsid w:val="45276D45"/>
    <w:rsid w:val="454A4380"/>
    <w:rsid w:val="4556296C"/>
    <w:rsid w:val="45670961"/>
    <w:rsid w:val="456A3EEB"/>
    <w:rsid w:val="457A40A3"/>
    <w:rsid w:val="45BB5DD7"/>
    <w:rsid w:val="45C1129C"/>
    <w:rsid w:val="45CD212E"/>
    <w:rsid w:val="45D22B90"/>
    <w:rsid w:val="45E52275"/>
    <w:rsid w:val="45F24729"/>
    <w:rsid w:val="460170DF"/>
    <w:rsid w:val="460575C2"/>
    <w:rsid w:val="461078CC"/>
    <w:rsid w:val="461335B2"/>
    <w:rsid w:val="46252C2E"/>
    <w:rsid w:val="463D05AF"/>
    <w:rsid w:val="466237DD"/>
    <w:rsid w:val="467C0677"/>
    <w:rsid w:val="46872931"/>
    <w:rsid w:val="468C4E31"/>
    <w:rsid w:val="46973D95"/>
    <w:rsid w:val="46975427"/>
    <w:rsid w:val="46BE5735"/>
    <w:rsid w:val="46C80973"/>
    <w:rsid w:val="46C958D9"/>
    <w:rsid w:val="46CC2C90"/>
    <w:rsid w:val="46F34790"/>
    <w:rsid w:val="46F47843"/>
    <w:rsid w:val="470B7B4F"/>
    <w:rsid w:val="47301A1F"/>
    <w:rsid w:val="47345E74"/>
    <w:rsid w:val="476375A4"/>
    <w:rsid w:val="476B73F9"/>
    <w:rsid w:val="47766F82"/>
    <w:rsid w:val="477808DC"/>
    <w:rsid w:val="477E0840"/>
    <w:rsid w:val="47A2673A"/>
    <w:rsid w:val="47A41115"/>
    <w:rsid w:val="47AD35F1"/>
    <w:rsid w:val="47B26554"/>
    <w:rsid w:val="47BC3CBC"/>
    <w:rsid w:val="47E16C66"/>
    <w:rsid w:val="47E53F11"/>
    <w:rsid w:val="47E92625"/>
    <w:rsid w:val="47EC076B"/>
    <w:rsid w:val="47F170D7"/>
    <w:rsid w:val="47F62C50"/>
    <w:rsid w:val="47FB6BF2"/>
    <w:rsid w:val="4821365E"/>
    <w:rsid w:val="4833417B"/>
    <w:rsid w:val="483E2C48"/>
    <w:rsid w:val="485100E3"/>
    <w:rsid w:val="48513785"/>
    <w:rsid w:val="48555DF9"/>
    <w:rsid w:val="486445A2"/>
    <w:rsid w:val="488210BD"/>
    <w:rsid w:val="48C163CC"/>
    <w:rsid w:val="48C976F8"/>
    <w:rsid w:val="48CD1F6D"/>
    <w:rsid w:val="48DF0936"/>
    <w:rsid w:val="48E10B27"/>
    <w:rsid w:val="48E91654"/>
    <w:rsid w:val="48F67FD1"/>
    <w:rsid w:val="48F80675"/>
    <w:rsid w:val="49062137"/>
    <w:rsid w:val="49180FAD"/>
    <w:rsid w:val="491D0797"/>
    <w:rsid w:val="492916E5"/>
    <w:rsid w:val="495C43A8"/>
    <w:rsid w:val="495F6124"/>
    <w:rsid w:val="496269CF"/>
    <w:rsid w:val="4964100C"/>
    <w:rsid w:val="496B0A98"/>
    <w:rsid w:val="496B4813"/>
    <w:rsid w:val="496B6568"/>
    <w:rsid w:val="497306C2"/>
    <w:rsid w:val="49773C4D"/>
    <w:rsid w:val="497C2834"/>
    <w:rsid w:val="49876A1F"/>
    <w:rsid w:val="4995526E"/>
    <w:rsid w:val="49960A5D"/>
    <w:rsid w:val="49BD7C25"/>
    <w:rsid w:val="49C138DD"/>
    <w:rsid w:val="49CD4101"/>
    <w:rsid w:val="49DD39A0"/>
    <w:rsid w:val="49E1388C"/>
    <w:rsid w:val="4A02563D"/>
    <w:rsid w:val="4A306343"/>
    <w:rsid w:val="4A526A30"/>
    <w:rsid w:val="4A541AC0"/>
    <w:rsid w:val="4A587333"/>
    <w:rsid w:val="4A680678"/>
    <w:rsid w:val="4A6F4337"/>
    <w:rsid w:val="4A763791"/>
    <w:rsid w:val="4A763F07"/>
    <w:rsid w:val="4A8F1AFA"/>
    <w:rsid w:val="4A984115"/>
    <w:rsid w:val="4AA10CFF"/>
    <w:rsid w:val="4AA33132"/>
    <w:rsid w:val="4AAC197A"/>
    <w:rsid w:val="4AAD1EA8"/>
    <w:rsid w:val="4AB25D9A"/>
    <w:rsid w:val="4AB74CD9"/>
    <w:rsid w:val="4ABA533E"/>
    <w:rsid w:val="4ADA43E3"/>
    <w:rsid w:val="4ADB398D"/>
    <w:rsid w:val="4ADD17A6"/>
    <w:rsid w:val="4ADD4C38"/>
    <w:rsid w:val="4AE548F3"/>
    <w:rsid w:val="4AEB5299"/>
    <w:rsid w:val="4AFA436D"/>
    <w:rsid w:val="4B15402C"/>
    <w:rsid w:val="4B2C07FE"/>
    <w:rsid w:val="4B520EE2"/>
    <w:rsid w:val="4B63156F"/>
    <w:rsid w:val="4B765093"/>
    <w:rsid w:val="4B777B82"/>
    <w:rsid w:val="4B7B7974"/>
    <w:rsid w:val="4B87251D"/>
    <w:rsid w:val="4B8860FC"/>
    <w:rsid w:val="4B8B3C2F"/>
    <w:rsid w:val="4B9B1C08"/>
    <w:rsid w:val="4BA253D7"/>
    <w:rsid w:val="4BA86F6E"/>
    <w:rsid w:val="4BB3450F"/>
    <w:rsid w:val="4BE16A22"/>
    <w:rsid w:val="4C12448A"/>
    <w:rsid w:val="4C172C9C"/>
    <w:rsid w:val="4C1B573C"/>
    <w:rsid w:val="4C2B62AF"/>
    <w:rsid w:val="4C2F15E7"/>
    <w:rsid w:val="4C3178D6"/>
    <w:rsid w:val="4C4B33B8"/>
    <w:rsid w:val="4C4E58B8"/>
    <w:rsid w:val="4C5A62A9"/>
    <w:rsid w:val="4C616539"/>
    <w:rsid w:val="4C763DEB"/>
    <w:rsid w:val="4C7B1FD8"/>
    <w:rsid w:val="4C820E0A"/>
    <w:rsid w:val="4C94747C"/>
    <w:rsid w:val="4C9C1E09"/>
    <w:rsid w:val="4CBE07A3"/>
    <w:rsid w:val="4CC43FCB"/>
    <w:rsid w:val="4CC841BF"/>
    <w:rsid w:val="4CE6160A"/>
    <w:rsid w:val="4CF61C76"/>
    <w:rsid w:val="4D145E2C"/>
    <w:rsid w:val="4D260932"/>
    <w:rsid w:val="4D3A7786"/>
    <w:rsid w:val="4D4E270B"/>
    <w:rsid w:val="4D5A5E73"/>
    <w:rsid w:val="4D640443"/>
    <w:rsid w:val="4D6469D4"/>
    <w:rsid w:val="4D6B3EE8"/>
    <w:rsid w:val="4D780882"/>
    <w:rsid w:val="4D8F26D4"/>
    <w:rsid w:val="4DA64A32"/>
    <w:rsid w:val="4DC74D5D"/>
    <w:rsid w:val="4DC8137D"/>
    <w:rsid w:val="4DD104F7"/>
    <w:rsid w:val="4DD74C40"/>
    <w:rsid w:val="4DF03DD8"/>
    <w:rsid w:val="4E1E2928"/>
    <w:rsid w:val="4E245641"/>
    <w:rsid w:val="4E3B233B"/>
    <w:rsid w:val="4E452827"/>
    <w:rsid w:val="4E6B7827"/>
    <w:rsid w:val="4E717C36"/>
    <w:rsid w:val="4E7469B0"/>
    <w:rsid w:val="4E7C6725"/>
    <w:rsid w:val="4E894B68"/>
    <w:rsid w:val="4E9233CC"/>
    <w:rsid w:val="4ECA55E9"/>
    <w:rsid w:val="4ED20851"/>
    <w:rsid w:val="4EDB0525"/>
    <w:rsid w:val="4F0B6B45"/>
    <w:rsid w:val="4F217FA4"/>
    <w:rsid w:val="4F2E7059"/>
    <w:rsid w:val="4F381549"/>
    <w:rsid w:val="4F4D1B92"/>
    <w:rsid w:val="4F552A8D"/>
    <w:rsid w:val="4F5573EC"/>
    <w:rsid w:val="4F6C2328"/>
    <w:rsid w:val="4F720F98"/>
    <w:rsid w:val="4F7E7E57"/>
    <w:rsid w:val="4FA311ED"/>
    <w:rsid w:val="4FC2676D"/>
    <w:rsid w:val="4FCD4D7E"/>
    <w:rsid w:val="4FCD7B97"/>
    <w:rsid w:val="4FE51FDF"/>
    <w:rsid w:val="4FED0636"/>
    <w:rsid w:val="4FF4430D"/>
    <w:rsid w:val="4FFF7054"/>
    <w:rsid w:val="502D2409"/>
    <w:rsid w:val="503B4C96"/>
    <w:rsid w:val="50622939"/>
    <w:rsid w:val="50645068"/>
    <w:rsid w:val="50650BBD"/>
    <w:rsid w:val="50667ECD"/>
    <w:rsid w:val="50677CFF"/>
    <w:rsid w:val="50866CB3"/>
    <w:rsid w:val="50965111"/>
    <w:rsid w:val="509D49B0"/>
    <w:rsid w:val="50A74638"/>
    <w:rsid w:val="50A762FA"/>
    <w:rsid w:val="50B1290B"/>
    <w:rsid w:val="50E52B92"/>
    <w:rsid w:val="5114421D"/>
    <w:rsid w:val="51235B65"/>
    <w:rsid w:val="514F44E6"/>
    <w:rsid w:val="51511DE6"/>
    <w:rsid w:val="515A5E4A"/>
    <w:rsid w:val="516F7876"/>
    <w:rsid w:val="51817DA0"/>
    <w:rsid w:val="51896F7E"/>
    <w:rsid w:val="518B7DCC"/>
    <w:rsid w:val="519D7AFE"/>
    <w:rsid w:val="51AC32B5"/>
    <w:rsid w:val="51BA0625"/>
    <w:rsid w:val="51BB7233"/>
    <w:rsid w:val="51DD4250"/>
    <w:rsid w:val="51DE0889"/>
    <w:rsid w:val="51E3343D"/>
    <w:rsid w:val="51F64E35"/>
    <w:rsid w:val="521244D1"/>
    <w:rsid w:val="52217271"/>
    <w:rsid w:val="52346DD4"/>
    <w:rsid w:val="523B7474"/>
    <w:rsid w:val="52477647"/>
    <w:rsid w:val="525354E8"/>
    <w:rsid w:val="52553BB4"/>
    <w:rsid w:val="52735900"/>
    <w:rsid w:val="52882426"/>
    <w:rsid w:val="52AC23E6"/>
    <w:rsid w:val="52B60A74"/>
    <w:rsid w:val="52B72911"/>
    <w:rsid w:val="52BE1C30"/>
    <w:rsid w:val="52C4101E"/>
    <w:rsid w:val="52CE5709"/>
    <w:rsid w:val="52D749E9"/>
    <w:rsid w:val="52EF1FEF"/>
    <w:rsid w:val="52F663CB"/>
    <w:rsid w:val="53090BCE"/>
    <w:rsid w:val="531D6FCA"/>
    <w:rsid w:val="531F1EBA"/>
    <w:rsid w:val="53271117"/>
    <w:rsid w:val="53286AE1"/>
    <w:rsid w:val="53506D06"/>
    <w:rsid w:val="53583EE5"/>
    <w:rsid w:val="535A6127"/>
    <w:rsid w:val="536410A1"/>
    <w:rsid w:val="536E405E"/>
    <w:rsid w:val="538672C8"/>
    <w:rsid w:val="53940CE8"/>
    <w:rsid w:val="53A313D6"/>
    <w:rsid w:val="53B71942"/>
    <w:rsid w:val="53BE73B2"/>
    <w:rsid w:val="53C83136"/>
    <w:rsid w:val="53CD1125"/>
    <w:rsid w:val="53DA04C7"/>
    <w:rsid w:val="53E04593"/>
    <w:rsid w:val="53E84950"/>
    <w:rsid w:val="53FC273E"/>
    <w:rsid w:val="541D6048"/>
    <w:rsid w:val="54374325"/>
    <w:rsid w:val="543E3001"/>
    <w:rsid w:val="5458228A"/>
    <w:rsid w:val="548B1E79"/>
    <w:rsid w:val="549C71E9"/>
    <w:rsid w:val="54A9327E"/>
    <w:rsid w:val="54A94B4B"/>
    <w:rsid w:val="54F10BA0"/>
    <w:rsid w:val="55005956"/>
    <w:rsid w:val="550915F2"/>
    <w:rsid w:val="55145538"/>
    <w:rsid w:val="553C2351"/>
    <w:rsid w:val="557A3158"/>
    <w:rsid w:val="55810EAF"/>
    <w:rsid w:val="558217B0"/>
    <w:rsid w:val="558C6FD5"/>
    <w:rsid w:val="55977BE1"/>
    <w:rsid w:val="559F2936"/>
    <w:rsid w:val="55A91E0C"/>
    <w:rsid w:val="55AA2D7D"/>
    <w:rsid w:val="55AF5218"/>
    <w:rsid w:val="55B85769"/>
    <w:rsid w:val="55C47CD1"/>
    <w:rsid w:val="55E226C1"/>
    <w:rsid w:val="55F44F08"/>
    <w:rsid w:val="55F46E16"/>
    <w:rsid w:val="560E540B"/>
    <w:rsid w:val="561A7159"/>
    <w:rsid w:val="561E1098"/>
    <w:rsid w:val="5625006E"/>
    <w:rsid w:val="563220A0"/>
    <w:rsid w:val="563237F8"/>
    <w:rsid w:val="563E2D03"/>
    <w:rsid w:val="56434E12"/>
    <w:rsid w:val="564A6E44"/>
    <w:rsid w:val="56636026"/>
    <w:rsid w:val="566A112C"/>
    <w:rsid w:val="56953E0C"/>
    <w:rsid w:val="569C600C"/>
    <w:rsid w:val="56A535E3"/>
    <w:rsid w:val="56CB34AB"/>
    <w:rsid w:val="56CE774C"/>
    <w:rsid w:val="56D26233"/>
    <w:rsid w:val="56D42C5D"/>
    <w:rsid w:val="56FA7517"/>
    <w:rsid w:val="573F35EC"/>
    <w:rsid w:val="574B12A7"/>
    <w:rsid w:val="57646D98"/>
    <w:rsid w:val="57770AC7"/>
    <w:rsid w:val="57926F13"/>
    <w:rsid w:val="57B64E9C"/>
    <w:rsid w:val="57C758F3"/>
    <w:rsid w:val="57CC126E"/>
    <w:rsid w:val="57D109B6"/>
    <w:rsid w:val="57D24CC8"/>
    <w:rsid w:val="57D65A5C"/>
    <w:rsid w:val="57D80044"/>
    <w:rsid w:val="57DF0128"/>
    <w:rsid w:val="57F475DE"/>
    <w:rsid w:val="57F5299B"/>
    <w:rsid w:val="58030469"/>
    <w:rsid w:val="580572EF"/>
    <w:rsid w:val="580C33D4"/>
    <w:rsid w:val="58252B18"/>
    <w:rsid w:val="582548A0"/>
    <w:rsid w:val="58275A99"/>
    <w:rsid w:val="582E27EA"/>
    <w:rsid w:val="584E29FC"/>
    <w:rsid w:val="58AC4AC0"/>
    <w:rsid w:val="58C87B1B"/>
    <w:rsid w:val="58E4336F"/>
    <w:rsid w:val="58EC7C80"/>
    <w:rsid w:val="58F63523"/>
    <w:rsid w:val="590340AB"/>
    <w:rsid w:val="591B30E2"/>
    <w:rsid w:val="59296424"/>
    <w:rsid w:val="593774AA"/>
    <w:rsid w:val="593A23FB"/>
    <w:rsid w:val="595857B7"/>
    <w:rsid w:val="59680AFF"/>
    <w:rsid w:val="597A06CD"/>
    <w:rsid w:val="597E683E"/>
    <w:rsid w:val="5980712A"/>
    <w:rsid w:val="598A5C9F"/>
    <w:rsid w:val="598C5077"/>
    <w:rsid w:val="5993469C"/>
    <w:rsid w:val="59990361"/>
    <w:rsid w:val="59A60B4F"/>
    <w:rsid w:val="59AF2DAB"/>
    <w:rsid w:val="59BC7398"/>
    <w:rsid w:val="59DB4D5D"/>
    <w:rsid w:val="59EE061B"/>
    <w:rsid w:val="5A11692D"/>
    <w:rsid w:val="5A125484"/>
    <w:rsid w:val="5A2D45C0"/>
    <w:rsid w:val="5A2D7725"/>
    <w:rsid w:val="5A4108A1"/>
    <w:rsid w:val="5A473D85"/>
    <w:rsid w:val="5A4D7001"/>
    <w:rsid w:val="5A5A4BF4"/>
    <w:rsid w:val="5A745DF1"/>
    <w:rsid w:val="5A7F23CD"/>
    <w:rsid w:val="5A833283"/>
    <w:rsid w:val="5A9B02E2"/>
    <w:rsid w:val="5AAB4FC0"/>
    <w:rsid w:val="5AAF5C47"/>
    <w:rsid w:val="5AB00C94"/>
    <w:rsid w:val="5AB16DCA"/>
    <w:rsid w:val="5ACE3D3D"/>
    <w:rsid w:val="5AEA3F7D"/>
    <w:rsid w:val="5AF83C5D"/>
    <w:rsid w:val="5B3368A1"/>
    <w:rsid w:val="5B3E7FFA"/>
    <w:rsid w:val="5B4E531F"/>
    <w:rsid w:val="5B6D4506"/>
    <w:rsid w:val="5B7C15BC"/>
    <w:rsid w:val="5B932F38"/>
    <w:rsid w:val="5B983040"/>
    <w:rsid w:val="5BA46AFB"/>
    <w:rsid w:val="5BB05DB9"/>
    <w:rsid w:val="5BD27C9D"/>
    <w:rsid w:val="5BEF0829"/>
    <w:rsid w:val="5BEF7B5D"/>
    <w:rsid w:val="5BF0137D"/>
    <w:rsid w:val="5C0765E8"/>
    <w:rsid w:val="5C1610C9"/>
    <w:rsid w:val="5C1972FD"/>
    <w:rsid w:val="5C516A86"/>
    <w:rsid w:val="5C55509A"/>
    <w:rsid w:val="5C5A0DD1"/>
    <w:rsid w:val="5C6B48E6"/>
    <w:rsid w:val="5C77075A"/>
    <w:rsid w:val="5CA2029A"/>
    <w:rsid w:val="5CC76A9B"/>
    <w:rsid w:val="5CE62EDB"/>
    <w:rsid w:val="5CF36362"/>
    <w:rsid w:val="5CFF7E50"/>
    <w:rsid w:val="5D0B1740"/>
    <w:rsid w:val="5D0E4527"/>
    <w:rsid w:val="5D167DAE"/>
    <w:rsid w:val="5D170799"/>
    <w:rsid w:val="5D1E5520"/>
    <w:rsid w:val="5D577C77"/>
    <w:rsid w:val="5D78475A"/>
    <w:rsid w:val="5D997BB5"/>
    <w:rsid w:val="5DA450B0"/>
    <w:rsid w:val="5DB052B7"/>
    <w:rsid w:val="5DB47848"/>
    <w:rsid w:val="5DBD394C"/>
    <w:rsid w:val="5DD527C4"/>
    <w:rsid w:val="5DE76C35"/>
    <w:rsid w:val="5DE80851"/>
    <w:rsid w:val="5DE81780"/>
    <w:rsid w:val="5DE85697"/>
    <w:rsid w:val="5E0418DE"/>
    <w:rsid w:val="5E2A65B7"/>
    <w:rsid w:val="5E2F4AF5"/>
    <w:rsid w:val="5E542E55"/>
    <w:rsid w:val="5E594E2B"/>
    <w:rsid w:val="5E7104EF"/>
    <w:rsid w:val="5E717ED1"/>
    <w:rsid w:val="5E72200D"/>
    <w:rsid w:val="5E901559"/>
    <w:rsid w:val="5E9212EC"/>
    <w:rsid w:val="5E9716B3"/>
    <w:rsid w:val="5EB34ED4"/>
    <w:rsid w:val="5EB63F07"/>
    <w:rsid w:val="5EC227E8"/>
    <w:rsid w:val="5EE3093E"/>
    <w:rsid w:val="5EFA762D"/>
    <w:rsid w:val="5EFC67D4"/>
    <w:rsid w:val="5EFE14A1"/>
    <w:rsid w:val="5F0204D2"/>
    <w:rsid w:val="5F224F2D"/>
    <w:rsid w:val="5F2C3420"/>
    <w:rsid w:val="5F44199C"/>
    <w:rsid w:val="5F7345ED"/>
    <w:rsid w:val="5F800367"/>
    <w:rsid w:val="5F850DF7"/>
    <w:rsid w:val="5F9B5DDA"/>
    <w:rsid w:val="5FBC046B"/>
    <w:rsid w:val="5FD06A5C"/>
    <w:rsid w:val="5FD97945"/>
    <w:rsid w:val="5FDF02CE"/>
    <w:rsid w:val="5FE22EAA"/>
    <w:rsid w:val="5FF6282C"/>
    <w:rsid w:val="600D30C9"/>
    <w:rsid w:val="60145DEB"/>
    <w:rsid w:val="60146C0A"/>
    <w:rsid w:val="601F5BA3"/>
    <w:rsid w:val="602D18C7"/>
    <w:rsid w:val="602E095E"/>
    <w:rsid w:val="603A29D0"/>
    <w:rsid w:val="604025FD"/>
    <w:rsid w:val="60435BE9"/>
    <w:rsid w:val="60480EC3"/>
    <w:rsid w:val="60570BF7"/>
    <w:rsid w:val="6069251B"/>
    <w:rsid w:val="607A1866"/>
    <w:rsid w:val="607D4453"/>
    <w:rsid w:val="60971C78"/>
    <w:rsid w:val="60AA505C"/>
    <w:rsid w:val="60B113C0"/>
    <w:rsid w:val="60B746A8"/>
    <w:rsid w:val="60E34DD3"/>
    <w:rsid w:val="61025F69"/>
    <w:rsid w:val="611A4E76"/>
    <w:rsid w:val="611B1281"/>
    <w:rsid w:val="613A6965"/>
    <w:rsid w:val="61430E48"/>
    <w:rsid w:val="61483C39"/>
    <w:rsid w:val="618204C7"/>
    <w:rsid w:val="61844E0C"/>
    <w:rsid w:val="619C63C3"/>
    <w:rsid w:val="61B17A6D"/>
    <w:rsid w:val="61B22BD0"/>
    <w:rsid w:val="61C07861"/>
    <w:rsid w:val="61C421C6"/>
    <w:rsid w:val="61C4343C"/>
    <w:rsid w:val="61D10C10"/>
    <w:rsid w:val="61D3713B"/>
    <w:rsid w:val="61E31599"/>
    <w:rsid w:val="61EB5CA8"/>
    <w:rsid w:val="61F15EBD"/>
    <w:rsid w:val="62070B03"/>
    <w:rsid w:val="62172C7B"/>
    <w:rsid w:val="623F40F9"/>
    <w:rsid w:val="625574A4"/>
    <w:rsid w:val="626B3E0A"/>
    <w:rsid w:val="627C588B"/>
    <w:rsid w:val="627F43D0"/>
    <w:rsid w:val="62816233"/>
    <w:rsid w:val="629244F3"/>
    <w:rsid w:val="62B742F9"/>
    <w:rsid w:val="62B824BE"/>
    <w:rsid w:val="62B96A56"/>
    <w:rsid w:val="62BF1040"/>
    <w:rsid w:val="62E06DF7"/>
    <w:rsid w:val="62E57493"/>
    <w:rsid w:val="62E81512"/>
    <w:rsid w:val="62EE61B3"/>
    <w:rsid w:val="62F72880"/>
    <w:rsid w:val="6304562C"/>
    <w:rsid w:val="630E7B41"/>
    <w:rsid w:val="63167FFA"/>
    <w:rsid w:val="631B1D3F"/>
    <w:rsid w:val="634352CA"/>
    <w:rsid w:val="63715BE5"/>
    <w:rsid w:val="63730C29"/>
    <w:rsid w:val="637830D8"/>
    <w:rsid w:val="637B6367"/>
    <w:rsid w:val="63843C4C"/>
    <w:rsid w:val="63B648B9"/>
    <w:rsid w:val="63D678B0"/>
    <w:rsid w:val="63F37152"/>
    <w:rsid w:val="640F1B7B"/>
    <w:rsid w:val="64232808"/>
    <w:rsid w:val="647E69BC"/>
    <w:rsid w:val="64837EF1"/>
    <w:rsid w:val="64910066"/>
    <w:rsid w:val="64AB323D"/>
    <w:rsid w:val="64B772F8"/>
    <w:rsid w:val="64C556A2"/>
    <w:rsid w:val="64D06666"/>
    <w:rsid w:val="64E169D7"/>
    <w:rsid w:val="64F91F79"/>
    <w:rsid w:val="6502396F"/>
    <w:rsid w:val="65041CB8"/>
    <w:rsid w:val="650F2954"/>
    <w:rsid w:val="65140357"/>
    <w:rsid w:val="65155A45"/>
    <w:rsid w:val="65164B77"/>
    <w:rsid w:val="65220C0F"/>
    <w:rsid w:val="653C50AA"/>
    <w:rsid w:val="655D29A1"/>
    <w:rsid w:val="65827861"/>
    <w:rsid w:val="65A37BCC"/>
    <w:rsid w:val="65A8144B"/>
    <w:rsid w:val="65A83D44"/>
    <w:rsid w:val="65B00AE0"/>
    <w:rsid w:val="65FE254E"/>
    <w:rsid w:val="66210492"/>
    <w:rsid w:val="662A31AD"/>
    <w:rsid w:val="667B5265"/>
    <w:rsid w:val="669528DC"/>
    <w:rsid w:val="669B3C1E"/>
    <w:rsid w:val="66AE5ED4"/>
    <w:rsid w:val="66D0270A"/>
    <w:rsid w:val="66E20F77"/>
    <w:rsid w:val="66EC6378"/>
    <w:rsid w:val="66F5475F"/>
    <w:rsid w:val="67043D1A"/>
    <w:rsid w:val="670B36BE"/>
    <w:rsid w:val="670C598A"/>
    <w:rsid w:val="67195B76"/>
    <w:rsid w:val="673769B5"/>
    <w:rsid w:val="673E5C6A"/>
    <w:rsid w:val="675C1A15"/>
    <w:rsid w:val="67615C9A"/>
    <w:rsid w:val="676B2C51"/>
    <w:rsid w:val="677D193A"/>
    <w:rsid w:val="677F612D"/>
    <w:rsid w:val="67852B8A"/>
    <w:rsid w:val="6798388F"/>
    <w:rsid w:val="67AF3B03"/>
    <w:rsid w:val="67B754E2"/>
    <w:rsid w:val="67C10187"/>
    <w:rsid w:val="67C8129B"/>
    <w:rsid w:val="67E1380B"/>
    <w:rsid w:val="67E26655"/>
    <w:rsid w:val="67E71602"/>
    <w:rsid w:val="67F15692"/>
    <w:rsid w:val="680C2BE0"/>
    <w:rsid w:val="68307C0E"/>
    <w:rsid w:val="683E02CC"/>
    <w:rsid w:val="684740B4"/>
    <w:rsid w:val="68553C5C"/>
    <w:rsid w:val="686E2541"/>
    <w:rsid w:val="688A7C10"/>
    <w:rsid w:val="68985D83"/>
    <w:rsid w:val="68990F83"/>
    <w:rsid w:val="68A95974"/>
    <w:rsid w:val="68C059EF"/>
    <w:rsid w:val="68D77756"/>
    <w:rsid w:val="68E30CCD"/>
    <w:rsid w:val="69210879"/>
    <w:rsid w:val="692872EE"/>
    <w:rsid w:val="693E229F"/>
    <w:rsid w:val="69407144"/>
    <w:rsid w:val="69442EAE"/>
    <w:rsid w:val="694478CB"/>
    <w:rsid w:val="698A3661"/>
    <w:rsid w:val="69A3064C"/>
    <w:rsid w:val="69B92A7A"/>
    <w:rsid w:val="69C11EA3"/>
    <w:rsid w:val="69CD2E76"/>
    <w:rsid w:val="69F33463"/>
    <w:rsid w:val="69FA1438"/>
    <w:rsid w:val="69FF78EE"/>
    <w:rsid w:val="6A387CD6"/>
    <w:rsid w:val="6A3D0DD1"/>
    <w:rsid w:val="6A4865F5"/>
    <w:rsid w:val="6A73466E"/>
    <w:rsid w:val="6A7C0C49"/>
    <w:rsid w:val="6A7F3DB5"/>
    <w:rsid w:val="6A7F7EBD"/>
    <w:rsid w:val="6A892565"/>
    <w:rsid w:val="6A9E11AD"/>
    <w:rsid w:val="6AA86F71"/>
    <w:rsid w:val="6AAE1762"/>
    <w:rsid w:val="6ACE521F"/>
    <w:rsid w:val="6AF02361"/>
    <w:rsid w:val="6AF13815"/>
    <w:rsid w:val="6AF6334F"/>
    <w:rsid w:val="6AFD6455"/>
    <w:rsid w:val="6B094048"/>
    <w:rsid w:val="6B0F4E72"/>
    <w:rsid w:val="6B330B60"/>
    <w:rsid w:val="6B3F6DEB"/>
    <w:rsid w:val="6B524C5B"/>
    <w:rsid w:val="6B626932"/>
    <w:rsid w:val="6B6D16CF"/>
    <w:rsid w:val="6B6E711A"/>
    <w:rsid w:val="6B8240B6"/>
    <w:rsid w:val="6B97663E"/>
    <w:rsid w:val="6BB20472"/>
    <w:rsid w:val="6BD52DC7"/>
    <w:rsid w:val="6BED03D2"/>
    <w:rsid w:val="6BF414B0"/>
    <w:rsid w:val="6C006BDF"/>
    <w:rsid w:val="6C2C19B5"/>
    <w:rsid w:val="6C2D1522"/>
    <w:rsid w:val="6C4A2C5D"/>
    <w:rsid w:val="6C4D0D41"/>
    <w:rsid w:val="6C8F6757"/>
    <w:rsid w:val="6CBC6D55"/>
    <w:rsid w:val="6CC0465F"/>
    <w:rsid w:val="6CDB72AD"/>
    <w:rsid w:val="6D183486"/>
    <w:rsid w:val="6D315B68"/>
    <w:rsid w:val="6D3B5245"/>
    <w:rsid w:val="6D582628"/>
    <w:rsid w:val="6D58713D"/>
    <w:rsid w:val="6D7005F0"/>
    <w:rsid w:val="6D71140B"/>
    <w:rsid w:val="6D8C2DDF"/>
    <w:rsid w:val="6DB0359D"/>
    <w:rsid w:val="6DBD6C1B"/>
    <w:rsid w:val="6DEA564E"/>
    <w:rsid w:val="6E1776F3"/>
    <w:rsid w:val="6E177CAE"/>
    <w:rsid w:val="6E2A467F"/>
    <w:rsid w:val="6E301F67"/>
    <w:rsid w:val="6E396D8E"/>
    <w:rsid w:val="6E5A5F47"/>
    <w:rsid w:val="6E7568F3"/>
    <w:rsid w:val="6E7E51C7"/>
    <w:rsid w:val="6E8917E9"/>
    <w:rsid w:val="6E925929"/>
    <w:rsid w:val="6EAC36D2"/>
    <w:rsid w:val="6EB1101F"/>
    <w:rsid w:val="6EB3323F"/>
    <w:rsid w:val="6EC32310"/>
    <w:rsid w:val="6ECA2AA8"/>
    <w:rsid w:val="6ED77F2F"/>
    <w:rsid w:val="6EEE1CC8"/>
    <w:rsid w:val="6EFB66CE"/>
    <w:rsid w:val="6F0C2BB2"/>
    <w:rsid w:val="6F185EEE"/>
    <w:rsid w:val="6F1E6886"/>
    <w:rsid w:val="6F2A15DE"/>
    <w:rsid w:val="6F440872"/>
    <w:rsid w:val="6F4B6DFC"/>
    <w:rsid w:val="6F5E09D9"/>
    <w:rsid w:val="6F6472C5"/>
    <w:rsid w:val="6F6962F7"/>
    <w:rsid w:val="6F980445"/>
    <w:rsid w:val="6FA933C1"/>
    <w:rsid w:val="6FAE2539"/>
    <w:rsid w:val="6FBA4B35"/>
    <w:rsid w:val="6FCB03B4"/>
    <w:rsid w:val="6FDB242B"/>
    <w:rsid w:val="70033D08"/>
    <w:rsid w:val="701A710F"/>
    <w:rsid w:val="701C52E1"/>
    <w:rsid w:val="701D01C6"/>
    <w:rsid w:val="704D76A4"/>
    <w:rsid w:val="704E0B4C"/>
    <w:rsid w:val="70585C63"/>
    <w:rsid w:val="70655073"/>
    <w:rsid w:val="706C22D0"/>
    <w:rsid w:val="706F39FE"/>
    <w:rsid w:val="709507A9"/>
    <w:rsid w:val="709C7AC1"/>
    <w:rsid w:val="70B25646"/>
    <w:rsid w:val="70DC5186"/>
    <w:rsid w:val="70F013A9"/>
    <w:rsid w:val="71144C14"/>
    <w:rsid w:val="711621FF"/>
    <w:rsid w:val="712829ED"/>
    <w:rsid w:val="7136693C"/>
    <w:rsid w:val="714E04D5"/>
    <w:rsid w:val="715F724C"/>
    <w:rsid w:val="71A34156"/>
    <w:rsid w:val="71AC5C3D"/>
    <w:rsid w:val="71BA6DFE"/>
    <w:rsid w:val="71BE1FF6"/>
    <w:rsid w:val="71D04F66"/>
    <w:rsid w:val="71D753A7"/>
    <w:rsid w:val="71DA1722"/>
    <w:rsid w:val="71DD13B1"/>
    <w:rsid w:val="71DD6926"/>
    <w:rsid w:val="71EA2C26"/>
    <w:rsid w:val="720255B3"/>
    <w:rsid w:val="721670AC"/>
    <w:rsid w:val="721C3B20"/>
    <w:rsid w:val="722C6F94"/>
    <w:rsid w:val="72422CAE"/>
    <w:rsid w:val="726B02A8"/>
    <w:rsid w:val="72796FB7"/>
    <w:rsid w:val="72C8175D"/>
    <w:rsid w:val="72D27308"/>
    <w:rsid w:val="72D428C9"/>
    <w:rsid w:val="72D74F43"/>
    <w:rsid w:val="72F62D35"/>
    <w:rsid w:val="73086D5B"/>
    <w:rsid w:val="730F5F65"/>
    <w:rsid w:val="73120AA3"/>
    <w:rsid w:val="731809D6"/>
    <w:rsid w:val="737E593E"/>
    <w:rsid w:val="73806054"/>
    <w:rsid w:val="7381628F"/>
    <w:rsid w:val="73AB65E7"/>
    <w:rsid w:val="73B25812"/>
    <w:rsid w:val="73C05092"/>
    <w:rsid w:val="73C958A3"/>
    <w:rsid w:val="73CA2858"/>
    <w:rsid w:val="73DE5EDD"/>
    <w:rsid w:val="74104AE8"/>
    <w:rsid w:val="742027E2"/>
    <w:rsid w:val="74285064"/>
    <w:rsid w:val="742C1D52"/>
    <w:rsid w:val="742C399E"/>
    <w:rsid w:val="742E5C4D"/>
    <w:rsid w:val="743B5972"/>
    <w:rsid w:val="747F59B5"/>
    <w:rsid w:val="74854BA2"/>
    <w:rsid w:val="7488176B"/>
    <w:rsid w:val="748B16EE"/>
    <w:rsid w:val="748E7664"/>
    <w:rsid w:val="74967356"/>
    <w:rsid w:val="74C8541F"/>
    <w:rsid w:val="74F501FD"/>
    <w:rsid w:val="74FB1ACA"/>
    <w:rsid w:val="74FE3642"/>
    <w:rsid w:val="75065CB0"/>
    <w:rsid w:val="75246BCA"/>
    <w:rsid w:val="75336EA6"/>
    <w:rsid w:val="754B32DC"/>
    <w:rsid w:val="75515A20"/>
    <w:rsid w:val="758111EB"/>
    <w:rsid w:val="75A938B9"/>
    <w:rsid w:val="75BD4962"/>
    <w:rsid w:val="75D62FDC"/>
    <w:rsid w:val="75DE059E"/>
    <w:rsid w:val="75F76DAC"/>
    <w:rsid w:val="75F871F9"/>
    <w:rsid w:val="7606259B"/>
    <w:rsid w:val="76086783"/>
    <w:rsid w:val="761A3497"/>
    <w:rsid w:val="76232EAC"/>
    <w:rsid w:val="764E21CF"/>
    <w:rsid w:val="7662246E"/>
    <w:rsid w:val="766A4F47"/>
    <w:rsid w:val="76714A38"/>
    <w:rsid w:val="767E5F56"/>
    <w:rsid w:val="76970746"/>
    <w:rsid w:val="76B066AE"/>
    <w:rsid w:val="76BF2532"/>
    <w:rsid w:val="76EF2531"/>
    <w:rsid w:val="76F87B71"/>
    <w:rsid w:val="7718105E"/>
    <w:rsid w:val="774221DF"/>
    <w:rsid w:val="77752D98"/>
    <w:rsid w:val="778E6F5B"/>
    <w:rsid w:val="77B30929"/>
    <w:rsid w:val="77C07ECC"/>
    <w:rsid w:val="77C26D06"/>
    <w:rsid w:val="77D568D9"/>
    <w:rsid w:val="77DD38E8"/>
    <w:rsid w:val="77E07FE8"/>
    <w:rsid w:val="77E86FE4"/>
    <w:rsid w:val="7805355A"/>
    <w:rsid w:val="780A2014"/>
    <w:rsid w:val="78353318"/>
    <w:rsid w:val="78482944"/>
    <w:rsid w:val="78610627"/>
    <w:rsid w:val="786E0BEF"/>
    <w:rsid w:val="786E104D"/>
    <w:rsid w:val="78746C9F"/>
    <w:rsid w:val="78885AA3"/>
    <w:rsid w:val="78A85AF8"/>
    <w:rsid w:val="78C862C0"/>
    <w:rsid w:val="78FC2991"/>
    <w:rsid w:val="79033E78"/>
    <w:rsid w:val="79037BC2"/>
    <w:rsid w:val="790D24A6"/>
    <w:rsid w:val="79114702"/>
    <w:rsid w:val="7911758D"/>
    <w:rsid w:val="79202C0C"/>
    <w:rsid w:val="79234CD9"/>
    <w:rsid w:val="793E7DEA"/>
    <w:rsid w:val="795678F2"/>
    <w:rsid w:val="79725DD6"/>
    <w:rsid w:val="798519B4"/>
    <w:rsid w:val="79AD7653"/>
    <w:rsid w:val="79AE363E"/>
    <w:rsid w:val="79BA5E30"/>
    <w:rsid w:val="79C61244"/>
    <w:rsid w:val="79C66631"/>
    <w:rsid w:val="79C83CB6"/>
    <w:rsid w:val="79CA363D"/>
    <w:rsid w:val="79D15831"/>
    <w:rsid w:val="79DC0418"/>
    <w:rsid w:val="79FC7E98"/>
    <w:rsid w:val="7A1F4962"/>
    <w:rsid w:val="7A410FC5"/>
    <w:rsid w:val="7A6232F7"/>
    <w:rsid w:val="7A6668B4"/>
    <w:rsid w:val="7A777292"/>
    <w:rsid w:val="7A8941F2"/>
    <w:rsid w:val="7A971376"/>
    <w:rsid w:val="7AA76D6C"/>
    <w:rsid w:val="7AA851A3"/>
    <w:rsid w:val="7AB370C3"/>
    <w:rsid w:val="7AC648C0"/>
    <w:rsid w:val="7AD346E5"/>
    <w:rsid w:val="7AE86CB6"/>
    <w:rsid w:val="7AE925E1"/>
    <w:rsid w:val="7B0F5838"/>
    <w:rsid w:val="7B105A47"/>
    <w:rsid w:val="7B1C666E"/>
    <w:rsid w:val="7B2771BD"/>
    <w:rsid w:val="7B3A2816"/>
    <w:rsid w:val="7B4A154D"/>
    <w:rsid w:val="7B517A5F"/>
    <w:rsid w:val="7B725F1D"/>
    <w:rsid w:val="7B79413F"/>
    <w:rsid w:val="7B7B5967"/>
    <w:rsid w:val="7B7F66CB"/>
    <w:rsid w:val="7B7F76F7"/>
    <w:rsid w:val="7B807718"/>
    <w:rsid w:val="7B8745E1"/>
    <w:rsid w:val="7B8D76DE"/>
    <w:rsid w:val="7BA637E0"/>
    <w:rsid w:val="7BA838A8"/>
    <w:rsid w:val="7BA96719"/>
    <w:rsid w:val="7BBC5C6B"/>
    <w:rsid w:val="7BC72B7E"/>
    <w:rsid w:val="7BD76B41"/>
    <w:rsid w:val="7BF430C5"/>
    <w:rsid w:val="7BFE5D8F"/>
    <w:rsid w:val="7C287A2A"/>
    <w:rsid w:val="7C5A2653"/>
    <w:rsid w:val="7C5F4510"/>
    <w:rsid w:val="7C80014D"/>
    <w:rsid w:val="7C9520EC"/>
    <w:rsid w:val="7C983112"/>
    <w:rsid w:val="7C9C473F"/>
    <w:rsid w:val="7CB011EF"/>
    <w:rsid w:val="7CCE6E45"/>
    <w:rsid w:val="7CD676DF"/>
    <w:rsid w:val="7CFE5B9F"/>
    <w:rsid w:val="7D0B4599"/>
    <w:rsid w:val="7D1D4E59"/>
    <w:rsid w:val="7D6E0237"/>
    <w:rsid w:val="7D737A05"/>
    <w:rsid w:val="7D777442"/>
    <w:rsid w:val="7D820CF8"/>
    <w:rsid w:val="7D867702"/>
    <w:rsid w:val="7D8D69A7"/>
    <w:rsid w:val="7D993BE1"/>
    <w:rsid w:val="7D9A4F97"/>
    <w:rsid w:val="7DEC248D"/>
    <w:rsid w:val="7DFA3A4C"/>
    <w:rsid w:val="7E2835E0"/>
    <w:rsid w:val="7E2F30AB"/>
    <w:rsid w:val="7E382C98"/>
    <w:rsid w:val="7E5E1300"/>
    <w:rsid w:val="7EA42803"/>
    <w:rsid w:val="7EA441DE"/>
    <w:rsid w:val="7EB33D73"/>
    <w:rsid w:val="7ED359B5"/>
    <w:rsid w:val="7EF575DD"/>
    <w:rsid w:val="7F022C4D"/>
    <w:rsid w:val="7F071BF9"/>
    <w:rsid w:val="7F213357"/>
    <w:rsid w:val="7F215A1A"/>
    <w:rsid w:val="7F350854"/>
    <w:rsid w:val="7F3733D8"/>
    <w:rsid w:val="7F375557"/>
    <w:rsid w:val="7F593EBF"/>
    <w:rsid w:val="7F5C3D08"/>
    <w:rsid w:val="7F6723F7"/>
    <w:rsid w:val="7F75006A"/>
    <w:rsid w:val="7FCE4790"/>
    <w:rsid w:val="7FDE67DB"/>
    <w:rsid w:val="7FE94923"/>
    <w:rsid w:val="7FEC65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Calibri" w:cs="Times New Roman"/>
      <w:sz w:val="34"/>
      <w:lang w:val="en-US" w:eastAsia="zh-CN" w:bidi="ar-SA"/>
    </w:rPr>
  </w:style>
  <w:style w:type="paragraph" w:styleId="3">
    <w:name w:val="heading 1"/>
    <w:basedOn w:val="1"/>
    <w:next w:val="1"/>
    <w:link w:val="96"/>
    <w:qFormat/>
    <w:uiPriority w:val="0"/>
    <w:pPr>
      <w:keepNext/>
      <w:keepLines/>
      <w:spacing w:before="340" w:after="330" w:line="578" w:lineRule="auto"/>
      <w:outlineLvl w:val="0"/>
    </w:pPr>
    <w:rPr>
      <w:rFonts w:ascii="Times New Roman"/>
      <w:b/>
      <w:bCs/>
      <w:kern w:val="44"/>
      <w:sz w:val="44"/>
      <w:szCs w:val="44"/>
    </w:rPr>
  </w:style>
  <w:style w:type="paragraph" w:styleId="4">
    <w:name w:val="heading 2"/>
    <w:basedOn w:val="1"/>
    <w:next w:val="1"/>
    <w:link w:val="100"/>
    <w:qFormat/>
    <w:uiPriority w:val="0"/>
    <w:pPr>
      <w:keepNext/>
      <w:keepLines/>
      <w:spacing w:before="260" w:after="260" w:line="416" w:lineRule="auto"/>
      <w:outlineLvl w:val="1"/>
    </w:pPr>
    <w:rPr>
      <w:rFonts w:ascii="Arial" w:hAnsi="Arial" w:eastAsia="黑体"/>
      <w:b/>
      <w:bCs/>
      <w:kern w:val="2"/>
      <w:sz w:val="32"/>
      <w:szCs w:val="32"/>
    </w:rPr>
  </w:style>
  <w:style w:type="paragraph" w:styleId="5">
    <w:name w:val="heading 3"/>
    <w:basedOn w:val="1"/>
    <w:next w:val="6"/>
    <w:link w:val="79"/>
    <w:qFormat/>
    <w:uiPriority w:val="0"/>
    <w:pPr>
      <w:keepNext/>
      <w:keepLines/>
      <w:spacing w:before="260" w:after="260" w:line="416" w:lineRule="auto"/>
      <w:outlineLvl w:val="2"/>
    </w:pPr>
    <w:rPr>
      <w:rFonts w:ascii="Times New Roman"/>
      <w:b/>
      <w:bCs/>
      <w:kern w:val="2"/>
      <w:sz w:val="32"/>
      <w:szCs w:val="32"/>
    </w:rPr>
  </w:style>
  <w:style w:type="paragraph" w:styleId="8">
    <w:name w:val="heading 4"/>
    <w:basedOn w:val="1"/>
    <w:next w:val="1"/>
    <w:link w:val="99"/>
    <w:qFormat/>
    <w:uiPriority w:val="0"/>
    <w:pPr>
      <w:keepNext/>
      <w:keepLines/>
      <w:spacing w:before="280" w:after="290" w:line="376" w:lineRule="auto"/>
      <w:outlineLvl w:val="3"/>
    </w:pPr>
    <w:rPr>
      <w:rFonts w:ascii="Cambria" w:hAnsi="Cambria"/>
      <w:b/>
      <w:bCs/>
      <w:kern w:val="2"/>
      <w:sz w:val="28"/>
      <w:szCs w:val="28"/>
    </w:rPr>
  </w:style>
  <w:style w:type="character" w:default="1" w:styleId="32">
    <w:name w:val="Default Paragraph Font"/>
    <w:semiHidden/>
    <w:qFormat/>
    <w:uiPriority w:val="0"/>
  </w:style>
  <w:style w:type="table" w:default="1" w:styleId="30">
    <w:name w:val="Normal Table"/>
    <w:semiHidden/>
    <w:qFormat/>
    <w:uiPriority w:val="0"/>
    <w:tblPr>
      <w:tblCellMar>
        <w:top w:w="0" w:type="dxa"/>
        <w:left w:w="108" w:type="dxa"/>
        <w:bottom w:w="0" w:type="dxa"/>
        <w:right w:w="108" w:type="dxa"/>
      </w:tblCellMar>
    </w:tblPr>
  </w:style>
  <w:style w:type="paragraph" w:styleId="2">
    <w:name w:val="Body Text"/>
    <w:basedOn w:val="1"/>
    <w:next w:val="1"/>
    <w:link w:val="80"/>
    <w:qFormat/>
    <w:uiPriority w:val="0"/>
    <w:pPr>
      <w:spacing w:after="120"/>
    </w:pPr>
    <w:rPr>
      <w:rFonts w:ascii="Times New Roman"/>
      <w:kern w:val="2"/>
      <w:sz w:val="21"/>
      <w:szCs w:val="24"/>
    </w:rPr>
  </w:style>
  <w:style w:type="paragraph" w:styleId="6">
    <w:name w:val="Normal Indent"/>
    <w:basedOn w:val="1"/>
    <w:next w:val="7"/>
    <w:link w:val="97"/>
    <w:qFormat/>
    <w:uiPriority w:val="0"/>
    <w:pPr>
      <w:ind w:firstLine="420" w:firstLineChars="200"/>
    </w:pPr>
    <w:rPr>
      <w:rFonts w:ascii="Times New Roman"/>
      <w:kern w:val="2"/>
      <w:sz w:val="21"/>
      <w:szCs w:val="24"/>
    </w:rPr>
  </w:style>
  <w:style w:type="paragraph" w:customStyle="1" w:styleId="7">
    <w:name w:val="首行缩进"/>
    <w:basedOn w:val="1"/>
    <w:qFormat/>
    <w:uiPriority w:val="0"/>
    <w:pPr>
      <w:spacing w:after="50" w:afterLines="50" w:line="300" w:lineRule="auto"/>
      <w:ind w:firstLine="200" w:firstLineChars="200"/>
    </w:pPr>
    <w:rPr>
      <w:szCs w:val="24"/>
    </w:rPr>
  </w:style>
  <w:style w:type="paragraph" w:styleId="9">
    <w:name w:val="toc 7"/>
    <w:basedOn w:val="1"/>
    <w:next w:val="1"/>
    <w:unhideWhenUsed/>
    <w:qFormat/>
    <w:uiPriority w:val="39"/>
    <w:pPr>
      <w:ind w:left="2520" w:leftChars="1200"/>
    </w:pPr>
    <w:rPr>
      <w:rFonts w:ascii="Calibri" w:hAnsi="Calibri" w:eastAsia="宋体" w:cs="Times New Roman"/>
      <w:kern w:val="2"/>
      <w:sz w:val="21"/>
      <w:szCs w:val="22"/>
    </w:rPr>
  </w:style>
  <w:style w:type="paragraph" w:styleId="10">
    <w:name w:val="Document Map"/>
    <w:basedOn w:val="1"/>
    <w:semiHidden/>
    <w:qFormat/>
    <w:uiPriority w:val="0"/>
    <w:pPr>
      <w:shd w:val="clear" w:color="auto" w:fill="000080"/>
    </w:pPr>
  </w:style>
  <w:style w:type="paragraph" w:styleId="11">
    <w:name w:val="annotation text"/>
    <w:basedOn w:val="1"/>
    <w:link w:val="94"/>
    <w:qFormat/>
    <w:uiPriority w:val="0"/>
    <w:pPr>
      <w:jc w:val="left"/>
    </w:pPr>
    <w:rPr>
      <w:rFonts w:ascii="Times New Roman"/>
      <w:kern w:val="2"/>
      <w:sz w:val="18"/>
    </w:rPr>
  </w:style>
  <w:style w:type="paragraph" w:styleId="12">
    <w:name w:val="Body Text Indent"/>
    <w:basedOn w:val="1"/>
    <w:link w:val="102"/>
    <w:qFormat/>
    <w:uiPriority w:val="0"/>
    <w:pPr>
      <w:ind w:firstLine="630"/>
    </w:pPr>
    <w:rPr>
      <w:rFonts w:ascii="Times New Roman"/>
      <w:kern w:val="2"/>
      <w:sz w:val="32"/>
    </w:rPr>
  </w:style>
  <w:style w:type="paragraph" w:styleId="13">
    <w:name w:val="toc 5"/>
    <w:basedOn w:val="1"/>
    <w:next w:val="1"/>
    <w:unhideWhenUsed/>
    <w:qFormat/>
    <w:uiPriority w:val="39"/>
    <w:pPr>
      <w:ind w:left="1680" w:leftChars="800"/>
    </w:pPr>
    <w:rPr>
      <w:rFonts w:ascii="Calibri" w:hAnsi="Calibri" w:eastAsia="宋体" w:cs="Times New Roman"/>
      <w:kern w:val="2"/>
      <w:sz w:val="21"/>
      <w:szCs w:val="22"/>
    </w:rPr>
  </w:style>
  <w:style w:type="paragraph" w:styleId="14">
    <w:name w:val="toc 3"/>
    <w:basedOn w:val="1"/>
    <w:next w:val="1"/>
    <w:unhideWhenUsed/>
    <w:qFormat/>
    <w:uiPriority w:val="39"/>
    <w:pPr>
      <w:ind w:left="840" w:leftChars="400"/>
    </w:pPr>
  </w:style>
  <w:style w:type="paragraph" w:styleId="15">
    <w:name w:val="Plain Text"/>
    <w:basedOn w:val="1"/>
    <w:link w:val="78"/>
    <w:qFormat/>
    <w:uiPriority w:val="0"/>
    <w:pPr>
      <w:autoSpaceDE w:val="0"/>
      <w:autoSpaceDN w:val="0"/>
      <w:adjustRightInd w:val="0"/>
    </w:pPr>
    <w:rPr>
      <w:rFonts w:hAnsi="Tms Rmn"/>
      <w:sz w:val="21"/>
    </w:rPr>
  </w:style>
  <w:style w:type="paragraph" w:styleId="16">
    <w:name w:val="toc 8"/>
    <w:basedOn w:val="1"/>
    <w:next w:val="1"/>
    <w:unhideWhenUsed/>
    <w:qFormat/>
    <w:uiPriority w:val="39"/>
    <w:pPr>
      <w:ind w:left="2940" w:leftChars="1400"/>
    </w:pPr>
    <w:rPr>
      <w:rFonts w:ascii="Calibri" w:hAnsi="Calibri" w:eastAsia="宋体" w:cs="Times New Roman"/>
      <w:kern w:val="2"/>
      <w:sz w:val="21"/>
      <w:szCs w:val="22"/>
    </w:rPr>
  </w:style>
  <w:style w:type="paragraph" w:styleId="17">
    <w:name w:val="Body Text Indent 2"/>
    <w:basedOn w:val="1"/>
    <w:link w:val="81"/>
    <w:qFormat/>
    <w:uiPriority w:val="0"/>
    <w:pPr>
      <w:spacing w:after="120" w:line="480" w:lineRule="auto"/>
      <w:ind w:left="420" w:leftChars="200"/>
    </w:pPr>
    <w:rPr>
      <w:rFonts w:ascii="Times New Roman"/>
      <w:kern w:val="2"/>
      <w:sz w:val="21"/>
      <w:szCs w:val="24"/>
    </w:rPr>
  </w:style>
  <w:style w:type="paragraph" w:styleId="18">
    <w:name w:val="Balloon Text"/>
    <w:basedOn w:val="1"/>
    <w:link w:val="95"/>
    <w:semiHidden/>
    <w:qFormat/>
    <w:uiPriority w:val="0"/>
    <w:rPr>
      <w:rFonts w:ascii="Times New Roman"/>
      <w:kern w:val="2"/>
      <w:sz w:val="18"/>
      <w:szCs w:val="18"/>
    </w:rPr>
  </w:style>
  <w:style w:type="paragraph" w:styleId="19">
    <w:name w:val="footer"/>
    <w:basedOn w:val="1"/>
    <w:link w:val="91"/>
    <w:qFormat/>
    <w:uiPriority w:val="0"/>
    <w:pPr>
      <w:tabs>
        <w:tab w:val="center" w:pos="4153"/>
        <w:tab w:val="right" w:pos="8306"/>
      </w:tabs>
      <w:snapToGrid w:val="0"/>
      <w:jc w:val="left"/>
    </w:pPr>
    <w:rPr>
      <w:rFonts w:ascii="Times New Roman"/>
      <w:kern w:val="2"/>
      <w:sz w:val="18"/>
    </w:rPr>
  </w:style>
  <w:style w:type="paragraph" w:styleId="20">
    <w:name w:val="header"/>
    <w:basedOn w:val="1"/>
    <w:link w:val="82"/>
    <w:qFormat/>
    <w:uiPriority w:val="0"/>
    <w:pPr>
      <w:pBdr>
        <w:bottom w:val="single" w:color="auto" w:sz="6" w:space="1"/>
      </w:pBdr>
      <w:tabs>
        <w:tab w:val="center" w:pos="4153"/>
        <w:tab w:val="right" w:pos="8306"/>
      </w:tabs>
      <w:snapToGrid w:val="0"/>
      <w:jc w:val="center"/>
    </w:pPr>
    <w:rPr>
      <w:rFonts w:ascii="Times New Roman"/>
      <w:kern w:val="2"/>
      <w:sz w:val="18"/>
    </w:rPr>
  </w:style>
  <w:style w:type="paragraph" w:styleId="21">
    <w:name w:val="toc 1"/>
    <w:basedOn w:val="1"/>
    <w:next w:val="1"/>
    <w:unhideWhenUsed/>
    <w:qFormat/>
    <w:uiPriority w:val="39"/>
    <w:pPr>
      <w:tabs>
        <w:tab w:val="right" w:leader="dot" w:pos="9345"/>
      </w:tabs>
      <w:spacing w:before="120" w:after="120" w:line="620" w:lineRule="exact"/>
      <w:ind w:right="-105" w:rightChars="-50"/>
      <w:jc w:val="left"/>
    </w:pPr>
    <w:rPr>
      <w:b/>
      <w:bCs/>
      <w:caps/>
      <w:sz w:val="20"/>
      <w:szCs w:val="20"/>
    </w:rPr>
  </w:style>
  <w:style w:type="paragraph" w:styleId="22">
    <w:name w:val="toc 4"/>
    <w:basedOn w:val="1"/>
    <w:next w:val="1"/>
    <w:unhideWhenUsed/>
    <w:qFormat/>
    <w:uiPriority w:val="39"/>
    <w:pPr>
      <w:ind w:left="1260" w:leftChars="600"/>
    </w:pPr>
    <w:rPr>
      <w:rFonts w:ascii="Calibri" w:hAnsi="Calibri" w:eastAsia="宋体" w:cs="Times New Roman"/>
      <w:kern w:val="2"/>
      <w:sz w:val="21"/>
      <w:szCs w:val="22"/>
    </w:rPr>
  </w:style>
  <w:style w:type="paragraph" w:styleId="23">
    <w:name w:val="Subtitle"/>
    <w:basedOn w:val="1"/>
    <w:next w:val="1"/>
    <w:qFormat/>
    <w:uiPriority w:val="11"/>
    <w:pPr>
      <w:spacing w:before="240" w:after="60" w:line="312" w:lineRule="auto"/>
      <w:ind w:left="200" w:leftChars="200" w:firstLine="200" w:firstLineChars="200"/>
      <w:jc w:val="center"/>
      <w:outlineLvl w:val="1"/>
    </w:pPr>
    <w:rPr>
      <w:rFonts w:ascii="Times New Roman" w:hAnsi="Times New Roman"/>
      <w:b/>
      <w:bCs/>
      <w:kern w:val="28"/>
      <w:sz w:val="20"/>
      <w:szCs w:val="32"/>
    </w:rPr>
  </w:style>
  <w:style w:type="paragraph" w:styleId="24">
    <w:name w:val="toc 6"/>
    <w:basedOn w:val="1"/>
    <w:next w:val="1"/>
    <w:unhideWhenUsed/>
    <w:qFormat/>
    <w:uiPriority w:val="39"/>
    <w:pPr>
      <w:ind w:left="2100" w:leftChars="1000"/>
    </w:pPr>
    <w:rPr>
      <w:rFonts w:ascii="Calibri" w:hAnsi="Calibri" w:eastAsia="宋体" w:cs="Times New Roman"/>
      <w:kern w:val="2"/>
      <w:sz w:val="21"/>
      <w:szCs w:val="22"/>
    </w:rPr>
  </w:style>
  <w:style w:type="paragraph" w:styleId="25">
    <w:name w:val="Body Text Indent 3"/>
    <w:basedOn w:val="1"/>
    <w:link w:val="74"/>
    <w:qFormat/>
    <w:uiPriority w:val="0"/>
    <w:pPr>
      <w:spacing w:after="120"/>
      <w:ind w:left="420" w:leftChars="200"/>
    </w:pPr>
    <w:rPr>
      <w:rFonts w:ascii="Times New Roman"/>
      <w:kern w:val="2"/>
      <w:sz w:val="16"/>
      <w:szCs w:val="16"/>
    </w:rPr>
  </w:style>
  <w:style w:type="paragraph" w:styleId="26">
    <w:name w:val="toc 2"/>
    <w:basedOn w:val="1"/>
    <w:next w:val="1"/>
    <w:unhideWhenUsed/>
    <w:qFormat/>
    <w:uiPriority w:val="39"/>
    <w:pPr>
      <w:spacing w:line="400" w:lineRule="exact"/>
      <w:ind w:left="210" w:leftChars="100" w:firstLine="480" w:firstLineChars="200"/>
      <w:jc w:val="left"/>
    </w:pPr>
    <w:rPr>
      <w:smallCaps/>
      <w:color w:val="000000"/>
      <w:sz w:val="24"/>
    </w:rPr>
  </w:style>
  <w:style w:type="paragraph" w:styleId="27">
    <w:name w:val="toc 9"/>
    <w:basedOn w:val="1"/>
    <w:next w:val="1"/>
    <w:unhideWhenUsed/>
    <w:qFormat/>
    <w:uiPriority w:val="39"/>
    <w:pPr>
      <w:ind w:left="3360" w:leftChars="1600"/>
    </w:pPr>
    <w:rPr>
      <w:rFonts w:ascii="Calibri" w:hAnsi="Calibri" w:eastAsia="宋体" w:cs="Times New Roman"/>
      <w:kern w:val="2"/>
      <w:sz w:val="21"/>
      <w:szCs w:val="22"/>
    </w:rPr>
  </w:style>
  <w:style w:type="paragraph" w:styleId="28">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9">
    <w:name w:val="annotation subject"/>
    <w:basedOn w:val="11"/>
    <w:next w:val="11"/>
    <w:link w:val="86"/>
    <w:qFormat/>
    <w:uiPriority w:val="0"/>
    <w:rPr>
      <w:b/>
      <w:bCs/>
      <w:sz w:val="21"/>
      <w:szCs w:val="24"/>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0"/>
    <w:rPr>
      <w:b/>
    </w:rPr>
  </w:style>
  <w:style w:type="character" w:styleId="34">
    <w:name w:val="page number"/>
    <w:basedOn w:val="32"/>
    <w:qFormat/>
    <w:uiPriority w:val="0"/>
  </w:style>
  <w:style w:type="character" w:styleId="35">
    <w:name w:val="FollowedHyperlink"/>
    <w:unhideWhenUsed/>
    <w:qFormat/>
    <w:uiPriority w:val="0"/>
    <w:rPr>
      <w:color w:val="333333"/>
      <w:u w:val="none"/>
    </w:rPr>
  </w:style>
  <w:style w:type="character" w:styleId="36">
    <w:name w:val="Emphasis"/>
    <w:qFormat/>
    <w:uiPriority w:val="0"/>
  </w:style>
  <w:style w:type="character" w:styleId="37">
    <w:name w:val="HTML Definition"/>
    <w:qFormat/>
    <w:uiPriority w:val="0"/>
  </w:style>
  <w:style w:type="character" w:styleId="38">
    <w:name w:val="HTML Variable"/>
    <w:qFormat/>
    <w:uiPriority w:val="0"/>
  </w:style>
  <w:style w:type="character" w:styleId="39">
    <w:name w:val="Hyperlink"/>
    <w:qFormat/>
    <w:uiPriority w:val="99"/>
    <w:rPr>
      <w:color w:val="333333"/>
      <w:u w:val="none"/>
    </w:rPr>
  </w:style>
  <w:style w:type="character" w:styleId="40">
    <w:name w:val="HTML Code"/>
    <w:qFormat/>
    <w:uiPriority w:val="0"/>
    <w:rPr>
      <w:rFonts w:ascii="Courier New" w:hAnsi="Courier New"/>
      <w:sz w:val="20"/>
    </w:rPr>
  </w:style>
  <w:style w:type="character" w:styleId="41">
    <w:name w:val="annotation reference"/>
    <w:qFormat/>
    <w:uiPriority w:val="0"/>
    <w:rPr>
      <w:sz w:val="21"/>
      <w:szCs w:val="21"/>
    </w:rPr>
  </w:style>
  <w:style w:type="character" w:styleId="42">
    <w:name w:val="HTML Cite"/>
    <w:qFormat/>
    <w:uiPriority w:val="0"/>
  </w:style>
  <w:style w:type="paragraph" w:customStyle="1" w:styleId="43">
    <w:name w:val="Default"/>
    <w:qFormat/>
    <w:uiPriority w:val="0"/>
    <w:pPr>
      <w:widowControl w:val="0"/>
      <w:autoSpaceDE w:val="0"/>
      <w:autoSpaceDN w:val="0"/>
      <w:adjustRightInd w:val="0"/>
    </w:pPr>
    <w:rPr>
      <w:rFonts w:ascii="宋体" w:hAnsi="Calibri" w:eastAsia="Calibri" w:cs="宋体"/>
      <w:color w:val="000000"/>
      <w:sz w:val="24"/>
      <w:szCs w:val="24"/>
      <w:lang w:val="en-US" w:eastAsia="zh-CN" w:bidi="ar-SA"/>
    </w:rPr>
  </w:style>
  <w:style w:type="paragraph" w:customStyle="1" w:styleId="44">
    <w:name w:val="正文2"/>
    <w:qFormat/>
    <w:uiPriority w:val="0"/>
    <w:pPr>
      <w:widowControl w:val="0"/>
      <w:adjustRightInd w:val="0"/>
      <w:spacing w:line="312" w:lineRule="atLeast"/>
      <w:jc w:val="both"/>
      <w:textAlignment w:val="baseline"/>
    </w:pPr>
    <w:rPr>
      <w:rFonts w:ascii="宋体" w:hAnsi="Calibri" w:eastAsia="Calibri" w:cs="Times New Roman"/>
      <w:sz w:val="34"/>
      <w:szCs w:val="22"/>
      <w:lang w:val="en-US" w:eastAsia="zh-CN" w:bidi="ar-SA"/>
    </w:rPr>
  </w:style>
  <w:style w:type="paragraph" w:customStyle="1" w:styleId="45">
    <w:name w:val="_Style 42"/>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46">
    <w:name w:val="样式 首行缩进:  2 字符"/>
    <w:basedOn w:val="1"/>
    <w:qFormat/>
    <w:uiPriority w:val="0"/>
    <w:pPr>
      <w:spacing w:line="400" w:lineRule="exact"/>
      <w:ind w:firstLine="200" w:firstLineChars="200"/>
    </w:pPr>
    <w:rPr>
      <w:rFonts w:cs="宋体"/>
      <w:sz w:val="24"/>
    </w:rPr>
  </w:style>
  <w:style w:type="paragraph" w:customStyle="1" w:styleId="47">
    <w:name w:val="Normal_6"/>
    <w:qFormat/>
    <w:uiPriority w:val="0"/>
    <w:pPr>
      <w:spacing w:before="120" w:after="240"/>
      <w:jc w:val="both"/>
    </w:pPr>
    <w:rPr>
      <w:rFonts w:ascii="Calibri" w:hAnsi="Calibri" w:eastAsia="Calibri" w:cs="Times New Roman"/>
      <w:sz w:val="22"/>
      <w:szCs w:val="22"/>
      <w:lang w:val="ru-RU" w:eastAsia="en-US" w:bidi="ar-SA"/>
    </w:rPr>
  </w:style>
  <w:style w:type="paragraph" w:customStyle="1" w:styleId="48">
    <w:name w:val="Char Char Char Char Char Char Char Char Char Char Char Char Char Char1 Char Char Char Char"/>
    <w:basedOn w:val="1"/>
    <w:qFormat/>
    <w:uiPriority w:val="0"/>
    <w:rPr>
      <w:szCs w:val="21"/>
    </w:rPr>
  </w:style>
  <w:style w:type="paragraph" w:styleId="49">
    <w:name w:val="List Paragraph"/>
    <w:basedOn w:val="1"/>
    <w:link w:val="76"/>
    <w:qFormat/>
    <w:uiPriority w:val="0"/>
    <w:pPr>
      <w:ind w:firstLine="420" w:firstLineChars="200"/>
    </w:pPr>
    <w:rPr>
      <w:rFonts w:ascii="Times New Roman"/>
      <w:kern w:val="2"/>
      <w:sz w:val="21"/>
      <w:szCs w:val="24"/>
    </w:rPr>
  </w:style>
  <w:style w:type="paragraph" w:customStyle="1" w:styleId="50">
    <w:name w:val="WPSOffice手动目录 1"/>
    <w:qFormat/>
    <w:uiPriority w:val="0"/>
    <w:rPr>
      <w:rFonts w:ascii="Calibri" w:hAnsi="Calibri" w:eastAsia="Calibri" w:cs="Times New Roman"/>
      <w:lang w:val="en-US" w:eastAsia="zh-CN" w:bidi="ar-SA"/>
    </w:rPr>
  </w:style>
  <w:style w:type="paragraph" w:customStyle="1" w:styleId="51">
    <w:name w:val="Zelle Haupttext"/>
    <w:qFormat/>
    <w:uiPriority w:val="0"/>
    <w:pPr>
      <w:spacing w:before="80" w:after="80" w:line="240" w:lineRule="exact"/>
      <w:ind w:left="113"/>
    </w:pPr>
    <w:rPr>
      <w:rFonts w:ascii="Arial" w:hAnsi="Arial" w:eastAsia="Times New Roman" w:cs="Times New Roman"/>
      <w:sz w:val="24"/>
      <w:szCs w:val="22"/>
      <w:lang w:val="de-DE" w:eastAsia="de-DE" w:bidi="ar-SA"/>
    </w:rPr>
  </w:style>
  <w:style w:type="paragraph" w:customStyle="1" w:styleId="52">
    <w:name w:val="正文1"/>
    <w:qFormat/>
    <w:uiPriority w:val="0"/>
    <w:pPr>
      <w:widowControl w:val="0"/>
      <w:adjustRightInd w:val="0"/>
      <w:spacing w:line="312" w:lineRule="atLeast"/>
      <w:jc w:val="both"/>
    </w:pPr>
    <w:rPr>
      <w:rFonts w:ascii="宋体" w:hAnsi="Calibri" w:eastAsia="Calibri" w:cs="Times New Roman"/>
      <w:sz w:val="34"/>
      <w:lang w:val="en-US" w:eastAsia="zh-CN" w:bidi="ar-SA"/>
    </w:rPr>
  </w:style>
  <w:style w:type="paragraph" w:customStyle="1" w:styleId="53">
    <w:name w:val="表格"/>
    <w:basedOn w:val="1"/>
    <w:qFormat/>
    <w:uiPriority w:val="0"/>
    <w:pPr>
      <w:spacing w:line="400" w:lineRule="exact"/>
    </w:pPr>
    <w:rPr>
      <w:sz w:val="24"/>
    </w:rPr>
  </w:style>
  <w:style w:type="paragraph" w:customStyle="1" w:styleId="54">
    <w:name w:val="Table Paragraph"/>
    <w:basedOn w:val="1"/>
    <w:unhideWhenUsed/>
    <w:qFormat/>
    <w:uiPriority w:val="1"/>
    <w:pPr>
      <w:spacing w:beforeLines="0" w:afterLines="0"/>
    </w:pPr>
    <w:rPr>
      <w:rFonts w:hint="eastAsia"/>
      <w:sz w:val="24"/>
    </w:rPr>
  </w:style>
  <w:style w:type="paragraph" w:customStyle="1" w:styleId="55">
    <w:name w:val="正文11"/>
    <w:qFormat/>
    <w:uiPriority w:val="0"/>
    <w:pPr>
      <w:widowControl w:val="0"/>
      <w:adjustRightInd w:val="0"/>
      <w:spacing w:line="312" w:lineRule="atLeast"/>
      <w:jc w:val="both"/>
    </w:pPr>
    <w:rPr>
      <w:rFonts w:ascii="宋体" w:hAnsi="Calibri" w:eastAsia="Calibri" w:cs="Times New Roman"/>
      <w:sz w:val="34"/>
      <w:lang w:val="en-US" w:eastAsia="zh-CN" w:bidi="ar-SA"/>
    </w:rPr>
  </w:style>
  <w:style w:type="paragraph" w:customStyle="1" w:styleId="56">
    <w:name w:val="样式"/>
    <w:qFormat/>
    <w:uiPriority w:val="0"/>
    <w:pPr>
      <w:widowControl w:val="0"/>
      <w:autoSpaceDE w:val="0"/>
      <w:autoSpaceDN w:val="0"/>
      <w:adjustRightInd w:val="0"/>
    </w:pPr>
    <w:rPr>
      <w:rFonts w:ascii="宋体" w:hAnsi="宋体" w:eastAsia="Calibri" w:cs="宋体"/>
      <w:sz w:val="24"/>
      <w:szCs w:val="24"/>
      <w:lang w:val="en-US" w:eastAsia="zh-CN" w:bidi="ar-SA"/>
    </w:rPr>
  </w:style>
  <w:style w:type="paragraph" w:customStyle="1" w:styleId="57">
    <w:name w:val="正文3"/>
    <w:qFormat/>
    <w:uiPriority w:val="0"/>
    <w:pPr>
      <w:widowControl w:val="0"/>
      <w:adjustRightInd w:val="0"/>
      <w:spacing w:line="312" w:lineRule="atLeast"/>
      <w:jc w:val="both"/>
      <w:textAlignment w:val="baseline"/>
    </w:pPr>
    <w:rPr>
      <w:rFonts w:ascii="宋体" w:hAnsi="Calibri" w:eastAsia="Calibri" w:cs="Times New Roman"/>
      <w:sz w:val="34"/>
      <w:lang w:val="en-US" w:eastAsia="zh-CN" w:bidi="ar-SA"/>
    </w:rPr>
  </w:style>
  <w:style w:type="paragraph" w:customStyle="1" w:styleId="58">
    <w:name w:val="List Paragraph1"/>
    <w:basedOn w:val="1"/>
    <w:qFormat/>
    <w:uiPriority w:val="34"/>
    <w:pPr>
      <w:ind w:firstLine="420" w:firstLineChars="200"/>
    </w:pPr>
  </w:style>
  <w:style w:type="paragraph" w:customStyle="1" w:styleId="59">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60">
    <w:name w:val="（符号）三标题1.1"/>
    <w:basedOn w:val="1"/>
    <w:link w:val="101"/>
    <w:qFormat/>
    <w:uiPriority w:val="0"/>
    <w:pPr>
      <w:tabs>
        <w:tab w:val="left" w:pos="700"/>
        <w:tab w:val="left" w:pos="840"/>
      </w:tabs>
      <w:spacing w:line="500" w:lineRule="exact"/>
      <w:ind w:left="840" w:hanging="420"/>
    </w:pPr>
    <w:rPr>
      <w:rFonts w:hAnsi="宋体"/>
      <w:sz w:val="24"/>
      <w:szCs w:val="24"/>
    </w:rPr>
  </w:style>
  <w:style w:type="paragraph" w:customStyle="1" w:styleId="61">
    <w:name w:val="Char2 Char Char"/>
    <w:basedOn w:val="10"/>
    <w:qFormat/>
    <w:uiPriority w:val="0"/>
    <w:rPr>
      <w:rFonts w:ascii="Tahoma" w:hAnsi="Tahoma"/>
      <w:sz w:val="24"/>
    </w:rPr>
  </w:style>
  <w:style w:type="paragraph" w:customStyle="1" w:styleId="62">
    <w:name w:val="正文首行缩进两字符"/>
    <w:basedOn w:val="1"/>
    <w:qFormat/>
    <w:uiPriority w:val="0"/>
    <w:pPr>
      <w:spacing w:line="360" w:lineRule="auto"/>
      <w:ind w:firstLine="200" w:firstLineChars="200"/>
    </w:pPr>
  </w:style>
  <w:style w:type="paragraph" w:customStyle="1" w:styleId="63">
    <w:name w:val="GW-正文"/>
    <w:basedOn w:val="1"/>
    <w:link w:val="83"/>
    <w:qFormat/>
    <w:uiPriority w:val="0"/>
    <w:pPr>
      <w:spacing w:line="360" w:lineRule="auto"/>
      <w:ind w:firstLine="200" w:firstLineChars="200"/>
    </w:pPr>
    <w:rPr>
      <w:rFonts w:ascii="Times New Roman" w:eastAsia="仿宋_GB2312"/>
      <w:kern w:val="2"/>
      <w:sz w:val="24"/>
      <w:szCs w:val="24"/>
    </w:rPr>
  </w:style>
  <w:style w:type="paragraph" w:customStyle="1" w:styleId="64">
    <w:name w:val="Char2"/>
    <w:basedOn w:val="1"/>
    <w:qFormat/>
    <w:uiPriority w:val="0"/>
    <w:pPr>
      <w:adjustRightInd w:val="0"/>
      <w:spacing w:line="400" w:lineRule="exact"/>
      <w:ind w:firstLine="514" w:firstLineChars="200"/>
    </w:pPr>
    <w:rPr>
      <w:rFonts w:ascii="宋体" w:hAnsi="宋体"/>
      <w:b/>
      <w:spacing w:val="8"/>
      <w:kern w:val="0"/>
      <w:sz w:val="24"/>
      <w:szCs w:val="20"/>
    </w:rPr>
  </w:style>
  <w:style w:type="paragraph" w:customStyle="1" w:styleId="65">
    <w:name w:val="标准文本"/>
    <w:basedOn w:val="1"/>
    <w:qFormat/>
    <w:uiPriority w:val="0"/>
    <w:pPr>
      <w:spacing w:line="360" w:lineRule="auto"/>
      <w:ind w:firstLine="480" w:firstLineChars="200"/>
    </w:pPr>
    <w:rPr>
      <w:sz w:val="24"/>
      <w:szCs w:val="20"/>
    </w:rPr>
  </w:style>
  <w:style w:type="paragraph" w:customStyle="1" w:styleId="66">
    <w:name w:val="_Style 64"/>
    <w:unhideWhenUsed/>
    <w:qFormat/>
    <w:uiPriority w:val="99"/>
    <w:rPr>
      <w:rFonts w:ascii="宋体" w:hAnsi="Calibri" w:eastAsia="Calibri" w:cs="Times New Roman"/>
      <w:sz w:val="34"/>
      <w:lang w:val="en-US" w:eastAsia="zh-CN" w:bidi="ar-SA"/>
    </w:rPr>
  </w:style>
  <w:style w:type="paragraph" w:customStyle="1" w:styleId="67">
    <w:name w:val="Normal_42"/>
    <w:qFormat/>
    <w:uiPriority w:val="0"/>
    <w:pPr>
      <w:spacing w:before="120" w:after="240"/>
      <w:jc w:val="both"/>
    </w:pPr>
    <w:rPr>
      <w:rFonts w:ascii="Calibri" w:hAnsi="Calibri" w:eastAsia="Calibri" w:cs="Times New Roman"/>
      <w:sz w:val="22"/>
      <w:szCs w:val="22"/>
      <w:lang w:val="ru-RU" w:eastAsia="en-US" w:bidi="ar-SA"/>
    </w:rPr>
  </w:style>
  <w:style w:type="paragraph" w:customStyle="1" w:styleId="68">
    <w:name w:val="Normal"/>
    <w:qFormat/>
    <w:uiPriority w:val="0"/>
    <w:pPr>
      <w:widowControl w:val="0"/>
      <w:adjustRightInd w:val="0"/>
      <w:spacing w:line="312" w:lineRule="atLeast"/>
      <w:jc w:val="both"/>
      <w:textAlignment w:val="baseline"/>
    </w:pPr>
    <w:rPr>
      <w:rFonts w:ascii="宋体" w:hAnsi="Calibri" w:eastAsia="Calibri" w:cs="Times New Roman"/>
      <w:sz w:val="34"/>
      <w:lang w:val="en-US" w:eastAsia="zh-CN" w:bidi="ar-SA"/>
    </w:rPr>
  </w:style>
  <w:style w:type="paragraph" w:customStyle="1" w:styleId="69">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szCs w:val="20"/>
    </w:rPr>
  </w:style>
  <w:style w:type="paragraph" w:customStyle="1" w:styleId="70">
    <w:name w:val=" Char2 Char Char"/>
    <w:basedOn w:val="10"/>
    <w:qFormat/>
    <w:uiPriority w:val="0"/>
    <w:rPr>
      <w:rFonts w:ascii="Tahoma" w:hAnsi="Tahoma"/>
      <w:sz w:val="24"/>
    </w:rPr>
  </w:style>
  <w:style w:type="paragraph" w:customStyle="1" w:styleId="71">
    <w:name w:val="Normal_59"/>
    <w:qFormat/>
    <w:uiPriority w:val="0"/>
    <w:pPr>
      <w:spacing w:before="120" w:after="240"/>
      <w:jc w:val="both"/>
    </w:pPr>
    <w:rPr>
      <w:rFonts w:ascii="Calibri" w:hAnsi="Calibri" w:eastAsia="Calibri" w:cs="Times New Roman"/>
      <w:sz w:val="22"/>
      <w:szCs w:val="22"/>
      <w:lang w:val="ru-RU" w:eastAsia="en-US" w:bidi="ar-SA"/>
    </w:rPr>
  </w:style>
  <w:style w:type="paragraph" w:customStyle="1" w:styleId="72">
    <w:name w:val="Char1"/>
    <w:basedOn w:val="1"/>
    <w:qFormat/>
    <w:uiPriority w:val="0"/>
    <w:rPr>
      <w:szCs w:val="21"/>
    </w:rPr>
  </w:style>
  <w:style w:type="paragraph" w:customStyle="1" w:styleId="73">
    <w:name w:val="_Style 2"/>
    <w:qFormat/>
    <w:uiPriority w:val="0"/>
    <w:pPr>
      <w:widowControl w:val="0"/>
      <w:ind w:firstLine="420" w:firstLineChars="200"/>
      <w:jc w:val="both"/>
    </w:pPr>
    <w:rPr>
      <w:rFonts w:ascii="宋体" w:hAnsi="Times New Roman" w:eastAsia="宋体" w:cs="Times New Roman"/>
      <w:sz w:val="34"/>
      <w:szCs w:val="22"/>
      <w:lang w:val="en-US" w:eastAsia="zh-CN" w:bidi="ar-SA"/>
    </w:rPr>
  </w:style>
  <w:style w:type="character" w:customStyle="1" w:styleId="74">
    <w:name w:val="正文文本缩进 3 字符"/>
    <w:link w:val="25"/>
    <w:semiHidden/>
    <w:qFormat/>
    <w:uiPriority w:val="0"/>
    <w:rPr>
      <w:rFonts w:eastAsia="宋体"/>
      <w:kern w:val="2"/>
      <w:sz w:val="16"/>
      <w:szCs w:val="16"/>
      <w:lang w:val="en-US" w:eastAsia="zh-CN" w:bidi="ar-SA"/>
    </w:rPr>
  </w:style>
  <w:style w:type="character" w:customStyle="1" w:styleId="75">
    <w:name w:val="font21"/>
    <w:qFormat/>
    <w:uiPriority w:val="0"/>
    <w:rPr>
      <w:rFonts w:hint="eastAsia" w:ascii="宋体" w:hAnsi="宋体" w:eastAsia="宋体" w:cs="宋体"/>
      <w:b/>
      <w:color w:val="000000"/>
      <w:sz w:val="24"/>
      <w:szCs w:val="24"/>
      <w:u w:val="none"/>
      <w:vertAlign w:val="superscript"/>
    </w:rPr>
  </w:style>
  <w:style w:type="character" w:customStyle="1" w:styleId="76">
    <w:name w:val="列出段落 字符"/>
    <w:link w:val="49"/>
    <w:qFormat/>
    <w:uiPriority w:val="0"/>
    <w:rPr>
      <w:rFonts w:eastAsia="宋体"/>
      <w:kern w:val="2"/>
      <w:sz w:val="21"/>
      <w:szCs w:val="24"/>
      <w:lang w:val="en-US" w:eastAsia="zh-CN" w:bidi="ar-SA"/>
    </w:rPr>
  </w:style>
  <w:style w:type="character" w:customStyle="1" w:styleId="77">
    <w:name w:val="（符号）邀请函中一、"/>
    <w:qFormat/>
    <w:uiPriority w:val="0"/>
    <w:rPr>
      <w:rFonts w:ascii="黑体" w:hAnsi="黑体" w:eastAsia="黑体"/>
      <w:b/>
      <w:bCs/>
      <w:sz w:val="24"/>
    </w:rPr>
  </w:style>
  <w:style w:type="character" w:customStyle="1" w:styleId="78">
    <w:name w:val="纯文本 字符"/>
    <w:link w:val="15"/>
    <w:unhideWhenUsed/>
    <w:qFormat/>
    <w:uiPriority w:val="0"/>
    <w:rPr>
      <w:rFonts w:ascii="宋体" w:hAnsi="Tms Rmn" w:eastAsia="宋体"/>
      <w:sz w:val="21"/>
      <w:lang w:val="en-US" w:eastAsia="zh-CN" w:bidi="ar-SA"/>
    </w:rPr>
  </w:style>
  <w:style w:type="character" w:customStyle="1" w:styleId="79">
    <w:name w:val="标题 3 字符"/>
    <w:link w:val="5"/>
    <w:semiHidden/>
    <w:qFormat/>
    <w:uiPriority w:val="0"/>
    <w:rPr>
      <w:rFonts w:eastAsia="宋体"/>
      <w:b/>
      <w:bCs/>
      <w:kern w:val="2"/>
      <w:sz w:val="32"/>
      <w:szCs w:val="32"/>
      <w:lang w:val="en-US" w:eastAsia="zh-CN" w:bidi="ar-SA"/>
    </w:rPr>
  </w:style>
  <w:style w:type="character" w:customStyle="1" w:styleId="80">
    <w:name w:val="正文文本 字符"/>
    <w:link w:val="2"/>
    <w:qFormat/>
    <w:uiPriority w:val="0"/>
    <w:rPr>
      <w:rFonts w:eastAsia="宋体"/>
      <w:kern w:val="2"/>
      <w:sz w:val="21"/>
      <w:szCs w:val="24"/>
      <w:lang w:val="en-US" w:eastAsia="zh-CN" w:bidi="ar-SA"/>
    </w:rPr>
  </w:style>
  <w:style w:type="character" w:customStyle="1" w:styleId="81">
    <w:name w:val="正文文本缩进 2 字符"/>
    <w:link w:val="17"/>
    <w:semiHidden/>
    <w:qFormat/>
    <w:uiPriority w:val="0"/>
    <w:rPr>
      <w:rFonts w:eastAsia="宋体"/>
      <w:kern w:val="2"/>
      <w:sz w:val="21"/>
      <w:szCs w:val="24"/>
      <w:lang w:val="en-US" w:eastAsia="zh-CN" w:bidi="ar-SA"/>
    </w:rPr>
  </w:style>
  <w:style w:type="character" w:customStyle="1" w:styleId="82">
    <w:name w:val="页眉 字符"/>
    <w:link w:val="20"/>
    <w:qFormat/>
    <w:uiPriority w:val="0"/>
    <w:rPr>
      <w:rFonts w:eastAsia="宋体"/>
      <w:kern w:val="2"/>
      <w:sz w:val="18"/>
      <w:lang w:val="en-US" w:eastAsia="zh-CN" w:bidi="ar-SA"/>
    </w:rPr>
  </w:style>
  <w:style w:type="character" w:customStyle="1" w:styleId="83">
    <w:name w:val="GW-正文 Char"/>
    <w:link w:val="63"/>
    <w:qFormat/>
    <w:uiPriority w:val="0"/>
    <w:rPr>
      <w:rFonts w:eastAsia="仿宋_GB2312"/>
      <w:kern w:val="2"/>
      <w:sz w:val="24"/>
      <w:szCs w:val="24"/>
      <w:lang w:val="en-US" w:eastAsia="zh-CN" w:bidi="ar-SA"/>
    </w:rPr>
  </w:style>
  <w:style w:type="character" w:customStyle="1" w:styleId="84">
    <w:name w:val=" Char Char9"/>
    <w:qFormat/>
    <w:uiPriority w:val="0"/>
    <w:rPr>
      <w:kern w:val="2"/>
      <w:sz w:val="21"/>
    </w:rPr>
  </w:style>
  <w:style w:type="character" w:customStyle="1" w:styleId="85">
    <w:name w:val="页眉 Char"/>
    <w:qFormat/>
    <w:uiPriority w:val="0"/>
    <w:rPr>
      <w:rFonts w:eastAsia="宋体"/>
      <w:sz w:val="18"/>
      <w:szCs w:val="18"/>
      <w:lang w:val="en-US" w:eastAsia="zh-CN" w:bidi="ar-SA"/>
    </w:rPr>
  </w:style>
  <w:style w:type="character" w:customStyle="1" w:styleId="86">
    <w:name w:val="批注主题 字符"/>
    <w:link w:val="29"/>
    <w:qFormat/>
    <w:uiPriority w:val="0"/>
    <w:rPr>
      <w:b/>
      <w:bCs/>
      <w:kern w:val="2"/>
      <w:sz w:val="21"/>
      <w:szCs w:val="24"/>
      <w:lang w:bidi="ar-SA"/>
    </w:rPr>
  </w:style>
  <w:style w:type="character" w:customStyle="1" w:styleId="87">
    <w:name w:val="标题 1 Char1"/>
    <w:qFormat/>
    <w:uiPriority w:val="0"/>
    <w:rPr>
      <w:b/>
      <w:bCs/>
      <w:kern w:val="44"/>
      <w:sz w:val="44"/>
      <w:szCs w:val="44"/>
    </w:rPr>
  </w:style>
  <w:style w:type="character" w:customStyle="1" w:styleId="88">
    <w:name w:val="label"/>
    <w:qFormat/>
    <w:uiPriority w:val="0"/>
    <w:rPr>
      <w:color w:val="555555"/>
    </w:rPr>
  </w:style>
  <w:style w:type="character" w:customStyle="1" w:styleId="89">
    <w:name w:val="标题 2 Char Char"/>
    <w:qFormat/>
    <w:uiPriority w:val="0"/>
    <w:rPr>
      <w:rFonts w:ascii="Arial" w:hAnsi="Arial" w:eastAsia="黑体"/>
      <w:b/>
      <w:kern w:val="2"/>
      <w:sz w:val="28"/>
      <w:lang w:val="en-US" w:eastAsia="zh-CN" w:bidi="ar-SA"/>
    </w:rPr>
  </w:style>
  <w:style w:type="character" w:customStyle="1" w:styleId="90">
    <w:name w:val="modifier"/>
    <w:qFormat/>
    <w:uiPriority w:val="0"/>
    <w:rPr>
      <w:color w:val="FF0000"/>
    </w:rPr>
  </w:style>
  <w:style w:type="character" w:customStyle="1" w:styleId="91">
    <w:name w:val="页脚 字符"/>
    <w:link w:val="19"/>
    <w:qFormat/>
    <w:uiPriority w:val="0"/>
    <w:rPr>
      <w:rFonts w:eastAsia="宋体"/>
      <w:kern w:val="2"/>
      <w:sz w:val="18"/>
      <w:lang w:val="en-US" w:eastAsia="zh-CN" w:bidi="ar-SA"/>
    </w:rPr>
  </w:style>
  <w:style w:type="character" w:customStyle="1" w:styleId="92">
    <w:name w:val="批注文字 Char"/>
    <w:qFormat/>
    <w:uiPriority w:val="0"/>
    <w:rPr>
      <w:kern w:val="2"/>
      <w:sz w:val="18"/>
    </w:rPr>
  </w:style>
  <w:style w:type="character" w:customStyle="1" w:styleId="93">
    <w:name w:val="font51"/>
    <w:qFormat/>
    <w:uiPriority w:val="0"/>
    <w:rPr>
      <w:rFonts w:hint="eastAsia" w:ascii="宋体" w:hAnsi="宋体" w:eastAsia="宋体" w:cs="宋体"/>
      <w:color w:val="000000"/>
      <w:sz w:val="24"/>
      <w:szCs w:val="24"/>
      <w:u w:val="none"/>
    </w:rPr>
  </w:style>
  <w:style w:type="character" w:customStyle="1" w:styleId="94">
    <w:name w:val="批注文字 字符"/>
    <w:link w:val="11"/>
    <w:qFormat/>
    <w:uiPriority w:val="0"/>
    <w:rPr>
      <w:kern w:val="2"/>
      <w:sz w:val="18"/>
      <w:lang w:bidi="ar-SA"/>
    </w:rPr>
  </w:style>
  <w:style w:type="character" w:customStyle="1" w:styleId="95">
    <w:name w:val="批注框文本 字符"/>
    <w:link w:val="18"/>
    <w:semiHidden/>
    <w:qFormat/>
    <w:uiPriority w:val="0"/>
    <w:rPr>
      <w:rFonts w:eastAsia="宋体"/>
      <w:kern w:val="2"/>
      <w:sz w:val="18"/>
      <w:szCs w:val="18"/>
      <w:lang w:val="en-US" w:eastAsia="zh-CN" w:bidi="ar-SA"/>
    </w:rPr>
  </w:style>
  <w:style w:type="character" w:customStyle="1" w:styleId="96">
    <w:name w:val="标题 1 字符"/>
    <w:link w:val="3"/>
    <w:qFormat/>
    <w:uiPriority w:val="0"/>
    <w:rPr>
      <w:rFonts w:eastAsia="宋体"/>
      <w:b/>
      <w:bCs/>
      <w:kern w:val="44"/>
      <w:sz w:val="44"/>
      <w:szCs w:val="44"/>
      <w:lang w:val="en-US" w:eastAsia="zh-CN" w:bidi="ar-SA"/>
    </w:rPr>
  </w:style>
  <w:style w:type="character" w:customStyle="1" w:styleId="97">
    <w:name w:val="正文缩进 字符"/>
    <w:link w:val="6"/>
    <w:qFormat/>
    <w:uiPriority w:val="0"/>
    <w:rPr>
      <w:rFonts w:eastAsia="宋体"/>
      <w:kern w:val="2"/>
      <w:sz w:val="21"/>
      <w:szCs w:val="24"/>
      <w:lang w:val="en-US" w:eastAsia="zh-CN" w:bidi="ar-SA"/>
    </w:rPr>
  </w:style>
  <w:style w:type="character" w:customStyle="1" w:styleId="98">
    <w:name w:val="页脚 Char"/>
    <w:qFormat/>
    <w:uiPriority w:val="99"/>
    <w:rPr>
      <w:sz w:val="18"/>
      <w:szCs w:val="18"/>
    </w:rPr>
  </w:style>
  <w:style w:type="character" w:customStyle="1" w:styleId="99">
    <w:name w:val="标题 4 字符"/>
    <w:link w:val="8"/>
    <w:qFormat/>
    <w:uiPriority w:val="0"/>
    <w:rPr>
      <w:rFonts w:ascii="Cambria" w:hAnsi="Cambria" w:eastAsia="宋体"/>
      <w:b/>
      <w:bCs/>
      <w:kern w:val="2"/>
      <w:sz w:val="28"/>
      <w:szCs w:val="28"/>
      <w:lang w:val="en-US" w:eastAsia="zh-CN" w:bidi="ar-SA"/>
    </w:rPr>
  </w:style>
  <w:style w:type="character" w:customStyle="1" w:styleId="100">
    <w:name w:val="标题 2 字符"/>
    <w:link w:val="4"/>
    <w:qFormat/>
    <w:uiPriority w:val="0"/>
    <w:rPr>
      <w:rFonts w:ascii="Arial" w:hAnsi="Arial" w:eastAsia="黑体"/>
      <w:b/>
      <w:bCs/>
      <w:kern w:val="2"/>
      <w:sz w:val="32"/>
      <w:szCs w:val="32"/>
      <w:lang w:val="en-US" w:eastAsia="zh-CN" w:bidi="ar-SA"/>
    </w:rPr>
  </w:style>
  <w:style w:type="character" w:customStyle="1" w:styleId="101">
    <w:name w:val="（符号）三标题1.1 Char"/>
    <w:link w:val="60"/>
    <w:qFormat/>
    <w:locked/>
    <w:uiPriority w:val="0"/>
    <w:rPr>
      <w:rFonts w:ascii="宋体" w:hAnsi="宋体" w:eastAsia="宋体"/>
      <w:sz w:val="24"/>
      <w:szCs w:val="24"/>
      <w:lang w:bidi="ar-SA"/>
    </w:rPr>
  </w:style>
  <w:style w:type="character" w:customStyle="1" w:styleId="102">
    <w:name w:val="正文文本缩进 字符"/>
    <w:link w:val="12"/>
    <w:qFormat/>
    <w:uiPriority w:val="0"/>
    <w:rPr>
      <w:rFonts w:eastAsia="宋体"/>
      <w:kern w:val="2"/>
      <w:sz w:val="32"/>
      <w:lang w:val="en-US" w:eastAsia="zh-CN" w:bidi="ar-SA"/>
    </w:rPr>
  </w:style>
  <w:style w:type="table" w:customStyle="1" w:styleId="103">
    <w:name w:val="网格型1"/>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74</Pages>
  <Words>7051</Words>
  <Characters>40195</Characters>
  <Lines>334</Lines>
  <Paragraphs>94</Paragraphs>
  <TotalTime>3</TotalTime>
  <ScaleCrop>false</ScaleCrop>
  <LinksUpToDate>false</LinksUpToDate>
  <CharactersWithSpaces>47152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2020-07-24T08:31:00Z</dcterms:created>
  <dc:creator>吴正新</dc:creator>
  <cp:lastModifiedBy>ZYZB</cp:lastModifiedBy>
  <cp:lastPrinted>2021-07-29T07:19:00Z</cp:lastPrinted>
  <dcterms:modified xsi:type="dcterms:W3CDTF">2021-08-23T08:27:37Z</dcterms:modified>
  <dc:title>招标编号：xx政采招[xxxx] xxx号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BDCDE65FCA3E452CAD36DD56A3D43FFF</vt:lpwstr>
  </property>
</Properties>
</file>