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宋体" w:hAnsi="宋体"/>
          <w:color w:val="000000" w:themeColor="text1"/>
          <w:spacing w:val="42"/>
          <w:sz w:val="84"/>
          <w14:textFill>
            <w14:solidFill>
              <w14:schemeClr w14:val="tx1"/>
            </w14:solidFill>
          </w14:textFill>
        </w:rPr>
      </w:pPr>
    </w:p>
    <w:p>
      <w:pPr>
        <w:spacing w:line="360" w:lineRule="auto"/>
        <w:jc w:val="center"/>
        <w:rPr>
          <w:rFonts w:ascii="华文中宋" w:hAnsi="华文中宋" w:eastAsia="华文中宋"/>
          <w:color w:val="000000" w:themeColor="text1"/>
          <w:spacing w:val="42"/>
          <w:sz w:val="130"/>
          <w:szCs w:val="130"/>
          <w14:textFill>
            <w14:solidFill>
              <w14:schemeClr w14:val="tx1"/>
            </w14:solidFill>
          </w14:textFill>
        </w:rPr>
      </w:pPr>
      <w:r>
        <w:rPr>
          <w:rFonts w:hint="eastAsia" w:ascii="华文中宋" w:hAnsi="华文中宋" w:eastAsia="华文中宋"/>
          <w:color w:val="000000" w:themeColor="text1"/>
          <w:spacing w:val="42"/>
          <w:sz w:val="130"/>
          <w:szCs w:val="130"/>
          <w14:textFill>
            <w14:solidFill>
              <w14:schemeClr w14:val="tx1"/>
            </w14:solidFill>
          </w14:textFill>
        </w:rPr>
        <w:t>招 标 文 件</w:t>
      </w:r>
    </w:p>
    <w:p>
      <w:pPr>
        <w:spacing w:line="360" w:lineRule="auto"/>
        <w:jc w:val="center"/>
        <w:rPr>
          <w:rFonts w:ascii="宋体" w:hAnsi="宋体"/>
          <w:color w:val="000000" w:themeColor="text1"/>
          <w:sz w:val="32"/>
          <w:szCs w:val="32"/>
          <w14:textFill>
            <w14:solidFill>
              <w14:schemeClr w14:val="tx1"/>
            </w14:solidFill>
          </w14:textFill>
        </w:rPr>
      </w:pPr>
    </w:p>
    <w:p>
      <w:pPr>
        <w:spacing w:line="360" w:lineRule="auto"/>
        <w:jc w:val="center"/>
        <w:rPr>
          <w:rFonts w:ascii="宋体" w:hAnsi="宋体"/>
          <w:color w:val="000000" w:themeColor="text1"/>
          <w:sz w:val="32"/>
          <w:szCs w:val="32"/>
          <w14:textFill>
            <w14:solidFill>
              <w14:schemeClr w14:val="tx1"/>
            </w14:solidFill>
          </w14:textFill>
        </w:rPr>
      </w:pPr>
    </w:p>
    <w:p>
      <w:pPr>
        <w:spacing w:line="360" w:lineRule="auto"/>
        <w:rPr>
          <w:rFonts w:ascii="宋体" w:hAnsi="宋体"/>
          <w:color w:val="000000" w:themeColor="text1"/>
          <w14:textFill>
            <w14:solidFill>
              <w14:schemeClr w14:val="tx1"/>
            </w14:solidFill>
          </w14:textFill>
        </w:rPr>
      </w:pPr>
    </w:p>
    <w:p>
      <w:pPr>
        <w:spacing w:line="360" w:lineRule="auto"/>
        <w:ind w:left="2409" w:leftChars="338" w:hanging="1699" w:hangingChars="531"/>
        <w:rPr>
          <w:rFonts w:ascii="华文中宋" w:hAnsi="华文中宋" w:eastAsia="华文中宋"/>
          <w:color w:val="000000" w:themeColor="text1"/>
          <w:sz w:val="32"/>
          <w:szCs w:val="32"/>
          <w14:textFill>
            <w14:solidFill>
              <w14:schemeClr w14:val="tx1"/>
            </w14:solidFill>
          </w14:textFill>
        </w:rPr>
      </w:pPr>
      <w:r>
        <w:rPr>
          <w:rFonts w:hint="eastAsia" w:ascii="华文中宋" w:hAnsi="华文中宋" w:eastAsia="华文中宋"/>
          <w:color w:val="000000" w:themeColor="text1"/>
          <w:sz w:val="32"/>
          <w:szCs w:val="32"/>
          <w14:textFill>
            <w14:solidFill>
              <w14:schemeClr w14:val="tx1"/>
            </w14:solidFill>
          </w14:textFill>
        </w:rPr>
        <w:t>项目名称：成都市青羊区教育技术装备与信息管理中心2021年新建学校电教设备政府采购项目</w:t>
      </w:r>
    </w:p>
    <w:p>
      <w:pPr>
        <w:spacing w:line="360" w:lineRule="auto"/>
        <w:ind w:left="2409" w:leftChars="338" w:hanging="1699" w:hangingChars="531"/>
        <w:rPr>
          <w:rFonts w:ascii="华文中宋" w:hAnsi="华文中宋" w:eastAsia="华文中宋"/>
          <w:color w:val="000000" w:themeColor="text1"/>
          <w:sz w:val="32"/>
          <w:szCs w:val="32"/>
          <w14:textFill>
            <w14:solidFill>
              <w14:schemeClr w14:val="tx1"/>
            </w14:solidFill>
          </w14:textFill>
        </w:rPr>
      </w:pPr>
      <w:r>
        <w:rPr>
          <w:rFonts w:hint="eastAsia" w:ascii="华文中宋" w:hAnsi="华文中宋" w:eastAsia="华文中宋"/>
          <w:color w:val="000000" w:themeColor="text1"/>
          <w:sz w:val="32"/>
          <w:szCs w:val="32"/>
          <w14:textFill>
            <w14:solidFill>
              <w14:schemeClr w14:val="tx1"/>
            </w14:solidFill>
          </w14:textFill>
        </w:rPr>
        <w:t>项目编号：青羊政采（2021）A0001号</w:t>
      </w:r>
    </w:p>
    <w:p>
      <w:pPr>
        <w:spacing w:line="360" w:lineRule="auto"/>
        <w:ind w:firstLine="1280" w:firstLineChars="400"/>
        <w:rPr>
          <w:rFonts w:ascii="宋体" w:hAnsi="宋体"/>
          <w:color w:val="000000" w:themeColor="text1"/>
          <w:sz w:val="32"/>
          <w:szCs w:val="32"/>
          <w14:textFill>
            <w14:solidFill>
              <w14:schemeClr w14:val="tx1"/>
            </w14:solidFill>
          </w14:textFill>
        </w:rPr>
      </w:pPr>
    </w:p>
    <w:p>
      <w:pPr>
        <w:spacing w:line="360" w:lineRule="auto"/>
        <w:ind w:firstLine="1256" w:firstLineChars="349"/>
        <w:rPr>
          <w:rFonts w:ascii="宋体" w:hAnsi="宋体"/>
          <w:color w:val="000000" w:themeColor="text1"/>
          <w:spacing w:val="20"/>
          <w:sz w:val="32"/>
          <w:szCs w:val="32"/>
          <w14:textFill>
            <w14:solidFill>
              <w14:schemeClr w14:val="tx1"/>
            </w14:solidFill>
          </w14:textFill>
        </w:rPr>
      </w:pPr>
    </w:p>
    <w:p>
      <w:pPr>
        <w:spacing w:line="360" w:lineRule="auto"/>
        <w:rPr>
          <w:rFonts w:ascii="宋体" w:hAnsi="宋体"/>
          <w:color w:val="000000" w:themeColor="text1"/>
          <w:kern w:val="24"/>
          <w:sz w:val="32"/>
          <w:szCs w:val="32"/>
          <w14:textFill>
            <w14:solidFill>
              <w14:schemeClr w14:val="tx1"/>
            </w14:solidFill>
          </w14:textFill>
        </w:rPr>
      </w:pPr>
    </w:p>
    <w:p>
      <w:pPr>
        <w:spacing w:line="360" w:lineRule="auto"/>
        <w:rPr>
          <w:rFonts w:ascii="宋体" w:hAnsi="宋体"/>
          <w:color w:val="000000" w:themeColor="text1"/>
          <w:kern w:val="24"/>
          <w:sz w:val="32"/>
          <w:szCs w:val="32"/>
          <w14:textFill>
            <w14:solidFill>
              <w14:schemeClr w14:val="tx1"/>
            </w14:solidFill>
          </w14:textFill>
        </w:rPr>
      </w:pPr>
    </w:p>
    <w:p>
      <w:pPr>
        <w:spacing w:line="360" w:lineRule="auto"/>
        <w:jc w:val="center"/>
        <w:rPr>
          <w:rFonts w:ascii="宋体" w:hAnsi="宋体"/>
          <w:color w:val="000000" w:themeColor="text1"/>
          <w:kern w:val="24"/>
          <w:sz w:val="32"/>
          <w:szCs w:val="32"/>
          <w14:textFill>
            <w14:solidFill>
              <w14:schemeClr w14:val="tx1"/>
            </w14:solidFill>
          </w14:textFill>
        </w:rPr>
      </w:pPr>
    </w:p>
    <w:p>
      <w:pPr>
        <w:widowControl/>
        <w:shd w:val="clear" w:color="auto" w:fill="FFFFFF"/>
        <w:ind w:left="360" w:firstLine="960" w:firstLineChars="300"/>
        <w:jc w:val="left"/>
        <w:rPr>
          <w:rFonts w:ascii="华文中宋" w:hAnsi="华文中宋" w:eastAsia="华文中宋"/>
          <w:color w:val="000000" w:themeColor="text1"/>
          <w:sz w:val="32"/>
          <w:szCs w:val="32"/>
          <w14:textFill>
            <w14:solidFill>
              <w14:schemeClr w14:val="tx1"/>
            </w14:solidFill>
          </w14:textFill>
        </w:rPr>
      </w:pPr>
      <w:r>
        <w:rPr>
          <w:rFonts w:hint="eastAsia" w:ascii="华文中宋" w:hAnsi="华文中宋" w:eastAsia="华文中宋"/>
          <w:color w:val="000000" w:themeColor="text1"/>
          <w:sz w:val="32"/>
          <w:szCs w:val="32"/>
          <w14:textFill>
            <w14:solidFill>
              <w14:schemeClr w14:val="tx1"/>
            </w14:solidFill>
          </w14:textFill>
        </w:rPr>
        <w:t>成都市青羊区教育技术装备与信息管理中心、</w:t>
      </w:r>
    </w:p>
    <w:p>
      <w:pPr>
        <w:spacing w:line="360" w:lineRule="auto"/>
        <w:jc w:val="center"/>
        <w:rPr>
          <w:rFonts w:ascii="华文中宋" w:hAnsi="华文中宋" w:eastAsia="华文中宋"/>
          <w:color w:val="000000" w:themeColor="text1"/>
          <w:sz w:val="32"/>
          <w:szCs w:val="32"/>
          <w14:textFill>
            <w14:solidFill>
              <w14:schemeClr w14:val="tx1"/>
            </w14:solidFill>
          </w14:textFill>
        </w:rPr>
      </w:pPr>
      <w:r>
        <w:rPr>
          <w:rFonts w:hint="eastAsia" w:ascii="华文中宋" w:hAnsi="华文中宋" w:eastAsia="华文中宋"/>
          <w:color w:val="000000" w:themeColor="text1"/>
          <w:sz w:val="32"/>
          <w:szCs w:val="32"/>
          <w14:textFill>
            <w14:solidFill>
              <w14:schemeClr w14:val="tx1"/>
            </w14:solidFill>
          </w14:textFill>
        </w:rPr>
        <w:t>成都市成都市青羊区政府采购服务中心共同编制</w:t>
      </w:r>
    </w:p>
    <w:p>
      <w:pPr>
        <w:spacing w:line="360" w:lineRule="auto"/>
        <w:jc w:val="center"/>
        <w:rPr>
          <w:rFonts w:ascii="华文中宋" w:hAnsi="华文中宋" w:eastAsia="华文中宋"/>
          <w:color w:val="000000" w:themeColor="text1"/>
          <w:sz w:val="32"/>
          <w:szCs w:val="32"/>
          <w14:textFill>
            <w14:solidFill>
              <w14:schemeClr w14:val="tx1"/>
            </w14:solidFill>
          </w14:textFill>
        </w:rPr>
      </w:pPr>
      <w:r>
        <w:rPr>
          <w:rFonts w:hint="eastAsia" w:ascii="华文中宋" w:hAnsi="华文中宋" w:eastAsia="华文中宋"/>
          <w:color w:val="000000" w:themeColor="text1"/>
          <w:sz w:val="32"/>
          <w:szCs w:val="32"/>
          <w14:textFill>
            <w14:solidFill>
              <w14:schemeClr w14:val="tx1"/>
            </w14:solidFill>
          </w14:textFill>
        </w:rPr>
        <w:t>二〇二一年八月二日</w:t>
      </w:r>
    </w:p>
    <w:p>
      <w:pPr>
        <w:spacing w:line="360" w:lineRule="auto"/>
        <w:jc w:val="center"/>
        <w:rPr>
          <w:rFonts w:ascii="华文中宋" w:hAnsi="华文中宋" w:eastAsia="华文中宋"/>
          <w:color w:val="000000" w:themeColor="text1"/>
          <w:sz w:val="32"/>
          <w:szCs w:val="32"/>
          <w14:textFill>
            <w14:solidFill>
              <w14:schemeClr w14:val="tx1"/>
            </w14:solidFill>
          </w14:textFill>
        </w:rPr>
      </w:pPr>
    </w:p>
    <w:p>
      <w:pPr>
        <w:spacing w:line="360" w:lineRule="auto"/>
        <w:jc w:val="center"/>
        <w:rPr>
          <w:rFonts w:ascii="华文中宋" w:hAnsi="华文中宋" w:eastAsia="华文中宋"/>
          <w:color w:val="000000" w:themeColor="text1"/>
          <w:sz w:val="32"/>
          <w:szCs w:val="32"/>
          <w14:textFill>
            <w14:solidFill>
              <w14:schemeClr w14:val="tx1"/>
            </w14:solidFill>
          </w14:textFill>
        </w:rPr>
      </w:pPr>
    </w:p>
    <w:p>
      <w:pPr>
        <w:spacing w:line="360" w:lineRule="auto"/>
        <w:jc w:val="center"/>
        <w:rPr>
          <w:rFonts w:ascii="宋体" w:hAnsi="宋体"/>
          <w:b/>
          <w:color w:val="000000" w:themeColor="text1"/>
          <w:sz w:val="36"/>
          <w14:textFill>
            <w14:solidFill>
              <w14:schemeClr w14:val="tx1"/>
            </w14:solidFill>
          </w14:textFill>
        </w:rPr>
      </w:pPr>
      <w:bookmarkStart w:id="0" w:name="_Toc101328520"/>
      <w:bookmarkStart w:id="1" w:name="_Toc101234248"/>
      <w:bookmarkStart w:id="2" w:name="_Toc101247312"/>
      <w:bookmarkStart w:id="3" w:name="_Toc148505181"/>
      <w:r>
        <w:rPr>
          <w:rFonts w:hint="eastAsia" w:ascii="宋体" w:hAnsi="宋体"/>
          <w:b/>
          <w:color w:val="000000" w:themeColor="text1"/>
          <w:sz w:val="32"/>
          <w:szCs w:val="32"/>
          <w14:textFill>
            <w14:solidFill>
              <w14:schemeClr w14:val="tx1"/>
            </w14:solidFill>
          </w14:textFill>
        </w:rPr>
        <w:t>目 录</w:t>
      </w:r>
    </w:p>
    <w:p>
      <w:pPr>
        <w:pStyle w:val="29"/>
        <w:rPr>
          <w:rFonts w:asciiTheme="minorHAnsi" w:hAnsiTheme="minorHAnsi" w:eastAsiaTheme="minorEastAsia" w:cstheme="minorBidi"/>
          <w:bCs w:val="0"/>
          <w:caps w:val="0"/>
          <w:color w:val="000000" w:themeColor="text1"/>
          <w:sz w:val="21"/>
          <w:szCs w:val="22"/>
          <w14:textFill>
            <w14:solidFill>
              <w14:schemeClr w14:val="tx1"/>
            </w14:solidFill>
          </w14:textFill>
        </w:rPr>
      </w:pPr>
      <w:r>
        <w:rPr>
          <w:rFonts w:hint="eastAsia"/>
          <w:color w:val="000000" w:themeColor="text1"/>
          <w14:textFill>
            <w14:solidFill>
              <w14:schemeClr w14:val="tx1"/>
            </w14:solidFill>
          </w14:textFill>
        </w:rPr>
        <w:fldChar w:fldCharType="begin"/>
      </w:r>
      <w:r>
        <w:rPr>
          <w:rFonts w:hint="eastAsia" w:ascii="宋体" w:hAnsi="宋体"/>
          <w:smallCaps/>
          <w:color w:val="000000" w:themeColor="text1"/>
          <w14:textFill>
            <w14:solidFill>
              <w14:schemeClr w14:val="tx1"/>
            </w14:solidFill>
          </w14:textFill>
        </w:rPr>
        <w:instrText xml:space="preserve"> TOC \o "1-2" \h \z \u </w:instrText>
      </w:r>
      <w:r>
        <w:rPr>
          <w:rFonts w:hint="eastAsia"/>
          <w:color w:val="000000" w:themeColor="text1"/>
          <w14:textFill>
            <w14:solidFill>
              <w14:schemeClr w14:val="tx1"/>
            </w14:solidFill>
          </w14:textFill>
        </w:rPr>
        <w:fldChar w:fldCharType="separate"/>
      </w:r>
      <w:r>
        <w:fldChar w:fldCharType="begin"/>
      </w:r>
      <w:r>
        <w:instrText xml:space="preserve"> HYPERLINK \l "_Toc76541344" </w:instrText>
      </w:r>
      <w:r>
        <w:fldChar w:fldCharType="separate"/>
      </w:r>
      <w:r>
        <w:rPr>
          <w:rStyle w:val="47"/>
          <w:rFonts w:hint="eastAsia" w:ascii="Times New Roman" w:hAnsi="Times New Roman"/>
          <w:color w:val="000000" w:themeColor="text1"/>
          <w:spacing w:val="-20"/>
          <w:kern w:val="44"/>
          <w14:textFill>
            <w14:solidFill>
              <w14:schemeClr w14:val="tx1"/>
            </w14:solidFill>
          </w14:textFill>
        </w:rPr>
        <w:t>第1章</w:t>
      </w:r>
      <w:r>
        <w:rPr>
          <w:rFonts w:asciiTheme="minorHAnsi" w:hAnsiTheme="minorHAnsi" w:eastAsiaTheme="minorEastAsia" w:cstheme="minorBidi"/>
          <w:bCs w:val="0"/>
          <w:caps w:val="0"/>
          <w:color w:val="000000" w:themeColor="text1"/>
          <w:sz w:val="21"/>
          <w:szCs w:val="22"/>
          <w14:textFill>
            <w14:solidFill>
              <w14:schemeClr w14:val="tx1"/>
            </w14:solidFill>
          </w14:textFill>
        </w:rPr>
        <w:tab/>
      </w:r>
      <w:r>
        <w:rPr>
          <w:rStyle w:val="47"/>
          <w:rFonts w:hint="eastAsia" w:ascii="宋体" w:hAnsi="宋体"/>
          <w:color w:val="000000" w:themeColor="text1"/>
          <w:spacing w:val="-20"/>
          <w:kern w:val="44"/>
          <w14:textFill>
            <w14:solidFill>
              <w14:schemeClr w14:val="tx1"/>
            </w14:solidFill>
          </w14:textFill>
        </w:rPr>
        <w:t>投标邀请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_Toc76541344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29"/>
        <w:rPr>
          <w:rFonts w:asciiTheme="minorHAnsi" w:hAnsiTheme="minorHAnsi" w:eastAsiaTheme="minorEastAsia" w:cstheme="minorBidi"/>
          <w:bCs w:val="0"/>
          <w:caps w:val="0"/>
          <w:color w:val="000000" w:themeColor="text1"/>
          <w:sz w:val="21"/>
          <w:szCs w:val="22"/>
          <w14:textFill>
            <w14:solidFill>
              <w14:schemeClr w14:val="tx1"/>
            </w14:solidFill>
          </w14:textFill>
        </w:rPr>
      </w:pPr>
      <w:r>
        <w:fldChar w:fldCharType="begin"/>
      </w:r>
      <w:r>
        <w:instrText xml:space="preserve"> HYPERLINK \l "_Toc76541345" </w:instrText>
      </w:r>
      <w:r>
        <w:fldChar w:fldCharType="separate"/>
      </w:r>
      <w:r>
        <w:rPr>
          <w:rStyle w:val="47"/>
          <w:rFonts w:hint="eastAsia" w:ascii="Times New Roman" w:hAnsi="Times New Roman"/>
          <w:color w:val="000000" w:themeColor="text1"/>
          <w:spacing w:val="-20"/>
          <w:kern w:val="44"/>
          <w14:textFill>
            <w14:solidFill>
              <w14:schemeClr w14:val="tx1"/>
            </w14:solidFill>
          </w14:textFill>
        </w:rPr>
        <w:t>第2章</w:t>
      </w:r>
      <w:r>
        <w:rPr>
          <w:rFonts w:asciiTheme="minorHAnsi" w:hAnsiTheme="minorHAnsi" w:eastAsiaTheme="minorEastAsia" w:cstheme="minorBidi"/>
          <w:bCs w:val="0"/>
          <w:caps w:val="0"/>
          <w:color w:val="000000" w:themeColor="text1"/>
          <w:sz w:val="21"/>
          <w:szCs w:val="22"/>
          <w14:textFill>
            <w14:solidFill>
              <w14:schemeClr w14:val="tx1"/>
            </w14:solidFill>
          </w14:textFill>
        </w:rPr>
        <w:tab/>
      </w:r>
      <w:r>
        <w:rPr>
          <w:rStyle w:val="47"/>
          <w:rFonts w:hint="eastAsia" w:ascii="宋体" w:hAnsi="宋体"/>
          <w:color w:val="000000" w:themeColor="text1"/>
          <w:spacing w:val="-20"/>
          <w:kern w:val="44"/>
          <w14:textFill>
            <w14:solidFill>
              <w14:schemeClr w14:val="tx1"/>
            </w14:solidFill>
          </w14:textFill>
        </w:rPr>
        <w:t>投标人须知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_Toc76541345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"_Toc76541346" </w:instrText>
      </w:r>
      <w:r>
        <w:fldChar w:fldCharType="separate"/>
      </w:r>
      <w:r>
        <w:rPr>
          <w:rStyle w:val="47"/>
          <w:rFonts w:ascii="Times New Roman" w:hAnsi="Times New Roman"/>
          <w:bCs/>
          <w:color w:val="000000" w:themeColor="text1"/>
          <w14:textFill>
            <w14:solidFill>
              <w14:schemeClr w14:val="tx1"/>
            </w14:solidFill>
          </w14:textFill>
        </w:rPr>
        <w:t>2.1</w:t>
      </w:r>
      <w:r>
        <w:rPr>
          <w:rStyle w:val="47"/>
          <w:rFonts w:hint="eastAsia" w:ascii="宋体" w:hAnsi="宋体"/>
          <w:bCs/>
          <w:color w:val="000000" w:themeColor="text1"/>
          <w14:textFill>
            <w14:solidFill>
              <w14:schemeClr w14:val="tx1"/>
            </w14:solidFill>
          </w14:textFill>
        </w:rPr>
        <w:t xml:space="preserve"> 投标人须知前附表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_Toc76541346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"_Toc76541347" </w:instrText>
      </w:r>
      <w:r>
        <w:fldChar w:fldCharType="separate"/>
      </w:r>
      <w:r>
        <w:rPr>
          <w:rStyle w:val="47"/>
          <w:rFonts w:ascii="Times New Roman" w:hAnsi="Times New Roman"/>
          <w:bCs/>
          <w:color w:val="000000" w:themeColor="text1"/>
          <w14:textFill>
            <w14:solidFill>
              <w14:schemeClr w14:val="tx1"/>
            </w14:solidFill>
          </w14:textFill>
        </w:rPr>
        <w:t>2.2</w:t>
      </w:r>
      <w:r>
        <w:rPr>
          <w:rStyle w:val="47"/>
          <w:rFonts w:hint="eastAsia" w:ascii="宋体" w:hAnsi="宋体"/>
          <w:bCs/>
          <w:color w:val="000000" w:themeColor="text1"/>
          <w14:textFill>
            <w14:solidFill>
              <w14:schemeClr w14:val="tx1"/>
            </w14:solidFill>
          </w14:textFill>
        </w:rPr>
        <w:t xml:space="preserve"> 总则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_Toc76541347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"_Toc76541348" </w:instrText>
      </w:r>
      <w:r>
        <w:fldChar w:fldCharType="separate"/>
      </w:r>
      <w:r>
        <w:rPr>
          <w:rStyle w:val="47"/>
          <w:rFonts w:ascii="Times New Roman" w:hAnsi="Times New Roman"/>
          <w:bCs/>
          <w:color w:val="000000" w:themeColor="text1"/>
          <w14:textFill>
            <w14:solidFill>
              <w14:schemeClr w14:val="tx1"/>
            </w14:solidFill>
          </w14:textFill>
        </w:rPr>
        <w:t>2.3</w:t>
      </w:r>
      <w:r>
        <w:rPr>
          <w:rStyle w:val="47"/>
          <w:rFonts w:hint="eastAsia" w:ascii="宋体" w:hAnsi="宋体"/>
          <w:bCs/>
          <w:color w:val="000000" w:themeColor="text1"/>
          <w14:textFill>
            <w14:solidFill>
              <w14:schemeClr w14:val="tx1"/>
            </w14:solidFill>
          </w14:textFill>
        </w:rPr>
        <w:t xml:space="preserve"> 招标文件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_Toc76541348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"_Toc76541349" </w:instrText>
      </w:r>
      <w:r>
        <w:fldChar w:fldCharType="separate"/>
      </w:r>
      <w:r>
        <w:rPr>
          <w:rStyle w:val="47"/>
          <w:rFonts w:ascii="Times New Roman" w:hAnsi="Times New Roman"/>
          <w:bCs/>
          <w:color w:val="000000" w:themeColor="text1"/>
          <w14:textFill>
            <w14:solidFill>
              <w14:schemeClr w14:val="tx1"/>
            </w14:solidFill>
          </w14:textFill>
        </w:rPr>
        <w:t>2.4</w:t>
      </w:r>
      <w:r>
        <w:rPr>
          <w:rStyle w:val="47"/>
          <w:rFonts w:hint="eastAsia" w:ascii="宋体" w:hAnsi="宋体"/>
          <w:bCs/>
          <w:color w:val="000000" w:themeColor="text1"/>
          <w14:textFill>
            <w14:solidFill>
              <w14:schemeClr w14:val="tx1"/>
            </w14:solidFill>
          </w14:textFill>
        </w:rPr>
        <w:t xml:space="preserve"> 投标文件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_Toc76541349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"_Toc76541350" </w:instrText>
      </w:r>
      <w:r>
        <w:fldChar w:fldCharType="separate"/>
      </w:r>
      <w:r>
        <w:rPr>
          <w:rStyle w:val="47"/>
          <w:rFonts w:ascii="Times New Roman" w:hAnsi="Times New Roman"/>
          <w:bCs/>
          <w:color w:val="000000" w:themeColor="text1"/>
          <w14:textFill>
            <w14:solidFill>
              <w14:schemeClr w14:val="tx1"/>
            </w14:solidFill>
          </w14:textFill>
        </w:rPr>
        <w:t>2.5</w:t>
      </w:r>
      <w:r>
        <w:rPr>
          <w:rStyle w:val="47"/>
          <w:rFonts w:hint="eastAsia" w:ascii="宋体" w:hAnsi="宋体"/>
          <w:bCs/>
          <w:color w:val="000000" w:themeColor="text1"/>
          <w14:textFill>
            <w14:solidFill>
              <w14:schemeClr w14:val="tx1"/>
            </w14:solidFill>
          </w14:textFill>
        </w:rPr>
        <w:t xml:space="preserve"> 开标、资格审查、评标和中标</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_Toc76541350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"_Toc76541351" </w:instrText>
      </w:r>
      <w:r>
        <w:fldChar w:fldCharType="separate"/>
      </w:r>
      <w:r>
        <w:rPr>
          <w:rStyle w:val="47"/>
          <w:rFonts w:ascii="Times New Roman" w:hAnsi="Times New Roman"/>
          <w:bCs/>
          <w:color w:val="000000" w:themeColor="text1"/>
          <w14:textFill>
            <w14:solidFill>
              <w14:schemeClr w14:val="tx1"/>
            </w14:solidFill>
          </w14:textFill>
        </w:rPr>
        <w:t>2.6</w:t>
      </w:r>
      <w:r>
        <w:rPr>
          <w:rStyle w:val="47"/>
          <w:rFonts w:hint="eastAsia" w:ascii="宋体" w:hAnsi="宋体"/>
          <w:bCs/>
          <w:color w:val="000000" w:themeColor="text1"/>
          <w14:textFill>
            <w14:solidFill>
              <w14:schemeClr w14:val="tx1"/>
            </w14:solidFill>
          </w14:textFill>
        </w:rPr>
        <w:t xml:space="preserve"> 签订及履行合同和验收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_Toc76541351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"_Toc76541352" </w:instrText>
      </w:r>
      <w:r>
        <w:fldChar w:fldCharType="separate"/>
      </w:r>
      <w:r>
        <w:rPr>
          <w:rStyle w:val="47"/>
          <w:rFonts w:ascii="Times New Roman" w:hAnsi="Times New Roman"/>
          <w:bCs/>
          <w:color w:val="000000" w:themeColor="text1"/>
          <w14:textFill>
            <w14:solidFill>
              <w14:schemeClr w14:val="tx1"/>
            </w14:solidFill>
          </w14:textFill>
        </w:rPr>
        <w:t>2.7</w:t>
      </w:r>
      <w:r>
        <w:rPr>
          <w:rStyle w:val="47"/>
          <w:rFonts w:hint="eastAsia" w:ascii="宋体" w:hAnsi="宋体"/>
          <w:bCs/>
          <w:color w:val="000000" w:themeColor="text1"/>
          <w14:textFill>
            <w14:solidFill>
              <w14:schemeClr w14:val="tx1"/>
            </w14:solidFill>
          </w14:textFill>
        </w:rPr>
        <w:t xml:space="preserve"> 投标纪律要求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_Toc76541352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"_Toc76541353" </w:instrText>
      </w:r>
      <w:r>
        <w:fldChar w:fldCharType="separate"/>
      </w:r>
      <w:r>
        <w:rPr>
          <w:rStyle w:val="47"/>
          <w:rFonts w:ascii="Times New Roman" w:hAnsi="Times New Roman"/>
          <w:bCs/>
          <w:color w:val="000000" w:themeColor="text1"/>
          <w14:textFill>
            <w14:solidFill>
              <w14:schemeClr w14:val="tx1"/>
            </w14:solidFill>
          </w14:textFill>
        </w:rPr>
        <w:t>2.8</w:t>
      </w:r>
      <w:r>
        <w:rPr>
          <w:rStyle w:val="47"/>
          <w:rFonts w:hint="eastAsia" w:ascii="宋体" w:hAnsi="宋体"/>
          <w:bCs/>
          <w:color w:val="000000" w:themeColor="text1"/>
          <w14:textFill>
            <w14:solidFill>
              <w14:schemeClr w14:val="tx1"/>
            </w14:solidFill>
          </w14:textFill>
        </w:rPr>
        <w:t xml:space="preserve"> 询问、质疑和投诉</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_Toc76541353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"_Toc76541354" </w:instrText>
      </w:r>
      <w:r>
        <w:fldChar w:fldCharType="separate"/>
      </w:r>
      <w:r>
        <w:rPr>
          <w:rStyle w:val="47"/>
          <w:rFonts w:ascii="Times New Roman" w:hAnsi="Times New Roman"/>
          <w:bCs/>
          <w:color w:val="000000" w:themeColor="text1"/>
          <w14:textFill>
            <w14:solidFill>
              <w14:schemeClr w14:val="tx1"/>
            </w14:solidFill>
          </w14:textFill>
        </w:rPr>
        <w:t>2.9</w:t>
      </w:r>
      <w:r>
        <w:rPr>
          <w:rStyle w:val="47"/>
          <w:rFonts w:hint="eastAsia" w:ascii="宋体" w:hAnsi="宋体"/>
          <w:bCs/>
          <w:color w:val="000000" w:themeColor="text1"/>
          <w14:textFill>
            <w14:solidFill>
              <w14:schemeClr w14:val="tx1"/>
            </w14:solidFill>
          </w14:textFill>
        </w:rPr>
        <w:t xml:space="preserve"> 中小企业政府采购信用融资</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_Toc76541354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29"/>
        <w:rPr>
          <w:rFonts w:asciiTheme="minorHAnsi" w:hAnsiTheme="minorHAnsi" w:eastAsiaTheme="minorEastAsia" w:cstheme="minorBidi"/>
          <w:bCs w:val="0"/>
          <w:caps w:val="0"/>
          <w:color w:val="000000" w:themeColor="text1"/>
          <w:sz w:val="21"/>
          <w:szCs w:val="22"/>
          <w14:textFill>
            <w14:solidFill>
              <w14:schemeClr w14:val="tx1"/>
            </w14:solidFill>
          </w14:textFill>
        </w:rPr>
      </w:pPr>
      <w:r>
        <w:fldChar w:fldCharType="begin"/>
      </w:r>
      <w:r>
        <w:instrText xml:space="preserve"> HYPERLINK \l "_Toc76541355" </w:instrText>
      </w:r>
      <w:r>
        <w:fldChar w:fldCharType="separate"/>
      </w:r>
      <w:r>
        <w:rPr>
          <w:rStyle w:val="47"/>
          <w:rFonts w:hint="eastAsia" w:ascii="Times New Roman" w:hAnsi="Times New Roman"/>
          <w:color w:val="000000" w:themeColor="text1"/>
          <w:spacing w:val="-20"/>
          <w:kern w:val="44"/>
          <w14:textFill>
            <w14:solidFill>
              <w14:schemeClr w14:val="tx1"/>
            </w14:solidFill>
          </w14:textFill>
        </w:rPr>
        <w:t>第3章</w:t>
      </w:r>
      <w:r>
        <w:rPr>
          <w:rFonts w:asciiTheme="minorHAnsi" w:hAnsiTheme="minorHAnsi" w:eastAsiaTheme="minorEastAsia" w:cstheme="minorBidi"/>
          <w:bCs w:val="0"/>
          <w:caps w:val="0"/>
          <w:color w:val="000000" w:themeColor="text1"/>
          <w:sz w:val="21"/>
          <w:szCs w:val="22"/>
          <w14:textFill>
            <w14:solidFill>
              <w14:schemeClr w14:val="tx1"/>
            </w14:solidFill>
          </w14:textFill>
        </w:rPr>
        <w:tab/>
      </w:r>
      <w:r>
        <w:rPr>
          <w:rStyle w:val="47"/>
          <w:rFonts w:hint="eastAsia" w:ascii="宋体" w:hAnsi="宋体"/>
          <w:color w:val="000000" w:themeColor="text1"/>
          <w:spacing w:val="-20"/>
          <w:kern w:val="44"/>
          <w14:textFill>
            <w14:solidFill>
              <w14:schemeClr w14:val="tx1"/>
            </w14:solidFill>
          </w14:textFill>
        </w:rPr>
        <w:t>投标文件格式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_Toc76541355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"_Toc76541356" </w:instrText>
      </w:r>
      <w:r>
        <w:fldChar w:fldCharType="separate"/>
      </w:r>
      <w:r>
        <w:rPr>
          <w:rStyle w:val="47"/>
          <w:rFonts w:ascii="Times New Roman" w:hAnsi="Times New Roman"/>
          <w:bCs/>
          <w:color w:val="000000" w:themeColor="text1"/>
          <w14:textFill>
            <w14:solidFill>
              <w14:schemeClr w14:val="tx1"/>
            </w14:solidFill>
          </w14:textFill>
        </w:rPr>
        <w:t>3.1</w:t>
      </w:r>
      <w:r>
        <w:rPr>
          <w:rStyle w:val="47"/>
          <w:rFonts w:hint="eastAsia" w:ascii="宋体" w:hAnsi="宋体"/>
          <w:bCs/>
          <w:color w:val="000000" w:themeColor="text1"/>
          <w14:textFill>
            <w14:solidFill>
              <w14:schemeClr w14:val="tx1"/>
            </w14:solidFill>
          </w14:textFill>
        </w:rPr>
        <w:t xml:space="preserve"> 投标文件封面格式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_Toc76541356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"_Toc76541357" </w:instrText>
      </w:r>
      <w:r>
        <w:fldChar w:fldCharType="separate"/>
      </w:r>
      <w:r>
        <w:rPr>
          <w:rStyle w:val="47"/>
          <w:rFonts w:ascii="Times New Roman" w:hAnsi="Times New Roman"/>
          <w:bCs/>
          <w:color w:val="000000" w:themeColor="text1"/>
          <w14:textFill>
            <w14:solidFill>
              <w14:schemeClr w14:val="tx1"/>
            </w14:solidFill>
          </w14:textFill>
        </w:rPr>
        <w:t>3.2</w:t>
      </w:r>
      <w:r>
        <w:rPr>
          <w:rStyle w:val="47"/>
          <w:rFonts w:hint="eastAsia" w:ascii="宋体" w:hAnsi="宋体"/>
          <w:bCs/>
          <w:color w:val="000000" w:themeColor="text1"/>
          <w14:textFill>
            <w14:solidFill>
              <w14:schemeClr w14:val="tx1"/>
            </w14:solidFill>
          </w14:textFill>
        </w:rPr>
        <w:t xml:space="preserve"> 资格响应文件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_Toc76541357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"_Toc76541358" </w:instrText>
      </w:r>
      <w:r>
        <w:fldChar w:fldCharType="separate"/>
      </w:r>
      <w:r>
        <w:rPr>
          <w:rStyle w:val="47"/>
          <w:rFonts w:ascii="Times New Roman" w:hAnsi="Times New Roman"/>
          <w:bCs/>
          <w:color w:val="000000" w:themeColor="text1"/>
          <w14:textFill>
            <w14:solidFill>
              <w14:schemeClr w14:val="tx1"/>
            </w14:solidFill>
          </w14:textFill>
        </w:rPr>
        <w:t>3.3</w:t>
      </w:r>
      <w:r>
        <w:rPr>
          <w:rStyle w:val="47"/>
          <w:rFonts w:hint="eastAsia" w:ascii="宋体" w:hAnsi="宋体"/>
          <w:bCs/>
          <w:color w:val="000000" w:themeColor="text1"/>
          <w14:textFill>
            <w14:solidFill>
              <w14:schemeClr w14:val="tx1"/>
            </w14:solidFill>
          </w14:textFill>
        </w:rPr>
        <w:t xml:space="preserve"> 商务技术响应文件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_Toc76541358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"_Toc76541359" </w:instrText>
      </w:r>
      <w:r>
        <w:fldChar w:fldCharType="separate"/>
      </w:r>
      <w:r>
        <w:rPr>
          <w:rStyle w:val="47"/>
          <w:rFonts w:ascii="Times New Roman" w:hAnsi="Times New Roman"/>
          <w:color w:val="000000" w:themeColor="text1"/>
          <w14:textFill>
            <w14:solidFill>
              <w14:schemeClr w14:val="tx1"/>
            </w14:solidFill>
          </w14:textFill>
        </w:rPr>
        <w:t>3.4</w:t>
      </w:r>
      <w:r>
        <w:rPr>
          <w:rStyle w:val="47"/>
          <w:rFonts w:hint="eastAsia" w:ascii="宋体" w:hAnsi="宋体"/>
          <w:color w:val="000000" w:themeColor="text1"/>
          <w14:textFill>
            <w14:solidFill>
              <w14:schemeClr w14:val="tx1"/>
            </w14:solidFill>
          </w14:textFill>
        </w:rPr>
        <w:t xml:space="preserve"> 报价</w:t>
      </w:r>
      <w:r>
        <w:rPr>
          <w:rStyle w:val="47"/>
          <w:rFonts w:hint="eastAsia" w:ascii="宋体" w:hAnsi="宋体"/>
          <w:bCs/>
          <w:color w:val="000000" w:themeColor="text1"/>
          <w14:textFill>
            <w14:solidFill>
              <w14:schemeClr w14:val="tx1"/>
            </w14:solidFill>
          </w14:textFill>
        </w:rPr>
        <w:t>要求</w:t>
      </w:r>
      <w:r>
        <w:rPr>
          <w:rStyle w:val="47"/>
          <w:rFonts w:hint="eastAsia" w:ascii="宋体" w:hAnsi="宋体"/>
          <w:color w:val="000000" w:themeColor="text1"/>
          <w14:textFill>
            <w14:solidFill>
              <w14:schemeClr w14:val="tx1"/>
            </w14:solidFill>
          </w14:textFill>
        </w:rPr>
        <w:t>响应文件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_Toc76541359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29"/>
        <w:rPr>
          <w:rFonts w:asciiTheme="minorHAnsi" w:hAnsiTheme="minorHAnsi" w:eastAsiaTheme="minorEastAsia" w:cstheme="minorBidi"/>
          <w:bCs w:val="0"/>
          <w:caps w:val="0"/>
          <w:color w:val="000000" w:themeColor="text1"/>
          <w:sz w:val="21"/>
          <w:szCs w:val="22"/>
          <w14:textFill>
            <w14:solidFill>
              <w14:schemeClr w14:val="tx1"/>
            </w14:solidFill>
          </w14:textFill>
        </w:rPr>
      </w:pPr>
      <w:r>
        <w:fldChar w:fldCharType="begin"/>
      </w:r>
      <w:r>
        <w:instrText xml:space="preserve"> HYPERLINK \l "_Toc76541360" </w:instrText>
      </w:r>
      <w:r>
        <w:fldChar w:fldCharType="separate"/>
      </w:r>
      <w:r>
        <w:rPr>
          <w:rStyle w:val="47"/>
          <w:rFonts w:hint="eastAsia" w:ascii="Times New Roman" w:hAnsi="Times New Roman"/>
          <w:color w:val="000000" w:themeColor="text1"/>
          <w:spacing w:val="-20"/>
          <w:kern w:val="44"/>
          <w14:textFill>
            <w14:solidFill>
              <w14:schemeClr w14:val="tx1"/>
            </w14:solidFill>
          </w14:textFill>
        </w:rPr>
        <w:t>第4章</w:t>
      </w:r>
      <w:r>
        <w:rPr>
          <w:rFonts w:asciiTheme="minorHAnsi" w:hAnsiTheme="minorHAnsi" w:eastAsiaTheme="minorEastAsia" w:cstheme="minorBidi"/>
          <w:bCs w:val="0"/>
          <w:caps w:val="0"/>
          <w:color w:val="000000" w:themeColor="text1"/>
          <w:sz w:val="21"/>
          <w:szCs w:val="22"/>
          <w14:textFill>
            <w14:solidFill>
              <w14:schemeClr w14:val="tx1"/>
            </w14:solidFill>
          </w14:textFill>
        </w:rPr>
        <w:tab/>
      </w:r>
      <w:r>
        <w:rPr>
          <w:rStyle w:val="47"/>
          <w:rFonts w:hint="eastAsia" w:ascii="宋体" w:hAnsi="宋体"/>
          <w:color w:val="000000" w:themeColor="text1"/>
          <w:spacing w:val="-20"/>
          <w:kern w:val="44"/>
          <w14:textFill>
            <w14:solidFill>
              <w14:schemeClr w14:val="tx1"/>
            </w14:solidFill>
          </w14:textFill>
        </w:rPr>
        <w:t>招标项目技术、服务、商务及其他要求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_Toc76541360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"_Toc76541361" </w:instrText>
      </w:r>
      <w:r>
        <w:fldChar w:fldCharType="separate"/>
      </w:r>
      <w:r>
        <w:rPr>
          <w:rStyle w:val="47"/>
          <w:rFonts w:ascii="Times New Roman" w:hAnsi="Times New Roman"/>
          <w:color w:val="000000" w:themeColor="text1"/>
          <w14:textFill>
            <w14:solidFill>
              <w14:schemeClr w14:val="tx1"/>
            </w14:solidFill>
          </w14:textFill>
        </w:rPr>
        <w:t>4.1</w:t>
      </w:r>
      <w:r>
        <w:rPr>
          <w:rStyle w:val="47"/>
          <w:rFonts w:hint="eastAsia"/>
          <w:color w:val="000000" w:themeColor="text1"/>
          <w14:textFill>
            <w14:solidFill>
              <w14:schemeClr w14:val="tx1"/>
            </w14:solidFill>
          </w14:textFill>
        </w:rPr>
        <w:t xml:space="preserve"> 采购内容</w:t>
      </w:r>
      <w:r>
        <w:rPr>
          <w:rStyle w:val="47"/>
          <w:rFonts w:hint="eastAsia"/>
          <w:color w:val="000000" w:themeColor="text1"/>
          <w14:textFill>
            <w14:solidFill>
              <w14:schemeClr w14:val="tx1"/>
            </w14:solidFill>
          </w14:textFill>
        </w:rPr>
        <w:fldChar w:fldCharType="end"/>
      </w:r>
      <w:r>
        <w:rPr>
          <w:color w:val="000000" w:themeColor="text1"/>
          <w14:textFill>
            <w14:solidFill>
              <w14:schemeClr w14:val="tx1"/>
            </w14:solidFill>
          </w14:textFill>
        </w:rPr>
        <w:t>…………………………………………………………………………………………46</w:t>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"_Toc76541362" </w:instrText>
      </w:r>
      <w:r>
        <w:fldChar w:fldCharType="separate"/>
      </w:r>
      <w:r>
        <w:rPr>
          <w:rStyle w:val="47"/>
          <w:rFonts w:ascii="Times New Roman" w:hAnsi="Times New Roman"/>
          <w:color w:val="000000" w:themeColor="text1"/>
          <w14:textFill>
            <w14:solidFill>
              <w14:schemeClr w14:val="tx1"/>
            </w14:solidFill>
          </w14:textFill>
        </w:rPr>
        <w:t>4.2</w:t>
      </w:r>
      <w:r>
        <w:rPr>
          <w:rStyle w:val="47"/>
          <w:rFonts w:hint="eastAsia"/>
          <w:color w:val="000000" w:themeColor="text1"/>
          <w14:textFill>
            <w14:solidFill>
              <w14:schemeClr w14:val="tx1"/>
            </w14:solidFill>
          </w14:textFill>
        </w:rPr>
        <w:t xml:space="preserve"> 技术参数及要求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_Toc76541362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"_Toc76541363" </w:instrText>
      </w:r>
      <w:r>
        <w:fldChar w:fldCharType="separate"/>
      </w:r>
      <w:r>
        <w:rPr>
          <w:rStyle w:val="47"/>
          <w:rFonts w:ascii="Times New Roman" w:hAnsi="Times New Roman"/>
          <w:color w:val="000000" w:themeColor="text1"/>
          <w14:textFill>
            <w14:solidFill>
              <w14:schemeClr w14:val="tx1"/>
            </w14:solidFill>
          </w14:textFill>
        </w:rPr>
        <w:t>4.3</w:t>
      </w:r>
      <w:r>
        <w:rPr>
          <w:rStyle w:val="47"/>
          <w:rFonts w:hint="eastAsia"/>
          <w:color w:val="000000" w:themeColor="text1"/>
          <w14:textFill>
            <w14:solidFill>
              <w14:schemeClr w14:val="tx1"/>
            </w14:solidFill>
          </w14:textFill>
        </w:rPr>
        <w:t xml:space="preserve"> 商务要求</w:t>
      </w:r>
      <w:r>
        <w:rPr>
          <w:color w:val="000000" w:themeColor="text1"/>
          <w14:textFill>
            <w14:solidFill>
              <w14:schemeClr w14:val="tx1"/>
            </w14:solidFill>
          </w14:textFill>
        </w:rPr>
        <w:tab/>
      </w:r>
      <w:r>
        <w:rPr>
          <w:color w:val="000000" w:themeColor="text1"/>
          <w14:textFill>
            <w14:solidFill>
              <w14:schemeClr w14:val="tx1"/>
            </w14:solidFill>
          </w14:textFill>
        </w:rPr>
        <w:t>52</w:t>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"_Toc76541364" </w:instrText>
      </w:r>
      <w:r>
        <w:fldChar w:fldCharType="separate"/>
      </w:r>
      <w:r>
        <w:rPr>
          <w:rStyle w:val="47"/>
          <w:rFonts w:ascii="Times New Roman" w:hAnsi="Times New Roman"/>
          <w:color w:val="000000" w:themeColor="text1"/>
          <w14:textFill>
            <w14:solidFill>
              <w14:schemeClr w14:val="tx1"/>
            </w14:solidFill>
          </w14:textFill>
        </w:rPr>
        <w:t>4.4</w:t>
      </w:r>
      <w:r>
        <w:rPr>
          <w:rStyle w:val="47"/>
          <w:rFonts w:hint="eastAsia"/>
          <w:color w:val="000000" w:themeColor="text1"/>
          <w14:textFill>
            <w14:solidFill>
              <w14:schemeClr w14:val="tx1"/>
            </w14:solidFill>
          </w14:textFill>
        </w:rPr>
        <w:t xml:space="preserve"> 其他要求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_Toc76541364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29"/>
        <w:rPr>
          <w:rFonts w:asciiTheme="minorHAnsi" w:hAnsiTheme="minorHAnsi" w:eastAsiaTheme="minorEastAsia" w:cstheme="minorBidi"/>
          <w:bCs w:val="0"/>
          <w:caps w:val="0"/>
          <w:color w:val="000000" w:themeColor="text1"/>
          <w:sz w:val="21"/>
          <w:szCs w:val="22"/>
          <w14:textFill>
            <w14:solidFill>
              <w14:schemeClr w14:val="tx1"/>
            </w14:solidFill>
          </w14:textFill>
        </w:rPr>
      </w:pPr>
      <w:r>
        <w:fldChar w:fldCharType="begin"/>
      </w:r>
      <w:r>
        <w:instrText xml:space="preserve"> HYPERLINK \l "_Toc76541365" </w:instrText>
      </w:r>
      <w:r>
        <w:fldChar w:fldCharType="separate"/>
      </w:r>
      <w:r>
        <w:rPr>
          <w:rStyle w:val="47"/>
          <w:rFonts w:hint="eastAsia" w:ascii="Times New Roman" w:hAnsi="Times New Roman"/>
          <w:color w:val="000000" w:themeColor="text1"/>
          <w:spacing w:val="-20"/>
          <w:kern w:val="44"/>
          <w14:textFill>
            <w14:solidFill>
              <w14:schemeClr w14:val="tx1"/>
            </w14:solidFill>
          </w14:textFill>
        </w:rPr>
        <w:t>第5章</w:t>
      </w:r>
      <w:r>
        <w:rPr>
          <w:rFonts w:asciiTheme="minorHAnsi" w:hAnsiTheme="minorHAnsi" w:eastAsiaTheme="minorEastAsia" w:cstheme="minorBidi"/>
          <w:bCs w:val="0"/>
          <w:caps w:val="0"/>
          <w:color w:val="000000" w:themeColor="text1"/>
          <w:sz w:val="21"/>
          <w:szCs w:val="22"/>
          <w14:textFill>
            <w14:solidFill>
              <w14:schemeClr w14:val="tx1"/>
            </w14:solidFill>
          </w14:textFill>
        </w:rPr>
        <w:tab/>
      </w:r>
      <w:r>
        <w:rPr>
          <w:rStyle w:val="47"/>
          <w:rFonts w:hint="eastAsia" w:ascii="宋体" w:hAnsi="宋体"/>
          <w:color w:val="000000" w:themeColor="text1"/>
          <w:spacing w:val="-20"/>
          <w:kern w:val="44"/>
          <w14:textFill>
            <w14:solidFill>
              <w14:schemeClr w14:val="tx1"/>
            </w14:solidFill>
          </w14:textFill>
        </w:rPr>
        <w:t>资格性审查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_Toc76541365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29"/>
        <w:rPr>
          <w:rFonts w:asciiTheme="minorHAnsi" w:hAnsiTheme="minorHAnsi" w:eastAsiaTheme="minorEastAsia" w:cstheme="minorBidi"/>
          <w:bCs w:val="0"/>
          <w:caps w:val="0"/>
          <w:color w:val="000000" w:themeColor="text1"/>
          <w:sz w:val="21"/>
          <w:szCs w:val="22"/>
          <w14:textFill>
            <w14:solidFill>
              <w14:schemeClr w14:val="tx1"/>
            </w14:solidFill>
          </w14:textFill>
        </w:rPr>
      </w:pPr>
      <w:r>
        <w:fldChar w:fldCharType="begin"/>
      </w:r>
      <w:r>
        <w:instrText xml:space="preserve"> HYPERLINK \l "_Toc76541366" </w:instrText>
      </w:r>
      <w:r>
        <w:fldChar w:fldCharType="separate"/>
      </w:r>
      <w:r>
        <w:rPr>
          <w:rStyle w:val="47"/>
          <w:rFonts w:hint="eastAsia" w:ascii="Times New Roman" w:hAnsi="Times New Roman"/>
          <w:color w:val="000000" w:themeColor="text1"/>
          <w:spacing w:val="-20"/>
          <w:kern w:val="44"/>
          <w14:textFill>
            <w14:solidFill>
              <w14:schemeClr w14:val="tx1"/>
            </w14:solidFill>
          </w14:textFill>
        </w:rPr>
        <w:t>第6章</w:t>
      </w:r>
      <w:r>
        <w:rPr>
          <w:rFonts w:asciiTheme="minorHAnsi" w:hAnsiTheme="minorHAnsi" w:eastAsiaTheme="minorEastAsia" w:cstheme="minorBidi"/>
          <w:bCs w:val="0"/>
          <w:caps w:val="0"/>
          <w:color w:val="000000" w:themeColor="text1"/>
          <w:sz w:val="21"/>
          <w:szCs w:val="22"/>
          <w14:textFill>
            <w14:solidFill>
              <w14:schemeClr w14:val="tx1"/>
            </w14:solidFill>
          </w14:textFill>
        </w:rPr>
        <w:tab/>
      </w:r>
      <w:r>
        <w:rPr>
          <w:rStyle w:val="47"/>
          <w:rFonts w:hint="eastAsia" w:ascii="宋体" w:hAnsi="宋体"/>
          <w:color w:val="000000" w:themeColor="text1"/>
          <w:spacing w:val="-20"/>
          <w:kern w:val="44"/>
          <w14:textFill>
            <w14:solidFill>
              <w14:schemeClr w14:val="tx1"/>
            </w14:solidFill>
          </w14:textFill>
        </w:rPr>
        <w:t>评标办法</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_Toc76541366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"_Toc76541367" </w:instrText>
      </w:r>
      <w:r>
        <w:fldChar w:fldCharType="separate"/>
      </w:r>
      <w:r>
        <w:rPr>
          <w:rStyle w:val="47"/>
          <w:rFonts w:ascii="Times New Roman" w:hAnsi="Times New Roman"/>
          <w:bCs/>
          <w:color w:val="000000" w:themeColor="text1"/>
          <w14:textFill>
            <w14:solidFill>
              <w14:schemeClr w14:val="tx1"/>
            </w14:solidFill>
          </w14:textFill>
        </w:rPr>
        <w:t>6.1</w:t>
      </w:r>
      <w:r>
        <w:rPr>
          <w:rStyle w:val="47"/>
          <w:rFonts w:hint="eastAsia" w:ascii="宋体" w:hAnsi="宋体"/>
          <w:bCs/>
          <w:color w:val="000000" w:themeColor="text1"/>
          <w14:textFill>
            <w14:solidFill>
              <w14:schemeClr w14:val="tx1"/>
            </w14:solidFill>
          </w14:textFill>
        </w:rPr>
        <w:t xml:space="preserve"> 总则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_Toc76541367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"_Toc76541368" </w:instrText>
      </w:r>
      <w:r>
        <w:fldChar w:fldCharType="separate"/>
      </w:r>
      <w:r>
        <w:rPr>
          <w:rStyle w:val="47"/>
          <w:rFonts w:ascii="Times New Roman" w:hAnsi="Times New Roman"/>
          <w:bCs/>
          <w:color w:val="000000" w:themeColor="text1"/>
          <w14:textFill>
            <w14:solidFill>
              <w14:schemeClr w14:val="tx1"/>
            </w14:solidFill>
          </w14:textFill>
        </w:rPr>
        <w:t>6.2</w:t>
      </w:r>
      <w:r>
        <w:rPr>
          <w:rStyle w:val="47"/>
          <w:rFonts w:hint="eastAsia" w:ascii="宋体" w:hAnsi="宋体"/>
          <w:bCs/>
          <w:color w:val="000000" w:themeColor="text1"/>
          <w14:textFill>
            <w14:solidFill>
              <w14:schemeClr w14:val="tx1"/>
            </w14:solidFill>
          </w14:textFill>
        </w:rPr>
        <w:t xml:space="preserve"> 评标方法</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_Toc76541368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"_Toc76541369" </w:instrText>
      </w:r>
      <w:r>
        <w:fldChar w:fldCharType="separate"/>
      </w:r>
      <w:r>
        <w:rPr>
          <w:rStyle w:val="47"/>
          <w:rFonts w:ascii="Times New Roman" w:hAnsi="Times New Roman"/>
          <w:bCs/>
          <w:color w:val="000000" w:themeColor="text1"/>
          <w14:textFill>
            <w14:solidFill>
              <w14:schemeClr w14:val="tx1"/>
            </w14:solidFill>
          </w14:textFill>
        </w:rPr>
        <w:t>6.3</w:t>
      </w:r>
      <w:r>
        <w:rPr>
          <w:rStyle w:val="47"/>
          <w:rFonts w:hint="eastAsia" w:ascii="宋体" w:hAnsi="宋体"/>
          <w:bCs/>
          <w:color w:val="000000" w:themeColor="text1"/>
          <w14:textFill>
            <w14:solidFill>
              <w14:schemeClr w14:val="tx1"/>
            </w14:solidFill>
          </w14:textFill>
        </w:rPr>
        <w:t xml:space="preserve"> 评标程序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_Toc76541369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"_Toc76541370" </w:instrText>
      </w:r>
      <w:r>
        <w:fldChar w:fldCharType="separate"/>
      </w:r>
      <w:r>
        <w:rPr>
          <w:rStyle w:val="47"/>
          <w:rFonts w:ascii="Times New Roman" w:hAnsi="Times New Roman"/>
          <w:bCs/>
          <w:color w:val="000000" w:themeColor="text1"/>
          <w14:textFill>
            <w14:solidFill>
              <w14:schemeClr w14:val="tx1"/>
            </w14:solidFill>
          </w14:textFill>
        </w:rPr>
        <w:t>6.4</w:t>
      </w:r>
      <w:r>
        <w:rPr>
          <w:rStyle w:val="47"/>
          <w:rFonts w:hint="eastAsia" w:ascii="宋体" w:hAnsi="宋体"/>
          <w:bCs/>
          <w:color w:val="000000" w:themeColor="text1"/>
          <w14:textFill>
            <w14:solidFill>
              <w14:schemeClr w14:val="tx1"/>
            </w14:solidFill>
          </w14:textFill>
        </w:rPr>
        <w:t xml:space="preserve"> 评标争议处理规则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_Toc76541370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"_Toc76541371" </w:instrText>
      </w:r>
      <w:r>
        <w:fldChar w:fldCharType="separate"/>
      </w:r>
      <w:r>
        <w:rPr>
          <w:rStyle w:val="47"/>
          <w:rFonts w:ascii="Times New Roman" w:hAnsi="Times New Roman"/>
          <w:bCs/>
          <w:color w:val="000000" w:themeColor="text1"/>
          <w14:textFill>
            <w14:solidFill>
              <w14:schemeClr w14:val="tx1"/>
            </w14:solidFill>
          </w14:textFill>
        </w:rPr>
        <w:t>6.5</w:t>
      </w:r>
      <w:r>
        <w:rPr>
          <w:rStyle w:val="47"/>
          <w:rFonts w:hint="eastAsia" w:ascii="宋体" w:hAnsi="宋体"/>
          <w:bCs/>
          <w:color w:val="000000" w:themeColor="text1"/>
          <w14:textFill>
            <w14:solidFill>
              <w14:schemeClr w14:val="tx1"/>
            </w14:solidFill>
          </w14:textFill>
        </w:rPr>
        <w:t xml:space="preserve"> 评标细则及标准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_Toc76541371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"_Toc76541372" </w:instrText>
      </w:r>
      <w:r>
        <w:fldChar w:fldCharType="separate"/>
      </w:r>
      <w:r>
        <w:rPr>
          <w:rStyle w:val="47"/>
          <w:rFonts w:ascii="Times New Roman" w:hAnsi="Times New Roman"/>
          <w:bCs/>
          <w:color w:val="000000" w:themeColor="text1"/>
          <w14:textFill>
            <w14:solidFill>
              <w14:schemeClr w14:val="tx1"/>
            </w14:solidFill>
          </w14:textFill>
        </w:rPr>
        <w:t>6.6</w:t>
      </w:r>
      <w:r>
        <w:rPr>
          <w:rStyle w:val="47"/>
          <w:rFonts w:hint="eastAsia" w:ascii="宋体" w:hAnsi="宋体"/>
          <w:bCs/>
          <w:color w:val="000000" w:themeColor="text1"/>
          <w14:textFill>
            <w14:solidFill>
              <w14:schemeClr w14:val="tx1"/>
            </w14:solidFill>
          </w14:textFill>
        </w:rPr>
        <w:t xml:space="preserve"> 废标</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_Toc76541372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"_Toc76541373" </w:instrText>
      </w:r>
      <w:r>
        <w:fldChar w:fldCharType="separate"/>
      </w:r>
      <w:r>
        <w:rPr>
          <w:rStyle w:val="47"/>
          <w:rFonts w:ascii="Times New Roman" w:hAnsi="Times New Roman"/>
          <w:bCs/>
          <w:color w:val="000000" w:themeColor="text1"/>
          <w14:textFill>
            <w14:solidFill>
              <w14:schemeClr w14:val="tx1"/>
            </w14:solidFill>
          </w14:textFill>
        </w:rPr>
        <w:t>6.7</w:t>
      </w:r>
      <w:r>
        <w:rPr>
          <w:rStyle w:val="47"/>
          <w:rFonts w:hint="eastAsia" w:ascii="宋体" w:hAnsi="宋体"/>
          <w:bCs/>
          <w:color w:val="000000" w:themeColor="text1"/>
          <w14:textFill>
            <w14:solidFill>
              <w14:schemeClr w14:val="tx1"/>
            </w14:solidFill>
          </w14:textFill>
        </w:rPr>
        <w:t xml:space="preserve"> 定标</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_Toc76541373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"_Toc76541374" </w:instrText>
      </w:r>
      <w:r>
        <w:fldChar w:fldCharType="separate"/>
      </w:r>
      <w:r>
        <w:rPr>
          <w:rStyle w:val="47"/>
          <w:rFonts w:ascii="Times New Roman" w:hAnsi="Times New Roman"/>
          <w:bCs/>
          <w:color w:val="000000" w:themeColor="text1"/>
          <w14:textFill>
            <w14:solidFill>
              <w14:schemeClr w14:val="tx1"/>
            </w14:solidFill>
          </w14:textFill>
        </w:rPr>
        <w:t>6.8</w:t>
      </w:r>
      <w:r>
        <w:rPr>
          <w:rStyle w:val="47"/>
          <w:rFonts w:hint="eastAsia" w:ascii="宋体" w:hAnsi="宋体"/>
          <w:bCs/>
          <w:color w:val="000000" w:themeColor="text1"/>
          <w14:textFill>
            <w14:solidFill>
              <w14:schemeClr w14:val="tx1"/>
            </w14:solidFill>
          </w14:textFill>
        </w:rPr>
        <w:t xml:space="preserve"> 评标专家在政府采购活动中承担以下义务</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_Toc76541374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"_Toc76541375" </w:instrText>
      </w:r>
      <w:r>
        <w:fldChar w:fldCharType="separate"/>
      </w:r>
      <w:r>
        <w:rPr>
          <w:rStyle w:val="47"/>
          <w:rFonts w:ascii="Times New Roman" w:hAnsi="Times New Roman"/>
          <w:bCs/>
          <w:color w:val="000000" w:themeColor="text1"/>
          <w14:textFill>
            <w14:solidFill>
              <w14:schemeClr w14:val="tx1"/>
            </w14:solidFill>
          </w14:textFill>
        </w:rPr>
        <w:t>6.9</w:t>
      </w:r>
      <w:r>
        <w:rPr>
          <w:rStyle w:val="47"/>
          <w:rFonts w:hint="eastAsia" w:ascii="宋体" w:hAnsi="宋体"/>
          <w:bCs/>
          <w:color w:val="000000" w:themeColor="text1"/>
          <w14:textFill>
            <w14:solidFill>
              <w14:schemeClr w14:val="tx1"/>
            </w14:solidFill>
          </w14:textFill>
        </w:rPr>
        <w:t xml:space="preserve"> 评标委员会及其成员不得有下列行为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_Toc76541375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"_Toc76541376" </w:instrText>
      </w:r>
      <w:r>
        <w:fldChar w:fldCharType="separate"/>
      </w:r>
      <w:r>
        <w:rPr>
          <w:rStyle w:val="47"/>
          <w:rFonts w:ascii="Times New Roman" w:hAnsi="Times New Roman"/>
          <w:bCs/>
          <w:color w:val="000000" w:themeColor="text1"/>
          <w14:textFill>
            <w14:solidFill>
              <w14:schemeClr w14:val="tx1"/>
            </w14:solidFill>
          </w14:textFill>
        </w:rPr>
        <w:t>6.10</w:t>
      </w:r>
      <w:r>
        <w:rPr>
          <w:rStyle w:val="47"/>
          <w:rFonts w:hint="eastAsia" w:ascii="宋体" w:hAnsi="宋体"/>
          <w:bCs/>
          <w:color w:val="000000" w:themeColor="text1"/>
          <w14:textFill>
            <w14:solidFill>
              <w14:schemeClr w14:val="tx1"/>
            </w14:solidFill>
          </w14:textFill>
        </w:rPr>
        <w:t xml:space="preserve"> 评审专家在政府采购活动中应当遵守以下工作纪律</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_Toc76541376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29"/>
        <w:rPr>
          <w:rFonts w:asciiTheme="minorHAnsi" w:hAnsiTheme="minorHAnsi" w:eastAsiaTheme="minorEastAsia" w:cstheme="minorBidi"/>
          <w:bCs w:val="0"/>
          <w:caps w:val="0"/>
          <w:color w:val="000000" w:themeColor="text1"/>
          <w:sz w:val="21"/>
          <w:szCs w:val="22"/>
          <w14:textFill>
            <w14:solidFill>
              <w14:schemeClr w14:val="tx1"/>
            </w14:solidFill>
          </w14:textFill>
        </w:rPr>
      </w:pPr>
      <w:r>
        <w:fldChar w:fldCharType="begin"/>
      </w:r>
      <w:r>
        <w:instrText xml:space="preserve"> HYPERLINK \l "_Toc76541377" </w:instrText>
      </w:r>
      <w:r>
        <w:fldChar w:fldCharType="separate"/>
      </w:r>
      <w:r>
        <w:rPr>
          <w:rStyle w:val="47"/>
          <w:rFonts w:hint="eastAsia" w:ascii="Times New Roman" w:hAnsi="Times New Roman"/>
          <w:color w:val="000000" w:themeColor="text1"/>
          <w:spacing w:val="-20"/>
          <w:kern w:val="44"/>
          <w14:textFill>
            <w14:solidFill>
              <w14:schemeClr w14:val="tx1"/>
            </w14:solidFill>
          </w14:textFill>
        </w:rPr>
        <w:t>第7章</w:t>
      </w:r>
      <w:r>
        <w:rPr>
          <w:rFonts w:asciiTheme="minorHAnsi" w:hAnsiTheme="minorHAnsi" w:eastAsiaTheme="minorEastAsia" w:cstheme="minorBidi"/>
          <w:bCs w:val="0"/>
          <w:caps w:val="0"/>
          <w:color w:val="000000" w:themeColor="text1"/>
          <w:sz w:val="21"/>
          <w:szCs w:val="22"/>
          <w14:textFill>
            <w14:solidFill>
              <w14:schemeClr w14:val="tx1"/>
            </w14:solidFill>
          </w14:textFill>
        </w:rPr>
        <w:tab/>
      </w:r>
      <w:r>
        <w:rPr>
          <w:rStyle w:val="47"/>
          <w:rFonts w:hint="eastAsia" w:ascii="宋体" w:hAnsi="宋体"/>
          <w:color w:val="000000" w:themeColor="text1"/>
          <w:spacing w:val="-20"/>
          <w:kern w:val="44"/>
          <w14:textFill>
            <w14:solidFill>
              <w14:schemeClr w14:val="tx1"/>
            </w14:solidFill>
          </w14:textFill>
        </w:rPr>
        <w:t>拟签订的合同文本</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_Toc76541377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tabs>
          <w:tab w:val="left" w:pos="620"/>
          <w:tab w:val="right" w:leader="dot" w:pos="8364"/>
        </w:tabs>
        <w:ind w:left="180"/>
        <w:rPr>
          <w:color w:val="000000" w:themeColor="text1"/>
          <w14:textFill>
            <w14:solidFill>
              <w14:schemeClr w14:val="tx1"/>
            </w14:solidFill>
          </w14:textFill>
        </w:rPr>
      </w:pPr>
      <w:r>
        <w:rPr>
          <w:rFonts w:hint="eastAsia"/>
          <w:color w:val="000000" w:themeColor="text1"/>
          <w14:textFill>
            <w14:solidFill>
              <w14:schemeClr w14:val="tx1"/>
            </w14:solidFill>
          </w14:textFill>
        </w:rPr>
        <w:fldChar w:fldCharType="end"/>
      </w:r>
    </w:p>
    <w:p>
      <w:pPr>
        <w:tabs>
          <w:tab w:val="left" w:pos="620"/>
          <w:tab w:val="right" w:leader="dot" w:pos="8364"/>
        </w:tabs>
        <w:ind w:left="180"/>
        <w:rPr>
          <w:color w:val="000000" w:themeColor="text1"/>
          <w14:textFill>
            <w14:solidFill>
              <w14:schemeClr w14:val="tx1"/>
            </w14:solidFill>
          </w14:textFill>
        </w:rPr>
      </w:pPr>
    </w:p>
    <w:p>
      <w:pPr>
        <w:tabs>
          <w:tab w:val="left" w:pos="620"/>
          <w:tab w:val="right" w:leader="dot" w:pos="8364"/>
        </w:tabs>
        <w:ind w:left="180"/>
        <w:rPr>
          <w:color w:val="000000" w:themeColor="text1"/>
          <w14:textFill>
            <w14:solidFill>
              <w14:schemeClr w14:val="tx1"/>
            </w14:solidFill>
          </w14:textFill>
        </w:rPr>
      </w:pPr>
    </w:p>
    <w:p>
      <w:pPr>
        <w:tabs>
          <w:tab w:val="left" w:pos="620"/>
          <w:tab w:val="right" w:leader="dot" w:pos="8364"/>
        </w:tabs>
        <w:ind w:left="180"/>
        <w:rPr>
          <w:color w:val="000000" w:themeColor="text1"/>
          <w14:textFill>
            <w14:solidFill>
              <w14:schemeClr w14:val="tx1"/>
            </w14:solidFill>
          </w14:textFill>
        </w:rPr>
      </w:pPr>
    </w:p>
    <w:p>
      <w:pPr>
        <w:tabs>
          <w:tab w:val="left" w:pos="620"/>
          <w:tab w:val="right" w:leader="dot" w:pos="8364"/>
        </w:tabs>
        <w:ind w:left="180"/>
        <w:rPr>
          <w:color w:val="000000" w:themeColor="text1"/>
          <w14:textFill>
            <w14:solidFill>
              <w14:schemeClr w14:val="tx1"/>
            </w14:solidFill>
          </w14:textFill>
        </w:rPr>
      </w:pPr>
    </w:p>
    <w:p>
      <w:pPr>
        <w:keepNext/>
        <w:keepLines/>
        <w:numPr>
          <w:ilvl w:val="0"/>
          <w:numId w:val="1"/>
        </w:numPr>
        <w:spacing w:before="340" w:after="330" w:line="400" w:lineRule="exact"/>
        <w:jc w:val="center"/>
        <w:outlineLvl w:val="0"/>
        <w:rPr>
          <w:rFonts w:ascii="宋体" w:hAnsi="宋体"/>
          <w:b/>
          <w:bCs/>
          <w:color w:val="000000" w:themeColor="text1"/>
          <w:spacing w:val="-20"/>
          <w:kern w:val="44"/>
          <w:sz w:val="32"/>
          <w:szCs w:val="32"/>
          <w14:textFill>
            <w14:solidFill>
              <w14:schemeClr w14:val="tx1"/>
            </w14:solidFill>
          </w14:textFill>
        </w:rPr>
      </w:pPr>
      <w:bookmarkStart w:id="4" w:name="_Toc204575871"/>
      <w:bookmarkStart w:id="5" w:name="_Toc76541344"/>
      <w:bookmarkStart w:id="6" w:name="_Toc181591102"/>
      <w:bookmarkStart w:id="7" w:name="_Toc181610856"/>
      <w:r>
        <w:rPr>
          <w:rFonts w:hint="eastAsia" w:ascii="宋体" w:hAnsi="宋体"/>
          <w:b/>
          <w:bCs/>
          <w:color w:val="000000" w:themeColor="text1"/>
          <w:spacing w:val="-20"/>
          <w:kern w:val="44"/>
          <w:sz w:val="32"/>
          <w:szCs w:val="32"/>
          <w14:textFill>
            <w14:solidFill>
              <w14:schemeClr w14:val="tx1"/>
            </w14:solidFill>
          </w14:textFill>
        </w:rPr>
        <w:t>投标邀请</w:t>
      </w:r>
      <w:bookmarkEnd w:id="4"/>
      <w:bookmarkEnd w:id="5"/>
      <w:bookmarkEnd w:id="6"/>
      <w:bookmarkEnd w:id="7"/>
    </w:p>
    <w:p>
      <w:pPr>
        <w:widowControl/>
        <w:shd w:val="clear" w:color="auto" w:fill="FFFFFF"/>
        <w:ind w:left="360" w:firstLine="840" w:firstLineChars="300"/>
        <w:jc w:val="left"/>
        <w:rPr>
          <w:rFonts w:ascii="华文中宋" w:hAnsi="华文中宋" w:eastAsia="华文中宋"/>
          <w:color w:val="000000" w:themeColor="text1"/>
          <w:sz w:val="32"/>
          <w:szCs w:val="32"/>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成都市青羊区政府采购服务中心(以下简称“青羊区采购中心”)受成都市青羊区教育技术装备与信息管理中心委托，拟对成都市青羊区教育技术装备与信息管理中心2021年新建学校电教设备政府采购项目进行国内公开招标，兹邀请符合本次招标要求的供应商参加投标。</w:t>
      </w:r>
    </w:p>
    <w:p>
      <w:pPr>
        <w:widowControl/>
        <w:shd w:val="clear" w:color="auto" w:fill="FFFFFF"/>
        <w:ind w:firstLine="562" w:firstLineChars="200"/>
        <w:jc w:val="left"/>
        <w:rPr>
          <w:rFonts w:ascii="华文中宋" w:hAnsi="华文中宋" w:eastAsia="华文中宋"/>
          <w:color w:val="000000" w:themeColor="text1"/>
          <w:sz w:val="32"/>
          <w:szCs w:val="32"/>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一、项目编号：</w:t>
      </w:r>
      <w:r>
        <w:rPr>
          <w:rFonts w:hint="eastAsia" w:ascii="宋体" w:hAnsi="宋体"/>
          <w:color w:val="000000" w:themeColor="text1"/>
          <w:sz w:val="28"/>
          <w:szCs w:val="28"/>
          <w14:textFill>
            <w14:solidFill>
              <w14:schemeClr w14:val="tx1"/>
            </w14:solidFill>
          </w14:textFill>
        </w:rPr>
        <w:t>青羊政采（2021）A0001号</w:t>
      </w:r>
    </w:p>
    <w:p>
      <w:pPr>
        <w:spacing w:line="360" w:lineRule="auto"/>
        <w:ind w:left="567" w:firstLine="281" w:firstLineChars="100"/>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（采购项目编号：</w:t>
      </w:r>
      <w:r>
        <w:rPr>
          <w:rFonts w:ascii="宋体" w:hAnsi="宋体"/>
          <w:b/>
          <w:color w:val="000000" w:themeColor="text1"/>
          <w:sz w:val="28"/>
          <w:szCs w:val="28"/>
          <w14:textFill>
            <w14:solidFill>
              <w14:schemeClr w14:val="tx1"/>
            </w14:solidFill>
          </w14:textFill>
        </w:rPr>
        <w:t xml:space="preserve">    </w:t>
      </w:r>
      <w:r>
        <w:rPr>
          <w:rFonts w:hint="eastAsia" w:ascii="宋体" w:hAnsi="宋体"/>
          <w:b/>
          <w:color w:val="000000" w:themeColor="text1"/>
          <w:sz w:val="28"/>
          <w:szCs w:val="28"/>
          <w14:textFill>
            <w14:solidFill>
              <w14:schemeClr w14:val="tx1"/>
            </w14:solidFill>
          </w14:textFill>
        </w:rPr>
        <w:t>）</w:t>
      </w:r>
    </w:p>
    <w:p>
      <w:pPr>
        <w:spacing w:line="360" w:lineRule="auto"/>
        <w:ind w:firstLine="562" w:firstLineChars="200"/>
        <w:jc w:val="left"/>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二、成都市青羊区教育技术装备与信息管理中心2021年新建学校电教设备政府采购项目</w:t>
      </w:r>
    </w:p>
    <w:p>
      <w:pPr>
        <w:spacing w:line="360" w:lineRule="auto"/>
        <w:ind w:firstLine="562" w:firstLineChars="200"/>
        <w:jc w:val="left"/>
        <w:rPr>
          <w:rFonts w:ascii="宋体" w:hAnsi="宋体"/>
          <w:color w:val="FF0000"/>
          <w:sz w:val="28"/>
          <w:szCs w:val="28"/>
        </w:rPr>
      </w:pPr>
      <w:r>
        <w:rPr>
          <w:rFonts w:hint="eastAsia" w:ascii="宋体" w:hAnsi="宋体"/>
          <w:b/>
          <w:color w:val="000000" w:themeColor="text1"/>
          <w:sz w:val="28"/>
          <w:szCs w:val="28"/>
          <w14:textFill>
            <w14:solidFill>
              <w14:schemeClr w14:val="tx1"/>
            </w14:solidFill>
          </w14:textFill>
        </w:rPr>
        <w:t>三、</w:t>
      </w:r>
      <w:r>
        <w:rPr>
          <w:rFonts w:hint="eastAsia" w:ascii="宋体" w:hAnsi="宋体"/>
          <w:color w:val="000000" w:themeColor="text1"/>
          <w:sz w:val="28"/>
          <w:szCs w:val="28"/>
          <w14:textFill>
            <w14:solidFill>
              <w14:schemeClr w14:val="tx1"/>
            </w14:solidFill>
          </w14:textFill>
        </w:rPr>
        <w:t>资金来源、预算金额及最高限价：财政性资金，政府采购实施计划备案表号：</w:t>
      </w:r>
      <w:r>
        <w:fldChar w:fldCharType="begin"/>
      </w:r>
      <w:r>
        <w:instrText xml:space="preserve"> HYPERLINK "https://pay.zcygov.cn/purchaseplan_front/" \l "/plan/list/detail?id=1000000000005554154&amp;encrypt=30c8fd2f523ce7ca9e0ea5ca12466ed8" \t "_blank" </w:instrText>
      </w:r>
      <w:r>
        <w:fldChar w:fldCharType="separate"/>
      </w:r>
      <w:r>
        <w:rPr>
          <w:rFonts w:hint="eastAsia" w:ascii="宋体" w:hAnsi="宋体"/>
          <w:color w:val="000000" w:themeColor="text1"/>
          <w:sz w:val="28"/>
          <w:szCs w:val="28"/>
          <w14:textFill>
            <w14:solidFill>
              <w14:schemeClr w14:val="tx1"/>
            </w14:solidFill>
          </w14:textFill>
        </w:rPr>
        <w:t>510105-2021-[2021]207号-001</w:t>
      </w:r>
      <w:r>
        <w:rPr>
          <w:rFonts w:hint="eastAsia" w:ascii="宋体" w:hAnsi="宋体"/>
          <w:color w:val="000000" w:themeColor="text1"/>
          <w:sz w:val="28"/>
          <w:szCs w:val="28"/>
          <w14:textFill>
            <w14:solidFill>
              <w14:schemeClr w14:val="tx1"/>
            </w14:solidFill>
          </w14:textFill>
        </w:rPr>
        <w:fldChar w:fldCharType="end"/>
      </w:r>
      <w:r>
        <w:rPr>
          <w:rFonts w:hint="eastAsia" w:ascii="宋体" w:hAnsi="宋体"/>
          <w:color w:val="000000" w:themeColor="text1"/>
          <w:sz w:val="28"/>
          <w:szCs w:val="28"/>
          <w14:textFill>
            <w14:solidFill>
              <w14:schemeClr w14:val="tx1"/>
            </w14:solidFill>
          </w14:textFill>
        </w:rPr>
        <w:t>；预算品目：A</w:t>
      </w:r>
      <w:r>
        <w:rPr>
          <w:rFonts w:ascii="宋体" w:hAnsi="宋体"/>
          <w:color w:val="000000" w:themeColor="text1"/>
          <w:sz w:val="28"/>
          <w:szCs w:val="28"/>
          <w14:textFill>
            <w14:solidFill>
              <w14:schemeClr w14:val="tx1"/>
            </w14:solidFill>
          </w14:textFill>
        </w:rPr>
        <w:t>02019901</w:t>
      </w:r>
      <w:r>
        <w:rPr>
          <w:rFonts w:hint="eastAsia" w:ascii="宋体" w:hAnsi="宋体"/>
          <w:color w:val="000000" w:themeColor="text1"/>
          <w:sz w:val="28"/>
          <w:szCs w:val="28"/>
          <w14:textFill>
            <w14:solidFill>
              <w14:schemeClr w14:val="tx1"/>
            </w14:solidFill>
          </w14:textFill>
        </w:rPr>
        <w:t>信息系统集成。项目总预算</w:t>
      </w:r>
      <w:r>
        <w:rPr>
          <w:rFonts w:ascii="宋体" w:hAnsi="宋体"/>
          <w:color w:val="000000" w:themeColor="text1"/>
          <w:sz w:val="28"/>
          <w:szCs w:val="28"/>
          <w14:textFill>
            <w14:solidFill>
              <w14:schemeClr w14:val="tx1"/>
            </w14:solidFill>
          </w14:textFill>
        </w:rPr>
        <w:t>490</w:t>
      </w:r>
      <w:r>
        <w:rPr>
          <w:rFonts w:hint="eastAsia" w:ascii="宋体" w:hAnsi="宋体"/>
          <w:color w:val="000000" w:themeColor="text1"/>
          <w:sz w:val="28"/>
          <w:szCs w:val="28"/>
          <w14:textFill>
            <w14:solidFill>
              <w14:schemeClr w14:val="tx1"/>
            </w14:solidFill>
          </w14:textFill>
        </w:rPr>
        <w:t>万元；最高限价：</w:t>
      </w:r>
      <w:r>
        <w:rPr>
          <w:rFonts w:ascii="宋体" w:hAnsi="宋体"/>
          <w:color w:val="000000" w:themeColor="text1"/>
          <w:sz w:val="28"/>
          <w:szCs w:val="28"/>
          <w14:textFill>
            <w14:solidFill>
              <w14:schemeClr w14:val="tx1"/>
            </w14:solidFill>
          </w14:textFill>
        </w:rPr>
        <w:t>490</w:t>
      </w:r>
      <w:r>
        <w:rPr>
          <w:rFonts w:hint="eastAsia" w:ascii="宋体" w:hAnsi="宋体"/>
          <w:color w:val="000000" w:themeColor="text1"/>
          <w:sz w:val="28"/>
          <w:szCs w:val="28"/>
          <w14:textFill>
            <w14:solidFill>
              <w14:schemeClr w14:val="tx1"/>
            </w14:solidFill>
          </w14:textFill>
        </w:rPr>
        <w:t>万元。</w:t>
      </w:r>
    </w:p>
    <w:p>
      <w:pPr>
        <w:spacing w:line="360" w:lineRule="auto"/>
        <w:ind w:firstLine="562" w:firstLineChars="200"/>
        <w:jc w:val="left"/>
        <w:rPr>
          <w:rFonts w:ascii="宋体" w:hAnsi="宋体"/>
          <w:color w:val="000000" w:themeColor="text1"/>
          <w:sz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四、招标项目简介</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1、本项目为青羊区教育局2021年新建小学教学电脑、教学多媒体、校园宣传空间、计算机教室、校园L</w:t>
      </w:r>
      <w:r>
        <w:rPr>
          <w:rFonts w:ascii="宋体" w:hAnsi="宋体"/>
          <w:color w:val="000000" w:themeColor="text1"/>
          <w:sz w:val="28"/>
          <w:szCs w:val="28"/>
          <w14:textFill>
            <w14:solidFill>
              <w14:schemeClr w14:val="tx1"/>
            </w14:solidFill>
          </w14:textFill>
        </w:rPr>
        <w:t>ED</w:t>
      </w:r>
      <w:r>
        <w:rPr>
          <w:rFonts w:hint="eastAsia" w:ascii="宋体" w:hAnsi="宋体"/>
          <w:color w:val="000000" w:themeColor="text1"/>
          <w:sz w:val="28"/>
          <w:szCs w:val="28"/>
          <w14:textFill>
            <w14:solidFill>
              <w14:schemeClr w14:val="tx1"/>
            </w14:solidFill>
          </w14:textFill>
        </w:rPr>
        <w:t>等电教设备。项目总预算</w:t>
      </w:r>
      <w:r>
        <w:rPr>
          <w:rFonts w:ascii="宋体" w:hAnsi="宋体"/>
          <w:color w:val="000000" w:themeColor="text1"/>
          <w:sz w:val="28"/>
          <w:szCs w:val="28"/>
          <w14:textFill>
            <w14:solidFill>
              <w14:schemeClr w14:val="tx1"/>
            </w14:solidFill>
          </w14:textFill>
        </w:rPr>
        <w:t>490</w:t>
      </w:r>
      <w:r>
        <w:rPr>
          <w:rFonts w:hint="eastAsia" w:ascii="宋体" w:hAnsi="宋体"/>
          <w:color w:val="000000" w:themeColor="text1"/>
          <w:sz w:val="28"/>
          <w:szCs w:val="28"/>
          <w14:textFill>
            <w14:solidFill>
              <w14:schemeClr w14:val="tx1"/>
            </w14:solidFill>
          </w14:textFill>
        </w:rPr>
        <w:t>万元。</w:t>
      </w:r>
    </w:p>
    <w:tbl>
      <w:tblPr>
        <w:tblStyle w:val="43"/>
        <w:tblW w:w="9700" w:type="dxa"/>
        <w:jc w:val="center"/>
        <w:tblLayout w:type="fixed"/>
        <w:tblCellMar>
          <w:top w:w="0" w:type="dxa"/>
          <w:left w:w="108" w:type="dxa"/>
          <w:bottom w:w="0" w:type="dxa"/>
          <w:right w:w="108" w:type="dxa"/>
        </w:tblCellMar>
      </w:tblPr>
      <w:tblGrid>
        <w:gridCol w:w="1080"/>
        <w:gridCol w:w="1080"/>
        <w:gridCol w:w="2120"/>
        <w:gridCol w:w="1080"/>
        <w:gridCol w:w="1080"/>
        <w:gridCol w:w="3260"/>
      </w:tblGrid>
      <w:tr>
        <w:tblPrEx>
          <w:tblCellMar>
            <w:top w:w="0" w:type="dxa"/>
            <w:left w:w="108" w:type="dxa"/>
            <w:bottom w:w="0" w:type="dxa"/>
            <w:right w:w="108" w:type="dxa"/>
          </w:tblCellMar>
        </w:tblPrEx>
        <w:trPr>
          <w:trHeight w:val="285" w:hRule="atLeast"/>
          <w:jc w:val="center"/>
        </w:trPr>
        <w:tc>
          <w:tcPr>
            <w:tcW w:w="9700" w:type="dxa"/>
            <w:gridSpan w:val="6"/>
            <w:tcBorders>
              <w:top w:val="single" w:color="auto" w:sz="8" w:space="0"/>
              <w:left w:val="single" w:color="auto" w:sz="8" w:space="0"/>
              <w:bottom w:val="single" w:color="auto" w:sz="8" w:space="0"/>
              <w:right w:val="single" w:color="000000" w:sz="8" w:space="0"/>
            </w:tcBorders>
            <w:shd w:val="clear" w:color="auto" w:fill="auto"/>
            <w:vAlign w:val="center"/>
          </w:tcPr>
          <w:p>
            <w:pPr>
              <w:widowControl/>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1、阶梯教室全彩屏</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序号</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产品名称</w:t>
            </w:r>
          </w:p>
        </w:tc>
        <w:tc>
          <w:tcPr>
            <w:tcW w:w="1080"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单位</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数量</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所属行业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室内LED全彩屏</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21.5</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接收卡</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张</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56</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3</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供电电源</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个</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105</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4</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视频控制器</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5</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控制电脑</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6</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配电箱</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只</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7</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线缆及辅材</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批</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8</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屏体结构</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21.5</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9</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外框装饰</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米</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25</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10</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安装调试</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项</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w:t>
            </w:r>
          </w:p>
        </w:tc>
      </w:tr>
      <w:tr>
        <w:tblPrEx>
          <w:tblCellMar>
            <w:top w:w="0" w:type="dxa"/>
            <w:left w:w="108" w:type="dxa"/>
            <w:bottom w:w="0" w:type="dxa"/>
            <w:right w:w="108" w:type="dxa"/>
          </w:tblCellMar>
        </w:tblPrEx>
        <w:trPr>
          <w:trHeight w:val="285" w:hRule="atLeast"/>
          <w:jc w:val="center"/>
        </w:trPr>
        <w:tc>
          <w:tcPr>
            <w:tcW w:w="9700" w:type="dxa"/>
            <w:gridSpan w:val="6"/>
            <w:tcBorders>
              <w:top w:val="single" w:color="auto" w:sz="8" w:space="0"/>
              <w:left w:val="single" w:color="auto" w:sz="8" w:space="0"/>
              <w:bottom w:val="single" w:color="auto" w:sz="8" w:space="0"/>
              <w:right w:val="single" w:color="000000" w:sz="8" w:space="0"/>
            </w:tcBorders>
            <w:shd w:val="clear" w:color="auto" w:fill="auto"/>
            <w:vAlign w:val="center"/>
          </w:tcPr>
          <w:p>
            <w:pPr>
              <w:widowControl/>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2、阶梯教室字幕屏</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序号</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产品名称</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单位</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数量</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所属行业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xml:space="preserve">室内单色屏 </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7.64</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电源</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20</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3</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控制系统</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4</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安装调试</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项</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w:t>
            </w:r>
          </w:p>
        </w:tc>
      </w:tr>
      <w:tr>
        <w:tblPrEx>
          <w:tblCellMar>
            <w:top w:w="0" w:type="dxa"/>
            <w:left w:w="108" w:type="dxa"/>
            <w:bottom w:w="0" w:type="dxa"/>
            <w:right w:w="108" w:type="dxa"/>
          </w:tblCellMar>
        </w:tblPrEx>
        <w:trPr>
          <w:trHeight w:val="285" w:hRule="atLeast"/>
          <w:jc w:val="center"/>
        </w:trPr>
        <w:tc>
          <w:tcPr>
            <w:tcW w:w="9700" w:type="dxa"/>
            <w:gridSpan w:val="6"/>
            <w:tcBorders>
              <w:top w:val="single" w:color="auto" w:sz="8" w:space="0"/>
              <w:left w:val="single" w:color="auto" w:sz="8" w:space="0"/>
              <w:bottom w:val="single" w:color="auto" w:sz="8" w:space="0"/>
              <w:right w:val="single" w:color="000000" w:sz="8" w:space="0"/>
            </w:tcBorders>
            <w:shd w:val="clear" w:color="auto" w:fill="auto"/>
            <w:vAlign w:val="center"/>
          </w:tcPr>
          <w:p>
            <w:pPr>
              <w:widowControl/>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3、阶梯教室音响系统</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序号</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产品名称</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单位</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数量</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所属行业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无线手持话筒</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3</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无线头戴话筒</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3</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演讲话筒</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只</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4</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无线会议话筒</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5</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调音台</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6</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反馈抑制器</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7</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电源时序器</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8</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线性阵列音箱</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只</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8</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9</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超低线阵音箱</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只</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10</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专业补声音箱</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只</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4</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11</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专业返听音箱</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只</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12</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音频处理器</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13</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超低线阵功放</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14</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线性阵列功放</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15</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补声功放</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16</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返听功放</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17</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线阵音箱支架</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副</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18</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音箱支架</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副</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19</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机柜</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个</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20</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线材及辅材</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批</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21</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安装调试</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项</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w:t>
            </w:r>
          </w:p>
        </w:tc>
      </w:tr>
      <w:tr>
        <w:tblPrEx>
          <w:tblCellMar>
            <w:top w:w="0" w:type="dxa"/>
            <w:left w:w="108" w:type="dxa"/>
            <w:bottom w:w="0" w:type="dxa"/>
            <w:right w:w="108" w:type="dxa"/>
          </w:tblCellMar>
        </w:tblPrEx>
        <w:trPr>
          <w:trHeight w:val="285" w:hRule="atLeast"/>
          <w:jc w:val="center"/>
        </w:trPr>
        <w:tc>
          <w:tcPr>
            <w:tcW w:w="9700" w:type="dxa"/>
            <w:gridSpan w:val="6"/>
            <w:tcBorders>
              <w:top w:val="single" w:color="auto" w:sz="8" w:space="0"/>
              <w:left w:val="single" w:color="auto" w:sz="8" w:space="0"/>
              <w:bottom w:val="single" w:color="auto" w:sz="8" w:space="0"/>
              <w:right w:val="single" w:color="000000" w:sz="8" w:space="0"/>
            </w:tcBorders>
            <w:shd w:val="clear" w:color="auto" w:fill="auto"/>
            <w:vAlign w:val="center"/>
          </w:tcPr>
          <w:p>
            <w:pPr>
              <w:widowControl/>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4、教学楼外全彩屏</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序号</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产品名称</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单位</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数量</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所属行业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xml:space="preserve">户外LED全彩屏 </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11.47</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接收卡</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张</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12</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3</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电源</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56</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4</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视频控制器</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5</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控制电脑</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6</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配电箱</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只</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7</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散热系统</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只</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4</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8</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线缆及辅材</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批</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9</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电缆敷设</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项</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10</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机柜</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个</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11</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屏体结构</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13</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12</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外框装饰</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18</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13</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安装调试</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项</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w:t>
            </w:r>
          </w:p>
        </w:tc>
      </w:tr>
      <w:tr>
        <w:tblPrEx>
          <w:tblCellMar>
            <w:top w:w="0" w:type="dxa"/>
            <w:left w:w="108" w:type="dxa"/>
            <w:bottom w:w="0" w:type="dxa"/>
            <w:right w:w="108" w:type="dxa"/>
          </w:tblCellMar>
        </w:tblPrEx>
        <w:trPr>
          <w:trHeight w:val="285" w:hRule="atLeast"/>
          <w:jc w:val="center"/>
        </w:trPr>
        <w:tc>
          <w:tcPr>
            <w:tcW w:w="9700" w:type="dxa"/>
            <w:gridSpan w:val="6"/>
            <w:tcBorders>
              <w:top w:val="single" w:color="auto" w:sz="8" w:space="0"/>
              <w:left w:val="single" w:color="auto" w:sz="8" w:space="0"/>
              <w:bottom w:val="single" w:color="auto" w:sz="8" w:space="0"/>
              <w:right w:val="single" w:color="000000" w:sz="8" w:space="0"/>
            </w:tcBorders>
            <w:shd w:val="clear" w:color="auto" w:fill="auto"/>
            <w:vAlign w:val="center"/>
          </w:tcPr>
          <w:p>
            <w:pPr>
              <w:widowControl/>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5、计算机教室（PC）</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序号</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产品名称</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单位</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数量</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所属行业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教师机</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学生机</w:t>
            </w:r>
            <w:r>
              <w:rPr>
                <w:rFonts w:ascii="Times New Roman" w:hAnsi="Times New Roman"/>
                <w:color w:val="000000" w:themeColor="text1"/>
                <w:kern w:val="0"/>
                <w:szCs w:val="21"/>
                <w14:textFill>
                  <w14:solidFill>
                    <w14:schemeClr w14:val="tx1"/>
                  </w14:solidFill>
                </w14:textFill>
              </w:rPr>
              <w:t>  </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56</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3</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教学软件</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软件和信息技术服务</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4</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24口接入交换机</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3</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5</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机柜</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个</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6</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学生双人微机桌</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30</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7</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微机凳</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个</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60</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8</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教师演示桌</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9</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教师椅</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把</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10</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网线</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箱</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3</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11</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柜式空调</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12</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安装调试</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点</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57</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w:t>
            </w:r>
          </w:p>
        </w:tc>
      </w:tr>
      <w:tr>
        <w:tblPrEx>
          <w:tblCellMar>
            <w:top w:w="0" w:type="dxa"/>
            <w:left w:w="108" w:type="dxa"/>
            <w:bottom w:w="0" w:type="dxa"/>
            <w:right w:w="108" w:type="dxa"/>
          </w:tblCellMar>
        </w:tblPrEx>
        <w:trPr>
          <w:trHeight w:val="285" w:hRule="atLeast"/>
          <w:jc w:val="center"/>
        </w:trPr>
        <w:tc>
          <w:tcPr>
            <w:tcW w:w="9700" w:type="dxa"/>
            <w:gridSpan w:val="6"/>
            <w:tcBorders>
              <w:top w:val="single" w:color="auto" w:sz="8" w:space="0"/>
              <w:left w:val="single" w:color="auto" w:sz="8" w:space="0"/>
              <w:bottom w:val="single" w:color="auto" w:sz="8" w:space="0"/>
              <w:right w:val="single" w:color="000000" w:sz="8" w:space="0"/>
            </w:tcBorders>
            <w:shd w:val="clear" w:color="auto" w:fill="auto"/>
            <w:vAlign w:val="center"/>
          </w:tcPr>
          <w:p>
            <w:pPr>
              <w:widowControl/>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6、操场全彩屏</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序号</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产品名称</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单位</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数量</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所属行业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室外LED全彩屏</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31.18</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供电电源</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个</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154</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3</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接收卡</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张</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36</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4</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视频处理器</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5</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控制电脑</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6</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配电箱</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7</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单冷空调</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8</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线缆及辅材</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批</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9</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电缆敷设</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项</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10</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屏体结构</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47</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11</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外框装饰</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73</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12</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土建施工费</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项</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13</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安装调试</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项</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w:t>
            </w:r>
          </w:p>
        </w:tc>
      </w:tr>
      <w:tr>
        <w:tblPrEx>
          <w:tblCellMar>
            <w:top w:w="0" w:type="dxa"/>
            <w:left w:w="108" w:type="dxa"/>
            <w:bottom w:w="0" w:type="dxa"/>
            <w:right w:w="108" w:type="dxa"/>
          </w:tblCellMar>
        </w:tblPrEx>
        <w:trPr>
          <w:trHeight w:val="285" w:hRule="atLeast"/>
          <w:jc w:val="center"/>
        </w:trPr>
        <w:tc>
          <w:tcPr>
            <w:tcW w:w="9700" w:type="dxa"/>
            <w:gridSpan w:val="6"/>
            <w:tcBorders>
              <w:top w:val="single" w:color="auto" w:sz="8" w:space="0"/>
              <w:left w:val="single" w:color="auto" w:sz="8" w:space="0"/>
              <w:bottom w:val="single" w:color="auto" w:sz="8" w:space="0"/>
              <w:right w:val="single" w:color="000000" w:sz="8" w:space="0"/>
            </w:tcBorders>
            <w:shd w:val="clear" w:color="auto" w:fill="auto"/>
            <w:vAlign w:val="center"/>
          </w:tcPr>
          <w:p>
            <w:pPr>
              <w:widowControl/>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7、无线网络</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序号</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产品名称</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单位</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数量</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所属行业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无线控制器</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应用控制网关</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3</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24口POE交换机</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10</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4</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8口POE交换机</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5</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放装型AP</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76</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6</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面板型AP</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70</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7</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高密度AP</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9</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8</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室外AP</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4</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9</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万兆光模块</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只</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20</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10</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千兆光模块</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只</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4</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11</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六类网线</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箱</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32</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12</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管材及辅材</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批</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13</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安装调试</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点</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159</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14</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无线控制器许可协议</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软件和信息技术服务</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15</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无线控制器许可协议</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软件和信息技术服务</w:t>
            </w:r>
          </w:p>
        </w:tc>
      </w:tr>
      <w:tr>
        <w:tblPrEx>
          <w:tblCellMar>
            <w:top w:w="0" w:type="dxa"/>
            <w:left w:w="108" w:type="dxa"/>
            <w:bottom w:w="0" w:type="dxa"/>
            <w:right w:w="108" w:type="dxa"/>
          </w:tblCellMar>
        </w:tblPrEx>
        <w:trPr>
          <w:trHeight w:val="285" w:hRule="atLeast"/>
          <w:jc w:val="center"/>
        </w:trPr>
        <w:tc>
          <w:tcPr>
            <w:tcW w:w="9700" w:type="dxa"/>
            <w:gridSpan w:val="6"/>
            <w:tcBorders>
              <w:top w:val="single" w:color="auto" w:sz="8" w:space="0"/>
              <w:left w:val="single" w:color="auto" w:sz="8" w:space="0"/>
              <w:bottom w:val="single" w:color="auto" w:sz="8" w:space="0"/>
              <w:right w:val="single" w:color="000000" w:sz="8" w:space="0"/>
            </w:tcBorders>
            <w:shd w:val="clear" w:color="auto" w:fill="auto"/>
            <w:vAlign w:val="center"/>
          </w:tcPr>
          <w:p>
            <w:pPr>
              <w:widowControl/>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8、校园广播</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序号</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产品名称</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单位</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数量</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所属行业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广播主干</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米</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5000</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管材及辅材</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项</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3</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安装调试</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项</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w:t>
            </w:r>
          </w:p>
        </w:tc>
      </w:tr>
      <w:tr>
        <w:tblPrEx>
          <w:tblCellMar>
            <w:top w:w="0" w:type="dxa"/>
            <w:left w:w="108" w:type="dxa"/>
            <w:bottom w:w="0" w:type="dxa"/>
            <w:right w:w="108" w:type="dxa"/>
          </w:tblCellMar>
        </w:tblPrEx>
        <w:trPr>
          <w:trHeight w:val="285" w:hRule="atLeast"/>
          <w:jc w:val="center"/>
        </w:trPr>
        <w:tc>
          <w:tcPr>
            <w:tcW w:w="9700" w:type="dxa"/>
            <w:gridSpan w:val="6"/>
            <w:tcBorders>
              <w:top w:val="single" w:color="auto" w:sz="8" w:space="0"/>
              <w:left w:val="single" w:color="auto" w:sz="8" w:space="0"/>
              <w:bottom w:val="single" w:color="auto" w:sz="8" w:space="0"/>
              <w:right w:val="single" w:color="000000" w:sz="8" w:space="0"/>
            </w:tcBorders>
            <w:shd w:val="clear" w:color="auto" w:fill="auto"/>
            <w:vAlign w:val="center"/>
          </w:tcPr>
          <w:p>
            <w:pPr>
              <w:widowControl/>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9、电子班牌</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序号</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产品名称</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单位</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数量</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所属行业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智慧班牌</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48</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信息发布终端</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6</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3</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平台管理系统</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软件和信息技术服务</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4</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24口接入交换机</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4</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5</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六类网线</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箱</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10</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6</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电源线</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米</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800</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7</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管材及辅材</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批</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8</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安装调试</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点</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54</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w:t>
            </w:r>
          </w:p>
        </w:tc>
      </w:tr>
      <w:tr>
        <w:tblPrEx>
          <w:tblCellMar>
            <w:top w:w="0" w:type="dxa"/>
            <w:left w:w="108" w:type="dxa"/>
            <w:bottom w:w="0" w:type="dxa"/>
            <w:right w:w="108" w:type="dxa"/>
          </w:tblCellMar>
        </w:tblPrEx>
        <w:trPr>
          <w:trHeight w:val="285" w:hRule="atLeast"/>
          <w:jc w:val="center"/>
        </w:trPr>
        <w:tc>
          <w:tcPr>
            <w:tcW w:w="9700" w:type="dxa"/>
            <w:gridSpan w:val="6"/>
            <w:tcBorders>
              <w:top w:val="single" w:color="auto" w:sz="8" w:space="0"/>
              <w:left w:val="single" w:color="auto" w:sz="8" w:space="0"/>
              <w:bottom w:val="single" w:color="auto" w:sz="8" w:space="0"/>
              <w:right w:val="single" w:color="000000" w:sz="8" w:space="0"/>
            </w:tcBorders>
            <w:shd w:val="clear" w:color="auto" w:fill="auto"/>
            <w:vAlign w:val="center"/>
          </w:tcPr>
          <w:p>
            <w:pPr>
              <w:widowControl/>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10、录播教室</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序号</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产品名称</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单位</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数量</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所属行业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录播工作站</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高清录播系统软件</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软件和信息技术服务</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3</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在线互动课堂</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软件和信息技术服务</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4</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高清摄像机</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5</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5</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跟踪主机</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6</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图像探测器（教师）</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个</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7</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图像探测器（学生）</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个</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4</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8</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图像定位系统</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9</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空间网格自动跟踪系统</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软件和信息技术服务</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10</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导播控制台</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11</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吊装话筒</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只</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8</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12</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音频处理器</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13</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双通道数字功放</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14</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线阵列音箱</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6</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15</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录播专业控制柜</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16</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嵌入式网络中控</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17</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网络中控系统软件</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软件和信息技术服务</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18</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电源时序控制器</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19</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高清显示器</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20</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智慧黑板</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21</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讲桌</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22</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学生桌椅</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50</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23</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观摩电视</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24</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观摩椅</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张</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20</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25</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线材辅料</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批</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26</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环境建设</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间</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w:t>
            </w:r>
          </w:p>
        </w:tc>
      </w:tr>
      <w:tr>
        <w:tblPrEx>
          <w:tblCellMar>
            <w:top w:w="0" w:type="dxa"/>
            <w:left w:w="108" w:type="dxa"/>
            <w:bottom w:w="0" w:type="dxa"/>
            <w:right w:w="108" w:type="dxa"/>
          </w:tblCellMar>
        </w:tblPrEx>
        <w:trPr>
          <w:trHeight w:val="285" w:hRule="atLeast"/>
          <w:jc w:val="center"/>
        </w:trPr>
        <w:tc>
          <w:tcPr>
            <w:tcW w:w="9700" w:type="dxa"/>
            <w:gridSpan w:val="6"/>
            <w:tcBorders>
              <w:top w:val="single" w:color="auto" w:sz="8" w:space="0"/>
              <w:left w:val="single" w:color="auto" w:sz="8" w:space="0"/>
              <w:bottom w:val="single" w:color="auto" w:sz="8" w:space="0"/>
              <w:right w:val="single" w:color="000000" w:sz="8" w:space="0"/>
            </w:tcBorders>
            <w:shd w:val="clear" w:color="auto" w:fill="auto"/>
            <w:vAlign w:val="center"/>
          </w:tcPr>
          <w:p>
            <w:pPr>
              <w:widowControl/>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11、校园电视台</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序号</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产品名称</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单位</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数量</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所属行业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虚拟演播室系统</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软件和信息技术服务</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非线性编辑系统</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软件和信息技术服务</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3</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三脚架</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付</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4</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播音提词器</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5</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无线领夹麦克风</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6</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播音话筒</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7</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调音台</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8</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监听音箱</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9</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液晶电视</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10</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液晶电视支架</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付</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11</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L型虚拟蓝箱</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M²</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23</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450"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12</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虚拟蓝箱背景用平板式柔光灯</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4</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450"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13</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虚拟蓝箱侧光用平板式柔光灯</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450"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14</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虚拟蓝箱面光用平板式柔光灯</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450"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15</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虚拟蓝箱面光用平板式柔光灯</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16</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轨道式灯光悬挂系统</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项</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17</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灯控箱</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18</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灯勾及配件</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批</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16</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19</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恒力铰链</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6</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20</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声处理</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21</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导播操作台</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项</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22</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绿色播音桌</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项</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23</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安装调试</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项</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w:t>
            </w:r>
          </w:p>
        </w:tc>
      </w:tr>
      <w:tr>
        <w:tblPrEx>
          <w:tblCellMar>
            <w:top w:w="0" w:type="dxa"/>
            <w:left w:w="108" w:type="dxa"/>
            <w:bottom w:w="0" w:type="dxa"/>
            <w:right w:w="108" w:type="dxa"/>
          </w:tblCellMar>
        </w:tblPrEx>
        <w:trPr>
          <w:trHeight w:val="285" w:hRule="atLeast"/>
          <w:jc w:val="center"/>
        </w:trPr>
        <w:tc>
          <w:tcPr>
            <w:tcW w:w="9700" w:type="dxa"/>
            <w:gridSpan w:val="6"/>
            <w:tcBorders>
              <w:top w:val="single" w:color="auto" w:sz="8" w:space="0"/>
              <w:left w:val="single" w:color="auto" w:sz="8" w:space="0"/>
              <w:bottom w:val="single" w:color="auto" w:sz="8" w:space="0"/>
              <w:right w:val="single" w:color="000000" w:sz="8" w:space="0"/>
            </w:tcBorders>
            <w:shd w:val="clear" w:color="auto" w:fill="auto"/>
            <w:vAlign w:val="center"/>
          </w:tcPr>
          <w:p>
            <w:pPr>
              <w:widowControl/>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12、班级多媒体系统</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序号</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产品名称</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单位</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数量</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所属行业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超短焦激光投影机</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23</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交互式电子白板</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23</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3</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滑动绿板</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张</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23</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4</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智能教学一体机</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23</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5</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安装调试</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23</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w:t>
            </w:r>
          </w:p>
        </w:tc>
      </w:tr>
      <w:tr>
        <w:tblPrEx>
          <w:tblCellMar>
            <w:top w:w="0" w:type="dxa"/>
            <w:left w:w="108" w:type="dxa"/>
            <w:bottom w:w="0" w:type="dxa"/>
            <w:right w:w="108" w:type="dxa"/>
          </w:tblCellMar>
        </w:tblPrEx>
        <w:trPr>
          <w:trHeight w:val="285" w:hRule="atLeast"/>
          <w:jc w:val="center"/>
        </w:trPr>
        <w:tc>
          <w:tcPr>
            <w:tcW w:w="9700" w:type="dxa"/>
            <w:gridSpan w:val="6"/>
            <w:tcBorders>
              <w:top w:val="single" w:color="auto" w:sz="8" w:space="0"/>
              <w:left w:val="single" w:color="auto" w:sz="8" w:space="0"/>
              <w:bottom w:val="single" w:color="auto" w:sz="8" w:space="0"/>
              <w:right w:val="single" w:color="000000" w:sz="8" w:space="0"/>
            </w:tcBorders>
            <w:shd w:val="clear" w:color="auto" w:fill="auto"/>
            <w:vAlign w:val="center"/>
          </w:tcPr>
          <w:p>
            <w:pPr>
              <w:widowControl/>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13、教室清听系统</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扩声云平台系统</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软件和信息技术服务</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扩声主机</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23</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3</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高保真音箱</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对</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23</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4</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专业拾音麦克风</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支</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23</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5</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安装调试</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间</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23</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w:t>
            </w:r>
          </w:p>
        </w:tc>
      </w:tr>
      <w:tr>
        <w:tblPrEx>
          <w:tblCellMar>
            <w:top w:w="0" w:type="dxa"/>
            <w:left w:w="108" w:type="dxa"/>
            <w:bottom w:w="0" w:type="dxa"/>
            <w:right w:w="108" w:type="dxa"/>
          </w:tblCellMar>
        </w:tblPrEx>
        <w:trPr>
          <w:trHeight w:val="285" w:hRule="atLeast"/>
          <w:jc w:val="center"/>
        </w:trPr>
        <w:tc>
          <w:tcPr>
            <w:tcW w:w="9700" w:type="dxa"/>
            <w:gridSpan w:val="6"/>
            <w:tcBorders>
              <w:top w:val="single" w:color="auto" w:sz="8" w:space="0"/>
              <w:left w:val="single" w:color="auto" w:sz="8" w:space="0"/>
              <w:bottom w:val="single" w:color="auto" w:sz="8" w:space="0"/>
              <w:right w:val="single" w:color="000000" w:sz="8" w:space="0"/>
            </w:tcBorders>
            <w:shd w:val="clear" w:color="auto" w:fill="auto"/>
            <w:vAlign w:val="center"/>
          </w:tcPr>
          <w:p>
            <w:pPr>
              <w:widowControl/>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14、校园多网融合系统</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序号</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产品名称</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单位</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数量</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所属行业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融合支持平台</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软件和信息技术服务</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融合系统服务器</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3</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xml:space="preserve">数字音频广播站 </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4</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xml:space="preserve">视频直播工作站 </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5</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电源控制器</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个</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50</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6</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智能融合终端</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6</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7</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xml:space="preserve">网络机柜式广播终端 </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9700" w:type="dxa"/>
            <w:gridSpan w:val="6"/>
            <w:tcBorders>
              <w:top w:val="single" w:color="auto" w:sz="8" w:space="0"/>
              <w:left w:val="single" w:color="auto" w:sz="8" w:space="0"/>
              <w:bottom w:val="single" w:color="auto" w:sz="8" w:space="0"/>
              <w:right w:val="single" w:color="000000" w:sz="8" w:space="0"/>
            </w:tcBorders>
            <w:shd w:val="clear" w:color="auto" w:fill="auto"/>
            <w:vAlign w:val="center"/>
          </w:tcPr>
          <w:p>
            <w:pPr>
              <w:widowControl/>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15、小学科学实验室</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序号</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产品名称</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单位</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数量</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所属行业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学生实验桌</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18</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实验凳</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张</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54</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3</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教师演示台</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张</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4</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实验架</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个</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10</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5</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超短焦激光投影机</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6</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交互式电子白板</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7</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滑动绿板</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张</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8</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智能教学一体机</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9</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扩声系统</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46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10</w:t>
            </w:r>
          </w:p>
        </w:tc>
        <w:tc>
          <w:tcPr>
            <w:tcW w:w="1080" w:type="dxa"/>
            <w:vMerge w:val="restart"/>
            <w:tcBorders>
              <w:top w:val="nil"/>
              <w:left w:val="single" w:color="auto" w:sz="8" w:space="0"/>
              <w:bottom w:val="single" w:color="000000"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小学科学实验箱</w:t>
            </w:r>
          </w:p>
        </w:tc>
        <w:tc>
          <w:tcPr>
            <w:tcW w:w="212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一年级上册第一单元--植物</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10</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46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11</w:t>
            </w:r>
          </w:p>
        </w:tc>
        <w:tc>
          <w:tcPr>
            <w:tcW w:w="1080"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themeColor="text1"/>
                <w:kern w:val="0"/>
                <w:sz w:val="18"/>
                <w:szCs w:val="18"/>
                <w14:textFill>
                  <w14:solidFill>
                    <w14:schemeClr w14:val="tx1"/>
                  </w14:solidFill>
                </w14:textFill>
              </w:rPr>
            </w:pPr>
          </w:p>
        </w:tc>
        <w:tc>
          <w:tcPr>
            <w:tcW w:w="212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一年级上册第二单元--比较与测量</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10</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46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12</w:t>
            </w:r>
          </w:p>
        </w:tc>
        <w:tc>
          <w:tcPr>
            <w:tcW w:w="1080"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themeColor="text1"/>
                <w:kern w:val="0"/>
                <w:sz w:val="18"/>
                <w:szCs w:val="18"/>
                <w14:textFill>
                  <w14:solidFill>
                    <w14:schemeClr w14:val="tx1"/>
                  </w14:solidFill>
                </w14:textFill>
              </w:rPr>
            </w:pPr>
          </w:p>
        </w:tc>
        <w:tc>
          <w:tcPr>
            <w:tcW w:w="212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一年级下册第一单元--我们周围的物体</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10</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46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13</w:t>
            </w:r>
          </w:p>
        </w:tc>
        <w:tc>
          <w:tcPr>
            <w:tcW w:w="1080"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themeColor="text1"/>
                <w:kern w:val="0"/>
                <w:sz w:val="18"/>
                <w:szCs w:val="18"/>
                <w14:textFill>
                  <w14:solidFill>
                    <w14:schemeClr w14:val="tx1"/>
                  </w14:solidFill>
                </w14:textFill>
              </w:rPr>
            </w:pPr>
          </w:p>
        </w:tc>
        <w:tc>
          <w:tcPr>
            <w:tcW w:w="212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一年级下册第二单元--动物</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10</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46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14</w:t>
            </w:r>
          </w:p>
        </w:tc>
        <w:tc>
          <w:tcPr>
            <w:tcW w:w="1080"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themeColor="text1"/>
                <w:kern w:val="0"/>
                <w:sz w:val="18"/>
                <w:szCs w:val="18"/>
                <w14:textFill>
                  <w14:solidFill>
                    <w14:schemeClr w14:val="tx1"/>
                  </w14:solidFill>
                </w14:textFill>
              </w:rPr>
            </w:pPr>
          </w:p>
        </w:tc>
        <w:tc>
          <w:tcPr>
            <w:tcW w:w="212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二年级上册第一单元--我们的地球家园</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10</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46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15</w:t>
            </w:r>
          </w:p>
        </w:tc>
        <w:tc>
          <w:tcPr>
            <w:tcW w:w="1080"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themeColor="text1"/>
                <w:kern w:val="0"/>
                <w:sz w:val="18"/>
                <w:szCs w:val="18"/>
                <w14:textFill>
                  <w14:solidFill>
                    <w14:schemeClr w14:val="tx1"/>
                  </w14:solidFill>
                </w14:textFill>
              </w:rPr>
            </w:pPr>
          </w:p>
        </w:tc>
        <w:tc>
          <w:tcPr>
            <w:tcW w:w="212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二年级上册第二单元--材料</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10</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46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16</w:t>
            </w:r>
          </w:p>
        </w:tc>
        <w:tc>
          <w:tcPr>
            <w:tcW w:w="1080"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themeColor="text1"/>
                <w:kern w:val="0"/>
                <w:sz w:val="18"/>
                <w:szCs w:val="18"/>
                <w14:textFill>
                  <w14:solidFill>
                    <w14:schemeClr w14:val="tx1"/>
                  </w14:solidFill>
                </w14:textFill>
              </w:rPr>
            </w:pPr>
          </w:p>
        </w:tc>
        <w:tc>
          <w:tcPr>
            <w:tcW w:w="212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二年级下册第一单元--磁铁</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10</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46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17</w:t>
            </w:r>
          </w:p>
        </w:tc>
        <w:tc>
          <w:tcPr>
            <w:tcW w:w="1080"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themeColor="text1"/>
                <w:kern w:val="0"/>
                <w:sz w:val="18"/>
                <w:szCs w:val="18"/>
                <w14:textFill>
                  <w14:solidFill>
                    <w14:schemeClr w14:val="tx1"/>
                  </w14:solidFill>
                </w14:textFill>
              </w:rPr>
            </w:pPr>
          </w:p>
        </w:tc>
        <w:tc>
          <w:tcPr>
            <w:tcW w:w="212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二年级下册第二单元--我们的自己</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10</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18</w:t>
            </w:r>
          </w:p>
        </w:tc>
        <w:tc>
          <w:tcPr>
            <w:tcW w:w="1080"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themeColor="text1"/>
                <w:kern w:val="0"/>
                <w:sz w:val="18"/>
                <w:szCs w:val="18"/>
                <w14:textFill>
                  <w14:solidFill>
                    <w14:schemeClr w14:val="tx1"/>
                  </w14:solidFill>
                </w14:textFill>
              </w:rPr>
            </w:pPr>
          </w:p>
        </w:tc>
        <w:tc>
          <w:tcPr>
            <w:tcW w:w="212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三级上册第一单元-水</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10</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46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19</w:t>
            </w:r>
          </w:p>
        </w:tc>
        <w:tc>
          <w:tcPr>
            <w:tcW w:w="1080"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themeColor="text1"/>
                <w:kern w:val="0"/>
                <w:sz w:val="18"/>
                <w:szCs w:val="18"/>
                <w14:textFill>
                  <w14:solidFill>
                    <w14:schemeClr w14:val="tx1"/>
                  </w14:solidFill>
                </w14:textFill>
              </w:rPr>
            </w:pPr>
          </w:p>
        </w:tc>
        <w:tc>
          <w:tcPr>
            <w:tcW w:w="212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三年级上册第二单元-空气</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10</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46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20</w:t>
            </w:r>
          </w:p>
        </w:tc>
        <w:tc>
          <w:tcPr>
            <w:tcW w:w="1080"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themeColor="text1"/>
                <w:kern w:val="0"/>
                <w:sz w:val="18"/>
                <w:szCs w:val="18"/>
                <w14:textFill>
                  <w14:solidFill>
                    <w14:schemeClr w14:val="tx1"/>
                  </w14:solidFill>
                </w14:textFill>
              </w:rPr>
            </w:pPr>
          </w:p>
        </w:tc>
        <w:tc>
          <w:tcPr>
            <w:tcW w:w="212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三年级上册第三单元-天气</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10</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46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21</w:t>
            </w:r>
          </w:p>
        </w:tc>
        <w:tc>
          <w:tcPr>
            <w:tcW w:w="1080"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themeColor="text1"/>
                <w:kern w:val="0"/>
                <w:sz w:val="18"/>
                <w:szCs w:val="18"/>
                <w14:textFill>
                  <w14:solidFill>
                    <w14:schemeClr w14:val="tx1"/>
                  </w14:solidFill>
                </w14:textFill>
              </w:rPr>
            </w:pPr>
          </w:p>
        </w:tc>
        <w:tc>
          <w:tcPr>
            <w:tcW w:w="212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三年级下册第一单元-物体的运动</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10</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46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22</w:t>
            </w:r>
          </w:p>
        </w:tc>
        <w:tc>
          <w:tcPr>
            <w:tcW w:w="1080"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themeColor="text1"/>
                <w:kern w:val="0"/>
                <w:sz w:val="18"/>
                <w:szCs w:val="18"/>
                <w14:textFill>
                  <w14:solidFill>
                    <w14:schemeClr w14:val="tx1"/>
                  </w14:solidFill>
                </w14:textFill>
              </w:rPr>
            </w:pPr>
          </w:p>
        </w:tc>
        <w:tc>
          <w:tcPr>
            <w:tcW w:w="212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三年级下册第二单元-动物的一生</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10</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46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23</w:t>
            </w:r>
          </w:p>
        </w:tc>
        <w:tc>
          <w:tcPr>
            <w:tcW w:w="1080"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themeColor="text1"/>
                <w:kern w:val="0"/>
                <w:sz w:val="18"/>
                <w:szCs w:val="18"/>
                <w14:textFill>
                  <w14:solidFill>
                    <w14:schemeClr w14:val="tx1"/>
                  </w14:solidFill>
                </w14:textFill>
              </w:rPr>
            </w:pPr>
          </w:p>
        </w:tc>
        <w:tc>
          <w:tcPr>
            <w:tcW w:w="212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三年级下册第三单元-太阳、地球和月球</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10</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24</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环境文化建设</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间</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25</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安装调试</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间</w:t>
            </w:r>
          </w:p>
        </w:tc>
        <w:tc>
          <w:tcPr>
            <w:tcW w:w="108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w:t>
            </w:r>
          </w:p>
        </w:tc>
      </w:tr>
      <w:tr>
        <w:tblPrEx>
          <w:tblCellMar>
            <w:top w:w="0" w:type="dxa"/>
            <w:left w:w="108" w:type="dxa"/>
            <w:bottom w:w="0" w:type="dxa"/>
            <w:right w:w="108" w:type="dxa"/>
          </w:tblCellMar>
        </w:tblPrEx>
        <w:trPr>
          <w:trHeight w:val="285" w:hRule="atLeast"/>
          <w:jc w:val="center"/>
        </w:trPr>
        <w:tc>
          <w:tcPr>
            <w:tcW w:w="9700" w:type="dxa"/>
            <w:gridSpan w:val="6"/>
            <w:tcBorders>
              <w:top w:val="single" w:color="auto" w:sz="8" w:space="0"/>
              <w:left w:val="single" w:color="auto" w:sz="8" w:space="0"/>
              <w:bottom w:val="single" w:color="auto" w:sz="8" w:space="0"/>
              <w:right w:val="single" w:color="000000" w:sz="8" w:space="0"/>
            </w:tcBorders>
            <w:shd w:val="clear" w:color="auto" w:fill="auto"/>
            <w:vAlign w:val="center"/>
          </w:tcPr>
          <w:p>
            <w:pPr>
              <w:widowControl/>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16、办公设备</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序号</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产品名称</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单位</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数量</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所属行业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台式机</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10</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笔记本电脑</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40</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3</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票据打印机</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4</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黑白激光打印机</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5</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5</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彩色激光打印机</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3</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6</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复印机（A3）</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7</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单反套装照相机</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8</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普通摄像机</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9</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柜式空调3P</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24</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10</w:t>
            </w:r>
          </w:p>
        </w:tc>
        <w:tc>
          <w:tcPr>
            <w:tcW w:w="3200"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挂式空调1.5P</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6</w:t>
            </w:r>
          </w:p>
        </w:tc>
        <w:tc>
          <w:tcPr>
            <w:tcW w:w="326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工业</w:t>
            </w:r>
          </w:p>
        </w:tc>
      </w:tr>
    </w:tbl>
    <w:p>
      <w:pPr>
        <w:spacing w:line="360" w:lineRule="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  详细的技术、服务、商务及其他要求见招标文件第4章。</w:t>
      </w:r>
    </w:p>
    <w:p>
      <w:pPr>
        <w:pStyle w:val="79"/>
        <w:numPr>
          <w:ilvl w:val="0"/>
          <w:numId w:val="5"/>
        </w:numPr>
        <w:spacing w:line="360" w:lineRule="auto"/>
        <w:ind w:firstLineChars="0"/>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供应商参加本次政府采购活动应具备的条件</w:t>
      </w:r>
    </w:p>
    <w:p>
      <w:pPr>
        <w:numPr>
          <w:ilvl w:val="1"/>
          <w:numId w:val="6"/>
        </w:numPr>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符合《政府采购法》第二十二条第一款规定的条件；</w:t>
      </w:r>
    </w:p>
    <w:p>
      <w:pPr>
        <w:numPr>
          <w:ilvl w:val="1"/>
          <w:numId w:val="6"/>
        </w:numPr>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在中华人民共和国境内依法登记注册，并有效存续具有独立法人资格的供应商；</w:t>
      </w:r>
    </w:p>
    <w:p>
      <w:pPr>
        <w:numPr>
          <w:ilvl w:val="1"/>
          <w:numId w:val="6"/>
        </w:numPr>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未被列入失信被执行人、重大税收违法案件当事人名单、政府采购严重违法失信行为记录名单； </w:t>
      </w:r>
    </w:p>
    <w:p>
      <w:pPr>
        <w:numPr>
          <w:ilvl w:val="1"/>
          <w:numId w:val="6"/>
        </w:numPr>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在行贿犯罪信息查询期限内，投标人及其现任法定代表人、主要负责人没有行贿犯罪记录；</w:t>
      </w:r>
    </w:p>
    <w:p>
      <w:pPr>
        <w:numPr>
          <w:ilvl w:val="1"/>
          <w:numId w:val="6"/>
        </w:numPr>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未处于被行政部门禁止参与政府采购活动的期限内；</w:t>
      </w:r>
    </w:p>
    <w:p>
      <w:pPr>
        <w:numPr>
          <w:ilvl w:val="1"/>
          <w:numId w:val="6"/>
        </w:numPr>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不属于其他国家相关法律法规规定的禁止参加投标的供应商</w:t>
      </w:r>
    </w:p>
    <w:p>
      <w:pPr>
        <w:numPr>
          <w:ilvl w:val="1"/>
          <w:numId w:val="6"/>
        </w:numPr>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本项目不接受联合体投标。</w:t>
      </w:r>
    </w:p>
    <w:p>
      <w:pPr>
        <w:pStyle w:val="79"/>
        <w:numPr>
          <w:ilvl w:val="0"/>
          <w:numId w:val="5"/>
        </w:numPr>
        <w:spacing w:line="360" w:lineRule="auto"/>
        <w:ind w:firstLineChars="0"/>
        <w:rPr>
          <w:rFonts w:ascii="宋体" w:hAnsi="宋体"/>
          <w:b/>
          <w:i/>
          <w:color w:val="000000" w:themeColor="text1"/>
          <w:sz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招标文件获取时间</w:t>
      </w:r>
    </w:p>
    <w:p>
      <w:pPr>
        <w:numPr>
          <w:ilvl w:val="0"/>
          <w:numId w:val="7"/>
        </w:numPr>
        <w:spacing w:line="360" w:lineRule="auto"/>
        <w:ind w:left="0" w:firstLine="567"/>
        <w:rPr>
          <w:rFonts w:ascii="宋体" w:hAnsi="宋体"/>
          <w:b/>
          <w:color w:val="000000" w:themeColor="text1"/>
          <w:sz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招标文件获取时间：2021年8月</w:t>
      </w:r>
      <w:r>
        <w:rPr>
          <w:rFonts w:ascii="宋体" w:hAnsi="宋体"/>
          <w:b/>
          <w:color w:val="000000" w:themeColor="text1"/>
          <w:sz w:val="28"/>
          <w:szCs w:val="28"/>
          <w14:textFill>
            <w14:solidFill>
              <w14:schemeClr w14:val="tx1"/>
            </w14:solidFill>
          </w14:textFill>
        </w:rPr>
        <w:t>4</w:t>
      </w:r>
      <w:r>
        <w:rPr>
          <w:rFonts w:hint="eastAsia" w:ascii="宋体" w:hAnsi="宋体"/>
          <w:b/>
          <w:color w:val="000000" w:themeColor="text1"/>
          <w:sz w:val="28"/>
          <w:szCs w:val="28"/>
          <w14:textFill>
            <w14:solidFill>
              <w14:schemeClr w14:val="tx1"/>
            </w14:solidFill>
          </w14:textFill>
        </w:rPr>
        <w:t>日至</w:t>
      </w:r>
      <w:r>
        <w:rPr>
          <w:rFonts w:ascii="宋体" w:hAnsi="宋体"/>
          <w:b/>
          <w:color w:val="000000" w:themeColor="text1"/>
          <w:sz w:val="28"/>
          <w:szCs w:val="28"/>
          <w14:textFill>
            <w14:solidFill>
              <w14:schemeClr w14:val="tx1"/>
            </w14:solidFill>
          </w14:textFill>
        </w:rPr>
        <w:t>8</w:t>
      </w:r>
      <w:r>
        <w:rPr>
          <w:rFonts w:hint="eastAsia" w:ascii="宋体" w:hAnsi="宋体"/>
          <w:b/>
          <w:color w:val="000000" w:themeColor="text1"/>
          <w:sz w:val="28"/>
          <w:szCs w:val="28"/>
          <w14:textFill>
            <w14:solidFill>
              <w14:schemeClr w14:val="tx1"/>
            </w14:solidFill>
          </w14:textFill>
        </w:rPr>
        <w:t>月</w:t>
      </w:r>
      <w:r>
        <w:rPr>
          <w:rFonts w:ascii="宋体" w:hAnsi="宋体"/>
          <w:b/>
          <w:color w:val="000000" w:themeColor="text1"/>
          <w:sz w:val="28"/>
          <w:szCs w:val="28"/>
          <w14:textFill>
            <w14:solidFill>
              <w14:schemeClr w14:val="tx1"/>
            </w14:solidFill>
          </w14:textFill>
        </w:rPr>
        <w:t>25</w:t>
      </w:r>
      <w:r>
        <w:rPr>
          <w:rFonts w:hint="eastAsia" w:ascii="宋体" w:hAnsi="宋体"/>
          <w:b/>
          <w:color w:val="000000" w:themeColor="text1"/>
          <w:sz w:val="28"/>
          <w:szCs w:val="28"/>
          <w14:textFill>
            <w14:solidFill>
              <w14:schemeClr w14:val="tx1"/>
            </w14:solidFill>
          </w14:textFill>
        </w:rPr>
        <w:t>日。</w:t>
      </w:r>
    </w:p>
    <w:p>
      <w:pPr>
        <w:numPr>
          <w:ilvl w:val="0"/>
          <w:numId w:val="7"/>
        </w:numPr>
        <w:spacing w:line="360" w:lineRule="auto"/>
        <w:ind w:left="0" w:firstLine="567"/>
        <w:rPr>
          <w:rFonts w:ascii="宋体" w:hAnsi="宋体"/>
          <w:b/>
          <w:color w:val="000000" w:themeColor="text1"/>
          <w:sz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公告期限：2021年</w:t>
      </w:r>
      <w:r>
        <w:rPr>
          <w:rFonts w:ascii="宋体" w:hAnsi="宋体"/>
          <w:b/>
          <w:color w:val="000000" w:themeColor="text1"/>
          <w:sz w:val="28"/>
          <w:szCs w:val="28"/>
          <w14:textFill>
            <w14:solidFill>
              <w14:schemeClr w14:val="tx1"/>
            </w14:solidFill>
          </w14:textFill>
        </w:rPr>
        <w:t>8</w:t>
      </w:r>
      <w:r>
        <w:rPr>
          <w:rFonts w:hint="eastAsia" w:ascii="宋体" w:hAnsi="宋体"/>
          <w:b/>
          <w:color w:val="000000" w:themeColor="text1"/>
          <w:sz w:val="28"/>
          <w:szCs w:val="28"/>
          <w14:textFill>
            <w14:solidFill>
              <w14:schemeClr w14:val="tx1"/>
            </w14:solidFill>
          </w14:textFill>
        </w:rPr>
        <w:t>月</w:t>
      </w:r>
      <w:r>
        <w:rPr>
          <w:rFonts w:ascii="宋体" w:hAnsi="宋体"/>
          <w:b/>
          <w:color w:val="000000" w:themeColor="text1"/>
          <w:sz w:val="28"/>
          <w:szCs w:val="28"/>
          <w14:textFill>
            <w14:solidFill>
              <w14:schemeClr w14:val="tx1"/>
            </w14:solidFill>
          </w14:textFill>
        </w:rPr>
        <w:t>4</w:t>
      </w:r>
      <w:r>
        <w:rPr>
          <w:rFonts w:hint="eastAsia" w:ascii="宋体" w:hAnsi="宋体"/>
          <w:b/>
          <w:color w:val="000000" w:themeColor="text1"/>
          <w:sz w:val="28"/>
          <w:szCs w:val="28"/>
          <w14:textFill>
            <w14:solidFill>
              <w14:schemeClr w14:val="tx1"/>
            </w14:solidFill>
          </w14:textFill>
        </w:rPr>
        <w:t>日至</w:t>
      </w:r>
      <w:r>
        <w:rPr>
          <w:rFonts w:ascii="宋体" w:hAnsi="宋体"/>
          <w:b/>
          <w:color w:val="000000" w:themeColor="text1"/>
          <w:sz w:val="28"/>
          <w:szCs w:val="28"/>
          <w14:textFill>
            <w14:solidFill>
              <w14:schemeClr w14:val="tx1"/>
            </w14:solidFill>
          </w14:textFill>
        </w:rPr>
        <w:t>8</w:t>
      </w:r>
      <w:r>
        <w:rPr>
          <w:rFonts w:hint="eastAsia" w:ascii="宋体" w:hAnsi="宋体"/>
          <w:b/>
          <w:color w:val="000000" w:themeColor="text1"/>
          <w:sz w:val="28"/>
          <w:szCs w:val="28"/>
          <w14:textFill>
            <w14:solidFill>
              <w14:schemeClr w14:val="tx1"/>
            </w14:solidFill>
          </w14:textFill>
        </w:rPr>
        <w:t>月</w:t>
      </w:r>
      <w:r>
        <w:rPr>
          <w:rFonts w:ascii="宋体" w:hAnsi="宋体"/>
          <w:b/>
          <w:color w:val="000000" w:themeColor="text1"/>
          <w:sz w:val="28"/>
          <w:szCs w:val="28"/>
          <w14:textFill>
            <w14:solidFill>
              <w14:schemeClr w14:val="tx1"/>
            </w14:solidFill>
          </w14:textFill>
        </w:rPr>
        <w:t>11</w:t>
      </w:r>
      <w:r>
        <w:rPr>
          <w:rFonts w:hint="eastAsia" w:ascii="宋体" w:hAnsi="宋体"/>
          <w:b/>
          <w:color w:val="000000" w:themeColor="text1"/>
          <w:sz w:val="28"/>
          <w:szCs w:val="28"/>
          <w14:textFill>
            <w14:solidFill>
              <w14:schemeClr w14:val="tx1"/>
            </w14:solidFill>
          </w14:textFill>
        </w:rPr>
        <w:t>日。</w:t>
      </w:r>
    </w:p>
    <w:p>
      <w:pPr>
        <w:numPr>
          <w:ilvl w:val="0"/>
          <w:numId w:val="5"/>
        </w:numPr>
        <w:spacing w:line="360" w:lineRule="auto"/>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招标文件获取方式</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要参加投标，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提示：</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（1）本项目采购文件免费获取。</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（3）首次登录成都市公共资源交易服务中心门户网站的新用户应先点击“注册新用户”，注册成功后再登录。</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（4）本项目为电子招标投标项目，投标人参与本项目全过程中凡涉及系统操作请详见《成都市全流程电子化采购系统操作指南——供应商版》（操作指南请登录政府采购云平台后，点击“前台大厅</w:t>
      </w:r>
      <w:r>
        <w:rPr>
          <w:rFonts w:ascii="宋体" w:hAnsi="宋体"/>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操作指南</w:t>
      </w:r>
      <w:r>
        <w:rPr>
          <w:rFonts w:ascii="宋体" w:hAnsi="宋体"/>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供应商”处下载查看）。</w:t>
      </w:r>
    </w:p>
    <w:p>
      <w:pPr>
        <w:numPr>
          <w:ilvl w:val="0"/>
          <w:numId w:val="5"/>
        </w:numPr>
        <w:spacing w:line="360" w:lineRule="auto"/>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招标文件获取地点</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登录成都市公共资源交易服务中心门户网站（https://www.cdggzy.com/）—用户中心—政府采购云平台获取</w:t>
      </w:r>
      <w:r>
        <w:rPr>
          <w:rFonts w:hint="eastAsia" w:ascii="宋体" w:hAnsi="宋体"/>
          <w:color w:val="000000" w:themeColor="text1"/>
          <w:sz w:val="28"/>
          <w14:textFill>
            <w14:solidFill>
              <w14:schemeClr w14:val="tx1"/>
            </w14:solidFill>
          </w14:textFill>
        </w:rPr>
        <w:t>。</w:t>
      </w:r>
    </w:p>
    <w:p>
      <w:pPr>
        <w:numPr>
          <w:ilvl w:val="0"/>
          <w:numId w:val="5"/>
        </w:numPr>
        <w:spacing w:line="360" w:lineRule="auto"/>
        <w:ind w:left="0" w:firstLine="567"/>
        <w:rPr>
          <w:rFonts w:ascii="宋体" w:hAnsi="宋体"/>
          <w:b/>
          <w:color w:val="000000" w:themeColor="text1"/>
          <w:sz w:val="28"/>
          <w:szCs w:val="28"/>
          <w14:textFill>
            <w14:solidFill>
              <w14:schemeClr w14:val="tx1"/>
            </w14:solidFill>
          </w14:textFill>
        </w:rPr>
      </w:pPr>
      <w:bookmarkStart w:id="8" w:name="_Toc184013605"/>
      <w:bookmarkStart w:id="9" w:name="_Toc186274101"/>
      <w:bookmarkStart w:id="10" w:name="_Toc184023104"/>
      <w:bookmarkStart w:id="11" w:name="_Toc180051012"/>
      <w:bookmarkStart w:id="12" w:name="_Toc174185149"/>
      <w:r>
        <w:rPr>
          <w:rFonts w:hint="eastAsia" w:ascii="宋体" w:hAnsi="宋体"/>
          <w:b/>
          <w:color w:val="000000" w:themeColor="text1"/>
          <w:sz w:val="28"/>
          <w:szCs w:val="28"/>
          <w14:textFill>
            <w14:solidFill>
              <w14:schemeClr w14:val="tx1"/>
            </w14:solidFill>
          </w14:textFill>
        </w:rPr>
        <w:t>投标文件递交截止时间及开标时间</w:t>
      </w:r>
      <w:bookmarkEnd w:id="8"/>
      <w:bookmarkEnd w:id="9"/>
      <w:bookmarkEnd w:id="10"/>
      <w:bookmarkEnd w:id="11"/>
      <w:bookmarkEnd w:id="12"/>
      <w:r>
        <w:rPr>
          <w:rFonts w:hint="eastAsia" w:ascii="宋体" w:hAnsi="宋体"/>
          <w:b/>
          <w:color w:val="000000" w:themeColor="text1"/>
          <w:sz w:val="28"/>
          <w:szCs w:val="28"/>
          <w14:textFill>
            <w14:solidFill>
              <w14:schemeClr w14:val="tx1"/>
            </w14:solidFill>
          </w14:textFill>
        </w:rPr>
        <w:t>(北京时间)、地点、方式</w:t>
      </w:r>
    </w:p>
    <w:p>
      <w:pPr>
        <w:spacing w:line="560" w:lineRule="exact"/>
        <w:ind w:firstLine="568" w:firstLineChars="202"/>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（一）投标文件递交截止时间及开标时间：2021年</w:t>
      </w:r>
      <w:r>
        <w:rPr>
          <w:rFonts w:ascii="宋体" w:hAnsi="宋体"/>
          <w:b/>
          <w:color w:val="000000" w:themeColor="text1"/>
          <w:sz w:val="28"/>
          <w:szCs w:val="28"/>
          <w14:textFill>
            <w14:solidFill>
              <w14:schemeClr w14:val="tx1"/>
            </w14:solidFill>
          </w14:textFill>
        </w:rPr>
        <w:t>8</w:t>
      </w:r>
      <w:r>
        <w:rPr>
          <w:rFonts w:hint="eastAsia" w:ascii="宋体" w:hAnsi="宋体"/>
          <w:b/>
          <w:color w:val="000000" w:themeColor="text1"/>
          <w:sz w:val="28"/>
          <w:szCs w:val="28"/>
          <w14:textFill>
            <w14:solidFill>
              <w14:schemeClr w14:val="tx1"/>
            </w14:solidFill>
          </w14:textFill>
        </w:rPr>
        <w:t>月</w:t>
      </w:r>
      <w:r>
        <w:rPr>
          <w:rFonts w:ascii="宋体" w:hAnsi="宋体"/>
          <w:b/>
          <w:color w:val="000000" w:themeColor="text1"/>
          <w:sz w:val="28"/>
          <w:szCs w:val="28"/>
          <w14:textFill>
            <w14:solidFill>
              <w14:schemeClr w14:val="tx1"/>
            </w14:solidFill>
          </w14:textFill>
        </w:rPr>
        <w:t>26</w:t>
      </w:r>
      <w:r>
        <w:rPr>
          <w:rFonts w:hint="eastAsia" w:ascii="宋体" w:hAnsi="宋体"/>
          <w:b/>
          <w:color w:val="000000" w:themeColor="text1"/>
          <w:sz w:val="28"/>
          <w:szCs w:val="28"/>
          <w14:textFill>
            <w14:solidFill>
              <w14:schemeClr w14:val="tx1"/>
            </w14:solidFill>
          </w14:textFill>
        </w:rPr>
        <w:t>日上午09:30。</w:t>
      </w:r>
    </w:p>
    <w:p>
      <w:pPr>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（二）投标文件递交方式、地点：投标截止时间前，投标人应将加密的投标文件递交至“政府采购云平台”对应项目（包件）。</w:t>
      </w:r>
    </w:p>
    <w:p>
      <w:pPr>
        <w:numPr>
          <w:ilvl w:val="0"/>
          <w:numId w:val="5"/>
        </w:numPr>
        <w:spacing w:line="360" w:lineRule="auto"/>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开标地点</w:t>
      </w:r>
    </w:p>
    <w:p>
      <w:pPr>
        <w:spacing w:line="360" w:lineRule="auto"/>
        <w:ind w:firstLine="420" w:firstLineChars="15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本项目为不见面开标项目。</w:t>
      </w:r>
    </w:p>
    <w:p>
      <w:pPr>
        <w:spacing w:line="360" w:lineRule="auto"/>
        <w:ind w:firstLine="420" w:firstLineChars="15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开标地点为：成都市公共资源交易服务中心“政府采购云平台”。登录成都市公共资源交易服务中心门户网站（https://www.cdggzy.com）—用户中心—政府采购云平台。</w:t>
      </w:r>
    </w:p>
    <w:p>
      <w:pPr>
        <w:spacing w:line="360" w:lineRule="auto"/>
        <w:ind w:firstLine="420" w:firstLineChars="15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本项目只接受投标人加密并递交至“政府采购云平台”的投标文件。</w:t>
      </w:r>
    </w:p>
    <w:p>
      <w:pPr>
        <w:numPr>
          <w:ilvl w:val="0"/>
          <w:numId w:val="5"/>
        </w:numPr>
        <w:spacing w:line="360" w:lineRule="auto"/>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政采中、小企业政府采购信用担保融资</w:t>
      </w:r>
    </w:p>
    <w:p>
      <w:pPr>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pPr>
        <w:numPr>
          <w:ilvl w:val="0"/>
          <w:numId w:val="5"/>
        </w:numPr>
        <w:spacing w:line="360" w:lineRule="auto"/>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本投标邀请在“四川政府采购网”和“成都市公共资源交易服务中心”网站上以公告形式发布</w:t>
      </w:r>
    </w:p>
    <w:p>
      <w:pPr>
        <w:numPr>
          <w:ilvl w:val="0"/>
          <w:numId w:val="5"/>
        </w:numPr>
        <w:spacing w:line="360" w:lineRule="auto"/>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联系方式</w:t>
      </w:r>
    </w:p>
    <w:p>
      <w:pPr>
        <w:spacing w:line="360" w:lineRule="auto"/>
        <w:ind w:firstLine="568" w:firstLineChars="202"/>
        <w:rPr>
          <w:rFonts w:ascii="宋体" w:hAnsi="宋体"/>
          <w:color w:val="000000" w:themeColor="text1"/>
          <w:sz w:val="28"/>
          <w14:textFill>
            <w14:solidFill>
              <w14:schemeClr w14:val="tx1"/>
            </w14:solidFill>
          </w14:textFill>
        </w:rPr>
      </w:pPr>
      <w:r>
        <w:rPr>
          <w:rFonts w:hint="eastAsia" w:ascii="宋体" w:hAnsi="宋体"/>
          <w:b/>
          <w:color w:val="000000" w:themeColor="text1"/>
          <w:sz w:val="28"/>
          <w14:textFill>
            <w14:solidFill>
              <w14:schemeClr w14:val="tx1"/>
            </w14:solidFill>
          </w14:textFill>
        </w:rPr>
        <w:t>采购人：</w:t>
      </w:r>
      <w:r>
        <w:rPr>
          <w:rFonts w:hint="eastAsia" w:ascii="宋体" w:hAnsi="宋体"/>
          <w:color w:val="000000" w:themeColor="text1"/>
          <w:sz w:val="28"/>
          <w14:textFill>
            <w14:solidFill>
              <w14:schemeClr w14:val="tx1"/>
            </w14:solidFill>
          </w14:textFill>
        </w:rPr>
        <w:t>成都市青羊区教育技术装备与信息管理中心</w:t>
      </w:r>
    </w:p>
    <w:p>
      <w:pPr>
        <w:pStyle w:val="148"/>
        <w:ind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kern w:val="0"/>
          <w:sz w:val="28"/>
          <w:szCs w:val="22"/>
          <w14:textFill>
            <w14:solidFill>
              <w14:schemeClr w14:val="tx1"/>
            </w14:solidFill>
          </w14:textFill>
        </w:rPr>
        <w:t>地  址：成都市</w:t>
      </w:r>
      <w:r>
        <w:rPr>
          <w:rFonts w:hint="eastAsia" w:ascii="宋体" w:hAnsi="宋体"/>
          <w:color w:val="000000" w:themeColor="text1"/>
          <w:sz w:val="28"/>
          <w:szCs w:val="28"/>
          <w14:textFill>
            <w14:solidFill>
              <w14:schemeClr w14:val="tx1"/>
            </w14:solidFill>
          </w14:textFill>
        </w:rPr>
        <w:t>苏坡桥西街2</w:t>
      </w:r>
      <w:r>
        <w:rPr>
          <w:rFonts w:ascii="宋体" w:hAnsi="宋体"/>
          <w:color w:val="000000" w:themeColor="text1"/>
          <w:sz w:val="28"/>
          <w:szCs w:val="28"/>
          <w14:textFill>
            <w14:solidFill>
              <w14:schemeClr w14:val="tx1"/>
            </w14:solidFill>
          </w14:textFill>
        </w:rPr>
        <w:t>7</w:t>
      </w:r>
      <w:r>
        <w:rPr>
          <w:rFonts w:hint="eastAsia" w:ascii="宋体" w:hAnsi="宋体"/>
          <w:color w:val="000000" w:themeColor="text1"/>
          <w:sz w:val="28"/>
          <w:szCs w:val="28"/>
          <w14:textFill>
            <w14:solidFill>
              <w14:schemeClr w14:val="tx1"/>
            </w14:solidFill>
          </w14:textFill>
        </w:rPr>
        <w:t>号</w:t>
      </w:r>
    </w:p>
    <w:p>
      <w:pPr>
        <w:pStyle w:val="148"/>
        <w:ind w:firstLine="560"/>
        <w:rPr>
          <w:rFonts w:ascii="宋体" w:hAnsi="宋体"/>
          <w:color w:val="000000" w:themeColor="text1"/>
          <w:kern w:val="0"/>
          <w:sz w:val="28"/>
          <w:szCs w:val="22"/>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邮编：6</w:t>
      </w:r>
      <w:r>
        <w:rPr>
          <w:rFonts w:ascii="宋体" w:hAnsi="宋体"/>
          <w:color w:val="000000" w:themeColor="text1"/>
          <w:sz w:val="28"/>
          <w:szCs w:val="28"/>
          <w14:textFill>
            <w14:solidFill>
              <w14:schemeClr w14:val="tx1"/>
            </w14:solidFill>
          </w14:textFill>
        </w:rPr>
        <w:t>10000</w:t>
      </w:r>
    </w:p>
    <w:p>
      <w:pPr>
        <w:pStyle w:val="148"/>
        <w:ind w:firstLine="560"/>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联系人：</w:t>
      </w:r>
      <w:r>
        <w:rPr>
          <w:rFonts w:hint="eastAsia" w:ascii="宋体" w:hAnsi="宋体"/>
          <w:color w:val="000000" w:themeColor="text1"/>
          <w:sz w:val="28"/>
          <w:szCs w:val="28"/>
          <w14:textFill>
            <w14:solidFill>
              <w14:schemeClr w14:val="tx1"/>
            </w14:solidFill>
          </w14:textFill>
        </w:rPr>
        <w:t>高飞</w:t>
      </w:r>
    </w:p>
    <w:p>
      <w:pPr>
        <w:spacing w:line="360" w:lineRule="auto"/>
        <w:ind w:firstLine="567"/>
        <w:rPr>
          <w:rFonts w:ascii="宋体" w:hAnsi="宋体"/>
          <w:b/>
          <w:bCs/>
          <w:color w:val="000000" w:themeColor="text1"/>
          <w:sz w:val="28"/>
          <w:szCs w:val="28"/>
          <w14:textFill>
            <w14:solidFill>
              <w14:schemeClr w14:val="tx1"/>
            </w14:solidFill>
          </w14:textFill>
        </w:rPr>
      </w:pPr>
      <w:r>
        <w:rPr>
          <w:rFonts w:hint="eastAsia" w:ascii="宋体" w:hAnsi="宋体"/>
          <w:color w:val="000000" w:themeColor="text1"/>
          <w:sz w:val="28"/>
          <w14:textFill>
            <w14:solidFill>
              <w14:schemeClr w14:val="tx1"/>
            </w14:solidFill>
          </w14:textFill>
        </w:rPr>
        <w:t>联系电话：</w:t>
      </w:r>
      <w:r>
        <w:rPr>
          <w:rFonts w:ascii="宋体" w:hAnsi="宋体"/>
          <w:color w:val="000000" w:themeColor="text1"/>
          <w:kern w:val="0"/>
          <w:sz w:val="28"/>
          <w14:textFill>
            <w14:solidFill>
              <w14:schemeClr w14:val="tx1"/>
            </w14:solidFill>
          </w14:textFill>
        </w:rPr>
        <w:t>028-86110795</w:t>
      </w:r>
    </w:p>
    <w:p>
      <w:pPr>
        <w:spacing w:line="360" w:lineRule="auto"/>
        <w:ind w:firstLine="568" w:firstLineChars="202"/>
        <w:rPr>
          <w:rFonts w:ascii="宋体" w:hAnsi="宋体"/>
          <w:b/>
          <w:color w:val="000000" w:themeColor="text1"/>
          <w:sz w:val="28"/>
          <w14:textFill>
            <w14:solidFill>
              <w14:schemeClr w14:val="tx1"/>
            </w14:solidFill>
          </w14:textFill>
        </w:rPr>
      </w:pPr>
      <w:r>
        <w:rPr>
          <w:rFonts w:hint="eastAsia" w:ascii="宋体" w:hAnsi="宋体"/>
          <w:b/>
          <w:color w:val="000000" w:themeColor="text1"/>
          <w:sz w:val="28"/>
          <w14:textFill>
            <w14:solidFill>
              <w14:schemeClr w14:val="tx1"/>
            </w14:solidFill>
          </w14:textFill>
        </w:rPr>
        <w:t>成都市成都市青羊区政府采购服务中心</w:t>
      </w:r>
    </w:p>
    <w:p>
      <w:pPr>
        <w:pStyle w:val="148"/>
        <w:ind w:firstLine="565" w:firstLineChars="202"/>
        <w:rPr>
          <w:rFonts w:ascii="宋体" w:hAnsi="宋体"/>
          <w:color w:val="000000" w:themeColor="text1"/>
          <w:kern w:val="0"/>
          <w:sz w:val="28"/>
          <w:szCs w:val="22"/>
          <w14:textFill>
            <w14:solidFill>
              <w14:schemeClr w14:val="tx1"/>
            </w14:solidFill>
          </w14:textFill>
        </w:rPr>
      </w:pPr>
      <w:r>
        <w:rPr>
          <w:rFonts w:hint="eastAsia" w:ascii="宋体" w:hAnsi="宋体"/>
          <w:color w:val="000000" w:themeColor="text1"/>
          <w:sz w:val="28"/>
          <w14:textFill>
            <w14:solidFill>
              <w14:schemeClr w14:val="tx1"/>
            </w14:solidFill>
          </w14:textFill>
        </w:rPr>
        <w:t>地  址：</w:t>
      </w:r>
      <w:r>
        <w:rPr>
          <w:rFonts w:hint="eastAsia" w:ascii="宋体" w:hAnsi="宋体"/>
          <w:color w:val="000000" w:themeColor="text1"/>
          <w:kern w:val="0"/>
          <w:sz w:val="28"/>
          <w:szCs w:val="22"/>
          <w14:textFill>
            <w14:solidFill>
              <w14:schemeClr w14:val="tx1"/>
            </w14:solidFill>
          </w14:textFill>
        </w:rPr>
        <w:t>成都市青羊区西华门街19号1号楼</w:t>
      </w:r>
    </w:p>
    <w:p>
      <w:pPr>
        <w:spacing w:line="360" w:lineRule="auto"/>
        <w:ind w:firstLine="565" w:firstLineChars="202"/>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邮  编：6100</w:t>
      </w:r>
      <w:r>
        <w:rPr>
          <w:rFonts w:ascii="宋体" w:hAnsi="宋体"/>
          <w:color w:val="000000" w:themeColor="text1"/>
          <w:sz w:val="28"/>
          <w14:textFill>
            <w14:solidFill>
              <w14:schemeClr w14:val="tx1"/>
            </w14:solidFill>
          </w14:textFill>
        </w:rPr>
        <w:t>00</w:t>
      </w:r>
    </w:p>
    <w:p>
      <w:pPr>
        <w:spacing w:line="360" w:lineRule="auto"/>
        <w:ind w:firstLine="565" w:firstLineChars="202"/>
        <w:rPr>
          <w:rFonts w:ascii="宋体" w:hAnsi="宋体"/>
          <w:color w:val="000000" w:themeColor="text1"/>
          <w:kern w:val="0"/>
          <w:sz w:val="28"/>
          <w14:textFill>
            <w14:solidFill>
              <w14:schemeClr w14:val="tx1"/>
            </w14:solidFill>
          </w14:textFill>
        </w:rPr>
      </w:pPr>
      <w:r>
        <w:rPr>
          <w:rFonts w:hint="eastAsia" w:ascii="宋体" w:hAnsi="宋体"/>
          <w:color w:val="000000" w:themeColor="text1"/>
          <w:sz w:val="28"/>
          <w14:textFill>
            <w14:solidFill>
              <w14:schemeClr w14:val="tx1"/>
            </w14:solidFill>
          </w14:textFill>
        </w:rPr>
        <w:t>联系人：梁志刚</w:t>
      </w:r>
    </w:p>
    <w:p>
      <w:pPr>
        <w:spacing w:line="360" w:lineRule="auto"/>
        <w:ind w:firstLine="565" w:firstLineChars="202"/>
        <w:rPr>
          <w:rFonts w:ascii="宋体" w:hAnsi="宋体"/>
          <w:color w:val="000000" w:themeColor="text1"/>
          <w:kern w:val="0"/>
          <w:sz w:val="28"/>
          <w14:textFill>
            <w14:solidFill>
              <w14:schemeClr w14:val="tx1"/>
            </w14:solidFill>
          </w14:textFill>
        </w:rPr>
      </w:pPr>
      <w:r>
        <w:rPr>
          <w:rFonts w:hint="eastAsia" w:ascii="宋体" w:hAnsi="宋体"/>
          <w:color w:val="000000" w:themeColor="text1"/>
          <w:sz w:val="28"/>
          <w14:textFill>
            <w14:solidFill>
              <w14:schemeClr w14:val="tx1"/>
            </w14:solidFill>
          </w14:textFill>
        </w:rPr>
        <w:t>联系电话：</w:t>
      </w:r>
      <w:r>
        <w:rPr>
          <w:rFonts w:ascii="宋体" w:hAnsi="宋体"/>
          <w:color w:val="000000" w:themeColor="text1"/>
          <w:kern w:val="0"/>
          <w:sz w:val="28"/>
          <w14:textFill>
            <w14:solidFill>
              <w14:schemeClr w14:val="tx1"/>
            </w14:solidFill>
          </w14:textFill>
        </w:rPr>
        <w:t>028-84532709</w:t>
      </w:r>
    </w:p>
    <w:p>
      <w:pPr>
        <w:spacing w:line="360" w:lineRule="auto"/>
        <w:ind w:firstLine="565" w:firstLineChars="202"/>
        <w:rPr>
          <w:rFonts w:ascii="宋体" w:hAnsi="宋体"/>
          <w:color w:val="000000" w:themeColor="text1"/>
          <w:kern w:val="0"/>
          <w:sz w:val="28"/>
          <w14:textFill>
            <w14:solidFill>
              <w14:schemeClr w14:val="tx1"/>
            </w14:solidFill>
          </w14:textFill>
        </w:rPr>
      </w:pPr>
      <w:r>
        <w:rPr>
          <w:rFonts w:hint="eastAsia" w:ascii="宋体" w:hAnsi="宋体"/>
          <w:color w:val="000000" w:themeColor="text1"/>
          <w:kern w:val="0"/>
          <w:sz w:val="28"/>
          <w14:textFill>
            <w14:solidFill>
              <w14:schemeClr w14:val="tx1"/>
            </w14:solidFill>
          </w14:textFill>
        </w:rPr>
        <w:t>技术支持电话：4</w:t>
      </w:r>
      <w:r>
        <w:rPr>
          <w:rFonts w:ascii="宋体" w:hAnsi="宋体"/>
          <w:color w:val="000000" w:themeColor="text1"/>
          <w:kern w:val="0"/>
          <w:sz w:val="28"/>
          <w14:textFill>
            <w14:solidFill>
              <w14:schemeClr w14:val="tx1"/>
            </w14:solidFill>
          </w14:textFill>
        </w:rPr>
        <w:t>00</w:t>
      </w:r>
      <w:r>
        <w:rPr>
          <w:rFonts w:hint="eastAsia" w:ascii="宋体" w:hAnsi="宋体"/>
          <w:color w:val="000000" w:themeColor="text1"/>
          <w:kern w:val="0"/>
          <w:sz w:val="28"/>
          <w14:textFill>
            <w14:solidFill>
              <w14:schemeClr w14:val="tx1"/>
            </w14:solidFill>
          </w14:textFill>
        </w:rPr>
        <w:t>—8</w:t>
      </w:r>
      <w:r>
        <w:rPr>
          <w:rFonts w:ascii="宋体" w:hAnsi="宋体"/>
          <w:color w:val="000000" w:themeColor="text1"/>
          <w:kern w:val="0"/>
          <w:sz w:val="28"/>
          <w14:textFill>
            <w14:solidFill>
              <w14:schemeClr w14:val="tx1"/>
            </w14:solidFill>
          </w14:textFill>
        </w:rPr>
        <w:t>81</w:t>
      </w:r>
      <w:r>
        <w:rPr>
          <w:rFonts w:hint="eastAsia" w:ascii="宋体" w:hAnsi="宋体"/>
          <w:color w:val="000000" w:themeColor="text1"/>
          <w:kern w:val="0"/>
          <w:sz w:val="28"/>
          <w14:textFill>
            <w14:solidFill>
              <w14:schemeClr w14:val="tx1"/>
            </w14:solidFill>
          </w14:textFill>
        </w:rPr>
        <w:t>—7</w:t>
      </w:r>
      <w:r>
        <w:rPr>
          <w:rFonts w:ascii="宋体" w:hAnsi="宋体"/>
          <w:color w:val="000000" w:themeColor="text1"/>
          <w:kern w:val="0"/>
          <w:sz w:val="28"/>
          <w14:textFill>
            <w14:solidFill>
              <w14:schemeClr w14:val="tx1"/>
            </w14:solidFill>
          </w14:textFill>
        </w:rPr>
        <w:t>190</w:t>
      </w:r>
    </w:p>
    <w:p>
      <w:pPr>
        <w:spacing w:line="360" w:lineRule="auto"/>
        <w:ind w:firstLine="562" w:firstLineChars="200"/>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集中采购监督机构：成都市青羊区财政局</w:t>
      </w:r>
    </w:p>
    <w:p>
      <w:pPr>
        <w:spacing w:line="360" w:lineRule="auto"/>
        <w:ind w:firstLine="560" w:firstLineChars="200"/>
        <w:rPr>
          <w:rFonts w:ascii="宋体" w:hAnsi="宋体"/>
          <w:color w:val="000000" w:themeColor="text1"/>
          <w:sz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地 址：成都市青羊区西华门街19号1号楼</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联系人：</w:t>
      </w:r>
      <w:r>
        <w:rPr>
          <w:rFonts w:hint="eastAsia" w:ascii="宋体" w:hAnsi="宋体"/>
          <w:color w:val="000000" w:themeColor="text1"/>
          <w:sz w:val="28"/>
          <w:szCs w:val="28"/>
          <w14:textFill>
            <w14:solidFill>
              <w14:schemeClr w14:val="tx1"/>
            </w14:solidFill>
          </w14:textFill>
        </w:rPr>
        <w:t xml:space="preserve">冯 </w:t>
      </w:r>
      <w:r>
        <w:rPr>
          <w:rFonts w:ascii="宋体" w:hAnsi="宋体"/>
          <w:color w:val="000000" w:themeColor="text1"/>
          <w:sz w:val="28"/>
          <w:szCs w:val="28"/>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瑾</w:t>
      </w:r>
    </w:p>
    <w:p>
      <w:pPr>
        <w:pStyle w:val="81"/>
        <w:tabs>
          <w:tab w:val="left" w:pos="900"/>
        </w:tabs>
        <w:spacing w:line="360" w:lineRule="auto"/>
        <w:ind w:firstLine="560"/>
        <w:jc w:val="left"/>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联系电话：028-</w:t>
      </w:r>
      <w:r>
        <w:rPr>
          <w:rFonts w:hint="eastAsia" w:ascii="宋体" w:hAnsi="宋体"/>
          <w:color w:val="000000" w:themeColor="text1"/>
          <w:sz w:val="28"/>
          <w:szCs w:val="28"/>
          <w14:textFill>
            <w14:solidFill>
              <w14:schemeClr w14:val="tx1"/>
            </w14:solidFill>
          </w14:textFill>
        </w:rPr>
        <w:t>86699817</w:t>
      </w:r>
    </w:p>
    <w:p>
      <w:pPr>
        <w:tabs>
          <w:tab w:val="left" w:pos="900"/>
        </w:tabs>
        <w:spacing w:line="360" w:lineRule="auto"/>
        <w:ind w:firstLine="560" w:firstLineChars="200"/>
        <w:rPr>
          <w:rFonts w:ascii="宋体" w:hAnsi="宋体" w:cstheme="minorBidi"/>
          <w:color w:val="000000" w:themeColor="text1"/>
          <w:sz w:val="28"/>
          <w:szCs w:val="28"/>
          <w14:textFill>
            <w14:solidFill>
              <w14:schemeClr w14:val="tx1"/>
            </w14:solidFill>
          </w14:textFill>
        </w:rPr>
      </w:pPr>
    </w:p>
    <w:p>
      <w:pPr>
        <w:tabs>
          <w:tab w:val="left" w:pos="900"/>
        </w:tabs>
        <w:spacing w:line="360" w:lineRule="auto"/>
        <w:ind w:firstLine="560" w:firstLineChars="200"/>
        <w:rPr>
          <w:rFonts w:ascii="宋体" w:hAnsi="宋体" w:cstheme="minorBidi"/>
          <w:color w:val="000000" w:themeColor="text1"/>
          <w:sz w:val="28"/>
          <w:szCs w:val="28"/>
          <w14:textFill>
            <w14:solidFill>
              <w14:schemeClr w14:val="tx1"/>
            </w14:solidFill>
          </w14:textFill>
        </w:rPr>
      </w:pPr>
    </w:p>
    <w:p>
      <w:pPr>
        <w:tabs>
          <w:tab w:val="left" w:pos="900"/>
        </w:tabs>
        <w:spacing w:line="360" w:lineRule="auto"/>
        <w:ind w:firstLine="560" w:firstLineChars="200"/>
        <w:rPr>
          <w:rFonts w:ascii="宋体" w:hAnsi="宋体" w:cstheme="minorBidi"/>
          <w:color w:val="000000" w:themeColor="text1"/>
          <w:sz w:val="28"/>
          <w:szCs w:val="28"/>
          <w14:textFill>
            <w14:solidFill>
              <w14:schemeClr w14:val="tx1"/>
            </w14:solidFill>
          </w14:textFill>
        </w:rPr>
      </w:pPr>
    </w:p>
    <w:p>
      <w:pPr>
        <w:tabs>
          <w:tab w:val="left" w:pos="900"/>
        </w:tabs>
        <w:spacing w:line="360" w:lineRule="auto"/>
        <w:rPr>
          <w:rFonts w:ascii="宋体" w:hAnsi="宋体" w:cstheme="minorBidi"/>
          <w:color w:val="000000" w:themeColor="text1"/>
          <w:sz w:val="28"/>
          <w:szCs w:val="28"/>
          <w14:textFill>
            <w14:solidFill>
              <w14:schemeClr w14:val="tx1"/>
            </w14:solidFill>
          </w14:textFill>
        </w:rPr>
      </w:pPr>
    </w:p>
    <w:p>
      <w:pPr>
        <w:keepNext/>
        <w:keepLines/>
        <w:numPr>
          <w:ilvl w:val="0"/>
          <w:numId w:val="1"/>
        </w:numPr>
        <w:spacing w:before="340" w:after="330" w:line="400" w:lineRule="exact"/>
        <w:ind w:left="0" w:firstLine="0"/>
        <w:jc w:val="center"/>
        <w:outlineLvl w:val="0"/>
        <w:rPr>
          <w:rFonts w:ascii="宋体" w:hAnsi="宋体"/>
          <w:b/>
          <w:bCs/>
          <w:color w:val="000000" w:themeColor="text1"/>
          <w:spacing w:val="-20"/>
          <w:kern w:val="44"/>
          <w:sz w:val="32"/>
          <w:szCs w:val="32"/>
          <w14:textFill>
            <w14:solidFill>
              <w14:schemeClr w14:val="tx1"/>
            </w14:solidFill>
          </w14:textFill>
        </w:rPr>
      </w:pPr>
      <w:bookmarkStart w:id="13" w:name="_Toc76541345"/>
      <w:r>
        <w:rPr>
          <w:rFonts w:hint="eastAsia" w:ascii="宋体" w:hAnsi="宋体"/>
          <w:b/>
          <w:bCs/>
          <w:color w:val="000000" w:themeColor="text1"/>
          <w:spacing w:val="-20"/>
          <w:kern w:val="44"/>
          <w:sz w:val="32"/>
          <w:szCs w:val="32"/>
          <w14:textFill>
            <w14:solidFill>
              <w14:schemeClr w14:val="tx1"/>
            </w14:solidFill>
          </w14:textFill>
        </w:rPr>
        <w:t>投标人须知</w:t>
      </w:r>
      <w:bookmarkEnd w:id="13"/>
    </w:p>
    <w:p>
      <w:pPr>
        <w:keepNext/>
        <w:keepLines/>
        <w:numPr>
          <w:ilvl w:val="1"/>
          <w:numId w:val="1"/>
        </w:numPr>
        <w:spacing w:before="260" w:after="260" w:line="360" w:lineRule="auto"/>
        <w:jc w:val="left"/>
        <w:outlineLvl w:val="1"/>
        <w:rPr>
          <w:rFonts w:ascii="宋体" w:hAnsi="宋体"/>
          <w:b/>
          <w:bCs/>
          <w:color w:val="000000" w:themeColor="text1"/>
          <w:sz w:val="28"/>
          <w:szCs w:val="28"/>
          <w14:textFill>
            <w14:solidFill>
              <w14:schemeClr w14:val="tx1"/>
            </w14:solidFill>
          </w14:textFill>
        </w:rPr>
      </w:pPr>
      <w:bookmarkStart w:id="14" w:name="_Toc316462344"/>
      <w:bookmarkStart w:id="15" w:name="_Toc213397010"/>
      <w:bookmarkStart w:id="16" w:name="_Toc213396946"/>
      <w:bookmarkStart w:id="17" w:name="_Toc213396760"/>
      <w:bookmarkStart w:id="18" w:name="_Toc217446032"/>
      <w:bookmarkStart w:id="19" w:name="_Toc76541346"/>
      <w:bookmarkStart w:id="20" w:name="_Toc189727030"/>
      <w:bookmarkStart w:id="21" w:name="_Toc213496268"/>
      <w:r>
        <w:rPr>
          <w:rFonts w:hint="eastAsia" w:ascii="宋体" w:hAnsi="宋体"/>
          <w:b/>
          <w:bCs/>
          <w:color w:val="000000" w:themeColor="text1"/>
          <w:sz w:val="28"/>
          <w:szCs w:val="28"/>
          <w14:textFill>
            <w14:solidFill>
              <w14:schemeClr w14:val="tx1"/>
            </w14:solidFill>
          </w14:textFill>
        </w:rPr>
        <w:t>投标人须知前附表</w:t>
      </w:r>
      <w:bookmarkEnd w:id="14"/>
      <w:bookmarkEnd w:id="15"/>
      <w:bookmarkEnd w:id="16"/>
      <w:bookmarkEnd w:id="17"/>
      <w:bookmarkEnd w:id="18"/>
      <w:bookmarkEnd w:id="19"/>
      <w:bookmarkEnd w:id="20"/>
      <w:bookmarkEnd w:id="21"/>
    </w:p>
    <w:tbl>
      <w:tblPr>
        <w:tblStyle w:val="43"/>
        <w:tblW w:w="9510"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1716"/>
        <w:gridCol w:w="691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1" w:hRule="exact"/>
          <w:jc w:val="center"/>
        </w:trPr>
        <w:tc>
          <w:tcPr>
            <w:tcW w:w="884" w:type="dxa"/>
            <w:tcBorders>
              <w:top w:val="single" w:color="auto" w:sz="18" w:space="0"/>
              <w:left w:val="single" w:color="auto" w:sz="18" w:space="0"/>
              <w:bottom w:val="single" w:color="auto" w:sz="8" w:space="0"/>
              <w:right w:val="single" w:color="auto" w:sz="8" w:space="0"/>
            </w:tcBorders>
            <w:vAlign w:val="center"/>
          </w:tcPr>
          <w:p>
            <w:pPr>
              <w:snapToGrid w:val="0"/>
              <w:jc w:val="center"/>
              <w:rPr>
                <w:rFonts w:ascii="宋体" w:hAnsi="宋体"/>
                <w:b/>
                <w:color w:val="000000" w:themeColor="text1"/>
                <w14:textFill>
                  <w14:solidFill>
                    <w14:schemeClr w14:val="tx1"/>
                  </w14:solidFill>
                </w14:textFill>
              </w:rPr>
            </w:pPr>
            <w:r>
              <w:rPr>
                <w:rFonts w:hint="eastAsia" w:ascii="宋体" w:hAnsi="宋体"/>
                <w:b/>
                <w:color w:val="000000" w:themeColor="text1"/>
                <w:sz w:val="28"/>
                <w:szCs w:val="28"/>
                <w:lang w:val="zh-CN"/>
                <w14:textFill>
                  <w14:solidFill>
                    <w14:schemeClr w14:val="tx1"/>
                  </w14:solidFill>
                </w14:textFill>
              </w:rPr>
              <w:t>序号</w:t>
            </w:r>
          </w:p>
        </w:tc>
        <w:tc>
          <w:tcPr>
            <w:tcW w:w="1716" w:type="dxa"/>
            <w:tcBorders>
              <w:top w:val="single" w:color="auto" w:sz="18" w:space="0"/>
              <w:left w:val="single" w:color="auto" w:sz="8" w:space="0"/>
              <w:bottom w:val="single" w:color="auto" w:sz="8" w:space="0"/>
              <w:right w:val="single" w:color="auto" w:sz="8" w:space="0"/>
            </w:tcBorders>
            <w:vAlign w:val="center"/>
          </w:tcPr>
          <w:p>
            <w:pPr>
              <w:autoSpaceDE w:val="0"/>
              <w:autoSpaceDN w:val="0"/>
              <w:adjustRightInd w:val="0"/>
              <w:spacing w:line="360" w:lineRule="auto"/>
              <w:ind w:left="38"/>
              <w:jc w:val="center"/>
              <w:rPr>
                <w:rFonts w:ascii="宋体" w:hAnsi="宋体" w:cs="宋体"/>
                <w:b/>
                <w:color w:val="000000" w:themeColor="text1"/>
                <w:lang w:val="zh-CN"/>
                <w14:textFill>
                  <w14:solidFill>
                    <w14:schemeClr w14:val="tx1"/>
                  </w14:solidFill>
                </w14:textFill>
              </w:rPr>
            </w:pPr>
            <w:r>
              <w:rPr>
                <w:rFonts w:hint="eastAsia" w:ascii="宋体" w:hAnsi="宋体" w:cs="宋体"/>
                <w:b/>
                <w:color w:val="000000" w:themeColor="text1"/>
                <w:sz w:val="28"/>
                <w:szCs w:val="28"/>
                <w:lang w:val="zh-CN"/>
                <w14:textFill>
                  <w14:solidFill>
                    <w14:schemeClr w14:val="tx1"/>
                  </w14:solidFill>
                </w14:textFill>
              </w:rPr>
              <w:t>应知事项</w:t>
            </w:r>
          </w:p>
        </w:tc>
        <w:tc>
          <w:tcPr>
            <w:tcW w:w="6910" w:type="dxa"/>
            <w:tcBorders>
              <w:top w:val="single" w:color="auto" w:sz="18" w:space="0"/>
              <w:left w:val="single" w:color="auto" w:sz="8" w:space="0"/>
              <w:bottom w:val="single" w:color="auto" w:sz="8" w:space="0"/>
              <w:right w:val="single" w:color="auto" w:sz="18" w:space="0"/>
            </w:tcBorders>
            <w:vAlign w:val="center"/>
          </w:tcPr>
          <w:p>
            <w:pPr>
              <w:autoSpaceDE w:val="0"/>
              <w:autoSpaceDN w:val="0"/>
              <w:adjustRightInd w:val="0"/>
              <w:spacing w:line="360" w:lineRule="auto"/>
              <w:jc w:val="center"/>
              <w:rPr>
                <w:rFonts w:ascii="宋体" w:hAnsi="宋体" w:cs="宋体"/>
                <w:b/>
                <w:color w:val="000000" w:themeColor="text1"/>
                <w:lang w:val="zh-CN"/>
                <w14:textFill>
                  <w14:solidFill>
                    <w14:schemeClr w14:val="tx1"/>
                  </w14:solidFill>
                </w14:textFill>
              </w:rPr>
            </w:pPr>
            <w:r>
              <w:rPr>
                <w:rFonts w:hint="eastAsia" w:ascii="宋体" w:hAnsi="宋体" w:cs="宋体"/>
                <w:b/>
                <w:color w:val="000000" w:themeColor="text1"/>
                <w:sz w:val="28"/>
                <w:szCs w:val="28"/>
                <w:lang w:val="zh-CN"/>
                <w14:textFill>
                  <w14:solidFill>
                    <w14:schemeClr w14:val="tx1"/>
                  </w14:solidFill>
                </w14:textFill>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91"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ind w:right="210" w:rightChars="1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采购预算</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eastAsia="仿宋_GB2312" w:cs="宋体"/>
                <w:b/>
                <w:color w:val="000000" w:themeColor="text1"/>
                <w:lang w:val="zh-CN"/>
                <w14:textFill>
                  <w14:solidFill>
                    <w14:schemeClr w14:val="tx1"/>
                  </w14:solidFill>
                </w14:textFill>
              </w:rPr>
            </w:pPr>
            <w:r>
              <w:rPr>
                <w:rFonts w:hint="eastAsia" w:ascii="宋体" w:hAnsi="宋体" w:cs="宋体"/>
                <w:b/>
                <w:color w:val="000000" w:themeColor="text1"/>
                <w:lang w:val="zh-CN"/>
                <w14:textFill>
                  <w14:solidFill>
                    <w14:schemeClr w14:val="tx1"/>
                  </w14:solidFill>
                </w14:textFill>
              </w:rPr>
              <w:t>人民币</w:t>
            </w:r>
            <w:r>
              <w:rPr>
                <w:rFonts w:ascii="宋体" w:hAnsi="宋体" w:cs="宋体"/>
                <w:b/>
                <w:color w:val="000000" w:themeColor="text1"/>
                <w14:textFill>
                  <w14:solidFill>
                    <w14:schemeClr w14:val="tx1"/>
                  </w14:solidFill>
                </w14:textFill>
              </w:rPr>
              <w:t>490</w:t>
            </w:r>
            <w:r>
              <w:rPr>
                <w:rFonts w:hint="eastAsia" w:ascii="宋体" w:hAnsi="宋体" w:cs="宋体"/>
                <w:b/>
                <w:color w:val="000000" w:themeColor="text1"/>
                <w:lang w:val="zh-CN"/>
                <w14:textFill>
                  <w14:solidFill>
                    <w14:schemeClr w14:val="tx1"/>
                  </w14:solidFill>
                </w14:textFill>
              </w:rPr>
              <w:t>万元。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8"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最高限价</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cs="宋体"/>
                <w:b/>
                <w:color w:val="000000" w:themeColor="text1"/>
                <w:lang w:val="zh-CN"/>
                <w14:textFill>
                  <w14:solidFill>
                    <w14:schemeClr w14:val="tx1"/>
                  </w14:solidFill>
                </w14:textFill>
              </w:rPr>
            </w:pPr>
            <w:r>
              <w:rPr>
                <w:rFonts w:hint="eastAsia" w:ascii="宋体" w:hAnsi="宋体" w:cs="宋体"/>
                <w:b/>
                <w:color w:val="000000" w:themeColor="text1"/>
                <w:lang w:val="zh-CN"/>
                <w14:textFill>
                  <w14:solidFill>
                    <w14:schemeClr w14:val="tx1"/>
                  </w14:solidFill>
                </w14:textFill>
              </w:rPr>
              <w:t>本项目最高限价为人民币</w:t>
            </w:r>
            <w:r>
              <w:rPr>
                <w:rFonts w:ascii="宋体" w:hAnsi="宋体" w:cs="宋体"/>
                <w:b/>
                <w:color w:val="000000" w:themeColor="text1"/>
                <w14:textFill>
                  <w14:solidFill>
                    <w14:schemeClr w14:val="tx1"/>
                  </w14:solidFill>
                </w14:textFill>
              </w:rPr>
              <w:t>490</w:t>
            </w:r>
            <w:r>
              <w:rPr>
                <w:rFonts w:hint="eastAsia" w:ascii="宋体" w:hAnsi="宋体" w:cs="宋体"/>
                <w:b/>
                <w:color w:val="000000" w:themeColor="text1"/>
                <w:lang w:val="zh-CN"/>
                <w14:textFill>
                  <w14:solidFill>
                    <w14:schemeClr w14:val="tx1"/>
                  </w14:solidFill>
                </w14:textFill>
              </w:rPr>
              <w:t>万元，投标人投标报价高于最高限价的则其投标文件将按无效投标文件处理。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63"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采购方式</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评标方法</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14:textFill>
                  <w14:solidFill>
                    <w14:schemeClr w14:val="tx1"/>
                  </w14:solidFill>
                </w14:textFill>
              </w:rPr>
              <w:t>综合评标法</w:t>
            </w:r>
            <w:r>
              <w:rPr>
                <w:rFonts w:hint="eastAsia" w:ascii="宋体" w:hAnsi="宋体" w:cs="宋体"/>
                <w:color w:val="000000" w:themeColor="text1"/>
                <w:lang w:val="zh-CN"/>
                <w14:textFill>
                  <w14:solidFill>
                    <w14:schemeClr w14:val="tx1"/>
                  </w14:solidFill>
                </w14:textFill>
              </w:rPr>
              <w:t>(详见第6章)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ind w:right="210" w:rightChars="100"/>
              <w:rPr>
                <w:rFonts w:ascii="宋体" w:hAnsi="宋体" w:eastAsia="仿宋_GB2312"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低于成本价不正当竞争预防措施</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cs="宋体"/>
                <w:color w:val="000000" w:themeColor="text1"/>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4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小微企业价格扣除</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1.根据《政府采购促进中小企业发展管理办法》（财库[2020]46号）的规定，对小微企业制造的货物的价格给予10%的价格扣除，用扣除后的价格参加评审。供应商提供的货物既有中小企业制造货物，也有大型企业制造货物的，不享受该办法</w:t>
            </w:r>
            <w:r>
              <w:rPr>
                <w:rFonts w:ascii="宋体" w:hAnsi="宋体" w:cs="宋体"/>
                <w:color w:val="000000" w:themeColor="text1"/>
                <w:lang w:val="zh-CN"/>
                <w14:textFill>
                  <w14:solidFill>
                    <w14:schemeClr w14:val="tx1"/>
                  </w14:solidFill>
                </w14:textFill>
              </w:rPr>
              <w:t>规定的中小企业</w:t>
            </w:r>
            <w:r>
              <w:rPr>
                <w:rFonts w:hint="eastAsia" w:ascii="宋体" w:hAnsi="宋体" w:cs="宋体"/>
                <w:color w:val="000000" w:themeColor="text1"/>
                <w:lang w:val="zh-CN"/>
                <w14:textFill>
                  <w14:solidFill>
                    <w14:schemeClr w14:val="tx1"/>
                  </w14:solidFill>
                </w14:textFill>
              </w:rPr>
              <w:t>扶持</w:t>
            </w:r>
            <w:r>
              <w:rPr>
                <w:rFonts w:ascii="宋体" w:hAnsi="宋体" w:cs="宋体"/>
                <w:color w:val="000000" w:themeColor="text1"/>
                <w:lang w:val="zh-CN"/>
                <w14:textFill>
                  <w14:solidFill>
                    <w14:schemeClr w14:val="tx1"/>
                  </w14:solidFill>
                </w14:textFill>
              </w:rPr>
              <w:t>政策</w:t>
            </w:r>
            <w:r>
              <w:rPr>
                <w:rFonts w:hint="eastAsia" w:ascii="宋体" w:hAnsi="宋体" w:cs="宋体"/>
                <w:color w:val="000000" w:themeColor="text1"/>
                <w:lang w:val="zh-CN"/>
                <w14:textFill>
                  <w14:solidFill>
                    <w14:schemeClr w14:val="tx1"/>
                  </w14:solidFill>
                </w14:textFill>
              </w:rPr>
              <w:t>。</w:t>
            </w:r>
          </w:p>
          <w:p>
            <w:pPr>
              <w:spacing w:line="360" w:lineRule="auto"/>
              <w:rPr>
                <w:rFonts w:ascii="宋体" w:hAnsi="宋体"/>
                <w:b/>
                <w:color w:val="000000" w:themeColor="text1"/>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2.投标人应提供《中小企业声明函》。</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4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监狱企业价格扣除</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1.根据《关于政府采购支持监狱企业发展有关问题的通知》（财库[2014]68号）的规定，</w:t>
            </w:r>
            <w:r>
              <w:rPr>
                <w:rFonts w:hint="eastAsia" w:ascii="宋体" w:hAnsi="宋体"/>
                <w:color w:val="000000" w:themeColor="text1"/>
                <w14:textFill>
                  <w14:solidFill>
                    <w14:schemeClr w14:val="tx1"/>
                  </w14:solidFill>
                </w14:textFill>
              </w:rPr>
              <w:t>监狱企业视同小型、微型企业，</w:t>
            </w:r>
            <w:r>
              <w:rPr>
                <w:rFonts w:hint="eastAsia" w:ascii="宋体" w:hAnsi="宋体" w:cs="宋体"/>
                <w:color w:val="000000" w:themeColor="text1"/>
                <w:lang w:val="zh-CN"/>
                <w14:textFill>
                  <w14:solidFill>
                    <w14:schemeClr w14:val="tx1"/>
                  </w14:solidFill>
                </w14:textFill>
              </w:rPr>
              <w:t>对监狱企业制造的货物给予10%的价格扣除，用扣除后的价格参与评标。</w:t>
            </w:r>
          </w:p>
          <w:p>
            <w:pPr>
              <w:spacing w:line="360" w:lineRule="auto"/>
              <w:rPr>
                <w:rFonts w:ascii="宋体" w:hAnsi="宋体"/>
                <w:b/>
                <w:color w:val="000000" w:themeColor="text1"/>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2.投标产品中为监狱企业制造的货物应提供由省级以上监狱管理局、戒毒管理局（含新疆生产建设兵团）出具的制造商属于监狱企业的证明文件复印件。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4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残疾人福利性单位价格扣除</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1.根据《三部门联合发布关于促进残疾人就业政府采购政策的通知》（财库[2017]141号）的规定，残疾人福利性单位视同小型、微型企业，对残疾人福利性单位制造的货物给予10%的价格扣除，用扣除后的价格参与评标。</w:t>
            </w:r>
          </w:p>
          <w:p>
            <w:pPr>
              <w:spacing w:line="360" w:lineRule="auto"/>
              <w:rPr>
                <w:rFonts w:ascii="宋体" w:hAnsi="宋体"/>
                <w:b/>
                <w:color w:val="000000" w:themeColor="text1"/>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2.投标人应提供《残疾人福利性单位声明函》。</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4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投标保证金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履约保证金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详见投标人须知2.6.4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投标有效期</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提交投标文件的截止之日起</w:t>
            </w:r>
            <w:r>
              <w:rPr>
                <w:rFonts w:hint="eastAsia" w:ascii="宋体" w:hAnsi="宋体" w:cs="宋体"/>
                <w:color w:val="000000" w:themeColor="text1"/>
                <w:u w:val="single"/>
                <w:lang w:val="zh-CN"/>
                <w14:textFill>
                  <w14:solidFill>
                    <w14:schemeClr w14:val="tx1"/>
                  </w14:solidFill>
                </w14:textFill>
              </w:rPr>
              <w:t>120</w:t>
            </w:r>
            <w:r>
              <w:rPr>
                <w:rFonts w:hint="eastAsia" w:ascii="宋体" w:hAnsi="宋体" w:cs="宋体"/>
                <w:color w:val="000000" w:themeColor="text1"/>
                <w:lang w:val="zh-CN"/>
                <w14:textFill>
                  <w14:solidFill>
                    <w14:schemeClr w14:val="tx1"/>
                  </w14:solidFill>
                </w14:textFill>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投标文件的制作和签章、加密</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详见投标人须知2.4.11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投标文件的递交</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详见投标人须知2.4.12</w:t>
            </w:r>
          </w:p>
          <w:p>
            <w:pPr>
              <w:tabs>
                <w:tab w:val="left" w:pos="7665"/>
              </w:tabs>
              <w:snapToGrid w:val="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注：投标人使用</w:t>
            </w:r>
            <w:r>
              <w:rPr>
                <w:rFonts w:ascii="宋体" w:hAnsi="宋体"/>
                <w:color w:val="000000" w:themeColor="text1"/>
                <w14:textFill>
                  <w14:solidFill>
                    <w14:schemeClr w14:val="tx1"/>
                  </w14:solidFill>
                </w14:textFill>
              </w:rPr>
              <w:t>CA证书在</w:t>
            </w:r>
            <w:r>
              <w:rPr>
                <w:rFonts w:hint="eastAsia" w:ascii="宋体" w:hAnsi="宋体"/>
                <w:color w:val="000000" w:themeColor="text1"/>
                <w14:textFill>
                  <w14:solidFill>
                    <w14:schemeClr w14:val="tx1"/>
                  </w14:solidFill>
                </w14:textFill>
              </w:rPr>
              <w:t>投标截止时间前，将投标文件上传至政府</w:t>
            </w:r>
            <w:r>
              <w:rPr>
                <w:rFonts w:ascii="宋体" w:hAnsi="宋体"/>
                <w:color w:val="000000" w:themeColor="text1"/>
                <w14:textFill>
                  <w14:solidFill>
                    <w14:schemeClr w14:val="tx1"/>
                  </w14:solidFill>
                </w14:textFill>
              </w:rPr>
              <w:t>采购</w:t>
            </w:r>
            <w:r>
              <w:rPr>
                <w:rFonts w:hint="eastAsia" w:ascii="宋体" w:hAnsi="宋体"/>
                <w:color w:val="000000" w:themeColor="text1"/>
                <w14:textFill>
                  <w14:solidFill>
                    <w14:schemeClr w14:val="tx1"/>
                  </w14:solidFill>
                </w14:textFill>
              </w:rPr>
              <w:t>云平台，上传前须对投标文件是否有电子签章等进行核对。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投标文件的补充、修改</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详见投标人须知2.4.13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投标文件的撤回</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详见投标人须知2.4.14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000000" w:themeColor="text1"/>
                <w14:textFill>
                  <w14:solidFill>
                    <w14:schemeClr w14:val="tx1"/>
                  </w14:solidFill>
                </w14:textFill>
              </w:rPr>
            </w:pPr>
            <w:r>
              <w:rPr>
                <w:rFonts w:hint="eastAsia"/>
                <w:b/>
                <w:color w:val="000000" w:themeColor="text1"/>
                <w14:textFill>
                  <w14:solidFill>
                    <w14:schemeClr w14:val="tx1"/>
                  </w14:solidFill>
                </w14:textFill>
              </w:rPr>
              <w:t>开标及开标程序</w:t>
            </w:r>
          </w:p>
        </w:tc>
        <w:tc>
          <w:tcPr>
            <w:tcW w:w="6910"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详见投标人须知2.5.1。</w:t>
            </w:r>
          </w:p>
          <w:p>
            <w:pPr>
              <w:snapToGrid w:val="0"/>
              <w:spacing w:line="360" w:lineRule="auto"/>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投标文件解密：开启解密后，投标人应在系统提示的解密开始时间后</w:t>
            </w:r>
            <w:r>
              <w:rPr>
                <w:rFonts w:ascii="宋体" w:hAnsi="宋体"/>
                <w:b/>
                <w:color w:val="000000" w:themeColor="text1"/>
                <w14:textFill>
                  <w14:solidFill>
                    <w14:schemeClr w14:val="tx1"/>
                  </w14:solidFill>
                </w14:textFill>
              </w:rPr>
              <w:t>60</w:t>
            </w:r>
            <w:r>
              <w:rPr>
                <w:rFonts w:hint="eastAsia" w:ascii="宋体" w:hAnsi="宋体"/>
                <w:b/>
                <w:color w:val="000000" w:themeColor="text1"/>
                <w14:textFill>
                  <w14:solidFill>
                    <w14:schemeClr w14:val="tx1"/>
                  </w14:solidFill>
                </w14:textFill>
              </w:rPr>
              <w:t>分钟内，使用对投标文件进行加密的CA证书在线完成对投标人递交至政府采购云平台的投标文件的解密。</w:t>
            </w:r>
          </w:p>
          <w:p>
            <w:pPr>
              <w:snapToGrid w:val="0"/>
              <w:spacing w:line="360" w:lineRule="auto"/>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投标人电脑终端等硬件设备和软件系统配置：投标人电脑终端等硬件设备和软件系统配置应符合开标大厅投标人电脑终端配置要求并运行正常，投标人承担因未尽职责产生的不利后果。</w:t>
            </w:r>
          </w:p>
          <w:p>
            <w:pPr>
              <w:tabs>
                <w:tab w:val="left" w:pos="7665"/>
              </w:tabs>
              <w:snapToGrid w:val="0"/>
              <w:jc w:val="left"/>
              <w:rPr>
                <w:rFonts w:ascii="宋体" w:hAnsi="宋体"/>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开标、投标文件的解密详见《成都市全流程电子化采购系统操作指南——供应商版》。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对招标文件中供应商参加本次政府采购活动应当具备的条件,招标项目技术、服务、商务及其他要求,评标细则及标准,以及关于资格审查的询问、质疑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向采购人提出，并由采购人按相关规定作出答复（详见投标人须知2.8）。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993"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对招标文件中的其他内容、采购过程及中标结果（除资格审查）的询问、质疑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向区采购服务中心提出，并由成都市青羊区政府采购服务中心按相关规定作出答复（详见投标人须知2.8）。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64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10" w:rightChars="1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投标人投诉</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left="183" w:right="210" w:rightChars="100" w:hanging="182" w:hangingChars="87"/>
              <w:rPr>
                <w:rFonts w:ascii="宋体" w:hAnsi="宋体" w:eastAsia="仿宋_GB2312"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投诉受理单位：本项目同级财政部门，即成都市青羊区财政局。</w:t>
            </w:r>
          </w:p>
          <w:p>
            <w:pPr>
              <w:tabs>
                <w:tab w:val="left" w:pos="7665"/>
              </w:tabs>
              <w:snapToGrid w:val="0"/>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联系电话：028-86699817。</w:t>
            </w:r>
          </w:p>
          <w:p>
            <w:pPr>
              <w:tabs>
                <w:tab w:val="left" w:pos="7665"/>
              </w:tabs>
              <w:snapToGrid w:val="0"/>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地址：成都市青羊区西华门1</w:t>
            </w:r>
            <w:r>
              <w:rPr>
                <w:rFonts w:ascii="宋体" w:hAnsi="宋体"/>
                <w:color w:val="000000" w:themeColor="text1"/>
                <w14:textFill>
                  <w14:solidFill>
                    <w14:schemeClr w14:val="tx1"/>
                  </w14:solidFill>
                </w14:textFill>
              </w:rPr>
              <w:t>9</w:t>
            </w:r>
            <w:r>
              <w:rPr>
                <w:rFonts w:hint="eastAsia" w:ascii="宋体" w:hAnsi="宋体"/>
                <w:color w:val="000000" w:themeColor="text1"/>
                <w14:textFill>
                  <w14:solidFill>
                    <w14:schemeClr w14:val="tx1"/>
                  </w14:solidFill>
                </w14:textFill>
              </w:rPr>
              <w:t>号1号楼4楼</w:t>
            </w:r>
          </w:p>
          <w:p>
            <w:pPr>
              <w:tabs>
                <w:tab w:val="left" w:pos="7665"/>
              </w:tabs>
              <w:snapToGrid w:val="0"/>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邮编：6100</w:t>
            </w:r>
            <w:r>
              <w:rPr>
                <w:rFonts w:ascii="宋体" w:hAnsi="宋体"/>
                <w:color w:val="000000" w:themeColor="text1"/>
                <w14:textFill>
                  <w14:solidFill>
                    <w14:schemeClr w14:val="tx1"/>
                  </w14:solidFill>
                </w14:textFill>
              </w:rPr>
              <w:t>00</w:t>
            </w:r>
            <w:r>
              <w:rPr>
                <w:rFonts w:hint="eastAsia" w:ascii="宋体" w:hAnsi="宋体"/>
                <w:color w:val="000000" w:themeColor="text1"/>
                <w14:textFill>
                  <w14:solidFill>
                    <w14:schemeClr w14:val="tx1"/>
                  </w14:solidFill>
                </w14:textFill>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33"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评标情况公告</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所有</w:t>
            </w:r>
            <w:r>
              <w:rPr>
                <w:rFonts w:hint="eastAsia" w:ascii="宋体" w:hAnsi="宋体"/>
                <w:color w:val="000000" w:themeColor="text1"/>
                <w14:textFill>
                  <w14:solidFill>
                    <w14:schemeClr w14:val="tx1"/>
                  </w14:solidFill>
                </w14:textFill>
              </w:rPr>
              <w:t>投标人</w:t>
            </w:r>
            <w:r>
              <w:rPr>
                <w:rFonts w:hint="eastAsia" w:ascii="宋体" w:hAnsi="宋体" w:cs="宋体"/>
                <w:color w:val="000000" w:themeColor="text1"/>
                <w:lang w:val="zh-CN"/>
                <w14:textFill>
                  <w14:solidFill>
                    <w14:schemeClr w14:val="tx1"/>
                  </w14:solidFill>
                </w14:textFill>
              </w:rPr>
              <w:t>投标文件资格性、符合性检查情况、采用综合评分法时的得分情况、评标结果等将在成都市青羊区政府采购服务中心网、四川政府采购网上采购结果公告栏中予以公告。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90"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olor w:val="000000" w:themeColor="text1"/>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中标通知书</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000000" w:themeColor="text1"/>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中标公告在四川政府采购网上公告后，中标供应商自行登录政府</w:t>
            </w:r>
            <w:r>
              <w:rPr>
                <w:rFonts w:ascii="宋体" w:hAnsi="宋体" w:cs="宋体"/>
                <w:color w:val="000000" w:themeColor="text1"/>
                <w:lang w:val="zh-CN"/>
                <w14:textFill>
                  <w14:solidFill>
                    <w14:schemeClr w14:val="tx1"/>
                  </w14:solidFill>
                </w14:textFill>
              </w:rPr>
              <w:t>采购</w:t>
            </w:r>
            <w:r>
              <w:rPr>
                <w:rFonts w:hint="eastAsia" w:ascii="宋体" w:hAnsi="宋体" w:cs="宋体"/>
                <w:color w:val="000000" w:themeColor="text1"/>
                <w:lang w:val="zh-CN"/>
                <w14:textFill>
                  <w14:solidFill>
                    <w14:schemeClr w14:val="tx1"/>
                  </w14:solidFill>
                </w14:textFill>
              </w:rPr>
              <w:t>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06"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合同签订地点</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四川省成都市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359"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color w:val="000000" w:themeColor="text1"/>
                <w14:textFill>
                  <w14:solidFill>
                    <w14:schemeClr w14:val="tx1"/>
                  </w14:solidFill>
                </w14:textFill>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10" w:rightChars="1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政府采购合同公告、备案</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4" w:leftChars="-2" w:right="210" w:firstLine="12" w:firstLineChars="6"/>
              <w:rPr>
                <w:rFonts w:ascii="宋体" w:hAns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政府采购合同签订之日起2个工作日内，采购人将在四川政府采购网公告政府采购合同；疫情防控期间，采购人原则上在5个工作日内与供应商签订政府采购合同及向本采购项目同级财政部门，即成都市青羊区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27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color w:val="000000" w:themeColor="text1"/>
                <w14:textFill>
                  <w14:solidFill>
                    <w14:schemeClr w14:val="tx1"/>
                  </w14:solidFill>
                </w14:textFill>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b/>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中小企业政府采购信用融资（“蓉采贷”）</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w:t>
            </w:r>
            <w:r>
              <w:rPr>
                <w:rFonts w:hint="eastAsia" w:ascii="宋体" w:hAnsi="宋体"/>
                <w:color w:val="000000" w:themeColor="text1"/>
                <w:sz w:val="24"/>
                <w14:textFill>
                  <w14:solidFill>
                    <w14:schemeClr w14:val="tx1"/>
                  </w14:solidFill>
                </w14:textFill>
              </w:rPr>
              <w:t>工作的通知》</w:t>
            </w:r>
            <w:r>
              <w:rPr>
                <w:rFonts w:hint="eastAsia" w:ascii="宋体" w:hAnsi="宋体"/>
                <w:color w:val="000000" w:themeColor="text1"/>
                <w14:textFill>
                  <w14:solidFill>
                    <w14:schemeClr w14:val="tx1"/>
                  </w14:solidFill>
                </w14:textFill>
              </w:rPr>
              <w:t>（成财采〔2020〕20号）</w:t>
            </w:r>
            <w:r>
              <w:rPr>
                <w:rFonts w:hint="eastAsia" w:ascii="宋体" w:hAnsi="宋体"/>
                <w:color w:val="000000" w:themeColor="text1"/>
                <w:sz w:val="24"/>
                <w14:textFill>
                  <w14:solidFill>
                    <w14:schemeClr w14:val="tx1"/>
                  </w14:solidFill>
                </w14:textFill>
              </w:rPr>
              <w:t>见附件</w:t>
            </w:r>
            <w:r>
              <w:rPr>
                <w:rFonts w:hint="eastAsia" w:ascii="宋体" w:hAnsi="宋体"/>
                <w:color w:val="000000" w:themeColor="text1"/>
                <w14:textFill>
                  <w14:solidFill>
                    <w14:schemeClr w14:val="tx1"/>
                  </w14:solidFill>
                </w14:textFill>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8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color w:val="000000" w:themeColor="text1"/>
                <w14:textFill>
                  <w14:solidFill>
                    <w14:schemeClr w14:val="tx1"/>
                  </w14:solidFill>
                </w14:textFill>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进口产品</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招标文件中未载明“允许采购进口产品”的产品，拒绝进口产品的投标。招标文件中载明“允许采购进口产品”的产品，允许国产产品参与投标竞争。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color w:val="000000" w:themeColor="text1"/>
                <w14:textFill>
                  <w14:solidFill>
                    <w14:schemeClr w14:val="tx1"/>
                  </w14:solidFill>
                </w14:textFill>
              </w:rPr>
            </w:pPr>
          </w:p>
        </w:tc>
        <w:tc>
          <w:tcPr>
            <w:tcW w:w="8626"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firstLine="42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采购人可以要求参加政府采购的供应商提供有关资质证明文件和业绩情况，并根据《中华人民共和国政府采购法》规定的供应商，条件和采购项目对供应商的特定要求，对供应商的资格进行审查。</w:t>
            </w:r>
          </w:p>
        </w:tc>
      </w:tr>
    </w:tbl>
    <w:p>
      <w:pPr>
        <w:keepNext/>
        <w:keepLines/>
        <w:numPr>
          <w:ilvl w:val="1"/>
          <w:numId w:val="1"/>
        </w:numPr>
        <w:spacing w:before="260" w:after="260" w:line="360" w:lineRule="auto"/>
        <w:jc w:val="left"/>
        <w:outlineLvl w:val="1"/>
        <w:rPr>
          <w:rFonts w:ascii="宋体" w:hAnsi="宋体"/>
          <w:b/>
          <w:bCs/>
          <w:color w:val="000000" w:themeColor="text1"/>
          <w:sz w:val="28"/>
          <w:szCs w:val="28"/>
          <w14:textFill>
            <w14:solidFill>
              <w14:schemeClr w14:val="tx1"/>
            </w14:solidFill>
          </w14:textFill>
        </w:rPr>
      </w:pPr>
      <w:bookmarkStart w:id="22" w:name="_Toc76541347"/>
      <w:r>
        <w:rPr>
          <w:rFonts w:hint="eastAsia" w:ascii="宋体" w:hAnsi="宋体"/>
          <w:b/>
          <w:bCs/>
          <w:color w:val="000000" w:themeColor="text1"/>
          <w:sz w:val="28"/>
          <w:szCs w:val="28"/>
          <w14:textFill>
            <w14:solidFill>
              <w14:schemeClr w14:val="tx1"/>
            </w14:solidFill>
          </w14:textFill>
        </w:rPr>
        <w:t>总则</w:t>
      </w:r>
      <w:bookmarkEnd w:id="22"/>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适用范围</w:t>
      </w:r>
    </w:p>
    <w:p>
      <w:pPr>
        <w:numPr>
          <w:ilvl w:val="0"/>
          <w:numId w:val="9"/>
        </w:numPr>
        <w:tabs>
          <w:tab w:val="left" w:pos="1134"/>
        </w:tabs>
        <w:spacing w:line="360" w:lineRule="auto"/>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本招标文件仅适用于本次公开招标采购项目。</w:t>
      </w:r>
    </w:p>
    <w:p>
      <w:pPr>
        <w:numPr>
          <w:ilvl w:val="0"/>
          <w:numId w:val="9"/>
        </w:numPr>
        <w:tabs>
          <w:tab w:val="left" w:pos="1134"/>
        </w:tabs>
        <w:spacing w:line="360" w:lineRule="auto"/>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招标文件的最终解释权由采购人或成都市成都市青羊区政府采购服务中心享有。对招标文件中供应商参加本次政府采购活动应当具备的条件，招标项目技术、服务、商务及其他要求，评标细则及标准由采购人负责解释。除上述招标文件内容，其他内容由成都市青羊区政府采购服务中心负责解释。</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有关定义</w:t>
      </w:r>
    </w:p>
    <w:p>
      <w:pPr>
        <w:numPr>
          <w:ilvl w:val="0"/>
          <w:numId w:val="10"/>
        </w:numPr>
        <w:tabs>
          <w:tab w:val="left" w:pos="1134"/>
        </w:tabs>
        <w:spacing w:line="360" w:lineRule="auto"/>
        <w:ind w:left="0" w:firstLine="568"/>
        <w:rPr>
          <w:rFonts w:asciiTheme="minorEastAsia" w:hAnsiTheme="minorEastAsia" w:eastAsiaTheme="minorEastAsia"/>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“采购人”和“甲方”系指依法进行政府采购的成都市青羊区机关、事业单位、团体组织。本次招标的采购人是</w:t>
      </w:r>
      <w:r>
        <w:rPr>
          <w:rFonts w:hint="eastAsia" w:asciiTheme="minorEastAsia" w:hAnsiTheme="minorEastAsia" w:eastAsiaTheme="minorEastAsia"/>
          <w:color w:val="000000" w:themeColor="text1"/>
          <w:sz w:val="28"/>
          <w:szCs w:val="28"/>
          <w14:textFill>
            <w14:solidFill>
              <w14:schemeClr w14:val="tx1"/>
            </w14:solidFill>
          </w14:textFill>
        </w:rPr>
        <w:t>成都市青羊区教育技术装备与信息管理中心。</w:t>
      </w:r>
    </w:p>
    <w:p>
      <w:pPr>
        <w:numPr>
          <w:ilvl w:val="0"/>
          <w:numId w:val="10"/>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“投标人”系指在系统中成功提交《采购文件获取登记表》拟参加投标和向采购人提供货物及服务的供应商。</w:t>
      </w:r>
    </w:p>
    <w:p>
      <w:pPr>
        <w:numPr>
          <w:ilvl w:val="0"/>
          <w:numId w:val="10"/>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本招标文件各部分规定的期间以时、日、月、年计算。期间开始的时和日，不计算在期间内，而从次日开始计算。期间届满的最后一天是节假日的，以节假日后的第一日为期间届满的日期。</w:t>
      </w:r>
    </w:p>
    <w:p>
      <w:pPr>
        <w:numPr>
          <w:ilvl w:val="0"/>
          <w:numId w:val="10"/>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本招标文件各部分规定的“以上”、“以下”、“内”、“以内”，包括本数；所称的“不足”，不包括本数。</w:t>
      </w:r>
    </w:p>
    <w:p>
      <w:pPr>
        <w:numPr>
          <w:ilvl w:val="0"/>
          <w:numId w:val="10"/>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重大违法记录是指供应商因违法经营受到刑事处罚或者责令停产停业、吊销许可证或者执照、较大数额罚款等行政处罚。</w:t>
      </w:r>
    </w:p>
    <w:p>
      <w:pPr>
        <w:numPr>
          <w:ilvl w:val="0"/>
          <w:numId w:val="10"/>
        </w:numPr>
        <w:tabs>
          <w:tab w:val="left" w:pos="1134"/>
        </w:tabs>
        <w:spacing w:line="360" w:lineRule="auto"/>
        <w:ind w:left="0"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不见面开标是指，成都市成都市青羊区政府采购服务中心依托政府采购云平台组织开标活动，供应商在线参与开标的一种组织形式。</w:t>
      </w:r>
    </w:p>
    <w:p>
      <w:pPr>
        <w:keepNext/>
        <w:keepLines/>
        <w:numPr>
          <w:ilvl w:val="2"/>
          <w:numId w:val="1"/>
        </w:numPr>
        <w:spacing w:line="360" w:lineRule="auto"/>
        <w:ind w:left="3119" w:hanging="3119"/>
        <w:outlineLvl w:val="2"/>
        <w:rPr>
          <w:rFonts w:ascii="宋体" w:hAnsi="宋体"/>
          <w:b/>
          <w:bCs/>
          <w:color w:val="000000" w:themeColor="text1"/>
          <w:sz w:val="28"/>
          <w:szCs w:val="28"/>
          <w14:textFill>
            <w14:solidFill>
              <w14:schemeClr w14:val="tx1"/>
            </w14:solidFill>
          </w14:textFill>
        </w:rPr>
      </w:pPr>
      <w:bookmarkStart w:id="23" w:name="_Toc183682344"/>
      <w:bookmarkStart w:id="24" w:name="_Toc217390843"/>
      <w:bookmarkStart w:id="25" w:name="_Toc217446036"/>
      <w:bookmarkStart w:id="26" w:name="_Toc183582207"/>
      <w:r>
        <w:rPr>
          <w:rFonts w:hint="eastAsia" w:ascii="宋体" w:hAnsi="宋体"/>
          <w:b/>
          <w:bCs/>
          <w:color w:val="000000" w:themeColor="text1"/>
          <w:sz w:val="28"/>
          <w:szCs w:val="28"/>
          <w14:textFill>
            <w14:solidFill>
              <w14:schemeClr w14:val="tx1"/>
            </w14:solidFill>
          </w14:textFill>
        </w:rPr>
        <w:t>合格的投标人</w:t>
      </w:r>
      <w:bookmarkEnd w:id="23"/>
      <w:bookmarkEnd w:id="24"/>
      <w:bookmarkEnd w:id="25"/>
      <w:bookmarkEnd w:id="26"/>
    </w:p>
    <w:p>
      <w:pPr>
        <w:tabs>
          <w:tab w:val="left" w:pos="7665"/>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合格的投标人应具备以下条件：</w:t>
      </w:r>
    </w:p>
    <w:p>
      <w:pPr>
        <w:numPr>
          <w:ilvl w:val="0"/>
          <w:numId w:val="11"/>
        </w:numPr>
        <w:tabs>
          <w:tab w:val="left" w:pos="1134"/>
        </w:tabs>
        <w:spacing w:line="360" w:lineRule="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本招标文件“投标邀请”第五条规定的条件；</w:t>
      </w:r>
    </w:p>
    <w:p>
      <w:pPr>
        <w:numPr>
          <w:ilvl w:val="0"/>
          <w:numId w:val="11"/>
        </w:numPr>
        <w:tabs>
          <w:tab w:val="left" w:pos="1134"/>
        </w:tabs>
        <w:spacing w:line="360" w:lineRule="auto"/>
        <w:ind w:left="0" w:firstLine="568"/>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按照招标文件“投标邀请”中第六、七、八条规定获取了招标文件。</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投标费用</w:t>
      </w:r>
    </w:p>
    <w:p>
      <w:pPr>
        <w:spacing w:line="360" w:lineRule="auto"/>
        <w:ind w:firstLine="660" w:firstLineChars="236"/>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投标人应自行承担参加投标的全部费用。</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充分、公平竞争保障措施</w:t>
      </w:r>
    </w:p>
    <w:p>
      <w:pPr>
        <w:numPr>
          <w:ilvl w:val="0"/>
          <w:numId w:val="12"/>
        </w:numPr>
        <w:tabs>
          <w:tab w:val="left" w:pos="1134"/>
        </w:tabs>
        <w:adjustRightInd w:val="0"/>
        <w:spacing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单位负责人为同一人或者存在直接控股、管理关系的不同供应商，不得参加同一项目的投标。</w:t>
      </w:r>
    </w:p>
    <w:p>
      <w:pPr>
        <w:numPr>
          <w:ilvl w:val="0"/>
          <w:numId w:val="12"/>
        </w:numPr>
        <w:tabs>
          <w:tab w:val="left" w:pos="1134"/>
        </w:tabs>
        <w:adjustRightInd w:val="0"/>
        <w:spacing w:line="56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为采购项目提供整体设计、规范编制或者项目管理、监理、检测等服务的供应商，不得再参加该采购项目的其他采购活动。供应商为采购人、</w:t>
      </w:r>
      <w:r>
        <w:rPr>
          <w:rFonts w:hint="eastAsia" w:ascii="宋体" w:cs="Arial"/>
          <w:color w:val="000000" w:themeColor="text1"/>
          <w:sz w:val="28"/>
          <w:szCs w:val="28"/>
          <w14:textFill>
            <w14:solidFill>
              <w14:schemeClr w14:val="tx1"/>
            </w14:solidFill>
          </w14:textFill>
        </w:rPr>
        <w:t>采购代理机构</w:t>
      </w:r>
      <w:r>
        <w:rPr>
          <w:rFonts w:hint="eastAsia" w:ascii="宋体" w:hAnsi="宋体"/>
          <w:color w:val="000000" w:themeColor="text1"/>
          <w:sz w:val="28"/>
          <w:szCs w:val="28"/>
          <w14:textFill>
            <w14:solidFill>
              <w14:schemeClr w14:val="tx1"/>
            </w14:solidFill>
          </w14:textFill>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ascii="宋体" w:hAnsi="宋体"/>
          <w:b/>
          <w:color w:val="000000" w:themeColor="text1"/>
          <w:sz w:val="28"/>
          <w:szCs w:val="28"/>
          <w14:textFill>
            <w14:solidFill>
              <w14:schemeClr w14:val="tx1"/>
            </w14:solidFill>
          </w14:textFill>
        </w:rPr>
        <w:t>（说明：成都凯莱斯科技有限公司为本项目提供部分设计服务。</w:t>
      </w:r>
    </w:p>
    <w:p>
      <w:pPr>
        <w:numPr>
          <w:ilvl w:val="0"/>
          <w:numId w:val="12"/>
        </w:numPr>
        <w:tabs>
          <w:tab w:val="left" w:pos="1134"/>
        </w:tabs>
        <w:adjustRightInd w:val="0"/>
        <w:spacing w:line="560" w:lineRule="exact"/>
        <w:ind w:left="0" w:firstLine="567"/>
        <w:rPr>
          <w:rFonts w:ascii="宋体" w:hAnsi="宋体"/>
          <w:b/>
          <w:color w:val="000000" w:themeColor="text1"/>
          <w:sz w:val="28"/>
          <w:szCs w:val="28"/>
          <w:highlight w:val="yellow"/>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本项目核心产品为</w:t>
      </w:r>
      <w:r>
        <w:rPr>
          <w:rFonts w:hint="eastAsia" w:ascii="宋体" w:hAnsi="宋体"/>
          <w:b/>
          <w:color w:val="000000" w:themeColor="text1"/>
          <w:sz w:val="28"/>
          <w:szCs w:val="28"/>
          <w14:textFill>
            <w14:solidFill>
              <w14:schemeClr w14:val="tx1"/>
            </w14:solidFill>
          </w14:textFill>
        </w:rPr>
        <w:t>超短焦激光一体机、融合支持平台</w:t>
      </w:r>
      <w:r>
        <w:rPr>
          <w:rFonts w:hint="eastAsia" w:ascii="宋体" w:hAnsi="宋体"/>
          <w:color w:val="000000" w:themeColor="text1"/>
          <w:sz w:val="28"/>
          <w:szCs w:val="28"/>
          <w14:textFill>
            <w14:solidFill>
              <w14:schemeClr w14:val="tx1"/>
            </w14:solidFill>
          </w14:textFill>
        </w:rPr>
        <w:t>。提供核心产品品牌相同且通过资格检查和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pPr>
        <w:keepNext/>
        <w:keepLines/>
        <w:numPr>
          <w:ilvl w:val="1"/>
          <w:numId w:val="1"/>
        </w:numPr>
        <w:spacing w:line="360" w:lineRule="auto"/>
        <w:jc w:val="left"/>
        <w:outlineLvl w:val="1"/>
        <w:rPr>
          <w:rFonts w:ascii="宋体" w:hAnsi="宋体"/>
          <w:b/>
          <w:bCs/>
          <w:color w:val="000000" w:themeColor="text1"/>
          <w:sz w:val="28"/>
          <w:szCs w:val="28"/>
          <w14:textFill>
            <w14:solidFill>
              <w14:schemeClr w14:val="tx1"/>
            </w14:solidFill>
          </w14:textFill>
        </w:rPr>
      </w:pPr>
      <w:bookmarkStart w:id="27" w:name="_Toc183582210"/>
      <w:bookmarkStart w:id="28" w:name="_Toc183682347"/>
      <w:bookmarkStart w:id="29" w:name="_Toc217446039"/>
      <w:bookmarkStart w:id="30" w:name="_Toc76541348"/>
      <w:r>
        <w:rPr>
          <w:rFonts w:hint="eastAsia" w:ascii="宋体" w:hAnsi="宋体"/>
          <w:b/>
          <w:bCs/>
          <w:color w:val="000000" w:themeColor="text1"/>
          <w:sz w:val="28"/>
          <w:szCs w:val="28"/>
          <w14:textFill>
            <w14:solidFill>
              <w14:schemeClr w14:val="tx1"/>
            </w14:solidFill>
          </w14:textFill>
        </w:rPr>
        <w:t>招标文件</w:t>
      </w:r>
      <w:bookmarkEnd w:id="27"/>
      <w:bookmarkEnd w:id="28"/>
      <w:bookmarkEnd w:id="29"/>
      <w:bookmarkEnd w:id="30"/>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招标文件的构成</w:t>
      </w:r>
    </w:p>
    <w:p>
      <w:pPr>
        <w:numPr>
          <w:ilvl w:val="0"/>
          <w:numId w:val="13"/>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pPr>
        <w:numPr>
          <w:ilvl w:val="1"/>
          <w:numId w:val="14"/>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投标邀请；</w:t>
      </w:r>
    </w:p>
    <w:p>
      <w:pPr>
        <w:numPr>
          <w:ilvl w:val="1"/>
          <w:numId w:val="14"/>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投标人须知；</w:t>
      </w:r>
    </w:p>
    <w:p>
      <w:pPr>
        <w:numPr>
          <w:ilvl w:val="1"/>
          <w:numId w:val="14"/>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投标文件格式；</w:t>
      </w:r>
    </w:p>
    <w:p>
      <w:pPr>
        <w:numPr>
          <w:ilvl w:val="1"/>
          <w:numId w:val="14"/>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招标项目技术、服务、商务及其他要求；</w:t>
      </w:r>
    </w:p>
    <w:p>
      <w:pPr>
        <w:numPr>
          <w:ilvl w:val="1"/>
          <w:numId w:val="14"/>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资格性审查；</w:t>
      </w:r>
    </w:p>
    <w:p>
      <w:pPr>
        <w:numPr>
          <w:ilvl w:val="1"/>
          <w:numId w:val="14"/>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评标办法；</w:t>
      </w:r>
    </w:p>
    <w:p>
      <w:pPr>
        <w:numPr>
          <w:ilvl w:val="1"/>
          <w:numId w:val="14"/>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拟签订合同文本。</w:t>
      </w:r>
    </w:p>
    <w:p>
      <w:pPr>
        <w:numPr>
          <w:ilvl w:val="0"/>
          <w:numId w:val="13"/>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投标人应认真阅读和充分理解招标文件中所有的事项、格式条款和规范要求。投标人没有对招标文件全面做出实质性响应所产生的风险由投标人承担。</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31" w:name="_Toc183582211"/>
      <w:bookmarkStart w:id="32" w:name="_Toc183682348"/>
      <w:bookmarkStart w:id="33" w:name="_Toc217446040"/>
      <w:r>
        <w:rPr>
          <w:rFonts w:hint="eastAsia" w:ascii="宋体" w:hAnsi="宋体"/>
          <w:b/>
          <w:bCs/>
          <w:color w:val="000000" w:themeColor="text1"/>
          <w:sz w:val="28"/>
          <w:szCs w:val="28"/>
          <w14:textFill>
            <w14:solidFill>
              <w14:schemeClr w14:val="tx1"/>
            </w14:solidFill>
          </w14:textFill>
        </w:rPr>
        <w:t>招标文件的澄清</w:t>
      </w:r>
      <w:bookmarkEnd w:id="31"/>
      <w:bookmarkEnd w:id="32"/>
      <w:r>
        <w:rPr>
          <w:rFonts w:hint="eastAsia" w:ascii="宋体" w:hAnsi="宋体"/>
          <w:b/>
          <w:bCs/>
          <w:color w:val="000000" w:themeColor="text1"/>
          <w:sz w:val="28"/>
          <w:szCs w:val="28"/>
          <w14:textFill>
            <w14:solidFill>
              <w14:schemeClr w14:val="tx1"/>
            </w14:solidFill>
          </w14:textFill>
        </w:rPr>
        <w:t>和修改</w:t>
      </w:r>
      <w:bookmarkEnd w:id="33"/>
      <w:bookmarkStart w:id="34" w:name="_Toc77400780"/>
      <w:bookmarkStart w:id="35" w:name="_Toc183582214"/>
      <w:bookmarkStart w:id="36" w:name="_Toc183682351"/>
      <w:bookmarkStart w:id="37" w:name="_Toc217446042"/>
      <w:bookmarkStart w:id="38" w:name="_Toc89075876"/>
    </w:p>
    <w:p>
      <w:pPr>
        <w:numPr>
          <w:ilvl w:val="0"/>
          <w:numId w:val="15"/>
        </w:numPr>
        <w:tabs>
          <w:tab w:val="left" w:pos="142"/>
          <w:tab w:val="left" w:pos="1134"/>
        </w:tabs>
        <w:spacing w:after="200" w:line="360" w:lineRule="auto"/>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在投标截止时间前，采购人或者</w:t>
      </w:r>
      <w:r>
        <w:rPr>
          <w:rFonts w:hint="eastAsia" w:cs="Arial"/>
          <w:color w:val="000000" w:themeColor="text1"/>
          <w:sz w:val="28"/>
          <w:szCs w:val="28"/>
          <w14:textFill>
            <w14:solidFill>
              <w14:schemeClr w14:val="tx1"/>
            </w14:solidFill>
          </w14:textFill>
        </w:rPr>
        <w:t>区政府采购服务中心</w:t>
      </w:r>
      <w:r>
        <w:rPr>
          <w:rFonts w:hint="eastAsia" w:ascii="宋体" w:hAnsi="宋体"/>
          <w:color w:val="000000" w:themeColor="text1"/>
          <w:sz w:val="28"/>
          <w:szCs w:val="28"/>
          <w14:textFill>
            <w14:solidFill>
              <w14:schemeClr w14:val="tx1"/>
            </w14:solidFill>
          </w14:textFill>
        </w:rPr>
        <w:t>可以对已发出的招标文件进行必要的澄清或者修改。</w:t>
      </w:r>
    </w:p>
    <w:p>
      <w:pPr>
        <w:numPr>
          <w:ilvl w:val="0"/>
          <w:numId w:val="15"/>
        </w:numPr>
        <w:spacing w:after="200"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澄清或者修改的内容，成都市青羊区政府采购服务中心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p>
    <w:p>
      <w:pPr>
        <w:numPr>
          <w:ilvl w:val="0"/>
          <w:numId w:val="15"/>
        </w:numPr>
        <w:tabs>
          <w:tab w:val="left" w:pos="142"/>
          <w:tab w:val="left" w:pos="1134"/>
        </w:tabs>
        <w:spacing w:after="200" w:line="360" w:lineRule="auto"/>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澄清或者修改的内容可能影响投标文件编制的，成都市青羊区政府采购服务中心应当在投标截止时间至少15日前，通过政府采购云平台通知所有获取招标文件的潜在投标人；不足15日的，采购人或区政府采购服务中心应当顺延提交投标文件的截止时间。</w:t>
      </w:r>
    </w:p>
    <w:p>
      <w:pPr>
        <w:keepNext/>
        <w:keepLines/>
        <w:numPr>
          <w:ilvl w:val="1"/>
          <w:numId w:val="1"/>
        </w:numPr>
        <w:spacing w:line="360" w:lineRule="auto"/>
        <w:jc w:val="left"/>
        <w:outlineLvl w:val="1"/>
        <w:rPr>
          <w:rFonts w:ascii="宋体" w:hAnsi="宋体"/>
          <w:b/>
          <w:bCs/>
          <w:color w:val="000000" w:themeColor="text1"/>
          <w:sz w:val="28"/>
          <w:szCs w:val="28"/>
          <w14:textFill>
            <w14:solidFill>
              <w14:schemeClr w14:val="tx1"/>
            </w14:solidFill>
          </w14:textFill>
        </w:rPr>
      </w:pPr>
      <w:bookmarkStart w:id="39" w:name="_Toc76541349"/>
      <w:r>
        <w:rPr>
          <w:rFonts w:hint="eastAsia" w:ascii="宋体" w:hAnsi="宋体"/>
          <w:b/>
          <w:bCs/>
          <w:color w:val="000000" w:themeColor="text1"/>
          <w:sz w:val="28"/>
          <w:szCs w:val="28"/>
          <w14:textFill>
            <w14:solidFill>
              <w14:schemeClr w14:val="tx1"/>
            </w14:solidFill>
          </w14:textFill>
        </w:rPr>
        <w:t>投标文件</w:t>
      </w:r>
      <w:bookmarkEnd w:id="34"/>
      <w:bookmarkEnd w:id="35"/>
      <w:bookmarkEnd w:id="36"/>
      <w:bookmarkEnd w:id="37"/>
      <w:bookmarkEnd w:id="38"/>
      <w:bookmarkEnd w:id="39"/>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40" w:name="_Toc217446043"/>
      <w:bookmarkStart w:id="41" w:name="_Toc183582215"/>
      <w:bookmarkStart w:id="42" w:name="_Toc183682352"/>
      <w:r>
        <w:rPr>
          <w:rFonts w:hint="eastAsia" w:ascii="宋体" w:hAnsi="宋体"/>
          <w:b/>
          <w:bCs/>
          <w:color w:val="000000" w:themeColor="text1"/>
          <w:sz w:val="28"/>
          <w:szCs w:val="28"/>
          <w14:textFill>
            <w14:solidFill>
              <w14:schemeClr w14:val="tx1"/>
            </w14:solidFill>
          </w14:textFill>
        </w:rPr>
        <w:t>投标文件的语言</w:t>
      </w:r>
      <w:bookmarkEnd w:id="40"/>
      <w:bookmarkEnd w:id="41"/>
      <w:bookmarkEnd w:id="42"/>
    </w:p>
    <w:p>
      <w:pPr>
        <w:numPr>
          <w:ilvl w:val="0"/>
          <w:numId w:val="16"/>
        </w:numPr>
        <w:tabs>
          <w:tab w:val="left" w:pos="1134"/>
        </w:tabs>
        <w:spacing w:line="360" w:lineRule="auto"/>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投标人提交的投标文件以及投标人与采购人或</w:t>
      </w:r>
      <w:r>
        <w:rPr>
          <w:rFonts w:hint="eastAsia" w:cs="Arial"/>
          <w:color w:val="000000" w:themeColor="text1"/>
          <w:sz w:val="28"/>
          <w:szCs w:val="28"/>
          <w14:textFill>
            <w14:solidFill>
              <w14:schemeClr w14:val="tx1"/>
            </w14:solidFill>
          </w14:textFill>
        </w:rPr>
        <w:t>成都市青羊区政府采购服务中心</w:t>
      </w:r>
      <w:r>
        <w:rPr>
          <w:rFonts w:hint="eastAsia" w:ascii="宋体" w:hAnsi="宋体"/>
          <w:color w:val="000000" w:themeColor="text1"/>
          <w:sz w:val="28"/>
          <w:szCs w:val="28"/>
          <w14:textFill>
            <w14:solidFill>
              <w14:schemeClr w14:val="tx1"/>
            </w14:solidFill>
          </w14:textFill>
        </w:rPr>
        <w:t>就有关投标的所有来往书面文件均须使用中文，投标文件中所附或引用的外文资料，应翻译成中文附在相关外文资料后面。（说明：投标人的法定代表人为外籍人士的，则法定代表人的签字和护照除外）。</w:t>
      </w:r>
    </w:p>
    <w:p>
      <w:pPr>
        <w:numPr>
          <w:ilvl w:val="0"/>
          <w:numId w:val="16"/>
        </w:numPr>
        <w:tabs>
          <w:tab w:val="left" w:pos="1134"/>
        </w:tabs>
        <w:spacing w:line="360" w:lineRule="auto"/>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对不同文字文本投标文件的解释发生异议的，以中文文本为准。若投标人投标文件中提供的外文资料未翻译成中文，则评标委员会可将其视为无效材料。 </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43" w:name="_Toc183682353"/>
      <w:bookmarkStart w:id="44" w:name="_Toc183582216"/>
      <w:bookmarkStart w:id="45" w:name="_Toc217446044"/>
      <w:r>
        <w:rPr>
          <w:rFonts w:hint="eastAsia" w:ascii="宋体" w:hAnsi="宋体"/>
          <w:b/>
          <w:bCs/>
          <w:color w:val="000000" w:themeColor="text1"/>
          <w:sz w:val="28"/>
          <w:szCs w:val="28"/>
          <w14:textFill>
            <w14:solidFill>
              <w14:schemeClr w14:val="tx1"/>
            </w14:solidFill>
          </w14:textFill>
        </w:rPr>
        <w:t>计量单位</w:t>
      </w:r>
      <w:bookmarkEnd w:id="43"/>
      <w:bookmarkEnd w:id="44"/>
      <w:bookmarkEnd w:id="45"/>
    </w:p>
    <w:p>
      <w:pPr>
        <w:tabs>
          <w:tab w:val="left" w:pos="7665"/>
        </w:tabs>
        <w:spacing w:line="360" w:lineRule="auto"/>
        <w:ind w:left="13" w:firstLine="554"/>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除招标文件中另有规定外，本次采购项目所有合同项下的投标均采用国家法定的计量单位。</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46" w:name="_Toc217446045"/>
      <w:r>
        <w:rPr>
          <w:rFonts w:hint="eastAsia" w:ascii="宋体" w:hAnsi="宋体"/>
          <w:b/>
          <w:bCs/>
          <w:color w:val="000000" w:themeColor="text1"/>
          <w:sz w:val="28"/>
          <w:szCs w:val="28"/>
          <w14:textFill>
            <w14:solidFill>
              <w14:schemeClr w14:val="tx1"/>
            </w14:solidFill>
          </w14:textFill>
        </w:rPr>
        <w:t>投标货币</w:t>
      </w:r>
      <w:bookmarkEnd w:id="46"/>
    </w:p>
    <w:p>
      <w:pPr>
        <w:tabs>
          <w:tab w:val="left" w:pos="7665"/>
        </w:tabs>
        <w:spacing w:line="360" w:lineRule="auto"/>
        <w:ind w:left="13" w:firstLine="554"/>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本次招标项目的投标均以人民币报价。</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47" w:name="_Toc217446046"/>
      <w:r>
        <w:rPr>
          <w:rFonts w:hint="eastAsia" w:ascii="宋体" w:hAnsi="宋体"/>
          <w:b/>
          <w:bCs/>
          <w:color w:val="000000" w:themeColor="text1"/>
          <w:sz w:val="28"/>
          <w:szCs w:val="28"/>
          <w14:textFill>
            <w14:solidFill>
              <w14:schemeClr w14:val="tx1"/>
            </w14:solidFill>
          </w14:textFill>
        </w:rPr>
        <w:t>联合体投标</w:t>
      </w:r>
      <w:bookmarkEnd w:id="47"/>
    </w:p>
    <w:p>
      <w:pPr>
        <w:tabs>
          <w:tab w:val="left" w:pos="1134"/>
        </w:tabs>
        <w:spacing w:line="360" w:lineRule="auto"/>
        <w:ind w:left="546"/>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本次政府采购活动</w:t>
      </w:r>
      <w:r>
        <w:rPr>
          <w:rFonts w:hint="eastAsia" w:ascii="宋体" w:hAnsi="宋体"/>
          <w:b/>
          <w:color w:val="000000" w:themeColor="text1"/>
          <w:sz w:val="28"/>
          <w:szCs w:val="28"/>
          <w14:textFill>
            <w14:solidFill>
              <w14:schemeClr w14:val="tx1"/>
            </w14:solidFill>
          </w14:textFill>
        </w:rPr>
        <w:t>不接受</w:t>
      </w:r>
      <w:r>
        <w:rPr>
          <w:rFonts w:hint="eastAsia" w:ascii="宋体" w:hAnsi="宋体"/>
          <w:color w:val="000000" w:themeColor="text1"/>
          <w:sz w:val="28"/>
          <w:szCs w:val="28"/>
          <w14:textFill>
            <w14:solidFill>
              <w14:schemeClr w14:val="tx1"/>
            </w14:solidFill>
          </w14:textFill>
        </w:rPr>
        <w:t>联合体投标。</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48" w:name="_Toc217446047"/>
      <w:r>
        <w:rPr>
          <w:rFonts w:hint="eastAsia" w:ascii="宋体" w:hAnsi="宋体"/>
          <w:b/>
          <w:bCs/>
          <w:color w:val="000000" w:themeColor="text1"/>
          <w:sz w:val="28"/>
          <w:szCs w:val="28"/>
          <w14:textFill>
            <w14:solidFill>
              <w14:schemeClr w14:val="tx1"/>
            </w14:solidFill>
          </w14:textFill>
        </w:rPr>
        <w:t>知识产权</w:t>
      </w:r>
      <w:bookmarkEnd w:id="48"/>
    </w:p>
    <w:p>
      <w:pPr>
        <w:numPr>
          <w:ilvl w:val="0"/>
          <w:numId w:val="17"/>
        </w:numPr>
        <w:tabs>
          <w:tab w:val="left" w:pos="1134"/>
        </w:tabs>
        <w:spacing w:line="360" w:lineRule="auto"/>
        <w:ind w:left="0" w:firstLine="549"/>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numPr>
          <w:ilvl w:val="0"/>
          <w:numId w:val="17"/>
        </w:numPr>
        <w:tabs>
          <w:tab w:val="left" w:pos="1134"/>
        </w:tabs>
        <w:spacing w:line="360" w:lineRule="auto"/>
        <w:ind w:left="0" w:firstLine="549"/>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采购人享有本项目实施过程中产生的知识成果及知识产权。</w:t>
      </w:r>
    </w:p>
    <w:p>
      <w:pPr>
        <w:numPr>
          <w:ilvl w:val="0"/>
          <w:numId w:val="17"/>
        </w:numPr>
        <w:tabs>
          <w:tab w:val="left" w:pos="1134"/>
        </w:tabs>
        <w:spacing w:line="360" w:lineRule="auto"/>
        <w:ind w:left="0" w:firstLine="549"/>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如拟在项目实施过程中采用自有知识成果，需在投标文件中声明，并提供相关知识产权证明文件。使用该知识，成果后，投标人需提供开发接口和开发手册等技术文档，并提供无限期技术支持，采购人享有永久使用权（含采购人委托第三方在该项目后续开发的使用权）。</w:t>
      </w:r>
    </w:p>
    <w:p>
      <w:pPr>
        <w:numPr>
          <w:ilvl w:val="0"/>
          <w:numId w:val="17"/>
        </w:numPr>
        <w:tabs>
          <w:tab w:val="left" w:pos="1134"/>
        </w:tabs>
        <w:spacing w:line="360" w:lineRule="auto"/>
        <w:ind w:left="0" w:firstLine="549"/>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如采用投标人所不拥有的知识产权，则在投标报价中必须包括合法获取该知识产权的相关费用。</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49" w:name="_Toc217446048"/>
      <w:bookmarkStart w:id="50" w:name="_Toc183582217"/>
      <w:bookmarkStart w:id="51" w:name="_Toc183682354"/>
      <w:r>
        <w:rPr>
          <w:rFonts w:hint="eastAsia" w:ascii="宋体" w:hAnsi="宋体"/>
          <w:b/>
          <w:bCs/>
          <w:color w:val="000000" w:themeColor="text1"/>
          <w:sz w:val="28"/>
          <w:szCs w:val="28"/>
          <w14:textFill>
            <w14:solidFill>
              <w14:schemeClr w14:val="tx1"/>
            </w14:solidFill>
          </w14:textFill>
        </w:rPr>
        <w:t>投标文件的组成</w:t>
      </w:r>
      <w:bookmarkEnd w:id="49"/>
      <w:bookmarkEnd w:id="50"/>
      <w:bookmarkEnd w:id="51"/>
    </w:p>
    <w:p>
      <w:pPr>
        <w:spacing w:line="360" w:lineRule="auto"/>
        <w:ind w:firstLine="548" w:firstLineChars="196"/>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投标人应按照招标文件的规定和要求编制投标文件。投标人拟在中标后将中标项目的非主体、非关键性工作交由他人完成的，应当在投标文件中载明。投标人编写的投标文件应包括下列部分：</w:t>
      </w:r>
    </w:p>
    <w:p>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资格响应文件：</w:t>
      </w:r>
    </w:p>
    <w:p>
      <w:pPr>
        <w:pStyle w:val="149"/>
        <w:numPr>
          <w:ilvl w:val="0"/>
          <w:numId w:val="18"/>
        </w:numPr>
        <w:tabs>
          <w:tab w:val="left" w:pos="993"/>
        </w:tabs>
        <w:spacing w:after="200" w:line="360" w:lineRule="auto"/>
        <w:ind w:left="0" w:firstLine="420" w:firstLineChars="0"/>
        <w:rPr>
          <w:rFonts w:ascii="宋体" w:hAnsi="宋体"/>
          <w:b/>
          <w:bCs/>
          <w:color w:val="000000" w:themeColor="text1"/>
          <w:kern w:val="0"/>
          <w:sz w:val="28"/>
          <w:szCs w:val="28"/>
          <w14:textFill>
            <w14:solidFill>
              <w14:schemeClr w14:val="tx1"/>
            </w14:solidFill>
          </w14:textFill>
        </w:rPr>
      </w:pPr>
      <w:r>
        <w:rPr>
          <w:rFonts w:hint="eastAsia" w:ascii="宋体" w:hAnsi="宋体"/>
          <w:b/>
          <w:bCs/>
          <w:color w:val="000000" w:themeColor="text1"/>
          <w:kern w:val="0"/>
          <w:sz w:val="28"/>
          <w:szCs w:val="28"/>
          <w14:textFill>
            <w14:solidFill>
              <w14:schemeClr w14:val="tx1"/>
            </w14:solidFill>
          </w14:textFill>
        </w:rPr>
        <w:t>关于投标人资格申明的函；</w:t>
      </w:r>
    </w:p>
    <w:p>
      <w:pPr>
        <w:pStyle w:val="149"/>
        <w:numPr>
          <w:ilvl w:val="0"/>
          <w:numId w:val="18"/>
        </w:numPr>
        <w:tabs>
          <w:tab w:val="left" w:pos="993"/>
        </w:tabs>
        <w:spacing w:after="200" w:line="360" w:lineRule="auto"/>
        <w:ind w:left="0" w:firstLine="420" w:firstLineChars="0"/>
        <w:rPr>
          <w:rFonts w:ascii="宋体" w:hAnsi="宋体"/>
          <w:b/>
          <w:bCs/>
          <w:color w:val="000000" w:themeColor="text1"/>
          <w:kern w:val="0"/>
          <w:sz w:val="28"/>
          <w:szCs w:val="28"/>
          <w14:textFill>
            <w14:solidFill>
              <w14:schemeClr w14:val="tx1"/>
            </w14:solidFill>
          </w14:textFill>
        </w:rPr>
      </w:pPr>
      <w:r>
        <w:rPr>
          <w:rFonts w:hint="eastAsia" w:ascii="宋体" w:hAnsi="宋体"/>
          <w:b/>
          <w:bCs/>
          <w:color w:val="000000" w:themeColor="text1"/>
          <w:kern w:val="0"/>
          <w:sz w:val="28"/>
          <w:szCs w:val="28"/>
          <w14:textFill>
            <w14:solidFill>
              <w14:schemeClr w14:val="tx1"/>
            </w14:solidFill>
          </w14:textFill>
        </w:rPr>
        <w:t>声明；</w:t>
      </w:r>
    </w:p>
    <w:p>
      <w:pPr>
        <w:pStyle w:val="149"/>
        <w:numPr>
          <w:ilvl w:val="0"/>
          <w:numId w:val="18"/>
        </w:numPr>
        <w:tabs>
          <w:tab w:val="left" w:pos="993"/>
        </w:tabs>
        <w:spacing w:after="200" w:line="360" w:lineRule="auto"/>
        <w:ind w:left="0" w:firstLine="420" w:firstLineChars="0"/>
        <w:rPr>
          <w:rFonts w:ascii="宋体" w:hAnsi="宋体"/>
          <w:b/>
          <w:bCs/>
          <w:color w:val="000000" w:themeColor="text1"/>
          <w:kern w:val="0"/>
          <w:sz w:val="28"/>
          <w:szCs w:val="28"/>
          <w14:textFill>
            <w14:solidFill>
              <w14:schemeClr w14:val="tx1"/>
            </w14:solidFill>
          </w14:textFill>
        </w:rPr>
      </w:pPr>
      <w:r>
        <w:rPr>
          <w:rFonts w:hint="eastAsia" w:ascii="宋体" w:hAnsi="宋体"/>
          <w:b/>
          <w:bCs/>
          <w:color w:val="000000" w:themeColor="text1"/>
          <w:kern w:val="0"/>
          <w:sz w:val="28"/>
          <w:szCs w:val="28"/>
          <w14:textFill>
            <w14:solidFill>
              <w14:schemeClr w14:val="tx1"/>
            </w14:solidFill>
          </w14:textFill>
        </w:rPr>
        <w:t>投标人应提交的相关资格证明材料：</w:t>
      </w:r>
    </w:p>
    <w:p>
      <w:pPr>
        <w:pStyle w:val="149"/>
        <w:numPr>
          <w:ilvl w:val="0"/>
          <w:numId w:val="19"/>
        </w:numPr>
        <w:spacing w:after="200" w:line="360" w:lineRule="auto"/>
        <w:ind w:left="0" w:firstLine="573" w:firstLineChars="0"/>
        <w:rPr>
          <w:rFonts w:ascii="宋体" w:hAnsi="宋体"/>
          <w:b/>
          <w:bCs/>
          <w:color w:val="000000" w:themeColor="text1"/>
          <w:kern w:val="0"/>
          <w:sz w:val="28"/>
          <w:szCs w:val="28"/>
          <w14:textFill>
            <w14:solidFill>
              <w14:schemeClr w14:val="tx1"/>
            </w14:solidFill>
          </w14:textFill>
        </w:rPr>
      </w:pPr>
      <w:r>
        <w:rPr>
          <w:rFonts w:hint="eastAsia" w:ascii="宋体" w:hAnsi="宋体"/>
          <w:b/>
          <w:bCs/>
          <w:color w:val="000000" w:themeColor="text1"/>
          <w:kern w:val="0"/>
          <w:sz w:val="28"/>
          <w:szCs w:val="28"/>
          <w14:textFill>
            <w14:solidFill>
              <w14:schemeClr w14:val="tx1"/>
            </w14:solidFill>
          </w14:textFill>
        </w:rPr>
        <w:t>营业执照复印件（正本或副本）或法人证书复印件（正本或副本）；</w:t>
      </w:r>
    </w:p>
    <w:p>
      <w:pPr>
        <w:pStyle w:val="149"/>
        <w:numPr>
          <w:ilvl w:val="0"/>
          <w:numId w:val="19"/>
        </w:numPr>
        <w:spacing w:after="200" w:line="360" w:lineRule="auto"/>
        <w:ind w:left="0" w:firstLine="573" w:firstLineChars="0"/>
        <w:rPr>
          <w:rFonts w:ascii="宋体" w:hAnsi="宋体"/>
          <w:b/>
          <w:bCs/>
          <w:color w:val="000000" w:themeColor="text1"/>
          <w:kern w:val="0"/>
          <w:sz w:val="28"/>
          <w:szCs w:val="28"/>
          <w14:textFill>
            <w14:solidFill>
              <w14:schemeClr w14:val="tx1"/>
            </w14:solidFill>
          </w14:textFill>
        </w:rPr>
      </w:pPr>
      <w:r>
        <w:rPr>
          <w:rFonts w:hint="eastAsia" w:ascii="宋体" w:hAnsi="宋体"/>
          <w:b/>
          <w:bCs/>
          <w:color w:val="000000" w:themeColor="text1"/>
          <w:kern w:val="0"/>
          <w:sz w:val="28"/>
          <w:szCs w:val="28"/>
          <w14:textFill>
            <w14:solidFill>
              <w14:schemeClr w14:val="tx1"/>
            </w14:solidFill>
          </w14:textFill>
        </w:rPr>
        <w:t>2019或2020会计年度资产负债表复印件（说明：投标人成立时间至递交投标文件截止时间止不足一年的，提供成立后任意时段的资产负债表复印件）；</w:t>
      </w:r>
    </w:p>
    <w:p>
      <w:pPr>
        <w:pStyle w:val="149"/>
        <w:numPr>
          <w:ilvl w:val="0"/>
          <w:numId w:val="19"/>
        </w:numPr>
        <w:spacing w:after="200" w:line="360" w:lineRule="auto"/>
        <w:ind w:left="0" w:firstLine="573" w:firstLineChars="0"/>
        <w:rPr>
          <w:rFonts w:ascii="宋体" w:hAnsi="宋体"/>
          <w:b/>
          <w:bCs/>
          <w:color w:val="000000" w:themeColor="text1"/>
          <w:kern w:val="0"/>
          <w:sz w:val="28"/>
          <w:szCs w:val="28"/>
          <w14:textFill>
            <w14:solidFill>
              <w14:schemeClr w14:val="tx1"/>
            </w14:solidFill>
          </w14:textFill>
        </w:rPr>
      </w:pPr>
      <w:r>
        <w:rPr>
          <w:rFonts w:hint="eastAsia" w:ascii="宋体" w:hAnsi="宋体"/>
          <w:b/>
          <w:bCs/>
          <w:color w:val="000000" w:themeColor="text1"/>
          <w:kern w:val="0"/>
          <w:sz w:val="28"/>
          <w:szCs w:val="28"/>
          <w14:textFill>
            <w14:solidFill>
              <w14:schemeClr w14:val="tx1"/>
            </w14:solidFill>
          </w14:textFill>
        </w:rPr>
        <w:t>投标人缴纳2020或2021年任意时段的税收的银行电子回单或者行政部门出具的纳税证明或完税证明复印件；</w:t>
      </w:r>
    </w:p>
    <w:p>
      <w:pPr>
        <w:pStyle w:val="149"/>
        <w:numPr>
          <w:ilvl w:val="0"/>
          <w:numId w:val="19"/>
        </w:numPr>
        <w:spacing w:after="200" w:line="360" w:lineRule="auto"/>
        <w:ind w:left="0" w:firstLine="573" w:firstLineChars="0"/>
        <w:rPr>
          <w:rFonts w:ascii="宋体" w:hAnsi="宋体"/>
          <w:b/>
          <w:bCs/>
          <w:color w:val="000000" w:themeColor="text1"/>
          <w:kern w:val="0"/>
          <w:sz w:val="28"/>
          <w:szCs w:val="28"/>
          <w14:textFill>
            <w14:solidFill>
              <w14:schemeClr w14:val="tx1"/>
            </w14:solidFill>
          </w14:textFill>
        </w:rPr>
      </w:pPr>
      <w:r>
        <w:rPr>
          <w:rFonts w:hint="eastAsia" w:ascii="宋体" w:hAnsi="宋体"/>
          <w:b/>
          <w:bCs/>
          <w:color w:val="000000" w:themeColor="text1"/>
          <w:kern w:val="0"/>
          <w:sz w:val="28"/>
          <w:szCs w:val="28"/>
          <w14:textFill>
            <w14:solidFill>
              <w14:schemeClr w14:val="tx1"/>
            </w14:solidFill>
          </w14:textFill>
        </w:rPr>
        <w:t>采购人对投标人履行合同所必须的设备和专业技术能力无其他特殊要求，投标人具有有效的营业执照或法人证书即可，可不提供其他证明材料；</w:t>
      </w:r>
    </w:p>
    <w:p>
      <w:pPr>
        <w:pStyle w:val="149"/>
        <w:numPr>
          <w:ilvl w:val="0"/>
          <w:numId w:val="19"/>
        </w:numPr>
        <w:spacing w:after="200" w:line="360" w:lineRule="auto"/>
        <w:ind w:left="0" w:firstLine="573" w:firstLineChars="0"/>
        <w:rPr>
          <w:rFonts w:ascii="宋体" w:hAnsi="宋体"/>
          <w:b/>
          <w:bCs/>
          <w:color w:val="000000" w:themeColor="text1"/>
          <w:kern w:val="0"/>
          <w:sz w:val="28"/>
          <w:szCs w:val="28"/>
          <w14:textFill>
            <w14:solidFill>
              <w14:schemeClr w14:val="tx1"/>
            </w14:solidFill>
          </w14:textFill>
        </w:rPr>
      </w:pPr>
      <w:r>
        <w:rPr>
          <w:rFonts w:hint="eastAsia" w:ascii="宋体" w:hAnsi="宋体"/>
          <w:b/>
          <w:bCs/>
          <w:color w:val="000000" w:themeColor="text1"/>
          <w:kern w:val="0"/>
          <w:sz w:val="28"/>
          <w:szCs w:val="28"/>
          <w14:textFill>
            <w14:solidFill>
              <w14:schemeClr w14:val="tx1"/>
            </w14:solidFill>
          </w14:textFill>
        </w:rPr>
        <w:t>投标人缴纳2020或2021年任意时段的社保的银行电子回单或行政部门出具的社保缴纳证明材料复印件；</w:t>
      </w:r>
    </w:p>
    <w:p>
      <w:pPr>
        <w:pStyle w:val="149"/>
        <w:numPr>
          <w:ilvl w:val="0"/>
          <w:numId w:val="19"/>
        </w:numPr>
        <w:spacing w:after="200" w:line="360" w:lineRule="auto"/>
        <w:ind w:left="0" w:firstLine="573" w:firstLineChars="0"/>
        <w:rPr>
          <w:rFonts w:ascii="宋体" w:hAnsi="宋体"/>
          <w:b/>
          <w:bCs/>
          <w:color w:val="000000" w:themeColor="text1"/>
          <w:kern w:val="0"/>
          <w:sz w:val="28"/>
          <w:szCs w:val="28"/>
          <w14:textFill>
            <w14:solidFill>
              <w14:schemeClr w14:val="tx1"/>
            </w14:solidFill>
          </w14:textFill>
        </w:rPr>
      </w:pPr>
      <w:r>
        <w:rPr>
          <w:rFonts w:hint="eastAsia" w:ascii="宋体" w:hAnsi="宋体"/>
          <w:b/>
          <w:bCs/>
          <w:color w:val="000000" w:themeColor="text1"/>
          <w:kern w:val="0"/>
          <w:sz w:val="28"/>
          <w:szCs w:val="28"/>
          <w14:textFill>
            <w14:solidFill>
              <w14:schemeClr w14:val="tx1"/>
            </w14:solidFill>
          </w14:textFill>
        </w:rPr>
        <w:t>采购人对法律、行政法规规定的其他条件无其他特殊要求，投标人具有有效的营业执照或法人证书即可，可不提供其他证明材料。</w:t>
      </w:r>
    </w:p>
    <w:p>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商务技术响应文件</w:t>
      </w:r>
    </w:p>
    <w:p>
      <w:pPr>
        <w:numPr>
          <w:ilvl w:val="0"/>
          <w:numId w:val="20"/>
        </w:numPr>
        <w:tabs>
          <w:tab w:val="left" w:pos="1134"/>
        </w:tabs>
        <w:spacing w:line="360" w:lineRule="auto"/>
        <w:ind w:hanging="279"/>
        <w:jc w:val="left"/>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投标函；</w:t>
      </w:r>
    </w:p>
    <w:p>
      <w:pPr>
        <w:numPr>
          <w:ilvl w:val="0"/>
          <w:numId w:val="20"/>
        </w:numPr>
        <w:tabs>
          <w:tab w:val="left" w:pos="1134"/>
        </w:tabs>
        <w:spacing w:line="360" w:lineRule="auto"/>
        <w:ind w:hanging="279"/>
        <w:jc w:val="left"/>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法定代表人身份证明书；</w:t>
      </w:r>
    </w:p>
    <w:p>
      <w:pPr>
        <w:numPr>
          <w:ilvl w:val="0"/>
          <w:numId w:val="20"/>
        </w:numPr>
        <w:tabs>
          <w:tab w:val="left" w:pos="1134"/>
        </w:tabs>
        <w:spacing w:line="360" w:lineRule="auto"/>
        <w:ind w:hanging="279"/>
        <w:jc w:val="left"/>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投标产品技术性能、技术参数和配置的详细描述；</w:t>
      </w:r>
    </w:p>
    <w:p>
      <w:pPr>
        <w:numPr>
          <w:ilvl w:val="0"/>
          <w:numId w:val="20"/>
        </w:numPr>
        <w:tabs>
          <w:tab w:val="left" w:pos="1134"/>
        </w:tabs>
        <w:spacing w:line="360" w:lineRule="auto"/>
        <w:ind w:hanging="279"/>
        <w:jc w:val="left"/>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售后服务及承诺；</w:t>
      </w:r>
    </w:p>
    <w:p>
      <w:pPr>
        <w:numPr>
          <w:ilvl w:val="0"/>
          <w:numId w:val="20"/>
        </w:numPr>
        <w:tabs>
          <w:tab w:val="left" w:pos="1134"/>
        </w:tabs>
        <w:spacing w:line="360" w:lineRule="auto"/>
        <w:ind w:hanging="279"/>
        <w:jc w:val="left"/>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项目实施方案；</w:t>
      </w:r>
    </w:p>
    <w:p>
      <w:pPr>
        <w:numPr>
          <w:ilvl w:val="0"/>
          <w:numId w:val="20"/>
        </w:numPr>
        <w:tabs>
          <w:tab w:val="left" w:pos="1134"/>
        </w:tabs>
        <w:spacing w:line="360" w:lineRule="auto"/>
        <w:ind w:hanging="279"/>
        <w:jc w:val="left"/>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承诺函。</w:t>
      </w:r>
    </w:p>
    <w:p>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报价要求响应文件</w:t>
      </w:r>
    </w:p>
    <w:p>
      <w:pPr>
        <w:numPr>
          <w:ilvl w:val="0"/>
          <w:numId w:val="21"/>
        </w:numPr>
        <w:tabs>
          <w:tab w:val="left" w:pos="1134"/>
        </w:tabs>
        <w:spacing w:line="360" w:lineRule="auto"/>
        <w:ind w:left="0" w:firstLine="567"/>
        <w:jc w:val="left"/>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开标一览表；</w:t>
      </w:r>
    </w:p>
    <w:p>
      <w:pPr>
        <w:numPr>
          <w:ilvl w:val="0"/>
          <w:numId w:val="21"/>
        </w:numPr>
        <w:tabs>
          <w:tab w:val="left" w:pos="1134"/>
        </w:tabs>
        <w:spacing w:line="360" w:lineRule="auto"/>
        <w:ind w:left="0" w:firstLine="567"/>
        <w:jc w:val="left"/>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分项报价明细表（分项报价明细表格式中要求填写品牌、规格型号、制造商、进口或国产的，投标人必须载明其投标产品的品牌、规格型号、制造商、进口或国产）；</w:t>
      </w:r>
    </w:p>
    <w:p>
      <w:pPr>
        <w:numPr>
          <w:ilvl w:val="0"/>
          <w:numId w:val="21"/>
        </w:numPr>
        <w:tabs>
          <w:tab w:val="left" w:pos="1134"/>
        </w:tabs>
        <w:spacing w:line="360" w:lineRule="auto"/>
        <w:ind w:left="0" w:firstLine="567"/>
        <w:jc w:val="left"/>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中小企业声明函（如未提供中小企业声明函，则其投标产品中的小型、微型企业制造的货物不能享受招标文件规定的价格扣除，但不影响投标人投标文件的有效性）；</w:t>
      </w:r>
    </w:p>
    <w:p>
      <w:pPr>
        <w:numPr>
          <w:ilvl w:val="0"/>
          <w:numId w:val="21"/>
        </w:numPr>
        <w:tabs>
          <w:tab w:val="left" w:pos="1134"/>
        </w:tabs>
        <w:spacing w:line="360" w:lineRule="auto"/>
        <w:ind w:left="0" w:firstLine="567"/>
        <w:jc w:val="left"/>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残疾人福利性单位声明函（如未提供残疾人福利性单位声明函，则其投标产品中的残疾人福利性单位制造的货物不能享受招标文件规定的价格扣除，但不影响投标人投标文件的有效性）；</w:t>
      </w:r>
    </w:p>
    <w:p>
      <w:pPr>
        <w:numPr>
          <w:ilvl w:val="0"/>
          <w:numId w:val="21"/>
        </w:numPr>
        <w:tabs>
          <w:tab w:val="left" w:pos="1134"/>
        </w:tabs>
        <w:spacing w:line="360" w:lineRule="auto"/>
        <w:ind w:left="0" w:firstLine="567"/>
        <w:jc w:val="left"/>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投标产品</w:t>
      </w:r>
      <w:r>
        <w:rPr>
          <w:rFonts w:ascii="宋体" w:hAnsi="宋体"/>
          <w:b/>
          <w:color w:val="000000" w:themeColor="text1"/>
          <w:sz w:val="28"/>
          <w:szCs w:val="28"/>
          <w14:textFill>
            <w14:solidFill>
              <w14:schemeClr w14:val="tx1"/>
            </w14:solidFill>
          </w14:textFill>
        </w:rPr>
        <w:t>制造商属于监狱企业的证明文件复印件</w:t>
      </w:r>
      <w:r>
        <w:rPr>
          <w:rFonts w:hint="eastAsia" w:ascii="宋体" w:hAnsi="宋体"/>
          <w:b/>
          <w:color w:val="000000" w:themeColor="text1"/>
          <w:sz w:val="28"/>
          <w:szCs w:val="28"/>
          <w14:textFill>
            <w14:solidFill>
              <w14:schemeClr w14:val="tx1"/>
            </w14:solidFill>
          </w14:textFill>
        </w:rPr>
        <w:t>（1、</w:t>
      </w:r>
      <w:r>
        <w:rPr>
          <w:rFonts w:ascii="宋体" w:hAnsi="宋体"/>
          <w:b/>
          <w:color w:val="000000" w:themeColor="text1"/>
          <w:sz w:val="28"/>
          <w:szCs w:val="28"/>
          <w14:textFill>
            <w14:solidFill>
              <w14:schemeClr w14:val="tx1"/>
            </w14:solidFill>
          </w14:textFill>
        </w:rPr>
        <w:t>投标产品中为监狱企业制造的货物应提供由省级以上监狱管理局、戒毒管理局（含新疆生产建设兵团）出具的制造商属于监狱企业的证明文件复印件</w:t>
      </w:r>
      <w:r>
        <w:rPr>
          <w:rFonts w:hint="eastAsia" w:ascii="宋体" w:hAnsi="宋体"/>
          <w:b/>
          <w:color w:val="000000" w:themeColor="text1"/>
          <w:sz w:val="28"/>
          <w:szCs w:val="28"/>
          <w14:textFill>
            <w14:solidFill>
              <w14:schemeClr w14:val="tx1"/>
            </w14:solidFill>
          </w14:textFill>
        </w:rPr>
        <w:t>；2、如未提供</w:t>
      </w:r>
      <w:r>
        <w:rPr>
          <w:rFonts w:ascii="宋体" w:hAnsi="宋体"/>
          <w:b/>
          <w:color w:val="000000" w:themeColor="text1"/>
          <w:sz w:val="28"/>
          <w:szCs w:val="28"/>
          <w14:textFill>
            <w14:solidFill>
              <w14:schemeClr w14:val="tx1"/>
            </w14:solidFill>
          </w14:textFill>
        </w:rPr>
        <w:t>监狱企业的证明文件</w:t>
      </w:r>
      <w:r>
        <w:rPr>
          <w:rFonts w:hint="eastAsia" w:ascii="宋体" w:hAnsi="宋体"/>
          <w:b/>
          <w:color w:val="000000" w:themeColor="text1"/>
          <w:sz w:val="28"/>
          <w:szCs w:val="28"/>
          <w14:textFill>
            <w14:solidFill>
              <w14:schemeClr w14:val="tx1"/>
            </w14:solidFill>
          </w14:textFill>
        </w:rPr>
        <w:t>复印件，则其</w:t>
      </w:r>
      <w:r>
        <w:rPr>
          <w:rFonts w:ascii="宋体" w:hAnsi="宋体"/>
          <w:b/>
          <w:color w:val="000000" w:themeColor="text1"/>
          <w:sz w:val="28"/>
          <w:szCs w:val="28"/>
          <w14:textFill>
            <w14:solidFill>
              <w14:schemeClr w14:val="tx1"/>
            </w14:solidFill>
          </w14:textFill>
        </w:rPr>
        <w:t>投标产品中为监狱企业制造的货物</w:t>
      </w:r>
      <w:r>
        <w:rPr>
          <w:rFonts w:hint="eastAsia" w:ascii="宋体" w:hAnsi="宋体"/>
          <w:b/>
          <w:color w:val="000000" w:themeColor="text1"/>
          <w:sz w:val="28"/>
          <w:szCs w:val="28"/>
          <w14:textFill>
            <w14:solidFill>
              <w14:schemeClr w14:val="tx1"/>
            </w14:solidFill>
          </w14:textFill>
        </w:rPr>
        <w:t>不能享受招标文件规定的价格扣除，但不影响投标人投标文件的有效性。）</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52" w:name="_Toc316291396"/>
      <w:bookmarkEnd w:id="52"/>
      <w:bookmarkStart w:id="53" w:name="_Toc316291395"/>
      <w:bookmarkEnd w:id="53"/>
      <w:bookmarkStart w:id="54" w:name="_Toc316292020"/>
      <w:bookmarkEnd w:id="54"/>
      <w:bookmarkStart w:id="55" w:name="_Toc316292019"/>
      <w:bookmarkEnd w:id="55"/>
      <w:bookmarkStart w:id="56" w:name="_Toc183582218"/>
      <w:bookmarkStart w:id="57" w:name="_Toc217446049"/>
      <w:bookmarkStart w:id="58" w:name="_Toc183682355"/>
      <w:r>
        <w:rPr>
          <w:rFonts w:hint="eastAsia" w:ascii="宋体" w:hAnsi="宋体"/>
          <w:b/>
          <w:bCs/>
          <w:color w:val="000000" w:themeColor="text1"/>
          <w:sz w:val="28"/>
          <w:szCs w:val="28"/>
          <w14:textFill>
            <w14:solidFill>
              <w14:schemeClr w14:val="tx1"/>
            </w14:solidFill>
          </w14:textFill>
        </w:rPr>
        <w:t>投标文件格式</w:t>
      </w:r>
      <w:bookmarkEnd w:id="56"/>
      <w:bookmarkEnd w:id="57"/>
      <w:bookmarkEnd w:id="58"/>
      <w:r>
        <w:rPr>
          <w:rFonts w:hint="eastAsia" w:ascii="宋体" w:hAnsi="宋体"/>
          <w:b/>
          <w:bCs/>
          <w:color w:val="000000" w:themeColor="text1"/>
          <w:sz w:val="28"/>
          <w:szCs w:val="28"/>
          <w14:textFill>
            <w14:solidFill>
              <w14:schemeClr w14:val="tx1"/>
            </w14:solidFill>
          </w14:textFill>
        </w:rPr>
        <w:tab/>
      </w:r>
    </w:p>
    <w:p>
      <w:pPr>
        <w:numPr>
          <w:ilvl w:val="0"/>
          <w:numId w:val="22"/>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投标人应按照招标文件第3章中提供的“投标文件格式”填写相关内容。</w:t>
      </w:r>
    </w:p>
    <w:p>
      <w:pPr>
        <w:numPr>
          <w:ilvl w:val="0"/>
          <w:numId w:val="22"/>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对于没有格式要求的投标文件由投标人自行编写。</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投标报价</w:t>
      </w:r>
    </w:p>
    <w:p>
      <w:pPr>
        <w:numPr>
          <w:ilvl w:val="0"/>
          <w:numId w:val="23"/>
        </w:numPr>
        <w:tabs>
          <w:tab w:val="left" w:pos="1134"/>
        </w:tabs>
        <w:spacing w:line="360" w:lineRule="auto"/>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投标人的报价是投标人响应招标项目要求的全部工作内容的价格体现，包括投标人完成本项目所需的一切费用。</w:t>
      </w:r>
    </w:p>
    <w:p>
      <w:pPr>
        <w:numPr>
          <w:ilvl w:val="0"/>
          <w:numId w:val="23"/>
        </w:numPr>
        <w:tabs>
          <w:tab w:val="left" w:pos="1134"/>
        </w:tabs>
        <w:spacing w:line="360" w:lineRule="auto"/>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投标人每种货物及服务内容只允许有一个报价，并且在合同履行过程中是固定不变的，任何有选择或可调整的报价将不予接受，并按无效投标处理。</w:t>
      </w:r>
    </w:p>
    <w:p>
      <w:pPr>
        <w:tabs>
          <w:tab w:val="left" w:pos="1134"/>
        </w:tabs>
        <w:spacing w:line="360" w:lineRule="auto"/>
        <w:ind w:firstLine="565" w:firstLineChars="202"/>
        <w:rPr>
          <w:rFonts w:ascii="宋体" w:hAnsi="宋体"/>
          <w:color w:val="000000" w:themeColor="text1"/>
          <w:sz w:val="28"/>
          <w:szCs w:val="28"/>
          <w14:textFill>
            <w14:solidFill>
              <w14:schemeClr w14:val="tx1"/>
            </w14:solidFill>
          </w14:textFill>
        </w:rPr>
      </w:pPr>
      <w:bookmarkStart w:id="59" w:name="_Toc217446050"/>
      <w:bookmarkStart w:id="60" w:name="_Toc183582223"/>
      <w:bookmarkStart w:id="61" w:name="_Toc183682360"/>
      <w:r>
        <w:rPr>
          <w:rFonts w:hint="eastAsia" w:ascii="宋体" w:hAnsi="宋体"/>
          <w:color w:val="000000" w:themeColor="text1"/>
          <w:sz w:val="28"/>
          <w:szCs w:val="28"/>
          <w14:textFill>
            <w14:solidFill>
              <w14:schemeClr w14:val="tx1"/>
            </w14:solidFill>
          </w14:textFill>
        </w:rPr>
        <w:t>三、投标文件报价出现前后不一致的，按照下列规定修正：（1）大写金额和小写金额不一致的，以大写金额为准，但大写金额出现文字错误，导致金额无法判断的除外；（</w:t>
      </w:r>
      <w:r>
        <w:rPr>
          <w:rFonts w:ascii="宋体" w:hAnsi="宋体"/>
          <w:color w:val="000000" w:themeColor="text1"/>
          <w:sz w:val="28"/>
          <w:szCs w:val="28"/>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）单价金额小数点或者百分比有明显错位的，应以总价为准，并修改单价；（</w:t>
      </w:r>
      <w:r>
        <w:rPr>
          <w:rFonts w:ascii="宋体" w:hAnsi="宋体"/>
          <w:color w:val="000000" w:themeColor="text1"/>
          <w:sz w:val="28"/>
          <w:szCs w:val="28"/>
          <w14:textFill>
            <w14:solidFill>
              <w14:schemeClr w14:val="tx1"/>
            </w14:solidFill>
          </w14:textFill>
        </w:rPr>
        <w:t>3</w:t>
      </w:r>
      <w:r>
        <w:rPr>
          <w:rFonts w:hint="eastAsia" w:ascii="宋体" w:hAnsi="宋体"/>
          <w:color w:val="000000" w:themeColor="text1"/>
          <w:sz w:val="28"/>
          <w:szCs w:val="28"/>
          <w14:textFill>
            <w14:solidFill>
              <w14:schemeClr w14:val="tx1"/>
            </w14:solidFill>
          </w14:textFill>
        </w:rPr>
        <w:t>）总价金额与按单价汇总金额不一致的，以单价金额计算结果为准。</w:t>
      </w:r>
    </w:p>
    <w:p>
      <w:pPr>
        <w:tabs>
          <w:tab w:val="left" w:pos="1134"/>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cs="Arial"/>
          <w:color w:val="000000" w:themeColor="text1"/>
          <w:sz w:val="28"/>
          <w:szCs w:val="28"/>
          <w14:textFill>
            <w14:solidFill>
              <w14:schemeClr w14:val="tx1"/>
            </w14:solidFill>
          </w14:textFill>
        </w:rPr>
        <w:t>同时出现两种以上不一致的，按照前款规定的顺序修正。修正后的报价经投标人以书面形式通过政府采购云平台进行确认，并加盖投标人（法定名称）电子签章，投标人逾时确认的，其投标无效。</w:t>
      </w:r>
      <w:r>
        <w:rPr>
          <w:rFonts w:hint="eastAsia" w:ascii="宋体" w:hAnsi="宋体"/>
          <w:color w:val="000000" w:themeColor="text1"/>
          <w:sz w:val="28"/>
          <w:szCs w:val="28"/>
          <w14:textFill>
            <w14:solidFill>
              <w14:schemeClr w14:val="tx1"/>
            </w14:solidFill>
          </w14:textFill>
        </w:rPr>
        <w:t>如因断电、断网、系统故障或其他不可抗力等因素</w:t>
      </w:r>
      <w:r>
        <w:rPr>
          <w:rFonts w:hint="eastAsia" w:cs="Arial"/>
          <w:color w:val="000000" w:themeColor="text1"/>
          <w:sz w:val="28"/>
          <w:szCs w:val="28"/>
          <w14:textFill>
            <w14:solidFill>
              <w14:schemeClr w14:val="tx1"/>
            </w14:solidFill>
          </w14:textFill>
        </w:rPr>
        <w:t>，导致系统无法使用的，由投标人按评标委员会的要求进行澄清或者说明。</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投标保证金</w:t>
      </w:r>
      <w:bookmarkEnd w:id="59"/>
      <w:bookmarkEnd w:id="60"/>
      <w:bookmarkEnd w:id="61"/>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cs="Arial"/>
          <w:color w:val="000000" w:themeColor="text1"/>
          <w:sz w:val="28"/>
          <w:szCs w:val="28"/>
          <w14:textFill>
            <w14:solidFill>
              <w14:schemeClr w14:val="tx1"/>
            </w14:solidFill>
          </w14:textFill>
        </w:rPr>
        <w:t>本项目不收取投标保证金。</w:t>
      </w:r>
    </w:p>
    <w:p>
      <w:pPr>
        <w:keepNext/>
        <w:keepLines/>
        <w:numPr>
          <w:ilvl w:val="2"/>
          <w:numId w:val="1"/>
        </w:numPr>
        <w:tabs>
          <w:tab w:val="left" w:pos="851"/>
        </w:tabs>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62" w:name="_Toc316291400"/>
      <w:bookmarkEnd w:id="62"/>
      <w:bookmarkStart w:id="63" w:name="_Toc316292024"/>
      <w:bookmarkEnd w:id="63"/>
      <w:bookmarkStart w:id="64" w:name="_Toc217446051"/>
      <w:bookmarkStart w:id="65" w:name="_Toc183582224"/>
      <w:bookmarkStart w:id="66" w:name="_Toc183682361"/>
      <w:r>
        <w:rPr>
          <w:rFonts w:hint="eastAsia" w:ascii="宋体" w:hAnsi="宋体"/>
          <w:b/>
          <w:bCs/>
          <w:color w:val="000000" w:themeColor="text1"/>
          <w:sz w:val="28"/>
          <w:szCs w:val="28"/>
          <w14:textFill>
            <w14:solidFill>
              <w14:schemeClr w14:val="tx1"/>
            </w14:solidFill>
          </w14:textFill>
        </w:rPr>
        <w:t>投标有效期</w:t>
      </w:r>
      <w:bookmarkEnd w:id="64"/>
      <w:bookmarkEnd w:id="65"/>
      <w:bookmarkEnd w:id="66"/>
    </w:p>
    <w:p>
      <w:pPr>
        <w:numPr>
          <w:ilvl w:val="0"/>
          <w:numId w:val="24"/>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投标有效期为</w:t>
      </w:r>
      <w:r>
        <w:rPr>
          <w:rFonts w:hint="eastAsia" w:ascii="Helvetica" w:hAnsi="Helvetica" w:cs="Helvetica"/>
          <w:color w:val="000000" w:themeColor="text1"/>
          <w:sz w:val="28"/>
          <w:szCs w:val="28"/>
          <w14:textFill>
            <w14:solidFill>
              <w14:schemeClr w14:val="tx1"/>
            </w14:solidFill>
          </w14:textFill>
        </w:rPr>
        <w:t>提交投标文件的截止之日起</w:t>
      </w:r>
      <w:r>
        <w:rPr>
          <w:rFonts w:ascii="宋体" w:hAnsi="宋体"/>
          <w:color w:val="000000" w:themeColor="text1"/>
          <w:sz w:val="28"/>
          <w:szCs w:val="28"/>
          <w:u w:val="single"/>
          <w14:textFill>
            <w14:solidFill>
              <w14:schemeClr w14:val="tx1"/>
            </w14:solidFill>
          </w14:textFill>
        </w:rPr>
        <w:t>120</w:t>
      </w:r>
      <w:r>
        <w:rPr>
          <w:rFonts w:hint="eastAsia" w:ascii="宋体" w:hAnsi="宋体"/>
          <w:color w:val="000000" w:themeColor="text1"/>
          <w:sz w:val="28"/>
          <w:szCs w:val="28"/>
          <w14:textFill>
            <w14:solidFill>
              <w14:schemeClr w14:val="tx1"/>
            </w14:solidFill>
          </w14:textFill>
        </w:rPr>
        <w:t>天。投标有效期短于此规定期限的或不作响应的，则其投标文件将按无效投标文件处理。</w:t>
      </w:r>
    </w:p>
    <w:p>
      <w:pPr>
        <w:numPr>
          <w:ilvl w:val="0"/>
          <w:numId w:val="24"/>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pPr>
        <w:pStyle w:val="4"/>
        <w:tabs>
          <w:tab w:val="left" w:pos="851"/>
        </w:tabs>
        <w:spacing w:after="200" w:line="240" w:lineRule="auto"/>
        <w:ind w:left="0" w:firstLine="0"/>
        <w:rPr>
          <w:color w:val="000000" w:themeColor="text1"/>
          <w14:textFill>
            <w14:solidFill>
              <w14:schemeClr w14:val="tx1"/>
            </w14:solidFill>
          </w14:textFill>
        </w:rPr>
      </w:pPr>
      <w:bookmarkStart w:id="67" w:name="_Toc183582227"/>
      <w:bookmarkStart w:id="68" w:name="_Toc183682364"/>
      <w:bookmarkStart w:id="69" w:name="_Toc217446054"/>
      <w:r>
        <w:rPr>
          <w:rFonts w:hint="eastAsia"/>
          <w:color w:val="000000" w:themeColor="text1"/>
          <w14:textFill>
            <w14:solidFill>
              <w14:schemeClr w14:val="tx1"/>
            </w14:solidFill>
          </w14:textFill>
        </w:rPr>
        <w:t>投标文件的制作和签章、加密</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一、投标文件应根据招标文件的要求进行制作。（说明：1、招标文件中要求提供复印件证明材料的，包含提供原件的影印件或复印件。2、要求提供复印件的证明材料须清晰可辨。）</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二、投标文件制作详情：</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本项目实行电子投标。投标人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投标人应按招标文件要求，通过“政采云投标客户端”制作、加密并提交投标文件。</w:t>
      </w:r>
    </w:p>
    <w:p>
      <w:pPr>
        <w:spacing w:line="360" w:lineRule="auto"/>
        <w:ind w:firstLine="562" w:firstLineChars="200"/>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2、投标文件应加盖投标人（法定名称）电子签章，不得使用投标人专用章（如经济合同章、投标专用章等）或下属单位印章代替。</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3、投标人应使用本企业CA数字证书对投标文件进行加密。</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4、招标文件有修改的，投标人须重新下载修改后的招标文件（修改后的招标文件在更正公告中下载），根据修改后的招标文件制作、撤回修改，并递交投标文件。</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5、使用“政府采购云平台”（含政采云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p>
      <w:pPr>
        <w:pStyle w:val="4"/>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投标文件的</w:t>
      </w:r>
      <w:bookmarkEnd w:id="67"/>
      <w:bookmarkEnd w:id="68"/>
      <w:r>
        <w:rPr>
          <w:rFonts w:hint="eastAsia"/>
          <w:color w:val="000000" w:themeColor="text1"/>
          <w14:textFill>
            <w14:solidFill>
              <w14:schemeClr w14:val="tx1"/>
            </w14:solidFill>
          </w14:textFill>
        </w:rPr>
        <w:t>递交</w:t>
      </w:r>
      <w:bookmarkEnd w:id="69"/>
    </w:p>
    <w:p>
      <w:pPr>
        <w:tabs>
          <w:tab w:val="left" w:pos="0"/>
        </w:tabs>
        <w:spacing w:line="360" w:lineRule="auto"/>
        <w:ind w:firstLine="420" w:firstLineChars="150"/>
        <w:rPr>
          <w:rFonts w:ascii="宋体" w:hAnsi="宋体" w:eastAsiaTheme="minorEastAsia" w:cstheme="minorBidi"/>
          <w:bCs/>
          <w:color w:val="000000" w:themeColor="text1"/>
          <w:sz w:val="28"/>
          <w:szCs w:val="28"/>
          <w14:textFill>
            <w14:solidFill>
              <w14:schemeClr w14:val="tx1"/>
            </w14:solidFill>
          </w14:textFill>
        </w:rPr>
      </w:pPr>
      <w:bookmarkStart w:id="70" w:name="_Toc316475587"/>
      <w:bookmarkEnd w:id="70"/>
      <w:bookmarkStart w:id="71" w:name="_Toc316475586"/>
      <w:bookmarkEnd w:id="71"/>
      <w:bookmarkStart w:id="72" w:name="_Toc183682365"/>
      <w:bookmarkStart w:id="73" w:name="_Toc217446055"/>
      <w:bookmarkStart w:id="74" w:name="_Toc183582228"/>
      <w:r>
        <w:rPr>
          <w:rFonts w:hint="eastAsia" w:ascii="宋体" w:hAnsi="宋体" w:eastAsiaTheme="minorEastAsia" w:cstheme="minorBidi"/>
          <w:bCs/>
          <w:color w:val="000000" w:themeColor="text1"/>
          <w:sz w:val="28"/>
          <w:szCs w:val="28"/>
          <w14:textFill>
            <w14:solidFill>
              <w14:schemeClr w14:val="tx1"/>
            </w14:solidFill>
          </w14:textFill>
        </w:rPr>
        <w:t>一、投标人应当在投标文件递交截止时间前，将生成的已加密的投标文件成功递交至“政府采购云平台”。</w:t>
      </w:r>
    </w:p>
    <w:p>
      <w:pPr>
        <w:tabs>
          <w:tab w:val="left" w:pos="0"/>
        </w:tabs>
        <w:spacing w:line="360" w:lineRule="auto"/>
        <w:ind w:firstLine="420" w:firstLineChars="150"/>
        <w:rPr>
          <w:rFonts w:ascii="宋体" w:hAnsi="宋体" w:eastAsiaTheme="minorEastAsia" w:cstheme="minorBidi"/>
          <w:bCs/>
          <w:color w:val="000000" w:themeColor="text1"/>
          <w:sz w:val="28"/>
          <w:szCs w:val="28"/>
          <w14:textFill>
            <w14:solidFill>
              <w14:schemeClr w14:val="tx1"/>
            </w14:solidFill>
          </w14:textFill>
        </w:rPr>
      </w:pPr>
      <w:r>
        <w:rPr>
          <w:rFonts w:hint="eastAsia" w:ascii="宋体" w:hAnsi="宋体" w:eastAsiaTheme="minorEastAsia" w:cstheme="minorBidi"/>
          <w:bCs/>
          <w:color w:val="000000" w:themeColor="text1"/>
          <w:sz w:val="28"/>
          <w:szCs w:val="28"/>
          <w14:textFill>
            <w14:solidFill>
              <w14:schemeClr w14:val="tx1"/>
            </w14:solidFill>
          </w14:textFill>
        </w:rPr>
        <w:t>二、因招标文件的修改推迟投标截止日期的，投标人按成都市青羊区政府采购服务中心在“四川政府采购网”和“成都市公共资源交易服务中心”网站上发布的澄清公告中修改的时间递交投标文件，同时通过“政府采购云平台”将澄清或者修改的内容告知所有在系统中成功获取招标文件的潜在投标人。</w:t>
      </w:r>
    </w:p>
    <w:p>
      <w:pPr>
        <w:tabs>
          <w:tab w:val="left" w:pos="0"/>
        </w:tabs>
        <w:spacing w:line="360" w:lineRule="auto"/>
        <w:ind w:firstLine="420" w:firstLineChars="150"/>
        <w:rPr>
          <w:rFonts w:ascii="宋体" w:hAnsi="宋体"/>
          <w:bCs/>
          <w:color w:val="000000" w:themeColor="text1"/>
          <w:sz w:val="28"/>
          <w:szCs w:val="28"/>
          <w14:textFill>
            <w14:solidFill>
              <w14:schemeClr w14:val="tx1"/>
            </w14:solidFill>
          </w14:textFill>
        </w:rPr>
      </w:pPr>
      <w:r>
        <w:rPr>
          <w:rFonts w:hint="eastAsia" w:ascii="宋体" w:hAnsi="宋体" w:eastAsiaTheme="minorEastAsia" w:cstheme="minorBidi"/>
          <w:bCs/>
          <w:color w:val="000000" w:themeColor="text1"/>
          <w:sz w:val="28"/>
          <w:szCs w:val="28"/>
          <w14:textFill>
            <w14:solidFill>
              <w14:schemeClr w14:val="tx1"/>
            </w14:solidFill>
          </w14:textFill>
        </w:rPr>
        <w:t>三、投标人应充分考虑递交文件的不可预见因素，未在投标截止时间前完成递交的，在投标截止时间后将无法递交</w:t>
      </w:r>
      <w:r>
        <w:rPr>
          <w:rFonts w:hint="eastAsia" w:ascii="宋体" w:hAnsi="宋体"/>
          <w:bCs/>
          <w:color w:val="000000" w:themeColor="text1"/>
          <w:sz w:val="28"/>
          <w:szCs w:val="28"/>
          <w14:textFill>
            <w14:solidFill>
              <w14:schemeClr w14:val="tx1"/>
            </w14:solidFill>
          </w14:textFill>
        </w:rPr>
        <w:t>。</w:t>
      </w:r>
    </w:p>
    <w:p>
      <w:pPr>
        <w:pStyle w:val="4"/>
        <w:spacing w:after="200" w:line="276"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投标文件的</w:t>
      </w:r>
      <w:bookmarkEnd w:id="72"/>
      <w:bookmarkEnd w:id="73"/>
      <w:bookmarkEnd w:id="74"/>
      <w:r>
        <w:rPr>
          <w:rFonts w:hint="eastAsia"/>
          <w:color w:val="000000" w:themeColor="text1"/>
          <w14:textFill>
            <w14:solidFill>
              <w14:schemeClr w14:val="tx1"/>
            </w14:solidFill>
          </w14:textFill>
        </w:rPr>
        <w:t>补充、修改</w:t>
      </w:r>
    </w:p>
    <w:p>
      <w:pPr>
        <w:numPr>
          <w:ilvl w:val="0"/>
          <w:numId w:val="25"/>
        </w:numPr>
        <w:tabs>
          <w:tab w:val="left" w:pos="1134"/>
        </w:tabs>
        <w:spacing w:before="120" w:after="200"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numPr>
          <w:ilvl w:val="0"/>
          <w:numId w:val="25"/>
        </w:numPr>
        <w:tabs>
          <w:tab w:val="left" w:pos="1134"/>
        </w:tabs>
        <w:spacing w:before="120" w:after="200"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在投标截止时间之后，投标人不得对其递交的投标文件做任何补充、修改。</w:t>
      </w:r>
    </w:p>
    <w:p>
      <w:pPr>
        <w:pStyle w:val="4"/>
        <w:spacing w:after="200" w:line="276"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投标文件的撤回</w:t>
      </w:r>
    </w:p>
    <w:p>
      <w:pPr>
        <w:spacing w:before="120" w:after="200" w:line="360" w:lineRule="auto"/>
        <w:ind w:firstLine="565" w:firstLineChars="202"/>
        <w:rPr>
          <w:rFonts w:ascii="宋体" w:hAnsi="宋体"/>
          <w:bCs/>
          <w:color w:val="000000" w:themeColor="text1"/>
          <w:sz w:val="28"/>
          <w:szCs w:val="28"/>
          <w14:textFill>
            <w14:solidFill>
              <w14:schemeClr w14:val="tx1"/>
            </w14:solidFill>
          </w14:textFill>
        </w:rPr>
      </w:pPr>
      <w:bookmarkStart w:id="75" w:name="_Toc183582231"/>
      <w:bookmarkStart w:id="76" w:name="_Toc183682368"/>
      <w:bookmarkStart w:id="77" w:name="_Toc89075878"/>
      <w:bookmarkStart w:id="78" w:name="_Toc217446056"/>
      <w:bookmarkStart w:id="79" w:name="_Toc77400782"/>
      <w:r>
        <w:rPr>
          <w:rFonts w:hint="eastAsia" w:ascii="宋体" w:hAnsi="宋体"/>
          <w:bCs/>
          <w:color w:val="000000" w:themeColor="text1"/>
          <w:sz w:val="28"/>
          <w:szCs w:val="28"/>
          <w14:textFill>
            <w14:solidFill>
              <w14:schemeClr w14:val="tx1"/>
            </w14:solidFill>
          </w14:textFill>
        </w:rPr>
        <w:t>在投标截止时间之前，投标人可对已递交的投标文件进行撤回。在投标截止时间之后，投标人不得撤回投标文件。</w:t>
      </w:r>
    </w:p>
    <w:p>
      <w:pPr>
        <w:pStyle w:val="4"/>
        <w:spacing w:after="200" w:line="276"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投标文件的解密</w:t>
      </w:r>
    </w:p>
    <w:p>
      <w:pPr>
        <w:tabs>
          <w:tab w:val="left" w:pos="1134"/>
        </w:tabs>
        <w:spacing w:before="120" w:line="360" w:lineRule="auto"/>
        <w:ind w:firstLine="565" w:firstLineChars="202"/>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投标人</w:t>
      </w:r>
      <w:r>
        <w:rPr>
          <w:rFonts w:hint="eastAsia" w:ascii="宋体" w:hAnsi="宋体"/>
          <w:color w:val="000000" w:themeColor="text1"/>
          <w:sz w:val="28"/>
          <w:szCs w:val="28"/>
          <w14:textFill>
            <w14:solidFill>
              <w14:schemeClr w14:val="tx1"/>
            </w14:solidFill>
          </w14:textFill>
        </w:rPr>
        <w:t>登录政府采购云平台，点击“项目采购—开标评标”模块，找到对应项目，进入“开标大厅”，等待区政府采购服务中心开启解密后，进行线上解密。</w:t>
      </w:r>
      <w:r>
        <w:rPr>
          <w:rFonts w:hint="eastAsia" w:ascii="宋体" w:hAnsi="宋体"/>
          <w:bCs/>
          <w:color w:val="000000" w:themeColor="text1"/>
          <w:sz w:val="28"/>
          <w:szCs w:val="28"/>
          <w14:textFill>
            <w14:solidFill>
              <w14:schemeClr w14:val="tx1"/>
            </w14:solidFill>
          </w14:textFill>
        </w:rPr>
        <w:t>除因断电、断网、系统故障或其他不可抗力等因素，导致系统无法使用外，投标人在规定的解密时间内，未成功解密的投标文件将视为无效投标文件。</w:t>
      </w:r>
    </w:p>
    <w:p>
      <w:pPr>
        <w:keepNext/>
        <w:keepLines/>
        <w:numPr>
          <w:ilvl w:val="1"/>
          <w:numId w:val="1"/>
        </w:numPr>
        <w:spacing w:line="360" w:lineRule="auto"/>
        <w:jc w:val="left"/>
        <w:outlineLvl w:val="1"/>
        <w:rPr>
          <w:rFonts w:ascii="宋体" w:hAnsi="宋体"/>
          <w:b/>
          <w:bCs/>
          <w:color w:val="000000" w:themeColor="text1"/>
          <w:sz w:val="28"/>
          <w:szCs w:val="28"/>
          <w14:textFill>
            <w14:solidFill>
              <w14:schemeClr w14:val="tx1"/>
            </w14:solidFill>
          </w14:textFill>
        </w:rPr>
      </w:pPr>
      <w:bookmarkStart w:id="80" w:name="_Toc76541350"/>
      <w:r>
        <w:rPr>
          <w:rFonts w:hint="eastAsia" w:ascii="宋体" w:hAnsi="宋体"/>
          <w:b/>
          <w:bCs/>
          <w:color w:val="000000" w:themeColor="text1"/>
          <w:sz w:val="28"/>
          <w:szCs w:val="28"/>
          <w14:textFill>
            <w14:solidFill>
              <w14:schemeClr w14:val="tx1"/>
            </w14:solidFill>
          </w14:textFill>
        </w:rPr>
        <w:t>开标、资格审查、评标和中标</w:t>
      </w:r>
      <w:bookmarkEnd w:id="75"/>
      <w:bookmarkEnd w:id="76"/>
      <w:bookmarkEnd w:id="77"/>
      <w:bookmarkEnd w:id="78"/>
      <w:bookmarkEnd w:id="79"/>
      <w:bookmarkEnd w:id="80"/>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81" w:name="_Toc183582232"/>
      <w:bookmarkStart w:id="82" w:name="_Toc217446057"/>
      <w:bookmarkStart w:id="83" w:name="_Toc183682369"/>
      <w:r>
        <w:rPr>
          <w:rFonts w:hint="eastAsia" w:ascii="宋体" w:hAnsi="宋体"/>
          <w:b/>
          <w:bCs/>
          <w:color w:val="000000" w:themeColor="text1"/>
          <w:sz w:val="28"/>
          <w:szCs w:val="28"/>
          <w14:textFill>
            <w14:solidFill>
              <w14:schemeClr w14:val="tx1"/>
            </w14:solidFill>
          </w14:textFill>
        </w:rPr>
        <w:t>开标</w:t>
      </w:r>
      <w:bookmarkEnd w:id="81"/>
      <w:bookmarkEnd w:id="82"/>
      <w:bookmarkEnd w:id="83"/>
      <w:r>
        <w:rPr>
          <w:rFonts w:hint="eastAsia" w:ascii="宋体" w:hAnsi="宋体"/>
          <w:b/>
          <w:bCs/>
          <w:color w:val="000000" w:themeColor="text1"/>
          <w:sz w:val="28"/>
          <w:szCs w:val="28"/>
          <w14:textFill>
            <w14:solidFill>
              <w14:schemeClr w14:val="tx1"/>
            </w14:solidFill>
          </w14:textFill>
        </w:rPr>
        <w:t>及开标程序</w:t>
      </w:r>
    </w:p>
    <w:p>
      <w:pPr>
        <w:pStyle w:val="79"/>
        <w:numPr>
          <w:ilvl w:val="0"/>
          <w:numId w:val="26"/>
        </w:numPr>
        <w:tabs>
          <w:tab w:val="left" w:pos="1134"/>
        </w:tabs>
        <w:spacing w:before="120" w:after="200" w:line="360" w:lineRule="auto"/>
        <w:ind w:left="0" w:right="210" w:firstLine="567" w:firstLineChars="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本项目为不见面开标项目。递交投标文件的投标人不足3家的，不予开标。</w:t>
      </w:r>
    </w:p>
    <w:p>
      <w:pPr>
        <w:pStyle w:val="79"/>
        <w:numPr>
          <w:ilvl w:val="0"/>
          <w:numId w:val="26"/>
        </w:numPr>
        <w:tabs>
          <w:tab w:val="left" w:pos="1134"/>
        </w:tabs>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开标准备工作。投标人需在开标当日、投标截止时间前登录“政府采购云平台”，通过“开标大厅”参与不见面开标。登录成都市公共资源交易服务中心门户网站（https://www.cdggzy.com/）—政府采购云平台—项目采购—开标评标—开标大厅（找到对应项目）。提示：投标人未按时登录不见面开标系统，错过开标解密时间的，由投标人自行承担不利后果。</w:t>
      </w:r>
    </w:p>
    <w:p>
      <w:pPr>
        <w:pStyle w:val="79"/>
        <w:numPr>
          <w:ilvl w:val="0"/>
          <w:numId w:val="26"/>
        </w:numPr>
        <w:tabs>
          <w:tab w:val="left" w:pos="1134"/>
        </w:tabs>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解密投标文件投标文件。等待区采购中心开启解密后，投标人进行线上解密。开启解密后，投标人应在60分钟内，使用加密该投标文件的CA数字证书在线完成投标文件的解密。除因断电、断网、系统故障或其他不可抗力等因素，导致系统无法使用外，投标人在规定的解密时间内，未成功解密的投标文件将视为无效投标文件。</w:t>
      </w:r>
    </w:p>
    <w:p>
      <w:pPr>
        <w:pStyle w:val="79"/>
        <w:numPr>
          <w:ilvl w:val="0"/>
          <w:numId w:val="26"/>
        </w:numPr>
        <w:tabs>
          <w:tab w:val="left" w:pos="1134"/>
        </w:tabs>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pStyle w:val="79"/>
        <w:numPr>
          <w:ilvl w:val="0"/>
          <w:numId w:val="26"/>
        </w:numPr>
        <w:tabs>
          <w:tab w:val="left" w:pos="1134"/>
        </w:tabs>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投标人电脑终端等硬件设备和软件系统配置：投标人电脑终端等硬件设备和软件系统配置应符合电子投标（含不见面开标大厅）投标人电脑终端配置要求并运行正常，投标人承担因未尽职责产生的不利后果。</w:t>
      </w:r>
    </w:p>
    <w:p>
      <w:pPr>
        <w:pStyle w:val="79"/>
        <w:numPr>
          <w:ilvl w:val="0"/>
          <w:numId w:val="26"/>
        </w:numPr>
        <w:tabs>
          <w:tab w:val="left" w:pos="1134"/>
        </w:tabs>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因断电、断网、系统故障或其他不可抗力等因素导致不见面开标系统无法正常运行的，开标活动中止或延迟，待系统恢复正常后继续进行开标活动。</w:t>
      </w:r>
    </w:p>
    <w:p>
      <w:pPr>
        <w:pStyle w:val="79"/>
        <w:numPr>
          <w:ilvl w:val="0"/>
          <w:numId w:val="26"/>
        </w:numPr>
        <w:tabs>
          <w:tab w:val="left" w:pos="1134"/>
        </w:tabs>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不见面开标过程中，各方主体均应遵守互联网有关规定，不得发表与交易活动无关的言论。</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资格审查</w:t>
      </w:r>
    </w:p>
    <w:p>
      <w:pPr>
        <w:spacing w:line="360" w:lineRule="auto"/>
        <w:ind w:firstLine="49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详见招标文件第5章。</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评标</w:t>
      </w:r>
    </w:p>
    <w:p>
      <w:pPr>
        <w:spacing w:line="360" w:lineRule="auto"/>
        <w:ind w:firstLine="49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详见招标文件第6章。</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84" w:name="_Toc183682375"/>
      <w:bookmarkStart w:id="85" w:name="_Toc183582238"/>
      <w:bookmarkStart w:id="86" w:name="_Toc217446063"/>
      <w:r>
        <w:rPr>
          <w:rFonts w:hint="eastAsia" w:ascii="宋体" w:hAnsi="宋体"/>
          <w:b/>
          <w:bCs/>
          <w:color w:val="000000" w:themeColor="text1"/>
          <w:sz w:val="28"/>
          <w:szCs w:val="28"/>
          <w14:textFill>
            <w14:solidFill>
              <w14:schemeClr w14:val="tx1"/>
            </w14:solidFill>
          </w14:textFill>
        </w:rPr>
        <w:t>中标通知</w:t>
      </w:r>
      <w:bookmarkEnd w:id="84"/>
      <w:bookmarkEnd w:id="85"/>
      <w:r>
        <w:rPr>
          <w:rFonts w:hint="eastAsia" w:ascii="宋体" w:hAnsi="宋体"/>
          <w:b/>
          <w:bCs/>
          <w:color w:val="000000" w:themeColor="text1"/>
          <w:sz w:val="28"/>
          <w:szCs w:val="28"/>
          <w14:textFill>
            <w14:solidFill>
              <w14:schemeClr w14:val="tx1"/>
            </w14:solidFill>
          </w14:textFill>
        </w:rPr>
        <w:t>书</w:t>
      </w:r>
      <w:bookmarkEnd w:id="86"/>
    </w:p>
    <w:p>
      <w:pPr>
        <w:spacing w:line="580" w:lineRule="exact"/>
        <w:ind w:right="210" w:firstLine="560" w:firstLineChars="200"/>
        <w:rPr>
          <w:rFonts w:ascii="宋体" w:hAnsi="宋体"/>
          <w:color w:val="000000" w:themeColor="text1"/>
          <w:sz w:val="28"/>
          <w:szCs w:val="28"/>
          <w14:textFill>
            <w14:solidFill>
              <w14:schemeClr w14:val="tx1"/>
            </w14:solidFill>
          </w14:textFill>
        </w:rPr>
      </w:pPr>
      <w:bookmarkStart w:id="87" w:name="_Toc217446064"/>
      <w:bookmarkStart w:id="88" w:name="_Toc183582240"/>
      <w:bookmarkStart w:id="89" w:name="_Toc183682377"/>
      <w:r>
        <w:rPr>
          <w:rFonts w:hint="eastAsia" w:ascii="宋体" w:hAnsi="宋体"/>
          <w:color w:val="000000" w:themeColor="text1"/>
          <w:sz w:val="28"/>
          <w:szCs w:val="28"/>
          <w14:textFill>
            <w14:solidFill>
              <w14:schemeClr w14:val="tx1"/>
            </w14:solidFill>
          </w14:textFill>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pPr>
        <w:spacing w:line="58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二、中标通知书对采购人和中标人均具有法律效力。中标通知书发出后，采购人改变中标结果，或者中标人无正当理由放弃中标的，应当承担相应的法律责任。</w:t>
      </w:r>
    </w:p>
    <w:p>
      <w:pPr>
        <w:spacing w:line="58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三、中标公告在四川政府采购网上公告后，中标供应商自行登录政府</w:t>
      </w:r>
      <w:r>
        <w:rPr>
          <w:rFonts w:ascii="宋体" w:hAnsi="宋体"/>
          <w:color w:val="000000" w:themeColor="text1"/>
          <w:sz w:val="28"/>
          <w:szCs w:val="28"/>
          <w14:textFill>
            <w14:solidFill>
              <w14:schemeClr w14:val="tx1"/>
            </w14:solidFill>
          </w14:textFill>
        </w:rPr>
        <w:t>采购</w:t>
      </w:r>
      <w:r>
        <w:rPr>
          <w:rFonts w:hint="eastAsia" w:ascii="宋体" w:hAnsi="宋体"/>
          <w:color w:val="000000" w:themeColor="text1"/>
          <w:sz w:val="28"/>
          <w:szCs w:val="28"/>
          <w14:textFill>
            <w14:solidFill>
              <w14:schemeClr w14:val="tx1"/>
            </w14:solidFill>
          </w14:textFill>
        </w:rPr>
        <w:t>云平台下载中标通知书。</w:t>
      </w:r>
    </w:p>
    <w:p>
      <w:pPr>
        <w:keepNext/>
        <w:keepLines/>
        <w:numPr>
          <w:ilvl w:val="1"/>
          <w:numId w:val="1"/>
        </w:numPr>
        <w:spacing w:before="240" w:line="360" w:lineRule="auto"/>
        <w:jc w:val="left"/>
        <w:outlineLvl w:val="1"/>
        <w:rPr>
          <w:rFonts w:ascii="宋体" w:hAnsi="宋体"/>
          <w:b/>
          <w:bCs/>
          <w:color w:val="000000" w:themeColor="text1"/>
          <w:sz w:val="28"/>
          <w:szCs w:val="28"/>
          <w14:textFill>
            <w14:solidFill>
              <w14:schemeClr w14:val="tx1"/>
            </w14:solidFill>
          </w14:textFill>
        </w:rPr>
      </w:pPr>
      <w:bookmarkStart w:id="90" w:name="_Toc76541351"/>
      <w:r>
        <w:rPr>
          <w:rFonts w:hint="eastAsia" w:ascii="宋体" w:hAnsi="宋体"/>
          <w:b/>
          <w:bCs/>
          <w:color w:val="000000" w:themeColor="text1"/>
          <w:sz w:val="28"/>
          <w:szCs w:val="28"/>
          <w14:textFill>
            <w14:solidFill>
              <w14:schemeClr w14:val="tx1"/>
            </w14:solidFill>
          </w14:textFill>
        </w:rPr>
        <w:t>签订及履行合同和验收</w:t>
      </w:r>
      <w:bookmarkEnd w:id="87"/>
      <w:bookmarkEnd w:id="90"/>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91" w:name="_Toc217446065"/>
      <w:r>
        <w:rPr>
          <w:rFonts w:hint="eastAsia" w:ascii="宋体" w:hAnsi="宋体"/>
          <w:b/>
          <w:bCs/>
          <w:color w:val="000000" w:themeColor="text1"/>
          <w:sz w:val="28"/>
          <w:szCs w:val="28"/>
          <w14:textFill>
            <w14:solidFill>
              <w14:schemeClr w14:val="tx1"/>
            </w14:solidFill>
          </w14:textFill>
        </w:rPr>
        <w:t>签订合同</w:t>
      </w:r>
      <w:bookmarkEnd w:id="91"/>
    </w:p>
    <w:p>
      <w:pPr>
        <w:tabs>
          <w:tab w:val="left" w:pos="1134"/>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pPr>
        <w:tabs>
          <w:tab w:val="left" w:pos="1134"/>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二、采购人不得向中标人提出任何不合理的要求，作为签订合同的条件，不得与中标人私下订立背离合同实质性内容的任何协议，所签订的合同不得对招标文件和中标人投标文件作实质性修改。</w:t>
      </w:r>
    </w:p>
    <w:p>
      <w:pPr>
        <w:tabs>
          <w:tab w:val="left" w:pos="1134"/>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三、招标文件、投标文件、中标通知书等一切与本项目评标结果有关且经责任主体确认的资料均为合同的有效组成部分。</w:t>
      </w:r>
    </w:p>
    <w:p>
      <w:pPr>
        <w:tabs>
          <w:tab w:val="left" w:pos="1134"/>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四、询问或者质疑事项可能影响中标、成交结果的，采购人应当暂停签订合同，已经签订合同的，应当中止履行合同。</w:t>
      </w:r>
    </w:p>
    <w:p>
      <w:pPr>
        <w:keepNext/>
        <w:keepLines/>
        <w:numPr>
          <w:ilvl w:val="2"/>
          <w:numId w:val="1"/>
        </w:numPr>
        <w:spacing w:line="360" w:lineRule="auto"/>
        <w:ind w:left="3119" w:hanging="3119"/>
        <w:outlineLvl w:val="2"/>
        <w:rPr>
          <w:rFonts w:ascii="宋体" w:hAnsi="宋体"/>
          <w:b/>
          <w:bCs/>
          <w:color w:val="000000" w:themeColor="text1"/>
          <w:sz w:val="28"/>
          <w:szCs w:val="28"/>
          <w14:textFill>
            <w14:solidFill>
              <w14:schemeClr w14:val="tx1"/>
            </w14:solidFill>
          </w14:textFill>
        </w:rPr>
      </w:pPr>
      <w:bookmarkStart w:id="92" w:name="_Toc315871033"/>
      <w:bookmarkEnd w:id="92"/>
      <w:bookmarkStart w:id="93" w:name="_Toc217446066"/>
      <w:r>
        <w:rPr>
          <w:rFonts w:hint="eastAsia" w:ascii="宋体" w:hAnsi="宋体"/>
          <w:b/>
          <w:bCs/>
          <w:color w:val="000000" w:themeColor="text1"/>
          <w:sz w:val="28"/>
          <w:szCs w:val="28"/>
          <w14:textFill>
            <w14:solidFill>
              <w14:schemeClr w14:val="tx1"/>
            </w14:solidFill>
          </w14:textFill>
        </w:rPr>
        <w:t>合同分包</w:t>
      </w:r>
      <w:bookmarkEnd w:id="93"/>
      <w:r>
        <w:rPr>
          <w:rFonts w:hint="eastAsia" w:ascii="宋体" w:hAnsi="宋体"/>
          <w:b/>
          <w:bCs/>
          <w:color w:val="000000" w:themeColor="text1"/>
          <w:sz w:val="28"/>
          <w:szCs w:val="28"/>
          <w14:textFill>
            <w14:solidFill>
              <w14:schemeClr w14:val="tx1"/>
            </w14:solidFill>
          </w14:textFill>
        </w:rPr>
        <w:t>和转包</w:t>
      </w:r>
    </w:p>
    <w:p>
      <w:pPr>
        <w:keepNext/>
        <w:keepLines/>
        <w:numPr>
          <w:ilvl w:val="3"/>
          <w:numId w:val="1"/>
        </w:numPr>
        <w:spacing w:line="360" w:lineRule="auto"/>
        <w:ind w:left="1275" w:hanging="1275"/>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合同分包</w:t>
      </w:r>
    </w:p>
    <w:p>
      <w:pPr>
        <w:pStyle w:val="119"/>
        <w:spacing w:line="360" w:lineRule="auto"/>
        <w:ind w:firstLine="560" w:firstLineChars="200"/>
        <w:rPr>
          <w:rFonts w:cs="Times New Roman" w:eastAsiaTheme="minorEastAsia"/>
          <w:color w:val="000000" w:themeColor="text1"/>
          <w:sz w:val="28"/>
          <w:szCs w:val="28"/>
          <w:lang w:val="zh-CN"/>
          <w14:textFill>
            <w14:solidFill>
              <w14:schemeClr w14:val="tx1"/>
            </w14:solidFill>
          </w14:textFill>
        </w:rPr>
      </w:pPr>
      <w:r>
        <w:rPr>
          <w:rFonts w:hint="eastAsia" w:cs="Times New Roman"/>
          <w:color w:val="000000" w:themeColor="text1"/>
          <w:sz w:val="28"/>
          <w:szCs w:val="28"/>
          <w:lang w:val="zh-CN"/>
          <w14:textFill>
            <w14:solidFill>
              <w14:schemeClr w14:val="tx1"/>
            </w14:solidFill>
          </w14:textFill>
        </w:rPr>
        <w:t>本</w:t>
      </w:r>
      <w:r>
        <w:rPr>
          <w:rFonts w:cs="Times New Roman"/>
          <w:color w:val="000000" w:themeColor="text1"/>
          <w:sz w:val="28"/>
          <w:szCs w:val="28"/>
          <w:lang w:val="zh-CN"/>
          <w14:textFill>
            <w14:solidFill>
              <w14:schemeClr w14:val="tx1"/>
            </w14:solidFill>
          </w14:textFill>
        </w:rPr>
        <w:t>项目不允许分包</w:t>
      </w:r>
      <w:r>
        <w:rPr>
          <w:rFonts w:hint="eastAsia" w:cs="Times New Roman"/>
          <w:color w:val="000000" w:themeColor="text1"/>
          <w:sz w:val="28"/>
          <w:szCs w:val="28"/>
          <w:lang w:val="zh-CN"/>
          <w14:textFill>
            <w14:solidFill>
              <w14:schemeClr w14:val="tx1"/>
            </w14:solidFill>
          </w14:textFill>
        </w:rPr>
        <w:t xml:space="preserve"> </w:t>
      </w:r>
    </w:p>
    <w:p>
      <w:pPr>
        <w:keepNext/>
        <w:keepLines/>
        <w:numPr>
          <w:ilvl w:val="3"/>
          <w:numId w:val="1"/>
        </w:numPr>
        <w:spacing w:line="360" w:lineRule="auto"/>
        <w:ind w:left="1275" w:hanging="1275"/>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合同转包</w:t>
      </w:r>
    </w:p>
    <w:p>
      <w:pPr>
        <w:spacing w:line="360" w:lineRule="auto"/>
        <w:ind w:firstLine="560" w:firstLineChars="200"/>
        <w:rPr>
          <w:rFonts w:ascii="宋体" w:hAnsi="宋体" w:cs="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一、严禁中标供应商将本项目转包。本项目所称转包，是指</w:t>
      </w:r>
      <w:r>
        <w:rPr>
          <w:rFonts w:hint="eastAsia" w:ascii="宋体" w:hAnsi="宋体" w:cs="宋体"/>
          <w:color w:val="000000" w:themeColor="text1"/>
          <w:sz w:val="28"/>
          <w:szCs w:val="28"/>
          <w14:textFill>
            <w14:solidFill>
              <w14:schemeClr w14:val="tx1"/>
            </w14:solidFill>
          </w14:textFill>
        </w:rPr>
        <w:t xml:space="preserve">将本项目转给他人或者将本项目全部肢解以后以分包的名义分别转给他人的行为。 </w:t>
      </w:r>
    </w:p>
    <w:p>
      <w:pPr>
        <w:spacing w:line="360" w:lineRule="auto"/>
        <w:ind w:firstLine="49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二、中标供应商转包的，视同拒绝履行政府采购合同，将依法追究法律责任。</w:t>
      </w:r>
    </w:p>
    <w:p>
      <w:pPr>
        <w:keepNext/>
        <w:keepLines/>
        <w:numPr>
          <w:ilvl w:val="2"/>
          <w:numId w:val="1"/>
        </w:numPr>
        <w:spacing w:before="240" w:line="360" w:lineRule="auto"/>
        <w:ind w:left="0" w:firstLine="0"/>
        <w:outlineLvl w:val="2"/>
        <w:rPr>
          <w:rFonts w:ascii="宋体" w:hAnsi="宋体"/>
          <w:b/>
          <w:bCs/>
          <w:color w:val="000000" w:themeColor="text1"/>
          <w:sz w:val="28"/>
          <w:szCs w:val="28"/>
          <w14:textFill>
            <w14:solidFill>
              <w14:schemeClr w14:val="tx1"/>
            </w14:solidFill>
          </w14:textFill>
        </w:rPr>
      </w:pPr>
      <w:bookmarkStart w:id="94" w:name="_Toc217446067"/>
      <w:r>
        <w:rPr>
          <w:rFonts w:hint="eastAsia" w:ascii="宋体" w:hAnsi="宋体"/>
          <w:b/>
          <w:bCs/>
          <w:color w:val="000000" w:themeColor="text1"/>
          <w:sz w:val="28"/>
          <w:szCs w:val="28"/>
          <w14:textFill>
            <w14:solidFill>
              <w14:schemeClr w14:val="tx1"/>
            </w14:solidFill>
          </w14:textFill>
        </w:rPr>
        <w:t>采购人增加合同标的的权</w:t>
      </w:r>
      <w:bookmarkEnd w:id="94"/>
      <w:r>
        <w:rPr>
          <w:rFonts w:hint="eastAsia" w:ascii="宋体" w:hAnsi="宋体"/>
          <w:b/>
          <w:bCs/>
          <w:color w:val="000000" w:themeColor="text1"/>
          <w:sz w:val="28"/>
          <w:szCs w:val="28"/>
          <w14:textFill>
            <w14:solidFill>
              <w14:schemeClr w14:val="tx1"/>
            </w14:solidFill>
          </w14:textFill>
        </w:rPr>
        <w:t>利</w:t>
      </w:r>
    </w:p>
    <w:p>
      <w:pPr>
        <w:spacing w:after="180"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95" w:name="_Toc217446068"/>
      <w:r>
        <w:rPr>
          <w:rFonts w:hint="eastAsia" w:ascii="宋体" w:hAnsi="宋体"/>
          <w:b/>
          <w:bCs/>
          <w:color w:val="000000" w:themeColor="text1"/>
          <w:sz w:val="28"/>
          <w:szCs w:val="28"/>
          <w14:textFill>
            <w14:solidFill>
              <w14:schemeClr w14:val="tx1"/>
            </w14:solidFill>
          </w14:textFill>
        </w:rPr>
        <w:t>履约保证金</w:t>
      </w:r>
      <w:bookmarkEnd w:id="95"/>
    </w:p>
    <w:p>
      <w:pPr>
        <w:spacing w:line="360" w:lineRule="auto"/>
        <w:ind w:firstLine="49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本项目不收取履约保证金。</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96" w:name="_Toc217446069"/>
      <w:r>
        <w:rPr>
          <w:rFonts w:hint="eastAsia" w:ascii="宋体" w:hAnsi="宋体"/>
          <w:b/>
          <w:bCs/>
          <w:color w:val="000000" w:themeColor="text1"/>
          <w:sz w:val="28"/>
          <w:szCs w:val="28"/>
          <w14:textFill>
            <w14:solidFill>
              <w14:schemeClr w14:val="tx1"/>
            </w14:solidFill>
          </w14:textFill>
        </w:rPr>
        <w:t>合同公告</w:t>
      </w:r>
    </w:p>
    <w:p>
      <w:pPr>
        <w:spacing w:after="180"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采购人应当自政府采购合同签订之日起2个工作日内，在四川政府采购网公告，但政府采购合同中涉及国家秘密、商业秘密的内容除外。</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合同备案</w:t>
      </w:r>
    </w:p>
    <w:p>
      <w:pPr>
        <w:tabs>
          <w:tab w:val="left" w:pos="1134"/>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疫情防控期间，采购人原则上在5个工作日内与供应商签订政府采购合同及按成都市青羊区财政局的要求完成合同备案工作。</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履行合同</w:t>
      </w:r>
      <w:bookmarkEnd w:id="96"/>
    </w:p>
    <w:p>
      <w:pPr>
        <w:tabs>
          <w:tab w:val="left" w:pos="1134"/>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一、合同一经签订，双方应严格履行合同规定的义务。</w:t>
      </w:r>
    </w:p>
    <w:p>
      <w:pPr>
        <w:tabs>
          <w:tab w:val="left" w:pos="1134"/>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二、在合同履行过程中，如发生合同纠纷，合同双方应按照《中华人民共和国民法典》及合同条款的有关规定进行处理。</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97" w:name="_Toc217446070"/>
      <w:r>
        <w:rPr>
          <w:rFonts w:hint="eastAsia" w:ascii="宋体" w:hAnsi="宋体"/>
          <w:b/>
          <w:bCs/>
          <w:color w:val="000000" w:themeColor="text1"/>
          <w:sz w:val="28"/>
          <w:szCs w:val="28"/>
          <w14:textFill>
            <w14:solidFill>
              <w14:schemeClr w14:val="tx1"/>
            </w14:solidFill>
          </w14:textFill>
        </w:rPr>
        <w:t>验收</w:t>
      </w:r>
      <w:bookmarkEnd w:id="97"/>
      <w:r>
        <w:rPr>
          <w:rFonts w:hint="eastAsia" w:ascii="宋体" w:hAnsi="宋体"/>
          <w:b/>
          <w:bCs/>
          <w:color w:val="000000" w:themeColor="text1"/>
          <w:sz w:val="28"/>
          <w:szCs w:val="28"/>
          <w14:textFill>
            <w14:solidFill>
              <w14:schemeClr w14:val="tx1"/>
            </w14:solidFill>
          </w14:textFill>
        </w:rPr>
        <w:t>或考核</w:t>
      </w:r>
    </w:p>
    <w:bookmarkEnd w:id="88"/>
    <w:bookmarkEnd w:id="89"/>
    <w:p>
      <w:pPr>
        <w:spacing w:line="360" w:lineRule="auto"/>
        <w:rPr>
          <w:color w:val="000000" w:themeColor="text1"/>
          <w:sz w:val="28"/>
          <w:szCs w:val="28"/>
          <w14:textFill>
            <w14:solidFill>
              <w14:schemeClr w14:val="tx1"/>
            </w14:solidFill>
          </w14:textFill>
        </w:rPr>
      </w:pPr>
      <w:bookmarkStart w:id="98" w:name="_Toc217446074"/>
      <w:bookmarkStart w:id="99" w:name="_Toc183582243"/>
      <w:bookmarkStart w:id="100" w:name="_Toc183682380"/>
      <w:r>
        <w:rPr>
          <w:rFonts w:hint="eastAsia"/>
          <w:color w:val="000000" w:themeColor="text1"/>
          <w:sz w:val="28"/>
          <w:szCs w:val="28"/>
          <w14:textFill>
            <w14:solidFill>
              <w14:schemeClr w14:val="tx1"/>
            </w14:solidFill>
          </w14:textFill>
        </w:rPr>
        <w:t>（1）验收时提供的技术资料：原产地证明书(由制造厂签发)；提供产品的操作手册、使用说明、维修指南或服务手册；备件手册、零件及易损件的图纸及相关资料；其它相关技术资料。以上要求可根据供应商实际情况提供。</w:t>
      </w:r>
    </w:p>
    <w:p>
      <w:pPr>
        <w:spacing w:line="360" w:lineRule="auto"/>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2）中标人在发货之前，应对货物的有关内在和外观质量、规格、性能数量和重量进行准确的和全面的检验，并出具其货物符合本合同规定的质量合格证书。该证书可作为提交给使用人付款单据的组成部分，但不应视为是对质量、规格、性能、数量的最终确认。</w:t>
      </w:r>
    </w:p>
    <w:p>
      <w:pPr>
        <w:spacing w:line="360" w:lineRule="auto"/>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（3）在项目最终验收前的实施过程中，货物的安全等问题均由中标人负责。</w:t>
      </w:r>
    </w:p>
    <w:p>
      <w:pPr>
        <w:spacing w:line="360" w:lineRule="auto"/>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（4）设备进场后，设备由中标人保管并安装调试完毕，在货物验收并交付使用人后，若因使用人管理不善或安全设施原因造成设备（包括整体、部件、零配件）丢失、被盗、更换等，中标人不负任何责任。</w:t>
      </w:r>
    </w:p>
    <w:p>
      <w:pPr>
        <w:spacing w:line="360" w:lineRule="auto"/>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（5）在合同规定的质量保证期内，如发现货物的质量或规格与本合同规定不符，或证明货物有缺陷，包括潜在的缺陷或使用不合适的原材料或器件等，采购方保留向中标人提出索赔的权利。</w:t>
      </w:r>
    </w:p>
    <w:p>
      <w:pPr>
        <w:spacing w:line="360" w:lineRule="auto"/>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（6）采购人有权派出技术专家对投标货物的制造过程进行抽查或监造，以及参与设备的性能检验和试验运行，中标人有义务提供方便和配合。</w:t>
      </w:r>
    </w:p>
    <w:p>
      <w:pPr>
        <w:spacing w:line="360" w:lineRule="auto"/>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7）严格按照《财政部关于进一步加强政府采购需求和履约验收管理的指导意见》（财库[2016]205号）的相关规定进行验收。验收时可聘请专家，可邀请未中标供应商参与，项目验收时，如需作破坏性检测，检测损坏的设备及检测费用由供应商负责。</w:t>
      </w:r>
    </w:p>
    <w:p>
      <w:pPr>
        <w:spacing w:line="360" w:lineRule="auto"/>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（8）业主方可根据使用方要求对产品进行随机抽样检测，检测损坏的产品及检测费用由供应商负责。</w:t>
      </w:r>
    </w:p>
    <w:p>
      <w:pPr>
        <w:spacing w:line="360" w:lineRule="auto"/>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备注：</w:t>
      </w:r>
    </w:p>
    <w:p>
      <w:pPr>
        <w:numPr>
          <w:ilvl w:val="0"/>
          <w:numId w:val="27"/>
        </w:numPr>
        <w:spacing w:line="360" w:lineRule="auto"/>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政府向社会公众提供的公共服务项目，验收时应当邀请服务对象参与并出具意见，验收结果应当向社会公告。</w:t>
      </w:r>
    </w:p>
    <w:p>
      <w:pPr>
        <w:numPr>
          <w:ilvl w:val="0"/>
          <w:numId w:val="27"/>
        </w:numPr>
        <w:spacing w:line="360" w:lineRule="auto"/>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不能明确客观标准、涉及主观判断的，可以通过在采购人、使用人中开展问卷调查等方式，转化为客观、量化的验收标准。如涉及的，还应在履约验收方案中增加调查问卷。</w:t>
      </w:r>
    </w:p>
    <w:p>
      <w:pPr>
        <w:numPr>
          <w:ilvl w:val="0"/>
          <w:numId w:val="27"/>
        </w:numPr>
        <w:spacing w:line="360" w:lineRule="auto"/>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分期实施的采购项目，应当结合分期考核的情况，明确分期验收要求。</w:t>
      </w:r>
    </w:p>
    <w:p>
      <w:pPr>
        <w:numPr>
          <w:ilvl w:val="0"/>
          <w:numId w:val="27"/>
        </w:numPr>
        <w:spacing w:line="360" w:lineRule="auto"/>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货物类项目可以根据需要设置出厂检验、到货检验、安装调试检验、配套服务检验等多重验收环节。工程类项目的验收方案应当符合行业管理部门规定的标准、方法和内容。</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资金支付</w:t>
      </w:r>
    </w:p>
    <w:p>
      <w:pPr>
        <w:shd w:val="clear" w:color="auto" w:fill="FFFFFF"/>
        <w:spacing w:line="360" w:lineRule="auto"/>
        <w:ind w:firstLine="570"/>
        <w:rPr>
          <w:rFonts w:ascii="宋体" w:hAnsi="宋体" w:cs="Helvetica"/>
          <w:color w:val="000000" w:themeColor="text1"/>
          <w:sz w:val="28"/>
          <w:szCs w:val="28"/>
          <w14:textFill>
            <w14:solidFill>
              <w14:schemeClr w14:val="tx1"/>
            </w14:solidFill>
          </w14:textFill>
        </w:rPr>
      </w:pPr>
      <w:r>
        <w:rPr>
          <w:rFonts w:hint="eastAsia" w:ascii="宋体" w:hAnsi="宋体" w:cs="Helvetica"/>
          <w:color w:val="000000" w:themeColor="text1"/>
          <w:sz w:val="28"/>
          <w:szCs w:val="28"/>
          <w14:textFill>
            <w14:solidFill>
              <w14:schemeClr w14:val="tx1"/>
            </w14:solidFill>
          </w14:textFill>
        </w:rPr>
        <w:t>采购人按财政部门的相关规定及采购合同的约定进行支付。</w:t>
      </w:r>
    </w:p>
    <w:p>
      <w:pPr>
        <w:keepNext/>
        <w:keepLines/>
        <w:numPr>
          <w:ilvl w:val="1"/>
          <w:numId w:val="1"/>
        </w:numPr>
        <w:spacing w:line="360" w:lineRule="auto"/>
        <w:jc w:val="left"/>
        <w:outlineLvl w:val="1"/>
        <w:rPr>
          <w:rFonts w:ascii="宋体" w:hAnsi="宋体"/>
          <w:b/>
          <w:bCs/>
          <w:color w:val="000000" w:themeColor="text1"/>
          <w:sz w:val="28"/>
          <w:szCs w:val="28"/>
          <w14:textFill>
            <w14:solidFill>
              <w14:schemeClr w14:val="tx1"/>
            </w14:solidFill>
          </w14:textFill>
        </w:rPr>
      </w:pPr>
      <w:bookmarkStart w:id="101" w:name="_Toc76541352"/>
      <w:r>
        <w:rPr>
          <w:rFonts w:hint="eastAsia" w:ascii="宋体" w:hAnsi="宋体"/>
          <w:b/>
          <w:bCs/>
          <w:color w:val="000000" w:themeColor="text1"/>
          <w:sz w:val="28"/>
          <w:szCs w:val="28"/>
          <w14:textFill>
            <w14:solidFill>
              <w14:schemeClr w14:val="tx1"/>
            </w14:solidFill>
          </w14:textFill>
        </w:rPr>
        <w:t>投标纪律要求</w:t>
      </w:r>
      <w:bookmarkEnd w:id="98"/>
      <w:bookmarkEnd w:id="101"/>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102" w:name="_Toc217446075"/>
      <w:r>
        <w:rPr>
          <w:rFonts w:hint="eastAsia" w:ascii="宋体" w:hAnsi="宋体"/>
          <w:b/>
          <w:bCs/>
          <w:color w:val="000000" w:themeColor="text1"/>
          <w:sz w:val="28"/>
          <w:szCs w:val="28"/>
          <w14:textFill>
            <w14:solidFill>
              <w14:schemeClr w14:val="tx1"/>
            </w14:solidFill>
          </w14:textFill>
        </w:rPr>
        <w:t>投标人不得具有的情形</w:t>
      </w:r>
      <w:bookmarkEnd w:id="102"/>
    </w:p>
    <w:p>
      <w:pPr>
        <w:spacing w:after="180" w:line="360" w:lineRule="auto"/>
        <w:ind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投标人参加投标不得有下列情形：</w:t>
      </w:r>
    </w:p>
    <w:p>
      <w:pPr>
        <w:numPr>
          <w:ilvl w:val="1"/>
          <w:numId w:val="28"/>
        </w:numPr>
        <w:tabs>
          <w:tab w:val="left" w:pos="1134"/>
        </w:tabs>
        <w:spacing w:line="360" w:lineRule="auto"/>
        <w:ind w:left="420" w:firstLine="14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有下列情形之一的，视为投标人串通投标：</w:t>
      </w:r>
    </w:p>
    <w:p>
      <w:pPr>
        <w:tabs>
          <w:tab w:val="left" w:pos="1134"/>
        </w:tabs>
        <w:spacing w:line="360" w:lineRule="auto"/>
        <w:ind w:left="42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（一）不同投标人的投标文件由同一单位或者个人编制；</w:t>
      </w:r>
    </w:p>
    <w:p>
      <w:pPr>
        <w:tabs>
          <w:tab w:val="left" w:pos="1134"/>
        </w:tabs>
        <w:spacing w:line="360" w:lineRule="auto"/>
        <w:ind w:left="42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（二）不同投标人委托同一单位或者个人办理投标事宜；</w:t>
      </w:r>
    </w:p>
    <w:p>
      <w:pPr>
        <w:tabs>
          <w:tab w:val="left" w:pos="1134"/>
        </w:tabs>
        <w:spacing w:line="360" w:lineRule="auto"/>
        <w:ind w:left="42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（三）不同投标人的投标文件载明的项目管理成员或者联系人员为同一人；</w:t>
      </w:r>
    </w:p>
    <w:p>
      <w:pPr>
        <w:tabs>
          <w:tab w:val="left" w:pos="1134"/>
        </w:tabs>
        <w:spacing w:line="360" w:lineRule="auto"/>
        <w:ind w:firstLine="420" w:firstLineChars="15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（四）不同投标人的投标文件异常一致或者投标报价呈规律性差异；</w:t>
      </w:r>
    </w:p>
    <w:p>
      <w:pPr>
        <w:tabs>
          <w:tab w:val="left" w:pos="1134"/>
        </w:tabs>
        <w:spacing w:line="360" w:lineRule="auto"/>
        <w:ind w:firstLine="420" w:firstLineChars="15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（五）不同投标人的投标文件相互混装；</w:t>
      </w:r>
    </w:p>
    <w:p>
      <w:pPr>
        <w:tabs>
          <w:tab w:val="left" w:pos="1134"/>
        </w:tabs>
        <w:spacing w:line="360" w:lineRule="auto"/>
        <w:ind w:left="42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（六）不同投标人的投标保证金从同一单位或者个人的账户转出；</w:t>
      </w:r>
    </w:p>
    <w:p>
      <w:pPr>
        <w:numPr>
          <w:ilvl w:val="1"/>
          <w:numId w:val="28"/>
        </w:numPr>
        <w:tabs>
          <w:tab w:val="left" w:pos="1134"/>
        </w:tabs>
        <w:spacing w:line="360" w:lineRule="auto"/>
        <w:ind w:left="420" w:firstLine="14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提供虚假材料谋取中标；</w:t>
      </w:r>
    </w:p>
    <w:p>
      <w:pPr>
        <w:numPr>
          <w:ilvl w:val="1"/>
          <w:numId w:val="28"/>
        </w:numPr>
        <w:tabs>
          <w:tab w:val="left" w:pos="1134"/>
        </w:tabs>
        <w:spacing w:line="360" w:lineRule="auto"/>
        <w:ind w:left="420" w:firstLine="14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采取不正当手段诋毁、排挤其他投标人；</w:t>
      </w:r>
    </w:p>
    <w:p>
      <w:pPr>
        <w:numPr>
          <w:ilvl w:val="1"/>
          <w:numId w:val="28"/>
        </w:numPr>
        <w:tabs>
          <w:tab w:val="left" w:pos="1134"/>
        </w:tabs>
        <w:spacing w:line="360" w:lineRule="auto"/>
        <w:ind w:left="420" w:firstLine="14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与采购人或</w:t>
      </w:r>
      <w:r>
        <w:rPr>
          <w:rFonts w:hint="eastAsia" w:cs="Arial"/>
          <w:color w:val="000000" w:themeColor="text1"/>
          <w:sz w:val="28"/>
          <w:szCs w:val="28"/>
          <w14:textFill>
            <w14:solidFill>
              <w14:schemeClr w14:val="tx1"/>
            </w14:solidFill>
          </w14:textFill>
        </w:rPr>
        <w:t>成都市青羊区政府采购服务中心</w:t>
      </w:r>
      <w:r>
        <w:rPr>
          <w:rFonts w:hint="eastAsia" w:ascii="宋体" w:hAnsi="宋体"/>
          <w:color w:val="000000" w:themeColor="text1"/>
          <w:sz w:val="28"/>
          <w:szCs w:val="28"/>
          <w14:textFill>
            <w14:solidFill>
              <w14:schemeClr w14:val="tx1"/>
            </w14:solidFill>
          </w14:textFill>
        </w:rPr>
        <w:t>、其他投标人恶意串通；</w:t>
      </w:r>
    </w:p>
    <w:p>
      <w:pPr>
        <w:numPr>
          <w:ilvl w:val="1"/>
          <w:numId w:val="28"/>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向采购人或</w:t>
      </w:r>
      <w:r>
        <w:rPr>
          <w:rFonts w:hint="eastAsia" w:cs="Arial"/>
          <w:color w:val="000000" w:themeColor="text1"/>
          <w:sz w:val="28"/>
          <w:szCs w:val="28"/>
          <w14:textFill>
            <w14:solidFill>
              <w14:schemeClr w14:val="tx1"/>
            </w14:solidFill>
          </w14:textFill>
        </w:rPr>
        <w:t>成都市青羊区政府采购服务中心</w:t>
      </w:r>
      <w:r>
        <w:rPr>
          <w:rFonts w:hint="eastAsia" w:ascii="宋体" w:hAnsi="宋体"/>
          <w:color w:val="000000" w:themeColor="text1"/>
          <w:sz w:val="28"/>
          <w:szCs w:val="28"/>
          <w14:textFill>
            <w14:solidFill>
              <w14:schemeClr w14:val="tx1"/>
            </w14:solidFill>
          </w14:textFill>
        </w:rPr>
        <w:t>、评标委员会成员行贿或者提供其他不正当利益；</w:t>
      </w:r>
    </w:p>
    <w:p>
      <w:pPr>
        <w:numPr>
          <w:ilvl w:val="1"/>
          <w:numId w:val="28"/>
        </w:numPr>
        <w:tabs>
          <w:tab w:val="left" w:pos="1134"/>
        </w:tabs>
        <w:spacing w:line="360" w:lineRule="auto"/>
        <w:ind w:left="420" w:firstLine="14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在招标过程中与采购人或</w:t>
      </w:r>
      <w:r>
        <w:rPr>
          <w:rFonts w:hint="eastAsia" w:cs="Arial"/>
          <w:color w:val="000000" w:themeColor="text1"/>
          <w:sz w:val="28"/>
          <w:szCs w:val="28"/>
          <w14:textFill>
            <w14:solidFill>
              <w14:schemeClr w14:val="tx1"/>
            </w14:solidFill>
          </w14:textFill>
        </w:rPr>
        <w:t>成都市青羊区政府采购服务中心</w:t>
      </w:r>
      <w:r>
        <w:rPr>
          <w:rFonts w:hint="eastAsia" w:ascii="宋体" w:hAnsi="宋体"/>
          <w:color w:val="000000" w:themeColor="text1"/>
          <w:sz w:val="28"/>
          <w:szCs w:val="28"/>
          <w14:textFill>
            <w14:solidFill>
              <w14:schemeClr w14:val="tx1"/>
            </w14:solidFill>
          </w14:textFill>
        </w:rPr>
        <w:t>进行协商谈判；</w:t>
      </w:r>
    </w:p>
    <w:p>
      <w:pPr>
        <w:numPr>
          <w:ilvl w:val="1"/>
          <w:numId w:val="28"/>
        </w:numPr>
        <w:tabs>
          <w:tab w:val="left" w:pos="1134"/>
        </w:tabs>
        <w:spacing w:line="360" w:lineRule="auto"/>
        <w:ind w:left="420" w:firstLine="14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中标后无正当理由拒不与采购人签订政府采购合同；</w:t>
      </w:r>
    </w:p>
    <w:p>
      <w:pPr>
        <w:numPr>
          <w:ilvl w:val="1"/>
          <w:numId w:val="28"/>
        </w:numPr>
        <w:tabs>
          <w:tab w:val="left" w:pos="1134"/>
        </w:tabs>
        <w:spacing w:line="360" w:lineRule="auto"/>
        <w:ind w:left="420" w:firstLine="14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未按照采购文件确定的事项签订政府采购合同；</w:t>
      </w:r>
    </w:p>
    <w:p>
      <w:pPr>
        <w:numPr>
          <w:ilvl w:val="1"/>
          <w:numId w:val="28"/>
        </w:numPr>
        <w:tabs>
          <w:tab w:val="left" w:pos="1134"/>
        </w:tabs>
        <w:spacing w:line="360" w:lineRule="auto"/>
        <w:ind w:left="420" w:firstLine="14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将政府采购合同转包或者违规分包；</w:t>
      </w:r>
    </w:p>
    <w:p>
      <w:pPr>
        <w:numPr>
          <w:ilvl w:val="1"/>
          <w:numId w:val="28"/>
        </w:numPr>
        <w:tabs>
          <w:tab w:val="left" w:pos="1134"/>
        </w:tabs>
        <w:spacing w:line="360" w:lineRule="auto"/>
        <w:ind w:left="420" w:firstLine="14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提供假冒伪劣产品；</w:t>
      </w:r>
    </w:p>
    <w:p>
      <w:pPr>
        <w:numPr>
          <w:ilvl w:val="1"/>
          <w:numId w:val="28"/>
        </w:numPr>
        <w:tabs>
          <w:tab w:val="left" w:pos="1134"/>
          <w:tab w:val="left" w:pos="1418"/>
        </w:tabs>
        <w:spacing w:line="360" w:lineRule="auto"/>
        <w:ind w:left="420" w:firstLine="14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擅自变更、中止或者终止政府采购合同；</w:t>
      </w:r>
    </w:p>
    <w:p>
      <w:pPr>
        <w:tabs>
          <w:tab w:val="left" w:pos="1134"/>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十二、被列入失信被执行人、重大税收违法案件当事人名单、政府采购严重违法失信行为记录名单。参加政府采购活动前三年内，在经营活动中有重大违法记录；</w:t>
      </w:r>
    </w:p>
    <w:p>
      <w:pPr>
        <w:tabs>
          <w:tab w:val="left" w:pos="1134"/>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十三、在行贿犯罪信息查询期限内，根据中国裁判文书网（https://wenshu.court.gov.cn）查询结果供应商及其现任法定代表人、主要负责人有行贿犯罪记录；</w:t>
      </w:r>
    </w:p>
    <w:p>
      <w:pPr>
        <w:tabs>
          <w:tab w:val="left" w:pos="1134"/>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十四、处于被行政部门禁止参与政府采购活动的期限内；</w:t>
      </w:r>
    </w:p>
    <w:p>
      <w:pPr>
        <w:tabs>
          <w:tab w:val="left" w:pos="1134"/>
        </w:tabs>
        <w:spacing w:line="360" w:lineRule="auto"/>
        <w:ind w:left="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十五、拒绝有关部门的监督检查或者向监督检查部门提供虚假情况；</w:t>
      </w:r>
    </w:p>
    <w:p>
      <w:pPr>
        <w:spacing w:after="180"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十六、法律法规规定的其他情形。</w:t>
      </w:r>
    </w:p>
    <w:p>
      <w:pPr>
        <w:spacing w:after="180" w:line="360" w:lineRule="auto"/>
        <w:ind w:firstLine="568" w:firstLineChars="202"/>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投标人有上述情形的，按照规定追究法律责任，具备一至十四条情形之一的，同时将认定投标人投标无效或不确定其为中标人，或者取消中标资格或认定中标无效。</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103" w:name="_Toc314574786"/>
      <w:r>
        <w:rPr>
          <w:rFonts w:hint="eastAsia" w:ascii="宋体" w:hAnsi="宋体"/>
          <w:b/>
          <w:bCs/>
          <w:color w:val="000000" w:themeColor="text1"/>
          <w:sz w:val="28"/>
          <w:szCs w:val="28"/>
          <w14:textFill>
            <w14:solidFill>
              <w14:schemeClr w14:val="tx1"/>
            </w14:solidFill>
          </w14:textFill>
        </w:rPr>
        <w:t>保密</w:t>
      </w:r>
      <w:bookmarkEnd w:id="103"/>
    </w:p>
    <w:p>
      <w:pPr>
        <w:numPr>
          <w:ilvl w:val="0"/>
          <w:numId w:val="29"/>
        </w:numPr>
        <w:tabs>
          <w:tab w:val="left" w:pos="0"/>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不得透露有关在系统中成功提交《采购文件获取登记表》的潜在投标人的任何情况。</w:t>
      </w:r>
    </w:p>
    <w:p>
      <w:pPr>
        <w:numPr>
          <w:ilvl w:val="0"/>
          <w:numId w:val="29"/>
        </w:numPr>
        <w:tabs>
          <w:tab w:val="left" w:pos="0"/>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有关投标文件的审查、澄清、评估和比较以及合同授予意向等情况都不得对外透露。</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回避</w:t>
      </w:r>
    </w:p>
    <w:p>
      <w:pPr>
        <w:shd w:val="clear" w:color="auto" w:fill="FFFFFF"/>
        <w:spacing w:line="360" w:lineRule="auto"/>
        <w:ind w:firstLine="560" w:firstLineChars="200"/>
        <w:rPr>
          <w:rFonts w:ascii="宋体" w:hAnsi="宋体" w:cs="Helvetica"/>
          <w:color w:val="000000" w:themeColor="text1"/>
          <w:sz w:val="28"/>
          <w:szCs w:val="28"/>
          <w14:textFill>
            <w14:solidFill>
              <w14:schemeClr w14:val="tx1"/>
            </w14:solidFill>
          </w14:textFill>
        </w:rPr>
      </w:pPr>
      <w:r>
        <w:rPr>
          <w:rFonts w:hint="eastAsia" w:ascii="宋体" w:hAnsi="宋体" w:cs="Helvetica"/>
          <w:color w:val="000000" w:themeColor="text1"/>
          <w:sz w:val="28"/>
          <w:szCs w:val="28"/>
          <w14:textFill>
            <w14:solidFill>
              <w14:schemeClr w14:val="tx1"/>
            </w14:solidFill>
          </w14:textFill>
        </w:rPr>
        <w:t>在政府采购活动中，采购人员</w:t>
      </w:r>
      <w:r>
        <w:rPr>
          <w:rFonts w:hint="eastAsia" w:cs="Helvetica"/>
          <w:color w:val="000000" w:themeColor="text1"/>
          <w:sz w:val="28"/>
          <w:szCs w:val="28"/>
          <w14:textFill>
            <w14:solidFill>
              <w14:schemeClr w14:val="tx1"/>
            </w14:solidFill>
          </w14:textFill>
        </w:rPr>
        <w:t>（如</w:t>
      </w:r>
      <w:r>
        <w:rPr>
          <w:rFonts w:hint="eastAsia"/>
          <w:color w:val="000000" w:themeColor="text1"/>
          <w:sz w:val="28"/>
          <w:szCs w:val="28"/>
          <w14:textFill>
            <w14:solidFill>
              <w14:schemeClr w14:val="tx1"/>
            </w14:solidFill>
          </w14:textFill>
        </w:rPr>
        <w:t>采购人内部负责采购项目的具体经办工作人员或直接分管采购项目的负责人、</w:t>
      </w:r>
      <w:r>
        <w:rPr>
          <w:rFonts w:hint="eastAsia" w:cs="Arial"/>
          <w:color w:val="000000" w:themeColor="text1"/>
          <w:sz w:val="28"/>
          <w:szCs w:val="28"/>
          <w14:textFill>
            <w14:solidFill>
              <w14:schemeClr w14:val="tx1"/>
            </w14:solidFill>
          </w14:textFill>
        </w:rPr>
        <w:t>成都市青羊区政府采购服务中心</w:t>
      </w:r>
      <w:r>
        <w:rPr>
          <w:rFonts w:hint="eastAsia"/>
          <w:color w:val="000000" w:themeColor="text1"/>
          <w:sz w:val="28"/>
          <w:szCs w:val="28"/>
          <w14:textFill>
            <w14:solidFill>
              <w14:schemeClr w14:val="tx1"/>
            </w14:solidFill>
          </w14:textFill>
        </w:rPr>
        <w:t>负责采购项目的具体经办工作人员或直接分管采购活动的负责人等</w:t>
      </w:r>
      <w:r>
        <w:rPr>
          <w:rFonts w:hint="eastAsia" w:cs="Helvetica"/>
          <w:color w:val="000000" w:themeColor="text1"/>
          <w:sz w:val="28"/>
          <w:szCs w:val="28"/>
          <w14:textFill>
            <w14:solidFill>
              <w14:schemeClr w14:val="tx1"/>
            </w14:solidFill>
          </w14:textFill>
        </w:rPr>
        <w:t>）</w:t>
      </w:r>
      <w:r>
        <w:rPr>
          <w:rFonts w:hint="eastAsia" w:ascii="宋体" w:hAnsi="宋体" w:cs="Helvetica"/>
          <w:color w:val="000000" w:themeColor="text1"/>
          <w:sz w:val="28"/>
          <w:szCs w:val="28"/>
          <w14:textFill>
            <w14:solidFill>
              <w14:schemeClr w14:val="tx1"/>
            </w14:solidFill>
          </w14:textFill>
        </w:rPr>
        <w:t>及相关人员与</w:t>
      </w:r>
      <w:r>
        <w:rPr>
          <w:rFonts w:hint="eastAsia" w:ascii="宋体" w:hAnsi="宋体"/>
          <w:color w:val="000000" w:themeColor="text1"/>
          <w:sz w:val="28"/>
          <w:szCs w:val="28"/>
          <w14:textFill>
            <w14:solidFill>
              <w14:schemeClr w14:val="tx1"/>
            </w14:solidFill>
          </w14:textFill>
        </w:rPr>
        <w:t>供应商</w:t>
      </w:r>
      <w:r>
        <w:rPr>
          <w:rFonts w:hint="eastAsia" w:ascii="宋体" w:hAnsi="宋体" w:cs="Helvetica"/>
          <w:color w:val="000000" w:themeColor="text1"/>
          <w:sz w:val="28"/>
          <w:szCs w:val="28"/>
          <w14:textFill>
            <w14:solidFill>
              <w14:schemeClr w14:val="tx1"/>
            </w14:solidFill>
          </w14:textFill>
        </w:rPr>
        <w:t>有下列利害关系之一的，应当回避：</w:t>
      </w:r>
    </w:p>
    <w:p>
      <w:pPr>
        <w:shd w:val="clear" w:color="auto" w:fill="FFFFFF"/>
        <w:spacing w:line="360" w:lineRule="auto"/>
        <w:ind w:left="708" w:hanging="708" w:hangingChars="253"/>
        <w:rPr>
          <w:rFonts w:ascii="宋体" w:hAnsi="宋体" w:cs="Helvetica"/>
          <w:color w:val="000000" w:themeColor="text1"/>
          <w:sz w:val="28"/>
          <w:szCs w:val="28"/>
          <w14:textFill>
            <w14:solidFill>
              <w14:schemeClr w14:val="tx1"/>
            </w14:solidFill>
          </w14:textFill>
        </w:rPr>
      </w:pPr>
      <w:r>
        <w:rPr>
          <w:rFonts w:hint="eastAsia" w:ascii="宋体" w:hAnsi="宋体" w:cs="Helvetica"/>
          <w:color w:val="000000" w:themeColor="text1"/>
          <w:sz w:val="28"/>
          <w:szCs w:val="28"/>
          <w14:textFill>
            <w14:solidFill>
              <w14:schemeClr w14:val="tx1"/>
            </w14:solidFill>
          </w14:textFill>
        </w:rPr>
        <w:t>　　（一）参加采购活动前3年内与</w:t>
      </w:r>
      <w:r>
        <w:rPr>
          <w:rFonts w:hint="eastAsia" w:ascii="宋体" w:hAnsi="宋体"/>
          <w:color w:val="000000" w:themeColor="text1"/>
          <w:sz w:val="28"/>
          <w:szCs w:val="28"/>
          <w14:textFill>
            <w14:solidFill>
              <w14:schemeClr w14:val="tx1"/>
            </w14:solidFill>
          </w14:textFill>
        </w:rPr>
        <w:t>供应商</w:t>
      </w:r>
      <w:r>
        <w:rPr>
          <w:rFonts w:hint="eastAsia" w:ascii="宋体" w:hAnsi="宋体" w:cs="Helvetica"/>
          <w:color w:val="000000" w:themeColor="text1"/>
          <w:sz w:val="28"/>
          <w:szCs w:val="28"/>
          <w14:textFill>
            <w14:solidFill>
              <w14:schemeClr w14:val="tx1"/>
            </w14:solidFill>
          </w14:textFill>
        </w:rPr>
        <w:t>存在劳动关系；</w:t>
      </w:r>
    </w:p>
    <w:p>
      <w:pPr>
        <w:shd w:val="clear" w:color="auto" w:fill="FFFFFF"/>
        <w:spacing w:line="360" w:lineRule="auto"/>
        <w:rPr>
          <w:rFonts w:ascii="宋体" w:hAnsi="宋体" w:cs="Helvetica"/>
          <w:color w:val="000000" w:themeColor="text1"/>
          <w:sz w:val="28"/>
          <w:szCs w:val="28"/>
          <w14:textFill>
            <w14:solidFill>
              <w14:schemeClr w14:val="tx1"/>
            </w14:solidFill>
          </w14:textFill>
        </w:rPr>
      </w:pPr>
      <w:r>
        <w:rPr>
          <w:rFonts w:hint="eastAsia" w:ascii="宋体" w:hAnsi="宋体" w:cs="Helvetica"/>
          <w:color w:val="000000" w:themeColor="text1"/>
          <w:sz w:val="28"/>
          <w:szCs w:val="28"/>
          <w14:textFill>
            <w14:solidFill>
              <w14:schemeClr w14:val="tx1"/>
            </w14:solidFill>
          </w14:textFill>
        </w:rPr>
        <w:t>　　（二）参加采购活动前3年内担任</w:t>
      </w:r>
      <w:r>
        <w:rPr>
          <w:rFonts w:hint="eastAsia" w:ascii="宋体" w:hAnsi="宋体"/>
          <w:color w:val="000000" w:themeColor="text1"/>
          <w:sz w:val="28"/>
          <w:szCs w:val="28"/>
          <w14:textFill>
            <w14:solidFill>
              <w14:schemeClr w14:val="tx1"/>
            </w14:solidFill>
          </w14:textFill>
        </w:rPr>
        <w:t>供应商</w:t>
      </w:r>
      <w:r>
        <w:rPr>
          <w:rFonts w:hint="eastAsia" w:ascii="宋体" w:hAnsi="宋体" w:cs="Helvetica"/>
          <w:color w:val="000000" w:themeColor="text1"/>
          <w:sz w:val="28"/>
          <w:szCs w:val="28"/>
          <w14:textFill>
            <w14:solidFill>
              <w14:schemeClr w14:val="tx1"/>
            </w14:solidFill>
          </w14:textFill>
        </w:rPr>
        <w:t>的董事、监事；</w:t>
      </w:r>
    </w:p>
    <w:p>
      <w:pPr>
        <w:shd w:val="clear" w:color="auto" w:fill="FFFFFF"/>
        <w:spacing w:line="360" w:lineRule="auto"/>
        <w:ind w:firstLine="560" w:firstLineChars="200"/>
        <w:rPr>
          <w:rFonts w:ascii="宋体" w:hAnsi="宋体" w:cs="Helvetica"/>
          <w:color w:val="000000" w:themeColor="text1"/>
          <w:sz w:val="28"/>
          <w:szCs w:val="28"/>
          <w14:textFill>
            <w14:solidFill>
              <w14:schemeClr w14:val="tx1"/>
            </w14:solidFill>
          </w14:textFill>
        </w:rPr>
      </w:pPr>
      <w:r>
        <w:rPr>
          <w:rFonts w:hint="eastAsia" w:ascii="宋体" w:hAnsi="宋体" w:cs="Helvetica"/>
          <w:color w:val="000000" w:themeColor="text1"/>
          <w:sz w:val="28"/>
          <w:szCs w:val="28"/>
          <w14:textFill>
            <w14:solidFill>
              <w14:schemeClr w14:val="tx1"/>
            </w14:solidFill>
          </w14:textFill>
        </w:rPr>
        <w:t>（三）参加采购活动前3年内是</w:t>
      </w:r>
      <w:r>
        <w:rPr>
          <w:rFonts w:hint="eastAsia" w:ascii="宋体" w:hAnsi="宋体"/>
          <w:color w:val="000000" w:themeColor="text1"/>
          <w:sz w:val="28"/>
          <w:szCs w:val="28"/>
          <w14:textFill>
            <w14:solidFill>
              <w14:schemeClr w14:val="tx1"/>
            </w14:solidFill>
          </w14:textFill>
        </w:rPr>
        <w:t>供应商</w:t>
      </w:r>
      <w:r>
        <w:rPr>
          <w:rFonts w:hint="eastAsia" w:ascii="宋体" w:hAnsi="宋体" w:cs="Helvetica"/>
          <w:color w:val="000000" w:themeColor="text1"/>
          <w:sz w:val="28"/>
          <w:szCs w:val="28"/>
          <w14:textFill>
            <w14:solidFill>
              <w14:schemeClr w14:val="tx1"/>
            </w14:solidFill>
          </w14:textFill>
        </w:rPr>
        <w:t>的控股股东或者实际控制人；</w:t>
      </w:r>
    </w:p>
    <w:p>
      <w:pPr>
        <w:shd w:val="clear" w:color="auto" w:fill="FFFFFF"/>
        <w:spacing w:line="360" w:lineRule="auto"/>
        <w:ind w:firstLine="570"/>
        <w:rPr>
          <w:rFonts w:ascii="宋体" w:hAnsi="宋体" w:cs="Helvetica"/>
          <w:color w:val="000000" w:themeColor="text1"/>
          <w:sz w:val="28"/>
          <w:szCs w:val="28"/>
          <w14:textFill>
            <w14:solidFill>
              <w14:schemeClr w14:val="tx1"/>
            </w14:solidFill>
          </w14:textFill>
        </w:rPr>
      </w:pPr>
      <w:r>
        <w:rPr>
          <w:rFonts w:hint="eastAsia" w:ascii="宋体" w:hAnsi="宋体" w:cs="Helvetica"/>
          <w:color w:val="000000" w:themeColor="text1"/>
          <w:sz w:val="28"/>
          <w:szCs w:val="28"/>
          <w14:textFill>
            <w14:solidFill>
              <w14:schemeClr w14:val="tx1"/>
            </w14:solidFill>
          </w14:textFill>
        </w:rPr>
        <w:t>（四）与</w:t>
      </w:r>
      <w:r>
        <w:rPr>
          <w:rFonts w:hint="eastAsia" w:ascii="宋体" w:hAnsi="宋体"/>
          <w:color w:val="000000" w:themeColor="text1"/>
          <w:sz w:val="28"/>
          <w:szCs w:val="28"/>
          <w14:textFill>
            <w14:solidFill>
              <w14:schemeClr w14:val="tx1"/>
            </w14:solidFill>
          </w14:textFill>
        </w:rPr>
        <w:t>供应商</w:t>
      </w:r>
      <w:r>
        <w:rPr>
          <w:rFonts w:hint="eastAsia" w:ascii="宋体" w:hAnsi="宋体" w:cs="Helvetica"/>
          <w:color w:val="000000" w:themeColor="text1"/>
          <w:sz w:val="28"/>
          <w:szCs w:val="28"/>
          <w14:textFill>
            <w14:solidFill>
              <w14:schemeClr w14:val="tx1"/>
            </w14:solidFill>
          </w14:textFill>
        </w:rPr>
        <w:t>的法定代表人或者负责人有夫妻、直系血亲、三代以内旁系血亲或者近姻亲关系；</w:t>
      </w:r>
    </w:p>
    <w:p>
      <w:pPr>
        <w:shd w:val="clear" w:color="auto" w:fill="FFFFFF"/>
        <w:spacing w:line="360" w:lineRule="auto"/>
        <w:ind w:firstLine="570"/>
        <w:rPr>
          <w:rFonts w:ascii="宋体" w:hAnsi="宋体" w:cs="Helvetica"/>
          <w:color w:val="000000" w:themeColor="text1"/>
          <w:sz w:val="28"/>
          <w:szCs w:val="28"/>
          <w14:textFill>
            <w14:solidFill>
              <w14:schemeClr w14:val="tx1"/>
            </w14:solidFill>
          </w14:textFill>
        </w:rPr>
      </w:pPr>
      <w:r>
        <w:rPr>
          <w:rFonts w:hint="eastAsia" w:ascii="宋体" w:hAnsi="宋体" w:cs="Helvetica"/>
          <w:color w:val="000000" w:themeColor="text1"/>
          <w:sz w:val="28"/>
          <w:szCs w:val="28"/>
          <w14:textFill>
            <w14:solidFill>
              <w14:schemeClr w14:val="tx1"/>
            </w14:solidFill>
          </w14:textFill>
        </w:rPr>
        <w:t>（五）与</w:t>
      </w:r>
      <w:r>
        <w:rPr>
          <w:rFonts w:hint="eastAsia" w:ascii="宋体" w:hAnsi="宋体"/>
          <w:color w:val="000000" w:themeColor="text1"/>
          <w:sz w:val="28"/>
          <w:szCs w:val="28"/>
          <w14:textFill>
            <w14:solidFill>
              <w14:schemeClr w14:val="tx1"/>
            </w14:solidFill>
          </w14:textFill>
        </w:rPr>
        <w:t>供应商</w:t>
      </w:r>
      <w:r>
        <w:rPr>
          <w:rFonts w:hint="eastAsia" w:ascii="宋体" w:hAnsi="宋体" w:cs="Helvetica"/>
          <w:color w:val="000000" w:themeColor="text1"/>
          <w:sz w:val="28"/>
          <w:szCs w:val="28"/>
          <w14:textFill>
            <w14:solidFill>
              <w14:schemeClr w14:val="tx1"/>
            </w14:solidFill>
          </w14:textFill>
        </w:rPr>
        <w:t>有其他可能影响政府采购活动公平、公正进行的关系。</w:t>
      </w:r>
    </w:p>
    <w:p>
      <w:pPr>
        <w:shd w:val="clear" w:color="auto" w:fill="FFFFFF"/>
        <w:spacing w:line="360" w:lineRule="auto"/>
        <w:ind w:firstLine="570"/>
        <w:rPr>
          <w:rFonts w:ascii="宋体" w:hAnsi="宋体" w:cs="Helvetica"/>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w:t>
      </w:r>
      <w:r>
        <w:rPr>
          <w:rFonts w:hint="eastAsia" w:ascii="宋体" w:hAnsi="宋体" w:cs="Helvetica"/>
          <w:color w:val="000000" w:themeColor="text1"/>
          <w:sz w:val="28"/>
          <w:szCs w:val="28"/>
          <w14:textFill>
            <w14:solidFill>
              <w14:schemeClr w14:val="tx1"/>
            </w14:solidFill>
          </w14:textFill>
        </w:rPr>
        <w:t>认为采购人员及相关人员与其他</w:t>
      </w:r>
      <w:r>
        <w:rPr>
          <w:rFonts w:hint="eastAsia" w:ascii="宋体" w:hAnsi="宋体"/>
          <w:color w:val="000000" w:themeColor="text1"/>
          <w:sz w:val="28"/>
          <w:szCs w:val="28"/>
          <w14:textFill>
            <w14:solidFill>
              <w14:schemeClr w14:val="tx1"/>
            </w14:solidFill>
          </w14:textFill>
        </w:rPr>
        <w:t>供应商</w:t>
      </w:r>
      <w:r>
        <w:rPr>
          <w:rFonts w:hint="eastAsia" w:ascii="宋体" w:hAnsi="宋体" w:cs="Helvetica"/>
          <w:color w:val="000000" w:themeColor="text1"/>
          <w:sz w:val="28"/>
          <w:szCs w:val="28"/>
          <w14:textFill>
            <w14:solidFill>
              <w14:schemeClr w14:val="tx1"/>
            </w14:solidFill>
          </w14:textFill>
        </w:rPr>
        <w:t>有利害关系的，可以向采购人或者</w:t>
      </w:r>
      <w:r>
        <w:rPr>
          <w:rFonts w:hint="eastAsia" w:ascii="宋体" w:hAnsi="宋体" w:cs="Arial"/>
          <w:color w:val="000000" w:themeColor="text1"/>
          <w:sz w:val="28"/>
          <w:szCs w:val="28"/>
          <w14:textFill>
            <w14:solidFill>
              <w14:schemeClr w14:val="tx1"/>
            </w14:solidFill>
          </w14:textFill>
        </w:rPr>
        <w:t>采购代理机构</w:t>
      </w:r>
      <w:r>
        <w:rPr>
          <w:rFonts w:hint="eastAsia" w:ascii="宋体" w:hAnsi="宋体" w:cs="Helvetica"/>
          <w:color w:val="000000" w:themeColor="text1"/>
          <w:sz w:val="28"/>
          <w:szCs w:val="28"/>
          <w14:textFill>
            <w14:solidFill>
              <w14:schemeClr w14:val="tx1"/>
            </w14:solidFill>
          </w14:textFill>
        </w:rPr>
        <w:t>书面提出回避申请，并说明理由。采购人或者</w:t>
      </w:r>
      <w:r>
        <w:rPr>
          <w:rFonts w:hint="eastAsia" w:ascii="宋体" w:hAnsi="宋体" w:cs="Arial"/>
          <w:color w:val="000000" w:themeColor="text1"/>
          <w:sz w:val="28"/>
          <w:szCs w:val="28"/>
          <w14:textFill>
            <w14:solidFill>
              <w14:schemeClr w14:val="tx1"/>
            </w14:solidFill>
          </w14:textFill>
        </w:rPr>
        <w:t>采购代理机构</w:t>
      </w:r>
      <w:r>
        <w:rPr>
          <w:rFonts w:hint="eastAsia" w:ascii="宋体" w:hAnsi="宋体" w:cs="Helvetica"/>
          <w:color w:val="000000" w:themeColor="text1"/>
          <w:sz w:val="28"/>
          <w:szCs w:val="28"/>
          <w14:textFill>
            <w14:solidFill>
              <w14:schemeClr w14:val="tx1"/>
            </w14:solidFill>
          </w14:textFill>
        </w:rPr>
        <w:t>应当及时询问被申请回避人员，有利害关系的被申请回避人员应当回避。</w:t>
      </w:r>
    </w:p>
    <w:p>
      <w:pPr>
        <w:keepNext/>
        <w:keepLines/>
        <w:numPr>
          <w:ilvl w:val="1"/>
          <w:numId w:val="1"/>
        </w:numPr>
        <w:spacing w:line="360" w:lineRule="auto"/>
        <w:jc w:val="left"/>
        <w:outlineLvl w:val="1"/>
        <w:rPr>
          <w:rFonts w:ascii="宋体" w:hAnsi="宋体"/>
          <w:b/>
          <w:bCs/>
          <w:color w:val="000000" w:themeColor="text1"/>
          <w:sz w:val="28"/>
          <w:szCs w:val="28"/>
          <w14:textFill>
            <w14:solidFill>
              <w14:schemeClr w14:val="tx1"/>
            </w14:solidFill>
          </w14:textFill>
        </w:rPr>
      </w:pPr>
      <w:bookmarkStart w:id="104" w:name="_Toc217446078"/>
      <w:bookmarkStart w:id="105" w:name="_Toc76541353"/>
      <w:r>
        <w:rPr>
          <w:rFonts w:hint="eastAsia" w:ascii="宋体" w:hAnsi="宋体"/>
          <w:b/>
          <w:bCs/>
          <w:color w:val="000000" w:themeColor="text1"/>
          <w:sz w:val="28"/>
          <w:szCs w:val="28"/>
          <w14:textFill>
            <w14:solidFill>
              <w14:schemeClr w14:val="tx1"/>
            </w14:solidFill>
          </w14:textFill>
        </w:rPr>
        <w:t>询问、质疑和投诉</w:t>
      </w:r>
      <w:bookmarkEnd w:id="104"/>
      <w:bookmarkEnd w:id="105"/>
      <w:bookmarkStart w:id="106" w:name="_Toc217446079"/>
    </w:p>
    <w:bookmarkEnd w:id="99"/>
    <w:bookmarkEnd w:id="100"/>
    <w:bookmarkEnd w:id="106"/>
    <w:p>
      <w:pPr>
        <w:numPr>
          <w:ilvl w:val="0"/>
          <w:numId w:val="30"/>
        </w:numPr>
        <w:spacing w:line="500" w:lineRule="exact"/>
        <w:ind w:left="0" w:firstLine="567"/>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询问、质疑、投诉的接收和处理严格按照《中华人民共和国政府采购法》、《中华人民共和国政府采购法实施条例》《中华人民共和国财政部货物和服务招投标管理办法》（财政部第</w:t>
      </w:r>
      <w:r>
        <w:rPr>
          <w:color w:val="000000" w:themeColor="text1"/>
          <w:sz w:val="28"/>
          <w:szCs w:val="28"/>
          <w14:textFill>
            <w14:solidFill>
              <w14:schemeClr w14:val="tx1"/>
            </w14:solidFill>
          </w14:textFill>
        </w:rPr>
        <w:t>87</w:t>
      </w:r>
      <w:r>
        <w:rPr>
          <w:rFonts w:hint="eastAsia"/>
          <w:color w:val="000000" w:themeColor="text1"/>
          <w:sz w:val="28"/>
          <w:szCs w:val="28"/>
          <w14:textFill>
            <w14:solidFill>
              <w14:schemeClr w14:val="tx1"/>
            </w14:solidFill>
          </w14:textFill>
        </w:rPr>
        <w:t>号令）和《政府采购质疑和投诉办法》（财政部</w:t>
      </w:r>
      <w:r>
        <w:rPr>
          <w:color w:val="000000" w:themeColor="text1"/>
          <w:sz w:val="28"/>
          <w:szCs w:val="28"/>
          <w14:textFill>
            <w14:solidFill>
              <w14:schemeClr w14:val="tx1"/>
            </w14:solidFill>
          </w14:textFill>
        </w:rPr>
        <w:t>94</w:t>
      </w:r>
      <w:r>
        <w:rPr>
          <w:rFonts w:hint="eastAsia"/>
          <w:color w:val="000000" w:themeColor="text1"/>
          <w:sz w:val="28"/>
          <w:szCs w:val="28"/>
          <w14:textFill>
            <w14:solidFill>
              <w14:schemeClr w14:val="tx1"/>
            </w14:solidFill>
          </w14:textFill>
        </w:rPr>
        <w:t>号令）的规定办理。</w:t>
      </w:r>
    </w:p>
    <w:p>
      <w:pPr>
        <w:numPr>
          <w:ilvl w:val="0"/>
          <w:numId w:val="30"/>
        </w:numPr>
        <w:spacing w:line="500" w:lineRule="exact"/>
        <w:ind w:left="0" w:firstLine="567"/>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供应商</w:t>
      </w:r>
      <w:r>
        <w:rPr>
          <w:rFonts w:hint="eastAsia" w:ascii="宋体" w:hAnsi="宋体"/>
          <w:color w:val="000000" w:themeColor="text1"/>
          <w:sz w:val="28"/>
          <w:szCs w:val="28"/>
          <w14:textFill>
            <w14:solidFill>
              <w14:schemeClr w14:val="tx1"/>
            </w14:solidFill>
          </w14:textFill>
        </w:rPr>
        <w:t>询问、质疑的对象</w:t>
      </w:r>
    </w:p>
    <w:p>
      <w:pPr>
        <w:numPr>
          <w:ilvl w:val="1"/>
          <w:numId w:val="31"/>
        </w:numPr>
        <w:tabs>
          <w:tab w:val="left" w:pos="0"/>
          <w:tab w:val="left" w:pos="1276"/>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供应商</w:t>
      </w:r>
      <w:r>
        <w:rPr>
          <w:rFonts w:hint="eastAsia" w:ascii="宋体" w:hAnsi="宋体"/>
          <w:color w:val="000000" w:themeColor="text1"/>
          <w:sz w:val="28"/>
          <w:szCs w:val="28"/>
          <w14:textFill>
            <w14:solidFill>
              <w14:schemeClr w14:val="tx1"/>
            </w14:solidFill>
          </w14:textFill>
        </w:rPr>
        <w:t>对招标文件中</w:t>
      </w:r>
      <w:r>
        <w:rPr>
          <w:rFonts w:hint="eastAsia"/>
          <w:color w:val="000000" w:themeColor="text1"/>
          <w:sz w:val="28"/>
          <w:szCs w:val="28"/>
          <w14:textFill>
            <w14:solidFill>
              <w14:schemeClr w14:val="tx1"/>
            </w14:solidFill>
          </w14:textFill>
        </w:rPr>
        <w:t>供应商</w:t>
      </w:r>
      <w:r>
        <w:rPr>
          <w:rFonts w:hint="eastAsia" w:ascii="宋体" w:hAnsi="宋体"/>
          <w:color w:val="000000" w:themeColor="text1"/>
          <w:sz w:val="28"/>
          <w:szCs w:val="28"/>
          <w14:textFill>
            <w14:solidFill>
              <w14:schemeClr w14:val="tx1"/>
            </w14:solidFill>
          </w14:textFill>
        </w:rPr>
        <w:t>参加本次政府采购活动应当具备的条件，招标项目技术、服务、商务及其他要求，评标细则及标准，和中标结果中关于资格审查提出询问或质疑的，应通过</w:t>
      </w:r>
      <w:r>
        <w:rPr>
          <w:rFonts w:hint="eastAsia"/>
          <w:color w:val="000000" w:themeColor="text1"/>
          <w:sz w:val="28"/>
          <w:szCs w:val="28"/>
          <w14:textFill>
            <w14:solidFill>
              <w14:schemeClr w14:val="tx1"/>
            </w14:solidFill>
          </w14:textFill>
        </w:rPr>
        <w:t>“政府采购云平台”</w:t>
      </w:r>
      <w:r>
        <w:rPr>
          <w:rFonts w:hint="eastAsia" w:ascii="宋体" w:hAnsi="宋体"/>
          <w:color w:val="000000" w:themeColor="text1"/>
          <w:sz w:val="28"/>
          <w:szCs w:val="28"/>
          <w14:textFill>
            <w14:solidFill>
              <w14:schemeClr w14:val="tx1"/>
            </w14:solidFill>
          </w14:textFill>
        </w:rPr>
        <w:t>向采购人提出；</w:t>
      </w:r>
    </w:p>
    <w:p>
      <w:pPr>
        <w:numPr>
          <w:ilvl w:val="1"/>
          <w:numId w:val="31"/>
        </w:numPr>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供应商对除上述招标文件中的其他内容，采购过程及中标结果（除资格审查）提出询问或质疑的，应通过“政府采购云平台”向成都市青羊区政府采购服务中心提出</w:t>
      </w:r>
      <w:r>
        <w:rPr>
          <w:rFonts w:hint="eastAsia" w:ascii="宋体" w:hAnsi="宋体"/>
          <w:color w:val="000000" w:themeColor="text1"/>
          <w:sz w:val="28"/>
          <w:szCs w:val="28"/>
          <w14:textFill>
            <w14:solidFill>
              <w14:schemeClr w14:val="tx1"/>
            </w14:solidFill>
          </w14:textFill>
        </w:rPr>
        <w:t>。</w:t>
      </w:r>
    </w:p>
    <w:p>
      <w:pPr>
        <w:numPr>
          <w:ilvl w:val="0"/>
          <w:numId w:val="30"/>
        </w:numPr>
        <w:tabs>
          <w:tab w:val="left" w:pos="1134"/>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供应商提出的询问，应当明确询问事项，如以书面形式提出的，应由供应商签字并加盖公章。</w:t>
      </w:r>
    </w:p>
    <w:p>
      <w:pPr>
        <w:numPr>
          <w:ilvl w:val="0"/>
          <w:numId w:val="30"/>
        </w:numPr>
        <w:tabs>
          <w:tab w:val="left" w:pos="1134"/>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供应商应在法定质疑期内一次性提出针对同一采购程序环节的质疑。</w:t>
      </w:r>
    </w:p>
    <w:p>
      <w:pPr>
        <w:numPr>
          <w:ilvl w:val="0"/>
          <w:numId w:val="30"/>
        </w:numPr>
        <w:tabs>
          <w:tab w:val="left" w:pos="1134"/>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供应商提出质疑时应当准备的资料</w:t>
      </w:r>
    </w:p>
    <w:p>
      <w:pPr>
        <w:pStyle w:val="39"/>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（一）质疑书正本1份；</w:t>
      </w:r>
    </w:p>
    <w:p>
      <w:pPr>
        <w:pStyle w:val="39"/>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（二）法定代表人授权委托书1份（委托代理人办理质疑事宜的需提供）；</w:t>
      </w:r>
    </w:p>
    <w:p>
      <w:pPr>
        <w:pStyle w:val="39"/>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（三）营业执照或法人证书复印件1份（加盖公章）；</w:t>
      </w:r>
    </w:p>
    <w:p>
      <w:pPr>
        <w:pStyle w:val="39"/>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（四）法定代表人身份证复印件1份；</w:t>
      </w:r>
    </w:p>
    <w:p>
      <w:pPr>
        <w:pStyle w:val="39"/>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（五）委托代理人身份证复印件1份（委托代理人办理质疑事宜的需提供）；</w:t>
      </w:r>
    </w:p>
    <w:p>
      <w:pPr>
        <w:pStyle w:val="39"/>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（六）针对质疑事项必要的证明材料。</w:t>
      </w:r>
    </w:p>
    <w:p>
      <w:pPr>
        <w:numPr>
          <w:ilvl w:val="0"/>
          <w:numId w:val="30"/>
        </w:numPr>
        <w:tabs>
          <w:tab w:val="left" w:pos="1134"/>
        </w:tabs>
        <w:spacing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供应商对采购人</w:t>
      </w:r>
      <w:r>
        <w:rPr>
          <w:rFonts w:ascii="宋体" w:hAnsi="宋体"/>
          <w:color w:val="000000" w:themeColor="text1"/>
          <w:sz w:val="28"/>
          <w:szCs w:val="28"/>
          <w14:textFill>
            <w14:solidFill>
              <w14:schemeClr w14:val="tx1"/>
            </w14:solidFill>
          </w14:textFill>
        </w:rPr>
        <w:t>或</w:t>
      </w:r>
      <w:r>
        <w:rPr>
          <w:rFonts w:hint="eastAsia" w:ascii="宋体" w:hAnsi="宋体"/>
          <w:color w:val="000000" w:themeColor="text1"/>
          <w:sz w:val="28"/>
          <w:szCs w:val="28"/>
          <w14:textFill>
            <w14:solidFill>
              <w14:schemeClr w14:val="tx1"/>
            </w14:solidFill>
          </w14:textFill>
        </w:rPr>
        <w:t>成都市青羊区政府采购服务中心的质疑答复不满意，或者采购人</w:t>
      </w:r>
      <w:r>
        <w:rPr>
          <w:rFonts w:ascii="宋体" w:hAnsi="宋体"/>
          <w:color w:val="000000" w:themeColor="text1"/>
          <w:sz w:val="28"/>
          <w:szCs w:val="28"/>
          <w14:textFill>
            <w14:solidFill>
              <w14:schemeClr w14:val="tx1"/>
            </w14:solidFill>
          </w14:textFill>
        </w:rPr>
        <w:t>或</w:t>
      </w:r>
      <w:r>
        <w:rPr>
          <w:rFonts w:hint="eastAsia" w:ascii="宋体" w:hAnsi="宋体"/>
          <w:color w:val="000000" w:themeColor="text1"/>
          <w:sz w:val="28"/>
          <w:szCs w:val="28"/>
          <w14:textFill>
            <w14:solidFill>
              <w14:schemeClr w14:val="tx1"/>
            </w14:solidFill>
          </w14:textFill>
        </w:rPr>
        <w:t>成都市青羊区政府采购服务中心未在规定期限内作出答复的，供应商可以在答复期满后15个工作日内向同级财政部门提起投诉。</w:t>
      </w:r>
    </w:p>
    <w:p>
      <w:pPr>
        <w:keepNext/>
        <w:keepLines/>
        <w:numPr>
          <w:ilvl w:val="1"/>
          <w:numId w:val="1"/>
        </w:numPr>
        <w:spacing w:before="260" w:line="360" w:lineRule="auto"/>
        <w:jc w:val="left"/>
        <w:outlineLvl w:val="1"/>
        <w:rPr>
          <w:rFonts w:ascii="宋体" w:hAnsi="宋体"/>
          <w:b/>
          <w:bCs/>
          <w:color w:val="000000" w:themeColor="text1"/>
          <w:sz w:val="28"/>
          <w:szCs w:val="28"/>
          <w14:textFill>
            <w14:solidFill>
              <w14:schemeClr w14:val="tx1"/>
            </w14:solidFill>
          </w14:textFill>
        </w:rPr>
      </w:pPr>
      <w:bookmarkStart w:id="107" w:name="_Toc76541354"/>
      <w:r>
        <w:rPr>
          <w:rFonts w:hint="eastAsia" w:ascii="宋体" w:hAnsi="宋体"/>
          <w:b/>
          <w:bCs/>
          <w:color w:val="000000" w:themeColor="text1"/>
          <w:sz w:val="28"/>
          <w:szCs w:val="28"/>
          <w14:textFill>
            <w14:solidFill>
              <w14:schemeClr w14:val="tx1"/>
            </w14:solidFill>
          </w14:textFill>
        </w:rPr>
        <w:t>中小企业政府采购信用融资</w:t>
      </w:r>
      <w:bookmarkEnd w:id="107"/>
    </w:p>
    <w:p>
      <w:pPr>
        <w:numPr>
          <w:ilvl w:val="0"/>
          <w:numId w:val="32"/>
        </w:numPr>
        <w:tabs>
          <w:tab w:val="left" w:pos="1134"/>
        </w:tabs>
        <w:spacing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参与本次招标活动中标的中小企业投标人无需提供财产抵押或第三方担保，凭借政府采购合同可向融资机构申请融资。</w:t>
      </w:r>
    </w:p>
    <w:p>
      <w:pPr>
        <w:numPr>
          <w:ilvl w:val="0"/>
          <w:numId w:val="32"/>
        </w:numPr>
        <w:tabs>
          <w:tab w:val="left" w:pos="1134"/>
        </w:tabs>
        <w:spacing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见附件。</w:t>
      </w:r>
    </w:p>
    <w:p>
      <w:pPr>
        <w:tabs>
          <w:tab w:val="left" w:pos="1276"/>
        </w:tabs>
        <w:spacing w:line="360" w:lineRule="auto"/>
        <w:rPr>
          <w:rFonts w:ascii="宋体" w:hAnsi="宋体"/>
          <w:color w:val="000000" w:themeColor="text1"/>
          <w:sz w:val="28"/>
          <w:szCs w:val="28"/>
          <w14:textFill>
            <w14:solidFill>
              <w14:schemeClr w14:val="tx1"/>
            </w14:solidFill>
          </w14:textFill>
        </w:rPr>
      </w:pPr>
    </w:p>
    <w:p>
      <w:pPr>
        <w:tabs>
          <w:tab w:val="left" w:pos="1276"/>
        </w:tabs>
        <w:spacing w:line="360" w:lineRule="auto"/>
        <w:rPr>
          <w:rFonts w:ascii="宋体" w:hAnsi="宋体"/>
          <w:color w:val="000000" w:themeColor="text1"/>
          <w:sz w:val="28"/>
          <w:szCs w:val="28"/>
          <w14:textFill>
            <w14:solidFill>
              <w14:schemeClr w14:val="tx1"/>
            </w14:solidFill>
          </w14:textFill>
        </w:rPr>
      </w:pPr>
    </w:p>
    <w:p>
      <w:pPr>
        <w:tabs>
          <w:tab w:val="left" w:pos="1276"/>
        </w:tabs>
        <w:spacing w:line="360" w:lineRule="auto"/>
        <w:rPr>
          <w:rFonts w:ascii="宋体" w:hAnsi="宋体"/>
          <w:color w:val="000000" w:themeColor="text1"/>
          <w:sz w:val="28"/>
          <w:szCs w:val="28"/>
          <w14:textFill>
            <w14:solidFill>
              <w14:schemeClr w14:val="tx1"/>
            </w14:solidFill>
          </w14:textFill>
        </w:rPr>
      </w:pPr>
    </w:p>
    <w:p>
      <w:pPr>
        <w:keepNext/>
        <w:keepLines/>
        <w:numPr>
          <w:ilvl w:val="0"/>
          <w:numId w:val="1"/>
        </w:numPr>
        <w:spacing w:before="340" w:after="330" w:line="400" w:lineRule="exact"/>
        <w:jc w:val="center"/>
        <w:outlineLvl w:val="0"/>
        <w:rPr>
          <w:rFonts w:ascii="宋体" w:hAnsi="宋体"/>
          <w:b/>
          <w:bCs/>
          <w:color w:val="000000" w:themeColor="text1"/>
          <w:spacing w:val="-20"/>
          <w:kern w:val="44"/>
          <w:sz w:val="32"/>
          <w:szCs w:val="32"/>
          <w14:textFill>
            <w14:solidFill>
              <w14:schemeClr w14:val="tx1"/>
            </w14:solidFill>
          </w14:textFill>
        </w:rPr>
      </w:pPr>
      <w:bookmarkStart w:id="108" w:name="_Toc315871045"/>
      <w:bookmarkEnd w:id="108"/>
      <w:bookmarkStart w:id="109" w:name="_Toc316292050"/>
      <w:bookmarkEnd w:id="109"/>
      <w:bookmarkStart w:id="110" w:name="_Toc316292051"/>
      <w:bookmarkEnd w:id="110"/>
      <w:bookmarkStart w:id="111" w:name="_Toc316292048"/>
      <w:bookmarkEnd w:id="111"/>
      <w:bookmarkStart w:id="112" w:name="_Toc316292049"/>
      <w:bookmarkEnd w:id="112"/>
      <w:bookmarkStart w:id="113" w:name="_Toc316292052"/>
      <w:bookmarkEnd w:id="113"/>
      <w:bookmarkStart w:id="114" w:name="_Toc315871048"/>
      <w:bookmarkEnd w:id="114"/>
      <w:bookmarkStart w:id="115" w:name="_Toc315871050"/>
      <w:bookmarkEnd w:id="115"/>
      <w:bookmarkStart w:id="116" w:name="_Toc315871049"/>
      <w:bookmarkEnd w:id="116"/>
      <w:bookmarkStart w:id="117" w:name="_Toc315871046"/>
      <w:bookmarkEnd w:id="117"/>
      <w:bookmarkStart w:id="118" w:name="_Toc315871047"/>
      <w:bookmarkEnd w:id="118"/>
      <w:bookmarkStart w:id="119" w:name="_Toc76541355"/>
      <w:r>
        <w:rPr>
          <w:rFonts w:hint="eastAsia" w:ascii="宋体" w:hAnsi="宋体"/>
          <w:b/>
          <w:bCs/>
          <w:color w:val="000000" w:themeColor="text1"/>
          <w:spacing w:val="-20"/>
          <w:kern w:val="44"/>
          <w:sz w:val="32"/>
          <w:szCs w:val="32"/>
          <w14:textFill>
            <w14:solidFill>
              <w14:schemeClr w14:val="tx1"/>
            </w14:solidFill>
          </w14:textFill>
        </w:rPr>
        <w:t>投标文件格式</w:t>
      </w:r>
      <w:bookmarkEnd w:id="119"/>
    </w:p>
    <w:p>
      <w:pPr>
        <w:keepNext/>
        <w:keepLines/>
        <w:numPr>
          <w:ilvl w:val="1"/>
          <w:numId w:val="1"/>
        </w:numPr>
        <w:spacing w:before="260" w:after="260" w:line="360" w:lineRule="auto"/>
        <w:jc w:val="left"/>
        <w:outlineLvl w:val="1"/>
        <w:rPr>
          <w:rFonts w:ascii="宋体" w:hAnsi="宋体"/>
          <w:b/>
          <w:bCs/>
          <w:color w:val="000000" w:themeColor="text1"/>
          <w:sz w:val="28"/>
          <w:szCs w:val="28"/>
          <w14:textFill>
            <w14:solidFill>
              <w14:schemeClr w14:val="tx1"/>
            </w14:solidFill>
          </w14:textFill>
        </w:rPr>
      </w:pPr>
      <w:bookmarkStart w:id="120" w:name="_Toc76541356"/>
      <w:r>
        <w:rPr>
          <w:rFonts w:hint="eastAsia" w:ascii="宋体" w:hAnsi="宋体"/>
          <w:b/>
          <w:bCs/>
          <w:color w:val="000000" w:themeColor="text1"/>
          <w:sz w:val="28"/>
          <w:szCs w:val="28"/>
          <w14:textFill>
            <w14:solidFill>
              <w14:schemeClr w14:val="tx1"/>
            </w14:solidFill>
          </w14:textFill>
        </w:rPr>
        <w:t>投标文件封面格式</w:t>
      </w:r>
      <w:bookmarkEnd w:id="120"/>
    </w:p>
    <w:p>
      <w:pPr>
        <w:spacing w:line="360" w:lineRule="auto"/>
        <w:rPr>
          <w:rFonts w:ascii="宋体" w:hAnsi="宋体"/>
          <w:bCs/>
          <w:color w:val="000000" w:themeColor="text1"/>
          <w:szCs w:val="21"/>
          <w14:textFill>
            <w14:solidFill>
              <w14:schemeClr w14:val="tx1"/>
            </w14:solidFill>
          </w14:textFill>
        </w:rPr>
      </w:pPr>
    </w:p>
    <w:p>
      <w:pPr>
        <w:spacing w:line="360" w:lineRule="auto"/>
        <w:rPr>
          <w:rFonts w:ascii="宋体" w:hAnsi="宋体"/>
          <w:bCs/>
          <w:color w:val="000000" w:themeColor="text1"/>
          <w:szCs w:val="21"/>
          <w14:textFill>
            <w14:solidFill>
              <w14:schemeClr w14:val="tx1"/>
            </w14:solidFill>
          </w14:textFill>
        </w:rPr>
      </w:pPr>
    </w:p>
    <w:p>
      <w:pPr>
        <w:spacing w:line="360" w:lineRule="auto"/>
        <w:jc w:val="right"/>
        <w:rPr>
          <w:rFonts w:ascii="宋体" w:hAnsi="宋体"/>
          <w:color w:val="000000" w:themeColor="text1"/>
          <w14:textFill>
            <w14:solidFill>
              <w14:schemeClr w14:val="tx1"/>
            </w14:solidFill>
          </w14:textFill>
        </w:rPr>
      </w:pPr>
    </w:p>
    <w:p>
      <w:pPr>
        <w:spacing w:line="360" w:lineRule="auto"/>
        <w:jc w:val="center"/>
        <w:rPr>
          <w:rFonts w:ascii="宋体" w:hAnsi="宋体"/>
          <w:color w:val="000000" w:themeColor="text1"/>
          <w:spacing w:val="78"/>
          <w:sz w:val="96"/>
          <w:szCs w:val="120"/>
          <w14:textFill>
            <w14:solidFill>
              <w14:schemeClr w14:val="tx1"/>
            </w14:solidFill>
          </w14:textFill>
        </w:rPr>
      </w:pPr>
      <w:r>
        <w:rPr>
          <w:rFonts w:hint="eastAsia" w:ascii="宋体" w:hAnsi="宋体"/>
          <w:color w:val="000000" w:themeColor="text1"/>
          <w:spacing w:val="78"/>
          <w:sz w:val="96"/>
          <w:szCs w:val="120"/>
          <w14:textFill>
            <w14:solidFill>
              <w14:schemeClr w14:val="tx1"/>
            </w14:solidFill>
          </w14:textFill>
        </w:rPr>
        <w:t>投标文件</w:t>
      </w:r>
    </w:p>
    <w:p>
      <w:pPr>
        <w:spacing w:line="360" w:lineRule="auto"/>
        <w:jc w:val="center"/>
        <w:rPr>
          <w:rFonts w:ascii="宋体" w:hAnsi="宋体"/>
          <w:bCs/>
          <w:color w:val="000000" w:themeColor="text1"/>
          <w:sz w:val="36"/>
          <w14:textFill>
            <w14:solidFill>
              <w14:schemeClr w14:val="tx1"/>
            </w14:solidFill>
          </w14:textFill>
        </w:rPr>
      </w:pPr>
    </w:p>
    <w:p>
      <w:pPr>
        <w:spacing w:line="360" w:lineRule="auto"/>
        <w:jc w:val="center"/>
        <w:rPr>
          <w:rFonts w:ascii="宋体" w:hAnsi="宋体"/>
          <w:bCs/>
          <w:color w:val="000000" w:themeColor="text1"/>
          <w:sz w:val="36"/>
          <w14:textFill>
            <w14:solidFill>
              <w14:schemeClr w14:val="tx1"/>
            </w14:solidFill>
          </w14:textFill>
        </w:rPr>
      </w:pPr>
    </w:p>
    <w:p>
      <w:pPr>
        <w:spacing w:line="360" w:lineRule="auto"/>
        <w:ind w:left="1751" w:hanging="1751" w:hangingChars="545"/>
        <w:rPr>
          <w:rFonts w:ascii="宋体" w:hAnsi="宋体"/>
          <w:b/>
          <w:bCs/>
          <w:color w:val="000000" w:themeColor="text1"/>
          <w:sz w:val="32"/>
          <w:szCs w:val="32"/>
          <w14:textFill>
            <w14:solidFill>
              <w14:schemeClr w14:val="tx1"/>
            </w14:solidFill>
          </w14:textFill>
        </w:rPr>
      </w:pPr>
      <w:r>
        <w:rPr>
          <w:rFonts w:hint="eastAsia" w:ascii="宋体" w:hAnsi="宋体"/>
          <w:b/>
          <w:bCs/>
          <w:color w:val="000000" w:themeColor="text1"/>
          <w:sz w:val="32"/>
          <w:szCs w:val="32"/>
          <w14:textFill>
            <w14:solidFill>
              <w14:schemeClr w14:val="tx1"/>
            </w14:solidFill>
          </w14:textFill>
        </w:rPr>
        <w:t>项目名称：</w:t>
      </w:r>
      <w:r>
        <w:rPr>
          <w:rFonts w:ascii="宋体" w:hAnsi="宋体"/>
          <w:b/>
          <w:bCs/>
          <w:color w:val="000000" w:themeColor="text1"/>
          <w:sz w:val="32"/>
          <w:szCs w:val="32"/>
          <w14:textFill>
            <w14:solidFill>
              <w14:schemeClr w14:val="tx1"/>
            </w14:solidFill>
          </w14:textFill>
        </w:rPr>
        <w:t>成都市青羊区教育技术装备与信息管理中心2021年新建学校电教设备政府采购项目</w:t>
      </w:r>
    </w:p>
    <w:p>
      <w:pPr>
        <w:spacing w:line="360" w:lineRule="auto"/>
        <w:rPr>
          <w:rFonts w:ascii="宋体" w:hAnsi="宋体"/>
          <w:b/>
          <w:color w:val="000000" w:themeColor="text1"/>
          <w:sz w:val="32"/>
          <w:szCs w:val="32"/>
          <w:u w:val="single"/>
          <w14:textFill>
            <w14:solidFill>
              <w14:schemeClr w14:val="tx1"/>
            </w14:solidFill>
          </w14:textFill>
        </w:rPr>
      </w:pPr>
      <w:r>
        <w:rPr>
          <w:rFonts w:hint="eastAsia" w:ascii="宋体" w:hAnsi="宋体"/>
          <w:b/>
          <w:bCs/>
          <w:color w:val="000000" w:themeColor="text1"/>
          <w:sz w:val="32"/>
          <w:szCs w:val="32"/>
          <w14:textFill>
            <w14:solidFill>
              <w14:schemeClr w14:val="tx1"/>
            </w14:solidFill>
          </w14:textFill>
        </w:rPr>
        <w:t>项目编号：</w:t>
      </w:r>
      <w:r>
        <w:rPr>
          <w:rFonts w:ascii="宋体" w:hAnsi="宋体"/>
          <w:b/>
          <w:bCs/>
          <w:color w:val="000000" w:themeColor="text1"/>
          <w:sz w:val="32"/>
          <w:szCs w:val="32"/>
          <w14:textFill>
            <w14:solidFill>
              <w14:schemeClr w14:val="tx1"/>
            </w14:solidFill>
          </w14:textFill>
        </w:rPr>
        <w:t>青羊政采（2021）A0001号</w:t>
      </w:r>
    </w:p>
    <w:p>
      <w:pPr>
        <w:spacing w:line="360" w:lineRule="auto"/>
        <w:rPr>
          <w:rFonts w:ascii="宋体" w:hAnsi="宋体"/>
          <w:b/>
          <w:bCs/>
          <w:color w:val="000000" w:themeColor="text1"/>
          <w:sz w:val="32"/>
          <w:szCs w:val="32"/>
          <w14:textFill>
            <w14:solidFill>
              <w14:schemeClr w14:val="tx1"/>
            </w14:solidFill>
          </w14:textFill>
        </w:rPr>
      </w:pPr>
    </w:p>
    <w:p>
      <w:pPr>
        <w:spacing w:line="360" w:lineRule="auto"/>
        <w:rPr>
          <w:rFonts w:ascii="宋体" w:hAnsi="宋体"/>
          <w:b/>
          <w:bCs/>
          <w:color w:val="000000" w:themeColor="text1"/>
          <w:sz w:val="32"/>
          <w:szCs w:val="32"/>
          <w14:textFill>
            <w14:solidFill>
              <w14:schemeClr w14:val="tx1"/>
            </w14:solidFill>
          </w14:textFill>
        </w:rPr>
      </w:pPr>
    </w:p>
    <w:p>
      <w:pPr>
        <w:spacing w:line="360" w:lineRule="auto"/>
        <w:rPr>
          <w:rFonts w:ascii="宋体" w:hAnsi="宋体"/>
          <w:b/>
          <w:bCs/>
          <w:color w:val="000000" w:themeColor="text1"/>
          <w:sz w:val="32"/>
          <w:szCs w:val="32"/>
          <w14:textFill>
            <w14:solidFill>
              <w14:schemeClr w14:val="tx1"/>
            </w14:solidFill>
          </w14:textFill>
        </w:rPr>
      </w:pPr>
    </w:p>
    <w:p>
      <w:pPr>
        <w:spacing w:line="360" w:lineRule="auto"/>
        <w:ind w:firstLine="630" w:firstLineChars="196"/>
        <w:rPr>
          <w:rFonts w:ascii="宋体" w:hAnsi="宋体"/>
          <w:b/>
          <w:bCs/>
          <w:color w:val="000000" w:themeColor="text1"/>
          <w:sz w:val="32"/>
          <w:szCs w:val="32"/>
          <w14:textFill>
            <w14:solidFill>
              <w14:schemeClr w14:val="tx1"/>
            </w14:solidFill>
          </w14:textFill>
        </w:rPr>
      </w:pPr>
      <w:r>
        <w:rPr>
          <w:rFonts w:hint="eastAsia" w:ascii="宋体" w:hAnsi="宋体"/>
          <w:b/>
          <w:bCs/>
          <w:color w:val="000000" w:themeColor="text1"/>
          <w:sz w:val="32"/>
          <w:szCs w:val="32"/>
          <w14:textFill>
            <w14:solidFill>
              <w14:schemeClr w14:val="tx1"/>
            </w14:solidFill>
          </w14:textFill>
        </w:rPr>
        <w:t>投标人名称：XXXX</w:t>
      </w:r>
    </w:p>
    <w:p>
      <w:pPr>
        <w:spacing w:line="360" w:lineRule="auto"/>
        <w:ind w:firstLine="569" w:firstLineChars="177"/>
        <w:rPr>
          <w:rFonts w:ascii="宋体" w:hAnsi="宋体"/>
          <w:b/>
          <w:bCs/>
          <w:color w:val="000000" w:themeColor="text1"/>
          <w:sz w:val="32"/>
          <w:szCs w:val="32"/>
          <w14:textFill>
            <w14:solidFill>
              <w14:schemeClr w14:val="tx1"/>
            </w14:solidFill>
          </w14:textFill>
        </w:rPr>
      </w:pPr>
      <w:r>
        <w:rPr>
          <w:rFonts w:hint="eastAsia" w:ascii="宋体" w:hAnsi="宋体"/>
          <w:b/>
          <w:bCs/>
          <w:color w:val="000000" w:themeColor="text1"/>
          <w:sz w:val="32"/>
          <w:szCs w:val="32"/>
          <w14:textFill>
            <w14:solidFill>
              <w14:schemeClr w14:val="tx1"/>
            </w14:solidFill>
          </w14:textFill>
        </w:rPr>
        <w:t>日       期：202X年XX月XX日</w:t>
      </w:r>
    </w:p>
    <w:p>
      <w:pPr>
        <w:spacing w:line="360" w:lineRule="auto"/>
        <w:ind w:firstLine="569" w:firstLineChars="177"/>
        <w:rPr>
          <w:rFonts w:ascii="宋体" w:hAnsi="宋体"/>
          <w:b/>
          <w:bCs/>
          <w:color w:val="000000" w:themeColor="text1"/>
          <w:sz w:val="32"/>
          <w:szCs w:val="32"/>
          <w14:textFill>
            <w14:solidFill>
              <w14:schemeClr w14:val="tx1"/>
            </w14:solidFill>
          </w14:textFill>
        </w:rPr>
      </w:pPr>
    </w:p>
    <w:p>
      <w:pPr>
        <w:spacing w:line="360" w:lineRule="auto"/>
        <w:ind w:firstLine="569" w:firstLineChars="177"/>
        <w:rPr>
          <w:rFonts w:ascii="宋体" w:hAnsi="宋体"/>
          <w:b/>
          <w:bCs/>
          <w:color w:val="000000" w:themeColor="text1"/>
          <w:sz w:val="32"/>
          <w:szCs w:val="32"/>
          <w14:textFill>
            <w14:solidFill>
              <w14:schemeClr w14:val="tx1"/>
            </w14:solidFill>
          </w14:textFill>
        </w:rPr>
      </w:pPr>
    </w:p>
    <w:p>
      <w:pPr>
        <w:spacing w:line="360" w:lineRule="auto"/>
        <w:ind w:firstLine="569" w:firstLineChars="177"/>
        <w:rPr>
          <w:rFonts w:ascii="宋体" w:hAnsi="宋体"/>
          <w:b/>
          <w:bCs/>
          <w:color w:val="000000" w:themeColor="text1"/>
          <w:sz w:val="32"/>
          <w:szCs w:val="32"/>
          <w14:textFill>
            <w14:solidFill>
              <w14:schemeClr w14:val="tx1"/>
            </w14:solidFill>
          </w14:textFill>
        </w:rPr>
      </w:pPr>
    </w:p>
    <w:p>
      <w:pPr>
        <w:spacing w:line="360" w:lineRule="auto"/>
        <w:ind w:firstLine="569" w:firstLineChars="177"/>
        <w:rPr>
          <w:rFonts w:ascii="宋体" w:hAnsi="宋体"/>
          <w:b/>
          <w:bCs/>
          <w:color w:val="000000" w:themeColor="text1"/>
          <w:sz w:val="32"/>
          <w:szCs w:val="32"/>
          <w14:textFill>
            <w14:solidFill>
              <w14:schemeClr w14:val="tx1"/>
            </w14:solidFill>
          </w14:textFill>
        </w:rPr>
      </w:pPr>
    </w:p>
    <w:p>
      <w:pPr>
        <w:keepNext/>
        <w:keepLines/>
        <w:numPr>
          <w:ilvl w:val="1"/>
          <w:numId w:val="1"/>
        </w:numPr>
        <w:spacing w:before="260" w:after="260" w:line="360" w:lineRule="auto"/>
        <w:jc w:val="left"/>
        <w:outlineLvl w:val="1"/>
        <w:rPr>
          <w:rFonts w:ascii="宋体" w:hAnsi="宋体"/>
          <w:b/>
          <w:bCs/>
          <w:color w:val="000000" w:themeColor="text1"/>
          <w:sz w:val="28"/>
          <w:szCs w:val="28"/>
          <w14:textFill>
            <w14:solidFill>
              <w14:schemeClr w14:val="tx1"/>
            </w14:solidFill>
          </w14:textFill>
        </w:rPr>
      </w:pPr>
      <w:bookmarkStart w:id="121" w:name="_Toc76541357"/>
      <w:r>
        <w:rPr>
          <w:rFonts w:hint="eastAsia" w:ascii="宋体" w:hAnsi="宋体"/>
          <w:b/>
          <w:bCs/>
          <w:color w:val="000000" w:themeColor="text1"/>
          <w:sz w:val="28"/>
          <w:szCs w:val="28"/>
          <w14:textFill>
            <w14:solidFill>
              <w14:schemeClr w14:val="tx1"/>
            </w14:solidFill>
          </w14:textFill>
        </w:rPr>
        <w:t>资格响应文件</w:t>
      </w:r>
      <w:bookmarkEnd w:id="121"/>
    </w:p>
    <w:p>
      <w:pPr>
        <w:keepNext/>
        <w:keepLines/>
        <w:numPr>
          <w:ilvl w:val="2"/>
          <w:numId w:val="1"/>
        </w:numPr>
        <w:spacing w:line="360" w:lineRule="auto"/>
        <w:ind w:left="3119" w:hanging="3119"/>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关于投标人资格申明的函</w:t>
      </w:r>
    </w:p>
    <w:p>
      <w:pPr>
        <w:spacing w:line="360" w:lineRule="auto"/>
        <w:rPr>
          <w:rFonts w:ascii="宋体" w:hAnsi="宋体"/>
          <w:color w:val="000000" w:themeColor="text1"/>
          <w:sz w:val="28"/>
          <w:szCs w:val="28"/>
          <w14:textFill>
            <w14:solidFill>
              <w14:schemeClr w14:val="tx1"/>
            </w14:solidFill>
          </w14:textFill>
        </w:rPr>
      </w:pPr>
      <w:bookmarkStart w:id="122" w:name="_Toc238581782"/>
      <w:bookmarkStart w:id="123" w:name="_Toc119295087"/>
      <w:bookmarkStart w:id="124" w:name="_Toc52184753"/>
      <w:bookmarkStart w:id="125" w:name="_Toc119203988"/>
      <w:bookmarkStart w:id="126" w:name="_Toc119296788"/>
      <w:bookmarkStart w:id="127" w:name="_Toc146903609"/>
      <w:r>
        <w:rPr>
          <w:rFonts w:hint="eastAsia" w:ascii="宋体" w:hAnsi="宋体"/>
          <w:color w:val="000000" w:themeColor="text1"/>
          <w:sz w:val="28"/>
          <w:szCs w:val="28"/>
          <w14:textFill>
            <w14:solidFill>
              <w14:schemeClr w14:val="tx1"/>
            </w14:solidFill>
          </w14:textFill>
        </w:rPr>
        <w:t>致：成都市青羊区政府采购服务中心</w:t>
      </w:r>
      <w:bookmarkEnd w:id="122"/>
    </w:p>
    <w:p>
      <w:pPr>
        <w:spacing w:line="360" w:lineRule="auto"/>
        <w:ind w:firstLine="565" w:firstLineChars="202"/>
        <w:rPr>
          <w:rFonts w:ascii="宋体" w:hAnsi="宋体"/>
          <w:color w:val="000000" w:themeColor="text1"/>
          <w:sz w:val="28"/>
          <w:szCs w:val="28"/>
          <w14:textFill>
            <w14:solidFill>
              <w14:schemeClr w14:val="tx1"/>
            </w14:solidFill>
          </w14:textFill>
        </w:rPr>
      </w:pPr>
      <w:bookmarkStart w:id="128" w:name="_Toc238581783"/>
      <w:r>
        <w:rPr>
          <w:rFonts w:hint="eastAsia" w:ascii="宋体" w:hAnsi="宋体"/>
          <w:color w:val="000000" w:themeColor="text1"/>
          <w:sz w:val="28"/>
          <w:szCs w:val="28"/>
          <w14:textFill>
            <w14:solidFill>
              <w14:schemeClr w14:val="tx1"/>
            </w14:solidFill>
          </w14:textFill>
        </w:rPr>
        <w:t>关于我方对</w:t>
      </w:r>
      <w:r>
        <w:rPr>
          <w:rFonts w:ascii="宋体" w:hAnsi="宋体"/>
          <w:b/>
          <w:color w:val="000000" w:themeColor="text1"/>
          <w:sz w:val="28"/>
          <w:szCs w:val="28"/>
          <w:u w:val="single"/>
          <w14:textFill>
            <w14:solidFill>
              <w14:schemeClr w14:val="tx1"/>
            </w14:solidFill>
          </w14:textFill>
        </w:rPr>
        <w:t>成都市青羊区教育技术装备与信息管理中心2021年新建学校电教设备政府采购项目</w:t>
      </w:r>
      <w:r>
        <w:rPr>
          <w:rFonts w:hint="eastAsia" w:ascii="宋体" w:hAnsi="宋体"/>
          <w:b/>
          <w:color w:val="000000" w:themeColor="text1"/>
          <w:sz w:val="28"/>
          <w:szCs w:val="28"/>
          <w:u w:val="single"/>
          <w14:textFill>
            <w14:solidFill>
              <w14:schemeClr w14:val="tx1"/>
            </w14:solidFill>
          </w14:textFill>
        </w:rPr>
        <w:t>（项目编号：</w:t>
      </w:r>
      <w:r>
        <w:rPr>
          <w:rFonts w:ascii="宋体" w:hAnsi="宋体"/>
          <w:b/>
          <w:color w:val="000000" w:themeColor="text1"/>
          <w:sz w:val="28"/>
          <w:szCs w:val="28"/>
          <w:u w:val="single"/>
          <w14:textFill>
            <w14:solidFill>
              <w14:schemeClr w14:val="tx1"/>
            </w14:solidFill>
          </w14:textFill>
        </w:rPr>
        <w:t>青羊政采（2021）A0001号</w:t>
      </w:r>
      <w:r>
        <w:rPr>
          <w:rFonts w:hint="eastAsia" w:ascii="宋体" w:hAnsi="宋体"/>
          <w:b/>
          <w:color w:val="000000" w:themeColor="text1"/>
          <w:sz w:val="28"/>
          <w:szCs w:val="28"/>
          <w:u w:val="single"/>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的公开招标，提交的下列文件和说明是准确的和真实的。</w:t>
      </w:r>
      <w:bookmarkEnd w:id="128"/>
    </w:p>
    <w:p>
      <w:pPr>
        <w:widowControl/>
        <w:numPr>
          <w:ilvl w:val="2"/>
          <w:numId w:val="33"/>
        </w:numPr>
        <w:spacing w:line="360" w:lineRule="auto"/>
        <w:ind w:left="0" w:firstLine="560" w:firstLineChars="200"/>
        <w:rPr>
          <w:rFonts w:ascii="宋体" w:hAnsi="宋体"/>
          <w:color w:val="000000" w:themeColor="text1"/>
          <w:sz w:val="28"/>
          <w:szCs w:val="28"/>
          <w14:textFill>
            <w14:solidFill>
              <w14:schemeClr w14:val="tx1"/>
            </w14:solidFill>
          </w14:textFill>
        </w:rPr>
      </w:pPr>
      <w:bookmarkStart w:id="129" w:name="_Toc238581784"/>
      <w:r>
        <w:rPr>
          <w:rFonts w:hint="eastAsia" w:ascii="宋体" w:hAnsi="宋体"/>
          <w:color w:val="000000" w:themeColor="text1"/>
          <w:sz w:val="28"/>
          <w:szCs w:val="28"/>
          <w14:textFill>
            <w14:solidFill>
              <w14:schemeClr w14:val="tx1"/>
            </w14:solidFill>
          </w14:textFill>
        </w:rPr>
        <w:t>投标人名称及概况：</w:t>
      </w:r>
      <w:bookmarkEnd w:id="123"/>
      <w:bookmarkEnd w:id="124"/>
      <w:bookmarkEnd w:id="125"/>
      <w:bookmarkEnd w:id="126"/>
      <w:bookmarkEnd w:id="127"/>
      <w:bookmarkEnd w:id="129"/>
    </w:p>
    <w:p>
      <w:pPr>
        <w:widowControl/>
        <w:numPr>
          <w:ilvl w:val="0"/>
          <w:numId w:val="34"/>
        </w:numPr>
        <w:spacing w:line="360" w:lineRule="auto"/>
        <w:ind w:left="0" w:firstLine="560" w:firstLineChars="20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投标人名称：XXXX</w:t>
      </w:r>
    </w:p>
    <w:p>
      <w:pPr>
        <w:widowControl/>
        <w:numPr>
          <w:ilvl w:val="0"/>
          <w:numId w:val="34"/>
        </w:numPr>
        <w:spacing w:line="360" w:lineRule="auto"/>
        <w:ind w:left="0" w:firstLine="560" w:firstLineChars="20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地址：XXXX           邮编：XXXX</w:t>
      </w:r>
    </w:p>
    <w:p>
      <w:pPr>
        <w:spacing w:line="360" w:lineRule="auto"/>
        <w:ind w:firstLine="700" w:firstLineChars="250"/>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传真/电话：XXXX</w:t>
      </w:r>
    </w:p>
    <w:p>
      <w:pPr>
        <w:widowControl/>
        <w:numPr>
          <w:ilvl w:val="0"/>
          <w:numId w:val="34"/>
        </w:numPr>
        <w:spacing w:line="360" w:lineRule="auto"/>
        <w:ind w:left="0" w:firstLine="560" w:firstLineChars="20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成立日期或注册日期：XXXX</w:t>
      </w:r>
    </w:p>
    <w:p>
      <w:pPr>
        <w:widowControl/>
        <w:numPr>
          <w:ilvl w:val="0"/>
          <w:numId w:val="34"/>
        </w:numPr>
        <w:spacing w:line="360" w:lineRule="auto"/>
        <w:ind w:left="0" w:firstLine="560" w:firstLineChars="200"/>
        <w:jc w:val="left"/>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法定代表人姓名：XXXX</w:t>
      </w:r>
    </w:p>
    <w:p>
      <w:pPr>
        <w:widowControl/>
        <w:numPr>
          <w:ilvl w:val="2"/>
          <w:numId w:val="33"/>
        </w:numPr>
        <w:tabs>
          <w:tab w:val="left" w:pos="1276"/>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开户银行名称：XXXX</w:t>
      </w:r>
    </w:p>
    <w:p>
      <w:pPr>
        <w:spacing w:line="360" w:lineRule="auto"/>
        <w:ind w:firstLine="1260" w:firstLineChars="450"/>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地址：XXXX</w:t>
      </w:r>
    </w:p>
    <w:p>
      <w:pPr>
        <w:spacing w:line="360" w:lineRule="auto"/>
        <w:ind w:firstLine="1260" w:firstLineChars="45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账号：XXXX</w:t>
      </w:r>
    </w:p>
    <w:p>
      <w:pPr>
        <w:spacing w:line="360" w:lineRule="auto"/>
        <w:ind w:left="560"/>
        <w:rPr>
          <w:rFonts w:ascii="宋体" w:hAnsi="宋体"/>
          <w:color w:val="000000" w:themeColor="text1"/>
          <w:sz w:val="28"/>
          <w:szCs w:val="28"/>
          <w14:textFill>
            <w14:solidFill>
              <w14:schemeClr w14:val="tx1"/>
            </w14:solidFill>
          </w14:textFill>
        </w:rPr>
      </w:pPr>
    </w:p>
    <w:p>
      <w:pPr>
        <w:spacing w:line="360" w:lineRule="auto"/>
        <w:ind w:left="560"/>
        <w:rPr>
          <w:rFonts w:ascii="宋体" w:hAnsi="宋体"/>
          <w:color w:val="000000" w:themeColor="text1"/>
          <w:sz w:val="28"/>
          <w:szCs w:val="28"/>
          <w14:textFill>
            <w14:solidFill>
              <w14:schemeClr w14:val="tx1"/>
            </w14:solidFill>
          </w14:textFill>
        </w:rPr>
      </w:pPr>
    </w:p>
    <w:p>
      <w:pPr>
        <w:spacing w:line="360" w:lineRule="auto"/>
        <w:ind w:left="560"/>
        <w:rPr>
          <w:rFonts w:ascii="宋体" w:hAnsi="宋体"/>
          <w:color w:val="000000" w:themeColor="text1"/>
          <w:sz w:val="28"/>
          <w:szCs w:val="28"/>
          <w14:textFill>
            <w14:solidFill>
              <w14:schemeClr w14:val="tx1"/>
            </w14:solidFill>
          </w14:textFill>
        </w:rPr>
      </w:pPr>
    </w:p>
    <w:p>
      <w:pPr>
        <w:spacing w:line="360" w:lineRule="auto"/>
        <w:ind w:left="560"/>
        <w:rPr>
          <w:rFonts w:ascii="宋体" w:hAnsi="宋体"/>
          <w:color w:val="000000" w:themeColor="text1"/>
          <w:sz w:val="28"/>
          <w:szCs w:val="28"/>
          <w14:textFill>
            <w14:solidFill>
              <w14:schemeClr w14:val="tx1"/>
            </w14:solidFill>
          </w14:textFill>
        </w:rPr>
      </w:pPr>
    </w:p>
    <w:p>
      <w:pPr>
        <w:spacing w:line="360" w:lineRule="auto"/>
        <w:ind w:left="560"/>
        <w:rPr>
          <w:rFonts w:ascii="宋体" w:hAnsi="宋体"/>
          <w:color w:val="000000" w:themeColor="text1"/>
          <w:sz w:val="28"/>
          <w:szCs w:val="28"/>
          <w14:textFill>
            <w14:solidFill>
              <w14:schemeClr w14:val="tx1"/>
            </w14:solidFill>
          </w14:textFill>
        </w:rPr>
      </w:pPr>
    </w:p>
    <w:p>
      <w:pPr>
        <w:spacing w:line="360" w:lineRule="auto"/>
        <w:ind w:left="560"/>
        <w:rPr>
          <w:rFonts w:ascii="宋体" w:hAnsi="宋体"/>
          <w:color w:val="000000" w:themeColor="text1"/>
          <w:sz w:val="28"/>
          <w:szCs w:val="28"/>
          <w14:textFill>
            <w14:solidFill>
              <w14:schemeClr w14:val="tx1"/>
            </w14:solidFill>
          </w14:textFill>
        </w:rPr>
      </w:pP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投标人名称：</w:t>
      </w:r>
      <w:r>
        <w:rPr>
          <w:rFonts w:hint="eastAsia" w:ascii="宋体" w:hAnsi="宋体"/>
          <w:color w:val="000000" w:themeColor="text1"/>
          <w:sz w:val="28"/>
          <w:szCs w:val="28"/>
          <w:u w:val="single"/>
          <w14:textFill>
            <w14:solidFill>
              <w14:schemeClr w14:val="tx1"/>
            </w14:solidFill>
          </w14:textFill>
        </w:rPr>
        <w:t>XXXX</w:t>
      </w:r>
    </w:p>
    <w:p>
      <w:pPr>
        <w:spacing w:line="360" w:lineRule="auto"/>
        <w:ind w:left="283" w:leftChars="135" w:firstLine="280" w:firstLineChars="100"/>
        <w:rPr>
          <w:rFonts w:ascii="宋体" w:hAnsi="宋体"/>
          <w:color w:val="000000" w:themeColor="text1"/>
          <w:sz w:val="28"/>
          <w:szCs w:val="28"/>
          <w:u w:val="single"/>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日    期：</w:t>
      </w:r>
      <w:r>
        <w:rPr>
          <w:rFonts w:hint="eastAsia" w:ascii="宋体" w:hAnsi="宋体"/>
          <w:bCs/>
          <w:color w:val="000000" w:themeColor="text1"/>
          <w:sz w:val="28"/>
          <w14:textFill>
            <w14:solidFill>
              <w14:schemeClr w14:val="tx1"/>
            </w14:solidFill>
          </w14:textFill>
        </w:rPr>
        <w:t>202</w:t>
      </w:r>
      <w:r>
        <w:rPr>
          <w:rFonts w:hint="eastAsia" w:ascii="宋体" w:hAnsi="宋体"/>
          <w:bCs/>
          <w:color w:val="000000" w:themeColor="text1"/>
          <w:sz w:val="28"/>
          <w:u w:val="single"/>
          <w14:textFill>
            <w14:solidFill>
              <w14:schemeClr w14:val="tx1"/>
            </w14:solidFill>
          </w14:textFill>
        </w:rPr>
        <w:t>X</w:t>
      </w:r>
      <w:r>
        <w:rPr>
          <w:rFonts w:hint="eastAsia" w:ascii="宋体" w:hAnsi="宋体"/>
          <w:bCs/>
          <w:color w:val="000000" w:themeColor="text1"/>
          <w:sz w:val="28"/>
          <w14:textFill>
            <w14:solidFill>
              <w14:schemeClr w14:val="tx1"/>
            </w14:solidFill>
          </w14:textFill>
        </w:rPr>
        <w:t>年</w:t>
      </w:r>
      <w:r>
        <w:rPr>
          <w:rFonts w:hint="eastAsia" w:ascii="宋体" w:hAnsi="宋体"/>
          <w:bCs/>
          <w:color w:val="000000" w:themeColor="text1"/>
          <w:sz w:val="28"/>
          <w:u w:val="single"/>
          <w14:textFill>
            <w14:solidFill>
              <w14:schemeClr w14:val="tx1"/>
            </w14:solidFill>
          </w14:textFill>
        </w:rPr>
        <w:t>XX</w:t>
      </w:r>
      <w:r>
        <w:rPr>
          <w:rFonts w:hint="eastAsia" w:ascii="宋体" w:hAnsi="宋体"/>
          <w:bCs/>
          <w:color w:val="000000" w:themeColor="text1"/>
          <w:sz w:val="28"/>
          <w14:textFill>
            <w14:solidFill>
              <w14:schemeClr w14:val="tx1"/>
            </w14:solidFill>
          </w14:textFill>
        </w:rPr>
        <w:t>月</w:t>
      </w:r>
      <w:r>
        <w:rPr>
          <w:rFonts w:hint="eastAsia" w:ascii="宋体" w:hAnsi="宋体"/>
          <w:bCs/>
          <w:color w:val="000000" w:themeColor="text1"/>
          <w:sz w:val="28"/>
          <w:u w:val="single"/>
          <w14:textFill>
            <w14:solidFill>
              <w14:schemeClr w14:val="tx1"/>
            </w14:solidFill>
          </w14:textFill>
        </w:rPr>
        <w:t>XX</w:t>
      </w:r>
      <w:r>
        <w:rPr>
          <w:rFonts w:hint="eastAsia" w:ascii="宋体" w:hAnsi="宋体"/>
          <w:bCs/>
          <w:color w:val="000000" w:themeColor="text1"/>
          <w:sz w:val="28"/>
          <w14:textFill>
            <w14:solidFill>
              <w14:schemeClr w14:val="tx1"/>
            </w14:solidFill>
          </w14:textFill>
        </w:rPr>
        <w:t>日</w:t>
      </w:r>
    </w:p>
    <w:p>
      <w:pPr>
        <w:spacing w:line="380" w:lineRule="exact"/>
        <w:rPr>
          <w:rFonts w:ascii="宋体" w:hAnsi="宋体"/>
          <w:color w:val="000000" w:themeColor="text1"/>
          <w:sz w:val="28"/>
          <w:szCs w:val="28"/>
          <w14:textFill>
            <w14:solidFill>
              <w14:schemeClr w14:val="tx1"/>
            </w14:solidFill>
          </w14:textFill>
        </w:rPr>
      </w:pPr>
    </w:p>
    <w:p>
      <w:pPr>
        <w:spacing w:line="360" w:lineRule="auto"/>
        <w:rPr>
          <w:rFonts w:ascii="宋体" w:hAnsi="宋体"/>
          <w:b/>
          <w:bCs/>
          <w:color w:val="000000" w:themeColor="text1"/>
          <w:sz w:val="32"/>
          <w:szCs w:val="32"/>
          <w14:textFill>
            <w14:solidFill>
              <w14:schemeClr w14:val="tx1"/>
            </w14:solidFill>
          </w14:textFill>
        </w:rPr>
      </w:pP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声明</w:t>
      </w: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致：成都市青羊区政府采购服务中心</w:t>
      </w: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我单位作为</w:t>
      </w:r>
      <w:r>
        <w:rPr>
          <w:rFonts w:ascii="宋体" w:hAnsi="宋体"/>
          <w:b/>
          <w:color w:val="000000" w:themeColor="text1"/>
          <w:sz w:val="28"/>
          <w:szCs w:val="28"/>
          <w:u w:val="single"/>
          <w14:textFill>
            <w14:solidFill>
              <w14:schemeClr w14:val="tx1"/>
            </w14:solidFill>
          </w14:textFill>
        </w:rPr>
        <w:t>成都市青羊区教育技术装备与信息管理中心2021年新建学校电教设备政府采购项目</w:t>
      </w:r>
      <w:r>
        <w:rPr>
          <w:rFonts w:hint="eastAsia" w:ascii="宋体" w:hAnsi="宋体"/>
          <w:b/>
          <w:color w:val="000000" w:themeColor="text1"/>
          <w:sz w:val="28"/>
          <w:szCs w:val="28"/>
          <w:u w:val="single"/>
          <w14:textFill>
            <w14:solidFill>
              <w14:schemeClr w14:val="tx1"/>
            </w14:solidFill>
          </w14:textFill>
        </w:rPr>
        <w:t>（项目编号：</w:t>
      </w:r>
      <w:r>
        <w:rPr>
          <w:rFonts w:ascii="宋体" w:hAnsi="宋体"/>
          <w:b/>
          <w:color w:val="000000" w:themeColor="text1"/>
          <w:sz w:val="28"/>
          <w:szCs w:val="28"/>
          <w:u w:val="single"/>
          <w14:textFill>
            <w14:solidFill>
              <w14:schemeClr w14:val="tx1"/>
            </w14:solidFill>
          </w14:textFill>
        </w:rPr>
        <w:t>青羊政采（2021）A0001号</w:t>
      </w:r>
      <w:r>
        <w:rPr>
          <w:rFonts w:hint="eastAsia" w:ascii="宋体" w:hAnsi="宋体"/>
          <w:b/>
          <w:color w:val="000000" w:themeColor="text1"/>
          <w:sz w:val="28"/>
          <w:szCs w:val="28"/>
          <w:u w:val="single"/>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的投标人，在此郑重声明：</w:t>
      </w: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一、我单位参加政府采购活动前三年内，在经营活动中</w:t>
      </w:r>
      <w:r>
        <w:rPr>
          <w:rFonts w:hint="eastAsia" w:ascii="宋体" w:hAnsi="宋体"/>
          <w:b/>
          <w:color w:val="000000" w:themeColor="text1"/>
          <w:sz w:val="28"/>
          <w:szCs w:val="28"/>
          <w:u w:val="single"/>
          <w14:textFill>
            <w14:solidFill>
              <w14:schemeClr w14:val="tx1"/>
            </w14:solidFill>
          </w14:textFill>
        </w:rPr>
        <w:t>（说明：填写“没有”或“有”）</w:t>
      </w:r>
      <w:r>
        <w:rPr>
          <w:rFonts w:hint="eastAsia" w:ascii="宋体" w:hAnsi="宋体"/>
          <w:color w:val="000000" w:themeColor="text1"/>
          <w:sz w:val="28"/>
          <w:szCs w:val="28"/>
          <w14:textFill>
            <w14:solidFill>
              <w14:schemeClr w14:val="tx1"/>
            </w14:solidFill>
          </w14:textFill>
        </w:rPr>
        <w:t>重大违法记录。</w:t>
      </w: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二、我单位</w:t>
      </w:r>
      <w:r>
        <w:rPr>
          <w:rFonts w:hint="eastAsia" w:ascii="宋体" w:hAnsi="宋体"/>
          <w:b/>
          <w:color w:val="000000" w:themeColor="text1"/>
          <w:sz w:val="28"/>
          <w:szCs w:val="28"/>
          <w:u w:val="single"/>
          <w14:textFill>
            <w14:solidFill>
              <w14:schemeClr w14:val="tx1"/>
            </w14:solidFill>
          </w14:textFill>
        </w:rPr>
        <w:t>（说明：填写“具有”或“不具有”）</w:t>
      </w:r>
      <w:r>
        <w:rPr>
          <w:rFonts w:hint="eastAsia" w:ascii="宋体" w:hAnsi="宋体"/>
          <w:color w:val="000000" w:themeColor="text1"/>
          <w:sz w:val="28"/>
          <w:szCs w:val="28"/>
          <w14:textFill>
            <w14:solidFill>
              <w14:schemeClr w14:val="tx1"/>
            </w14:solidFill>
          </w14:textFill>
        </w:rPr>
        <w:t>良好的商业信誉。</w:t>
      </w: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三、与我单位负责人为同一人或者存在直接控股、管理关系的相关供应商：</w:t>
      </w:r>
      <w:r>
        <w:rPr>
          <w:rFonts w:hint="eastAsia" w:ascii="宋体" w:hAnsi="宋体"/>
          <w:b/>
          <w:color w:val="000000" w:themeColor="text1"/>
          <w:sz w:val="28"/>
          <w:szCs w:val="28"/>
          <w:u w:val="single"/>
          <w14:textFill>
            <w14:solidFill>
              <w14:schemeClr w14:val="tx1"/>
            </w14:solidFill>
          </w14:textFill>
        </w:rPr>
        <w:t>（说明：填写“无”或“（一）供应商名称１；（二）供应商名称２；（三）……”）</w:t>
      </w:r>
      <w:r>
        <w:rPr>
          <w:rFonts w:hint="eastAsia" w:ascii="宋体" w:hAnsi="宋体"/>
          <w:b/>
          <w:color w:val="000000" w:themeColor="text1"/>
          <w:sz w:val="28"/>
          <w:szCs w:val="28"/>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w:t>
      </w: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四、在行贿犯罪信息查询期限内，我单位及我单位现任法定代表人、主要负责人</w:t>
      </w:r>
      <w:r>
        <w:rPr>
          <w:rFonts w:hint="eastAsia" w:ascii="宋体" w:hAnsi="宋体"/>
          <w:b/>
          <w:color w:val="000000" w:themeColor="text1"/>
          <w:sz w:val="28"/>
          <w:szCs w:val="28"/>
          <w:u w:val="single"/>
          <w14:textFill>
            <w14:solidFill>
              <w14:schemeClr w14:val="tx1"/>
            </w14:solidFill>
          </w14:textFill>
        </w:rPr>
        <w:t>（说明：填写“没有”或“有”）</w:t>
      </w:r>
      <w:r>
        <w:rPr>
          <w:rFonts w:hint="eastAsia" w:ascii="宋体" w:hAnsi="宋体"/>
          <w:color w:val="000000" w:themeColor="text1"/>
          <w:sz w:val="28"/>
          <w:szCs w:val="28"/>
          <w14:textFill>
            <w14:solidFill>
              <w14:schemeClr w14:val="tx1"/>
            </w14:solidFill>
          </w14:textFill>
        </w:rPr>
        <w:t>行贿犯罪记录。</w:t>
      </w:r>
    </w:p>
    <w:p>
      <w:pPr>
        <w:tabs>
          <w:tab w:val="left" w:pos="1260"/>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五、我单位</w:t>
      </w:r>
      <w:r>
        <w:rPr>
          <w:rFonts w:hint="eastAsia" w:ascii="宋体" w:hAnsi="宋体"/>
          <w:b/>
          <w:color w:val="000000" w:themeColor="text1"/>
          <w:sz w:val="28"/>
          <w:szCs w:val="28"/>
          <w:u w:val="single"/>
          <w14:textFill>
            <w14:solidFill>
              <w14:schemeClr w14:val="tx1"/>
            </w14:solidFill>
          </w14:textFill>
        </w:rPr>
        <w:t>（说明：填写“未列入”或“被列入”）</w:t>
      </w:r>
      <w:r>
        <w:rPr>
          <w:rFonts w:hint="eastAsia" w:ascii="宋体" w:hAnsi="宋体"/>
          <w:color w:val="000000" w:themeColor="text1"/>
          <w:sz w:val="28"/>
          <w:szCs w:val="28"/>
          <w14:textFill>
            <w14:solidFill>
              <w14:schemeClr w14:val="tx1"/>
            </w14:solidFill>
          </w14:textFill>
        </w:rPr>
        <w:t>失信被执行人、重大税收违法案件当事人名单。</w:t>
      </w:r>
    </w:p>
    <w:p>
      <w:pPr>
        <w:tabs>
          <w:tab w:val="left" w:pos="1260"/>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我单位</w:t>
      </w:r>
      <w:r>
        <w:rPr>
          <w:rFonts w:hint="eastAsia" w:ascii="宋体" w:hAnsi="宋体"/>
          <w:b/>
          <w:color w:val="000000" w:themeColor="text1"/>
          <w:sz w:val="28"/>
          <w:szCs w:val="28"/>
          <w:u w:val="single"/>
          <w14:textFill>
            <w14:solidFill>
              <w14:schemeClr w14:val="tx1"/>
            </w14:solidFill>
          </w14:textFill>
        </w:rPr>
        <w:t>（说明：填写“未列入”或“被列入”）</w:t>
      </w:r>
      <w:r>
        <w:rPr>
          <w:rFonts w:hint="eastAsia" w:ascii="宋体" w:hAnsi="宋体"/>
          <w:color w:val="000000" w:themeColor="text1"/>
          <w:sz w:val="28"/>
          <w:szCs w:val="28"/>
          <w14:textFill>
            <w14:solidFill>
              <w14:schemeClr w14:val="tx1"/>
            </w14:solidFill>
          </w14:textFill>
        </w:rPr>
        <w:t>政府采购严重违法失信行为记录名单。</w:t>
      </w:r>
    </w:p>
    <w:p>
      <w:pPr>
        <w:tabs>
          <w:tab w:val="left" w:pos="1260"/>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六、我单位</w:t>
      </w:r>
      <w:r>
        <w:rPr>
          <w:rFonts w:hint="eastAsia" w:ascii="宋体" w:hAnsi="宋体"/>
          <w:b/>
          <w:color w:val="000000" w:themeColor="text1"/>
          <w:sz w:val="28"/>
          <w:szCs w:val="28"/>
          <w:u w:val="single"/>
          <w14:textFill>
            <w14:solidFill>
              <w14:schemeClr w14:val="tx1"/>
            </w14:solidFill>
          </w14:textFill>
        </w:rPr>
        <w:t>（说明：填写“未处于”或“处于”）</w:t>
      </w:r>
      <w:r>
        <w:rPr>
          <w:rFonts w:hint="eastAsia" w:ascii="宋体" w:hAnsi="宋体"/>
          <w:bCs/>
          <w:color w:val="000000" w:themeColor="text1"/>
          <w:sz w:val="28"/>
          <w:szCs w:val="28"/>
          <w14:textFill>
            <w14:solidFill>
              <w14:schemeClr w14:val="tx1"/>
            </w14:solidFill>
          </w14:textFill>
        </w:rPr>
        <w:t>被行政部门禁止参与政府采购活动的期限内。</w:t>
      </w:r>
    </w:p>
    <w:p>
      <w:pPr>
        <w:tabs>
          <w:tab w:val="left" w:pos="1260"/>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特此声明。</w:t>
      </w: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投标人名称：</w:t>
      </w:r>
      <w:r>
        <w:rPr>
          <w:rFonts w:hint="eastAsia" w:ascii="宋体" w:hAnsi="宋体"/>
          <w:color w:val="000000" w:themeColor="text1"/>
          <w:sz w:val="28"/>
          <w:szCs w:val="28"/>
          <w:u w:val="single"/>
          <w14:textFill>
            <w14:solidFill>
              <w14:schemeClr w14:val="tx1"/>
            </w14:solidFill>
          </w14:textFill>
        </w:rPr>
        <w:t>XXXX</w:t>
      </w:r>
    </w:p>
    <w:p>
      <w:pPr>
        <w:tabs>
          <w:tab w:val="left" w:pos="1260"/>
        </w:tabs>
        <w:spacing w:line="560" w:lineRule="exact"/>
        <w:ind w:firstLine="560" w:firstLineChars="200"/>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日    期：202</w:t>
      </w:r>
      <w:r>
        <w:rPr>
          <w:rFonts w:hint="eastAsia" w:ascii="宋体" w:hAnsi="宋体"/>
          <w:color w:val="000000" w:themeColor="text1"/>
          <w:sz w:val="28"/>
          <w:szCs w:val="28"/>
          <w:u w:val="single"/>
          <w14:textFill>
            <w14:solidFill>
              <w14:schemeClr w14:val="tx1"/>
            </w14:solidFill>
          </w14:textFill>
        </w:rPr>
        <w:t>X</w:t>
      </w:r>
      <w:r>
        <w:rPr>
          <w:rFonts w:hint="eastAsia" w:ascii="宋体" w:hAnsi="宋体"/>
          <w:color w:val="000000" w:themeColor="text1"/>
          <w:sz w:val="28"/>
          <w:szCs w:val="28"/>
          <w14:textFill>
            <w14:solidFill>
              <w14:schemeClr w14:val="tx1"/>
            </w14:solidFill>
          </w14:textFill>
        </w:rPr>
        <w:t>年</w:t>
      </w:r>
      <w:r>
        <w:rPr>
          <w:rFonts w:hint="eastAsia" w:ascii="宋体" w:hAnsi="宋体"/>
          <w:color w:val="000000" w:themeColor="text1"/>
          <w:sz w:val="28"/>
          <w:szCs w:val="28"/>
          <w:u w:val="single"/>
          <w14:textFill>
            <w14:solidFill>
              <w14:schemeClr w14:val="tx1"/>
            </w14:solidFill>
          </w14:textFill>
        </w:rPr>
        <w:t>XX</w:t>
      </w:r>
      <w:r>
        <w:rPr>
          <w:rFonts w:hint="eastAsia" w:ascii="宋体" w:hAnsi="宋体"/>
          <w:color w:val="000000" w:themeColor="text1"/>
          <w:sz w:val="28"/>
          <w:szCs w:val="28"/>
          <w14:textFill>
            <w14:solidFill>
              <w14:schemeClr w14:val="tx1"/>
            </w14:solidFill>
          </w14:textFill>
        </w:rPr>
        <w:t>月</w:t>
      </w:r>
      <w:r>
        <w:rPr>
          <w:rFonts w:hint="eastAsia" w:ascii="宋体" w:hAnsi="宋体"/>
          <w:color w:val="000000" w:themeColor="text1"/>
          <w:sz w:val="28"/>
          <w:szCs w:val="28"/>
          <w:u w:val="single"/>
          <w14:textFill>
            <w14:solidFill>
              <w14:schemeClr w14:val="tx1"/>
            </w14:solidFill>
          </w14:textFill>
        </w:rPr>
        <w:t>XX</w:t>
      </w:r>
      <w:r>
        <w:rPr>
          <w:rFonts w:hint="eastAsia" w:ascii="宋体" w:hAnsi="宋体"/>
          <w:color w:val="000000" w:themeColor="text1"/>
          <w:sz w:val="28"/>
          <w:szCs w:val="28"/>
          <w14:textFill>
            <w14:solidFill>
              <w14:schemeClr w14:val="tx1"/>
            </w14:solidFill>
          </w14:textFill>
        </w:rPr>
        <w:t>日</w:t>
      </w: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说明：</w:t>
      </w: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1.对声明中第一条的说明：如投标人在参加政府采购活动前三年内，在经营活动中有重大违法记录的，应填写“有”，投标人将被认定投标无效或被取消中标资格；</w:t>
      </w: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 对声明中第三条的说明：单位负责人为同一人或者存在直接控股、管理关系的不同供应商，不得参加同一合同项下的政府采购活动；</w:t>
      </w: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5.对声明中第六条的说明：如投标人处于被行政部门禁止参加政府采购活动期限内的，该声明填“处于”，投标人将被认定投标无效或被取消中标资格。</w:t>
      </w: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p>
    <w:p>
      <w:pPr>
        <w:rPr>
          <w:color w:val="000000" w:themeColor="text1"/>
          <w14:textFill>
            <w14:solidFill>
              <w14:schemeClr w14:val="tx1"/>
            </w14:solidFill>
          </w14:textFill>
        </w:rPr>
      </w:pPr>
    </w:p>
    <w:p>
      <w:pPr>
        <w:tabs>
          <w:tab w:val="left" w:pos="3969"/>
        </w:tabs>
        <w:spacing w:line="588" w:lineRule="exact"/>
        <w:ind w:right="-58"/>
        <w:rPr>
          <w:rFonts w:ascii="宋体" w:hAnsi="宋体"/>
          <w:bCs/>
          <w:color w:val="000000" w:themeColor="text1"/>
          <w:sz w:val="28"/>
          <w:u w:val="single"/>
          <w14:textFill>
            <w14:solidFill>
              <w14:schemeClr w14:val="tx1"/>
            </w14:solidFill>
          </w14:textFill>
        </w:rPr>
      </w:pP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投标人应提交的相关资格证明材料</w:t>
      </w:r>
    </w:p>
    <w:p>
      <w:pPr>
        <w:ind w:firstLine="560" w:firstLineChars="200"/>
        <w:rPr>
          <w:color w:val="000000" w:themeColor="text1"/>
          <w:sz w:val="28"/>
          <w:szCs w:val="28"/>
          <w14:textFill>
            <w14:solidFill>
              <w14:schemeClr w14:val="tx1"/>
            </w14:solidFill>
          </w14:textFill>
        </w:rPr>
      </w:pPr>
    </w:p>
    <w:p>
      <w:pPr>
        <w:pStyle w:val="79"/>
        <w:tabs>
          <w:tab w:val="left" w:pos="1134"/>
        </w:tabs>
        <w:spacing w:after="200" w:line="360" w:lineRule="auto"/>
        <w:ind w:firstLine="546" w:firstLineChars="0"/>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投标人按招标文件要求，应提供以下相关资格证明材料：</w:t>
      </w:r>
    </w:p>
    <w:p>
      <w:pPr>
        <w:pStyle w:val="79"/>
        <w:tabs>
          <w:tab w:val="left" w:pos="1134"/>
        </w:tabs>
        <w:spacing w:after="200" w:line="360" w:lineRule="auto"/>
        <w:ind w:firstLine="546" w:firstLineChars="0"/>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一</w:t>
      </w:r>
      <w:r>
        <w:rPr>
          <w:rFonts w:ascii="宋体" w:hAnsi="宋体"/>
          <w:color w:val="000000" w:themeColor="text1"/>
          <w:kern w:val="0"/>
          <w:sz w:val="28"/>
          <w:szCs w:val="28"/>
          <w14:textFill>
            <w14:solidFill>
              <w14:schemeClr w14:val="tx1"/>
            </w14:solidFill>
          </w14:textFill>
        </w:rPr>
        <w:t>、</w:t>
      </w:r>
      <w:r>
        <w:rPr>
          <w:rFonts w:hint="eastAsia" w:ascii="宋体" w:hAnsi="宋体"/>
          <w:color w:val="000000" w:themeColor="text1"/>
          <w:kern w:val="0"/>
          <w:sz w:val="28"/>
          <w:szCs w:val="28"/>
          <w14:textFill>
            <w14:solidFill>
              <w14:schemeClr w14:val="tx1"/>
            </w14:solidFill>
          </w14:textFill>
        </w:rPr>
        <w:t>营业执照复印件（正本或副本）或法人证书复印件（正本或副本）；</w:t>
      </w:r>
    </w:p>
    <w:p>
      <w:pPr>
        <w:pStyle w:val="79"/>
        <w:tabs>
          <w:tab w:val="left" w:pos="1134"/>
        </w:tabs>
        <w:spacing w:after="200" w:line="360" w:lineRule="auto"/>
        <w:ind w:firstLine="546" w:firstLineChars="0"/>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二</w:t>
      </w:r>
      <w:r>
        <w:rPr>
          <w:rFonts w:ascii="宋体" w:hAnsi="宋体"/>
          <w:color w:val="000000" w:themeColor="text1"/>
          <w:kern w:val="0"/>
          <w:sz w:val="28"/>
          <w:szCs w:val="28"/>
          <w14:textFill>
            <w14:solidFill>
              <w14:schemeClr w14:val="tx1"/>
            </w14:solidFill>
          </w14:textFill>
        </w:rPr>
        <w:t>、</w:t>
      </w:r>
      <w:r>
        <w:rPr>
          <w:rFonts w:hint="eastAsia" w:ascii="宋体" w:hAnsi="宋体"/>
          <w:color w:val="000000" w:themeColor="text1"/>
          <w:kern w:val="0"/>
          <w:sz w:val="28"/>
          <w:szCs w:val="28"/>
          <w14:textFill>
            <w14:solidFill>
              <w14:schemeClr w14:val="tx1"/>
            </w14:solidFill>
          </w14:textFill>
        </w:rPr>
        <w:t>2019或2020会计年度资产负债表复印件（说明：投标人成立时间至递交投标文件截止时间止不足一年的，提供成立后任意时段的资产负债表复印件）；</w:t>
      </w:r>
    </w:p>
    <w:p>
      <w:pPr>
        <w:pStyle w:val="79"/>
        <w:tabs>
          <w:tab w:val="left" w:pos="1134"/>
        </w:tabs>
        <w:spacing w:after="200" w:line="360" w:lineRule="auto"/>
        <w:ind w:firstLine="546" w:firstLineChars="0"/>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三</w:t>
      </w:r>
      <w:r>
        <w:rPr>
          <w:rFonts w:ascii="宋体" w:hAnsi="宋体"/>
          <w:color w:val="000000" w:themeColor="text1"/>
          <w:kern w:val="0"/>
          <w:sz w:val="28"/>
          <w:szCs w:val="28"/>
          <w14:textFill>
            <w14:solidFill>
              <w14:schemeClr w14:val="tx1"/>
            </w14:solidFill>
          </w14:textFill>
        </w:rPr>
        <w:t>、</w:t>
      </w:r>
      <w:r>
        <w:rPr>
          <w:rFonts w:hint="eastAsia" w:ascii="宋体" w:hAnsi="宋体"/>
          <w:color w:val="000000" w:themeColor="text1"/>
          <w:kern w:val="0"/>
          <w:sz w:val="28"/>
          <w:szCs w:val="28"/>
          <w14:textFill>
            <w14:solidFill>
              <w14:schemeClr w14:val="tx1"/>
            </w14:solidFill>
          </w14:textFill>
        </w:rPr>
        <w:t>投标人缴纳2020或2021年任意时段的税收的银行电子回单或者行政部门出具的纳税证明或完税证明复印件；</w:t>
      </w:r>
    </w:p>
    <w:p>
      <w:pPr>
        <w:pStyle w:val="79"/>
        <w:tabs>
          <w:tab w:val="left" w:pos="1134"/>
        </w:tabs>
        <w:spacing w:after="200" w:line="360" w:lineRule="auto"/>
        <w:ind w:firstLine="546" w:firstLineChars="0"/>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四</w:t>
      </w:r>
      <w:r>
        <w:rPr>
          <w:rFonts w:ascii="宋体" w:hAnsi="宋体"/>
          <w:color w:val="000000" w:themeColor="text1"/>
          <w:kern w:val="0"/>
          <w:sz w:val="28"/>
          <w:szCs w:val="28"/>
          <w14:textFill>
            <w14:solidFill>
              <w14:schemeClr w14:val="tx1"/>
            </w14:solidFill>
          </w14:textFill>
        </w:rPr>
        <w:t>、</w:t>
      </w:r>
      <w:r>
        <w:rPr>
          <w:rFonts w:hint="eastAsia" w:ascii="宋体" w:hAnsi="宋体"/>
          <w:color w:val="000000" w:themeColor="text1"/>
          <w:kern w:val="0"/>
          <w:sz w:val="28"/>
          <w:szCs w:val="28"/>
          <w14:textFill>
            <w14:solidFill>
              <w14:schemeClr w14:val="tx1"/>
            </w14:solidFill>
          </w14:textFill>
        </w:rPr>
        <w:t>采购人对投标人履行合同所必须的设备和专业技术能力无其他特殊要求，投标人具有有效的营业执照或法人证书即可，可不提供其他证明材料；</w:t>
      </w:r>
    </w:p>
    <w:p>
      <w:pPr>
        <w:pStyle w:val="79"/>
        <w:tabs>
          <w:tab w:val="left" w:pos="1134"/>
        </w:tabs>
        <w:spacing w:after="200" w:line="360" w:lineRule="auto"/>
        <w:ind w:firstLine="546" w:firstLineChars="0"/>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五</w:t>
      </w:r>
      <w:r>
        <w:rPr>
          <w:rFonts w:ascii="宋体" w:hAnsi="宋体"/>
          <w:color w:val="000000" w:themeColor="text1"/>
          <w:kern w:val="0"/>
          <w:sz w:val="28"/>
          <w:szCs w:val="28"/>
          <w14:textFill>
            <w14:solidFill>
              <w14:schemeClr w14:val="tx1"/>
            </w14:solidFill>
          </w14:textFill>
        </w:rPr>
        <w:t>、</w:t>
      </w:r>
      <w:r>
        <w:rPr>
          <w:rFonts w:hint="eastAsia" w:ascii="宋体" w:hAnsi="宋体"/>
          <w:color w:val="000000" w:themeColor="text1"/>
          <w:kern w:val="0"/>
          <w:sz w:val="28"/>
          <w:szCs w:val="28"/>
          <w14:textFill>
            <w14:solidFill>
              <w14:schemeClr w14:val="tx1"/>
            </w14:solidFill>
          </w14:textFill>
        </w:rPr>
        <w:t>投标人缴纳2020或2021年任意时段的社保的银行电子回单或行政部门出具的社保缴纳证明材料复印件；</w:t>
      </w:r>
    </w:p>
    <w:p>
      <w:pPr>
        <w:pStyle w:val="79"/>
        <w:tabs>
          <w:tab w:val="left" w:pos="1134"/>
        </w:tabs>
        <w:spacing w:after="200" w:line="360" w:lineRule="auto"/>
        <w:ind w:firstLine="546" w:firstLineChars="0"/>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六</w:t>
      </w:r>
      <w:r>
        <w:rPr>
          <w:rFonts w:ascii="宋体" w:hAnsi="宋体"/>
          <w:color w:val="000000" w:themeColor="text1"/>
          <w:kern w:val="0"/>
          <w:sz w:val="28"/>
          <w:szCs w:val="28"/>
          <w14:textFill>
            <w14:solidFill>
              <w14:schemeClr w14:val="tx1"/>
            </w14:solidFill>
          </w14:textFill>
        </w:rPr>
        <w:t>、</w:t>
      </w:r>
      <w:r>
        <w:rPr>
          <w:rFonts w:hint="eastAsia" w:ascii="宋体" w:hAnsi="宋体"/>
          <w:color w:val="000000" w:themeColor="text1"/>
          <w:kern w:val="0"/>
          <w:sz w:val="28"/>
          <w:szCs w:val="28"/>
          <w14:textFill>
            <w14:solidFill>
              <w14:schemeClr w14:val="tx1"/>
            </w14:solidFill>
          </w14:textFill>
        </w:rPr>
        <w:t>采购人对法律、行政法规规定的其他条件无其他特殊要求，投标人具有有效的营业执照或法人证书即可，可不提供其他证明材料。</w:t>
      </w:r>
    </w:p>
    <w:p>
      <w:pPr>
        <w:spacing w:line="360" w:lineRule="auto"/>
        <w:ind w:firstLine="560" w:firstLineChars="200"/>
        <w:rPr>
          <w:color w:val="000000" w:themeColor="text1"/>
          <w:sz w:val="28"/>
          <w:szCs w:val="28"/>
          <w14:textFill>
            <w14:solidFill>
              <w14:schemeClr w14:val="tx1"/>
            </w14:solidFill>
          </w14:textFill>
        </w:rPr>
      </w:pPr>
    </w:p>
    <w:p>
      <w:pPr>
        <w:spacing w:line="360" w:lineRule="auto"/>
        <w:ind w:firstLine="560" w:firstLineChars="200"/>
        <w:rPr>
          <w:color w:val="000000" w:themeColor="text1"/>
          <w:sz w:val="28"/>
          <w:szCs w:val="28"/>
          <w14:textFill>
            <w14:solidFill>
              <w14:schemeClr w14:val="tx1"/>
            </w14:solidFill>
          </w14:textFill>
        </w:rPr>
      </w:pPr>
    </w:p>
    <w:p>
      <w:pPr>
        <w:spacing w:line="360" w:lineRule="auto"/>
        <w:ind w:firstLine="560" w:firstLineChars="200"/>
        <w:rPr>
          <w:color w:val="000000" w:themeColor="text1"/>
          <w:sz w:val="28"/>
          <w:szCs w:val="28"/>
          <w14:textFill>
            <w14:solidFill>
              <w14:schemeClr w14:val="tx1"/>
            </w14:solidFill>
          </w14:textFill>
        </w:rPr>
      </w:pPr>
    </w:p>
    <w:p>
      <w:pPr>
        <w:spacing w:line="360" w:lineRule="auto"/>
        <w:rPr>
          <w:color w:val="000000" w:themeColor="text1"/>
          <w:sz w:val="28"/>
          <w:szCs w:val="28"/>
          <w14:textFill>
            <w14:solidFill>
              <w14:schemeClr w14:val="tx1"/>
            </w14:solidFill>
          </w14:textFill>
        </w:rPr>
      </w:pPr>
    </w:p>
    <w:p>
      <w:pPr>
        <w:keepNext/>
        <w:keepLines/>
        <w:numPr>
          <w:ilvl w:val="1"/>
          <w:numId w:val="1"/>
        </w:numPr>
        <w:spacing w:line="360" w:lineRule="auto"/>
        <w:jc w:val="left"/>
        <w:outlineLvl w:val="1"/>
        <w:rPr>
          <w:rFonts w:ascii="宋体" w:hAnsi="宋体"/>
          <w:b/>
          <w:bCs/>
          <w:color w:val="000000" w:themeColor="text1"/>
          <w:sz w:val="28"/>
          <w:szCs w:val="28"/>
          <w14:textFill>
            <w14:solidFill>
              <w14:schemeClr w14:val="tx1"/>
            </w14:solidFill>
          </w14:textFill>
        </w:rPr>
      </w:pPr>
      <w:bookmarkStart w:id="130" w:name="_Toc76541358"/>
      <w:r>
        <w:rPr>
          <w:rFonts w:hint="eastAsia" w:ascii="宋体" w:hAnsi="宋体"/>
          <w:b/>
          <w:bCs/>
          <w:color w:val="000000" w:themeColor="text1"/>
          <w:sz w:val="28"/>
          <w:szCs w:val="28"/>
          <w14:textFill>
            <w14:solidFill>
              <w14:schemeClr w14:val="tx1"/>
            </w14:solidFill>
          </w14:textFill>
        </w:rPr>
        <w:t>商务技术响应文件</w:t>
      </w:r>
      <w:bookmarkEnd w:id="130"/>
    </w:p>
    <w:p>
      <w:pPr>
        <w:keepNext/>
        <w:keepLines/>
        <w:numPr>
          <w:ilvl w:val="2"/>
          <w:numId w:val="1"/>
        </w:numPr>
        <w:spacing w:line="360" w:lineRule="auto"/>
        <w:ind w:left="569" w:hanging="569"/>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投标函</w:t>
      </w:r>
    </w:p>
    <w:p>
      <w:pPr>
        <w:spacing w:line="560" w:lineRule="exact"/>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成都市青羊区政府采购服务中心：</w:t>
      </w:r>
    </w:p>
    <w:p>
      <w:pPr>
        <w:spacing w:line="560" w:lineRule="exact"/>
        <w:ind w:firstLine="565" w:firstLineChars="202"/>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我方全面研究了“</w:t>
      </w:r>
      <w:r>
        <w:rPr>
          <w:rFonts w:ascii="宋体" w:hAnsi="宋体"/>
          <w:b/>
          <w:color w:val="000000" w:themeColor="text1"/>
          <w:sz w:val="28"/>
          <w:szCs w:val="28"/>
          <w:u w:val="single"/>
          <w14:textFill>
            <w14:solidFill>
              <w14:schemeClr w14:val="tx1"/>
            </w14:solidFill>
          </w14:textFill>
        </w:rPr>
        <w:t>成都市青羊区教育技术装备与信息管理中心2021年新建学校电教设备政府采购项目</w:t>
      </w:r>
      <w:r>
        <w:rPr>
          <w:rFonts w:hint="eastAsia" w:ascii="宋体" w:hAnsi="宋体"/>
          <w:b/>
          <w:bCs/>
          <w:color w:val="000000" w:themeColor="text1"/>
          <w:sz w:val="28"/>
          <w:szCs w:val="28"/>
          <w:u w:val="single"/>
          <w14:textFill>
            <w14:solidFill>
              <w14:schemeClr w14:val="tx1"/>
            </w14:solidFill>
          </w14:textFill>
        </w:rPr>
        <w:t>”（项目编号：</w:t>
      </w:r>
      <w:r>
        <w:rPr>
          <w:rFonts w:ascii="宋体" w:hAnsi="宋体"/>
          <w:b/>
          <w:bCs/>
          <w:color w:val="000000" w:themeColor="text1"/>
          <w:sz w:val="28"/>
          <w:szCs w:val="28"/>
          <w:u w:val="single"/>
          <w14:textFill>
            <w14:solidFill>
              <w14:schemeClr w14:val="tx1"/>
            </w14:solidFill>
          </w14:textFill>
        </w:rPr>
        <w:t>青羊政采（2021）A0001号</w:t>
      </w:r>
      <w:r>
        <w:rPr>
          <w:rFonts w:hint="eastAsia" w:ascii="宋体" w:hAnsi="宋体"/>
          <w:b/>
          <w:bCs/>
          <w:color w:val="000000" w:themeColor="text1"/>
          <w:sz w:val="28"/>
          <w:szCs w:val="28"/>
          <w:u w:val="single"/>
          <w14:textFill>
            <w14:solidFill>
              <w14:schemeClr w14:val="tx1"/>
            </w14:solidFill>
          </w14:textFill>
        </w:rPr>
        <w:t>）</w:t>
      </w:r>
      <w:r>
        <w:rPr>
          <w:rFonts w:hint="eastAsia" w:ascii="宋体" w:hAnsi="宋体"/>
          <w:bCs/>
          <w:color w:val="000000" w:themeColor="text1"/>
          <w:sz w:val="28"/>
          <w:szCs w:val="28"/>
          <w14:textFill>
            <w14:solidFill>
              <w14:schemeClr w14:val="tx1"/>
            </w14:solidFill>
          </w14:textFill>
        </w:rPr>
        <w:t>招标文件，决定参加贵单位组织的本项目投标。我方授权</w:t>
      </w:r>
      <w:r>
        <w:rPr>
          <w:rFonts w:hint="eastAsia" w:ascii="宋体" w:hAnsi="宋体"/>
          <w:bCs/>
          <w:color w:val="000000" w:themeColor="text1"/>
          <w:sz w:val="28"/>
          <w:szCs w:val="28"/>
          <w:u w:val="single"/>
          <w14:textFill>
            <w14:solidFill>
              <w14:schemeClr w14:val="tx1"/>
            </w14:solidFill>
          </w14:textFill>
        </w:rPr>
        <w:t>XXXX（姓名、职务）</w:t>
      </w:r>
      <w:r>
        <w:rPr>
          <w:rFonts w:hint="eastAsia" w:ascii="宋体" w:hAnsi="宋体"/>
          <w:bCs/>
          <w:color w:val="000000" w:themeColor="text1"/>
          <w:sz w:val="28"/>
          <w:szCs w:val="28"/>
          <w14:textFill>
            <w14:solidFill>
              <w14:schemeClr w14:val="tx1"/>
            </w14:solidFill>
          </w14:textFill>
        </w:rPr>
        <w:t>代表我方</w:t>
      </w:r>
      <w:r>
        <w:rPr>
          <w:rFonts w:hint="eastAsia" w:ascii="宋体" w:hAnsi="宋体"/>
          <w:bCs/>
          <w:color w:val="000000" w:themeColor="text1"/>
          <w:sz w:val="28"/>
          <w:szCs w:val="28"/>
          <w:u w:val="single"/>
          <w14:textFill>
            <w14:solidFill>
              <w14:schemeClr w14:val="tx1"/>
            </w14:solidFill>
          </w14:textFill>
        </w:rPr>
        <w:t>XXXX（投标人名称）</w:t>
      </w:r>
      <w:r>
        <w:rPr>
          <w:rFonts w:hint="eastAsia" w:ascii="宋体" w:hAnsi="宋体"/>
          <w:bCs/>
          <w:color w:val="000000" w:themeColor="text1"/>
          <w:sz w:val="28"/>
          <w:szCs w:val="28"/>
          <w14:textFill>
            <w14:solidFill>
              <w14:schemeClr w14:val="tx1"/>
            </w14:solidFill>
          </w14:textFill>
        </w:rPr>
        <w:t>全权处理本项目投标的有关事宜。</w:t>
      </w:r>
    </w:p>
    <w:p>
      <w:pPr>
        <w:numPr>
          <w:ilvl w:val="1"/>
          <w:numId w:val="35"/>
        </w:numPr>
        <w:tabs>
          <w:tab w:val="left" w:pos="1134"/>
        </w:tabs>
        <w:spacing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我方自愿按照招标文件规定的各项要求向采购人提供所需货物及服务，</w:t>
      </w:r>
      <w:r>
        <w:rPr>
          <w:rFonts w:hint="eastAsia" w:ascii="宋体" w:hAnsi="宋体"/>
          <w:b/>
          <w:color w:val="000000" w:themeColor="text1"/>
          <w:sz w:val="28"/>
          <w:szCs w:val="28"/>
          <w14:textFill>
            <w14:solidFill>
              <w14:schemeClr w14:val="tx1"/>
            </w14:solidFill>
          </w14:textFill>
        </w:rPr>
        <w:t>投标报价以《开标一览表》为准</w:t>
      </w:r>
      <w:r>
        <w:rPr>
          <w:rFonts w:hint="eastAsia" w:ascii="宋体" w:hAnsi="宋体"/>
          <w:color w:val="000000" w:themeColor="text1"/>
          <w:sz w:val="28"/>
          <w:szCs w:val="28"/>
          <w14:textFill>
            <w14:solidFill>
              <w14:schemeClr w14:val="tx1"/>
            </w14:solidFill>
          </w14:textFill>
        </w:rPr>
        <w:t>。</w:t>
      </w:r>
    </w:p>
    <w:p>
      <w:pPr>
        <w:numPr>
          <w:ilvl w:val="1"/>
          <w:numId w:val="35"/>
        </w:numPr>
        <w:tabs>
          <w:tab w:val="left" w:pos="1134"/>
        </w:tabs>
        <w:spacing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如果我方中标，我方将严格履行合同规定的责任和义务，否则将承担由此产生的一切责任。</w:t>
      </w:r>
    </w:p>
    <w:p>
      <w:pPr>
        <w:numPr>
          <w:ilvl w:val="1"/>
          <w:numId w:val="35"/>
        </w:numPr>
        <w:tabs>
          <w:tab w:val="left" w:pos="1134"/>
        </w:tabs>
        <w:spacing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我方已知晓全部招标文件的内容，包括修改文件（如有）以及全部相关资料和有关附件，并对上述文件均无异议。</w:t>
      </w:r>
    </w:p>
    <w:p>
      <w:pPr>
        <w:numPr>
          <w:ilvl w:val="1"/>
          <w:numId w:val="35"/>
        </w:numPr>
        <w:tabs>
          <w:tab w:val="left" w:pos="1134"/>
        </w:tabs>
        <w:spacing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投标有效期为从投标截止之日起120天。</w:t>
      </w:r>
    </w:p>
    <w:p>
      <w:pPr>
        <w:numPr>
          <w:ilvl w:val="1"/>
          <w:numId w:val="35"/>
        </w:numPr>
        <w:tabs>
          <w:tab w:val="left" w:pos="1134"/>
        </w:tabs>
        <w:spacing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我方愿意提供贵中心可能另外要求的，与投标有关的文件资料，并保证我方已提供和将要提供的文件资料是真实、准确的，并对此承担一切法律后果。</w:t>
      </w:r>
    </w:p>
    <w:p>
      <w:pPr>
        <w:numPr>
          <w:ilvl w:val="1"/>
          <w:numId w:val="35"/>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我单位联系方式：</w:t>
      </w:r>
    </w:p>
    <w:p>
      <w:pPr>
        <w:spacing w:line="360" w:lineRule="auto"/>
        <w:ind w:left="420" w:firstLine="565" w:firstLineChars="202"/>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地    址：</w:t>
      </w:r>
      <w:r>
        <w:rPr>
          <w:rFonts w:hint="eastAsia" w:ascii="宋体" w:hAnsi="宋体"/>
          <w:color w:val="000000" w:themeColor="text1"/>
          <w:sz w:val="28"/>
          <w:szCs w:val="28"/>
          <w:u w:val="single"/>
          <w14:textFill>
            <w14:solidFill>
              <w14:schemeClr w14:val="tx1"/>
            </w14:solidFill>
          </w14:textFill>
        </w:rPr>
        <w:t>XXXX</w:t>
      </w:r>
    </w:p>
    <w:p>
      <w:pPr>
        <w:spacing w:line="360" w:lineRule="auto"/>
        <w:ind w:left="420" w:firstLine="565" w:firstLineChars="202"/>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传    真：</w:t>
      </w:r>
      <w:r>
        <w:rPr>
          <w:rFonts w:hint="eastAsia" w:ascii="宋体" w:hAnsi="宋体"/>
          <w:color w:val="000000" w:themeColor="text1"/>
          <w:sz w:val="28"/>
          <w:szCs w:val="28"/>
          <w:u w:val="single"/>
          <w14:textFill>
            <w14:solidFill>
              <w14:schemeClr w14:val="tx1"/>
            </w14:solidFill>
          </w14:textFill>
        </w:rPr>
        <w:t>XXXX</w:t>
      </w:r>
    </w:p>
    <w:p>
      <w:pPr>
        <w:spacing w:line="360" w:lineRule="auto"/>
        <w:ind w:left="420" w:firstLine="565" w:firstLineChars="202"/>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邮政编码：</w:t>
      </w:r>
      <w:r>
        <w:rPr>
          <w:rFonts w:hint="eastAsia" w:ascii="宋体" w:hAnsi="宋体"/>
          <w:color w:val="000000" w:themeColor="text1"/>
          <w:sz w:val="28"/>
          <w:szCs w:val="28"/>
          <w:u w:val="single"/>
          <w14:textFill>
            <w14:solidFill>
              <w14:schemeClr w14:val="tx1"/>
            </w14:solidFill>
          </w14:textFill>
        </w:rPr>
        <w:t>XXXX</w:t>
      </w:r>
    </w:p>
    <w:p>
      <w:pPr>
        <w:spacing w:after="120" w:line="360" w:lineRule="auto"/>
        <w:ind w:left="420" w:leftChars="200" w:firstLine="560" w:firstLineChars="200"/>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投标人名称：</w:t>
      </w:r>
      <w:r>
        <w:rPr>
          <w:rFonts w:hint="eastAsia" w:ascii="宋体" w:hAnsi="宋体"/>
          <w:bCs/>
          <w:color w:val="000000" w:themeColor="text1"/>
          <w:sz w:val="28"/>
          <w:szCs w:val="28"/>
          <w:u w:val="single"/>
          <w14:textFill>
            <w14:solidFill>
              <w14:schemeClr w14:val="tx1"/>
            </w14:solidFill>
          </w14:textFill>
        </w:rPr>
        <w:t>XXXX</w:t>
      </w:r>
    </w:p>
    <w:p>
      <w:pPr>
        <w:spacing w:line="360" w:lineRule="auto"/>
        <w:ind w:left="283" w:leftChars="135" w:firstLine="700" w:firstLineChars="250"/>
        <w:rPr>
          <w:rFonts w:ascii="宋体" w:hAnsi="宋体"/>
          <w:bCs/>
          <w:color w:val="000000" w:themeColor="text1"/>
          <w:sz w:val="28"/>
          <w:u w:val="single"/>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日    期：</w:t>
      </w:r>
      <w:r>
        <w:rPr>
          <w:rFonts w:hint="eastAsia" w:ascii="宋体" w:hAnsi="宋体"/>
          <w:bCs/>
          <w:color w:val="000000" w:themeColor="text1"/>
          <w:sz w:val="28"/>
          <w14:textFill>
            <w14:solidFill>
              <w14:schemeClr w14:val="tx1"/>
            </w14:solidFill>
          </w14:textFill>
        </w:rPr>
        <w:t>202</w:t>
      </w:r>
      <w:r>
        <w:rPr>
          <w:rFonts w:hint="eastAsia" w:ascii="宋体" w:hAnsi="宋体"/>
          <w:bCs/>
          <w:color w:val="000000" w:themeColor="text1"/>
          <w:sz w:val="28"/>
          <w:u w:val="single"/>
          <w14:textFill>
            <w14:solidFill>
              <w14:schemeClr w14:val="tx1"/>
            </w14:solidFill>
          </w14:textFill>
        </w:rPr>
        <w:t>X</w:t>
      </w:r>
      <w:r>
        <w:rPr>
          <w:rFonts w:hint="eastAsia" w:ascii="宋体" w:hAnsi="宋体"/>
          <w:bCs/>
          <w:color w:val="000000" w:themeColor="text1"/>
          <w:sz w:val="28"/>
          <w14:textFill>
            <w14:solidFill>
              <w14:schemeClr w14:val="tx1"/>
            </w14:solidFill>
          </w14:textFill>
        </w:rPr>
        <w:t>年</w:t>
      </w:r>
      <w:r>
        <w:rPr>
          <w:rFonts w:hint="eastAsia" w:ascii="宋体" w:hAnsi="宋体"/>
          <w:bCs/>
          <w:color w:val="000000" w:themeColor="text1"/>
          <w:sz w:val="28"/>
          <w:u w:val="single"/>
          <w14:textFill>
            <w14:solidFill>
              <w14:schemeClr w14:val="tx1"/>
            </w14:solidFill>
          </w14:textFill>
        </w:rPr>
        <w:t>XX</w:t>
      </w:r>
      <w:r>
        <w:rPr>
          <w:rFonts w:hint="eastAsia" w:ascii="宋体" w:hAnsi="宋体"/>
          <w:bCs/>
          <w:color w:val="000000" w:themeColor="text1"/>
          <w:sz w:val="28"/>
          <w14:textFill>
            <w14:solidFill>
              <w14:schemeClr w14:val="tx1"/>
            </w14:solidFill>
          </w14:textFill>
        </w:rPr>
        <w:t>月</w:t>
      </w:r>
      <w:r>
        <w:rPr>
          <w:rFonts w:hint="eastAsia" w:ascii="宋体" w:hAnsi="宋体"/>
          <w:bCs/>
          <w:color w:val="000000" w:themeColor="text1"/>
          <w:sz w:val="28"/>
          <w:u w:val="single"/>
          <w14:textFill>
            <w14:solidFill>
              <w14:schemeClr w14:val="tx1"/>
            </w14:solidFill>
          </w14:textFill>
        </w:rPr>
        <w:t>XX</w:t>
      </w:r>
      <w:r>
        <w:rPr>
          <w:rFonts w:hint="eastAsia" w:ascii="宋体" w:hAnsi="宋体"/>
          <w:bCs/>
          <w:color w:val="000000" w:themeColor="text1"/>
          <w:sz w:val="28"/>
          <w14:textFill>
            <w14:solidFill>
              <w14:schemeClr w14:val="tx1"/>
            </w14:solidFill>
          </w14:textFill>
        </w:rPr>
        <w:t>日</w:t>
      </w:r>
    </w:p>
    <w:p>
      <w:pPr>
        <w:tabs>
          <w:tab w:val="left" w:pos="630"/>
          <w:tab w:val="left" w:pos="7560"/>
        </w:tabs>
        <w:spacing w:line="360" w:lineRule="auto"/>
        <w:rPr>
          <w:rFonts w:ascii="宋体" w:hAnsi="宋体"/>
          <w:color w:val="000000" w:themeColor="text1"/>
          <w:sz w:val="28"/>
          <w:szCs w:val="28"/>
          <w:u w:val="single"/>
          <w14:textFill>
            <w14:solidFill>
              <w14:schemeClr w14:val="tx1"/>
            </w14:solidFill>
          </w14:textFill>
        </w:rPr>
      </w:pPr>
      <w:bookmarkStart w:id="131" w:name="_Toc239849853"/>
      <w:bookmarkStart w:id="132" w:name="_Toc240367172"/>
      <w:bookmarkStart w:id="133" w:name="_Toc239846734"/>
      <w:bookmarkStart w:id="134" w:name="_Toc231030275"/>
      <w:bookmarkStart w:id="135" w:name="_Toc237145395"/>
      <w:bookmarkStart w:id="136" w:name="_Toc229802674"/>
      <w:bookmarkStart w:id="137" w:name="_Toc240865266"/>
      <w:bookmarkStart w:id="138" w:name="_Toc314574804"/>
      <w:bookmarkStart w:id="139" w:name="_Toc265494342"/>
    </w:p>
    <w:p>
      <w:pPr>
        <w:tabs>
          <w:tab w:val="left" w:pos="630"/>
          <w:tab w:val="left" w:pos="7560"/>
        </w:tabs>
        <w:spacing w:line="360" w:lineRule="auto"/>
        <w:rPr>
          <w:rFonts w:ascii="宋体" w:hAnsi="宋体"/>
          <w:color w:val="000000" w:themeColor="text1"/>
          <w:sz w:val="28"/>
          <w:szCs w:val="28"/>
          <w14:textFill>
            <w14:solidFill>
              <w14:schemeClr w14:val="tx1"/>
            </w14:solidFill>
          </w14:textFill>
        </w:rPr>
      </w:pPr>
    </w:p>
    <w:p>
      <w:pPr>
        <w:keepNext/>
        <w:keepLines/>
        <w:numPr>
          <w:ilvl w:val="2"/>
          <w:numId w:val="1"/>
        </w:numPr>
        <w:spacing w:line="360" w:lineRule="auto"/>
        <w:ind w:left="3119" w:hanging="3119"/>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法定代表人身份证明书</w:t>
      </w:r>
    </w:p>
    <w:p>
      <w:pPr>
        <w:tabs>
          <w:tab w:val="left" w:pos="6300"/>
        </w:tabs>
        <w:spacing w:line="360" w:lineRule="auto"/>
        <w:ind w:firstLine="573"/>
        <w:rPr>
          <w:rFonts w:ascii="宋体" w:hAnsi="宋体"/>
          <w:color w:val="000000" w:themeColor="text1"/>
          <w:sz w:val="28"/>
          <w:u w:val="single"/>
          <w:lang w:val="zh-CN"/>
          <w14:textFill>
            <w14:solidFill>
              <w14:schemeClr w14:val="tx1"/>
            </w14:solidFill>
          </w14:textFill>
        </w:rPr>
      </w:pPr>
    </w:p>
    <w:p>
      <w:pPr>
        <w:tabs>
          <w:tab w:val="left" w:pos="6300"/>
        </w:tabs>
        <w:spacing w:line="360" w:lineRule="auto"/>
        <w:ind w:firstLine="573"/>
        <w:rPr>
          <w:rFonts w:ascii="宋体" w:hAnsi="宋体"/>
          <w:color w:val="000000" w:themeColor="text1"/>
          <w:sz w:val="28"/>
          <w:lang w:val="zh-CN"/>
          <w14:textFill>
            <w14:solidFill>
              <w14:schemeClr w14:val="tx1"/>
            </w14:solidFill>
          </w14:textFill>
        </w:rPr>
      </w:pPr>
      <w:r>
        <w:rPr>
          <w:rFonts w:hint="eastAsia" w:ascii="宋体" w:hAnsi="宋体"/>
          <w:color w:val="000000" w:themeColor="text1"/>
          <w:sz w:val="28"/>
          <w:u w:val="single"/>
          <w:lang w:val="zh-CN"/>
          <w14:textFill>
            <w14:solidFill>
              <w14:schemeClr w14:val="tx1"/>
            </w14:solidFill>
          </w14:textFill>
        </w:rPr>
        <w:t>XXXX（法定代表人姓名）</w:t>
      </w:r>
      <w:r>
        <w:rPr>
          <w:rFonts w:hint="eastAsia" w:ascii="宋体" w:hAnsi="宋体"/>
          <w:color w:val="000000" w:themeColor="text1"/>
          <w:sz w:val="28"/>
          <w:lang w:val="zh-CN"/>
          <w14:textFill>
            <w14:solidFill>
              <w14:schemeClr w14:val="tx1"/>
            </w14:solidFill>
          </w14:textFill>
        </w:rPr>
        <w:t>在</w:t>
      </w:r>
      <w:r>
        <w:rPr>
          <w:rFonts w:hint="eastAsia" w:ascii="宋体" w:hAnsi="宋体"/>
          <w:color w:val="000000" w:themeColor="text1"/>
          <w:sz w:val="28"/>
          <w:u w:val="single"/>
          <w:lang w:val="zh-CN"/>
          <w14:textFill>
            <w14:solidFill>
              <w14:schemeClr w14:val="tx1"/>
            </w14:solidFill>
          </w14:textFill>
        </w:rPr>
        <w:t>XXXX（投标人名称）</w:t>
      </w:r>
      <w:r>
        <w:rPr>
          <w:rFonts w:hint="eastAsia" w:ascii="宋体" w:hAnsi="宋体"/>
          <w:color w:val="000000" w:themeColor="text1"/>
          <w:sz w:val="28"/>
          <w:lang w:val="zh-CN"/>
          <w14:textFill>
            <w14:solidFill>
              <w14:schemeClr w14:val="tx1"/>
            </w14:solidFill>
          </w14:textFill>
        </w:rPr>
        <w:t>处 任</w:t>
      </w:r>
      <w:r>
        <w:rPr>
          <w:rFonts w:hint="eastAsia" w:ascii="宋体" w:hAnsi="宋体"/>
          <w:color w:val="000000" w:themeColor="text1"/>
          <w:sz w:val="28"/>
          <w:u w:val="single"/>
          <w:lang w:val="zh-CN"/>
          <w14:textFill>
            <w14:solidFill>
              <w14:schemeClr w14:val="tx1"/>
            </w14:solidFill>
          </w14:textFill>
        </w:rPr>
        <w:t>XXXX（职务名称）</w:t>
      </w:r>
      <w:r>
        <w:rPr>
          <w:rFonts w:hint="eastAsia" w:ascii="宋体" w:hAnsi="宋体"/>
          <w:color w:val="000000" w:themeColor="text1"/>
          <w:sz w:val="28"/>
          <w:lang w:val="zh-CN"/>
          <w14:textFill>
            <w14:solidFill>
              <w14:schemeClr w14:val="tx1"/>
            </w14:solidFill>
          </w14:textFill>
        </w:rPr>
        <w:t>职务，是</w:t>
      </w:r>
      <w:r>
        <w:rPr>
          <w:rFonts w:hint="eastAsia" w:ascii="宋体" w:hAnsi="宋体"/>
          <w:color w:val="000000" w:themeColor="text1"/>
          <w:sz w:val="28"/>
          <w:u w:val="single"/>
          <w:lang w:val="zh-CN"/>
          <w14:textFill>
            <w14:solidFill>
              <w14:schemeClr w14:val="tx1"/>
            </w14:solidFill>
          </w14:textFill>
        </w:rPr>
        <w:t>XXXX（投标人名称）</w:t>
      </w:r>
      <w:r>
        <w:rPr>
          <w:rFonts w:hint="eastAsia" w:ascii="宋体" w:hAnsi="宋体"/>
          <w:color w:val="000000" w:themeColor="text1"/>
          <w:sz w:val="28"/>
          <w:lang w:val="zh-CN"/>
          <w14:textFill>
            <w14:solidFill>
              <w14:schemeClr w14:val="tx1"/>
            </w14:solidFill>
          </w14:textFill>
        </w:rPr>
        <w:t>的法定代表人。</w:t>
      </w:r>
    </w:p>
    <w:p>
      <w:pPr>
        <w:tabs>
          <w:tab w:val="left" w:pos="6300"/>
        </w:tabs>
        <w:spacing w:line="360" w:lineRule="auto"/>
        <w:rPr>
          <w:rFonts w:ascii="宋体" w:hAnsi="宋体"/>
          <w:color w:val="000000" w:themeColor="text1"/>
          <w:sz w:val="28"/>
          <w:lang w:val="zh-CN"/>
          <w14:textFill>
            <w14:solidFill>
              <w14:schemeClr w14:val="tx1"/>
            </w14:solidFill>
          </w14:textFill>
        </w:rPr>
      </w:pPr>
    </w:p>
    <w:p>
      <w:pPr>
        <w:tabs>
          <w:tab w:val="left" w:pos="6300"/>
        </w:tabs>
        <w:spacing w:line="360" w:lineRule="auto"/>
        <w:rPr>
          <w:rFonts w:ascii="宋体" w:hAnsi="宋体"/>
          <w:color w:val="000000" w:themeColor="text1"/>
          <w:sz w:val="28"/>
          <w:lang w:val="zh-CN"/>
          <w14:textFill>
            <w14:solidFill>
              <w14:schemeClr w14:val="tx1"/>
            </w14:solidFill>
          </w14:textFill>
        </w:rPr>
      </w:pPr>
    </w:p>
    <w:p>
      <w:pPr>
        <w:tabs>
          <w:tab w:val="left" w:pos="6300"/>
        </w:tabs>
        <w:spacing w:line="360" w:lineRule="auto"/>
        <w:ind w:firstLine="573"/>
        <w:rPr>
          <w:rFonts w:ascii="宋体" w:hAnsi="宋体"/>
          <w:color w:val="000000" w:themeColor="text1"/>
          <w:sz w:val="28"/>
          <w:lang w:val="zh-CN"/>
          <w14:textFill>
            <w14:solidFill>
              <w14:schemeClr w14:val="tx1"/>
            </w14:solidFill>
          </w14:textFill>
        </w:rPr>
      </w:pPr>
    </w:p>
    <w:p>
      <w:pPr>
        <w:tabs>
          <w:tab w:val="left" w:pos="6300"/>
        </w:tabs>
        <w:spacing w:line="360" w:lineRule="auto"/>
        <w:ind w:firstLine="573"/>
        <w:rPr>
          <w:rFonts w:ascii="宋体" w:hAnsi="宋体"/>
          <w:color w:val="000000" w:themeColor="text1"/>
          <w:sz w:val="28"/>
          <w:lang w:val="zh-CN"/>
          <w14:textFill>
            <w14:solidFill>
              <w14:schemeClr w14:val="tx1"/>
            </w14:solidFill>
          </w14:textFill>
        </w:rPr>
      </w:pPr>
    </w:p>
    <w:p>
      <w:pPr>
        <w:tabs>
          <w:tab w:val="left" w:pos="6300"/>
        </w:tabs>
        <w:spacing w:line="360" w:lineRule="auto"/>
        <w:ind w:firstLine="573"/>
        <w:rPr>
          <w:rFonts w:ascii="宋体" w:hAnsi="宋体"/>
          <w:color w:val="000000" w:themeColor="text1"/>
          <w:sz w:val="28"/>
          <w:lang w:val="zh-CN"/>
          <w14:textFill>
            <w14:solidFill>
              <w14:schemeClr w14:val="tx1"/>
            </w14:solidFill>
          </w14:textFill>
        </w:rPr>
      </w:pPr>
    </w:p>
    <w:p>
      <w:pPr>
        <w:tabs>
          <w:tab w:val="left" w:pos="6300"/>
        </w:tabs>
        <w:spacing w:line="360" w:lineRule="auto"/>
        <w:ind w:firstLine="573"/>
        <w:rPr>
          <w:rFonts w:ascii="宋体" w:hAnsi="宋体"/>
          <w:color w:val="000000" w:themeColor="text1"/>
          <w:sz w:val="28"/>
          <w:lang w:val="zh-CN"/>
          <w14:textFill>
            <w14:solidFill>
              <w14:schemeClr w14:val="tx1"/>
            </w14:solidFill>
          </w14:textFill>
        </w:rPr>
      </w:pPr>
      <w:bookmarkStart w:id="140" w:name="_Toc263768866"/>
      <w:r>
        <w:rPr>
          <w:rFonts w:hint="eastAsia" w:ascii="宋体" w:hAnsi="宋体"/>
          <w:color w:val="000000" w:themeColor="text1"/>
          <w:sz w:val="28"/>
          <w:lang w:val="zh-CN"/>
          <w14:textFill>
            <w14:solidFill>
              <w14:schemeClr w14:val="tx1"/>
            </w14:solidFill>
          </w14:textFill>
        </w:rPr>
        <w:t>特此证明。</w:t>
      </w:r>
      <w:bookmarkEnd w:id="140"/>
    </w:p>
    <w:p>
      <w:pPr>
        <w:tabs>
          <w:tab w:val="left" w:pos="6300"/>
        </w:tabs>
        <w:spacing w:line="360" w:lineRule="auto"/>
        <w:rPr>
          <w:rFonts w:ascii="宋体" w:hAnsi="宋体"/>
          <w:color w:val="000000" w:themeColor="text1"/>
          <w:sz w:val="28"/>
          <w:lang w:val="zh-CN"/>
          <w14:textFill>
            <w14:solidFill>
              <w14:schemeClr w14:val="tx1"/>
            </w14:solidFill>
          </w14:textFill>
        </w:rPr>
      </w:pPr>
    </w:p>
    <w:p>
      <w:pPr>
        <w:tabs>
          <w:tab w:val="left" w:pos="6300"/>
        </w:tabs>
        <w:spacing w:line="360" w:lineRule="auto"/>
        <w:rPr>
          <w:rFonts w:ascii="宋体" w:hAnsi="宋体"/>
          <w:color w:val="000000" w:themeColor="text1"/>
          <w:sz w:val="28"/>
          <w:lang w:val="zh-CN"/>
          <w14:textFill>
            <w14:solidFill>
              <w14:schemeClr w14:val="tx1"/>
            </w14:solidFill>
          </w14:textFill>
        </w:rPr>
      </w:pPr>
    </w:p>
    <w:p>
      <w:pPr>
        <w:tabs>
          <w:tab w:val="left" w:pos="6300"/>
        </w:tabs>
        <w:spacing w:line="360" w:lineRule="auto"/>
        <w:rPr>
          <w:rFonts w:ascii="宋体" w:hAnsi="宋体"/>
          <w:color w:val="000000" w:themeColor="text1"/>
          <w:sz w:val="28"/>
          <w:lang w:val="zh-CN"/>
          <w14:textFill>
            <w14:solidFill>
              <w14:schemeClr w14:val="tx1"/>
            </w14:solidFill>
          </w14:textFill>
        </w:rPr>
      </w:pPr>
    </w:p>
    <w:p>
      <w:pPr>
        <w:tabs>
          <w:tab w:val="left" w:pos="6300"/>
        </w:tabs>
        <w:spacing w:line="360" w:lineRule="auto"/>
        <w:rPr>
          <w:rFonts w:ascii="宋体" w:hAnsi="宋体"/>
          <w:color w:val="000000" w:themeColor="text1"/>
          <w:sz w:val="28"/>
          <w:lang w:val="zh-CN"/>
          <w14:textFill>
            <w14:solidFill>
              <w14:schemeClr w14:val="tx1"/>
            </w14:solidFill>
          </w14:textFill>
        </w:rPr>
      </w:pPr>
    </w:p>
    <w:p>
      <w:pPr>
        <w:tabs>
          <w:tab w:val="left" w:pos="6300"/>
        </w:tabs>
        <w:spacing w:line="360" w:lineRule="auto"/>
        <w:rPr>
          <w:rFonts w:ascii="宋体" w:hAnsi="宋体"/>
          <w:color w:val="000000" w:themeColor="text1"/>
          <w:sz w:val="28"/>
          <w:lang w:val="zh-CN"/>
          <w14:textFill>
            <w14:solidFill>
              <w14:schemeClr w14:val="tx1"/>
            </w14:solidFill>
          </w14:textFill>
        </w:rPr>
      </w:pPr>
    </w:p>
    <w:p>
      <w:pPr>
        <w:tabs>
          <w:tab w:val="left" w:pos="6300"/>
        </w:tabs>
        <w:spacing w:line="360" w:lineRule="auto"/>
        <w:rPr>
          <w:rFonts w:ascii="宋体" w:hAnsi="宋体"/>
          <w:color w:val="000000" w:themeColor="text1"/>
          <w:sz w:val="28"/>
          <w:lang w:val="zh-CN"/>
          <w14:textFill>
            <w14:solidFill>
              <w14:schemeClr w14:val="tx1"/>
            </w14:solidFill>
          </w14:textFill>
        </w:rPr>
      </w:pPr>
    </w:p>
    <w:p>
      <w:pPr>
        <w:spacing w:line="360" w:lineRule="auto"/>
        <w:rPr>
          <w:rFonts w:ascii="宋体" w:hAnsi="宋体"/>
          <w:color w:val="000000" w:themeColor="text1"/>
          <w:sz w:val="28"/>
          <w:lang w:val="zh-CN"/>
          <w14:textFill>
            <w14:solidFill>
              <w14:schemeClr w14:val="tx1"/>
            </w14:solidFill>
          </w14:textFill>
        </w:rPr>
      </w:pPr>
      <w:r>
        <w:rPr>
          <w:rFonts w:hint="eastAsia" w:ascii="宋体" w:hAnsi="宋体"/>
          <w:color w:val="000000" w:themeColor="text1"/>
          <w:sz w:val="28"/>
          <w:lang w:val="zh-CN"/>
          <w14:textFill>
            <w14:solidFill>
              <w14:schemeClr w14:val="tx1"/>
            </w14:solidFill>
          </w14:textFill>
        </w:rPr>
        <w:t>投标人名称：</w:t>
      </w:r>
      <w:r>
        <w:rPr>
          <w:rFonts w:hint="eastAsia" w:ascii="宋体" w:hAnsi="宋体"/>
          <w:color w:val="000000" w:themeColor="text1"/>
          <w:sz w:val="28"/>
          <w:u w:val="single"/>
          <w:lang w:val="zh-CN"/>
          <w14:textFill>
            <w14:solidFill>
              <w14:schemeClr w14:val="tx1"/>
            </w14:solidFill>
          </w14:textFill>
        </w:rPr>
        <w:t>XXXX</w:t>
      </w:r>
    </w:p>
    <w:p>
      <w:pPr>
        <w:spacing w:line="360" w:lineRule="auto"/>
        <w:rPr>
          <w:rFonts w:ascii="宋体" w:hAnsi="宋体"/>
          <w:b/>
          <w:color w:val="000000" w:themeColor="text1"/>
          <w:sz w:val="28"/>
          <w:u w:val="single"/>
          <w:lang w:val="zh-CN"/>
          <w14:textFill>
            <w14:solidFill>
              <w14:schemeClr w14:val="tx1"/>
            </w14:solidFill>
          </w14:textFill>
        </w:rPr>
      </w:pPr>
      <w:r>
        <w:rPr>
          <w:rFonts w:hint="eastAsia" w:ascii="宋体" w:hAnsi="宋体"/>
          <w:color w:val="000000" w:themeColor="text1"/>
          <w:sz w:val="28"/>
          <w14:textFill>
            <w14:solidFill>
              <w14:schemeClr w14:val="tx1"/>
            </w14:solidFill>
          </w14:textFill>
        </w:rPr>
        <w:t>日期：</w:t>
      </w:r>
      <w:r>
        <w:rPr>
          <w:rFonts w:hint="eastAsia" w:ascii="宋体" w:hAnsi="宋体"/>
          <w:bCs/>
          <w:color w:val="000000" w:themeColor="text1"/>
          <w:sz w:val="28"/>
          <w14:textFill>
            <w14:solidFill>
              <w14:schemeClr w14:val="tx1"/>
            </w14:solidFill>
          </w14:textFill>
        </w:rPr>
        <w:t>20</w:t>
      </w:r>
      <w:r>
        <w:rPr>
          <w:rFonts w:hint="eastAsia" w:ascii="宋体" w:hAnsi="宋体"/>
          <w:color w:val="000000" w:themeColor="text1"/>
          <w:sz w:val="28"/>
          <w:lang w:val="zh-CN"/>
          <w14:textFill>
            <w14:solidFill>
              <w14:schemeClr w14:val="tx1"/>
            </w14:solidFill>
          </w14:textFill>
        </w:rPr>
        <w:t>2</w:t>
      </w:r>
      <w:r>
        <w:rPr>
          <w:rFonts w:hint="eastAsia" w:ascii="宋体" w:hAnsi="宋体"/>
          <w:color w:val="000000" w:themeColor="text1"/>
          <w:sz w:val="28"/>
          <w:u w:val="single"/>
          <w:lang w:val="zh-CN"/>
          <w14:textFill>
            <w14:solidFill>
              <w14:schemeClr w14:val="tx1"/>
            </w14:solidFill>
          </w14:textFill>
        </w:rPr>
        <w:t>X</w:t>
      </w:r>
      <w:r>
        <w:rPr>
          <w:rFonts w:hint="eastAsia" w:ascii="宋体" w:hAnsi="宋体"/>
          <w:bCs/>
          <w:color w:val="000000" w:themeColor="text1"/>
          <w:sz w:val="28"/>
          <w14:textFill>
            <w14:solidFill>
              <w14:schemeClr w14:val="tx1"/>
            </w14:solidFill>
          </w14:textFill>
        </w:rPr>
        <w:t>年</w:t>
      </w:r>
      <w:r>
        <w:rPr>
          <w:rFonts w:hint="eastAsia" w:ascii="宋体" w:hAnsi="宋体"/>
          <w:color w:val="000000" w:themeColor="text1"/>
          <w:sz w:val="28"/>
          <w:u w:val="single"/>
          <w:lang w:val="zh-CN"/>
          <w14:textFill>
            <w14:solidFill>
              <w14:schemeClr w14:val="tx1"/>
            </w14:solidFill>
          </w14:textFill>
        </w:rPr>
        <w:t>XX</w:t>
      </w:r>
      <w:r>
        <w:rPr>
          <w:rFonts w:hint="eastAsia" w:ascii="宋体" w:hAnsi="宋体"/>
          <w:bCs/>
          <w:color w:val="000000" w:themeColor="text1"/>
          <w:sz w:val="28"/>
          <w14:textFill>
            <w14:solidFill>
              <w14:schemeClr w14:val="tx1"/>
            </w14:solidFill>
          </w14:textFill>
        </w:rPr>
        <w:t>月</w:t>
      </w:r>
      <w:r>
        <w:rPr>
          <w:rFonts w:hint="eastAsia" w:ascii="宋体" w:hAnsi="宋体"/>
          <w:color w:val="000000" w:themeColor="text1"/>
          <w:sz w:val="28"/>
          <w:u w:val="single"/>
          <w:lang w:val="zh-CN"/>
          <w14:textFill>
            <w14:solidFill>
              <w14:schemeClr w14:val="tx1"/>
            </w14:solidFill>
          </w14:textFill>
        </w:rPr>
        <w:t>XX</w:t>
      </w:r>
      <w:r>
        <w:rPr>
          <w:rFonts w:hint="eastAsia" w:ascii="宋体" w:hAnsi="宋体"/>
          <w:bCs/>
          <w:color w:val="000000" w:themeColor="text1"/>
          <w:sz w:val="28"/>
          <w14:textFill>
            <w14:solidFill>
              <w14:schemeClr w14:val="tx1"/>
            </w14:solidFill>
          </w14:textFill>
        </w:rPr>
        <w:t>日</w:t>
      </w:r>
    </w:p>
    <w:p>
      <w:pPr>
        <w:spacing w:after="180" w:line="360" w:lineRule="auto"/>
        <w:ind w:firstLine="568" w:firstLineChars="202"/>
        <w:rPr>
          <w:rFonts w:ascii="宋体" w:hAnsi="宋体"/>
          <w:b/>
          <w:color w:val="000000" w:themeColor="text1"/>
          <w:sz w:val="28"/>
          <w:szCs w:val="28"/>
          <w14:textFill>
            <w14:solidFill>
              <w14:schemeClr w14:val="tx1"/>
            </w14:solidFill>
          </w14:textFill>
        </w:rPr>
      </w:pPr>
    </w:p>
    <w:p>
      <w:pPr>
        <w:spacing w:after="180" w:line="360" w:lineRule="auto"/>
        <w:ind w:firstLine="568" w:firstLineChars="202"/>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说明：上述证明文件在投标文件中附有法定代表人身份证复印件（身份证两面均应复印）或护照复印件（投标人的法定代表人为外籍人士的，则提供护照复印件）时才能生效。</w:t>
      </w:r>
    </w:p>
    <w:p>
      <w:pPr>
        <w:spacing w:after="180" w:line="300" w:lineRule="auto"/>
        <w:rPr>
          <w:rFonts w:ascii="宋体" w:hAnsi="宋体"/>
          <w:b/>
          <w:color w:val="000000" w:themeColor="text1"/>
          <w:sz w:val="28"/>
          <w:szCs w:val="28"/>
          <w14:textFill>
            <w14:solidFill>
              <w14:schemeClr w14:val="tx1"/>
            </w14:solidFill>
          </w14:textFill>
        </w:rPr>
      </w:pPr>
    </w:p>
    <w:bookmarkEnd w:id="131"/>
    <w:bookmarkEnd w:id="132"/>
    <w:bookmarkEnd w:id="133"/>
    <w:bookmarkEnd w:id="134"/>
    <w:bookmarkEnd w:id="135"/>
    <w:bookmarkEnd w:id="136"/>
    <w:bookmarkEnd w:id="137"/>
    <w:bookmarkEnd w:id="138"/>
    <w:bookmarkEnd w:id="139"/>
    <w:p>
      <w:pPr>
        <w:rPr>
          <w:color w:val="000000" w:themeColor="text1"/>
          <w14:textFill>
            <w14:solidFill>
              <w14:schemeClr w14:val="tx1"/>
            </w14:solidFill>
          </w14:textFill>
        </w:rPr>
      </w:pPr>
      <w:bookmarkStart w:id="141" w:name="_Toc315871054"/>
      <w:bookmarkEnd w:id="141"/>
      <w:bookmarkStart w:id="142" w:name="_Toc302997926"/>
      <w:bookmarkStart w:id="143" w:name="_Toc220299393"/>
      <w:bookmarkStart w:id="144" w:name="_Toc263753605"/>
      <w:bookmarkStart w:id="145" w:name="_Toc263768870"/>
      <w:bookmarkStart w:id="146" w:name="_Toc217446083"/>
    </w:p>
    <w:p>
      <w:pPr>
        <w:rPr>
          <w:color w:val="000000" w:themeColor="text1"/>
          <w14:textFill>
            <w14:solidFill>
              <w14:schemeClr w14:val="tx1"/>
            </w14:solidFill>
          </w14:textFill>
        </w:rPr>
      </w:pPr>
    </w:p>
    <w:p>
      <w:pPr>
        <w:rPr>
          <w:color w:val="000000" w:themeColor="text1"/>
          <w14:textFill>
            <w14:solidFill>
              <w14:schemeClr w14:val="tx1"/>
            </w14:solidFill>
          </w14:textFill>
        </w:rPr>
      </w:pPr>
    </w:p>
    <w:bookmarkEnd w:id="142"/>
    <w:p>
      <w:pPr>
        <w:pStyle w:val="4"/>
        <w:spacing w:after="200" w:line="240" w:lineRule="auto"/>
        <w:ind w:left="851" w:hanging="851"/>
        <w:rPr>
          <w:color w:val="000000" w:themeColor="text1"/>
          <w14:textFill>
            <w14:solidFill>
              <w14:schemeClr w14:val="tx1"/>
            </w14:solidFill>
          </w14:textFill>
        </w:rPr>
      </w:pPr>
      <w:r>
        <w:rPr>
          <w:rFonts w:hint="eastAsia"/>
          <w:color w:val="000000" w:themeColor="text1"/>
          <w14:textFill>
            <w14:solidFill>
              <w14:schemeClr w14:val="tx1"/>
            </w14:solidFill>
          </w14:textFill>
        </w:rPr>
        <w:t>投标产品技术性能、技术参数和配置的详细描述</w:t>
      </w:r>
    </w:p>
    <w:p>
      <w:pPr>
        <w:snapToGrid w:val="0"/>
        <w:spacing w:line="360" w:lineRule="auto"/>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项目名称：</w:t>
      </w:r>
    </w:p>
    <w:p>
      <w:pPr>
        <w:snapToGrid w:val="0"/>
        <w:spacing w:line="360" w:lineRule="auto"/>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项目编号：</w:t>
      </w:r>
    </w:p>
    <w:p>
      <w:pPr>
        <w:snapToGrid w:val="0"/>
        <w:spacing w:line="360" w:lineRule="auto"/>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pacing w:after="120" w:line="360" w:lineRule="auto"/>
        <w:ind w:left="420" w:leftChars="200"/>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投标人名称：</w:t>
      </w:r>
      <w:r>
        <w:rPr>
          <w:rFonts w:hint="eastAsia" w:ascii="宋体" w:hAnsi="宋体"/>
          <w:bCs/>
          <w:color w:val="000000" w:themeColor="text1"/>
          <w:sz w:val="28"/>
          <w:szCs w:val="28"/>
          <w:u w:val="single"/>
          <w14:textFill>
            <w14:solidFill>
              <w14:schemeClr w14:val="tx1"/>
            </w14:solidFill>
          </w14:textFill>
        </w:rPr>
        <w:t>XXXX</w:t>
      </w: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日期：</w:t>
      </w:r>
      <w:r>
        <w:rPr>
          <w:rFonts w:hint="eastAsia" w:ascii="宋体" w:hAnsi="宋体"/>
          <w:bCs/>
          <w:color w:val="000000" w:themeColor="text1"/>
          <w:sz w:val="28"/>
          <w14:textFill>
            <w14:solidFill>
              <w14:schemeClr w14:val="tx1"/>
            </w14:solidFill>
          </w14:textFill>
        </w:rPr>
        <w:t>202</w:t>
      </w:r>
      <w:r>
        <w:rPr>
          <w:rFonts w:hint="eastAsia" w:ascii="宋体" w:hAnsi="宋体"/>
          <w:bCs/>
          <w:color w:val="000000" w:themeColor="text1"/>
          <w:sz w:val="28"/>
          <w:u w:val="single"/>
          <w14:textFill>
            <w14:solidFill>
              <w14:schemeClr w14:val="tx1"/>
            </w14:solidFill>
          </w14:textFill>
        </w:rPr>
        <w:t>X</w:t>
      </w:r>
      <w:r>
        <w:rPr>
          <w:rFonts w:hint="eastAsia" w:ascii="宋体" w:hAnsi="宋体"/>
          <w:bCs/>
          <w:color w:val="000000" w:themeColor="text1"/>
          <w:sz w:val="28"/>
          <w14:textFill>
            <w14:solidFill>
              <w14:schemeClr w14:val="tx1"/>
            </w14:solidFill>
          </w14:textFill>
        </w:rPr>
        <w:t>年</w:t>
      </w:r>
      <w:r>
        <w:rPr>
          <w:rFonts w:hint="eastAsia" w:ascii="宋体" w:hAnsi="宋体"/>
          <w:bCs/>
          <w:color w:val="000000" w:themeColor="text1"/>
          <w:sz w:val="28"/>
          <w:u w:val="single"/>
          <w14:textFill>
            <w14:solidFill>
              <w14:schemeClr w14:val="tx1"/>
            </w14:solidFill>
          </w14:textFill>
        </w:rPr>
        <w:t>XX</w:t>
      </w:r>
      <w:r>
        <w:rPr>
          <w:rFonts w:hint="eastAsia" w:ascii="宋体" w:hAnsi="宋体"/>
          <w:bCs/>
          <w:color w:val="000000" w:themeColor="text1"/>
          <w:sz w:val="28"/>
          <w14:textFill>
            <w14:solidFill>
              <w14:schemeClr w14:val="tx1"/>
            </w14:solidFill>
          </w14:textFill>
        </w:rPr>
        <w:t>月</w:t>
      </w:r>
      <w:r>
        <w:rPr>
          <w:rFonts w:hint="eastAsia" w:ascii="宋体" w:hAnsi="宋体"/>
          <w:bCs/>
          <w:color w:val="000000" w:themeColor="text1"/>
          <w:sz w:val="28"/>
          <w:u w:val="single"/>
          <w14:textFill>
            <w14:solidFill>
              <w14:schemeClr w14:val="tx1"/>
            </w14:solidFill>
          </w14:textFill>
        </w:rPr>
        <w:t>XX</w:t>
      </w:r>
      <w:r>
        <w:rPr>
          <w:rFonts w:hint="eastAsia" w:ascii="宋体" w:hAnsi="宋体"/>
          <w:bCs/>
          <w:color w:val="000000" w:themeColor="text1"/>
          <w:sz w:val="28"/>
          <w14:textFill>
            <w14:solidFill>
              <w14:schemeClr w14:val="tx1"/>
            </w14:solidFill>
          </w14:textFill>
        </w:rPr>
        <w:t>日</w:t>
      </w: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u w:val="single"/>
          <w14:textFill>
            <w14:solidFill>
              <w14:schemeClr w14:val="tx1"/>
            </w14:solidFill>
          </w14:textFill>
        </w:rPr>
      </w:pPr>
    </w:p>
    <w:p>
      <w:pPr>
        <w:keepNext/>
        <w:keepLines/>
        <w:numPr>
          <w:ilvl w:val="2"/>
          <w:numId w:val="1"/>
        </w:numPr>
        <w:spacing w:line="360" w:lineRule="auto"/>
        <w:ind w:left="3119" w:hanging="3119"/>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售后服务及承诺</w:t>
      </w:r>
    </w:p>
    <w:p>
      <w:pPr>
        <w:snapToGrid w:val="0"/>
        <w:spacing w:line="360" w:lineRule="auto"/>
        <w:ind w:right="-624" w:rightChars="-29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14:textFill>
            <w14:solidFill>
              <w14:schemeClr w14:val="tx1"/>
            </w14:solidFill>
          </w14:textFill>
        </w:rPr>
        <w:t>项目名称：</w:t>
      </w:r>
    </w:p>
    <w:p>
      <w:pPr>
        <w:snapToGrid w:val="0"/>
        <w:spacing w:line="360" w:lineRule="auto"/>
        <w:ind w:right="-624" w:rightChars="-297"/>
        <w:rPr>
          <w:rFonts w:ascii="宋体" w:hAnsi="宋体"/>
          <w:b/>
          <w:color w:val="000000" w:themeColor="text1"/>
          <w:sz w:val="28"/>
          <w14:textFill>
            <w14:solidFill>
              <w14:schemeClr w14:val="tx1"/>
            </w14:solidFill>
          </w14:textFill>
        </w:rPr>
      </w:pPr>
      <w:r>
        <w:rPr>
          <w:rFonts w:hint="eastAsia" w:ascii="宋体" w:hAnsi="宋体"/>
          <w:b/>
          <w:color w:val="000000" w:themeColor="text1"/>
          <w:sz w:val="28"/>
          <w14:textFill>
            <w14:solidFill>
              <w14:schemeClr w14:val="tx1"/>
            </w14:solidFill>
          </w14:textFill>
        </w:rPr>
        <w:t>项目编号：</w:t>
      </w:r>
    </w:p>
    <w:p>
      <w:pPr>
        <w:tabs>
          <w:tab w:val="left" w:pos="720"/>
        </w:tabs>
        <w:spacing w:line="360" w:lineRule="auto"/>
        <w:ind w:firstLine="560" w:firstLineChars="200"/>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一、验收标准</w:t>
      </w:r>
    </w:p>
    <w:p>
      <w:pPr>
        <w:spacing w:line="360" w:lineRule="auto"/>
        <w:ind w:firstLine="565" w:firstLineChars="202"/>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 xml:space="preserve">    （投标人应提出详细的验收程序和所执行的验收标准）</w:t>
      </w:r>
    </w:p>
    <w:p>
      <w:pPr>
        <w:spacing w:line="360" w:lineRule="auto"/>
        <w:ind w:firstLine="565" w:firstLineChars="202"/>
        <w:rPr>
          <w:rFonts w:ascii="宋体" w:hAnsi="宋体"/>
          <w:color w:val="000000" w:themeColor="text1"/>
          <w:sz w:val="28"/>
          <w14:textFill>
            <w14:solidFill>
              <w14:schemeClr w14:val="tx1"/>
            </w14:solidFill>
          </w14:textFill>
        </w:rPr>
      </w:pPr>
    </w:p>
    <w:p>
      <w:pPr>
        <w:spacing w:line="360" w:lineRule="auto"/>
        <w:ind w:firstLine="565" w:firstLineChars="202"/>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二、交货进度计划及保障措施</w:t>
      </w:r>
    </w:p>
    <w:p>
      <w:pPr>
        <w:spacing w:line="360" w:lineRule="auto"/>
        <w:ind w:firstLine="565" w:firstLineChars="202"/>
        <w:rPr>
          <w:rFonts w:ascii="宋体" w:hAnsi="宋体"/>
          <w:color w:val="000000" w:themeColor="text1"/>
          <w:sz w:val="28"/>
          <w14:textFill>
            <w14:solidFill>
              <w14:schemeClr w14:val="tx1"/>
            </w14:solidFill>
          </w14:textFill>
        </w:rPr>
      </w:pPr>
    </w:p>
    <w:p>
      <w:pPr>
        <w:spacing w:line="360" w:lineRule="auto"/>
        <w:ind w:firstLine="565" w:firstLineChars="202"/>
        <w:rPr>
          <w:rFonts w:ascii="宋体" w:hAnsi="宋体"/>
          <w:color w:val="000000" w:themeColor="text1"/>
          <w:sz w:val="28"/>
          <w14:textFill>
            <w14:solidFill>
              <w14:schemeClr w14:val="tx1"/>
            </w14:solidFill>
          </w14:textFill>
        </w:rPr>
      </w:pPr>
    </w:p>
    <w:p>
      <w:pPr>
        <w:tabs>
          <w:tab w:val="left" w:pos="720"/>
        </w:tabs>
        <w:spacing w:line="360" w:lineRule="auto"/>
        <w:ind w:firstLine="560" w:firstLineChars="200"/>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三、售后服务承诺</w:t>
      </w:r>
    </w:p>
    <w:p>
      <w:pPr>
        <w:ind w:firstLine="565" w:firstLineChars="202"/>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（售后服务承诺应包括但不限于以下内容）</w:t>
      </w:r>
    </w:p>
    <w:p>
      <w:pPr>
        <w:spacing w:line="400" w:lineRule="exact"/>
        <w:ind w:firstLine="560" w:firstLineChars="200"/>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（一）产品制造厂家或投标人设立的售后服务机构网点清单、服务电话和维修人员名单；</w:t>
      </w:r>
    </w:p>
    <w:p>
      <w:pPr>
        <w:spacing w:line="400" w:lineRule="exact"/>
        <w:ind w:firstLine="560" w:firstLineChars="200"/>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（二）说明投标产品的保修时间、保修期内的保修内容与范围、维修响应时间等；</w:t>
      </w:r>
    </w:p>
    <w:p>
      <w:pPr>
        <w:ind w:firstLine="565" w:firstLineChars="202"/>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（三）……</w:t>
      </w:r>
    </w:p>
    <w:p>
      <w:pPr>
        <w:ind w:firstLine="565" w:firstLineChars="202"/>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四、技术支持的能力及方案</w:t>
      </w:r>
    </w:p>
    <w:p>
      <w:pPr>
        <w:ind w:firstLine="565" w:firstLineChars="202"/>
        <w:rPr>
          <w:rFonts w:ascii="宋体" w:hAnsi="宋体"/>
          <w:color w:val="000000" w:themeColor="text1"/>
          <w:sz w:val="28"/>
          <w14:textFill>
            <w14:solidFill>
              <w14:schemeClr w14:val="tx1"/>
            </w14:solidFill>
          </w14:textFill>
        </w:rPr>
      </w:pPr>
    </w:p>
    <w:p>
      <w:pPr>
        <w:ind w:firstLine="565" w:firstLineChars="202"/>
        <w:rPr>
          <w:rFonts w:ascii="宋体" w:hAnsi="宋体"/>
          <w:color w:val="000000" w:themeColor="text1"/>
          <w:sz w:val="28"/>
          <w14:textFill>
            <w14:solidFill>
              <w14:schemeClr w14:val="tx1"/>
            </w14:solidFill>
          </w14:textFill>
        </w:rPr>
      </w:pPr>
    </w:p>
    <w:p>
      <w:pPr>
        <w:tabs>
          <w:tab w:val="left" w:pos="720"/>
        </w:tabs>
        <w:ind w:firstLine="560" w:firstLineChars="200"/>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五、其他说明的内容</w:t>
      </w:r>
    </w:p>
    <w:p>
      <w:pPr>
        <w:ind w:firstLine="565" w:firstLineChars="202"/>
        <w:rPr>
          <w:rFonts w:ascii="宋体" w:hAnsi="宋体"/>
          <w:color w:val="000000" w:themeColor="text1"/>
          <w:sz w:val="28"/>
          <w14:textFill>
            <w14:solidFill>
              <w14:schemeClr w14:val="tx1"/>
            </w14:solidFill>
          </w14:textFill>
        </w:rPr>
      </w:pPr>
    </w:p>
    <w:p>
      <w:pPr>
        <w:spacing w:after="120" w:line="360" w:lineRule="auto"/>
        <w:ind w:left="420" w:leftChars="200"/>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投标人名称：</w:t>
      </w:r>
      <w:r>
        <w:rPr>
          <w:rFonts w:hint="eastAsia" w:ascii="宋体" w:hAnsi="宋体"/>
          <w:bCs/>
          <w:color w:val="000000" w:themeColor="text1"/>
          <w:sz w:val="28"/>
          <w:szCs w:val="28"/>
          <w:u w:val="single"/>
          <w14:textFill>
            <w14:solidFill>
              <w14:schemeClr w14:val="tx1"/>
            </w14:solidFill>
          </w14:textFill>
        </w:rPr>
        <w:t>XXXX</w:t>
      </w: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日期：</w:t>
      </w:r>
      <w:r>
        <w:rPr>
          <w:rFonts w:hint="eastAsia" w:ascii="宋体" w:hAnsi="宋体"/>
          <w:bCs/>
          <w:color w:val="000000" w:themeColor="text1"/>
          <w:sz w:val="28"/>
          <w14:textFill>
            <w14:solidFill>
              <w14:schemeClr w14:val="tx1"/>
            </w14:solidFill>
          </w14:textFill>
        </w:rPr>
        <w:t>202</w:t>
      </w:r>
      <w:r>
        <w:rPr>
          <w:rFonts w:hint="eastAsia" w:ascii="宋体" w:hAnsi="宋体"/>
          <w:bCs/>
          <w:color w:val="000000" w:themeColor="text1"/>
          <w:sz w:val="28"/>
          <w:u w:val="single"/>
          <w14:textFill>
            <w14:solidFill>
              <w14:schemeClr w14:val="tx1"/>
            </w14:solidFill>
          </w14:textFill>
        </w:rPr>
        <w:t>X</w:t>
      </w:r>
      <w:r>
        <w:rPr>
          <w:rFonts w:hint="eastAsia" w:ascii="宋体" w:hAnsi="宋体"/>
          <w:bCs/>
          <w:color w:val="000000" w:themeColor="text1"/>
          <w:sz w:val="28"/>
          <w14:textFill>
            <w14:solidFill>
              <w14:schemeClr w14:val="tx1"/>
            </w14:solidFill>
          </w14:textFill>
        </w:rPr>
        <w:t>年</w:t>
      </w:r>
      <w:r>
        <w:rPr>
          <w:rFonts w:hint="eastAsia" w:ascii="宋体" w:hAnsi="宋体"/>
          <w:bCs/>
          <w:color w:val="000000" w:themeColor="text1"/>
          <w:sz w:val="28"/>
          <w:u w:val="single"/>
          <w14:textFill>
            <w14:solidFill>
              <w14:schemeClr w14:val="tx1"/>
            </w14:solidFill>
          </w14:textFill>
        </w:rPr>
        <w:t>XX</w:t>
      </w:r>
      <w:r>
        <w:rPr>
          <w:rFonts w:hint="eastAsia" w:ascii="宋体" w:hAnsi="宋体"/>
          <w:bCs/>
          <w:color w:val="000000" w:themeColor="text1"/>
          <w:sz w:val="28"/>
          <w14:textFill>
            <w14:solidFill>
              <w14:schemeClr w14:val="tx1"/>
            </w14:solidFill>
          </w14:textFill>
        </w:rPr>
        <w:t>月</w:t>
      </w:r>
      <w:r>
        <w:rPr>
          <w:rFonts w:hint="eastAsia" w:ascii="宋体" w:hAnsi="宋体"/>
          <w:bCs/>
          <w:color w:val="000000" w:themeColor="text1"/>
          <w:sz w:val="28"/>
          <w:u w:val="single"/>
          <w14:textFill>
            <w14:solidFill>
              <w14:schemeClr w14:val="tx1"/>
            </w14:solidFill>
          </w14:textFill>
        </w:rPr>
        <w:t>XX</w:t>
      </w:r>
      <w:r>
        <w:rPr>
          <w:rFonts w:hint="eastAsia" w:ascii="宋体" w:hAnsi="宋体"/>
          <w:bCs/>
          <w:color w:val="000000" w:themeColor="text1"/>
          <w:sz w:val="28"/>
          <w14:textFill>
            <w14:solidFill>
              <w14:schemeClr w14:val="tx1"/>
            </w14:solidFill>
          </w14:textFill>
        </w:rPr>
        <w:t>日</w:t>
      </w: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keepNext/>
        <w:keepLines/>
        <w:numPr>
          <w:ilvl w:val="2"/>
          <w:numId w:val="1"/>
        </w:numPr>
        <w:spacing w:line="360" w:lineRule="auto"/>
        <w:ind w:left="567"/>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项目实施方案</w:t>
      </w:r>
    </w:p>
    <w:p>
      <w:pPr>
        <w:snapToGrid w:val="0"/>
        <w:spacing w:line="360" w:lineRule="auto"/>
        <w:ind w:right="-624" w:rightChars="-29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项目名称：</w:t>
      </w:r>
    </w:p>
    <w:p>
      <w:pPr>
        <w:snapToGrid w:val="0"/>
        <w:spacing w:line="360" w:lineRule="auto"/>
        <w:rPr>
          <w:rFonts w:ascii="宋体" w:hAnsi="宋体"/>
          <w:b/>
          <w:color w:val="000000" w:themeColor="text1"/>
          <w:sz w:val="28"/>
          <w:u w:val="single"/>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项目编号：</w:t>
      </w:r>
    </w:p>
    <w:p>
      <w:pPr>
        <w:snapToGrid w:val="0"/>
        <w:spacing w:line="360" w:lineRule="auto"/>
        <w:rPr>
          <w:rFonts w:ascii="宋体" w:hAnsi="宋体"/>
          <w:b/>
          <w:color w:val="000000" w:themeColor="text1"/>
          <w:sz w:val="28"/>
          <w:u w:val="single"/>
          <w14:textFill>
            <w14:solidFill>
              <w14:schemeClr w14:val="tx1"/>
            </w14:solidFill>
          </w14:textFill>
        </w:rPr>
      </w:pPr>
    </w:p>
    <w:p>
      <w:pPr>
        <w:snapToGrid w:val="0"/>
        <w:spacing w:line="360" w:lineRule="auto"/>
        <w:rPr>
          <w:rFonts w:ascii="宋体" w:hAnsi="宋体"/>
          <w:b/>
          <w:color w:val="000000" w:themeColor="text1"/>
          <w:sz w:val="28"/>
          <w:u w:val="single"/>
          <w14:textFill>
            <w14:solidFill>
              <w14:schemeClr w14:val="tx1"/>
            </w14:solidFill>
          </w14:textFill>
        </w:rPr>
      </w:pPr>
    </w:p>
    <w:p>
      <w:pPr>
        <w:snapToGrid w:val="0"/>
        <w:spacing w:line="360" w:lineRule="auto"/>
        <w:rPr>
          <w:rFonts w:ascii="宋体" w:hAnsi="宋体"/>
          <w:b/>
          <w:color w:val="000000" w:themeColor="text1"/>
          <w:sz w:val="28"/>
          <w:u w:val="single"/>
          <w14:textFill>
            <w14:solidFill>
              <w14:schemeClr w14:val="tx1"/>
            </w14:solidFill>
          </w14:textFill>
        </w:rPr>
      </w:pPr>
    </w:p>
    <w:p>
      <w:pPr>
        <w:snapToGrid w:val="0"/>
        <w:spacing w:line="360" w:lineRule="auto"/>
        <w:rPr>
          <w:rFonts w:ascii="宋体" w:hAnsi="宋体"/>
          <w:b/>
          <w:color w:val="000000" w:themeColor="text1"/>
          <w:sz w:val="28"/>
          <w:u w:val="single"/>
          <w14:textFill>
            <w14:solidFill>
              <w14:schemeClr w14:val="tx1"/>
            </w14:solidFill>
          </w14:textFill>
        </w:rPr>
      </w:pPr>
    </w:p>
    <w:p>
      <w:pPr>
        <w:snapToGrid w:val="0"/>
        <w:spacing w:line="360" w:lineRule="auto"/>
        <w:rPr>
          <w:rFonts w:ascii="宋体" w:hAnsi="宋体"/>
          <w:b/>
          <w:color w:val="000000" w:themeColor="text1"/>
          <w:sz w:val="28"/>
          <w:u w:val="single"/>
          <w14:textFill>
            <w14:solidFill>
              <w14:schemeClr w14:val="tx1"/>
            </w14:solidFill>
          </w14:textFill>
        </w:rPr>
      </w:pPr>
    </w:p>
    <w:p>
      <w:pPr>
        <w:snapToGrid w:val="0"/>
        <w:spacing w:line="360" w:lineRule="auto"/>
        <w:rPr>
          <w:rFonts w:ascii="宋体" w:hAnsi="宋体"/>
          <w:b/>
          <w:color w:val="000000" w:themeColor="text1"/>
          <w:sz w:val="28"/>
          <w:u w:val="single"/>
          <w14:textFill>
            <w14:solidFill>
              <w14:schemeClr w14:val="tx1"/>
            </w14:solidFill>
          </w14:textFill>
        </w:rPr>
      </w:pPr>
    </w:p>
    <w:p>
      <w:pPr>
        <w:snapToGrid w:val="0"/>
        <w:spacing w:line="360" w:lineRule="auto"/>
        <w:rPr>
          <w:rFonts w:ascii="宋体" w:hAnsi="宋体"/>
          <w:b/>
          <w:color w:val="000000" w:themeColor="text1"/>
          <w:sz w:val="28"/>
          <w:u w:val="single"/>
          <w14:textFill>
            <w14:solidFill>
              <w14:schemeClr w14:val="tx1"/>
            </w14:solidFill>
          </w14:textFill>
        </w:rPr>
      </w:pPr>
    </w:p>
    <w:p>
      <w:pPr>
        <w:snapToGrid w:val="0"/>
        <w:spacing w:line="360" w:lineRule="auto"/>
        <w:rPr>
          <w:rFonts w:ascii="宋体" w:hAnsi="宋体"/>
          <w:b/>
          <w:color w:val="000000" w:themeColor="text1"/>
          <w:sz w:val="28"/>
          <w:u w:val="single"/>
          <w14:textFill>
            <w14:solidFill>
              <w14:schemeClr w14:val="tx1"/>
            </w14:solidFill>
          </w14:textFill>
        </w:rPr>
      </w:pPr>
    </w:p>
    <w:p>
      <w:pPr>
        <w:snapToGrid w:val="0"/>
        <w:spacing w:line="360" w:lineRule="auto"/>
        <w:rPr>
          <w:rFonts w:ascii="宋体" w:hAnsi="宋体"/>
          <w:b/>
          <w:color w:val="000000" w:themeColor="text1"/>
          <w:sz w:val="28"/>
          <w:u w:val="single"/>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pacing w:after="120" w:line="360" w:lineRule="auto"/>
        <w:ind w:left="420" w:leftChars="200"/>
        <w:rPr>
          <w:rFonts w:ascii="宋体" w:hAnsi="宋体"/>
          <w:bCs/>
          <w:color w:val="000000" w:themeColor="text1"/>
          <w:sz w:val="28"/>
          <w:szCs w:val="28"/>
          <w:u w:val="single"/>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投标人名称：</w:t>
      </w:r>
      <w:r>
        <w:rPr>
          <w:rFonts w:hint="eastAsia" w:ascii="宋体" w:hAnsi="宋体"/>
          <w:bCs/>
          <w:color w:val="000000" w:themeColor="text1"/>
          <w:sz w:val="28"/>
          <w:szCs w:val="28"/>
          <w:u w:val="single"/>
          <w14:textFill>
            <w14:solidFill>
              <w14:schemeClr w14:val="tx1"/>
            </w14:solidFill>
          </w14:textFill>
        </w:rPr>
        <w:t>XXXX</w:t>
      </w:r>
    </w:p>
    <w:p>
      <w:pPr>
        <w:spacing w:after="120" w:line="360" w:lineRule="auto"/>
        <w:ind w:left="420" w:leftChars="200"/>
        <w:rPr>
          <w:rFonts w:ascii="宋体" w:hAnsi="宋体"/>
          <w:bCs/>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日期：</w:t>
      </w:r>
      <w:r>
        <w:rPr>
          <w:rFonts w:hint="eastAsia" w:ascii="宋体" w:hAnsi="宋体"/>
          <w:bCs/>
          <w:color w:val="000000" w:themeColor="text1"/>
          <w:sz w:val="28"/>
          <w14:textFill>
            <w14:solidFill>
              <w14:schemeClr w14:val="tx1"/>
            </w14:solidFill>
          </w14:textFill>
        </w:rPr>
        <w:t>202</w:t>
      </w:r>
      <w:r>
        <w:rPr>
          <w:rFonts w:hint="eastAsia" w:ascii="宋体" w:hAnsi="宋体"/>
          <w:bCs/>
          <w:color w:val="000000" w:themeColor="text1"/>
          <w:sz w:val="28"/>
          <w:u w:val="single"/>
          <w14:textFill>
            <w14:solidFill>
              <w14:schemeClr w14:val="tx1"/>
            </w14:solidFill>
          </w14:textFill>
        </w:rPr>
        <w:t>X</w:t>
      </w:r>
      <w:r>
        <w:rPr>
          <w:rFonts w:hint="eastAsia" w:ascii="宋体" w:hAnsi="宋体"/>
          <w:bCs/>
          <w:color w:val="000000" w:themeColor="text1"/>
          <w:sz w:val="28"/>
          <w14:textFill>
            <w14:solidFill>
              <w14:schemeClr w14:val="tx1"/>
            </w14:solidFill>
          </w14:textFill>
        </w:rPr>
        <w:t>年</w:t>
      </w:r>
      <w:r>
        <w:rPr>
          <w:rFonts w:hint="eastAsia" w:ascii="宋体" w:hAnsi="宋体"/>
          <w:bCs/>
          <w:color w:val="000000" w:themeColor="text1"/>
          <w:sz w:val="28"/>
          <w:u w:val="single"/>
          <w14:textFill>
            <w14:solidFill>
              <w14:schemeClr w14:val="tx1"/>
            </w14:solidFill>
          </w14:textFill>
        </w:rPr>
        <w:t>XX</w:t>
      </w:r>
      <w:r>
        <w:rPr>
          <w:rFonts w:hint="eastAsia" w:ascii="宋体" w:hAnsi="宋体"/>
          <w:bCs/>
          <w:color w:val="000000" w:themeColor="text1"/>
          <w:sz w:val="28"/>
          <w14:textFill>
            <w14:solidFill>
              <w14:schemeClr w14:val="tx1"/>
            </w14:solidFill>
          </w14:textFill>
        </w:rPr>
        <w:t>月</w:t>
      </w:r>
      <w:r>
        <w:rPr>
          <w:rFonts w:hint="eastAsia" w:ascii="宋体" w:hAnsi="宋体"/>
          <w:bCs/>
          <w:color w:val="000000" w:themeColor="text1"/>
          <w:sz w:val="28"/>
          <w:u w:val="single"/>
          <w14:textFill>
            <w14:solidFill>
              <w14:schemeClr w14:val="tx1"/>
            </w14:solidFill>
          </w14:textFill>
        </w:rPr>
        <w:t>XX</w:t>
      </w:r>
      <w:r>
        <w:rPr>
          <w:rFonts w:hint="eastAsia" w:ascii="宋体" w:hAnsi="宋体"/>
          <w:bCs/>
          <w:color w:val="000000" w:themeColor="text1"/>
          <w:sz w:val="28"/>
          <w14:textFill>
            <w14:solidFill>
              <w14:schemeClr w14:val="tx1"/>
            </w14:solidFill>
          </w14:textFill>
        </w:rPr>
        <w:t>日</w:t>
      </w:r>
    </w:p>
    <w:p>
      <w:pPr>
        <w:spacing w:after="120" w:line="360" w:lineRule="auto"/>
        <w:ind w:left="420" w:leftChars="200"/>
        <w:rPr>
          <w:rFonts w:ascii="宋体" w:hAnsi="宋体"/>
          <w:bCs/>
          <w:color w:val="000000" w:themeColor="text1"/>
          <w:sz w:val="28"/>
          <w14:textFill>
            <w14:solidFill>
              <w14:schemeClr w14:val="tx1"/>
            </w14:solidFill>
          </w14:textFill>
        </w:rPr>
      </w:pPr>
    </w:p>
    <w:p>
      <w:pPr>
        <w:spacing w:after="120" w:line="360" w:lineRule="auto"/>
        <w:ind w:left="420" w:leftChars="200"/>
        <w:rPr>
          <w:rFonts w:ascii="宋体" w:hAnsi="宋体"/>
          <w:b/>
          <w:color w:val="000000" w:themeColor="text1"/>
          <w:sz w:val="28"/>
          <w:szCs w:val="28"/>
          <w14:textFill>
            <w14:solidFill>
              <w14:schemeClr w14:val="tx1"/>
            </w14:solidFill>
          </w14:textFill>
        </w:rPr>
      </w:pPr>
    </w:p>
    <w:p>
      <w:pPr>
        <w:keepNext/>
        <w:keepLines/>
        <w:numPr>
          <w:ilvl w:val="2"/>
          <w:numId w:val="1"/>
        </w:numPr>
        <w:spacing w:line="360" w:lineRule="auto"/>
        <w:ind w:left="567"/>
        <w:outlineLvl w:val="2"/>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承诺函</w:t>
      </w:r>
    </w:p>
    <w:p>
      <w:pPr>
        <w:snapToGrid w:val="0"/>
        <w:spacing w:line="360" w:lineRule="auto"/>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项目名称：</w:t>
      </w:r>
    </w:p>
    <w:p>
      <w:pPr>
        <w:snapToGrid w:val="0"/>
        <w:spacing w:line="360" w:lineRule="auto"/>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项目编号：</w:t>
      </w:r>
    </w:p>
    <w:p>
      <w:pPr>
        <w:snapToGrid w:val="0"/>
        <w:spacing w:line="360" w:lineRule="auto"/>
        <w:ind w:firstLine="560" w:firstLineChars="200"/>
        <w:rPr>
          <w:rFonts w:ascii="宋体" w:hAnsi="宋体"/>
          <w:color w:val="000000" w:themeColor="text1"/>
          <w14:textFill>
            <w14:solidFill>
              <w14:schemeClr w14:val="tx1"/>
            </w14:solidFill>
          </w14:textFill>
        </w:rPr>
      </w:pPr>
      <w:r>
        <w:rPr>
          <w:rFonts w:hint="eastAsia" w:ascii="宋体" w:hAnsi="宋体"/>
          <w:color w:val="000000" w:themeColor="text1"/>
          <w:sz w:val="28"/>
          <w14:textFill>
            <w14:solidFill>
              <w14:schemeClr w14:val="tx1"/>
            </w14:solidFill>
          </w14:textFill>
        </w:rPr>
        <w:t>我单位作为参加本</w:t>
      </w:r>
      <w:r>
        <w:rPr>
          <w:rFonts w:hint="eastAsia" w:ascii="宋体" w:hAnsi="宋体"/>
          <w:color w:val="000000" w:themeColor="text1"/>
          <w:sz w:val="28"/>
          <w:szCs w:val="28"/>
          <w14:textFill>
            <w14:solidFill>
              <w14:schemeClr w14:val="tx1"/>
            </w14:solidFill>
          </w14:textFill>
        </w:rPr>
        <w:t>项目</w:t>
      </w:r>
      <w:r>
        <w:rPr>
          <w:rFonts w:hint="eastAsia" w:ascii="宋体" w:hAnsi="宋体"/>
          <w:color w:val="000000" w:themeColor="text1"/>
          <w:sz w:val="28"/>
          <w14:textFill>
            <w14:solidFill>
              <w14:schemeClr w14:val="tx1"/>
            </w14:solidFill>
          </w14:textFill>
        </w:rPr>
        <w:t>的投标人，在此郑重承诺：</w:t>
      </w:r>
    </w:p>
    <w:p>
      <w:pPr>
        <w:numPr>
          <w:ilvl w:val="0"/>
          <w:numId w:val="36"/>
        </w:numPr>
        <w:tabs>
          <w:tab w:val="left" w:pos="1134"/>
        </w:tabs>
        <w:snapToGrid w:val="0"/>
        <w:spacing w:line="360" w:lineRule="auto"/>
        <w:ind w:left="0" w:firstLine="562"/>
        <w:rPr>
          <w:rFonts w:ascii="宋体" w:hAnsi="宋体" w:eastAsiaTheme="minorEastAsia" w:cstheme="minorBidi"/>
          <w:color w:val="000000" w:themeColor="text1"/>
          <w:sz w:val="28"/>
          <w:szCs w:val="28"/>
          <w14:textFill>
            <w14:solidFill>
              <w14:schemeClr w14:val="tx1"/>
            </w14:solidFill>
          </w14:textFill>
        </w:rPr>
      </w:pPr>
      <w:r>
        <w:rPr>
          <w:rFonts w:hint="eastAsia" w:ascii="宋体" w:hAnsi="宋体" w:eastAsiaTheme="minorEastAsia" w:cstheme="minorBidi"/>
          <w:color w:val="000000" w:themeColor="text1"/>
          <w:sz w:val="28"/>
          <w:szCs w:val="28"/>
          <w14:textFill>
            <w14:solidFill>
              <w14:schemeClr w14:val="tx1"/>
            </w14:solidFill>
          </w14:textFill>
        </w:rPr>
        <w:t>为本项目提供的所有产品、辅材中</w:t>
      </w:r>
      <w:r>
        <w:rPr>
          <w:rFonts w:cs="宋体" w:asciiTheme="minorEastAsia" w:hAnsiTheme="minorEastAsia" w:eastAsiaTheme="minorEastAsia"/>
          <w:color w:val="000000" w:themeColor="text1"/>
          <w:sz w:val="28"/>
          <w:szCs w:val="28"/>
          <w14:textFill>
            <w14:solidFill>
              <w14:schemeClr w14:val="tx1"/>
            </w14:solidFill>
          </w14:textFill>
        </w:rPr>
        <w:t>属于《国家强制性产品认证目录》范围内产品的，均通过国家强制性产品认证并取得认证证书。</w:t>
      </w:r>
    </w:p>
    <w:p>
      <w:pPr>
        <w:numPr>
          <w:ilvl w:val="0"/>
          <w:numId w:val="36"/>
        </w:numPr>
        <w:tabs>
          <w:tab w:val="left" w:pos="1134"/>
        </w:tabs>
        <w:snapToGrid w:val="0"/>
        <w:spacing w:line="360" w:lineRule="auto"/>
        <w:ind w:left="0" w:firstLine="562"/>
        <w:rPr>
          <w:rFonts w:ascii="宋体" w:hAnsi="宋体" w:eastAsiaTheme="minorEastAsia" w:cstheme="minorBidi"/>
          <w:b/>
          <w:color w:val="000000" w:themeColor="text1"/>
          <w:sz w:val="28"/>
          <w:szCs w:val="28"/>
          <w14:textFill>
            <w14:solidFill>
              <w14:schemeClr w14:val="tx1"/>
            </w14:solidFill>
          </w14:textFill>
        </w:rPr>
      </w:pPr>
      <w:r>
        <w:rPr>
          <w:rFonts w:hint="eastAsia" w:eastAsiaTheme="minorEastAsia" w:cstheme="minorBidi"/>
          <w:color w:val="000000" w:themeColor="text1"/>
          <w:sz w:val="28"/>
          <w:szCs w:val="28"/>
          <w14:textFill>
            <w14:solidFill>
              <w14:schemeClr w14:val="tx1"/>
            </w14:solidFill>
          </w14:textFill>
        </w:rPr>
        <w:t>为本项目提供的所有产品、辅材符合现行的强制性国家相关标准、行业标准。</w:t>
      </w:r>
    </w:p>
    <w:p>
      <w:pPr>
        <w:numPr>
          <w:ilvl w:val="0"/>
          <w:numId w:val="36"/>
        </w:numPr>
        <w:tabs>
          <w:tab w:val="left" w:pos="1134"/>
        </w:tabs>
        <w:snapToGrid w:val="0"/>
        <w:spacing w:line="360" w:lineRule="auto"/>
        <w:ind w:left="0" w:firstLine="562"/>
        <w:rPr>
          <w:rFonts w:ascii="宋体" w:hAnsi="宋体" w:eastAsiaTheme="minorEastAsia" w:cstheme="minorBidi"/>
          <w:color w:val="000000" w:themeColor="text1"/>
          <w:sz w:val="28"/>
          <w:szCs w:val="28"/>
          <w:lang w:val="zh-CN"/>
          <w14:textFill>
            <w14:solidFill>
              <w14:schemeClr w14:val="tx1"/>
            </w14:solidFill>
          </w14:textFill>
        </w:rPr>
      </w:pPr>
      <w:r>
        <w:rPr>
          <w:rFonts w:hint="eastAsia" w:ascii="宋体" w:hAnsi="宋体" w:eastAsiaTheme="minorEastAsia" w:cstheme="minorBidi"/>
          <w:color w:val="000000" w:themeColor="text1"/>
          <w:sz w:val="28"/>
          <w:szCs w:val="28"/>
          <w:lang w:val="zh-CN"/>
          <w14:textFill>
            <w14:solidFill>
              <w14:schemeClr w14:val="tx1"/>
            </w14:solidFill>
          </w14:textFill>
        </w:rPr>
        <w:t>为本项目提供的所有产品中属于节能产品政府采购品目清单中的政府强制采购产品的，均具有国家确定的认证机构出具的有效期内的节能产品认证证书。</w:t>
      </w:r>
    </w:p>
    <w:p>
      <w:pPr>
        <w:numPr>
          <w:ilvl w:val="0"/>
          <w:numId w:val="36"/>
        </w:numPr>
        <w:tabs>
          <w:tab w:val="left" w:pos="1134"/>
        </w:tabs>
        <w:snapToGrid w:val="0"/>
        <w:spacing w:line="360" w:lineRule="auto"/>
        <w:ind w:left="0" w:firstLine="562"/>
        <w:rPr>
          <w:rFonts w:ascii="宋体" w:hAnsi="宋体" w:eastAsiaTheme="minorEastAsia" w:cstheme="minorBidi"/>
          <w:color w:val="000000" w:themeColor="text1"/>
          <w:sz w:val="28"/>
          <w:szCs w:val="28"/>
          <w:lang w:val="zh-CN"/>
          <w14:textFill>
            <w14:solidFill>
              <w14:schemeClr w14:val="tx1"/>
            </w14:solidFill>
          </w14:textFill>
        </w:rPr>
      </w:pPr>
      <w:r>
        <w:rPr>
          <w:rFonts w:hint="eastAsia" w:ascii="宋体" w:hAnsi="宋体" w:cs="仿宋"/>
          <w:color w:val="000000" w:themeColor="text1"/>
          <w:sz w:val="28"/>
          <w:szCs w:val="28"/>
          <w14:textFill>
            <w14:solidFill>
              <w14:schemeClr w14:val="tx1"/>
            </w14:solidFill>
          </w14:textFill>
        </w:rPr>
        <w:t>为本项目实施涉及的商品包装和快递包装，均符合财政部等三部门联合印发商品包装和快递包装政府采购需求标准（试行）（财办库[2020]123号）的要求。</w:t>
      </w:r>
    </w:p>
    <w:p>
      <w:pPr>
        <w:numPr>
          <w:ilvl w:val="0"/>
          <w:numId w:val="36"/>
        </w:numPr>
        <w:tabs>
          <w:tab w:val="left" w:pos="1134"/>
        </w:tabs>
        <w:snapToGrid w:val="0"/>
        <w:spacing w:line="360" w:lineRule="auto"/>
        <w:ind w:left="0" w:firstLine="562"/>
        <w:rPr>
          <w:rFonts w:ascii="宋体" w:hAnsi="宋体" w:eastAsiaTheme="minorEastAsia" w:cstheme="minorBidi"/>
          <w:color w:val="000000" w:themeColor="text1"/>
          <w:sz w:val="28"/>
          <w:szCs w:val="28"/>
          <w:lang w:val="zh-CN"/>
          <w14:textFill>
            <w14:solidFill>
              <w14:schemeClr w14:val="tx1"/>
            </w14:solidFill>
          </w14:textFill>
        </w:rPr>
      </w:pPr>
      <w:r>
        <w:rPr>
          <w:rFonts w:hint="eastAsia" w:ascii="宋体" w:hAnsi="宋体" w:eastAsiaTheme="minorEastAsia" w:cstheme="minorBidi"/>
          <w:color w:val="000000" w:themeColor="text1"/>
          <w:sz w:val="28"/>
          <w:szCs w:val="28"/>
          <w:lang w:val="zh-CN"/>
          <w14:textFill>
            <w14:solidFill>
              <w14:schemeClr w14:val="tx1"/>
            </w14:solidFill>
          </w14:textFill>
        </w:rPr>
        <w:t>我方承诺完全响应招标文件</w:t>
      </w:r>
      <w:r>
        <w:rPr>
          <w:rFonts w:ascii="Times New Roman" w:hAnsi="Times New Roman" w:eastAsiaTheme="minorEastAsia"/>
          <w:color w:val="000000" w:themeColor="text1"/>
          <w:sz w:val="28"/>
          <w:szCs w:val="28"/>
          <w:lang w:val="zh-CN"/>
          <w14:textFill>
            <w14:solidFill>
              <w14:schemeClr w14:val="tx1"/>
            </w14:solidFill>
          </w14:textFill>
        </w:rPr>
        <w:t>4.</w:t>
      </w:r>
      <w:r>
        <w:rPr>
          <w:rFonts w:hint="eastAsia" w:ascii="Times New Roman" w:hAnsi="Times New Roman" w:eastAsiaTheme="minorEastAsia"/>
          <w:color w:val="000000" w:themeColor="text1"/>
          <w:sz w:val="28"/>
          <w:szCs w:val="28"/>
          <w14:textFill>
            <w14:solidFill>
              <w14:schemeClr w14:val="tx1"/>
            </w14:solidFill>
          </w14:textFill>
        </w:rPr>
        <w:t>3</w:t>
      </w:r>
      <w:r>
        <w:rPr>
          <w:rFonts w:ascii="Times New Roman" w:hAnsi="Times New Roman" w:eastAsiaTheme="minorEastAsia"/>
          <w:color w:val="000000" w:themeColor="text1"/>
          <w:sz w:val="28"/>
          <w:szCs w:val="28"/>
          <w:lang w:val="zh-CN"/>
          <w14:textFill>
            <w14:solidFill>
              <w14:schemeClr w14:val="tx1"/>
            </w14:solidFill>
          </w14:textFill>
        </w:rPr>
        <w:t>.1</w:t>
      </w:r>
      <w:r>
        <w:rPr>
          <w:rFonts w:hint="eastAsia" w:ascii="Times New Roman" w:hAnsi="Times New Roman" w:eastAsiaTheme="minorEastAsia"/>
          <w:color w:val="000000" w:themeColor="text1"/>
          <w:sz w:val="28"/>
          <w:szCs w:val="28"/>
          <w:lang w:val="zh-CN"/>
          <w14:textFill>
            <w14:solidFill>
              <w14:schemeClr w14:val="tx1"/>
            </w14:solidFill>
          </w14:textFill>
        </w:rPr>
        <w:t>项目的生产安装，</w:t>
      </w:r>
      <w:r>
        <w:rPr>
          <w:rFonts w:ascii="Times New Roman" w:hAnsi="Times New Roman" w:eastAsiaTheme="minorEastAsia"/>
          <w:color w:val="000000" w:themeColor="text1"/>
          <w:sz w:val="28"/>
          <w:szCs w:val="28"/>
          <w:lang w:val="zh-CN"/>
          <w14:textFill>
            <w14:solidFill>
              <w14:schemeClr w14:val="tx1"/>
            </w14:solidFill>
          </w14:textFill>
        </w:rPr>
        <w:t>4.</w:t>
      </w:r>
      <w:r>
        <w:rPr>
          <w:rFonts w:hint="eastAsia" w:ascii="Times New Roman" w:hAnsi="Times New Roman" w:eastAsiaTheme="minorEastAsia"/>
          <w:color w:val="000000" w:themeColor="text1"/>
          <w:sz w:val="28"/>
          <w:szCs w:val="28"/>
          <w14:textFill>
            <w14:solidFill>
              <w14:schemeClr w14:val="tx1"/>
            </w14:solidFill>
          </w14:textFill>
        </w:rPr>
        <w:t>3</w:t>
      </w:r>
      <w:r>
        <w:rPr>
          <w:rFonts w:ascii="Times New Roman" w:hAnsi="Times New Roman" w:eastAsiaTheme="minorEastAsia"/>
          <w:color w:val="000000" w:themeColor="text1"/>
          <w:sz w:val="28"/>
          <w:szCs w:val="28"/>
          <w:lang w:val="zh-CN"/>
          <w14:textFill>
            <w14:solidFill>
              <w14:schemeClr w14:val="tx1"/>
            </w14:solidFill>
          </w14:textFill>
        </w:rPr>
        <w:t>.2</w:t>
      </w:r>
      <w:r>
        <w:rPr>
          <w:rFonts w:hint="eastAsia" w:ascii="Times New Roman" w:hAnsi="Times New Roman" w:eastAsiaTheme="minorEastAsia"/>
          <w:color w:val="000000" w:themeColor="text1"/>
          <w:sz w:val="28"/>
          <w:szCs w:val="28"/>
          <w:lang w:val="zh-CN"/>
          <w14:textFill>
            <w14:solidFill>
              <w14:schemeClr w14:val="tx1"/>
            </w14:solidFill>
          </w14:textFill>
        </w:rPr>
        <w:t>质保及售后要求（</w:t>
      </w:r>
      <w:r>
        <w:rPr>
          <w:rFonts w:hint="eastAsia" w:ascii="Times New Roman" w:hAnsi="Times New Roman" w:eastAsiaTheme="minorEastAsia"/>
          <w:color w:val="000000" w:themeColor="text1"/>
          <w:sz w:val="28"/>
          <w:szCs w:val="28"/>
          <w14:textFill>
            <w14:solidFill>
              <w14:schemeClr w14:val="tx1"/>
            </w14:solidFill>
          </w14:textFill>
        </w:rPr>
        <w:t>1</w:t>
      </w:r>
      <w:r>
        <w:rPr>
          <w:rFonts w:hint="eastAsia" w:ascii="Times New Roman" w:hAnsi="Times New Roman" w:eastAsiaTheme="minorEastAsia"/>
          <w:color w:val="000000" w:themeColor="text1"/>
          <w:sz w:val="28"/>
          <w:szCs w:val="28"/>
          <w:lang w:val="zh-CN"/>
          <w14:textFill>
            <w14:solidFill>
              <w14:schemeClr w14:val="tx1"/>
            </w14:solidFill>
          </w14:textFill>
        </w:rPr>
        <w:t>）</w:t>
      </w:r>
      <w:r>
        <w:rPr>
          <w:rFonts w:hint="eastAsia" w:ascii="宋体" w:hAnsi="宋体" w:eastAsiaTheme="minorEastAsia" w:cstheme="minorBidi"/>
          <w:color w:val="000000" w:themeColor="text1"/>
          <w:sz w:val="28"/>
          <w:szCs w:val="28"/>
          <w:lang w:val="zh-CN"/>
          <w14:textFill>
            <w14:solidFill>
              <w14:schemeClr w14:val="tx1"/>
            </w14:solidFill>
          </w14:textFill>
        </w:rPr>
        <w:t>，</w:t>
      </w:r>
      <w:r>
        <w:rPr>
          <w:rFonts w:ascii="Times New Roman" w:hAnsi="Times New Roman" w:eastAsiaTheme="minorEastAsia"/>
          <w:color w:val="000000" w:themeColor="text1"/>
          <w:sz w:val="28"/>
          <w:szCs w:val="28"/>
          <w:lang w:val="zh-CN"/>
          <w14:textFill>
            <w14:solidFill>
              <w14:schemeClr w14:val="tx1"/>
            </w14:solidFill>
          </w14:textFill>
        </w:rPr>
        <w:t>4.</w:t>
      </w:r>
      <w:r>
        <w:rPr>
          <w:rFonts w:hint="eastAsia" w:ascii="Times New Roman" w:hAnsi="Times New Roman" w:eastAsiaTheme="minorEastAsia"/>
          <w:color w:val="000000" w:themeColor="text1"/>
          <w:sz w:val="28"/>
          <w:szCs w:val="28"/>
          <w14:textFill>
            <w14:solidFill>
              <w14:schemeClr w14:val="tx1"/>
            </w14:solidFill>
          </w14:textFill>
        </w:rPr>
        <w:t>3</w:t>
      </w:r>
      <w:r>
        <w:rPr>
          <w:rFonts w:ascii="Times New Roman" w:hAnsi="Times New Roman" w:eastAsiaTheme="minorEastAsia"/>
          <w:color w:val="000000" w:themeColor="text1"/>
          <w:sz w:val="28"/>
          <w:szCs w:val="28"/>
          <w:lang w:val="zh-CN"/>
          <w14:textFill>
            <w14:solidFill>
              <w14:schemeClr w14:val="tx1"/>
            </w14:solidFill>
          </w14:textFill>
        </w:rPr>
        <w:t>.4</w:t>
      </w:r>
      <w:r>
        <w:rPr>
          <w:rFonts w:hint="eastAsia" w:ascii="Times New Roman" w:hAnsi="Times New Roman" w:eastAsiaTheme="minorEastAsia"/>
          <w:color w:val="000000" w:themeColor="text1"/>
          <w:sz w:val="28"/>
          <w:szCs w:val="28"/>
          <w:lang w:val="zh-CN"/>
          <w14:textFill>
            <w14:solidFill>
              <w14:schemeClr w14:val="tx1"/>
            </w14:solidFill>
          </w14:textFill>
        </w:rPr>
        <w:t>付款方式</w:t>
      </w:r>
      <w:r>
        <w:rPr>
          <w:rFonts w:hint="eastAsia" w:ascii="宋体" w:hAnsi="宋体" w:eastAsiaTheme="minorEastAsia" w:cstheme="minorBidi"/>
          <w:color w:val="000000" w:themeColor="text1"/>
          <w:sz w:val="28"/>
          <w:szCs w:val="28"/>
          <w:lang w:val="zh-CN"/>
          <w14:textFill>
            <w14:solidFill>
              <w14:schemeClr w14:val="tx1"/>
            </w14:solidFill>
          </w14:textFill>
        </w:rPr>
        <w:t>的所有要求。</w:t>
      </w:r>
    </w:p>
    <w:p>
      <w:pPr>
        <w:adjustRightInd w:val="0"/>
        <w:snapToGrid w:val="0"/>
        <w:spacing w:line="560" w:lineRule="exact"/>
        <w:rPr>
          <w:rFonts w:ascii="宋体" w:hAnsi="宋体"/>
          <w:color w:val="000000" w:themeColor="text1"/>
          <w:sz w:val="28"/>
          <w14:textFill>
            <w14:solidFill>
              <w14:schemeClr w14:val="tx1"/>
            </w14:solidFill>
          </w14:textFill>
        </w:rPr>
      </w:pPr>
    </w:p>
    <w:p>
      <w:pPr>
        <w:snapToGrid w:val="0"/>
        <w:spacing w:line="360" w:lineRule="auto"/>
        <w:ind w:firstLine="560" w:firstLineChars="200"/>
        <w:rPr>
          <w:rFonts w:ascii="宋体" w:hAnsi="宋体"/>
          <w:color w:val="000000" w:themeColor="text1"/>
          <w:sz w:val="28"/>
          <w:szCs w:val="28"/>
          <w14:textFill>
            <w14:solidFill>
              <w14:schemeClr w14:val="tx1"/>
            </w14:solidFill>
          </w14:textFill>
        </w:rPr>
      </w:pPr>
    </w:p>
    <w:p>
      <w:pPr>
        <w:snapToGrid w:val="0"/>
        <w:spacing w:line="360" w:lineRule="auto"/>
        <w:ind w:firstLine="560" w:firstLineChars="200"/>
        <w:rPr>
          <w:color w:val="000000" w:themeColor="text1"/>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特此承诺。</w:t>
      </w:r>
    </w:p>
    <w:p>
      <w:pPr>
        <w:spacing w:after="120" w:line="360" w:lineRule="auto"/>
        <w:ind w:left="420" w:leftChars="200"/>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投标人名称：</w:t>
      </w:r>
      <w:r>
        <w:rPr>
          <w:rFonts w:hint="eastAsia" w:ascii="宋体" w:hAnsi="宋体"/>
          <w:bCs/>
          <w:color w:val="000000" w:themeColor="text1"/>
          <w:sz w:val="28"/>
          <w:szCs w:val="28"/>
          <w:u w:val="single"/>
          <w14:textFill>
            <w14:solidFill>
              <w14:schemeClr w14:val="tx1"/>
            </w14:solidFill>
          </w14:textFill>
        </w:rPr>
        <w:t>XXXX</w:t>
      </w:r>
    </w:p>
    <w:p>
      <w:pPr>
        <w:adjustRightInd w:val="0"/>
        <w:spacing w:line="400" w:lineRule="exact"/>
        <w:ind w:firstLine="420" w:firstLineChars="150"/>
        <w:rPr>
          <w:rFonts w:ascii="宋体" w:hAnsi="宋体"/>
          <w:bCs/>
          <w:color w:val="000000" w:themeColor="text1"/>
          <w:sz w:val="28"/>
          <w14:textFill>
            <w14:solidFill>
              <w14:schemeClr w14:val="tx1"/>
            </w14:solidFill>
          </w14:textFill>
        </w:rPr>
        <w:sectPr>
          <w:pgSz w:w="11906" w:h="16838"/>
          <w:pgMar w:top="1440" w:right="1474" w:bottom="1440" w:left="1474" w:header="851" w:footer="992" w:gutter="0"/>
          <w:cols w:space="720" w:num="1"/>
        </w:sectPr>
      </w:pPr>
      <w:r>
        <w:rPr>
          <w:rFonts w:hint="eastAsia" w:ascii="宋体" w:hAnsi="宋体"/>
          <w:color w:val="000000" w:themeColor="text1"/>
          <w:sz w:val="28"/>
          <w14:textFill>
            <w14:solidFill>
              <w14:schemeClr w14:val="tx1"/>
            </w14:solidFill>
          </w14:textFill>
        </w:rPr>
        <w:t>日期：</w:t>
      </w:r>
      <w:r>
        <w:rPr>
          <w:rFonts w:hint="eastAsia" w:ascii="宋体" w:hAnsi="宋体"/>
          <w:bCs/>
          <w:color w:val="000000" w:themeColor="text1"/>
          <w:sz w:val="28"/>
          <w14:textFill>
            <w14:solidFill>
              <w14:schemeClr w14:val="tx1"/>
            </w14:solidFill>
          </w14:textFill>
        </w:rPr>
        <w:t>202</w:t>
      </w:r>
      <w:r>
        <w:rPr>
          <w:rFonts w:hint="eastAsia" w:ascii="宋体" w:hAnsi="宋体"/>
          <w:bCs/>
          <w:color w:val="000000" w:themeColor="text1"/>
          <w:sz w:val="28"/>
          <w:u w:val="single"/>
          <w14:textFill>
            <w14:solidFill>
              <w14:schemeClr w14:val="tx1"/>
            </w14:solidFill>
          </w14:textFill>
        </w:rPr>
        <w:t>X</w:t>
      </w:r>
      <w:r>
        <w:rPr>
          <w:rFonts w:hint="eastAsia" w:ascii="宋体" w:hAnsi="宋体"/>
          <w:bCs/>
          <w:color w:val="000000" w:themeColor="text1"/>
          <w:sz w:val="28"/>
          <w14:textFill>
            <w14:solidFill>
              <w14:schemeClr w14:val="tx1"/>
            </w14:solidFill>
          </w14:textFill>
        </w:rPr>
        <w:t>年</w:t>
      </w:r>
      <w:r>
        <w:rPr>
          <w:rFonts w:hint="eastAsia" w:ascii="宋体" w:hAnsi="宋体"/>
          <w:bCs/>
          <w:color w:val="000000" w:themeColor="text1"/>
          <w:sz w:val="28"/>
          <w:u w:val="single"/>
          <w14:textFill>
            <w14:solidFill>
              <w14:schemeClr w14:val="tx1"/>
            </w14:solidFill>
          </w14:textFill>
        </w:rPr>
        <w:t>XX</w:t>
      </w:r>
      <w:r>
        <w:rPr>
          <w:rFonts w:hint="eastAsia" w:ascii="宋体" w:hAnsi="宋体"/>
          <w:bCs/>
          <w:color w:val="000000" w:themeColor="text1"/>
          <w:sz w:val="28"/>
          <w14:textFill>
            <w14:solidFill>
              <w14:schemeClr w14:val="tx1"/>
            </w14:solidFill>
          </w14:textFill>
        </w:rPr>
        <w:t>月</w:t>
      </w:r>
      <w:r>
        <w:rPr>
          <w:rFonts w:hint="eastAsia" w:ascii="宋体" w:hAnsi="宋体"/>
          <w:bCs/>
          <w:color w:val="000000" w:themeColor="text1"/>
          <w:sz w:val="28"/>
          <w:u w:val="single"/>
          <w14:textFill>
            <w14:solidFill>
              <w14:schemeClr w14:val="tx1"/>
            </w14:solidFill>
          </w14:textFill>
        </w:rPr>
        <w:t>XX</w:t>
      </w:r>
      <w:r>
        <w:rPr>
          <w:rFonts w:hint="eastAsia" w:ascii="宋体" w:hAnsi="宋体"/>
          <w:bCs/>
          <w:color w:val="000000" w:themeColor="text1"/>
          <w:sz w:val="28"/>
          <w14:textFill>
            <w14:solidFill>
              <w14:schemeClr w14:val="tx1"/>
            </w14:solidFill>
          </w14:textFill>
        </w:rPr>
        <w:t>日</w:t>
      </w:r>
      <w:bookmarkEnd w:id="143"/>
      <w:bookmarkEnd w:id="144"/>
      <w:bookmarkEnd w:id="145"/>
      <w:bookmarkEnd w:id="146"/>
      <w:bookmarkStart w:id="147" w:name="_Toc316475719"/>
    </w:p>
    <w:p>
      <w:pPr>
        <w:adjustRightInd w:val="0"/>
        <w:spacing w:line="400" w:lineRule="exact"/>
        <w:rPr>
          <w:rFonts w:ascii="宋体" w:hAnsi="宋体"/>
          <w:bCs/>
          <w:color w:val="000000" w:themeColor="text1"/>
          <w:sz w:val="28"/>
          <w14:textFill>
            <w14:solidFill>
              <w14:schemeClr w14:val="tx1"/>
            </w14:solidFill>
          </w14:textFill>
        </w:rPr>
      </w:pPr>
    </w:p>
    <w:p>
      <w:pPr>
        <w:keepNext/>
        <w:keepLines/>
        <w:numPr>
          <w:ilvl w:val="2"/>
          <w:numId w:val="1"/>
        </w:numPr>
        <w:spacing w:line="360" w:lineRule="auto"/>
        <w:outlineLvl w:val="2"/>
        <w:rPr>
          <w:rFonts w:ascii="宋体" w:hAnsi="宋体"/>
          <w:b/>
          <w:color w:val="000000" w:themeColor="text1"/>
          <w:sz w:val="28"/>
          <w:szCs w:val="28"/>
          <w14:textFill>
            <w14:solidFill>
              <w14:schemeClr w14:val="tx1"/>
            </w14:solidFill>
          </w14:textFill>
        </w:rPr>
      </w:pPr>
      <w:bookmarkStart w:id="148" w:name="_Toc68703946"/>
      <w:r>
        <w:rPr>
          <w:rFonts w:hint="eastAsia" w:ascii="宋体" w:hAnsi="宋体"/>
          <w:b/>
          <w:color w:val="000000" w:themeColor="text1"/>
          <w:sz w:val="28"/>
          <w:szCs w:val="28"/>
          <w14:textFill>
            <w14:solidFill>
              <w14:schemeClr w14:val="tx1"/>
            </w14:solidFill>
          </w14:textFill>
        </w:rPr>
        <w:t>售后服务方案</w:t>
      </w:r>
      <w:bookmarkEnd w:id="148"/>
    </w:p>
    <w:p>
      <w:pPr>
        <w:snapToGrid w:val="0"/>
        <w:spacing w:line="360" w:lineRule="auto"/>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项目名称：</w:t>
      </w:r>
      <w:r>
        <w:rPr>
          <w:rFonts w:ascii="宋体" w:hAnsi="宋体"/>
          <w:b/>
          <w:color w:val="000000" w:themeColor="text1"/>
          <w:sz w:val="28"/>
          <w:szCs w:val="28"/>
          <w:u w:val="single"/>
          <w14:textFill>
            <w14:solidFill>
              <w14:schemeClr w14:val="tx1"/>
            </w14:solidFill>
          </w14:textFill>
        </w:rPr>
        <w:t>成都市青羊区教育技术装备与信息管理中心2021年新建学校电教设备政府采购项目</w:t>
      </w:r>
    </w:p>
    <w:p>
      <w:pPr>
        <w:snapToGrid w:val="0"/>
        <w:spacing w:line="360" w:lineRule="auto"/>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项目编号：</w:t>
      </w:r>
      <w:r>
        <w:rPr>
          <w:rFonts w:ascii="宋体" w:hAnsi="宋体"/>
          <w:b/>
          <w:color w:val="000000" w:themeColor="text1"/>
          <w:sz w:val="28"/>
          <w:szCs w:val="28"/>
          <w:u w:val="single"/>
          <w14:textFill>
            <w14:solidFill>
              <w14:schemeClr w14:val="tx1"/>
            </w14:solidFill>
          </w14:textFill>
        </w:rPr>
        <w:t>青羊政采（2021）A0001号</w:t>
      </w:r>
    </w:p>
    <w:p>
      <w:pPr>
        <w:ind w:firstLine="565" w:firstLineChars="202"/>
        <w:rPr>
          <w:rFonts w:ascii="宋体" w:hAnsi="宋体"/>
          <w:color w:val="000000" w:themeColor="text1"/>
          <w:sz w:val="28"/>
          <w14:textFill>
            <w14:solidFill>
              <w14:schemeClr w14:val="tx1"/>
            </w14:solidFill>
          </w14:textFill>
        </w:rPr>
      </w:pPr>
    </w:p>
    <w:p>
      <w:pPr>
        <w:ind w:firstLine="565" w:firstLineChars="202"/>
        <w:rPr>
          <w:rFonts w:ascii="宋体" w:hAnsi="宋体"/>
          <w:color w:val="000000" w:themeColor="text1"/>
          <w:sz w:val="28"/>
          <w14:textFill>
            <w14:solidFill>
              <w14:schemeClr w14:val="tx1"/>
            </w14:solidFill>
          </w14:textFill>
        </w:rPr>
      </w:pPr>
    </w:p>
    <w:p>
      <w:pPr>
        <w:ind w:firstLine="565" w:firstLineChars="202"/>
        <w:rPr>
          <w:rFonts w:ascii="宋体" w:hAnsi="宋体"/>
          <w:color w:val="000000" w:themeColor="text1"/>
          <w:sz w:val="28"/>
          <w14:textFill>
            <w14:solidFill>
              <w14:schemeClr w14:val="tx1"/>
            </w14:solidFill>
          </w14:textFill>
        </w:rPr>
      </w:pPr>
    </w:p>
    <w:p>
      <w:pPr>
        <w:ind w:firstLine="565" w:firstLineChars="202"/>
        <w:rPr>
          <w:rFonts w:ascii="宋体" w:hAnsi="宋体"/>
          <w:color w:val="000000" w:themeColor="text1"/>
          <w:sz w:val="28"/>
          <w14:textFill>
            <w14:solidFill>
              <w14:schemeClr w14:val="tx1"/>
            </w14:solidFill>
          </w14:textFill>
        </w:rPr>
      </w:pPr>
    </w:p>
    <w:p>
      <w:pPr>
        <w:ind w:firstLine="565" w:firstLineChars="202"/>
        <w:rPr>
          <w:rFonts w:ascii="宋体" w:hAnsi="宋体"/>
          <w:color w:val="000000" w:themeColor="text1"/>
          <w:sz w:val="28"/>
          <w14:textFill>
            <w14:solidFill>
              <w14:schemeClr w14:val="tx1"/>
            </w14:solidFill>
          </w14:textFill>
        </w:rPr>
      </w:pPr>
    </w:p>
    <w:p>
      <w:pPr>
        <w:ind w:firstLine="565" w:firstLineChars="202"/>
        <w:rPr>
          <w:rFonts w:ascii="宋体" w:hAnsi="宋体"/>
          <w:color w:val="000000" w:themeColor="text1"/>
          <w:sz w:val="28"/>
          <w14:textFill>
            <w14:solidFill>
              <w14:schemeClr w14:val="tx1"/>
            </w14:solidFill>
          </w14:textFill>
        </w:rPr>
      </w:pPr>
    </w:p>
    <w:p>
      <w:pPr>
        <w:ind w:firstLine="565" w:firstLineChars="202"/>
        <w:rPr>
          <w:rFonts w:ascii="宋体" w:hAnsi="宋体"/>
          <w:color w:val="000000" w:themeColor="text1"/>
          <w:sz w:val="28"/>
          <w14:textFill>
            <w14:solidFill>
              <w14:schemeClr w14:val="tx1"/>
            </w14:solidFill>
          </w14:textFill>
        </w:rPr>
      </w:pPr>
    </w:p>
    <w:p>
      <w:pPr>
        <w:ind w:firstLine="565" w:firstLineChars="202"/>
        <w:rPr>
          <w:rFonts w:ascii="宋体" w:hAnsi="宋体"/>
          <w:color w:val="000000" w:themeColor="text1"/>
          <w:sz w:val="28"/>
          <w14:textFill>
            <w14:solidFill>
              <w14:schemeClr w14:val="tx1"/>
            </w14:solidFill>
          </w14:textFill>
        </w:rPr>
      </w:pPr>
    </w:p>
    <w:p>
      <w:pPr>
        <w:ind w:firstLine="565" w:firstLineChars="202"/>
        <w:rPr>
          <w:rFonts w:ascii="宋体" w:hAnsi="宋体"/>
          <w:color w:val="000000" w:themeColor="text1"/>
          <w:sz w:val="28"/>
          <w14:textFill>
            <w14:solidFill>
              <w14:schemeClr w14:val="tx1"/>
            </w14:solidFill>
          </w14:textFill>
        </w:rPr>
      </w:pPr>
    </w:p>
    <w:p>
      <w:pPr>
        <w:ind w:firstLine="565" w:firstLineChars="202"/>
        <w:rPr>
          <w:rFonts w:ascii="宋体" w:hAnsi="宋体"/>
          <w:color w:val="000000" w:themeColor="text1"/>
          <w:sz w:val="28"/>
          <w14:textFill>
            <w14:solidFill>
              <w14:schemeClr w14:val="tx1"/>
            </w14:solidFill>
          </w14:textFill>
        </w:rPr>
      </w:pPr>
    </w:p>
    <w:p>
      <w:pPr>
        <w:pStyle w:val="25"/>
        <w:spacing w:line="360" w:lineRule="auto"/>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投标人名称：</w:t>
      </w:r>
      <w:r>
        <w:rPr>
          <w:rFonts w:ascii="宋体" w:hAnsi="宋体"/>
          <w:bCs/>
          <w:color w:val="000000" w:themeColor="text1"/>
          <w:sz w:val="28"/>
          <w:szCs w:val="28"/>
          <w:u w:val="single"/>
          <w14:textFill>
            <w14:solidFill>
              <w14:schemeClr w14:val="tx1"/>
            </w14:solidFill>
          </w14:textFill>
        </w:rPr>
        <w:t xml:space="preserve">     XX      </w:t>
      </w: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r>
        <w:rPr>
          <w:rFonts w:ascii="宋体" w:hAnsi="宋体"/>
          <w:color w:val="000000" w:themeColor="text1"/>
          <w:sz w:val="28"/>
          <w14:textFill>
            <w14:solidFill>
              <w14:schemeClr w14:val="tx1"/>
            </w14:solidFill>
          </w14:textFill>
        </w:rPr>
        <w:t>日期：</w:t>
      </w:r>
      <w:r>
        <w:rPr>
          <w:rFonts w:ascii="宋体" w:hAnsi="宋体"/>
          <w:bCs/>
          <w:color w:val="000000" w:themeColor="text1"/>
          <w:sz w:val="28"/>
          <w14:textFill>
            <w14:solidFill>
              <w14:schemeClr w14:val="tx1"/>
            </w14:solidFill>
          </w14:textFill>
        </w:rPr>
        <w:t>202X年XX月XX日</w:t>
      </w: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keepNext/>
        <w:keepLines/>
        <w:numPr>
          <w:ilvl w:val="1"/>
          <w:numId w:val="1"/>
        </w:numPr>
        <w:spacing w:before="260" w:after="260" w:line="360" w:lineRule="auto"/>
        <w:jc w:val="left"/>
        <w:outlineLvl w:val="1"/>
        <w:rPr>
          <w:rFonts w:ascii="宋体" w:hAnsi="宋体"/>
          <w:b/>
          <w:color w:val="000000" w:themeColor="text1"/>
          <w:sz w:val="28"/>
          <w14:textFill>
            <w14:solidFill>
              <w14:schemeClr w14:val="tx1"/>
            </w14:solidFill>
          </w14:textFill>
        </w:rPr>
      </w:pPr>
      <w:bookmarkStart w:id="149" w:name="_Toc76541359"/>
      <w:r>
        <w:rPr>
          <w:rFonts w:hint="eastAsia" w:ascii="宋体" w:hAnsi="宋体"/>
          <w:b/>
          <w:color w:val="000000" w:themeColor="text1"/>
          <w:sz w:val="28"/>
          <w14:textFill>
            <w14:solidFill>
              <w14:schemeClr w14:val="tx1"/>
            </w14:solidFill>
          </w14:textFill>
        </w:rPr>
        <w:t>报价</w:t>
      </w:r>
      <w:r>
        <w:rPr>
          <w:rFonts w:hint="eastAsia" w:ascii="宋体" w:hAnsi="宋体"/>
          <w:b/>
          <w:bCs/>
          <w:color w:val="000000" w:themeColor="text1"/>
          <w:sz w:val="28"/>
          <w:szCs w:val="28"/>
          <w14:textFill>
            <w14:solidFill>
              <w14:schemeClr w14:val="tx1"/>
            </w14:solidFill>
          </w14:textFill>
        </w:rPr>
        <w:t>要求</w:t>
      </w:r>
      <w:r>
        <w:rPr>
          <w:rFonts w:hint="eastAsia" w:ascii="宋体" w:hAnsi="宋体"/>
          <w:b/>
          <w:color w:val="000000" w:themeColor="text1"/>
          <w:sz w:val="28"/>
          <w14:textFill>
            <w14:solidFill>
              <w14:schemeClr w14:val="tx1"/>
            </w14:solidFill>
          </w14:textFill>
        </w:rPr>
        <w:t>响应文件</w:t>
      </w:r>
      <w:bookmarkEnd w:id="149"/>
    </w:p>
    <w:p>
      <w:pPr>
        <w:keepNext/>
        <w:keepLines/>
        <w:numPr>
          <w:ilvl w:val="2"/>
          <w:numId w:val="1"/>
        </w:numPr>
        <w:spacing w:line="360" w:lineRule="auto"/>
        <w:ind w:left="3119" w:hanging="3119"/>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kern w:val="0"/>
          <w:sz w:val="28"/>
          <w:szCs w:val="28"/>
          <w14:textFill>
            <w14:solidFill>
              <w14:schemeClr w14:val="tx1"/>
            </w14:solidFill>
          </w14:textFill>
        </w:rPr>
        <w:t>开标一览表</w:t>
      </w:r>
    </w:p>
    <w:p>
      <w:pPr>
        <w:tabs>
          <w:tab w:val="left" w:pos="1134"/>
        </w:tabs>
        <w:spacing w:line="560" w:lineRule="exact"/>
        <w:ind w:firstLine="427" w:firstLineChars="15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 xml:space="preserve">标项1： </w:t>
      </w:r>
    </w:p>
    <w:tbl>
      <w:tblPr>
        <w:tblStyle w:val="44"/>
        <w:tblW w:w="6662"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投标报价（元）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rPr>
                <w:rFonts w:ascii="宋体" w:hAnsi="宋体"/>
                <w:color w:val="000000" w:themeColor="text1"/>
                <w:kern w:val="0"/>
                <w:sz w:val="28"/>
                <w:szCs w:val="28"/>
                <w14:textFill>
                  <w14:solidFill>
                    <w14:schemeClr w14:val="tx1"/>
                  </w14:solidFill>
                </w14:textFill>
              </w:rPr>
            </w:pPr>
          </w:p>
        </w:tc>
      </w:tr>
    </w:tbl>
    <w:p>
      <w:pPr>
        <w:tabs>
          <w:tab w:val="left" w:pos="1134"/>
        </w:tabs>
        <w:spacing w:line="560" w:lineRule="exact"/>
        <w:rPr>
          <w:rFonts w:ascii="宋体" w:hAnsi="宋体"/>
          <w:color w:val="000000" w:themeColor="text1"/>
          <w:sz w:val="28"/>
          <w:szCs w:val="28"/>
          <w14:textFill>
            <w14:solidFill>
              <w14:schemeClr w14:val="tx1"/>
            </w14:solidFill>
          </w14:textFill>
        </w:rPr>
      </w:pPr>
    </w:p>
    <w:p>
      <w:pPr>
        <w:tabs>
          <w:tab w:val="left" w:pos="1134"/>
        </w:tabs>
        <w:spacing w:line="560" w:lineRule="exact"/>
        <w:ind w:firstLine="427" w:firstLineChars="152"/>
        <w:rPr>
          <w:rFonts w:ascii="宋体" w:hAnsi="宋体"/>
          <w:b/>
          <w:bCs/>
          <w:color w:val="000000" w:themeColor="text1"/>
          <w:sz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投标报价以投标人在政府采购云平台开标一览表中填写的报价为准。</w:t>
      </w:r>
    </w:p>
    <w:p>
      <w:pPr>
        <w:snapToGrid w:val="0"/>
        <w:spacing w:line="500" w:lineRule="exact"/>
        <w:ind w:left="1445" w:right="-57" w:rightChars="-27" w:hanging="1445" w:hangingChars="514"/>
        <w:rPr>
          <w:rFonts w:ascii="宋体" w:hAnsi="宋体"/>
          <w:b/>
          <w:bCs/>
          <w:color w:val="000000" w:themeColor="text1"/>
          <w:sz w:val="28"/>
          <w:u w:val="single"/>
          <w14:textFill>
            <w14:solidFill>
              <w14:schemeClr w14:val="tx1"/>
            </w14:solidFill>
          </w14:textFill>
        </w:rPr>
      </w:pPr>
    </w:p>
    <w:p>
      <w:pPr>
        <w:spacing w:line="360" w:lineRule="auto"/>
        <w:rPr>
          <w:rFonts w:ascii="宋体" w:hAnsi="宋体"/>
          <w:b/>
          <w:color w:val="000000" w:themeColor="text1"/>
          <w:sz w:val="28"/>
          <w:szCs w:val="28"/>
          <w:u w:val="single"/>
          <w14:textFill>
            <w14:solidFill>
              <w14:schemeClr w14:val="tx1"/>
            </w14:solidFill>
          </w14:textFill>
        </w:rPr>
      </w:pPr>
    </w:p>
    <w:p>
      <w:pPr>
        <w:spacing w:line="440" w:lineRule="atLeast"/>
        <w:ind w:firstLine="419" w:firstLineChars="149"/>
        <w:rPr>
          <w:rFonts w:ascii="宋体" w:hAnsi="宋体"/>
          <w:b/>
          <w:color w:val="000000" w:themeColor="text1"/>
          <w:sz w:val="28"/>
          <w:szCs w:val="28"/>
          <w14:textFill>
            <w14:solidFill>
              <w14:schemeClr w14:val="tx1"/>
            </w14:solidFill>
          </w14:textFill>
        </w:rPr>
      </w:pPr>
    </w:p>
    <w:p>
      <w:pPr>
        <w:spacing w:line="440" w:lineRule="atLeast"/>
        <w:ind w:firstLine="419" w:firstLineChars="149"/>
        <w:rPr>
          <w:rFonts w:ascii="宋体" w:hAnsi="宋体"/>
          <w:b/>
          <w:color w:val="000000" w:themeColor="text1"/>
          <w:sz w:val="28"/>
          <w:szCs w:val="28"/>
          <w14:textFill>
            <w14:solidFill>
              <w14:schemeClr w14:val="tx1"/>
            </w14:solidFill>
          </w14:textFill>
        </w:rPr>
      </w:pPr>
    </w:p>
    <w:p>
      <w:pPr>
        <w:spacing w:line="440" w:lineRule="atLeast"/>
        <w:ind w:firstLine="419" w:firstLineChars="149"/>
        <w:rPr>
          <w:rFonts w:ascii="宋体" w:hAnsi="宋体"/>
          <w:b/>
          <w:color w:val="000000" w:themeColor="text1"/>
          <w:sz w:val="28"/>
          <w:szCs w:val="28"/>
          <w14:textFill>
            <w14:solidFill>
              <w14:schemeClr w14:val="tx1"/>
            </w14:solidFill>
          </w14:textFill>
        </w:rPr>
      </w:pPr>
    </w:p>
    <w:p>
      <w:pPr>
        <w:spacing w:line="440" w:lineRule="atLeast"/>
        <w:ind w:firstLine="419" w:firstLineChars="149"/>
        <w:rPr>
          <w:rFonts w:ascii="宋体" w:hAnsi="宋体"/>
          <w:b/>
          <w:color w:val="000000" w:themeColor="text1"/>
          <w:sz w:val="28"/>
          <w:szCs w:val="28"/>
          <w14:textFill>
            <w14:solidFill>
              <w14:schemeClr w14:val="tx1"/>
            </w14:solidFill>
          </w14:textFill>
        </w:rPr>
      </w:pPr>
    </w:p>
    <w:p>
      <w:pPr>
        <w:spacing w:line="440" w:lineRule="atLeast"/>
        <w:ind w:firstLine="419" w:firstLineChars="149"/>
        <w:rPr>
          <w:rFonts w:ascii="宋体" w:hAnsi="宋体"/>
          <w:b/>
          <w:color w:val="000000" w:themeColor="text1"/>
          <w:sz w:val="28"/>
          <w:szCs w:val="28"/>
          <w14:textFill>
            <w14:solidFill>
              <w14:schemeClr w14:val="tx1"/>
            </w14:solidFill>
          </w14:textFill>
        </w:rPr>
      </w:pPr>
    </w:p>
    <w:p>
      <w:pPr>
        <w:spacing w:line="440" w:lineRule="atLeast"/>
        <w:ind w:firstLine="419" w:firstLineChars="149"/>
        <w:rPr>
          <w:rFonts w:ascii="宋体" w:hAnsi="宋体"/>
          <w:b/>
          <w:color w:val="000000" w:themeColor="text1"/>
          <w:sz w:val="28"/>
          <w:szCs w:val="28"/>
          <w14:textFill>
            <w14:solidFill>
              <w14:schemeClr w14:val="tx1"/>
            </w14:solidFill>
          </w14:textFill>
        </w:rPr>
      </w:pPr>
    </w:p>
    <w:p>
      <w:pPr>
        <w:spacing w:line="440" w:lineRule="atLeast"/>
        <w:ind w:firstLine="419" w:firstLineChars="149"/>
        <w:rPr>
          <w:rFonts w:ascii="宋体" w:hAnsi="宋体"/>
          <w:b/>
          <w:color w:val="000000" w:themeColor="text1"/>
          <w:sz w:val="28"/>
          <w:szCs w:val="28"/>
          <w14:textFill>
            <w14:solidFill>
              <w14:schemeClr w14:val="tx1"/>
            </w14:solidFill>
          </w14:textFill>
        </w:rPr>
      </w:pPr>
    </w:p>
    <w:p>
      <w:pPr>
        <w:spacing w:line="440" w:lineRule="atLeast"/>
        <w:ind w:firstLine="419" w:firstLineChars="149"/>
        <w:rPr>
          <w:rFonts w:ascii="宋体" w:hAnsi="宋体"/>
          <w:b/>
          <w:color w:val="000000" w:themeColor="text1"/>
          <w:sz w:val="28"/>
          <w:szCs w:val="28"/>
          <w14:textFill>
            <w14:solidFill>
              <w14:schemeClr w14:val="tx1"/>
            </w14:solidFill>
          </w14:textFill>
        </w:rPr>
      </w:pPr>
    </w:p>
    <w:p>
      <w:pPr>
        <w:spacing w:line="440" w:lineRule="atLeast"/>
        <w:ind w:firstLine="419" w:firstLineChars="149"/>
        <w:rPr>
          <w:rFonts w:ascii="宋体" w:hAnsi="宋体"/>
          <w:b/>
          <w:color w:val="000000" w:themeColor="text1"/>
          <w:sz w:val="28"/>
          <w:szCs w:val="28"/>
          <w14:textFill>
            <w14:solidFill>
              <w14:schemeClr w14:val="tx1"/>
            </w14:solidFill>
          </w14:textFill>
        </w:rPr>
      </w:pPr>
    </w:p>
    <w:p>
      <w:pPr>
        <w:spacing w:line="440" w:lineRule="atLeast"/>
        <w:ind w:firstLine="419" w:firstLineChars="149"/>
        <w:rPr>
          <w:rFonts w:ascii="宋体" w:hAnsi="宋体"/>
          <w:b/>
          <w:color w:val="000000" w:themeColor="text1"/>
          <w:sz w:val="28"/>
          <w:szCs w:val="28"/>
          <w14:textFill>
            <w14:solidFill>
              <w14:schemeClr w14:val="tx1"/>
            </w14:solidFill>
          </w14:textFill>
        </w:rPr>
      </w:pPr>
    </w:p>
    <w:p>
      <w:pPr>
        <w:spacing w:line="440" w:lineRule="atLeast"/>
        <w:ind w:firstLine="419" w:firstLineChars="149"/>
        <w:rPr>
          <w:rFonts w:ascii="宋体" w:hAnsi="宋体"/>
          <w:b/>
          <w:color w:val="000000" w:themeColor="text1"/>
          <w:sz w:val="28"/>
          <w:szCs w:val="28"/>
          <w14:textFill>
            <w14:solidFill>
              <w14:schemeClr w14:val="tx1"/>
            </w14:solidFill>
          </w14:textFill>
        </w:rPr>
      </w:pPr>
    </w:p>
    <w:p>
      <w:pPr>
        <w:spacing w:line="440" w:lineRule="atLeast"/>
        <w:ind w:firstLine="419" w:firstLineChars="149"/>
        <w:rPr>
          <w:rFonts w:ascii="宋体" w:hAnsi="宋体"/>
          <w:b/>
          <w:color w:val="000000" w:themeColor="text1"/>
          <w:sz w:val="28"/>
          <w:szCs w:val="28"/>
          <w14:textFill>
            <w14:solidFill>
              <w14:schemeClr w14:val="tx1"/>
            </w14:solidFill>
          </w14:textFill>
        </w:rPr>
      </w:pPr>
    </w:p>
    <w:p>
      <w:pPr>
        <w:keepNext/>
        <w:keepLines/>
        <w:numPr>
          <w:ilvl w:val="2"/>
          <w:numId w:val="1"/>
        </w:numPr>
        <w:spacing w:line="360" w:lineRule="auto"/>
        <w:ind w:left="3119" w:hanging="3119"/>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分项报价明细表</w:t>
      </w:r>
    </w:p>
    <w:p>
      <w:pPr>
        <w:snapToGrid w:val="0"/>
        <w:spacing w:line="440" w:lineRule="exact"/>
        <w:ind w:right="-624" w:rightChars="-297"/>
        <w:rPr>
          <w:rFonts w:ascii="宋体" w:hAnsi="宋体"/>
          <w:b/>
          <w:color w:val="000000" w:themeColor="text1"/>
          <w:sz w:val="28"/>
          <w14:textFill>
            <w14:solidFill>
              <w14:schemeClr w14:val="tx1"/>
            </w14:solidFill>
          </w14:textFill>
        </w:rPr>
      </w:pPr>
      <w:r>
        <w:rPr>
          <w:rFonts w:hint="eastAsia" w:ascii="宋体" w:hAnsi="宋体"/>
          <w:b/>
          <w:color w:val="000000" w:themeColor="text1"/>
          <w:sz w:val="28"/>
          <w14:textFill>
            <w14:solidFill>
              <w14:schemeClr w14:val="tx1"/>
            </w14:solidFill>
          </w14:textFill>
        </w:rPr>
        <w:t>项目名称：</w:t>
      </w:r>
      <w:r>
        <w:rPr>
          <w:rFonts w:ascii="宋体" w:hAnsi="宋体"/>
          <w:b/>
          <w:color w:val="000000" w:themeColor="text1"/>
          <w:sz w:val="28"/>
          <w14:textFill>
            <w14:solidFill>
              <w14:schemeClr w14:val="tx1"/>
            </w14:solidFill>
          </w14:textFill>
        </w:rPr>
        <w:t xml:space="preserve"> </w:t>
      </w:r>
    </w:p>
    <w:p>
      <w:pPr>
        <w:tabs>
          <w:tab w:val="left" w:pos="7560"/>
        </w:tabs>
        <w:spacing w:after="180" w:line="440" w:lineRule="exact"/>
        <w:rPr>
          <w:rFonts w:ascii="宋体" w:hAnsi="宋体"/>
          <w:b/>
          <w:color w:val="000000" w:themeColor="text1"/>
          <w:sz w:val="28"/>
          <w:szCs w:val="20"/>
          <w:u w:val="single"/>
          <w14:textFill>
            <w14:solidFill>
              <w14:schemeClr w14:val="tx1"/>
            </w14:solidFill>
          </w14:textFill>
        </w:rPr>
      </w:pPr>
      <w:r>
        <w:rPr>
          <w:rFonts w:hint="eastAsia" w:ascii="宋体" w:hAnsi="宋体"/>
          <w:b/>
          <w:color w:val="000000" w:themeColor="text1"/>
          <w:sz w:val="28"/>
          <w:szCs w:val="20"/>
          <w14:textFill>
            <w14:solidFill>
              <w14:schemeClr w14:val="tx1"/>
            </w14:solidFill>
          </w14:textFill>
        </w:rPr>
        <w:t>项目编号：</w:t>
      </w:r>
    </w:p>
    <w:p>
      <w:pPr>
        <w:tabs>
          <w:tab w:val="left" w:pos="7560"/>
        </w:tabs>
        <w:spacing w:after="180" w:line="440" w:lineRule="exact"/>
        <w:rPr>
          <w:rFonts w:ascii="宋体" w:hAnsi="宋体"/>
          <w:b/>
          <w:color w:val="000000" w:themeColor="text1"/>
          <w:sz w:val="28"/>
          <w14:textFill>
            <w14:solidFill>
              <w14:schemeClr w14:val="tx1"/>
            </w14:solidFill>
          </w14:textFill>
        </w:rPr>
      </w:pPr>
      <w:r>
        <w:rPr>
          <w:rFonts w:hint="eastAsia" w:ascii="宋体" w:hAnsi="宋体"/>
          <w:b/>
          <w:color w:val="000000" w:themeColor="text1"/>
          <w:sz w:val="28"/>
          <w14:textFill>
            <w14:solidFill>
              <w14:schemeClr w14:val="tx1"/>
            </w14:solidFill>
          </w14:textFill>
        </w:rPr>
        <w:t>分项报价明细表（说明：投标人应根据其投标报价的构成提供详细的分项价格明细表。）</w:t>
      </w:r>
    </w:p>
    <w:tbl>
      <w:tblPr>
        <w:tblStyle w:val="43"/>
        <w:tblW w:w="9640" w:type="dxa"/>
        <w:tblInd w:w="-5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1276"/>
        <w:gridCol w:w="850"/>
        <w:gridCol w:w="1320"/>
        <w:gridCol w:w="1089"/>
        <w:gridCol w:w="1559"/>
        <w:gridCol w:w="567"/>
        <w:gridCol w:w="709"/>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2" w:hRule="atLeast"/>
        </w:trPr>
        <w:tc>
          <w:tcPr>
            <w:tcW w:w="852"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
                <w:bCs/>
                <w:color w:val="000000" w:themeColor="text1"/>
                <w:sz w:val="24"/>
                <w:szCs w:val="28"/>
                <w14:textFill>
                  <w14:solidFill>
                    <w14:schemeClr w14:val="tx1"/>
                  </w14:solidFill>
                </w14:textFill>
              </w:rPr>
            </w:pPr>
            <w:r>
              <w:rPr>
                <w:rFonts w:ascii="宋体" w:hAnsi="宋体"/>
                <w:b/>
                <w:bCs/>
                <w:color w:val="000000" w:themeColor="text1"/>
                <w:sz w:val="24"/>
                <w:szCs w:val="28"/>
                <w14:textFill>
                  <w14:solidFill>
                    <w14:schemeClr w14:val="tx1"/>
                  </w14:solidFill>
                </w14:textFill>
              </w:rPr>
              <w:t>序号</w:t>
            </w:r>
          </w:p>
        </w:tc>
        <w:tc>
          <w:tcPr>
            <w:tcW w:w="1276"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
                <w:bCs/>
                <w:color w:val="000000" w:themeColor="text1"/>
                <w:sz w:val="24"/>
                <w:szCs w:val="28"/>
                <w14:textFill>
                  <w14:solidFill>
                    <w14:schemeClr w14:val="tx1"/>
                  </w14:solidFill>
                </w14:textFill>
              </w:rPr>
            </w:pPr>
            <w:r>
              <w:rPr>
                <w:rFonts w:ascii="宋体" w:hAnsi="宋体"/>
                <w:b/>
                <w:bCs/>
                <w:color w:val="000000" w:themeColor="text1"/>
                <w:sz w:val="24"/>
                <w:szCs w:val="28"/>
                <w14:textFill>
                  <w14:solidFill>
                    <w14:schemeClr w14:val="tx1"/>
                  </w14:solidFill>
                </w14:textFill>
              </w:rPr>
              <w:t>货物名称</w:t>
            </w:r>
          </w:p>
        </w:tc>
        <w:tc>
          <w:tcPr>
            <w:tcW w:w="85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
                <w:bCs/>
                <w:color w:val="000000" w:themeColor="text1"/>
                <w:sz w:val="24"/>
                <w:szCs w:val="28"/>
                <w14:textFill>
                  <w14:solidFill>
                    <w14:schemeClr w14:val="tx1"/>
                  </w14:solidFill>
                </w14:textFill>
              </w:rPr>
            </w:pPr>
            <w:r>
              <w:rPr>
                <w:rFonts w:ascii="宋体" w:hAnsi="宋体"/>
                <w:b/>
                <w:bCs/>
                <w:color w:val="000000" w:themeColor="text1"/>
                <w:sz w:val="24"/>
                <w:szCs w:val="28"/>
                <w14:textFill>
                  <w14:solidFill>
                    <w14:schemeClr w14:val="tx1"/>
                  </w14:solidFill>
                </w14:textFill>
              </w:rPr>
              <w:t>品牌</w:t>
            </w:r>
          </w:p>
        </w:tc>
        <w:tc>
          <w:tcPr>
            <w:tcW w:w="132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
                <w:bCs/>
                <w:color w:val="000000" w:themeColor="text1"/>
                <w:sz w:val="24"/>
                <w:szCs w:val="28"/>
                <w14:textFill>
                  <w14:solidFill>
                    <w14:schemeClr w14:val="tx1"/>
                  </w14:solidFill>
                </w14:textFill>
              </w:rPr>
            </w:pPr>
            <w:r>
              <w:rPr>
                <w:rFonts w:ascii="宋体" w:hAnsi="宋体"/>
                <w:b/>
                <w:bCs/>
                <w:color w:val="000000" w:themeColor="text1"/>
                <w:sz w:val="24"/>
                <w:szCs w:val="28"/>
                <w14:textFill>
                  <w14:solidFill>
                    <w14:schemeClr w14:val="tx1"/>
                  </w14:solidFill>
                </w14:textFill>
              </w:rPr>
              <w:t>规格型号</w:t>
            </w:r>
          </w:p>
        </w:tc>
        <w:tc>
          <w:tcPr>
            <w:tcW w:w="1089"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
                <w:bCs/>
                <w:color w:val="000000" w:themeColor="text1"/>
                <w:sz w:val="24"/>
                <w:szCs w:val="28"/>
                <w14:textFill>
                  <w14:solidFill>
                    <w14:schemeClr w14:val="tx1"/>
                  </w14:solidFill>
                </w14:textFill>
              </w:rPr>
            </w:pPr>
            <w:r>
              <w:rPr>
                <w:rFonts w:ascii="宋体" w:hAnsi="宋体"/>
                <w:b/>
                <w:bCs/>
                <w:color w:val="000000" w:themeColor="text1"/>
                <w:sz w:val="24"/>
                <w:szCs w:val="28"/>
                <w14:textFill>
                  <w14:solidFill>
                    <w14:schemeClr w14:val="tx1"/>
                  </w14:solidFill>
                </w14:textFill>
              </w:rPr>
              <w:t>制造商</w:t>
            </w:r>
          </w:p>
        </w:tc>
        <w:tc>
          <w:tcPr>
            <w:tcW w:w="1559"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
                <w:bCs/>
                <w:color w:val="000000" w:themeColor="text1"/>
                <w:sz w:val="24"/>
                <w:szCs w:val="28"/>
                <w14:textFill>
                  <w14:solidFill>
                    <w14:schemeClr w14:val="tx1"/>
                  </w14:solidFill>
                </w14:textFill>
              </w:rPr>
            </w:pPr>
            <w:r>
              <w:rPr>
                <w:rFonts w:ascii="宋体" w:hAnsi="宋体"/>
                <w:b/>
                <w:bCs/>
                <w:color w:val="000000" w:themeColor="text1"/>
                <w:sz w:val="24"/>
                <w:szCs w:val="28"/>
                <w14:textFill>
                  <w14:solidFill>
                    <w14:schemeClr w14:val="tx1"/>
                  </w14:solidFill>
                </w14:textFill>
              </w:rPr>
              <w:t>进口或国产</w:t>
            </w:r>
          </w:p>
        </w:tc>
        <w:tc>
          <w:tcPr>
            <w:tcW w:w="567"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
                <w:bCs/>
                <w:color w:val="000000" w:themeColor="text1"/>
                <w:sz w:val="24"/>
                <w:szCs w:val="28"/>
                <w14:textFill>
                  <w14:solidFill>
                    <w14:schemeClr w14:val="tx1"/>
                  </w14:solidFill>
                </w14:textFill>
              </w:rPr>
            </w:pPr>
            <w:r>
              <w:rPr>
                <w:rFonts w:ascii="宋体" w:hAnsi="宋体"/>
                <w:b/>
                <w:bCs/>
                <w:color w:val="000000" w:themeColor="text1"/>
                <w:sz w:val="24"/>
                <w:szCs w:val="28"/>
                <w14:textFill>
                  <w14:solidFill>
                    <w14:schemeClr w14:val="tx1"/>
                  </w14:solidFill>
                </w14:textFill>
              </w:rPr>
              <w:t>数量</w:t>
            </w:r>
          </w:p>
        </w:tc>
        <w:tc>
          <w:tcPr>
            <w:tcW w:w="709"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
                <w:bCs/>
                <w:color w:val="000000" w:themeColor="text1"/>
                <w:sz w:val="24"/>
                <w:szCs w:val="28"/>
                <w14:textFill>
                  <w14:solidFill>
                    <w14:schemeClr w14:val="tx1"/>
                  </w14:solidFill>
                </w14:textFill>
              </w:rPr>
            </w:pPr>
            <w:r>
              <w:rPr>
                <w:rFonts w:ascii="宋体" w:hAnsi="宋体"/>
                <w:b/>
                <w:bCs/>
                <w:color w:val="000000" w:themeColor="text1"/>
                <w:sz w:val="24"/>
                <w:szCs w:val="28"/>
                <w14:textFill>
                  <w14:solidFill>
                    <w14:schemeClr w14:val="tx1"/>
                  </w14:solidFill>
                </w14:textFill>
              </w:rPr>
              <w:t>单价</w:t>
            </w:r>
          </w:p>
        </w:tc>
        <w:tc>
          <w:tcPr>
            <w:tcW w:w="1418"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r>
              <w:rPr>
                <w:rFonts w:ascii="宋体" w:hAnsi="宋体"/>
                <w:b/>
                <w:bCs/>
                <w:color w:val="000000" w:themeColor="text1"/>
                <w:sz w:val="24"/>
                <w:szCs w:val="28"/>
                <w14:textFill>
                  <w14:solidFill>
                    <w14:schemeClr w14:val="tx1"/>
                  </w14:solidFill>
                </w14:textFill>
              </w:rPr>
              <w:t>总价</w:t>
            </w:r>
            <w:r>
              <w:rPr>
                <w:rFonts w:hint="eastAsia" w:ascii="宋体" w:hAnsi="宋体"/>
                <w:b/>
                <w:bCs/>
                <w:color w:val="000000" w:themeColor="text1"/>
                <w:sz w:val="24"/>
                <w:szCs w:val="28"/>
                <w14:textFill>
                  <w14:solidFill>
                    <w14:schemeClr w14:val="tx1"/>
                  </w14:solidFill>
                </w14:textFill>
              </w:rPr>
              <w:t>（单价×数量）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c>
          <w:tcPr>
            <w:tcW w:w="1276"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c>
          <w:tcPr>
            <w:tcW w:w="85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c>
          <w:tcPr>
            <w:tcW w:w="132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c>
          <w:tcPr>
            <w:tcW w:w="1089"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c>
          <w:tcPr>
            <w:tcW w:w="1559"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c>
          <w:tcPr>
            <w:tcW w:w="567"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c>
          <w:tcPr>
            <w:tcW w:w="709"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c>
          <w:tcPr>
            <w:tcW w:w="1418"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c>
          <w:tcPr>
            <w:tcW w:w="1276"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c>
          <w:tcPr>
            <w:tcW w:w="85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c>
          <w:tcPr>
            <w:tcW w:w="132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c>
          <w:tcPr>
            <w:tcW w:w="1089"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c>
          <w:tcPr>
            <w:tcW w:w="1559"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c>
          <w:tcPr>
            <w:tcW w:w="567"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c>
          <w:tcPr>
            <w:tcW w:w="709"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c>
          <w:tcPr>
            <w:tcW w:w="1418"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c>
          <w:tcPr>
            <w:tcW w:w="1276"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c>
          <w:tcPr>
            <w:tcW w:w="85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c>
          <w:tcPr>
            <w:tcW w:w="132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c>
          <w:tcPr>
            <w:tcW w:w="1089"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c>
          <w:tcPr>
            <w:tcW w:w="1559"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c>
          <w:tcPr>
            <w:tcW w:w="567"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c>
          <w:tcPr>
            <w:tcW w:w="709"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c>
          <w:tcPr>
            <w:tcW w:w="1418"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2" w:type="dxa"/>
            <w:gridSpan w:val="8"/>
            <w:tcBorders>
              <w:top w:val="single" w:color="auto" w:sz="2" w:space="0"/>
              <w:left w:val="single" w:color="auto" w:sz="2" w:space="0"/>
              <w:bottom w:val="single" w:color="auto" w:sz="2" w:space="0"/>
              <w:right w:val="single" w:color="auto" w:sz="4" w:space="0"/>
            </w:tcBorders>
            <w:vAlign w:val="center"/>
          </w:tcPr>
          <w:p>
            <w:pPr>
              <w:pStyle w:val="25"/>
              <w:ind w:left="0" w:leftChars="0"/>
              <w:jc w:val="center"/>
              <w:rPr>
                <w:rFonts w:ascii="宋体" w:hAnsi="宋体"/>
                <w:bCs/>
                <w:color w:val="000000" w:themeColor="text1"/>
                <w:sz w:val="24"/>
                <w:szCs w:val="28"/>
                <w14:textFill>
                  <w14:solidFill>
                    <w14:schemeClr w14:val="tx1"/>
                  </w14:solidFill>
                </w14:textFill>
              </w:rPr>
            </w:pPr>
            <w:r>
              <w:rPr>
                <w:rFonts w:hint="eastAsia" w:ascii="宋体" w:hAnsi="宋体"/>
                <w:bCs/>
                <w:color w:val="000000" w:themeColor="text1"/>
                <w:sz w:val="24"/>
                <w:szCs w:val="28"/>
                <w14:textFill>
                  <w14:solidFill>
                    <w14:schemeClr w14:val="tx1"/>
                  </w14:solidFill>
                </w14:textFill>
              </w:rPr>
              <w:t>投标报价（总价合计）</w:t>
            </w:r>
          </w:p>
        </w:tc>
        <w:tc>
          <w:tcPr>
            <w:tcW w:w="1418" w:type="dxa"/>
            <w:tcBorders>
              <w:top w:val="single" w:color="auto" w:sz="2" w:space="0"/>
              <w:left w:val="single" w:color="auto" w:sz="4"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r>
              <w:rPr>
                <w:rFonts w:hint="eastAsia" w:ascii="宋体" w:hAnsi="宋体"/>
                <w:bCs/>
                <w:color w:val="000000" w:themeColor="text1"/>
                <w:sz w:val="24"/>
                <w:szCs w:val="28"/>
                <w14:textFill>
                  <w14:solidFill>
                    <w14:schemeClr w14:val="tx1"/>
                  </w14:solidFill>
                </w14:textFill>
              </w:rPr>
              <w:t>X</w:t>
            </w:r>
            <w:r>
              <w:rPr>
                <w:rFonts w:ascii="宋体" w:hAnsi="宋体"/>
                <w:bCs/>
                <w:color w:val="000000" w:themeColor="text1"/>
                <w:sz w:val="24"/>
                <w:szCs w:val="28"/>
                <w14:textFill>
                  <w14:solidFill>
                    <w14:schemeClr w14:val="tx1"/>
                  </w14:solidFill>
                </w14:textFill>
              </w:rPr>
              <w:t>X</w:t>
            </w:r>
            <w:r>
              <w:rPr>
                <w:rFonts w:hint="eastAsia" w:ascii="宋体" w:hAnsi="宋体"/>
                <w:bCs/>
                <w:color w:val="000000" w:themeColor="text1"/>
                <w:sz w:val="24"/>
                <w:szCs w:val="28"/>
                <w14:textFill>
                  <w14:solidFill>
                    <w14:schemeClr w14:val="tx1"/>
                  </w14:solidFill>
                </w14:textFill>
              </w:rPr>
              <w:t>元</w:t>
            </w:r>
          </w:p>
        </w:tc>
      </w:tr>
    </w:tbl>
    <w:p>
      <w:pPr>
        <w:spacing w:line="440" w:lineRule="atLeast"/>
        <w:ind w:firstLine="419" w:firstLineChars="149"/>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说明：</w:t>
      </w:r>
    </w:p>
    <w:p>
      <w:pPr>
        <w:spacing w:line="440" w:lineRule="atLeast"/>
        <w:ind w:firstLine="419" w:firstLineChars="149"/>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1、进口产品是指通过中国海关报关验放进入中国境内且产自关境外的产品。</w:t>
      </w:r>
    </w:p>
    <w:p>
      <w:pPr>
        <w:spacing w:line="440" w:lineRule="atLeast"/>
        <w:ind w:firstLine="419" w:firstLineChars="149"/>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2、分项报价明细表格式中要求填写品牌、规格型号、制造商、进口或国产的，投标人必须载明其投标产品的品牌、规格型号、制造商、进口或国产。</w:t>
      </w:r>
    </w:p>
    <w:p>
      <w:pPr>
        <w:numPr>
          <w:ilvl w:val="0"/>
          <w:numId w:val="37"/>
        </w:numPr>
        <w:tabs>
          <w:tab w:val="left" w:pos="630"/>
          <w:tab w:val="left" w:pos="3414"/>
          <w:tab w:val="left" w:pos="7560"/>
        </w:tabs>
        <w:spacing w:after="200" w:line="360" w:lineRule="auto"/>
        <w:ind w:left="0" w:firstLine="0"/>
        <w:rPr>
          <w:rFonts w:ascii="宋体" w:hAnsi="宋体"/>
          <w:b/>
          <w:color w:val="000000" w:themeColor="text1"/>
          <w:sz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投标人</w:t>
      </w:r>
      <w:r>
        <w:rPr>
          <w:rFonts w:hint="eastAsia" w:ascii="宋体" w:hAnsi="宋体"/>
          <w:b/>
          <w:color w:val="000000" w:themeColor="text1"/>
          <w:sz w:val="28"/>
          <w14:textFill>
            <w14:solidFill>
              <w14:schemeClr w14:val="tx1"/>
            </w14:solidFill>
          </w14:textFill>
        </w:rPr>
        <w:t>投标产品中为监狱企业制造的货物清单及价格（说明：</w:t>
      </w:r>
      <w:r>
        <w:rPr>
          <w:rFonts w:ascii="宋体" w:hAnsi="宋体"/>
          <w:b/>
          <w:color w:val="000000" w:themeColor="text1"/>
          <w:sz w:val="28"/>
          <w14:textFill>
            <w14:solidFill>
              <w14:schemeClr w14:val="tx1"/>
            </w14:solidFill>
          </w14:textFill>
        </w:rPr>
        <w:t>1、提供由省级以上监狱管理局、戒毒管理局（含新疆生产建设兵团）出具的</w:t>
      </w:r>
      <w:r>
        <w:rPr>
          <w:rFonts w:hint="eastAsia" w:ascii="宋体" w:hAnsi="宋体"/>
          <w:b/>
          <w:color w:val="000000" w:themeColor="text1"/>
          <w:sz w:val="28"/>
          <w14:textFill>
            <w14:solidFill>
              <w14:schemeClr w14:val="tx1"/>
            </w14:solidFill>
          </w14:textFill>
        </w:rPr>
        <w:t>制造</w:t>
      </w:r>
      <w:r>
        <w:rPr>
          <w:rFonts w:ascii="宋体" w:hAnsi="宋体"/>
          <w:b/>
          <w:color w:val="000000" w:themeColor="text1"/>
          <w:sz w:val="28"/>
          <w14:textFill>
            <w14:solidFill>
              <w14:schemeClr w14:val="tx1"/>
            </w14:solidFill>
          </w14:textFill>
        </w:rPr>
        <w:t>商属于监狱企业的证明文件复印件；2、如未提供</w:t>
      </w:r>
      <w:r>
        <w:rPr>
          <w:rFonts w:hint="eastAsia" w:ascii="宋体" w:hAnsi="宋体"/>
          <w:b/>
          <w:color w:val="000000" w:themeColor="text1"/>
          <w:sz w:val="28"/>
          <w14:textFill>
            <w14:solidFill>
              <w14:schemeClr w14:val="tx1"/>
            </w14:solidFill>
          </w14:textFill>
        </w:rPr>
        <w:t>货物</w:t>
      </w:r>
      <w:r>
        <w:rPr>
          <w:rFonts w:ascii="宋体" w:hAnsi="宋体"/>
          <w:b/>
          <w:color w:val="000000" w:themeColor="text1"/>
          <w:sz w:val="28"/>
          <w14:textFill>
            <w14:solidFill>
              <w14:schemeClr w14:val="tx1"/>
            </w14:solidFill>
          </w14:textFill>
        </w:rPr>
        <w:t>清单及价格以及相关证明材料复印件，则不能享受对监狱企业</w:t>
      </w:r>
      <w:r>
        <w:rPr>
          <w:rFonts w:hint="eastAsia" w:ascii="宋体" w:hAnsi="宋体"/>
          <w:b/>
          <w:color w:val="000000" w:themeColor="text1"/>
          <w:sz w:val="28"/>
          <w14:textFill>
            <w14:solidFill>
              <w14:schemeClr w14:val="tx1"/>
            </w14:solidFill>
          </w14:textFill>
        </w:rPr>
        <w:t>制造的货物</w:t>
      </w:r>
      <w:r>
        <w:rPr>
          <w:rFonts w:ascii="宋体" w:hAnsi="宋体"/>
          <w:b/>
          <w:color w:val="000000" w:themeColor="text1"/>
          <w:sz w:val="28"/>
          <w14:textFill>
            <w14:solidFill>
              <w14:schemeClr w14:val="tx1"/>
            </w14:solidFill>
          </w14:textFill>
        </w:rPr>
        <w:t>的价格扣除，但不影响投标文件的有效性。）</w:t>
      </w:r>
    </w:p>
    <w:tbl>
      <w:tblPr>
        <w:tblStyle w:val="43"/>
        <w:tblW w:w="92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720"/>
        <w:gridCol w:w="694"/>
        <w:gridCol w:w="1253"/>
        <w:gridCol w:w="1417"/>
        <w:gridCol w:w="851"/>
        <w:gridCol w:w="980"/>
        <w:gridCol w:w="12"/>
        <w:gridCol w:w="1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vAlign w:val="center"/>
          </w:tcPr>
          <w:p>
            <w:pPr>
              <w:spacing w:before="156" w:beforeLines="50" w:line="360" w:lineRule="auto"/>
              <w:jc w:val="center"/>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序号</w:t>
            </w:r>
          </w:p>
        </w:tc>
        <w:tc>
          <w:tcPr>
            <w:tcW w:w="1720" w:type="dxa"/>
            <w:vAlign w:val="center"/>
          </w:tcPr>
          <w:p>
            <w:pPr>
              <w:spacing w:before="156" w:beforeLines="50" w:line="360" w:lineRule="auto"/>
              <w:jc w:val="center"/>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货物名称</w:t>
            </w:r>
          </w:p>
        </w:tc>
        <w:tc>
          <w:tcPr>
            <w:tcW w:w="694" w:type="dxa"/>
            <w:vAlign w:val="center"/>
          </w:tcPr>
          <w:p>
            <w:pPr>
              <w:spacing w:before="156" w:beforeLines="50" w:line="360" w:lineRule="auto"/>
              <w:jc w:val="center"/>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品牌</w:t>
            </w:r>
          </w:p>
        </w:tc>
        <w:tc>
          <w:tcPr>
            <w:tcW w:w="1253" w:type="dxa"/>
            <w:vAlign w:val="center"/>
          </w:tcPr>
          <w:p>
            <w:pPr>
              <w:spacing w:before="156" w:beforeLines="50" w:line="360" w:lineRule="auto"/>
              <w:jc w:val="center"/>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规格型号</w:t>
            </w:r>
          </w:p>
        </w:tc>
        <w:tc>
          <w:tcPr>
            <w:tcW w:w="1417" w:type="dxa"/>
            <w:vAlign w:val="center"/>
          </w:tcPr>
          <w:p>
            <w:pPr>
              <w:spacing w:before="156" w:beforeLines="50" w:line="360" w:lineRule="auto"/>
              <w:jc w:val="center"/>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制造商</w:t>
            </w:r>
          </w:p>
        </w:tc>
        <w:tc>
          <w:tcPr>
            <w:tcW w:w="851" w:type="dxa"/>
            <w:vAlign w:val="center"/>
          </w:tcPr>
          <w:p>
            <w:pPr>
              <w:spacing w:before="156" w:beforeLines="50" w:line="360" w:lineRule="auto"/>
              <w:jc w:val="center"/>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数量</w:t>
            </w:r>
          </w:p>
        </w:tc>
        <w:tc>
          <w:tcPr>
            <w:tcW w:w="992" w:type="dxa"/>
            <w:gridSpan w:val="2"/>
            <w:vAlign w:val="center"/>
          </w:tcPr>
          <w:p>
            <w:pPr>
              <w:spacing w:before="156" w:beforeLines="50" w:line="360" w:lineRule="auto"/>
              <w:jc w:val="center"/>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单价</w:t>
            </w:r>
          </w:p>
        </w:tc>
        <w:tc>
          <w:tcPr>
            <w:tcW w:w="1406" w:type="dxa"/>
            <w:vAlign w:val="center"/>
          </w:tcPr>
          <w:p>
            <w:pPr>
              <w:spacing w:before="156" w:beforeLines="50" w:line="360" w:lineRule="auto"/>
              <w:jc w:val="center"/>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60" w:type="dxa"/>
            <w:vAlign w:val="center"/>
          </w:tcPr>
          <w:p>
            <w:pPr>
              <w:snapToGrid w:val="0"/>
              <w:spacing w:line="360" w:lineRule="auto"/>
              <w:jc w:val="center"/>
              <w:rPr>
                <w:rFonts w:ascii="宋体" w:hAnsi="宋体"/>
                <w:color w:val="000000" w:themeColor="text1"/>
                <w14:textFill>
                  <w14:solidFill>
                    <w14:schemeClr w14:val="tx1"/>
                  </w14:solidFill>
                </w14:textFill>
              </w:rPr>
            </w:pPr>
          </w:p>
        </w:tc>
        <w:tc>
          <w:tcPr>
            <w:tcW w:w="1720" w:type="dxa"/>
            <w:vAlign w:val="center"/>
          </w:tcPr>
          <w:p>
            <w:pPr>
              <w:spacing w:line="360" w:lineRule="auto"/>
              <w:jc w:val="center"/>
              <w:rPr>
                <w:rFonts w:ascii="宋体" w:hAnsi="宋体"/>
                <w:color w:val="000000" w:themeColor="text1"/>
                <w14:textFill>
                  <w14:solidFill>
                    <w14:schemeClr w14:val="tx1"/>
                  </w14:solidFill>
                </w14:textFill>
              </w:rPr>
            </w:pPr>
          </w:p>
        </w:tc>
        <w:tc>
          <w:tcPr>
            <w:tcW w:w="694" w:type="dxa"/>
            <w:vAlign w:val="center"/>
          </w:tcPr>
          <w:p>
            <w:pPr>
              <w:spacing w:line="360" w:lineRule="auto"/>
              <w:jc w:val="center"/>
              <w:rPr>
                <w:rFonts w:ascii="宋体" w:hAnsi="宋体"/>
                <w:color w:val="000000" w:themeColor="text1"/>
                <w14:textFill>
                  <w14:solidFill>
                    <w14:schemeClr w14:val="tx1"/>
                  </w14:solidFill>
                </w14:textFill>
              </w:rPr>
            </w:pPr>
          </w:p>
        </w:tc>
        <w:tc>
          <w:tcPr>
            <w:tcW w:w="1253" w:type="dxa"/>
            <w:vAlign w:val="center"/>
          </w:tcPr>
          <w:p>
            <w:pPr>
              <w:spacing w:line="360" w:lineRule="auto"/>
              <w:jc w:val="center"/>
              <w:rPr>
                <w:rFonts w:ascii="宋体" w:hAnsi="宋体"/>
                <w:color w:val="000000" w:themeColor="text1"/>
                <w14:textFill>
                  <w14:solidFill>
                    <w14:schemeClr w14:val="tx1"/>
                  </w14:solidFill>
                </w14:textFill>
              </w:rPr>
            </w:pPr>
          </w:p>
        </w:tc>
        <w:tc>
          <w:tcPr>
            <w:tcW w:w="1417" w:type="dxa"/>
            <w:vAlign w:val="center"/>
          </w:tcPr>
          <w:p>
            <w:pPr>
              <w:spacing w:line="360" w:lineRule="auto"/>
              <w:jc w:val="center"/>
              <w:rPr>
                <w:rFonts w:ascii="宋体" w:hAnsi="宋体"/>
                <w:color w:val="000000" w:themeColor="text1"/>
                <w14:textFill>
                  <w14:solidFill>
                    <w14:schemeClr w14:val="tx1"/>
                  </w14:solidFill>
                </w14:textFill>
              </w:rPr>
            </w:pPr>
          </w:p>
        </w:tc>
        <w:tc>
          <w:tcPr>
            <w:tcW w:w="851" w:type="dxa"/>
            <w:vAlign w:val="center"/>
          </w:tcPr>
          <w:p>
            <w:pPr>
              <w:spacing w:line="360" w:lineRule="auto"/>
              <w:jc w:val="center"/>
              <w:rPr>
                <w:rFonts w:ascii="宋体" w:hAnsi="宋体"/>
                <w:color w:val="000000" w:themeColor="text1"/>
                <w14:textFill>
                  <w14:solidFill>
                    <w14:schemeClr w14:val="tx1"/>
                  </w14:solidFill>
                </w14:textFill>
              </w:rPr>
            </w:pPr>
          </w:p>
        </w:tc>
        <w:tc>
          <w:tcPr>
            <w:tcW w:w="992" w:type="dxa"/>
            <w:gridSpan w:val="2"/>
            <w:vAlign w:val="center"/>
          </w:tcPr>
          <w:p>
            <w:pPr>
              <w:spacing w:line="360" w:lineRule="auto"/>
              <w:jc w:val="center"/>
              <w:rPr>
                <w:rFonts w:ascii="宋体" w:hAnsi="宋体"/>
                <w:color w:val="000000" w:themeColor="text1"/>
                <w14:textFill>
                  <w14:solidFill>
                    <w14:schemeClr w14:val="tx1"/>
                  </w14:solidFill>
                </w14:textFill>
              </w:rPr>
            </w:pPr>
          </w:p>
        </w:tc>
        <w:tc>
          <w:tcPr>
            <w:tcW w:w="1406" w:type="dxa"/>
            <w:vAlign w:val="center"/>
          </w:tcPr>
          <w:p>
            <w:pPr>
              <w:spacing w:line="360" w:lineRule="auto"/>
              <w:jc w:val="center"/>
              <w:rPr>
                <w:rFonts w:ascii="宋体" w:hAnsi="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960" w:type="dxa"/>
            <w:vAlign w:val="center"/>
          </w:tcPr>
          <w:p>
            <w:pPr>
              <w:snapToGrid w:val="0"/>
              <w:spacing w:line="360" w:lineRule="auto"/>
              <w:jc w:val="center"/>
              <w:rPr>
                <w:rFonts w:ascii="宋体" w:hAnsi="宋体"/>
                <w:color w:val="000000" w:themeColor="text1"/>
                <w14:textFill>
                  <w14:solidFill>
                    <w14:schemeClr w14:val="tx1"/>
                  </w14:solidFill>
                </w14:textFill>
              </w:rPr>
            </w:pPr>
          </w:p>
        </w:tc>
        <w:tc>
          <w:tcPr>
            <w:tcW w:w="1720" w:type="dxa"/>
            <w:vAlign w:val="center"/>
          </w:tcPr>
          <w:p>
            <w:pPr>
              <w:spacing w:line="360" w:lineRule="auto"/>
              <w:jc w:val="center"/>
              <w:rPr>
                <w:rFonts w:ascii="宋体" w:hAnsi="宋体"/>
                <w:color w:val="000000" w:themeColor="text1"/>
                <w14:textFill>
                  <w14:solidFill>
                    <w14:schemeClr w14:val="tx1"/>
                  </w14:solidFill>
                </w14:textFill>
              </w:rPr>
            </w:pPr>
          </w:p>
        </w:tc>
        <w:tc>
          <w:tcPr>
            <w:tcW w:w="694" w:type="dxa"/>
            <w:vAlign w:val="center"/>
          </w:tcPr>
          <w:p>
            <w:pPr>
              <w:spacing w:line="360" w:lineRule="auto"/>
              <w:jc w:val="center"/>
              <w:rPr>
                <w:rFonts w:ascii="宋体" w:hAnsi="宋体"/>
                <w:color w:val="000000" w:themeColor="text1"/>
                <w14:textFill>
                  <w14:solidFill>
                    <w14:schemeClr w14:val="tx1"/>
                  </w14:solidFill>
                </w14:textFill>
              </w:rPr>
            </w:pPr>
          </w:p>
        </w:tc>
        <w:tc>
          <w:tcPr>
            <w:tcW w:w="1253" w:type="dxa"/>
            <w:vAlign w:val="center"/>
          </w:tcPr>
          <w:p>
            <w:pPr>
              <w:spacing w:line="360" w:lineRule="auto"/>
              <w:jc w:val="center"/>
              <w:rPr>
                <w:rFonts w:ascii="宋体" w:hAnsi="宋体"/>
                <w:color w:val="000000" w:themeColor="text1"/>
                <w14:textFill>
                  <w14:solidFill>
                    <w14:schemeClr w14:val="tx1"/>
                  </w14:solidFill>
                </w14:textFill>
              </w:rPr>
            </w:pPr>
          </w:p>
        </w:tc>
        <w:tc>
          <w:tcPr>
            <w:tcW w:w="1417" w:type="dxa"/>
            <w:vAlign w:val="center"/>
          </w:tcPr>
          <w:p>
            <w:pPr>
              <w:spacing w:line="360" w:lineRule="auto"/>
              <w:jc w:val="center"/>
              <w:rPr>
                <w:rFonts w:ascii="宋体" w:hAnsi="宋体"/>
                <w:color w:val="000000" w:themeColor="text1"/>
                <w14:textFill>
                  <w14:solidFill>
                    <w14:schemeClr w14:val="tx1"/>
                  </w14:solidFill>
                </w14:textFill>
              </w:rPr>
            </w:pPr>
          </w:p>
        </w:tc>
        <w:tc>
          <w:tcPr>
            <w:tcW w:w="851" w:type="dxa"/>
            <w:vAlign w:val="center"/>
          </w:tcPr>
          <w:p>
            <w:pPr>
              <w:spacing w:line="360" w:lineRule="auto"/>
              <w:jc w:val="center"/>
              <w:rPr>
                <w:rFonts w:ascii="宋体" w:hAnsi="宋体"/>
                <w:color w:val="000000" w:themeColor="text1"/>
                <w14:textFill>
                  <w14:solidFill>
                    <w14:schemeClr w14:val="tx1"/>
                  </w14:solidFill>
                </w14:textFill>
              </w:rPr>
            </w:pPr>
          </w:p>
        </w:tc>
        <w:tc>
          <w:tcPr>
            <w:tcW w:w="992" w:type="dxa"/>
            <w:gridSpan w:val="2"/>
            <w:vAlign w:val="center"/>
          </w:tcPr>
          <w:p>
            <w:pPr>
              <w:spacing w:line="360" w:lineRule="auto"/>
              <w:jc w:val="center"/>
              <w:rPr>
                <w:rFonts w:ascii="宋体" w:hAnsi="宋体"/>
                <w:color w:val="000000" w:themeColor="text1"/>
                <w14:textFill>
                  <w14:solidFill>
                    <w14:schemeClr w14:val="tx1"/>
                  </w14:solidFill>
                </w14:textFill>
              </w:rPr>
            </w:pPr>
          </w:p>
        </w:tc>
        <w:tc>
          <w:tcPr>
            <w:tcW w:w="1406" w:type="dxa"/>
            <w:vAlign w:val="center"/>
          </w:tcPr>
          <w:p>
            <w:pPr>
              <w:spacing w:line="360" w:lineRule="auto"/>
              <w:jc w:val="center"/>
              <w:rPr>
                <w:rFonts w:ascii="宋体" w:hAnsi="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960" w:type="dxa"/>
            <w:vAlign w:val="center"/>
          </w:tcPr>
          <w:p>
            <w:pPr>
              <w:snapToGrid w:val="0"/>
              <w:spacing w:line="360" w:lineRule="auto"/>
              <w:jc w:val="center"/>
              <w:rPr>
                <w:rFonts w:ascii="宋体" w:hAnsi="宋体"/>
                <w:color w:val="000000" w:themeColor="text1"/>
                <w14:textFill>
                  <w14:solidFill>
                    <w14:schemeClr w14:val="tx1"/>
                  </w14:solidFill>
                </w14:textFill>
              </w:rPr>
            </w:pPr>
          </w:p>
        </w:tc>
        <w:tc>
          <w:tcPr>
            <w:tcW w:w="1720" w:type="dxa"/>
            <w:vAlign w:val="center"/>
          </w:tcPr>
          <w:p>
            <w:pPr>
              <w:spacing w:line="360" w:lineRule="auto"/>
              <w:jc w:val="center"/>
              <w:rPr>
                <w:rFonts w:ascii="宋体" w:hAnsi="宋体"/>
                <w:color w:val="000000" w:themeColor="text1"/>
                <w14:textFill>
                  <w14:solidFill>
                    <w14:schemeClr w14:val="tx1"/>
                  </w14:solidFill>
                </w14:textFill>
              </w:rPr>
            </w:pPr>
          </w:p>
        </w:tc>
        <w:tc>
          <w:tcPr>
            <w:tcW w:w="694" w:type="dxa"/>
            <w:vAlign w:val="center"/>
          </w:tcPr>
          <w:p>
            <w:pPr>
              <w:spacing w:line="360" w:lineRule="auto"/>
              <w:jc w:val="center"/>
              <w:rPr>
                <w:rFonts w:ascii="宋体" w:hAnsi="宋体"/>
                <w:color w:val="000000" w:themeColor="text1"/>
                <w14:textFill>
                  <w14:solidFill>
                    <w14:schemeClr w14:val="tx1"/>
                  </w14:solidFill>
                </w14:textFill>
              </w:rPr>
            </w:pPr>
          </w:p>
        </w:tc>
        <w:tc>
          <w:tcPr>
            <w:tcW w:w="1253" w:type="dxa"/>
            <w:vAlign w:val="center"/>
          </w:tcPr>
          <w:p>
            <w:pPr>
              <w:spacing w:line="360" w:lineRule="auto"/>
              <w:jc w:val="center"/>
              <w:rPr>
                <w:rFonts w:ascii="宋体" w:hAnsi="宋体"/>
                <w:color w:val="000000" w:themeColor="text1"/>
                <w14:textFill>
                  <w14:solidFill>
                    <w14:schemeClr w14:val="tx1"/>
                  </w14:solidFill>
                </w14:textFill>
              </w:rPr>
            </w:pPr>
          </w:p>
        </w:tc>
        <w:tc>
          <w:tcPr>
            <w:tcW w:w="1417" w:type="dxa"/>
            <w:vAlign w:val="center"/>
          </w:tcPr>
          <w:p>
            <w:pPr>
              <w:spacing w:line="360" w:lineRule="auto"/>
              <w:jc w:val="center"/>
              <w:rPr>
                <w:rFonts w:ascii="宋体" w:hAnsi="宋体"/>
                <w:color w:val="000000" w:themeColor="text1"/>
                <w14:textFill>
                  <w14:solidFill>
                    <w14:schemeClr w14:val="tx1"/>
                  </w14:solidFill>
                </w14:textFill>
              </w:rPr>
            </w:pPr>
          </w:p>
        </w:tc>
        <w:tc>
          <w:tcPr>
            <w:tcW w:w="851" w:type="dxa"/>
            <w:vAlign w:val="center"/>
          </w:tcPr>
          <w:p>
            <w:pPr>
              <w:spacing w:line="360" w:lineRule="auto"/>
              <w:jc w:val="center"/>
              <w:rPr>
                <w:rFonts w:ascii="宋体" w:hAnsi="宋体"/>
                <w:color w:val="000000" w:themeColor="text1"/>
                <w14:textFill>
                  <w14:solidFill>
                    <w14:schemeClr w14:val="tx1"/>
                  </w14:solidFill>
                </w14:textFill>
              </w:rPr>
            </w:pPr>
          </w:p>
        </w:tc>
        <w:tc>
          <w:tcPr>
            <w:tcW w:w="992" w:type="dxa"/>
            <w:gridSpan w:val="2"/>
            <w:vAlign w:val="center"/>
          </w:tcPr>
          <w:p>
            <w:pPr>
              <w:spacing w:line="360" w:lineRule="auto"/>
              <w:jc w:val="center"/>
              <w:rPr>
                <w:rFonts w:ascii="宋体" w:hAnsi="宋体"/>
                <w:color w:val="000000" w:themeColor="text1"/>
                <w14:textFill>
                  <w14:solidFill>
                    <w14:schemeClr w14:val="tx1"/>
                  </w14:solidFill>
                </w14:textFill>
              </w:rPr>
            </w:pPr>
          </w:p>
        </w:tc>
        <w:tc>
          <w:tcPr>
            <w:tcW w:w="1406" w:type="dxa"/>
            <w:vAlign w:val="center"/>
          </w:tcPr>
          <w:p>
            <w:pPr>
              <w:spacing w:line="360" w:lineRule="auto"/>
              <w:jc w:val="center"/>
              <w:rPr>
                <w:rFonts w:ascii="宋体" w:hAnsi="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7875" w:type="dxa"/>
            <w:gridSpan w:val="7"/>
            <w:vAlign w:val="center"/>
          </w:tcPr>
          <w:p>
            <w:pPr>
              <w:spacing w:line="360" w:lineRule="auto"/>
              <w:jc w:val="center"/>
              <w:rPr>
                <w:rFonts w:ascii="宋体" w:hAnsi="宋体"/>
                <w:color w:val="000000" w:themeColor="text1"/>
                <w14:textFill>
                  <w14:solidFill>
                    <w14:schemeClr w14:val="tx1"/>
                  </w14:solidFill>
                </w14:textFill>
              </w:rPr>
            </w:pPr>
            <w:r>
              <w:rPr>
                <w:rFonts w:hint="eastAsia" w:ascii="宋体" w:hAnsi="宋体" w:cs="宋体"/>
                <w:b/>
                <w:color w:val="000000" w:themeColor="text1"/>
                <w14:textFill>
                  <w14:solidFill>
                    <w14:schemeClr w14:val="tx1"/>
                  </w14:solidFill>
                </w14:textFill>
              </w:rPr>
              <w:t>监狱企业制造的货物</w:t>
            </w:r>
            <w:r>
              <w:rPr>
                <w:rFonts w:hint="eastAsia" w:ascii="宋体" w:hAnsi="宋体"/>
                <w:b/>
                <w:color w:val="000000" w:themeColor="text1"/>
                <w14:textFill>
                  <w14:solidFill>
                    <w14:schemeClr w14:val="tx1"/>
                  </w14:solidFill>
                </w14:textFill>
              </w:rPr>
              <w:t>总价合计</w:t>
            </w:r>
          </w:p>
        </w:tc>
        <w:tc>
          <w:tcPr>
            <w:tcW w:w="1418" w:type="dxa"/>
            <w:gridSpan w:val="2"/>
            <w:vAlign w:val="center"/>
          </w:tcPr>
          <w:p>
            <w:pPr>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w:t>
            </w:r>
          </w:p>
        </w:tc>
      </w:tr>
    </w:tbl>
    <w:p>
      <w:pPr>
        <w:numPr>
          <w:ilvl w:val="0"/>
          <w:numId w:val="37"/>
        </w:numPr>
        <w:tabs>
          <w:tab w:val="left" w:pos="630"/>
          <w:tab w:val="left" w:pos="7560"/>
        </w:tabs>
        <w:spacing w:after="200" w:line="360" w:lineRule="auto"/>
        <w:ind w:left="0" w:firstLine="0"/>
        <w:rPr>
          <w:rFonts w:ascii="宋体" w:hAnsi="宋体"/>
          <w:b/>
          <w:color w:val="000000" w:themeColor="text1"/>
          <w:sz w:val="28"/>
          <w14:textFill>
            <w14:solidFill>
              <w14:schemeClr w14:val="tx1"/>
            </w14:solidFill>
          </w14:textFill>
        </w:rPr>
      </w:pPr>
      <w:r>
        <w:rPr>
          <w:rFonts w:hint="eastAsia" w:ascii="宋体" w:hAnsi="宋体"/>
          <w:b/>
          <w:color w:val="000000" w:themeColor="text1"/>
          <w:sz w:val="28"/>
          <w14:textFill>
            <w14:solidFill>
              <w14:schemeClr w14:val="tx1"/>
            </w14:solidFill>
          </w14:textFill>
        </w:rPr>
        <w:t>投标人投标产品中为残疾人福利性单位制造的货物清单及价格（说明：如未提供则不能享受对残疾人福利性单位制造的货物的价格扣除）</w:t>
      </w:r>
    </w:p>
    <w:tbl>
      <w:tblPr>
        <w:tblStyle w:val="4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1448"/>
        <w:gridCol w:w="1194"/>
        <w:gridCol w:w="1194"/>
        <w:gridCol w:w="1193"/>
        <w:gridCol w:w="717"/>
        <w:gridCol w:w="835"/>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08" w:type="dxa"/>
            <w:vAlign w:val="center"/>
          </w:tcPr>
          <w:p>
            <w:pPr>
              <w:spacing w:before="156" w:beforeLines="50" w:line="360" w:lineRule="auto"/>
              <w:jc w:val="center"/>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序号</w:t>
            </w:r>
          </w:p>
        </w:tc>
        <w:tc>
          <w:tcPr>
            <w:tcW w:w="1448" w:type="dxa"/>
            <w:vAlign w:val="center"/>
          </w:tcPr>
          <w:p>
            <w:pPr>
              <w:spacing w:before="156" w:beforeLines="50" w:line="360" w:lineRule="auto"/>
              <w:jc w:val="center"/>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货物名称</w:t>
            </w:r>
          </w:p>
        </w:tc>
        <w:tc>
          <w:tcPr>
            <w:tcW w:w="1194" w:type="dxa"/>
          </w:tcPr>
          <w:p>
            <w:pPr>
              <w:spacing w:before="156" w:beforeLines="50" w:line="360" w:lineRule="auto"/>
              <w:jc w:val="center"/>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品牌</w:t>
            </w:r>
          </w:p>
        </w:tc>
        <w:tc>
          <w:tcPr>
            <w:tcW w:w="1194" w:type="dxa"/>
            <w:vAlign w:val="center"/>
          </w:tcPr>
          <w:p>
            <w:pPr>
              <w:spacing w:before="156" w:beforeLines="50" w:line="360" w:lineRule="auto"/>
              <w:jc w:val="center"/>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规格型号</w:t>
            </w:r>
          </w:p>
        </w:tc>
        <w:tc>
          <w:tcPr>
            <w:tcW w:w="1193" w:type="dxa"/>
            <w:vAlign w:val="center"/>
          </w:tcPr>
          <w:p>
            <w:pPr>
              <w:spacing w:before="156" w:beforeLines="50" w:line="360" w:lineRule="auto"/>
              <w:jc w:val="center"/>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制造商</w:t>
            </w:r>
          </w:p>
        </w:tc>
        <w:tc>
          <w:tcPr>
            <w:tcW w:w="717" w:type="dxa"/>
            <w:vAlign w:val="center"/>
          </w:tcPr>
          <w:p>
            <w:pPr>
              <w:spacing w:before="156" w:beforeLines="50" w:line="360" w:lineRule="auto"/>
              <w:jc w:val="center"/>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数量</w:t>
            </w:r>
          </w:p>
        </w:tc>
        <w:tc>
          <w:tcPr>
            <w:tcW w:w="835" w:type="dxa"/>
            <w:vAlign w:val="center"/>
          </w:tcPr>
          <w:p>
            <w:pPr>
              <w:spacing w:before="156" w:beforeLines="50" w:line="360" w:lineRule="auto"/>
              <w:jc w:val="center"/>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单价</w:t>
            </w:r>
          </w:p>
        </w:tc>
        <w:tc>
          <w:tcPr>
            <w:tcW w:w="1133" w:type="dxa"/>
            <w:vAlign w:val="center"/>
          </w:tcPr>
          <w:p>
            <w:pPr>
              <w:spacing w:before="156" w:beforeLines="50" w:line="360" w:lineRule="auto"/>
              <w:jc w:val="center"/>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808" w:type="dxa"/>
            <w:vAlign w:val="center"/>
          </w:tcPr>
          <w:p>
            <w:pPr>
              <w:snapToGrid w:val="0"/>
              <w:spacing w:line="360" w:lineRule="auto"/>
              <w:jc w:val="center"/>
              <w:rPr>
                <w:rFonts w:ascii="宋体" w:hAnsi="宋体"/>
                <w:color w:val="000000" w:themeColor="text1"/>
                <w14:textFill>
                  <w14:solidFill>
                    <w14:schemeClr w14:val="tx1"/>
                  </w14:solidFill>
                </w14:textFill>
              </w:rPr>
            </w:pPr>
          </w:p>
        </w:tc>
        <w:tc>
          <w:tcPr>
            <w:tcW w:w="1448" w:type="dxa"/>
            <w:vAlign w:val="center"/>
          </w:tcPr>
          <w:p>
            <w:pPr>
              <w:spacing w:line="360" w:lineRule="auto"/>
              <w:jc w:val="center"/>
              <w:rPr>
                <w:rFonts w:ascii="宋体" w:hAnsi="宋体"/>
                <w:color w:val="000000" w:themeColor="text1"/>
                <w14:textFill>
                  <w14:solidFill>
                    <w14:schemeClr w14:val="tx1"/>
                  </w14:solidFill>
                </w14:textFill>
              </w:rPr>
            </w:pPr>
          </w:p>
        </w:tc>
        <w:tc>
          <w:tcPr>
            <w:tcW w:w="1194" w:type="dxa"/>
          </w:tcPr>
          <w:p>
            <w:pPr>
              <w:spacing w:line="360" w:lineRule="auto"/>
              <w:jc w:val="center"/>
              <w:rPr>
                <w:rFonts w:ascii="宋体" w:hAnsi="宋体"/>
                <w:color w:val="000000" w:themeColor="text1"/>
                <w14:textFill>
                  <w14:solidFill>
                    <w14:schemeClr w14:val="tx1"/>
                  </w14:solidFill>
                </w14:textFill>
              </w:rPr>
            </w:pPr>
          </w:p>
        </w:tc>
        <w:tc>
          <w:tcPr>
            <w:tcW w:w="1194" w:type="dxa"/>
            <w:vAlign w:val="center"/>
          </w:tcPr>
          <w:p>
            <w:pPr>
              <w:spacing w:line="360" w:lineRule="auto"/>
              <w:jc w:val="center"/>
              <w:rPr>
                <w:rFonts w:ascii="宋体" w:hAnsi="宋体"/>
                <w:color w:val="000000" w:themeColor="text1"/>
                <w14:textFill>
                  <w14:solidFill>
                    <w14:schemeClr w14:val="tx1"/>
                  </w14:solidFill>
                </w14:textFill>
              </w:rPr>
            </w:pPr>
          </w:p>
        </w:tc>
        <w:tc>
          <w:tcPr>
            <w:tcW w:w="1193" w:type="dxa"/>
            <w:vAlign w:val="center"/>
          </w:tcPr>
          <w:p>
            <w:pPr>
              <w:spacing w:line="360" w:lineRule="auto"/>
              <w:jc w:val="center"/>
              <w:rPr>
                <w:rFonts w:ascii="宋体" w:hAnsi="宋体"/>
                <w:color w:val="000000" w:themeColor="text1"/>
                <w14:textFill>
                  <w14:solidFill>
                    <w14:schemeClr w14:val="tx1"/>
                  </w14:solidFill>
                </w14:textFill>
              </w:rPr>
            </w:pPr>
          </w:p>
        </w:tc>
        <w:tc>
          <w:tcPr>
            <w:tcW w:w="717" w:type="dxa"/>
            <w:vAlign w:val="center"/>
          </w:tcPr>
          <w:p>
            <w:pPr>
              <w:spacing w:line="360" w:lineRule="auto"/>
              <w:jc w:val="center"/>
              <w:rPr>
                <w:rFonts w:ascii="宋体" w:hAnsi="宋体"/>
                <w:color w:val="000000" w:themeColor="text1"/>
                <w14:textFill>
                  <w14:solidFill>
                    <w14:schemeClr w14:val="tx1"/>
                  </w14:solidFill>
                </w14:textFill>
              </w:rPr>
            </w:pPr>
          </w:p>
        </w:tc>
        <w:tc>
          <w:tcPr>
            <w:tcW w:w="835" w:type="dxa"/>
            <w:vAlign w:val="center"/>
          </w:tcPr>
          <w:p>
            <w:pPr>
              <w:spacing w:line="360" w:lineRule="auto"/>
              <w:jc w:val="center"/>
              <w:rPr>
                <w:rFonts w:ascii="宋体" w:hAnsi="宋体"/>
                <w:color w:val="000000" w:themeColor="text1"/>
                <w14:textFill>
                  <w14:solidFill>
                    <w14:schemeClr w14:val="tx1"/>
                  </w14:solidFill>
                </w14:textFill>
              </w:rPr>
            </w:pPr>
          </w:p>
        </w:tc>
        <w:tc>
          <w:tcPr>
            <w:tcW w:w="1133" w:type="dxa"/>
            <w:vAlign w:val="center"/>
          </w:tcPr>
          <w:p>
            <w:pPr>
              <w:spacing w:line="360" w:lineRule="auto"/>
              <w:jc w:val="center"/>
              <w:rPr>
                <w:rFonts w:ascii="宋体" w:hAnsi="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808" w:type="dxa"/>
            <w:vAlign w:val="center"/>
          </w:tcPr>
          <w:p>
            <w:pPr>
              <w:snapToGrid w:val="0"/>
              <w:spacing w:line="360" w:lineRule="auto"/>
              <w:jc w:val="center"/>
              <w:rPr>
                <w:rFonts w:ascii="宋体" w:hAnsi="宋体"/>
                <w:color w:val="000000" w:themeColor="text1"/>
                <w14:textFill>
                  <w14:solidFill>
                    <w14:schemeClr w14:val="tx1"/>
                  </w14:solidFill>
                </w14:textFill>
              </w:rPr>
            </w:pPr>
          </w:p>
        </w:tc>
        <w:tc>
          <w:tcPr>
            <w:tcW w:w="1448" w:type="dxa"/>
            <w:vAlign w:val="center"/>
          </w:tcPr>
          <w:p>
            <w:pPr>
              <w:spacing w:line="360" w:lineRule="auto"/>
              <w:jc w:val="center"/>
              <w:rPr>
                <w:rFonts w:ascii="宋体" w:hAnsi="宋体"/>
                <w:color w:val="000000" w:themeColor="text1"/>
                <w14:textFill>
                  <w14:solidFill>
                    <w14:schemeClr w14:val="tx1"/>
                  </w14:solidFill>
                </w14:textFill>
              </w:rPr>
            </w:pPr>
          </w:p>
        </w:tc>
        <w:tc>
          <w:tcPr>
            <w:tcW w:w="1194" w:type="dxa"/>
          </w:tcPr>
          <w:p>
            <w:pPr>
              <w:spacing w:line="360" w:lineRule="auto"/>
              <w:jc w:val="center"/>
              <w:rPr>
                <w:rFonts w:ascii="宋体" w:hAnsi="宋体"/>
                <w:color w:val="000000" w:themeColor="text1"/>
                <w14:textFill>
                  <w14:solidFill>
                    <w14:schemeClr w14:val="tx1"/>
                  </w14:solidFill>
                </w14:textFill>
              </w:rPr>
            </w:pPr>
          </w:p>
        </w:tc>
        <w:tc>
          <w:tcPr>
            <w:tcW w:w="1194" w:type="dxa"/>
            <w:vAlign w:val="center"/>
          </w:tcPr>
          <w:p>
            <w:pPr>
              <w:spacing w:line="360" w:lineRule="auto"/>
              <w:jc w:val="center"/>
              <w:rPr>
                <w:rFonts w:ascii="宋体" w:hAnsi="宋体"/>
                <w:color w:val="000000" w:themeColor="text1"/>
                <w14:textFill>
                  <w14:solidFill>
                    <w14:schemeClr w14:val="tx1"/>
                  </w14:solidFill>
                </w14:textFill>
              </w:rPr>
            </w:pPr>
          </w:p>
        </w:tc>
        <w:tc>
          <w:tcPr>
            <w:tcW w:w="1193" w:type="dxa"/>
            <w:vAlign w:val="center"/>
          </w:tcPr>
          <w:p>
            <w:pPr>
              <w:spacing w:line="360" w:lineRule="auto"/>
              <w:jc w:val="center"/>
              <w:rPr>
                <w:rFonts w:ascii="宋体" w:hAnsi="宋体"/>
                <w:color w:val="000000" w:themeColor="text1"/>
                <w14:textFill>
                  <w14:solidFill>
                    <w14:schemeClr w14:val="tx1"/>
                  </w14:solidFill>
                </w14:textFill>
              </w:rPr>
            </w:pPr>
          </w:p>
        </w:tc>
        <w:tc>
          <w:tcPr>
            <w:tcW w:w="717" w:type="dxa"/>
            <w:vAlign w:val="center"/>
          </w:tcPr>
          <w:p>
            <w:pPr>
              <w:spacing w:line="360" w:lineRule="auto"/>
              <w:jc w:val="center"/>
              <w:rPr>
                <w:rFonts w:ascii="宋体" w:hAnsi="宋体"/>
                <w:color w:val="000000" w:themeColor="text1"/>
                <w14:textFill>
                  <w14:solidFill>
                    <w14:schemeClr w14:val="tx1"/>
                  </w14:solidFill>
                </w14:textFill>
              </w:rPr>
            </w:pPr>
          </w:p>
        </w:tc>
        <w:tc>
          <w:tcPr>
            <w:tcW w:w="835" w:type="dxa"/>
            <w:vAlign w:val="center"/>
          </w:tcPr>
          <w:p>
            <w:pPr>
              <w:spacing w:line="360" w:lineRule="auto"/>
              <w:jc w:val="center"/>
              <w:rPr>
                <w:rFonts w:ascii="宋体" w:hAnsi="宋体"/>
                <w:color w:val="000000" w:themeColor="text1"/>
                <w14:textFill>
                  <w14:solidFill>
                    <w14:schemeClr w14:val="tx1"/>
                  </w14:solidFill>
                </w14:textFill>
              </w:rPr>
            </w:pPr>
          </w:p>
        </w:tc>
        <w:tc>
          <w:tcPr>
            <w:tcW w:w="1133" w:type="dxa"/>
            <w:vAlign w:val="center"/>
          </w:tcPr>
          <w:p>
            <w:pPr>
              <w:spacing w:line="360" w:lineRule="auto"/>
              <w:jc w:val="center"/>
              <w:rPr>
                <w:rFonts w:ascii="宋体" w:hAnsi="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808" w:type="dxa"/>
            <w:vAlign w:val="center"/>
          </w:tcPr>
          <w:p>
            <w:pPr>
              <w:snapToGrid w:val="0"/>
              <w:spacing w:line="360" w:lineRule="auto"/>
              <w:jc w:val="center"/>
              <w:rPr>
                <w:rFonts w:ascii="宋体" w:hAnsi="宋体"/>
                <w:color w:val="000000" w:themeColor="text1"/>
                <w14:textFill>
                  <w14:solidFill>
                    <w14:schemeClr w14:val="tx1"/>
                  </w14:solidFill>
                </w14:textFill>
              </w:rPr>
            </w:pPr>
          </w:p>
        </w:tc>
        <w:tc>
          <w:tcPr>
            <w:tcW w:w="1448" w:type="dxa"/>
            <w:vAlign w:val="center"/>
          </w:tcPr>
          <w:p>
            <w:pPr>
              <w:spacing w:line="360" w:lineRule="auto"/>
              <w:jc w:val="center"/>
              <w:rPr>
                <w:rFonts w:ascii="宋体" w:hAnsi="宋体"/>
                <w:color w:val="000000" w:themeColor="text1"/>
                <w14:textFill>
                  <w14:solidFill>
                    <w14:schemeClr w14:val="tx1"/>
                  </w14:solidFill>
                </w14:textFill>
              </w:rPr>
            </w:pPr>
          </w:p>
        </w:tc>
        <w:tc>
          <w:tcPr>
            <w:tcW w:w="1194" w:type="dxa"/>
          </w:tcPr>
          <w:p>
            <w:pPr>
              <w:spacing w:line="360" w:lineRule="auto"/>
              <w:jc w:val="center"/>
              <w:rPr>
                <w:rFonts w:ascii="宋体" w:hAnsi="宋体"/>
                <w:color w:val="000000" w:themeColor="text1"/>
                <w14:textFill>
                  <w14:solidFill>
                    <w14:schemeClr w14:val="tx1"/>
                  </w14:solidFill>
                </w14:textFill>
              </w:rPr>
            </w:pPr>
          </w:p>
        </w:tc>
        <w:tc>
          <w:tcPr>
            <w:tcW w:w="1194" w:type="dxa"/>
            <w:vAlign w:val="center"/>
          </w:tcPr>
          <w:p>
            <w:pPr>
              <w:spacing w:line="360" w:lineRule="auto"/>
              <w:jc w:val="center"/>
              <w:rPr>
                <w:rFonts w:ascii="宋体" w:hAnsi="宋体"/>
                <w:color w:val="000000" w:themeColor="text1"/>
                <w14:textFill>
                  <w14:solidFill>
                    <w14:schemeClr w14:val="tx1"/>
                  </w14:solidFill>
                </w14:textFill>
              </w:rPr>
            </w:pPr>
          </w:p>
        </w:tc>
        <w:tc>
          <w:tcPr>
            <w:tcW w:w="1193" w:type="dxa"/>
            <w:vAlign w:val="center"/>
          </w:tcPr>
          <w:p>
            <w:pPr>
              <w:spacing w:line="360" w:lineRule="auto"/>
              <w:jc w:val="center"/>
              <w:rPr>
                <w:rFonts w:ascii="宋体" w:hAnsi="宋体"/>
                <w:color w:val="000000" w:themeColor="text1"/>
                <w14:textFill>
                  <w14:solidFill>
                    <w14:schemeClr w14:val="tx1"/>
                  </w14:solidFill>
                </w14:textFill>
              </w:rPr>
            </w:pPr>
          </w:p>
        </w:tc>
        <w:tc>
          <w:tcPr>
            <w:tcW w:w="717" w:type="dxa"/>
            <w:vAlign w:val="center"/>
          </w:tcPr>
          <w:p>
            <w:pPr>
              <w:spacing w:line="360" w:lineRule="auto"/>
              <w:jc w:val="center"/>
              <w:rPr>
                <w:rFonts w:ascii="宋体" w:hAnsi="宋体"/>
                <w:color w:val="000000" w:themeColor="text1"/>
                <w14:textFill>
                  <w14:solidFill>
                    <w14:schemeClr w14:val="tx1"/>
                  </w14:solidFill>
                </w14:textFill>
              </w:rPr>
            </w:pPr>
          </w:p>
        </w:tc>
        <w:tc>
          <w:tcPr>
            <w:tcW w:w="835" w:type="dxa"/>
            <w:vAlign w:val="center"/>
          </w:tcPr>
          <w:p>
            <w:pPr>
              <w:spacing w:line="360" w:lineRule="auto"/>
              <w:jc w:val="center"/>
              <w:rPr>
                <w:rFonts w:ascii="宋体" w:hAnsi="宋体"/>
                <w:color w:val="000000" w:themeColor="text1"/>
                <w14:textFill>
                  <w14:solidFill>
                    <w14:schemeClr w14:val="tx1"/>
                  </w14:solidFill>
                </w14:textFill>
              </w:rPr>
            </w:pPr>
          </w:p>
        </w:tc>
        <w:tc>
          <w:tcPr>
            <w:tcW w:w="1133" w:type="dxa"/>
            <w:vAlign w:val="center"/>
          </w:tcPr>
          <w:p>
            <w:pPr>
              <w:spacing w:line="360" w:lineRule="auto"/>
              <w:jc w:val="center"/>
              <w:rPr>
                <w:rFonts w:ascii="宋体" w:hAnsi="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7389" w:type="dxa"/>
            <w:gridSpan w:val="7"/>
          </w:tcPr>
          <w:p>
            <w:pPr>
              <w:spacing w:line="360" w:lineRule="auto"/>
              <w:jc w:val="center"/>
              <w:rPr>
                <w:rFonts w:ascii="宋体" w:hAnsi="宋体"/>
                <w:color w:val="000000" w:themeColor="text1"/>
                <w14:textFill>
                  <w14:solidFill>
                    <w14:schemeClr w14:val="tx1"/>
                  </w14:solidFill>
                </w14:textFill>
              </w:rPr>
            </w:pPr>
            <w:r>
              <w:rPr>
                <w:rFonts w:hint="eastAsia" w:ascii="宋体" w:hAnsi="宋体" w:cs="宋体"/>
                <w:b/>
                <w:color w:val="000000" w:themeColor="text1"/>
                <w14:textFill>
                  <w14:solidFill>
                    <w14:schemeClr w14:val="tx1"/>
                  </w14:solidFill>
                </w14:textFill>
              </w:rPr>
              <w:t>残疾人福利性单位制造的货物</w:t>
            </w:r>
            <w:r>
              <w:rPr>
                <w:rFonts w:hint="eastAsia" w:ascii="宋体" w:hAnsi="宋体"/>
                <w:b/>
                <w:color w:val="000000" w:themeColor="text1"/>
                <w14:textFill>
                  <w14:solidFill>
                    <w14:schemeClr w14:val="tx1"/>
                  </w14:solidFill>
                </w14:textFill>
              </w:rPr>
              <w:t>总价合计</w:t>
            </w:r>
          </w:p>
        </w:tc>
        <w:tc>
          <w:tcPr>
            <w:tcW w:w="1133" w:type="dxa"/>
            <w:vAlign w:val="center"/>
          </w:tcPr>
          <w:p>
            <w:pPr>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w:t>
            </w:r>
          </w:p>
        </w:tc>
      </w:tr>
    </w:tbl>
    <w:p>
      <w:pPr>
        <w:spacing w:line="360" w:lineRule="auto"/>
        <w:rPr>
          <w:rFonts w:ascii="宋体" w:hAnsi="宋体"/>
          <w:color w:val="000000" w:themeColor="text1"/>
          <w:sz w:val="28"/>
          <w14:textFill>
            <w14:solidFill>
              <w14:schemeClr w14:val="tx1"/>
            </w14:solidFill>
          </w14:textFill>
        </w:rPr>
      </w:pPr>
    </w:p>
    <w:p>
      <w:pPr>
        <w:spacing w:line="360" w:lineRule="auto"/>
        <w:rPr>
          <w:rFonts w:ascii="宋体" w:hAnsi="宋体"/>
          <w:color w:val="000000" w:themeColor="text1"/>
          <w:sz w:val="28"/>
          <w:lang w:val="zh-CN"/>
          <w14:textFill>
            <w14:solidFill>
              <w14:schemeClr w14:val="tx1"/>
            </w14:solidFill>
          </w14:textFill>
        </w:rPr>
      </w:pPr>
      <w:r>
        <w:rPr>
          <w:rFonts w:hint="eastAsia" w:ascii="宋体" w:hAnsi="宋体"/>
          <w:color w:val="000000" w:themeColor="text1"/>
          <w:sz w:val="28"/>
          <w:lang w:val="zh-CN"/>
          <w14:textFill>
            <w14:solidFill>
              <w14:schemeClr w14:val="tx1"/>
            </w14:solidFill>
          </w14:textFill>
        </w:rPr>
        <w:t>投标人名称：</w:t>
      </w:r>
      <w:r>
        <w:rPr>
          <w:rFonts w:ascii="宋体" w:hAnsi="宋体"/>
          <w:color w:val="000000" w:themeColor="text1"/>
          <w:sz w:val="28"/>
          <w:u w:val="single"/>
          <w:lang w:val="zh-CN"/>
          <w14:textFill>
            <w14:solidFill>
              <w14:schemeClr w14:val="tx1"/>
            </w14:solidFill>
          </w14:textFill>
        </w:rPr>
        <w:t>XXXXXXXX</w:t>
      </w:r>
    </w:p>
    <w:p>
      <w:pPr>
        <w:pStyle w:val="12"/>
        <w:spacing w:after="0" w:line="240" w:lineRule="auto"/>
        <w:ind w:firstLine="0"/>
        <w:rPr>
          <w:rFonts w:ascii="宋体" w:hAnsi="宋体"/>
          <w:bCs/>
          <w:color w:val="000000" w:themeColor="text1"/>
          <w:sz w:val="28"/>
          <w14:textFill>
            <w14:solidFill>
              <w14:schemeClr w14:val="tx1"/>
            </w14:solidFill>
          </w14:textFill>
        </w:rPr>
      </w:pPr>
      <w:r>
        <w:rPr>
          <w:rFonts w:ascii="宋体" w:hAnsi="宋体"/>
          <w:color w:val="000000" w:themeColor="text1"/>
          <w:sz w:val="28"/>
          <w14:textFill>
            <w14:solidFill>
              <w14:schemeClr w14:val="tx1"/>
            </w14:solidFill>
          </w14:textFill>
        </w:rPr>
        <w:t>日期：</w:t>
      </w:r>
      <w:r>
        <w:rPr>
          <w:rFonts w:ascii="宋体" w:hAnsi="宋体"/>
          <w:bCs/>
          <w:color w:val="000000" w:themeColor="text1"/>
          <w:sz w:val="28"/>
          <w14:textFill>
            <w14:solidFill>
              <w14:schemeClr w14:val="tx1"/>
            </w14:solidFill>
          </w14:textFill>
        </w:rPr>
        <w:t>202X年XX月XX日</w:t>
      </w:r>
    </w:p>
    <w:p>
      <w:pPr>
        <w:pStyle w:val="12"/>
        <w:spacing w:after="0" w:line="240" w:lineRule="auto"/>
        <w:ind w:firstLine="0"/>
        <w:rPr>
          <w:rFonts w:ascii="宋体" w:hAnsi="宋体"/>
          <w:bCs/>
          <w:color w:val="000000" w:themeColor="text1"/>
          <w:sz w:val="28"/>
          <w14:textFill>
            <w14:solidFill>
              <w14:schemeClr w14:val="tx1"/>
            </w14:solidFill>
          </w14:textFill>
        </w:rPr>
      </w:pPr>
    </w:p>
    <w:p>
      <w:pPr>
        <w:pStyle w:val="12"/>
        <w:spacing w:after="0" w:line="240" w:lineRule="auto"/>
        <w:ind w:firstLine="0"/>
        <w:rPr>
          <w:rFonts w:ascii="宋体" w:hAnsi="宋体"/>
          <w:bCs/>
          <w:color w:val="000000" w:themeColor="text1"/>
          <w:sz w:val="28"/>
          <w14:textFill>
            <w14:solidFill>
              <w14:schemeClr w14:val="tx1"/>
            </w14:solidFill>
          </w14:textFill>
        </w:rPr>
      </w:pPr>
    </w:p>
    <w:p>
      <w:pPr>
        <w:pStyle w:val="12"/>
        <w:spacing w:after="0" w:line="240" w:lineRule="auto"/>
        <w:ind w:firstLine="0"/>
        <w:rPr>
          <w:rFonts w:ascii="宋体" w:hAnsi="宋体"/>
          <w:bCs/>
          <w:color w:val="000000" w:themeColor="text1"/>
          <w:sz w:val="28"/>
          <w14:textFill>
            <w14:solidFill>
              <w14:schemeClr w14:val="tx1"/>
            </w14:solidFill>
          </w14:textFill>
        </w:rPr>
      </w:pPr>
    </w:p>
    <w:p>
      <w:pPr>
        <w:pStyle w:val="12"/>
        <w:spacing w:after="0" w:line="240" w:lineRule="auto"/>
        <w:ind w:firstLine="0"/>
        <w:rPr>
          <w:rFonts w:ascii="宋体" w:hAnsi="宋体"/>
          <w:bCs/>
          <w:color w:val="000000" w:themeColor="text1"/>
          <w:sz w:val="28"/>
          <w14:textFill>
            <w14:solidFill>
              <w14:schemeClr w14:val="tx1"/>
            </w14:solidFill>
          </w14:textFill>
        </w:rPr>
      </w:pPr>
    </w:p>
    <w:p>
      <w:pPr>
        <w:pStyle w:val="12"/>
        <w:spacing w:after="0" w:line="240" w:lineRule="auto"/>
        <w:ind w:firstLine="0"/>
        <w:rPr>
          <w:rFonts w:ascii="宋体" w:hAnsi="宋体"/>
          <w:bCs/>
          <w:color w:val="000000" w:themeColor="text1"/>
          <w:sz w:val="28"/>
          <w14:textFill>
            <w14:solidFill>
              <w14:schemeClr w14:val="tx1"/>
            </w14:solidFill>
          </w14:textFill>
        </w:rPr>
      </w:pPr>
    </w:p>
    <w:p>
      <w:pPr>
        <w:pStyle w:val="12"/>
        <w:spacing w:after="0" w:line="240" w:lineRule="auto"/>
        <w:ind w:firstLine="0"/>
        <w:rPr>
          <w:rFonts w:ascii="宋体" w:hAnsi="宋体"/>
          <w:bCs/>
          <w:color w:val="000000" w:themeColor="text1"/>
          <w:sz w:val="28"/>
          <w14:textFill>
            <w14:solidFill>
              <w14:schemeClr w14:val="tx1"/>
            </w14:solidFill>
          </w14:textFill>
        </w:rPr>
      </w:pPr>
    </w:p>
    <w:p>
      <w:pPr>
        <w:keepNext/>
        <w:keepLines/>
        <w:numPr>
          <w:ilvl w:val="2"/>
          <w:numId w:val="1"/>
        </w:numPr>
        <w:spacing w:line="360" w:lineRule="auto"/>
        <w:ind w:left="3119" w:hanging="3119"/>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中小企业声明函</w:t>
      </w:r>
    </w:p>
    <w:p>
      <w:pPr>
        <w:spacing w:line="588" w:lineRule="exact"/>
        <w:jc w:val="center"/>
        <w:rPr>
          <w:rFonts w:ascii="宋体" w:hAnsi="宋体"/>
          <w:b/>
          <w:color w:val="000000" w:themeColor="text1"/>
          <w:spacing w:val="6"/>
          <w:sz w:val="28"/>
          <w:szCs w:val="28"/>
          <w14:textFill>
            <w14:solidFill>
              <w14:schemeClr w14:val="tx1"/>
            </w14:solidFill>
          </w14:textFill>
        </w:rPr>
      </w:pPr>
      <w:r>
        <w:rPr>
          <w:rFonts w:hint="eastAsia" w:ascii="宋体" w:hAnsi="宋体"/>
          <w:b/>
          <w:color w:val="000000" w:themeColor="text1"/>
          <w:spacing w:val="6"/>
          <w:sz w:val="28"/>
          <w:szCs w:val="28"/>
          <w14:textFill>
            <w14:solidFill>
              <w14:schemeClr w14:val="tx1"/>
            </w14:solidFill>
          </w14:textFill>
        </w:rPr>
        <w:t>中小企业声明函</w:t>
      </w:r>
    </w:p>
    <w:p>
      <w:pPr>
        <w:spacing w:line="588" w:lineRule="exact"/>
        <w:ind w:firstLine="563"/>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本公司郑重声明，根据《政府采购促进中小企业发展管理办法》（财库﹝2020﹞46 号）的规定，本公司参加</w:t>
      </w:r>
      <w:r>
        <w:rPr>
          <w:rFonts w:hint="eastAsia" w:ascii="宋体" w:hAnsi="宋体"/>
          <w:color w:val="000000" w:themeColor="text1"/>
          <w:sz w:val="28"/>
          <w:szCs w:val="28"/>
          <w:u w:val="single"/>
          <w14:textFill>
            <w14:solidFill>
              <w14:schemeClr w14:val="tx1"/>
            </w14:solidFill>
          </w14:textFill>
        </w:rPr>
        <w:t>（单位名称）</w:t>
      </w:r>
      <w:r>
        <w:rPr>
          <w:rFonts w:hint="eastAsia" w:ascii="宋体" w:hAnsi="宋体"/>
          <w:color w:val="000000" w:themeColor="text1"/>
          <w:sz w:val="28"/>
          <w:szCs w:val="28"/>
          <w14:textFill>
            <w14:solidFill>
              <w14:schemeClr w14:val="tx1"/>
            </w14:solidFill>
          </w14:textFill>
        </w:rPr>
        <w:t>的</w:t>
      </w:r>
      <w:r>
        <w:rPr>
          <w:rFonts w:hint="eastAsia" w:ascii="宋体" w:hAnsi="宋体"/>
          <w:color w:val="000000" w:themeColor="text1"/>
          <w:sz w:val="28"/>
          <w:szCs w:val="28"/>
          <w:u w:val="single"/>
          <w14:textFill>
            <w14:solidFill>
              <w14:schemeClr w14:val="tx1"/>
            </w14:solidFill>
          </w14:textFill>
        </w:rPr>
        <w:t>（项目名称）</w:t>
      </w:r>
      <w:r>
        <w:rPr>
          <w:rFonts w:hint="eastAsia" w:ascii="宋体" w:hAnsi="宋体"/>
          <w:color w:val="000000" w:themeColor="text1"/>
          <w:sz w:val="28"/>
          <w:szCs w:val="28"/>
          <w14:textFill>
            <w14:solidFill>
              <w14:schemeClr w14:val="tx1"/>
            </w14:solidFill>
          </w14:textFill>
        </w:rPr>
        <w:t>采购活动，提供的货物全部由符合政策要求的中小企业制造。相关企业的具体情况如下：</w:t>
      </w:r>
    </w:p>
    <w:p>
      <w:pPr>
        <w:spacing w:line="588" w:lineRule="exact"/>
        <w:ind w:firstLine="563"/>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 1.</w:t>
      </w:r>
      <w:r>
        <w:rPr>
          <w:rFonts w:hint="eastAsia" w:ascii="宋体" w:hAnsi="宋体"/>
          <w:color w:val="000000" w:themeColor="text1"/>
          <w:sz w:val="28"/>
          <w:szCs w:val="28"/>
          <w:u w:val="single"/>
          <w14:textFill>
            <w14:solidFill>
              <w14:schemeClr w14:val="tx1"/>
            </w14:solidFill>
          </w14:textFill>
        </w:rPr>
        <w:t xml:space="preserve"> ___XXXX____</w:t>
      </w:r>
      <w:r>
        <w:rPr>
          <w:rFonts w:hint="eastAsia" w:ascii="宋体" w:hAnsi="宋体"/>
          <w:color w:val="000000" w:themeColor="text1"/>
          <w:sz w:val="28"/>
          <w:szCs w:val="28"/>
          <w14:textFill>
            <w14:solidFill>
              <w14:schemeClr w14:val="tx1"/>
            </w14:solidFill>
          </w14:textFill>
        </w:rPr>
        <w:t>（标的名称），属于</w:t>
      </w:r>
      <w:r>
        <w:rPr>
          <w:rFonts w:hint="eastAsia" w:ascii="宋体" w:hAnsi="宋体"/>
          <w:color w:val="000000" w:themeColor="text1"/>
          <w:sz w:val="28"/>
          <w:szCs w:val="28"/>
          <w:u w:val="single"/>
          <w14:textFill>
            <w14:solidFill>
              <w14:schemeClr w14:val="tx1"/>
            </w14:solidFill>
          </w14:textFill>
        </w:rPr>
        <w:t>___XXXX____</w:t>
      </w:r>
      <w:r>
        <w:rPr>
          <w:rFonts w:hint="eastAsia" w:ascii="宋体" w:hAnsi="宋体"/>
          <w:color w:val="000000" w:themeColor="text1"/>
          <w:sz w:val="28"/>
          <w:szCs w:val="28"/>
          <w14:textFill>
            <w14:solidFill>
              <w14:schemeClr w14:val="tx1"/>
            </w14:solidFill>
          </w14:textFill>
        </w:rPr>
        <w:t>（采购文件中明确的所属行业） 行业；制造商为</w:t>
      </w:r>
      <w:r>
        <w:rPr>
          <w:rFonts w:hint="eastAsia" w:ascii="宋体" w:hAnsi="宋体"/>
          <w:color w:val="000000" w:themeColor="text1"/>
          <w:sz w:val="28"/>
          <w:szCs w:val="28"/>
          <w:u w:val="single"/>
          <w14:textFill>
            <w14:solidFill>
              <w14:schemeClr w14:val="tx1"/>
            </w14:solidFill>
          </w14:textFill>
        </w:rPr>
        <w:t>___XXXX____</w:t>
      </w:r>
      <w:r>
        <w:rPr>
          <w:rFonts w:hint="eastAsia" w:ascii="宋体" w:hAnsi="宋体"/>
          <w:color w:val="000000" w:themeColor="text1"/>
          <w:sz w:val="28"/>
          <w:szCs w:val="28"/>
          <w14:textFill>
            <w14:solidFill>
              <w14:schemeClr w14:val="tx1"/>
            </w14:solidFill>
          </w14:textFill>
        </w:rPr>
        <w:t>（企业名称），从业人员</w:t>
      </w:r>
      <w:r>
        <w:rPr>
          <w:rFonts w:hint="eastAsia" w:ascii="宋体" w:hAnsi="宋体"/>
          <w:color w:val="000000" w:themeColor="text1"/>
          <w:sz w:val="28"/>
          <w:szCs w:val="28"/>
          <w:u w:val="single"/>
          <w14:textFill>
            <w14:solidFill>
              <w14:schemeClr w14:val="tx1"/>
            </w14:solidFill>
          </w14:textFill>
        </w:rPr>
        <w:t>__XXXX__</w:t>
      </w:r>
      <w:r>
        <w:rPr>
          <w:rFonts w:hint="eastAsia" w:ascii="宋体" w:hAnsi="宋体"/>
          <w:color w:val="000000" w:themeColor="text1"/>
          <w:sz w:val="28"/>
          <w:szCs w:val="28"/>
          <w14:textFill>
            <w14:solidFill>
              <w14:schemeClr w14:val="tx1"/>
            </w14:solidFill>
          </w14:textFill>
        </w:rPr>
        <w:t>人，营业收入为</w:t>
      </w:r>
      <w:r>
        <w:rPr>
          <w:rFonts w:hint="eastAsia" w:ascii="宋体" w:hAnsi="宋体"/>
          <w:color w:val="000000" w:themeColor="text1"/>
          <w:sz w:val="28"/>
          <w:szCs w:val="28"/>
          <w:u w:val="single"/>
          <w14:textFill>
            <w14:solidFill>
              <w14:schemeClr w14:val="tx1"/>
            </w14:solidFill>
          </w14:textFill>
        </w:rPr>
        <w:t>__XXXX__</w:t>
      </w:r>
      <w:r>
        <w:rPr>
          <w:rFonts w:hint="eastAsia" w:ascii="宋体" w:hAnsi="宋体"/>
          <w:color w:val="000000" w:themeColor="text1"/>
          <w:sz w:val="28"/>
          <w:szCs w:val="28"/>
          <w14:textFill>
            <w14:solidFill>
              <w14:schemeClr w14:val="tx1"/>
            </w14:solidFill>
          </w14:textFill>
        </w:rPr>
        <w:t>万元，资产总额为</w:t>
      </w:r>
      <w:r>
        <w:rPr>
          <w:rFonts w:hint="eastAsia" w:ascii="宋体" w:hAnsi="宋体"/>
          <w:color w:val="000000" w:themeColor="text1"/>
          <w:sz w:val="28"/>
          <w:szCs w:val="28"/>
          <w:u w:val="single"/>
          <w14:textFill>
            <w14:solidFill>
              <w14:schemeClr w14:val="tx1"/>
            </w14:solidFill>
          </w14:textFill>
        </w:rPr>
        <w:t>__XXXX__</w:t>
      </w:r>
      <w:r>
        <w:rPr>
          <w:rFonts w:hint="eastAsia" w:ascii="宋体" w:hAnsi="宋体"/>
          <w:color w:val="000000" w:themeColor="text1"/>
          <w:sz w:val="28"/>
          <w:szCs w:val="28"/>
          <w14:textFill>
            <w14:solidFill>
              <w14:schemeClr w14:val="tx1"/>
            </w14:solidFill>
          </w14:textFill>
        </w:rPr>
        <w:t>万元，属于</w:t>
      </w:r>
      <w:r>
        <w:rPr>
          <w:rFonts w:hint="eastAsia" w:ascii="宋体" w:hAnsi="宋体"/>
          <w:color w:val="000000" w:themeColor="text1"/>
          <w:sz w:val="28"/>
          <w:szCs w:val="28"/>
          <w:u w:val="single"/>
          <w14:textFill>
            <w14:solidFill>
              <w14:schemeClr w14:val="tx1"/>
            </w14:solidFill>
          </w14:textFill>
        </w:rPr>
        <w:t>__XXXX__</w:t>
      </w:r>
      <w:r>
        <w:rPr>
          <w:rFonts w:hint="eastAsia" w:ascii="宋体" w:hAnsi="宋体"/>
          <w:color w:val="000000" w:themeColor="text1"/>
          <w:sz w:val="28"/>
          <w:szCs w:val="28"/>
          <w14:textFill>
            <w14:solidFill>
              <w14:schemeClr w14:val="tx1"/>
            </w14:solidFill>
          </w14:textFill>
        </w:rPr>
        <w:t>（中型企业、小型企业、微型企业）；</w:t>
      </w:r>
    </w:p>
    <w:p>
      <w:pPr>
        <w:spacing w:line="588" w:lineRule="exact"/>
        <w:ind w:firstLine="563"/>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2. </w:t>
      </w:r>
      <w:r>
        <w:rPr>
          <w:rFonts w:hint="eastAsia" w:ascii="宋体" w:hAnsi="宋体"/>
          <w:color w:val="000000" w:themeColor="text1"/>
          <w:sz w:val="28"/>
          <w:szCs w:val="28"/>
          <w:u w:val="single"/>
          <w14:textFill>
            <w14:solidFill>
              <w14:schemeClr w14:val="tx1"/>
            </w14:solidFill>
          </w14:textFill>
        </w:rPr>
        <w:t>___XXXX____</w:t>
      </w:r>
      <w:r>
        <w:rPr>
          <w:rFonts w:hint="eastAsia" w:ascii="宋体" w:hAnsi="宋体"/>
          <w:color w:val="000000" w:themeColor="text1"/>
          <w:sz w:val="28"/>
          <w:szCs w:val="28"/>
          <w14:textFill>
            <w14:solidFill>
              <w14:schemeClr w14:val="tx1"/>
            </w14:solidFill>
          </w14:textFill>
        </w:rPr>
        <w:t>（标的名称），属于</w:t>
      </w:r>
      <w:r>
        <w:rPr>
          <w:rFonts w:hint="eastAsia" w:ascii="宋体" w:hAnsi="宋体"/>
          <w:color w:val="000000" w:themeColor="text1"/>
          <w:sz w:val="28"/>
          <w:szCs w:val="28"/>
          <w:u w:val="single"/>
          <w14:textFill>
            <w14:solidFill>
              <w14:schemeClr w14:val="tx1"/>
            </w14:solidFill>
          </w14:textFill>
        </w:rPr>
        <w:t>___XXXX____</w:t>
      </w:r>
      <w:r>
        <w:rPr>
          <w:rFonts w:hint="eastAsia" w:ascii="宋体" w:hAnsi="宋体"/>
          <w:color w:val="000000" w:themeColor="text1"/>
          <w:sz w:val="28"/>
          <w:szCs w:val="28"/>
          <w14:textFill>
            <w14:solidFill>
              <w14:schemeClr w14:val="tx1"/>
            </w14:solidFill>
          </w14:textFill>
        </w:rPr>
        <w:t>（采购文件中明确的所属行业） 行业；制造商为</w:t>
      </w:r>
      <w:r>
        <w:rPr>
          <w:rFonts w:hint="eastAsia" w:ascii="宋体" w:hAnsi="宋体"/>
          <w:color w:val="000000" w:themeColor="text1"/>
          <w:sz w:val="28"/>
          <w:szCs w:val="28"/>
          <w:u w:val="single"/>
          <w14:textFill>
            <w14:solidFill>
              <w14:schemeClr w14:val="tx1"/>
            </w14:solidFill>
          </w14:textFill>
        </w:rPr>
        <w:t>__XXXX__</w:t>
      </w:r>
      <w:r>
        <w:rPr>
          <w:rFonts w:hint="eastAsia" w:ascii="宋体" w:hAnsi="宋体"/>
          <w:color w:val="000000" w:themeColor="text1"/>
          <w:sz w:val="28"/>
          <w:szCs w:val="28"/>
          <w14:textFill>
            <w14:solidFill>
              <w14:schemeClr w14:val="tx1"/>
            </w14:solidFill>
          </w14:textFill>
        </w:rPr>
        <w:t>（企业名称），从业人员</w:t>
      </w:r>
      <w:r>
        <w:rPr>
          <w:rFonts w:hint="eastAsia" w:ascii="宋体" w:hAnsi="宋体"/>
          <w:color w:val="000000" w:themeColor="text1"/>
          <w:sz w:val="28"/>
          <w:szCs w:val="28"/>
          <w:u w:val="single"/>
          <w14:textFill>
            <w14:solidFill>
              <w14:schemeClr w14:val="tx1"/>
            </w14:solidFill>
          </w14:textFill>
        </w:rPr>
        <w:t>__XXXX__</w:t>
      </w:r>
      <w:r>
        <w:rPr>
          <w:rFonts w:hint="eastAsia" w:ascii="宋体" w:hAnsi="宋体"/>
          <w:color w:val="000000" w:themeColor="text1"/>
          <w:sz w:val="28"/>
          <w:szCs w:val="28"/>
          <w14:textFill>
            <w14:solidFill>
              <w14:schemeClr w14:val="tx1"/>
            </w14:solidFill>
          </w14:textFill>
        </w:rPr>
        <w:t>人，营业收入为</w:t>
      </w:r>
      <w:r>
        <w:rPr>
          <w:rFonts w:hint="eastAsia" w:ascii="宋体" w:hAnsi="宋体"/>
          <w:color w:val="000000" w:themeColor="text1"/>
          <w:sz w:val="28"/>
          <w:szCs w:val="28"/>
          <w:u w:val="single"/>
          <w14:textFill>
            <w14:solidFill>
              <w14:schemeClr w14:val="tx1"/>
            </w14:solidFill>
          </w14:textFill>
        </w:rPr>
        <w:t>__XXXX__</w:t>
      </w:r>
      <w:r>
        <w:rPr>
          <w:rFonts w:hint="eastAsia" w:ascii="宋体" w:hAnsi="宋体"/>
          <w:color w:val="000000" w:themeColor="text1"/>
          <w:sz w:val="28"/>
          <w:szCs w:val="28"/>
          <w14:textFill>
            <w14:solidFill>
              <w14:schemeClr w14:val="tx1"/>
            </w14:solidFill>
          </w14:textFill>
        </w:rPr>
        <w:t>万元，资产总额为</w:t>
      </w:r>
      <w:r>
        <w:rPr>
          <w:rFonts w:hint="eastAsia" w:ascii="宋体" w:hAnsi="宋体"/>
          <w:color w:val="000000" w:themeColor="text1"/>
          <w:sz w:val="28"/>
          <w:szCs w:val="28"/>
          <w:u w:val="single"/>
          <w14:textFill>
            <w14:solidFill>
              <w14:schemeClr w14:val="tx1"/>
            </w14:solidFill>
          </w14:textFill>
        </w:rPr>
        <w:t>__XXXX__</w:t>
      </w:r>
      <w:r>
        <w:rPr>
          <w:rFonts w:hint="eastAsia" w:ascii="宋体" w:hAnsi="宋体"/>
          <w:color w:val="000000" w:themeColor="text1"/>
          <w:sz w:val="28"/>
          <w:szCs w:val="28"/>
          <w14:textFill>
            <w14:solidFill>
              <w14:schemeClr w14:val="tx1"/>
            </w14:solidFill>
          </w14:textFill>
        </w:rPr>
        <w:t>万元，属于</w:t>
      </w:r>
      <w:r>
        <w:rPr>
          <w:rFonts w:hint="eastAsia" w:ascii="宋体" w:hAnsi="宋体"/>
          <w:color w:val="000000" w:themeColor="text1"/>
          <w:sz w:val="28"/>
          <w:szCs w:val="28"/>
          <w:u w:val="single"/>
          <w14:textFill>
            <w14:solidFill>
              <w14:schemeClr w14:val="tx1"/>
            </w14:solidFill>
          </w14:textFill>
        </w:rPr>
        <w:t>__XXXX__</w:t>
      </w:r>
      <w:r>
        <w:rPr>
          <w:rFonts w:hint="eastAsia" w:ascii="宋体" w:hAnsi="宋体"/>
          <w:color w:val="000000" w:themeColor="text1"/>
          <w:sz w:val="28"/>
          <w:szCs w:val="28"/>
          <w14:textFill>
            <w14:solidFill>
              <w14:schemeClr w14:val="tx1"/>
            </w14:solidFill>
          </w14:textFill>
        </w:rPr>
        <w:t>（中型企业、小型企业、微型企业）；</w:t>
      </w:r>
    </w:p>
    <w:p>
      <w:pPr>
        <w:spacing w:line="588" w:lineRule="exact"/>
        <w:ind w:firstLine="563"/>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w:t>
      </w:r>
    </w:p>
    <w:p>
      <w:pPr>
        <w:spacing w:line="588" w:lineRule="exact"/>
        <w:ind w:firstLine="563"/>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以上企业，不属于大企业的分支机构，不存在控股股东 为大企业的情形，也不存在与大企业的负责人为同一人的情形。</w:t>
      </w:r>
    </w:p>
    <w:p>
      <w:pPr>
        <w:spacing w:line="588" w:lineRule="exact"/>
        <w:ind w:firstLine="563"/>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本企业对上述声明内容的真实性负责。如有虚假，将依法承担相应责任。</w:t>
      </w:r>
    </w:p>
    <w:p>
      <w:pPr>
        <w:spacing w:line="588" w:lineRule="exact"/>
        <w:ind w:firstLine="5040" w:firstLineChars="18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企业名称：</w:t>
      </w:r>
      <w:r>
        <w:rPr>
          <w:rFonts w:hint="eastAsia" w:ascii="宋体" w:hAnsi="宋体"/>
          <w:color w:val="000000" w:themeColor="text1"/>
          <w:sz w:val="28"/>
          <w:szCs w:val="28"/>
          <w:u w:val="single"/>
          <w14:textFill>
            <w14:solidFill>
              <w14:schemeClr w14:val="tx1"/>
            </w14:solidFill>
          </w14:textFill>
        </w:rPr>
        <w:t>___XXXX____</w:t>
      </w:r>
    </w:p>
    <w:p>
      <w:pPr>
        <w:spacing w:line="588" w:lineRule="exact"/>
        <w:ind w:firstLine="563"/>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                                日 期：</w:t>
      </w:r>
      <w:r>
        <w:rPr>
          <w:rFonts w:ascii="宋体" w:hAnsi="宋体"/>
          <w:color w:val="000000" w:themeColor="text1"/>
          <w:sz w:val="28"/>
          <w:szCs w:val="28"/>
          <w:u w:val="single"/>
          <w14:textFill>
            <w14:solidFill>
              <w14:schemeClr w14:val="tx1"/>
            </w14:solidFill>
          </w14:textFill>
        </w:rPr>
        <w:t>202X</w:t>
      </w:r>
      <w:r>
        <w:rPr>
          <w:rFonts w:hint="eastAsia" w:ascii="宋体" w:hAnsi="宋体"/>
          <w:color w:val="000000" w:themeColor="text1"/>
          <w:sz w:val="28"/>
          <w14:textFill>
            <w14:solidFill>
              <w14:schemeClr w14:val="tx1"/>
            </w14:solidFill>
          </w14:textFill>
        </w:rPr>
        <w:t>年</w:t>
      </w:r>
      <w:r>
        <w:rPr>
          <w:rFonts w:ascii="宋体" w:hAnsi="宋体"/>
          <w:color w:val="000000" w:themeColor="text1"/>
          <w:sz w:val="28"/>
          <w:szCs w:val="28"/>
          <w:u w:val="single"/>
          <w14:textFill>
            <w14:solidFill>
              <w14:schemeClr w14:val="tx1"/>
            </w14:solidFill>
          </w14:textFill>
        </w:rPr>
        <w:t>XX</w:t>
      </w:r>
      <w:r>
        <w:rPr>
          <w:rFonts w:hint="eastAsia" w:ascii="宋体" w:hAnsi="宋体"/>
          <w:color w:val="000000" w:themeColor="text1"/>
          <w:sz w:val="28"/>
          <w14:textFill>
            <w14:solidFill>
              <w14:schemeClr w14:val="tx1"/>
            </w14:solidFill>
          </w14:textFill>
        </w:rPr>
        <w:t>月</w:t>
      </w:r>
      <w:r>
        <w:rPr>
          <w:rFonts w:ascii="宋体" w:hAnsi="宋体"/>
          <w:color w:val="000000" w:themeColor="text1"/>
          <w:sz w:val="28"/>
          <w:szCs w:val="28"/>
          <w:u w:val="single"/>
          <w14:textFill>
            <w14:solidFill>
              <w14:schemeClr w14:val="tx1"/>
            </w14:solidFill>
          </w14:textFill>
        </w:rPr>
        <w:t>XX</w:t>
      </w:r>
      <w:r>
        <w:rPr>
          <w:rFonts w:hint="eastAsia" w:ascii="宋体" w:hAnsi="宋体"/>
          <w:color w:val="000000" w:themeColor="text1"/>
          <w:sz w:val="28"/>
          <w14:textFill>
            <w14:solidFill>
              <w14:schemeClr w14:val="tx1"/>
            </w14:solidFill>
          </w14:textFill>
        </w:rPr>
        <w:t>日</w:t>
      </w:r>
    </w:p>
    <w:p>
      <w:pPr>
        <w:pStyle w:val="79"/>
        <w:tabs>
          <w:tab w:val="left" w:pos="567"/>
          <w:tab w:val="left" w:pos="709"/>
          <w:tab w:val="left" w:pos="851"/>
        </w:tabs>
        <w:spacing w:before="60" w:line="360" w:lineRule="auto"/>
        <w:ind w:firstLine="0" w:firstLineChars="0"/>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说明：</w:t>
      </w:r>
      <w:r>
        <w:rPr>
          <w:rFonts w:ascii="宋体" w:hAnsi="宋体"/>
          <w:b/>
          <w:color w:val="000000" w:themeColor="text1"/>
          <w:sz w:val="28"/>
          <w:szCs w:val="28"/>
          <w14:textFill>
            <w14:solidFill>
              <w14:schemeClr w14:val="tx1"/>
            </w14:solidFill>
          </w14:textFill>
        </w:rPr>
        <w:t>从业人员、营业收入、资产总额填报上</w:t>
      </w:r>
      <w:r>
        <w:rPr>
          <w:rFonts w:hint="eastAsia" w:ascii="宋体" w:hAnsi="宋体"/>
          <w:b/>
          <w:color w:val="000000" w:themeColor="text1"/>
          <w:sz w:val="28"/>
          <w:szCs w:val="28"/>
          <w14:textFill>
            <w14:solidFill>
              <w14:schemeClr w14:val="tx1"/>
            </w14:solidFill>
          </w14:textFill>
        </w:rPr>
        <w:t>一</w:t>
      </w:r>
      <w:r>
        <w:rPr>
          <w:rFonts w:ascii="宋体" w:hAnsi="宋体"/>
          <w:b/>
          <w:color w:val="000000" w:themeColor="text1"/>
          <w:sz w:val="28"/>
          <w:szCs w:val="28"/>
          <w14:textFill>
            <w14:solidFill>
              <w14:schemeClr w14:val="tx1"/>
            </w14:solidFill>
          </w14:textFill>
        </w:rPr>
        <w:t>年度数据，无上一年度</w:t>
      </w:r>
      <w:r>
        <w:rPr>
          <w:rFonts w:hint="eastAsia" w:ascii="宋体" w:hAnsi="宋体"/>
          <w:b/>
          <w:color w:val="000000" w:themeColor="text1"/>
          <w:sz w:val="28"/>
          <w:szCs w:val="28"/>
          <w14:textFill>
            <w14:solidFill>
              <w14:schemeClr w14:val="tx1"/>
            </w14:solidFill>
          </w14:textFill>
        </w:rPr>
        <w:t>数据</w:t>
      </w:r>
      <w:r>
        <w:rPr>
          <w:rFonts w:ascii="宋体" w:hAnsi="宋体"/>
          <w:b/>
          <w:color w:val="000000" w:themeColor="text1"/>
          <w:sz w:val="28"/>
          <w:szCs w:val="28"/>
          <w14:textFill>
            <w14:solidFill>
              <w14:schemeClr w14:val="tx1"/>
            </w14:solidFill>
          </w14:textFill>
        </w:rPr>
        <w:t>的新成立企业可不填报。</w:t>
      </w:r>
    </w:p>
    <w:p>
      <w:pPr>
        <w:keepNext/>
        <w:keepLines/>
        <w:numPr>
          <w:ilvl w:val="2"/>
          <w:numId w:val="1"/>
        </w:numPr>
        <w:spacing w:line="360" w:lineRule="auto"/>
        <w:ind w:left="3119" w:hanging="3119"/>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残疾人福利性单位声明函</w:t>
      </w:r>
    </w:p>
    <w:p>
      <w:pPr>
        <w:spacing w:line="588" w:lineRule="exact"/>
        <w:ind w:firstLine="562" w:firstLineChars="200"/>
        <w:jc w:val="center"/>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残疾人福利性单位声明函</w:t>
      </w:r>
    </w:p>
    <w:p>
      <w:pPr>
        <w:spacing w:line="360" w:lineRule="auto"/>
        <w:ind w:firstLine="584" w:firstLineChars="200"/>
        <w:rPr>
          <w:rFonts w:ascii="宋体" w:hAnsi="宋体"/>
          <w:color w:val="000000" w:themeColor="text1"/>
          <w:spacing w:val="6"/>
          <w:sz w:val="28"/>
          <w:szCs w:val="28"/>
          <w14:textFill>
            <w14:solidFill>
              <w14:schemeClr w14:val="tx1"/>
            </w14:solidFill>
          </w14:textFill>
        </w:rPr>
      </w:pPr>
      <w:r>
        <w:rPr>
          <w:rFonts w:hint="eastAsia" w:ascii="宋体" w:hAnsi="宋体"/>
          <w:color w:val="000000" w:themeColor="text1"/>
          <w:spacing w:val="6"/>
          <w:sz w:val="28"/>
          <w:szCs w:val="28"/>
          <w14:textFill>
            <w14:solidFill>
              <w14:schemeClr w14:val="tx1"/>
            </w14:solidFill>
          </w14:textFill>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olor w:val="000000" w:themeColor="text1"/>
          <w:spacing w:val="6"/>
          <w:sz w:val="28"/>
          <w:szCs w:val="28"/>
          <w:u w:val="single"/>
          <w14:textFill>
            <w14:solidFill>
              <w14:schemeClr w14:val="tx1"/>
            </w14:solidFill>
          </w14:textFill>
        </w:rPr>
        <w:t>XXXX单位的XXXX项目</w:t>
      </w:r>
      <w:r>
        <w:rPr>
          <w:rFonts w:hint="eastAsia" w:ascii="宋体" w:hAnsi="宋体"/>
          <w:color w:val="000000" w:themeColor="text1"/>
          <w:spacing w:val="6"/>
          <w:sz w:val="28"/>
          <w:szCs w:val="28"/>
          <w14:textFill>
            <w14:solidFill>
              <w14:schemeClr w14:val="tx1"/>
            </w14:solidFill>
          </w14:textFill>
        </w:rPr>
        <w:t>采购活动提供本单位制造的货物，或者提供其他残疾人福利性单位制造的货物（不包括使用非残疾人福利性单位注册商标的货物）。</w:t>
      </w:r>
    </w:p>
    <w:p>
      <w:pPr>
        <w:spacing w:line="360" w:lineRule="auto"/>
        <w:ind w:firstLine="584" w:firstLineChars="200"/>
        <w:rPr>
          <w:rFonts w:ascii="宋体" w:hAnsi="宋体"/>
          <w:color w:val="000000" w:themeColor="text1"/>
          <w:spacing w:val="6"/>
          <w:sz w:val="28"/>
          <w:szCs w:val="28"/>
          <w14:textFill>
            <w14:solidFill>
              <w14:schemeClr w14:val="tx1"/>
            </w14:solidFill>
          </w14:textFill>
        </w:rPr>
      </w:pPr>
      <w:r>
        <w:rPr>
          <w:rFonts w:hint="eastAsia" w:ascii="宋体" w:hAnsi="宋体"/>
          <w:color w:val="000000" w:themeColor="text1"/>
          <w:spacing w:val="6"/>
          <w:sz w:val="28"/>
          <w:szCs w:val="28"/>
          <w14:textFill>
            <w14:solidFill>
              <w14:schemeClr w14:val="tx1"/>
            </w14:solidFill>
          </w14:textFill>
        </w:rPr>
        <w:t>本单位对上述声明的真实性负责。如有虚假，将依法承担相应责任。</w:t>
      </w:r>
    </w:p>
    <w:p>
      <w:pPr>
        <w:spacing w:line="360" w:lineRule="auto"/>
        <w:ind w:firstLine="584" w:firstLineChars="200"/>
        <w:rPr>
          <w:rFonts w:ascii="宋体" w:hAnsi="宋体"/>
          <w:color w:val="000000" w:themeColor="text1"/>
          <w:spacing w:val="6"/>
          <w:sz w:val="28"/>
          <w:szCs w:val="28"/>
          <w14:textFill>
            <w14:solidFill>
              <w14:schemeClr w14:val="tx1"/>
            </w14:solidFill>
          </w14:textFill>
        </w:rPr>
      </w:pPr>
    </w:p>
    <w:p>
      <w:pPr>
        <w:spacing w:line="588" w:lineRule="exact"/>
        <w:rPr>
          <w:rFonts w:ascii="宋体" w:hAnsi="宋体"/>
          <w:color w:val="000000" w:themeColor="text1"/>
          <w:spacing w:val="6"/>
          <w:sz w:val="28"/>
          <w:szCs w:val="28"/>
          <w14:textFill>
            <w14:solidFill>
              <w14:schemeClr w14:val="tx1"/>
            </w14:solidFill>
          </w14:textFill>
        </w:rPr>
      </w:pPr>
    </w:p>
    <w:p>
      <w:pPr>
        <w:spacing w:line="588" w:lineRule="exact"/>
        <w:ind w:firstLine="584" w:firstLineChars="200"/>
        <w:rPr>
          <w:rFonts w:ascii="宋体" w:hAnsi="宋体"/>
          <w:color w:val="000000" w:themeColor="text1"/>
          <w:spacing w:val="6"/>
          <w:sz w:val="28"/>
          <w:szCs w:val="28"/>
          <w14:textFill>
            <w14:solidFill>
              <w14:schemeClr w14:val="tx1"/>
            </w14:solidFill>
          </w14:textFill>
        </w:rPr>
      </w:pPr>
    </w:p>
    <w:p>
      <w:pPr>
        <w:spacing w:line="588" w:lineRule="exact"/>
        <w:ind w:firstLine="584" w:firstLineChars="200"/>
        <w:rPr>
          <w:rFonts w:ascii="宋体" w:hAnsi="宋体"/>
          <w:color w:val="000000" w:themeColor="text1"/>
          <w:spacing w:val="6"/>
          <w:sz w:val="28"/>
          <w:szCs w:val="28"/>
          <w14:textFill>
            <w14:solidFill>
              <w14:schemeClr w14:val="tx1"/>
            </w14:solidFill>
          </w14:textFill>
        </w:rPr>
      </w:pPr>
    </w:p>
    <w:p>
      <w:pPr>
        <w:tabs>
          <w:tab w:val="left" w:pos="3969"/>
        </w:tabs>
        <w:spacing w:line="588" w:lineRule="exact"/>
        <w:ind w:right="-58"/>
        <w:rPr>
          <w:rFonts w:ascii="宋体" w:hAnsi="宋体"/>
          <w:color w:val="000000" w:themeColor="text1"/>
          <w:spacing w:val="6"/>
          <w:sz w:val="28"/>
          <w:szCs w:val="28"/>
          <w14:textFill>
            <w14:solidFill>
              <w14:schemeClr w14:val="tx1"/>
            </w14:solidFill>
          </w14:textFill>
        </w:rPr>
      </w:pPr>
      <w:r>
        <w:rPr>
          <w:rFonts w:hint="eastAsia" w:ascii="宋体" w:hAnsi="宋体"/>
          <w:color w:val="000000" w:themeColor="text1"/>
          <w:spacing w:val="6"/>
          <w:sz w:val="28"/>
          <w:szCs w:val="28"/>
          <w14:textFill>
            <w14:solidFill>
              <w14:schemeClr w14:val="tx1"/>
            </w14:solidFill>
          </w14:textFill>
        </w:rPr>
        <w:t>单位名称：</w:t>
      </w:r>
      <w:r>
        <w:rPr>
          <w:rFonts w:hint="eastAsia" w:ascii="宋体" w:hAnsi="宋体"/>
          <w:color w:val="000000" w:themeColor="text1"/>
          <w:spacing w:val="6"/>
          <w:sz w:val="28"/>
          <w:szCs w:val="28"/>
          <w:u w:val="single"/>
          <w14:textFill>
            <w14:solidFill>
              <w14:schemeClr w14:val="tx1"/>
            </w14:solidFill>
          </w14:textFill>
        </w:rPr>
        <w:t>XXXX</w:t>
      </w:r>
    </w:p>
    <w:p>
      <w:pPr>
        <w:tabs>
          <w:tab w:val="left" w:pos="3969"/>
        </w:tabs>
        <w:spacing w:line="588" w:lineRule="exact"/>
        <w:ind w:right="-58"/>
        <w:rPr>
          <w:rFonts w:ascii="宋体" w:hAnsi="宋体"/>
          <w:color w:val="000000" w:themeColor="text1"/>
          <w:spacing w:val="6"/>
          <w:sz w:val="28"/>
          <w:szCs w:val="28"/>
          <w14:textFill>
            <w14:solidFill>
              <w14:schemeClr w14:val="tx1"/>
            </w14:solidFill>
          </w14:textFill>
        </w:rPr>
      </w:pPr>
      <w:r>
        <w:rPr>
          <w:rFonts w:hint="eastAsia" w:ascii="宋体" w:hAnsi="宋体"/>
          <w:color w:val="000000" w:themeColor="text1"/>
          <w:spacing w:val="6"/>
          <w:sz w:val="28"/>
          <w:szCs w:val="28"/>
          <w14:textFill>
            <w14:solidFill>
              <w14:schemeClr w14:val="tx1"/>
            </w14:solidFill>
          </w14:textFill>
        </w:rPr>
        <w:t>日  期：</w:t>
      </w:r>
      <w:r>
        <w:rPr>
          <w:rFonts w:hint="eastAsia" w:ascii="宋体" w:hAnsi="宋体"/>
          <w:bCs/>
          <w:color w:val="000000" w:themeColor="text1"/>
          <w:sz w:val="28"/>
          <w14:textFill>
            <w14:solidFill>
              <w14:schemeClr w14:val="tx1"/>
            </w14:solidFill>
          </w14:textFill>
        </w:rPr>
        <w:t>202</w:t>
      </w:r>
      <w:r>
        <w:rPr>
          <w:rFonts w:hint="eastAsia" w:ascii="宋体" w:hAnsi="宋体"/>
          <w:bCs/>
          <w:color w:val="000000" w:themeColor="text1"/>
          <w:sz w:val="28"/>
          <w:u w:val="single"/>
          <w14:textFill>
            <w14:solidFill>
              <w14:schemeClr w14:val="tx1"/>
            </w14:solidFill>
          </w14:textFill>
        </w:rPr>
        <w:t>X</w:t>
      </w:r>
      <w:r>
        <w:rPr>
          <w:rFonts w:hint="eastAsia" w:ascii="宋体" w:hAnsi="宋体"/>
          <w:bCs/>
          <w:color w:val="000000" w:themeColor="text1"/>
          <w:sz w:val="28"/>
          <w14:textFill>
            <w14:solidFill>
              <w14:schemeClr w14:val="tx1"/>
            </w14:solidFill>
          </w14:textFill>
        </w:rPr>
        <w:t>年</w:t>
      </w:r>
      <w:r>
        <w:rPr>
          <w:rFonts w:hint="eastAsia" w:ascii="宋体" w:hAnsi="宋体"/>
          <w:bCs/>
          <w:color w:val="000000" w:themeColor="text1"/>
          <w:sz w:val="28"/>
          <w:u w:val="single"/>
          <w14:textFill>
            <w14:solidFill>
              <w14:schemeClr w14:val="tx1"/>
            </w14:solidFill>
          </w14:textFill>
        </w:rPr>
        <w:t>XX</w:t>
      </w:r>
      <w:r>
        <w:rPr>
          <w:rFonts w:hint="eastAsia" w:ascii="宋体" w:hAnsi="宋体"/>
          <w:bCs/>
          <w:color w:val="000000" w:themeColor="text1"/>
          <w:sz w:val="28"/>
          <w14:textFill>
            <w14:solidFill>
              <w14:schemeClr w14:val="tx1"/>
            </w14:solidFill>
          </w14:textFill>
        </w:rPr>
        <w:t>月</w:t>
      </w:r>
      <w:r>
        <w:rPr>
          <w:rFonts w:hint="eastAsia" w:ascii="宋体" w:hAnsi="宋体"/>
          <w:bCs/>
          <w:color w:val="000000" w:themeColor="text1"/>
          <w:sz w:val="28"/>
          <w:u w:val="single"/>
          <w14:textFill>
            <w14:solidFill>
              <w14:schemeClr w14:val="tx1"/>
            </w14:solidFill>
          </w14:textFill>
        </w:rPr>
        <w:t>XX</w:t>
      </w:r>
      <w:r>
        <w:rPr>
          <w:rFonts w:hint="eastAsia" w:ascii="宋体" w:hAnsi="宋体"/>
          <w:bCs/>
          <w:color w:val="000000" w:themeColor="text1"/>
          <w:sz w:val="28"/>
          <w14:textFill>
            <w14:solidFill>
              <w14:schemeClr w14:val="tx1"/>
            </w14:solidFill>
          </w14:textFill>
        </w:rPr>
        <w:t>日</w:t>
      </w:r>
    </w:p>
    <w:p>
      <w:pPr>
        <w:tabs>
          <w:tab w:val="left" w:pos="3969"/>
        </w:tabs>
        <w:spacing w:line="588" w:lineRule="exact"/>
        <w:ind w:right="-58"/>
        <w:rPr>
          <w:rFonts w:ascii="宋体" w:hAnsi="宋体"/>
          <w:color w:val="000000" w:themeColor="text1"/>
          <w:spacing w:val="6"/>
          <w:sz w:val="28"/>
          <w:szCs w:val="28"/>
          <w14:textFill>
            <w14:solidFill>
              <w14:schemeClr w14:val="tx1"/>
            </w14:solidFill>
          </w14:textFill>
        </w:rPr>
      </w:pPr>
    </w:p>
    <w:p>
      <w:pPr>
        <w:spacing w:line="588" w:lineRule="exact"/>
        <w:ind w:firstLine="563"/>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pacing w:val="6"/>
          <w:sz w:val="28"/>
          <w:szCs w:val="28"/>
          <w14:textFill>
            <w14:solidFill>
              <w14:schemeClr w14:val="tx1"/>
            </w14:solidFill>
          </w14:textFill>
        </w:rPr>
        <w:t>说明：</w:t>
      </w:r>
      <w:r>
        <w:rPr>
          <w:rFonts w:hint="eastAsia" w:ascii="宋体" w:hAnsi="宋体"/>
          <w:b/>
          <w:color w:val="000000" w:themeColor="text1"/>
          <w:sz w:val="28"/>
          <w:szCs w:val="28"/>
          <w14:textFill>
            <w14:solidFill>
              <w14:schemeClr w14:val="tx1"/>
            </w14:solidFill>
          </w14:textFill>
        </w:rPr>
        <w:t>如未提供残疾人福利性单位声明函的，不能享受招标文件规定的价格扣除，但不影响投标人投标文件的有效性。</w:t>
      </w:r>
    </w:p>
    <w:p>
      <w:pPr>
        <w:spacing w:line="588" w:lineRule="exact"/>
        <w:ind w:firstLine="563"/>
        <w:rPr>
          <w:rFonts w:ascii="宋体" w:hAnsi="宋体"/>
          <w:b/>
          <w:color w:val="000000" w:themeColor="text1"/>
          <w:sz w:val="28"/>
          <w:szCs w:val="28"/>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keepNext/>
        <w:keepLines/>
        <w:numPr>
          <w:ilvl w:val="2"/>
          <w:numId w:val="1"/>
        </w:numPr>
        <w:spacing w:line="360" w:lineRule="auto"/>
        <w:ind w:left="3119" w:hanging="3119"/>
        <w:outlineLvl w:val="2"/>
        <w:rPr>
          <w:rFonts w:ascii="宋体" w:hAnsi="宋体"/>
          <w:color w:val="000000" w:themeColor="text1"/>
          <w:sz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投标产品</w:t>
      </w:r>
      <w:r>
        <w:rPr>
          <w:rFonts w:ascii="宋体" w:hAnsi="宋体"/>
          <w:b/>
          <w:color w:val="000000" w:themeColor="text1"/>
          <w:sz w:val="28"/>
          <w:szCs w:val="28"/>
          <w14:textFill>
            <w14:solidFill>
              <w14:schemeClr w14:val="tx1"/>
            </w14:solidFill>
          </w14:textFill>
        </w:rPr>
        <w:t>制造商属于监狱企业的证明文件复印件</w:t>
      </w:r>
    </w:p>
    <w:p>
      <w:pPr>
        <w:tabs>
          <w:tab w:val="left" w:pos="3969"/>
        </w:tabs>
        <w:spacing w:line="588" w:lineRule="exact"/>
        <w:ind w:right="-58"/>
        <w:rPr>
          <w:rFonts w:ascii="宋体" w:hAnsi="宋体"/>
          <w:color w:val="000000" w:themeColor="text1"/>
          <w:spacing w:val="6"/>
          <w:sz w:val="28"/>
          <w:szCs w:val="28"/>
          <w14:textFill>
            <w14:solidFill>
              <w14:schemeClr w14:val="tx1"/>
            </w14:solidFill>
          </w14:textFill>
        </w:rPr>
      </w:pPr>
    </w:p>
    <w:p>
      <w:pPr>
        <w:tabs>
          <w:tab w:val="left" w:pos="3969"/>
        </w:tabs>
        <w:spacing w:line="588" w:lineRule="exact"/>
        <w:ind w:right="-58" w:firstLine="708" w:firstLineChars="253"/>
        <w:rPr>
          <w:rFonts w:ascii="宋体" w:hAnsi="宋体"/>
          <w:color w:val="000000" w:themeColor="text1"/>
          <w:spacing w:val="6"/>
          <w:sz w:val="28"/>
          <w:szCs w:val="28"/>
          <w14:textFill>
            <w14:solidFill>
              <w14:schemeClr w14:val="tx1"/>
            </w14:solidFill>
          </w14:textFill>
        </w:rPr>
      </w:pPr>
      <w:r>
        <w:rPr>
          <w:rFonts w:hint="eastAsia"/>
          <w:color w:val="000000" w:themeColor="text1"/>
          <w:sz w:val="28"/>
          <w:szCs w:val="28"/>
          <w14:textFill>
            <w14:solidFill>
              <w14:schemeClr w14:val="tx1"/>
            </w14:solidFill>
          </w14:textFill>
        </w:rPr>
        <w:t>投标</w:t>
      </w:r>
      <w:r>
        <w:rPr>
          <w:color w:val="000000" w:themeColor="text1"/>
          <w:sz w:val="28"/>
          <w:szCs w:val="28"/>
          <w14:textFill>
            <w14:solidFill>
              <w14:schemeClr w14:val="tx1"/>
            </w14:solidFill>
          </w14:textFill>
        </w:rPr>
        <w:t>投标产品中为监狱企业制造的货物应提供由省级以上监狱管理局、戒毒管理局（含新疆生产建设兵团）出具的制造商属于监狱企业的证明文件复印件</w:t>
      </w:r>
      <w:r>
        <w:rPr>
          <w:rFonts w:hint="eastAsia"/>
          <w:color w:val="000000" w:themeColor="text1"/>
          <w:sz w:val="28"/>
          <w:szCs w:val="28"/>
          <w14:textFill>
            <w14:solidFill>
              <w14:schemeClr w14:val="tx1"/>
            </w14:solidFill>
          </w14:textFill>
        </w:rPr>
        <w:t>。</w:t>
      </w:r>
    </w:p>
    <w:p>
      <w:pPr>
        <w:tabs>
          <w:tab w:val="left" w:pos="3969"/>
        </w:tabs>
        <w:spacing w:line="588" w:lineRule="exact"/>
        <w:ind w:right="-58"/>
        <w:rPr>
          <w:rFonts w:ascii="宋体" w:hAnsi="宋体"/>
          <w:color w:val="000000" w:themeColor="text1"/>
          <w:spacing w:val="6"/>
          <w:sz w:val="28"/>
          <w:szCs w:val="28"/>
          <w14:textFill>
            <w14:solidFill>
              <w14:schemeClr w14:val="tx1"/>
            </w14:solidFill>
          </w14:textFill>
        </w:rPr>
      </w:pPr>
    </w:p>
    <w:p>
      <w:pPr>
        <w:tabs>
          <w:tab w:val="left" w:pos="3969"/>
        </w:tabs>
        <w:spacing w:line="588" w:lineRule="exact"/>
        <w:ind w:right="-58"/>
        <w:rPr>
          <w:rFonts w:ascii="宋体" w:hAnsi="宋体"/>
          <w:color w:val="000000" w:themeColor="text1"/>
          <w:spacing w:val="6"/>
          <w:sz w:val="28"/>
          <w:szCs w:val="28"/>
          <w14:textFill>
            <w14:solidFill>
              <w14:schemeClr w14:val="tx1"/>
            </w14:solidFill>
          </w14:textFill>
        </w:rPr>
      </w:pPr>
    </w:p>
    <w:p>
      <w:pPr>
        <w:tabs>
          <w:tab w:val="left" w:pos="3969"/>
        </w:tabs>
        <w:spacing w:line="588" w:lineRule="exact"/>
        <w:ind w:right="-58"/>
        <w:rPr>
          <w:rFonts w:ascii="宋体" w:hAnsi="宋体"/>
          <w:color w:val="000000" w:themeColor="text1"/>
          <w:spacing w:val="6"/>
          <w:sz w:val="28"/>
          <w:szCs w:val="28"/>
          <w14:textFill>
            <w14:solidFill>
              <w14:schemeClr w14:val="tx1"/>
            </w14:solidFill>
          </w14:textFill>
        </w:rPr>
      </w:pPr>
    </w:p>
    <w:p>
      <w:pPr>
        <w:tabs>
          <w:tab w:val="left" w:pos="3969"/>
        </w:tabs>
        <w:spacing w:line="588" w:lineRule="exact"/>
        <w:ind w:right="-58"/>
        <w:rPr>
          <w:rFonts w:ascii="宋体" w:hAnsi="宋体"/>
          <w:color w:val="000000" w:themeColor="text1"/>
          <w:spacing w:val="6"/>
          <w:sz w:val="28"/>
          <w:szCs w:val="28"/>
          <w14:textFill>
            <w14:solidFill>
              <w14:schemeClr w14:val="tx1"/>
            </w14:solidFill>
          </w14:textFill>
        </w:rPr>
      </w:pPr>
    </w:p>
    <w:p>
      <w:pPr>
        <w:tabs>
          <w:tab w:val="left" w:pos="3969"/>
        </w:tabs>
        <w:spacing w:line="588" w:lineRule="exact"/>
        <w:ind w:right="-58"/>
        <w:rPr>
          <w:rFonts w:ascii="宋体" w:hAnsi="宋体"/>
          <w:color w:val="000000" w:themeColor="text1"/>
          <w:spacing w:val="6"/>
          <w:sz w:val="28"/>
          <w:szCs w:val="28"/>
          <w14:textFill>
            <w14:solidFill>
              <w14:schemeClr w14:val="tx1"/>
            </w14:solidFill>
          </w14:textFill>
        </w:rPr>
      </w:pPr>
    </w:p>
    <w:p>
      <w:pPr>
        <w:tabs>
          <w:tab w:val="left" w:pos="3969"/>
        </w:tabs>
        <w:spacing w:line="588" w:lineRule="exact"/>
        <w:ind w:right="-58"/>
        <w:rPr>
          <w:rFonts w:ascii="宋体" w:hAnsi="宋体"/>
          <w:color w:val="000000" w:themeColor="text1"/>
          <w:spacing w:val="6"/>
          <w:sz w:val="28"/>
          <w:szCs w:val="28"/>
          <w14:textFill>
            <w14:solidFill>
              <w14:schemeClr w14:val="tx1"/>
            </w14:solidFill>
          </w14:textFill>
        </w:rPr>
      </w:pPr>
    </w:p>
    <w:p>
      <w:pPr>
        <w:tabs>
          <w:tab w:val="left" w:pos="3969"/>
        </w:tabs>
        <w:spacing w:line="588" w:lineRule="exact"/>
        <w:ind w:right="-58"/>
        <w:rPr>
          <w:rFonts w:ascii="宋体" w:hAnsi="宋体"/>
          <w:color w:val="000000" w:themeColor="text1"/>
          <w:spacing w:val="6"/>
          <w:sz w:val="28"/>
          <w:szCs w:val="28"/>
          <w14:textFill>
            <w14:solidFill>
              <w14:schemeClr w14:val="tx1"/>
            </w14:solidFill>
          </w14:textFill>
        </w:rPr>
      </w:pPr>
    </w:p>
    <w:p>
      <w:pPr>
        <w:tabs>
          <w:tab w:val="left" w:pos="3969"/>
        </w:tabs>
        <w:spacing w:line="588" w:lineRule="exact"/>
        <w:ind w:right="-58"/>
        <w:rPr>
          <w:rFonts w:ascii="宋体" w:hAnsi="宋体"/>
          <w:color w:val="000000" w:themeColor="text1"/>
          <w:spacing w:val="6"/>
          <w:sz w:val="28"/>
          <w:szCs w:val="28"/>
          <w14:textFill>
            <w14:solidFill>
              <w14:schemeClr w14:val="tx1"/>
            </w14:solidFill>
          </w14:textFill>
        </w:rPr>
      </w:pPr>
    </w:p>
    <w:p>
      <w:pPr>
        <w:tabs>
          <w:tab w:val="left" w:pos="3969"/>
        </w:tabs>
        <w:spacing w:line="588" w:lineRule="exact"/>
        <w:ind w:right="-58"/>
        <w:rPr>
          <w:rFonts w:ascii="宋体" w:hAnsi="宋体"/>
          <w:color w:val="000000" w:themeColor="text1"/>
          <w:spacing w:val="6"/>
          <w:sz w:val="28"/>
          <w:szCs w:val="28"/>
          <w14:textFill>
            <w14:solidFill>
              <w14:schemeClr w14:val="tx1"/>
            </w14:solidFill>
          </w14:textFill>
        </w:rPr>
      </w:pPr>
    </w:p>
    <w:p>
      <w:pPr>
        <w:tabs>
          <w:tab w:val="left" w:pos="3969"/>
        </w:tabs>
        <w:spacing w:line="588" w:lineRule="exact"/>
        <w:ind w:right="-58"/>
        <w:rPr>
          <w:rFonts w:ascii="宋体" w:hAnsi="宋体"/>
          <w:color w:val="000000" w:themeColor="text1"/>
          <w:spacing w:val="6"/>
          <w:sz w:val="28"/>
          <w:szCs w:val="28"/>
          <w14:textFill>
            <w14:solidFill>
              <w14:schemeClr w14:val="tx1"/>
            </w14:solidFill>
          </w14:textFill>
        </w:rPr>
      </w:pPr>
    </w:p>
    <w:p>
      <w:pPr>
        <w:tabs>
          <w:tab w:val="left" w:pos="3969"/>
        </w:tabs>
        <w:spacing w:line="588" w:lineRule="exact"/>
        <w:ind w:right="-58"/>
        <w:rPr>
          <w:rFonts w:ascii="宋体" w:hAnsi="宋体"/>
          <w:color w:val="000000" w:themeColor="text1"/>
          <w:spacing w:val="6"/>
          <w:sz w:val="28"/>
          <w:szCs w:val="28"/>
          <w14:textFill>
            <w14:solidFill>
              <w14:schemeClr w14:val="tx1"/>
            </w14:solidFill>
          </w14:textFill>
        </w:rPr>
      </w:pPr>
    </w:p>
    <w:p>
      <w:pPr>
        <w:tabs>
          <w:tab w:val="left" w:pos="3969"/>
        </w:tabs>
        <w:spacing w:line="588" w:lineRule="exact"/>
        <w:ind w:right="-58"/>
        <w:rPr>
          <w:rFonts w:ascii="宋体" w:hAnsi="宋体"/>
          <w:color w:val="000000" w:themeColor="text1"/>
          <w:spacing w:val="6"/>
          <w:sz w:val="28"/>
          <w:szCs w:val="28"/>
          <w14:textFill>
            <w14:solidFill>
              <w14:schemeClr w14:val="tx1"/>
            </w14:solidFill>
          </w14:textFill>
        </w:rPr>
      </w:pPr>
    </w:p>
    <w:p>
      <w:pPr>
        <w:tabs>
          <w:tab w:val="left" w:pos="3969"/>
        </w:tabs>
        <w:spacing w:line="588" w:lineRule="exact"/>
        <w:ind w:right="-58"/>
        <w:rPr>
          <w:rFonts w:ascii="宋体" w:hAnsi="宋体"/>
          <w:color w:val="000000" w:themeColor="text1"/>
          <w:spacing w:val="6"/>
          <w:sz w:val="28"/>
          <w:szCs w:val="28"/>
          <w14:textFill>
            <w14:solidFill>
              <w14:schemeClr w14:val="tx1"/>
            </w14:solidFill>
          </w14:textFill>
        </w:rPr>
      </w:pPr>
    </w:p>
    <w:p>
      <w:pPr>
        <w:tabs>
          <w:tab w:val="left" w:pos="3969"/>
        </w:tabs>
        <w:spacing w:line="588" w:lineRule="exact"/>
        <w:ind w:right="-58"/>
        <w:rPr>
          <w:rFonts w:ascii="宋体" w:hAnsi="宋体"/>
          <w:color w:val="000000" w:themeColor="text1"/>
          <w:spacing w:val="6"/>
          <w:sz w:val="28"/>
          <w:szCs w:val="28"/>
          <w14:textFill>
            <w14:solidFill>
              <w14:schemeClr w14:val="tx1"/>
            </w14:solidFill>
          </w14:textFill>
        </w:rPr>
      </w:pPr>
    </w:p>
    <w:p>
      <w:pPr>
        <w:spacing w:line="588" w:lineRule="exact"/>
        <w:ind w:firstLine="563"/>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pacing w:val="6"/>
          <w:sz w:val="28"/>
          <w:szCs w:val="28"/>
          <w14:textFill>
            <w14:solidFill>
              <w14:schemeClr w14:val="tx1"/>
            </w14:solidFill>
          </w14:textFill>
        </w:rPr>
        <w:t>说明：</w:t>
      </w:r>
      <w:r>
        <w:rPr>
          <w:rFonts w:hint="eastAsia" w:ascii="宋体" w:hAnsi="宋体"/>
          <w:b/>
          <w:color w:val="000000" w:themeColor="text1"/>
          <w:sz w:val="28"/>
          <w:szCs w:val="28"/>
          <w14:textFill>
            <w14:solidFill>
              <w14:schemeClr w14:val="tx1"/>
            </w14:solidFill>
          </w14:textFill>
        </w:rPr>
        <w:t>如未提供投标产品</w:t>
      </w:r>
      <w:r>
        <w:rPr>
          <w:rFonts w:ascii="宋体" w:hAnsi="宋体"/>
          <w:b/>
          <w:color w:val="000000" w:themeColor="text1"/>
          <w:sz w:val="28"/>
          <w:szCs w:val="28"/>
          <w14:textFill>
            <w14:solidFill>
              <w14:schemeClr w14:val="tx1"/>
            </w14:solidFill>
          </w14:textFill>
        </w:rPr>
        <w:t>制造商属于监狱企业的证明文件</w:t>
      </w:r>
      <w:r>
        <w:rPr>
          <w:rFonts w:hint="eastAsia" w:ascii="宋体" w:hAnsi="宋体"/>
          <w:b/>
          <w:color w:val="000000" w:themeColor="text1"/>
          <w:sz w:val="28"/>
          <w:szCs w:val="28"/>
          <w14:textFill>
            <w14:solidFill>
              <w14:schemeClr w14:val="tx1"/>
            </w14:solidFill>
          </w14:textFill>
        </w:rPr>
        <w:t>复印件的，不能享受招标文件规定的价格扣除，但不影响投标人投标文件的有效性。</w:t>
      </w:r>
    </w:p>
    <w:p>
      <w:pPr>
        <w:rPr>
          <w:rFonts w:ascii="宋体" w:hAnsi="宋体"/>
          <w:bCs/>
          <w:color w:val="000000" w:themeColor="text1"/>
          <w:sz w:val="28"/>
          <w14:textFill>
            <w14:solidFill>
              <w14:schemeClr w14:val="tx1"/>
            </w14:solidFill>
          </w14:textFill>
        </w:rPr>
      </w:pPr>
    </w:p>
    <w:bookmarkEnd w:id="147"/>
    <w:p>
      <w:pPr>
        <w:keepNext/>
        <w:keepLines/>
        <w:numPr>
          <w:ilvl w:val="0"/>
          <w:numId w:val="1"/>
        </w:numPr>
        <w:spacing w:line="360" w:lineRule="auto"/>
        <w:ind w:left="0" w:firstLine="0"/>
        <w:jc w:val="center"/>
        <w:outlineLvl w:val="0"/>
        <w:rPr>
          <w:rFonts w:ascii="宋体" w:hAnsi="宋体"/>
          <w:b/>
          <w:bCs/>
          <w:color w:val="000000" w:themeColor="text1"/>
          <w:spacing w:val="-20"/>
          <w:kern w:val="44"/>
          <w:sz w:val="32"/>
          <w:szCs w:val="32"/>
          <w14:textFill>
            <w14:solidFill>
              <w14:schemeClr w14:val="tx1"/>
            </w14:solidFill>
          </w14:textFill>
        </w:rPr>
      </w:pPr>
      <w:bookmarkStart w:id="150" w:name="_Toc76541360"/>
      <w:bookmarkStart w:id="151" w:name="_Toc217446093"/>
      <w:bookmarkStart w:id="152" w:name="_Toc321382057"/>
      <w:bookmarkStart w:id="153" w:name="_Toc316292231"/>
      <w:r>
        <w:rPr>
          <w:rFonts w:hint="eastAsia" w:ascii="宋体" w:hAnsi="宋体"/>
          <w:b/>
          <w:bCs/>
          <w:color w:val="000000" w:themeColor="text1"/>
          <w:spacing w:val="-20"/>
          <w:kern w:val="44"/>
          <w:sz w:val="32"/>
          <w:szCs w:val="32"/>
          <w14:textFill>
            <w14:solidFill>
              <w14:schemeClr w14:val="tx1"/>
            </w14:solidFill>
          </w14:textFill>
        </w:rPr>
        <w:t>招标项目技术、服务、商务及其他要求</w:t>
      </w:r>
      <w:bookmarkEnd w:id="150"/>
      <w:bookmarkEnd w:id="151"/>
    </w:p>
    <w:p>
      <w:pPr>
        <w:pStyle w:val="3"/>
        <w:tabs>
          <w:tab w:val="left" w:pos="0"/>
          <w:tab w:val="left" w:pos="426"/>
          <w:tab w:val="left" w:pos="576"/>
          <w:tab w:val="left" w:pos="786"/>
        </w:tabs>
        <w:spacing w:before="0" w:after="0" w:line="500" w:lineRule="exact"/>
        <w:ind w:left="0" w:firstLine="0"/>
        <w:jc w:val="both"/>
        <w:rPr>
          <w:color w:val="000000" w:themeColor="text1"/>
          <w14:textFill>
            <w14:solidFill>
              <w14:schemeClr w14:val="tx1"/>
            </w14:solidFill>
          </w14:textFill>
        </w:rPr>
      </w:pPr>
      <w:bookmarkStart w:id="154" w:name="_Toc76541362"/>
      <w:bookmarkStart w:id="155" w:name="_Toc529173741"/>
      <w:bookmarkStart w:id="156" w:name="_Toc533672602"/>
      <w:r>
        <w:rPr>
          <w:rFonts w:hint="eastAsia"/>
          <w:color w:val="000000" w:themeColor="text1"/>
          <w14:textFill>
            <w14:solidFill>
              <w14:schemeClr w14:val="tx1"/>
            </w14:solidFill>
          </w14:textFill>
        </w:rPr>
        <w:t>项目概况</w:t>
      </w:r>
    </w:p>
    <w:p>
      <w:pPr>
        <w:rPr>
          <w:color w:val="000000" w:themeColor="text1"/>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    本项目为青羊区教育局2021年新建小学教学电脑、教学多媒体、校园宣传空间、计算机教室、校园L</w:t>
      </w:r>
      <w:r>
        <w:rPr>
          <w:rFonts w:ascii="宋体" w:hAnsi="宋体"/>
          <w:color w:val="000000" w:themeColor="text1"/>
          <w:sz w:val="28"/>
          <w:szCs w:val="28"/>
          <w14:textFill>
            <w14:solidFill>
              <w14:schemeClr w14:val="tx1"/>
            </w14:solidFill>
          </w14:textFill>
        </w:rPr>
        <w:t>ED</w:t>
      </w:r>
      <w:r>
        <w:rPr>
          <w:rFonts w:hint="eastAsia" w:ascii="宋体" w:hAnsi="宋体"/>
          <w:color w:val="000000" w:themeColor="text1"/>
          <w:sz w:val="28"/>
          <w:szCs w:val="28"/>
          <w14:textFill>
            <w14:solidFill>
              <w14:schemeClr w14:val="tx1"/>
            </w14:solidFill>
          </w14:textFill>
        </w:rPr>
        <w:t>等电教设备。项目总预算</w:t>
      </w:r>
      <w:r>
        <w:rPr>
          <w:rFonts w:ascii="宋体" w:hAnsi="宋体"/>
          <w:color w:val="000000" w:themeColor="text1"/>
          <w:sz w:val="28"/>
          <w:szCs w:val="28"/>
          <w14:textFill>
            <w14:solidFill>
              <w14:schemeClr w14:val="tx1"/>
            </w14:solidFill>
          </w14:textFill>
        </w:rPr>
        <w:t>490</w:t>
      </w:r>
      <w:r>
        <w:rPr>
          <w:rFonts w:hint="eastAsia" w:ascii="宋体" w:hAnsi="宋体"/>
          <w:color w:val="000000" w:themeColor="text1"/>
          <w:sz w:val="28"/>
          <w:szCs w:val="28"/>
          <w14:textFill>
            <w14:solidFill>
              <w14:schemeClr w14:val="tx1"/>
            </w14:solidFill>
          </w14:textFill>
        </w:rPr>
        <w:t>万元。</w:t>
      </w:r>
    </w:p>
    <w:p>
      <w:pPr>
        <w:pStyle w:val="3"/>
        <w:tabs>
          <w:tab w:val="left" w:pos="0"/>
          <w:tab w:val="left" w:pos="426"/>
          <w:tab w:val="left" w:pos="576"/>
          <w:tab w:val="left" w:pos="786"/>
        </w:tabs>
        <w:spacing w:before="0" w:after="0" w:line="500" w:lineRule="exact"/>
        <w:ind w:left="0" w:firstLine="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技术参数及要求</w:t>
      </w:r>
      <w:bookmarkEnd w:id="154"/>
    </w:p>
    <w:p>
      <w:pPr>
        <w:rPr>
          <w:color w:val="000000" w:themeColor="text1"/>
          <w14:textFill>
            <w14:solidFill>
              <w14:schemeClr w14:val="tx1"/>
            </w14:solidFill>
          </w14:textFill>
        </w:rPr>
      </w:pPr>
    </w:p>
    <w:tbl>
      <w:tblPr>
        <w:tblStyle w:val="43"/>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960"/>
        <w:gridCol w:w="1029"/>
        <w:gridCol w:w="5567"/>
        <w:gridCol w:w="666"/>
        <w:gridCol w:w="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9351" w:type="dxa"/>
            <w:gridSpan w:val="6"/>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1、阶梯教室全彩屏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序号</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产品名称</w:t>
            </w:r>
          </w:p>
        </w:tc>
        <w:tc>
          <w:tcPr>
            <w:tcW w:w="5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技术参数</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数量</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室内LED全彩屏</w:t>
            </w:r>
          </w:p>
        </w:tc>
        <w:tc>
          <w:tcPr>
            <w:tcW w:w="5567" w:type="dxa"/>
            <w:shd w:val="clear" w:color="000000" w:fill="FFFFFF"/>
            <w:vAlign w:val="center"/>
          </w:tcPr>
          <w:p>
            <w:pPr>
              <w:widowControl/>
              <w:snapToGrid w:val="0"/>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1、像素点间距：2.5mm</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2、像素点结构：1R1G1B</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3、单元板尺寸：320mm×160mm</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4、单元板分辨率：128点×64点</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5、扫描方式：恒流1/64</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6、显示颜色、17M～69G 色</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7、灰度等级：256 级～4096 级</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8、显示密度：160000Dots/m2</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9、显示屏亮度：≥600CD/㎡</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10、驱动IC：高灰高刷IC，具有行消隐功能</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11、灰度等级：红绿蓝各12-16bits</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12、最佳视距：≥2.5m</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13、驱动IC：高刷恒流驱动IC</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14、换帧频率：≥60帧/秒</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15、刷新频率：≥3840Hz</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16、最大功耗：290W/㎡</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17、平均无故障时间：10000小时，屏幕寿命：10万小时</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18、防护等级：IP31</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21.5</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接收卡</w:t>
            </w:r>
          </w:p>
        </w:tc>
        <w:tc>
          <w:tcPr>
            <w:tcW w:w="5567" w:type="dxa"/>
            <w:shd w:val="clear" w:color="000000" w:fill="FFFFFF"/>
            <w:vAlign w:val="center"/>
          </w:tcPr>
          <w:p>
            <w:pPr>
              <w:widowControl/>
              <w:snapToGrid w:val="0"/>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1、集成HUB75E，无需配转接板，减少接插HUB板，减少故障点；</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2、支持数据组偏移，数据组交换；</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3、单卡最大支持24组RGB数据，支持256×256像素点；</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4、支持静态、1/2至1/64之间的任意扫描类型；</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5、支持绝大多数芯片高灰度高刷新，低亮高灰；</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6、本卡工作状态监测；</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7、支持配置文件回读；</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8、支持网线通讯状态检测</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56</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3</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供电电源</w:t>
            </w:r>
          </w:p>
        </w:tc>
        <w:tc>
          <w:tcPr>
            <w:tcW w:w="5567" w:type="dxa"/>
            <w:shd w:val="clear" w:color="000000" w:fill="FFFFFF"/>
            <w:vAlign w:val="center"/>
          </w:tcPr>
          <w:p>
            <w:pPr>
              <w:widowControl/>
              <w:snapToGrid w:val="0"/>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xml:space="preserve">1、宽输入电压范围，适应全球通用交流电压； </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2、效率高达90%，低温升，高品质；</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3、内置负载均分电路，多台电源输出并联，自动实现均流；</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 xml:space="preserve">4、符合CCC认证标准要求； </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5、具有输出过流/短路/过压/过温保护</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105</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4</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视频控制器</w:t>
            </w:r>
          </w:p>
        </w:tc>
        <w:tc>
          <w:tcPr>
            <w:tcW w:w="5567" w:type="dxa"/>
            <w:shd w:val="clear" w:color="000000" w:fill="FFFFFF"/>
            <w:vAlign w:val="center"/>
          </w:tcPr>
          <w:p>
            <w:pPr>
              <w:widowControl/>
              <w:snapToGrid w:val="0"/>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1、支持丰富的数字信号接口，包括2路DVI，1路HDMI，1路SDI；</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2、最大输入分辨率1920*1200@60Hz，支持分辨率任意设置；</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3、最大带载390万像素，最宽可达8192点，或最高可达4096点；</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4、支持视频源任意切换，任意缩放；</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5、支持三画面显示，位置、大小可自由调节；</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6、支持HDCP1.4；</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7、双USB2.0高速通讯接口，用于电脑调试和主控间任意级联；</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8、支持亮度、色温调节，支持对比度、色调、饱和度调节；</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9、支持低亮高灰；</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5</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控制电脑</w:t>
            </w:r>
          </w:p>
        </w:tc>
        <w:tc>
          <w:tcPr>
            <w:tcW w:w="5567" w:type="dxa"/>
            <w:shd w:val="clear" w:color="000000" w:fill="FFFFFF"/>
            <w:vAlign w:val="center"/>
          </w:tcPr>
          <w:p>
            <w:pPr>
              <w:widowControl/>
              <w:snapToGrid w:val="0"/>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1、Intel Core i5-10500及以上处理器；</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2、内存≥4G DDR4；≥240GB固态硬盘；≥2G独立显卡；≥4个USB2.0接口；≥6个USB3.0接口，支持5.1声道（提供至少5个音频接口）、≥1个HDMI接口，耳机输出接口、网口；集成千兆网卡；≥21.5寸显示器</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6</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配电箱</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xml:space="preserve">1、30KW，支持同步断电/上电，一键启动、分布上电 </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7</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线缆及辅材</w:t>
            </w:r>
          </w:p>
        </w:tc>
        <w:tc>
          <w:tcPr>
            <w:tcW w:w="5567" w:type="dxa"/>
            <w:shd w:val="clear" w:color="000000" w:fill="FFFFFF"/>
            <w:vAlign w:val="center"/>
          </w:tcPr>
          <w:p>
            <w:pPr>
              <w:widowControl/>
              <w:snapToGrid w:val="0"/>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1、电源线、视频线、视频接插件及网线等</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8</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屏体结构</w:t>
            </w:r>
          </w:p>
        </w:tc>
        <w:tc>
          <w:tcPr>
            <w:tcW w:w="5567" w:type="dxa"/>
            <w:shd w:val="clear" w:color="000000" w:fill="FFFFFF"/>
            <w:vAlign w:val="center"/>
          </w:tcPr>
          <w:p>
            <w:pPr>
              <w:widowControl/>
              <w:snapToGrid w:val="0"/>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1、钢构框架材质：国标</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2、屏幕安装方式：落地</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21.5</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9</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外框装饰</w:t>
            </w:r>
          </w:p>
        </w:tc>
        <w:tc>
          <w:tcPr>
            <w:tcW w:w="5567" w:type="dxa"/>
            <w:shd w:val="clear" w:color="000000" w:fill="FFFFFF"/>
            <w:vAlign w:val="center"/>
          </w:tcPr>
          <w:p>
            <w:pPr>
              <w:widowControl/>
              <w:snapToGrid w:val="0"/>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1、拉丝钛合金面板，颜色可选</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25</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10</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安装调试</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按国家标准和规范完成整体结构安装，线路连接稳固、简洁、美观，不允许有飞线及裸线情况，强弱电线路分开走线，间距13cm以上，不允许无保护走线。弱电包括从屏体到控制室的信号线接入，强电布线包括配电室到屏体满足负荷所需电缆铺设。安装时应考虑到本系统的安全、稳固；含设备运输、人工费，含现场垃圾清理。</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9351" w:type="dxa"/>
            <w:gridSpan w:val="6"/>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2、阶梯教室字幕屏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序号</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产品名称</w:t>
            </w:r>
          </w:p>
        </w:tc>
        <w:tc>
          <w:tcPr>
            <w:tcW w:w="5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技术参数</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数量</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xml:space="preserve">室内单色屏 </w:t>
            </w:r>
          </w:p>
        </w:tc>
        <w:tc>
          <w:tcPr>
            <w:tcW w:w="5567" w:type="dxa"/>
            <w:shd w:val="clear" w:color="000000" w:fill="FFFFFF"/>
            <w:vAlign w:val="center"/>
          </w:tcPr>
          <w:p>
            <w:pPr>
              <w:widowControl/>
              <w:snapToGrid w:val="0"/>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1、物理点像素：SMD2121</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 xml:space="preserve">2、物理点间距：4.75mm  </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 xml:space="preserve">3、物理密度：44320点/m2  </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4、驱动芯片：5020</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5、发光点颜色：1R</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6、物理模组行列数：宽64点×高32点</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 xml:space="preserve">7、物理模组尺寸：（W*H） 304mm*152mm </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 xml:space="preserve">8、扫描方式：16扫 </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9、刷新频率：≥60帧/秒</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10、灰度/颜色：256级</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 xml:space="preserve">11、亮度：≥800cd/m2 </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12、亮度调节方式：软件调节8级可调</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13、平均无故障时间：≥10000小时</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7.64</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电源</w:t>
            </w:r>
          </w:p>
        </w:tc>
        <w:tc>
          <w:tcPr>
            <w:tcW w:w="5567" w:type="dxa"/>
            <w:shd w:val="clear" w:color="000000" w:fill="FFFFFF"/>
            <w:vAlign w:val="center"/>
          </w:tcPr>
          <w:p>
            <w:pPr>
              <w:widowControl/>
              <w:snapToGrid w:val="0"/>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xml:space="preserve">1、宽输入电压范围，适应全球通用交流电压； </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2、效率高达90%，低温升，高品质；</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3、内置负载均分电路，多台电源输出并联，自动实现均流；</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 xml:space="preserve">4、符合CCC认证标准要求； </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5、具有输出过流/短路/过压/过温保护</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20</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3</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控制系统</w:t>
            </w:r>
          </w:p>
        </w:tc>
        <w:tc>
          <w:tcPr>
            <w:tcW w:w="5567" w:type="dxa"/>
            <w:shd w:val="clear" w:color="000000" w:fill="FFFFFF"/>
            <w:vAlign w:val="center"/>
          </w:tcPr>
          <w:p>
            <w:pPr>
              <w:widowControl/>
              <w:snapToGrid w:val="0"/>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1、支持软件自动生成字体动画和动态背景：字体动画、动态背景、魔幻跑边叠加播放，两千余种动画背景组合，两千余种特技组合，动态背景支持灰度处理，画面更清晰;实时预览功能；</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2、跑边类型:幻影跑边，支持整屏跑边/分区跑边/自定义跑边；</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3、播放类型:支持多节目顺序播放/定时播放/定长播放/分时段播放/锁定单节目播放</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4</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安装调试</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1、按国家标准和规范完成整体结构安装，线路连接稳固、简洁、美观，不允许有飞线及裸线情况，不允许无保护走线。安装时应考虑到本系统的安全、稳固；含设备运输、人工费，含现场垃圾清理。</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9351" w:type="dxa"/>
            <w:gridSpan w:val="6"/>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3、阶梯教室音响系统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序号</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产品名称</w:t>
            </w:r>
          </w:p>
        </w:tc>
        <w:tc>
          <w:tcPr>
            <w:tcW w:w="5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技术参数</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数量</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无线手持话筒</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1、真分集接收机,双通道独立AFS频率自动搜索功能；</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2、背光式LED显示屏指示了RF和AF信号强度，电池状态；</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3、极好的动态响应.音质极佳；</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4、射频传输频率范围：640MHz-690MHz；</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5、工作范围：理想条件下≥100米；</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6、频率响应：40Hz–18KHz,(+1dB-3dB)，S/N信噪比:&gt;105dB，T.H.D失真:&lt;0.5%；</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7、含2只手持麦克风。</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3</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无线头戴话筒</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1、真分集接收机,双通道独立AFS频率自动搜索功能；</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2、背光式LED显示屏指示了RF和AF信号强度，电池状态；</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3、极好的动态响应.音质极佳；</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4、射频传输频率范围：640MHz-690MHz；</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5、工作范围：理想条件下≥100米；</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6、频率响应：40Hz–18KHz,(+1dB-3dB)，S/N信噪比:&gt;105dB，T.H.D失真:&lt;0.5%；</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7、含2只头戴麦克风。</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3</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演讲话筒</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1、换能方式:电容式，指向性:超心型指向，抗手机、电磁、高频干扰；</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2、频率响应(Hz):30Hz-16KHz，输出阻抗（欧姆）:75Ω，灵敏度:-43dB±2dB；</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3、供电电压(V):幻象48V；</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4、包含落地支架，可调节高度：1.28米—1.5米。</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4</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无线会议话筒</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1、含四只鹅颈话筒；</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2、采用多级窄带高频及中频选频滤波，充分消除干扰信号；</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3、采用音频压缩一扩展技术，噪音大大减少，动态范围加大；</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4、设有回输啸叫抑制减弱功能，能有效减少回输啸叫；</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5、接收机采用多级高频放大，具有极高的灵敏度；</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6、多重噪音监测电路，特设ID身份码验证系统，使之具有无与伦比的抗干扰特性；</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7、载波频率：550MHz～980MHz（可调），S/N信噪比：≥95dB，T.H.D失真：＜0.5%，频率响应：60Hz-16KHz；</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8、8发射机，发射功率：10dBm，调制方式：FM，最大调制度：±45KHz。</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5</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调音台</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1、两个完全独立的DSP效果器；</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2、≥3路主输出，≥4路编组输出，≥2路辅助输出，≥2路CD/TAPE输出；</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3、≥8个话筒兼线路输入带效果返送，带48V幻像电源，≥8个立体声道输入；</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4、频率响应：20Hz-20KHz(±0.5dB)，信噪比：≥83dB@1KHz0dB，失真度：≤0.002%@0dB1KHz.单声道通道均衡高频频点：12KHz。</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6</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反馈抑制器</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1、提供模拟，数字AES3，光纤，同轴输出,带有压缩，限幅，噪声门功能；</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2、输入、输出通道路由功能,可通过面板的“系统”键来设定密码锁定面板操作的部分或全部功能；</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3、提供≥4路话筒放大输入和线路输入，带48幻像电源；</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4、每通道独立≥12个固定滤波器和≥12个动态滤波器；</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5、采用全自动式陷波方式急速寻找与抑制啸叫频点,单机提供≥30组设备数据存储，存储压缩，限幅，噪声门的参数；</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6、输入阻抗：平衡20KΩ.输出阻抗：平衡100Ω.输入共模拟制比：≥70dB(1KHz).输出范围：≤25dBu；</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7、频率响应：20Hz-20KHz(-0.3dB)，信噪比：&gt;110dB，信道分离度：&gt;110dB（1KHz）。</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7</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电源时序器</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1、可通过红外学习功能及IO控制功能对第三方设备进行控制，设备内置远程控制，让用户能随时随地的对设备进行开启关闭操作；</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2、采用新国家标准的≥10A通用安全划盖插座，电源输出单相总极限负载的电流≥40A,≥8路通道总承受功率≥8KW电源，每通道拥有独立高性能RFI/EMI电源滤波器；</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3、设备内置中控代码生成器，方便第三方设备进行代码编辑,内置定时开关机功能，设备受控控制方式多样，TCP/IP、WIFI、USB，RS485，RS232联机控制；</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4、工作电压：单相AC220V(±20%)，抗静电测试：通过抗静电4000V测试，耐压测试：通过耐压5000V测试，接地电阻：R≤100Ω。</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8</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线性阵列音箱</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1、低音单元规格：≥2x6寸低音单元，高音单元规格：≥1x1.3寸高音驱动器；</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2、频率响应:80Hz-18kHz(±3dB)，灵敏度(1W/1M):94dB，标称阻抗:8Ω；</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3、输入功率:≥300W（额定）/600W（峰值）；</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4、最大声压级:≥128dB，覆盖角度(HxV):90°x10°。</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8</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9</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超低线阵音箱</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1、低音单元规格：≥1x15寸低音单元；</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2、频率响应:45Hz-300Hz，灵敏度(1W/1M):≥98dB，标称阻抗:8Ω；</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3、输入功率:≥500W（额定）/1000W（峰值），最大声压级:134dB；</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10</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专业补声音箱</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1、低音单元:≥1x12寸低音.高音单元:1x1.75寸高音；</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2、频率响应:65-18kHz(±3dB)，灵敏度(1W/1M):≥97dB，最大声压级:125dB，阻抗:8Ω；</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3、功率:≥350W（额定）/700W（峰值）。</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4</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11</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专业返听音箱</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1、低音单元:≥1x12寸中低音，高音单元:1x1.75寸高音；</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2、频率响应:55-20kHz(±3dB)，灵敏度(1W/1M):≥97dB，最大声压级:≥125dB，阻抗:8Ω；</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3、功率:≥350W（额定）/700W（峰值）。</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12</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音频处理器</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1、32/64-bit高精度浮点专业音频DSP为数据处理核心，内置24-bitAD/DA转换芯片，录音级别的96KHz高采样率；</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2、设备内每个功能支持单独锁定，可根据现场要求任意开放或锁定某一个单独的功能，防止误操作和数据保密；</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3、每个输入和输出处理均有≥6段独立的全参量均衡，调节增益范围可达士20dB，同时还可选择参量、高调、低调、1阶全通、2阶全通5种均衡模式;</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4、均有延时和相位控制及哑音设置，延时最长可达1000ms，延时单位可选择毫秒(ms)、米(m)、英尺(ft)三种，延时参数可通过粗调及细调模式进行调节；</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5、设备软件内置中控代码生成器，方便用户获取.相关设备控制代码更加便捷，另设备控制软件可实现一键中英文切换；</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6、可通过外置UTWR1盒与电脑进行连接,可实现互联网远程控制，设备带TCP/IP网络控制接口；</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7、≥4路平衡式信号输入，≥8路平衡式信号输出，可灵活组合多种分频模式，高、低通分频点均可达20Hz-20KHz；</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8、提供USB2.0、USB3.0和RS485连接电脑或中控设备，其中RS485接口可级连≥250台设备设ID进行控制；</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9、每个输入通道可调噪声门，并且每个输入通道有两段全参数可调的动态均衡（DEQ），自动增益控制；</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10、输入阻抗：平衡20KΩ，输出阻抗：平衡100Ω，共模拟制比：&gt;80dB(1KHz)，输入范围：≤+22dBu；</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11、频率相应：19.7Hz-20KHz(±0.5dB)，信噪比：&gt;117dB@1KHz0dBu，失真度：﹤0.002%OUTPUT=0dBu/1KHz，信道分离度：&gt;108dB（1KHz）。</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13</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超低线阵功放</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1、具有动态压限系统，短路、过热、过载、过流、输出直流、软启动、电流熔断保护，变压器过热保护；</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2、8Ω立体声输出功率≥720W×2，4Ω立体声输出功率≥1080W×2，8Ω桥接输出功率2160W；</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3、频率响应20Hz-20KHz(±0.25dB)，总谐波失真加噪声&lt;0.05%，信噪比&gt;105dB；</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4、阻尼系数&gt;500，互调失真&lt;0.05%，电压转换速率40V/μS，输入共模抑制比&gt;80dB，输入灵敏度1V（+2.2dBu），输入阻抗20KΩ(平衡输入)。</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14</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线性阵列功放</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1、8Ω立体声输出功率≥800W×4，4Ω立体声输出功率≥1200W×4，2Ω立体声输出功率≥1000W×4，4Ω桥接输出功率≥1400W×21000W×2+1400W×1.8Ω；</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2、输出电路类型：D类，工作效力达到93%，频率响应20Hz-20KHz(±0.3dB)，信噪比≥109dB，串音衰减≥86dB，阻尼系数≥1000；</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3、互调失真≤0.02%，转换速率45V/μS，灵敏度0.775V，输入阻抗20KΩ(平衡输入)。</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15</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补声功放</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1、具有动态压限系统，短路、过热、过载、过流、输出直流、软启动、电流熔断保护，变压器过热保护；</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2、8Ω立体声输出功率≥620W×2，4Ω立体声输出功率≥930W×2，8Ω桥接输出功率≥1860W；</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3、频率响应20Hz-20KHz(±0.25dB)，总谐波失真加噪声&lt;0.05%，信噪比&gt;105dB；</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4、阻尼系数&gt;450，互调失真&lt;0.05%，电压转换速率40V/μS，输入共模抑制比&gt;80dB，输入灵敏度1V（+2.2dBu），输入阻抗20KΩ(平衡输入)。</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16</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返听功放</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1、具有动态压限系统，短路、过热、过载、过流、输出直流、软启动、电流熔断保护，变压器过热保护；</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2、8Ω立体声输出功率≥620W×2，4Ω立体声输出功率≥930W×2，8Ω桥接输出功率≥1860W；</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3、频率响应20Hz-20KHz(±0.25dB)，总谐波失真加噪声&lt;0.05%，信噪比&gt;105dB；</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4、阻尼系数&gt;450，互调失真&lt;0.05%，电压转换速率40V/μS，输入共模抑制比&gt;80dB，输入灵敏度1V（+2.2dBu），输入阻抗20KΩ(平衡输入)。</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17</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线阵音箱支架</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1、加厚型线阵音箱田字架</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18</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音箱支架</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1、加厚型壁挂音箱支架，角度可调</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19</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机柜</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1、标准机柜，600*600*2000mm，黑色，前门钢化玻璃，后门六角网孔，全部使用优质SPCC冷轧钢制作</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20</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线材及辅材</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1、音箱线，电源线，话筒线，线槽（线管）及配件，插线板，各种接头</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21</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安装调试</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1、按照国家标准和规范进行布线施工、设备安装和调试</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9351" w:type="dxa"/>
            <w:gridSpan w:val="6"/>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4、教学楼外全彩屏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序号</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产品名称</w:t>
            </w:r>
          </w:p>
        </w:tc>
        <w:tc>
          <w:tcPr>
            <w:tcW w:w="5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技术参数</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数量</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xml:space="preserve">户外LED全彩屏 </w:t>
            </w:r>
          </w:p>
        </w:tc>
        <w:tc>
          <w:tcPr>
            <w:tcW w:w="5567" w:type="dxa"/>
            <w:shd w:val="clear" w:color="000000" w:fill="FFFFFF"/>
            <w:vAlign w:val="center"/>
          </w:tcPr>
          <w:p>
            <w:pPr>
              <w:widowControl/>
              <w:snapToGrid w:val="0"/>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1、显示屏尺寸：4.8米*2.88米</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2、产品型号：户外P4表贴全彩；</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3、晶元管芯，SMD1919封装；</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4、单元板规格：320mm*160mm；</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5、单元板分辨率：64*32dots；</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6、像素密度：625000dots/㎡；</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7、单元板构成：1R1G1B；</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8、单元板点间距：4mm；</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9、可视角度（水平/垂直）120°/120°；</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10、单元板亮度：＞6500cd/㎡；</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11、单元板驱动：恒流；</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12、扫描方式：1/16扫；</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13、信号接口：75B；</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14、结构特点：灯驱合一；</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15、单元板最大功率：＜45W</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16、平均无故障时间≥10000小时，寿命≥100000小时，杂点率＜万分之二；</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17、防护等级：正面IP65、背面正面IP54；</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18、平整度：≤0.4mm，水平和垂直偏差：≤1%</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11.47</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接收卡</w:t>
            </w:r>
          </w:p>
        </w:tc>
        <w:tc>
          <w:tcPr>
            <w:tcW w:w="5567" w:type="dxa"/>
            <w:shd w:val="clear" w:color="000000" w:fill="FFFFFF"/>
            <w:vAlign w:val="center"/>
          </w:tcPr>
          <w:p>
            <w:pPr>
              <w:widowControl/>
              <w:snapToGrid w:val="0"/>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1、集成HUB75E，无需配转接板，减少接插HUB板，减少故障点；</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2、支持数据组偏移，数据组交换；</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3、单卡最大支持24组RGB数据，支持256×256像素点；</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4、支持静态、1/2至1/64之间的任意扫描类型；</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5、支持绝大多数芯片高灰度高刷新，低亮高灰；</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6、本卡工作状态监测；</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7、支持配置文件回读；</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8、支持网线通讯状态检测</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12</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3</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电源</w:t>
            </w:r>
          </w:p>
        </w:tc>
        <w:tc>
          <w:tcPr>
            <w:tcW w:w="5567" w:type="dxa"/>
            <w:shd w:val="clear" w:color="000000" w:fill="FFFFFF"/>
            <w:vAlign w:val="center"/>
          </w:tcPr>
          <w:p>
            <w:pPr>
              <w:widowControl/>
              <w:snapToGrid w:val="0"/>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1、宽输入电压范围，适应全球通用交流电压；</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2、效率高达90%,，低温升，高品质；</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3、内置负载均分电路，多台电源输出并联，自动实现均流；</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4、符合CCC认证标准要求；</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5、具有输出过流/短路/过压/过温保护</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56</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4</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视频控制器</w:t>
            </w:r>
          </w:p>
        </w:tc>
        <w:tc>
          <w:tcPr>
            <w:tcW w:w="5567" w:type="dxa"/>
            <w:shd w:val="clear" w:color="000000" w:fill="FFFFFF"/>
            <w:vAlign w:val="center"/>
          </w:tcPr>
          <w:p>
            <w:pPr>
              <w:widowControl/>
              <w:snapToGrid w:val="0"/>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1、1.5U 标准机架式结构，配备彩色LCD操作显示屏；</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2、不少于以下视频及音频信号输入：</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3、1路DVI，1路HDMI，1路VGA，2路CVBS，1路USB播放，2路1/8" TRS音频信号；</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4、不少于以下视频及音频信号输出：</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5、2路网口输出，整机输出分辨率可达131万像素，支持自定义分辨率，最宽可达3840像素，最高可达1536像素；1路1/4" TRS音频输出；</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6、支持USB(TYPE B)，UART(RJ45)控制端口；</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7、自带U盘播放器功能，直接插上U盘，自动播放U盘的视频或图片；</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8、支持EDID配置管理：支持EDID（扩展显示识别数据）的读取、修改、自定义；</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9、支持VGA校正功能：解决模拟信号在传输过程中容易产生的黑边、偏移的问题；</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10、支持Super Resolution放大技术：视频补偿处理算法，画面缩小无尺寸限制，并保留图像细节，减轻画面放大多倍后产生的失焦现象；</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11、支持去黑边/剪裁功能：解决前端信号（尤其是VGA信号及非标准摄像头的输出信号）产生的黑边问题，针对任意信号源做任意裁剪（依旧保持满屏状态）；</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12、支持通道保护：对设备输入、输出I/O接口进行保护，避免过电压、过电流的冲击；通道间相互独立，且彼此互补；</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13、支持一键黑屏/蓝屏；</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14、支持亮度调节：实时、快捷进行屏体显示亮度调整；</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15、支持导航设置；</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16、支持切换特效：信号源通道与通道之间均支持淡入淡出/直切的切换特效；支持音视频同步切换；</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17、支持按键锁定，防止误操作</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18、支持硬件调屏，无需计算机，可直接使用箱体文件进行屏幕配置，快速点亮屏幕</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5</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控制电脑</w:t>
            </w:r>
          </w:p>
        </w:tc>
        <w:tc>
          <w:tcPr>
            <w:tcW w:w="5567" w:type="dxa"/>
            <w:shd w:val="clear" w:color="000000" w:fill="FFFFFF"/>
            <w:vAlign w:val="center"/>
          </w:tcPr>
          <w:p>
            <w:pPr>
              <w:widowControl/>
              <w:snapToGrid w:val="0"/>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1、Intel Core i5-10500及以上处理器；</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2、内存≥4G DDR4；≥240GB固态硬盘；≥2G独立显卡；≥4个USB2.0接口；≥6个USB3.0接口，支持5.1声道（提供至少5个音频接口）、≥1个HDMI接口，耳机输出接口、网口；集成千兆网卡；≥21.5寸显示器</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6</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配电箱</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xml:space="preserve">1、15KW，支持同步断电/上电，一键启动、分布上电 </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7</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散热系统</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1、轴流风机</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4</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8</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线缆及辅材</w:t>
            </w:r>
          </w:p>
        </w:tc>
        <w:tc>
          <w:tcPr>
            <w:tcW w:w="5567" w:type="dxa"/>
            <w:shd w:val="clear" w:color="000000" w:fill="FFFFFF"/>
            <w:vAlign w:val="center"/>
          </w:tcPr>
          <w:p>
            <w:pPr>
              <w:widowControl/>
              <w:snapToGrid w:val="0"/>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1、含网线、排线、PVC管及配件等</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9</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电缆敷设</w:t>
            </w:r>
          </w:p>
        </w:tc>
        <w:tc>
          <w:tcPr>
            <w:tcW w:w="5567" w:type="dxa"/>
            <w:shd w:val="clear" w:color="000000" w:fill="FFFFFF"/>
            <w:vAlign w:val="center"/>
          </w:tcPr>
          <w:p>
            <w:pPr>
              <w:widowControl/>
              <w:snapToGrid w:val="0"/>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1、从配电房敷设电缆到显示屏处，长度60米，含电缆，管材及辅材</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10</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机柜</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1、标准机柜，600*600*1200mm，黑色，前门钢化玻璃，后门六角网孔，全部使用优质SPCC冷轧钢制作</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11</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屏体结构</w:t>
            </w:r>
          </w:p>
        </w:tc>
        <w:tc>
          <w:tcPr>
            <w:tcW w:w="5567" w:type="dxa"/>
            <w:shd w:val="clear" w:color="000000" w:fill="FFFFFF"/>
            <w:vAlign w:val="center"/>
          </w:tcPr>
          <w:p>
            <w:pPr>
              <w:widowControl/>
              <w:snapToGrid w:val="0"/>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1、钢构框架材质：国标</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2、屏幕安装方式：壁挂</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13</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12</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外框装饰</w:t>
            </w:r>
          </w:p>
        </w:tc>
        <w:tc>
          <w:tcPr>
            <w:tcW w:w="5567" w:type="dxa"/>
            <w:shd w:val="clear" w:color="000000" w:fill="FFFFFF"/>
            <w:vAlign w:val="center"/>
          </w:tcPr>
          <w:p>
            <w:pPr>
              <w:widowControl/>
              <w:snapToGrid w:val="0"/>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1、屏体外装饰由耐腐蚀性和阻燃性的材料制作，坚固耐用，材质：铝塑板</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18</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13</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安装调试</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1、按照国家标准和规范进行布线施工、设备安装和调试</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9351" w:type="dxa"/>
            <w:gridSpan w:val="6"/>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5、计算机教室（PC）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序号</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产品名称</w:t>
            </w:r>
          </w:p>
        </w:tc>
        <w:tc>
          <w:tcPr>
            <w:tcW w:w="5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技术参数</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数量</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教师机</w:t>
            </w:r>
          </w:p>
        </w:tc>
        <w:tc>
          <w:tcPr>
            <w:tcW w:w="5567" w:type="dxa"/>
            <w:shd w:val="clear" w:color="000000" w:fill="FFFFFF"/>
            <w:vAlign w:val="center"/>
          </w:tcPr>
          <w:p>
            <w:pPr>
              <w:widowControl/>
              <w:snapToGrid w:val="0"/>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1、Intel Core i5-10500及以上处理器；</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2、内存≥4G DDR4；≥240GB固态硬盘；≥2G独立显卡；≥4个USB2.0接口；≥6个USB3.0接口，支持5.1声道（提供至少5个音频接口）、≥1个HDMI接口，耳机输出接口、网口；集成千兆网卡；≥21.5寸显示器</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学生机</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1、Intel Core i3-10100及以上处理器；</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2、内存≥4G DDR4；≥240GB固态硬盘；≥4个USB2.0接口；≥6个USB3.0接口，支持5.1声道（提供至少5个音频接口）、耳机输出接口、网口；集成千兆网卡；≥21.5寸显示器</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56</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3</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教学软件</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1、全面支持Windows系列操作系统，包括Windows 8、Windows 10（32位、64位）；</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2、支持多种加密方式：加密狗加密、在线序列号加密、离线文件加密、集群注册加密；</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3、签到：提供学生名单管理工具，为软件和考试模块提供实名验证。提供点名功能，支持保留学生多次登录记录、考勤统计、签到信息的导出与对比；</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4、网络快照：教师可以在监控学生的时候，对学生画面拍快照，保存学生画面的截图；</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5、文件管理：有文件分发、提交功能，可拖拽添加文件，可限制学生提交文件的数目和大小；</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6、共享白板：老师可独立操作白板，也可以指定一个或多个学生参与对同一个白板协同操作；</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7、随堂小考：教师启动快速的单题考试或随堂调查，限定考试时间，学生答题后立即给出结果，结果显示学生答案柱状图分析和答题时间，可作为抢答依据；</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8、班级模型：获取学生端计算机的名称、登录名、学生端应用程序、进程和进程 ID，远程终止学生端进程，显示学生机桌面的缩图；</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9、学生限制：可对学生机设置上网策略、应用程序策略使用策略，并支持对不同学生设置不同策略，查看当前的学生策略，USB限制、上网限制支持多浏览器，IE、Chrome、QQ、Firefox、360等都可以限制；</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10、具备屏幕广播、学生演示、监看学生画面、答题卡考试、网络影院、视频直播、屏幕录制、语音广播、语音对讲、电子点名、远程开关机、远程命令、远程设置、远程登录、登录windows前接受广播、请求帮助、举手、发言、自动锁屏、防杀进程、黑屏肃静等功能</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4</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24口接入交换机</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1、交换容量≥336Gbps，包转发率≥108Mpps；</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2、配置10/100/1000BASE-T自适应以太网端口≥24个，万兆 SFP+端口≥4个；</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3、支持纵向虚拟化功能。</w:t>
            </w:r>
          </w:p>
        </w:tc>
        <w:tc>
          <w:tcPr>
            <w:tcW w:w="666"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3</w:t>
            </w:r>
          </w:p>
        </w:tc>
        <w:tc>
          <w:tcPr>
            <w:tcW w:w="567"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5</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机柜</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1、标准机柜，600*600*1200mm，黑色，前门钢化玻璃，后门六角网孔，全部使用优质SPCC冷轧钢制作</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6</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学生双人微机桌</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1、规格：1200mm*600mm*760mm；</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2、DB51/T 704-2007标准，台面设有双线孔，桌体（中）侧板设置二至四个电线、网络线穿线孔，桌体后部配置电线、网络线隐藏盒。有两个滑动键盘, 通用滑轨。台面采用实芯25mm万华生态板业“麦稻秸秆板”单面三聚氰胺板，面料采用富美家（成型）防火板；下柜16mm吉林森工露水河三聚氢氨饰面板，PVC 封边，厚2mm</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30</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7</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微机凳</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1、规格：340mm*240mm*450mm；</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2、凳面采用25mm吉林森工露水河三聚氰胺板，聚氨酯软整体封边，下脚钢架结构，采用攀钢25*25*1.2的方管。金属件严格经过酸洗、磷化、喷涂工艺</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60</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8</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教师演示桌</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1、规格：1800*800*780；</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2、DB51/T 704-2007标准，板式结构，二人(机桌)组，台面设有双线孔，桌体（中）侧板设置三至四个电线、网络线穿线孔，桌体后部配置电线、网络线隐藏盒。双抽拉式键盘、双鼠标键盘, 通用滑轨。台面采用实芯25mm万华生态板业“麦稻秸秆板”单面三聚氰胺板，面料采用富美家（成型）防火板；桌体采用16mm吉林森工露水河三聚氢氨板，PVC 封边，厚2mm</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9</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教师椅</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1、椅采用优质国产麻绒布料,内衬香港德宝38度以上密度发泡海绵,座感舒适,回弹,透气性强,五星钢材镀锌脚架,防爆双片万向轮,坚硬耐用.SUSPA进口气压棒(气压棒升降可达30万次),具有用步倾斜,气动升降锁定等功能</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10</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网线</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1、超五类非屏蔽双绞线，305米/箱</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3</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11</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柜式空调</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1、制冷类型:冷暖；3匹；直流变频；能效等级：2级；电辅加热：支持；制冷量(W)：7200（1900-8200）；制冷功率(W)：2650（420-3500）；制热量(W)：8000（2000-10100）；制热功率(W)：2500（460-3720）</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12</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安装调试</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1、整间网络教室的强、弱电布线施工、设备安装、软件安装、调试；</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2、采用优质品牌线材、管材、辅材：RJ45水晶头及护套、4mm²铜芯电源线、电源插座、插线板、线槽、线管、安装辅材等；</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3、整间网络教室具备电源避雷及接地功能，安装人工，系统集成费用，税费等</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57</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9351" w:type="dxa"/>
            <w:gridSpan w:val="6"/>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6、操场全彩屏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序号</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产品名称</w:t>
            </w:r>
          </w:p>
        </w:tc>
        <w:tc>
          <w:tcPr>
            <w:tcW w:w="5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技术参数</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数量</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室外LED全彩屏</w:t>
            </w:r>
          </w:p>
        </w:tc>
        <w:tc>
          <w:tcPr>
            <w:tcW w:w="5567" w:type="dxa"/>
            <w:shd w:val="clear" w:color="000000" w:fill="FFFFFF"/>
            <w:vAlign w:val="center"/>
          </w:tcPr>
          <w:p>
            <w:pPr>
              <w:widowControl/>
              <w:snapToGrid w:val="0"/>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1、显示屏模组尺寸320mm×160mm，模组分辨率：64*32；</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2、像素组成1R1G1B；</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 xml:space="preserve">3、像素点间距 ：5.0mm；  </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4、显示屏亮度：5000-6000cd/m²；</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5、水平视角：140°±10°、垂直视角：140°±10°；</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6、换帧频率 ：60HZ；</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7、刷新频率 ：1920HZ；</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8、驱动IC：高灰高刷IC，具有行消隐功能</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9、最大功耗：780W/㎡；</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10、防护等级：IP65；</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11、视频播放能力：2K高清，4K超高清</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12、最佳视距：3米~50米</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13、平均无故障时间：10000小时</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14、屏幕寿命：10万小时</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15、连续工作时间：24小时</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16、扫描方式：恒流1/8</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17、平均功率：450W/㎡</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18、平整度：模组间拼接缝隙&lt;1mm</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19、驱动方式：恒流驱动</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20、显示颜色、17M～69G 色</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21、灰度等级：256 级～4096 级</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22、连续使用时间：≥72 小时</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23、LED 寿命 ：100,000 小时</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31.18</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供电电源</w:t>
            </w:r>
          </w:p>
        </w:tc>
        <w:tc>
          <w:tcPr>
            <w:tcW w:w="5567" w:type="dxa"/>
            <w:shd w:val="clear" w:color="000000" w:fill="FFFFFF"/>
            <w:vAlign w:val="center"/>
          </w:tcPr>
          <w:p>
            <w:pPr>
              <w:widowControl/>
              <w:snapToGrid w:val="0"/>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xml:space="preserve">1、宽输入电压范围，适应全球通用交流电压； </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2、效率高达90%，低温升，高品质；</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3、内置负载均分电路，多台电源输出并联，自动实现均流；</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 xml:space="preserve">4、符合CCC认证标准要求； </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5、具有输出过流/短路/过压/过温保护</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154</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3</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接收卡</w:t>
            </w:r>
          </w:p>
        </w:tc>
        <w:tc>
          <w:tcPr>
            <w:tcW w:w="5567" w:type="dxa"/>
            <w:shd w:val="clear" w:color="000000" w:fill="FFFFFF"/>
            <w:vAlign w:val="center"/>
          </w:tcPr>
          <w:p>
            <w:pPr>
              <w:widowControl/>
              <w:snapToGrid w:val="0"/>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1、集成HUB75E，无需配转接板，减少接插HUB板，减少故障点；</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2、支持数据组偏移，数据组交换；</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3、单卡最大支持24组RGB数据，支持256×256像素点；</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4、支持静态、1/2至1/64之间的任意扫描类型；</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5、支持绝大多数芯片高灰度高刷新，低亮高灰；</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6、本卡工作状态监测；</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7、支持配置文件回读；</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8、支持网线通讯状态检测</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36</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4</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视频处理器</w:t>
            </w:r>
          </w:p>
        </w:tc>
        <w:tc>
          <w:tcPr>
            <w:tcW w:w="5567" w:type="dxa"/>
            <w:shd w:val="clear" w:color="000000" w:fill="FFFFFF"/>
            <w:vAlign w:val="center"/>
          </w:tcPr>
          <w:p>
            <w:pPr>
              <w:widowControl/>
              <w:snapToGrid w:val="0"/>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1、最大支持500万像素带载，最宽8000像素，最高4000像素；</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2、无需外接发送控制器可直接驱动LED显示屏；</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3、支持6路输入信号：HDMI1.4×1，DP1.1×1，DVI×4，其中HDMI1.4和DP1.1最高分辨率可达3840×2160@30Hz；</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4、输出；10个网口输出，可支持凯视达全系列接收卡，无需外置发送卡，HDMI-Monitor（24+1）监视口，可监视输入，输出，或输入输出；</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5、控制口：RS232、USB；</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6、所有通道信号均支持淡入淡出切换；</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7、可将输入信号的任意区域进行截取显示，并可一键完成局部/全局画面的切换；</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8、支持多机级联拼接，实现超宽/高的拼接显示；</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9、设备最多可开四个画面,每个画面均可自由缩放、摆放，画面之间可相互叠加；</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10、画面大小自由缩放</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5</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控制电脑</w:t>
            </w:r>
          </w:p>
        </w:tc>
        <w:tc>
          <w:tcPr>
            <w:tcW w:w="5567" w:type="dxa"/>
            <w:shd w:val="clear" w:color="000000" w:fill="FFFFFF"/>
            <w:vAlign w:val="center"/>
          </w:tcPr>
          <w:p>
            <w:pPr>
              <w:widowControl/>
              <w:snapToGrid w:val="0"/>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1、Intel Core i5-10500及以上处理器；</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2、内存≥4G DDR4；≥240GB固态硬盘；≥2G独立显卡；≥4个USB2.0接口；≥6个USB3.0接口，支持5.1声道（提供至少5个音频接口）、≥1个HDMI接口，耳机输出接口、网口；集成千兆网卡；≥21.5寸显示器</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6</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配电箱</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1、40KW，支持远程同步断电/上电，支持一键启动，支持分布上电</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7</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单冷空调</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1、能效等级：一级能效，变频/定频：定频，类型：壁挂式，匹数：1.5匹，冷暖类型：单冷，制冷量(W):3500，制冷功率(W)：750</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8</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线缆及辅材</w:t>
            </w:r>
          </w:p>
        </w:tc>
        <w:tc>
          <w:tcPr>
            <w:tcW w:w="5567" w:type="dxa"/>
            <w:shd w:val="clear" w:color="000000" w:fill="FFFFFF"/>
            <w:vAlign w:val="center"/>
          </w:tcPr>
          <w:p>
            <w:pPr>
              <w:widowControl/>
              <w:snapToGrid w:val="0"/>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1、含网线、排线、PVC管及配件等</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9</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电缆敷设</w:t>
            </w:r>
          </w:p>
        </w:tc>
        <w:tc>
          <w:tcPr>
            <w:tcW w:w="5567" w:type="dxa"/>
            <w:shd w:val="clear" w:color="000000" w:fill="FFFFFF"/>
            <w:vAlign w:val="center"/>
          </w:tcPr>
          <w:p>
            <w:pPr>
              <w:widowControl/>
              <w:snapToGrid w:val="0"/>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1、从控制室布电缆到显示屏配电箱，长度30米，含电缆，管材及辅材</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10</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屏体结构</w:t>
            </w:r>
          </w:p>
        </w:tc>
        <w:tc>
          <w:tcPr>
            <w:tcW w:w="5567" w:type="dxa"/>
            <w:shd w:val="clear" w:color="000000" w:fill="FFFFFF"/>
            <w:vAlign w:val="center"/>
          </w:tcPr>
          <w:p>
            <w:pPr>
              <w:widowControl/>
              <w:snapToGrid w:val="0"/>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1、落地式，屏体钢结构制作，镀锌矩管焊接，成型型材</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47</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11</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外框装饰</w:t>
            </w:r>
          </w:p>
        </w:tc>
        <w:tc>
          <w:tcPr>
            <w:tcW w:w="5567" w:type="dxa"/>
            <w:shd w:val="clear" w:color="000000" w:fill="FFFFFF"/>
            <w:vAlign w:val="center"/>
          </w:tcPr>
          <w:p>
            <w:pPr>
              <w:widowControl/>
              <w:snapToGrid w:val="0"/>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1、材料：铝塑板，颜色根据现场定制</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73</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12</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土建施工费</w:t>
            </w:r>
          </w:p>
        </w:tc>
        <w:tc>
          <w:tcPr>
            <w:tcW w:w="5567" w:type="dxa"/>
            <w:shd w:val="clear" w:color="000000" w:fill="FFFFFF"/>
            <w:vAlign w:val="center"/>
          </w:tcPr>
          <w:p>
            <w:pPr>
              <w:widowControl/>
              <w:snapToGrid w:val="0"/>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1、显示屏基础施工，包含加固处理</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13</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安装调试</w:t>
            </w:r>
          </w:p>
        </w:tc>
        <w:tc>
          <w:tcPr>
            <w:tcW w:w="5567" w:type="dxa"/>
            <w:shd w:val="clear" w:color="000000" w:fill="FFFFFF"/>
            <w:vAlign w:val="center"/>
          </w:tcPr>
          <w:p>
            <w:pPr>
              <w:widowControl/>
              <w:snapToGrid w:val="0"/>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1、按照国家标准和规范进行布线施工、设备安装和调试</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9351" w:type="dxa"/>
            <w:gridSpan w:val="6"/>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7、无线网络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序号</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产品名称</w:t>
            </w:r>
          </w:p>
        </w:tc>
        <w:tc>
          <w:tcPr>
            <w:tcW w:w="5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技术参数</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数量</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无线控制器</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1、转发性能：包转发率≥4Gbps；最大接入用户数≥8K性能指标：ARP表项16K，MAC表项16K；支持AP数≥256个，可配置最大AP数≥512个；</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2、接口类型≥8*GE combo；</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3、支持可插拔电源，1+1冗余备份，配置双交流电源；</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4、支持支持Cupid定位功能：定位精度能够达到2米以内；参与定位的AP支持跨信道部署，对接入无影响；无需事先进行工程采样；</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5、支持嵌入式定位：AC内置Cupid定位功能，结合绿洲平台可实现无线定位及呈现功能，无需额外的定位引擎；</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6、支持802.11k/v/r等快速漫游协议；</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7、支持分层AC：总部AC可以统一管理下属所有的分支AC和AP，配置能够自动同步，支持ARP防攻击、EAD端点准入防御功能、PORTAL，802.1x、Local认证；</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8、支持二三层漫游；</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9、支持NAT、PPPoE、DDNS、SSL VPN、IPSEC VPN、RIP、GRE；</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10、支持WEB、SNMP v1/v2/v3、RMON等管理配置方式</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应用控制网关</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1、吞吐量≥2Gbps，配置千兆电口≥10个，千兆COMOBO口≥4个，支持用户数≥500人。</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2、多核架构设计，CPU核数目≥2个，不允许采用X86架构，功能采用模块化结构设计；要求提供CPU型号、频率。</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支持即时通讯应用管控的精细化管理，可管控微信的“位置分享”、“朋友圈”、“附近的人”、“朋友圈”、“摇一摇”、“漂流瓶”、“收发文件”、“收发消息”、“视频语音”、“登陆注销”等行为，并提供web配置界面截图；</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支持收集网站访问日志，记录用户所有访问网站行为；支持收集搜索引擎日志，记录用户的搜索内容；支持收集IM通讯软件日志，记录用户登陆、注销、收发消息、收发文件等行为；支持收集邮件日志，记录邮件发件人、收件人、主题、正文、附件等信息，并提供web界面配置截图；</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5、内置2.4寸彩色液晶屏，具备触碰按钮；可显示版本号、CPU利用率、内存利用率、设备名称、管理IP等信息；</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6、支持双机热备及会话同步，支持主/主和主/备模式，支持同步配置、运行状态，支持配置抢占模式和抢占延时，支持配置HA监控接口。</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3</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24口POE交换机</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1、交换容量≥330Gbps，包转发率≥108Mpps；</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2、配置10/100/1000BASE-T自适应以太网端口≥24个，万兆 SFP+端口≥4个；支持POE供电，POE供电≥370W；</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3、MAC地址表≥16K，路由表容量≥1K，ACL≥1K；</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4、支持基于端口的VLAN、支持QinQ、灵活QinQ、支持Voice VLAN、支持协议VLAN、支持MAC VLAN、支持IPv4/IPv6静态路由、支持RIP/RIPng，OSPF</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10</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4</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8口POE交换机</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1、交换容量≥330Gbps, 转发性能≥24Mpps；</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2、接口类型：8个10/100/1000 Base-T POE供电端口（供电功率不小于125W），2个1G SFP接口；</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3、支持4K个VLAN，支持最大16K MAC地址及黑洞MAC；</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4、支持IPv6；</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5、支持10KV业务端口防雷能力</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5</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放装型AP</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1、双频四流设计，整机速率≥1.77Gbps，支持最大接入用户数≥500个；</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2、接口：≥1个GE口；</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3、硬件：采用POE供电，内置智能天线，支持802.11ax MU-MIMO；</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4、支持内置蓝牙5.0，支持内置扩展物联网模块；</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5、标准：支持2.4GHz/5GHz双频段，所有射频均支持802.11ax标准，支持802.11a/b/g/n/ac/ac；</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6、支持多SSID，SSID个数≥16个；</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7、防护等级≥IP41</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76</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6</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面板型AP</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1、支持802.11ax,802.11a/n/ac/ac Wave 2和802.11b/g/n同时工作，支持MU-MIMO；</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2、整机4条流，协商速率≥1775 Mbps，其中5GHz频段≥1200Mbps，2.4GHz频段≥575Mbps；</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3、提供≥4个10/100/1000Mbps下行以太网接口，≥1个10/100/1000Mbps上行以太网接口，≥1个RJ45透传口，≥1个USB接口，≥ Console口；</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4、内置全向天线，发射功率≥20dBm；</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5、支持POE 802.3af/802.3at兼容供电，整机最大功耗不大于13W；</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6、支持IPv4/IPv6双协议栈；</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7、支持频谱导航：在双频模式下，优先引导用户使用5Ghz频段；支持实时频谱防护功能；</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8、支持远程探针分析功能；</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9、拟AP≥32个，支持中文SSID，可指定最长16个汉字的SSID，也可以使用中英文混合的SSID，支持SSID隐藏</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70</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7</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高密度AP</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1、支持同时工作在802.11a/b/g/n/ac/ac wave2/ax模式；</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2、整机采用三频设计，两个5GHz射频卡，一个可以灵活选择2.4GHz或5GHz，最大支持三个5GHz射频工作；5GHz频段都支持MU-MIMO；</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3、整机协商速率≥3.267Gbps；</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4、提供≥1个2500Mbps接口；≥1个10/100/1000Mbps(RJ45)支持物联网扩展，支持BLE、RFID、Zigbee等多种物联网链式扩展，最多支持10个物联网模块扩展；</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5、内置智能天线设计；</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6、内置蓝牙蓝牙4.0，支持远距离蓝牙Console功能及iBeacon摇一摇功能；</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7、支持IPv4/IPv6双协议栈；</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8、支持频谱导航：支持实时频谱防护功能；</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9、支持远程探针分析功能；</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10、支持基于用户数和流量的负载均衡功能</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9</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8</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室外AP</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 为保证整机接入用户数，要求AP采用双射频设计，可同时工作在802.11a/b/g/n/ac/ac wave2/ax模式；</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 配置3个接口，其中1个10/100/1000M光口接口，2个100/1000M电口；</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 设备支持全向天线信号覆盖，提供更广阔的无线覆盖范围；</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 所投产品其中一个固定5GHz射频，另外一个可以灵活选择2.4GHz或5GHz，同时可部署5GHz射频数量≥2；</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5、 要求采用内置高增益定向天线设计，且支持外置天线；</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6、 内置BLE5.1/RFID/Zigbee，支持通过软件切换，实现对BLE/RFID不同协议的IOT扩展功能；</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7、 至少支持10个外置物联网模块链式扩展，要求提供官网截图证明；</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8、 支持基于空口利用率的SSID自动隐藏功能，当空口繁忙程度达到或超过配置的阈值时，SSID自动隐藏，为用户提供稳定可靠的无线服务；</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9、 支持WPA3个人级方式下的终端接入；支持WPA3企业级模式下的终端接入功能。</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4</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9</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万兆光模块</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1、SFP+万兆模块（1310nm，10km，LC）</w:t>
            </w:r>
          </w:p>
        </w:tc>
        <w:tc>
          <w:tcPr>
            <w:tcW w:w="666"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20</w:t>
            </w:r>
          </w:p>
        </w:tc>
        <w:tc>
          <w:tcPr>
            <w:tcW w:w="567"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10</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千兆光模块</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1、光模块-SFP-GE-单模模块-(1310nm,10km,LC)</w:t>
            </w:r>
          </w:p>
        </w:tc>
        <w:tc>
          <w:tcPr>
            <w:tcW w:w="666"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4</w:t>
            </w:r>
          </w:p>
        </w:tc>
        <w:tc>
          <w:tcPr>
            <w:tcW w:w="567"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11</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六类网线</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1、正品六类非屏蔽双绞线，性能满足TIA/ EIA568B.2六类标准，支持千兆以太网，实心裸铜导体，高密度聚乙烯绝缘聚乙烯护套。</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32</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12</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管材及辅材</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1、各种线槽/管、配件、水晶头等</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13</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安装调试</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1、按照国家标准和规范进行布线施工、设备安装和调试</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159</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14</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无线控制器许可协议</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1、无线控制器license授权-管理128AP</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15</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无线控制器许可协议</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1、无线控制器license授权-管理32AP</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9351" w:type="dxa"/>
            <w:gridSpan w:val="6"/>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8、校园广播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序号</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产品名称</w:t>
            </w:r>
          </w:p>
        </w:tc>
        <w:tc>
          <w:tcPr>
            <w:tcW w:w="5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技术参数</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数量</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广播主干</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1、RVV2*1.5，国标铜芯线</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5000</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管材及辅材</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1、各种线槽/管、配件等</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3</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安装调试</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1、广播室设备搬迁，广播主干布线施工，广播系统接线调试</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9351" w:type="dxa"/>
            <w:gridSpan w:val="6"/>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9、电子班牌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序号</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产品名称</w:t>
            </w:r>
          </w:p>
        </w:tc>
        <w:tc>
          <w:tcPr>
            <w:tcW w:w="5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技术参数</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数量</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智慧班牌</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1、采用21.5英寸横屏式电容显示屏，支持10点触控，屏幕分辨率≥1920*1080，显示比例16:9或者9:16；屏幕亮度≥500cd/㎡；</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2、屏体采用宽温液晶屏，屏体工作温度区间跨度不小于零下20°C-80°C；</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3、整机采用防水防尘结构设计，适用于学校教室半户外环境，防护等级不低于IP65；</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4、整机背部与墙面微距全贴合，背面与平整墙面间隙最大处≤2.5mm，保障教学环境的安全性；</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5、整机最大厚度不大于30mm；</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6、整机正面覆盖防眩光钢化玻璃，可在阳光、白炽灯、日光灯等强光照射下正常使用；</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7、可拍摄不低于500W像素的照片，支持不少于5人同时进行人脸识别，可支持学生无卡考勤签到、查看个人课程表、家长留言等个人信息；</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8、内置高灵敏度的全向麦克风，拾音半径不小于0.5m，支持学生语音留言，留言内容同步发送至家长微信；</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9、内置2.0立体声道功放，支持视频及家长留言的音频播放；</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10、刷卡器：具有内置IC卡刷卡器，支持14443协议。学生可佩带相应的终端设备完成刷卡签到、查看个人信息等操作；</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11、整机具备至少一路RJ45网络接口，具备不少于2路USB 2.0接口；</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12、整机采用内置天线设计，无任何天线外露；</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13、整机支持外接门禁及串口接口；</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14、系统运行内存不低于2GB，存储容量不低于8GB；操作系统版本不低于Android 7.1；</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15、支持远程开关机功能，远程唤醒待机功耗≤2W。</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48</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信息发布终端</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1、整机边框采用高强度铝合金边框，坚固可靠，角部采用圆角设计；</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2、外边框采用喷涂环保木纹工艺；</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3、整机采用高雾度蛾眼液晶屏体，表面偏光纳米涂层增益屏体漫反射形成真实视感，屏体雾度≥25%，无需防眩光钢化玻璃或磨砂防眩光贴膜，全方位可视角度≥178°；</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4、液晶屏显示尺寸≥55吋，分辨率≥3840*2160，显示比例16:9，支持横、竖安装方式；</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5、整机最大显示亮度≥350nit，整机具备光线感应功能，根据环境光强度自动调整显示亮度；</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6、整机安装到墙面后无任何外置、外露、外挂的线材、天线及元器件模块；</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7、内置2.0声道环绕功放，支持音视频声音外放；</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8、整机采用壁挂安装，整机与壁挂连接采用教育定制安全设计，须用专用工具锁定、解锁；</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9、整机采用超薄设计，整机厚度≤46mm；</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10、整机背部与墙面微距全贴合，背部与平整墙面间隙最大处≤2mm，边框边缘与平整墙面间隙最大处≤7mm；</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11、整机接口：USB 2.0*2，HDMI-IN*1,RJ45*1，内置Wi-Fi模块（10M/100M/1000M），内置蓝牙模块（支持蓝牙4.0、BLE）；</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12、采用4核CPU，工作频率≥1.9GHz，运行内存2G，存储空间8G，支持最大64G的TF卡扩展存储；</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13、兼容主流多媒体格式，视频格式：MPEG1、MPEG2、MPEG4、 H.263、H.264等；音频格式：MP3等；图片格式：JPG、JPEG、BMP、PNG、GIF 等；</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14、信息发布系统与设备一体化集成，无需外接任何信息发布设备即可完成信息发布；</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15、整机带有三个实体按键，可以对播放的节目进行前后翻页和暂停/播放控制；</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16、支持手机通过蓝牙连接整机，对整机进行遥控控制；</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17、后台管理系统采用“B/S”架构，支持跨平台应用操作的能力。</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18、后台管理系统采用SaaS服务方式，支持分布式区域管理技术，可以高效快速的实现跨区域的管理和内容分发，实现对设备的远程控制与管理；</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19、设备支持web端后台管理系统进行设备管理、内容管理和发布，也可支持通过移动端小程序进行内容管理和发布；</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20、后台管理系统支持微信扫码登录和账号登录；</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21、支持手动单个增加场地信息，也可用EXCEL批量导入不同场地信息；</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22、支持使用EXCEL批量导入管理员等其他各类基础数据；</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23、支持聚合信息订阅展示，使用者可订阅并将相应内容加入到节目单中进行定制化展示；</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24、支持通过网页端管理后台发布相册、视频、新闻、公告等无需额外安装应用；</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25、后台管理系统支持云图库功能，系统内置不少于180份的正版宣传内容；</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26、支持通过网页管理后台将图库资源（卫生健康、党建文化、科普知识、社会主义核心价值观等主题内容）发布到设备上进行展示；</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27、网页端管理后台支持图片相册轮播展示设置，轮播间隔可自由设置5~9999秒/张图片；</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28、支持网页端管理后台，设置多图集节目轮播或逐级逐个轮播；</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29、支持通过网页端管理权限分配，指定场地设备管理员；</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30、支持通过网页管理后台，设置多组定时开关机计划；</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31、支持远程设备重启、接触与场地绑定、更新数据等功能；</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32、支持在设备上生成二维码，通过微信扫码方式将设备与场地关联；</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33、支持通过遥控器或微信小程序对云屏数据进行手动更新；</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34、应用软件和系统软件支持远程OTA静默升级；</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35、支持在设备端展示图片、视频、通知、公告等内容；</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36、小程序内集成图库资源，支持通过微信小程序将图库内图片一键发送到设备上展示；</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37、支持通过微信小程序将图库资源（卫生健康、党建文化、科普知识、社会主义核心价值观等主题内容）发布到设备上进行展示；</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38、支持通过小程序对海报模板内容进行字体修改（不低于10种字体）、支持对字号大小修改（20px~600px）、支持字体颜色修改（24种颜色）、支持对文本对齐方式修改（右对齐、居中对齐、左对齐）；</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39、支持对海报模板插入的图片进行自由剪裁。</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6</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3</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平台管理系统</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1、系统可在后台发布班牌展示信息内容，支持照片、视频、新闻、公告、电子欢迎横幅等类型，内容支持图文混合排版。信息发布具备定向发布功能，可按照全校、班级层级进行定向信息推送；</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2、区域云班：支持区域教育局等单位直接发布图片、视频、资讯、海报等内容到学校，下发后学校班牌上会同步展示发布的内容；</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3、设置屏保模式后，班牌长时间处于无人操作状态下将自动切换至屏幕保护模式，屏保模式下可选择全校、班级相册轮播、置顶已发布公告等多种内容展示；</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4、系统内置超过200张屏保云图，分属于不同的云图库（如：卫生健康、党建文化、科普知识等），用户可以选择需要的云图库作为班牌屏保；</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5、支持发布校级重要公告，新增公告内容同步在全校班牌置顶展示；</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6、系统内置超过20套公告模板（如：家长会通知、寒暑假通知等），可供用户发布公告时套用；</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7、系统内置50+海报模板（如，欢迎模式，卫生健康，校园风采，通知公告等），支持用户自定义修改背景及文案，同时可以自定义管理海报分类；</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8、支持以校级或班级为单位发布事件倒计时，可编辑事件名称和倒计时截止时间，事件剩余时间在班牌实时显示，可同时发布不少于3个事件倒计时；</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9、支持展示学校所在区域今日及明后两天的天气状况和今日空气质量指数，可详细查看当日PM10、PM2.5、NO2、SO2等常见污染物数据，并根据当前天气状态自动切换对应的主题插图；</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10、支持对信息发布进行审核权限管理，可同时设置不同审核人，用户进行信息发布时，需由指定用户审核后才可在设备上展示；</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11、支持信息发布IP白名暈管理，可将相关管理人员的办公网络IP地址纳入“IP白名单”，白名单外的IP地址无法获取信息发布权限；</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12、系统提供科目数据库，内置常见学科科目名称，且支持自定义增添科目；</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13、支持以电子表格形式快速导入或人工创建课程表，具备单科目快速排课功能，可将某科目在课程表中跨日跨时段快速复制，提高录入效率；</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14、管理员可授权班主任自助管理本班课程表；</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15、系统支持发布课程作息时间表，可按全校和年级层级进行分层执行。每天可执行不同的课程作息时间表，便于灵活管理教学作息时间；</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16、系统提供学生日循环考勤、单次事件考勤、课程考勤等考勤规则模式，可设置考勤事件的名称、起始时间、考勤人员范围。考勤时间段内班牌显示内容自动切换为考勤模式，实时显示应到学生、已到学生的数量及名单；</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17、人脸识别考勤功能支持离线识别，无网络环境下班牌仍可以进行人脸识别考勤；</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18、学生考勤结果可自动推送至家长手机端，供家长查看学生考勤信息。支持考勤结束后自动推送考勤结果给班主任和任课老师，同时老师可设置关闭通知开关；</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19、系统提供基础信息库，包含教师、班级、学生、场地、一卡通等数据，支持电子表格批量导入或手工导入。提供考试信息库，包含考场号、场地、考试时间、科目等数据；</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20、支持管理员、年级级长和班主任多层级角色和权限管理，可以自定义年级级长和管理员权限；</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21、考场模式：班牌显示在进入考试时间段前1小时自动切换至考试预告模式；到达考试时间自动切换至考试模式，展示考场号、场地、考试时间段、科目等信息，考场模式下，学生无法操控班牌，需进行二维码扫描身份验证后才可进行操作；</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22、支持在云班后台将可用来预约的场地开启场地预约，然后老师即可在云班后台发起场地预约，同时班牌端会显示当前场地近两周的预约占用情况；</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23、支持自定义德育督导班级评分标准，设定全校评价维度，督导教师可通过扫描班牌显示的班级专属二维码对班级进行评分，可按日、周、月查看班级总分，可以柱状图查看各评价维度的分数；</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24、班牌巡课具备权限管理功能，需用户扫码验证教师后，方可使用该功能，避免无关人士使用；</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25、支持管理系统与学生行为评价软件账号的单点登录、数据互通，教师对学生进行评价后，相应的分数会实时同步至班牌；</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26、支持班级名称更新，学年结束后管理员可一键升级全校班牌的班级名称，管理员也可一键将毕业年级升级为毕业班；</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27、班牌投票：支持老师在手机端发布投票到班牌，然后学生可以在班牌端通过刷脸或刷卡进行投票表决；</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28、手机端APP支持管理员、教师、家长多重身份切换，应用内可直接切换账户角色，无需退出账号重新登录；</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29、可在班牌应用菜单嵌入第三方应用，使用第三方应用时，显示当前使用的第三方应用名称与开发者信息；</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30、支持NFC读卡功能，第三方应用可通过读卡接口自行采集班牌刷卡信息。</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4</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24口接入交换机</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1、交换容量≥336Gbps，包转发率≥108Mpps；</w:t>
            </w:r>
          </w:p>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2、配置10/100/1000BASE-T自适应以太网端口≥24个，万兆 SFP+端口≥4个；</w:t>
            </w:r>
          </w:p>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3、支持纵向虚拟化功能。</w:t>
            </w:r>
          </w:p>
        </w:tc>
        <w:tc>
          <w:tcPr>
            <w:tcW w:w="666"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4</w:t>
            </w:r>
          </w:p>
        </w:tc>
        <w:tc>
          <w:tcPr>
            <w:tcW w:w="567"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5</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六类网线</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1、正品六类非屏蔽双绞线，性能满足TIA/ EIA568B.2六类标准，支持千兆以太网，实心裸铜导体，高密度聚乙烯绝缘聚乙烯护套。</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10</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6</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电源线</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1、RVV2*1.5，国标铜芯线</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800</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7</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管材及辅材</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1、各种线槽/管、配件、水晶头等</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8</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安装调试</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1、按照国家标准和规范进行布线施工、设备安装和调试</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54</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9351" w:type="dxa"/>
            <w:gridSpan w:val="6"/>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10、录播教室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序号</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产品名称</w:t>
            </w:r>
          </w:p>
        </w:tc>
        <w:tc>
          <w:tcPr>
            <w:tcW w:w="5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技术参数</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数量</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录播工作站</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1、1U机箱，ARM 双核处理器 Linux系统 ，内置2T硬盘，最大可扩展4T；</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具备前置2.2寸LED彩色液晶屏，配合前置按键可直接设置主机的IP地址、导出录像文件；前置开始、暂停、停止按键，控制录制进程并有相应LED灯显示当前工作状态；前置4个USB端口（USB3.0*1，USB2.0*3），插入USB存储设备后可导出录像资源；前置音频监听输出；</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3、视频模块：支持5路HD-SDI输入，1路DVI-I输入，2路HDMI输入，支持1路VGA输出，1路HDMI输出，一路DVI环出输出，1路SDI输出；</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 xml:space="preserve">4、视频采集方式：硬件采集、编码；视频编码类型：H.264； </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5、输入HD-SDI视频格式：1920*1080p/1280*720p@60/50/30/25fps，1920*1080i@60/50fps、1280*720p@60/50/30/25fps；输入HDMI/VGA格式：支持1024*768p@60到1920x1080p@60；</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6、视频编码帧率：25fps 5/10/15/20/25/30可选；视频编码分辨率：最高1920 x 1080；视频编码码率：256k~8M可调；主码流（录制）1M~8Mbps，副码流（直播）256K~1Mbps；</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7、音频模块：内置音频采集模块，话筒输入（48V幻象）*6、MIC无线话筒*1；1路线路输入（莲花座）；音频编码类型：AAC，音频采样率32KHz ，1路线路音频输出，具有自动增益功能；</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8、控制模块：6路RS232可外接跟踪机、控制面板、摄像机云台等、1路RS422或RS485可控制摄像机等外部设备；</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9、网络模块：具备2个10/100/1000Mbps自适应网口；</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10、直播协议支持标准的RTMP协议，支持RTSP实时协议流；网络协议支持TCP、UDP、RTMP、RTSP、FTP协议等；</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11、支持本地导播方式，插上显示屏，鼠标键盘就可以完成本地无延迟导播，可扩展硬件导播台；</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12、设备支持POC供电，实现高清视频、同轴等信号与供电电源复合一起，在一根同轴线上传输为摄像机供电；</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13、支持EPTZ电子云台，在采用两台4K高清摄像机的情况下，可实现教师全景、教师特写、学生全景、学生特写四个画面的拍摄；</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14、互动功能：支持设备之间点对点互动功能，实现1拖3教学互动；</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15、支持扩展AI功能，实现对课堂教学行为的分析；</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16、系统须支持基于机器学习算法对课堂场景进行自动捕捉与分析,支持通过浏览器直接访问设备AI模块的IP地址进入AI分析系统界面，通过快速预览功能实时查看教师和学生的实时分析界面，实现教师及学生检测、教师及学生行为分析等；</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17、系统须提供一键配置向导功能，可自定义配置系统网络及2路分析摄像机信号；教师区及学生区的2路分析视频源设置等功能；</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18、系统须支持快速预览，方便用户第一时间了解视频分析状态，及时生成课堂分析报告；</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19、系统须支持定时器分析，通过设定课程分析计划后可自动执行分析，做到无人值守下的自动分析；</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20、系统可接入多维成长平台，通过远程控制多间教室开始或停止分析，并支持分析结果显示；</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21、系统须支持实时显示AI分析模块的cpu、内存、硬盘使用率、温度信息，并且可对分析状态、网络及视频通断状态进行实时监测。</w:t>
            </w:r>
          </w:p>
        </w:tc>
        <w:tc>
          <w:tcPr>
            <w:tcW w:w="666"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高清录播系统软件</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1、支持对设备的录制编码、帧率、IP地址、内置时间、视频输出、互动功能等参数进行设置；</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2、支持本地导播和web远程导播两种导播方式；支持云台控制、画中画设置、特效切换、台标字幕及片头片尾设置、录播开始、暂停、停止等设置操作。</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3、支持电影模式、资源模式及“电影+资源”模式三种直播模式，其中资源模式最多支持6路视频图像，“电影+资源”模式最多支持7路视频图像，包含6路资源模式视频图像及1路电影模式视频图像；</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4、支持单流单画面的电影模式、多流多画面的资源模式以及单流多画面的“电影+资源”模式，可以单独录制也可以同时录制；支持在同一设备完成6路视频同时录制，所生成文件在同一文件夹。</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5、具备独立的页面可以显示系统当前的录像模式、录像状态、录像时间、直播状态、磁盘空间信息、视频源是否启用等信息，此页面亦包含电影模式画面、VGA信号及4路SDI视频信号的分辨率、录制编码、录制帧率、I帧间隔及直播地址等信息，满足管理人员基于一个页面即可查询到上述信息。</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6、支持在电影画面中添加台标、字幕，可以插入片头、片尾；支持台标更换及台标位置选择；支持图片、视频等格式文件的片头片尾，支持片头片尾时间选择：1-5s；</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7、可以提供多种画中画模式，支持提供15种已设定好的画中画模式，如大小、左右、平铺、三分屏、四分屏、全景等画中画模式，支持交换功能，方便画面快速对调；</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8、支持直切、擦除、覆盖、推拉模式的特效，每种模式提供8种特效；系统亦具备提供4种不同上述方式的特效，所有特效为系统自带，无须手动定义；特效的过渡时间支持设定为0.5S、0.8S、1.0S、1.2S。</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9、可以提供预编辑录制窗口（PVW）和录制窗口（PGM），录制时辅助人员可在预编辑窗口完成对视频的编辑，如添加字幕、台标、设置画中画等，设置完成后可直接推送到直播/电影模式窗口，进行录制及直播。</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10、一根VGA或HDMI线缆即可完成教师机画面采集与侦测，无需安装辅助软件。</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11、录像文件支持设置对应的学年学期、课程名称、学校院系、授课地点、学校代码、学科名称、授课教师、开课时间、授课年级、授课课时及课程描述等教学信息。</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12、具备录像管理功能，支持显示已有文件的列表，并进行点播、下载、修改属性、删除等操作；录制后的视频可支持自动上传云平台个人空间且自动删除本地文件；支持磁盘格式化、磁盘满载后不录制或覆盖。</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13、支持4路摄像机云台控制，可对摄像机进行上下左右、变倍、聚焦、光圈控制，系统针对每路摄像机均提供5种固定位变焦，用户可以直接调用，无需手动调节；每个摄像机可设置8个预置位；摄像机光圈和聚焦设置提供手动和自动设置按钮。</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14、跟踪功能支持自动、手动及半自动三种跟踪模式；</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15、具备POC供电功能是否启用的总开关和5路摄像机的POC供电功能的独立开关设置。</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16、具备互动设置功能，可以实现录播工作站之间直接进行教学互动，支持1台录播工作站同时和3台录播工作站进行互动。</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17、具备公网互动设置窗口，可以设定本机ID、本地端口、服务器IP及服务器端口；可以手动增加本地互动用户信息，可以实现本地用户列表的导入导出；系统可以保存常用互动用户的列表，用户可以任意选择在线的用户进行教学互动；</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18、可以设置互动时采用单屏显示或是双屏显示，具备本地显示设置功能；互动时主讲端和听讲端的画面可以从设备输入的摄像机画面或VGA画面中自定义选择。</w:t>
            </w:r>
          </w:p>
        </w:tc>
        <w:tc>
          <w:tcPr>
            <w:tcW w:w="666"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3</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在线互动课堂</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1、支持一键创建课堂，听讲教室只需输入主讲教室的课堂号即可进入互动页面。</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2、支持一对八的互动教学，并且支持第九个及以上教室排队请求加入课堂，主讲教师可以根据自身的需求，删除或者替换听讲教室。</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3、支持关键字搜索听讲教室名称，方便用户选择互动目标班级；</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4、进入到客户端中后支持点击文件即可导入课堂所需要的互动内容，软件可自动识别本地以及移动存储设备，支持多选一键导入教师所有教学所需资料。</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5、支持主讲教室和听讲教室的文件互传。支持多种格式的文档、视频、以及图片的互传。文本类支持：doc, docx, ppt, pptx, pdf ；视频类支持：avi,mp4,mkv,wma,mov,3gp,flv；图片类支持：jpg,jpeg,bmp,png；音频类支持：mp3；</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6、支持主讲以及听讲端通过快照的方式将文件保存至本地。</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7、支持主讲教室对主讲文件的操作可以同步到听讲教室，包括文档翻页、放大缩小、移动位置，音视频的播放与暂停、进度调整；</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8、支持多页文档传入时显示总页码与当前页码；</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9、支持文档查看记录功能，同一文档如果非初次上传，第二次上传会跳转至上次翻阅到的位置。</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10、软件支持同屏书写功能，支持画笔标注，图形标注以及文字标注，可以实时显示标注的轨迹，主讲大屏以及所有听讲大屏同步显示标注内容。</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11、软件支持画笔画笔、图形、橡皮、撤销、激光笔等应用工具，画笔支持可以选择8种颜色和8中粗细，图形支持4种颜色和4种粗细，软件提供方框、圆形、直线、箭头作为批注选择，满足授课老师不同的批注要求。智能化的橡皮以及撤销工具，支持单线的擦除以及多步的撤销。创意激光笔为教师讲课提供指向工具，方便异地听讲教室定位老师的讲课重点。</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12、支持教室打分系统。支持点击加减号为教室打分，起到鼓励和激励的作用。</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13、软件支持单屏、双屏、和全屏的互动模式，双屏模式为左右2分屏，支持两种相同类型或者不同类型的文件同时展示，可以展示图片+视频、图片+图片、图片+音频，文档+视频、文档+文档等多种组合。双屏模式下可以对两个屏幕上的文档分别进行批注、缩放和翻页。</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14、为满足日常上课需求，支持三大教学模式</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15、教师授课模式：模拟教师讲课时的教室场景，教师讲课时学生处于听讲的状态，主讲教师的课件可以共享给听讲教室，同时只有主讲教师可以在屏幕上进行批注授课。</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16、同屏书写模式：模拟学生黑板答题的教室场景，远端教室的学生可以通过同屏书写的功能在主讲教室的屏幕上进行答题。</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17、远程监看模式：模拟教师班级巡课的教室场景，听讲教室可以自行在自己的屏幕上批注，此时主讲教师可以查看任意教室的屏幕内容。</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18、支持远程答题功能，配置答题器即可完成课堂习题的实时互动答题，做到练习内容的互动，听讲教室可以通过答题器回答问题，所有答题统计都可以在主讲大屏查看。</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19、支持择题、判断题、数字题以及题型套卷的远程问答发起。开始答题后完成学生的姓名会实时显示至主讲客户端中，系统会自动统计识别每道题答题人数和各选项的总人数占比，并且对于各班级的答题情况以及整体的答题情况进行统计。</w:t>
            </w:r>
          </w:p>
        </w:tc>
        <w:tc>
          <w:tcPr>
            <w:tcW w:w="666"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4</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高清摄像机</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1、成像器件：1/2.7英寸 CMOS；有效像素：207万；</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2、信号系统：HD: 1080P60/50/30/25, 1080i60/50,720P60/50/30/25,SD: 480i, 576i；</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3、扫描方式：逐行；数字降噪：2D&amp;3D数字降噪；信噪比：≥55Db；</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4、镜头：12x, f3.5mm ~ 42.3mm, F1.8 ~ F2.8，32x数字变焦(可选)；</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5、水平转动范围：±170°，水平转动速度范围：1.7° ~ 100°/s；</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6、垂直转动范围：-30° ~ +90°，垂直转动速度范围：1.7° ~ 69.9°/s；</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7、预置位数量：255；</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8、视频编码：H.265/H.264/MJEPG；</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9、视频码流：主码流，辅码流；主码流分辨率支持1920x1080, 1280x720, 1024x576，辅码流分辨率支持720x576, 720x480, 320x240；</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10、支持协议：TCP/IP, HTTP, RTSP, RTMP, Onvif, DHCP, 组播等；</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11、视频输出：1路3G-SDI、HDMI、RJ45网络，三路接口可同时输出，支持1路CVBS输出；</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12、电源：DC12V；内置POC供电模块。</w:t>
            </w:r>
          </w:p>
        </w:tc>
        <w:tc>
          <w:tcPr>
            <w:tcW w:w="666"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5</w:t>
            </w:r>
          </w:p>
        </w:tc>
        <w:tc>
          <w:tcPr>
            <w:tcW w:w="567"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5</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跟踪主机</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1、ARM处理器，Linux系统；1U，19英寸标准机架式设计；</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2、具备前置2.2寸LCD彩色液晶屏，具备电源开关键，上、下、左、右导航键，确认、取消键，开始、暂停及停止键。</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3、具备4个DB9串口：3个串口支持连接教师、学生和板书摄像机进行云台控制，1个串口支持与录播工作站连接，实现通讯和状态同步；</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4、具备6个RJ45的232串口：4个串口支持连接教师、学生、全景和板书摄像机进行云台控制，1个串口支持与录播工作站连接，实现通讯和状态同步；1个串口支持连控制面板，控制跟踪主机开始、暂停和结束；</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5、具备1路VGA输出，1路HDMI输出，可输出图像探测器画面；具备1路USB2.0接口，用于U盘升级程序；</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6、具备6个POE供电网口，可以连接POE摄像机或图像探测器；</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7、主机背板有三孔电源接口直接采用交流220V供电，不接受电源适配器直流供电。</w:t>
            </w:r>
          </w:p>
        </w:tc>
        <w:tc>
          <w:tcPr>
            <w:tcW w:w="666"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6</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图像探测器（教师）</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1、成像器件：1/3"高清CMOS；</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2、有效像素：1920(H)X1080(V),2 mega pixel；</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3、信噪比：≥50db(AGC OFF)；</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4、网络接口：10/100M网络自适应，RJ45适配器，POE供电；</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5、视频编码：H.264 Main Profile, Baseline 编码 MJPEG编码；</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6、电源：DC 12V、POE供电；</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7、)协议支持：TCP/IP,UDP,RTP,RTSP；</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8、设备功率：2W，(5W  IR)；</w:t>
            </w:r>
          </w:p>
        </w:tc>
        <w:tc>
          <w:tcPr>
            <w:tcW w:w="666"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w:t>
            </w:r>
          </w:p>
        </w:tc>
        <w:tc>
          <w:tcPr>
            <w:tcW w:w="567"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7</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图像探测器（学生）</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1、采用86盒式嵌入墙壁安装；</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2、成像器件：1/3"高清CMOS；</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3、有效像素：1920(H)X1080(V),2 mega pixel；</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4、信噪比：≥50db(AGC OFF)；</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5、网络接口：10/100M网络自适应，RJ45适配器；</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6、视频编码：H.264 Main Profile, Baseline 编码 MJPEG编码；</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7、电源：DC 12V 、POE供电；</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8、协议支持：TCP/IP,UDP,RTP,RTSP；</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9、设备功率：2W，(5W  IR)；</w:t>
            </w:r>
          </w:p>
        </w:tc>
        <w:tc>
          <w:tcPr>
            <w:tcW w:w="666"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4</w:t>
            </w:r>
          </w:p>
        </w:tc>
        <w:tc>
          <w:tcPr>
            <w:tcW w:w="567"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8</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图像定位系统</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1、视频图像：可以显示跟踪机采集的静态图，同时可以设置检测图像的区域。</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2、信息显示：可以显示通信、操作过程的一些状态信息</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3、获取图像：可以实时获取教师和学生的视频图像。</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4、获取参数：可以获取跟踪主机里设定的跟踪区域的坐标参数。</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5、修改区域：可以通过鼠标调整红色检测区域。</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6、显示区域：可以把内存中的参数加载到用户界面中显示出来。</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7、学生：可以控制调试输出的视频是学生目标的视频。</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8、教师：可以控制调试输出的视频是教师目标的视频。</w:t>
            </w:r>
          </w:p>
        </w:tc>
        <w:tc>
          <w:tcPr>
            <w:tcW w:w="666"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9</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空间网格自动跟踪系统</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1、提交到跟踪机：可以把新数据写入跟踪机。</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2、恢复默认设置：可以把所有的参数都恢复出厂设置。</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3、配置文件导入导出：将跟踪主机设置完成，可将配置文件导出到本地保存，也可将配置文件导入，实现一键恢复配置。</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多样性跟踪策略：支持灵活的多机位组合导播策略，可以根据需要启用学生和教师的全景机位，采用丰富的全景导播策略，在教师或者学生特写镜头的移动推拉过程中加入稳定的全景镜头，全面提升录播画面的稳定感</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5、工作模式：可以根据需求来选择不同的跟踪模式，包括教师跟踪模式，学生跟踪模式，教师学生跟踪模式，教师学生板书跟踪模式，互动跟踪等模式；</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6、跟踪调试模式：调试时打开调试程序，不需要进行其他策略主机的搭配，就可以进行教师，学生，板书的探测和策略切换，实现跟踪效果。</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7、录播主机联动控制：配置完成后，跟踪主机自动与录播主机自动联动，点击录播的开始录制按钮或点击跟踪主机的开始跟踪按钮，就可以进行当前场景匹配策略的自动探测和画面跟踪拍摄。</w:t>
            </w:r>
          </w:p>
        </w:tc>
        <w:tc>
          <w:tcPr>
            <w:tcW w:w="666"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10</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导播控制台</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1、支持对5路摄像机的云台控制，实现“上下翻转、左右翻转、放大缩小翻转”等操控，操控期间镜头变化的速度可自行调整，可为每个摄像机设定不少于7个 预置位，完成快速定位功能；</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2、支持对主、副各6路视频画面的切换控制，完成各种画中画模式的开启与关闭、画中画副画面的切换、主副画面的切换等功能，可完成简单特技的添加和去除；</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3、可与自动跟踪设备联动，具备手动、自动切换功能，可控制录像的开始、暂停、停止，在无需键盘鼠标配合下，即可完成操作；</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4、2路DB9标准RS232用于录播机及跟踪机控制，1路DB15专用接口可接5路摄像机控制，5路RJ45摄像机控制口（串口），1路USB 2.0，可提供供电。</w:t>
            </w:r>
          </w:p>
        </w:tc>
        <w:tc>
          <w:tcPr>
            <w:tcW w:w="666"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11</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吊装话筒</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1、频率范围：40—18000 Hz</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2、灵敏度：-35dB</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3、指向性：超窄指向</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4、拾音角度：100°</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5、最大声压级：132(@THD≤0.5%,1KHz)</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6、阻抗：200Ω</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7、工作电压： 48V</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8、信噪比≥70dB</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9、等效噪声级：26dB-A</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10、话筒直径：8.24mm，话筒长度（不含插头）：220mm                                                                                                      11、吊杆长度（可伸缩）60-1200mm。</w:t>
            </w:r>
          </w:p>
        </w:tc>
        <w:tc>
          <w:tcPr>
            <w:tcW w:w="666"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8</w:t>
            </w:r>
          </w:p>
        </w:tc>
        <w:tc>
          <w:tcPr>
            <w:tcW w:w="567"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12</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音频处理器</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1、支持8路全频AEC回声抑制功能；</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2、支持8路平衡式话筒输入，4路平衡式线路输入，采用裸线接口端子；</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3、支持6路平衡式线路输出，采用裸线接口端子；</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4、支持48V幻象电源；</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5、具备用于软件设置/控制的以太网端口；</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6、支持以太网接口用于多台设备联机工作；</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7、具备串行端口用于第三方RS-232远程控制；</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8、具备信号路由功能，对音频信号进行切换和分配；</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9、提供RMS均值和Peak峰值两种电平表，监测当前音频信号幅度。</w:t>
            </w:r>
          </w:p>
        </w:tc>
        <w:tc>
          <w:tcPr>
            <w:tcW w:w="666"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13</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双通道数字功放</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1、电源 ～220V ±10%  2A；</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2、总功率（额定）: 300W   ( 2x100W +2x50W)；</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3、信噪比（A计权）: 90db ；</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4、频响（-3dB）:   20H～20KHz；</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5、声道系统:  2.0 +2.0；</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6、输入线路输入（左右声道） ：0dB 10K 各1路；</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7、输出功率输出（左右声道）：2路 2x4～8Ω + 2路 2x4～8Ω；</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8、1U机箱，总功率（额定） 2x100W +2x50W；</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9、失真度 1000Hz。</w:t>
            </w:r>
          </w:p>
        </w:tc>
        <w:tc>
          <w:tcPr>
            <w:tcW w:w="666"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14</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线阵列音箱</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1、最大功率60 W、额定功率30 W；声压级：1 W（1 kHz，1 米）时，92 dB (SPL)，有效频率范围(-10 dB)，190 Hz 至 18 kHz；</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2、开放角度1 kHz / 4 kHz (-6 dB)，水平210°/132°，垂直50°/22°，额定阻抗6 欧姆。</w:t>
            </w:r>
          </w:p>
        </w:tc>
        <w:tc>
          <w:tcPr>
            <w:tcW w:w="666"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6</w:t>
            </w:r>
          </w:p>
        </w:tc>
        <w:tc>
          <w:tcPr>
            <w:tcW w:w="567"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15</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录播专业控制柜</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1、一体式设计，对录播设备集中控制管理，含电源控制模块、VGA分配模块、网络模块。外观：全框架结构, 配可调节支撑行走脚轮4只；</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2、散热：旋转式散热风口，符合19英寸标准；</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3、规格：≤550MM×600MM×1000MM；</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4、标准：符合ANSI/EIA RS-310-D、IEC297-2、DIN41491；PART1、DIN41494； PART7、 GB/T3047.2- 92；兼容ETSI；</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5、材质：SPCC优质冷扎钢板制作；厚度：方孔条≥2.0mm,其他≥1.2mm；</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6、内置网络控制模块、电源模块、集成线缆。</w:t>
            </w:r>
          </w:p>
        </w:tc>
        <w:tc>
          <w:tcPr>
            <w:tcW w:w="666"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16</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嵌入式网络中控</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1、采用嵌入式技术，ARM处理器，可灵活配置端口、自定义使用模式；</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2、支持4×2的视频信号输入输出；</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3、具备6路千兆交换机端口；</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4、具备语音与主控中心对讲；</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5、具备无线投屏功能，支持用户的手机直接连接中控并投射显示；</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6、具备2路VGA信号输入，2路HDMI信号输入，1路VGA信号输出并具有掉线检测，1路HDMI信号输出；</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7、具备4路左右声道音频信号输入，1路左右声道音频环出，1路MIC输入，1路Line In，1路4欧/16W左右声道功放输出，1路语音对讲输入，1路语音对讲输出；</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8、具备1路串口用于连接控制面板，RS232电平，1路串口用于连接读卡器，RS232电平；1路串口用于连接投影机，RS232电平；1路串口预留，RS232电平；1路console调试串口，RS232电平；</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9、数字量输入、输出，具备2路无极性输入，2路带电输入，2路无极性输出，2路带电输出；</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10、低压直流输出具备1路12V/1A低压输出，1路5V/0.5A低压输出，1路12V电控锁控制输出；</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11、高压交流输出具备3路220VAC输出，电流分别为1路3A，2路1A。</w:t>
            </w:r>
          </w:p>
        </w:tc>
        <w:tc>
          <w:tcPr>
            <w:tcW w:w="666"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17</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网络中控系统软件</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1、提供B/S配置界面，可以查看系统概览，包括系统当前时间、网络配置、固件信息；</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2、具备网络配置，网络跟踪配置、管理平台、语音平台设置功能；</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3、支持时间同步服务器、PDUIP设置，支持USB电话声音设置；</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4、可自定义设定时间，选择控制面板类型，支持摄像机云台设置；</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5、具备固件升级及远程重启功能；</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6、提供高级配置功能，具备控制台，可选择中控控制命令并显示中控系统状态；可以查看中控的原始命令和原始状态；可以查看定制状态信息，可以管理中控组合命令；可以设置智能开关、面板键命令映射、面板灯、PC控制参数、功放参数、投影机型号及控制参数；可以查看投影机灯泡状态，卡号信息及系统综合信息等。</w:t>
            </w:r>
          </w:p>
        </w:tc>
        <w:tc>
          <w:tcPr>
            <w:tcW w:w="666"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18</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电源时序控制器</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1、可以管理8台220V交流供电设备，电源输出端口：8路;输入电压：220VAC±10% ；频率：50Hz;输入电流：≤15A;输出电流：每个端口：≤10A;总电流：≤15A。</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2、设备具备显示模块，实时循环显示设备的IP地址相关信息。</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 xml:space="preserve">3、设备接口采用RJ45端口，通过网络可方便地将产品连接到控制平台，对设备进行远程控制。 </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可以选择对接入每个端口的设备分别选择实施开启、关闭、延时开启、延时关闭、延时重启；对于延时操作，通过设备管理软件可以设置延时时间。5、为了更方便的管理设备，可以在设备管理软件页面上添加一些定时任务。如设备“每天”“每周”“每月”进行“重启”“开机”“关机”等相关操作，都可通过页面上进行设置，也可以灵活删除。</w:t>
            </w:r>
          </w:p>
        </w:tc>
        <w:tc>
          <w:tcPr>
            <w:tcW w:w="666"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19</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高清显示器</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1、21.5寸以上，支持1080P。</w:t>
            </w:r>
          </w:p>
        </w:tc>
        <w:tc>
          <w:tcPr>
            <w:tcW w:w="666"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20</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智慧黑板</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1、采用一体化设计，由三个部分拼接而成，无推拉式结构，黑板中间触控区域全平面可满足白板笔、无尘粉笔与普通粉笔书写，两侧书写板具有磁性吸附功能，方便用户教学。</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2、核心模块位于黑板触控区域，整机尺寸：宽度≥4200mm，高≥1260mm，厚≤80mm，两侧书写面材质表面采用微瓷处理工艺，书写区域尺寸高度不小于1200mm，要符合国家GB-28231-2011书写板安全卫生要求规范。</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3、具备笔槽设计，可放置触控笔、粉笔等，整体采用轻量化设计方案，抗冲击、不破碎、结实耐用。</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4、采用86英寸4K液晶屏，亮度≥350cd/㎡，可视角度≥178度，物理分辨率：≥3840×2160，系统软件支持图像降噪，动态补偿手动设置功能。</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5、采用纳米银网电容触控技术，表面无可见金属导线，高透过率，高清晰度，触控更加精准，手指轻触式≥10点互动体验。</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6、采用全贴合工艺，书写钢化玻璃与液晶屏之间使用光学胶体贴合技术，无水汽、水雾产生，灰尘或水迹不影响触控。</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7、接口要求：RS232*1，Android USB*1，VGA IN*1，AUDIO IN*1，AV IN*1，Ypbpr IN*1，AV OUT*1，SPDIF OUT*1，HDMI IN*2，RJ45(LAN IN)*1，全通道USB*1，USB B-TOUCH*1,Earphone OUT*1;前置接口要求：TYPE-C,全通道USB*4，HDMI IN*1。</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8、支持windows和安卓双系统，安卓系统硬件配置不低于四核64位处理器，内存不低于2G，存储不低于8G EMMC，系统版本不低于Android8.0，安卓系统支持白板教学，多屏互动，视频展台，教学资源等软件应用功能。</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9、采用插拔式80pin模块架构；处理器性能:不低于Intel I5处理器;内存性能:不低于4G DDR4内存;硬盘性能:存储空间128G SSD或以上配置;支持硬件一键系统还原功能。</w:t>
            </w:r>
          </w:p>
        </w:tc>
        <w:tc>
          <w:tcPr>
            <w:tcW w:w="666"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21</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讲桌</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1、≥1000*600*850mm，定制。</w:t>
            </w:r>
          </w:p>
        </w:tc>
        <w:tc>
          <w:tcPr>
            <w:tcW w:w="666"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22</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学生桌椅</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符合DB51／T316．03-2000、GB／T3976-2002标准。实木桌面升降课桌椅600*400*760；按照GBT3976-2014，QB/T4071-2010标准，桌面为18MM橡木指节板面、油漆层，课斗采用网板式，桌下型材椭圆管60*30（55*25）*1.2组合结构。课椅座背板为16mm三聚氰胺板，聚氨脂软整体封边，厚度不低于3mm；不得凸出平面或高于平面。避免板材受潮。课椅背立柱采用加强性30*15*1.2椭圆管、课椅立柱60*30（55*25）*1.2组合结构、椭圆管、课桌椅横脚采用40*30*1.2矩管；金属件严格经过酸洗、磷化、喷涂工艺；胶垫采用消音垫，防止自由脱落。</w:t>
            </w:r>
          </w:p>
        </w:tc>
        <w:tc>
          <w:tcPr>
            <w:tcW w:w="666"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50</w:t>
            </w:r>
          </w:p>
        </w:tc>
        <w:tc>
          <w:tcPr>
            <w:tcW w:w="567"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23</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观摩电视</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1、屏幕尺寸：≥55英寸；分辨率≥3840*2160，屏幕比例：16:9；屏幕类别：硬屏；背光源：LED；HDMI接口不少于2×HDMI2.0，具有不少于1个网络接口，2个USB接口；含安装背架。</w:t>
            </w:r>
          </w:p>
        </w:tc>
        <w:tc>
          <w:tcPr>
            <w:tcW w:w="666"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w:t>
            </w:r>
          </w:p>
        </w:tc>
        <w:tc>
          <w:tcPr>
            <w:tcW w:w="567"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24</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观摩椅</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1、网布弓形脚电脑椅</w:t>
            </w:r>
          </w:p>
        </w:tc>
        <w:tc>
          <w:tcPr>
            <w:tcW w:w="666"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20</w:t>
            </w:r>
          </w:p>
        </w:tc>
        <w:tc>
          <w:tcPr>
            <w:tcW w:w="567"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25</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线材辅料</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1、系统实施所需的音视频线缆、以太网双绞线、接头，视频分配器、插板,等辅料。</w:t>
            </w:r>
          </w:p>
        </w:tc>
        <w:tc>
          <w:tcPr>
            <w:tcW w:w="666"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26</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环境建设</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 顶面工程：顶棚基层结构采用轻钢龙骨搭架，顶棚封面采用矿棉吸音板。建议使用标准600*600规格的矿棉吸音板。</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墙面工程：1）、四周1米以下使用环保阻燃玻璃纤维吸音棉及环保、阻燃多孔结构的木质吸音板作为墙裙。要求具有吸音、静音、降噪、阻燃、隔热、保温等，材质富有弹性、韧性、耐磨、抗冲击、不易划破,其与空腔构成的薄板共振吸声体具有宽频带的高效吸声功能，甲醛0.05㎎/1的释放量标准，噪音NR&lt;30dB，混响时间T60&lt;0.6s。2）、1米以上部分采用聚酯纤维吸音板，吸音、静音、降噪、阻燃、隔热、保温等，材质富有弹性、韧性、耐磨、抗冲击、不易划破。3）、窗帘的选择：窗帘选用厚重，表面粗糙的窗帘。这种窗帘一方面遮光，一方面吸音。</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3、地板处理：采用4.5mm厚的运动静音胶垫，采用主要原料为聚氯乙烯，符合国家环保要求，耐磨，可有效降低噪音，噪音NR&lt;30dB，混响时间T60&lt;0.6s。</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光学工程：总原则教室遵循均匀布光原则。灯光为冷光源灯，光线柔和、阴影淡化、不炫目、无频闪，对室内温度影响小；照度：教室区域，不小于平均照度550LX；学生区域，不小于300LX；色温：3200K；（户内灯光下拍摄要求）。光比：逆光：主光=1.5（2）：1， 主光：副光=1.5（2）：1规格：使用40WLED平板灯观摩室：教室与观摩室之间用中5000*1200cm钢化玻璃隔开做到单透视效果，观摩室进行吊顶、灯光、地面铺地胶的处理。</w:t>
            </w:r>
          </w:p>
        </w:tc>
        <w:tc>
          <w:tcPr>
            <w:tcW w:w="666"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9351" w:type="dxa"/>
            <w:gridSpan w:val="6"/>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11、校园电视台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序号</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产品名称</w:t>
            </w:r>
          </w:p>
        </w:tc>
        <w:tc>
          <w:tcPr>
            <w:tcW w:w="5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技术参数</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数量</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虚拟演播室系统</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1、集导播切换系统、无轨虚拟演播室系统二合一，包含虚拟抠像、特效切换、虚拟调音台、HD/SD录像、图文包装、手动录播、远程控制、语音生成与识别、视音频编辑、网络直播等功能；</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提供极简切换、标准切换及虚拟演播室三种操作方式，三种操作模式可在软件界面一键进行切换；支持IP流信号输入，可支持不少于8路IP流信号同时接入系统，并对不少于8路流输入流信号同时进行抠像处理；IP流信号源可支持RTMP、RTSP、HTTP协议的流媒体信号；</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不少于10路色键器，可同时分别对不少于8路视频源信号及2路虚拟大屏信号进行抠像色键处理；支持蓝、绿常见颜色作为背景色进行抠像，同时也可支持自定义抠像背景颜色进行抠像；抠像背景颜色可通过RGB三基色自由配置后选定；提供裁切功能，可对输入源信号从上、下、左、右四个方向进行实时裁切；（需提供功能截图，并加盖投标人鲜章）</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内置虚拟切换台，提供不少于8路实时输入信号、2路素材（支持图片/视频/PPT等）不少于10个源信号的实时切换；具有真三维属性和场景景深，可实现虚拟三维遮挡，无限蓝箱功能；可实现真实人物绕着虚拟三维物体走一圈的效果；即走到虚拟屏风或沙发的后面，再走回虚拟屏风或沙发前面(非移动三维物体围绕着人物转圈)；</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5、提供总量不少于300套的真三维虚拟演播室场景，所有虚拟场景均可通过在线资源库进行选择性的下载导入；在线资源库中的场景提供持续免费更新服务；支持三维场景分类、分目录显示，支持场景目录/类别自定义创建，可新增或删除场景目录；提供在线资源库功能及会员注册服务，可在系统软件界面一键打开在线资源素材库；提供三维图文包装功能，提供动态三维模型、前景特效字幕、台标、LOGO、数据图形、粒子特效、节目边框、三维场景桌子等类型的素材组合叠加包装；</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6、支持在场景中同时添加各种数据图形，如数据统计用的柱状图、饼状图、三菱锥统计图等；支持实时编辑修改图示数据内容；</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7、支持不少于5路视频信号同时录制，并自动生成文件名；</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8、支持网页端远程导播控制功能，提供网页端快捷操作界面，可在网页端操作界面实现PVW/PGM信号切换、虚拟机位的切换、虚拟素材更换、PPT翻页、一键开启关闭抠像功能等；</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9、内置机位切换功能，可设置和生成不少于16个虚拟摄像机位，并自动生成机位运动轨迹，通过点击虚拟摄像机按钮，即可实现对不少于16个虚拟摄像机位进行硬切，及推、拉、摇、移等效果的慢动作切换，不少于16个虚拟摄像机位的运动轨迹可事先存储，无需通过操作键盘按键手动控制镜头的推、拉、摇、移等变化，最大限度减少系统使用的复杂性；</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10、在局域网条件下，可支持不少于5路视频信号的同时直播，即1路合成渲染视频信号，以及4路板卡输入的全高清视频源信号；每路直播信号均可根据本机IP地址，同时自动生成不同的HTTP观看地址，及RTMP推流地址两种地址；直播信号码流及端口号均实时可调；提供机位编辑功能，可实时调整虚拟画面的位置、比例、运动轨迹以及机位运动时间等参数值；</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11、提供专用流媒体播放器，可接收虚拟演播室系统中合成信号直播流信号及互联网中各种RTMP/RTSP流信号进行实时观看；</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12、提供便携式一体化机箱，硬件配置要求不低于：CPU：intel i7 7700 3.6GHz 8M三级缓存 四核心八线程处理器；内存：DDR4 16G；存储：128G固态+2TSATA硬盘；显卡：GTX 1050TI；电源：400W电源；采集卡：带硬件压缩≥4路HDSDI采集卡，其中≥1路全接口；便携主机箱集成翻盖式高清显示屏，屏幕尺寸不小于17.3寸；便携主机箱集成键盘、鼠标模组及导播切换按钮，切换功能按钮提供PGM信号、PVW信号、虚拟机位信号、录制及停止等功能的切换操作；提供切换特效推拉滑块。</w:t>
            </w:r>
          </w:p>
        </w:tc>
        <w:tc>
          <w:tcPr>
            <w:tcW w:w="666"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非线性编辑系统</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1、同时拥有HDTV/HDV/SD分辨率的编辑合成管线；同时编辑高标清节目信号；支持无压缩、MPEG2 I frame（100~300Mbps）、DVCPRO HD、XDCAM HD、XDCAM EX、DVSD、DVCPro、DVCPro50、MPEG2 I（10~50Mbps）MPEG2 IBP、MPEG4、H.264等高清素材格式；</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提供大量的2D/3D特技，特技包括：任意几何变形、多样三维转场方式、轨道内实时二维、支持ALPHA键视频编辑，任意视频层色键抠像，实时YUV,HLS,RGB色彩校正，三区域动态马赛克等；嵌入在非编软件内的高清字幕，字幕编辑系统可以实现三维上滚字幕、左飞字幕、模板唱词字幕和制作人名、片花的字幕。</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字幕处理与特效处理相结合，字幕直接上屏修改；所有字幕运动设置均可以精确到帧。字幕在进行旋转、缩放、位置移动等处理的同时，均可以在其入留出不同阶段添加过渡、移动、缩放、黑洞、球化、卷页、翻页、淡入淡出、涟漪、飞光、特殊扭动、翻转、拖尾、爆炸、模糊等特效，字幕在视频轨上实施使用视频特辑；</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4、提供精确到帧的手拍唱词，支持带时码文本导入，精确到帧的手动拍点，拍点可设置提前或延后， 提供多种字幕的入出方式，任意位置记录拍点，多次记录，快速精确到句的查找和编辑，唱词字幕可行形成独立片段，再进行编辑；</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5、内置音频混合器，类似传统的数字调音台，参数设置随工程保存；支持至少4层视频加图文；最高1080i、29.97fps的高清；三方式Primary色彩校正；三方式Secondary色彩校正；超平滑场混合或帧混合的漫动作特技；高级3D DVE；色键/亮键特技；叠化、扫换特技；在同一时间线上多格式混编；多层嵌套的时间线，以管理多层特技和复杂的时间线等；</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6、硬件配置要求不低于：CPU：i7 6700；内存：DDR3 8G；独立系统盘：Intel 128G SSD；存储：1TSATA硬盘；显卡：GTX 带2G独立显存显卡；1路全接口采集卡。</w:t>
            </w:r>
          </w:p>
        </w:tc>
        <w:tc>
          <w:tcPr>
            <w:tcW w:w="666"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3</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三脚架</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1、采用φ65mm的爪式球碗，便于水平调整；采用三级圆形双管脚架,拍摄时能抗弯曲和拉伸；</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2、采用快拆式固定板，可快速取放摄像机；液压阻尼系统，承重不小于5kg，高度750mm-1500mm可调，含滑轮车。</w:t>
            </w:r>
          </w:p>
        </w:tc>
        <w:tc>
          <w:tcPr>
            <w:tcW w:w="666"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w:t>
            </w:r>
          </w:p>
        </w:tc>
        <w:tc>
          <w:tcPr>
            <w:tcW w:w="567"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4</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播音提词器</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1、提词器尺寸≥20寸，采用多层宽带介质分光膜（硬膜）玻璃，厚度2mm，光损失率在3%以下；支持Windows7、Windows 10系统，要求字色、底色≥256色任意搭配；支持txt、rtf、word等格式文本，并支持直接打开图片，word，PPT，视频等文件；</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自动记录演播稿，并保证演播稿的完整性；相对滚动时间、当前时间可同屏显示，任意设置大小、颜色；重点语句可通过颜色标明；可用键盘、鼠标、手柄控制，字幕速度变化范围可随意调节，可单、双人控制；</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3、配备100mm碗径的液压阻尼云台，可实现-85°/+85°的俯仰视觉定位。</w:t>
            </w:r>
          </w:p>
        </w:tc>
        <w:tc>
          <w:tcPr>
            <w:tcW w:w="666"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5</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无线领夹麦克风</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1、U段,一拖二,配置2支无线领夹话筒；具有ACT（自动频道锁定）的功能，能快速、精确的自动锁定接收机的工作频率；</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2、具有监听功能;LCD动态液晶显示屏;分集接收;数字PLL;CPU全功能控制;距离可调。</w:t>
            </w:r>
          </w:p>
        </w:tc>
        <w:tc>
          <w:tcPr>
            <w:tcW w:w="666"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6</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播音话筒</w:t>
            </w:r>
          </w:p>
        </w:tc>
        <w:tc>
          <w:tcPr>
            <w:tcW w:w="5567" w:type="dxa"/>
            <w:shd w:val="clear" w:color="000000" w:fill="FFFFFF"/>
            <w:vAlign w:val="center"/>
          </w:tcPr>
          <w:p>
            <w:pPr>
              <w:widowControl/>
              <w:snapToGrid w:val="0"/>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1、拾音类型：电容式；指向性：超心型；频率响应：20～20000Hz；信噪比：≤78dB；</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2、灵敏度：-34 dB；最大声压级：≥138dB ；输出阻抗: ≦200Ω；工作电压：幻象48V，含植绒海绵罩1个</w:t>
            </w:r>
          </w:p>
        </w:tc>
        <w:tc>
          <w:tcPr>
            <w:tcW w:w="666"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w:t>
            </w:r>
          </w:p>
        </w:tc>
        <w:tc>
          <w:tcPr>
            <w:tcW w:w="567"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7</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调音台</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1、10个通道输入,4路单声道，3路立体声，4路XLR话筒接口；</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2、可提供幻相供电,单旋钮压缩器,XLR平衡输出，金属机身</w:t>
            </w:r>
          </w:p>
        </w:tc>
        <w:tc>
          <w:tcPr>
            <w:tcW w:w="666"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8</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监听音箱</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1、2.0声道有源音箱，旋纽调节音量，额定功率≥15W，频率响应：20Hz-20KHz，信噪比：≤80dB，灵敏度：360mV，失真度：0.2% 1W 1KHz，阻抗：8Ω。</w:t>
            </w:r>
          </w:p>
        </w:tc>
        <w:tc>
          <w:tcPr>
            <w:tcW w:w="666"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9</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液晶电视</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1、内置Android操作系统；屏幕尺寸：≥55英寸；分辨率≥3840*2160，屏幕比例：16:9；屏幕类别：硬屏；背光源：LED；</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2、HDMI接口不少于2×HDMI2.0，具有不少于1个网络接口，2个USB接口；含安装背架。</w:t>
            </w:r>
          </w:p>
        </w:tc>
        <w:tc>
          <w:tcPr>
            <w:tcW w:w="666"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10</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液晶电视支架</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1、移动式落地电视支架，材质：冷轧钢板，承重≥40kg。</w:t>
            </w:r>
          </w:p>
        </w:tc>
        <w:tc>
          <w:tcPr>
            <w:tcW w:w="666"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11</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L型虚拟蓝箱</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1、宽：≥4米，高≥2.75米，地面延伸≥3米，地面采用抠像地胶。</w:t>
            </w:r>
          </w:p>
        </w:tc>
        <w:tc>
          <w:tcPr>
            <w:tcW w:w="666"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23</w:t>
            </w:r>
          </w:p>
        </w:tc>
        <w:tc>
          <w:tcPr>
            <w:tcW w:w="567"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M²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12</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虚拟蓝箱背景用平板式柔光灯</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1、输入电源：100-250V  AC  50/60Hz；功率：≤40W；发光灯珠数量：≥600颗；色温：≥5600K；显色指数：Ra值≥90；调光方式：1、接受DMX512信号，2、自带旋钮数字调光，3、遥控调光；角度调节方式：手动 ；噪音范围：静音。</w:t>
            </w:r>
          </w:p>
        </w:tc>
        <w:tc>
          <w:tcPr>
            <w:tcW w:w="666"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4</w:t>
            </w:r>
          </w:p>
        </w:tc>
        <w:tc>
          <w:tcPr>
            <w:tcW w:w="567"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13</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虚拟蓝箱侧光用平板式柔光灯</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1、输入电源：100-250V  AC  50/60Hz；功率：≤60W；发光灯珠数量：≥900颗；色温：≥5600K；显色指数：Ra值≥90；调光方式：1、接受DMX512信号，2、自带旋钮数字调光，3、遥控调光；角度调节方式：手动 ；噪音范围：静音。 </w:t>
            </w:r>
          </w:p>
        </w:tc>
        <w:tc>
          <w:tcPr>
            <w:tcW w:w="666"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w:t>
            </w:r>
          </w:p>
        </w:tc>
        <w:tc>
          <w:tcPr>
            <w:tcW w:w="567"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14</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虚拟蓝箱面光用平板式柔光灯</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1、输入电源：100-250V  AC  50/60Hz；功率：≤80W；发光灯珠数量：≥1200颗；色温：≥5600K；显色指数：Ra值≥90；调光方式：1、接受DMX512信号，2、自带旋钮数字调光，3、遥控调光； 角度调节方式：手动；噪音范围：静音。 </w:t>
            </w:r>
          </w:p>
        </w:tc>
        <w:tc>
          <w:tcPr>
            <w:tcW w:w="666"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w:t>
            </w:r>
          </w:p>
        </w:tc>
        <w:tc>
          <w:tcPr>
            <w:tcW w:w="567"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15</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虚拟蓝箱面光用平板式柔光灯</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1、输入电源：100-250V  AC  50/60Hz；功率：≤60W；发光灯珠数量：≥900颗；色温：≥5600K；显色指数：Ra值≥90；调光方式：1、接受DMX512信号，2、自带旋钮数字调光，3、遥控调光；角度调节方式：手动；噪音范围：静音。</w:t>
            </w:r>
          </w:p>
        </w:tc>
        <w:tc>
          <w:tcPr>
            <w:tcW w:w="666"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w:t>
            </w:r>
          </w:p>
        </w:tc>
        <w:tc>
          <w:tcPr>
            <w:tcW w:w="567"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16</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轨道式灯光悬挂系统</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1、纵轨：12米（两根6米）  横轨：12米（4根3米）  万向滑车：8个（8轮轴承体，带刹车功能）  灯具滑车：12个（4轮轴承体，带刹车功能）  线缆滑车：2轮轴承体  轨道连接架：≥2个  轨道吊架：≥6个  轨道压片：≥12个  轨道堵头：≥12个 。</w:t>
            </w:r>
          </w:p>
        </w:tc>
        <w:tc>
          <w:tcPr>
            <w:tcW w:w="666"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17</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灯控箱</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1、可调≥8路灯光</w:t>
            </w:r>
          </w:p>
        </w:tc>
        <w:tc>
          <w:tcPr>
            <w:tcW w:w="666"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18</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灯勾及配件</w:t>
            </w:r>
          </w:p>
        </w:tc>
        <w:tc>
          <w:tcPr>
            <w:tcW w:w="5567" w:type="dxa"/>
            <w:shd w:val="clear" w:color="auto" w:fill="auto"/>
            <w:vAlign w:val="center"/>
          </w:tcPr>
          <w:p>
            <w:pPr>
              <w:widowControl/>
              <w:snapToGrid w:val="0"/>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1、灯光专用</w:t>
            </w:r>
          </w:p>
        </w:tc>
        <w:tc>
          <w:tcPr>
            <w:tcW w:w="666"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16</w:t>
            </w:r>
          </w:p>
        </w:tc>
        <w:tc>
          <w:tcPr>
            <w:tcW w:w="567"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19</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恒力铰链</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xml:space="preserve">1、材质：铝合金  长度：≥1.5米 </w:t>
            </w:r>
          </w:p>
        </w:tc>
        <w:tc>
          <w:tcPr>
            <w:tcW w:w="666"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6</w:t>
            </w:r>
          </w:p>
        </w:tc>
        <w:tc>
          <w:tcPr>
            <w:tcW w:w="567"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20</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声处理</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1、演播室声处理，高中频的声波采用软包处理，低频的声波由纤维吸声板处理，根据演播室环境设计布置。</w:t>
            </w:r>
          </w:p>
        </w:tc>
        <w:tc>
          <w:tcPr>
            <w:tcW w:w="666"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21</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导播操作台</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1、根据操作间空间定制</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22</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绿色播音桌</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1、蓝箱区绿色播音桌，定制</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23</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安装调试</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1、含控制间隔断、观察窗、照明处理、线缆桥架、门、地板、布线、强弱电、网络、备连接用AV/HDMI电缆、HDMI分配器、材料、附件、接插件、设备安装调试等</w:t>
            </w:r>
          </w:p>
        </w:tc>
        <w:tc>
          <w:tcPr>
            <w:tcW w:w="666"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9351" w:type="dxa"/>
            <w:gridSpan w:val="6"/>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12、班级多媒体系统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序号</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产品名称</w:t>
            </w:r>
          </w:p>
        </w:tc>
        <w:tc>
          <w:tcPr>
            <w:tcW w:w="5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技术参数</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数量</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超短焦激光投影机</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1、DLP技术，纯激光固态光源</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 xml:space="preserve">▲2、亮度≥3800流明(依据国际ISO21118标准)，分辨率：1280*800，对比度≥35000:1， </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 xml:space="preserve">3、投射80寸16:10画面，投影机光源到白板板面的距离≤0.5M， </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4、采用旋钮式调焦技术，调焦更精准。</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5、具有RGB输入接口、RGB输出接口，HDMI输入接口，Video 输入接口，RS232接口；</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6、具有防尘过滤网和安全锁控；</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7、提供两路USB接口，支持与电子白板智能互连，可通过白板直接对投影机进行开关和信号切换以及对投影机维护升级。</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8、全中文控制面板。</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23</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交互式电子白板</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1、红外感应技术；有效操作面积≥90英寸，显示比例：16:9或16:10；多点触控，高耐磨，不怕变形, 抗强光、抗静电、防粉尘；</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2、两侧具有中文标识快捷键，快捷键可开启及关闭触控、ppt前后翻页、打开展台、新建书写页面和保存书写内容等。</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3、面板支持水性笔书写；</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4、白板软件支持云端备课，教师具有至少40个G云盘空间；</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5、配套白板授课软件、教学资源库、仿真实验等资源。</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23</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3</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滑动绿板</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整体深色雾化铝合金边框，外框尺寸≥4000*1200mm（具体尺寸根据电子白板或者一体机尺寸定制），推拉绿板由4块组成，（2块固定、2块左右滑动，滑动绿板带缓冲胶垫），边框为电泳铝合金材料，可以左右推拉并能完全覆盖电子白板。</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2、绿板外边框为香槟色铝合金，上下框尺寸≥70x100mm，左右两侧外框尺寸≥70x135mm, 内框尺寸为：35*20mm的香槟色铝合金，边框壁厚1.0mm，滑轨采用后置设计，防止粉笔粉尘进入滑槽，增强滑轮使用寿命，铝材一次成型，耐磨、耐腐蚀。</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3、书写板面为厚度≥0.3mm烤漆钢板覆无尘环保绿色PVC膜，板面平整无凹凸无气泡；夹层为高密度泡沫厚度≥0.17，防潮、防变形。背板为镀锌板。</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4、绿板各个暴露在外边部位，边缘均为R3mm的圆角。包角材料：抗疲劳ABS工程塑料，模具成型。</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5、配无尘水溶性产品：水溶性粉笔白色3盒，水溶性粉笔彩色2盒，铝合金笔套3支，专用板擦2个，清洁装置（含不锈钢挂钩配件）1个。</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23</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4</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智能教学一体机</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1、采用ABS工程塑料绝缘外壳；集成电脑主机、显示器、中控系统、功放、展台、网络交换机功能为一体。</w:t>
            </w:r>
          </w:p>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2、嵌入式X86工控主板，cpu≥i5，主频≥1.8GHz，内存≥8G DDR3，固态硬盘≥256G，集成显卡,千兆网卡，声卡，≥14英寸1336*768多点触控显示屏。</w:t>
            </w:r>
          </w:p>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3、内置实物展示台≥500万象素。集成≥40W+40W数字智能功放，≥1路立体声功放输出端口，≥1路AUX线性输出接口，≥1进1出HDMI接口；1组220V电源输入接口和输出插座。支持HDMI高清音视频分离输出；1路RS232、2个以上10/100M/1000M RJ45网络接口。4路以上USB电脑接口和1路USB通信接口；</w:t>
            </w:r>
          </w:p>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4、机箱柜门配备12V电磁控锁，可实现一键开关柜门；配一套无线键鼠；可切换投影机信号和开关投影机。</w:t>
            </w:r>
          </w:p>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5、内置WEB管理端，可配置系统参数和所控制设备参数配置；支持双路投影机同步或异步显示；支持在同网段和跨网段进行集控管理，实现一套设备的多业务融合；支持通过融合平台软件及微信小程序实现远程对终端设备及物联模块进行定时集控管理包括设备的开机、关机、禁用，物联模块通电、断电等。</w:t>
            </w:r>
          </w:p>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6、为实现校园多网融合，一体机需支持IP数字广播、高清视频的实时接收、解码及播放，配合融合平台软件可设置优先级为0-99级音视频广播任务的切换，实现调课管理，可支持HTTP、RTSP、UDP、RTP等主流流媒体协议，智能终端在待机状态下可接收服务器预设的高清流媒体内容或在线电视节目进行自动播放，自动开启显示设备，无需人工到教室开机，实现智能自动播放。（提供具备有CNAS或CMA国家权威认证的检测报告）</w:t>
            </w:r>
          </w:p>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7、一体机支持内置IC卡读卡器，支持通过IC卡插卡/刷卡实现开关机设备实现智能化上下课功能，后台自动记录上课老师信息；一体机支持后台喊话功能，通过融合平台软件可对任意区域一体机进行语音喊话，方便管理。</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23</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5</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安装调试</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1、含PVC管材、线槽、网络线、电源线、视频线、控制线、音箱线等；</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2、设备的固定安装符合施工要求，安装美观，整体走线符合施工工艺要求；</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3、线材管材、设备连接线、转接头、电源插座板等均采用经质检合格的产品；</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4、强弱电独立布放；</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5、如安装墙体是填充材料，须进行加固处理。</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23</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9351" w:type="dxa"/>
            <w:gridSpan w:val="6"/>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r>
              <w:rPr>
                <w:rFonts w:ascii="宋体" w:hAnsi="宋体" w:cs="宋体"/>
                <w:color w:val="000000" w:themeColor="text1"/>
                <w:kern w:val="0"/>
                <w:sz w:val="18"/>
                <w:szCs w:val="18"/>
                <w14:textFill>
                  <w14:solidFill>
                    <w14:schemeClr w14:val="tx1"/>
                  </w14:solidFill>
                </w14:textFill>
              </w:rPr>
              <w:t>3</w:t>
            </w:r>
            <w:r>
              <w:rPr>
                <w:rFonts w:hint="eastAsia" w:ascii="宋体" w:hAnsi="宋体" w:cs="宋体"/>
                <w:color w:val="000000" w:themeColor="text1"/>
                <w:kern w:val="0"/>
                <w:sz w:val="18"/>
                <w:szCs w:val="18"/>
                <w14:textFill>
                  <w14:solidFill>
                    <w14:schemeClr w14:val="tx1"/>
                  </w14:solidFill>
                </w14:textFill>
              </w:rPr>
              <w:t>、</w:t>
            </w:r>
            <w:r>
              <w:rPr>
                <w:rFonts w:ascii="宋体" w:hAnsi="宋体" w:cs="宋体"/>
                <w:color w:val="000000" w:themeColor="text1"/>
                <w:kern w:val="0"/>
                <w:sz w:val="18"/>
                <w:szCs w:val="18"/>
                <w14:textFill>
                  <w14:solidFill>
                    <w14:schemeClr w14:val="tx1"/>
                  </w14:solidFill>
                </w14:textFill>
              </w:rPr>
              <w:t>教室清听系统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1</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扩声云平台系统</w:t>
            </w:r>
          </w:p>
        </w:tc>
        <w:tc>
          <w:tcPr>
            <w:tcW w:w="5567" w:type="dxa"/>
            <w:shd w:val="clear" w:color="auto" w:fill="auto"/>
            <w:vAlign w:val="center"/>
          </w:tcPr>
          <w:p>
            <w:pPr>
              <w:widowControl/>
              <w:snapToGrid w:val="0"/>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1、通过网络可实现云管理平台对每个教室设备的管理、配置、升级、状态监控、故障告警、故障追踪、运行日志；</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2、可通过云平台对教室设备进行批量配置和运维；</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3、云端可监控每个教室设备系统状态及其当前音量，并执行远程系统开启、关闭、音量调节；</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4、云端可设置运维告警策略，故障或状态异常发送告警到管理人员手机或邮箱提醒管理人员尽快处理；</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5、支持128台主机接入。</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2</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扩声主机</w:t>
            </w:r>
          </w:p>
        </w:tc>
        <w:tc>
          <w:tcPr>
            <w:tcW w:w="5567" w:type="dxa"/>
            <w:shd w:val="clear" w:color="auto" w:fill="auto"/>
            <w:vAlign w:val="center"/>
          </w:tcPr>
          <w:p>
            <w:pPr>
              <w:widowControl/>
              <w:snapToGrid w:val="0"/>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1、采用工业级嵌入式架构静音无风扇设计和嵌入式操作系统，稳定可靠；</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2、可同时支持吊麦和课件的扩声，扩声不啸叫，讲台区域全覆盖；</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3、具备智能音频处理技术，集音频采集、净化处理、净声输出于一体；</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4、支持对多路混音后的信号进行啸叫抑制处理，开启、使用过程中不出现啸叫；</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5、具备动态自适应噪音抑制技术（去除包含风扇声、排气扇声、敲桌子等噪音干扰）,保证声音质量；</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6、支持远程配置、远程进行开启扩声/关闭扩声/调节音量等单独或批量操作；</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7、支持远程采用web方式进行升级、重启等运维操作；</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▲8、支持网路远程查看设备在线/离线情况、上电时长、上线时长、版本信息等；</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9、≥4路MIC输入，≥1路LINE输入，≥1路立体主输出，≥1路LINE输出；≥2个USB接口；</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10、≥2个10/100/1000Mbit/s自适应以太网接口，支持接入网络进校管控；</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11、支持壁挂式安装，含安装套件。</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23</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3</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高保真音箱</w:t>
            </w:r>
          </w:p>
        </w:tc>
        <w:tc>
          <w:tcPr>
            <w:tcW w:w="5567" w:type="dxa"/>
            <w:shd w:val="clear" w:color="auto" w:fill="auto"/>
            <w:vAlign w:val="center"/>
          </w:tcPr>
          <w:p>
            <w:pPr>
              <w:widowControl/>
              <w:snapToGrid w:val="0"/>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1、频率范围55Hz-18000Hz；</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2、额定阻抗 4-8Ω；</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3、灵敏度≥87dB，最大声压级≥107dB；</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4、额定功率≥80W，峰值功率≥200W；</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5、指向性：100° H × 100° V；</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6、支持吊装，角度可调节。</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23</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4</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专业拾音麦克风</w:t>
            </w:r>
          </w:p>
        </w:tc>
        <w:tc>
          <w:tcPr>
            <w:tcW w:w="5567" w:type="dxa"/>
            <w:shd w:val="clear" w:color="auto" w:fill="auto"/>
            <w:vAlign w:val="center"/>
          </w:tcPr>
          <w:p>
            <w:pPr>
              <w:widowControl/>
              <w:snapToGrid w:val="0"/>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1、预极化电容式，超心型指向性；</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2、平衡输出，三针卡侬公头，采用48V幻象供电；</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3、灵敏度≥-38db；</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4、最大声压≥130dBSPL；</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5、频率范围80Hz-18000Hz。</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23</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5</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安装调试</w:t>
            </w:r>
          </w:p>
        </w:tc>
        <w:tc>
          <w:tcPr>
            <w:tcW w:w="5567" w:type="dxa"/>
            <w:shd w:val="clear" w:color="000000" w:fill="FFFFFF"/>
            <w:vAlign w:val="center"/>
          </w:tcPr>
          <w:p>
            <w:pPr>
              <w:widowControl/>
              <w:snapToGrid w:val="0"/>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1、标准教室面积70平方。吸音处理采用聚酯纤维材料，具有宽频带的高效吸声功能。</w:t>
            </w:r>
          </w:p>
          <w:p>
            <w:pPr>
              <w:widowControl/>
              <w:snapToGrid w:val="0"/>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2</w:t>
            </w:r>
            <w:r>
              <w:rPr>
                <w:rFonts w:hint="eastAsia" w:ascii="宋体" w:hAnsi="宋体" w:cs="宋体"/>
                <w:color w:val="000000" w:themeColor="text1"/>
                <w:kern w:val="0"/>
                <w:sz w:val="18"/>
                <w:szCs w:val="18"/>
                <w14:textFill>
                  <w14:solidFill>
                    <w14:schemeClr w14:val="tx1"/>
                  </w14:solidFill>
                </w14:textFill>
              </w:rPr>
              <w:t>、教室扩音音质要求“语言清晰、传达率高”；具有良好的丰满度， 具有拾音要求的混响时间频率特性，混响时间达到T60&lt;0.8s；抑制拾音音质声缺陷，如回声、颤动回声、低频嗡声等。</w:t>
            </w:r>
          </w:p>
          <w:p>
            <w:pPr>
              <w:widowControl/>
              <w:snapToGrid w:val="0"/>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3</w:t>
            </w:r>
            <w:r>
              <w:rPr>
                <w:rFonts w:hint="eastAsia" w:ascii="宋体" w:hAnsi="宋体" w:cs="宋体"/>
                <w:color w:val="000000" w:themeColor="text1"/>
                <w:kern w:val="0"/>
                <w:sz w:val="18"/>
                <w:szCs w:val="18"/>
                <w14:textFill>
                  <w14:solidFill>
                    <w14:schemeClr w14:val="tx1"/>
                  </w14:solidFill>
                </w14:textFill>
              </w:rPr>
              <w:t>、根据教室具体环境设计，与教室原有风格一致，结构合理隐蔽，设计美观实用。室内环保要求达到GB/T18883-2002标准。</w:t>
            </w:r>
          </w:p>
          <w:p>
            <w:pPr>
              <w:widowControl/>
              <w:snapToGrid w:val="0"/>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4、设备的固定安装符合施工要求，安装美观，整体走线符合施工工艺要求；、线材管材、设备连接线、转接头、电源插座板等均采用经质检合格的产品；</w:t>
            </w:r>
          </w:p>
          <w:p>
            <w:pPr>
              <w:widowControl/>
              <w:snapToGrid w:val="0"/>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5</w:t>
            </w:r>
            <w:r>
              <w:rPr>
                <w:rFonts w:hint="eastAsia" w:ascii="宋体" w:hAnsi="宋体" w:cs="宋体"/>
                <w:color w:val="000000" w:themeColor="text1"/>
                <w:kern w:val="0"/>
                <w:sz w:val="18"/>
                <w:szCs w:val="18"/>
                <w14:textFill>
                  <w14:solidFill>
                    <w14:schemeClr w14:val="tx1"/>
                  </w14:solidFill>
                </w14:textFill>
              </w:rPr>
              <w:t>、强弱电独立布放；如安装墙体是填充材料，须进行加固处理。</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23</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9351" w:type="dxa"/>
            <w:gridSpan w:val="6"/>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r>
              <w:rPr>
                <w:rFonts w:ascii="宋体" w:hAnsi="宋体" w:cs="宋体"/>
                <w:color w:val="000000" w:themeColor="text1"/>
                <w:kern w:val="0"/>
                <w:sz w:val="18"/>
                <w:szCs w:val="18"/>
                <w14:textFill>
                  <w14:solidFill>
                    <w14:schemeClr w14:val="tx1"/>
                  </w14:solidFill>
                </w14:textFill>
              </w:rPr>
              <w:t>4</w:t>
            </w:r>
            <w:r>
              <w:rPr>
                <w:rFonts w:hint="eastAsia" w:ascii="宋体" w:hAnsi="宋体" w:cs="宋体"/>
                <w:color w:val="000000" w:themeColor="text1"/>
                <w:kern w:val="0"/>
                <w:sz w:val="18"/>
                <w:szCs w:val="18"/>
                <w14:textFill>
                  <w14:solidFill>
                    <w14:schemeClr w14:val="tx1"/>
                  </w14:solidFill>
                </w14:textFill>
              </w:rPr>
              <w:t>、校园多网融合系统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序号</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产品名称</w:t>
            </w:r>
          </w:p>
        </w:tc>
        <w:tc>
          <w:tcPr>
            <w:tcW w:w="5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技术参数</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数量</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融合支持平台</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基于定制的Linux操作系统，集成MySql数据库。提供对海量数据和文件的存储管理、设备使用日志管理、用户管理、能耗统计、系统使用日志的记录和统计功能，系统具备安全性管理，支持搜索功能，支持超级管理员指定时间日志统计和清除功能。</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 xml:space="preserve">▲2、系统支持跨网段组播(≥20路网段），即可实现智能终端设备的跨网段集控管理以及高清音视频流的跨网段传输、播放等业务，软件提供路由设置可实现双网卡内外网数据传输管理。 </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支持客户端基于BS构架的web登陆方式，依权限的不同管理不同的智能终端。并支持分别管理各个终端所支持的数字业务功能（定时/手动控制任务、依据时间策略的高清音视频数字广播业务），软件支持操作系统的远程重启和关机。提供网卡、路由、网关、DNS等网络基本参数配置。支持NTP网络同步时间。</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 xml:space="preserve">4、通过微信小程序可远程对终端设备及物联模块进行定时集控管理（设备开机、关机、禁用，物联模块开电、关电等）。可创建手动及定时集控、音视频广播任务，并可随时播放及停止任务。提供微信小程序对机柜式广播节点，音频广播站的内置MP3文件选择播放控制及通道选择，授权管理员可通过手机启动，停止设备，远程通断外接大功率功放电源，可通过手机控制播放机柜式广播终端及数字音频广播站的媒体文件。 </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5、系统支持IC授权管理、支持与第三方IC系统对接，提供面向第三方的RESTFul API接口，支持智能终端本地控制面板直接实现IP语音电话、远程监听、远程呼叫功能。</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6、提供基于公网的云平台服务，向授权认证用户提供基于公网的云支撑平台服务。</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7、提供远程维护功能，用户通过软件可发起远程请求，厂家技术人员可远程进行系统升级、维护、故障定位等服务。</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8、软件系统支持事件联动报警机制，通过事件触发器可根据设定的优先级触发相关特定动作，如：消防语音广播、视频通告、紧急断电等。</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9、对所有登记的融合信息终端进行高效融合管理，包含对指定（预先分组）的融合信息终端（智能终端）的定时受控（开机/关机/禁用）、手动受控（开机/关机/禁用）、电源管理。</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 xml:space="preserve">10、具有对终端（智能终端）远程实时监控、操作、预定操作等可视化及智能化的设备管理功能，支持对终端所连接的电脑进行 Windows桌面的远程监控和远程控制功能。 </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11、支持web远程登陆服务器进行远程修改、设置IP地址，远程重启系统。</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12、支持IC卡插（刷）卡授权开机，支持设备联动一键开机及关机，支持动态二维码扫码开机。</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▲13、具有定时播放功能，根据定时日程设定不同的音视频流播放计划，系统实现24小时无人值守，系统最大可支持8路不同节目高清视频、32路音频的同时播放。</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14、对定点、预先分组的融合信息终端进行音频的定时广播、手动广播 (插播) 、实时采播、PC端呼叫等功能。</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 xml:space="preserve">15、音频广播优先级排列设置提供0-99优先级、模式设置以及相对日益繁多的定时广播进行多任务的调课设置。 </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16、音频流传输采用高效的编码技术，网络延时极低。</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17、提供灵活的任务模板及调课铃声设置，指定某一日期选择调课，可把相应的物联控制、音视频广播控制指令全部调度。</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18、基于媒体库中的全高清素材对指定（预先分组）的融合信息终端设定定时播出、手动播出、实况转播等功能。</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19、提供网络视频源地址的实时播放(支持≥3路网络视频同时播放），可对指定或预先分组设定的教室终端（非计算机）进行定时播出等功能，并可依预先设定的程序对受控信息终端所连接的显示设备进行电源管理。</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20、提供数据库备份可手动备份下载到本地电脑、提供≥3种图标设置，可自行定义主页登陆logo、头部图标、标签页图标。</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21、提供管理证书认证，可自定义名称登陆软件后可显示自定义系统名称。</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22、提供在线设备升级功能，显示设备当前版本可升级目标版本，可批量操作设备升级。</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23、提供设备异常离线告警，可设置离线阈值，当达到设置离线阈值系统可自动推送信息到绑定的微信管理账号实现实时消息离线提醒。</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24、提供可视化界面，含设备统计饼图、柱状图，设备总数数据、在线率、利用率统计。</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25、提供学校及教室电器设备物联资源数据（空调、灯光、风扇、窗帘、杀毒灯、屏蔽仪等）。</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26、支持媒体文件的在线预览，支持上传媒体文件审核功能，没经过管理员审核的媒体文件不得进行播放。</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27、提供设备状态曲线图统计如开机、设备能耗、离线数据。提供日志统计图、设备日志、用户日志、系统日志提供设备日志总览如开机时长曲线图、离线统计曲线图。</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28、提供系统硬件使用率，如磁盘利用率、CPU利用率等。</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29、提供设备刷卡开机统计如开机总数、刷卡成功、失败等显示，设备能耗曲线分布图，分布统计教室电器设备。</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30、音视频播放支持MP3、MP4， MOV，AVI、TS流等主流格式，通过平台srs服务，完成RTMP的拉流和推流功能。</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融合系统服务器</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1、处理器: 1×Intel XEON Bronze 3104 6C/6T 1.7GHz 8.25M 85W。</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2、芯片组：采用INTEL C621芯片组。</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3、内存: 1 X 8GB/DDR4/2133。</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4、硬盘: 企业级3*2T SAS (7200Rpm)/ 3.5寸/企业级，最大支持4块热插拔3.5寸硬盘，可选内置2个2.5寸 SSD。</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5、RAID卡: LR382A/8口/SAS 12Gb/半高/PCIe 3.0 x8/1GB缓存/支持RAID 0,1,5,6,10,50,60,JBOD。</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6、板载网络：集成2个千兆网口。</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7、PCIE扩展：默认提供1个半高 PCI-E3.0 x8扩展插槽。</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8、其他端口: USB2.0 接口4个，USB3.0 接口2个，VGA接口1个。</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9、风扇：6个易插拔风扇。</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10、电源:600W服务器单电源。</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11、形态：1U机架服务器。</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12、支持19”机柜。</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3</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xml:space="preserve">数字音频广播站 </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1、标准1U机架式设计，适合安装于各类型机柜之中。</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2、终端主板采用工业级高速嵌入式CPU，定制LINUX操作系统内核。</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3、集成分区功能，具备≥10路硬件一键式分区管理，并可用软件通过电脑进行任意分区。</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4、集成TFT真彩液晶显示，可显示MP3当前播放内容，输入音频、麦克风通道开启状态等内容。</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5、集成MP3播放器，支持上下翻页、上一曲，下一曲切换，自带内存卡≥16GB。</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6、集成调音台，音频线性输入接口≥2路，3.5mm立体声音频线性输出≥1路，麦克风输入接口≥2路，能调节输入音源音色和开关。</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7、集成遥控模块，可用配备的12键遥控器进行远程遥控点播，可对SD卡内的国歌、体操、运动员进行曲等即时暂停、停止等功能。。</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8、内置WEB端，可配置系统参数和所控制设备参数配置等。</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9、支持音频信号实时编码，广播延时≤30ms，实时讲话≤50ms。</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▲10、可通过管理平台和微信小程序对本机进行音乐播放，远程控制通道开关等，对本机进行分组设定，并可对所选分区进行远程操作。</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4</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xml:space="preserve">视频直播工作站 </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1、终端主板采用工业级高速嵌入式ARM CPU，内置定制Android操作系统。</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2、集成≥1路HDMI输入，≥1路话筒（支持幻象供电），≥2路音频输入，≥1路音频输出，≥1个10/100/1000M网口。</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 xml:space="preserve">3、集成≥10.1寸TFT高清触控屏，可显示信号源画面内容，音频通道状态、分组信息、系统信息等内容。 </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4、支持全高清1920*1080P实时编码，支持对所推流的帧率、码率进行设置。</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5、集成分区功能，可实时对所选组员（终端）进行推流服务，操作界面支持对终端的直接勾选。</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6、集成数字调音台，可对HDMI音频，话筒，音频信号进行音量、音色设置。</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▲7、可通过管理平台和微信小程序对本机进行远程控制、通道开关等，对本机进行分组设定，并可对所选分区进行远程操作。</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5</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电源控制器</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1、220V AC电源输入，标准86型开关面板，触控按键功能可自定义设置。</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2、按键蜂鸣提示，LED双色灯（红/蓝）指示禁用/打开/关闭状态。</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3、自带能耗计量芯片，能实时统计能耗，并定时上传真实能耗数据。</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4、2路电源独立输出，可以独立控制用电设备通断电，单路电源输出最大功率2200W。</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5、基于2.4G无线射频协议，采用自有专利的无线传输协议，抗干扰性强，实现远程控制、数据传输。</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6、支持无线断链后，自动切换到本地操作状态。</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50</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6</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智能融合终端</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1、壁挂式终端，体积小巧，适合安装于各种环境。内置定制LINUX操作系统，支持第三方平台对接。</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2、内置视频广播硬解码模块，需实现主机接收到视频信号后自动开启大屏/投影教学设备，实现无人值守智能化视频广播功能，视频广播需支持0-90级广播级别选择，HDMI输出≥1路。</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3、内置语音广播音频硬解码模块，支持教室内实时语音广播、定时广播任务接收与播放功能，语音广播需支持0-90级广播级别选择。</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4、主机需具备通过操作面板对音视频广播一键暂停、开始播送功能，可供教室灵活操作音视频信号。</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5、具备交换机功能，≥2个网口配置。</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6、需集成功放功能，具备≥2*20W数字功能，3.5mm音频线性输入接口≥1路，3.5mm音频线性输出≥1路。</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7、需具备手机扫码功能，手机微信小程序扫码成功以后，可以直接对教室设备进行控制。</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8、需具备物联属性功能，通过操作面板实现简单、便捷得物联扩展性；需与教室灯光控制模块进行无线信号传输实现实时手动、定时的物联网控制，管理教室接入的物联≥12路。</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9、需具备通讯接口，USB通信接口≥2路，串口≥2路，面板接口≥1路。</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10、集成强电管理，采用防脱落电源插口，独立电源输出接口≥1路，每路负载电流≥10A。具备自定义电源输出延时设置。11、需具备通过操作面板实现无线麦克风接收器功能，支持同品牌无线麦克风直接对频实现扩音。</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12、需通过集中管理软件及微信小程序实现远程对终端设备进行手动、定时集控管理（如设备开机、关机、禁用）。</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6</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7</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xml:space="preserve">网络机柜式广播终端 </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1、标准1U机架式设计，适合安装于各类型机柜之中。</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2、终端主板采用工业级高速嵌入式CPU，定制LINUX操作系统内核。</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3、集成数字功放，功率≥20W*2，音频线性输入接口≥1路，3.5mm立体声音频线性输出≥1路，麦克风输入接口≥2路。</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4、集成TFT真彩液晶显示，可显示MP3当前播放内容，输入音频、麦克风、数字广播通道开启状态等内容。</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5、集成MP3播放器，支持上下翻页、上一曲，下一曲切换，设备断网后终端进入本地控制模式，支持离线本地MP3音频库广播操作，自带内存卡≥16GB,支持文件夹分类存储及分类点播。</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6、集成前置混音放大器功能，对输入的音频进行音色、音量调节，控制音频通道开关。</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7、集成强电管理，采用防脱落电源插口，独立电源输出接口1路，负载电流≥30A。</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9351" w:type="dxa"/>
            <w:gridSpan w:val="6"/>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r>
              <w:rPr>
                <w:rFonts w:ascii="宋体" w:hAnsi="宋体" w:cs="宋体"/>
                <w:color w:val="000000" w:themeColor="text1"/>
                <w:kern w:val="0"/>
                <w:sz w:val="18"/>
                <w:szCs w:val="18"/>
                <w14:textFill>
                  <w14:solidFill>
                    <w14:schemeClr w14:val="tx1"/>
                  </w14:solidFill>
                </w14:textFill>
              </w:rPr>
              <w:t>5</w:t>
            </w:r>
            <w:r>
              <w:rPr>
                <w:rFonts w:hint="eastAsia" w:ascii="宋体" w:hAnsi="宋体" w:cs="宋体"/>
                <w:color w:val="000000" w:themeColor="text1"/>
                <w:kern w:val="0"/>
                <w:sz w:val="18"/>
                <w:szCs w:val="18"/>
                <w14:textFill>
                  <w14:solidFill>
                    <w14:schemeClr w14:val="tx1"/>
                  </w14:solidFill>
                </w14:textFill>
              </w:rPr>
              <w:t>、小学科学实验室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序号</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产品名称</w:t>
            </w:r>
          </w:p>
        </w:tc>
        <w:tc>
          <w:tcPr>
            <w:tcW w:w="5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技术参数</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数量</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学生实验桌</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1、规格：1200*600*760mm 梯形</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2、木制部分采用环保E1级实木颗粒板，甲醛释放量≤0.124mg/m³，桌面厚度不低于25mm；</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3、封边条采用优质环保PVC封边条；</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4、桌架，桌架采用不低于40*20*1.2mm优质矩管焊接而成，钢管表面经焊接处需经过抛光打磨等工序，无毛刺，焊接无虚焊，砂眼；</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5、金属件表面采用优质塑粉，喷涂表面颜色均衡。</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18</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实验凳</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1、产品规格：凳面直径320mm，高度380-480mm（高度可调）；</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2、技术参数：凳面采用3mm厚聚丙烯一体注塑成型，接触面为皮纹处理，采用曲面设计增加接触面积，符合人体工程学增强坐感舒适度；凳面弧形挡边设计，可有效纠正学生错误坐姿。</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54</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3</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教师演示台</w:t>
            </w:r>
          </w:p>
        </w:tc>
        <w:tc>
          <w:tcPr>
            <w:tcW w:w="5567" w:type="dxa"/>
            <w:shd w:val="clear" w:color="000000" w:fill="FFFFFF"/>
            <w:vAlign w:val="center"/>
          </w:tcPr>
          <w:p>
            <w:pPr>
              <w:widowControl/>
              <w:snapToGrid w:val="0"/>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1、规格：1500×750×850mm</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2、台面：一体化台面，采用知名品牌12mm实芯理化板，耐强酸碱、耐腐蚀、耐有机溶剂，抗菌、抗污染、防水、防火。四周边缘加厚至24mm，并经精密加工、倒角、打磨，呈光滑半圆形。</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3、结构：钢木结构</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4、可调脚：配置水平可调脚。</w:t>
            </w:r>
          </w:p>
        </w:tc>
        <w:tc>
          <w:tcPr>
            <w:tcW w:w="666"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4</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实验架</w:t>
            </w:r>
          </w:p>
        </w:tc>
        <w:tc>
          <w:tcPr>
            <w:tcW w:w="5567" w:type="dxa"/>
            <w:shd w:val="clear" w:color="000000" w:fill="FFFFFF"/>
            <w:vAlign w:val="center"/>
          </w:tcPr>
          <w:p>
            <w:pPr>
              <w:widowControl/>
              <w:snapToGrid w:val="0"/>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1、单架可放置不少于14个实验箱。</w:t>
            </w:r>
          </w:p>
        </w:tc>
        <w:tc>
          <w:tcPr>
            <w:tcW w:w="666"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10</w:t>
            </w:r>
          </w:p>
        </w:tc>
        <w:tc>
          <w:tcPr>
            <w:tcW w:w="567"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5</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超短焦激光投影机</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1、DLP技术，纯激光固态光源</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 xml:space="preserve">2、亮度≥3800流明(依据国际ISO21118标准)，分辨率：1280*800，对比度≥35000:1， </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 xml:space="preserve">3、投射80寸16:10画面，投影机光源到白板板面的距离≤0.5M， </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4、采用旋钮式调焦技术，调焦更精准。</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5、具有RGB输入接口、RGB输出接口，HDMI输入接口，Video 输入接口，RS232接口；</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6、具有防尘过滤网和安全锁控；</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7、提供两路USB接口，支持与电子白板智能互连，可通过白板直接对投影机进行开关和信号切换以及对投影机维护升级。</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8、全中文控制面板。</w:t>
            </w:r>
          </w:p>
        </w:tc>
        <w:tc>
          <w:tcPr>
            <w:tcW w:w="666"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6</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交互式电子白板</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1、红外感应技术；有效操作面积≥90英寸，显示比例：16:9或16:10；多点触控，高耐磨，不怕变形, 抗强光、抗静电、防粉尘；</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2、两侧具有中文标识快捷键，快捷键可开启及关闭触控、ppt前后翻页、打开展台、新建书写页面和保存书写内容等。</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3、面板支持水性笔书写；</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4、白板软件支持云端备课，教师具有至少40个G云盘空间；</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5、配套白板授课软件、教学资源库、仿真实验等资源。</w:t>
            </w:r>
          </w:p>
        </w:tc>
        <w:tc>
          <w:tcPr>
            <w:tcW w:w="666"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7</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滑动绿板</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整体深色雾化铝合金边框，外框尺寸≥4000*1200mm（具体尺寸根据电子白板或者一体机尺寸定制），推拉绿板由4块组成，（2块固定、2块左右滑动，滑动绿板带缓冲胶垫），边框为电泳铝合金材料，可以左右推拉并能完全覆盖电子白板。</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2、绿板外边框为香槟色铝合金，上下框尺寸≥70x100mm，左右两侧外框尺寸≥70x135mm, 内框尺寸为：35*20mm的香槟色铝合金，边框壁厚1.0mm，滑轨采用后置设计，防止粉笔粉尘进入滑槽，增强滑轮使用寿命，铝材一次成型，耐磨、耐腐蚀。</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3、书写板面为厚度≥0.3mm烤漆钢板覆无尘环保绿色PVC膜，板面平整无凹凸无气泡；夹层为高密度泡沫厚度≥0.17，防潮、防变形。背板为镀锌板。</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4、绿板各个暴露在外边部位，边缘均为R3mm的圆角。包角材料：抗疲劳ABS工程塑料，模具成型。</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5、配无尘水溶性产品：水溶性粉笔白色3盒，水溶性粉笔彩色2盒，铝合金笔套3支，专用板擦2个，清洁装置（含不锈钢挂钩配件）1个。</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8</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智能教学一体机</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1、采用ABS工程塑料绝缘外壳；集成电脑主机、显示器、中控系统、功放、展台、网络交换机功能为一体。</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▲2、嵌入式X86工控主板，cpu≥i5，主频≥1.8GHz，内存≥8G DDR3，固态硬盘≥256G，集成显卡,千兆网卡，声卡，≥14英寸1336*768多点触控显示屏。</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内置实物展示台≥500万象素。集成≥40W+40W数字智能功放，≥1路立体声功放输出端口，≥1路AUX线性输出接口，≥1进1出HDMI接口；1组220V电源输入接口和输出插座。支持HDMI高清音视频分离输出；1路RS232、2个以上10/100M/1000M RJ45网络接口。4路以上USB电脑接口和1路USB通信接口；</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4、机箱柜门配备12V电磁控锁，可实现一键开关柜门；配一套无线键鼠；可切换投影机信号和开关投影机。</w:t>
            </w:r>
          </w:p>
        </w:tc>
        <w:tc>
          <w:tcPr>
            <w:tcW w:w="666"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9</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扩声系统</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1、教师无线麦克风：频率范围 ：2.4G 通用频率；调制方法：GFSK ；无线自动对频；内置天线；采用内置式锂电池；可手持或领夹；相邻教室不串频。</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2、壁挂音箱：1对，材质：塑料，额定阻抗：8Ω ；额定功率：40W；灵敏度：90dB。</w:t>
            </w:r>
          </w:p>
        </w:tc>
        <w:tc>
          <w:tcPr>
            <w:tcW w:w="666"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10</w:t>
            </w:r>
          </w:p>
        </w:tc>
        <w:tc>
          <w:tcPr>
            <w:tcW w:w="960" w:type="dxa"/>
            <w:vMerge w:val="restart"/>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小学科学实验箱</w:t>
            </w:r>
          </w:p>
        </w:tc>
        <w:tc>
          <w:tcPr>
            <w:tcW w:w="1029"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一年级上册第一单元--植物</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至少包含：小麦发芽过程标本1个、水稻发芽过程标本1个、玉米发芽过程标本1个、大豆发芽过程标本1个、布丁杯1个、分装试管2个、大豆种子1瓶、绿豆种子1瓶、水稻种子1瓶、带灯放大镜1个、植物图卡1套、植物的叶标本1套、塑料烧杯1个、定植蓝1个、塑料碟1个、书写板1个、植物的叶1张、四季的树一张。</w:t>
            </w:r>
          </w:p>
        </w:tc>
        <w:tc>
          <w:tcPr>
            <w:tcW w:w="666"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10</w:t>
            </w:r>
          </w:p>
        </w:tc>
        <w:tc>
          <w:tcPr>
            <w:tcW w:w="567"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11</w:t>
            </w:r>
          </w:p>
        </w:tc>
        <w:tc>
          <w:tcPr>
            <w:tcW w:w="960" w:type="dxa"/>
            <w:vMerge w:val="continue"/>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p>
        </w:tc>
        <w:tc>
          <w:tcPr>
            <w:tcW w:w="1029"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一年级上册第二单元--比较与测量</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至少包含：钢卷尺1个、红彩笔1支、黄彩笔1支、蓝彩笔1支、透明胶带1个、回形针1盒、跳跳蛙2个、安全剪刀1把、软尺1卷、橡皮擦1块、纸卷1卷、塑料块50个、木块50个、长卷尺1个、磁性小棒20根、塑料尺1根、纸青蛙折纸10张、纸青蛙折法流程图1张、恐龙（两大两小）1套。</w:t>
            </w:r>
          </w:p>
        </w:tc>
        <w:tc>
          <w:tcPr>
            <w:tcW w:w="666"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10</w:t>
            </w:r>
          </w:p>
        </w:tc>
        <w:tc>
          <w:tcPr>
            <w:tcW w:w="567"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12</w:t>
            </w:r>
          </w:p>
        </w:tc>
        <w:tc>
          <w:tcPr>
            <w:tcW w:w="960" w:type="dxa"/>
            <w:vMerge w:val="continue"/>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p>
        </w:tc>
        <w:tc>
          <w:tcPr>
            <w:tcW w:w="1029"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一年级下册第一单元--我们周围的物体</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至少包含：木块17个、螺母-大18个、乒乓球10个、大橡皮17块、小铁架台底座1个、小铁架台支柱1个、简易天平托盘2格、平衡尺1个、简易天平指针1个、简易天平刻度盘1个、固定卡件（2轴）1个、简易天平刀口1个、简易天平平衡螺母2个、小铁架台固定块2个、小铁架台紧缩螺丝（M4）4个、蝶形螺母2套、S钩2个、柱卡扣8个、螺母-小1个、透明塑料盒1个、透明塑料瓶2个、塑料容量瓶1个、硬塑斜圆杯3个、硬塑方形杯1个、带灯放大镜1个、塑料培养皿3套、不锈钢药勺1个、玻璃搅拌棒1根、塑料块1个、回形针1盒、玻璃球1个、小石子、小橡皮1块、保鲜袋1袋、盐1瓶、红糖1瓶、洗发精1瓶</w:t>
            </w:r>
          </w:p>
        </w:tc>
        <w:tc>
          <w:tcPr>
            <w:tcW w:w="666"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10</w:t>
            </w:r>
          </w:p>
        </w:tc>
        <w:tc>
          <w:tcPr>
            <w:tcW w:w="567"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13</w:t>
            </w:r>
          </w:p>
        </w:tc>
        <w:tc>
          <w:tcPr>
            <w:tcW w:w="960" w:type="dxa"/>
            <w:vMerge w:val="continue"/>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p>
        </w:tc>
        <w:tc>
          <w:tcPr>
            <w:tcW w:w="1029"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一年级下册第二单元--动物</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1、至少包含：棉签1盒、带灯放大镜1个、书写板1个、动物卡片1套、蜗牛饲养盒1个、小鱼缸1个、捕捞网（伸缩）1个、增氧泵（ 单孔2.5w）1个、昆虫观察盒1个、透明塑料片1个、不锈钢镊子1把、喷瓶1个、河沙1袋。</w:t>
            </w:r>
          </w:p>
        </w:tc>
        <w:tc>
          <w:tcPr>
            <w:tcW w:w="666"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10</w:t>
            </w:r>
          </w:p>
        </w:tc>
        <w:tc>
          <w:tcPr>
            <w:tcW w:w="567"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14</w:t>
            </w:r>
          </w:p>
        </w:tc>
        <w:tc>
          <w:tcPr>
            <w:tcW w:w="960" w:type="dxa"/>
            <w:vMerge w:val="continue"/>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p>
        </w:tc>
        <w:tc>
          <w:tcPr>
            <w:tcW w:w="1029"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二年级上册第一单元--我们的地球家园</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至少包含：地球家园图卡1套，彩色蜡笔1盒，园艺工具1套，饲养盒1套，太阳卡（早晨）1个，太阳卡（中午）1个，太阳卡（傍晚）1个，方位卡（东）1个，方位卡（西）1个，方位卡（南）1个，方位卡（北）1个，月相形状图卡8张，月相记录图表-黑8张，月相记录图表-白8张，月相图卡1张，天气图卡15张，四季图卡4张，短语卡片36张，鸟食（小米）1瓶，喂鸟器1个，固体胶1个，安全剪刀1把。</w:t>
            </w:r>
          </w:p>
        </w:tc>
        <w:tc>
          <w:tcPr>
            <w:tcW w:w="666"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10</w:t>
            </w:r>
          </w:p>
        </w:tc>
        <w:tc>
          <w:tcPr>
            <w:tcW w:w="567"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15</w:t>
            </w:r>
          </w:p>
        </w:tc>
        <w:tc>
          <w:tcPr>
            <w:tcW w:w="960" w:type="dxa"/>
            <w:vMerge w:val="continue"/>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p>
        </w:tc>
        <w:tc>
          <w:tcPr>
            <w:tcW w:w="1029"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二年级上册第二单元--材料</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至少包含：金属勺子1个，木块1个，木筷1双，气球8个，石头1个，玻璃珠1个，陶瓷勺1个，木勺子1个，塑料勺子1个，安全剪刀1个，透明胶1个，双面胶1个，固体胶1个，毛笔1支，布1个，纸杯套4个，竹笔1支，扭扭棒10根，金属碗1个，塑料碗1个，木碗1个，竹片1个，墨汁1瓶，线绳1管，陶泥1个，竹简1个，订书机1个，瓦楞纸10张，彩色卡纸30张，纸片5张，皱纹纸10张，白纸10张，食用油1瓶，纸杯4个，皮尺1个，防水布4张，吸水树脂1瓶，塑料瓶1个，塑料杯2个，塑料碗1个。</w:t>
            </w:r>
          </w:p>
        </w:tc>
        <w:tc>
          <w:tcPr>
            <w:tcW w:w="666"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10</w:t>
            </w:r>
          </w:p>
        </w:tc>
        <w:tc>
          <w:tcPr>
            <w:tcW w:w="567"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16</w:t>
            </w:r>
          </w:p>
        </w:tc>
        <w:tc>
          <w:tcPr>
            <w:tcW w:w="960" w:type="dxa"/>
            <w:vMerge w:val="continue"/>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p>
        </w:tc>
        <w:tc>
          <w:tcPr>
            <w:tcW w:w="1029"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二年级下册第一单元--磁铁</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至少包含：钓鱼玩具1盒，条形磁铁2个，柱形磁铁2个，U型磁铁1个，彩色磁环底座1个，彩色磁环3个，小石子1个，曲别针1个，橡皮筋1个，玻璃球1个，燕尾夹1个，铜芯线1个，水泥钉1个，砖头1个，木片1个，螺丝钉1个，一角硬币1个，一分二分五分硬币1个，一元硬币1个，铁珠10个，五角硬币1个，小车（慧鱼）1套，纸10张，曲别针1盒，磁力线模拟装置1套，旋转托架2个，指南针1个，吹塑纸4张，磁铁小车2个，木屑1套，旋转支架2个，小铁架台滑块-短1个，钢针1包，塑料盘1个，方位盘1个，纤维棒1个，布1个，塑料片1块，蝴蝶卡10个，铁粉盒1盒，小铁架台底板1个，线绳1个，磁环立柱，小铁架台紧锁螺丝2个。</w:t>
            </w:r>
          </w:p>
        </w:tc>
        <w:tc>
          <w:tcPr>
            <w:tcW w:w="666"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10</w:t>
            </w:r>
          </w:p>
        </w:tc>
        <w:tc>
          <w:tcPr>
            <w:tcW w:w="567"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17</w:t>
            </w:r>
          </w:p>
        </w:tc>
        <w:tc>
          <w:tcPr>
            <w:tcW w:w="960" w:type="dxa"/>
            <w:vMerge w:val="continue"/>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p>
        </w:tc>
        <w:tc>
          <w:tcPr>
            <w:tcW w:w="1029"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二年级下册第二单元--我们的自己</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至少包含：人体结构拼图1张，人体轮廓图1张，人体图1张，眼球模型1个，耳朵剖面模型1个，人体肌肉模型1个，塑料杯3个，盲文板1套，找不同卡1套，塑料烧杯1个，胶头滴管1个，酱油1瓶，反应速度尺10个，时间胶囊8张，超声波身高测量仪1套，体重秤1套，皮尺1个。</w:t>
            </w:r>
          </w:p>
        </w:tc>
        <w:tc>
          <w:tcPr>
            <w:tcW w:w="666"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10</w:t>
            </w:r>
          </w:p>
        </w:tc>
        <w:tc>
          <w:tcPr>
            <w:tcW w:w="567"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18</w:t>
            </w:r>
          </w:p>
        </w:tc>
        <w:tc>
          <w:tcPr>
            <w:tcW w:w="960" w:type="dxa"/>
            <w:vMerge w:val="continue"/>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p>
        </w:tc>
        <w:tc>
          <w:tcPr>
            <w:tcW w:w="1029"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三级上册第一单元-水</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至少包含：塑料杯2个，橡皮筋50个，保鲜膜1卷，塑料烧杯1个，水槽1个，小铁架台底座1个，小铁架台支柱1个，固定块-长1个，固定块-短1个，小铁架台固定块-紧锁螺丝4个，烧杯架1个，石棉网1个，玻璃烧杯1个，温度计1个，线绳1个，纤维棒1个，漏斗1个，长柄试管夹1个，保鲜袋1个，玻璃试管2个，双头药匙1个，小苏打1瓶，碱1瓶，红糖1瓶，食盐1瓶，沙子1瓶 ，味精1瓶，木屑20g，铁屑500g，培养皿2套，绿色打印纸30张，不锈钢勺子1个，玻璃棒，筛子80目1个，滤纸1盒，火柴1盒，蒸发皿1个，橡皮泥1罐，酒精灯1个，折纸20张。</w:t>
            </w:r>
          </w:p>
        </w:tc>
        <w:tc>
          <w:tcPr>
            <w:tcW w:w="666"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10</w:t>
            </w:r>
          </w:p>
        </w:tc>
        <w:tc>
          <w:tcPr>
            <w:tcW w:w="567"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19</w:t>
            </w:r>
          </w:p>
        </w:tc>
        <w:tc>
          <w:tcPr>
            <w:tcW w:w="960" w:type="dxa"/>
            <w:vMerge w:val="continue"/>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p>
        </w:tc>
        <w:tc>
          <w:tcPr>
            <w:tcW w:w="1029"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三年级上册第二单元-空气</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至少包含：一次性塑料杯10个，自封袋20个，塑料碗1个，气球10个，水槽1个，大头针1盒，多用途打气筒1个，塑料瓶1个，弯头吸管10支，橡皮泥1罐，注射器1个，大橡皮-大2块，皮球1个，石子380g，绿豆210g，沙子360g，塑料桶2个，保鲜袋1袋，蜡烛2个，安全剪刀1把，透明胶1个，双面胶1个，回形针1盒，乒乓球1个，木块1个，卡纸10张，小铁架台底板1个，小铁架台支柱2套，平衡刻度盘1套，刀口1套，平衡尺1套，滑块短1套，S勾3个，火柴1盒，线香1管，通风管1个，塑料盒1个，橡胶塞3个，风的形成实验盒1套，孔明灯4套。</w:t>
            </w:r>
          </w:p>
        </w:tc>
        <w:tc>
          <w:tcPr>
            <w:tcW w:w="666"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10</w:t>
            </w:r>
          </w:p>
        </w:tc>
        <w:tc>
          <w:tcPr>
            <w:tcW w:w="567"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20</w:t>
            </w:r>
          </w:p>
        </w:tc>
        <w:tc>
          <w:tcPr>
            <w:tcW w:w="960" w:type="dxa"/>
            <w:vMerge w:val="continue"/>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p>
        </w:tc>
        <w:tc>
          <w:tcPr>
            <w:tcW w:w="1029"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三年级上册第三单元-天气</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1、至少包含：气温计1个，体温计1个，温度计1个，双金属温度计1个，电子温度计1个，红外线温度计1个，雨量器1套，浇花花洒头1个，塑料瓶1个，水槽1个，天气符号卡片15张，24节气卡片24张，风向标1个。</w:t>
            </w:r>
          </w:p>
        </w:tc>
        <w:tc>
          <w:tcPr>
            <w:tcW w:w="666"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10</w:t>
            </w:r>
          </w:p>
        </w:tc>
        <w:tc>
          <w:tcPr>
            <w:tcW w:w="567"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21</w:t>
            </w:r>
          </w:p>
        </w:tc>
        <w:tc>
          <w:tcPr>
            <w:tcW w:w="960" w:type="dxa"/>
            <w:vMerge w:val="continue"/>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p>
        </w:tc>
        <w:tc>
          <w:tcPr>
            <w:tcW w:w="1029"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三年级下册第一单元-物体的运动</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至少包含：皮尺1个，圆盘尺1个，汽车方位卡10张，溜溜球1个，钢尺1个，摇摆玩具1个，玩具汽车1个，手指陀螺1个，原木陀螺1个，轨道直1个，轨道板1个，斜面面板-长1个，下面支架-底座1个，下面支架-支柱2个，纤维棒1个，木块1个，乒乓球1个，多面体色子1套，小玻璃瓶1个，木球1个，秒表1个，140孔底板3块，滑道球2个，滑道起终点3个，滑道小弯道6个，滑道大直道2个，滑道小直道6个，滑道小斜坡4个，滑道大斜坡10个，滑道大弯道4个，滑道U型弯道2个，滑道U型高低弯道2个，转角件40个，2孔中阶6个，4孔正方中阶6个，6孔正方中阶4个。</w:t>
            </w:r>
          </w:p>
        </w:tc>
        <w:tc>
          <w:tcPr>
            <w:tcW w:w="666"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10</w:t>
            </w:r>
          </w:p>
        </w:tc>
        <w:tc>
          <w:tcPr>
            <w:tcW w:w="567"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22</w:t>
            </w:r>
          </w:p>
        </w:tc>
        <w:tc>
          <w:tcPr>
            <w:tcW w:w="960" w:type="dxa"/>
            <w:vMerge w:val="continue"/>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p>
        </w:tc>
        <w:tc>
          <w:tcPr>
            <w:tcW w:w="1029"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三年级下册第二单元-动物的一生</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1、至少包含:带灯放大镜1个，蚕饲养盒1个，温度计1个，鹅毛1根，结茧网1个，清理网1个，镊子1个，蚕的一生标本1个，动物的卵图片卡P25 10张，蚕的生长变化图片卡P35 8张，蚕的一生统计表P35 10张，菜粉蝶的一生标本1个，小鸡孵化过程1套。</w:t>
            </w:r>
          </w:p>
        </w:tc>
        <w:tc>
          <w:tcPr>
            <w:tcW w:w="666"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10</w:t>
            </w:r>
          </w:p>
        </w:tc>
        <w:tc>
          <w:tcPr>
            <w:tcW w:w="567"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23</w:t>
            </w:r>
          </w:p>
        </w:tc>
        <w:tc>
          <w:tcPr>
            <w:tcW w:w="960" w:type="dxa"/>
            <w:vMerge w:val="continue"/>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p>
        </w:tc>
        <w:tc>
          <w:tcPr>
            <w:tcW w:w="1029"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三年级下册第三单元-太阳、地球和月球</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至少包含:圆纸筒1个，大圆纸片10张，小圆纸片10张，亚克力板1个，方位纸5张，磁悬浮底板1个，磁悬浮立柱1个，手电筒1个，圆木柱1个，月相图卡30张，水槽1个，玻璃球1个，木球1个，跳跳球1个，乒乓球1个，沙子360g，正圆气球1个，小船帆模型1个，白屏1个，正方体木块1个，地球仪1个，世界地图1张，透明方格纸10张，彩笔1盒。</w:t>
            </w:r>
          </w:p>
        </w:tc>
        <w:tc>
          <w:tcPr>
            <w:tcW w:w="666"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10</w:t>
            </w:r>
          </w:p>
        </w:tc>
        <w:tc>
          <w:tcPr>
            <w:tcW w:w="567"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24</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环境文化建设</w:t>
            </w:r>
          </w:p>
        </w:tc>
        <w:tc>
          <w:tcPr>
            <w:tcW w:w="5567" w:type="dxa"/>
            <w:shd w:val="clear" w:color="auto" w:fill="auto"/>
            <w:vAlign w:val="center"/>
          </w:tcPr>
          <w:p>
            <w:pPr>
              <w:widowControl/>
              <w:snapToGrid w:val="0"/>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1、包含文化建设方案设计、功能区空间造型；顶面、墙面处理；开关、灯具、插座、配电箱、线材等。</w:t>
            </w:r>
          </w:p>
        </w:tc>
        <w:tc>
          <w:tcPr>
            <w:tcW w:w="666"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25</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安装调试</w:t>
            </w:r>
          </w:p>
        </w:tc>
        <w:tc>
          <w:tcPr>
            <w:tcW w:w="5567" w:type="dxa"/>
            <w:shd w:val="clear" w:color="000000" w:fill="FFFFFF"/>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1、含PVC管材、线槽、网络线、电源线、视频线、控制线、音箱线等；</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2、设备的固定安装符合施工要求，安装美观，整体走线符合施工工艺要求；</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3、线材管材、设备连接线、转接头、电源插座板等均采用经质检合格的产品；</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4、强弱电独立布放；</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5、如安装墙体是填充材料，须进行加固处理。</w:t>
            </w:r>
          </w:p>
        </w:tc>
        <w:tc>
          <w:tcPr>
            <w:tcW w:w="666"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000000" w:fill="FFFFFF"/>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9351" w:type="dxa"/>
            <w:gridSpan w:val="6"/>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r>
              <w:rPr>
                <w:rFonts w:ascii="宋体" w:hAnsi="宋体" w:cs="宋体"/>
                <w:color w:val="000000" w:themeColor="text1"/>
                <w:kern w:val="0"/>
                <w:sz w:val="18"/>
                <w:szCs w:val="18"/>
                <w14:textFill>
                  <w14:solidFill>
                    <w14:schemeClr w14:val="tx1"/>
                  </w14:solidFill>
                </w14:textFill>
              </w:rPr>
              <w:t>6</w:t>
            </w:r>
            <w:r>
              <w:rPr>
                <w:rFonts w:hint="eastAsia" w:ascii="宋体" w:hAnsi="宋体" w:cs="宋体"/>
                <w:color w:val="000000" w:themeColor="text1"/>
                <w:kern w:val="0"/>
                <w:sz w:val="18"/>
                <w:szCs w:val="18"/>
                <w14:textFill>
                  <w14:solidFill>
                    <w14:schemeClr w14:val="tx1"/>
                  </w14:solidFill>
                </w14:textFill>
              </w:rPr>
              <w:t>、办公设备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序号</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产品名称</w:t>
            </w:r>
          </w:p>
        </w:tc>
        <w:tc>
          <w:tcPr>
            <w:tcW w:w="5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技术参数</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数量</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台式机</w:t>
            </w:r>
          </w:p>
        </w:tc>
        <w:tc>
          <w:tcPr>
            <w:tcW w:w="5567" w:type="dxa"/>
            <w:shd w:val="clear" w:color="000000" w:fill="FFFFFF"/>
            <w:vAlign w:val="center"/>
          </w:tcPr>
          <w:p>
            <w:pPr>
              <w:widowControl/>
              <w:snapToGrid w:val="0"/>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1、Intel Core i5-10500及以上处理器；</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2、内存≥4G DDR4；≥240GB固态硬盘；≥4个USB2.0接口；≥6个USB3.0接口，支持5.1声道（提供至少5个音频接口）、≥1个HDMI接口，耳机输出接口、网口；集成千兆网卡；≥21.5寸显示器</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10</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笔记本电脑</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1、酷睿 i5-10210U处理器；内存≥4G DDR4；≥240GB固态硬盘；14.1寸显示器，含电池重量1.5Kg。</w:t>
            </w:r>
            <w:r>
              <w:rPr>
                <w:rFonts w:hint="eastAsia" w:ascii="宋体" w:hAnsi="宋体" w:cs="宋体"/>
                <w:color w:val="000000" w:themeColor="text1"/>
                <w:kern w:val="0"/>
                <w:sz w:val="18"/>
                <w:szCs w:val="18"/>
                <w14:textFill>
                  <w14:solidFill>
                    <w14:schemeClr w14:val="tx1"/>
                  </w14:solidFill>
                </w14:textFill>
              </w:rPr>
              <w:br w:type="textWrapping"/>
            </w:r>
            <w:r>
              <w:rPr>
                <w:rFonts w:hint="eastAsia" w:ascii="宋体" w:hAnsi="宋体" w:cs="宋体"/>
                <w:color w:val="000000" w:themeColor="text1"/>
                <w:kern w:val="0"/>
                <w:sz w:val="18"/>
                <w:szCs w:val="18"/>
                <w14:textFill>
                  <w14:solidFill>
                    <w14:schemeClr w14:val="tx1"/>
                  </w14:solidFill>
                </w14:textFill>
              </w:rPr>
              <w:t xml:space="preserve">2、预装正版操作系统。 </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40</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3</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票据打印机</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1、财务专用针式票据打印机，支持不小于1+3联</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4</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黑白激光打印机</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1、最大打印幅面：A4，最高分辨率 600×600×2dpi(有效输出1200dpi)，黑白打印速度18ppm，处理器266MHz，手动双面打印。</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5</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5</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彩色激光打印机</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1、最大打印幅面：A4，最高分辨率 600×600dpi，打印速度≥16ppm，处理器≥800MHz，内存 ≥128MB DDR。</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3</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6</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复印机（A3）</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1、复印打印扫描一体机，最大原稿尺寸：A3；内存容量≥512 MB；分辨率≥600×600dpi；复印速度(张/分)≥25cpm；首页复印时间少于6.5秒；打印速度≥25ppm ；扫描速度≥28ppm ；预热时间少于19秒；接口类型：USB2.0、10Base-T/100Base-TX</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7</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单反套装照相机</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1、APS画幅单反相机，有效像素2420万像素，EF-S 18-135mm f/3.5-5.6 IS USM镜头，液晶屏尺寸3英寸，含32G卡，包。</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8</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普通摄像机</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1、专业4K摄像机；CMOS传感器；有效像素≥1400万，最大像素≥1800万；12倍光学变焦，实际焦距 f=9.3-111.6mm，最大光圈：F2.8-4.5；滤镜直径：62mm；液晶屏尺寸3.5英寸，像素156万；最低照明度1.7lux；接口支持HDMI、SDI、USB；存储介质：MS/SD,SD。</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9</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柜式空调3P</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1、制冷类型:冷暖；3匹；直流变频；能效等级：2级；电辅加热：支持；制冷量(W)：7200（1900-8200）；制冷功率(W)：2650（420-3500）；制热量(W)：8000（2000-10100）；制热功率(W)：2500（460-3720）</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24</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62"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10</w:t>
            </w:r>
          </w:p>
        </w:tc>
        <w:tc>
          <w:tcPr>
            <w:tcW w:w="1989" w:type="dxa"/>
            <w:gridSpan w:val="2"/>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挂式空调1.5P</w:t>
            </w:r>
          </w:p>
        </w:tc>
        <w:tc>
          <w:tcPr>
            <w:tcW w:w="5567" w:type="dxa"/>
            <w:shd w:val="clear" w:color="auto" w:fill="auto"/>
            <w:vAlign w:val="center"/>
          </w:tcPr>
          <w:p>
            <w:pPr>
              <w:widowControl/>
              <w:snapToGrid w:val="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1、制冷类型:冷暖；1.5匹；直流变频；能效等级：2级；电辅加热：支持；制冷量(W)：3500（300-4600）；制冷功率(W)：850（120-1600）；制热量(W)：4700（360-6400）；制热功率(W)：1160（120-1900）</w:t>
            </w:r>
          </w:p>
        </w:tc>
        <w:tc>
          <w:tcPr>
            <w:tcW w:w="666"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6</w:t>
            </w:r>
          </w:p>
        </w:tc>
        <w:tc>
          <w:tcPr>
            <w:tcW w:w="567" w:type="dxa"/>
            <w:shd w:val="clear" w:color="auto" w:fill="auto"/>
            <w:vAlign w:val="center"/>
          </w:tcPr>
          <w:p>
            <w:pPr>
              <w:widowControl/>
              <w:snapToGrid w:val="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台</w:t>
            </w:r>
          </w:p>
        </w:tc>
      </w:tr>
    </w:tbl>
    <w:p>
      <w:pPr>
        <w:rPr>
          <w:color w:val="000000" w:themeColor="text1"/>
          <w14:textFill>
            <w14:solidFill>
              <w14:schemeClr w14:val="tx1"/>
            </w14:solidFill>
          </w14:textFill>
        </w:rPr>
      </w:pPr>
    </w:p>
    <w:p>
      <w:pPr>
        <w:rPr>
          <w:rFonts w:ascii="宋体" w:hAnsi="宋体"/>
          <w:b/>
          <w:color w:val="000000" w:themeColor="text1"/>
          <w:sz w:val="28"/>
          <w:szCs w:val="28"/>
          <w14:textFill>
            <w14:solidFill>
              <w14:schemeClr w14:val="tx1"/>
            </w14:solidFill>
          </w14:textFill>
        </w:rPr>
      </w:pPr>
      <w:r>
        <w:rPr>
          <w:rFonts w:ascii="宋体" w:hAnsi="宋体"/>
          <w:b/>
          <w:color w:val="000000" w:themeColor="text1"/>
          <w:sz w:val="28"/>
          <w:szCs w:val="28"/>
          <w14:textFill>
            <w14:solidFill>
              <w14:schemeClr w14:val="tx1"/>
            </w14:solidFill>
          </w14:textFill>
        </w:rPr>
        <w:t>4.</w:t>
      </w:r>
      <w:r>
        <w:rPr>
          <w:rFonts w:hint="eastAsia" w:ascii="宋体" w:hAnsi="宋体"/>
          <w:b/>
          <w:color w:val="000000" w:themeColor="text1"/>
          <w:sz w:val="28"/>
          <w:szCs w:val="28"/>
          <w14:textFill>
            <w14:solidFill>
              <w14:schemeClr w14:val="tx1"/>
            </w14:solidFill>
          </w14:textFill>
        </w:rPr>
        <w:t>3商务要求</w:t>
      </w:r>
    </w:p>
    <w:p>
      <w:pPr>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4</w:t>
      </w:r>
      <w:r>
        <w:rPr>
          <w:rFonts w:ascii="宋体" w:hAnsi="宋体"/>
          <w:b/>
          <w:color w:val="000000" w:themeColor="text1"/>
          <w:sz w:val="28"/>
          <w:szCs w:val="28"/>
          <w14:textFill>
            <w14:solidFill>
              <w14:schemeClr w14:val="tx1"/>
            </w14:solidFill>
          </w14:textFill>
        </w:rPr>
        <w:t>.3.1</w:t>
      </w:r>
      <w:r>
        <w:rPr>
          <w:rFonts w:hint="eastAsia" w:ascii="宋体" w:hAnsi="宋体"/>
          <w:b/>
          <w:color w:val="000000" w:themeColor="text1"/>
          <w:sz w:val="28"/>
          <w:szCs w:val="28"/>
          <w14:textFill>
            <w14:solidFill>
              <w14:schemeClr w14:val="tx1"/>
            </w14:solidFill>
          </w14:textFill>
        </w:rPr>
        <w:t>★</w:t>
      </w:r>
      <w:r>
        <w:rPr>
          <w:rFonts w:hint="eastAsia"/>
          <w:color w:val="000000" w:themeColor="text1"/>
          <w:sz w:val="28"/>
          <w:szCs w:val="28"/>
          <w14:textFill>
            <w14:solidFill>
              <w14:schemeClr w14:val="tx1"/>
            </w14:solidFill>
          </w14:textFill>
        </w:rPr>
        <w:t>项目的生产安装</w:t>
      </w:r>
    </w:p>
    <w:p>
      <w:pPr>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w:t>
      </w:r>
      <w:r>
        <w:rPr>
          <w:color w:val="000000" w:themeColor="text1"/>
          <w:sz w:val="28"/>
          <w:szCs w:val="28"/>
          <w14:textFill>
            <w14:solidFill>
              <w14:schemeClr w14:val="tx1"/>
            </w14:solidFill>
          </w14:textFill>
        </w:rPr>
        <w:t>1</w:t>
      </w:r>
      <w:r>
        <w:rPr>
          <w:rFonts w:hint="eastAsia"/>
          <w:color w:val="000000" w:themeColor="text1"/>
          <w:sz w:val="28"/>
          <w:szCs w:val="28"/>
          <w14:textFill>
            <w14:solidFill>
              <w14:schemeClr w14:val="tx1"/>
            </w14:solidFill>
          </w14:textFill>
        </w:rPr>
        <w:t>）供应商应于合同签订后一周之内前往采购方地点进行所有项目实施前的实施方案落实工作，并取得采购（使用）方的书面签字认可，之后进行全面的货源组织、生产、安装、调试等项目整体实施工作，采购方应予以全面配合。</w:t>
      </w:r>
    </w:p>
    <w:p>
      <w:pPr>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w:t>
      </w:r>
      <w:r>
        <w:rPr>
          <w:color w:val="000000" w:themeColor="text1"/>
          <w:sz w:val="28"/>
          <w:szCs w:val="28"/>
          <w14:textFill>
            <w14:solidFill>
              <w14:schemeClr w14:val="tx1"/>
            </w14:solidFill>
          </w14:textFill>
        </w:rPr>
        <w:t>2</w:t>
      </w:r>
      <w:r>
        <w:rPr>
          <w:rFonts w:hint="eastAsia"/>
          <w:color w:val="000000" w:themeColor="text1"/>
          <w:sz w:val="28"/>
          <w:szCs w:val="28"/>
          <w14:textFill>
            <w14:solidFill>
              <w14:schemeClr w14:val="tx1"/>
            </w14:solidFill>
          </w14:textFill>
        </w:rPr>
        <w:t>）供应商知晓履行本项目货物实施难易程度、进场及安装调试的场地可能存在交叉施工、条件限制等客观情况，供应商承诺自行克服上述困难，保证本项目中所约定的全部货物自签订合同之日起于30个日历日内全部送达采购方指定的地点，并按照要求完成安装、调试、整体实施等全部工作。若供应商未能按招标文件规定的交货期和服务要求全面完成所有项目的备货、安装、调试、整体实施等全部工作，将追究违约责任，并会同财政等部门对供应商进行相关处理。</w:t>
      </w:r>
    </w:p>
    <w:p>
      <w:pPr>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（3）在项目实施执行过程中，因用房条件限制、使用方特殊需求等实际情况允许设备在材料材质不变的情况下在样式、颜色、尺寸等作适当调整，具体方案尺寸由使用方(学校)认可，报采购方备案。</w:t>
      </w:r>
    </w:p>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4.3.</w:t>
      </w:r>
      <w:r>
        <w:rPr>
          <w:rFonts w:hint="eastAsia"/>
          <w:color w:val="000000" w:themeColor="text1"/>
          <w:sz w:val="28"/>
          <w:szCs w:val="28"/>
          <w14:textFill>
            <w14:solidFill>
              <w14:schemeClr w14:val="tx1"/>
            </w14:solidFill>
          </w14:textFill>
        </w:rPr>
        <w:t>2质保及售后要求</w:t>
      </w:r>
    </w:p>
    <w:p>
      <w:pPr>
        <w:spacing w:line="360" w:lineRule="auto"/>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w:t>
      </w:r>
      <w:r>
        <w:rPr>
          <w:color w:val="000000" w:themeColor="text1"/>
          <w:sz w:val="28"/>
          <w:szCs w:val="28"/>
          <w14:textFill>
            <w14:solidFill>
              <w14:schemeClr w14:val="tx1"/>
            </w14:solidFill>
          </w14:textFill>
        </w:rPr>
        <w:t>1</w:t>
      </w:r>
      <w:r>
        <w:rPr>
          <w:rFonts w:hint="eastAsia"/>
          <w:color w:val="000000" w:themeColor="text1"/>
          <w:sz w:val="28"/>
          <w:szCs w:val="28"/>
          <w14:textFill>
            <w14:solidFill>
              <w14:schemeClr w14:val="tx1"/>
            </w14:solidFill>
          </w14:textFill>
        </w:rPr>
        <w:t>）</w:t>
      </w:r>
      <w:r>
        <w:rPr>
          <w:rFonts w:hint="eastAsia" w:ascii="宋体" w:hAnsi="宋体"/>
          <w:b/>
          <w:color w:val="000000" w:themeColor="text1"/>
          <w:sz w:val="28"/>
          <w:szCs w:val="28"/>
          <w14:textFill>
            <w14:solidFill>
              <w14:schemeClr w14:val="tx1"/>
            </w14:solidFill>
          </w14:textFill>
        </w:rPr>
        <w:t>★</w:t>
      </w:r>
      <w:r>
        <w:rPr>
          <w:rFonts w:hint="eastAsia"/>
          <w:color w:val="000000" w:themeColor="text1"/>
          <w:sz w:val="28"/>
          <w:szCs w:val="28"/>
          <w14:textFill>
            <w14:solidFill>
              <w14:schemeClr w14:val="tx1"/>
            </w14:solidFill>
          </w14:textFill>
        </w:rPr>
        <w:t>正常质量保证期为自本合同所列的全部货物安装、调试、试运行、验收合格签字之日起36个月（投标文件中须提供质量保证期的承诺函）。</w:t>
      </w:r>
    </w:p>
    <w:p>
      <w:pPr>
        <w:spacing w:line="480" w:lineRule="exact"/>
        <w:contextualSpacing/>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w:t>
      </w:r>
      <w:r>
        <w:rPr>
          <w:color w:val="000000" w:themeColor="text1"/>
          <w:sz w:val="28"/>
          <w:szCs w:val="28"/>
          <w14:textFill>
            <w14:solidFill>
              <w14:schemeClr w14:val="tx1"/>
            </w14:solidFill>
          </w14:textFill>
        </w:rPr>
        <w:t>2</w:t>
      </w:r>
      <w:r>
        <w:rPr>
          <w:rFonts w:hint="eastAsia"/>
          <w:color w:val="000000" w:themeColor="text1"/>
          <w:sz w:val="28"/>
          <w:szCs w:val="28"/>
          <w14:textFill>
            <w14:solidFill>
              <w14:schemeClr w14:val="tx1"/>
            </w14:solidFill>
          </w14:textFill>
        </w:rPr>
        <w:t>）质保期内，中标人应提供7*24小时的小时响应服务，维护人员随时保持通讯畅通，响应时间在30分钟以内，同时派经验丰富的维护工程师在初步判断故障部件后，1小时内携带备件以最快的交通工具到达现场，进行故障检测、定位、维护与排除，保障教学的正常运行。如果故障在短时间内无法排除，提供替代整机，恢复教学正常工作。同时提供标准的 3-3-3服务，即三年无偿更换备件，三年无偿人工，三年无偿上门服务。</w:t>
      </w:r>
    </w:p>
    <w:p>
      <w:pPr>
        <w:spacing w:line="360" w:lineRule="auto"/>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w:t>
      </w:r>
      <w:r>
        <w:rPr>
          <w:color w:val="000000" w:themeColor="text1"/>
          <w:sz w:val="28"/>
          <w:szCs w:val="28"/>
          <w14:textFill>
            <w14:solidFill>
              <w14:schemeClr w14:val="tx1"/>
            </w14:solidFill>
          </w14:textFill>
        </w:rPr>
        <w:t>3</w:t>
      </w:r>
      <w:r>
        <w:rPr>
          <w:rFonts w:hint="eastAsia"/>
          <w:color w:val="000000" w:themeColor="text1"/>
          <w:sz w:val="28"/>
          <w:szCs w:val="28"/>
          <w14:textFill>
            <w14:solidFill>
              <w14:schemeClr w14:val="tx1"/>
            </w14:solidFill>
          </w14:textFill>
        </w:rPr>
        <w:t>）质保期后为保修期，保修期提供三年备件并以优惠的价格提供上门维修服务。（若投标文件优于该保修期的，以投标文件为准）</w:t>
      </w:r>
    </w:p>
    <w:p>
      <w:pPr>
        <w:spacing w:line="480" w:lineRule="exact"/>
        <w:contextualSpacing/>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（4）质保期内，中标人</w:t>
      </w:r>
      <w:r>
        <w:rPr>
          <w:color w:val="000000" w:themeColor="text1"/>
          <w:sz w:val="28"/>
          <w:szCs w:val="28"/>
          <w14:textFill>
            <w14:solidFill>
              <w14:schemeClr w14:val="tx1"/>
            </w14:solidFill>
          </w14:textFill>
        </w:rPr>
        <w:t>应定期对</w:t>
      </w:r>
      <w:r>
        <w:rPr>
          <w:rFonts w:hint="eastAsia"/>
          <w:color w:val="000000" w:themeColor="text1"/>
          <w:sz w:val="28"/>
          <w:szCs w:val="28"/>
          <w14:textFill>
            <w14:solidFill>
              <w14:schemeClr w14:val="tx1"/>
            </w14:solidFill>
          </w14:textFill>
        </w:rPr>
        <w:t>产品</w:t>
      </w:r>
      <w:r>
        <w:rPr>
          <w:color w:val="000000" w:themeColor="text1"/>
          <w:sz w:val="28"/>
          <w:szCs w:val="28"/>
          <w14:textFill>
            <w14:solidFill>
              <w14:schemeClr w14:val="tx1"/>
            </w14:solidFill>
          </w14:textFill>
        </w:rPr>
        <w:t>进行日常维护保养，至少每季度到用户现场进行现场巡检和调研,及时跟踪</w:t>
      </w:r>
      <w:r>
        <w:rPr>
          <w:rFonts w:hint="eastAsia"/>
          <w:color w:val="000000" w:themeColor="text1"/>
          <w:sz w:val="28"/>
          <w:szCs w:val="28"/>
          <w14:textFill>
            <w14:solidFill>
              <w14:schemeClr w14:val="tx1"/>
            </w14:solidFill>
          </w14:textFill>
        </w:rPr>
        <w:t>产品使用及</w:t>
      </w:r>
      <w:r>
        <w:rPr>
          <w:color w:val="000000" w:themeColor="text1"/>
          <w:sz w:val="28"/>
          <w:szCs w:val="28"/>
          <w14:textFill>
            <w14:solidFill>
              <w14:schemeClr w14:val="tx1"/>
            </w14:solidFill>
          </w14:textFill>
        </w:rPr>
        <w:t>质量</w:t>
      </w:r>
      <w:r>
        <w:rPr>
          <w:rFonts w:hint="eastAsia"/>
          <w:color w:val="000000" w:themeColor="text1"/>
          <w:sz w:val="28"/>
          <w:szCs w:val="28"/>
          <w14:textFill>
            <w14:solidFill>
              <w14:schemeClr w14:val="tx1"/>
            </w14:solidFill>
          </w14:textFill>
        </w:rPr>
        <w:t>的</w:t>
      </w:r>
      <w:r>
        <w:rPr>
          <w:color w:val="000000" w:themeColor="text1"/>
          <w:sz w:val="28"/>
          <w:szCs w:val="28"/>
          <w14:textFill>
            <w14:solidFill>
              <w14:schemeClr w14:val="tx1"/>
            </w14:solidFill>
          </w14:textFill>
        </w:rPr>
        <w:t>变化情况，定期提供《巡检报告》；</w:t>
      </w:r>
      <w:r>
        <w:rPr>
          <w:rFonts w:hint="eastAsia"/>
          <w:color w:val="000000" w:themeColor="text1"/>
          <w:sz w:val="28"/>
          <w:szCs w:val="28"/>
          <w14:textFill>
            <w14:solidFill>
              <w14:schemeClr w14:val="tx1"/>
            </w14:solidFill>
          </w14:textFill>
        </w:rPr>
        <w:t>更换损坏、有缺陷的设备，</w:t>
      </w:r>
      <w:r>
        <w:rPr>
          <w:color w:val="000000" w:themeColor="text1"/>
          <w:sz w:val="28"/>
          <w:szCs w:val="28"/>
          <w14:textFill>
            <w14:solidFill>
              <w14:schemeClr w14:val="tx1"/>
            </w14:solidFill>
          </w14:textFill>
        </w:rPr>
        <w:t>消除设备（系统）运行（使用）故障及安全隐患，确保学校教育教学工作正常开展。</w:t>
      </w:r>
    </w:p>
    <w:p>
      <w:pPr>
        <w:pStyle w:val="4"/>
        <w:numPr>
          <w:ilvl w:val="0"/>
          <w:numId w:val="0"/>
        </w:numPr>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.3.3</w:t>
      </w:r>
      <w:r>
        <w:rPr>
          <w:rFonts w:hint="eastAsia"/>
          <w:color w:val="000000" w:themeColor="text1"/>
          <w14:textFill>
            <w14:solidFill>
              <w14:schemeClr w14:val="tx1"/>
            </w14:solidFill>
          </w14:textFill>
        </w:rPr>
        <w:t>验收标准和方法</w:t>
      </w:r>
    </w:p>
    <w:p>
      <w:pPr>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w:t>
      </w:r>
      <w:r>
        <w:rPr>
          <w:color w:val="000000" w:themeColor="text1"/>
          <w:sz w:val="28"/>
          <w:szCs w:val="28"/>
          <w14:textFill>
            <w14:solidFill>
              <w14:schemeClr w14:val="tx1"/>
            </w14:solidFill>
          </w14:textFill>
        </w:rPr>
        <w:t>1</w:t>
      </w:r>
      <w:r>
        <w:rPr>
          <w:rFonts w:hint="eastAsia"/>
          <w:color w:val="000000" w:themeColor="text1"/>
          <w:sz w:val="28"/>
          <w:szCs w:val="28"/>
          <w14:textFill>
            <w14:solidFill>
              <w14:schemeClr w14:val="tx1"/>
            </w14:solidFill>
          </w14:textFill>
        </w:rPr>
        <w:t>）验收时提供的技术资料：原产地证明书</w:t>
      </w:r>
      <w:r>
        <w:rPr>
          <w:color w:val="000000" w:themeColor="text1"/>
          <w:sz w:val="28"/>
          <w:szCs w:val="28"/>
          <w14:textFill>
            <w14:solidFill>
              <w14:schemeClr w14:val="tx1"/>
            </w14:solidFill>
          </w14:textFill>
        </w:rPr>
        <w:t>(</w:t>
      </w:r>
      <w:r>
        <w:rPr>
          <w:rFonts w:hint="eastAsia"/>
          <w:color w:val="000000" w:themeColor="text1"/>
          <w:sz w:val="28"/>
          <w:szCs w:val="28"/>
          <w14:textFill>
            <w14:solidFill>
              <w14:schemeClr w14:val="tx1"/>
            </w14:solidFill>
          </w14:textFill>
        </w:rPr>
        <w:t>由制造厂签发</w:t>
      </w:r>
      <w:r>
        <w:rPr>
          <w:color w:val="000000" w:themeColor="text1"/>
          <w:sz w:val="28"/>
          <w:szCs w:val="28"/>
          <w14:textFill>
            <w14:solidFill>
              <w14:schemeClr w14:val="tx1"/>
            </w14:solidFill>
          </w14:textFill>
        </w:rPr>
        <w:t>)</w:t>
      </w:r>
      <w:r>
        <w:rPr>
          <w:rFonts w:hint="eastAsia"/>
          <w:color w:val="000000" w:themeColor="text1"/>
          <w:sz w:val="28"/>
          <w:szCs w:val="28"/>
          <w14:textFill>
            <w14:solidFill>
              <w14:schemeClr w14:val="tx1"/>
            </w14:solidFill>
          </w14:textFill>
        </w:rPr>
        <w:t>；提供产品的操作手册、使用说明、维修指南或服务手册；备件手册、零件及易损件的图纸及相关资料；其它相关技术资料。以上要求可根据供应商实际情况提供。</w:t>
      </w:r>
    </w:p>
    <w:p>
      <w:pPr>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w:t>
      </w:r>
      <w:r>
        <w:rPr>
          <w:color w:val="000000" w:themeColor="text1"/>
          <w:sz w:val="28"/>
          <w:szCs w:val="28"/>
          <w14:textFill>
            <w14:solidFill>
              <w14:schemeClr w14:val="tx1"/>
            </w14:solidFill>
          </w14:textFill>
        </w:rPr>
        <w:t>2</w:t>
      </w:r>
      <w:r>
        <w:rPr>
          <w:rFonts w:hint="eastAsia"/>
          <w:color w:val="000000" w:themeColor="text1"/>
          <w:sz w:val="28"/>
          <w:szCs w:val="28"/>
          <w14:textFill>
            <w14:solidFill>
              <w14:schemeClr w14:val="tx1"/>
            </w14:solidFill>
          </w14:textFill>
        </w:rPr>
        <w:t>）中标人在发货之前，应对货物的有关内在和外观质量、规格、性能数量和重量进行准确的和全面的检验，并出具其货物符合本合同规定的质量合格证书。该证书可作为提交给使用人付款单据的组成部分，但不应视为是对质量、规格、性能、数量的最终确认。</w:t>
      </w:r>
    </w:p>
    <w:p>
      <w:pPr>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w:t>
      </w:r>
      <w:r>
        <w:rPr>
          <w:color w:val="000000" w:themeColor="text1"/>
          <w:sz w:val="28"/>
          <w:szCs w:val="28"/>
          <w14:textFill>
            <w14:solidFill>
              <w14:schemeClr w14:val="tx1"/>
            </w14:solidFill>
          </w14:textFill>
        </w:rPr>
        <w:t>3</w:t>
      </w:r>
      <w:r>
        <w:rPr>
          <w:rFonts w:hint="eastAsia"/>
          <w:color w:val="000000" w:themeColor="text1"/>
          <w:sz w:val="28"/>
          <w:szCs w:val="28"/>
          <w14:textFill>
            <w14:solidFill>
              <w14:schemeClr w14:val="tx1"/>
            </w14:solidFill>
          </w14:textFill>
        </w:rPr>
        <w:t>）在项目最终验收前的实施过程中，货物的安全等问题均由中标人负责。</w:t>
      </w:r>
    </w:p>
    <w:p>
      <w:pPr>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w:t>
      </w:r>
      <w:r>
        <w:rPr>
          <w:color w:val="000000" w:themeColor="text1"/>
          <w:sz w:val="28"/>
          <w:szCs w:val="28"/>
          <w14:textFill>
            <w14:solidFill>
              <w14:schemeClr w14:val="tx1"/>
            </w14:solidFill>
          </w14:textFill>
        </w:rPr>
        <w:t>4</w:t>
      </w:r>
      <w:r>
        <w:rPr>
          <w:rFonts w:hint="eastAsia"/>
          <w:color w:val="000000" w:themeColor="text1"/>
          <w:sz w:val="28"/>
          <w:szCs w:val="28"/>
          <w14:textFill>
            <w14:solidFill>
              <w14:schemeClr w14:val="tx1"/>
            </w14:solidFill>
          </w14:textFill>
        </w:rPr>
        <w:t>）设备进场后，设备由中标人保管并安装调试完毕，在货物验收并交付使用人后，若因使用人管理不善或安全设施原因造成设备（包括整体、部件、零配件）丢失、被盗、更换等，中标人不负任何责任。</w:t>
      </w:r>
    </w:p>
    <w:p>
      <w:pPr>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（5）在合同规定的质量保证期内，如发现货物的质量或规格与本合同规定不符，或证明货物有缺陷，包括潜在的缺陷或使用不合适的原材料或器件等，采购方保留向中标人提出索赔的权利。</w:t>
      </w:r>
    </w:p>
    <w:p>
      <w:pPr>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w:t>
      </w:r>
      <w:r>
        <w:rPr>
          <w:color w:val="000000" w:themeColor="text1"/>
          <w:sz w:val="28"/>
          <w:szCs w:val="28"/>
          <w14:textFill>
            <w14:solidFill>
              <w14:schemeClr w14:val="tx1"/>
            </w14:solidFill>
          </w14:textFill>
        </w:rPr>
        <w:t>6</w:t>
      </w:r>
      <w:r>
        <w:rPr>
          <w:rFonts w:hint="eastAsia"/>
          <w:color w:val="000000" w:themeColor="text1"/>
          <w:sz w:val="28"/>
          <w:szCs w:val="28"/>
          <w14:textFill>
            <w14:solidFill>
              <w14:schemeClr w14:val="tx1"/>
            </w14:solidFill>
          </w14:textFill>
        </w:rPr>
        <w:t>）采购人有权派出技术专家对投标货物的制造过程进行抽查或监造，以及参与设备的性能检验和试验运行，中标人有义务提供方便和配合。</w:t>
      </w:r>
    </w:p>
    <w:p>
      <w:pPr>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（7）严格按照《财政部关于进一步加强政府采购需求和履约验收管理的指导意见》（财库[</w:t>
      </w:r>
      <w:r>
        <w:rPr>
          <w:color w:val="000000" w:themeColor="text1"/>
          <w:sz w:val="28"/>
          <w:szCs w:val="28"/>
          <w14:textFill>
            <w14:solidFill>
              <w14:schemeClr w14:val="tx1"/>
            </w14:solidFill>
          </w14:textFill>
        </w:rPr>
        <w:t>2016]205</w:t>
      </w:r>
      <w:r>
        <w:rPr>
          <w:rFonts w:hint="eastAsia"/>
          <w:color w:val="000000" w:themeColor="text1"/>
          <w:sz w:val="28"/>
          <w:szCs w:val="28"/>
          <w14:textFill>
            <w14:solidFill>
              <w14:schemeClr w14:val="tx1"/>
            </w14:solidFill>
          </w14:textFill>
        </w:rPr>
        <w:t>号）的相关规定进行验收。验收时可聘请专家，可邀请未中标供应商参与，项目验收时，如需作破坏性检测，检测损坏的设备及检测费用由供应商负责。</w:t>
      </w:r>
    </w:p>
    <w:p>
      <w:pPr>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（8）业主方可根据使用方要求对产品进行随机抽样检测，检测损坏的产品及检测费用由供应商负责。</w:t>
      </w:r>
    </w:p>
    <w:p>
      <w:pPr>
        <w:pStyle w:val="4"/>
        <w:numPr>
          <w:ilvl w:val="0"/>
          <w:numId w:val="0"/>
        </w:numPr>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.3.4</w:t>
      </w:r>
      <w:r>
        <w:rPr>
          <w:rFonts w:hint="eastAsia"/>
          <w:color w:val="000000" w:themeColor="text1"/>
          <w14:textFill>
            <w14:solidFill>
              <w14:schemeClr w14:val="tx1"/>
            </w14:solidFill>
          </w14:textFill>
        </w:rPr>
        <w:t>★付款方式</w:t>
      </w:r>
    </w:p>
    <w:p>
      <w:pPr>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（1）本项目不收取履约保证金。</w:t>
      </w:r>
    </w:p>
    <w:p>
      <w:pPr>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（2）签订合同初验合格后，采购人向中标人支付50%合同款，其余50%合同款在终验合格后支付,具体支付要求以签订合同为准。</w:t>
      </w:r>
    </w:p>
    <w:p>
      <w:pPr>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 xml:space="preserve"> (3)本项目贯彻执行成都市财政局文件（成财采（2019）17号），《成都市财政局、中国人民银行成都分行营业管理部关于印发《成都市中小企业政府采购信用融资暂行办法》和《成都市级支持中小企业政府采购信用融资实施方案》的通知》，促进中小企业发展，缓解中小企业融资难、融资贵的问题。</w:t>
      </w:r>
    </w:p>
    <w:p>
      <w:pPr>
        <w:pStyle w:val="4"/>
        <w:numPr>
          <w:ilvl w:val="0"/>
          <w:numId w:val="0"/>
        </w:numPr>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.3.6</w:t>
      </w:r>
      <w:r>
        <w:rPr>
          <w:rFonts w:hint="eastAsia"/>
          <w:color w:val="000000" w:themeColor="text1"/>
          <w14:textFill>
            <w14:solidFill>
              <w14:schemeClr w14:val="tx1"/>
            </w14:solidFill>
          </w14:textFill>
        </w:rPr>
        <w:t>最高限价</w:t>
      </w:r>
    </w:p>
    <w:p>
      <w:pPr>
        <w:pStyle w:val="79"/>
        <w:tabs>
          <w:tab w:val="left" w:pos="993"/>
          <w:tab w:val="left" w:pos="1134"/>
        </w:tabs>
        <w:spacing w:before="78" w:line="560" w:lineRule="exact"/>
        <w:ind w:firstLine="565" w:firstLineChars="201"/>
        <w:rPr>
          <w:rFonts w:ascii="宋体" w:hAnsi="宋体" w:eastAsia="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★本项目最高限价为人民币</w:t>
      </w:r>
      <w:r>
        <w:rPr>
          <w:rFonts w:ascii="宋体" w:hAnsi="宋体"/>
          <w:b/>
          <w:color w:val="000000" w:themeColor="text1"/>
          <w:sz w:val="28"/>
          <w:szCs w:val="28"/>
          <w14:textFill>
            <w14:solidFill>
              <w14:schemeClr w14:val="tx1"/>
            </w14:solidFill>
          </w14:textFill>
        </w:rPr>
        <w:t>490</w:t>
      </w:r>
      <w:r>
        <w:rPr>
          <w:rFonts w:hint="eastAsia" w:ascii="宋体" w:hAnsi="宋体"/>
          <w:b/>
          <w:color w:val="000000" w:themeColor="text1"/>
          <w:sz w:val="28"/>
          <w:szCs w:val="28"/>
          <w14:textFill>
            <w14:solidFill>
              <w14:schemeClr w14:val="tx1"/>
            </w14:solidFill>
          </w14:textFill>
        </w:rPr>
        <w:t>万元，投标人投标报价高于最高限价的，则其投标文件将按无效投标文件处理</w:t>
      </w:r>
      <w:r>
        <w:rPr>
          <w:rFonts w:hint="eastAsia" w:ascii="宋体" w:hAnsi="宋体" w:eastAsia="宋体"/>
          <w:b/>
          <w:color w:val="000000" w:themeColor="text1"/>
          <w:sz w:val="28"/>
          <w:szCs w:val="28"/>
          <w14:textFill>
            <w14:solidFill>
              <w14:schemeClr w14:val="tx1"/>
            </w14:solidFill>
          </w14:textFill>
        </w:rPr>
        <w:t>。</w:t>
      </w:r>
    </w:p>
    <w:p>
      <w:pPr>
        <w:pStyle w:val="3"/>
        <w:numPr>
          <w:ilvl w:val="0"/>
          <w:numId w:val="0"/>
        </w:numPr>
        <w:tabs>
          <w:tab w:val="left" w:pos="0"/>
          <w:tab w:val="left" w:pos="426"/>
          <w:tab w:val="left" w:pos="576"/>
          <w:tab w:val="left" w:pos="786"/>
        </w:tabs>
        <w:spacing w:before="0" w:after="0" w:line="560" w:lineRule="exact"/>
        <w:jc w:val="both"/>
        <w:rPr>
          <w:color w:val="000000" w:themeColor="text1"/>
          <w14:textFill>
            <w14:solidFill>
              <w14:schemeClr w14:val="tx1"/>
            </w14:solidFill>
          </w14:textFill>
        </w:rPr>
      </w:pPr>
      <w:bookmarkStart w:id="157" w:name="_Toc76541364"/>
      <w:r>
        <w:rPr>
          <w:rFonts w:hint="eastAsia"/>
          <w:color w:val="000000" w:themeColor="text1"/>
          <w14:textFill>
            <w14:solidFill>
              <w14:schemeClr w14:val="tx1"/>
            </w14:solidFill>
          </w14:textFill>
        </w:rPr>
        <w:t>4</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其他要求</w:t>
      </w:r>
      <w:bookmarkEnd w:id="157"/>
    </w:p>
    <w:p>
      <w:pPr>
        <w:pStyle w:val="119"/>
        <w:numPr>
          <w:ilvl w:val="0"/>
          <w:numId w:val="38"/>
        </w:numPr>
        <w:tabs>
          <w:tab w:val="left" w:pos="1134"/>
        </w:tabs>
        <w:spacing w:before="156" w:line="360" w:lineRule="auto"/>
        <w:ind w:left="0" w:right="210" w:firstLine="562"/>
        <w:jc w:val="both"/>
        <w:rPr>
          <w:b/>
          <w:color w:val="000000" w:themeColor="text1"/>
          <w:sz w:val="28"/>
          <w:szCs w:val="28"/>
          <w:lang w:val="zh-CN"/>
          <w14:textFill>
            <w14:solidFill>
              <w14:schemeClr w14:val="tx1"/>
            </w14:solidFill>
          </w14:textFill>
        </w:rPr>
      </w:pPr>
      <w:r>
        <w:rPr>
          <w:rFonts w:hint="eastAsia"/>
          <w:b/>
          <w:color w:val="000000" w:themeColor="text1"/>
          <w:sz w:val="28"/>
          <w:szCs w:val="28"/>
          <w:lang w:val="zh-CN"/>
          <w14:textFill>
            <w14:solidFill>
              <w14:schemeClr w14:val="tx1"/>
            </w14:solidFill>
          </w14:textFill>
        </w:rPr>
        <w:t>★在评标过程中，评标委员会认为投标人投标报价明显低于其他通过符合性审查投标人的投标报价，有可能影响产品质量或者不能诚信履约的，评标委员会应当要求其在评标现场合理的时间内提供书面说明，必要时提交相关证明材料。投标人提交的书面说明、相关证明材料（如涉及），应当加盖投标人（法定名称）电子签章，在评标委员会要求的时间内通过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p>
      <w:pPr>
        <w:pStyle w:val="119"/>
        <w:numPr>
          <w:ilvl w:val="0"/>
          <w:numId w:val="38"/>
        </w:numPr>
        <w:tabs>
          <w:tab w:val="left" w:pos="1134"/>
        </w:tabs>
        <w:spacing w:before="156" w:line="360" w:lineRule="auto"/>
        <w:ind w:left="0" w:right="210" w:firstLine="562"/>
        <w:jc w:val="both"/>
        <w:rPr>
          <w:rFonts w:asciiTheme="minorEastAsia" w:hAnsiTheme="minorEastAsia" w:eastAsiaTheme="minorEastAsia"/>
          <w:b/>
          <w:color w:val="000000" w:themeColor="text1"/>
          <w:sz w:val="28"/>
          <w:szCs w:val="28"/>
          <w:lang w:val="zh-CN"/>
          <w14:textFill>
            <w14:solidFill>
              <w14:schemeClr w14:val="tx1"/>
            </w14:solidFill>
          </w14:textFill>
        </w:rPr>
      </w:pPr>
      <w:r>
        <w:rPr>
          <w:rFonts w:hint="eastAsia" w:asciiTheme="minorEastAsia" w:hAnsiTheme="minorEastAsia" w:eastAsiaTheme="minorEastAsia"/>
          <w:b/>
          <w:color w:val="000000" w:themeColor="text1"/>
          <w:sz w:val="28"/>
          <w:szCs w:val="28"/>
          <w:lang w:val="zh-CN"/>
          <w14:textFill>
            <w14:solidFill>
              <w14:schemeClr w14:val="tx1"/>
            </w14:solidFill>
          </w14:textFill>
        </w:rPr>
        <w:t>★投标人</w:t>
      </w:r>
      <w:r>
        <w:rPr>
          <w:rFonts w:asciiTheme="minorEastAsia" w:hAnsiTheme="minorEastAsia" w:eastAsiaTheme="minorEastAsia"/>
          <w:b/>
          <w:color w:val="000000" w:themeColor="text1"/>
          <w:sz w:val="28"/>
          <w:szCs w:val="28"/>
          <w:lang w:val="zh-CN"/>
          <w14:textFill>
            <w14:solidFill>
              <w14:schemeClr w14:val="tx1"/>
            </w14:solidFill>
          </w14:textFill>
        </w:rPr>
        <w:t>为</w:t>
      </w:r>
      <w:r>
        <w:rPr>
          <w:rFonts w:hint="eastAsia" w:asciiTheme="minorEastAsia" w:hAnsiTheme="minorEastAsia" w:eastAsiaTheme="minorEastAsia"/>
          <w:b/>
          <w:color w:val="000000" w:themeColor="text1"/>
          <w:sz w:val="28"/>
          <w:szCs w:val="28"/>
          <w:lang w:val="zh-CN"/>
          <w14:textFill>
            <w14:solidFill>
              <w14:schemeClr w14:val="tx1"/>
            </w14:solidFill>
          </w14:textFill>
        </w:rPr>
        <w:t>本</w:t>
      </w:r>
      <w:r>
        <w:rPr>
          <w:rFonts w:asciiTheme="minorEastAsia" w:hAnsiTheme="minorEastAsia" w:eastAsiaTheme="minorEastAsia"/>
          <w:b/>
          <w:color w:val="000000" w:themeColor="text1"/>
          <w:sz w:val="28"/>
          <w:szCs w:val="28"/>
          <w:lang w:val="zh-CN"/>
          <w14:textFill>
            <w14:solidFill>
              <w14:schemeClr w14:val="tx1"/>
            </w14:solidFill>
          </w14:textFill>
        </w:rPr>
        <w:t>项目提供的所有产品、辅材中属于《国家强制性产品认证目录》范围内产品的，均通过国家强制性产品认证并取得认证证书。（说明：投标人应按招标文件</w:t>
      </w:r>
      <w:r>
        <w:rPr>
          <w:rFonts w:ascii="Times New Roman" w:hAnsi="Times New Roman" w:cs="Times New Roman" w:eastAsiaTheme="minorEastAsia"/>
          <w:b/>
          <w:color w:val="000000" w:themeColor="text1"/>
          <w:sz w:val="28"/>
          <w:szCs w:val="28"/>
          <w:lang w:val="zh-CN"/>
          <w14:textFill>
            <w14:solidFill>
              <w14:schemeClr w14:val="tx1"/>
            </w14:solidFill>
          </w14:textFill>
        </w:rPr>
        <w:t>3.3.6</w:t>
      </w:r>
      <w:r>
        <w:rPr>
          <w:rFonts w:asciiTheme="minorEastAsia" w:hAnsiTheme="minorEastAsia" w:eastAsiaTheme="minorEastAsia"/>
          <w:b/>
          <w:color w:val="000000" w:themeColor="text1"/>
          <w:sz w:val="28"/>
          <w:szCs w:val="28"/>
          <w:lang w:val="zh-CN"/>
          <w14:textFill>
            <w14:solidFill>
              <w14:schemeClr w14:val="tx1"/>
            </w14:solidFill>
          </w14:textFill>
        </w:rPr>
        <w:t>承诺函的格式及要求提供承诺函。）</w:t>
      </w:r>
    </w:p>
    <w:p>
      <w:pPr>
        <w:pStyle w:val="119"/>
        <w:numPr>
          <w:ilvl w:val="0"/>
          <w:numId w:val="38"/>
        </w:numPr>
        <w:tabs>
          <w:tab w:val="left" w:pos="1134"/>
        </w:tabs>
        <w:spacing w:before="156" w:line="360" w:lineRule="auto"/>
        <w:ind w:left="0" w:right="210" w:firstLine="562"/>
        <w:jc w:val="both"/>
        <w:rPr>
          <w:rFonts w:asciiTheme="minorEastAsia" w:hAnsiTheme="minorEastAsia" w:eastAsiaTheme="minorEastAsia"/>
          <w:b/>
          <w:color w:val="000000" w:themeColor="text1"/>
          <w:sz w:val="28"/>
          <w:szCs w:val="28"/>
          <w:lang w:val="zh-CN"/>
          <w14:textFill>
            <w14:solidFill>
              <w14:schemeClr w14:val="tx1"/>
            </w14:solidFill>
          </w14:textFill>
        </w:rPr>
      </w:pPr>
      <w:r>
        <w:rPr>
          <w:rFonts w:hint="eastAsia" w:asciiTheme="minorEastAsia" w:hAnsiTheme="minorEastAsia" w:eastAsiaTheme="minorEastAsia"/>
          <w:b/>
          <w:color w:val="000000" w:themeColor="text1"/>
          <w:sz w:val="28"/>
          <w:szCs w:val="28"/>
          <w:lang w:val="zh-CN"/>
          <w14:textFill>
            <w14:solidFill>
              <w14:schemeClr w14:val="tx1"/>
            </w14:solidFill>
          </w14:textFill>
        </w:rPr>
        <w:t>★投标人</w:t>
      </w:r>
      <w:r>
        <w:rPr>
          <w:rFonts w:asciiTheme="minorEastAsia" w:hAnsiTheme="minorEastAsia" w:eastAsiaTheme="minorEastAsia"/>
          <w:b/>
          <w:color w:val="000000" w:themeColor="text1"/>
          <w:sz w:val="28"/>
          <w:szCs w:val="28"/>
          <w:lang w:val="zh-CN"/>
          <w14:textFill>
            <w14:solidFill>
              <w14:schemeClr w14:val="tx1"/>
            </w14:solidFill>
          </w14:textFill>
        </w:rPr>
        <w:t>为</w:t>
      </w:r>
      <w:r>
        <w:rPr>
          <w:rFonts w:hint="eastAsia" w:asciiTheme="minorEastAsia" w:hAnsiTheme="minorEastAsia" w:eastAsiaTheme="minorEastAsia"/>
          <w:b/>
          <w:color w:val="000000" w:themeColor="text1"/>
          <w:sz w:val="28"/>
          <w:szCs w:val="28"/>
          <w:lang w:val="zh-CN"/>
          <w14:textFill>
            <w14:solidFill>
              <w14:schemeClr w14:val="tx1"/>
            </w14:solidFill>
          </w14:textFill>
        </w:rPr>
        <w:t>本</w:t>
      </w:r>
      <w:r>
        <w:rPr>
          <w:rFonts w:asciiTheme="minorEastAsia" w:hAnsiTheme="minorEastAsia" w:eastAsiaTheme="minorEastAsia"/>
          <w:b/>
          <w:color w:val="000000" w:themeColor="text1"/>
          <w:sz w:val="28"/>
          <w:szCs w:val="28"/>
          <w:lang w:val="zh-CN"/>
          <w14:textFill>
            <w14:solidFill>
              <w14:schemeClr w14:val="tx1"/>
            </w14:solidFill>
          </w14:textFill>
        </w:rPr>
        <w:t>项目提供的所有产品、辅材</w:t>
      </w:r>
      <w:r>
        <w:rPr>
          <w:rFonts w:hint="eastAsia" w:asciiTheme="minorEastAsia" w:hAnsiTheme="minorEastAsia" w:eastAsiaTheme="minorEastAsia"/>
          <w:b/>
          <w:color w:val="000000" w:themeColor="text1"/>
          <w:sz w:val="28"/>
          <w:szCs w:val="28"/>
          <w:lang w:val="zh-CN"/>
          <w14:textFill>
            <w14:solidFill>
              <w14:schemeClr w14:val="tx1"/>
            </w14:solidFill>
          </w14:textFill>
        </w:rPr>
        <w:t>符合现行的强制性国家相关标准、行业标准。</w:t>
      </w:r>
      <w:r>
        <w:rPr>
          <w:rFonts w:asciiTheme="minorEastAsia" w:hAnsiTheme="minorEastAsia" w:eastAsiaTheme="minorEastAsia"/>
          <w:b/>
          <w:color w:val="000000" w:themeColor="text1"/>
          <w:sz w:val="28"/>
          <w:szCs w:val="28"/>
          <w:lang w:val="zh-CN"/>
          <w14:textFill>
            <w14:solidFill>
              <w14:schemeClr w14:val="tx1"/>
            </w14:solidFill>
          </w14:textFill>
        </w:rPr>
        <w:t>（说明：投标人应按招标文件</w:t>
      </w:r>
      <w:r>
        <w:rPr>
          <w:rFonts w:ascii="Times New Roman" w:hAnsi="Times New Roman" w:cs="Times New Roman" w:eastAsiaTheme="minorEastAsia"/>
          <w:b/>
          <w:color w:val="000000" w:themeColor="text1"/>
          <w:sz w:val="28"/>
          <w:szCs w:val="28"/>
          <w:lang w:val="zh-CN"/>
          <w14:textFill>
            <w14:solidFill>
              <w14:schemeClr w14:val="tx1"/>
            </w14:solidFill>
          </w14:textFill>
        </w:rPr>
        <w:t>3.3.6</w:t>
      </w:r>
      <w:r>
        <w:rPr>
          <w:rFonts w:asciiTheme="minorEastAsia" w:hAnsiTheme="minorEastAsia" w:eastAsiaTheme="minorEastAsia"/>
          <w:b/>
          <w:color w:val="000000" w:themeColor="text1"/>
          <w:sz w:val="28"/>
          <w:szCs w:val="28"/>
          <w:lang w:val="zh-CN"/>
          <w14:textFill>
            <w14:solidFill>
              <w14:schemeClr w14:val="tx1"/>
            </w14:solidFill>
          </w14:textFill>
        </w:rPr>
        <w:t>承诺函的格式及要求提供承诺函。）</w:t>
      </w:r>
    </w:p>
    <w:p>
      <w:pPr>
        <w:pStyle w:val="119"/>
        <w:numPr>
          <w:ilvl w:val="0"/>
          <w:numId w:val="38"/>
        </w:numPr>
        <w:tabs>
          <w:tab w:val="left" w:pos="1134"/>
        </w:tabs>
        <w:spacing w:before="156" w:line="360" w:lineRule="auto"/>
        <w:ind w:left="0" w:right="210" w:firstLine="562"/>
        <w:jc w:val="both"/>
        <w:rPr>
          <w:rFonts w:asciiTheme="minorEastAsia" w:hAnsiTheme="minorEastAsia" w:eastAsiaTheme="minorEastAsia"/>
          <w:b/>
          <w:color w:val="000000" w:themeColor="text1"/>
          <w:sz w:val="28"/>
          <w:szCs w:val="28"/>
          <w:lang w:val="zh-CN"/>
          <w14:textFill>
            <w14:solidFill>
              <w14:schemeClr w14:val="tx1"/>
            </w14:solidFill>
          </w14:textFill>
        </w:rPr>
      </w:pPr>
      <w:r>
        <w:rPr>
          <w:rFonts w:hint="eastAsia" w:asciiTheme="minorEastAsia" w:hAnsiTheme="minorEastAsia"/>
          <w:b/>
          <w:color w:val="000000" w:themeColor="text1"/>
          <w:sz w:val="28"/>
          <w:szCs w:val="28"/>
          <w:lang w:val="zh-CN"/>
          <w14:textFill>
            <w14:solidFill>
              <w14:schemeClr w14:val="tx1"/>
            </w14:solidFill>
          </w14:textFill>
        </w:rPr>
        <w:t>★投标人为本项目提供的所有产品中属于节能产品政府采购品目清单中的政府强制采购产品的，均应具有国家确定的认证机构出具的有效期内的节能产品认证证书。</w:t>
      </w:r>
      <w:r>
        <w:rPr>
          <w:rFonts w:asciiTheme="minorEastAsia" w:hAnsiTheme="minorEastAsia"/>
          <w:b/>
          <w:color w:val="000000" w:themeColor="text1"/>
          <w:sz w:val="28"/>
          <w:szCs w:val="28"/>
          <w:lang w:val="zh-CN"/>
          <w14:textFill>
            <w14:solidFill>
              <w14:schemeClr w14:val="tx1"/>
            </w14:solidFill>
          </w14:textFill>
        </w:rPr>
        <w:t>（说明：投标人应按招标文件</w:t>
      </w:r>
      <w:r>
        <w:rPr>
          <w:rFonts w:ascii="Times New Roman" w:hAnsi="Times New Roman" w:cs="Times New Roman"/>
          <w:b/>
          <w:color w:val="000000" w:themeColor="text1"/>
          <w:sz w:val="28"/>
          <w:szCs w:val="28"/>
          <w:lang w:val="zh-CN"/>
          <w14:textFill>
            <w14:solidFill>
              <w14:schemeClr w14:val="tx1"/>
            </w14:solidFill>
          </w14:textFill>
        </w:rPr>
        <w:t>3.3.6</w:t>
      </w:r>
      <w:r>
        <w:rPr>
          <w:rFonts w:asciiTheme="minorEastAsia" w:hAnsiTheme="minorEastAsia"/>
          <w:b/>
          <w:color w:val="000000" w:themeColor="text1"/>
          <w:sz w:val="28"/>
          <w:szCs w:val="28"/>
          <w:lang w:val="zh-CN"/>
          <w14:textFill>
            <w14:solidFill>
              <w14:schemeClr w14:val="tx1"/>
            </w14:solidFill>
          </w14:textFill>
        </w:rPr>
        <w:t>承诺函的格式及要求提供承诺函。</w:t>
      </w:r>
    </w:p>
    <w:p>
      <w:pPr>
        <w:tabs>
          <w:tab w:val="left" w:pos="993"/>
          <w:tab w:val="left" w:pos="1134"/>
        </w:tabs>
        <w:spacing w:before="78" w:line="560" w:lineRule="exact"/>
        <w:rPr>
          <w:rFonts w:asciiTheme="minorEastAsia" w:hAnsiTheme="minorEastAsia"/>
          <w:b/>
          <w:color w:val="000000" w:themeColor="text1"/>
          <w:sz w:val="28"/>
          <w:szCs w:val="28"/>
          <w:lang w:val="zh-CN"/>
          <w14:textFill>
            <w14:solidFill>
              <w14:schemeClr w14:val="tx1"/>
            </w14:solidFill>
          </w14:textFill>
        </w:rPr>
      </w:pPr>
    </w:p>
    <w:p>
      <w:pPr>
        <w:tabs>
          <w:tab w:val="left" w:pos="993"/>
          <w:tab w:val="left" w:pos="1134"/>
        </w:tabs>
        <w:spacing w:before="78" w:line="560" w:lineRule="exact"/>
        <w:rPr>
          <w:rFonts w:asciiTheme="minorEastAsia" w:hAnsiTheme="minorEastAsia"/>
          <w:b/>
          <w:color w:val="000000" w:themeColor="text1"/>
          <w:sz w:val="28"/>
          <w:szCs w:val="28"/>
          <w:lang w:val="zh-CN"/>
          <w14:textFill>
            <w14:solidFill>
              <w14:schemeClr w14:val="tx1"/>
            </w14:solidFill>
          </w14:textFill>
        </w:rPr>
      </w:pPr>
    </w:p>
    <w:bookmarkEnd w:id="155"/>
    <w:bookmarkEnd w:id="156"/>
    <w:p>
      <w:pPr>
        <w:keepNext/>
        <w:keepLines/>
        <w:numPr>
          <w:ilvl w:val="0"/>
          <w:numId w:val="1"/>
        </w:numPr>
        <w:spacing w:before="340" w:after="330" w:line="400" w:lineRule="exact"/>
        <w:jc w:val="center"/>
        <w:outlineLvl w:val="0"/>
        <w:rPr>
          <w:rFonts w:ascii="宋体" w:hAnsi="宋体"/>
          <w:b/>
          <w:bCs/>
          <w:color w:val="000000" w:themeColor="text1"/>
          <w:spacing w:val="-20"/>
          <w:kern w:val="44"/>
          <w:sz w:val="32"/>
          <w:szCs w:val="32"/>
          <w14:textFill>
            <w14:solidFill>
              <w14:schemeClr w14:val="tx1"/>
            </w14:solidFill>
          </w14:textFill>
        </w:rPr>
      </w:pPr>
      <w:bookmarkStart w:id="158" w:name="_Toc76541365"/>
      <w:r>
        <w:rPr>
          <w:rFonts w:hint="eastAsia" w:ascii="宋体" w:hAnsi="宋体"/>
          <w:b/>
          <w:bCs/>
          <w:color w:val="000000" w:themeColor="text1"/>
          <w:spacing w:val="-20"/>
          <w:kern w:val="44"/>
          <w:sz w:val="32"/>
          <w:szCs w:val="32"/>
          <w14:textFill>
            <w14:solidFill>
              <w14:schemeClr w14:val="tx1"/>
            </w14:solidFill>
          </w14:textFill>
        </w:rPr>
        <w:t>资格性审查</w:t>
      </w:r>
      <w:bookmarkEnd w:id="158"/>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资格性审查由采购人组建的资格审查小组依据法律法规和招标文件的规定，对投标文件中的资格证明等进行审查，以确定投标人是否具备投标资格，并出具资格性审查报告。</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资格性审查时因断电、断网、系统故障或其他不可抗力等因素，导致资格审查小组无法通过系统阅读投标文件进行审查的，待系统恢复后继续审查。出现上述情况时，成都市青羊区政府采购服务中心将以电子邮件形式通知各投标人。资格性审查标准见下表：</w:t>
      </w:r>
    </w:p>
    <w:tbl>
      <w:tblPr>
        <w:tblStyle w:val="43"/>
        <w:tblW w:w="83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426"/>
        <w:gridCol w:w="1623"/>
        <w:gridCol w:w="5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734" w:type="dxa"/>
            <w:gridSpan w:val="3"/>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b/>
                <w:color w:val="000000" w:themeColor="text1"/>
                <w:sz w:val="20"/>
                <w14:textFill>
                  <w14:solidFill>
                    <w14:schemeClr w14:val="tx1"/>
                  </w14:solidFill>
                </w14:textFill>
              </w:rPr>
            </w:pPr>
            <w:r>
              <w:rPr>
                <w:rFonts w:hint="eastAsia"/>
                <w:b/>
                <w:color w:val="000000" w:themeColor="text1"/>
                <w:sz w:val="20"/>
                <w14:textFill>
                  <w14:solidFill>
                    <w14:schemeClr w14:val="tx1"/>
                  </w14:solidFill>
                </w14:textFill>
              </w:rPr>
              <w:t>资格性审查项</w:t>
            </w:r>
          </w:p>
        </w:tc>
        <w:tc>
          <w:tcPr>
            <w:tcW w:w="5566"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color w:val="000000" w:themeColor="text1"/>
                <w:sz w:val="20"/>
                <w14:textFill>
                  <w14:solidFill>
                    <w14:schemeClr w14:val="tx1"/>
                  </w14:solidFill>
                </w14:textFill>
              </w:rPr>
            </w:pPr>
            <w:r>
              <w:rPr>
                <w:rFonts w:hint="eastAsia"/>
                <w:b/>
                <w:color w:val="000000" w:themeColor="text1"/>
                <w:sz w:val="20"/>
                <w14:textFill>
                  <w14:solidFill>
                    <w14:schemeClr w14:val="tx1"/>
                  </w14:solidFill>
                </w14:textFill>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tcBorders>
              <w:top w:val="single" w:color="auto" w:sz="2" w:space="0"/>
              <w:left w:val="single" w:color="auto" w:sz="2" w:space="0"/>
              <w:right w:val="single" w:color="auto" w:sz="2" w:space="0"/>
            </w:tcBorders>
            <w:vAlign w:val="center"/>
          </w:tcPr>
          <w:p>
            <w:pPr>
              <w:tabs>
                <w:tab w:val="left" w:pos="851"/>
              </w:tabs>
              <w:spacing w:line="360" w:lineRule="auto"/>
              <w:jc w:val="center"/>
              <w:rPr>
                <w:color w:val="000000" w:themeColor="text1"/>
                <w:sz w:val="20"/>
                <w14:textFill>
                  <w14:solidFill>
                    <w14:schemeClr w14:val="tx1"/>
                  </w14:solidFill>
                </w14:textFill>
              </w:rPr>
            </w:pPr>
            <w:r>
              <w:rPr>
                <w:color w:val="000000" w:themeColor="text1"/>
                <w:sz w:val="20"/>
                <w14:textFill>
                  <w14:solidFill>
                    <w14:schemeClr w14:val="tx1"/>
                  </w14:solidFill>
                </w14:textFill>
              </w:rPr>
              <w:t>1</w:t>
            </w:r>
          </w:p>
        </w:tc>
        <w:tc>
          <w:tcPr>
            <w:tcW w:w="2049" w:type="dxa"/>
            <w:gridSpan w:val="2"/>
            <w:tcBorders>
              <w:top w:val="single" w:color="auto" w:sz="2" w:space="0"/>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在中华人民共和国境内依法登记注册，并有效存续具有独立法人资格的供应商</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营业执照复印件（正本或副本）或法人证书复印件（正本或副本）。【说明：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营业执照或法人证书载明有期限的，应在有效期限内；</w:t>
            </w:r>
            <w:r>
              <w:rPr>
                <w:rFonts w:hint="eastAsia" w:ascii="宋体" w:hAnsi="宋体"/>
                <w:color w:val="000000" w:themeColor="text1"/>
                <w:sz w:val="20"/>
                <w:szCs w:val="28"/>
                <w14:textFill>
                  <w14:solidFill>
                    <w14:schemeClr w14:val="tx1"/>
                  </w14:solidFill>
                </w14:textFill>
              </w:rPr>
              <w:t>②</w:t>
            </w:r>
            <w:r>
              <w:rPr>
                <w:rFonts w:hint="eastAsia"/>
                <w:color w:val="000000" w:themeColor="text1"/>
                <w:sz w:val="20"/>
                <w14:textFill>
                  <w14:solidFill>
                    <w14:schemeClr w14:val="tx1"/>
                  </w14:solidFill>
                </w14:textFill>
              </w:rPr>
              <w:t>在中华人民共和国境内注册，具有独立法人资格。】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restart"/>
            <w:tcBorders>
              <w:top w:val="single" w:color="auto" w:sz="2" w:space="0"/>
              <w:left w:val="single" w:color="auto" w:sz="2" w:space="0"/>
              <w:right w:val="single" w:color="auto" w:sz="2" w:space="0"/>
            </w:tcBorders>
            <w:vAlign w:val="center"/>
          </w:tcPr>
          <w:p>
            <w:pPr>
              <w:tabs>
                <w:tab w:val="left" w:pos="851"/>
              </w:tabs>
              <w:spacing w:line="360" w:lineRule="auto"/>
              <w:jc w:val="center"/>
              <w:rPr>
                <w:color w:val="000000" w:themeColor="text1"/>
                <w:sz w:val="20"/>
                <w14:textFill>
                  <w14:solidFill>
                    <w14:schemeClr w14:val="tx1"/>
                  </w14:solidFill>
                </w14:textFill>
              </w:rPr>
            </w:pPr>
            <w:r>
              <w:rPr>
                <w:color w:val="000000" w:themeColor="text1"/>
                <w:sz w:val="20"/>
                <w14:textFill>
                  <w14:solidFill>
                    <w14:schemeClr w14:val="tx1"/>
                  </w14:solidFill>
                </w14:textFill>
              </w:rPr>
              <w:t>2</w:t>
            </w:r>
          </w:p>
        </w:tc>
        <w:tc>
          <w:tcPr>
            <w:tcW w:w="426"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书面声明材料</w:t>
            </w:r>
          </w:p>
        </w:tc>
        <w:tc>
          <w:tcPr>
            <w:tcW w:w="16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具有良好的商业信誉的证明材料</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投标人具有良好的商业信誉的书面声明材料。【说明：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按招标文件</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.2.2声明的内容提供书面声明材料</w:t>
            </w:r>
            <w:r>
              <w:rPr>
                <w:rFonts w:hint="eastAsia" w:ascii="宋体" w:hAnsi="宋体"/>
                <w:color w:val="000000" w:themeColor="text1"/>
                <w:sz w:val="20"/>
                <w:szCs w:val="28"/>
                <w14:textFill>
                  <w14:solidFill>
                    <w14:schemeClr w14:val="tx1"/>
                  </w14:solidFill>
                </w14:textFill>
              </w:rPr>
              <w:t>；②供应商具有良好的商业信誉</w:t>
            </w:r>
            <w:r>
              <w:rPr>
                <w:rFonts w:hint="eastAsia"/>
                <w:color w:val="000000" w:themeColor="text1"/>
                <w:sz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426"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16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参加政府采购活动前三年内，在经营活动中没有重大违法记录</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1.</w:t>
            </w:r>
            <w:r>
              <w:rPr>
                <w:rFonts w:hint="eastAsia"/>
                <w:color w:val="000000" w:themeColor="text1"/>
                <w:sz w:val="20"/>
                <w14:textFill>
                  <w14:solidFill>
                    <w14:schemeClr w14:val="tx1"/>
                  </w14:solidFill>
                </w14:textFill>
              </w:rPr>
              <w:t>投标人参加政府采购活动前三年内，在经营活动中没有重大违法记录的书面声明材料。【说明：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按招标文件</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.2.2声明的内容提供书面声明材料；</w:t>
            </w:r>
            <w:r>
              <w:rPr>
                <w:rFonts w:hint="eastAsia" w:ascii="宋体" w:hAnsi="宋体"/>
                <w:color w:val="000000" w:themeColor="text1"/>
                <w:sz w:val="20"/>
                <w:szCs w:val="28"/>
                <w14:textFill>
                  <w14:solidFill>
                    <w14:schemeClr w14:val="tx1"/>
                  </w14:solidFill>
                </w14:textFill>
              </w:rPr>
              <w:t>②供应商参加政府采购活动前三年内，在经营活动中没有重大违法记录</w:t>
            </w:r>
            <w:r>
              <w:rPr>
                <w:rFonts w:hint="eastAsia"/>
                <w:color w:val="000000" w:themeColor="text1"/>
                <w:sz w:val="20"/>
                <w14:textFill>
                  <w14:solidFill>
                    <w14:schemeClr w14:val="tx1"/>
                  </w14:solidFill>
                </w14:textFill>
              </w:rPr>
              <w:t>。】</w:t>
            </w:r>
          </w:p>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 xml:space="preserve">2. </w:t>
            </w:r>
            <w:r>
              <w:rPr>
                <w:rFonts w:hint="eastAsia"/>
                <w:color w:val="000000" w:themeColor="text1"/>
                <w:sz w:val="20"/>
                <w14:textFill>
                  <w14:solidFill>
                    <w14:schemeClr w14:val="tx1"/>
                  </w14:solidFill>
                </w14:textFill>
              </w:rPr>
              <w:t>资格审查小组根据</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信用中国</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和</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中国政府采购网</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网站的查询结果，在资格审查期间对投标人在参加政府采购活动前三年内，在经营活动中是否有重大违法记录进行审查。【说明：投标人参加政府采购活动前三年内，在经营活动中没有重大违法记录。】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426"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16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未被列入失信被执行人、重大税收违法案件当事人名单、政府采购严重违法失信行为记录名单</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1.</w:t>
            </w:r>
            <w:r>
              <w:rPr>
                <w:rFonts w:hint="eastAsia"/>
                <w:color w:val="000000" w:themeColor="text1"/>
                <w:sz w:val="20"/>
                <w14:textFill>
                  <w14:solidFill>
                    <w14:schemeClr w14:val="tx1"/>
                  </w14:solidFill>
                </w14:textFill>
              </w:rPr>
              <w:t>投标人未列入失信被执行人、重大税收违法案件当事人名单、政府采购严重违法失信行为记录名单的书面声明材料。【说明：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投标人未列入失信被执行人、重大税收违法案件当事人名单、政府采购严重违法失信行为记录名单；</w:t>
            </w:r>
            <w:r>
              <w:rPr>
                <w:rFonts w:hint="eastAsia" w:ascii="宋体" w:hAnsi="宋体"/>
                <w:color w:val="000000" w:themeColor="text1"/>
                <w:sz w:val="20"/>
                <w:szCs w:val="28"/>
                <w14:textFill>
                  <w14:solidFill>
                    <w14:schemeClr w14:val="tx1"/>
                  </w14:solidFill>
                </w14:textFill>
              </w:rPr>
              <w:t>②</w:t>
            </w:r>
            <w:r>
              <w:rPr>
                <w:rFonts w:hint="eastAsia"/>
                <w:color w:val="000000" w:themeColor="text1"/>
                <w:sz w:val="20"/>
                <w14:textFill>
                  <w14:solidFill>
                    <w14:schemeClr w14:val="tx1"/>
                  </w14:solidFill>
                </w14:textFill>
              </w:rPr>
              <w:t>按招标文件</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.2.2声明内容提供书面声明材料。】</w:t>
            </w:r>
          </w:p>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 xml:space="preserve">2. </w:t>
            </w:r>
            <w:r>
              <w:rPr>
                <w:rFonts w:hint="eastAsia"/>
                <w:color w:val="000000" w:themeColor="text1"/>
                <w:sz w:val="20"/>
                <w14:textFill>
                  <w14:solidFill>
                    <w14:schemeClr w14:val="tx1"/>
                  </w14:solidFill>
                </w14:textFill>
              </w:rPr>
              <w:t>资格审查小组根据</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信用中国</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和</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中国政府采购网</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网站的查询结果，在资格审查期间对投标人在参加政府采购活动前三年内，在经营活动中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426"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16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未处于被行政部门禁止参与政府采购活动的期限内</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投标人未处于被行政部门禁止参与政府采购活动的期限内。【说明：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按招标文件</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.2.2声明内容提供书面声明材料</w:t>
            </w:r>
            <w:r>
              <w:rPr>
                <w:rFonts w:hint="eastAsia" w:ascii="宋体" w:hAnsi="宋体"/>
                <w:color w:val="000000" w:themeColor="text1"/>
                <w:sz w:val="20"/>
                <w:szCs w:val="28"/>
                <w14:textFill>
                  <w14:solidFill>
                    <w14:schemeClr w14:val="tx1"/>
                  </w14:solidFill>
                </w14:textFill>
              </w:rPr>
              <w:t>；②供应商未处于被行政部门禁止参与政府采购活动的期限内。</w:t>
            </w:r>
            <w:r>
              <w:rPr>
                <w:rFonts w:hint="eastAsia"/>
                <w:color w:val="000000" w:themeColor="text1"/>
                <w:sz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426"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16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行贿犯罪记录</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在行贿犯罪信息查询期限内，投标人及其现任法定代表人、主要负责人没有行贿犯罪记录的书面声明材料。【说明：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按招标文件</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.2.2声明内容提供书面声明材料，投标文件中不需提供中国裁判文书网（</w:t>
            </w:r>
            <w:r>
              <w:rPr>
                <w:color w:val="000000" w:themeColor="text1"/>
                <w:sz w:val="20"/>
                <w14:textFill>
                  <w14:solidFill>
                    <w14:schemeClr w14:val="tx1"/>
                  </w14:solidFill>
                </w14:textFill>
              </w:rPr>
              <w:t>https://wenshu.court.gov.cn</w:t>
            </w:r>
            <w:r>
              <w:rPr>
                <w:rFonts w:hint="eastAsia"/>
                <w:color w:val="000000" w:themeColor="text1"/>
                <w:sz w:val="20"/>
                <w14:textFill>
                  <w14:solidFill>
                    <w14:schemeClr w14:val="tx1"/>
                  </w14:solidFill>
                </w14:textFill>
              </w:rPr>
              <w:t>）查询结果的证明材料；</w:t>
            </w:r>
            <w:r>
              <w:rPr>
                <w:rFonts w:hint="eastAsia" w:ascii="宋体" w:hAnsi="宋体"/>
                <w:color w:val="000000" w:themeColor="text1"/>
                <w:sz w:val="20"/>
                <w:szCs w:val="28"/>
                <w14:textFill>
                  <w14:solidFill>
                    <w14:schemeClr w14:val="tx1"/>
                  </w14:solidFill>
                </w14:textFill>
              </w:rPr>
              <w:t>②在行贿犯罪信息查询期限内，供应商及其现任法定代表人、主要负责人没有行贿犯罪记录</w:t>
            </w:r>
            <w:r>
              <w:rPr>
                <w:rFonts w:hint="eastAsia"/>
                <w:color w:val="000000" w:themeColor="text1"/>
                <w:sz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426"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16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单位负责人为同一人或者存在直接控股、管理关系的不同供应商，不得参加同一项目的投标</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与投标人负责人为同一人或者存在直接控股、管理关系的相关供应商的书面声明材料。【说明：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按招标文件</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.2.2声明内容提供书面声明材料</w:t>
            </w:r>
            <w:r>
              <w:rPr>
                <w:rFonts w:hint="eastAsia" w:ascii="宋体" w:hAnsi="宋体"/>
                <w:color w:val="000000" w:themeColor="text1"/>
                <w:sz w:val="20"/>
                <w:szCs w:val="28"/>
                <w14:textFill>
                  <w14:solidFill>
                    <w14:schemeClr w14:val="tx1"/>
                  </w14:solidFill>
                </w14:textFill>
              </w:rPr>
              <w:t>；②参加投标的供应商中无与投标人的负责人为同一人或者存在直接控股、管理关系的供应商。</w:t>
            </w:r>
            <w:r>
              <w:rPr>
                <w:rFonts w:hint="eastAsia"/>
                <w:color w:val="000000" w:themeColor="text1"/>
                <w:sz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restart"/>
            <w:tcBorders>
              <w:left w:val="single" w:color="auto" w:sz="2" w:space="0"/>
              <w:right w:val="single" w:color="auto" w:sz="2" w:space="0"/>
            </w:tcBorders>
            <w:vAlign w:val="center"/>
          </w:tcPr>
          <w:p>
            <w:pPr>
              <w:tabs>
                <w:tab w:val="left" w:pos="851"/>
              </w:tabs>
              <w:spacing w:line="360" w:lineRule="auto"/>
              <w:jc w:val="center"/>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3</w:t>
            </w:r>
          </w:p>
        </w:tc>
        <w:tc>
          <w:tcPr>
            <w:tcW w:w="426" w:type="dxa"/>
            <w:vMerge w:val="restart"/>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其他</w:t>
            </w:r>
          </w:p>
        </w:tc>
        <w:tc>
          <w:tcPr>
            <w:tcW w:w="16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具有履行合同所必须的设备和专业技术能力</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采购人对投标人履行合同所必须的设备和专业技术能力无其他特殊要求，投标人具有有效的营业执照或法人证书</w:t>
            </w:r>
            <w:r>
              <w:rPr>
                <w:rFonts w:hint="eastAsia" w:ascii="宋体" w:hAnsi="宋体"/>
                <w:color w:val="000000" w:themeColor="text1"/>
                <w:sz w:val="20"/>
                <w:szCs w:val="28"/>
                <w14:textFill>
                  <w14:solidFill>
                    <w14:schemeClr w14:val="tx1"/>
                  </w14:solidFill>
                </w14:textFill>
              </w:rPr>
              <w:t>即可，可不提供其他证明材料</w:t>
            </w:r>
            <w:r>
              <w:rPr>
                <w:rFonts w:hint="eastAsia"/>
                <w:color w:val="000000" w:themeColor="text1"/>
                <w:sz w:val="20"/>
                <w14:textFill>
                  <w14:solidFill>
                    <w14:schemeClr w14:val="tx1"/>
                  </w14:solidFill>
                </w14:textFill>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Borders>
              <w:left w:val="single" w:color="auto" w:sz="2" w:space="0"/>
              <w:right w:val="single" w:color="auto" w:sz="2" w:space="0"/>
            </w:tcBorders>
            <w:vAlign w:val="center"/>
          </w:tcPr>
          <w:p>
            <w:pPr>
              <w:tabs>
                <w:tab w:val="left" w:pos="851"/>
              </w:tabs>
              <w:spacing w:line="360" w:lineRule="auto"/>
              <w:jc w:val="center"/>
              <w:rPr>
                <w:color w:val="000000" w:themeColor="text1"/>
                <w:sz w:val="20"/>
                <w14:textFill>
                  <w14:solidFill>
                    <w14:schemeClr w14:val="tx1"/>
                  </w14:solidFill>
                </w14:textFill>
              </w:rPr>
            </w:pPr>
          </w:p>
        </w:tc>
        <w:tc>
          <w:tcPr>
            <w:tcW w:w="426"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16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法律、行政法规规定的其他条件</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采购人对法律、行政法规规定的其他条件无其他特殊要求，投标人具有有效的营业执照或法人证书</w:t>
            </w:r>
            <w:r>
              <w:rPr>
                <w:rFonts w:hint="eastAsia" w:ascii="宋体" w:hAnsi="宋体"/>
                <w:color w:val="000000" w:themeColor="text1"/>
                <w:sz w:val="20"/>
                <w:szCs w:val="28"/>
                <w14:textFill>
                  <w14:solidFill>
                    <w14:schemeClr w14:val="tx1"/>
                  </w14:solidFill>
                </w14:textFill>
              </w:rPr>
              <w:t>即可，可不提供其他证明材料</w:t>
            </w:r>
            <w:r>
              <w:rPr>
                <w:rFonts w:hint="eastAsia"/>
                <w:color w:val="000000" w:themeColor="text1"/>
                <w:sz w:val="20"/>
                <w14:textFill>
                  <w14:solidFill>
                    <w14:schemeClr w14:val="tx1"/>
                  </w14:solidFill>
                </w14:textFill>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Borders>
              <w:left w:val="single" w:color="auto" w:sz="2" w:space="0"/>
              <w:right w:val="single" w:color="auto" w:sz="2" w:space="0"/>
            </w:tcBorders>
            <w:vAlign w:val="center"/>
          </w:tcPr>
          <w:p>
            <w:pPr>
              <w:tabs>
                <w:tab w:val="left" w:pos="851"/>
              </w:tabs>
              <w:spacing w:line="360" w:lineRule="auto"/>
              <w:jc w:val="center"/>
              <w:rPr>
                <w:color w:val="000000" w:themeColor="text1"/>
                <w:sz w:val="20"/>
                <w14:textFill>
                  <w14:solidFill>
                    <w14:schemeClr w14:val="tx1"/>
                  </w14:solidFill>
                </w14:textFill>
              </w:rPr>
            </w:pPr>
          </w:p>
        </w:tc>
        <w:tc>
          <w:tcPr>
            <w:tcW w:w="426"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16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不属于其他国家相关法律法规规定的禁止参加投标的供应商</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1</w:t>
            </w:r>
            <w:r>
              <w:rPr>
                <w:rFonts w:hint="eastAsia"/>
                <w:color w:val="000000" w:themeColor="text1"/>
                <w:sz w:val="20"/>
                <w14:textFill>
                  <w14:solidFill>
                    <w14:schemeClr w14:val="tx1"/>
                  </w14:solidFill>
                </w14:textFill>
              </w:rPr>
              <w:t>、根据招标文件的要求不属于禁止参加投标或投标无效的供应商；</w:t>
            </w:r>
          </w:p>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2</w:t>
            </w:r>
            <w:r>
              <w:rPr>
                <w:rFonts w:hint="eastAsia"/>
                <w:color w:val="000000" w:themeColor="text1"/>
                <w:sz w:val="20"/>
                <w14:textFill>
                  <w14:solidFill>
                    <w14:schemeClr w14:val="tx1"/>
                  </w14:solidFill>
                </w14:textFill>
              </w:rPr>
              <w:t>、资格审查小组未发现或者未知晓投标人存在属于国家相关法律法规规定的禁止参加投标或投标无效的供应商。</w:t>
            </w:r>
          </w:p>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426"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16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联合体投标</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非联合体投标。【说明：无须提供证明材料，上传空白页即可，不对本项上传的材料作资格审查】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426"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16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资质要求</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426"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16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投标保证金</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426"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16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投标文件解密情况</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ascii="宋体" w:hAnsi="宋体"/>
                <w:color w:val="000000" w:themeColor="text1"/>
                <w:sz w:val="20"/>
                <w:szCs w:val="28"/>
                <w14:textFill>
                  <w14:solidFill>
                    <w14:schemeClr w14:val="tx1"/>
                  </w14:solidFill>
                </w14:textFill>
              </w:rPr>
              <w:t>除因断电、断网、系统故障或其他不可抗力等因素，导致系统无法使用外，投标文件已成功解密。</w:t>
            </w:r>
            <w:r>
              <w:rPr>
                <w:rFonts w:hint="eastAsia"/>
                <w:color w:val="000000" w:themeColor="text1"/>
                <w:sz w:val="20"/>
                <w14:textFill>
                  <w14:solidFill>
                    <w14:schemeClr w14:val="tx1"/>
                  </w14:solidFill>
                </w14:textFill>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426"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16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投标文件签章</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投标文件加盖有投标人（法定名称）电子签章。【说明：无须提供证明材料，上传空白页即可，不对本项上传的材料作资格审查】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426"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16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投标文件资格性审查部分的语言</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语言符合招标文件的要求。【说明：无须提供证明材料，上传空白页即可，不对本项上传的材料作资格审查】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tcBorders>
              <w:left w:val="single" w:color="auto" w:sz="2" w:space="0"/>
              <w:bottom w:val="single" w:color="auto" w:sz="2" w:space="0"/>
              <w:right w:val="single" w:color="auto" w:sz="2" w:space="0"/>
            </w:tcBorders>
            <w:vAlign w:val="center"/>
          </w:tcPr>
          <w:p>
            <w:pPr>
              <w:tabs>
                <w:tab w:val="left" w:pos="851"/>
              </w:tabs>
              <w:spacing w:line="360" w:lineRule="auto"/>
              <w:ind w:firstLine="200" w:firstLineChars="100"/>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4</w:t>
            </w:r>
          </w:p>
        </w:tc>
        <w:tc>
          <w:tcPr>
            <w:tcW w:w="2049" w:type="dxa"/>
            <w:gridSpan w:val="2"/>
            <w:tcBorders>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投标文件资格性审查部分组成</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ascii="宋体" w:hAnsi="宋体"/>
                <w:color w:val="000000" w:themeColor="text1"/>
                <w:sz w:val="20"/>
                <w:szCs w:val="28"/>
                <w14:textFill>
                  <w14:solidFill>
                    <w14:schemeClr w14:val="tx1"/>
                  </w14:solidFill>
                </w14:textFill>
              </w:rPr>
              <w:t>符合资格预审文件“</w:t>
            </w:r>
            <w:r>
              <w:rPr>
                <w:rFonts w:ascii="宋体" w:hAnsi="宋体"/>
                <w:color w:val="000000" w:themeColor="text1"/>
                <w:sz w:val="20"/>
                <w:szCs w:val="28"/>
                <w14:textFill>
                  <w14:solidFill>
                    <w14:schemeClr w14:val="tx1"/>
                  </w14:solidFill>
                </w14:textFill>
              </w:rPr>
              <w:t>2.4.</w:t>
            </w:r>
            <w:r>
              <w:rPr>
                <w:rFonts w:hint="eastAsia" w:ascii="宋体" w:hAnsi="宋体"/>
                <w:color w:val="000000" w:themeColor="text1"/>
                <w:sz w:val="20"/>
                <w:szCs w:val="28"/>
                <w14:textFill>
                  <w14:solidFill>
                    <w14:schemeClr w14:val="tx1"/>
                  </w14:solidFill>
                </w14:textFill>
              </w:rPr>
              <w:t>6投标</w:t>
            </w:r>
            <w:r>
              <w:rPr>
                <w:rFonts w:ascii="宋体" w:hAnsi="宋体"/>
                <w:color w:val="000000" w:themeColor="text1"/>
                <w:sz w:val="20"/>
                <w:szCs w:val="28"/>
                <w14:textFill>
                  <w14:solidFill>
                    <w14:schemeClr w14:val="tx1"/>
                  </w14:solidFill>
                </w14:textFill>
              </w:rPr>
              <w:t>文件的组成”规定要求。</w:t>
            </w:r>
            <w:r>
              <w:rPr>
                <w:rFonts w:hint="eastAsia" w:ascii="宋体" w:hAnsi="宋体"/>
                <w:color w:val="000000" w:themeColor="text1"/>
                <w:sz w:val="20"/>
                <w:szCs w:val="28"/>
                <w14:textFill>
                  <w14:solidFill>
                    <w14:schemeClr w14:val="tx1"/>
                  </w14:solidFill>
                </w14:textFill>
              </w:rPr>
              <w:t>【说明：投标人按招标文件3.2.1关于投标人资格资格申明的</w:t>
            </w:r>
            <w:r>
              <w:rPr>
                <w:rFonts w:hint="eastAsia"/>
                <w:color w:val="000000" w:themeColor="text1"/>
                <w:sz w:val="20"/>
                <w14:textFill>
                  <w14:solidFill>
                    <w14:schemeClr w14:val="tx1"/>
                  </w14:solidFill>
                </w14:textFill>
              </w:rPr>
              <w:t>内容</w:t>
            </w:r>
            <w:r>
              <w:rPr>
                <w:rFonts w:hint="eastAsia" w:ascii="宋体" w:hAnsi="宋体"/>
                <w:color w:val="000000" w:themeColor="text1"/>
                <w:sz w:val="20"/>
                <w:szCs w:val="28"/>
                <w14:textFill>
                  <w14:solidFill>
                    <w14:schemeClr w14:val="tx1"/>
                  </w14:solidFill>
                </w14:textFill>
              </w:rPr>
              <w:t>提供关于投标人资格资格申明的函。】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5</w:t>
            </w:r>
          </w:p>
        </w:tc>
        <w:tc>
          <w:tcPr>
            <w:tcW w:w="2049"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具有健全的财务会计制度的证明材料</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2019</w:t>
            </w:r>
            <w:r>
              <w:rPr>
                <w:rFonts w:hint="eastAsia"/>
                <w:color w:val="000000" w:themeColor="text1"/>
                <w:sz w:val="20"/>
                <w14:textFill>
                  <w14:solidFill>
                    <w14:schemeClr w14:val="tx1"/>
                  </w14:solidFill>
                </w14:textFill>
              </w:rPr>
              <w:t>或</w:t>
            </w:r>
            <w:r>
              <w:rPr>
                <w:color w:val="000000" w:themeColor="text1"/>
                <w:sz w:val="20"/>
                <w14:textFill>
                  <w14:solidFill>
                    <w14:schemeClr w14:val="tx1"/>
                  </w14:solidFill>
                </w14:textFill>
              </w:rPr>
              <w:t>2020</w:t>
            </w:r>
            <w:r>
              <w:rPr>
                <w:rFonts w:hint="eastAsia"/>
                <w:color w:val="000000" w:themeColor="text1"/>
                <w:sz w:val="20"/>
                <w14:textFill>
                  <w14:solidFill>
                    <w14:schemeClr w14:val="tx1"/>
                  </w14:solidFill>
                </w14:textFill>
              </w:rPr>
              <w:t>会计年度资产负债表复印件。【说明：投标人成立时间至投标截止时间止不足一年的，提供成立后任意时段的资产负债表复印件。】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6</w:t>
            </w:r>
          </w:p>
        </w:tc>
        <w:tc>
          <w:tcPr>
            <w:tcW w:w="2049"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缴纳社会保障资金的证明材料</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投标人缴纳</w:t>
            </w:r>
            <w:r>
              <w:rPr>
                <w:color w:val="000000" w:themeColor="text1"/>
                <w:sz w:val="20"/>
                <w14:textFill>
                  <w14:solidFill>
                    <w14:schemeClr w14:val="tx1"/>
                  </w14:solidFill>
                </w14:textFill>
              </w:rPr>
              <w:t>2020</w:t>
            </w:r>
            <w:r>
              <w:rPr>
                <w:rFonts w:hint="eastAsia"/>
                <w:color w:val="000000" w:themeColor="text1"/>
                <w:sz w:val="20"/>
                <w14:textFill>
                  <w14:solidFill>
                    <w14:schemeClr w14:val="tx1"/>
                  </w14:solidFill>
                </w14:textFill>
              </w:rPr>
              <w:t>或</w:t>
            </w:r>
            <w:r>
              <w:rPr>
                <w:color w:val="000000" w:themeColor="text1"/>
                <w:sz w:val="20"/>
                <w14:textFill>
                  <w14:solidFill>
                    <w14:schemeClr w14:val="tx1"/>
                  </w14:solidFill>
                </w14:textFill>
              </w:rPr>
              <w:t>2021</w:t>
            </w:r>
            <w:r>
              <w:rPr>
                <w:rFonts w:hint="eastAsia"/>
                <w:color w:val="000000" w:themeColor="text1"/>
                <w:sz w:val="20"/>
                <w14:textFill>
                  <w14:solidFill>
                    <w14:schemeClr w14:val="tx1"/>
                  </w14:solidFill>
                </w14:textFill>
              </w:rPr>
              <w:t>年任意时段的社保的银行电子回单或行政部门出具的社保缴纳证明材料复印件。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7</w:t>
            </w:r>
          </w:p>
        </w:tc>
        <w:tc>
          <w:tcPr>
            <w:tcW w:w="2049"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缴纳税收的证明材料</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投标人缴纳</w:t>
            </w:r>
            <w:r>
              <w:rPr>
                <w:color w:val="000000" w:themeColor="text1"/>
                <w:sz w:val="20"/>
                <w14:textFill>
                  <w14:solidFill>
                    <w14:schemeClr w14:val="tx1"/>
                  </w14:solidFill>
                </w14:textFill>
              </w:rPr>
              <w:t>2020</w:t>
            </w:r>
            <w:r>
              <w:rPr>
                <w:rFonts w:hint="eastAsia"/>
                <w:color w:val="000000" w:themeColor="text1"/>
                <w:sz w:val="20"/>
                <w14:textFill>
                  <w14:solidFill>
                    <w14:schemeClr w14:val="tx1"/>
                  </w14:solidFill>
                </w14:textFill>
              </w:rPr>
              <w:t>或</w:t>
            </w:r>
            <w:r>
              <w:rPr>
                <w:color w:val="000000" w:themeColor="text1"/>
                <w:sz w:val="20"/>
                <w14:textFill>
                  <w14:solidFill>
                    <w14:schemeClr w14:val="tx1"/>
                  </w14:solidFill>
                </w14:textFill>
              </w:rPr>
              <w:t>2021</w:t>
            </w:r>
            <w:r>
              <w:rPr>
                <w:rFonts w:hint="eastAsia"/>
                <w:color w:val="000000" w:themeColor="text1"/>
                <w:sz w:val="20"/>
                <w14:textFill>
                  <w14:solidFill>
                    <w14:schemeClr w14:val="tx1"/>
                  </w14:solidFill>
                </w14:textFill>
              </w:rPr>
              <w:t>年任意时段的税收的银行电子回单或者行政部门出具的纳税证明或完税证明的复印件。</w:t>
            </w:r>
          </w:p>
        </w:tc>
      </w:tr>
    </w:tbl>
    <w:p>
      <w:pPr>
        <w:tabs>
          <w:tab w:val="left" w:pos="851"/>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二、“信用中国”和“中国政府采购网”网站查询结果，将以纸质截图或将截图保存至电子介质的形式留存。</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投标人的投标文件资格性审查时被判定为无效的，成都市青羊区政府采购服务中心将通知投标人（以短信、现场公示、电话、“政府采购云平台”等任一方式）。投标人如对资格审查结论有异议的，应及时向成都市青羊区政府采购服务中心反馈意见。成都市青羊区政府采购服务中心将及时告知资格审查小组。（说明：无论投标人是否收到通知或提供反馈意见，均不影响资格审查和评标工作，且成都市青羊区政府采购服务中心对此将不承担任何的责任。投标人对资格审查结论有异议的，其反馈意见仅限于资格审查小组对资格审查结论的正确性进行复核，避免出现审查错误。）</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四、通过资格性审查的供应商＜3名，采购失败。</w:t>
      </w:r>
    </w:p>
    <w:p>
      <w:pPr>
        <w:tabs>
          <w:tab w:val="left" w:pos="851"/>
        </w:tabs>
        <w:spacing w:line="360" w:lineRule="auto"/>
        <w:rPr>
          <w:rFonts w:ascii="宋体" w:hAnsi="宋体"/>
          <w:color w:val="000000" w:themeColor="text1"/>
          <w:sz w:val="28"/>
          <w:szCs w:val="28"/>
          <w14:textFill>
            <w14:solidFill>
              <w14:schemeClr w14:val="tx1"/>
            </w14:solidFill>
          </w14:textFill>
        </w:rPr>
      </w:pPr>
    </w:p>
    <w:p>
      <w:pPr>
        <w:keepNext/>
        <w:keepLines/>
        <w:numPr>
          <w:ilvl w:val="0"/>
          <w:numId w:val="1"/>
        </w:numPr>
        <w:spacing w:line="360" w:lineRule="auto"/>
        <w:ind w:left="0" w:firstLine="0"/>
        <w:jc w:val="center"/>
        <w:outlineLvl w:val="0"/>
        <w:rPr>
          <w:rFonts w:ascii="宋体" w:hAnsi="宋体"/>
          <w:b/>
          <w:bCs/>
          <w:color w:val="000000" w:themeColor="text1"/>
          <w:spacing w:val="-20"/>
          <w:kern w:val="44"/>
          <w:sz w:val="32"/>
          <w:szCs w:val="32"/>
          <w14:textFill>
            <w14:solidFill>
              <w14:schemeClr w14:val="tx1"/>
            </w14:solidFill>
          </w14:textFill>
        </w:rPr>
      </w:pPr>
      <w:bookmarkStart w:id="159" w:name="_Toc76541366"/>
      <w:r>
        <w:rPr>
          <w:rFonts w:hint="eastAsia" w:ascii="宋体" w:hAnsi="宋体"/>
          <w:b/>
          <w:bCs/>
          <w:color w:val="000000" w:themeColor="text1"/>
          <w:spacing w:val="-20"/>
          <w:kern w:val="44"/>
          <w:sz w:val="32"/>
          <w:szCs w:val="32"/>
          <w14:textFill>
            <w14:solidFill>
              <w14:schemeClr w14:val="tx1"/>
            </w14:solidFill>
          </w14:textFill>
        </w:rPr>
        <w:t>评标办法</w:t>
      </w:r>
      <w:bookmarkEnd w:id="159"/>
    </w:p>
    <w:p>
      <w:pPr>
        <w:keepNext/>
        <w:keepLines/>
        <w:numPr>
          <w:ilvl w:val="1"/>
          <w:numId w:val="1"/>
        </w:numPr>
        <w:spacing w:line="360" w:lineRule="auto"/>
        <w:jc w:val="left"/>
        <w:outlineLvl w:val="1"/>
        <w:rPr>
          <w:rFonts w:ascii="宋体" w:hAnsi="宋体"/>
          <w:b/>
          <w:bCs/>
          <w:color w:val="000000" w:themeColor="text1"/>
          <w:sz w:val="28"/>
          <w:szCs w:val="28"/>
          <w14:textFill>
            <w14:solidFill>
              <w14:schemeClr w14:val="tx1"/>
            </w14:solidFill>
          </w14:textFill>
        </w:rPr>
      </w:pPr>
      <w:bookmarkStart w:id="160" w:name="_Toc76541367"/>
      <w:r>
        <w:rPr>
          <w:rFonts w:hint="eastAsia" w:ascii="宋体" w:hAnsi="宋体"/>
          <w:b/>
          <w:bCs/>
          <w:color w:val="000000" w:themeColor="text1"/>
          <w:sz w:val="28"/>
          <w:szCs w:val="28"/>
          <w14:textFill>
            <w14:solidFill>
              <w14:schemeClr w14:val="tx1"/>
            </w14:solidFill>
          </w14:textFill>
        </w:rPr>
        <w:t>总则</w:t>
      </w:r>
      <w:bookmarkEnd w:id="160"/>
    </w:p>
    <w:p>
      <w:pPr>
        <w:numPr>
          <w:ilvl w:val="0"/>
          <w:numId w:val="39"/>
        </w:numPr>
        <w:tabs>
          <w:tab w:val="left" w:pos="1134"/>
        </w:tabs>
        <w:spacing w:line="360" w:lineRule="auto"/>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根据《中华人民共和国政府采购法》、《中华人民共和国政府采购法实施条例》和《政府采购货物和服务招标投标管理办法》等法律规章，结合采购项目特点制定本评标办法。</w:t>
      </w:r>
    </w:p>
    <w:p>
      <w:pPr>
        <w:numPr>
          <w:ilvl w:val="0"/>
          <w:numId w:val="39"/>
        </w:numPr>
        <w:tabs>
          <w:tab w:val="left" w:pos="1134"/>
        </w:tabs>
        <w:spacing w:line="360" w:lineRule="auto"/>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评标工作由</w:t>
      </w:r>
      <w:r>
        <w:rPr>
          <w:rFonts w:hint="eastAsia" w:cs="Arial"/>
          <w:color w:val="000000" w:themeColor="text1"/>
          <w:sz w:val="28"/>
          <w:szCs w:val="28"/>
          <w14:textFill>
            <w14:solidFill>
              <w14:schemeClr w14:val="tx1"/>
            </w14:solidFill>
          </w14:textFill>
        </w:rPr>
        <w:t>成都市青羊区政府采购服务中心</w:t>
      </w:r>
      <w:r>
        <w:rPr>
          <w:rFonts w:hint="eastAsia" w:ascii="宋体" w:hAnsi="宋体"/>
          <w:color w:val="000000" w:themeColor="text1"/>
          <w:sz w:val="28"/>
          <w:szCs w:val="28"/>
          <w14:textFill>
            <w14:solidFill>
              <w14:schemeClr w14:val="tx1"/>
            </w14:solidFill>
          </w14:textFill>
        </w:rPr>
        <w:t>负责组织，具体评标事务由采购人或</w:t>
      </w:r>
      <w:r>
        <w:rPr>
          <w:rFonts w:hint="eastAsia" w:cs="Arial"/>
          <w:color w:val="000000" w:themeColor="text1"/>
          <w:sz w:val="28"/>
          <w:szCs w:val="28"/>
          <w14:textFill>
            <w14:solidFill>
              <w14:schemeClr w14:val="tx1"/>
            </w14:solidFill>
          </w14:textFill>
        </w:rPr>
        <w:t>成都市青羊区政府采购服务中心</w:t>
      </w:r>
      <w:r>
        <w:rPr>
          <w:rFonts w:hint="eastAsia" w:ascii="宋体" w:hAnsi="宋体"/>
          <w:color w:val="000000" w:themeColor="text1"/>
          <w:sz w:val="28"/>
          <w:szCs w:val="28"/>
          <w14:textFill>
            <w14:solidFill>
              <w14:schemeClr w14:val="tx1"/>
            </w14:solidFill>
          </w14:textFill>
        </w:rPr>
        <w:t>依法组建的评标委员会负责。评标委员会由采购人代表和评审专家组成。</w:t>
      </w:r>
    </w:p>
    <w:p>
      <w:pPr>
        <w:numPr>
          <w:ilvl w:val="0"/>
          <w:numId w:val="39"/>
        </w:numPr>
        <w:tabs>
          <w:tab w:val="left" w:pos="1134"/>
        </w:tabs>
        <w:spacing w:line="360" w:lineRule="auto"/>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评标工作应遵循公平、公正、科学及择优的原则，并以相同的评标程序和标准对待所有的投标人。</w:t>
      </w:r>
    </w:p>
    <w:p>
      <w:pPr>
        <w:numPr>
          <w:ilvl w:val="0"/>
          <w:numId w:val="39"/>
        </w:numPr>
        <w:tabs>
          <w:tab w:val="left" w:pos="1134"/>
        </w:tabs>
        <w:spacing w:line="360" w:lineRule="auto"/>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评标委员会按照招标文件规定的评标程序、评标方法和标准进行独立评审，并独立履行下列职责：</w:t>
      </w:r>
    </w:p>
    <w:p>
      <w:pPr>
        <w:numPr>
          <w:ilvl w:val="1"/>
          <w:numId w:val="40"/>
        </w:numPr>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熟悉和理解招标文件；</w:t>
      </w:r>
    </w:p>
    <w:p>
      <w:pPr>
        <w:numPr>
          <w:ilvl w:val="1"/>
          <w:numId w:val="40"/>
        </w:numPr>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审查、评价投标文件是否符合招标文件的商务、技术等实质性要求；</w:t>
      </w:r>
    </w:p>
    <w:p>
      <w:pPr>
        <w:numPr>
          <w:ilvl w:val="1"/>
          <w:numId w:val="40"/>
        </w:numPr>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对投标文件进行比较和评价；</w:t>
      </w:r>
    </w:p>
    <w:p>
      <w:pPr>
        <w:numPr>
          <w:ilvl w:val="1"/>
          <w:numId w:val="40"/>
        </w:numPr>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根据需要要求采购人对招标文件作出解释；根据需要要求投标人对投标文件有关事项作出解释或者澄清；</w:t>
      </w:r>
    </w:p>
    <w:p>
      <w:pPr>
        <w:numPr>
          <w:ilvl w:val="1"/>
          <w:numId w:val="40"/>
        </w:numPr>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确定中标候选人名单，以及根据采购人委托直接确定中标人；</w:t>
      </w:r>
    </w:p>
    <w:p>
      <w:pPr>
        <w:numPr>
          <w:ilvl w:val="1"/>
          <w:numId w:val="40"/>
        </w:numPr>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起草评标报告并进行签署；</w:t>
      </w:r>
    </w:p>
    <w:p>
      <w:pPr>
        <w:numPr>
          <w:ilvl w:val="1"/>
          <w:numId w:val="40"/>
        </w:numPr>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向采购人、成都市青羊区政府采购服务中心或者财政、监察等有关部门报告或举报非法干预评标工作的行为；</w:t>
      </w:r>
    </w:p>
    <w:p>
      <w:pPr>
        <w:numPr>
          <w:ilvl w:val="1"/>
          <w:numId w:val="40"/>
        </w:numPr>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向采购人、</w:t>
      </w:r>
      <w:r>
        <w:rPr>
          <w:rFonts w:hint="eastAsia" w:cs="Arial"/>
          <w:color w:val="000000" w:themeColor="text1"/>
          <w:sz w:val="28"/>
          <w:szCs w:val="28"/>
          <w14:textFill>
            <w14:solidFill>
              <w14:schemeClr w14:val="tx1"/>
            </w14:solidFill>
          </w14:textFill>
        </w:rPr>
        <w:t>成都市青羊区政府采购服务中心</w:t>
      </w:r>
      <w:r>
        <w:rPr>
          <w:rFonts w:hint="eastAsia" w:ascii="宋体" w:hAnsi="宋体"/>
          <w:color w:val="000000" w:themeColor="text1"/>
          <w:sz w:val="28"/>
          <w:szCs w:val="28"/>
          <w14:textFill>
            <w14:solidFill>
              <w14:schemeClr w14:val="tx1"/>
            </w14:solidFill>
          </w14:textFill>
        </w:rPr>
        <w:t>或者有关部门报告评标中发现的违法行为。</w:t>
      </w:r>
    </w:p>
    <w:p>
      <w:pPr>
        <w:numPr>
          <w:ilvl w:val="1"/>
          <w:numId w:val="40"/>
        </w:numPr>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法律、法规和规章规定的其他职责。</w:t>
      </w:r>
    </w:p>
    <w:p>
      <w:pPr>
        <w:numPr>
          <w:ilvl w:val="0"/>
          <w:numId w:val="39"/>
        </w:numPr>
        <w:tabs>
          <w:tab w:val="left" w:pos="1134"/>
        </w:tabs>
        <w:spacing w:line="360" w:lineRule="auto"/>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评标过程独立、保密。投标人非法干预评标过程的行为将导致其投标文件作为无效处理。</w:t>
      </w:r>
    </w:p>
    <w:p>
      <w:pPr>
        <w:numPr>
          <w:ilvl w:val="0"/>
          <w:numId w:val="39"/>
        </w:numPr>
        <w:tabs>
          <w:tab w:val="left" w:pos="1134"/>
        </w:tabs>
        <w:spacing w:line="360" w:lineRule="auto"/>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评标委员会决定投标文件的响应性依据投标文件本身的内容，而不寻求外部的证据，招标文件有明确约定的除外。</w:t>
      </w:r>
    </w:p>
    <w:p>
      <w:pPr>
        <w:numPr>
          <w:ilvl w:val="0"/>
          <w:numId w:val="39"/>
        </w:numPr>
        <w:tabs>
          <w:tab w:val="left" w:pos="1134"/>
        </w:tabs>
        <w:spacing w:line="360" w:lineRule="auto"/>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评标委员会发现招标文件表述不明确或需要说明的事项，可提请采购人和成都市青羊区政府采购服务中心书面解释说明。</w:t>
      </w:r>
    </w:p>
    <w:p>
      <w:pPr>
        <w:keepNext/>
        <w:keepLines/>
        <w:numPr>
          <w:ilvl w:val="1"/>
          <w:numId w:val="1"/>
        </w:numPr>
        <w:spacing w:line="360" w:lineRule="auto"/>
        <w:jc w:val="left"/>
        <w:outlineLvl w:val="1"/>
        <w:rPr>
          <w:rFonts w:ascii="宋体" w:hAnsi="宋体"/>
          <w:b/>
          <w:bCs/>
          <w:color w:val="000000" w:themeColor="text1"/>
          <w:sz w:val="28"/>
          <w:szCs w:val="28"/>
          <w14:textFill>
            <w14:solidFill>
              <w14:schemeClr w14:val="tx1"/>
            </w14:solidFill>
          </w14:textFill>
        </w:rPr>
      </w:pPr>
      <w:bookmarkStart w:id="161" w:name="_Toc76541368"/>
      <w:r>
        <w:rPr>
          <w:rFonts w:hint="eastAsia" w:ascii="宋体" w:hAnsi="宋体"/>
          <w:b/>
          <w:bCs/>
          <w:color w:val="000000" w:themeColor="text1"/>
          <w:sz w:val="28"/>
          <w:szCs w:val="28"/>
          <w14:textFill>
            <w14:solidFill>
              <w14:schemeClr w14:val="tx1"/>
            </w14:solidFill>
          </w14:textFill>
        </w:rPr>
        <w:t>评标方法</w:t>
      </w:r>
      <w:bookmarkEnd w:id="161"/>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综合评标法。</w:t>
      </w:r>
    </w:p>
    <w:p>
      <w:pPr>
        <w:keepNext/>
        <w:keepLines/>
        <w:numPr>
          <w:ilvl w:val="1"/>
          <w:numId w:val="1"/>
        </w:numPr>
        <w:spacing w:line="360" w:lineRule="auto"/>
        <w:jc w:val="left"/>
        <w:outlineLvl w:val="1"/>
        <w:rPr>
          <w:rFonts w:ascii="宋体" w:hAnsi="宋体"/>
          <w:b/>
          <w:bCs/>
          <w:color w:val="000000" w:themeColor="text1"/>
          <w:sz w:val="28"/>
          <w:szCs w:val="28"/>
          <w14:textFill>
            <w14:solidFill>
              <w14:schemeClr w14:val="tx1"/>
            </w14:solidFill>
          </w14:textFill>
        </w:rPr>
      </w:pPr>
      <w:bookmarkStart w:id="162" w:name="_Toc76541369"/>
      <w:r>
        <w:rPr>
          <w:rFonts w:hint="eastAsia" w:ascii="宋体" w:hAnsi="宋体"/>
          <w:b/>
          <w:bCs/>
          <w:color w:val="000000" w:themeColor="text1"/>
          <w:sz w:val="28"/>
          <w:szCs w:val="28"/>
          <w14:textFill>
            <w14:solidFill>
              <w14:schemeClr w14:val="tx1"/>
            </w14:solidFill>
          </w14:textFill>
        </w:rPr>
        <w:t>评标程序</w:t>
      </w:r>
      <w:bookmarkEnd w:id="162"/>
    </w:p>
    <w:p>
      <w:pPr>
        <w:keepNext/>
        <w:keepLines/>
        <w:numPr>
          <w:ilvl w:val="2"/>
          <w:numId w:val="1"/>
        </w:numPr>
        <w:spacing w:line="360" w:lineRule="auto"/>
        <w:ind w:left="3119" w:hanging="3119"/>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符合性审查</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符合性审查标准见下表（按以下顺序审查）： </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p>
    <w:tbl>
      <w:tblPr>
        <w:tblStyle w:val="43"/>
        <w:tblW w:w="8597"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2022"/>
        <w:gridCol w:w="5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color w:val="000000" w:themeColor="text1"/>
                <w:sz w:val="24"/>
                <w:szCs w:val="28"/>
                <w14:textFill>
                  <w14:solidFill>
                    <w14:schemeClr w14:val="tx1"/>
                  </w14:solidFill>
                </w14:textFill>
              </w:rPr>
            </w:pPr>
            <w:r>
              <w:rPr>
                <w:rFonts w:hint="eastAsia" w:ascii="宋体" w:hAnsi="宋体"/>
                <w:b/>
                <w:color w:val="000000" w:themeColor="text1"/>
                <w:sz w:val="24"/>
                <w:szCs w:val="28"/>
                <w14:textFill>
                  <w14:solidFill>
                    <w14:schemeClr w14:val="tx1"/>
                  </w14:solidFill>
                </w14:textFill>
              </w:rPr>
              <w:t>序号</w:t>
            </w:r>
          </w:p>
        </w:tc>
        <w:tc>
          <w:tcPr>
            <w:tcW w:w="202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color w:val="000000" w:themeColor="text1"/>
                <w:sz w:val="24"/>
                <w:szCs w:val="28"/>
                <w14:textFill>
                  <w14:solidFill>
                    <w14:schemeClr w14:val="tx1"/>
                  </w14:solidFill>
                </w14:textFill>
              </w:rPr>
            </w:pPr>
            <w:r>
              <w:rPr>
                <w:rFonts w:hint="eastAsia" w:ascii="宋体" w:hAnsi="宋体"/>
                <w:b/>
                <w:color w:val="000000" w:themeColor="text1"/>
                <w:sz w:val="24"/>
                <w:szCs w:val="28"/>
                <w14:textFill>
                  <w14:solidFill>
                    <w14:schemeClr w14:val="tx1"/>
                  </w14:solidFill>
                </w14:textFill>
              </w:rPr>
              <w:t>符合性审查项</w:t>
            </w:r>
          </w:p>
        </w:tc>
        <w:tc>
          <w:tcPr>
            <w:tcW w:w="58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ind w:firstLine="487" w:firstLineChars="202"/>
              <w:jc w:val="center"/>
              <w:rPr>
                <w:rFonts w:ascii="宋体" w:hAnsi="宋体"/>
                <w:color w:val="000000" w:themeColor="text1"/>
                <w:sz w:val="24"/>
                <w:szCs w:val="28"/>
                <w14:textFill>
                  <w14:solidFill>
                    <w14:schemeClr w14:val="tx1"/>
                  </w14:solidFill>
                </w14:textFill>
              </w:rPr>
            </w:pPr>
            <w:r>
              <w:rPr>
                <w:rFonts w:hint="eastAsia" w:ascii="宋体" w:hAnsi="宋体"/>
                <w:b/>
                <w:color w:val="000000" w:themeColor="text1"/>
                <w:sz w:val="24"/>
                <w:szCs w:val="28"/>
                <w14:textFill>
                  <w14:solidFill>
                    <w14:schemeClr w14:val="tx1"/>
                  </w14:solidFill>
                </w14:textFill>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1</w:t>
            </w:r>
          </w:p>
        </w:tc>
        <w:tc>
          <w:tcPr>
            <w:tcW w:w="202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投标文件商务技术响应文件、报价要求响应文件组成</w:t>
            </w:r>
          </w:p>
        </w:tc>
        <w:tc>
          <w:tcPr>
            <w:tcW w:w="58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符合招标文件“2.4.6投标文件的组成”规定要求。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2</w:t>
            </w:r>
          </w:p>
        </w:tc>
        <w:tc>
          <w:tcPr>
            <w:tcW w:w="202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投标文件商务技术响应文件、报价要求响应文件的计量单位、语言、报价货币、投标有效期</w:t>
            </w:r>
          </w:p>
        </w:tc>
        <w:tc>
          <w:tcPr>
            <w:tcW w:w="58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计量单位、语言、报价货币、投标有效期均符合招标文件的要求。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olor w:val="000000" w:themeColor="text1"/>
                <w:sz w:val="24"/>
                <w:szCs w:val="28"/>
                <w:lang w:val="en-US" w:eastAsia="zh-CN"/>
                <w14:textFill>
                  <w14:solidFill>
                    <w14:schemeClr w14:val="tx1"/>
                  </w14:solidFill>
                </w14:textFill>
              </w:rPr>
            </w:pPr>
            <w:r>
              <w:rPr>
                <w:rFonts w:hint="eastAsia" w:ascii="宋体" w:hAnsi="宋体"/>
                <w:color w:val="000000" w:themeColor="text1"/>
                <w:sz w:val="24"/>
                <w:szCs w:val="28"/>
                <w:lang w:val="en-US" w:eastAsia="zh-CN"/>
                <w14:textFill>
                  <w14:solidFill>
                    <w14:schemeClr w14:val="tx1"/>
                  </w14:solidFill>
                </w14:textFill>
              </w:rPr>
              <w:t>3</w:t>
            </w:r>
          </w:p>
        </w:tc>
        <w:tc>
          <w:tcPr>
            <w:tcW w:w="202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default" w:ascii="宋体" w:hAnsi="宋体" w:eastAsia="宋体"/>
                <w:color w:val="000000" w:themeColor="text1"/>
                <w:sz w:val="24"/>
                <w:szCs w:val="28"/>
                <w:lang w:val="en-US" w:eastAsia="zh-CN"/>
                <w14:textFill>
                  <w14:solidFill>
                    <w14:schemeClr w14:val="tx1"/>
                  </w14:solidFill>
                </w14:textFill>
              </w:rPr>
            </w:pPr>
            <w:r>
              <w:rPr>
                <w:rFonts w:hint="eastAsia" w:ascii="宋体" w:hAnsi="宋体"/>
                <w:color w:val="000000" w:themeColor="text1"/>
                <w:sz w:val="24"/>
                <w:szCs w:val="28"/>
                <w:lang w:val="en-US" w:eastAsia="zh-CN"/>
                <w14:textFill>
                  <w14:solidFill>
                    <w14:schemeClr w14:val="tx1"/>
                  </w14:solidFill>
                </w14:textFill>
              </w:rPr>
              <w:t>投标文件签章</w:t>
            </w:r>
          </w:p>
        </w:tc>
        <w:tc>
          <w:tcPr>
            <w:tcW w:w="58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default" w:ascii="宋体" w:hAnsi="宋体" w:eastAsia="宋体"/>
                <w:color w:val="000000" w:themeColor="text1"/>
                <w:sz w:val="24"/>
                <w:szCs w:val="28"/>
                <w:lang w:val="en-US" w:eastAsia="zh-CN"/>
                <w14:textFill>
                  <w14:solidFill>
                    <w14:schemeClr w14:val="tx1"/>
                  </w14:solidFill>
                </w14:textFill>
              </w:rPr>
            </w:pPr>
            <w:r>
              <w:rPr>
                <w:rFonts w:hint="eastAsia" w:ascii="宋体" w:hAnsi="宋体"/>
                <w:color w:val="000000" w:themeColor="text1"/>
                <w:sz w:val="24"/>
                <w:szCs w:val="28"/>
                <w:lang w:val="en-US" w:eastAsia="zh-CN"/>
                <w14:textFill>
                  <w14:solidFill>
                    <w14:schemeClr w14:val="tx1"/>
                  </w14:solidFill>
                </w14:textFill>
              </w:rPr>
              <w:t>投标文件加盖有投标人（法定名称）电子签章。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olor w:val="000000" w:themeColor="text1"/>
                <w:sz w:val="24"/>
                <w:szCs w:val="28"/>
                <w:lang w:eastAsia="zh-CN"/>
                <w14:textFill>
                  <w14:solidFill>
                    <w14:schemeClr w14:val="tx1"/>
                  </w14:solidFill>
                </w14:textFill>
              </w:rPr>
            </w:pPr>
            <w:r>
              <w:rPr>
                <w:rFonts w:hint="eastAsia" w:ascii="宋体" w:hAnsi="宋体"/>
                <w:color w:val="000000" w:themeColor="text1"/>
                <w:sz w:val="24"/>
                <w:szCs w:val="28"/>
                <w:lang w:val="en-US" w:eastAsia="zh-CN"/>
                <w14:textFill>
                  <w14:solidFill>
                    <w14:schemeClr w14:val="tx1"/>
                  </w14:solidFill>
                </w14:textFill>
              </w:rPr>
              <w:t>4</w:t>
            </w:r>
          </w:p>
        </w:tc>
        <w:tc>
          <w:tcPr>
            <w:tcW w:w="202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第4章打★号的技术、服务、商务及其他要求</w:t>
            </w:r>
          </w:p>
        </w:tc>
        <w:tc>
          <w:tcPr>
            <w:tcW w:w="58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投标文件均实质性响应招标文件中加★号的技术、服务、商务及其他要求。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olor w:val="000000" w:themeColor="text1"/>
                <w:sz w:val="24"/>
                <w:szCs w:val="28"/>
                <w:lang w:eastAsia="zh-CN"/>
                <w14:textFill>
                  <w14:solidFill>
                    <w14:schemeClr w14:val="tx1"/>
                  </w14:solidFill>
                </w14:textFill>
              </w:rPr>
            </w:pPr>
            <w:r>
              <w:rPr>
                <w:rFonts w:hint="eastAsia" w:ascii="宋体" w:hAnsi="宋体"/>
                <w:color w:val="000000" w:themeColor="text1"/>
                <w:sz w:val="24"/>
                <w:szCs w:val="28"/>
                <w:lang w:val="en-US" w:eastAsia="zh-CN"/>
                <w14:textFill>
                  <w14:solidFill>
                    <w14:schemeClr w14:val="tx1"/>
                  </w14:solidFill>
                </w14:textFill>
              </w:rPr>
              <w:t>5</w:t>
            </w:r>
          </w:p>
        </w:tc>
        <w:tc>
          <w:tcPr>
            <w:tcW w:w="202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不属于禁止参加投标或投标无效的供应商</w:t>
            </w:r>
          </w:p>
        </w:tc>
        <w:tc>
          <w:tcPr>
            <w:tcW w:w="58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（1）根据招标文件的要求不属于禁止参加投标或投标无效的供应商；</w:t>
            </w:r>
          </w:p>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（2）评标委员会未发现或者未知晓投标人存在属于国家相关法律法规规定的禁止参加投标或投标无效的供应商。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olor w:val="000000" w:themeColor="text1"/>
                <w:sz w:val="24"/>
                <w:szCs w:val="28"/>
                <w:lang w:eastAsia="zh-CN"/>
                <w14:textFill>
                  <w14:solidFill>
                    <w14:schemeClr w14:val="tx1"/>
                  </w14:solidFill>
                </w14:textFill>
              </w:rPr>
            </w:pPr>
            <w:r>
              <w:rPr>
                <w:rFonts w:hint="eastAsia" w:ascii="宋体" w:hAnsi="宋体"/>
                <w:color w:val="000000" w:themeColor="text1"/>
                <w:sz w:val="24"/>
                <w:szCs w:val="28"/>
                <w:lang w:val="en-US" w:eastAsia="zh-CN"/>
                <w14:textFill>
                  <w14:solidFill>
                    <w14:schemeClr w14:val="tx1"/>
                  </w14:solidFill>
                </w14:textFill>
              </w:rPr>
              <w:t>6</w:t>
            </w:r>
          </w:p>
        </w:tc>
        <w:tc>
          <w:tcPr>
            <w:tcW w:w="202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法定代表人身份证复印件或护照复印件</w:t>
            </w:r>
          </w:p>
        </w:tc>
        <w:tc>
          <w:tcPr>
            <w:tcW w:w="58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身份证复印件或护照复印件【注：法定代表人身份证复印件（身份证两面均应复印，在有效期内）或护照复印件（法定代表人为外籍人士的，按此提供）。】。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olor w:val="000000" w:themeColor="text1"/>
                <w:sz w:val="24"/>
                <w:szCs w:val="28"/>
                <w:lang w:eastAsia="zh-CN"/>
                <w14:textFill>
                  <w14:solidFill>
                    <w14:schemeClr w14:val="tx1"/>
                  </w14:solidFill>
                </w14:textFill>
              </w:rPr>
            </w:pPr>
            <w:r>
              <w:rPr>
                <w:rFonts w:hint="eastAsia" w:ascii="宋体" w:hAnsi="宋体"/>
                <w:color w:val="000000" w:themeColor="text1"/>
                <w:sz w:val="24"/>
                <w:szCs w:val="28"/>
                <w:lang w:val="en-US" w:eastAsia="zh-CN"/>
                <w14:textFill>
                  <w14:solidFill>
                    <w14:schemeClr w14:val="tx1"/>
                  </w14:solidFill>
                </w14:textFill>
              </w:rPr>
              <w:t>7</w:t>
            </w:r>
          </w:p>
        </w:tc>
        <w:tc>
          <w:tcPr>
            <w:tcW w:w="202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除资格性审查要求的证明材料外，招标文件要求提供的其他证明材料</w:t>
            </w:r>
          </w:p>
        </w:tc>
        <w:tc>
          <w:tcPr>
            <w:tcW w:w="58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cs="仿宋_GB2312" w:asciiTheme="minorEastAsia" w:hAnsiTheme="minorEastAsia" w:eastAsiaTheme="minorEastAsia"/>
                <w:color w:val="000000" w:themeColor="text1"/>
                <w:sz w:val="24"/>
                <w:szCs w:val="24"/>
                <w14:textFill>
                  <w14:solidFill>
                    <w14:schemeClr w14:val="tx1"/>
                  </w14:solidFill>
                </w14:textFill>
              </w:rPr>
            </w:pPr>
            <w:r>
              <w:rPr>
                <w:rFonts w:cs="仿宋_GB2312" w:asciiTheme="minorEastAsia" w:hAnsiTheme="minorEastAsia" w:eastAsiaTheme="minorEastAsia"/>
                <w:color w:val="000000" w:themeColor="text1"/>
                <w:sz w:val="24"/>
                <w:szCs w:val="24"/>
                <w14:textFill>
                  <w14:solidFill>
                    <w14:schemeClr w14:val="tx1"/>
                  </w14:solidFill>
                </w14:textFill>
              </w:rPr>
              <w:t>1、承诺函【说明：①按3.3.</w:t>
            </w:r>
            <w:r>
              <w:rPr>
                <w:rFonts w:hint="eastAsia" w:cs="仿宋_GB2312" w:asciiTheme="minorEastAsia" w:hAnsiTheme="minorEastAsia" w:eastAsiaTheme="minorEastAsia"/>
                <w:color w:val="000000" w:themeColor="text1"/>
                <w:sz w:val="24"/>
                <w:szCs w:val="24"/>
                <w14:textFill>
                  <w14:solidFill>
                    <w14:schemeClr w14:val="tx1"/>
                  </w14:solidFill>
                </w14:textFill>
              </w:rPr>
              <w:t>5</w:t>
            </w:r>
            <w:r>
              <w:rPr>
                <w:rFonts w:cs="仿宋_GB2312" w:asciiTheme="minorEastAsia" w:hAnsiTheme="minorEastAsia" w:eastAsiaTheme="minorEastAsia"/>
                <w:color w:val="000000" w:themeColor="text1"/>
                <w:sz w:val="24"/>
                <w:szCs w:val="24"/>
                <w14:textFill>
                  <w14:solidFill>
                    <w14:schemeClr w14:val="tx1"/>
                  </w14:solidFill>
                </w14:textFill>
              </w:rPr>
              <w:t>承诺函</w:t>
            </w:r>
            <w:r>
              <w:rPr>
                <w:rFonts w:hint="eastAsia" w:cs="仿宋_GB2312" w:asciiTheme="minorEastAsia" w:hAnsiTheme="minorEastAsia" w:eastAsiaTheme="minorEastAsia"/>
                <w:color w:val="000000" w:themeColor="text1"/>
                <w:sz w:val="24"/>
                <w:szCs w:val="24"/>
                <w14:textFill>
                  <w14:solidFill>
                    <w14:schemeClr w14:val="tx1"/>
                  </w14:solidFill>
                </w14:textFill>
              </w:rPr>
              <w:t>内容</w:t>
            </w:r>
            <w:r>
              <w:rPr>
                <w:rFonts w:cs="仿宋_GB2312" w:asciiTheme="minorEastAsia" w:hAnsiTheme="minorEastAsia" w:eastAsiaTheme="minorEastAsia"/>
                <w:color w:val="000000" w:themeColor="text1"/>
                <w:sz w:val="24"/>
                <w:szCs w:val="24"/>
                <w14:textFill>
                  <w14:solidFill>
                    <w14:schemeClr w14:val="tx1"/>
                  </w14:solidFill>
                </w14:textFill>
              </w:rPr>
              <w:t>提供承诺函；②承诺的内容满足招标文件的要求。】。</w:t>
            </w:r>
          </w:p>
          <w:p>
            <w:pPr>
              <w:tabs>
                <w:tab w:val="left" w:pos="851"/>
              </w:tabs>
              <w:spacing w:line="360" w:lineRule="auto"/>
              <w:rPr>
                <w:rFonts w:cs="仿宋_GB2312" w:asciiTheme="minorEastAsia" w:hAnsiTheme="minorEastAsia" w:eastAsiaTheme="minorEastAsia"/>
                <w:color w:val="000000" w:themeColor="text1"/>
                <w:sz w:val="24"/>
                <w:szCs w:val="24"/>
                <w14:textFill>
                  <w14:solidFill>
                    <w14:schemeClr w14:val="tx1"/>
                  </w14:solidFill>
                </w14:textFill>
              </w:rPr>
            </w:pPr>
            <w:r>
              <w:rPr>
                <w:rFonts w:cs="仿宋_GB2312" w:asciiTheme="minorEastAsia" w:hAnsiTheme="minorEastAsia" w:eastAsiaTheme="minorEastAsia"/>
                <w:color w:val="000000" w:themeColor="text1"/>
                <w:sz w:val="24"/>
                <w:szCs w:val="24"/>
                <w14:textFill>
                  <w14:solidFill>
                    <w14:schemeClr w14:val="tx1"/>
                  </w14:solidFill>
                </w14:textFill>
              </w:rPr>
              <w:t>2、本项目中涉及的</w:t>
            </w:r>
            <w:r>
              <w:rPr>
                <w:rFonts w:hint="eastAsia" w:cs="仿宋_GB2312" w:asciiTheme="minorEastAsia" w:hAnsiTheme="minorEastAsia" w:eastAsiaTheme="minorEastAsia"/>
                <w:color w:val="000000" w:themeColor="text1"/>
                <w:sz w:val="24"/>
                <w:szCs w:val="24"/>
                <w14:textFill>
                  <w14:solidFill>
                    <w14:schemeClr w14:val="tx1"/>
                  </w14:solidFill>
                </w14:textFill>
              </w:rPr>
              <w:t>台式计算机、显示器、便携式计算机、空调、激光打印机需</w:t>
            </w:r>
            <w:r>
              <w:rPr>
                <w:rFonts w:cs="仿宋_GB2312" w:asciiTheme="minorEastAsia" w:hAnsiTheme="minorEastAsia" w:eastAsiaTheme="minorEastAsia"/>
                <w:color w:val="000000" w:themeColor="text1"/>
                <w:sz w:val="24"/>
                <w:szCs w:val="24"/>
                <w14:textFill>
                  <w14:solidFill>
                    <w14:schemeClr w14:val="tx1"/>
                  </w14:solidFill>
                </w14:textFill>
              </w:rPr>
              <w:t>提供节能产品认证证书复印件</w:t>
            </w:r>
            <w:r>
              <w:rPr>
                <w:rFonts w:hint="eastAsia" w:cs="仿宋_GB2312" w:asciiTheme="minorEastAsia" w:hAnsiTheme="minorEastAsia" w:eastAsiaTheme="minorEastAsia"/>
                <w:color w:val="000000" w:themeColor="text1"/>
                <w:sz w:val="24"/>
                <w:szCs w:val="24"/>
                <w14:textFill>
                  <w14:solidFill>
                    <w14:schemeClr w14:val="tx1"/>
                  </w14:solidFill>
                </w14:textFill>
              </w:rPr>
              <w:t>。</w:t>
            </w:r>
          </w:p>
          <w:p>
            <w:pPr>
              <w:tabs>
                <w:tab w:val="left" w:pos="851"/>
              </w:tabs>
              <w:spacing w:line="360" w:lineRule="auto"/>
              <w:rPr>
                <w:rFonts w:cs="仿宋_GB2312" w:asciiTheme="minorEastAsia" w:hAnsiTheme="minorEastAsia" w:eastAsiaTheme="minorEastAsia"/>
                <w:color w:val="000000" w:themeColor="text1"/>
                <w:sz w:val="24"/>
                <w:szCs w:val="24"/>
                <w14:textFill>
                  <w14:solidFill>
                    <w14:schemeClr w14:val="tx1"/>
                  </w14:solidFill>
                </w14:textFill>
              </w:rPr>
            </w:pPr>
            <w:r>
              <w:rPr>
                <w:rFonts w:cs="仿宋_GB2312" w:asciiTheme="minorEastAsia" w:hAnsiTheme="minorEastAsia" w:eastAsiaTheme="minorEastAsia"/>
                <w:color w:val="000000" w:themeColor="text1"/>
                <w:sz w:val="24"/>
                <w:szCs w:val="24"/>
                <w14:textFill>
                  <w14:solidFill>
                    <w14:schemeClr w14:val="tx1"/>
                  </w14:solidFill>
                </w14:textFill>
              </w:rPr>
              <w:t>说明：投标产品具有国家确定的认证机构出具的有效的节能产品认证证书。】。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olor w:val="000000" w:themeColor="text1"/>
                <w:sz w:val="24"/>
                <w:szCs w:val="28"/>
                <w:lang w:eastAsia="zh-CN"/>
                <w14:textFill>
                  <w14:solidFill>
                    <w14:schemeClr w14:val="tx1"/>
                  </w14:solidFill>
                </w14:textFill>
              </w:rPr>
            </w:pPr>
            <w:r>
              <w:rPr>
                <w:rFonts w:hint="eastAsia" w:ascii="宋体" w:hAnsi="宋体"/>
                <w:color w:val="000000" w:themeColor="text1"/>
                <w:sz w:val="24"/>
                <w:szCs w:val="28"/>
                <w:lang w:val="en-US" w:eastAsia="zh-CN"/>
                <w14:textFill>
                  <w14:solidFill>
                    <w14:schemeClr w14:val="tx1"/>
                  </w14:solidFill>
                </w14:textFill>
              </w:rPr>
              <w:t>8</w:t>
            </w:r>
          </w:p>
        </w:tc>
        <w:tc>
          <w:tcPr>
            <w:tcW w:w="202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投标报价</w:t>
            </w:r>
          </w:p>
        </w:tc>
        <w:tc>
          <w:tcPr>
            <w:tcW w:w="58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cs="仿宋_GB2312" w:asciiTheme="minorEastAsia" w:hAnsiTheme="minorEastAsia" w:eastAsiaTheme="minorEastAsia"/>
                <w:color w:val="000000" w:themeColor="text1"/>
                <w:sz w:val="24"/>
                <w:szCs w:val="24"/>
                <w14:textFill>
                  <w14:solidFill>
                    <w14:schemeClr w14:val="tx1"/>
                  </w14:solidFill>
                </w14:textFill>
              </w:rPr>
            </w:pPr>
            <w:r>
              <w:rPr>
                <w:rFonts w:hint="eastAsia" w:ascii="宋体" w:hAnsi="宋体"/>
                <w:color w:val="000000" w:themeColor="text1"/>
                <w:sz w:val="24"/>
                <w:szCs w:val="28"/>
                <w14:textFill>
                  <w14:solidFill>
                    <w14:schemeClr w14:val="tx1"/>
                  </w14:solidFill>
                </w14:textFill>
              </w:rPr>
              <w:t>开标记录、投标文件【注：（1）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Pr>
                <w:rFonts w:hint="eastAsia" w:ascii="宋体" w:hAnsi="宋体" w:cs="宋体"/>
                <w:color w:val="000000" w:themeColor="text1"/>
                <w:sz w:val="24"/>
                <w:szCs w:val="28"/>
                <w14:textFill>
                  <w14:solidFill>
                    <w14:schemeClr w14:val="tx1"/>
                  </w14:solidFill>
                </w14:textFill>
              </w:rPr>
              <w:t>②</w:t>
            </w:r>
            <w:r>
              <w:rPr>
                <w:rFonts w:hint="eastAsia" w:ascii="宋体" w:hAnsi="宋体"/>
                <w:color w:val="000000" w:themeColor="text1"/>
                <w:sz w:val="24"/>
                <w:szCs w:val="28"/>
                <w14:textFill>
                  <w14:solidFill>
                    <w14:schemeClr w14:val="tx1"/>
                  </w14:solidFill>
                </w14:textFill>
              </w:rPr>
              <w:t>单价金额小数点或者百分比有明显错位的，以总价为准，并修改单价；</w:t>
            </w:r>
            <w:r>
              <w:rPr>
                <w:rFonts w:hint="eastAsia" w:ascii="宋体" w:hAnsi="宋体" w:cs="宋体"/>
                <w:color w:val="000000" w:themeColor="text1"/>
                <w:sz w:val="24"/>
                <w:szCs w:val="28"/>
                <w14:textFill>
                  <w14:solidFill>
                    <w14:schemeClr w14:val="tx1"/>
                  </w14:solidFill>
                </w14:textFill>
              </w:rPr>
              <w:t>③</w:t>
            </w:r>
            <w:r>
              <w:rPr>
                <w:rFonts w:hint="eastAsia" w:ascii="宋体" w:hAnsi="宋体"/>
                <w:color w:val="000000" w:themeColor="text1"/>
                <w:sz w:val="24"/>
                <w:szCs w:val="28"/>
                <w14:textFill>
                  <w14:solidFill>
                    <w14:schemeClr w14:val="tx1"/>
                  </w14:solidFill>
                </w14:textFill>
              </w:rPr>
              <w:t>总价金额与按单价汇总金额不一致的，以单价金额计算结果为准；同时出现两种以上不一致的，按照前款规定的顺序修正。修正后的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w:t>
            </w:r>
            <w:r>
              <w:rPr>
                <w:rFonts w:ascii="宋体" w:hAnsi="宋体"/>
                <w:color w:val="000000" w:themeColor="text1"/>
                <w:sz w:val="24"/>
                <w:szCs w:val="28"/>
                <w14:textFill>
                  <w14:solidFill>
                    <w14:schemeClr w14:val="tx1"/>
                  </w14:solidFill>
                </w14:textFill>
              </w:rPr>
              <w:t>5）如因断电、断网、系统故障或其他不可抗力等因素，导致系统无法使用的，由投标人按评标委员会的要求进行澄清或者说明</w:t>
            </w:r>
            <w:r>
              <w:rPr>
                <w:rFonts w:hint="eastAsia" w:ascii="宋体" w:hAnsi="宋体"/>
                <w:color w:val="000000" w:themeColor="text1"/>
                <w:sz w:val="24"/>
                <w:szCs w:val="28"/>
                <w14:textFill>
                  <w14:solidFill>
                    <w14:schemeClr w14:val="tx1"/>
                  </w14:solidFill>
                </w14:textFill>
              </w:rPr>
              <w:t>。（6）无须提供证明材料，上传空白页即可，不对本项上传的材料作符合性审查。】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olor w:val="000000" w:themeColor="text1"/>
                <w:sz w:val="24"/>
                <w:szCs w:val="28"/>
                <w:lang w:eastAsia="zh-CN"/>
                <w14:textFill>
                  <w14:solidFill>
                    <w14:schemeClr w14:val="tx1"/>
                  </w14:solidFill>
                </w14:textFill>
              </w:rPr>
            </w:pPr>
            <w:r>
              <w:rPr>
                <w:rFonts w:hint="eastAsia" w:ascii="宋体" w:hAnsi="宋体"/>
                <w:color w:val="000000" w:themeColor="text1"/>
                <w:sz w:val="24"/>
                <w:szCs w:val="28"/>
                <w:lang w:val="en-US" w:eastAsia="zh-CN"/>
                <w14:textFill>
                  <w14:solidFill>
                    <w14:schemeClr w14:val="tx1"/>
                  </w14:solidFill>
                </w14:textFill>
              </w:rPr>
              <w:t>9</w:t>
            </w:r>
            <w:bookmarkStart w:id="174" w:name="_GoBack"/>
            <w:bookmarkEnd w:id="174"/>
          </w:p>
        </w:tc>
        <w:tc>
          <w:tcPr>
            <w:tcW w:w="202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进口产品</w:t>
            </w:r>
          </w:p>
        </w:tc>
        <w:tc>
          <w:tcPr>
            <w:tcW w:w="58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cs="仿宋_GB2312" w:asciiTheme="minorEastAsia" w:hAnsiTheme="minorEastAsia" w:eastAsiaTheme="minorEastAsia"/>
                <w:color w:val="000000" w:themeColor="text1"/>
                <w:sz w:val="24"/>
                <w:szCs w:val="24"/>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招标文件中未载明“允许采购进口产品”的产品，投标产品为国产产品。</w:t>
            </w:r>
          </w:p>
        </w:tc>
      </w:tr>
    </w:tbl>
    <w:p>
      <w:pPr>
        <w:tabs>
          <w:tab w:val="left" w:pos="851"/>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投标人的投标文件符合性审查时被判定为无效投标文件的，成都市青羊区政府采购服务中心将通知投标人（以短信、现场公示、电话、“政府采购云平台”等任一方式）。投标人如对评审结论有异议的，应及时向成都市青羊区政府采购服务中心反馈意见。成都市青羊区政府采购服务中心在评审结束前将收到的反馈意见及时告知评标委员会。（说明：无论投标人是否收到通知或提供反馈意见，均不影响评标委员会的评标工作，且成都市青羊区政府采购服务中心对此将不承担任何的责任。投标人对评审结论有异议的，其反馈意见仅限于评标委员会对评审结论的正确性进行复核，避免出现评审错误。）</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三、通过符合性审查的供应商＜3名，本项目采购失败。</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解释、澄清有关问题</w:t>
      </w:r>
    </w:p>
    <w:p>
      <w:pPr>
        <w:numPr>
          <w:ilvl w:val="0"/>
          <w:numId w:val="41"/>
        </w:numPr>
        <w:tabs>
          <w:tab w:val="left" w:pos="1134"/>
        </w:tabs>
        <w:spacing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过程中，评标委员会认为招标文件有关事项表述不明确或需要说明的，可以提请成都市青羊区政府采购服务中心书面解释。成都市青羊区政府采购服务中心的解释不得改变招标文件的原义或者影响公平、公正，解释事项如果涉及投标人权益的以有利于投标人的原则进行解释。</w:t>
      </w:r>
    </w:p>
    <w:p>
      <w:pPr>
        <w:numPr>
          <w:ilvl w:val="0"/>
          <w:numId w:val="41"/>
        </w:numPr>
        <w:tabs>
          <w:tab w:val="left" w:pos="1134"/>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pPr>
        <w:numPr>
          <w:ilvl w:val="0"/>
          <w:numId w:val="41"/>
        </w:numPr>
        <w:tabs>
          <w:tab w:val="left" w:pos="1134"/>
        </w:tabs>
        <w:spacing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澄清应当不超出投标文件的范围、不实质性改变投标文件的内容、不影响投标人的公平竞争、不导致投标文件从不响应招标文件变为响应招标文件的条件。下列内容不得澄清：</w:t>
      </w:r>
    </w:p>
    <w:p>
      <w:pPr>
        <w:numPr>
          <w:ilvl w:val="0"/>
          <w:numId w:val="42"/>
        </w:numPr>
        <w:tabs>
          <w:tab w:val="left" w:pos="1260"/>
        </w:tabs>
        <w:spacing w:line="560" w:lineRule="exact"/>
        <w:ind w:left="0" w:firstLine="525"/>
        <w:rPr>
          <w:rFonts w:ascii="宋体" w:hAnsi="宋体" w:cstheme="minorBidi"/>
          <w:color w:val="000000" w:themeColor="text1"/>
          <w:sz w:val="28"/>
          <w:szCs w:val="28"/>
          <w14:textFill>
            <w14:solidFill>
              <w14:schemeClr w14:val="tx1"/>
            </w14:solidFill>
          </w14:textFill>
        </w:rPr>
      </w:pPr>
      <w:r>
        <w:rPr>
          <w:rFonts w:hint="eastAsia" w:ascii="宋体" w:hAnsi="宋体" w:cstheme="minorBidi"/>
          <w:color w:val="000000" w:themeColor="text1"/>
          <w:sz w:val="28"/>
          <w:szCs w:val="28"/>
          <w14:textFill>
            <w14:solidFill>
              <w14:schemeClr w14:val="tx1"/>
            </w14:solidFill>
          </w14:textFill>
        </w:rPr>
        <w:t>投标人投标文件中不响应招标文件规定的技术参数指标和商务应答；</w:t>
      </w:r>
    </w:p>
    <w:p>
      <w:pPr>
        <w:numPr>
          <w:ilvl w:val="0"/>
          <w:numId w:val="42"/>
        </w:numPr>
        <w:tabs>
          <w:tab w:val="left" w:pos="1260"/>
        </w:tabs>
        <w:spacing w:line="560" w:lineRule="exact"/>
        <w:ind w:left="0" w:firstLine="525"/>
        <w:rPr>
          <w:rFonts w:ascii="宋体" w:hAnsi="宋体" w:cstheme="minorBidi"/>
          <w:color w:val="000000" w:themeColor="text1"/>
          <w:sz w:val="28"/>
          <w:szCs w:val="28"/>
          <w14:textFill>
            <w14:solidFill>
              <w14:schemeClr w14:val="tx1"/>
            </w14:solidFill>
          </w14:textFill>
        </w:rPr>
      </w:pPr>
      <w:r>
        <w:rPr>
          <w:rFonts w:hint="eastAsia" w:ascii="宋体" w:hAnsi="宋体" w:cstheme="minorBidi"/>
          <w:color w:val="000000" w:themeColor="text1"/>
          <w:sz w:val="28"/>
          <w:szCs w:val="28"/>
          <w14:textFill>
            <w14:solidFill>
              <w14:schemeClr w14:val="tx1"/>
            </w14:solidFill>
          </w14:textFill>
        </w:rPr>
        <w:t>投标人投标文件中未提供的证明其是否符合招标文件资格性、符合性规定要求的相关材料。</w:t>
      </w:r>
    </w:p>
    <w:p>
      <w:pPr>
        <w:numPr>
          <w:ilvl w:val="0"/>
          <w:numId w:val="42"/>
        </w:numPr>
        <w:tabs>
          <w:tab w:val="left" w:pos="993"/>
          <w:tab w:val="left" w:pos="1260"/>
        </w:tabs>
        <w:spacing w:line="560" w:lineRule="exact"/>
        <w:ind w:left="0" w:firstLine="525"/>
        <w:rPr>
          <w:rFonts w:ascii="宋体" w:hAnsi="宋体" w:cstheme="minorBidi"/>
          <w:color w:val="000000" w:themeColor="text1"/>
          <w:sz w:val="28"/>
          <w:szCs w:val="28"/>
          <w14:textFill>
            <w14:solidFill>
              <w14:schemeClr w14:val="tx1"/>
            </w14:solidFill>
          </w14:textFill>
        </w:rPr>
      </w:pPr>
      <w:r>
        <w:rPr>
          <w:rFonts w:hint="eastAsia" w:ascii="宋体" w:hAnsi="宋体" w:cstheme="minorBidi"/>
          <w:color w:val="000000" w:themeColor="text1"/>
          <w:sz w:val="28"/>
          <w:szCs w:val="28"/>
          <w14:textFill>
            <w14:solidFill>
              <w14:schemeClr w14:val="tx1"/>
            </w14:solidFill>
          </w14:textFill>
        </w:rPr>
        <w:t>投标人投标文件中的材料因印刷、影印等不清晰而难以辨认的。</w:t>
      </w:r>
    </w:p>
    <w:p>
      <w:pPr>
        <w:numPr>
          <w:ilvl w:val="0"/>
          <w:numId w:val="41"/>
        </w:numPr>
        <w:tabs>
          <w:tab w:val="left" w:pos="1134"/>
        </w:tabs>
        <w:spacing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投标文件报价出现下列情况的，不需要投标人澄清，按以下原则处理：</w:t>
      </w:r>
    </w:p>
    <w:p>
      <w:pPr>
        <w:tabs>
          <w:tab w:val="left" w:pos="1134"/>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（一）大写金额和小写金额不一致的，以大写金额为准，但大写金额出现文字错误，导致金额无法判断的除外；</w:t>
      </w:r>
    </w:p>
    <w:p>
      <w:pPr>
        <w:tabs>
          <w:tab w:val="left" w:pos="1134"/>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（二）单价金额小数点或者百分比有明显错位的，以总价为准，并修改单价；</w:t>
      </w:r>
    </w:p>
    <w:p>
      <w:pPr>
        <w:tabs>
          <w:tab w:val="left" w:pos="1134"/>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（三）总价金额与按单价汇总金额不一致的，以单价金额计算结果为准。</w:t>
      </w:r>
    </w:p>
    <w:p>
      <w:pPr>
        <w:spacing w:line="560" w:lineRule="exact"/>
        <w:ind w:firstLine="56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同时出现两种以上不一致的，按照前款规定的顺序修正。修正后的报价经投标人确认后产生约束力，投标人不确认的，其投标无效。</w:t>
      </w:r>
    </w:p>
    <w:p>
      <w:pPr>
        <w:tabs>
          <w:tab w:val="left" w:pos="720"/>
        </w:tabs>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五、对不同语言文本投标文件的解释发生异议的，以中文文本为准。</w:t>
      </w:r>
    </w:p>
    <w:p>
      <w:pPr>
        <w:tabs>
          <w:tab w:val="left" w:pos="720"/>
        </w:tabs>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pPr>
        <w:tabs>
          <w:tab w:val="left" w:pos="851"/>
        </w:tabs>
        <w:spacing w:line="560" w:lineRule="exact"/>
        <w:ind w:firstLine="568" w:firstLineChars="202"/>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评标委员会应当积极履行澄清、说明或者更正的职责，不得滥用权力。</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比较与评价</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按招标文件中规定的评标细则及标准，对符合性检查合格的投标文件进行商务和技术评估，综合比较和评价。</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复核</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评标结果汇总结束后，评标委员会应当进行复核，特别要对拟推荐为中标候选供应商的、报价最低的、投标文件被认定为无效的进行重点复核。</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评标结果汇总完成后，评标委员会拟出具评审报告前，</w:t>
      </w:r>
      <w:r>
        <w:rPr>
          <w:rFonts w:hint="eastAsia" w:cs="Arial"/>
          <w:color w:val="000000" w:themeColor="text1"/>
          <w:sz w:val="28"/>
          <w:szCs w:val="28"/>
          <w14:textFill>
            <w14:solidFill>
              <w14:schemeClr w14:val="tx1"/>
            </w14:solidFill>
          </w14:textFill>
        </w:rPr>
        <w:t>成都市青羊区政府采购服务中心</w:t>
      </w:r>
      <w:r>
        <w:rPr>
          <w:rFonts w:hint="eastAsia" w:ascii="宋体" w:hAnsi="宋体"/>
          <w:color w:val="000000" w:themeColor="text1"/>
          <w:sz w:val="28"/>
          <w:szCs w:val="28"/>
          <w14:textFill>
            <w14:solidFill>
              <w14:schemeClr w14:val="tx1"/>
            </w14:solidFill>
          </w14:textFill>
        </w:rPr>
        <w:t>应当组织2名以上的工作人员，在采购现场监督人员的监督之下，依据有关的法律制度和采购文件对评审结果进行复核，出具复核报告。</w:t>
      </w:r>
    </w:p>
    <w:p>
      <w:pPr>
        <w:tabs>
          <w:tab w:val="left" w:pos="851"/>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评标结果汇总完成后，除下列情形外，任何人不得修改评标结果：</w:t>
      </w:r>
    </w:p>
    <w:p>
      <w:pPr>
        <w:numPr>
          <w:ilvl w:val="0"/>
          <w:numId w:val="43"/>
        </w:numPr>
        <w:tabs>
          <w:tab w:val="left" w:pos="851"/>
          <w:tab w:val="left" w:pos="1276"/>
        </w:tabs>
        <w:spacing w:line="560" w:lineRule="exact"/>
        <w:ind w:left="0" w:firstLine="424"/>
        <w:rPr>
          <w:rFonts w:ascii="宋体" w:hAnsi="宋体" w:cstheme="minorBidi"/>
          <w:color w:val="000000" w:themeColor="text1"/>
          <w:sz w:val="28"/>
          <w:szCs w:val="28"/>
          <w14:textFill>
            <w14:solidFill>
              <w14:schemeClr w14:val="tx1"/>
            </w14:solidFill>
          </w14:textFill>
        </w:rPr>
      </w:pPr>
      <w:r>
        <w:rPr>
          <w:rFonts w:hint="eastAsia" w:ascii="宋体" w:hAnsi="宋体" w:cstheme="minorBidi"/>
          <w:color w:val="000000" w:themeColor="text1"/>
          <w:sz w:val="28"/>
          <w:szCs w:val="28"/>
          <w14:textFill>
            <w14:solidFill>
              <w14:schemeClr w14:val="tx1"/>
            </w14:solidFill>
          </w14:textFill>
        </w:rPr>
        <w:t>分值汇总计算错误的；</w:t>
      </w:r>
    </w:p>
    <w:p>
      <w:pPr>
        <w:numPr>
          <w:ilvl w:val="0"/>
          <w:numId w:val="43"/>
        </w:numPr>
        <w:tabs>
          <w:tab w:val="left" w:pos="851"/>
          <w:tab w:val="left" w:pos="1276"/>
        </w:tabs>
        <w:spacing w:line="560" w:lineRule="exact"/>
        <w:ind w:left="0" w:firstLine="424"/>
        <w:rPr>
          <w:rFonts w:ascii="宋体" w:hAnsi="宋体" w:cstheme="minorBidi"/>
          <w:color w:val="000000" w:themeColor="text1"/>
          <w:sz w:val="28"/>
          <w:szCs w:val="28"/>
          <w14:textFill>
            <w14:solidFill>
              <w14:schemeClr w14:val="tx1"/>
            </w14:solidFill>
          </w14:textFill>
        </w:rPr>
      </w:pPr>
      <w:r>
        <w:rPr>
          <w:rFonts w:hint="eastAsia" w:ascii="宋体" w:hAnsi="宋体" w:cstheme="minorBidi"/>
          <w:color w:val="000000" w:themeColor="text1"/>
          <w:sz w:val="28"/>
          <w:szCs w:val="28"/>
          <w14:textFill>
            <w14:solidFill>
              <w14:schemeClr w14:val="tx1"/>
            </w14:solidFill>
          </w14:textFill>
        </w:rPr>
        <w:t>分项评分超出评分标准范围的；</w:t>
      </w:r>
    </w:p>
    <w:p>
      <w:pPr>
        <w:numPr>
          <w:ilvl w:val="0"/>
          <w:numId w:val="43"/>
        </w:numPr>
        <w:tabs>
          <w:tab w:val="left" w:pos="851"/>
          <w:tab w:val="left" w:pos="1276"/>
          <w:tab w:val="left" w:pos="1560"/>
        </w:tabs>
        <w:spacing w:line="560" w:lineRule="exact"/>
        <w:ind w:left="0" w:firstLine="424"/>
        <w:rPr>
          <w:rFonts w:ascii="宋体" w:hAnsi="宋体" w:cstheme="minorBidi"/>
          <w:color w:val="000000" w:themeColor="text1"/>
          <w:sz w:val="28"/>
          <w:szCs w:val="28"/>
          <w14:textFill>
            <w14:solidFill>
              <w14:schemeClr w14:val="tx1"/>
            </w14:solidFill>
          </w14:textFill>
        </w:rPr>
      </w:pPr>
      <w:r>
        <w:rPr>
          <w:rFonts w:hint="eastAsia" w:ascii="宋体" w:hAnsi="宋体" w:cstheme="minorBidi"/>
          <w:color w:val="000000" w:themeColor="text1"/>
          <w:sz w:val="28"/>
          <w:szCs w:val="28"/>
          <w14:textFill>
            <w14:solidFill>
              <w14:schemeClr w14:val="tx1"/>
            </w14:solidFill>
          </w14:textFill>
        </w:rPr>
        <w:t>评标委员会成员对客观评审因素评分不一致的；</w:t>
      </w:r>
    </w:p>
    <w:p>
      <w:pPr>
        <w:numPr>
          <w:ilvl w:val="0"/>
          <w:numId w:val="43"/>
        </w:numPr>
        <w:tabs>
          <w:tab w:val="left" w:pos="851"/>
          <w:tab w:val="left" w:pos="1276"/>
        </w:tabs>
        <w:spacing w:line="560" w:lineRule="exact"/>
        <w:ind w:left="0" w:firstLine="426"/>
        <w:rPr>
          <w:rFonts w:ascii="宋体" w:hAnsi="宋体" w:cstheme="minorBidi"/>
          <w:color w:val="000000" w:themeColor="text1"/>
          <w:sz w:val="28"/>
          <w:szCs w:val="28"/>
          <w14:textFill>
            <w14:solidFill>
              <w14:schemeClr w14:val="tx1"/>
            </w14:solidFill>
          </w14:textFill>
        </w:rPr>
      </w:pPr>
      <w:r>
        <w:rPr>
          <w:rFonts w:hint="eastAsia" w:ascii="宋体" w:hAnsi="宋体" w:cstheme="minorBidi"/>
          <w:color w:val="000000" w:themeColor="text1"/>
          <w:sz w:val="28"/>
          <w:szCs w:val="28"/>
          <w14:textFill>
            <w14:solidFill>
              <w14:schemeClr w14:val="tx1"/>
            </w14:solidFill>
          </w14:textFill>
        </w:rPr>
        <w:t>经评标委员会认定评分畸高、畸低的。</w:t>
      </w:r>
    </w:p>
    <w:p>
      <w:pPr>
        <w:tabs>
          <w:tab w:val="left" w:pos="851"/>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确定中标候选人名单</w:t>
      </w:r>
    </w:p>
    <w:p>
      <w:pPr>
        <w:tabs>
          <w:tab w:val="left" w:pos="851"/>
        </w:tabs>
        <w:spacing w:line="560" w:lineRule="exact"/>
        <w:ind w:firstLine="565" w:firstLineChars="202"/>
        <w:rPr>
          <w:rFonts w:ascii="Helvetica" w:hAnsi="Helvetica" w:cs="Helvetica"/>
          <w:color w:val="000000" w:themeColor="text1"/>
          <w:kern w:val="0"/>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按供应商综合得分从高到低进行排序，确定1至3名成交候选人。综合得分相同的，按报价由低到高顺序排列，得分且报价相同的并列。</w:t>
      </w:r>
      <w:r>
        <w:rPr>
          <w:rFonts w:hint="eastAsia" w:ascii="Helvetica" w:hAnsi="Helvetica" w:cs="Helvetica"/>
          <w:color w:val="000000" w:themeColor="text1"/>
          <w:kern w:val="0"/>
          <w:sz w:val="28"/>
          <w:szCs w:val="28"/>
          <w14:textFill>
            <w14:solidFill>
              <w14:schemeClr w14:val="tx1"/>
            </w14:solidFill>
          </w14:textFill>
        </w:rPr>
        <w:t>响应文件满足采购文件全部实质性要求，且按照评审因素的量化指标评审得分最高的供应商为排名第一的成交候选人。</w:t>
      </w:r>
    </w:p>
    <w:p>
      <w:pPr>
        <w:tabs>
          <w:tab w:val="left" w:pos="851"/>
        </w:tabs>
        <w:spacing w:line="560" w:lineRule="exact"/>
        <w:ind w:firstLine="565" w:firstLineChars="202"/>
        <w:rPr>
          <w:rFonts w:ascii="Helvetica" w:hAnsi="Helvetica" w:cs="Helvetica"/>
          <w:color w:val="000000" w:themeColor="text1"/>
          <w:kern w:val="0"/>
          <w:sz w:val="28"/>
          <w:szCs w:val="28"/>
          <w14:textFill>
            <w14:solidFill>
              <w14:schemeClr w14:val="tx1"/>
            </w14:solidFill>
          </w14:textFill>
        </w:rPr>
      </w:pPr>
      <w:r>
        <w:rPr>
          <w:rFonts w:hint="eastAsia" w:ascii="宋体" w:hAnsi="宋体"/>
          <w:color w:val="000000" w:themeColor="text1"/>
          <w:sz w:val="28"/>
          <w:szCs w:val="28"/>
          <w:lang w:val="zh-CN"/>
          <w14:textFill>
            <w14:solidFill>
              <w14:schemeClr w14:val="tx1"/>
            </w14:solidFill>
          </w14:textFill>
        </w:rPr>
        <w:t>提供核心产品品牌相同且通过资格检查和符合性检查的不同供应商参加同一项目的，按一家供应商计算，评审后得分最高的供应商获得成交候选人推荐资格；评审得分相同的，报价最低的供应商获得成交候选人推荐资格；评审得分相同且报价相同的，由评审委员会采取随机抽取的方式确定一个供应商获得成交候选人推荐资格。</w:t>
      </w:r>
    </w:p>
    <w:p>
      <w:pPr>
        <w:keepNext/>
        <w:keepLines/>
        <w:numPr>
          <w:ilvl w:val="2"/>
          <w:numId w:val="1"/>
        </w:numPr>
        <w:spacing w:before="240"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编写评标报告</w:t>
      </w:r>
    </w:p>
    <w:p>
      <w:pPr>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评标报告是评标委员会根据全体评标成员签字的原始评标记录和评标结果编写的报告，其主要内容包括：</w:t>
      </w:r>
    </w:p>
    <w:p>
      <w:pPr>
        <w:numPr>
          <w:ilvl w:val="0"/>
          <w:numId w:val="44"/>
        </w:numPr>
        <w:tabs>
          <w:tab w:val="left" w:pos="1155"/>
        </w:tabs>
        <w:spacing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招标公告刊登的媒体名称、开标日期和地点；</w:t>
      </w:r>
    </w:p>
    <w:p>
      <w:pPr>
        <w:numPr>
          <w:ilvl w:val="0"/>
          <w:numId w:val="44"/>
        </w:numPr>
        <w:tabs>
          <w:tab w:val="left" w:pos="1155"/>
        </w:tabs>
        <w:spacing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投标人名单和评标委员会成员名单；</w:t>
      </w:r>
    </w:p>
    <w:p>
      <w:pPr>
        <w:numPr>
          <w:ilvl w:val="0"/>
          <w:numId w:val="44"/>
        </w:numPr>
        <w:tabs>
          <w:tab w:val="left" w:pos="1155"/>
        </w:tabs>
        <w:spacing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评标方法和标准；</w:t>
      </w:r>
    </w:p>
    <w:p>
      <w:pPr>
        <w:numPr>
          <w:ilvl w:val="0"/>
          <w:numId w:val="44"/>
        </w:numPr>
        <w:tabs>
          <w:tab w:val="left" w:pos="1155"/>
        </w:tabs>
        <w:spacing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开标记录和评标情况及说明，包括投标无效投标人名单及原因；</w:t>
      </w:r>
    </w:p>
    <w:p>
      <w:pPr>
        <w:numPr>
          <w:ilvl w:val="0"/>
          <w:numId w:val="44"/>
        </w:numPr>
        <w:tabs>
          <w:tab w:val="left" w:pos="1155"/>
        </w:tabs>
        <w:spacing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评标结果，确定的中标候选人名单或者经采购人委托直接确定的中标人；</w:t>
      </w:r>
    </w:p>
    <w:p>
      <w:pPr>
        <w:numPr>
          <w:ilvl w:val="0"/>
          <w:numId w:val="44"/>
        </w:numPr>
        <w:tabs>
          <w:tab w:val="left" w:pos="1155"/>
        </w:tabs>
        <w:spacing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其他需要说明的情况，包括评标过程中投标人根据评标委员会要求进行的澄清、说明或者补正，评标委员会成员的更换等；</w:t>
      </w:r>
    </w:p>
    <w:p>
      <w:pPr>
        <w:numPr>
          <w:ilvl w:val="0"/>
          <w:numId w:val="44"/>
        </w:numPr>
        <w:tabs>
          <w:tab w:val="left" w:pos="1155"/>
        </w:tabs>
        <w:spacing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报价最高的投标人为中标候选人的，评标委员会应当对其报价的合理性予以特别说明。</w:t>
      </w:r>
    </w:p>
    <w:p>
      <w:pPr>
        <w:tabs>
          <w:tab w:val="left" w:pos="1155"/>
        </w:tabs>
        <w:spacing w:line="560" w:lineRule="exact"/>
        <w:ind w:firstLine="523" w:firstLineChars="18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keepNext/>
        <w:keepLines/>
        <w:numPr>
          <w:ilvl w:val="1"/>
          <w:numId w:val="1"/>
        </w:numPr>
        <w:spacing w:line="360" w:lineRule="auto"/>
        <w:jc w:val="left"/>
        <w:outlineLvl w:val="1"/>
        <w:rPr>
          <w:rFonts w:ascii="宋体" w:hAnsi="宋体"/>
          <w:b/>
          <w:bCs/>
          <w:color w:val="000000" w:themeColor="text1"/>
          <w:sz w:val="28"/>
          <w:szCs w:val="28"/>
          <w14:textFill>
            <w14:solidFill>
              <w14:schemeClr w14:val="tx1"/>
            </w14:solidFill>
          </w14:textFill>
        </w:rPr>
      </w:pPr>
      <w:bookmarkStart w:id="163" w:name="_Toc76541370"/>
      <w:r>
        <w:rPr>
          <w:rFonts w:hint="eastAsia" w:ascii="宋体" w:hAnsi="宋体"/>
          <w:b/>
          <w:bCs/>
          <w:color w:val="000000" w:themeColor="text1"/>
          <w:sz w:val="28"/>
          <w:szCs w:val="28"/>
          <w14:textFill>
            <w14:solidFill>
              <w14:schemeClr w14:val="tx1"/>
            </w14:solidFill>
          </w14:textFill>
        </w:rPr>
        <w:t>评标争议处理规则</w:t>
      </w:r>
      <w:bookmarkEnd w:id="163"/>
    </w:p>
    <w:p>
      <w:pPr>
        <w:tabs>
          <w:tab w:val="left" w:pos="1155"/>
        </w:tabs>
        <w:spacing w:line="560" w:lineRule="exact"/>
        <w:ind w:firstLine="523" w:firstLineChars="18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评标委员会在评审过程中，对于符合性审查、对投标人文件做无效投标处理及其他需要共同认定的事项存在争议的，应当以少数服从多数的原则做出结论，但不得违背法律法规和招标文件规定。</w:t>
      </w:r>
      <w:r>
        <w:rPr>
          <w:rFonts w:hint="eastAsia" w:cs="Arial"/>
          <w:color w:val="000000" w:themeColor="text1"/>
          <w:sz w:val="28"/>
          <w:szCs w:val="28"/>
          <w14:textFill>
            <w14:solidFill>
              <w14:schemeClr w14:val="tx1"/>
            </w14:solidFill>
          </w14:textFill>
        </w:rPr>
        <w:t>持不同意见的评标委员会成员应当在评标报告上签署不同意见及理由，否则视为同意评标报告。</w:t>
      </w:r>
      <w:r>
        <w:rPr>
          <w:rFonts w:hint="eastAsia" w:ascii="宋体" w:hAnsi="宋体"/>
          <w:color w:val="000000" w:themeColor="text1"/>
          <w:sz w:val="28"/>
          <w:szCs w:val="28"/>
          <w14:textFill>
            <w14:solidFill>
              <w14:schemeClr w14:val="tx1"/>
            </w14:solidFill>
          </w14:textFill>
        </w:rPr>
        <w:t>持不同意见的评标委员会成员认为认定过程和结果不符合法律法规或者招标文件规定的，应当及时向采购人或</w:t>
      </w:r>
      <w:r>
        <w:rPr>
          <w:rFonts w:hint="eastAsia" w:cs="Arial"/>
          <w:color w:val="000000" w:themeColor="text1"/>
          <w:sz w:val="28"/>
          <w:szCs w:val="28"/>
          <w14:textFill>
            <w14:solidFill>
              <w14:schemeClr w14:val="tx1"/>
            </w14:solidFill>
          </w14:textFill>
        </w:rPr>
        <w:t>成都市青羊区政府采购服务中心</w:t>
      </w:r>
      <w:r>
        <w:rPr>
          <w:rFonts w:hint="eastAsia" w:ascii="宋体" w:hAnsi="宋体"/>
          <w:color w:val="000000" w:themeColor="text1"/>
          <w:sz w:val="28"/>
          <w:szCs w:val="28"/>
          <w14:textFill>
            <w14:solidFill>
              <w14:schemeClr w14:val="tx1"/>
            </w14:solidFill>
          </w14:textFill>
        </w:rPr>
        <w:t>书面反映。采购人或</w:t>
      </w:r>
      <w:r>
        <w:rPr>
          <w:rFonts w:hint="eastAsia" w:cs="Arial"/>
          <w:color w:val="000000" w:themeColor="text1"/>
          <w:sz w:val="28"/>
          <w:szCs w:val="28"/>
          <w14:textFill>
            <w14:solidFill>
              <w14:schemeClr w14:val="tx1"/>
            </w14:solidFill>
          </w14:textFill>
        </w:rPr>
        <w:t>成都市青羊区政府采购服务中心</w:t>
      </w:r>
      <w:r>
        <w:rPr>
          <w:rFonts w:hint="eastAsia" w:ascii="宋体" w:hAnsi="宋体"/>
          <w:color w:val="000000" w:themeColor="text1"/>
          <w:sz w:val="28"/>
          <w:szCs w:val="28"/>
          <w14:textFill>
            <w14:solidFill>
              <w14:schemeClr w14:val="tx1"/>
            </w14:solidFill>
          </w14:textFill>
        </w:rPr>
        <w:t>收到书面反映后，应当书面报告采购项目同级财政部门依法处理。</w:t>
      </w:r>
    </w:p>
    <w:p>
      <w:pPr>
        <w:rPr>
          <w:rFonts w:ascii="宋体" w:hAnsi="宋体"/>
          <w:b/>
          <w:color w:val="000000" w:themeColor="text1"/>
          <w:sz w:val="28"/>
          <w:szCs w:val="28"/>
          <w14:textFill>
            <w14:solidFill>
              <w14:schemeClr w14:val="tx1"/>
            </w14:solidFill>
          </w14:textFill>
        </w:rPr>
      </w:pPr>
      <w:bookmarkStart w:id="164" w:name="_Toc76541371"/>
      <w:r>
        <w:rPr>
          <w:rFonts w:hint="eastAsia" w:ascii="宋体" w:hAnsi="宋体"/>
          <w:b/>
          <w:color w:val="000000" w:themeColor="text1"/>
          <w:sz w:val="28"/>
          <w:szCs w:val="28"/>
          <w14:textFill>
            <w14:solidFill>
              <w14:schemeClr w14:val="tx1"/>
            </w14:solidFill>
          </w14:textFill>
        </w:rPr>
        <w:t>6</w:t>
      </w:r>
      <w:r>
        <w:rPr>
          <w:rFonts w:ascii="宋体" w:hAnsi="宋体"/>
          <w:b/>
          <w:color w:val="000000" w:themeColor="text1"/>
          <w:sz w:val="28"/>
          <w:szCs w:val="28"/>
          <w14:textFill>
            <w14:solidFill>
              <w14:schemeClr w14:val="tx1"/>
            </w14:solidFill>
          </w14:textFill>
        </w:rPr>
        <w:t>.</w:t>
      </w:r>
      <w:r>
        <w:rPr>
          <w:rFonts w:ascii="宋体" w:hAnsi="宋体"/>
          <w:b/>
          <w:bCs/>
          <w:color w:val="000000" w:themeColor="text1"/>
          <w:sz w:val="28"/>
          <w:szCs w:val="28"/>
          <w14:textFill>
            <w14:solidFill>
              <w14:schemeClr w14:val="tx1"/>
            </w14:solidFill>
          </w14:textFill>
        </w:rPr>
        <w:t>5</w:t>
      </w:r>
      <w:r>
        <w:rPr>
          <w:rFonts w:hint="eastAsia" w:ascii="宋体" w:hAnsi="宋体"/>
          <w:b/>
          <w:bCs/>
          <w:color w:val="000000" w:themeColor="text1"/>
          <w:sz w:val="28"/>
          <w:szCs w:val="28"/>
          <w14:textFill>
            <w14:solidFill>
              <w14:schemeClr w14:val="tx1"/>
            </w14:solidFill>
          </w14:textFill>
        </w:rPr>
        <w:t>评标细则及标准</w:t>
      </w:r>
      <w:bookmarkEnd w:id="164"/>
    </w:p>
    <w:p>
      <w:pPr>
        <w:numPr>
          <w:ilvl w:val="0"/>
          <w:numId w:val="45"/>
        </w:numPr>
        <w:tabs>
          <w:tab w:val="left" w:pos="1155"/>
        </w:tabs>
        <w:spacing w:line="360" w:lineRule="auto"/>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评标委员会只对通过资格和符合性审查的投标文件，根据招标文件的要求采用相同的评标程序、评标办法及标准进行评价和比较。</w:t>
      </w:r>
    </w:p>
    <w:p>
      <w:pPr>
        <w:numPr>
          <w:ilvl w:val="0"/>
          <w:numId w:val="45"/>
        </w:numPr>
        <w:tabs>
          <w:tab w:val="left" w:pos="1155"/>
        </w:tabs>
        <w:spacing w:line="360" w:lineRule="auto"/>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招标文件第4章技术、服务、商务要求及其他要求中加“★”号的条款为招标文件的实质性要求。</w:t>
      </w:r>
    </w:p>
    <w:p>
      <w:pPr>
        <w:numPr>
          <w:ilvl w:val="0"/>
          <w:numId w:val="45"/>
        </w:numPr>
        <w:tabs>
          <w:tab w:val="left" w:pos="1155"/>
        </w:tabs>
        <w:spacing w:line="360" w:lineRule="auto"/>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价格扣除</w:t>
      </w:r>
    </w:p>
    <w:p>
      <w:pPr>
        <w:tabs>
          <w:tab w:val="left" w:pos="1155"/>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对小型和微型企业、监狱企业或残疾人福利性单位制造的产品的价格（如涉及）给予10%的价格扣除，按扣除后的价格参与评审。</w:t>
      </w:r>
    </w:p>
    <w:p>
      <w:pPr>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6</w:t>
      </w:r>
      <w:r>
        <w:rPr>
          <w:rFonts w:ascii="宋体" w:hAnsi="宋体"/>
          <w:b/>
          <w:color w:val="000000" w:themeColor="text1"/>
          <w:sz w:val="28"/>
          <w:szCs w:val="28"/>
          <w14:textFill>
            <w14:solidFill>
              <w14:schemeClr w14:val="tx1"/>
            </w14:solidFill>
          </w14:textFill>
        </w:rPr>
        <w:t>.5.1</w:t>
      </w:r>
      <w:r>
        <w:rPr>
          <w:rFonts w:hint="eastAsia" w:ascii="宋体" w:hAnsi="宋体"/>
          <w:b/>
          <w:color w:val="000000" w:themeColor="text1"/>
          <w:sz w:val="28"/>
          <w:szCs w:val="28"/>
          <w14:textFill>
            <w14:solidFill>
              <w14:schemeClr w14:val="tx1"/>
            </w14:solidFill>
          </w14:textFill>
        </w:rPr>
        <w:t>评标办法</w:t>
      </w:r>
    </w:p>
    <w:p>
      <w:pPr>
        <w:spacing w:line="560" w:lineRule="exact"/>
        <w:ind w:firstLine="630" w:firstLineChars="2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本次评审采用综合评分法，由评审委员会各成员独立对通过初审（资格检查和符合性检查）的供应商的响应文件进行评审和打分，    </w:t>
      </w:r>
    </w:p>
    <w:p>
      <w:pPr>
        <w:spacing w:line="560" w:lineRule="exact"/>
        <w:ind w:firstLine="630" w:firstLineChars="2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评审得分＝（A</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＋A</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＋……＋A</w:t>
      </w:r>
      <w:r>
        <w:rPr>
          <w:rFonts w:hint="eastAsia" w:ascii="宋体" w:hAnsi="宋体"/>
          <w:color w:val="000000" w:themeColor="text1"/>
          <w:sz w:val="28"/>
          <w:szCs w:val="28"/>
          <w:vertAlign w:val="subscript"/>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）/n</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+（B</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＋B</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＋……＋B</w:t>
      </w:r>
      <w:r>
        <w:rPr>
          <w:rFonts w:hint="eastAsia" w:ascii="宋体" w:hAnsi="宋体"/>
          <w:color w:val="000000" w:themeColor="text1"/>
          <w:sz w:val="28"/>
          <w:szCs w:val="28"/>
          <w:vertAlign w:val="subscript"/>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 n</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+（C</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＋C</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＋……＋C</w:t>
      </w:r>
      <w:r>
        <w:rPr>
          <w:rFonts w:hint="eastAsia" w:ascii="宋体" w:hAnsi="宋体"/>
          <w:color w:val="000000" w:themeColor="text1"/>
          <w:sz w:val="28"/>
          <w:szCs w:val="28"/>
          <w:vertAlign w:val="subscript"/>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 n</w:t>
      </w:r>
      <w:r>
        <w:rPr>
          <w:rFonts w:hint="eastAsia" w:ascii="宋体" w:hAnsi="宋体"/>
          <w:color w:val="000000" w:themeColor="text1"/>
          <w:sz w:val="28"/>
          <w:szCs w:val="28"/>
          <w:vertAlign w:val="subscript"/>
          <w14:textFill>
            <w14:solidFill>
              <w14:schemeClr w14:val="tx1"/>
            </w14:solidFill>
          </w14:textFill>
        </w:rPr>
        <w:t>3</w:t>
      </w:r>
    </w:p>
    <w:p>
      <w:pPr>
        <w:spacing w:line="360" w:lineRule="auto"/>
        <w:ind w:firstLine="560" w:firstLineChars="200"/>
        <w:rPr>
          <w:rFonts w:ascii="宋体" w:hAnsi="宋体"/>
          <w:b/>
          <w:bCs/>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A</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、A</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……A</w:t>
      </w:r>
      <w:r>
        <w:rPr>
          <w:rFonts w:hint="eastAsia" w:ascii="宋体" w:hAnsi="宋体"/>
          <w:color w:val="000000" w:themeColor="text1"/>
          <w:sz w:val="28"/>
          <w:szCs w:val="28"/>
          <w:vertAlign w:val="subscript"/>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分别为每个</w:t>
      </w:r>
      <w:r>
        <w:rPr>
          <w:rFonts w:hint="eastAsia" w:ascii="宋体" w:hAnsi="宋体" w:cs="宋体"/>
          <w:color w:val="000000" w:themeColor="text1"/>
          <w:kern w:val="0"/>
          <w:sz w:val="28"/>
          <w:szCs w:val="28"/>
          <w14:textFill>
            <w14:solidFill>
              <w14:schemeClr w14:val="tx1"/>
            </w14:solidFill>
          </w14:textFill>
        </w:rPr>
        <w:t>经济类</w:t>
      </w:r>
      <w:r>
        <w:rPr>
          <w:rFonts w:hint="eastAsia" w:ascii="宋体" w:hAnsi="宋体"/>
          <w:color w:val="000000" w:themeColor="text1"/>
          <w:sz w:val="28"/>
          <w:szCs w:val="28"/>
          <w14:textFill>
            <w14:solidFill>
              <w14:schemeClr w14:val="tx1"/>
            </w14:solidFill>
          </w14:textFill>
        </w:rPr>
        <w:t>评委的打分，n</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为</w:t>
      </w:r>
      <w:r>
        <w:rPr>
          <w:rFonts w:hint="eastAsia" w:ascii="宋体" w:hAnsi="宋体" w:cs="宋体"/>
          <w:color w:val="000000" w:themeColor="text1"/>
          <w:kern w:val="0"/>
          <w:sz w:val="28"/>
          <w:szCs w:val="28"/>
          <w14:textFill>
            <w14:solidFill>
              <w14:schemeClr w14:val="tx1"/>
            </w14:solidFill>
          </w14:textFill>
        </w:rPr>
        <w:t>经济类</w:t>
      </w:r>
      <w:r>
        <w:rPr>
          <w:rFonts w:hint="eastAsia" w:ascii="宋体" w:hAnsi="宋体"/>
          <w:color w:val="000000" w:themeColor="text1"/>
          <w:sz w:val="28"/>
          <w:szCs w:val="28"/>
          <w14:textFill>
            <w14:solidFill>
              <w14:schemeClr w14:val="tx1"/>
            </w14:solidFill>
          </w14:textFill>
        </w:rPr>
        <w:t>评委人数；B</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、B</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＋……B</w:t>
      </w:r>
      <w:r>
        <w:rPr>
          <w:rFonts w:hint="eastAsia" w:ascii="宋体" w:hAnsi="宋体"/>
          <w:color w:val="000000" w:themeColor="text1"/>
          <w:sz w:val="28"/>
          <w:szCs w:val="28"/>
          <w:vertAlign w:val="subscript"/>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 xml:space="preserve"> 分别为每个技术类评委（含采购人代表）的打分，n</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为</w:t>
      </w:r>
      <w:r>
        <w:rPr>
          <w:rFonts w:hint="eastAsia" w:ascii="宋体" w:hAnsi="宋体" w:cs="宋体"/>
          <w:color w:val="000000" w:themeColor="text1"/>
          <w:kern w:val="0"/>
          <w:sz w:val="28"/>
          <w:szCs w:val="28"/>
          <w14:textFill>
            <w14:solidFill>
              <w14:schemeClr w14:val="tx1"/>
            </w14:solidFill>
          </w14:textFill>
        </w:rPr>
        <w:t>技术类</w:t>
      </w:r>
      <w:r>
        <w:rPr>
          <w:rFonts w:hint="eastAsia" w:ascii="宋体" w:hAnsi="宋体"/>
          <w:color w:val="000000" w:themeColor="text1"/>
          <w:sz w:val="28"/>
          <w:szCs w:val="28"/>
          <w14:textFill>
            <w14:solidFill>
              <w14:schemeClr w14:val="tx1"/>
            </w14:solidFill>
          </w14:textFill>
        </w:rPr>
        <w:t>评委（含采购人代表）人数；C</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、C</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……C</w:t>
      </w:r>
      <w:r>
        <w:rPr>
          <w:rFonts w:hint="eastAsia" w:ascii="宋体" w:hAnsi="宋体"/>
          <w:color w:val="000000" w:themeColor="text1"/>
          <w:sz w:val="28"/>
          <w:szCs w:val="28"/>
          <w:vertAlign w:val="subscript"/>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 xml:space="preserve"> 分别为评审委员会每个成员的打分，n</w:t>
      </w:r>
      <w:r>
        <w:rPr>
          <w:rFonts w:hint="eastAsia" w:ascii="宋体" w:hAnsi="宋体"/>
          <w:color w:val="000000" w:themeColor="text1"/>
          <w:sz w:val="28"/>
          <w:szCs w:val="28"/>
          <w:vertAlign w:val="subscript"/>
          <w14:textFill>
            <w14:solidFill>
              <w14:schemeClr w14:val="tx1"/>
            </w14:solidFill>
          </w14:textFill>
        </w:rPr>
        <w:t>3</w:t>
      </w:r>
      <w:r>
        <w:rPr>
          <w:rFonts w:hint="eastAsia" w:ascii="宋体" w:hAnsi="宋体"/>
          <w:color w:val="000000" w:themeColor="text1"/>
          <w:sz w:val="28"/>
          <w:szCs w:val="28"/>
          <w14:textFill>
            <w14:solidFill>
              <w14:schemeClr w14:val="tx1"/>
            </w14:solidFill>
          </w14:textFill>
        </w:rPr>
        <w:t>为评委人数。</w:t>
      </w:r>
    </w:p>
    <w:p>
      <w:pPr>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6</w:t>
      </w:r>
      <w:r>
        <w:rPr>
          <w:rFonts w:ascii="宋体" w:hAnsi="宋体"/>
          <w:b/>
          <w:color w:val="000000" w:themeColor="text1"/>
          <w:sz w:val="28"/>
          <w:szCs w:val="28"/>
          <w14:textFill>
            <w14:solidFill>
              <w14:schemeClr w14:val="tx1"/>
            </w14:solidFill>
          </w14:textFill>
        </w:rPr>
        <w:t>.5.2</w:t>
      </w:r>
      <w:r>
        <w:rPr>
          <w:rFonts w:hint="eastAsia" w:ascii="宋体" w:hAnsi="宋体"/>
          <w:b/>
          <w:color w:val="000000" w:themeColor="text1"/>
          <w:sz w:val="28"/>
          <w:szCs w:val="28"/>
          <w14:textFill>
            <w14:solidFill>
              <w14:schemeClr w14:val="tx1"/>
            </w14:solidFill>
          </w14:textFill>
        </w:rPr>
        <w:t>评标标准</w:t>
      </w:r>
    </w:p>
    <w:p>
      <w:pPr>
        <w:rPr>
          <w:bCs/>
          <w:color w:val="000000" w:themeColor="text1"/>
          <w14:textFill>
            <w14:solidFill>
              <w14:schemeClr w14:val="tx1"/>
            </w14:solidFill>
          </w14:textFill>
        </w:rPr>
      </w:pPr>
      <w:r>
        <w:rPr>
          <w:rFonts w:hint="eastAsia"/>
          <w:bCs/>
          <w:color w:val="000000" w:themeColor="text1"/>
          <w:sz w:val="28"/>
          <w:szCs w:val="28"/>
          <w14:textFill>
            <w14:solidFill>
              <w14:schemeClr w14:val="tx1"/>
            </w14:solidFill>
          </w14:textFill>
        </w:rPr>
        <w:t>核心产品为：</w:t>
      </w:r>
      <w:r>
        <w:rPr>
          <w:rFonts w:hint="eastAsia"/>
          <w:bCs/>
          <w:color w:val="000000" w:themeColor="text1"/>
          <w14:textFill>
            <w14:solidFill>
              <w14:schemeClr w14:val="tx1"/>
            </w14:solidFill>
          </w14:textFill>
        </w:rPr>
        <w:t>超短焦激光一体机、融合支持平台</w:t>
      </w:r>
    </w:p>
    <w:tbl>
      <w:tblPr>
        <w:tblStyle w:val="43"/>
        <w:tblpPr w:leftFromText="180" w:rightFromText="180" w:vertAnchor="text" w:tblpY="1"/>
        <w:tblOverlap w:val="never"/>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135"/>
        <w:gridCol w:w="1127"/>
        <w:gridCol w:w="61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4" w:type="dxa"/>
            <w:vAlign w:val="center"/>
          </w:tcPr>
          <w:p>
            <w:pPr>
              <w:widowControl/>
              <w:spacing w:line="276" w:lineRule="auto"/>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序号</w:t>
            </w:r>
          </w:p>
        </w:tc>
        <w:tc>
          <w:tcPr>
            <w:tcW w:w="1135" w:type="dxa"/>
            <w:vAlign w:val="center"/>
          </w:tcPr>
          <w:p>
            <w:pPr>
              <w:widowControl/>
              <w:spacing w:line="276" w:lineRule="auto"/>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评分因素</w:t>
            </w:r>
          </w:p>
        </w:tc>
        <w:tc>
          <w:tcPr>
            <w:tcW w:w="1127" w:type="dxa"/>
            <w:vAlign w:val="center"/>
          </w:tcPr>
          <w:p>
            <w:pPr>
              <w:widowControl/>
              <w:spacing w:line="276" w:lineRule="auto"/>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分值</w:t>
            </w:r>
          </w:p>
        </w:tc>
        <w:tc>
          <w:tcPr>
            <w:tcW w:w="6101" w:type="dxa"/>
            <w:vAlign w:val="center"/>
          </w:tcPr>
          <w:p>
            <w:pPr>
              <w:widowControl/>
              <w:spacing w:line="276" w:lineRule="auto"/>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4" w:type="dxa"/>
            <w:vAlign w:val="center"/>
          </w:tcPr>
          <w:p>
            <w:pPr>
              <w:widowControl/>
              <w:spacing w:line="276" w:lineRule="auto"/>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评审委员会成员</w:t>
            </w:r>
          </w:p>
        </w:tc>
        <w:tc>
          <w:tcPr>
            <w:tcW w:w="1135" w:type="dxa"/>
            <w:vAlign w:val="center"/>
          </w:tcPr>
          <w:p>
            <w:pPr>
              <w:widowControl/>
              <w:spacing w:line="276" w:lineRule="auto"/>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投标报价</w:t>
            </w:r>
          </w:p>
        </w:tc>
        <w:tc>
          <w:tcPr>
            <w:tcW w:w="1127" w:type="dxa"/>
            <w:vAlign w:val="center"/>
          </w:tcPr>
          <w:p>
            <w:pPr>
              <w:widowControl/>
              <w:spacing w:line="276" w:lineRule="auto"/>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35分</w:t>
            </w:r>
          </w:p>
        </w:tc>
        <w:tc>
          <w:tcPr>
            <w:tcW w:w="6101" w:type="dxa"/>
            <w:vAlign w:val="center"/>
          </w:tcPr>
          <w:p>
            <w:pPr>
              <w:spacing w:line="276" w:lineRule="auto"/>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1、根据《政府采购促进中小企业发展管理办法》（财库[2020]46</w:t>
            </w:r>
            <w:r>
              <w:rPr>
                <w:rFonts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号）的规定，对小型和微型企业、监狱企业或残疾人福利性单位制造的产品的价格（如涉及）给予10%的价格扣除，用扣除后的价格参与评审；</w:t>
            </w:r>
          </w:p>
          <w:p>
            <w:pPr>
              <w:spacing w:line="276" w:lineRule="auto"/>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2、经评标委员会评审，通过资格性和符合性审查，且投标报价最低的投标人的投标报价作为评标基准价；</w:t>
            </w:r>
          </w:p>
          <w:p>
            <w:pPr>
              <w:widowControl/>
              <w:spacing w:line="276" w:lineRule="auto"/>
              <w:rPr>
                <w:rFonts w:ascii="宋体" w:hAnsi="宋体" w:cs="宋体"/>
                <w:color w:val="000000" w:themeColor="text1"/>
                <w:kern w:val="0"/>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3、投标报价得分=(评标基准价／投标报价)×35。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4" w:type="dxa"/>
            <w:vAlign w:val="center"/>
          </w:tcPr>
          <w:p>
            <w:pPr>
              <w:widowControl/>
              <w:spacing w:line="276" w:lineRule="auto"/>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评审委员会成员</w:t>
            </w:r>
          </w:p>
        </w:tc>
        <w:tc>
          <w:tcPr>
            <w:tcW w:w="1135" w:type="dxa"/>
            <w:vAlign w:val="center"/>
          </w:tcPr>
          <w:p>
            <w:pPr>
              <w:widowControl/>
              <w:spacing w:line="276" w:lineRule="auto"/>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投标供应商综合实力及信誉</w:t>
            </w:r>
          </w:p>
        </w:tc>
        <w:tc>
          <w:tcPr>
            <w:tcW w:w="1127" w:type="dxa"/>
            <w:vAlign w:val="center"/>
          </w:tcPr>
          <w:p>
            <w:pPr>
              <w:widowControl/>
              <w:spacing w:line="276" w:lineRule="auto"/>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5分</w:t>
            </w:r>
          </w:p>
        </w:tc>
        <w:tc>
          <w:tcPr>
            <w:tcW w:w="6101" w:type="dxa"/>
            <w:vAlign w:val="center"/>
          </w:tcPr>
          <w:p>
            <w:pPr>
              <w:widowControl/>
              <w:spacing w:line="276" w:lineRule="auto"/>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1、按照投标人2018年1月1日以来信息系统集成成功案例，每具有一项得0.5分，最多得3分。（提供合同复印件）</w:t>
            </w:r>
          </w:p>
          <w:p>
            <w:pPr>
              <w:widowControl/>
              <w:spacing w:line="276" w:lineRule="auto"/>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2、投标人通过质量管理体系认证、环境管理体系认证、职业健康安全管理体系认证、信息安全管理体系认证，每有一项得0.5分，最多得2分。（提供证书复印件并加盖投标人公章）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4" w:type="dxa"/>
            <w:vAlign w:val="center"/>
          </w:tcPr>
          <w:p>
            <w:pPr>
              <w:widowControl/>
              <w:spacing w:line="276" w:lineRule="auto"/>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技术类评委</w:t>
            </w:r>
          </w:p>
        </w:tc>
        <w:tc>
          <w:tcPr>
            <w:tcW w:w="1135" w:type="dxa"/>
            <w:vAlign w:val="center"/>
          </w:tcPr>
          <w:p>
            <w:pPr>
              <w:widowControl/>
              <w:spacing w:line="276" w:lineRule="auto"/>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技术指标和配置</w:t>
            </w:r>
          </w:p>
        </w:tc>
        <w:tc>
          <w:tcPr>
            <w:tcW w:w="1127" w:type="dxa"/>
            <w:vAlign w:val="center"/>
          </w:tcPr>
          <w:p>
            <w:pPr>
              <w:widowControl/>
              <w:spacing w:line="276" w:lineRule="auto"/>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w:t>
            </w:r>
            <w:r>
              <w:rPr>
                <w:rFonts w:ascii="宋体" w:hAnsi="宋体" w:cs="宋体"/>
                <w:color w:val="000000" w:themeColor="text1"/>
                <w:kern w:val="0"/>
                <w:szCs w:val="21"/>
                <w14:textFill>
                  <w14:solidFill>
                    <w14:schemeClr w14:val="tx1"/>
                  </w14:solidFill>
                </w14:textFill>
              </w:rPr>
              <w:t>2</w:t>
            </w:r>
            <w:r>
              <w:rPr>
                <w:rFonts w:hint="eastAsia" w:ascii="宋体" w:hAnsi="宋体" w:cs="宋体"/>
                <w:color w:val="000000" w:themeColor="text1"/>
                <w:kern w:val="0"/>
                <w:szCs w:val="21"/>
                <w14:textFill>
                  <w14:solidFill>
                    <w14:schemeClr w14:val="tx1"/>
                  </w14:solidFill>
                </w14:textFill>
              </w:rPr>
              <w:t>分</w:t>
            </w:r>
          </w:p>
        </w:tc>
        <w:tc>
          <w:tcPr>
            <w:tcW w:w="6101" w:type="dxa"/>
            <w:vAlign w:val="center"/>
          </w:tcPr>
          <w:p>
            <w:pPr>
              <w:autoSpaceDN w:val="0"/>
              <w:snapToGrid w:val="0"/>
              <w:spacing w:line="276"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、投标人针对招标文件中的一般技术参数条款的响应要求如下：一般技术参数条款指第四章“技术参数”中的每一项“序号”中的条款（标注“▲”的条款除外），共</w:t>
            </w:r>
            <w:r>
              <w:rPr>
                <w:rFonts w:ascii="宋体" w:hAnsi="宋体"/>
                <w:color w:val="000000" w:themeColor="text1"/>
                <w:szCs w:val="21"/>
                <w14:textFill>
                  <w14:solidFill>
                    <w14:schemeClr w14:val="tx1"/>
                  </w14:solidFill>
                </w14:textFill>
              </w:rPr>
              <w:t>20</w:t>
            </w:r>
            <w:r>
              <w:rPr>
                <w:rFonts w:hint="eastAsia" w:ascii="宋体" w:hAnsi="宋体"/>
                <w:color w:val="000000" w:themeColor="text1"/>
                <w:szCs w:val="21"/>
                <w14:textFill>
                  <w14:solidFill>
                    <w14:schemeClr w14:val="tx1"/>
                  </w14:solidFill>
                </w14:textFill>
              </w:rPr>
              <w:t>0项;认定方法为：技术参数 “序号”中的条款整体认定为一项，完全满足得</w:t>
            </w:r>
            <w:r>
              <w:rPr>
                <w:rFonts w:ascii="宋体" w:hAnsi="宋体"/>
                <w:color w:val="000000" w:themeColor="text1"/>
                <w:szCs w:val="21"/>
                <w14:textFill>
                  <w14:solidFill>
                    <w14:schemeClr w14:val="tx1"/>
                  </w14:solidFill>
                </w14:textFill>
              </w:rPr>
              <w:t>20</w:t>
            </w:r>
            <w:r>
              <w:rPr>
                <w:rFonts w:hint="eastAsia" w:ascii="宋体" w:hAnsi="宋体"/>
                <w:color w:val="000000" w:themeColor="text1"/>
                <w:szCs w:val="21"/>
                <w14:textFill>
                  <w14:solidFill>
                    <w14:schemeClr w14:val="tx1"/>
                  </w14:solidFill>
                </w14:textFill>
              </w:rPr>
              <w:t>分，一项不满足扣</w:t>
            </w:r>
            <w:r>
              <w:rPr>
                <w:rFonts w:ascii="宋体" w:hAnsi="宋体"/>
                <w:color w:val="000000" w:themeColor="text1"/>
                <w:szCs w:val="21"/>
                <w14:textFill>
                  <w14:solidFill>
                    <w14:schemeClr w14:val="tx1"/>
                  </w14:solidFill>
                </w14:textFill>
              </w:rPr>
              <w:t>0.1</w:t>
            </w:r>
            <w:r>
              <w:rPr>
                <w:rFonts w:hint="eastAsia" w:ascii="宋体" w:hAnsi="宋体"/>
                <w:color w:val="000000" w:themeColor="text1"/>
                <w:szCs w:val="21"/>
                <w14:textFill>
                  <w14:solidFill>
                    <w14:schemeClr w14:val="tx1"/>
                  </w14:solidFill>
                </w14:textFill>
              </w:rPr>
              <w:t>分，扣完为止。</w:t>
            </w:r>
          </w:p>
          <w:p>
            <w:pPr>
              <w:autoSpaceDN w:val="0"/>
              <w:snapToGrid w:val="0"/>
              <w:spacing w:line="276"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w:t>
            </w:r>
            <w:r>
              <w:rPr>
                <w:rFonts w:hint="eastAsia" w:ascii="宋体" w:hAnsi="宋体"/>
                <w:color w:val="000000" w:themeColor="text1"/>
                <w:szCs w:val="21"/>
                <w14:textFill>
                  <w14:solidFill>
                    <w14:schemeClr w14:val="tx1"/>
                  </w14:solidFill>
                </w14:textFill>
              </w:rPr>
              <w:t>、投标人针对招标文件 “▲”技术参数条款的响应得分规则如下，“▲”技术参数条款数量：</w:t>
            </w:r>
            <w:r>
              <w:rPr>
                <w:rFonts w:ascii="宋体" w:hAnsi="宋体"/>
                <w:color w:val="000000" w:themeColor="text1"/>
                <w:szCs w:val="21"/>
                <w14:textFill>
                  <w14:solidFill>
                    <w14:schemeClr w14:val="tx1"/>
                  </w14:solidFill>
                </w14:textFill>
              </w:rPr>
              <w:t>12</w:t>
            </w:r>
            <w:r>
              <w:rPr>
                <w:rFonts w:hint="eastAsia" w:ascii="宋体" w:hAnsi="宋体"/>
                <w:color w:val="000000" w:themeColor="text1"/>
                <w:szCs w:val="21"/>
                <w14:textFill>
                  <w14:solidFill>
                    <w14:schemeClr w14:val="tx1"/>
                  </w14:solidFill>
                </w14:textFill>
              </w:rPr>
              <w:t>条：完全满足标注“▲”的技术参数要求得12分，有一条不满足扣</w:t>
            </w: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分，扣完为止。</w:t>
            </w:r>
          </w:p>
          <w:p>
            <w:pPr>
              <w:autoSpaceDN w:val="0"/>
              <w:snapToGrid w:val="0"/>
              <w:spacing w:line="276"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注：①针对“▲”条款的技术响应，投标人需提供技术支撑材料（如产品检测报告或向社会公开的产品彩页或产品说明书等），但如果招标文件技术参数要求中的“▲”技术条款对技术支撑材料有要求，应按要求提供，否则对应技术参数条款将视为不满足。</w:t>
            </w:r>
          </w:p>
          <w:p>
            <w:pPr>
              <w:spacing w:line="276"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②针对一般条款的技术响应，如果招标文件技术参数要求中技术参数条款对技术支撑材料有要求，应按要求提供，否则对应技术参数条款将视为不满足。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4" w:type="dxa"/>
            <w:vMerge w:val="restart"/>
            <w:vAlign w:val="center"/>
          </w:tcPr>
          <w:p>
            <w:pPr>
              <w:widowControl/>
              <w:spacing w:line="276" w:lineRule="auto"/>
              <w:jc w:val="center"/>
              <w:rPr>
                <w:rFonts w:ascii="宋体" w:hAnsi="宋体" w:cs="宋体"/>
                <w:color w:val="000000" w:themeColor="text1"/>
                <w:kern w:val="0"/>
                <w:szCs w:val="21"/>
                <w14:textFill>
                  <w14:solidFill>
                    <w14:schemeClr w14:val="tx1"/>
                  </w14:solidFill>
                </w14:textFill>
              </w:rPr>
            </w:pPr>
          </w:p>
        </w:tc>
        <w:tc>
          <w:tcPr>
            <w:tcW w:w="1135" w:type="dxa"/>
            <w:vMerge w:val="restart"/>
            <w:vAlign w:val="center"/>
          </w:tcPr>
          <w:p>
            <w:pPr>
              <w:widowControl/>
              <w:spacing w:line="276" w:lineRule="auto"/>
              <w:jc w:val="center"/>
              <w:rPr>
                <w:rFonts w:ascii="宋体" w:hAnsi="宋体" w:cs="宋体"/>
                <w:color w:val="000000" w:themeColor="text1"/>
                <w:kern w:val="0"/>
                <w:szCs w:val="21"/>
                <w14:textFill>
                  <w14:solidFill>
                    <w14:schemeClr w14:val="tx1"/>
                  </w14:solidFill>
                </w14:textFill>
              </w:rPr>
            </w:pPr>
          </w:p>
        </w:tc>
        <w:tc>
          <w:tcPr>
            <w:tcW w:w="1127" w:type="dxa"/>
            <w:vAlign w:val="center"/>
          </w:tcPr>
          <w:p>
            <w:pPr>
              <w:spacing w:line="276" w:lineRule="auto"/>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音响产品</w:t>
            </w:r>
          </w:p>
          <w:p>
            <w:pPr>
              <w:spacing w:line="276" w:lineRule="auto"/>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2</w:t>
            </w:r>
            <w:r>
              <w:rPr>
                <w:rFonts w:hint="eastAsia" w:ascii="宋体" w:hAnsi="宋体" w:cs="宋体"/>
                <w:color w:val="000000" w:themeColor="text1"/>
                <w:kern w:val="0"/>
                <w:szCs w:val="21"/>
                <w14:textFill>
                  <w14:solidFill>
                    <w14:schemeClr w14:val="tx1"/>
                  </w14:solidFill>
                </w14:textFill>
              </w:rPr>
              <w:t>分</w:t>
            </w:r>
          </w:p>
        </w:tc>
        <w:tc>
          <w:tcPr>
            <w:tcW w:w="6101" w:type="dxa"/>
            <w:vAlign w:val="center"/>
          </w:tcPr>
          <w:p>
            <w:pPr>
              <w:widowControl/>
              <w:spacing w:line="276" w:lineRule="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1、所投线性阵列音箱制造商具备有效的质量管理体系认证证书、知识产权管理体系认证证书、售后服务认证证书、信息安全管理体系认证证书，每提供一个证书得</w:t>
            </w:r>
            <w:r>
              <w:rPr>
                <w:rFonts w:ascii="宋体" w:hAnsi="宋体" w:cs="宋体"/>
                <w:color w:val="000000" w:themeColor="text1"/>
                <w:kern w:val="0"/>
                <w:szCs w:val="21"/>
                <w14:textFill>
                  <w14:solidFill>
                    <w14:schemeClr w14:val="tx1"/>
                  </w14:solidFill>
                </w14:textFill>
              </w:rPr>
              <w:t>0.25</w:t>
            </w:r>
            <w:r>
              <w:rPr>
                <w:rFonts w:hint="eastAsia" w:ascii="宋体" w:hAnsi="宋体" w:cs="宋体"/>
                <w:color w:val="000000" w:themeColor="text1"/>
                <w:kern w:val="0"/>
                <w:szCs w:val="21"/>
                <w14:textFill>
                  <w14:solidFill>
                    <w14:schemeClr w14:val="tx1"/>
                  </w14:solidFill>
                </w14:textFill>
              </w:rPr>
              <w:t>分，共计</w:t>
            </w:r>
            <w:r>
              <w:rPr>
                <w:rFonts w:ascii="宋体" w:hAnsi="宋体" w:cs="宋体"/>
                <w:color w:val="000000" w:themeColor="text1"/>
                <w:kern w:val="0"/>
                <w:szCs w:val="21"/>
                <w14:textFill>
                  <w14:solidFill>
                    <w14:schemeClr w14:val="tx1"/>
                  </w14:solidFill>
                </w14:textFill>
              </w:rPr>
              <w:t>1</w:t>
            </w:r>
            <w:r>
              <w:rPr>
                <w:rFonts w:hint="eastAsia" w:ascii="宋体" w:hAnsi="宋体" w:cs="宋体"/>
                <w:color w:val="000000" w:themeColor="text1"/>
                <w:kern w:val="0"/>
                <w:szCs w:val="21"/>
                <w14:textFill>
                  <w14:solidFill>
                    <w14:schemeClr w14:val="tx1"/>
                  </w14:solidFill>
                </w14:textFill>
              </w:rPr>
              <w:t>分；（提供证书复印件并加盖投标人鲜章）</w:t>
            </w:r>
          </w:p>
          <w:p>
            <w:pPr>
              <w:widowControl/>
              <w:spacing w:line="276" w:lineRule="auto"/>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2</w:t>
            </w:r>
            <w:r>
              <w:rPr>
                <w:rFonts w:hint="eastAsia" w:ascii="宋体" w:hAnsi="宋体" w:cs="宋体"/>
                <w:color w:val="000000" w:themeColor="text1"/>
                <w:kern w:val="0"/>
                <w:szCs w:val="21"/>
                <w14:textFill>
                  <w14:solidFill>
                    <w14:schemeClr w14:val="tx1"/>
                  </w14:solidFill>
                </w14:textFill>
              </w:rPr>
              <w:t>、所投反馈抑制器采用的反馈抑制器DSP软件、电源时序器采用的电源时序器控制软件具有计算机软件著作权登记证书，每提供一个证书得</w:t>
            </w:r>
            <w:r>
              <w:rPr>
                <w:rFonts w:ascii="宋体" w:hAnsi="宋体" w:cs="宋体"/>
                <w:color w:val="000000" w:themeColor="text1"/>
                <w:kern w:val="0"/>
                <w:szCs w:val="21"/>
                <w14:textFill>
                  <w14:solidFill>
                    <w14:schemeClr w14:val="tx1"/>
                  </w14:solidFill>
                </w14:textFill>
              </w:rPr>
              <w:t>0.5</w:t>
            </w:r>
            <w:r>
              <w:rPr>
                <w:rFonts w:hint="eastAsia" w:ascii="宋体" w:hAnsi="宋体" w:cs="宋体"/>
                <w:color w:val="000000" w:themeColor="text1"/>
                <w:kern w:val="0"/>
                <w:szCs w:val="21"/>
                <w14:textFill>
                  <w14:solidFill>
                    <w14:schemeClr w14:val="tx1"/>
                  </w14:solidFill>
                </w14:textFill>
              </w:rPr>
              <w:t>分，共计</w:t>
            </w:r>
            <w:r>
              <w:rPr>
                <w:rFonts w:ascii="宋体" w:hAnsi="宋体" w:cs="宋体"/>
                <w:color w:val="000000" w:themeColor="text1"/>
                <w:kern w:val="0"/>
                <w:szCs w:val="21"/>
                <w14:textFill>
                  <w14:solidFill>
                    <w14:schemeClr w14:val="tx1"/>
                  </w14:solidFill>
                </w14:textFill>
              </w:rPr>
              <w:t>1</w:t>
            </w:r>
            <w:r>
              <w:rPr>
                <w:rFonts w:hint="eastAsia" w:ascii="宋体" w:hAnsi="宋体" w:cs="宋体"/>
                <w:color w:val="000000" w:themeColor="text1"/>
                <w:kern w:val="0"/>
                <w:szCs w:val="21"/>
                <w14:textFill>
                  <w14:solidFill>
                    <w14:schemeClr w14:val="tx1"/>
                  </w14:solidFill>
                </w14:textFill>
              </w:rPr>
              <w:t>分；（提供证书复印件并加盖投标人鲜章）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4" w:type="dxa"/>
            <w:vMerge w:val="continue"/>
            <w:vAlign w:val="center"/>
          </w:tcPr>
          <w:p>
            <w:pPr>
              <w:widowControl/>
              <w:spacing w:line="276" w:lineRule="auto"/>
              <w:jc w:val="center"/>
              <w:rPr>
                <w:rFonts w:ascii="宋体" w:hAnsi="宋体" w:cs="宋体"/>
                <w:color w:val="000000" w:themeColor="text1"/>
                <w:kern w:val="0"/>
                <w:szCs w:val="21"/>
                <w14:textFill>
                  <w14:solidFill>
                    <w14:schemeClr w14:val="tx1"/>
                  </w14:solidFill>
                </w14:textFill>
              </w:rPr>
            </w:pPr>
          </w:p>
        </w:tc>
        <w:tc>
          <w:tcPr>
            <w:tcW w:w="1135" w:type="dxa"/>
            <w:vMerge w:val="continue"/>
            <w:vAlign w:val="center"/>
          </w:tcPr>
          <w:p>
            <w:pPr>
              <w:widowControl/>
              <w:spacing w:line="276" w:lineRule="auto"/>
              <w:jc w:val="center"/>
              <w:rPr>
                <w:rFonts w:ascii="宋体" w:hAnsi="宋体" w:cs="宋体"/>
                <w:color w:val="000000" w:themeColor="text1"/>
                <w:kern w:val="0"/>
                <w:szCs w:val="21"/>
                <w14:textFill>
                  <w14:solidFill>
                    <w14:schemeClr w14:val="tx1"/>
                  </w14:solidFill>
                </w14:textFill>
              </w:rPr>
            </w:pPr>
          </w:p>
        </w:tc>
        <w:tc>
          <w:tcPr>
            <w:tcW w:w="1127" w:type="dxa"/>
          </w:tcPr>
          <w:p>
            <w:pPr>
              <w:spacing w:line="276" w:lineRule="auto"/>
              <w:jc w:val="center"/>
              <w:rPr>
                <w:rFonts w:ascii="宋体" w:hAnsi="宋体" w:cs="宋体"/>
                <w:kern w:val="0"/>
                <w:szCs w:val="21"/>
              </w:rPr>
            </w:pPr>
          </w:p>
          <w:p>
            <w:pPr>
              <w:spacing w:line="276" w:lineRule="auto"/>
              <w:jc w:val="center"/>
              <w:rPr>
                <w:rFonts w:ascii="宋体" w:hAnsi="宋体" w:cs="宋体"/>
                <w:kern w:val="0"/>
                <w:szCs w:val="21"/>
              </w:rPr>
            </w:pPr>
          </w:p>
          <w:p>
            <w:pPr>
              <w:spacing w:line="276" w:lineRule="auto"/>
              <w:jc w:val="center"/>
              <w:rPr>
                <w:rFonts w:ascii="宋体" w:hAnsi="宋体" w:cs="宋体"/>
                <w:kern w:val="0"/>
                <w:szCs w:val="21"/>
              </w:rPr>
            </w:pPr>
            <w:r>
              <w:rPr>
                <w:rFonts w:hint="eastAsia" w:ascii="宋体" w:hAnsi="宋体" w:cs="宋体"/>
                <w:kern w:val="0"/>
                <w:szCs w:val="21"/>
              </w:rPr>
              <w:t>LED全彩屏</w:t>
            </w:r>
            <w:r>
              <w:rPr>
                <w:rFonts w:ascii="宋体" w:hAnsi="宋体" w:cs="宋体"/>
                <w:kern w:val="0"/>
                <w:szCs w:val="21"/>
              </w:rPr>
              <w:t>3</w:t>
            </w:r>
            <w:r>
              <w:rPr>
                <w:rFonts w:hint="eastAsia" w:ascii="宋体" w:hAnsi="宋体" w:cs="宋体"/>
                <w:kern w:val="0"/>
                <w:szCs w:val="21"/>
              </w:rPr>
              <w:t>分</w:t>
            </w:r>
          </w:p>
        </w:tc>
        <w:tc>
          <w:tcPr>
            <w:tcW w:w="6101" w:type="dxa"/>
          </w:tcPr>
          <w:p>
            <w:pPr>
              <w:widowControl/>
              <w:spacing w:line="276" w:lineRule="auto"/>
              <w:rPr>
                <w:rFonts w:ascii="宋体" w:hAnsi="宋体" w:cs="宋体"/>
                <w:kern w:val="0"/>
                <w:szCs w:val="21"/>
              </w:rPr>
            </w:pPr>
            <w:r>
              <w:rPr>
                <w:rFonts w:hint="eastAsia" w:ascii="宋体" w:hAnsi="宋体" w:cs="宋体"/>
                <w:kern w:val="0"/>
                <w:szCs w:val="21"/>
              </w:rPr>
              <w:t>1、所投室内LED全彩屏为低蓝光认证标识产品得1分。（提供证书复印件并加盖投标人鲜章）</w:t>
            </w:r>
          </w:p>
          <w:p>
            <w:pPr>
              <w:widowControl/>
              <w:spacing w:line="276" w:lineRule="auto"/>
              <w:rPr>
                <w:rFonts w:ascii="宋体" w:hAnsi="宋体" w:cs="宋体"/>
                <w:kern w:val="0"/>
                <w:szCs w:val="21"/>
              </w:rPr>
            </w:pPr>
            <w:r>
              <w:rPr>
                <w:rFonts w:hint="eastAsia" w:ascii="宋体" w:hAnsi="宋体" w:cs="宋体"/>
                <w:kern w:val="0"/>
                <w:szCs w:val="21"/>
              </w:rPr>
              <w:t>2、所投室内LED全彩屏具备色温亮度自动控制功能得1分。（提供计算机软件著作权证书复印件并加盖投标人鲜章）</w:t>
            </w:r>
          </w:p>
          <w:p>
            <w:r>
              <w:rPr>
                <w:rFonts w:hint="eastAsia" w:ascii="宋体" w:hAnsi="宋体" w:cs="宋体"/>
                <w:kern w:val="0"/>
                <w:szCs w:val="21"/>
              </w:rPr>
              <w:t>3、所投室内LED全彩屏具有图像对比度增强功能得1分。（提供计算机软件著作权证书复印件并加盖投标人鲜章）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4" w:type="dxa"/>
            <w:vMerge w:val="continue"/>
            <w:vAlign w:val="center"/>
          </w:tcPr>
          <w:p>
            <w:pPr>
              <w:widowControl/>
              <w:spacing w:line="276" w:lineRule="auto"/>
              <w:jc w:val="center"/>
              <w:rPr>
                <w:rFonts w:ascii="宋体" w:hAnsi="宋体" w:cs="宋体"/>
                <w:color w:val="000000" w:themeColor="text1"/>
                <w:kern w:val="0"/>
                <w:szCs w:val="21"/>
                <w14:textFill>
                  <w14:solidFill>
                    <w14:schemeClr w14:val="tx1"/>
                  </w14:solidFill>
                </w14:textFill>
              </w:rPr>
            </w:pPr>
          </w:p>
        </w:tc>
        <w:tc>
          <w:tcPr>
            <w:tcW w:w="1135" w:type="dxa"/>
            <w:vMerge w:val="continue"/>
            <w:vAlign w:val="center"/>
          </w:tcPr>
          <w:p>
            <w:pPr>
              <w:widowControl/>
              <w:spacing w:line="276" w:lineRule="auto"/>
              <w:jc w:val="center"/>
              <w:rPr>
                <w:rFonts w:ascii="宋体" w:hAnsi="宋体" w:cs="宋体"/>
                <w:color w:val="000000" w:themeColor="text1"/>
                <w:kern w:val="0"/>
                <w:szCs w:val="21"/>
                <w14:textFill>
                  <w14:solidFill>
                    <w14:schemeClr w14:val="tx1"/>
                  </w14:solidFill>
                </w14:textFill>
              </w:rPr>
            </w:pPr>
          </w:p>
        </w:tc>
        <w:tc>
          <w:tcPr>
            <w:tcW w:w="1127" w:type="dxa"/>
            <w:vAlign w:val="center"/>
          </w:tcPr>
          <w:p>
            <w:pPr>
              <w:spacing w:line="276" w:lineRule="auto"/>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计算机</w:t>
            </w:r>
          </w:p>
          <w:p>
            <w:pPr>
              <w:spacing w:line="276" w:lineRule="auto"/>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2</w:t>
            </w:r>
            <w:r>
              <w:rPr>
                <w:rFonts w:hint="eastAsia" w:ascii="宋体" w:hAnsi="宋体" w:cs="宋体"/>
                <w:color w:val="000000" w:themeColor="text1"/>
                <w:kern w:val="0"/>
                <w:szCs w:val="21"/>
                <w14:textFill>
                  <w14:solidFill>
                    <w14:schemeClr w14:val="tx1"/>
                  </w14:solidFill>
                </w14:textFill>
              </w:rPr>
              <w:t>分</w:t>
            </w:r>
          </w:p>
        </w:tc>
        <w:tc>
          <w:tcPr>
            <w:tcW w:w="6101" w:type="dxa"/>
            <w:vAlign w:val="center"/>
          </w:tcPr>
          <w:p>
            <w:pPr>
              <w:widowControl/>
              <w:spacing w:line="276" w:lineRule="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1、所投学生机制造商服务体系通过国家信息安全服务资质认证得</w:t>
            </w:r>
            <w:r>
              <w:rPr>
                <w:rFonts w:ascii="宋体" w:hAnsi="宋体" w:cs="宋体"/>
                <w:color w:val="000000" w:themeColor="text1"/>
                <w:kern w:val="0"/>
                <w:szCs w:val="21"/>
                <w14:textFill>
                  <w14:solidFill>
                    <w14:schemeClr w14:val="tx1"/>
                  </w14:solidFill>
                </w14:textFill>
              </w:rPr>
              <w:t>1</w:t>
            </w:r>
            <w:r>
              <w:rPr>
                <w:rFonts w:hint="eastAsia" w:ascii="宋体" w:hAnsi="宋体" w:cs="宋体"/>
                <w:color w:val="000000" w:themeColor="text1"/>
                <w:kern w:val="0"/>
                <w:szCs w:val="21"/>
                <w14:textFill>
                  <w14:solidFill>
                    <w14:schemeClr w14:val="tx1"/>
                  </w14:solidFill>
                </w14:textFill>
              </w:rPr>
              <w:t>分。（提供证明材料并加盖投标人鲜章）</w:t>
            </w:r>
          </w:p>
          <w:p>
            <w:pPr>
              <w:widowControl/>
              <w:spacing w:line="276" w:lineRule="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2、所投笔记本电脑制造商具有CNAS可靠性实验室认证证书的得</w:t>
            </w:r>
            <w:r>
              <w:rPr>
                <w:rFonts w:ascii="宋体" w:hAnsi="宋体" w:cs="宋体"/>
                <w:color w:val="000000" w:themeColor="text1"/>
                <w:kern w:val="0"/>
                <w:szCs w:val="21"/>
                <w14:textFill>
                  <w14:solidFill>
                    <w14:schemeClr w14:val="tx1"/>
                  </w14:solidFill>
                </w14:textFill>
              </w:rPr>
              <w:t>1</w:t>
            </w:r>
            <w:r>
              <w:rPr>
                <w:rFonts w:hint="eastAsia" w:ascii="宋体" w:hAnsi="宋体" w:cs="宋体"/>
                <w:color w:val="000000" w:themeColor="text1"/>
                <w:kern w:val="0"/>
                <w:szCs w:val="21"/>
                <w14:textFill>
                  <w14:solidFill>
                    <w14:schemeClr w14:val="tx1"/>
                  </w14:solidFill>
                </w14:textFill>
              </w:rPr>
              <w:t>分。（提供证明材料并加盖投标人鲜章）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4" w:type="dxa"/>
            <w:vMerge w:val="continue"/>
            <w:vAlign w:val="center"/>
          </w:tcPr>
          <w:p>
            <w:pPr>
              <w:widowControl/>
              <w:spacing w:line="276" w:lineRule="auto"/>
              <w:jc w:val="center"/>
              <w:rPr>
                <w:rFonts w:ascii="宋体" w:hAnsi="宋体" w:cs="宋体"/>
                <w:color w:val="000000" w:themeColor="text1"/>
                <w:kern w:val="0"/>
                <w:szCs w:val="21"/>
                <w14:textFill>
                  <w14:solidFill>
                    <w14:schemeClr w14:val="tx1"/>
                  </w14:solidFill>
                </w14:textFill>
              </w:rPr>
            </w:pPr>
          </w:p>
        </w:tc>
        <w:tc>
          <w:tcPr>
            <w:tcW w:w="1135" w:type="dxa"/>
            <w:vMerge w:val="continue"/>
            <w:vAlign w:val="center"/>
          </w:tcPr>
          <w:p>
            <w:pPr>
              <w:widowControl/>
              <w:spacing w:line="276" w:lineRule="auto"/>
              <w:jc w:val="center"/>
              <w:rPr>
                <w:rFonts w:ascii="宋体" w:hAnsi="宋体" w:cs="宋体"/>
                <w:color w:val="000000" w:themeColor="text1"/>
                <w:kern w:val="0"/>
                <w:szCs w:val="21"/>
                <w14:textFill>
                  <w14:solidFill>
                    <w14:schemeClr w14:val="tx1"/>
                  </w14:solidFill>
                </w14:textFill>
              </w:rPr>
            </w:pPr>
          </w:p>
        </w:tc>
        <w:tc>
          <w:tcPr>
            <w:tcW w:w="1127" w:type="dxa"/>
            <w:vAlign w:val="center"/>
          </w:tcPr>
          <w:p>
            <w:pPr>
              <w:spacing w:line="276" w:lineRule="auto"/>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无线网络产品</w:t>
            </w:r>
          </w:p>
          <w:p>
            <w:pPr>
              <w:spacing w:line="276" w:lineRule="auto"/>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3</w:t>
            </w:r>
            <w:r>
              <w:rPr>
                <w:rFonts w:hint="eastAsia" w:ascii="宋体" w:hAnsi="宋体" w:cs="宋体"/>
                <w:color w:val="000000" w:themeColor="text1"/>
                <w:kern w:val="0"/>
                <w:szCs w:val="21"/>
                <w14:textFill>
                  <w14:solidFill>
                    <w14:schemeClr w14:val="tx1"/>
                  </w14:solidFill>
                </w14:textFill>
              </w:rPr>
              <w:t>分</w:t>
            </w:r>
          </w:p>
        </w:tc>
        <w:tc>
          <w:tcPr>
            <w:tcW w:w="6101" w:type="dxa"/>
            <w:vAlign w:val="center"/>
          </w:tcPr>
          <w:p>
            <w:pPr>
              <w:widowControl/>
              <w:spacing w:line="276" w:lineRule="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1、所投无线控制器制造商具有信息安全等级保护安全建设服务机构能力评估合格证书得</w:t>
            </w:r>
            <w:r>
              <w:rPr>
                <w:rFonts w:ascii="宋体" w:hAnsi="宋体" w:cs="宋体"/>
                <w:color w:val="000000" w:themeColor="text1"/>
                <w:kern w:val="0"/>
                <w:szCs w:val="21"/>
                <w14:textFill>
                  <w14:solidFill>
                    <w14:schemeClr w14:val="tx1"/>
                  </w14:solidFill>
                </w14:textFill>
              </w:rPr>
              <w:t>1</w:t>
            </w:r>
            <w:r>
              <w:rPr>
                <w:rFonts w:hint="eastAsia" w:ascii="宋体" w:hAnsi="宋体" w:cs="宋体"/>
                <w:color w:val="000000" w:themeColor="text1"/>
                <w:kern w:val="0"/>
                <w:szCs w:val="21"/>
                <w14:textFill>
                  <w14:solidFill>
                    <w14:schemeClr w14:val="tx1"/>
                  </w14:solidFill>
                </w14:textFill>
              </w:rPr>
              <w:t>分。（提供</w:t>
            </w:r>
            <w:r>
              <w:rPr>
                <w:rFonts w:hint="eastAsia" w:ascii="宋体" w:hAnsi="宋体" w:cs="宋体"/>
                <w:kern w:val="0"/>
                <w:szCs w:val="21"/>
              </w:rPr>
              <w:t xml:space="preserve">证书复印件并加盖投标人鲜章） </w:t>
            </w:r>
          </w:p>
          <w:p>
            <w:pPr>
              <w:widowControl/>
              <w:spacing w:line="276" w:lineRule="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2、所投应用控制网关制造商为国家信息安全漏洞共享平台（CNVD）技术组成员得1分，为中国国家信息安全漏洞库（CNNVD）一级技术支撑单位得1分。（提供证书复印件并加盖投标人鲜章）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4" w:type="dxa"/>
            <w:vMerge w:val="continue"/>
            <w:vAlign w:val="center"/>
          </w:tcPr>
          <w:p>
            <w:pPr>
              <w:widowControl/>
              <w:spacing w:line="276" w:lineRule="auto"/>
              <w:jc w:val="center"/>
              <w:rPr>
                <w:rFonts w:ascii="宋体" w:hAnsi="宋体" w:cs="宋体"/>
                <w:color w:val="000000" w:themeColor="text1"/>
                <w:kern w:val="0"/>
                <w:szCs w:val="21"/>
                <w14:textFill>
                  <w14:solidFill>
                    <w14:schemeClr w14:val="tx1"/>
                  </w14:solidFill>
                </w14:textFill>
              </w:rPr>
            </w:pPr>
          </w:p>
        </w:tc>
        <w:tc>
          <w:tcPr>
            <w:tcW w:w="1135" w:type="dxa"/>
            <w:vMerge w:val="continue"/>
            <w:vAlign w:val="center"/>
          </w:tcPr>
          <w:p>
            <w:pPr>
              <w:widowControl/>
              <w:spacing w:line="276" w:lineRule="auto"/>
              <w:jc w:val="center"/>
              <w:rPr>
                <w:rFonts w:ascii="宋体" w:hAnsi="宋体" w:cs="宋体"/>
                <w:color w:val="000000" w:themeColor="text1"/>
                <w:kern w:val="0"/>
                <w:szCs w:val="21"/>
                <w14:textFill>
                  <w14:solidFill>
                    <w14:schemeClr w14:val="tx1"/>
                  </w14:solidFill>
                </w14:textFill>
              </w:rPr>
            </w:pPr>
          </w:p>
        </w:tc>
        <w:tc>
          <w:tcPr>
            <w:tcW w:w="1127" w:type="dxa"/>
            <w:vAlign w:val="center"/>
          </w:tcPr>
          <w:p>
            <w:pPr>
              <w:spacing w:line="276" w:lineRule="auto"/>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电子班牌</w:t>
            </w:r>
          </w:p>
          <w:p>
            <w:pPr>
              <w:spacing w:line="276" w:lineRule="auto"/>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2</w:t>
            </w:r>
            <w:r>
              <w:rPr>
                <w:rFonts w:hint="eastAsia" w:ascii="宋体" w:hAnsi="宋体" w:cs="宋体"/>
                <w:color w:val="000000" w:themeColor="text1"/>
                <w:kern w:val="0"/>
                <w:szCs w:val="21"/>
                <w14:textFill>
                  <w14:solidFill>
                    <w14:schemeClr w14:val="tx1"/>
                  </w14:solidFill>
                </w14:textFill>
              </w:rPr>
              <w:t>分</w:t>
            </w:r>
          </w:p>
        </w:tc>
        <w:tc>
          <w:tcPr>
            <w:tcW w:w="6101" w:type="dxa"/>
            <w:vAlign w:val="center"/>
          </w:tcPr>
          <w:p>
            <w:pPr>
              <w:widowControl/>
              <w:spacing w:line="276" w:lineRule="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1、所投数字班牌制造商具有具有质量管理体系认证、环境管理体系认证、职业健康安全管理体系认证、信息安全管理体系认证证书，每提供一个证书得</w:t>
            </w:r>
            <w:r>
              <w:rPr>
                <w:rFonts w:ascii="宋体" w:hAnsi="宋体" w:cs="宋体"/>
                <w:color w:val="000000" w:themeColor="text1"/>
                <w:kern w:val="0"/>
                <w:szCs w:val="21"/>
                <w14:textFill>
                  <w14:solidFill>
                    <w14:schemeClr w14:val="tx1"/>
                  </w14:solidFill>
                </w14:textFill>
              </w:rPr>
              <w:t>0.25</w:t>
            </w:r>
            <w:r>
              <w:rPr>
                <w:rFonts w:hint="eastAsia" w:ascii="宋体" w:hAnsi="宋体" w:cs="宋体"/>
                <w:color w:val="000000" w:themeColor="text1"/>
                <w:kern w:val="0"/>
                <w:szCs w:val="21"/>
                <w14:textFill>
                  <w14:solidFill>
                    <w14:schemeClr w14:val="tx1"/>
                  </w14:solidFill>
                </w14:textFill>
              </w:rPr>
              <w:t>分，共计</w:t>
            </w:r>
            <w:r>
              <w:rPr>
                <w:rFonts w:ascii="宋体" w:hAnsi="宋体" w:cs="宋体"/>
                <w:color w:val="000000" w:themeColor="text1"/>
                <w:kern w:val="0"/>
                <w:szCs w:val="21"/>
                <w14:textFill>
                  <w14:solidFill>
                    <w14:schemeClr w14:val="tx1"/>
                  </w14:solidFill>
                </w14:textFill>
              </w:rPr>
              <w:t>1</w:t>
            </w:r>
            <w:r>
              <w:rPr>
                <w:rFonts w:hint="eastAsia" w:ascii="宋体" w:hAnsi="宋体" w:cs="宋体"/>
                <w:color w:val="000000" w:themeColor="text1"/>
                <w:kern w:val="0"/>
                <w:szCs w:val="21"/>
                <w14:textFill>
                  <w14:solidFill>
                    <w14:schemeClr w14:val="tx1"/>
                  </w14:solidFill>
                </w14:textFill>
              </w:rPr>
              <w:t>分；（提供证书复印件加盖投标人鲜章）</w:t>
            </w:r>
          </w:p>
          <w:p>
            <w:pPr>
              <w:widowControl/>
              <w:spacing w:line="276" w:lineRule="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2、所投信息发布终端制造商通过CMMI5及以上认证得</w:t>
            </w:r>
            <w:r>
              <w:rPr>
                <w:rFonts w:ascii="宋体" w:hAnsi="宋体" w:cs="宋体"/>
                <w:color w:val="000000" w:themeColor="text1"/>
                <w:kern w:val="0"/>
                <w:szCs w:val="21"/>
                <w14:textFill>
                  <w14:solidFill>
                    <w14:schemeClr w14:val="tx1"/>
                  </w14:solidFill>
                </w14:textFill>
              </w:rPr>
              <w:t>1</w:t>
            </w:r>
            <w:r>
              <w:rPr>
                <w:rFonts w:hint="eastAsia" w:ascii="宋体" w:hAnsi="宋体" w:cs="宋体"/>
                <w:color w:val="000000" w:themeColor="text1"/>
                <w:kern w:val="0"/>
                <w:szCs w:val="21"/>
                <w14:textFill>
                  <w14:solidFill>
                    <w14:schemeClr w14:val="tx1"/>
                  </w14:solidFill>
                </w14:textFill>
              </w:rPr>
              <w:t>分，通过CMMI3得</w:t>
            </w:r>
            <w:r>
              <w:rPr>
                <w:rFonts w:ascii="宋体" w:hAnsi="宋体" w:cs="宋体"/>
                <w:color w:val="000000" w:themeColor="text1"/>
                <w:kern w:val="0"/>
                <w:szCs w:val="21"/>
                <w14:textFill>
                  <w14:solidFill>
                    <w14:schemeClr w14:val="tx1"/>
                  </w14:solidFill>
                </w14:textFill>
              </w:rPr>
              <w:t>0.5</w:t>
            </w:r>
            <w:r>
              <w:rPr>
                <w:rFonts w:hint="eastAsia" w:ascii="宋体" w:hAnsi="宋体" w:cs="宋体"/>
                <w:color w:val="000000" w:themeColor="text1"/>
                <w:kern w:val="0"/>
                <w:szCs w:val="21"/>
                <w14:textFill>
                  <w14:solidFill>
                    <w14:schemeClr w14:val="tx1"/>
                  </w14:solidFill>
                </w14:textFill>
              </w:rPr>
              <w:t>分，通过CMMI1得</w:t>
            </w:r>
            <w:r>
              <w:rPr>
                <w:rFonts w:ascii="宋体" w:hAnsi="宋体" w:cs="宋体"/>
                <w:color w:val="000000" w:themeColor="text1"/>
                <w:kern w:val="0"/>
                <w:szCs w:val="21"/>
                <w14:textFill>
                  <w14:solidFill>
                    <w14:schemeClr w14:val="tx1"/>
                  </w14:solidFill>
                </w14:textFill>
              </w:rPr>
              <w:t>0.25</w:t>
            </w:r>
            <w:r>
              <w:rPr>
                <w:rFonts w:hint="eastAsia" w:ascii="宋体" w:hAnsi="宋体" w:cs="宋体"/>
                <w:color w:val="000000" w:themeColor="text1"/>
                <w:kern w:val="0"/>
                <w:szCs w:val="21"/>
                <w14:textFill>
                  <w14:solidFill>
                    <w14:schemeClr w14:val="tx1"/>
                  </w14:solidFill>
                </w14:textFill>
              </w:rPr>
              <w:t>分，未提供不得分。（提供证书复印件并加盖投标人鲜章）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4" w:type="dxa"/>
            <w:vMerge w:val="continue"/>
            <w:vAlign w:val="center"/>
          </w:tcPr>
          <w:p>
            <w:pPr>
              <w:widowControl/>
              <w:spacing w:line="276" w:lineRule="auto"/>
              <w:jc w:val="center"/>
              <w:rPr>
                <w:rFonts w:ascii="宋体" w:hAnsi="宋体" w:cs="宋体"/>
                <w:color w:val="000000" w:themeColor="text1"/>
                <w:kern w:val="0"/>
                <w:szCs w:val="21"/>
                <w14:textFill>
                  <w14:solidFill>
                    <w14:schemeClr w14:val="tx1"/>
                  </w14:solidFill>
                </w14:textFill>
              </w:rPr>
            </w:pPr>
          </w:p>
        </w:tc>
        <w:tc>
          <w:tcPr>
            <w:tcW w:w="1135" w:type="dxa"/>
            <w:vMerge w:val="continue"/>
            <w:vAlign w:val="center"/>
          </w:tcPr>
          <w:p>
            <w:pPr>
              <w:widowControl/>
              <w:spacing w:line="276" w:lineRule="auto"/>
              <w:jc w:val="center"/>
              <w:rPr>
                <w:rFonts w:ascii="宋体" w:hAnsi="宋体" w:cs="宋体"/>
                <w:color w:val="000000" w:themeColor="text1"/>
                <w:kern w:val="0"/>
                <w:szCs w:val="21"/>
                <w14:textFill>
                  <w14:solidFill>
                    <w14:schemeClr w14:val="tx1"/>
                  </w14:solidFill>
                </w14:textFill>
              </w:rPr>
            </w:pPr>
          </w:p>
        </w:tc>
        <w:tc>
          <w:tcPr>
            <w:tcW w:w="1127" w:type="dxa"/>
            <w:vAlign w:val="center"/>
          </w:tcPr>
          <w:p>
            <w:pPr>
              <w:spacing w:line="276" w:lineRule="auto"/>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录播系统</w:t>
            </w:r>
          </w:p>
          <w:p>
            <w:pPr>
              <w:spacing w:line="276" w:lineRule="auto"/>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2</w:t>
            </w:r>
            <w:r>
              <w:rPr>
                <w:rFonts w:hint="eastAsia" w:ascii="宋体" w:hAnsi="宋体" w:cs="宋体"/>
                <w:color w:val="000000" w:themeColor="text1"/>
                <w:kern w:val="0"/>
                <w:szCs w:val="21"/>
                <w14:textFill>
                  <w14:solidFill>
                    <w14:schemeClr w14:val="tx1"/>
                  </w14:solidFill>
                </w14:textFill>
              </w:rPr>
              <w:t>分</w:t>
            </w:r>
          </w:p>
        </w:tc>
        <w:tc>
          <w:tcPr>
            <w:tcW w:w="6101" w:type="dxa"/>
            <w:vAlign w:val="center"/>
          </w:tcPr>
          <w:p>
            <w:pPr>
              <w:widowControl/>
              <w:spacing w:line="276" w:lineRule="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1、所投录播系统制造商具有多路并行视频转码压缩技术和音频处理技术能力，每提供一份符合以上技术要求的计算机软件著作权证书得</w:t>
            </w:r>
            <w:r>
              <w:rPr>
                <w:rFonts w:ascii="宋体" w:hAnsi="宋体" w:cs="宋体"/>
                <w:color w:val="000000" w:themeColor="text1"/>
                <w:kern w:val="0"/>
                <w:szCs w:val="21"/>
                <w14:textFill>
                  <w14:solidFill>
                    <w14:schemeClr w14:val="tx1"/>
                  </w14:solidFill>
                </w14:textFill>
              </w:rPr>
              <w:t>0.5</w:t>
            </w:r>
            <w:r>
              <w:rPr>
                <w:rFonts w:hint="eastAsia" w:ascii="宋体" w:hAnsi="宋体" w:cs="宋体"/>
                <w:color w:val="000000" w:themeColor="text1"/>
                <w:kern w:val="0"/>
                <w:szCs w:val="21"/>
                <w14:textFill>
                  <w14:solidFill>
                    <w14:schemeClr w14:val="tx1"/>
                  </w14:solidFill>
                </w14:textFill>
              </w:rPr>
              <w:t>分，共计</w:t>
            </w:r>
            <w:r>
              <w:rPr>
                <w:rFonts w:ascii="宋体" w:hAnsi="宋体" w:cs="宋体"/>
                <w:color w:val="000000" w:themeColor="text1"/>
                <w:kern w:val="0"/>
                <w:szCs w:val="21"/>
                <w14:textFill>
                  <w14:solidFill>
                    <w14:schemeClr w14:val="tx1"/>
                  </w14:solidFill>
                </w14:textFill>
              </w:rPr>
              <w:t>1分</w:t>
            </w:r>
            <w:r>
              <w:rPr>
                <w:rFonts w:hint="eastAsia" w:ascii="宋体" w:hAnsi="宋体" w:cs="宋体"/>
                <w:color w:val="000000" w:themeColor="text1"/>
                <w:kern w:val="0"/>
                <w:szCs w:val="21"/>
                <w14:textFill>
                  <w14:solidFill>
                    <w14:schemeClr w14:val="tx1"/>
                  </w14:solidFill>
                </w14:textFill>
              </w:rPr>
              <w:t>。（提供证书复印件并加盖投标人鲜章）</w:t>
            </w:r>
          </w:p>
          <w:p>
            <w:pPr>
              <w:widowControl/>
              <w:spacing w:line="276" w:lineRule="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2、所投“图像探测器”产品平均无故障运行时间12万小时及以上的得</w:t>
            </w:r>
            <w:r>
              <w:rPr>
                <w:rFonts w:ascii="宋体" w:hAnsi="宋体" w:cs="宋体"/>
                <w:color w:val="000000" w:themeColor="text1"/>
                <w:kern w:val="0"/>
                <w:szCs w:val="21"/>
                <w14:textFill>
                  <w14:solidFill>
                    <w14:schemeClr w14:val="tx1"/>
                  </w14:solidFill>
                </w14:textFill>
              </w:rPr>
              <w:t>1</w:t>
            </w:r>
            <w:r>
              <w:rPr>
                <w:rFonts w:hint="eastAsia" w:ascii="宋体" w:hAnsi="宋体" w:cs="宋体"/>
                <w:color w:val="000000" w:themeColor="text1"/>
                <w:kern w:val="0"/>
                <w:szCs w:val="21"/>
                <w14:textFill>
                  <w14:solidFill>
                    <w14:schemeClr w14:val="tx1"/>
                  </w14:solidFill>
                </w14:textFill>
              </w:rPr>
              <w:t>分，1</w:t>
            </w:r>
            <w:r>
              <w:rPr>
                <w:rFonts w:ascii="宋体" w:hAnsi="宋体" w:cs="宋体"/>
                <w:color w:val="000000" w:themeColor="text1"/>
                <w:kern w:val="0"/>
                <w:szCs w:val="21"/>
                <w14:textFill>
                  <w14:solidFill>
                    <w14:schemeClr w14:val="tx1"/>
                  </w14:solidFill>
                </w14:textFill>
              </w:rPr>
              <w:t>2</w:t>
            </w:r>
            <w:r>
              <w:rPr>
                <w:rFonts w:hint="eastAsia" w:ascii="宋体" w:hAnsi="宋体" w:cs="宋体"/>
                <w:color w:val="000000" w:themeColor="text1"/>
                <w:kern w:val="0"/>
                <w:szCs w:val="21"/>
                <w14:textFill>
                  <w14:solidFill>
                    <w14:schemeClr w14:val="tx1"/>
                  </w14:solidFill>
                </w14:textFill>
              </w:rPr>
              <w:t>万小时以下至1</w:t>
            </w:r>
            <w:r>
              <w:rPr>
                <w:rFonts w:ascii="宋体" w:hAnsi="宋体" w:cs="宋体"/>
                <w:color w:val="000000" w:themeColor="text1"/>
                <w:kern w:val="0"/>
                <w:szCs w:val="21"/>
                <w14:textFill>
                  <w14:solidFill>
                    <w14:schemeClr w14:val="tx1"/>
                  </w14:solidFill>
                </w14:textFill>
              </w:rPr>
              <w:t>0</w:t>
            </w:r>
            <w:r>
              <w:rPr>
                <w:rFonts w:hint="eastAsia" w:ascii="宋体" w:hAnsi="宋体" w:cs="宋体"/>
                <w:color w:val="000000" w:themeColor="text1"/>
                <w:kern w:val="0"/>
                <w:szCs w:val="21"/>
                <w14:textFill>
                  <w14:solidFill>
                    <w14:schemeClr w14:val="tx1"/>
                  </w14:solidFill>
                </w14:textFill>
              </w:rPr>
              <w:t>万小时得</w:t>
            </w:r>
            <w:r>
              <w:rPr>
                <w:rFonts w:ascii="宋体" w:hAnsi="宋体" w:cs="宋体"/>
                <w:color w:val="000000" w:themeColor="text1"/>
                <w:kern w:val="0"/>
                <w:szCs w:val="21"/>
                <w14:textFill>
                  <w14:solidFill>
                    <w14:schemeClr w14:val="tx1"/>
                  </w14:solidFill>
                </w14:textFill>
              </w:rPr>
              <w:t>0.5</w:t>
            </w:r>
            <w:r>
              <w:rPr>
                <w:rFonts w:hint="eastAsia" w:ascii="宋体" w:hAnsi="宋体" w:cs="宋体"/>
                <w:color w:val="000000" w:themeColor="text1"/>
                <w:kern w:val="0"/>
                <w:szCs w:val="21"/>
                <w14:textFill>
                  <w14:solidFill>
                    <w14:schemeClr w14:val="tx1"/>
                  </w14:solidFill>
                </w14:textFill>
              </w:rPr>
              <w:t>分，1</w:t>
            </w:r>
            <w:r>
              <w:rPr>
                <w:rFonts w:ascii="宋体" w:hAnsi="宋体" w:cs="宋体"/>
                <w:color w:val="000000" w:themeColor="text1"/>
                <w:kern w:val="0"/>
                <w:szCs w:val="21"/>
                <w14:textFill>
                  <w14:solidFill>
                    <w14:schemeClr w14:val="tx1"/>
                  </w14:solidFill>
                </w14:textFill>
              </w:rPr>
              <w:t>0</w:t>
            </w:r>
            <w:r>
              <w:rPr>
                <w:rFonts w:hint="eastAsia" w:ascii="宋体" w:hAnsi="宋体" w:cs="宋体"/>
                <w:color w:val="000000" w:themeColor="text1"/>
                <w:kern w:val="0"/>
                <w:szCs w:val="21"/>
                <w14:textFill>
                  <w14:solidFill>
                    <w14:schemeClr w14:val="tx1"/>
                  </w14:solidFill>
                </w14:textFill>
              </w:rPr>
              <w:t>万小时以下得0</w:t>
            </w:r>
            <w:r>
              <w:rPr>
                <w:rFonts w:ascii="宋体" w:hAnsi="宋体" w:cs="宋体"/>
                <w:color w:val="000000" w:themeColor="text1"/>
                <w:kern w:val="0"/>
                <w:szCs w:val="21"/>
                <w14:textFill>
                  <w14:solidFill>
                    <w14:schemeClr w14:val="tx1"/>
                  </w14:solidFill>
                </w14:textFill>
              </w:rPr>
              <w:t>.25</w:t>
            </w:r>
            <w:r>
              <w:rPr>
                <w:rFonts w:hint="eastAsia" w:ascii="宋体" w:hAnsi="宋体" w:cs="宋体"/>
                <w:color w:val="000000" w:themeColor="text1"/>
                <w:kern w:val="0"/>
                <w:szCs w:val="21"/>
                <w14:textFill>
                  <w14:solidFill>
                    <w14:schemeClr w14:val="tx1"/>
                  </w14:solidFill>
                </w14:textFill>
              </w:rPr>
              <w:t>分。（提供证明材料并加盖投标人鲜章）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4" w:type="dxa"/>
            <w:vMerge w:val="continue"/>
            <w:vAlign w:val="center"/>
          </w:tcPr>
          <w:p>
            <w:pPr>
              <w:widowControl/>
              <w:spacing w:line="276" w:lineRule="auto"/>
              <w:jc w:val="center"/>
              <w:rPr>
                <w:rFonts w:ascii="宋体" w:hAnsi="宋体" w:cs="宋体"/>
                <w:color w:val="000000" w:themeColor="text1"/>
                <w:kern w:val="0"/>
                <w:szCs w:val="21"/>
                <w14:textFill>
                  <w14:solidFill>
                    <w14:schemeClr w14:val="tx1"/>
                  </w14:solidFill>
                </w14:textFill>
              </w:rPr>
            </w:pPr>
          </w:p>
        </w:tc>
        <w:tc>
          <w:tcPr>
            <w:tcW w:w="1135" w:type="dxa"/>
            <w:vMerge w:val="continue"/>
            <w:vAlign w:val="center"/>
          </w:tcPr>
          <w:p>
            <w:pPr>
              <w:widowControl/>
              <w:spacing w:line="276" w:lineRule="auto"/>
              <w:jc w:val="center"/>
              <w:rPr>
                <w:rFonts w:ascii="宋体" w:hAnsi="宋体" w:cs="宋体"/>
                <w:color w:val="000000" w:themeColor="text1"/>
                <w:kern w:val="0"/>
                <w:szCs w:val="21"/>
                <w14:textFill>
                  <w14:solidFill>
                    <w14:schemeClr w14:val="tx1"/>
                  </w14:solidFill>
                </w14:textFill>
              </w:rPr>
            </w:pPr>
          </w:p>
        </w:tc>
        <w:tc>
          <w:tcPr>
            <w:tcW w:w="1127" w:type="dxa"/>
            <w:vAlign w:val="center"/>
          </w:tcPr>
          <w:p>
            <w:pPr>
              <w:spacing w:line="276" w:lineRule="auto"/>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校园电视台</w:t>
            </w:r>
          </w:p>
          <w:p>
            <w:pPr>
              <w:spacing w:line="276" w:lineRule="auto"/>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2</w:t>
            </w:r>
            <w:r>
              <w:rPr>
                <w:rFonts w:hint="eastAsia" w:ascii="宋体" w:hAnsi="宋体" w:cs="宋体"/>
                <w:color w:val="000000" w:themeColor="text1"/>
                <w:kern w:val="0"/>
                <w:szCs w:val="21"/>
                <w14:textFill>
                  <w14:solidFill>
                    <w14:schemeClr w14:val="tx1"/>
                  </w14:solidFill>
                </w14:textFill>
              </w:rPr>
              <w:t>分</w:t>
            </w:r>
          </w:p>
        </w:tc>
        <w:tc>
          <w:tcPr>
            <w:tcW w:w="6101" w:type="dxa"/>
            <w:vAlign w:val="center"/>
          </w:tcPr>
          <w:p>
            <w:pPr>
              <w:widowControl/>
              <w:spacing w:line="276" w:lineRule="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1、所投虚拟演播室系统制造商具有质量管理体系认证、环境管理体系认证、职业健康安全管理体系认证、IT服务管理体系认证证书，每提供一个证书得</w:t>
            </w:r>
            <w:r>
              <w:rPr>
                <w:rFonts w:ascii="宋体" w:hAnsi="宋体" w:cs="宋体"/>
                <w:color w:val="000000" w:themeColor="text1"/>
                <w:kern w:val="0"/>
                <w:szCs w:val="21"/>
                <w14:textFill>
                  <w14:solidFill>
                    <w14:schemeClr w14:val="tx1"/>
                  </w14:solidFill>
                </w14:textFill>
              </w:rPr>
              <w:t>0.25</w:t>
            </w:r>
            <w:r>
              <w:rPr>
                <w:rFonts w:hint="eastAsia" w:ascii="宋体" w:hAnsi="宋体" w:cs="宋体"/>
                <w:color w:val="000000" w:themeColor="text1"/>
                <w:kern w:val="0"/>
                <w:szCs w:val="21"/>
                <w14:textFill>
                  <w14:solidFill>
                    <w14:schemeClr w14:val="tx1"/>
                  </w14:solidFill>
                </w14:textFill>
              </w:rPr>
              <w:t>分，共计</w:t>
            </w:r>
            <w:r>
              <w:rPr>
                <w:rFonts w:ascii="宋体" w:hAnsi="宋体" w:cs="宋体"/>
                <w:color w:val="000000" w:themeColor="text1"/>
                <w:kern w:val="0"/>
                <w:szCs w:val="21"/>
                <w14:textFill>
                  <w14:solidFill>
                    <w14:schemeClr w14:val="tx1"/>
                  </w14:solidFill>
                </w14:textFill>
              </w:rPr>
              <w:t>1</w:t>
            </w:r>
            <w:r>
              <w:rPr>
                <w:rFonts w:hint="eastAsia" w:ascii="宋体" w:hAnsi="宋体" w:cs="宋体"/>
                <w:color w:val="000000" w:themeColor="text1"/>
                <w:kern w:val="0"/>
                <w:szCs w:val="21"/>
                <w14:textFill>
                  <w14:solidFill>
                    <w14:schemeClr w14:val="tx1"/>
                  </w14:solidFill>
                </w14:textFill>
              </w:rPr>
              <w:t>分；（提供证书复印件加盖投标人鲜章）</w:t>
            </w:r>
          </w:p>
          <w:p>
            <w:pPr>
              <w:widowControl/>
              <w:spacing w:line="276" w:lineRule="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2、所投虚拟演播室系统提供三维虚拟场景三角形面片数大于1200万个得</w:t>
            </w:r>
            <w:r>
              <w:rPr>
                <w:rFonts w:ascii="宋体" w:hAnsi="宋体" w:cs="宋体"/>
                <w:color w:val="000000" w:themeColor="text1"/>
                <w:kern w:val="0"/>
                <w:szCs w:val="21"/>
                <w14:textFill>
                  <w14:solidFill>
                    <w14:schemeClr w14:val="tx1"/>
                  </w14:solidFill>
                </w14:textFill>
              </w:rPr>
              <w:t>0.5</w:t>
            </w:r>
            <w:r>
              <w:rPr>
                <w:rFonts w:hint="eastAsia" w:ascii="宋体" w:hAnsi="宋体" w:cs="宋体"/>
                <w:color w:val="000000" w:themeColor="text1"/>
                <w:kern w:val="0"/>
                <w:szCs w:val="21"/>
                <w14:textFill>
                  <w14:solidFill>
                    <w14:schemeClr w14:val="tx1"/>
                  </w14:solidFill>
                </w14:textFill>
              </w:rPr>
              <w:t>分，三维虚拟场景文理贴图大于1000M得</w:t>
            </w:r>
            <w:r>
              <w:rPr>
                <w:rFonts w:ascii="宋体" w:hAnsi="宋体" w:cs="宋体"/>
                <w:color w:val="000000" w:themeColor="text1"/>
                <w:kern w:val="0"/>
                <w:szCs w:val="21"/>
                <w14:textFill>
                  <w14:solidFill>
                    <w14:schemeClr w14:val="tx1"/>
                  </w14:solidFill>
                </w14:textFill>
              </w:rPr>
              <w:t>0.5</w:t>
            </w:r>
            <w:r>
              <w:rPr>
                <w:rFonts w:hint="eastAsia" w:ascii="宋体" w:hAnsi="宋体" w:cs="宋体"/>
                <w:color w:val="000000" w:themeColor="text1"/>
                <w:kern w:val="0"/>
                <w:szCs w:val="21"/>
                <w14:textFill>
                  <w14:solidFill>
                    <w14:schemeClr w14:val="tx1"/>
                  </w14:solidFill>
                </w14:textFill>
              </w:rPr>
              <w:t>分。（提供检测报告复印件并加盖投标人鲜章）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4" w:type="dxa"/>
            <w:vMerge w:val="continue"/>
            <w:vAlign w:val="center"/>
          </w:tcPr>
          <w:p>
            <w:pPr>
              <w:widowControl/>
              <w:spacing w:line="276" w:lineRule="auto"/>
              <w:jc w:val="center"/>
              <w:rPr>
                <w:rFonts w:ascii="宋体" w:hAnsi="宋体" w:cs="宋体"/>
                <w:color w:val="000000" w:themeColor="text1"/>
                <w:kern w:val="0"/>
                <w:szCs w:val="21"/>
                <w14:textFill>
                  <w14:solidFill>
                    <w14:schemeClr w14:val="tx1"/>
                  </w14:solidFill>
                </w14:textFill>
              </w:rPr>
            </w:pPr>
          </w:p>
        </w:tc>
        <w:tc>
          <w:tcPr>
            <w:tcW w:w="1135" w:type="dxa"/>
            <w:vMerge w:val="continue"/>
            <w:vAlign w:val="center"/>
          </w:tcPr>
          <w:p>
            <w:pPr>
              <w:widowControl/>
              <w:spacing w:line="276" w:lineRule="auto"/>
              <w:jc w:val="center"/>
              <w:rPr>
                <w:rFonts w:ascii="宋体" w:hAnsi="宋体" w:cs="宋体"/>
                <w:color w:val="000000" w:themeColor="text1"/>
                <w:kern w:val="0"/>
                <w:szCs w:val="21"/>
                <w14:textFill>
                  <w14:solidFill>
                    <w14:schemeClr w14:val="tx1"/>
                  </w14:solidFill>
                </w14:textFill>
              </w:rPr>
            </w:pPr>
          </w:p>
        </w:tc>
        <w:tc>
          <w:tcPr>
            <w:tcW w:w="1127" w:type="dxa"/>
            <w:vAlign w:val="center"/>
          </w:tcPr>
          <w:p>
            <w:pPr>
              <w:spacing w:line="276" w:lineRule="auto"/>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班级多媒体系统</w:t>
            </w:r>
          </w:p>
          <w:p>
            <w:pPr>
              <w:spacing w:line="276" w:lineRule="auto"/>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3</w:t>
            </w:r>
            <w:r>
              <w:rPr>
                <w:rFonts w:hint="eastAsia" w:ascii="宋体" w:hAnsi="宋体" w:cs="宋体"/>
                <w:color w:val="000000" w:themeColor="text1"/>
                <w:kern w:val="0"/>
                <w:szCs w:val="21"/>
                <w14:textFill>
                  <w14:solidFill>
                    <w14:schemeClr w14:val="tx1"/>
                  </w14:solidFill>
                </w14:textFill>
              </w:rPr>
              <w:t>分</w:t>
            </w:r>
          </w:p>
        </w:tc>
        <w:tc>
          <w:tcPr>
            <w:tcW w:w="6101" w:type="dxa"/>
            <w:vAlign w:val="center"/>
          </w:tcPr>
          <w:p>
            <w:pPr>
              <w:widowControl/>
              <w:spacing w:line="276" w:lineRule="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1、所投超短焦激光投影机符合外壳防护标准,提供整机及光源组件不低于IP6X防尘等级检测报告得</w:t>
            </w:r>
            <w:r>
              <w:rPr>
                <w:rFonts w:ascii="宋体" w:hAnsi="宋体" w:cs="宋体"/>
                <w:color w:val="000000" w:themeColor="text1"/>
                <w:kern w:val="0"/>
                <w:szCs w:val="21"/>
                <w14:textFill>
                  <w14:solidFill>
                    <w14:schemeClr w14:val="tx1"/>
                  </w14:solidFill>
                </w14:textFill>
              </w:rPr>
              <w:t>1</w:t>
            </w:r>
            <w:r>
              <w:rPr>
                <w:rFonts w:hint="eastAsia" w:ascii="宋体" w:hAnsi="宋体" w:cs="宋体"/>
                <w:color w:val="000000" w:themeColor="text1"/>
                <w:kern w:val="0"/>
                <w:szCs w:val="21"/>
                <w14:textFill>
                  <w14:solidFill>
                    <w14:schemeClr w14:val="tx1"/>
                  </w14:solidFill>
                </w14:textFill>
              </w:rPr>
              <w:t>分。（提供检测报告复印件并加盖投标人鲜章）</w:t>
            </w:r>
          </w:p>
          <w:p>
            <w:pPr>
              <w:widowControl/>
              <w:spacing w:line="276" w:lineRule="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2、所投智能教学一体机具有通过扩展方式接入融合支持平台达到全校集中物联网管理功能得</w:t>
            </w:r>
            <w:r>
              <w:rPr>
                <w:rFonts w:ascii="宋体" w:hAnsi="宋体" w:cs="宋体"/>
                <w:color w:val="000000" w:themeColor="text1"/>
                <w:kern w:val="0"/>
                <w:szCs w:val="21"/>
                <w14:textFill>
                  <w14:solidFill>
                    <w14:schemeClr w14:val="tx1"/>
                  </w14:solidFill>
                </w14:textFill>
              </w:rPr>
              <w:t>1</w:t>
            </w:r>
            <w:r>
              <w:rPr>
                <w:rFonts w:hint="eastAsia" w:ascii="宋体" w:hAnsi="宋体" w:cs="宋体"/>
                <w:color w:val="000000" w:themeColor="text1"/>
                <w:kern w:val="0"/>
                <w:szCs w:val="21"/>
                <w14:textFill>
                  <w14:solidFill>
                    <w14:schemeClr w14:val="tx1"/>
                  </w14:solidFill>
                </w14:textFill>
              </w:rPr>
              <w:t>分。（提供技术功能截图并加盖投标人鲜章）</w:t>
            </w:r>
          </w:p>
          <w:p>
            <w:pPr>
              <w:widowControl/>
              <w:spacing w:line="276" w:lineRule="auto"/>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3</w:t>
            </w:r>
            <w:r>
              <w:rPr>
                <w:rFonts w:hint="eastAsia" w:ascii="宋体" w:hAnsi="宋体" w:cs="宋体"/>
                <w:color w:val="000000" w:themeColor="text1"/>
                <w:kern w:val="0"/>
                <w:szCs w:val="21"/>
                <w14:textFill>
                  <w14:solidFill>
                    <w14:schemeClr w14:val="tx1"/>
                  </w14:solidFill>
                </w14:textFill>
              </w:rPr>
              <w:t>、所投扩声主机具有自主知识产权，提供计算机软件著作权登记证书得</w:t>
            </w:r>
            <w:r>
              <w:rPr>
                <w:rFonts w:ascii="宋体" w:hAnsi="宋体" w:cs="宋体"/>
                <w:color w:val="000000" w:themeColor="text1"/>
                <w:kern w:val="0"/>
                <w:szCs w:val="21"/>
                <w14:textFill>
                  <w14:solidFill>
                    <w14:schemeClr w14:val="tx1"/>
                  </w14:solidFill>
                </w14:textFill>
              </w:rPr>
              <w:t>1</w:t>
            </w:r>
            <w:r>
              <w:rPr>
                <w:rFonts w:hint="eastAsia" w:ascii="宋体" w:hAnsi="宋体" w:cs="宋体"/>
                <w:color w:val="000000" w:themeColor="text1"/>
                <w:kern w:val="0"/>
                <w:szCs w:val="21"/>
                <w14:textFill>
                  <w14:solidFill>
                    <w14:schemeClr w14:val="tx1"/>
                  </w14:solidFill>
                </w14:textFill>
              </w:rPr>
              <w:t>分。（提供证书复印件并加盖投标人鲜章）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4" w:type="dxa"/>
            <w:vAlign w:val="center"/>
          </w:tcPr>
          <w:p>
            <w:pPr>
              <w:widowControl/>
              <w:spacing w:line="276" w:lineRule="auto"/>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评审委员会成员</w:t>
            </w:r>
          </w:p>
        </w:tc>
        <w:tc>
          <w:tcPr>
            <w:tcW w:w="1135" w:type="dxa"/>
            <w:vAlign w:val="center"/>
          </w:tcPr>
          <w:p>
            <w:pPr>
              <w:widowControl/>
              <w:spacing w:line="276" w:lineRule="auto"/>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节能环</w:t>
            </w:r>
          </w:p>
          <w:p>
            <w:pPr>
              <w:widowControl/>
              <w:spacing w:line="276" w:lineRule="auto"/>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保产品</w:t>
            </w:r>
          </w:p>
        </w:tc>
        <w:tc>
          <w:tcPr>
            <w:tcW w:w="1127" w:type="dxa"/>
            <w:vAlign w:val="center"/>
          </w:tcPr>
          <w:p>
            <w:pPr>
              <w:widowControl/>
              <w:spacing w:line="276" w:lineRule="auto"/>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2分</w:t>
            </w:r>
          </w:p>
        </w:tc>
        <w:tc>
          <w:tcPr>
            <w:tcW w:w="6101" w:type="dxa"/>
            <w:vAlign w:val="center"/>
          </w:tcPr>
          <w:p>
            <w:pPr>
              <w:autoSpaceDN w:val="0"/>
              <w:snapToGrid w:val="0"/>
              <w:spacing w:line="276"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投标人所投产品属于节能产品（国家强制节能产品除外）、环境标志产品品目清单、无线局域网产品政府采购清单范围的，每有1个得0.5 分，最多得2分。</w:t>
            </w:r>
          </w:p>
          <w:p>
            <w:pPr>
              <w:autoSpaceDN w:val="0"/>
              <w:snapToGrid w:val="0"/>
              <w:spacing w:line="276"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注：</w:t>
            </w: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、可重复计分；</w:t>
            </w:r>
          </w:p>
          <w:p>
            <w:pPr>
              <w:autoSpaceDN w:val="0"/>
              <w:snapToGrid w:val="0"/>
              <w:spacing w:line="276"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w:t>
            </w:r>
            <w:r>
              <w:rPr>
                <w:rFonts w:hint="eastAsia" w:ascii="宋体" w:hAnsi="宋体"/>
                <w:color w:val="000000" w:themeColor="text1"/>
                <w:szCs w:val="21"/>
                <w14:textFill>
                  <w14:solidFill>
                    <w14:schemeClr w14:val="tx1"/>
                  </w14:solidFill>
                </w14:textFill>
              </w:rPr>
              <w:t>、提供国家确定的认证机构出具的、处于有效期之内的节能产品、环境标志产品认证证书复印件加盖投标人公章。</w:t>
            </w:r>
          </w:p>
          <w:p>
            <w:pPr>
              <w:autoSpaceDN w:val="0"/>
              <w:snapToGrid w:val="0"/>
              <w:spacing w:line="276"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3</w:t>
            </w:r>
            <w:r>
              <w:rPr>
                <w:rFonts w:hint="eastAsia" w:ascii="宋体" w:hAnsi="宋体"/>
                <w:color w:val="000000" w:themeColor="text1"/>
                <w:szCs w:val="21"/>
                <w14:textFill>
                  <w14:solidFill>
                    <w14:schemeClr w14:val="tx1"/>
                  </w14:solidFill>
                </w14:textFill>
              </w:rPr>
              <w:t>、提供《中国政府采购网》公布的无线局域网产品政府采购清单封面及对应页并加盖供应商单位公章。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4" w:type="dxa"/>
            <w:vAlign w:val="center"/>
          </w:tcPr>
          <w:p>
            <w:pPr>
              <w:widowControl/>
              <w:spacing w:line="276" w:lineRule="auto"/>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评审委员会成员</w:t>
            </w:r>
          </w:p>
        </w:tc>
        <w:tc>
          <w:tcPr>
            <w:tcW w:w="1135" w:type="dxa"/>
            <w:vAlign w:val="center"/>
          </w:tcPr>
          <w:p>
            <w:pPr>
              <w:widowControl/>
              <w:spacing w:line="276" w:lineRule="auto"/>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实施</w:t>
            </w:r>
            <w:r>
              <w:rPr>
                <w:rFonts w:hint="eastAsia" w:ascii="宋体" w:hAnsi="宋体" w:cs="宋体"/>
                <w:color w:val="000000" w:themeColor="text1"/>
                <w:kern w:val="0"/>
                <w:szCs w:val="21"/>
                <w14:textFill>
                  <w14:solidFill>
                    <w14:schemeClr w14:val="tx1"/>
                  </w14:solidFill>
                </w14:textFill>
              </w:rPr>
              <w:br w:type="textWrapping"/>
            </w:r>
            <w:r>
              <w:rPr>
                <w:rFonts w:hint="eastAsia" w:ascii="宋体" w:hAnsi="宋体" w:cs="宋体"/>
                <w:color w:val="000000" w:themeColor="text1"/>
                <w:kern w:val="0"/>
                <w:szCs w:val="21"/>
                <w14:textFill>
                  <w14:solidFill>
                    <w14:schemeClr w14:val="tx1"/>
                  </w14:solidFill>
                </w14:textFill>
              </w:rPr>
              <w:t>方案</w:t>
            </w:r>
          </w:p>
        </w:tc>
        <w:tc>
          <w:tcPr>
            <w:tcW w:w="1127" w:type="dxa"/>
            <w:vAlign w:val="center"/>
          </w:tcPr>
          <w:p>
            <w:pPr>
              <w:widowControl/>
              <w:spacing w:line="276" w:lineRule="auto"/>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3分</w:t>
            </w:r>
          </w:p>
        </w:tc>
        <w:tc>
          <w:tcPr>
            <w:tcW w:w="6101" w:type="dxa"/>
            <w:vAlign w:val="center"/>
          </w:tcPr>
          <w:p>
            <w:pPr>
              <w:widowControl/>
              <w:spacing w:line="276" w:lineRule="auto"/>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根据投标人提供的施工方案在1、项目人员组成（需明确人员及工作岗位）；2、时间进度安排（需结合施工时间要求描述）；3、项目安全措施（需结合安全常规管理及安全应急处置全面描述）；4、质量措施及技术控制措施（需结合产品质量及施工要求全面描述）；5、布局设计（至少提供本项目中教学楼外全彩屏（L</w:t>
            </w:r>
            <w:r>
              <w:rPr>
                <w:rFonts w:ascii="宋体" w:hAnsi="宋体"/>
                <w:color w:val="000000" w:themeColor="text1"/>
                <w:szCs w:val="21"/>
                <w14:textFill>
                  <w14:solidFill>
                    <w14:schemeClr w14:val="tx1"/>
                  </w14:solidFill>
                </w14:textFill>
              </w:rPr>
              <w:t>ED</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建设</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计算机教室</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录播教室</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校园电视台的布局设计方案</w:t>
            </w:r>
            <w:r>
              <w:rPr>
                <w:rFonts w:hint="eastAsia" w:ascii="宋体" w:hAnsi="宋体"/>
                <w:color w:val="000000" w:themeColor="text1"/>
                <w:szCs w:val="21"/>
                <w14:textFill>
                  <w14:solidFill>
                    <w14:schemeClr w14:val="tx1"/>
                  </w14:solidFill>
                </w14:textFill>
              </w:rPr>
              <w:t>）；6、验收方案（结合验收要求描述）等施工内容进行评审：提供以上所有方案的得3分，缺一项扣0.5分，扣完为止。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4" w:type="dxa"/>
            <w:vAlign w:val="center"/>
          </w:tcPr>
          <w:p>
            <w:pPr>
              <w:widowControl/>
              <w:spacing w:line="276" w:lineRule="auto"/>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评审委员会成员</w:t>
            </w:r>
          </w:p>
        </w:tc>
        <w:tc>
          <w:tcPr>
            <w:tcW w:w="1135" w:type="dxa"/>
            <w:vAlign w:val="center"/>
          </w:tcPr>
          <w:p>
            <w:pPr>
              <w:widowControl/>
              <w:spacing w:line="276" w:lineRule="auto"/>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技术培</w:t>
            </w:r>
          </w:p>
          <w:p>
            <w:pPr>
              <w:widowControl/>
              <w:spacing w:line="276" w:lineRule="auto"/>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训和售</w:t>
            </w:r>
          </w:p>
          <w:p>
            <w:pPr>
              <w:widowControl/>
              <w:spacing w:line="276" w:lineRule="auto"/>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后服务</w:t>
            </w:r>
          </w:p>
        </w:tc>
        <w:tc>
          <w:tcPr>
            <w:tcW w:w="1127" w:type="dxa"/>
            <w:vAlign w:val="center"/>
          </w:tcPr>
          <w:p>
            <w:pPr>
              <w:widowControl/>
              <w:spacing w:line="276" w:lineRule="auto"/>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3分</w:t>
            </w:r>
          </w:p>
        </w:tc>
        <w:tc>
          <w:tcPr>
            <w:tcW w:w="6101" w:type="dxa"/>
            <w:vAlign w:val="center"/>
          </w:tcPr>
          <w:p>
            <w:pPr>
              <w:widowControl/>
              <w:spacing w:line="276"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根据技术培训和售后服务方案在1、售后服务内容；2、响应机制保障；3、响应时间；4、备机/备件供应；5、现场巡检；6、人员培训计划等方面，方案中包含以上要素，具有针对性且不存在不适用项目实际情况的情形，不存在凭空编造、逻辑漏洞、科学原理错误以及不可能实现的夸大情形的，得3分，缺一项扣0.5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4" w:type="dxa"/>
            <w:vAlign w:val="center"/>
          </w:tcPr>
          <w:p>
            <w:pPr>
              <w:spacing w:line="276" w:lineRule="auto"/>
              <w:ind w:firstLine="105" w:firstLineChars="5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评审委员会成员</w:t>
            </w:r>
          </w:p>
        </w:tc>
        <w:tc>
          <w:tcPr>
            <w:tcW w:w="1135" w:type="dxa"/>
            <w:vAlign w:val="center"/>
          </w:tcPr>
          <w:p>
            <w:pPr>
              <w:spacing w:line="276" w:lineRule="auto"/>
              <w:jc w:val="left"/>
              <w:rPr>
                <w:rFonts w:ascii="宋体" w:hAnsi="宋体" w:cs="宋体"/>
                <w:color w:val="FF0000"/>
                <w:kern w:val="0"/>
                <w:szCs w:val="21"/>
              </w:rPr>
            </w:pPr>
            <w:r>
              <w:rPr>
                <w:rFonts w:hint="eastAsia"/>
                <w:sz w:val="20"/>
              </w:rPr>
              <w:t>政府采购政策</w:t>
            </w:r>
          </w:p>
        </w:tc>
        <w:tc>
          <w:tcPr>
            <w:tcW w:w="1127" w:type="dxa"/>
            <w:vAlign w:val="center"/>
          </w:tcPr>
          <w:p>
            <w:pPr>
              <w:widowControl/>
              <w:spacing w:line="276" w:lineRule="auto"/>
              <w:jc w:val="center"/>
              <w:rPr>
                <w:rFonts w:ascii="宋体" w:hAnsi="宋体"/>
                <w:color w:val="FF0000"/>
                <w:szCs w:val="21"/>
              </w:rPr>
            </w:pPr>
            <w:r>
              <w:rPr>
                <w:rFonts w:hint="eastAsia" w:ascii="宋体" w:hAnsi="宋体"/>
                <w:szCs w:val="21"/>
              </w:rPr>
              <w:t>1分</w:t>
            </w:r>
          </w:p>
        </w:tc>
        <w:tc>
          <w:tcPr>
            <w:tcW w:w="6101" w:type="dxa"/>
            <w:vAlign w:val="center"/>
          </w:tcPr>
          <w:p>
            <w:pPr>
              <w:widowControl/>
              <w:spacing w:line="276" w:lineRule="auto"/>
              <w:rPr>
                <w:rFonts w:ascii="宋体" w:hAnsi="宋体"/>
                <w:color w:val="FF0000"/>
                <w:szCs w:val="21"/>
              </w:rPr>
            </w:pPr>
            <w:r>
              <w:rPr>
                <w:rFonts w:hint="eastAsia"/>
                <w:color w:val="000000" w:themeColor="text1"/>
                <w:sz w:val="20"/>
                <w14:textFill>
                  <w14:solidFill>
                    <w14:schemeClr w14:val="tx1"/>
                  </w14:solidFill>
                </w14:textFill>
              </w:rPr>
              <w:t>供应商为不发达地区或少数民族地区企业得1分。</w:t>
            </w:r>
            <w:r>
              <w:rPr>
                <w:color w:val="000000" w:themeColor="text1"/>
                <w:sz w:val="20"/>
                <w14:textFill>
                  <w14:solidFill>
                    <w14:schemeClr w14:val="tx1"/>
                  </w14:solidFill>
                </w14:textFill>
              </w:rPr>
              <w:br w:type="textWrapping"/>
            </w:r>
            <w:r>
              <w:rPr>
                <w:rFonts w:hint="eastAsia"/>
                <w:color w:val="000000" w:themeColor="text1"/>
                <w:sz w:val="20"/>
                <w14:textFill>
                  <w14:solidFill>
                    <w14:schemeClr w14:val="tx1"/>
                  </w14:solidFill>
                </w14:textFill>
              </w:rPr>
              <w:t>说明：提供不发达地区企业的相关证明材料或供应商注册地为少数民族地区。</w:t>
            </w:r>
          </w:p>
        </w:tc>
      </w:tr>
    </w:tbl>
    <w:p>
      <w:pPr>
        <w:keepNext/>
        <w:keepLines/>
        <w:spacing w:before="260" w:after="260" w:line="360" w:lineRule="auto"/>
        <w:jc w:val="left"/>
        <w:outlineLvl w:val="1"/>
        <w:rPr>
          <w:rFonts w:ascii="宋体" w:hAnsi="宋体"/>
          <w:b/>
          <w:bCs/>
          <w:color w:val="000000" w:themeColor="text1"/>
          <w:sz w:val="28"/>
          <w:szCs w:val="28"/>
          <w14:textFill>
            <w14:solidFill>
              <w14:schemeClr w14:val="tx1"/>
            </w14:solidFill>
          </w14:textFill>
        </w:rPr>
      </w:pPr>
      <w:bookmarkStart w:id="165" w:name="_Toc76541372"/>
      <w:r>
        <w:rPr>
          <w:rFonts w:ascii="宋体" w:hAnsi="宋体"/>
          <w:b/>
          <w:bCs/>
          <w:color w:val="000000" w:themeColor="text1"/>
          <w:sz w:val="28"/>
          <w:szCs w:val="28"/>
          <w14:textFill>
            <w14:solidFill>
              <w14:schemeClr w14:val="tx1"/>
            </w14:solidFill>
          </w14:textFill>
        </w:rPr>
        <w:br w:type="textWrapping" w:clear="all"/>
      </w:r>
      <w:r>
        <w:rPr>
          <w:rFonts w:ascii="宋体" w:hAnsi="宋体"/>
          <w:b/>
          <w:bCs/>
          <w:color w:val="000000" w:themeColor="text1"/>
          <w:sz w:val="28"/>
          <w:szCs w:val="28"/>
          <w14:textFill>
            <w14:solidFill>
              <w14:schemeClr w14:val="tx1"/>
            </w14:solidFill>
          </w14:textFill>
        </w:rPr>
        <w:t>6.6</w:t>
      </w:r>
      <w:r>
        <w:rPr>
          <w:rFonts w:hint="eastAsia" w:ascii="宋体" w:hAnsi="宋体"/>
          <w:b/>
          <w:bCs/>
          <w:color w:val="000000" w:themeColor="text1"/>
          <w:sz w:val="28"/>
          <w:szCs w:val="28"/>
          <w14:textFill>
            <w14:solidFill>
              <w14:schemeClr w14:val="tx1"/>
            </w14:solidFill>
          </w14:textFill>
        </w:rPr>
        <w:t>废标</w:t>
      </w:r>
      <w:bookmarkEnd w:id="165"/>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本次政府采购活动中，出现下列情形之一的，予以废标：</w:t>
      </w:r>
    </w:p>
    <w:p>
      <w:pPr>
        <w:numPr>
          <w:ilvl w:val="0"/>
          <w:numId w:val="46"/>
        </w:numPr>
        <w:tabs>
          <w:tab w:val="left" w:pos="1155"/>
        </w:tabs>
        <w:spacing w:line="360" w:lineRule="auto"/>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符合专业条件的投标人或者对招标文件作实质响应的投标人不足三家的；</w:t>
      </w:r>
    </w:p>
    <w:p>
      <w:pPr>
        <w:numPr>
          <w:ilvl w:val="0"/>
          <w:numId w:val="46"/>
        </w:numPr>
        <w:tabs>
          <w:tab w:val="left" w:pos="1155"/>
        </w:tabs>
        <w:spacing w:line="360" w:lineRule="auto"/>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出现影响采购公正的违法、违规行为的；</w:t>
      </w:r>
    </w:p>
    <w:p>
      <w:pPr>
        <w:numPr>
          <w:ilvl w:val="0"/>
          <w:numId w:val="46"/>
        </w:numPr>
        <w:tabs>
          <w:tab w:val="left" w:pos="1155"/>
        </w:tabs>
        <w:spacing w:line="360" w:lineRule="auto"/>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投标人的报价均超过了采购预算，采购人不能支付的；</w:t>
      </w:r>
    </w:p>
    <w:p>
      <w:pPr>
        <w:numPr>
          <w:ilvl w:val="0"/>
          <w:numId w:val="46"/>
        </w:numPr>
        <w:tabs>
          <w:tab w:val="left" w:pos="1155"/>
        </w:tabs>
        <w:spacing w:line="360" w:lineRule="auto"/>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因重大变故，采购任务取消的；</w:t>
      </w:r>
    </w:p>
    <w:p>
      <w:pPr>
        <w:numPr>
          <w:ilvl w:val="0"/>
          <w:numId w:val="46"/>
        </w:numPr>
        <w:tabs>
          <w:tab w:val="left" w:pos="1155"/>
        </w:tabs>
        <w:spacing w:line="360" w:lineRule="auto"/>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废标后，成都市青羊区政府采购服务中心将在“四川政府采购网”和“成都市青羊区政府采购服务中心”网站上公告。</w:t>
      </w:r>
    </w:p>
    <w:p>
      <w:pPr>
        <w:keepNext/>
        <w:keepLines/>
        <w:spacing w:before="260" w:after="260" w:line="360" w:lineRule="auto"/>
        <w:jc w:val="left"/>
        <w:outlineLvl w:val="1"/>
        <w:rPr>
          <w:rFonts w:ascii="宋体" w:hAnsi="宋体"/>
          <w:b/>
          <w:bCs/>
          <w:color w:val="000000" w:themeColor="text1"/>
          <w:sz w:val="28"/>
          <w:szCs w:val="28"/>
          <w14:textFill>
            <w14:solidFill>
              <w14:schemeClr w14:val="tx1"/>
            </w14:solidFill>
          </w14:textFill>
        </w:rPr>
      </w:pPr>
      <w:bookmarkStart w:id="166" w:name="_Toc76541373"/>
      <w:r>
        <w:rPr>
          <w:rFonts w:hint="eastAsia" w:ascii="宋体" w:hAnsi="宋体"/>
          <w:b/>
          <w:bCs/>
          <w:color w:val="000000" w:themeColor="text1"/>
          <w:sz w:val="28"/>
          <w:szCs w:val="28"/>
          <w14:textFill>
            <w14:solidFill>
              <w14:schemeClr w14:val="tx1"/>
            </w14:solidFill>
          </w14:textFill>
        </w:rPr>
        <w:t>6</w:t>
      </w:r>
      <w:r>
        <w:rPr>
          <w:rFonts w:ascii="宋体" w:hAnsi="宋体"/>
          <w:b/>
          <w:bCs/>
          <w:color w:val="000000" w:themeColor="text1"/>
          <w:sz w:val="28"/>
          <w:szCs w:val="28"/>
          <w14:textFill>
            <w14:solidFill>
              <w14:schemeClr w14:val="tx1"/>
            </w14:solidFill>
          </w14:textFill>
        </w:rPr>
        <w:t>.7</w:t>
      </w:r>
      <w:r>
        <w:rPr>
          <w:rFonts w:hint="eastAsia" w:ascii="宋体" w:hAnsi="宋体"/>
          <w:b/>
          <w:bCs/>
          <w:color w:val="000000" w:themeColor="text1"/>
          <w:sz w:val="28"/>
          <w:szCs w:val="28"/>
          <w14:textFill>
            <w14:solidFill>
              <w14:schemeClr w14:val="tx1"/>
            </w14:solidFill>
          </w14:textFill>
        </w:rPr>
        <w:t>定标</w:t>
      </w:r>
      <w:bookmarkEnd w:id="166"/>
    </w:p>
    <w:p>
      <w:pPr>
        <w:keepNext/>
        <w:keepLines/>
        <w:spacing w:line="360" w:lineRule="auto"/>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6</w:t>
      </w:r>
      <w:r>
        <w:rPr>
          <w:rFonts w:ascii="宋体" w:hAnsi="宋体"/>
          <w:b/>
          <w:bCs/>
          <w:color w:val="000000" w:themeColor="text1"/>
          <w:sz w:val="28"/>
          <w:szCs w:val="28"/>
          <w14:textFill>
            <w14:solidFill>
              <w14:schemeClr w14:val="tx1"/>
            </w14:solidFill>
          </w14:textFill>
        </w:rPr>
        <w:t>.7.1</w:t>
      </w:r>
      <w:r>
        <w:rPr>
          <w:rFonts w:hint="eastAsia" w:ascii="宋体" w:hAnsi="宋体"/>
          <w:b/>
          <w:bCs/>
          <w:color w:val="000000" w:themeColor="text1"/>
          <w:sz w:val="28"/>
          <w:szCs w:val="28"/>
          <w14:textFill>
            <w14:solidFill>
              <w14:schemeClr w14:val="tx1"/>
            </w14:solidFill>
          </w14:textFill>
        </w:rPr>
        <w:t>定标原则</w:t>
      </w:r>
    </w:p>
    <w:p>
      <w:pPr>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本项目根据评审委员会确定的成交候选人名单，采购人按顺序确定1名成交供应商。成交候选供应商并列的，由采购人采取随机抽取的方式确定成交供应商。</w:t>
      </w:r>
    </w:p>
    <w:p>
      <w:pPr>
        <w:keepNext/>
        <w:keepLines/>
        <w:spacing w:line="360" w:lineRule="auto"/>
        <w:outlineLvl w:val="2"/>
        <w:rPr>
          <w:rFonts w:ascii="宋体" w:hAnsi="宋体"/>
          <w:b/>
          <w:bCs/>
          <w:color w:val="000000" w:themeColor="text1"/>
          <w:sz w:val="28"/>
          <w:szCs w:val="28"/>
          <w14:textFill>
            <w14:solidFill>
              <w14:schemeClr w14:val="tx1"/>
            </w14:solidFill>
          </w14:textFill>
        </w:rPr>
      </w:pPr>
      <w:r>
        <w:rPr>
          <w:rFonts w:hint="eastAsia" w:ascii="宋体" w:hAnsi="宋体" w:cs="Helvetica"/>
          <w:color w:val="000000" w:themeColor="text1"/>
          <w:kern w:val="0"/>
          <w:sz w:val="28"/>
          <w:szCs w:val="28"/>
          <w14:textFill>
            <w14:solidFill>
              <w14:schemeClr w14:val="tx1"/>
            </w14:solidFill>
          </w14:textFill>
        </w:rPr>
        <w:t xml:space="preserve">    采购人在收到评审报告</w:t>
      </w:r>
      <w:r>
        <w:rPr>
          <w:rFonts w:hint="eastAsia" w:ascii="宋体" w:hAnsi="宋体" w:cs="宋体"/>
          <w:color w:val="000000" w:themeColor="text1"/>
          <w:kern w:val="0"/>
          <w:sz w:val="28"/>
          <w:szCs w:val="28"/>
          <w14:textFill>
            <w14:solidFill>
              <w14:schemeClr w14:val="tx1"/>
            </w14:solidFill>
          </w14:textFill>
        </w:rPr>
        <w:t>5</w:t>
      </w:r>
      <w:r>
        <w:rPr>
          <w:rFonts w:hint="eastAsia" w:ascii="宋体" w:hAnsi="宋体" w:cs="Helvetica"/>
          <w:color w:val="000000" w:themeColor="text1"/>
          <w:kern w:val="0"/>
          <w:sz w:val="28"/>
          <w:szCs w:val="28"/>
          <w14:textFill>
            <w14:solidFill>
              <w14:schemeClr w14:val="tx1"/>
            </w14:solidFill>
          </w14:textFill>
        </w:rPr>
        <w:t>个工作日内未按评审报告推荐的成交候选人顺序确定成交供应商，又不能说明合法理由的，视同按评审报告推荐的顺序确定排名第一的成交候选人为成交供应商。</w:t>
      </w:r>
    </w:p>
    <w:p>
      <w:pPr>
        <w:keepNext/>
        <w:keepLines/>
        <w:spacing w:line="360" w:lineRule="auto"/>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6</w:t>
      </w:r>
      <w:r>
        <w:rPr>
          <w:rFonts w:ascii="宋体" w:hAnsi="宋体"/>
          <w:b/>
          <w:bCs/>
          <w:color w:val="000000" w:themeColor="text1"/>
          <w:sz w:val="28"/>
          <w:szCs w:val="28"/>
          <w14:textFill>
            <w14:solidFill>
              <w14:schemeClr w14:val="tx1"/>
            </w14:solidFill>
          </w14:textFill>
        </w:rPr>
        <w:t>.7.2</w:t>
      </w:r>
      <w:r>
        <w:rPr>
          <w:rFonts w:hint="eastAsia" w:ascii="宋体" w:hAnsi="宋体"/>
          <w:b/>
          <w:bCs/>
          <w:color w:val="000000" w:themeColor="text1"/>
          <w:sz w:val="28"/>
          <w:szCs w:val="28"/>
          <w14:textFill>
            <w14:solidFill>
              <w14:schemeClr w14:val="tx1"/>
            </w14:solidFill>
          </w14:textFill>
        </w:rPr>
        <w:t>定标程序</w:t>
      </w:r>
    </w:p>
    <w:p>
      <w:pPr>
        <w:spacing w:line="360" w:lineRule="auto"/>
        <w:ind w:firstLine="560" w:firstLineChars="200"/>
        <w:rPr>
          <w:rFonts w:ascii="宋体" w:hAnsi="宋体" w:cs="Helvetica"/>
          <w:color w:val="000000" w:themeColor="text1"/>
          <w:sz w:val="28"/>
          <w:szCs w:val="28"/>
          <w14:textFill>
            <w14:solidFill>
              <w14:schemeClr w14:val="tx1"/>
            </w14:solidFill>
          </w14:textFill>
        </w:rPr>
      </w:pPr>
      <w:r>
        <w:rPr>
          <w:rFonts w:hint="eastAsia" w:ascii="宋体" w:hAnsi="宋体" w:cs="Helvetica"/>
          <w:color w:val="000000" w:themeColor="text1"/>
          <w:sz w:val="28"/>
          <w:szCs w:val="28"/>
          <w14:textFill>
            <w14:solidFill>
              <w14:schemeClr w14:val="tx1"/>
            </w14:solidFill>
          </w14:textFill>
        </w:rPr>
        <w:t>一、评审委员会将评审情况写出书面报告。</w:t>
      </w:r>
    </w:p>
    <w:p>
      <w:pPr>
        <w:spacing w:line="360" w:lineRule="auto"/>
        <w:ind w:firstLine="560" w:firstLineChars="200"/>
        <w:rPr>
          <w:rFonts w:ascii="宋体" w:hAnsi="宋体" w:cs="Helvetica"/>
          <w:color w:val="000000" w:themeColor="text1"/>
          <w:sz w:val="28"/>
          <w:szCs w:val="28"/>
          <w14:textFill>
            <w14:solidFill>
              <w14:schemeClr w14:val="tx1"/>
            </w14:solidFill>
          </w14:textFill>
        </w:rPr>
      </w:pPr>
      <w:r>
        <w:rPr>
          <w:rFonts w:hint="eastAsia" w:ascii="宋体" w:hAnsi="宋体" w:cs="Helvetica"/>
          <w:color w:val="000000" w:themeColor="text1"/>
          <w:sz w:val="28"/>
          <w:szCs w:val="28"/>
          <w14:textFill>
            <w14:solidFill>
              <w14:schemeClr w14:val="tx1"/>
            </w14:solidFill>
          </w14:textFill>
        </w:rPr>
        <w:t>二、成都市青羊区政府采购服务中心在评审结束之日起2个工作日内将评审报告送采购人。</w:t>
      </w:r>
    </w:p>
    <w:p>
      <w:pPr>
        <w:spacing w:line="360" w:lineRule="auto"/>
        <w:ind w:firstLine="560" w:firstLineChars="200"/>
        <w:rPr>
          <w:rFonts w:ascii="宋体" w:hAnsi="宋体" w:cs="Helvetica"/>
          <w:color w:val="000000" w:themeColor="text1"/>
          <w:sz w:val="28"/>
          <w:szCs w:val="28"/>
          <w14:textFill>
            <w14:solidFill>
              <w14:schemeClr w14:val="tx1"/>
            </w14:solidFill>
          </w14:textFill>
        </w:rPr>
      </w:pPr>
      <w:r>
        <w:rPr>
          <w:rFonts w:hint="eastAsia" w:ascii="宋体" w:hAnsi="宋体" w:cs="Helvetica"/>
          <w:color w:val="000000" w:themeColor="text1"/>
          <w:sz w:val="28"/>
          <w:szCs w:val="28"/>
          <w14:textFill>
            <w14:solidFill>
              <w14:schemeClr w14:val="tx1"/>
            </w14:solidFill>
          </w14:textFill>
        </w:rPr>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pPr>
        <w:spacing w:line="360" w:lineRule="auto"/>
        <w:ind w:firstLine="560" w:firstLineChars="200"/>
        <w:rPr>
          <w:rFonts w:ascii="宋体" w:hAnsi="宋体" w:cs="Helvetica"/>
          <w:color w:val="000000" w:themeColor="text1"/>
          <w:sz w:val="28"/>
          <w:szCs w:val="28"/>
          <w14:textFill>
            <w14:solidFill>
              <w14:schemeClr w14:val="tx1"/>
            </w14:solidFill>
          </w14:textFill>
        </w:rPr>
      </w:pPr>
      <w:r>
        <w:rPr>
          <w:rFonts w:hint="eastAsia" w:ascii="宋体" w:hAnsi="宋体" w:cs="Helvetica"/>
          <w:color w:val="000000" w:themeColor="text1"/>
          <w:sz w:val="28"/>
          <w:szCs w:val="28"/>
          <w14:textFill>
            <w14:solidFill>
              <w14:schemeClr w14:val="tx1"/>
            </w14:solidFill>
          </w14:textFill>
        </w:rPr>
        <w:t>四、根据采购人确定的中标（成交）人，成都市青羊区政府采购服务中心在“四川政府采购网”和“成都市青羊区政府采购服务中心”网站上发布中标（成交）公告，同时向中标（成交）人发出中标（成交）通知书。</w:t>
      </w:r>
    </w:p>
    <w:p>
      <w:pPr>
        <w:spacing w:line="360" w:lineRule="auto"/>
        <w:ind w:firstLine="560" w:firstLineChars="200"/>
        <w:rPr>
          <w:rFonts w:ascii="宋体" w:hAnsi="宋体" w:cs="Helvetica"/>
          <w:color w:val="000000" w:themeColor="text1"/>
          <w:sz w:val="28"/>
          <w:szCs w:val="28"/>
          <w14:textFill>
            <w14:solidFill>
              <w14:schemeClr w14:val="tx1"/>
            </w14:solidFill>
          </w14:textFill>
        </w:rPr>
      </w:pPr>
      <w:r>
        <w:rPr>
          <w:rFonts w:hint="eastAsia" w:ascii="宋体" w:hAnsi="宋体" w:cs="Helvetica"/>
          <w:color w:val="000000" w:themeColor="text1"/>
          <w:sz w:val="28"/>
          <w:szCs w:val="28"/>
          <w14:textFill>
            <w14:solidFill>
              <w14:schemeClr w14:val="tx1"/>
            </w14:solidFill>
          </w14:textFill>
        </w:rPr>
        <w:t>五、采购人、成都市青羊区政府采购服务中心不解释中标（成交）或未中标（成交）原因，不退回投标文件和其他投标资料。</w:t>
      </w:r>
    </w:p>
    <w:p>
      <w:pPr>
        <w:keepNext/>
        <w:keepLines/>
        <w:spacing w:line="360" w:lineRule="auto"/>
        <w:jc w:val="left"/>
        <w:outlineLvl w:val="1"/>
        <w:rPr>
          <w:rFonts w:ascii="宋体" w:hAnsi="宋体"/>
          <w:b/>
          <w:bCs/>
          <w:color w:val="000000" w:themeColor="text1"/>
          <w:sz w:val="28"/>
          <w:szCs w:val="28"/>
          <w14:textFill>
            <w14:solidFill>
              <w14:schemeClr w14:val="tx1"/>
            </w14:solidFill>
          </w14:textFill>
        </w:rPr>
      </w:pPr>
      <w:bookmarkStart w:id="167" w:name="_Toc76541374"/>
      <w:r>
        <w:rPr>
          <w:rFonts w:ascii="宋体" w:hAnsi="宋体"/>
          <w:b/>
          <w:bCs/>
          <w:color w:val="000000" w:themeColor="text1"/>
          <w:sz w:val="28"/>
          <w:szCs w:val="28"/>
          <w14:textFill>
            <w14:solidFill>
              <w14:schemeClr w14:val="tx1"/>
            </w14:solidFill>
          </w14:textFill>
        </w:rPr>
        <w:t>6.8</w:t>
      </w:r>
      <w:r>
        <w:rPr>
          <w:rFonts w:hint="eastAsia" w:ascii="宋体" w:hAnsi="宋体"/>
          <w:b/>
          <w:bCs/>
          <w:color w:val="000000" w:themeColor="text1"/>
          <w:sz w:val="28"/>
          <w:szCs w:val="28"/>
          <w14:textFill>
            <w14:solidFill>
              <w14:schemeClr w14:val="tx1"/>
            </w14:solidFill>
          </w14:textFill>
        </w:rPr>
        <w:t>评标专家在政府采购活动中承担以下义务</w:t>
      </w:r>
      <w:bookmarkEnd w:id="167"/>
    </w:p>
    <w:p>
      <w:pPr>
        <w:numPr>
          <w:ilvl w:val="0"/>
          <w:numId w:val="47"/>
        </w:numPr>
        <w:tabs>
          <w:tab w:val="left" w:pos="1155"/>
        </w:tabs>
        <w:spacing w:line="360" w:lineRule="auto"/>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遵纪守法，客观、公正、廉洁地履行职责。</w:t>
      </w:r>
    </w:p>
    <w:p>
      <w:pPr>
        <w:numPr>
          <w:ilvl w:val="0"/>
          <w:numId w:val="47"/>
        </w:numPr>
        <w:tabs>
          <w:tab w:val="left" w:pos="1155"/>
        </w:tabs>
        <w:spacing w:line="360" w:lineRule="auto"/>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按照政府采购法律法规和采购文件的规定要求对投标人的资格条件和投标人提供的产品价格、技术、服务等方面严格进行独立评审，提供科学合理、公平公正的评审意见，参与起草评审报告，并予签字确认。</w:t>
      </w:r>
    </w:p>
    <w:p>
      <w:pPr>
        <w:numPr>
          <w:ilvl w:val="0"/>
          <w:numId w:val="47"/>
        </w:numPr>
        <w:tabs>
          <w:tab w:val="left" w:pos="1155"/>
        </w:tabs>
        <w:spacing w:line="360" w:lineRule="auto"/>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保守秘密。不得泄漏投标人的投标文件及知悉的商业秘密，不得向投标人透露评审情况。</w:t>
      </w:r>
    </w:p>
    <w:p>
      <w:pPr>
        <w:numPr>
          <w:ilvl w:val="0"/>
          <w:numId w:val="47"/>
        </w:numPr>
        <w:tabs>
          <w:tab w:val="left" w:pos="1155"/>
        </w:tabs>
        <w:spacing w:line="360" w:lineRule="auto"/>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发现投标人在政府采购活动中有不正当竞争或恶意串通等违规行为，及时向政府采购评审工作的组织者或财政部门报告并加以制止。</w:t>
      </w:r>
    </w:p>
    <w:p>
      <w:pPr>
        <w:numPr>
          <w:ilvl w:val="0"/>
          <w:numId w:val="47"/>
        </w:numPr>
        <w:tabs>
          <w:tab w:val="left" w:pos="1155"/>
        </w:tabs>
        <w:spacing w:line="360" w:lineRule="auto"/>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发现采购人、成都市青羊区政府采购服务中心及其工作人员在政府采购活动中有干预评审、发表倾向性和歧视性言论、受贿或者接受投标人的其他好处及其他违法违规行为，及时向财政部门报告。</w:t>
      </w:r>
    </w:p>
    <w:p>
      <w:pPr>
        <w:numPr>
          <w:ilvl w:val="0"/>
          <w:numId w:val="47"/>
        </w:numPr>
        <w:tabs>
          <w:tab w:val="left" w:pos="1155"/>
        </w:tabs>
        <w:spacing w:line="360" w:lineRule="auto"/>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解答有关方面对政府采购评审工作中有关问题的询问，配合采购人或者成都市青羊区政府采购服务中心答复投标人的询问、质疑，配合财政部门的投诉处理工作等事宜。</w:t>
      </w:r>
    </w:p>
    <w:p>
      <w:pPr>
        <w:numPr>
          <w:ilvl w:val="0"/>
          <w:numId w:val="47"/>
        </w:numPr>
        <w:tabs>
          <w:tab w:val="left" w:pos="1155"/>
        </w:tabs>
        <w:spacing w:line="360" w:lineRule="auto"/>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法律、法规和规章规定的其他义务。</w:t>
      </w:r>
    </w:p>
    <w:p>
      <w:pPr>
        <w:keepNext/>
        <w:keepLines/>
        <w:spacing w:line="360" w:lineRule="auto"/>
        <w:jc w:val="left"/>
        <w:outlineLvl w:val="1"/>
        <w:rPr>
          <w:rFonts w:ascii="宋体" w:hAnsi="宋体"/>
          <w:b/>
          <w:bCs/>
          <w:color w:val="000000" w:themeColor="text1"/>
          <w:sz w:val="28"/>
          <w:szCs w:val="28"/>
          <w14:textFill>
            <w14:solidFill>
              <w14:schemeClr w14:val="tx1"/>
            </w14:solidFill>
          </w14:textFill>
        </w:rPr>
      </w:pPr>
      <w:bookmarkStart w:id="168" w:name="_Toc76541375"/>
      <w:r>
        <w:rPr>
          <w:rFonts w:ascii="宋体" w:hAnsi="宋体"/>
          <w:b/>
          <w:bCs/>
          <w:color w:val="000000" w:themeColor="text1"/>
          <w:sz w:val="28"/>
          <w:szCs w:val="28"/>
          <w14:textFill>
            <w14:solidFill>
              <w14:schemeClr w14:val="tx1"/>
            </w14:solidFill>
          </w14:textFill>
        </w:rPr>
        <w:t>6.9</w:t>
      </w:r>
      <w:r>
        <w:rPr>
          <w:rFonts w:hint="eastAsia" w:ascii="宋体" w:hAnsi="宋体"/>
          <w:b/>
          <w:bCs/>
          <w:color w:val="000000" w:themeColor="text1"/>
          <w:sz w:val="28"/>
          <w:szCs w:val="28"/>
          <w14:textFill>
            <w14:solidFill>
              <w14:schemeClr w14:val="tx1"/>
            </w14:solidFill>
          </w14:textFill>
        </w:rPr>
        <w:t>评标委员会及其成员不得有下列行为</w:t>
      </w:r>
      <w:bookmarkEnd w:id="168"/>
    </w:p>
    <w:p>
      <w:pPr>
        <w:numPr>
          <w:ilvl w:val="0"/>
          <w:numId w:val="48"/>
        </w:numPr>
        <w:tabs>
          <w:tab w:val="left" w:pos="1155"/>
        </w:tabs>
        <w:spacing w:line="360" w:lineRule="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确定参与评标至评标结束前私自接触投标人；</w:t>
      </w:r>
    </w:p>
    <w:p>
      <w:pPr>
        <w:numPr>
          <w:ilvl w:val="0"/>
          <w:numId w:val="48"/>
        </w:numPr>
        <w:tabs>
          <w:tab w:val="left" w:pos="1155"/>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接受投标人提出的与投标文件不一致的澄清或者说明，除招标文件明确可以澄清的除外；</w:t>
      </w:r>
    </w:p>
    <w:p>
      <w:pPr>
        <w:numPr>
          <w:ilvl w:val="0"/>
          <w:numId w:val="48"/>
        </w:numPr>
        <w:tabs>
          <w:tab w:val="left" w:pos="1155"/>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违反评标纪律发表倾向性意见或者征询采购人的倾向性意见；</w:t>
      </w:r>
    </w:p>
    <w:p>
      <w:pPr>
        <w:numPr>
          <w:ilvl w:val="0"/>
          <w:numId w:val="48"/>
        </w:numPr>
        <w:tabs>
          <w:tab w:val="left" w:pos="1155"/>
        </w:tabs>
        <w:spacing w:line="360" w:lineRule="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对需要专业判断的主观评审因素协商评分；</w:t>
      </w:r>
    </w:p>
    <w:p>
      <w:pPr>
        <w:numPr>
          <w:ilvl w:val="0"/>
          <w:numId w:val="48"/>
        </w:numPr>
        <w:tabs>
          <w:tab w:val="left" w:pos="1155"/>
        </w:tabs>
        <w:spacing w:line="360" w:lineRule="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在评标过程中擅离职守，影响评标程序正常进行的；</w:t>
      </w:r>
    </w:p>
    <w:p>
      <w:pPr>
        <w:numPr>
          <w:ilvl w:val="0"/>
          <w:numId w:val="48"/>
        </w:numPr>
        <w:tabs>
          <w:tab w:val="left" w:pos="1155"/>
        </w:tabs>
        <w:spacing w:line="360" w:lineRule="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记录、复制或者带走任何评标资料；</w:t>
      </w:r>
    </w:p>
    <w:p>
      <w:pPr>
        <w:numPr>
          <w:ilvl w:val="0"/>
          <w:numId w:val="48"/>
        </w:numPr>
        <w:tabs>
          <w:tab w:val="left" w:pos="1155"/>
        </w:tabs>
        <w:spacing w:line="360" w:lineRule="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其他不遵守评标纪律的行为。</w:t>
      </w:r>
    </w:p>
    <w:p>
      <w:pPr>
        <w:spacing w:line="360" w:lineRule="auto"/>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评标委员会成员有前款第一至五项行为之一的，其评审意见无效，并不得获取评审劳务报酬和报销异地评审差旅费。</w:t>
      </w:r>
    </w:p>
    <w:p>
      <w:pPr>
        <w:keepNext/>
        <w:keepLines/>
        <w:spacing w:before="240" w:line="360" w:lineRule="auto"/>
        <w:jc w:val="left"/>
        <w:outlineLvl w:val="1"/>
        <w:rPr>
          <w:rFonts w:ascii="宋体" w:hAnsi="宋体"/>
          <w:b/>
          <w:bCs/>
          <w:color w:val="000000" w:themeColor="text1"/>
          <w:sz w:val="28"/>
          <w:szCs w:val="28"/>
          <w14:textFill>
            <w14:solidFill>
              <w14:schemeClr w14:val="tx1"/>
            </w14:solidFill>
          </w14:textFill>
        </w:rPr>
      </w:pPr>
      <w:bookmarkStart w:id="169" w:name="_Toc76541376"/>
      <w:r>
        <w:rPr>
          <w:rFonts w:hint="eastAsia" w:ascii="宋体" w:hAnsi="宋体"/>
          <w:b/>
          <w:bCs/>
          <w:color w:val="000000" w:themeColor="text1"/>
          <w:sz w:val="28"/>
          <w:szCs w:val="28"/>
          <w14:textFill>
            <w14:solidFill>
              <w14:schemeClr w14:val="tx1"/>
            </w14:solidFill>
          </w14:textFill>
        </w:rPr>
        <w:t>6</w:t>
      </w:r>
      <w:r>
        <w:rPr>
          <w:rFonts w:ascii="宋体" w:hAnsi="宋体"/>
          <w:b/>
          <w:bCs/>
          <w:color w:val="000000" w:themeColor="text1"/>
          <w:sz w:val="28"/>
          <w:szCs w:val="28"/>
          <w14:textFill>
            <w14:solidFill>
              <w14:schemeClr w14:val="tx1"/>
            </w14:solidFill>
          </w14:textFill>
        </w:rPr>
        <w:t>.10</w:t>
      </w:r>
      <w:r>
        <w:rPr>
          <w:rFonts w:hint="eastAsia" w:ascii="宋体" w:hAnsi="宋体"/>
          <w:b/>
          <w:bCs/>
          <w:color w:val="000000" w:themeColor="text1"/>
          <w:sz w:val="28"/>
          <w:szCs w:val="28"/>
          <w14:textFill>
            <w14:solidFill>
              <w14:schemeClr w14:val="tx1"/>
            </w14:solidFill>
          </w14:textFill>
        </w:rPr>
        <w:t>评审专家在政府采购活动中应当遵守以下工作纪律</w:t>
      </w:r>
      <w:bookmarkEnd w:id="169"/>
    </w:p>
    <w:p>
      <w:pPr>
        <w:numPr>
          <w:ilvl w:val="0"/>
          <w:numId w:val="49"/>
        </w:numPr>
        <w:tabs>
          <w:tab w:val="left" w:pos="1155"/>
        </w:tabs>
        <w:spacing w:line="360" w:lineRule="auto"/>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遵行《政府采购法》第十二条和《政府采购法实施条例》第九条及政府采购相关法律法规关于回避的规定。</w:t>
      </w:r>
    </w:p>
    <w:p>
      <w:pPr>
        <w:numPr>
          <w:ilvl w:val="0"/>
          <w:numId w:val="49"/>
        </w:numPr>
        <w:tabs>
          <w:tab w:val="left" w:pos="1155"/>
        </w:tabs>
        <w:spacing w:line="58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应邀按时参加评审和咨询活动，遵守评标区管理规定。</w:t>
      </w:r>
    </w:p>
    <w:p>
      <w:pPr>
        <w:numPr>
          <w:ilvl w:val="0"/>
          <w:numId w:val="49"/>
        </w:numPr>
        <w:tabs>
          <w:tab w:val="left" w:pos="1155"/>
        </w:tabs>
        <w:spacing w:line="58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进入评标区之前应将所有的通信设备存入公共资源交易中心指定的存放处。评标专家不得以任何方式将通信设备带入评标区，否则将被取消其当次项目的评标资格。遇特殊情况不能出席或途中遇阻不能按时参加评审或咨询的，应及时告知财政部门或者采购人或者</w:t>
      </w:r>
      <w:r>
        <w:rPr>
          <w:rFonts w:hint="eastAsia" w:cs="Arial"/>
          <w:color w:val="000000" w:themeColor="text1"/>
          <w:sz w:val="28"/>
          <w:szCs w:val="28"/>
          <w14:textFill>
            <w14:solidFill>
              <w14:schemeClr w14:val="tx1"/>
            </w14:solidFill>
          </w14:textFill>
        </w:rPr>
        <w:t>成都市青羊区政府采购服务中心</w:t>
      </w:r>
      <w:r>
        <w:rPr>
          <w:rFonts w:hint="eastAsia" w:ascii="宋体" w:hAnsi="宋体"/>
          <w:color w:val="000000" w:themeColor="text1"/>
          <w:sz w:val="28"/>
          <w:szCs w:val="28"/>
          <w14:textFill>
            <w14:solidFill>
              <w14:schemeClr w14:val="tx1"/>
            </w14:solidFill>
          </w14:textFill>
        </w:rPr>
        <w:t>，不得私自转托他人。</w:t>
      </w:r>
    </w:p>
    <w:p>
      <w:pPr>
        <w:numPr>
          <w:ilvl w:val="0"/>
          <w:numId w:val="49"/>
        </w:numPr>
        <w:tabs>
          <w:tab w:val="left" w:pos="1155"/>
        </w:tabs>
        <w:spacing w:line="58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不得参加与自己有利害关系的政府采购项目的评审活动。对与自己有利害关系的评审项目，如受到邀请，应主动提出回避。财政部门、采购人或</w:t>
      </w:r>
      <w:r>
        <w:rPr>
          <w:rFonts w:hint="eastAsia" w:cs="Arial"/>
          <w:color w:val="000000" w:themeColor="text1"/>
          <w:sz w:val="28"/>
          <w:szCs w:val="28"/>
          <w14:textFill>
            <w14:solidFill>
              <w14:schemeClr w14:val="tx1"/>
            </w14:solidFill>
          </w14:textFill>
        </w:rPr>
        <w:t>成都市青羊区政府采购服务中心</w:t>
      </w:r>
      <w:r>
        <w:rPr>
          <w:rFonts w:hint="eastAsia" w:ascii="宋体" w:hAnsi="宋体"/>
          <w:color w:val="000000" w:themeColor="text1"/>
          <w:sz w:val="28"/>
          <w:szCs w:val="28"/>
          <w14:textFill>
            <w14:solidFill>
              <w14:schemeClr w14:val="tx1"/>
            </w14:solidFill>
          </w14:textFill>
        </w:rPr>
        <w:t>也可要求该评审专家回避。</w:t>
      </w:r>
    </w:p>
    <w:p>
      <w:pPr>
        <w:numPr>
          <w:ilvl w:val="0"/>
          <w:numId w:val="49"/>
        </w:numPr>
        <w:tabs>
          <w:tab w:val="left" w:pos="1155"/>
        </w:tabs>
        <w:spacing w:line="58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评审过程中关闭通讯设备，不得与外界联系。因发生不可预见情况，确实需要与外界联系的，应告知评标区值守人员，使用评标区内由公共资源交易中心提供的通信设备，在监督人员监督之下办理。</w:t>
      </w:r>
    </w:p>
    <w:p>
      <w:pPr>
        <w:numPr>
          <w:ilvl w:val="0"/>
          <w:numId w:val="49"/>
        </w:numPr>
        <w:tabs>
          <w:tab w:val="left" w:pos="1155"/>
        </w:tabs>
        <w:spacing w:line="58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pPr>
        <w:numPr>
          <w:ilvl w:val="0"/>
          <w:numId w:val="49"/>
        </w:numPr>
        <w:tabs>
          <w:tab w:val="left" w:pos="1155"/>
        </w:tabs>
        <w:spacing w:line="58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在评标过程中和评标结束后，不得记录、复制或带走任何评标资料，除因规定的义务外，不得向外界透露评标内容。</w:t>
      </w:r>
    </w:p>
    <w:p>
      <w:pPr>
        <w:numPr>
          <w:ilvl w:val="0"/>
          <w:numId w:val="49"/>
        </w:numPr>
        <w:tabs>
          <w:tab w:val="left" w:pos="1155"/>
        </w:tabs>
        <w:spacing w:line="58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服从评标现场</w:t>
      </w:r>
      <w:r>
        <w:rPr>
          <w:rFonts w:hint="eastAsia" w:cs="Arial"/>
          <w:color w:val="000000" w:themeColor="text1"/>
          <w:sz w:val="28"/>
          <w:szCs w:val="28"/>
          <w14:textFill>
            <w14:solidFill>
              <w14:schemeClr w14:val="tx1"/>
            </w14:solidFill>
          </w14:textFill>
        </w:rPr>
        <w:t>成都市青羊区政府采购服务中心</w:t>
      </w:r>
      <w:r>
        <w:rPr>
          <w:rFonts w:hint="eastAsia" w:ascii="宋体" w:hAnsi="宋体"/>
          <w:color w:val="000000" w:themeColor="text1"/>
          <w:sz w:val="28"/>
          <w:szCs w:val="28"/>
          <w14:textFill>
            <w14:solidFill>
              <w14:schemeClr w14:val="tx1"/>
            </w14:solidFill>
          </w14:textFill>
        </w:rPr>
        <w:t>的现场秩序管理，接受评标现场监督人员的合法监督。</w:t>
      </w:r>
    </w:p>
    <w:p>
      <w:pPr>
        <w:numPr>
          <w:ilvl w:val="0"/>
          <w:numId w:val="49"/>
        </w:numPr>
        <w:tabs>
          <w:tab w:val="left" w:pos="1155"/>
        </w:tabs>
        <w:spacing w:line="58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遵守有关廉洁自律规定，不得私下接触投标人，不得收受投标人及有关业务单位和个人的财物或好处，不得接受采购组织单位的请托。</w:t>
      </w:r>
    </w:p>
    <w:p>
      <w:pPr>
        <w:numPr>
          <w:ilvl w:val="0"/>
          <w:numId w:val="49"/>
        </w:numPr>
        <w:tabs>
          <w:tab w:val="left" w:pos="1155"/>
        </w:tabs>
        <w:spacing w:line="58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在咨询工作中，严格执行国家产业政策和产品标准，认真听取咨询方的合理要求，提出科学合理的、无倾向性和歧视性的咨询方案，并对所提出的意见和建议承担个人责任。</w:t>
      </w:r>
    </w:p>
    <w:p>
      <w:pPr>
        <w:numPr>
          <w:ilvl w:val="0"/>
          <w:numId w:val="49"/>
        </w:numPr>
        <w:tabs>
          <w:tab w:val="left" w:pos="1155"/>
          <w:tab w:val="left" w:pos="1276"/>
          <w:tab w:val="left" w:pos="1418"/>
        </w:tabs>
        <w:spacing w:line="580" w:lineRule="exact"/>
        <w:ind w:left="527" w:firstLine="4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有关部门（机构）制定的其他评审工作纪律。</w:t>
      </w:r>
    </w:p>
    <w:p>
      <w:pPr>
        <w:tabs>
          <w:tab w:val="left" w:pos="1155"/>
          <w:tab w:val="left" w:pos="1276"/>
          <w:tab w:val="left" w:pos="1418"/>
        </w:tabs>
        <w:spacing w:line="580" w:lineRule="exact"/>
        <w:rPr>
          <w:rFonts w:ascii="宋体" w:hAnsi="宋体"/>
          <w:color w:val="000000" w:themeColor="text1"/>
          <w:sz w:val="28"/>
          <w:szCs w:val="28"/>
          <w14:textFill>
            <w14:solidFill>
              <w14:schemeClr w14:val="tx1"/>
            </w14:solidFill>
          </w14:textFill>
        </w:rPr>
      </w:pPr>
    </w:p>
    <w:p>
      <w:pPr>
        <w:tabs>
          <w:tab w:val="left" w:pos="1155"/>
          <w:tab w:val="left" w:pos="1276"/>
          <w:tab w:val="left" w:pos="1418"/>
        </w:tabs>
        <w:spacing w:line="580" w:lineRule="exact"/>
        <w:rPr>
          <w:rFonts w:ascii="宋体" w:hAnsi="宋体"/>
          <w:color w:val="000000" w:themeColor="text1"/>
          <w:sz w:val="28"/>
          <w:szCs w:val="28"/>
          <w14:textFill>
            <w14:solidFill>
              <w14:schemeClr w14:val="tx1"/>
            </w14:solidFill>
          </w14:textFill>
        </w:rPr>
      </w:pPr>
    </w:p>
    <w:p>
      <w:pPr>
        <w:tabs>
          <w:tab w:val="left" w:pos="1155"/>
          <w:tab w:val="left" w:pos="1276"/>
          <w:tab w:val="left" w:pos="1418"/>
        </w:tabs>
        <w:spacing w:line="580" w:lineRule="exact"/>
        <w:rPr>
          <w:rFonts w:ascii="宋体" w:hAnsi="宋体"/>
          <w:color w:val="000000" w:themeColor="text1"/>
          <w:sz w:val="28"/>
          <w:szCs w:val="28"/>
          <w14:textFill>
            <w14:solidFill>
              <w14:schemeClr w14:val="tx1"/>
            </w14:solidFill>
          </w14:textFill>
        </w:rPr>
      </w:pPr>
    </w:p>
    <w:p>
      <w:pPr>
        <w:tabs>
          <w:tab w:val="left" w:pos="1155"/>
          <w:tab w:val="left" w:pos="1276"/>
          <w:tab w:val="left" w:pos="1418"/>
        </w:tabs>
        <w:spacing w:line="580" w:lineRule="exact"/>
        <w:rPr>
          <w:rFonts w:ascii="宋体" w:hAnsi="宋体"/>
          <w:color w:val="000000" w:themeColor="text1"/>
          <w:sz w:val="28"/>
          <w:szCs w:val="28"/>
          <w14:textFill>
            <w14:solidFill>
              <w14:schemeClr w14:val="tx1"/>
            </w14:solidFill>
          </w14:textFill>
        </w:rPr>
      </w:pPr>
    </w:p>
    <w:p>
      <w:pPr>
        <w:tabs>
          <w:tab w:val="left" w:pos="1155"/>
          <w:tab w:val="left" w:pos="1276"/>
          <w:tab w:val="left" w:pos="1418"/>
        </w:tabs>
        <w:spacing w:line="580" w:lineRule="exact"/>
        <w:rPr>
          <w:rFonts w:ascii="宋体" w:hAnsi="宋体"/>
          <w:color w:val="000000" w:themeColor="text1"/>
          <w:sz w:val="28"/>
          <w:szCs w:val="28"/>
          <w14:textFill>
            <w14:solidFill>
              <w14:schemeClr w14:val="tx1"/>
            </w14:solidFill>
          </w14:textFill>
        </w:rPr>
      </w:pPr>
    </w:p>
    <w:p>
      <w:pPr>
        <w:tabs>
          <w:tab w:val="left" w:pos="1155"/>
          <w:tab w:val="left" w:pos="1276"/>
          <w:tab w:val="left" w:pos="1418"/>
        </w:tabs>
        <w:spacing w:line="580" w:lineRule="exact"/>
        <w:rPr>
          <w:rFonts w:ascii="宋体" w:hAnsi="宋体"/>
          <w:color w:val="000000" w:themeColor="text1"/>
          <w:sz w:val="28"/>
          <w:szCs w:val="28"/>
          <w14:textFill>
            <w14:solidFill>
              <w14:schemeClr w14:val="tx1"/>
            </w14:solidFill>
          </w14:textFill>
        </w:rPr>
      </w:pPr>
    </w:p>
    <w:p>
      <w:pPr>
        <w:tabs>
          <w:tab w:val="left" w:pos="1155"/>
          <w:tab w:val="left" w:pos="1276"/>
          <w:tab w:val="left" w:pos="1418"/>
        </w:tabs>
        <w:spacing w:line="580" w:lineRule="exact"/>
        <w:rPr>
          <w:rFonts w:ascii="宋体" w:hAnsi="宋体"/>
          <w:color w:val="000000" w:themeColor="text1"/>
          <w:sz w:val="28"/>
          <w:szCs w:val="28"/>
          <w14:textFill>
            <w14:solidFill>
              <w14:schemeClr w14:val="tx1"/>
            </w14:solidFill>
          </w14:textFill>
        </w:rPr>
      </w:pPr>
    </w:p>
    <w:p>
      <w:pPr>
        <w:tabs>
          <w:tab w:val="left" w:pos="1155"/>
          <w:tab w:val="left" w:pos="1276"/>
          <w:tab w:val="left" w:pos="1418"/>
        </w:tabs>
        <w:spacing w:line="580" w:lineRule="exact"/>
        <w:rPr>
          <w:rFonts w:ascii="宋体" w:hAnsi="宋体"/>
          <w:color w:val="000000" w:themeColor="text1"/>
          <w:sz w:val="28"/>
          <w:szCs w:val="28"/>
          <w14:textFill>
            <w14:solidFill>
              <w14:schemeClr w14:val="tx1"/>
            </w14:solidFill>
          </w14:textFill>
        </w:rPr>
      </w:pPr>
    </w:p>
    <w:p>
      <w:pPr>
        <w:tabs>
          <w:tab w:val="left" w:pos="1155"/>
          <w:tab w:val="left" w:pos="1276"/>
          <w:tab w:val="left" w:pos="1418"/>
        </w:tabs>
        <w:spacing w:line="580" w:lineRule="exact"/>
        <w:rPr>
          <w:rFonts w:ascii="宋体" w:hAnsi="宋体"/>
          <w:color w:val="000000" w:themeColor="text1"/>
          <w:sz w:val="28"/>
          <w:szCs w:val="28"/>
          <w14:textFill>
            <w14:solidFill>
              <w14:schemeClr w14:val="tx1"/>
            </w14:solidFill>
          </w14:textFill>
        </w:rPr>
      </w:pPr>
    </w:p>
    <w:p>
      <w:pPr>
        <w:tabs>
          <w:tab w:val="left" w:pos="1155"/>
          <w:tab w:val="left" w:pos="1276"/>
          <w:tab w:val="left" w:pos="1418"/>
        </w:tabs>
        <w:spacing w:line="580" w:lineRule="exact"/>
        <w:rPr>
          <w:rFonts w:ascii="宋体" w:hAnsi="宋体"/>
          <w:color w:val="000000" w:themeColor="text1"/>
          <w:sz w:val="28"/>
          <w:szCs w:val="28"/>
          <w14:textFill>
            <w14:solidFill>
              <w14:schemeClr w14:val="tx1"/>
            </w14:solidFill>
          </w14:textFill>
        </w:rPr>
      </w:pPr>
    </w:p>
    <w:p>
      <w:pPr>
        <w:tabs>
          <w:tab w:val="left" w:pos="1155"/>
          <w:tab w:val="left" w:pos="1276"/>
          <w:tab w:val="left" w:pos="1418"/>
        </w:tabs>
        <w:spacing w:line="580" w:lineRule="exact"/>
        <w:rPr>
          <w:rFonts w:ascii="宋体" w:hAnsi="宋体"/>
          <w:color w:val="000000" w:themeColor="text1"/>
          <w:sz w:val="28"/>
          <w:szCs w:val="28"/>
          <w14:textFill>
            <w14:solidFill>
              <w14:schemeClr w14:val="tx1"/>
            </w14:solidFill>
          </w14:textFill>
        </w:rPr>
      </w:pPr>
    </w:p>
    <w:p>
      <w:pPr>
        <w:tabs>
          <w:tab w:val="left" w:pos="1155"/>
          <w:tab w:val="left" w:pos="1276"/>
          <w:tab w:val="left" w:pos="1418"/>
        </w:tabs>
        <w:spacing w:line="580" w:lineRule="exact"/>
        <w:rPr>
          <w:rFonts w:ascii="宋体" w:hAnsi="宋体"/>
          <w:color w:val="000000" w:themeColor="text1"/>
          <w:sz w:val="28"/>
          <w:szCs w:val="28"/>
          <w14:textFill>
            <w14:solidFill>
              <w14:schemeClr w14:val="tx1"/>
            </w14:solidFill>
          </w14:textFill>
        </w:rPr>
      </w:pPr>
    </w:p>
    <w:p>
      <w:pPr>
        <w:tabs>
          <w:tab w:val="left" w:pos="1155"/>
          <w:tab w:val="left" w:pos="1276"/>
          <w:tab w:val="left" w:pos="1418"/>
        </w:tabs>
        <w:spacing w:line="580" w:lineRule="exact"/>
        <w:rPr>
          <w:rFonts w:ascii="宋体" w:hAnsi="宋体"/>
          <w:color w:val="000000" w:themeColor="text1"/>
          <w:sz w:val="28"/>
          <w:szCs w:val="28"/>
          <w14:textFill>
            <w14:solidFill>
              <w14:schemeClr w14:val="tx1"/>
            </w14:solidFill>
          </w14:textFill>
        </w:rPr>
      </w:pPr>
    </w:p>
    <w:bookmarkEnd w:id="0"/>
    <w:bookmarkEnd w:id="1"/>
    <w:bookmarkEnd w:id="2"/>
    <w:bookmarkEnd w:id="3"/>
    <w:bookmarkEnd w:id="152"/>
    <w:bookmarkEnd w:id="153"/>
    <w:p>
      <w:pPr>
        <w:keepNext/>
        <w:keepLines/>
        <w:numPr>
          <w:ilvl w:val="0"/>
          <w:numId w:val="1"/>
        </w:numPr>
        <w:spacing w:line="360" w:lineRule="auto"/>
        <w:ind w:left="0" w:firstLine="0"/>
        <w:jc w:val="center"/>
        <w:outlineLvl w:val="0"/>
        <w:rPr>
          <w:rFonts w:ascii="宋体" w:hAnsi="宋体"/>
          <w:b/>
          <w:bCs/>
          <w:color w:val="000000" w:themeColor="text1"/>
          <w:spacing w:val="-20"/>
          <w:kern w:val="44"/>
          <w:sz w:val="32"/>
          <w:szCs w:val="32"/>
          <w14:textFill>
            <w14:solidFill>
              <w14:schemeClr w14:val="tx1"/>
            </w14:solidFill>
          </w14:textFill>
        </w:rPr>
      </w:pPr>
      <w:bookmarkStart w:id="170" w:name="_Toc76541377"/>
      <w:bookmarkStart w:id="171" w:name="_Toc217446108"/>
      <w:bookmarkStart w:id="172" w:name="_Toc8573798"/>
      <w:bookmarkStart w:id="173" w:name="_Toc34729074"/>
      <w:r>
        <w:rPr>
          <w:rFonts w:hint="eastAsia" w:ascii="宋体" w:hAnsi="宋体"/>
          <w:b/>
          <w:bCs/>
          <w:color w:val="000000" w:themeColor="text1"/>
          <w:spacing w:val="-20"/>
          <w:kern w:val="44"/>
          <w:sz w:val="32"/>
          <w:szCs w:val="32"/>
          <w14:textFill>
            <w14:solidFill>
              <w14:schemeClr w14:val="tx1"/>
            </w14:solidFill>
          </w14:textFill>
        </w:rPr>
        <w:t>拟签订的合同文本</w:t>
      </w:r>
      <w:bookmarkEnd w:id="170"/>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合同编号：XXXX。</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签订地点：XXXX。</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签订时间：XXXX年XX月XX日。</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 xml:space="preserve">采购人（甲方）：                              </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 xml:space="preserve">供应商（乙方）：                    </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一、合同货物</w:t>
      </w:r>
    </w:p>
    <w:tbl>
      <w:tblPr>
        <w:tblStyle w:val="43"/>
        <w:tblW w:w="10028" w:type="dxa"/>
        <w:tblInd w:w="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56"/>
        <w:gridCol w:w="992"/>
        <w:gridCol w:w="851"/>
        <w:gridCol w:w="992"/>
        <w:gridCol w:w="1984"/>
        <w:gridCol w:w="1701"/>
        <w:gridCol w:w="1418"/>
        <w:gridCol w:w="113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956"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货物品名</w:t>
            </w:r>
          </w:p>
        </w:tc>
        <w:tc>
          <w:tcPr>
            <w:tcW w:w="99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规格型号</w:t>
            </w:r>
          </w:p>
        </w:tc>
        <w:tc>
          <w:tcPr>
            <w:tcW w:w="85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单位</w:t>
            </w:r>
          </w:p>
        </w:tc>
        <w:tc>
          <w:tcPr>
            <w:tcW w:w="99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数量</w:t>
            </w:r>
          </w:p>
        </w:tc>
        <w:tc>
          <w:tcPr>
            <w:tcW w:w="198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单价（万元）</w:t>
            </w:r>
          </w:p>
        </w:tc>
        <w:tc>
          <w:tcPr>
            <w:tcW w:w="170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总价（万元）</w:t>
            </w:r>
          </w:p>
        </w:tc>
        <w:tc>
          <w:tcPr>
            <w:tcW w:w="1418"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随机配件</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956"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olor w:val="000000" w:themeColor="text1"/>
                <w:szCs w:val="21"/>
                <w14:textFill>
                  <w14:solidFill>
                    <w14:schemeClr w14:val="tx1"/>
                  </w14:solidFill>
                </w14:textFill>
              </w:rPr>
            </w:pPr>
          </w:p>
        </w:tc>
        <w:tc>
          <w:tcPr>
            <w:tcW w:w="99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olor w:val="000000" w:themeColor="text1"/>
                <w:szCs w:val="21"/>
                <w14:textFill>
                  <w14:solidFill>
                    <w14:schemeClr w14:val="tx1"/>
                  </w14:solidFill>
                </w14:textFill>
              </w:rPr>
            </w:pPr>
          </w:p>
        </w:tc>
        <w:tc>
          <w:tcPr>
            <w:tcW w:w="85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olor w:val="000000" w:themeColor="text1"/>
                <w:szCs w:val="21"/>
                <w14:textFill>
                  <w14:solidFill>
                    <w14:schemeClr w14:val="tx1"/>
                  </w14:solidFill>
                </w14:textFill>
              </w:rPr>
            </w:pPr>
          </w:p>
        </w:tc>
        <w:tc>
          <w:tcPr>
            <w:tcW w:w="99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olor w:val="000000" w:themeColor="text1"/>
                <w:szCs w:val="21"/>
                <w14:textFill>
                  <w14:solidFill>
                    <w14:schemeClr w14:val="tx1"/>
                  </w14:solidFill>
                </w14:textFill>
              </w:rPr>
            </w:pPr>
          </w:p>
        </w:tc>
        <w:tc>
          <w:tcPr>
            <w:tcW w:w="198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olor w:val="000000" w:themeColor="text1"/>
                <w:szCs w:val="21"/>
                <w14:textFill>
                  <w14:solidFill>
                    <w14:schemeClr w14:val="tx1"/>
                  </w14:solidFill>
                </w14:textFill>
              </w:rPr>
            </w:pPr>
          </w:p>
        </w:tc>
        <w:tc>
          <w:tcPr>
            <w:tcW w:w="170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olor w:val="000000" w:themeColor="text1"/>
                <w:szCs w:val="21"/>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956"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olor w:val="000000" w:themeColor="text1"/>
                <w:szCs w:val="21"/>
                <w14:textFill>
                  <w14:solidFill>
                    <w14:schemeClr w14:val="tx1"/>
                  </w14:solidFill>
                </w14:textFill>
              </w:rPr>
            </w:pPr>
          </w:p>
        </w:tc>
        <w:tc>
          <w:tcPr>
            <w:tcW w:w="99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olor w:val="000000" w:themeColor="text1"/>
                <w:szCs w:val="21"/>
                <w14:textFill>
                  <w14:solidFill>
                    <w14:schemeClr w14:val="tx1"/>
                  </w14:solidFill>
                </w14:textFill>
              </w:rPr>
            </w:pPr>
          </w:p>
        </w:tc>
        <w:tc>
          <w:tcPr>
            <w:tcW w:w="85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olor w:val="000000" w:themeColor="text1"/>
                <w:szCs w:val="21"/>
                <w14:textFill>
                  <w14:solidFill>
                    <w14:schemeClr w14:val="tx1"/>
                  </w14:solidFill>
                </w14:textFill>
              </w:rPr>
            </w:pPr>
          </w:p>
        </w:tc>
        <w:tc>
          <w:tcPr>
            <w:tcW w:w="99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olor w:val="000000" w:themeColor="text1"/>
                <w:szCs w:val="21"/>
                <w14:textFill>
                  <w14:solidFill>
                    <w14:schemeClr w14:val="tx1"/>
                  </w14:solidFill>
                </w14:textFill>
              </w:rPr>
            </w:pPr>
          </w:p>
        </w:tc>
        <w:tc>
          <w:tcPr>
            <w:tcW w:w="198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olor w:val="000000" w:themeColor="text1"/>
                <w:szCs w:val="21"/>
                <w14:textFill>
                  <w14:solidFill>
                    <w14:schemeClr w14:val="tx1"/>
                  </w14:solidFill>
                </w14:textFill>
              </w:rPr>
            </w:pPr>
          </w:p>
        </w:tc>
        <w:tc>
          <w:tcPr>
            <w:tcW w:w="170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olor w:val="000000" w:themeColor="text1"/>
                <w:szCs w:val="21"/>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olor w:val="000000" w:themeColor="text1"/>
                <w:szCs w:val="21"/>
                <w14:textFill>
                  <w14:solidFill>
                    <w14:schemeClr w14:val="tx1"/>
                  </w14:solidFill>
                </w14:textFill>
              </w:rPr>
            </w:pPr>
          </w:p>
        </w:tc>
      </w:tr>
    </w:tbl>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二、合同总价</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合同总价为人民币大写：</w:t>
      </w:r>
      <w:r>
        <w:rPr>
          <w:rFonts w:hint="eastAsia" w:ascii="Times New Roman" w:hAnsi="Times New Roman" w:eastAsia="仿宋_GB2312"/>
          <w:color w:val="000000" w:themeColor="text1"/>
          <w:szCs w:val="21"/>
          <w:u w:val="single"/>
          <w14:textFill>
            <w14:solidFill>
              <w14:schemeClr w14:val="tx1"/>
            </w14:solidFill>
          </w14:textFill>
        </w:rPr>
        <w:t xml:space="preserve">        </w:t>
      </w:r>
      <w:r>
        <w:rPr>
          <w:rFonts w:hint="eastAsia" w:ascii="Times New Roman" w:hAnsi="Times New Roman" w:eastAsia="仿宋_GB2312"/>
          <w:color w:val="000000" w:themeColor="text1"/>
          <w:szCs w:val="21"/>
          <w14:textFill>
            <w14:solidFill>
              <w14:schemeClr w14:val="tx1"/>
            </w14:solidFill>
          </w14:textFill>
        </w:rPr>
        <w:t>元，即RMB￥</w:t>
      </w:r>
      <w:r>
        <w:rPr>
          <w:rFonts w:hint="eastAsia" w:ascii="Times New Roman" w:hAnsi="Times New Roman" w:eastAsia="仿宋_GB2312"/>
          <w:color w:val="000000" w:themeColor="text1"/>
          <w:szCs w:val="21"/>
          <w:u w:val="single"/>
          <w14:textFill>
            <w14:solidFill>
              <w14:schemeClr w14:val="tx1"/>
            </w14:solidFill>
          </w14:textFill>
        </w:rPr>
        <w:t xml:space="preserve">      </w:t>
      </w:r>
      <w:r>
        <w:rPr>
          <w:rFonts w:hint="eastAsia" w:ascii="Times New Roman" w:hAnsi="Times New Roman" w:eastAsia="仿宋_GB2312"/>
          <w:color w:val="000000" w:themeColor="text1"/>
          <w:szCs w:val="21"/>
          <w14:textFill>
            <w14:solidFill>
              <w14:schemeClr w14:val="tx1"/>
            </w14:solidFill>
          </w14:textFill>
        </w:rPr>
        <w:t>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三、质量要求</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1、乙方须提供全新的货物（含零部件、配件等），表面无划伤、无碰撞痕迹，且权属清楚，不得侵害他人的知识产权。</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2、货物必须符合或优于国家（行业）</w:t>
      </w:r>
      <w:r>
        <w:rPr>
          <w:rFonts w:hint="eastAsia" w:ascii="Times New Roman" w:hAnsi="Times New Roman" w:eastAsia="仿宋_GB2312"/>
          <w:color w:val="000000" w:themeColor="text1"/>
          <w:szCs w:val="21"/>
          <w:u w:val="single"/>
          <w14:textFill>
            <w14:solidFill>
              <w14:schemeClr w14:val="tx1"/>
            </w14:solidFill>
          </w14:textFill>
        </w:rPr>
        <w:t xml:space="preserve">          </w:t>
      </w:r>
      <w:r>
        <w:rPr>
          <w:rFonts w:hint="eastAsia" w:ascii="Times New Roman" w:hAnsi="Times New Roman" w:eastAsia="仿宋_GB2312"/>
          <w:color w:val="000000" w:themeColor="text1"/>
          <w:szCs w:val="21"/>
          <w14:textFill>
            <w14:solidFill>
              <w14:schemeClr w14:val="tx1"/>
            </w14:solidFill>
          </w14:textFill>
        </w:rPr>
        <w:t>标准，以及本项目招标文件的质量要求和技术指标与出厂标准。</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3、乙方须在本合同签订之日起</w:t>
      </w:r>
      <w:r>
        <w:rPr>
          <w:rFonts w:hint="eastAsia" w:ascii="Times New Roman" w:hAnsi="Times New Roman" w:eastAsia="仿宋_GB2312"/>
          <w:color w:val="000000" w:themeColor="text1"/>
          <w:szCs w:val="21"/>
          <w:u w:val="single"/>
          <w14:textFill>
            <w14:solidFill>
              <w14:schemeClr w14:val="tx1"/>
            </w14:solidFill>
          </w14:textFill>
        </w:rPr>
        <w:t xml:space="preserve">   </w:t>
      </w:r>
      <w:r>
        <w:rPr>
          <w:rFonts w:hint="eastAsia" w:ascii="Times New Roman" w:hAnsi="Times New Roman" w:eastAsia="仿宋_GB2312"/>
          <w:color w:val="000000" w:themeColor="text1"/>
          <w:szCs w:val="21"/>
          <w14:textFill>
            <w14:solidFill>
              <w14:schemeClr w14:val="tx1"/>
            </w14:solidFill>
          </w14:textFill>
        </w:rPr>
        <w:t>日内送交货物成品(核心产品)样品给甲方确认，在甲方出具样品确认书并封存成品样品外观尺寸后，乙方才能按样生产，并以此样品作为验收样品.每台货物上均应有产品质量检验合格标志。</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4、货物制造质量出现问题，乙方应负责三包（包修、包换、包退），费用由乙方负担，甲方有权到乙方生产场地检查货物质量和生产进度。</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5、货到现场后由于甲方保管不当造成的质量问题，乙方亦应负责修理，但费用由甲方负担。</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四、交货及验收</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1、2021年x月xx日前完成交付.</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2、验收由甲方组织，乙方配合进行：</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(1) 货物在乙方通知安装调试完毕后x日内初步验收。初步验收合格后，进入x试用期.试用期间发生重大质量问题，修复后试用相应顺延.试用期结束后x日内完成最终验收.</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(2) 验收标准：按国家有关规定以及甲方招标文件的质量要求和技术指标、乙方的投标文件及承诺与本合同约定标准进行验收.</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(4) 如质量验收合格，双方签署质量验收报告。</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3、货物安装完成后x日内，甲方无故不进行验收工作并已使用货物的，视同已安装调试完成并验收合格。</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4、乙方应将所提供货物的装箱清单、配件、随机工具、用户使用手册、原厂保修卡等资料交付给甲方.乙方不能完整交付货物及本款规定的单证和工具的，必须负责补齐，否则视为未按合同约定交货。</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 xml:space="preserve">5、如货物经乙方2次维修仍不能达到合同约定的质量标准，甲方有权退货，并视作乙方不能交付货物而须支付违约赔偿金给甲方，甲方还可依法追究乙方的违约责任。 </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6、其他未尽事宜应严格按照《四川省政府采购项目需求论证和履约验收管理办法》（川财采〔2015〕32号）的要求进行。</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五、付款方式。</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 xml:space="preserve">1、付款期限: </w:t>
      </w:r>
      <w:r>
        <w:rPr>
          <w:rFonts w:ascii="Times New Roman" w:hAnsi="Times New Roman" w:eastAsia="仿宋_GB2312"/>
          <w:color w:val="000000" w:themeColor="text1"/>
          <w:szCs w:val="21"/>
          <w14:textFill>
            <w14:solidFill>
              <w14:schemeClr w14:val="tx1"/>
            </w14:solidFill>
          </w14:textFill>
        </w:rPr>
        <w:t>签订合同后</w:t>
      </w:r>
      <w:r>
        <w:rPr>
          <w:rFonts w:hint="eastAsia" w:ascii="Times New Roman" w:hAnsi="Times New Roman" w:eastAsia="仿宋_GB2312"/>
          <w:color w:val="000000" w:themeColor="text1"/>
          <w:szCs w:val="21"/>
          <w14:textFill>
            <w14:solidFill>
              <w14:schemeClr w14:val="tx1"/>
            </w14:solidFill>
          </w14:textFill>
        </w:rPr>
        <w:t>5</w:t>
      </w:r>
      <w:r>
        <w:rPr>
          <w:rFonts w:ascii="Times New Roman" w:hAnsi="Times New Roman" w:eastAsia="仿宋_GB2312"/>
          <w:color w:val="000000" w:themeColor="text1"/>
          <w:szCs w:val="21"/>
          <w14:textFill>
            <w14:solidFill>
              <w14:schemeClr w14:val="tx1"/>
            </w14:solidFill>
          </w14:textFill>
        </w:rPr>
        <w:t>个工作日内预付合同金额的30%，</w:t>
      </w:r>
      <w:r>
        <w:rPr>
          <w:rFonts w:hint="eastAsia" w:ascii="Times New Roman" w:hAnsi="Times New Roman" w:eastAsia="仿宋_GB2312"/>
          <w:color w:val="000000" w:themeColor="text1"/>
          <w:szCs w:val="21"/>
          <w14:textFill>
            <w14:solidFill>
              <w14:schemeClr w14:val="tx1"/>
            </w14:solidFill>
          </w14:textFill>
        </w:rPr>
        <w:t>第一批设备交货完成并验收后，</w:t>
      </w:r>
      <w:r>
        <w:rPr>
          <w:rFonts w:ascii="Times New Roman" w:hAnsi="Times New Roman" w:eastAsia="仿宋_GB2312"/>
          <w:color w:val="000000" w:themeColor="text1"/>
          <w:szCs w:val="21"/>
          <w14:textFill>
            <w14:solidFill>
              <w14:schemeClr w14:val="tx1"/>
            </w14:solidFill>
          </w14:textFill>
        </w:rPr>
        <w:t>付合同金额的</w:t>
      </w:r>
      <w:r>
        <w:rPr>
          <w:rFonts w:hint="eastAsia" w:ascii="Times New Roman" w:hAnsi="Times New Roman" w:eastAsia="仿宋_GB2312"/>
          <w:color w:val="000000" w:themeColor="text1"/>
          <w:szCs w:val="21"/>
          <w14:textFill>
            <w14:solidFill>
              <w14:schemeClr w14:val="tx1"/>
            </w14:solidFill>
          </w14:textFill>
        </w:rPr>
        <w:t>2</w:t>
      </w:r>
      <w:r>
        <w:rPr>
          <w:rFonts w:ascii="Times New Roman" w:hAnsi="Times New Roman" w:eastAsia="仿宋_GB2312"/>
          <w:color w:val="000000" w:themeColor="text1"/>
          <w:szCs w:val="21"/>
          <w14:textFill>
            <w14:solidFill>
              <w14:schemeClr w14:val="tx1"/>
            </w14:solidFill>
          </w14:textFill>
        </w:rPr>
        <w:t>0%</w:t>
      </w:r>
      <w:r>
        <w:rPr>
          <w:rFonts w:hint="eastAsia" w:ascii="Times New Roman" w:hAnsi="Times New Roman" w:eastAsia="仿宋_GB2312"/>
          <w:color w:val="000000" w:themeColor="text1"/>
          <w:szCs w:val="21"/>
          <w14:textFill>
            <w14:solidFill>
              <w14:schemeClr w14:val="tx1"/>
            </w14:solidFill>
          </w14:textFill>
        </w:rPr>
        <w:t>，第二批次设备交货完成并验收后，</w:t>
      </w:r>
      <w:r>
        <w:rPr>
          <w:rFonts w:ascii="Times New Roman" w:hAnsi="Times New Roman" w:eastAsia="仿宋_GB2312"/>
          <w:color w:val="000000" w:themeColor="text1"/>
          <w:szCs w:val="21"/>
          <w14:textFill>
            <w14:solidFill>
              <w14:schemeClr w14:val="tx1"/>
            </w14:solidFill>
          </w14:textFill>
        </w:rPr>
        <w:t>付合同金额的</w:t>
      </w:r>
      <w:r>
        <w:rPr>
          <w:rFonts w:hint="eastAsia" w:ascii="Times New Roman" w:hAnsi="Times New Roman" w:eastAsia="仿宋_GB2312"/>
          <w:color w:val="000000" w:themeColor="text1"/>
          <w:szCs w:val="21"/>
          <w14:textFill>
            <w14:solidFill>
              <w14:schemeClr w14:val="tx1"/>
            </w14:solidFill>
          </w14:textFill>
        </w:rPr>
        <w:t>5</w:t>
      </w:r>
      <w:r>
        <w:rPr>
          <w:rFonts w:ascii="Times New Roman" w:hAnsi="Times New Roman" w:eastAsia="仿宋_GB2312"/>
          <w:color w:val="000000" w:themeColor="text1"/>
          <w:szCs w:val="21"/>
          <w14:textFill>
            <w14:solidFill>
              <w14:schemeClr w14:val="tx1"/>
            </w14:solidFill>
          </w14:textFill>
        </w:rPr>
        <w:t>0%</w:t>
      </w:r>
      <w:r>
        <w:rPr>
          <w:rFonts w:hint="eastAsia" w:ascii="Times New Roman" w:hAnsi="Times New Roman" w:eastAsia="仿宋_GB2312"/>
          <w:color w:val="000000" w:themeColor="text1"/>
          <w:szCs w:val="21"/>
          <w14:textFill>
            <w14:solidFill>
              <w14:schemeClr w14:val="tx1"/>
            </w14:solidFill>
          </w14:textFill>
        </w:rPr>
        <w:t>。</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2、供应商须向采购人出具合法有效完整的完税发票及凭证资料进行支付结算。</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六、售后服务</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1、质保期为验收合格后</w:t>
      </w:r>
      <w:r>
        <w:rPr>
          <w:rFonts w:hint="eastAsia" w:ascii="Times New Roman" w:hAnsi="Times New Roman" w:eastAsia="仿宋_GB2312"/>
          <w:color w:val="000000" w:themeColor="text1"/>
          <w:szCs w:val="21"/>
          <w:u w:val="single"/>
          <w14:textFill>
            <w14:solidFill>
              <w14:schemeClr w14:val="tx1"/>
            </w14:solidFill>
          </w14:textFill>
        </w:rPr>
        <w:t xml:space="preserve">  x  </w:t>
      </w:r>
      <w:r>
        <w:rPr>
          <w:rFonts w:hint="eastAsia" w:ascii="Times New Roman" w:hAnsi="Times New Roman" w:eastAsia="仿宋_GB2312"/>
          <w:color w:val="000000" w:themeColor="text1"/>
          <w:szCs w:val="21"/>
          <w14:textFill>
            <w14:solidFill>
              <w14:schemeClr w14:val="tx1"/>
            </w14:solidFill>
          </w14:textFill>
        </w:rPr>
        <w:t>年，质保期内出现质量问题，乙方在接到通知后</w:t>
      </w:r>
      <w:r>
        <w:rPr>
          <w:rFonts w:hint="eastAsia" w:ascii="Times New Roman" w:hAnsi="Times New Roman" w:eastAsia="仿宋_GB2312"/>
          <w:color w:val="000000" w:themeColor="text1"/>
          <w:szCs w:val="21"/>
          <w:u w:val="single"/>
          <w14:textFill>
            <w14:solidFill>
              <w14:schemeClr w14:val="tx1"/>
            </w14:solidFill>
          </w14:textFill>
        </w:rPr>
        <w:t xml:space="preserve"> 4  </w:t>
      </w:r>
      <w:r>
        <w:rPr>
          <w:rFonts w:hint="eastAsia" w:ascii="Times New Roman" w:hAnsi="Times New Roman" w:eastAsia="仿宋_GB2312"/>
          <w:color w:val="000000" w:themeColor="text1"/>
          <w:szCs w:val="21"/>
          <w14:textFill>
            <w14:solidFill>
              <w14:schemeClr w14:val="tx1"/>
            </w14:solidFill>
          </w14:textFill>
        </w:rPr>
        <w:t>小时内响应到场，</w:t>
      </w:r>
      <w:r>
        <w:rPr>
          <w:rFonts w:hint="eastAsia" w:ascii="Times New Roman" w:hAnsi="Times New Roman" w:eastAsia="仿宋_GB2312"/>
          <w:color w:val="000000" w:themeColor="text1"/>
          <w:szCs w:val="21"/>
          <w:u w:val="single"/>
          <w14:textFill>
            <w14:solidFill>
              <w14:schemeClr w14:val="tx1"/>
            </w14:solidFill>
          </w14:textFill>
        </w:rPr>
        <w:t>48</w:t>
      </w:r>
      <w:r>
        <w:rPr>
          <w:rFonts w:hint="eastAsia" w:ascii="Times New Roman" w:hAnsi="Times New Roman" w:eastAsia="仿宋_GB2312"/>
          <w:color w:val="000000" w:themeColor="text1"/>
          <w:szCs w:val="21"/>
          <w14:textFill>
            <w14:solidFill>
              <w14:schemeClr w14:val="tx1"/>
            </w14:solidFill>
          </w14:textFill>
        </w:rPr>
        <w:t>小时内完成维修或更换，并承担修理调换的费用.如货物经乙方</w:t>
      </w:r>
      <w:r>
        <w:rPr>
          <w:rFonts w:hint="eastAsia" w:ascii="Times New Roman" w:hAnsi="Times New Roman" w:eastAsia="仿宋_GB2312"/>
          <w:color w:val="000000" w:themeColor="text1"/>
          <w:szCs w:val="21"/>
          <w:u w:val="single"/>
          <w14:textFill>
            <w14:solidFill>
              <w14:schemeClr w14:val="tx1"/>
            </w14:solidFill>
          </w14:textFill>
        </w:rPr>
        <w:t>3</w:t>
      </w:r>
      <w:r>
        <w:rPr>
          <w:rFonts w:hint="eastAsia" w:ascii="Times New Roman" w:hAnsi="Times New Roman" w:eastAsia="仿宋_GB2312"/>
          <w:color w:val="000000" w:themeColor="text1"/>
          <w:szCs w:val="21"/>
          <w14:textFill>
            <w14:solidFill>
              <w14:schemeClr w14:val="tx1"/>
            </w14:solidFill>
          </w14:textFill>
        </w:rPr>
        <w:t>次维修仍不能达到本合同约定的质量标准，视作乙方未能按时交货，甲方有权退货并追究乙方的违约责任。货到现场后由于甲方保管不当造成的问题，乙方亦应负责修复，但费用由甲方负担。</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 xml:space="preserve">2、乙方须指派专人负责与甲方联系售后服务事宜。 </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七、违约责任</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1、甲方违约责任</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（1） 甲方无正当理由拒收货物的，甲方应偿付合同总价百分之一的违约金.</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（2） 甲方逾期支付货款的，除应及时付足货款外，应向乙方偿付欠款总额万分之一每天的违约金.逾期付款超过60天的，乙方有权终止合同.</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（3） 甲方偿付的违约金不足以弥补乙方损失的，还应按乙方损失尚未弥补的部分，支付赔偿金给乙方。</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（4）因甲方原因导致变更、中止或者终止政府采购合同的，甲方应当对乙方受到的损失予以赔偿或者补偿。</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2、乙方违约责任</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1）乙方交付的货物质量不符合合同规定的，乙方应向甲方支付合同总价的百分之一的违约金，并须在合同规定的交货时间内更换合格的货物给甲方，否则，视作乙方不能交付货物而违约，按本条本款下述第“（2）”项规定由乙方偿付违约赔偿金给甲方。</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2）乙方不能交付货物或逾期交付货物而违约的，除应及时交足货物外，应向甲方偿付逾期交货部分货款总额的万分之一/天的违约金.逾期交货超过30天，甲方有权终止合同，乙方则应按合同总价的百分之一的款额向甲方偿付赔偿金，并须全额退还甲方已经付给乙方的货款及其利息。</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3）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一向甲方支付违约金并赔偿因此给甲方造成的一切损失。</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（4）乙方偿付的违约金不足以弥补甲方损失的，还应按甲方损失尚未弥补的部分，支付赔偿金给甲方。</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八、争议解决办法</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1、因货物的质量问题发生争议，由质量技术监督部门或其指定的质量鉴定机构进行质量鉴定。货物符合标准的，鉴定费由甲方承担.货物不符合质量标准的，鉴定费由乙方承担。</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2、合同履行期间,若双方发生争议，可协商或由有关部门调解解决，协商或调解不成的，由当事人依法维护其合法权益。</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九、其他</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1、如有未尽事宜，由双方依法订立补充合同。</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2、本合同一式捌份，自双方签章之日起生效。甲方陆份，乙方、政府采购管理部门各壹份。</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 xml:space="preserve">甲方：   （盖章）   </w:t>
      </w:r>
      <w:r>
        <w:rPr>
          <w:rFonts w:hint="eastAsia" w:ascii="Times New Roman" w:hAnsi="Times New Roman" w:eastAsia="仿宋_GB2312"/>
          <w:color w:val="000000" w:themeColor="text1"/>
          <w:szCs w:val="21"/>
          <w14:textFill>
            <w14:solidFill>
              <w14:schemeClr w14:val="tx1"/>
            </w14:solidFill>
          </w14:textFill>
        </w:rPr>
        <w:tab/>
      </w:r>
      <w:r>
        <w:rPr>
          <w:rFonts w:hint="eastAsia" w:ascii="Times New Roman" w:hAnsi="Times New Roman" w:eastAsia="仿宋_GB2312"/>
          <w:color w:val="000000" w:themeColor="text1"/>
          <w:szCs w:val="21"/>
          <w14:textFill>
            <w14:solidFill>
              <w14:schemeClr w14:val="tx1"/>
            </w14:solidFill>
          </w14:textFill>
        </w:rPr>
        <w:tab/>
      </w:r>
      <w:r>
        <w:rPr>
          <w:rFonts w:hint="eastAsia" w:ascii="Times New Roman" w:hAnsi="Times New Roman" w:eastAsia="仿宋_GB2312"/>
          <w:color w:val="000000" w:themeColor="text1"/>
          <w:szCs w:val="21"/>
          <w14:textFill>
            <w14:solidFill>
              <w14:schemeClr w14:val="tx1"/>
            </w14:solidFill>
          </w14:textFill>
        </w:rPr>
        <w:tab/>
      </w:r>
      <w:r>
        <w:rPr>
          <w:rFonts w:hint="eastAsia" w:ascii="Times New Roman" w:hAnsi="Times New Roman" w:eastAsia="仿宋_GB2312"/>
          <w:color w:val="000000" w:themeColor="text1"/>
          <w:szCs w:val="21"/>
          <w14:textFill>
            <w14:solidFill>
              <w14:schemeClr w14:val="tx1"/>
            </w14:solidFill>
          </w14:textFill>
        </w:rPr>
        <w:t xml:space="preserve">           乙方：   （盖章）</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法定代表人（授权代表）：                法定代表人（授权代表）：</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 xml:space="preserve">地    址：                              地    址：                    </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 xml:space="preserve">开户银行：                              开户银行：                      </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账号：                                  账号：</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电    话：                              电    话：</w:t>
      </w:r>
    </w:p>
    <w:p>
      <w:pP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传    真：                              传    真：</w:t>
      </w:r>
    </w:p>
    <w:p>
      <w:pPr>
        <w:spacing w:line="360" w:lineRule="auto"/>
        <w:rPr>
          <w:rFonts w:ascii="宋体" w:hAnsi="宋体"/>
          <w:color w:val="000000" w:themeColor="text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 xml:space="preserve">签约日期：  年  月  日 </w:t>
      </w:r>
      <w:r>
        <w:rPr>
          <w:rFonts w:hint="eastAsia" w:ascii="Times New Roman" w:hAnsi="Times New Roman" w:eastAsia="仿宋_GB2312"/>
          <w:color w:val="000000" w:themeColor="text1"/>
          <w:szCs w:val="21"/>
          <w14:textFill>
            <w14:solidFill>
              <w14:schemeClr w14:val="tx1"/>
            </w14:solidFill>
          </w14:textFill>
        </w:rPr>
        <w:tab/>
      </w:r>
      <w:r>
        <w:rPr>
          <w:rFonts w:hint="eastAsia" w:ascii="Times New Roman" w:hAnsi="Times New Roman" w:eastAsia="仿宋_GB2312"/>
          <w:color w:val="000000" w:themeColor="text1"/>
          <w:szCs w:val="21"/>
          <w14:textFill>
            <w14:solidFill>
              <w14:schemeClr w14:val="tx1"/>
            </w14:solidFill>
          </w14:textFill>
        </w:rPr>
        <w:tab/>
      </w:r>
      <w:r>
        <w:rPr>
          <w:rFonts w:hint="eastAsia" w:ascii="Times New Roman" w:hAnsi="Times New Roman" w:eastAsia="仿宋_GB2312"/>
          <w:color w:val="000000" w:themeColor="text1"/>
          <w:szCs w:val="21"/>
          <w14:textFill>
            <w14:solidFill>
              <w14:schemeClr w14:val="tx1"/>
            </w14:solidFill>
          </w14:textFill>
        </w:rPr>
        <w:t xml:space="preserve">     签约日期：  年  月   日</w:t>
      </w:r>
    </w:p>
    <w:p>
      <w:pPr>
        <w:spacing w:line="400" w:lineRule="exact"/>
        <w:ind w:firstLine="420" w:firstLineChars="200"/>
        <w:rPr>
          <w:rFonts w:ascii="宋体" w:hAnsi="宋体"/>
          <w:color w:val="000000" w:themeColor="text1"/>
          <w:szCs w:val="21"/>
          <w14:textFill>
            <w14:solidFill>
              <w14:schemeClr w14:val="tx1"/>
            </w14:solidFill>
          </w14:textFill>
        </w:rPr>
      </w:pPr>
    </w:p>
    <w:p>
      <w:pPr>
        <w:spacing w:line="400" w:lineRule="exact"/>
        <w:ind w:firstLine="420" w:firstLineChars="200"/>
        <w:rPr>
          <w:rFonts w:ascii="宋体" w:hAnsi="宋体"/>
          <w:color w:val="000000" w:themeColor="text1"/>
          <w:szCs w:val="21"/>
          <w14:textFill>
            <w14:solidFill>
              <w14:schemeClr w14:val="tx1"/>
            </w14:solidFill>
          </w14:textFill>
        </w:rPr>
      </w:pPr>
    </w:p>
    <w:p>
      <w:pPr>
        <w:spacing w:line="400" w:lineRule="exact"/>
        <w:ind w:firstLine="420" w:firstLineChars="200"/>
        <w:rPr>
          <w:rFonts w:ascii="宋体" w:hAnsi="宋体"/>
          <w:color w:val="000000" w:themeColor="text1"/>
          <w:szCs w:val="21"/>
          <w14:textFill>
            <w14:solidFill>
              <w14:schemeClr w14:val="tx1"/>
            </w14:solidFill>
          </w14:textFill>
        </w:rPr>
      </w:pPr>
    </w:p>
    <w:p>
      <w:pPr>
        <w:tabs>
          <w:tab w:val="left" w:pos="1155"/>
          <w:tab w:val="left" w:pos="1276"/>
          <w:tab w:val="left" w:pos="1418"/>
        </w:tabs>
        <w:spacing w:line="580" w:lineRule="exact"/>
        <w:rPr>
          <w:rFonts w:eastAsia="仿宋"/>
          <w:color w:val="000000" w:themeColor="text1"/>
          <w:szCs w:val="21"/>
          <w14:textFill>
            <w14:solidFill>
              <w14:schemeClr w14:val="tx1"/>
            </w14:solidFill>
          </w14:textFill>
        </w:rPr>
      </w:pPr>
    </w:p>
    <w:p>
      <w:pPr>
        <w:tabs>
          <w:tab w:val="left" w:pos="1155"/>
          <w:tab w:val="left" w:pos="1276"/>
          <w:tab w:val="left" w:pos="1418"/>
        </w:tabs>
        <w:spacing w:line="580" w:lineRule="exact"/>
        <w:rPr>
          <w:rFonts w:eastAsia="仿宋"/>
          <w:color w:val="000000" w:themeColor="text1"/>
          <w:szCs w:val="21"/>
          <w14:textFill>
            <w14:solidFill>
              <w14:schemeClr w14:val="tx1"/>
            </w14:solidFill>
          </w14:textFill>
        </w:rPr>
      </w:pPr>
    </w:p>
    <w:p>
      <w:pPr>
        <w:tabs>
          <w:tab w:val="left" w:pos="1155"/>
          <w:tab w:val="left" w:pos="1276"/>
          <w:tab w:val="left" w:pos="1418"/>
        </w:tabs>
        <w:spacing w:line="580" w:lineRule="exact"/>
        <w:rPr>
          <w:rFonts w:eastAsia="仿宋"/>
          <w:color w:val="000000" w:themeColor="text1"/>
          <w:szCs w:val="21"/>
          <w14:textFill>
            <w14:solidFill>
              <w14:schemeClr w14:val="tx1"/>
            </w14:solidFill>
          </w14:textFill>
        </w:rPr>
      </w:pPr>
    </w:p>
    <w:p>
      <w:pPr>
        <w:tabs>
          <w:tab w:val="left" w:pos="1155"/>
          <w:tab w:val="left" w:pos="1276"/>
          <w:tab w:val="left" w:pos="1418"/>
        </w:tabs>
        <w:spacing w:line="580" w:lineRule="exact"/>
        <w:rPr>
          <w:rFonts w:eastAsia="仿宋"/>
          <w:color w:val="000000" w:themeColor="text1"/>
          <w:szCs w:val="21"/>
          <w14:textFill>
            <w14:solidFill>
              <w14:schemeClr w14:val="tx1"/>
            </w14:solidFill>
          </w14:textFill>
        </w:rPr>
      </w:pPr>
    </w:p>
    <w:p>
      <w:pPr>
        <w:tabs>
          <w:tab w:val="left" w:pos="1155"/>
          <w:tab w:val="left" w:pos="1276"/>
          <w:tab w:val="left" w:pos="1418"/>
        </w:tabs>
        <w:spacing w:line="580" w:lineRule="exact"/>
        <w:rPr>
          <w:rFonts w:eastAsia="仿宋"/>
          <w:color w:val="000000" w:themeColor="text1"/>
          <w:szCs w:val="21"/>
          <w14:textFill>
            <w14:solidFill>
              <w14:schemeClr w14:val="tx1"/>
            </w14:solidFill>
          </w14:textFill>
        </w:rPr>
      </w:pPr>
    </w:p>
    <w:p>
      <w:pPr>
        <w:tabs>
          <w:tab w:val="left" w:pos="1155"/>
          <w:tab w:val="left" w:pos="1276"/>
          <w:tab w:val="left" w:pos="1418"/>
        </w:tabs>
        <w:spacing w:line="580" w:lineRule="exact"/>
        <w:rPr>
          <w:rFonts w:eastAsia="仿宋"/>
          <w:color w:val="000000" w:themeColor="text1"/>
          <w:szCs w:val="21"/>
          <w14:textFill>
            <w14:solidFill>
              <w14:schemeClr w14:val="tx1"/>
            </w14:solidFill>
          </w14:textFill>
        </w:rPr>
      </w:pPr>
    </w:p>
    <w:p>
      <w:pPr>
        <w:tabs>
          <w:tab w:val="left" w:pos="1155"/>
          <w:tab w:val="left" w:pos="1276"/>
          <w:tab w:val="left" w:pos="1418"/>
        </w:tabs>
        <w:spacing w:line="580" w:lineRule="exact"/>
        <w:rPr>
          <w:rFonts w:eastAsia="仿宋"/>
          <w:color w:val="000000" w:themeColor="text1"/>
          <w:szCs w:val="21"/>
          <w14:textFill>
            <w14:solidFill>
              <w14:schemeClr w14:val="tx1"/>
            </w14:solidFill>
          </w14:textFill>
        </w:rPr>
      </w:pPr>
    </w:p>
    <w:p>
      <w:pPr>
        <w:tabs>
          <w:tab w:val="left" w:pos="1155"/>
          <w:tab w:val="left" w:pos="1276"/>
          <w:tab w:val="left" w:pos="1418"/>
        </w:tabs>
        <w:spacing w:line="580" w:lineRule="exact"/>
        <w:rPr>
          <w:rFonts w:eastAsia="仿宋"/>
          <w:color w:val="000000" w:themeColor="text1"/>
          <w:szCs w:val="21"/>
          <w14:textFill>
            <w14:solidFill>
              <w14:schemeClr w14:val="tx1"/>
            </w14:solidFill>
          </w14:textFill>
        </w:rPr>
      </w:pPr>
    </w:p>
    <w:p>
      <w:pPr>
        <w:tabs>
          <w:tab w:val="left" w:pos="1155"/>
          <w:tab w:val="left" w:pos="1276"/>
          <w:tab w:val="left" w:pos="1418"/>
        </w:tabs>
        <w:spacing w:line="580" w:lineRule="exact"/>
        <w:rPr>
          <w:rFonts w:eastAsia="仿宋"/>
          <w:color w:val="000000" w:themeColor="text1"/>
          <w:szCs w:val="21"/>
          <w14:textFill>
            <w14:solidFill>
              <w14:schemeClr w14:val="tx1"/>
            </w14:solidFill>
          </w14:textFill>
        </w:rPr>
      </w:pPr>
    </w:p>
    <w:p>
      <w:pPr>
        <w:tabs>
          <w:tab w:val="left" w:pos="1155"/>
          <w:tab w:val="left" w:pos="1276"/>
          <w:tab w:val="left" w:pos="1418"/>
        </w:tabs>
        <w:spacing w:line="580" w:lineRule="exact"/>
        <w:rPr>
          <w:rFonts w:eastAsia="仿宋"/>
          <w:color w:val="000000" w:themeColor="text1"/>
          <w:szCs w:val="21"/>
          <w14:textFill>
            <w14:solidFill>
              <w14:schemeClr w14:val="tx1"/>
            </w14:solidFill>
          </w14:textFill>
        </w:rPr>
      </w:pPr>
    </w:p>
    <w:p>
      <w:pPr>
        <w:tabs>
          <w:tab w:val="left" w:pos="1155"/>
          <w:tab w:val="left" w:pos="1276"/>
          <w:tab w:val="left" w:pos="1418"/>
        </w:tabs>
        <w:spacing w:line="580" w:lineRule="exact"/>
        <w:rPr>
          <w:rFonts w:eastAsia="仿宋"/>
          <w:color w:val="000000" w:themeColor="text1"/>
          <w:szCs w:val="21"/>
          <w14:textFill>
            <w14:solidFill>
              <w14:schemeClr w14:val="tx1"/>
            </w14:solidFill>
          </w14:textFill>
        </w:rPr>
      </w:pPr>
    </w:p>
    <w:p>
      <w:pPr>
        <w:tabs>
          <w:tab w:val="left" w:pos="1155"/>
          <w:tab w:val="left" w:pos="1276"/>
          <w:tab w:val="left" w:pos="1418"/>
        </w:tabs>
        <w:spacing w:line="580" w:lineRule="exact"/>
        <w:rPr>
          <w:rFonts w:eastAsia="仿宋"/>
          <w:color w:val="000000" w:themeColor="text1"/>
          <w:szCs w:val="21"/>
          <w14:textFill>
            <w14:solidFill>
              <w14:schemeClr w14:val="tx1"/>
            </w14:solidFill>
          </w14:textFill>
        </w:rPr>
      </w:pPr>
    </w:p>
    <w:p>
      <w:pPr>
        <w:tabs>
          <w:tab w:val="left" w:pos="1155"/>
          <w:tab w:val="left" w:pos="1276"/>
          <w:tab w:val="left" w:pos="1418"/>
        </w:tabs>
        <w:spacing w:line="580" w:lineRule="exact"/>
        <w:rPr>
          <w:rFonts w:eastAsia="仿宋"/>
          <w:color w:val="000000" w:themeColor="text1"/>
          <w:szCs w:val="21"/>
          <w14:textFill>
            <w14:solidFill>
              <w14:schemeClr w14:val="tx1"/>
            </w14:solidFill>
          </w14:textFill>
        </w:rPr>
      </w:pPr>
    </w:p>
    <w:p>
      <w:pPr>
        <w:tabs>
          <w:tab w:val="left" w:pos="1155"/>
          <w:tab w:val="left" w:pos="1276"/>
          <w:tab w:val="left" w:pos="1418"/>
        </w:tabs>
        <w:spacing w:line="580" w:lineRule="exact"/>
        <w:rPr>
          <w:rFonts w:eastAsia="仿宋"/>
          <w:color w:val="000000" w:themeColor="text1"/>
          <w:szCs w:val="21"/>
          <w14:textFill>
            <w14:solidFill>
              <w14:schemeClr w14:val="tx1"/>
            </w14:solidFill>
          </w14:textFill>
        </w:rPr>
      </w:pPr>
    </w:p>
    <w:p>
      <w:pPr>
        <w:tabs>
          <w:tab w:val="left" w:pos="1155"/>
          <w:tab w:val="left" w:pos="1276"/>
          <w:tab w:val="left" w:pos="1418"/>
        </w:tabs>
        <w:spacing w:line="580" w:lineRule="exact"/>
        <w:rPr>
          <w:rFonts w:ascii="宋体" w:hAnsi="宋体"/>
          <w:b/>
          <w:bCs/>
          <w:color w:val="000000" w:themeColor="text1"/>
          <w:spacing w:val="-20"/>
          <w:kern w:val="44"/>
          <w:szCs w:val="32"/>
          <w14:textFill>
            <w14:solidFill>
              <w14:schemeClr w14:val="tx1"/>
            </w14:solidFill>
          </w14:textFill>
        </w:rPr>
      </w:pPr>
    </w:p>
    <w:bookmarkEnd w:id="171"/>
    <w:bookmarkEnd w:id="172"/>
    <w:bookmarkEnd w:id="173"/>
    <w:p>
      <w:pPr>
        <w:rPr>
          <w:rFonts w:ascii="宋体" w:hAnsi="宋体" w:cs="Tahoma"/>
          <w:b/>
          <w:color w:val="000000" w:themeColor="text1"/>
          <w:sz w:val="30"/>
          <w:szCs w:val="30"/>
          <w14:textFill>
            <w14:solidFill>
              <w14:schemeClr w14:val="tx1"/>
            </w14:solidFill>
          </w14:textFill>
        </w:rPr>
      </w:pPr>
      <w:r>
        <w:rPr>
          <w:rFonts w:hint="eastAsia" w:ascii="宋体" w:hAnsi="宋体" w:cs="Tahoma"/>
          <w:b/>
          <w:color w:val="000000" w:themeColor="text1"/>
          <w:sz w:val="30"/>
          <w:szCs w:val="30"/>
          <w14:textFill>
            <w14:solidFill>
              <w14:schemeClr w14:val="tx1"/>
            </w14:solidFill>
          </w14:textFill>
        </w:rPr>
        <w:t>附件</w:t>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0500" cy="7461885"/>
            <wp:effectExtent l="0" t="0" r="635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0500" cy="7461885"/>
            <wp:effectExtent l="0" t="0" r="635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9390" cy="7461885"/>
            <wp:effectExtent l="0" t="0" r="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0500" cy="7461885"/>
            <wp:effectExtent l="0" t="0" r="635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9390" cy="7461885"/>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0500" cy="7461885"/>
            <wp:effectExtent l="0" t="0" r="635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9390" cy="746188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9390" cy="7461885"/>
            <wp:effectExtent l="0" t="0" r="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0500" cy="7461885"/>
            <wp:effectExtent l="0" t="0" r="635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0500" cy="7461885"/>
            <wp:effectExtent l="0" t="0" r="635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0500" cy="7461885"/>
            <wp:effectExtent l="0" t="0" r="635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9390" cy="7461885"/>
            <wp:effectExtent l="0" t="0" r="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0500" cy="7461885"/>
            <wp:effectExtent l="0" t="0" r="635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0500" cy="7461885"/>
            <wp:effectExtent l="0" t="0" r="635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0500" cy="7461885"/>
            <wp:effectExtent l="0" t="0" r="635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908550" cy="6797675"/>
            <wp:effectExtent l="0" t="0" r="635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4908550" cy="679767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994910" cy="667702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4994910" cy="667702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7565390" cy="4873625"/>
            <wp:effectExtent l="0" t="6668"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rot="5400000">
                      <a:off x="0" y="0"/>
                      <a:ext cx="7565390" cy="487362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106670" cy="65214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106670" cy="652145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19065" cy="6452870"/>
            <wp:effectExtent l="0" t="0" r="635"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219065" cy="6452870"/>
                    </a:xfrm>
                    <a:prstGeom prst="rect">
                      <a:avLst/>
                    </a:prstGeom>
                    <a:noFill/>
                    <a:ln>
                      <a:noFill/>
                    </a:ln>
                  </pic:spPr>
                </pic:pic>
              </a:graphicData>
            </a:graphic>
          </wp:inline>
        </w:drawing>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19065" cy="6383655"/>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219065" cy="6383655"/>
                    </a:xfrm>
                    <a:prstGeom prst="rect">
                      <a:avLst/>
                    </a:prstGeom>
                    <a:noFill/>
                    <a:ln>
                      <a:noFill/>
                    </a:ln>
                  </pic:spPr>
                </pic:pic>
              </a:graphicData>
            </a:graphic>
          </wp:inline>
        </w:drawing>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7435850" cy="5245100"/>
            <wp:effectExtent l="0" t="9525" r="3175"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rot="5400000">
                      <a:off x="0" y="0"/>
                      <a:ext cx="7435850" cy="5245100"/>
                    </a:xfrm>
                    <a:prstGeom prst="rect">
                      <a:avLst/>
                    </a:prstGeom>
                    <a:noFill/>
                    <a:ln>
                      <a:noFill/>
                    </a:ln>
                  </pic:spPr>
                </pic:pic>
              </a:graphicData>
            </a:graphic>
          </wp:inline>
        </w:drawing>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9390" cy="57797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5279390" cy="577977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Arial Narrow">
    <w:panose1 w:val="020B0606020202030204"/>
    <w:charset w:val="00"/>
    <w:family w:val="swiss"/>
    <w:pitch w:val="default"/>
    <w:sig w:usb0="00000287" w:usb1="00000800" w:usb2="00000000" w:usb3="00000000" w:csb0="2000009F" w:csb1="DFD70000"/>
  </w:font>
  <w:font w:name="楷体_GB2312">
    <w:altName w:val="楷体"/>
    <w:panose1 w:val="00000000000000000000"/>
    <w:charset w:val="86"/>
    <w:family w:val="decorative"/>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华文中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decorative"/>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Times New (W1)">
    <w:altName w:val="Segoe Print"/>
    <w:panose1 w:val="00000000000000000000"/>
    <w:charset w:val="00"/>
    <w:family w:val="swiss"/>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W1)">
    <w:altName w:val="Arial"/>
    <w:panose1 w:val="00000000000000000000"/>
    <w:charset w:val="00"/>
    <w:family w:val="roman"/>
    <w:pitch w:val="default"/>
    <w:sig w:usb0="00000000" w:usb1="00000000" w:usb2="00000008" w:usb3="00000000" w:csb0="000001FF" w:csb1="00000000"/>
  </w:font>
  <w:font w:name="隶书">
    <w:panose1 w:val="02010509060101010101"/>
    <w:charset w:val="86"/>
    <w:family w:val="modern"/>
    <w:pitch w:val="default"/>
    <w:sig w:usb0="00000001" w:usb1="080E0000" w:usb2="00000000" w:usb3="00000000" w:csb0="00040000" w:csb1="00000000"/>
  </w:font>
  <w:font w:name="Arial Unicode MS">
    <w:altName w:val="Arial"/>
    <w:panose1 w:val="020B0604020202020204"/>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Helvetica">
    <w:altName w:val="Arial"/>
    <w:panose1 w:val="020B0604020202020204"/>
    <w:charset w:val="00"/>
    <w:family w:val="roman"/>
    <w:pitch w:val="default"/>
    <w:sig w:usb0="00000000" w:usb1="00000000" w:usb2="00000008" w:usb3="00000000" w:csb0="0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16FE581"/>
    <w:multiLevelType w:val="singleLevel"/>
    <w:tmpl w:val="F16FE581"/>
    <w:lvl w:ilvl="0" w:tentative="0">
      <w:start w:val="1"/>
      <w:numFmt w:val="decimal"/>
      <w:suff w:val="nothing"/>
      <w:lvlText w:val="（%1）"/>
      <w:lvlJc w:val="left"/>
    </w:lvl>
  </w:abstractNum>
  <w:abstractNum w:abstractNumId="1">
    <w:nsid w:val="00000016"/>
    <w:multiLevelType w:val="multilevel"/>
    <w:tmpl w:val="00000016"/>
    <w:lvl w:ilvl="0" w:tentative="0">
      <w:start w:val="1"/>
      <w:numFmt w:val="decimal"/>
      <w:lvlText w:val="%1."/>
      <w:lvlJc w:val="left"/>
      <w:pPr>
        <w:tabs>
          <w:tab w:val="left" w:pos="704"/>
        </w:tabs>
        <w:ind w:left="704" w:hanging="420"/>
      </w:pPr>
    </w:lvl>
    <w:lvl w:ilvl="1" w:tentative="0">
      <w:start w:val="1"/>
      <w:numFmt w:val="lowerLetter"/>
      <w:pStyle w:val="90"/>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abstractNum w:abstractNumId="2">
    <w:nsid w:val="00000022"/>
    <w:multiLevelType w:val="multilevel"/>
    <w:tmpl w:val="00000022"/>
    <w:lvl w:ilvl="0" w:tentative="0">
      <w:start w:val="1"/>
      <w:numFmt w:val="decimal"/>
      <w:lvlText w:val="第%1章"/>
      <w:lvlJc w:val="left"/>
      <w:pPr>
        <w:tabs>
          <w:tab w:val="left" w:pos="2630"/>
        </w:tabs>
        <w:ind w:left="2630" w:hanging="425"/>
      </w:pPr>
      <w:rPr>
        <w:rFonts w:hint="eastAsia" w:ascii="宋体" w:hAnsi="宋体" w:eastAsia="宋体"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tentative="0">
      <w:start w:val="1"/>
      <w:numFmt w:val="decimal"/>
      <w:suff w:val="space"/>
      <w:lvlText w:val="%1.%2."/>
      <w:lvlJc w:val="left"/>
      <w:pPr>
        <w:ind w:left="4538" w:hanging="567"/>
      </w:pPr>
      <w:rPr>
        <w:rFonts w:hint="default" w:ascii="Times New Roman" w:hAnsi="Times New Roman" w:eastAsia="宋体" w:cs="Times New Roman"/>
        <w:b/>
        <w:i w:val="0"/>
        <w:sz w:val="28"/>
        <w:szCs w:val="28"/>
      </w:rPr>
    </w:lvl>
    <w:lvl w:ilvl="2" w:tentative="0">
      <w:start w:val="1"/>
      <w:numFmt w:val="decimal"/>
      <w:lvlText w:val="%1.%2.%3."/>
      <w:lvlJc w:val="left"/>
      <w:pPr>
        <w:tabs>
          <w:tab w:val="left" w:pos="709"/>
        </w:tabs>
        <w:ind w:left="709" w:hanging="709"/>
      </w:pPr>
      <w:rPr>
        <w:rFonts w:hint="default" w:ascii="Times New Roman" w:hAnsi="Times New Roman" w:cs="Times New Roman"/>
      </w:rPr>
    </w:lvl>
    <w:lvl w:ilvl="3" w:tentative="0">
      <w:start w:val="1"/>
      <w:numFmt w:val="decimal"/>
      <w:lvlText w:val="%1.%2.%3.%4."/>
      <w:lvlJc w:val="left"/>
      <w:pPr>
        <w:tabs>
          <w:tab w:val="left" w:pos="1779"/>
        </w:tabs>
        <w:ind w:left="1779" w:hanging="851"/>
      </w:pPr>
      <w:rPr>
        <w:rFonts w:hint="default" w:ascii="Times New Roman" w:hAnsi="Times New Roman"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tentative="0">
      <w:start w:val="1"/>
      <w:numFmt w:val="decimal"/>
      <w:pStyle w:val="6"/>
      <w:lvlText w:val="%1.%2.%3.%4.%5."/>
      <w:lvlJc w:val="left"/>
      <w:pPr>
        <w:tabs>
          <w:tab w:val="left" w:pos="1560"/>
        </w:tabs>
        <w:ind w:left="1560" w:hanging="992"/>
      </w:pPr>
      <w:rPr>
        <w:rFonts w:hint="default" w:ascii="Times New Roman" w:hAnsi="Times New Roman" w:eastAsia="宋体" w:cs="Times New Roman"/>
        <w:b/>
        <w:i w:val="0"/>
        <w:sz w:val="28"/>
        <w:szCs w:val="28"/>
      </w:rPr>
    </w:lvl>
    <w:lvl w:ilvl="5" w:tentative="0">
      <w:start w:val="1"/>
      <w:numFmt w:val="decimal"/>
      <w:pStyle w:val="7"/>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tentative="0">
      <w:start w:val="1"/>
      <w:numFmt w:val="decimal"/>
      <w:lvlText w:val="%1.%2.%3.%4.%5.%6.%7."/>
      <w:lvlJc w:val="left"/>
      <w:pPr>
        <w:tabs>
          <w:tab w:val="left" w:pos="1844"/>
        </w:tabs>
        <w:ind w:left="1844" w:hanging="1276"/>
      </w:pPr>
    </w:lvl>
    <w:lvl w:ilvl="7" w:tentative="0">
      <w:start w:val="1"/>
      <w:numFmt w:val="decimal"/>
      <w:lvlText w:val="%1.%2.%3.%4.%5.%6.%7.%8."/>
      <w:lvlJc w:val="left"/>
      <w:pPr>
        <w:tabs>
          <w:tab w:val="left" w:pos="1986"/>
        </w:tabs>
        <w:ind w:left="1986" w:hanging="1418"/>
      </w:pPr>
    </w:lvl>
    <w:lvl w:ilvl="8" w:tentative="0">
      <w:start w:val="1"/>
      <w:numFmt w:val="decimal"/>
      <w:lvlText w:val="%1.%2.%3.%4.%5.%6.%7.%8.%9."/>
      <w:lvlJc w:val="left"/>
      <w:pPr>
        <w:tabs>
          <w:tab w:val="left" w:pos="2127"/>
        </w:tabs>
        <w:ind w:left="2127" w:hanging="1559"/>
      </w:pPr>
    </w:lvl>
  </w:abstractNum>
  <w:abstractNum w:abstractNumId="3">
    <w:nsid w:val="0000002E"/>
    <w:multiLevelType w:val="multilevel"/>
    <w:tmpl w:val="0000002E"/>
    <w:lvl w:ilvl="0" w:tentative="0">
      <w:start w:val="1"/>
      <w:numFmt w:val="decimal"/>
      <w:pStyle w:val="2"/>
      <w:lvlText w:val="第%1章"/>
      <w:lvlJc w:val="left"/>
      <w:pPr>
        <w:ind w:left="283" w:hanging="425"/>
      </w:pPr>
      <w:rPr>
        <w:rFonts w:hint="default" w:ascii="Times New Roman" w:hAnsi="Times New Roman" w:eastAsia="宋体" w:cs="Times New Roman"/>
        <w:b/>
        <w:i w:val="0"/>
        <w:sz w:val="32"/>
        <w:szCs w:val="32"/>
      </w:rPr>
    </w:lvl>
    <w:lvl w:ilvl="1" w:tentative="0">
      <w:start w:val="1"/>
      <w:numFmt w:val="decimal"/>
      <w:pStyle w:val="3"/>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4"/>
      <w:suff w:val="space"/>
      <w:lvlText w:val="%1.%2.%3"/>
      <w:lvlJc w:val="left"/>
      <w:pPr>
        <w:ind w:left="992" w:hanging="567"/>
      </w:pPr>
      <w:rPr>
        <w:rFonts w:hint="default" w:ascii="Times New Roman" w:hAnsi="Times New Roman" w:eastAsia="宋体" w:cs="Times New Roman"/>
        <w:b/>
        <w:i w:val="0"/>
        <w:sz w:val="28"/>
      </w:rPr>
    </w:lvl>
    <w:lvl w:ilvl="3" w:tentative="0">
      <w:start w:val="1"/>
      <w:numFmt w:val="decimal"/>
      <w:pStyle w:val="5"/>
      <w:suff w:val="nothing"/>
      <w:lvlText w:val="%1.%2.%3.%4"/>
      <w:lvlJc w:val="left"/>
      <w:pPr>
        <w:ind w:left="708"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4">
    <w:nsid w:val="1B246E06"/>
    <w:multiLevelType w:val="multilevel"/>
    <w:tmpl w:val="1B246E06"/>
    <w:lvl w:ilvl="0" w:tentative="0">
      <w:start w:val="1"/>
      <w:numFmt w:val="japaneseCounting"/>
      <w:lvlText w:val="%1、"/>
      <w:lvlJc w:val="left"/>
      <w:pPr>
        <w:ind w:left="1288" w:hanging="720"/>
      </w:pPr>
      <w:rPr>
        <w:rFonts w:hint="default"/>
        <w:b w:val="0"/>
        <w:sz w:val="28"/>
        <w:szCs w:val="28"/>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5">
    <w:nsid w:val="27B0359A"/>
    <w:multiLevelType w:val="multilevel"/>
    <w:tmpl w:val="27B0359A"/>
    <w:lvl w:ilvl="0" w:tentative="0">
      <w:start w:val="1"/>
      <w:numFmt w:val="japaneseCounting"/>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2C5917C3"/>
    <w:multiLevelType w:val="multilevel"/>
    <w:tmpl w:val="2C5917C3"/>
    <w:lvl w:ilvl="0" w:tentative="0">
      <w:start w:val="1"/>
      <w:numFmt w:val="none"/>
      <w:pStyle w:val="156"/>
      <w:suff w:val="nothing"/>
      <w:lvlText w:val="%1——"/>
      <w:lvlJc w:val="left"/>
      <w:pPr>
        <w:ind w:left="833" w:hanging="408"/>
      </w:pPr>
    </w:lvl>
    <w:lvl w:ilvl="1" w:tentative="0">
      <w:start w:val="1"/>
      <w:numFmt w:val="bullet"/>
      <w:lvlText w:val=""/>
      <w:lvlJc w:val="left"/>
      <w:pPr>
        <w:tabs>
          <w:tab w:val="left" w:pos="760"/>
        </w:tabs>
        <w:ind w:left="1264" w:hanging="413"/>
      </w:pPr>
      <w:rPr>
        <w:rFonts w:hint="default" w:ascii="Symbol" w:hAnsi="Symbol"/>
        <w:color w:val="auto"/>
      </w:rPr>
    </w:lvl>
    <w:lvl w:ilvl="2" w:tentative="0">
      <w:start w:val="1"/>
      <w:numFmt w:val="bullet"/>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lvl>
    <w:lvl w:ilvl="4" w:tentative="0">
      <w:start w:val="1"/>
      <w:numFmt w:val="lowerLetter"/>
      <w:lvlText w:val="%5)"/>
      <w:lvlJc w:val="left"/>
      <w:pPr>
        <w:tabs>
          <w:tab w:val="left" w:pos="2383"/>
        </w:tabs>
        <w:ind w:left="2196" w:hanging="528"/>
      </w:pPr>
    </w:lvl>
    <w:lvl w:ilvl="5" w:tentative="0">
      <w:start w:val="1"/>
      <w:numFmt w:val="lowerRoman"/>
      <w:lvlText w:val="%6."/>
      <w:lvlJc w:val="right"/>
      <w:pPr>
        <w:tabs>
          <w:tab w:val="left" w:pos="2695"/>
        </w:tabs>
        <w:ind w:left="2508" w:hanging="528"/>
      </w:pPr>
    </w:lvl>
    <w:lvl w:ilvl="6" w:tentative="0">
      <w:start w:val="1"/>
      <w:numFmt w:val="decimal"/>
      <w:lvlText w:val="%7."/>
      <w:lvlJc w:val="left"/>
      <w:pPr>
        <w:tabs>
          <w:tab w:val="left" w:pos="3007"/>
        </w:tabs>
        <w:ind w:left="2820" w:hanging="528"/>
      </w:pPr>
    </w:lvl>
    <w:lvl w:ilvl="7" w:tentative="0">
      <w:start w:val="1"/>
      <w:numFmt w:val="lowerLetter"/>
      <w:lvlText w:val="%8)"/>
      <w:lvlJc w:val="left"/>
      <w:pPr>
        <w:tabs>
          <w:tab w:val="left" w:pos="3319"/>
        </w:tabs>
        <w:ind w:left="3132" w:hanging="528"/>
      </w:pPr>
    </w:lvl>
    <w:lvl w:ilvl="8" w:tentative="0">
      <w:start w:val="1"/>
      <w:numFmt w:val="lowerRoman"/>
      <w:lvlText w:val="%9."/>
      <w:lvlJc w:val="right"/>
      <w:pPr>
        <w:tabs>
          <w:tab w:val="left" w:pos="3631"/>
        </w:tabs>
        <w:ind w:left="3444" w:hanging="528"/>
      </w:pPr>
    </w:lvl>
  </w:abstractNum>
  <w:abstractNum w:abstractNumId="7">
    <w:nsid w:val="380C5947"/>
    <w:multiLevelType w:val="multilevel"/>
    <w:tmpl w:val="380C5947"/>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8">
    <w:nsid w:val="4D2540F1"/>
    <w:multiLevelType w:val="multilevel"/>
    <w:tmpl w:val="4D2540F1"/>
    <w:lvl w:ilvl="0" w:tentative="0">
      <w:start w:val="5"/>
      <w:numFmt w:val="japaneseCounting"/>
      <w:lvlText w:val="%1、"/>
      <w:lvlJc w:val="left"/>
      <w:pPr>
        <w:ind w:left="1429" w:hanging="720"/>
      </w:pPr>
      <w:rPr>
        <w:rFonts w:hint="default"/>
      </w:r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9">
    <w:nsid w:val="6107B084"/>
    <w:multiLevelType w:val="multilevel"/>
    <w:tmpl w:val="6107B084"/>
    <w:lvl w:ilvl="0" w:tentative="0">
      <w:start w:val="1"/>
      <w:numFmt w:val="chineseCountingThousand"/>
      <w:suff w:val="nothing"/>
      <w:lvlText w:val="%1、"/>
      <w:lvlJc w:val="left"/>
      <w:pPr>
        <w:ind w:left="1270" w:hanging="420"/>
      </w:pPr>
      <w:rPr>
        <w:b/>
      </w:rPr>
    </w:lvl>
    <w:lvl w:ilvl="1" w:tentative="0">
      <w:start w:val="1"/>
      <w:numFmt w:val="chineseCountingThousand"/>
      <w:lvlText w:val="(%2)"/>
      <w:lvlJc w:val="left"/>
      <w:pPr>
        <w:tabs>
          <w:tab w:val="left" w:pos="1130"/>
        </w:tabs>
        <w:ind w:left="1130" w:hanging="42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6107B08F"/>
    <w:multiLevelType w:val="multilevel"/>
    <w:tmpl w:val="6107B08F"/>
    <w:lvl w:ilvl="0" w:tentative="0">
      <w:start w:val="1"/>
      <w:numFmt w:val="chineseCountingThousand"/>
      <w:lvlText w:val="(%1)"/>
      <w:lvlJc w:val="left"/>
      <w:pPr>
        <w:ind w:left="972" w:hanging="420"/>
      </w:pPr>
      <w:rPr>
        <w:b w:val="0"/>
      </w:rPr>
    </w:lvl>
    <w:lvl w:ilvl="1" w:tentative="0">
      <w:start w:val="1"/>
      <w:numFmt w:val="lowerLetter"/>
      <w:lvlText w:val="%2)"/>
      <w:lvlJc w:val="left"/>
      <w:pPr>
        <w:ind w:left="1392" w:hanging="420"/>
      </w:pPr>
    </w:lvl>
    <w:lvl w:ilvl="2" w:tentative="0">
      <w:start w:val="1"/>
      <w:numFmt w:val="lowerRoman"/>
      <w:lvlText w:val="%3."/>
      <w:lvlJc w:val="right"/>
      <w:pPr>
        <w:ind w:left="1812" w:hanging="420"/>
      </w:pPr>
    </w:lvl>
    <w:lvl w:ilvl="3" w:tentative="0">
      <w:start w:val="1"/>
      <w:numFmt w:val="decimal"/>
      <w:lvlText w:val="%4."/>
      <w:lvlJc w:val="left"/>
      <w:pPr>
        <w:ind w:left="2232" w:hanging="420"/>
      </w:pPr>
    </w:lvl>
    <w:lvl w:ilvl="4" w:tentative="0">
      <w:start w:val="1"/>
      <w:numFmt w:val="lowerLetter"/>
      <w:lvlText w:val="%5)"/>
      <w:lvlJc w:val="left"/>
      <w:pPr>
        <w:ind w:left="2652" w:hanging="420"/>
      </w:pPr>
    </w:lvl>
    <w:lvl w:ilvl="5" w:tentative="0">
      <w:start w:val="1"/>
      <w:numFmt w:val="lowerRoman"/>
      <w:lvlText w:val="%6."/>
      <w:lvlJc w:val="right"/>
      <w:pPr>
        <w:ind w:left="3072" w:hanging="420"/>
      </w:pPr>
    </w:lvl>
    <w:lvl w:ilvl="6" w:tentative="0">
      <w:start w:val="1"/>
      <w:numFmt w:val="decimal"/>
      <w:lvlText w:val="%7."/>
      <w:lvlJc w:val="left"/>
      <w:pPr>
        <w:ind w:left="3492" w:hanging="420"/>
      </w:pPr>
    </w:lvl>
    <w:lvl w:ilvl="7" w:tentative="0">
      <w:start w:val="1"/>
      <w:numFmt w:val="lowerLetter"/>
      <w:lvlText w:val="%8)"/>
      <w:lvlJc w:val="left"/>
      <w:pPr>
        <w:ind w:left="3912" w:hanging="420"/>
      </w:pPr>
    </w:lvl>
    <w:lvl w:ilvl="8" w:tentative="0">
      <w:start w:val="1"/>
      <w:numFmt w:val="lowerRoman"/>
      <w:lvlText w:val="%9."/>
      <w:lvlJc w:val="right"/>
      <w:pPr>
        <w:ind w:left="4332" w:hanging="420"/>
      </w:pPr>
    </w:lvl>
  </w:abstractNum>
  <w:abstractNum w:abstractNumId="11">
    <w:nsid w:val="6107B09A"/>
    <w:multiLevelType w:val="multilevel"/>
    <w:tmpl w:val="6107B09A"/>
    <w:lvl w:ilvl="0" w:tentative="0">
      <w:start w:val="1"/>
      <w:numFmt w:val="decimal"/>
      <w:lvlText w:val="%1."/>
      <w:lvlJc w:val="left"/>
      <w:pPr>
        <w:ind w:left="562"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6107B0A5"/>
    <w:multiLevelType w:val="multilevel"/>
    <w:tmpl w:val="6107B0A5"/>
    <w:lvl w:ilvl="0" w:tentative="0">
      <w:start w:val="1"/>
      <w:numFmt w:val="chineseCountingThousand"/>
      <w:lvlText w:val="%1、"/>
      <w:lvlJc w:val="left"/>
      <w:pPr>
        <w:ind w:left="720" w:hanging="720"/>
      </w:pPr>
      <w:rPr>
        <w:strike w:val="0"/>
        <w:dstrike w:val="0"/>
        <w:color w:val="000000"/>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6107B0B0"/>
    <w:multiLevelType w:val="multilevel"/>
    <w:tmpl w:val="6107B0B0"/>
    <w:lvl w:ilvl="0" w:tentative="0">
      <w:start w:val="1"/>
      <w:numFmt w:val="chineseCountingThousand"/>
      <w:lvlText w:val="%1、"/>
      <w:lvlJc w:val="left"/>
      <w:pPr>
        <w:ind w:left="1413" w:hanging="420"/>
      </w:pPr>
      <w:rPr>
        <w:color w:val="auto"/>
        <w:sz w:val="28"/>
        <w:szCs w:val="28"/>
        <w:lang w:val="en-US"/>
      </w:rPr>
    </w:lvl>
    <w:lvl w:ilvl="1" w:tentative="0">
      <w:start w:val="1"/>
      <w:numFmt w:val="decimal"/>
      <w:isLgl/>
      <w:lvlText w:val="%1.%2"/>
      <w:lvlJc w:val="left"/>
      <w:pPr>
        <w:ind w:left="1669" w:hanging="960"/>
      </w:pPr>
    </w:lvl>
    <w:lvl w:ilvl="2" w:tentative="0">
      <w:start w:val="1"/>
      <w:numFmt w:val="decimal"/>
      <w:isLgl/>
      <w:lvlText w:val="%1.%2.%3"/>
      <w:lvlJc w:val="left"/>
      <w:pPr>
        <w:ind w:left="1669" w:hanging="960"/>
      </w:pPr>
    </w:lvl>
    <w:lvl w:ilvl="3" w:tentative="0">
      <w:start w:val="1"/>
      <w:numFmt w:val="decimal"/>
      <w:isLgl/>
      <w:lvlText w:val="%1.%2.%3.%4"/>
      <w:lvlJc w:val="left"/>
      <w:pPr>
        <w:ind w:left="1789" w:hanging="1080"/>
      </w:pPr>
    </w:lvl>
    <w:lvl w:ilvl="4" w:tentative="0">
      <w:start w:val="1"/>
      <w:numFmt w:val="decimal"/>
      <w:isLgl/>
      <w:lvlText w:val="%1.%2.%3.%4.%5"/>
      <w:lvlJc w:val="left"/>
      <w:pPr>
        <w:ind w:left="1789" w:hanging="1080"/>
      </w:pPr>
    </w:lvl>
    <w:lvl w:ilvl="5" w:tentative="0">
      <w:start w:val="1"/>
      <w:numFmt w:val="decimal"/>
      <w:isLgl/>
      <w:lvlText w:val="%1.%2.%3.%4.%5.%6"/>
      <w:lvlJc w:val="left"/>
      <w:pPr>
        <w:ind w:left="2149" w:hanging="1440"/>
      </w:pPr>
    </w:lvl>
    <w:lvl w:ilvl="6" w:tentative="0">
      <w:start w:val="1"/>
      <w:numFmt w:val="decimal"/>
      <w:isLgl/>
      <w:lvlText w:val="%1.%2.%3.%4.%5.%6.%7"/>
      <w:lvlJc w:val="left"/>
      <w:pPr>
        <w:ind w:left="2509" w:hanging="1800"/>
      </w:pPr>
    </w:lvl>
    <w:lvl w:ilvl="7" w:tentative="0">
      <w:start w:val="1"/>
      <w:numFmt w:val="decimal"/>
      <w:isLgl/>
      <w:lvlText w:val="%1.%2.%3.%4.%5.%6.%7.%8"/>
      <w:lvlJc w:val="left"/>
      <w:pPr>
        <w:ind w:left="2509" w:hanging="1800"/>
      </w:pPr>
    </w:lvl>
    <w:lvl w:ilvl="8" w:tentative="0">
      <w:start w:val="1"/>
      <w:numFmt w:val="decimal"/>
      <w:isLgl/>
      <w:lvlText w:val="%1.%2.%3.%4.%5.%6.%7.%8.%9"/>
      <w:lvlJc w:val="left"/>
      <w:pPr>
        <w:ind w:left="2869" w:hanging="2160"/>
      </w:pPr>
    </w:lvl>
  </w:abstractNum>
  <w:abstractNum w:abstractNumId="14">
    <w:nsid w:val="6107B0BB"/>
    <w:multiLevelType w:val="multilevel"/>
    <w:tmpl w:val="6107B0BB"/>
    <w:lvl w:ilvl="0" w:tentative="0">
      <w:start w:val="1"/>
      <w:numFmt w:val="chineseCountingThousand"/>
      <w:lvlText w:val="%1、"/>
      <w:lvlJc w:val="left"/>
      <w:pPr>
        <w:ind w:left="988" w:hanging="420"/>
      </w:pPr>
      <w:rPr>
        <w:sz w:val="28"/>
        <w:szCs w:val="28"/>
      </w:rPr>
    </w:lvl>
    <w:lvl w:ilvl="1" w:tentative="0">
      <w:start w:val="1"/>
      <w:numFmt w:val="decimal"/>
      <w:isLgl/>
      <w:lvlText w:val="%1.%2"/>
      <w:lvlJc w:val="left"/>
      <w:pPr>
        <w:ind w:left="1528" w:hanging="960"/>
      </w:pPr>
    </w:lvl>
    <w:lvl w:ilvl="2" w:tentative="0">
      <w:start w:val="1"/>
      <w:numFmt w:val="decimal"/>
      <w:isLgl/>
      <w:lvlText w:val="%1.%2.%3"/>
      <w:lvlJc w:val="left"/>
      <w:pPr>
        <w:ind w:left="1528" w:hanging="960"/>
      </w:pPr>
    </w:lvl>
    <w:lvl w:ilvl="3" w:tentative="0">
      <w:start w:val="1"/>
      <w:numFmt w:val="decimal"/>
      <w:isLgl/>
      <w:lvlText w:val="%1.%2.%3.%4"/>
      <w:lvlJc w:val="left"/>
      <w:pPr>
        <w:ind w:left="1648" w:hanging="1080"/>
      </w:pPr>
    </w:lvl>
    <w:lvl w:ilvl="4" w:tentative="0">
      <w:start w:val="1"/>
      <w:numFmt w:val="decimal"/>
      <w:isLgl/>
      <w:lvlText w:val="%1.%2.%3.%4.%5"/>
      <w:lvlJc w:val="left"/>
      <w:pPr>
        <w:ind w:left="1648" w:hanging="1080"/>
      </w:pPr>
    </w:lvl>
    <w:lvl w:ilvl="5" w:tentative="0">
      <w:start w:val="1"/>
      <w:numFmt w:val="decimal"/>
      <w:isLgl/>
      <w:lvlText w:val="%1.%2.%3.%4.%5.%6"/>
      <w:lvlJc w:val="left"/>
      <w:pPr>
        <w:ind w:left="2008" w:hanging="1440"/>
      </w:pPr>
    </w:lvl>
    <w:lvl w:ilvl="6" w:tentative="0">
      <w:start w:val="1"/>
      <w:numFmt w:val="decimal"/>
      <w:isLgl/>
      <w:lvlText w:val="%1.%2.%3.%4.%5.%6.%7"/>
      <w:lvlJc w:val="left"/>
      <w:pPr>
        <w:ind w:left="2368" w:hanging="1800"/>
      </w:pPr>
    </w:lvl>
    <w:lvl w:ilvl="7" w:tentative="0">
      <w:start w:val="1"/>
      <w:numFmt w:val="decimal"/>
      <w:isLgl/>
      <w:lvlText w:val="%1.%2.%3.%4.%5.%6.%7.%8"/>
      <w:lvlJc w:val="left"/>
      <w:pPr>
        <w:ind w:left="2368" w:hanging="1800"/>
      </w:pPr>
    </w:lvl>
    <w:lvl w:ilvl="8" w:tentative="0">
      <w:start w:val="1"/>
      <w:numFmt w:val="decimal"/>
      <w:isLgl/>
      <w:lvlText w:val="%1.%2.%3.%4.%5.%6.%7.%8.%9"/>
      <w:lvlJc w:val="left"/>
      <w:pPr>
        <w:ind w:left="2728" w:hanging="2160"/>
      </w:pPr>
    </w:lvl>
  </w:abstractNum>
  <w:abstractNum w:abstractNumId="15">
    <w:nsid w:val="6107B0C6"/>
    <w:multiLevelType w:val="multilevel"/>
    <w:tmpl w:val="6107B0C6"/>
    <w:lvl w:ilvl="0" w:tentative="0">
      <w:start w:val="1"/>
      <w:numFmt w:val="chineseCountingThousand"/>
      <w:lvlText w:val="%1、"/>
      <w:lvlJc w:val="left"/>
      <w:pPr>
        <w:ind w:left="986" w:hanging="420"/>
      </w:pPr>
      <w:rPr>
        <w:sz w:val="28"/>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16">
    <w:nsid w:val="6107B0D1"/>
    <w:multiLevelType w:val="multilevel"/>
    <w:tmpl w:val="6107B0D1"/>
    <w:lvl w:ilvl="0" w:tentative="0">
      <w:start w:val="1"/>
      <w:numFmt w:val="chineseCountingThousand"/>
      <w:lvlText w:val="%1、"/>
      <w:lvlJc w:val="left"/>
      <w:pPr>
        <w:ind w:left="1271" w:hanging="420"/>
      </w:pPr>
    </w:lvl>
    <w:lvl w:ilvl="1" w:tentative="0">
      <w:start w:val="1"/>
      <w:numFmt w:val="japaneseCounting"/>
      <w:lvlText w:val="（%2）"/>
      <w:lvlJc w:val="left"/>
      <w:pPr>
        <w:ind w:left="1830" w:hanging="885"/>
      </w:pPr>
      <w:rPr>
        <w:lang w:val="en-US"/>
      </w:r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17">
    <w:nsid w:val="6107B0DC"/>
    <w:multiLevelType w:val="multilevel"/>
    <w:tmpl w:val="6107B0DC"/>
    <w:lvl w:ilvl="0" w:tentative="0">
      <w:start w:val="1"/>
      <w:numFmt w:val="chineseCountingThousand"/>
      <w:lvlText w:val="(%1)"/>
      <w:lvlJc w:val="left"/>
      <w:pPr>
        <w:ind w:left="980" w:hanging="420"/>
      </w:pPr>
    </w:lvl>
    <w:lvl w:ilvl="1" w:tentative="0">
      <w:start w:val="1"/>
      <w:numFmt w:val="chineseCountingThousand"/>
      <w:lvlText w:val="(%2)"/>
      <w:lvlJc w:val="left"/>
      <w:pPr>
        <w:ind w:left="198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8">
    <w:nsid w:val="6107B0E7"/>
    <w:multiLevelType w:val="multilevel"/>
    <w:tmpl w:val="6107B0E7"/>
    <w:lvl w:ilvl="0" w:tentative="0">
      <w:start w:val="1"/>
      <w:numFmt w:val="chineseCountingThousand"/>
      <w:lvlText w:val="%1、"/>
      <w:lvlJc w:val="left"/>
      <w:pPr>
        <w:ind w:left="988"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19">
    <w:nsid w:val="6107B0F2"/>
    <w:multiLevelType w:val="multilevel"/>
    <w:tmpl w:val="6107B0F2"/>
    <w:lvl w:ilvl="0" w:tentative="0">
      <w:start w:val="1"/>
      <w:numFmt w:val="chineseCountingThousand"/>
      <w:lvlText w:val="%1、"/>
      <w:lvlJc w:val="left"/>
      <w:pPr>
        <w:ind w:left="1554" w:hanging="420"/>
      </w:p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20">
    <w:nsid w:val="6107B0FD"/>
    <w:multiLevelType w:val="multilevel"/>
    <w:tmpl w:val="6107B0FD"/>
    <w:lvl w:ilvl="0" w:tentative="0">
      <w:start w:val="1"/>
      <w:numFmt w:val="chineseCountingThousand"/>
      <w:lvlText w:val="%1、"/>
      <w:lvlJc w:val="left"/>
      <w:pPr>
        <w:ind w:left="846"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1">
    <w:nsid w:val="6107B108"/>
    <w:multiLevelType w:val="multilevel"/>
    <w:tmpl w:val="6107B108"/>
    <w:lvl w:ilvl="0" w:tentative="0">
      <w:start w:val="1"/>
      <w:numFmt w:val="chineseCountingThousand"/>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2">
    <w:nsid w:val="6107B113"/>
    <w:multiLevelType w:val="multilevel"/>
    <w:tmpl w:val="6107B113"/>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3">
    <w:nsid w:val="6107B11E"/>
    <w:multiLevelType w:val="multilevel"/>
    <w:tmpl w:val="6107B11E"/>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24">
    <w:nsid w:val="6107B129"/>
    <w:multiLevelType w:val="multilevel"/>
    <w:tmpl w:val="6107B129"/>
    <w:lvl w:ilvl="0" w:tentative="0">
      <w:start w:val="1"/>
      <w:numFmt w:val="chineseCountingThousand"/>
      <w:lvlText w:val="%1、"/>
      <w:lvlJc w:val="left"/>
      <w:pPr>
        <w:ind w:left="966"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25">
    <w:nsid w:val="6107B134"/>
    <w:multiLevelType w:val="multilevel"/>
    <w:tmpl w:val="6107B134"/>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6">
    <w:nsid w:val="6107B13F"/>
    <w:multiLevelType w:val="multilevel"/>
    <w:tmpl w:val="6107B13F"/>
    <w:lvl w:ilvl="0" w:tentative="0">
      <w:start w:val="1"/>
      <w:numFmt w:val="chineseCountingThousand"/>
      <w:lvlText w:val="%1、"/>
      <w:lvlJc w:val="left"/>
      <w:pPr>
        <w:ind w:left="980" w:hanging="420"/>
      </w:pPr>
    </w:lvl>
    <w:lvl w:ilvl="1" w:tentative="0">
      <w:start w:val="1"/>
      <w:numFmt w:val="decimal"/>
      <w:lvlText w:val="（%2）"/>
      <w:lvlJc w:val="left"/>
      <w:pPr>
        <w:ind w:left="1700" w:hanging="7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7">
    <w:nsid w:val="6107B14A"/>
    <w:multiLevelType w:val="multilevel"/>
    <w:tmpl w:val="6107B14A"/>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8">
    <w:nsid w:val="6107B155"/>
    <w:multiLevelType w:val="multilevel"/>
    <w:tmpl w:val="6107B155"/>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9">
    <w:nsid w:val="6107B160"/>
    <w:multiLevelType w:val="multilevel"/>
    <w:tmpl w:val="6107B160"/>
    <w:lvl w:ilvl="0" w:tentative="0">
      <w:start w:val="1"/>
      <w:numFmt w:val="decimal"/>
      <w:lvlText w:val="%1."/>
      <w:lvlJc w:val="left"/>
      <w:pPr>
        <w:ind w:left="958" w:hanging="420"/>
      </w:pPr>
    </w:lvl>
    <w:lvl w:ilvl="1" w:tentative="0">
      <w:start w:val="1"/>
      <w:numFmt w:val="chineseCountingThousand"/>
      <w:lvlText w:val="%2、"/>
      <w:lvlJc w:val="left"/>
      <w:pPr>
        <w:ind w:left="1130"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30">
    <w:nsid w:val="6107B16B"/>
    <w:multiLevelType w:val="multilevel"/>
    <w:tmpl w:val="6107B16B"/>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1">
    <w:nsid w:val="6107B176"/>
    <w:multiLevelType w:val="multilevel"/>
    <w:tmpl w:val="6107B176"/>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2">
    <w:nsid w:val="6107B181"/>
    <w:multiLevelType w:val="multilevel"/>
    <w:tmpl w:val="6107B181"/>
    <w:lvl w:ilvl="0" w:tentative="0">
      <w:start w:val="5"/>
      <w:numFmt w:val="japaneseCounting"/>
      <w:lvlText w:val="（%1）"/>
      <w:lvlJc w:val="left"/>
      <w:pPr>
        <w:ind w:left="1179" w:hanging="855"/>
      </w:pPr>
      <w:rPr>
        <w:rFonts w:cs="Helvetica"/>
        <w:color w:val="FF0000"/>
      </w:rPr>
    </w:lvl>
    <w:lvl w:ilvl="1" w:tentative="0">
      <w:start w:val="1"/>
      <w:numFmt w:val="chineseCountingThousand"/>
      <w:lvlText w:val="(%2)"/>
      <w:lvlJc w:val="left"/>
      <w:pPr>
        <w:ind w:left="1164" w:hanging="420"/>
      </w:pPr>
    </w:lvl>
    <w:lvl w:ilvl="2" w:tentative="0">
      <w:start w:val="2"/>
      <w:numFmt w:val="japaneseCounting"/>
      <w:lvlText w:val="（%3）"/>
      <w:lvlJc w:val="left"/>
      <w:pPr>
        <w:ind w:left="2019" w:hanging="855"/>
      </w:pPr>
      <w:rPr>
        <w:lang w:val="en-US"/>
      </w:rPr>
    </w:lvl>
    <w:lvl w:ilvl="3" w:tentative="0">
      <w:start w:val="3"/>
      <w:numFmt w:val="japaneseCounting"/>
      <w:lvlText w:val="%4、"/>
      <w:lvlJc w:val="left"/>
      <w:pPr>
        <w:ind w:left="2304" w:hanging="720"/>
      </w:pPr>
    </w:lvl>
    <w:lvl w:ilvl="4" w:tentative="0">
      <w:start w:val="1"/>
      <w:numFmt w:val="lowerLetter"/>
      <w:lvlText w:val="%5)"/>
      <w:lvlJc w:val="left"/>
      <w:pPr>
        <w:ind w:left="2424" w:hanging="420"/>
      </w:pPr>
    </w:lvl>
    <w:lvl w:ilvl="5" w:tentative="0">
      <w:start w:val="1"/>
      <w:numFmt w:val="lowerRoman"/>
      <w:lvlText w:val="%6."/>
      <w:lvlJc w:val="right"/>
      <w:pPr>
        <w:ind w:left="2844" w:hanging="420"/>
      </w:pPr>
    </w:lvl>
    <w:lvl w:ilvl="6" w:tentative="0">
      <w:start w:val="1"/>
      <w:numFmt w:val="decimal"/>
      <w:lvlText w:val="%7."/>
      <w:lvlJc w:val="left"/>
      <w:pPr>
        <w:ind w:left="3264" w:hanging="420"/>
      </w:pPr>
    </w:lvl>
    <w:lvl w:ilvl="7" w:tentative="0">
      <w:start w:val="1"/>
      <w:numFmt w:val="lowerLetter"/>
      <w:lvlText w:val="%8)"/>
      <w:lvlJc w:val="left"/>
      <w:pPr>
        <w:ind w:left="3684" w:hanging="420"/>
      </w:pPr>
    </w:lvl>
    <w:lvl w:ilvl="8" w:tentative="0">
      <w:start w:val="1"/>
      <w:numFmt w:val="lowerRoman"/>
      <w:lvlText w:val="%9."/>
      <w:lvlJc w:val="right"/>
      <w:pPr>
        <w:ind w:left="4104" w:hanging="420"/>
      </w:pPr>
    </w:lvl>
  </w:abstractNum>
  <w:abstractNum w:abstractNumId="33">
    <w:nsid w:val="6107B18C"/>
    <w:multiLevelType w:val="multilevel"/>
    <w:tmpl w:val="6107B18C"/>
    <w:lvl w:ilvl="0" w:tentative="0">
      <w:start w:val="1"/>
      <w:numFmt w:val="japaneseCounting"/>
      <w:lvlText w:val="%1、"/>
      <w:lvlJc w:val="left"/>
      <w:pPr>
        <w:ind w:left="2282"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4">
    <w:nsid w:val="6107B197"/>
    <w:multiLevelType w:val="multilevel"/>
    <w:tmpl w:val="6107B197"/>
    <w:lvl w:ilvl="0" w:tentative="0">
      <w:start w:val="1"/>
      <w:numFmt w:val="decimal"/>
      <w:lvlText w:val="%1."/>
      <w:lvlJc w:val="left"/>
      <w:pPr>
        <w:ind w:left="840" w:hanging="420"/>
      </w:pPr>
    </w:lvl>
    <w:lvl w:ilvl="1" w:tentative="0">
      <w:start w:val="1"/>
      <w:numFmt w:val="decimal"/>
      <w:lvlText w:val="%2）"/>
      <w:lvlJc w:val="left"/>
      <w:pPr>
        <w:ind w:left="1560" w:hanging="720"/>
      </w:pPr>
      <w:rPr>
        <w:b w:val="0"/>
        <w:color w:val="000000"/>
      </w:rPr>
    </w:lvl>
    <w:lvl w:ilvl="2" w:tentative="0">
      <w:start w:val="1"/>
      <w:numFmt w:val="chineseCountingThousand"/>
      <w:lvlText w:val="%3、"/>
      <w:lvlJc w:val="left"/>
      <w:pPr>
        <w:ind w:left="60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5">
    <w:nsid w:val="6107B1A2"/>
    <w:multiLevelType w:val="multilevel"/>
    <w:tmpl w:val="6107B1A2"/>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36">
    <w:nsid w:val="6107B1AD"/>
    <w:multiLevelType w:val="multilevel"/>
    <w:tmpl w:val="6107B1AD"/>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7">
    <w:nsid w:val="6107B1B8"/>
    <w:multiLevelType w:val="multilevel"/>
    <w:tmpl w:val="6107B1B8"/>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8">
    <w:nsid w:val="6107B1C3"/>
    <w:multiLevelType w:val="multilevel"/>
    <w:tmpl w:val="6107B1C3"/>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9">
    <w:nsid w:val="6107B1CE"/>
    <w:multiLevelType w:val="multilevel"/>
    <w:tmpl w:val="6107B1CE"/>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0">
    <w:nsid w:val="6107B1D9"/>
    <w:multiLevelType w:val="multilevel"/>
    <w:tmpl w:val="6107B1D9"/>
    <w:lvl w:ilvl="0" w:tentative="0">
      <w:start w:val="1"/>
      <w:numFmt w:val="chineseCountingThousand"/>
      <w:lvlText w:val="(%1)"/>
      <w:lvlJc w:val="left"/>
      <w:pPr>
        <w:tabs>
          <w:tab w:val="left" w:pos="846"/>
        </w:tabs>
        <w:ind w:left="84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1">
    <w:nsid w:val="6107B1E4"/>
    <w:multiLevelType w:val="multilevel"/>
    <w:tmpl w:val="6107B1E4"/>
    <w:lvl w:ilvl="0" w:tentative="0">
      <w:start w:val="1"/>
      <w:numFmt w:val="japaneseCounting"/>
      <w:lvlText w:val="（%1）"/>
      <w:lvlJc w:val="left"/>
      <w:pPr>
        <w:ind w:left="1421" w:hanging="855"/>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2">
    <w:nsid w:val="6107B1EF"/>
    <w:multiLevelType w:val="multilevel"/>
    <w:tmpl w:val="6107B1EF"/>
    <w:lvl w:ilvl="0" w:tentative="0">
      <w:start w:val="1"/>
      <w:numFmt w:val="chineseCountingThousand"/>
      <w:lvlText w:val="%1、"/>
      <w:lvlJc w:val="left"/>
      <w:pPr>
        <w:ind w:left="1413" w:hanging="420"/>
      </w:pPr>
    </w:lvl>
    <w:lvl w:ilvl="1" w:tentative="0">
      <w:start w:val="1"/>
      <w:numFmt w:val="lowerLetter"/>
      <w:lvlText w:val="%2)"/>
      <w:lvlJc w:val="left"/>
      <w:pPr>
        <w:tabs>
          <w:tab w:val="left" w:pos="847"/>
        </w:tabs>
        <w:ind w:left="847" w:hanging="420"/>
      </w:pPr>
    </w:lvl>
    <w:lvl w:ilvl="2" w:tentative="0">
      <w:start w:val="1"/>
      <w:numFmt w:val="lowerRoman"/>
      <w:lvlText w:val="%3."/>
      <w:lvlJc w:val="right"/>
      <w:pPr>
        <w:tabs>
          <w:tab w:val="left" w:pos="1267"/>
        </w:tabs>
        <w:ind w:left="1267" w:hanging="420"/>
      </w:pPr>
    </w:lvl>
    <w:lvl w:ilvl="3" w:tentative="0">
      <w:start w:val="1"/>
      <w:numFmt w:val="decimal"/>
      <w:lvlText w:val="%4."/>
      <w:lvlJc w:val="left"/>
      <w:pPr>
        <w:tabs>
          <w:tab w:val="left" w:pos="1687"/>
        </w:tabs>
        <w:ind w:left="1687" w:hanging="420"/>
      </w:pPr>
    </w:lvl>
    <w:lvl w:ilvl="4" w:tentative="0">
      <w:start w:val="1"/>
      <w:numFmt w:val="lowerLetter"/>
      <w:lvlText w:val="%5)"/>
      <w:lvlJc w:val="left"/>
      <w:pPr>
        <w:tabs>
          <w:tab w:val="left" w:pos="2107"/>
        </w:tabs>
        <w:ind w:left="2107" w:hanging="420"/>
      </w:pPr>
    </w:lvl>
    <w:lvl w:ilvl="5" w:tentative="0">
      <w:start w:val="1"/>
      <w:numFmt w:val="lowerRoman"/>
      <w:lvlText w:val="%6."/>
      <w:lvlJc w:val="right"/>
      <w:pPr>
        <w:tabs>
          <w:tab w:val="left" w:pos="2527"/>
        </w:tabs>
        <w:ind w:left="2527" w:hanging="420"/>
      </w:pPr>
    </w:lvl>
    <w:lvl w:ilvl="6" w:tentative="0">
      <w:start w:val="1"/>
      <w:numFmt w:val="decimal"/>
      <w:lvlText w:val="%7."/>
      <w:lvlJc w:val="left"/>
      <w:pPr>
        <w:tabs>
          <w:tab w:val="left" w:pos="2947"/>
        </w:tabs>
        <w:ind w:left="2947" w:hanging="420"/>
      </w:pPr>
    </w:lvl>
    <w:lvl w:ilvl="7" w:tentative="0">
      <w:start w:val="1"/>
      <w:numFmt w:val="lowerLetter"/>
      <w:lvlText w:val="%8)"/>
      <w:lvlJc w:val="left"/>
      <w:pPr>
        <w:tabs>
          <w:tab w:val="left" w:pos="3367"/>
        </w:tabs>
        <w:ind w:left="3367" w:hanging="420"/>
      </w:pPr>
    </w:lvl>
    <w:lvl w:ilvl="8" w:tentative="0">
      <w:start w:val="1"/>
      <w:numFmt w:val="lowerRoman"/>
      <w:lvlText w:val="%9."/>
      <w:lvlJc w:val="right"/>
      <w:pPr>
        <w:tabs>
          <w:tab w:val="left" w:pos="3787"/>
        </w:tabs>
        <w:ind w:left="3787" w:hanging="420"/>
      </w:pPr>
    </w:lvl>
  </w:abstractNum>
  <w:abstractNum w:abstractNumId="43">
    <w:nsid w:val="6107B1FA"/>
    <w:multiLevelType w:val="multilevel"/>
    <w:tmpl w:val="6107B1FA"/>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4">
    <w:nsid w:val="6107B205"/>
    <w:multiLevelType w:val="multilevel"/>
    <w:tmpl w:val="6107B205"/>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5">
    <w:nsid w:val="6107B210"/>
    <w:multiLevelType w:val="multilevel"/>
    <w:tmpl w:val="6107B210"/>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6">
    <w:nsid w:val="6107B21B"/>
    <w:multiLevelType w:val="multilevel"/>
    <w:tmpl w:val="6107B21B"/>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7">
    <w:nsid w:val="6107B226"/>
    <w:multiLevelType w:val="multilevel"/>
    <w:tmpl w:val="6107B226"/>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8">
    <w:nsid w:val="79C5583B"/>
    <w:multiLevelType w:val="multilevel"/>
    <w:tmpl w:val="79C5583B"/>
    <w:lvl w:ilvl="0" w:tentative="0">
      <w:start w:val="1"/>
      <w:numFmt w:val="chineseCountingThousand"/>
      <w:lvlText w:val="%1、"/>
      <w:lvlJc w:val="left"/>
      <w:pPr>
        <w:ind w:left="982" w:hanging="420"/>
      </w:pPr>
      <w:rPr>
        <w:b w:val="0"/>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num w:numId="1">
    <w:abstractNumId w:val="3"/>
  </w:num>
  <w:num w:numId="2">
    <w:abstractNumId w:val="2"/>
  </w:num>
  <w:num w:numId="3">
    <w:abstractNumId w:val="1"/>
  </w:num>
  <w:num w:numId="4">
    <w:abstractNumId w:val="6"/>
  </w:num>
  <w:num w:numId="5">
    <w:abstractNumId w:val="8"/>
  </w:num>
  <w:num w:numId="6">
    <w:abstractNumId w:val="9"/>
    <w:lvlOverride w:ilvl="1">
      <w:startOverride w:val="1"/>
    </w:lvlOverride>
  </w:num>
  <w:num w:numId="7">
    <w:abstractNumId w:val="10"/>
    <w:lvlOverride w:ilvl="0">
      <w:startOverride w:val="1"/>
    </w:lvlOverride>
  </w:num>
  <w:num w:numId="8">
    <w:abstractNumId w:val="11"/>
    <w:lvlOverride w:ilvl="0">
      <w:startOverride w:val="1"/>
    </w:lvlOverride>
  </w:num>
  <w:num w:numId="9">
    <w:abstractNumId w:val="12"/>
    <w:lvlOverride w:ilvl="0">
      <w:startOverride w:val="1"/>
    </w:lvlOverride>
  </w:num>
  <w:num w:numId="10">
    <w:abstractNumId w:val="13"/>
    <w:lvlOverride w:ilvl="0">
      <w:startOverride w:val="1"/>
    </w:lvlOverride>
  </w:num>
  <w:num w:numId="11">
    <w:abstractNumId w:val="14"/>
    <w:lvlOverride w:ilvl="0">
      <w:startOverride w:val="1"/>
    </w:lvlOverride>
  </w:num>
  <w:num w:numId="12">
    <w:abstractNumId w:val="15"/>
    <w:lvlOverride w:ilvl="0">
      <w:startOverride w:val="1"/>
    </w:lvlOverride>
  </w:num>
  <w:num w:numId="13">
    <w:abstractNumId w:val="16"/>
    <w:lvlOverride w:ilvl="0">
      <w:startOverride w:val="1"/>
    </w:lvlOverride>
  </w:num>
  <w:num w:numId="14">
    <w:abstractNumId w:val="17"/>
    <w:lvlOverride w:ilvl="1">
      <w:startOverride w:val="1"/>
    </w:lvlOverride>
  </w:num>
  <w:num w:numId="15">
    <w:abstractNumId w:val="18"/>
    <w:lvlOverride w:ilvl="0">
      <w:startOverride w:val="1"/>
    </w:lvlOverride>
  </w:num>
  <w:num w:numId="16">
    <w:abstractNumId w:val="19"/>
    <w:lvlOverride w:ilvl="0">
      <w:startOverride w:val="1"/>
    </w:lvlOverride>
  </w:num>
  <w:num w:numId="17">
    <w:abstractNumId w:val="20"/>
    <w:lvlOverride w:ilvl="0">
      <w:startOverride w:val="1"/>
    </w:lvlOverride>
  </w:num>
  <w:num w:numId="18">
    <w:abstractNumId w:val="21"/>
    <w:lvlOverride w:ilvl="0">
      <w:startOverride w:val="1"/>
    </w:lvlOverride>
  </w:num>
  <w:num w:numId="19">
    <w:abstractNumId w:val="22"/>
    <w:lvlOverride w:ilvl="0">
      <w:startOverride w:val="1"/>
    </w:lvlOverride>
  </w:num>
  <w:num w:numId="20">
    <w:abstractNumId w:val="23"/>
    <w:lvlOverride w:ilvl="0">
      <w:startOverride w:val="1"/>
    </w:lvlOverride>
  </w:num>
  <w:num w:numId="21">
    <w:abstractNumId w:val="7"/>
  </w:num>
  <w:num w:numId="22">
    <w:abstractNumId w:val="24"/>
    <w:lvlOverride w:ilvl="0">
      <w:startOverride w:val="1"/>
    </w:lvlOverride>
  </w:num>
  <w:num w:numId="23">
    <w:abstractNumId w:val="25"/>
    <w:lvlOverride w:ilvl="0">
      <w:startOverride w:val="1"/>
    </w:lvlOverride>
  </w:num>
  <w:num w:numId="24">
    <w:abstractNumId w:val="26"/>
    <w:lvlOverride w:ilvl="0">
      <w:startOverride w:val="1"/>
    </w:lvlOverride>
  </w:num>
  <w:num w:numId="25">
    <w:abstractNumId w:val="27"/>
    <w:lvlOverride w:ilvl="0">
      <w:startOverride w:val="1"/>
    </w:lvlOverride>
  </w:num>
  <w:num w:numId="26">
    <w:abstractNumId w:val="28"/>
    <w:lvlOverride w:ilvl="0">
      <w:startOverride w:val="1"/>
    </w:lvlOverride>
  </w:num>
  <w:num w:numId="27">
    <w:abstractNumId w:val="0"/>
  </w:num>
  <w:num w:numId="28">
    <w:abstractNumId w:val="29"/>
    <w:lvlOverride w:ilvl="1">
      <w:startOverride w:val="1"/>
    </w:lvlOverride>
  </w:num>
  <w:num w:numId="29">
    <w:abstractNumId w:val="30"/>
    <w:lvlOverride w:ilvl="0">
      <w:startOverride w:val="1"/>
    </w:lvlOverride>
  </w:num>
  <w:num w:numId="30">
    <w:abstractNumId w:val="31"/>
    <w:lvlOverride w:ilvl="0">
      <w:startOverride w:val="1"/>
    </w:lvlOverride>
  </w:num>
  <w:num w:numId="31">
    <w:abstractNumId w:val="32"/>
    <w:lvlOverride w:ilvl="1">
      <w:startOverride w:val="1"/>
    </w:lvlOverride>
  </w:num>
  <w:num w:numId="32">
    <w:abstractNumId w:val="33"/>
    <w:lvlOverride w:ilvl="0">
      <w:startOverride w:val="1"/>
    </w:lvlOverride>
  </w:num>
  <w:num w:numId="33">
    <w:abstractNumId w:val="34"/>
    <w:lvlOverride w:ilvl="2">
      <w:startOverride w:val="1"/>
    </w:lvlOverride>
  </w:num>
  <w:num w:numId="34">
    <w:abstractNumId w:val="35"/>
    <w:lvlOverride w:ilvl="0">
      <w:startOverride w:val="1"/>
    </w:lvlOverride>
  </w:num>
  <w:num w:numId="35">
    <w:abstractNumId w:val="36"/>
    <w:lvlOverride w:ilvl="1">
      <w:startOverride w:val="1"/>
    </w:lvlOverride>
  </w:num>
  <w:num w:numId="36">
    <w:abstractNumId w:val="4"/>
  </w:num>
  <w:num w:numId="37">
    <w:abstractNumId w:val="5"/>
  </w:num>
  <w:num w:numId="38">
    <w:abstractNumId w:val="48"/>
  </w:num>
  <w:num w:numId="39">
    <w:abstractNumId w:val="37"/>
    <w:lvlOverride w:ilvl="0">
      <w:startOverride w:val="1"/>
    </w:lvlOverride>
  </w:num>
  <w:num w:numId="40">
    <w:abstractNumId w:val="38"/>
    <w:lvlOverride w:ilvl="1">
      <w:startOverride w:val="1"/>
    </w:lvlOverride>
  </w:num>
  <w:num w:numId="41">
    <w:abstractNumId w:val="39"/>
    <w:lvlOverride w:ilvl="0">
      <w:startOverride w:val="1"/>
    </w:lvlOverride>
  </w:num>
  <w:num w:numId="42">
    <w:abstractNumId w:val="40"/>
    <w:lvlOverride w:ilvl="0">
      <w:startOverride w:val="1"/>
    </w:lvlOverride>
  </w:num>
  <w:num w:numId="43">
    <w:abstractNumId w:val="41"/>
    <w:lvlOverride w:ilvl="0">
      <w:startOverride w:val="1"/>
    </w:lvlOverride>
  </w:num>
  <w:num w:numId="44">
    <w:abstractNumId w:val="42"/>
    <w:lvlOverride w:ilvl="0">
      <w:startOverride w:val="1"/>
    </w:lvlOverride>
  </w:num>
  <w:num w:numId="45">
    <w:abstractNumId w:val="43"/>
    <w:lvlOverride w:ilvl="0">
      <w:startOverride w:val="1"/>
    </w:lvlOverride>
  </w:num>
  <w:num w:numId="46">
    <w:abstractNumId w:val="44"/>
    <w:lvlOverride w:ilvl="0">
      <w:startOverride w:val="1"/>
    </w:lvlOverride>
  </w:num>
  <w:num w:numId="47">
    <w:abstractNumId w:val="45"/>
    <w:lvlOverride w:ilvl="0">
      <w:startOverride w:val="1"/>
    </w:lvlOverride>
  </w:num>
  <w:num w:numId="48">
    <w:abstractNumId w:val="46"/>
    <w:lvlOverride w:ilvl="0">
      <w:startOverride w:val="1"/>
    </w:lvlOverride>
  </w:num>
  <w:num w:numId="49">
    <w:abstractNumId w:val="4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GWebUrl" w:val="https://portal.cdggzy.com/iWebOffice2015/OfficeHandler.ashx?directory=/CgProject/BidFile/File/%e6%88%90%e9%83%bd%e5%b8%82%e6%94%bf%e9%87%87%e6%8b%9b%e3%80%942021%e3%80%95024%e5%8f%b7/"/>
  </w:docVars>
  <w:rsids>
    <w:rsidRoot w:val="001F73B0"/>
    <w:rsid w:val="0000387B"/>
    <w:rsid w:val="000042B8"/>
    <w:rsid w:val="00004B28"/>
    <w:rsid w:val="000101A5"/>
    <w:rsid w:val="00014923"/>
    <w:rsid w:val="000174DF"/>
    <w:rsid w:val="000174E4"/>
    <w:rsid w:val="00020209"/>
    <w:rsid w:val="00026529"/>
    <w:rsid w:val="00026B21"/>
    <w:rsid w:val="00027703"/>
    <w:rsid w:val="0003136B"/>
    <w:rsid w:val="0003676E"/>
    <w:rsid w:val="0005344D"/>
    <w:rsid w:val="0006474F"/>
    <w:rsid w:val="00065981"/>
    <w:rsid w:val="000679F7"/>
    <w:rsid w:val="00070719"/>
    <w:rsid w:val="00070733"/>
    <w:rsid w:val="00072234"/>
    <w:rsid w:val="000777D1"/>
    <w:rsid w:val="0008155B"/>
    <w:rsid w:val="000843CC"/>
    <w:rsid w:val="00086E37"/>
    <w:rsid w:val="00086F3A"/>
    <w:rsid w:val="0009560F"/>
    <w:rsid w:val="000A0B0A"/>
    <w:rsid w:val="000A4B6A"/>
    <w:rsid w:val="000B0144"/>
    <w:rsid w:val="000B310F"/>
    <w:rsid w:val="000B33FA"/>
    <w:rsid w:val="000B3D82"/>
    <w:rsid w:val="000B43E4"/>
    <w:rsid w:val="000B6789"/>
    <w:rsid w:val="000B687F"/>
    <w:rsid w:val="000C16AE"/>
    <w:rsid w:val="000C51E1"/>
    <w:rsid w:val="000C688A"/>
    <w:rsid w:val="000C7BCC"/>
    <w:rsid w:val="000D7F24"/>
    <w:rsid w:val="000F2F9B"/>
    <w:rsid w:val="000F57CA"/>
    <w:rsid w:val="00101BE9"/>
    <w:rsid w:val="00102646"/>
    <w:rsid w:val="00117367"/>
    <w:rsid w:val="00120CCC"/>
    <w:rsid w:val="001254AD"/>
    <w:rsid w:val="001346A7"/>
    <w:rsid w:val="0015020F"/>
    <w:rsid w:val="00154224"/>
    <w:rsid w:val="0015495F"/>
    <w:rsid w:val="0015628B"/>
    <w:rsid w:val="001565CC"/>
    <w:rsid w:val="00162002"/>
    <w:rsid w:val="0016758C"/>
    <w:rsid w:val="00173A4F"/>
    <w:rsid w:val="00180441"/>
    <w:rsid w:val="00182C60"/>
    <w:rsid w:val="00183360"/>
    <w:rsid w:val="0019367D"/>
    <w:rsid w:val="001968B4"/>
    <w:rsid w:val="001A025C"/>
    <w:rsid w:val="001A6D6C"/>
    <w:rsid w:val="001B7C8D"/>
    <w:rsid w:val="001C0579"/>
    <w:rsid w:val="001C1EF9"/>
    <w:rsid w:val="001C7D1E"/>
    <w:rsid w:val="001D348C"/>
    <w:rsid w:val="001D56CD"/>
    <w:rsid w:val="001D631B"/>
    <w:rsid w:val="001E4E60"/>
    <w:rsid w:val="001F4244"/>
    <w:rsid w:val="001F73B0"/>
    <w:rsid w:val="0020005A"/>
    <w:rsid w:val="00202454"/>
    <w:rsid w:val="002040A4"/>
    <w:rsid w:val="0020671B"/>
    <w:rsid w:val="002067B1"/>
    <w:rsid w:val="00207E19"/>
    <w:rsid w:val="00211515"/>
    <w:rsid w:val="00212479"/>
    <w:rsid w:val="0021467A"/>
    <w:rsid w:val="0021701C"/>
    <w:rsid w:val="0022692C"/>
    <w:rsid w:val="00226BF4"/>
    <w:rsid w:val="00243F9D"/>
    <w:rsid w:val="00250BDE"/>
    <w:rsid w:val="002560C4"/>
    <w:rsid w:val="00261A3C"/>
    <w:rsid w:val="00262433"/>
    <w:rsid w:val="002637AD"/>
    <w:rsid w:val="00281E99"/>
    <w:rsid w:val="0028375D"/>
    <w:rsid w:val="00287BC3"/>
    <w:rsid w:val="00291D39"/>
    <w:rsid w:val="002A261C"/>
    <w:rsid w:val="002A3A1C"/>
    <w:rsid w:val="002B0466"/>
    <w:rsid w:val="002B2023"/>
    <w:rsid w:val="002C764F"/>
    <w:rsid w:val="002D760C"/>
    <w:rsid w:val="002E123D"/>
    <w:rsid w:val="002E4801"/>
    <w:rsid w:val="002F6FD2"/>
    <w:rsid w:val="0030284F"/>
    <w:rsid w:val="00303FFE"/>
    <w:rsid w:val="00305097"/>
    <w:rsid w:val="0033555E"/>
    <w:rsid w:val="003420BA"/>
    <w:rsid w:val="003518B7"/>
    <w:rsid w:val="00353263"/>
    <w:rsid w:val="00364328"/>
    <w:rsid w:val="003646B9"/>
    <w:rsid w:val="00370D4D"/>
    <w:rsid w:val="003710A5"/>
    <w:rsid w:val="00371482"/>
    <w:rsid w:val="00374619"/>
    <w:rsid w:val="00383D6E"/>
    <w:rsid w:val="00390301"/>
    <w:rsid w:val="00390E31"/>
    <w:rsid w:val="003944EB"/>
    <w:rsid w:val="003A1E27"/>
    <w:rsid w:val="003B66BD"/>
    <w:rsid w:val="003D27CA"/>
    <w:rsid w:val="003D2A89"/>
    <w:rsid w:val="003D2F7D"/>
    <w:rsid w:val="003D53E3"/>
    <w:rsid w:val="003D7BD8"/>
    <w:rsid w:val="003E2110"/>
    <w:rsid w:val="003E3793"/>
    <w:rsid w:val="003F0EDE"/>
    <w:rsid w:val="003F53CF"/>
    <w:rsid w:val="0040069B"/>
    <w:rsid w:val="00402344"/>
    <w:rsid w:val="00404442"/>
    <w:rsid w:val="004051C9"/>
    <w:rsid w:val="00405BCD"/>
    <w:rsid w:val="00406FE3"/>
    <w:rsid w:val="004108A4"/>
    <w:rsid w:val="00411516"/>
    <w:rsid w:val="00421832"/>
    <w:rsid w:val="004232E7"/>
    <w:rsid w:val="004323DB"/>
    <w:rsid w:val="004357C7"/>
    <w:rsid w:val="0043700B"/>
    <w:rsid w:val="00437A1A"/>
    <w:rsid w:val="00437E6C"/>
    <w:rsid w:val="0044052B"/>
    <w:rsid w:val="0044346E"/>
    <w:rsid w:val="00445184"/>
    <w:rsid w:val="00445E0E"/>
    <w:rsid w:val="00446126"/>
    <w:rsid w:val="00452ACF"/>
    <w:rsid w:val="00452EF2"/>
    <w:rsid w:val="00463F68"/>
    <w:rsid w:val="00470575"/>
    <w:rsid w:val="00471217"/>
    <w:rsid w:val="0047177D"/>
    <w:rsid w:val="00471B43"/>
    <w:rsid w:val="00473E00"/>
    <w:rsid w:val="00480397"/>
    <w:rsid w:val="004813F1"/>
    <w:rsid w:val="00484CF8"/>
    <w:rsid w:val="004864AB"/>
    <w:rsid w:val="00495010"/>
    <w:rsid w:val="00497555"/>
    <w:rsid w:val="004A07CA"/>
    <w:rsid w:val="004A1910"/>
    <w:rsid w:val="004B06E4"/>
    <w:rsid w:val="004B26F4"/>
    <w:rsid w:val="004E030D"/>
    <w:rsid w:val="004E43EA"/>
    <w:rsid w:val="004F4893"/>
    <w:rsid w:val="004F5599"/>
    <w:rsid w:val="00504133"/>
    <w:rsid w:val="005100C9"/>
    <w:rsid w:val="005205B5"/>
    <w:rsid w:val="0052113C"/>
    <w:rsid w:val="00523498"/>
    <w:rsid w:val="00523994"/>
    <w:rsid w:val="00526794"/>
    <w:rsid w:val="00527B0B"/>
    <w:rsid w:val="00531A79"/>
    <w:rsid w:val="00531B44"/>
    <w:rsid w:val="00532E8C"/>
    <w:rsid w:val="00536BA7"/>
    <w:rsid w:val="00540C51"/>
    <w:rsid w:val="00541CA9"/>
    <w:rsid w:val="005446FD"/>
    <w:rsid w:val="00551D24"/>
    <w:rsid w:val="005538C1"/>
    <w:rsid w:val="00553F24"/>
    <w:rsid w:val="005568B2"/>
    <w:rsid w:val="00556F88"/>
    <w:rsid w:val="005570C1"/>
    <w:rsid w:val="0056027F"/>
    <w:rsid w:val="00564FA0"/>
    <w:rsid w:val="00576EE9"/>
    <w:rsid w:val="0057742C"/>
    <w:rsid w:val="005800A8"/>
    <w:rsid w:val="00582B28"/>
    <w:rsid w:val="005830E8"/>
    <w:rsid w:val="005901C0"/>
    <w:rsid w:val="0059249A"/>
    <w:rsid w:val="0059336C"/>
    <w:rsid w:val="005C3C4F"/>
    <w:rsid w:val="005D0E99"/>
    <w:rsid w:val="005D7421"/>
    <w:rsid w:val="005D7B75"/>
    <w:rsid w:val="005E269C"/>
    <w:rsid w:val="005E272D"/>
    <w:rsid w:val="005E43E2"/>
    <w:rsid w:val="005E599B"/>
    <w:rsid w:val="00600114"/>
    <w:rsid w:val="00600E5C"/>
    <w:rsid w:val="006049E3"/>
    <w:rsid w:val="00605E7B"/>
    <w:rsid w:val="00606C63"/>
    <w:rsid w:val="00611A72"/>
    <w:rsid w:val="00611BFE"/>
    <w:rsid w:val="00615912"/>
    <w:rsid w:val="00623DAD"/>
    <w:rsid w:val="00624151"/>
    <w:rsid w:val="00625DC3"/>
    <w:rsid w:val="006260D7"/>
    <w:rsid w:val="00626714"/>
    <w:rsid w:val="00633F88"/>
    <w:rsid w:val="006406E3"/>
    <w:rsid w:val="006435DE"/>
    <w:rsid w:val="006568E1"/>
    <w:rsid w:val="00662A9F"/>
    <w:rsid w:val="00662EAB"/>
    <w:rsid w:val="006739AA"/>
    <w:rsid w:val="00673C2B"/>
    <w:rsid w:val="0067729F"/>
    <w:rsid w:val="006905BA"/>
    <w:rsid w:val="00691467"/>
    <w:rsid w:val="00693EFC"/>
    <w:rsid w:val="006A5E19"/>
    <w:rsid w:val="006B54C4"/>
    <w:rsid w:val="006C10D5"/>
    <w:rsid w:val="006C3900"/>
    <w:rsid w:val="006D01EC"/>
    <w:rsid w:val="006D3124"/>
    <w:rsid w:val="006D4AEC"/>
    <w:rsid w:val="006E0195"/>
    <w:rsid w:val="006E4108"/>
    <w:rsid w:val="006F4841"/>
    <w:rsid w:val="00702559"/>
    <w:rsid w:val="007034BC"/>
    <w:rsid w:val="00705295"/>
    <w:rsid w:val="007211D4"/>
    <w:rsid w:val="00730B24"/>
    <w:rsid w:val="00731305"/>
    <w:rsid w:val="00733724"/>
    <w:rsid w:val="007345B7"/>
    <w:rsid w:val="0073713B"/>
    <w:rsid w:val="007407F8"/>
    <w:rsid w:val="007425A7"/>
    <w:rsid w:val="0075607C"/>
    <w:rsid w:val="00756241"/>
    <w:rsid w:val="00761A8D"/>
    <w:rsid w:val="0076602A"/>
    <w:rsid w:val="0077736E"/>
    <w:rsid w:val="00780DA1"/>
    <w:rsid w:val="00786A79"/>
    <w:rsid w:val="00787DC7"/>
    <w:rsid w:val="007970C5"/>
    <w:rsid w:val="007A48B3"/>
    <w:rsid w:val="007A7E5C"/>
    <w:rsid w:val="007B1592"/>
    <w:rsid w:val="007B3281"/>
    <w:rsid w:val="007B3969"/>
    <w:rsid w:val="007B3BB8"/>
    <w:rsid w:val="007B78D7"/>
    <w:rsid w:val="007C3DA8"/>
    <w:rsid w:val="007C41A7"/>
    <w:rsid w:val="007D0E55"/>
    <w:rsid w:val="007D509C"/>
    <w:rsid w:val="007D6384"/>
    <w:rsid w:val="007D69A9"/>
    <w:rsid w:val="007E017C"/>
    <w:rsid w:val="007E14ED"/>
    <w:rsid w:val="007E1FF4"/>
    <w:rsid w:val="007E2130"/>
    <w:rsid w:val="007E3C07"/>
    <w:rsid w:val="007E563A"/>
    <w:rsid w:val="007F6422"/>
    <w:rsid w:val="007F7ACB"/>
    <w:rsid w:val="008005AD"/>
    <w:rsid w:val="0080079C"/>
    <w:rsid w:val="00801195"/>
    <w:rsid w:val="00802D5E"/>
    <w:rsid w:val="0080702A"/>
    <w:rsid w:val="008073F4"/>
    <w:rsid w:val="00812794"/>
    <w:rsid w:val="00817E69"/>
    <w:rsid w:val="00825CAB"/>
    <w:rsid w:val="00827B20"/>
    <w:rsid w:val="00833D36"/>
    <w:rsid w:val="00834A7F"/>
    <w:rsid w:val="008361D5"/>
    <w:rsid w:val="00847463"/>
    <w:rsid w:val="008617AC"/>
    <w:rsid w:val="00865F44"/>
    <w:rsid w:val="008716D3"/>
    <w:rsid w:val="00872312"/>
    <w:rsid w:val="00872B11"/>
    <w:rsid w:val="00881C3F"/>
    <w:rsid w:val="008835ED"/>
    <w:rsid w:val="00883F4A"/>
    <w:rsid w:val="008900B3"/>
    <w:rsid w:val="00890F59"/>
    <w:rsid w:val="0089574F"/>
    <w:rsid w:val="008A0DF1"/>
    <w:rsid w:val="008A78E9"/>
    <w:rsid w:val="008C03A7"/>
    <w:rsid w:val="008C0FC0"/>
    <w:rsid w:val="008D02F2"/>
    <w:rsid w:val="008E5564"/>
    <w:rsid w:val="008F4D64"/>
    <w:rsid w:val="008F7A66"/>
    <w:rsid w:val="00902F5C"/>
    <w:rsid w:val="00910788"/>
    <w:rsid w:val="00922252"/>
    <w:rsid w:val="00922AAC"/>
    <w:rsid w:val="00927C8C"/>
    <w:rsid w:val="00932889"/>
    <w:rsid w:val="009337EB"/>
    <w:rsid w:val="009358AF"/>
    <w:rsid w:val="009363E2"/>
    <w:rsid w:val="009372FB"/>
    <w:rsid w:val="00944C6B"/>
    <w:rsid w:val="00946C1A"/>
    <w:rsid w:val="009536AA"/>
    <w:rsid w:val="00954AF8"/>
    <w:rsid w:val="00961CD4"/>
    <w:rsid w:val="00962A42"/>
    <w:rsid w:val="0096458D"/>
    <w:rsid w:val="00965A4C"/>
    <w:rsid w:val="00967937"/>
    <w:rsid w:val="00970A58"/>
    <w:rsid w:val="009710C8"/>
    <w:rsid w:val="0097213B"/>
    <w:rsid w:val="00993681"/>
    <w:rsid w:val="00995B59"/>
    <w:rsid w:val="00997227"/>
    <w:rsid w:val="009A0F28"/>
    <w:rsid w:val="009A2E01"/>
    <w:rsid w:val="009A49CE"/>
    <w:rsid w:val="009B3038"/>
    <w:rsid w:val="009B3644"/>
    <w:rsid w:val="009D0A91"/>
    <w:rsid w:val="009D0BEB"/>
    <w:rsid w:val="009D3D25"/>
    <w:rsid w:val="009D62EA"/>
    <w:rsid w:val="009E1266"/>
    <w:rsid w:val="009F3945"/>
    <w:rsid w:val="009F7A93"/>
    <w:rsid w:val="00A0136A"/>
    <w:rsid w:val="00A066E6"/>
    <w:rsid w:val="00A0782A"/>
    <w:rsid w:val="00A13B86"/>
    <w:rsid w:val="00A15156"/>
    <w:rsid w:val="00A35F40"/>
    <w:rsid w:val="00A36339"/>
    <w:rsid w:val="00A366D5"/>
    <w:rsid w:val="00A40674"/>
    <w:rsid w:val="00A4098A"/>
    <w:rsid w:val="00A43C7A"/>
    <w:rsid w:val="00A446EB"/>
    <w:rsid w:val="00A50DC0"/>
    <w:rsid w:val="00A52BFA"/>
    <w:rsid w:val="00A55A80"/>
    <w:rsid w:val="00A64D91"/>
    <w:rsid w:val="00A752AC"/>
    <w:rsid w:val="00A829E4"/>
    <w:rsid w:val="00A83EE6"/>
    <w:rsid w:val="00A916FD"/>
    <w:rsid w:val="00A9315A"/>
    <w:rsid w:val="00A94DE0"/>
    <w:rsid w:val="00AA1747"/>
    <w:rsid w:val="00AA3CE3"/>
    <w:rsid w:val="00AA3DA8"/>
    <w:rsid w:val="00AB17B6"/>
    <w:rsid w:val="00AC0572"/>
    <w:rsid w:val="00AC383A"/>
    <w:rsid w:val="00AC41B8"/>
    <w:rsid w:val="00AC6C54"/>
    <w:rsid w:val="00AE029F"/>
    <w:rsid w:val="00AE1EE1"/>
    <w:rsid w:val="00AE7378"/>
    <w:rsid w:val="00AF04F6"/>
    <w:rsid w:val="00B04AFD"/>
    <w:rsid w:val="00B14279"/>
    <w:rsid w:val="00B15863"/>
    <w:rsid w:val="00B172F3"/>
    <w:rsid w:val="00B24328"/>
    <w:rsid w:val="00B25F3F"/>
    <w:rsid w:val="00B412D3"/>
    <w:rsid w:val="00B4316B"/>
    <w:rsid w:val="00B50DB0"/>
    <w:rsid w:val="00B51B2E"/>
    <w:rsid w:val="00B52A9F"/>
    <w:rsid w:val="00B54401"/>
    <w:rsid w:val="00B56BFB"/>
    <w:rsid w:val="00B720DA"/>
    <w:rsid w:val="00B80C22"/>
    <w:rsid w:val="00B810C2"/>
    <w:rsid w:val="00B86086"/>
    <w:rsid w:val="00BA0AAC"/>
    <w:rsid w:val="00BB19C9"/>
    <w:rsid w:val="00BB6CC7"/>
    <w:rsid w:val="00BB6FD6"/>
    <w:rsid w:val="00BC320B"/>
    <w:rsid w:val="00BD6DE0"/>
    <w:rsid w:val="00BE5989"/>
    <w:rsid w:val="00BF41C6"/>
    <w:rsid w:val="00C04B81"/>
    <w:rsid w:val="00C04ECC"/>
    <w:rsid w:val="00C160C2"/>
    <w:rsid w:val="00C171D7"/>
    <w:rsid w:val="00C21D8A"/>
    <w:rsid w:val="00C37BC6"/>
    <w:rsid w:val="00C43381"/>
    <w:rsid w:val="00C44CBC"/>
    <w:rsid w:val="00C45D66"/>
    <w:rsid w:val="00C61F50"/>
    <w:rsid w:val="00C65D63"/>
    <w:rsid w:val="00C661DA"/>
    <w:rsid w:val="00C67F06"/>
    <w:rsid w:val="00C70F78"/>
    <w:rsid w:val="00C71725"/>
    <w:rsid w:val="00C74E87"/>
    <w:rsid w:val="00C8207E"/>
    <w:rsid w:val="00C91C1D"/>
    <w:rsid w:val="00CA26DF"/>
    <w:rsid w:val="00CA2CC5"/>
    <w:rsid w:val="00CA62AD"/>
    <w:rsid w:val="00CB2337"/>
    <w:rsid w:val="00CB31CD"/>
    <w:rsid w:val="00CB5A9B"/>
    <w:rsid w:val="00CB719B"/>
    <w:rsid w:val="00CC4F73"/>
    <w:rsid w:val="00CC6F6B"/>
    <w:rsid w:val="00CD54C6"/>
    <w:rsid w:val="00CD5760"/>
    <w:rsid w:val="00CE2477"/>
    <w:rsid w:val="00CE2D49"/>
    <w:rsid w:val="00CE4639"/>
    <w:rsid w:val="00CF3593"/>
    <w:rsid w:val="00CF4A72"/>
    <w:rsid w:val="00CF65EE"/>
    <w:rsid w:val="00D06ABF"/>
    <w:rsid w:val="00D12F0B"/>
    <w:rsid w:val="00D17694"/>
    <w:rsid w:val="00D238E8"/>
    <w:rsid w:val="00D23FF0"/>
    <w:rsid w:val="00D258C2"/>
    <w:rsid w:val="00D3009E"/>
    <w:rsid w:val="00D325E8"/>
    <w:rsid w:val="00D44B46"/>
    <w:rsid w:val="00D559E0"/>
    <w:rsid w:val="00D56AB5"/>
    <w:rsid w:val="00D6455E"/>
    <w:rsid w:val="00D73F70"/>
    <w:rsid w:val="00D76FE3"/>
    <w:rsid w:val="00D80080"/>
    <w:rsid w:val="00D80945"/>
    <w:rsid w:val="00D817FC"/>
    <w:rsid w:val="00D85797"/>
    <w:rsid w:val="00D92BF1"/>
    <w:rsid w:val="00D938A6"/>
    <w:rsid w:val="00DA1AF0"/>
    <w:rsid w:val="00DA2476"/>
    <w:rsid w:val="00DA3E0D"/>
    <w:rsid w:val="00DB01D1"/>
    <w:rsid w:val="00DB0C4D"/>
    <w:rsid w:val="00DB2076"/>
    <w:rsid w:val="00DB3587"/>
    <w:rsid w:val="00DB5AD9"/>
    <w:rsid w:val="00DC1D94"/>
    <w:rsid w:val="00DC434E"/>
    <w:rsid w:val="00DC5C5A"/>
    <w:rsid w:val="00DC617A"/>
    <w:rsid w:val="00DD221C"/>
    <w:rsid w:val="00DD4E54"/>
    <w:rsid w:val="00DE24CD"/>
    <w:rsid w:val="00DE4FDF"/>
    <w:rsid w:val="00DF1FE5"/>
    <w:rsid w:val="00DF6252"/>
    <w:rsid w:val="00E02C00"/>
    <w:rsid w:val="00E13610"/>
    <w:rsid w:val="00E1515C"/>
    <w:rsid w:val="00E15625"/>
    <w:rsid w:val="00E15AA8"/>
    <w:rsid w:val="00E170E6"/>
    <w:rsid w:val="00E22FAC"/>
    <w:rsid w:val="00E26617"/>
    <w:rsid w:val="00E27149"/>
    <w:rsid w:val="00E34D34"/>
    <w:rsid w:val="00E3605F"/>
    <w:rsid w:val="00E36B56"/>
    <w:rsid w:val="00E37998"/>
    <w:rsid w:val="00E518D6"/>
    <w:rsid w:val="00E53F2F"/>
    <w:rsid w:val="00E5426C"/>
    <w:rsid w:val="00E572D4"/>
    <w:rsid w:val="00E57318"/>
    <w:rsid w:val="00E6373B"/>
    <w:rsid w:val="00E744CB"/>
    <w:rsid w:val="00E75525"/>
    <w:rsid w:val="00E8589B"/>
    <w:rsid w:val="00E9019B"/>
    <w:rsid w:val="00E977B7"/>
    <w:rsid w:val="00EA23AA"/>
    <w:rsid w:val="00EA2B43"/>
    <w:rsid w:val="00EA3447"/>
    <w:rsid w:val="00EB7F88"/>
    <w:rsid w:val="00EC0EC8"/>
    <w:rsid w:val="00EC75AF"/>
    <w:rsid w:val="00ED4215"/>
    <w:rsid w:val="00ED469C"/>
    <w:rsid w:val="00EF045D"/>
    <w:rsid w:val="00EF288A"/>
    <w:rsid w:val="00F00A4F"/>
    <w:rsid w:val="00F04B7A"/>
    <w:rsid w:val="00F1011C"/>
    <w:rsid w:val="00F12111"/>
    <w:rsid w:val="00F12B8A"/>
    <w:rsid w:val="00F1447D"/>
    <w:rsid w:val="00F1576F"/>
    <w:rsid w:val="00F2508D"/>
    <w:rsid w:val="00F42C9C"/>
    <w:rsid w:val="00F4485C"/>
    <w:rsid w:val="00F53550"/>
    <w:rsid w:val="00F53B34"/>
    <w:rsid w:val="00F558D2"/>
    <w:rsid w:val="00F61D52"/>
    <w:rsid w:val="00F62EAD"/>
    <w:rsid w:val="00F700D5"/>
    <w:rsid w:val="00F72F70"/>
    <w:rsid w:val="00F7371D"/>
    <w:rsid w:val="00F7503C"/>
    <w:rsid w:val="00F77716"/>
    <w:rsid w:val="00F85A7B"/>
    <w:rsid w:val="00FA318B"/>
    <w:rsid w:val="00FA4A49"/>
    <w:rsid w:val="00FB7100"/>
    <w:rsid w:val="00FC2162"/>
    <w:rsid w:val="00FC2BF8"/>
    <w:rsid w:val="00FD1285"/>
    <w:rsid w:val="00FD3B84"/>
    <w:rsid w:val="12DE2F04"/>
    <w:rsid w:val="130C2561"/>
    <w:rsid w:val="18816044"/>
    <w:rsid w:val="192B553B"/>
    <w:rsid w:val="1CC23432"/>
    <w:rsid w:val="218B6F16"/>
    <w:rsid w:val="3FD60E4A"/>
    <w:rsid w:val="518E3B5A"/>
    <w:rsid w:val="561225EE"/>
    <w:rsid w:val="5D7060CC"/>
    <w:rsid w:val="65EC32C5"/>
    <w:rsid w:val="75C87480"/>
    <w:rsid w:val="76365DFD"/>
    <w:rsid w:val="7A4C04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qFormat="1"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0"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iPriority="0" w:semiHidden="0" w:name="Normal Indent"/>
    <w:lsdException w:qFormat="1" w:uiPriority="0"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semiHidden="0" w:name="Date"/>
    <w:lsdException w:qFormat="1" w:uiPriority="0" w:semiHidden="0" w:name="Body Text First Indent"/>
    <w:lsdException w:uiPriority="99" w:name="Body Text First Indent 2"/>
    <w:lsdException w:unhideWhenUsed="0" w:uiPriority="99" w:name="Note Heading"/>
    <w:lsdException w:qFormat="1" w:uiPriority="0" w:semiHidden="0" w:name="Body Text 2"/>
    <w:lsdException w:qFormat="1" w:uiPriority="0" w:semiHidden="0" w:name="Body Text 3"/>
    <w:lsdException w:qFormat="1" w:uiPriority="99" w:semiHidden="0" w:name="Body Text Indent 2"/>
    <w:lsdException w:qFormat="1" w:uiPriority="0" w:semiHidden="0" w:name="Body Text Indent 3"/>
    <w:lsdException w:qFormat="1" w:uiPriority="0"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iPriority="99"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50"/>
    <w:qFormat/>
    <w:uiPriority w:val="9"/>
    <w:pPr>
      <w:keepNext/>
      <w:keepLines/>
      <w:numPr>
        <w:ilvl w:val="0"/>
        <w:numId w:val="1"/>
      </w:numPr>
      <w:spacing w:before="340" w:after="330" w:line="400" w:lineRule="exact"/>
      <w:jc w:val="center"/>
      <w:outlineLvl w:val="0"/>
    </w:pPr>
    <w:rPr>
      <w:rFonts w:ascii="宋体" w:hAnsi="宋体" w:cs="宋体"/>
      <w:b/>
      <w:bCs/>
      <w:spacing w:val="-20"/>
      <w:kern w:val="44"/>
      <w:sz w:val="32"/>
      <w:szCs w:val="32"/>
    </w:rPr>
  </w:style>
  <w:style w:type="paragraph" w:styleId="3">
    <w:name w:val="heading 2"/>
    <w:basedOn w:val="1"/>
    <w:next w:val="1"/>
    <w:link w:val="51"/>
    <w:unhideWhenUsed/>
    <w:qFormat/>
    <w:uiPriority w:val="0"/>
    <w:pPr>
      <w:keepNext/>
      <w:keepLines/>
      <w:numPr>
        <w:ilvl w:val="1"/>
        <w:numId w:val="1"/>
      </w:numPr>
      <w:spacing w:before="260" w:after="260" w:line="360" w:lineRule="auto"/>
      <w:jc w:val="left"/>
      <w:outlineLvl w:val="1"/>
    </w:pPr>
    <w:rPr>
      <w:rFonts w:ascii="宋体" w:hAnsi="宋体" w:cs="宋体"/>
      <w:b/>
      <w:bCs/>
      <w:sz w:val="28"/>
      <w:szCs w:val="28"/>
    </w:rPr>
  </w:style>
  <w:style w:type="paragraph" w:styleId="4">
    <w:name w:val="heading 3"/>
    <w:basedOn w:val="1"/>
    <w:next w:val="1"/>
    <w:link w:val="52"/>
    <w:unhideWhenUsed/>
    <w:qFormat/>
    <w:uiPriority w:val="0"/>
    <w:pPr>
      <w:keepNext/>
      <w:keepLines/>
      <w:numPr>
        <w:ilvl w:val="2"/>
        <w:numId w:val="1"/>
      </w:numPr>
      <w:spacing w:line="360" w:lineRule="auto"/>
      <w:outlineLvl w:val="2"/>
    </w:pPr>
    <w:rPr>
      <w:rFonts w:ascii="宋体" w:hAnsi="宋体" w:cs="宋体"/>
      <w:b/>
      <w:bCs/>
      <w:color w:val="000000"/>
      <w:kern w:val="0"/>
      <w:sz w:val="28"/>
      <w:szCs w:val="28"/>
    </w:rPr>
  </w:style>
  <w:style w:type="paragraph" w:styleId="5">
    <w:name w:val="heading 4"/>
    <w:basedOn w:val="1"/>
    <w:next w:val="1"/>
    <w:link w:val="53"/>
    <w:unhideWhenUsed/>
    <w:qFormat/>
    <w:uiPriority w:val="0"/>
    <w:pPr>
      <w:keepNext/>
      <w:keepLines/>
      <w:numPr>
        <w:ilvl w:val="3"/>
        <w:numId w:val="1"/>
      </w:numPr>
      <w:spacing w:before="120" w:after="120" w:line="360" w:lineRule="auto"/>
      <w:jc w:val="left"/>
      <w:outlineLvl w:val="3"/>
    </w:pPr>
    <w:rPr>
      <w:rFonts w:ascii="Arial" w:hAnsi="Arial"/>
      <w:b/>
      <w:bCs/>
      <w:kern w:val="0"/>
      <w:sz w:val="28"/>
      <w:szCs w:val="28"/>
    </w:rPr>
  </w:style>
  <w:style w:type="paragraph" w:styleId="6">
    <w:name w:val="heading 5"/>
    <w:basedOn w:val="1"/>
    <w:next w:val="1"/>
    <w:link w:val="54"/>
    <w:unhideWhenUsed/>
    <w:qFormat/>
    <w:uiPriority w:val="0"/>
    <w:pPr>
      <w:numPr>
        <w:ilvl w:val="4"/>
        <w:numId w:val="2"/>
      </w:numPr>
      <w:tabs>
        <w:tab w:val="left" w:pos="1134"/>
      </w:tabs>
      <w:spacing w:before="280" w:after="290" w:line="360" w:lineRule="auto"/>
      <w:outlineLvl w:val="4"/>
    </w:pPr>
    <w:rPr>
      <w:rFonts w:cs="宋体"/>
      <w:b/>
      <w:bCs/>
      <w:kern w:val="0"/>
      <w:sz w:val="28"/>
      <w:szCs w:val="28"/>
    </w:rPr>
  </w:style>
  <w:style w:type="paragraph" w:styleId="7">
    <w:name w:val="heading 6"/>
    <w:basedOn w:val="1"/>
    <w:next w:val="1"/>
    <w:link w:val="55"/>
    <w:unhideWhenUsed/>
    <w:qFormat/>
    <w:uiPriority w:val="0"/>
    <w:pPr>
      <w:keepNext/>
      <w:keepLines/>
      <w:numPr>
        <w:ilvl w:val="5"/>
        <w:numId w:val="2"/>
      </w:numPr>
      <w:spacing w:before="240" w:after="64" w:line="314" w:lineRule="auto"/>
      <w:outlineLvl w:val="5"/>
    </w:pPr>
    <w:rPr>
      <w:rFonts w:ascii="Arial" w:hAnsi="Arial"/>
      <w:b/>
      <w:bCs/>
      <w:kern w:val="0"/>
      <w:sz w:val="28"/>
      <w:szCs w:val="18"/>
    </w:rPr>
  </w:style>
  <w:style w:type="paragraph" w:styleId="8">
    <w:name w:val="heading 7"/>
    <w:basedOn w:val="1"/>
    <w:next w:val="1"/>
    <w:link w:val="56"/>
    <w:unhideWhenUsed/>
    <w:qFormat/>
    <w:uiPriority w:val="0"/>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9">
    <w:name w:val="heading 8"/>
    <w:basedOn w:val="1"/>
    <w:next w:val="1"/>
    <w:link w:val="57"/>
    <w:unhideWhenUsed/>
    <w:qFormat/>
    <w:uiPriority w:val="0"/>
    <w:pPr>
      <w:keepNext/>
      <w:keepLines/>
      <w:spacing w:before="240" w:after="64" w:line="314" w:lineRule="auto"/>
      <w:outlineLvl w:val="7"/>
    </w:pPr>
    <w:rPr>
      <w:rFonts w:ascii="Arial" w:hAnsi="Arial" w:eastAsia="黑体"/>
      <w:kern w:val="0"/>
      <w:sz w:val="24"/>
      <w:szCs w:val="24"/>
    </w:rPr>
  </w:style>
  <w:style w:type="paragraph" w:styleId="10">
    <w:name w:val="heading 9"/>
    <w:basedOn w:val="1"/>
    <w:next w:val="1"/>
    <w:link w:val="58"/>
    <w:unhideWhenUsed/>
    <w:qFormat/>
    <w:uiPriority w:val="0"/>
    <w:pPr>
      <w:keepNext/>
      <w:keepLines/>
      <w:spacing w:before="240" w:after="64" w:line="314" w:lineRule="auto"/>
      <w:outlineLvl w:val="8"/>
    </w:pPr>
    <w:rPr>
      <w:rFonts w:ascii="Arial" w:hAnsi="Arial" w:eastAsia="黑体"/>
      <w:kern w:val="0"/>
      <w:sz w:val="20"/>
      <w:szCs w:val="21"/>
    </w:rPr>
  </w:style>
  <w:style w:type="character" w:default="1" w:styleId="45">
    <w:name w:val="Default Paragraph Font"/>
    <w:semiHidden/>
    <w:unhideWhenUsed/>
    <w:uiPriority w:val="1"/>
  </w:style>
  <w:style w:type="table" w:default="1" w:styleId="43">
    <w:name w:val="Normal Table"/>
    <w:semiHidden/>
    <w:unhideWhenUsed/>
    <w:uiPriority w:val="99"/>
    <w:tblPr>
      <w:tblCellMar>
        <w:top w:w="0" w:type="dxa"/>
        <w:left w:w="108" w:type="dxa"/>
        <w:bottom w:w="0" w:type="dxa"/>
        <w:right w:w="108" w:type="dxa"/>
      </w:tblCellMar>
    </w:tblPr>
  </w:style>
  <w:style w:type="paragraph" w:styleId="11">
    <w:name w:val="toc 7"/>
    <w:basedOn w:val="1"/>
    <w:next w:val="1"/>
    <w:unhideWhenUsed/>
    <w:qFormat/>
    <w:uiPriority w:val="0"/>
    <w:pPr>
      <w:ind w:left="2520" w:leftChars="1200"/>
    </w:pPr>
    <w:rPr>
      <w:rFonts w:ascii="Times New Roman" w:hAnsi="Times New Roman"/>
      <w:szCs w:val="24"/>
    </w:rPr>
  </w:style>
  <w:style w:type="paragraph" w:styleId="12">
    <w:name w:val="Normal Indent"/>
    <w:basedOn w:val="1"/>
    <w:link w:val="59"/>
    <w:unhideWhenUsed/>
    <w:qFormat/>
    <w:uiPriority w:val="0"/>
    <w:pPr>
      <w:spacing w:after="180" w:line="307" w:lineRule="auto"/>
      <w:ind w:firstLine="420"/>
    </w:pPr>
    <w:rPr>
      <w:rFonts w:asciiTheme="minorHAnsi" w:hAnsiTheme="minorHAnsi" w:eastAsiaTheme="minorEastAsia" w:cstheme="minorBidi"/>
    </w:rPr>
  </w:style>
  <w:style w:type="paragraph" w:styleId="13">
    <w:name w:val="caption"/>
    <w:basedOn w:val="1"/>
    <w:next w:val="1"/>
    <w:unhideWhenUsed/>
    <w:qFormat/>
    <w:uiPriority w:val="0"/>
    <w:pPr>
      <w:spacing w:before="152" w:after="160" w:line="360" w:lineRule="auto"/>
    </w:pPr>
    <w:rPr>
      <w:rFonts w:ascii="Arial" w:hAnsi="Arial" w:eastAsia="黑体" w:cs="Arial"/>
      <w:sz w:val="20"/>
      <w:szCs w:val="20"/>
    </w:rPr>
  </w:style>
  <w:style w:type="paragraph" w:styleId="14">
    <w:name w:val="Document Map"/>
    <w:basedOn w:val="1"/>
    <w:link w:val="73"/>
    <w:unhideWhenUsed/>
    <w:qFormat/>
    <w:uiPriority w:val="99"/>
    <w:pPr>
      <w:shd w:val="clear" w:color="auto" w:fill="000080"/>
    </w:pPr>
    <w:rPr>
      <w:rFonts w:ascii="Times New Roman" w:hAnsi="Times New Roman"/>
      <w:kern w:val="0"/>
      <w:sz w:val="18"/>
      <w:szCs w:val="18"/>
    </w:rPr>
  </w:style>
  <w:style w:type="paragraph" w:styleId="15">
    <w:name w:val="annotation text"/>
    <w:basedOn w:val="1"/>
    <w:link w:val="61"/>
    <w:unhideWhenUsed/>
    <w:qFormat/>
    <w:uiPriority w:val="99"/>
    <w:pPr>
      <w:jc w:val="left"/>
    </w:pPr>
    <w:rPr>
      <w:rFonts w:ascii="Times New Roman" w:hAnsi="Times New Roman"/>
      <w:kern w:val="0"/>
      <w:sz w:val="18"/>
      <w:szCs w:val="18"/>
    </w:rPr>
  </w:style>
  <w:style w:type="paragraph" w:styleId="16">
    <w:name w:val="Body Text 3"/>
    <w:basedOn w:val="1"/>
    <w:link w:val="70"/>
    <w:unhideWhenUsed/>
    <w:qFormat/>
    <w:uiPriority w:val="0"/>
    <w:pPr>
      <w:jc w:val="center"/>
    </w:pPr>
    <w:rPr>
      <w:rFonts w:ascii="Times New Roman" w:hAnsi="Times New Roman" w:eastAsia="黑体"/>
      <w:sz w:val="44"/>
      <w:szCs w:val="24"/>
    </w:rPr>
  </w:style>
  <w:style w:type="paragraph" w:styleId="17">
    <w:name w:val="Body Text"/>
    <w:basedOn w:val="1"/>
    <w:link w:val="185"/>
    <w:unhideWhenUsed/>
    <w:qFormat/>
    <w:uiPriority w:val="99"/>
    <w:pPr>
      <w:spacing w:after="120"/>
    </w:pPr>
  </w:style>
  <w:style w:type="paragraph" w:styleId="18">
    <w:name w:val="Body Text Indent"/>
    <w:basedOn w:val="1"/>
    <w:link w:val="65"/>
    <w:unhideWhenUsed/>
    <w:qFormat/>
    <w:uiPriority w:val="0"/>
    <w:pPr>
      <w:spacing w:after="120"/>
      <w:ind w:left="420" w:leftChars="200"/>
    </w:pPr>
    <w:rPr>
      <w:rFonts w:ascii="Times New Roman" w:hAnsi="Times New Roman"/>
      <w:kern w:val="0"/>
      <w:sz w:val="20"/>
      <w:szCs w:val="24"/>
    </w:rPr>
  </w:style>
  <w:style w:type="paragraph" w:styleId="19">
    <w:name w:val="Block Text"/>
    <w:basedOn w:val="1"/>
    <w:unhideWhenUsed/>
    <w:qFormat/>
    <w:uiPriority w:val="0"/>
    <w:pPr>
      <w:ind w:left="-540" w:leftChars="-257" w:right="-334" w:rightChars="-159" w:firstLine="540" w:firstLineChars="180"/>
    </w:pPr>
    <w:rPr>
      <w:rFonts w:ascii="Times New Roman" w:hAnsi="Times New Roman"/>
      <w:sz w:val="30"/>
      <w:szCs w:val="24"/>
    </w:rPr>
  </w:style>
  <w:style w:type="paragraph" w:styleId="20">
    <w:name w:val="toc 5"/>
    <w:basedOn w:val="1"/>
    <w:next w:val="1"/>
    <w:unhideWhenUsed/>
    <w:qFormat/>
    <w:uiPriority w:val="0"/>
    <w:pPr>
      <w:ind w:left="1680" w:leftChars="800"/>
    </w:pPr>
    <w:rPr>
      <w:rFonts w:ascii="Times New Roman" w:hAnsi="Times New Roman"/>
      <w:sz w:val="18"/>
      <w:szCs w:val="18"/>
    </w:rPr>
  </w:style>
  <w:style w:type="paragraph" w:styleId="21">
    <w:name w:val="toc 3"/>
    <w:basedOn w:val="1"/>
    <w:next w:val="1"/>
    <w:unhideWhenUsed/>
    <w:qFormat/>
    <w:uiPriority w:val="0"/>
    <w:pPr>
      <w:tabs>
        <w:tab w:val="left" w:pos="709"/>
        <w:tab w:val="left" w:pos="993"/>
        <w:tab w:val="right" w:leader="dot" w:pos="8364"/>
      </w:tabs>
      <w:ind w:left="360"/>
      <w:jc w:val="left"/>
    </w:pPr>
    <w:rPr>
      <w:rFonts w:ascii="Times New Roman" w:hAnsi="Times New Roman" w:eastAsia="楷体_GB2312"/>
      <w:iCs/>
      <w:sz w:val="20"/>
      <w:szCs w:val="20"/>
    </w:rPr>
  </w:style>
  <w:style w:type="paragraph" w:styleId="22">
    <w:name w:val="Plain Text"/>
    <w:basedOn w:val="1"/>
    <w:link w:val="190"/>
    <w:unhideWhenUsed/>
    <w:qFormat/>
    <w:uiPriority w:val="99"/>
    <w:rPr>
      <w:rFonts w:ascii="宋体" w:hAnsi="Courier New"/>
      <w:kern w:val="0"/>
      <w:sz w:val="20"/>
      <w:szCs w:val="18"/>
    </w:rPr>
  </w:style>
  <w:style w:type="paragraph" w:styleId="23">
    <w:name w:val="toc 8"/>
    <w:basedOn w:val="1"/>
    <w:next w:val="1"/>
    <w:unhideWhenUsed/>
    <w:qFormat/>
    <w:uiPriority w:val="0"/>
    <w:pPr>
      <w:ind w:left="2940" w:leftChars="1400"/>
    </w:pPr>
    <w:rPr>
      <w:rFonts w:ascii="Times New Roman" w:hAnsi="Times New Roman"/>
      <w:szCs w:val="24"/>
    </w:rPr>
  </w:style>
  <w:style w:type="paragraph" w:styleId="24">
    <w:name w:val="Date"/>
    <w:basedOn w:val="1"/>
    <w:next w:val="1"/>
    <w:link w:val="67"/>
    <w:unhideWhenUsed/>
    <w:qFormat/>
    <w:uiPriority w:val="99"/>
    <w:pPr>
      <w:ind w:left="100" w:leftChars="2500"/>
    </w:pPr>
    <w:rPr>
      <w:rFonts w:ascii="Times New Roman" w:hAnsi="Times New Roman"/>
      <w:kern w:val="0"/>
      <w:sz w:val="24"/>
      <w:szCs w:val="24"/>
    </w:rPr>
  </w:style>
  <w:style w:type="paragraph" w:styleId="25">
    <w:name w:val="Body Text Indent 2"/>
    <w:basedOn w:val="1"/>
    <w:link w:val="71"/>
    <w:unhideWhenUsed/>
    <w:qFormat/>
    <w:uiPriority w:val="99"/>
    <w:pPr>
      <w:spacing w:after="120" w:line="480" w:lineRule="auto"/>
      <w:ind w:left="420" w:leftChars="200"/>
    </w:pPr>
  </w:style>
  <w:style w:type="paragraph" w:styleId="26">
    <w:name w:val="Balloon Text"/>
    <w:basedOn w:val="1"/>
    <w:link w:val="76"/>
    <w:unhideWhenUsed/>
    <w:qFormat/>
    <w:uiPriority w:val="99"/>
    <w:rPr>
      <w:rFonts w:ascii="Times New Roman" w:hAnsi="Times New Roman"/>
      <w:kern w:val="0"/>
      <w:sz w:val="18"/>
      <w:szCs w:val="18"/>
    </w:rPr>
  </w:style>
  <w:style w:type="paragraph" w:styleId="27">
    <w:name w:val="footer"/>
    <w:basedOn w:val="1"/>
    <w:link w:val="63"/>
    <w:unhideWhenUsed/>
    <w:qFormat/>
    <w:uiPriority w:val="99"/>
    <w:pPr>
      <w:tabs>
        <w:tab w:val="center" w:pos="4153"/>
        <w:tab w:val="right" w:pos="8306"/>
      </w:tabs>
      <w:snapToGrid w:val="0"/>
      <w:jc w:val="left"/>
    </w:pPr>
    <w:rPr>
      <w:kern w:val="0"/>
      <w:sz w:val="18"/>
      <w:szCs w:val="18"/>
    </w:rPr>
  </w:style>
  <w:style w:type="paragraph" w:styleId="28">
    <w:name w:val="header"/>
    <w:basedOn w:val="1"/>
    <w:link w:val="62"/>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9">
    <w:name w:val="toc 1"/>
    <w:basedOn w:val="1"/>
    <w:next w:val="1"/>
    <w:unhideWhenUsed/>
    <w:qFormat/>
    <w:uiPriority w:val="39"/>
    <w:pPr>
      <w:tabs>
        <w:tab w:val="left" w:pos="709"/>
        <w:tab w:val="right" w:leader="dot" w:pos="8364"/>
      </w:tabs>
      <w:spacing w:before="120" w:after="120"/>
      <w:jc w:val="left"/>
    </w:pPr>
    <w:rPr>
      <w:rFonts w:ascii="华文中宋" w:hAnsi="华文中宋" w:eastAsia="华文中宋"/>
      <w:bCs/>
      <w:caps/>
      <w:sz w:val="20"/>
      <w:szCs w:val="20"/>
    </w:rPr>
  </w:style>
  <w:style w:type="paragraph" w:styleId="30">
    <w:name w:val="toc 4"/>
    <w:basedOn w:val="1"/>
    <w:next w:val="1"/>
    <w:unhideWhenUsed/>
    <w:qFormat/>
    <w:uiPriority w:val="0"/>
    <w:pPr>
      <w:ind w:left="1260" w:leftChars="600"/>
    </w:pPr>
    <w:rPr>
      <w:rFonts w:ascii="Times New Roman" w:hAnsi="Times New Roman"/>
      <w:sz w:val="18"/>
      <w:szCs w:val="18"/>
    </w:rPr>
  </w:style>
  <w:style w:type="paragraph" w:styleId="31">
    <w:name w:val="Subtitle"/>
    <w:basedOn w:val="1"/>
    <w:next w:val="1"/>
    <w:link w:val="66"/>
    <w:qFormat/>
    <w:uiPriority w:val="0"/>
    <w:pPr>
      <w:spacing w:before="240" w:after="60" w:line="312" w:lineRule="auto"/>
      <w:jc w:val="center"/>
      <w:outlineLvl w:val="1"/>
    </w:pPr>
    <w:rPr>
      <w:rFonts w:ascii="Cambria" w:hAnsi="Cambria"/>
      <w:b/>
      <w:bCs/>
      <w:kern w:val="28"/>
      <w:sz w:val="32"/>
      <w:szCs w:val="32"/>
    </w:rPr>
  </w:style>
  <w:style w:type="paragraph" w:styleId="32">
    <w:name w:val="footnote text"/>
    <w:basedOn w:val="1"/>
    <w:link w:val="60"/>
    <w:unhideWhenUsed/>
    <w:qFormat/>
    <w:uiPriority w:val="0"/>
    <w:pPr>
      <w:snapToGrid w:val="0"/>
      <w:jc w:val="left"/>
    </w:pPr>
    <w:rPr>
      <w:sz w:val="18"/>
      <w:szCs w:val="18"/>
    </w:rPr>
  </w:style>
  <w:style w:type="paragraph" w:styleId="33">
    <w:name w:val="toc 6"/>
    <w:basedOn w:val="1"/>
    <w:next w:val="1"/>
    <w:unhideWhenUsed/>
    <w:qFormat/>
    <w:uiPriority w:val="0"/>
    <w:pPr>
      <w:ind w:left="2100" w:leftChars="1000"/>
    </w:pPr>
    <w:rPr>
      <w:rFonts w:ascii="Times New Roman" w:hAnsi="Times New Roman"/>
      <w:szCs w:val="24"/>
    </w:rPr>
  </w:style>
  <w:style w:type="paragraph" w:styleId="34">
    <w:name w:val="Body Text Indent 3"/>
    <w:basedOn w:val="1"/>
    <w:link w:val="72"/>
    <w:unhideWhenUsed/>
    <w:qFormat/>
    <w:uiPriority w:val="0"/>
    <w:pPr>
      <w:spacing w:line="360" w:lineRule="auto"/>
      <w:ind w:left="153" w:leftChars="85" w:firstLine="560" w:firstLineChars="200"/>
    </w:pPr>
    <w:rPr>
      <w:rFonts w:ascii="宋体" w:hAnsi="宋体"/>
      <w:kern w:val="0"/>
      <w:sz w:val="28"/>
      <w:szCs w:val="28"/>
    </w:rPr>
  </w:style>
  <w:style w:type="paragraph" w:styleId="35">
    <w:name w:val="toc 2"/>
    <w:basedOn w:val="1"/>
    <w:next w:val="1"/>
    <w:unhideWhenUsed/>
    <w:qFormat/>
    <w:uiPriority w:val="39"/>
    <w:pPr>
      <w:tabs>
        <w:tab w:val="left" w:pos="620"/>
        <w:tab w:val="right" w:leader="dot" w:pos="8364"/>
      </w:tabs>
      <w:ind w:left="180"/>
      <w:jc w:val="left"/>
    </w:pPr>
    <w:rPr>
      <w:rFonts w:ascii="华文中宋" w:hAnsi="华文中宋" w:eastAsia="华文中宋"/>
      <w:smallCaps/>
      <w:sz w:val="20"/>
      <w:szCs w:val="20"/>
    </w:rPr>
  </w:style>
  <w:style w:type="paragraph" w:styleId="36">
    <w:name w:val="toc 9"/>
    <w:basedOn w:val="1"/>
    <w:next w:val="1"/>
    <w:unhideWhenUsed/>
    <w:qFormat/>
    <w:uiPriority w:val="0"/>
    <w:pPr>
      <w:ind w:left="3360" w:leftChars="1600"/>
    </w:pPr>
    <w:rPr>
      <w:rFonts w:ascii="Times New Roman" w:hAnsi="Times New Roman"/>
      <w:szCs w:val="24"/>
    </w:rPr>
  </w:style>
  <w:style w:type="paragraph" w:styleId="37">
    <w:name w:val="Body Text 2"/>
    <w:basedOn w:val="1"/>
    <w:link w:val="69"/>
    <w:unhideWhenUsed/>
    <w:qFormat/>
    <w:uiPriority w:val="0"/>
    <w:pPr>
      <w:spacing w:after="120" w:line="480" w:lineRule="auto"/>
    </w:pPr>
    <w:rPr>
      <w:rFonts w:ascii="Times New Roman" w:hAnsi="Times New Roman"/>
      <w:kern w:val="0"/>
      <w:sz w:val="18"/>
      <w:szCs w:val="18"/>
    </w:rPr>
  </w:style>
  <w:style w:type="paragraph" w:styleId="38">
    <w:name w:val="HTML Preformatted"/>
    <w:basedOn w:val="1"/>
    <w:link w:val="201"/>
    <w:unhideWhenUsed/>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39">
    <w:name w:val="Normal (Web)"/>
    <w:basedOn w:val="1"/>
    <w:unhideWhenUsed/>
    <w:qFormat/>
    <w:uiPriority w:val="0"/>
    <w:pPr>
      <w:widowControl/>
      <w:spacing w:before="100" w:beforeAutospacing="1" w:after="100" w:afterAutospacing="1"/>
      <w:jc w:val="left"/>
    </w:pPr>
    <w:rPr>
      <w:rFonts w:ascii="宋体" w:hAnsi="宋体"/>
      <w:color w:val="000000"/>
      <w:kern w:val="0"/>
      <w:sz w:val="24"/>
      <w:szCs w:val="24"/>
    </w:rPr>
  </w:style>
  <w:style w:type="paragraph" w:styleId="40">
    <w:name w:val="index 1"/>
    <w:basedOn w:val="1"/>
    <w:next w:val="1"/>
    <w:unhideWhenUsed/>
    <w:qFormat/>
    <w:uiPriority w:val="0"/>
    <w:pPr>
      <w:ind w:firstLine="560" w:firstLineChars="200"/>
    </w:pPr>
    <w:rPr>
      <w:rFonts w:ascii="宋体" w:hAnsi="宋体" w:cs="宋体"/>
      <w:sz w:val="28"/>
      <w:szCs w:val="28"/>
    </w:rPr>
  </w:style>
  <w:style w:type="paragraph" w:styleId="41">
    <w:name w:val="annotation subject"/>
    <w:basedOn w:val="15"/>
    <w:next w:val="15"/>
    <w:link w:val="75"/>
    <w:unhideWhenUsed/>
    <w:qFormat/>
    <w:uiPriority w:val="99"/>
    <w:rPr>
      <w:rFonts w:ascii="Calibri" w:hAnsi="Calibri"/>
      <w:b/>
      <w:bCs/>
      <w:kern w:val="2"/>
      <w:sz w:val="21"/>
      <w:szCs w:val="22"/>
    </w:rPr>
  </w:style>
  <w:style w:type="paragraph" w:styleId="42">
    <w:name w:val="Body Text First Indent"/>
    <w:basedOn w:val="17"/>
    <w:link w:val="68"/>
    <w:unhideWhenUsed/>
    <w:qFormat/>
    <w:uiPriority w:val="0"/>
    <w:pPr>
      <w:ind w:firstLine="420" w:firstLineChars="100"/>
    </w:pPr>
    <w:rPr>
      <w:rFonts w:ascii="Times New Roman" w:hAnsi="Times New Roman"/>
      <w:kern w:val="0"/>
      <w:sz w:val="18"/>
      <w:szCs w:val="18"/>
    </w:rPr>
  </w:style>
  <w:style w:type="table" w:styleId="44">
    <w:name w:val="Table Grid"/>
    <w:basedOn w:val="43"/>
    <w:qFormat/>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FollowedHyperlink"/>
    <w:basedOn w:val="45"/>
    <w:unhideWhenUsed/>
    <w:qFormat/>
    <w:uiPriority w:val="99"/>
    <w:rPr>
      <w:color w:val="800080" w:themeColor="followedHyperlink"/>
      <w:u w:val="single"/>
      <w14:textFill>
        <w14:solidFill>
          <w14:schemeClr w14:val="folHlink"/>
        </w14:solidFill>
      </w14:textFill>
    </w:rPr>
  </w:style>
  <w:style w:type="character" w:styleId="47">
    <w:name w:val="Hyperlink"/>
    <w:unhideWhenUsed/>
    <w:qFormat/>
    <w:uiPriority w:val="99"/>
    <w:rPr>
      <w:color w:val="0000FF"/>
      <w:u w:val="single"/>
    </w:rPr>
  </w:style>
  <w:style w:type="character" w:styleId="48">
    <w:name w:val="annotation reference"/>
    <w:unhideWhenUsed/>
    <w:qFormat/>
    <w:uiPriority w:val="99"/>
    <w:rPr>
      <w:sz w:val="21"/>
      <w:szCs w:val="21"/>
    </w:rPr>
  </w:style>
  <w:style w:type="character" w:styleId="49">
    <w:name w:val="footnote reference"/>
    <w:unhideWhenUsed/>
    <w:qFormat/>
    <w:uiPriority w:val="0"/>
    <w:rPr>
      <w:vertAlign w:val="superscript"/>
    </w:rPr>
  </w:style>
  <w:style w:type="character" w:customStyle="1" w:styleId="50">
    <w:name w:val="标题 1 字符"/>
    <w:basedOn w:val="45"/>
    <w:link w:val="2"/>
    <w:qFormat/>
    <w:uiPriority w:val="9"/>
    <w:rPr>
      <w:rFonts w:ascii="宋体" w:hAnsi="宋体" w:eastAsia="宋体" w:cs="宋体"/>
      <w:b/>
      <w:bCs/>
      <w:spacing w:val="-20"/>
      <w:kern w:val="44"/>
      <w:sz w:val="32"/>
      <w:szCs w:val="32"/>
    </w:rPr>
  </w:style>
  <w:style w:type="character" w:customStyle="1" w:styleId="51">
    <w:name w:val="标题 2 字符"/>
    <w:basedOn w:val="45"/>
    <w:link w:val="3"/>
    <w:qFormat/>
    <w:uiPriority w:val="0"/>
    <w:rPr>
      <w:rFonts w:ascii="宋体" w:hAnsi="宋体" w:eastAsia="宋体" w:cs="宋体"/>
      <w:b/>
      <w:bCs/>
      <w:kern w:val="2"/>
      <w:sz w:val="28"/>
      <w:szCs w:val="28"/>
    </w:rPr>
  </w:style>
  <w:style w:type="character" w:customStyle="1" w:styleId="52">
    <w:name w:val="标题 3 字符"/>
    <w:basedOn w:val="45"/>
    <w:link w:val="4"/>
    <w:qFormat/>
    <w:uiPriority w:val="0"/>
    <w:rPr>
      <w:rFonts w:ascii="宋体" w:hAnsi="宋体" w:eastAsia="宋体" w:cs="宋体"/>
      <w:b/>
      <w:bCs/>
      <w:color w:val="000000"/>
      <w:sz w:val="28"/>
      <w:szCs w:val="28"/>
    </w:rPr>
  </w:style>
  <w:style w:type="character" w:customStyle="1" w:styleId="53">
    <w:name w:val="标题 4 字符"/>
    <w:basedOn w:val="45"/>
    <w:link w:val="5"/>
    <w:qFormat/>
    <w:uiPriority w:val="0"/>
    <w:rPr>
      <w:rFonts w:ascii="Arial" w:hAnsi="Arial" w:eastAsia="宋体" w:cs="Times New Roman"/>
      <w:b/>
      <w:bCs/>
      <w:sz w:val="28"/>
      <w:szCs w:val="28"/>
    </w:rPr>
  </w:style>
  <w:style w:type="character" w:customStyle="1" w:styleId="54">
    <w:name w:val="标题 5 字符"/>
    <w:basedOn w:val="45"/>
    <w:link w:val="6"/>
    <w:qFormat/>
    <w:uiPriority w:val="0"/>
    <w:rPr>
      <w:rFonts w:ascii="Calibri" w:hAnsi="Calibri" w:eastAsia="宋体" w:cs="宋体"/>
      <w:b/>
      <w:bCs/>
      <w:sz w:val="28"/>
      <w:szCs w:val="28"/>
    </w:rPr>
  </w:style>
  <w:style w:type="character" w:customStyle="1" w:styleId="55">
    <w:name w:val="标题 6 字符"/>
    <w:basedOn w:val="45"/>
    <w:link w:val="7"/>
    <w:qFormat/>
    <w:uiPriority w:val="0"/>
    <w:rPr>
      <w:rFonts w:ascii="Arial" w:hAnsi="Arial" w:eastAsia="宋体" w:cs="Times New Roman"/>
      <w:b/>
      <w:bCs/>
      <w:sz w:val="28"/>
      <w:szCs w:val="18"/>
    </w:rPr>
  </w:style>
  <w:style w:type="character" w:customStyle="1" w:styleId="56">
    <w:name w:val="标题 7 字符"/>
    <w:basedOn w:val="45"/>
    <w:link w:val="8"/>
    <w:qFormat/>
    <w:uiPriority w:val="0"/>
    <w:rPr>
      <w:rFonts w:ascii="Arial Narrow" w:hAnsi="Arial Narrow" w:eastAsia="宋体" w:cs="Times New Roman"/>
      <w:b/>
      <w:bCs/>
      <w:iCs/>
      <w:kern w:val="0"/>
      <w:sz w:val="20"/>
      <w:szCs w:val="24"/>
      <w:lang w:eastAsia="en-US"/>
    </w:rPr>
  </w:style>
  <w:style w:type="character" w:customStyle="1" w:styleId="57">
    <w:name w:val="标题 8 字符"/>
    <w:basedOn w:val="45"/>
    <w:link w:val="9"/>
    <w:semiHidden/>
    <w:qFormat/>
    <w:uiPriority w:val="0"/>
    <w:rPr>
      <w:rFonts w:ascii="Arial" w:hAnsi="Arial" w:eastAsia="黑体" w:cs="Times New Roman"/>
      <w:kern w:val="0"/>
      <w:sz w:val="24"/>
      <w:szCs w:val="24"/>
    </w:rPr>
  </w:style>
  <w:style w:type="character" w:customStyle="1" w:styleId="58">
    <w:name w:val="标题 9 字符"/>
    <w:basedOn w:val="45"/>
    <w:link w:val="10"/>
    <w:semiHidden/>
    <w:qFormat/>
    <w:uiPriority w:val="0"/>
    <w:rPr>
      <w:rFonts w:ascii="Arial" w:hAnsi="Arial" w:eastAsia="黑体" w:cs="Times New Roman"/>
      <w:kern w:val="0"/>
      <w:sz w:val="20"/>
      <w:szCs w:val="21"/>
    </w:rPr>
  </w:style>
  <w:style w:type="character" w:customStyle="1" w:styleId="59">
    <w:name w:val="正文缩进 字符"/>
    <w:link w:val="12"/>
    <w:qFormat/>
    <w:locked/>
    <w:uiPriority w:val="0"/>
  </w:style>
  <w:style w:type="character" w:customStyle="1" w:styleId="60">
    <w:name w:val="脚注文本 字符"/>
    <w:basedOn w:val="45"/>
    <w:link w:val="32"/>
    <w:semiHidden/>
    <w:qFormat/>
    <w:uiPriority w:val="0"/>
    <w:rPr>
      <w:rFonts w:ascii="Calibri" w:hAnsi="Calibri" w:eastAsia="宋体" w:cs="Times New Roman"/>
      <w:sz w:val="18"/>
      <w:szCs w:val="18"/>
    </w:rPr>
  </w:style>
  <w:style w:type="character" w:customStyle="1" w:styleId="61">
    <w:name w:val="批注文字 字符"/>
    <w:basedOn w:val="45"/>
    <w:link w:val="15"/>
    <w:qFormat/>
    <w:uiPriority w:val="99"/>
    <w:rPr>
      <w:rFonts w:ascii="Times New Roman" w:hAnsi="Times New Roman" w:eastAsia="宋体" w:cs="Times New Roman"/>
      <w:kern w:val="0"/>
      <w:sz w:val="18"/>
      <w:szCs w:val="18"/>
    </w:rPr>
  </w:style>
  <w:style w:type="character" w:customStyle="1" w:styleId="62">
    <w:name w:val="页眉 字符"/>
    <w:basedOn w:val="45"/>
    <w:link w:val="28"/>
    <w:qFormat/>
    <w:uiPriority w:val="99"/>
    <w:rPr>
      <w:rFonts w:ascii="Calibri" w:hAnsi="Calibri" w:eastAsia="宋体" w:cs="Times New Roman"/>
      <w:kern w:val="0"/>
      <w:sz w:val="18"/>
      <w:szCs w:val="18"/>
    </w:rPr>
  </w:style>
  <w:style w:type="character" w:customStyle="1" w:styleId="63">
    <w:name w:val="页脚 字符"/>
    <w:basedOn w:val="45"/>
    <w:link w:val="27"/>
    <w:qFormat/>
    <w:uiPriority w:val="99"/>
    <w:rPr>
      <w:rFonts w:ascii="Calibri" w:hAnsi="Calibri" w:eastAsia="宋体" w:cs="Times New Roman"/>
      <w:kern w:val="0"/>
      <w:sz w:val="18"/>
      <w:szCs w:val="18"/>
    </w:rPr>
  </w:style>
  <w:style w:type="character" w:customStyle="1" w:styleId="64">
    <w:name w:val="正文文本 Char"/>
    <w:basedOn w:val="45"/>
    <w:qFormat/>
    <w:uiPriority w:val="99"/>
    <w:rPr>
      <w:rFonts w:ascii="Calibri" w:hAnsi="Calibri" w:eastAsia="宋体" w:cs="Times New Roman"/>
    </w:rPr>
  </w:style>
  <w:style w:type="character" w:customStyle="1" w:styleId="65">
    <w:name w:val="正文文本缩进 字符"/>
    <w:basedOn w:val="45"/>
    <w:link w:val="18"/>
    <w:semiHidden/>
    <w:qFormat/>
    <w:uiPriority w:val="0"/>
    <w:rPr>
      <w:rFonts w:ascii="Times New Roman" w:hAnsi="Times New Roman" w:eastAsia="宋体" w:cs="Times New Roman"/>
      <w:kern w:val="0"/>
      <w:sz w:val="20"/>
      <w:szCs w:val="24"/>
    </w:rPr>
  </w:style>
  <w:style w:type="character" w:customStyle="1" w:styleId="66">
    <w:name w:val="副标题 字符"/>
    <w:basedOn w:val="45"/>
    <w:link w:val="31"/>
    <w:qFormat/>
    <w:uiPriority w:val="0"/>
    <w:rPr>
      <w:rFonts w:ascii="Cambria" w:hAnsi="Cambria" w:eastAsia="宋体" w:cs="Times New Roman"/>
      <w:b/>
      <w:bCs/>
      <w:kern w:val="28"/>
      <w:sz w:val="32"/>
      <w:szCs w:val="32"/>
    </w:rPr>
  </w:style>
  <w:style w:type="character" w:customStyle="1" w:styleId="67">
    <w:name w:val="日期 字符"/>
    <w:basedOn w:val="45"/>
    <w:link w:val="24"/>
    <w:qFormat/>
    <w:uiPriority w:val="99"/>
    <w:rPr>
      <w:rFonts w:ascii="Times New Roman" w:hAnsi="Times New Roman" w:eastAsia="宋体" w:cs="Times New Roman"/>
      <w:kern w:val="0"/>
      <w:sz w:val="24"/>
      <w:szCs w:val="24"/>
    </w:rPr>
  </w:style>
  <w:style w:type="character" w:customStyle="1" w:styleId="68">
    <w:name w:val="正文首行缩进 字符"/>
    <w:basedOn w:val="64"/>
    <w:link w:val="42"/>
    <w:semiHidden/>
    <w:qFormat/>
    <w:uiPriority w:val="0"/>
    <w:rPr>
      <w:rFonts w:ascii="Times New Roman" w:hAnsi="Times New Roman" w:eastAsia="宋体" w:cs="Times New Roman"/>
      <w:kern w:val="0"/>
      <w:sz w:val="18"/>
      <w:szCs w:val="18"/>
    </w:rPr>
  </w:style>
  <w:style w:type="character" w:customStyle="1" w:styleId="69">
    <w:name w:val="正文文本 2 字符"/>
    <w:basedOn w:val="45"/>
    <w:link w:val="37"/>
    <w:semiHidden/>
    <w:qFormat/>
    <w:uiPriority w:val="0"/>
    <w:rPr>
      <w:rFonts w:ascii="Times New Roman" w:hAnsi="Times New Roman" w:eastAsia="宋体" w:cs="Times New Roman"/>
      <w:kern w:val="0"/>
      <w:sz w:val="18"/>
      <w:szCs w:val="18"/>
    </w:rPr>
  </w:style>
  <w:style w:type="character" w:customStyle="1" w:styleId="70">
    <w:name w:val="正文文本 3 字符"/>
    <w:basedOn w:val="45"/>
    <w:link w:val="16"/>
    <w:semiHidden/>
    <w:qFormat/>
    <w:uiPriority w:val="0"/>
    <w:rPr>
      <w:rFonts w:ascii="Times New Roman" w:hAnsi="Times New Roman" w:eastAsia="黑体" w:cs="Times New Roman"/>
      <w:sz w:val="44"/>
      <w:szCs w:val="24"/>
    </w:rPr>
  </w:style>
  <w:style w:type="character" w:customStyle="1" w:styleId="71">
    <w:name w:val="正文文本缩进 2 字符"/>
    <w:basedOn w:val="45"/>
    <w:link w:val="25"/>
    <w:qFormat/>
    <w:uiPriority w:val="99"/>
    <w:rPr>
      <w:rFonts w:ascii="Calibri" w:hAnsi="Calibri" w:eastAsia="宋体" w:cs="Times New Roman"/>
    </w:rPr>
  </w:style>
  <w:style w:type="character" w:customStyle="1" w:styleId="72">
    <w:name w:val="正文文本缩进 3 字符"/>
    <w:basedOn w:val="45"/>
    <w:link w:val="34"/>
    <w:semiHidden/>
    <w:qFormat/>
    <w:uiPriority w:val="0"/>
    <w:rPr>
      <w:rFonts w:ascii="宋体" w:hAnsi="宋体" w:eastAsia="宋体" w:cs="Times New Roman"/>
      <w:kern w:val="0"/>
      <w:sz w:val="28"/>
      <w:szCs w:val="28"/>
    </w:rPr>
  </w:style>
  <w:style w:type="character" w:customStyle="1" w:styleId="73">
    <w:name w:val="文档结构图 字符"/>
    <w:basedOn w:val="45"/>
    <w:link w:val="14"/>
    <w:qFormat/>
    <w:uiPriority w:val="99"/>
    <w:rPr>
      <w:rFonts w:ascii="Times New Roman" w:hAnsi="Times New Roman" w:eastAsia="宋体" w:cs="Times New Roman"/>
      <w:kern w:val="0"/>
      <w:sz w:val="18"/>
      <w:szCs w:val="18"/>
      <w:shd w:val="clear" w:color="auto" w:fill="000080"/>
    </w:rPr>
  </w:style>
  <w:style w:type="character" w:customStyle="1" w:styleId="74">
    <w:name w:val="纯文本 Char"/>
    <w:basedOn w:val="45"/>
    <w:qFormat/>
    <w:uiPriority w:val="99"/>
    <w:rPr>
      <w:rFonts w:ascii="宋体" w:hAnsi="Courier New" w:eastAsia="宋体" w:cs="Courier New"/>
      <w:szCs w:val="21"/>
    </w:rPr>
  </w:style>
  <w:style w:type="character" w:customStyle="1" w:styleId="75">
    <w:name w:val="批注主题 字符"/>
    <w:basedOn w:val="61"/>
    <w:link w:val="41"/>
    <w:qFormat/>
    <w:uiPriority w:val="99"/>
    <w:rPr>
      <w:rFonts w:ascii="Calibri" w:hAnsi="Calibri" w:eastAsia="宋体" w:cs="Times New Roman"/>
      <w:b/>
      <w:bCs/>
      <w:kern w:val="0"/>
      <w:sz w:val="18"/>
      <w:szCs w:val="18"/>
    </w:rPr>
  </w:style>
  <w:style w:type="character" w:customStyle="1" w:styleId="76">
    <w:name w:val="批注框文本 字符"/>
    <w:basedOn w:val="45"/>
    <w:link w:val="26"/>
    <w:qFormat/>
    <w:uiPriority w:val="99"/>
    <w:rPr>
      <w:rFonts w:ascii="Times New Roman" w:hAnsi="Times New Roman" w:eastAsia="宋体" w:cs="Times New Roman"/>
      <w:kern w:val="0"/>
      <w:sz w:val="18"/>
      <w:szCs w:val="18"/>
    </w:rPr>
  </w:style>
  <w:style w:type="paragraph" w:customStyle="1" w:styleId="77">
    <w:name w:val="无间隔1"/>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78">
    <w:name w:val="列出段落 字符"/>
    <w:link w:val="79"/>
    <w:qFormat/>
    <w:locked/>
    <w:uiPriority w:val="0"/>
    <w:rPr>
      <w:rFonts w:ascii="Calibri" w:hAnsi="Calibri"/>
    </w:rPr>
  </w:style>
  <w:style w:type="paragraph" w:customStyle="1" w:styleId="79">
    <w:name w:val="列出段落1"/>
    <w:basedOn w:val="1"/>
    <w:link w:val="78"/>
    <w:qFormat/>
    <w:uiPriority w:val="34"/>
    <w:pPr>
      <w:ind w:firstLine="420" w:firstLineChars="200"/>
    </w:pPr>
    <w:rPr>
      <w:rFonts w:eastAsiaTheme="minorEastAsia" w:cstheme="minorBidi"/>
    </w:rPr>
  </w:style>
  <w:style w:type="character" w:customStyle="1" w:styleId="80">
    <w:name w:val="彩色列表 - 强调文字颜色 1 Char"/>
    <w:link w:val="81"/>
    <w:qFormat/>
    <w:locked/>
    <w:uiPriority w:val="0"/>
    <w:rPr>
      <w:rFonts w:ascii="Calibri" w:hAnsi="Calibri"/>
    </w:rPr>
  </w:style>
  <w:style w:type="paragraph" w:customStyle="1" w:styleId="81">
    <w:name w:val="彩色列表 - 强调文字颜色 11"/>
    <w:basedOn w:val="1"/>
    <w:link w:val="80"/>
    <w:qFormat/>
    <w:uiPriority w:val="0"/>
    <w:pPr>
      <w:ind w:firstLine="420" w:firstLineChars="200"/>
    </w:pPr>
    <w:rPr>
      <w:rFonts w:eastAsiaTheme="minorEastAsia" w:cstheme="minorBidi"/>
    </w:rPr>
  </w:style>
  <w:style w:type="paragraph" w:customStyle="1" w:styleId="82">
    <w:name w:val="样式 右侧:  1 字符1"/>
    <w:basedOn w:val="1"/>
    <w:qFormat/>
    <w:uiPriority w:val="0"/>
    <w:pPr>
      <w:ind w:left="240" w:leftChars="100" w:right="240" w:rightChars="100"/>
    </w:pPr>
    <w:rPr>
      <w:rFonts w:ascii="Times New Roman" w:hAnsi="Times New Roman" w:eastAsia="仿宋_GB2312" w:cs="宋体"/>
      <w:sz w:val="28"/>
      <w:szCs w:val="20"/>
    </w:rPr>
  </w:style>
  <w:style w:type="paragraph" w:customStyle="1" w:styleId="83">
    <w:name w:val="MM Title"/>
    <w:basedOn w:val="1"/>
    <w:qFormat/>
    <w:uiPriority w:val="0"/>
    <w:pPr>
      <w:spacing w:before="240" w:after="60"/>
      <w:jc w:val="center"/>
      <w:outlineLvl w:val="0"/>
    </w:pPr>
    <w:rPr>
      <w:rFonts w:ascii="Arial" w:hAnsi="Arial" w:cs="Arial"/>
      <w:b/>
      <w:bCs/>
      <w:sz w:val="32"/>
      <w:szCs w:val="32"/>
    </w:rPr>
  </w:style>
  <w:style w:type="paragraph" w:customStyle="1" w:styleId="84">
    <w:name w:val="正文格式"/>
    <w:basedOn w:val="1"/>
    <w:qFormat/>
    <w:uiPriority w:val="99"/>
    <w:pPr>
      <w:widowControl/>
      <w:adjustRightInd w:val="0"/>
      <w:snapToGrid w:val="0"/>
      <w:spacing w:beforeLines="25" w:line="360" w:lineRule="auto"/>
      <w:ind w:firstLine="480" w:firstLineChars="200"/>
    </w:pPr>
    <w:rPr>
      <w:rFonts w:ascii="宋体" w:hAnsi="宋体"/>
      <w:bCs/>
      <w:color w:val="000000"/>
      <w:kern w:val="0"/>
      <w:sz w:val="24"/>
      <w:szCs w:val="24"/>
    </w:rPr>
  </w:style>
  <w:style w:type="paragraph" w:customStyle="1" w:styleId="85">
    <w:name w:val="默认段落字体 Para Char Char Char1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86">
    <w:name w:val="gb_master正文"/>
    <w:basedOn w:val="1"/>
    <w:qFormat/>
    <w:uiPriority w:val="0"/>
    <w:pPr>
      <w:ind w:firstLine="200" w:firstLineChars="200"/>
    </w:pPr>
    <w:rPr>
      <w:rFonts w:ascii="Times New Roman" w:hAnsi="Times New Roman"/>
      <w:szCs w:val="24"/>
    </w:rPr>
  </w:style>
  <w:style w:type="paragraph" w:customStyle="1" w:styleId="87">
    <w:name w:val="p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88">
    <w:name w:val="无间隔11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89">
    <w:name w:val="Char2 Char Char Char"/>
    <w:basedOn w:val="1"/>
    <w:qFormat/>
    <w:uiPriority w:val="0"/>
    <w:rPr>
      <w:rFonts w:ascii="仿宋_GB2312" w:hAnsi="Times New Roman"/>
      <w:b/>
      <w:sz w:val="30"/>
      <w:szCs w:val="32"/>
    </w:rPr>
  </w:style>
  <w:style w:type="paragraph" w:customStyle="1" w:styleId="90">
    <w:name w:val="样式 样式 样式 标题 2 + 宋体 五号 非加粗 黑色 + 段前: 6 磅 段后: 0 磅 行距: 单倍行距 + 段前: 12..."/>
    <w:basedOn w:val="1"/>
    <w:qFormat/>
    <w:uiPriority w:val="0"/>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91">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92">
    <w:name w:val="默认段落字体 Para Char"/>
    <w:basedOn w:val="1"/>
    <w:qFormat/>
    <w:uiPriority w:val="0"/>
    <w:rPr>
      <w:rFonts w:ascii="Tahoma" w:hAnsi="Tahoma"/>
      <w:sz w:val="24"/>
      <w:szCs w:val="20"/>
    </w:rPr>
  </w:style>
  <w:style w:type="paragraph" w:customStyle="1" w:styleId="93">
    <w:name w:val="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4">
    <w:name w:val="样式 行距: 1.5 倍行距 左  3.42 字符"/>
    <w:basedOn w:val="1"/>
    <w:qFormat/>
    <w:uiPriority w:val="0"/>
    <w:pPr>
      <w:spacing w:line="360" w:lineRule="auto"/>
      <w:ind w:left="200" w:leftChars="200" w:firstLine="200" w:firstLineChars="200"/>
    </w:pPr>
    <w:rPr>
      <w:rFonts w:ascii="Times New Roman" w:hAnsi="Times New Roman" w:cs="宋体"/>
      <w:szCs w:val="20"/>
    </w:rPr>
  </w:style>
  <w:style w:type="paragraph" w:customStyle="1" w:styleId="95">
    <w:name w:val="样式 正文缩进 + (中文) 仿宋_GB2312 小四 Char"/>
    <w:basedOn w:val="12"/>
    <w:qFormat/>
    <w:uiPriority w:val="0"/>
    <w:pPr>
      <w:spacing w:after="0" w:line="360" w:lineRule="auto"/>
      <w:ind w:firstLine="480" w:firstLineChars="200"/>
    </w:pPr>
    <w:rPr>
      <w:rFonts w:ascii="宋体" w:hAnsi="宋体"/>
      <w:sz w:val="24"/>
      <w:szCs w:val="24"/>
    </w:rPr>
  </w:style>
  <w:style w:type="paragraph" w:customStyle="1" w:styleId="96">
    <w:name w:val="表格文字"/>
    <w:basedOn w:val="1"/>
    <w:link w:val="308"/>
    <w:qFormat/>
    <w:uiPriority w:val="0"/>
    <w:pPr>
      <w:spacing w:beforeLines="25"/>
    </w:pPr>
    <w:rPr>
      <w:rFonts w:ascii="Times New (W1)" w:hAnsi="Times New (W1)"/>
      <w:spacing w:val="10"/>
      <w:szCs w:val="24"/>
    </w:rPr>
  </w:style>
  <w:style w:type="paragraph" w:customStyle="1" w:styleId="97">
    <w:name w:val="文章正文"/>
    <w:basedOn w:val="1"/>
    <w:qFormat/>
    <w:uiPriority w:val="0"/>
    <w:pPr>
      <w:spacing w:line="360" w:lineRule="auto"/>
      <w:ind w:firstLine="420"/>
    </w:pPr>
    <w:rPr>
      <w:rFonts w:ascii="Times New Roman" w:hAnsi="Times New Roman"/>
      <w:sz w:val="24"/>
      <w:szCs w:val="24"/>
    </w:rPr>
  </w:style>
  <w:style w:type="paragraph" w:customStyle="1" w:styleId="98">
    <w:name w:val="标书正文:  0.74 厘米"/>
    <w:basedOn w:val="1"/>
    <w:qFormat/>
    <w:uiPriority w:val="0"/>
    <w:pPr>
      <w:snapToGrid w:val="0"/>
      <w:spacing w:line="360" w:lineRule="auto"/>
      <w:ind w:firstLine="420"/>
    </w:pPr>
    <w:rPr>
      <w:rFonts w:ascii="Times New Roman" w:hAnsi="Times New Roman"/>
      <w:sz w:val="24"/>
      <w:szCs w:val="18"/>
    </w:rPr>
  </w:style>
  <w:style w:type="paragraph" w:customStyle="1" w:styleId="99">
    <w:name w:val="默认段落字体 Para Char Char"/>
    <w:basedOn w:val="1"/>
    <w:qFormat/>
    <w:uiPriority w:val="0"/>
    <w:rPr>
      <w:rFonts w:ascii="Times New Roman" w:hAnsi="Times New Roman"/>
      <w:szCs w:val="24"/>
    </w:rPr>
  </w:style>
  <w:style w:type="paragraph" w:customStyle="1" w:styleId="100">
    <w:name w:val="MM Topic 6"/>
    <w:basedOn w:val="7"/>
    <w:qFormat/>
    <w:uiPriority w:val="0"/>
    <w:pPr>
      <w:tabs>
        <w:tab w:val="left" w:pos="3260"/>
        <w:tab w:val="clear" w:pos="1702"/>
      </w:tabs>
      <w:ind w:left="0" w:firstLine="0"/>
    </w:pPr>
    <w:rPr>
      <w:rFonts w:eastAsia="黑体"/>
    </w:rPr>
  </w:style>
  <w:style w:type="paragraph" w:customStyle="1" w:styleId="101">
    <w:name w:val="Char1 Char Char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2">
    <w:name w:val="样式 首行缩进:  2 字符"/>
    <w:basedOn w:val="1"/>
    <w:qFormat/>
    <w:uiPriority w:val="0"/>
    <w:pPr>
      <w:spacing w:line="400" w:lineRule="exact"/>
      <w:ind w:firstLine="200" w:firstLineChars="200"/>
    </w:pPr>
    <w:rPr>
      <w:rFonts w:ascii="Times New Roman" w:hAnsi="Times New Roman" w:cs="宋体"/>
      <w:sz w:val="24"/>
      <w:szCs w:val="24"/>
    </w:rPr>
  </w:style>
  <w:style w:type="paragraph" w:customStyle="1" w:styleId="103">
    <w:name w:val="Char1"/>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4">
    <w:name w:val="标题 5 + 首行缩进:  2 字符"/>
    <w:basedOn w:val="6"/>
    <w:next w:val="18"/>
    <w:qFormat/>
    <w:uiPriority w:val="0"/>
    <w:pPr>
      <w:tabs>
        <w:tab w:val="left" w:pos="992"/>
        <w:tab w:val="clear" w:pos="1134"/>
      </w:tabs>
      <w:snapToGrid w:val="0"/>
      <w:spacing w:before="0" w:beforeLines="50" w:after="0" w:afterLines="50"/>
      <w:ind w:left="3570" w:firstLine="482" w:firstLineChars="200"/>
    </w:pPr>
    <w:rPr>
      <w:rFonts w:cs="Times New Roman"/>
      <w:color w:val="000000"/>
      <w:szCs w:val="20"/>
    </w:rPr>
  </w:style>
  <w:style w:type="paragraph" w:customStyle="1" w:styleId="105">
    <w:name w:val="Char2 Char Char Char Char Char Char"/>
    <w:basedOn w:val="1"/>
    <w:qFormat/>
    <w:uiPriority w:val="0"/>
    <w:rPr>
      <w:rFonts w:ascii="仿宋_GB2312" w:hAnsi="Times New Roman"/>
      <w:b/>
      <w:sz w:val="30"/>
      <w:szCs w:val="32"/>
    </w:rPr>
  </w:style>
  <w:style w:type="paragraph" w:customStyle="1" w:styleId="106">
    <w:name w:val="MM Topic 2"/>
    <w:basedOn w:val="3"/>
    <w:qFormat/>
    <w:uiPriority w:val="0"/>
    <w:pPr>
      <w:numPr>
        <w:ilvl w:val="0"/>
        <w:numId w:val="0"/>
      </w:numPr>
      <w:tabs>
        <w:tab w:val="left" w:pos="992"/>
      </w:tabs>
    </w:pPr>
    <w:rPr>
      <w:rFonts w:cs="Times New Roman"/>
    </w:rPr>
  </w:style>
  <w:style w:type="paragraph" w:customStyle="1" w:styleId="107">
    <w:name w:val="Style Style4 + First line:  2 ch Before:  0.5 line After:  0.5 li..."/>
    <w:basedOn w:val="1"/>
    <w:qFormat/>
    <w:uiPriority w:val="0"/>
    <w:pPr>
      <w:spacing w:beforeLines="50" w:line="276" w:lineRule="auto"/>
      <w:ind w:firstLine="480" w:firstLineChars="200"/>
    </w:pPr>
    <w:rPr>
      <w:rFonts w:ascii="Arial" w:hAnsi="Arial"/>
      <w:sz w:val="24"/>
      <w:szCs w:val="20"/>
    </w:rPr>
  </w:style>
  <w:style w:type="paragraph" w:customStyle="1" w:styleId="108">
    <w:name w:val="正文 首行缩进:  2 字符 Char Char"/>
    <w:basedOn w:val="1"/>
    <w:qFormat/>
    <w:uiPriority w:val="0"/>
    <w:pPr>
      <w:spacing w:line="360" w:lineRule="auto"/>
      <w:ind w:firstLine="480"/>
    </w:pPr>
    <w:rPr>
      <w:rFonts w:ascii="Times New Roman" w:hAnsi="Times New Roman" w:cs="宋体"/>
      <w:sz w:val="24"/>
      <w:szCs w:val="20"/>
    </w:rPr>
  </w:style>
  <w:style w:type="paragraph" w:customStyle="1" w:styleId="109">
    <w:name w:val="MM Topic 8"/>
    <w:basedOn w:val="9"/>
    <w:qFormat/>
    <w:uiPriority w:val="0"/>
    <w:pPr>
      <w:tabs>
        <w:tab w:val="left" w:pos="4394"/>
      </w:tabs>
    </w:pPr>
  </w:style>
  <w:style w:type="paragraph" w:customStyle="1" w:styleId="110">
    <w:name w:val="Char1 Char Char Char Char Char Char"/>
    <w:basedOn w:val="1"/>
    <w:qFormat/>
    <w:uiPriority w:val="0"/>
    <w:rPr>
      <w:rFonts w:ascii="Tahoma" w:hAnsi="Tahoma"/>
      <w:sz w:val="24"/>
      <w:szCs w:val="20"/>
    </w:rPr>
  </w:style>
  <w:style w:type="paragraph" w:customStyle="1" w:styleId="111">
    <w:name w:val="RFI Heading 3rd Level"/>
    <w:basedOn w:val="1"/>
    <w:qFormat/>
    <w:uiPriority w:val="0"/>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112">
    <w:name w:val="样式 小四2"/>
    <w:basedOn w:val="1"/>
    <w:qFormat/>
    <w:uiPriority w:val="0"/>
    <w:rPr>
      <w:rFonts w:ascii="宋体" w:hAnsi="宋体"/>
      <w:sz w:val="24"/>
      <w:szCs w:val="24"/>
    </w:rPr>
  </w:style>
  <w:style w:type="paragraph" w:customStyle="1" w:styleId="113">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114">
    <w:name w:val="Char Char1"/>
    <w:basedOn w:val="1"/>
    <w:next w:val="1"/>
    <w:qFormat/>
    <w:uiPriority w:val="0"/>
    <w:pPr>
      <w:spacing w:line="240" w:lineRule="atLeast"/>
      <w:ind w:left="420" w:firstLine="420"/>
      <w:jc w:val="left"/>
    </w:pPr>
    <w:rPr>
      <w:rFonts w:ascii="楷体_GB2312" w:hAnsi="宋体" w:eastAsia="楷体_GB2312"/>
      <w:bCs/>
      <w:color w:val="000000"/>
      <w:kern w:val="0"/>
      <w:sz w:val="28"/>
      <w:szCs w:val="28"/>
    </w:rPr>
  </w:style>
  <w:style w:type="paragraph" w:customStyle="1" w:styleId="115">
    <w:name w:val="1 Char"/>
    <w:basedOn w:val="1"/>
    <w:qFormat/>
    <w:uiPriority w:val="0"/>
    <w:pPr>
      <w:widowControl/>
      <w:spacing w:after="160" w:line="240" w:lineRule="exact"/>
      <w:jc w:val="left"/>
    </w:pPr>
    <w:rPr>
      <w:rFonts w:ascii="Tahoma" w:hAnsi="Tahoma" w:eastAsia="Times New Roman"/>
      <w:kern w:val="0"/>
      <w:sz w:val="24"/>
      <w:szCs w:val="24"/>
      <w:lang w:eastAsia="en-US"/>
    </w:rPr>
  </w:style>
  <w:style w:type="paragraph" w:customStyle="1" w:styleId="116">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17">
    <w:name w:val="文章正文 Char Char1"/>
    <w:basedOn w:val="1"/>
    <w:qFormat/>
    <w:uiPriority w:val="0"/>
    <w:pPr>
      <w:spacing w:line="360" w:lineRule="auto"/>
      <w:ind w:firstLine="420"/>
    </w:pPr>
    <w:rPr>
      <w:rFonts w:ascii="Times New Roman" w:hAnsi="Times New Roman"/>
      <w:sz w:val="24"/>
      <w:szCs w:val="24"/>
    </w:rPr>
  </w:style>
  <w:style w:type="paragraph" w:customStyle="1" w:styleId="118">
    <w:name w:val="标题2-1"/>
    <w:basedOn w:val="1"/>
    <w:qFormat/>
    <w:uiPriority w:val="0"/>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119">
    <w:name w:val="样式"/>
    <w:link w:val="203"/>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20">
    <w:name w:val="图"/>
    <w:basedOn w:val="1"/>
    <w:qFormat/>
    <w:uiPriority w:val="0"/>
    <w:pPr>
      <w:widowControl/>
      <w:adjustRightInd w:val="0"/>
      <w:snapToGrid w:val="0"/>
      <w:jc w:val="center"/>
    </w:pPr>
    <w:rPr>
      <w:rFonts w:ascii="宋体" w:hAnsi="宋体"/>
      <w:bCs/>
      <w:szCs w:val="24"/>
    </w:rPr>
  </w:style>
  <w:style w:type="paragraph" w:customStyle="1" w:styleId="121">
    <w:name w:val="Char1 Char Char Char Char Char Char1"/>
    <w:basedOn w:val="1"/>
    <w:qFormat/>
    <w:uiPriority w:val="99"/>
    <w:rPr>
      <w:rFonts w:ascii="Tahoma" w:hAnsi="Tahoma"/>
      <w:sz w:val="24"/>
      <w:szCs w:val="20"/>
    </w:rPr>
  </w:style>
  <w:style w:type="paragraph" w:customStyle="1" w:styleId="122">
    <w:name w:val="zw1"/>
    <w:basedOn w:val="1"/>
    <w:qFormat/>
    <w:uiPriority w:val="0"/>
    <w:pPr>
      <w:widowControl/>
      <w:spacing w:line="360" w:lineRule="auto"/>
      <w:ind w:firstLine="480" w:firstLineChars="200"/>
    </w:pPr>
    <w:rPr>
      <w:rFonts w:ascii="Times New Roman" w:hAnsi="Times New Roman"/>
      <w:kern w:val="0"/>
      <w:sz w:val="24"/>
      <w:szCs w:val="20"/>
    </w:rPr>
  </w:style>
  <w:style w:type="paragraph" w:customStyle="1" w:styleId="123">
    <w:name w:val="Char Char Char Char Char Char Char"/>
    <w:basedOn w:val="1"/>
    <w:qFormat/>
    <w:uiPriority w:val="0"/>
    <w:pPr>
      <w:widowControl/>
      <w:snapToGrid w:val="0"/>
      <w:spacing w:line="240" w:lineRule="exact"/>
      <w:jc w:val="left"/>
    </w:pPr>
    <w:rPr>
      <w:rFonts w:ascii="Verdana" w:hAnsi="Verdana"/>
      <w:kern w:val="0"/>
      <w:sz w:val="20"/>
      <w:szCs w:val="20"/>
      <w:lang w:eastAsia="en-US"/>
    </w:rPr>
  </w:style>
  <w:style w:type="paragraph" w:customStyle="1" w:styleId="124">
    <w:name w:val="MM Topic 1"/>
    <w:basedOn w:val="2"/>
    <w:qFormat/>
    <w:uiPriority w:val="0"/>
    <w:pPr>
      <w:tabs>
        <w:tab w:val="left" w:pos="425"/>
      </w:tabs>
    </w:pPr>
    <w:rPr>
      <w:rFonts w:cs="Times New Roman"/>
      <w:sz w:val="44"/>
    </w:rPr>
  </w:style>
  <w:style w:type="paragraph" w:customStyle="1" w:styleId="125">
    <w:name w:val="样式 标题 5 + 倾斜"/>
    <w:basedOn w:val="6"/>
    <w:qFormat/>
    <w:uiPriority w:val="0"/>
    <w:pPr>
      <w:widowControl/>
      <w:tabs>
        <w:tab w:val="left" w:pos="992"/>
        <w:tab w:val="clear" w:pos="1134"/>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126">
    <w:name w:val="我的正文"/>
    <w:basedOn w:val="1"/>
    <w:qFormat/>
    <w:uiPriority w:val="0"/>
    <w:pPr>
      <w:spacing w:line="360" w:lineRule="auto"/>
      <w:ind w:firstLine="420" w:firstLineChars="200"/>
    </w:pPr>
    <w:rPr>
      <w:rFonts w:ascii="宋体" w:hAnsi="宋体"/>
      <w:szCs w:val="24"/>
    </w:rPr>
  </w:style>
  <w:style w:type="paragraph" w:customStyle="1" w:styleId="127">
    <w:name w:val="MM Topic 7"/>
    <w:basedOn w:val="8"/>
    <w:qFormat/>
    <w:uiPriority w:val="0"/>
    <w:pPr>
      <w:keepLines/>
      <w:widowControl w:val="0"/>
      <w:tabs>
        <w:tab w:val="left" w:pos="3827"/>
        <w:tab w:val="clear" w:pos="3600"/>
      </w:tabs>
      <w:spacing w:before="240" w:after="64" w:line="314" w:lineRule="auto"/>
      <w:jc w:val="both"/>
    </w:pPr>
    <w:rPr>
      <w:rFonts w:ascii="Times New Roman" w:hAnsi="Times New Roman"/>
      <w:iCs w:val="0"/>
      <w:kern w:val="2"/>
      <w:sz w:val="24"/>
      <w:lang w:eastAsia="zh-CN"/>
    </w:rPr>
  </w:style>
  <w:style w:type="paragraph" w:customStyle="1" w:styleId="128">
    <w:name w:val="标书（正文）"/>
    <w:basedOn w:val="1"/>
    <w:qFormat/>
    <w:uiPriority w:val="0"/>
    <w:pPr>
      <w:spacing w:line="360" w:lineRule="auto"/>
      <w:ind w:firstLine="560" w:firstLineChars="200"/>
    </w:pPr>
    <w:rPr>
      <w:rFonts w:ascii="宋体" w:hAnsi="宋体"/>
      <w:kern w:val="10"/>
      <w:sz w:val="28"/>
      <w:szCs w:val="28"/>
    </w:rPr>
  </w:style>
  <w:style w:type="paragraph" w:customStyle="1" w:styleId="129">
    <w:name w:val="样式 标题 3 + (西文) 仿宋_GB2312 (中文) 仿宋_GB2312 四号"/>
    <w:basedOn w:val="4"/>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s="Times New Roman"/>
      <w:color w:val="auto"/>
    </w:rPr>
  </w:style>
  <w:style w:type="paragraph" w:customStyle="1" w:styleId="130">
    <w:name w:val="论文正文"/>
    <w:basedOn w:val="1"/>
    <w:qFormat/>
    <w:uiPriority w:val="0"/>
    <w:pPr>
      <w:spacing w:line="360" w:lineRule="auto"/>
      <w:ind w:firstLine="700" w:firstLineChars="250"/>
    </w:pPr>
    <w:rPr>
      <w:rFonts w:ascii="宋体" w:hAnsi="宋体"/>
      <w:bCs/>
      <w:sz w:val="28"/>
      <w:szCs w:val="28"/>
    </w:rPr>
  </w:style>
  <w:style w:type="paragraph" w:customStyle="1" w:styleId="131">
    <w:name w:val="样式1"/>
    <w:basedOn w:val="1"/>
    <w:qFormat/>
    <w:uiPriority w:val="0"/>
    <w:rPr>
      <w:rFonts w:ascii="Times New Roman" w:hAnsi="Times New Roman" w:eastAsia="隶书"/>
      <w:i/>
      <w:dstrike/>
      <w:sz w:val="28"/>
      <w:szCs w:val="18"/>
    </w:rPr>
  </w:style>
  <w:style w:type="paragraph" w:customStyle="1" w:styleId="132">
    <w:name w:val="表格"/>
    <w:basedOn w:val="1"/>
    <w:qFormat/>
    <w:uiPriority w:val="0"/>
    <w:pPr>
      <w:spacing w:line="400" w:lineRule="exact"/>
    </w:pPr>
    <w:rPr>
      <w:rFonts w:ascii="Times New Roman" w:hAnsi="Times New Roman"/>
      <w:sz w:val="24"/>
      <w:szCs w:val="24"/>
    </w:rPr>
  </w:style>
  <w:style w:type="paragraph" w:customStyle="1" w:styleId="133">
    <w:name w:val="彩色底纹 - 强调文字颜色 11"/>
    <w:qFormat/>
    <w:uiPriority w:val="0"/>
    <w:rPr>
      <w:rFonts w:ascii="Calibri" w:hAnsi="Calibri" w:eastAsia="宋体" w:cs="Times New Roman"/>
      <w:kern w:val="2"/>
      <w:sz w:val="21"/>
      <w:szCs w:val="22"/>
      <w:lang w:val="en-US" w:eastAsia="zh-CN" w:bidi="ar-SA"/>
    </w:rPr>
  </w:style>
  <w:style w:type="paragraph" w:customStyle="1" w:styleId="134">
    <w:name w:val="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35">
    <w:name w:val="Char Char Char Char Char Char Char Char Char Char Char Char Char"/>
    <w:basedOn w:val="14"/>
    <w:qFormat/>
    <w:uiPriority w:val="0"/>
    <w:rPr>
      <w:rFonts w:ascii="Tahoma" w:hAnsi="Tahoma"/>
      <w:sz w:val="24"/>
      <w:szCs w:val="24"/>
    </w:rPr>
  </w:style>
  <w:style w:type="paragraph" w:customStyle="1" w:styleId="136">
    <w:name w:val="MM Topic 3"/>
    <w:basedOn w:val="4"/>
    <w:qFormat/>
    <w:uiPriority w:val="0"/>
    <w:pPr>
      <w:numPr>
        <w:ilvl w:val="0"/>
        <w:numId w:val="0"/>
      </w:numPr>
      <w:tabs>
        <w:tab w:val="left" w:pos="1418"/>
      </w:tabs>
    </w:pPr>
    <w:rPr>
      <w:rFonts w:cs="Times New Roman"/>
    </w:rPr>
  </w:style>
  <w:style w:type="paragraph" w:customStyle="1" w:styleId="137">
    <w:name w:val="样式 仿宋_GB2312 小四 左侧:  0.63 厘米"/>
    <w:basedOn w:val="1"/>
    <w:qFormat/>
    <w:uiPriority w:val="0"/>
    <w:pPr>
      <w:spacing w:before="120" w:after="120" w:line="360" w:lineRule="auto"/>
      <w:ind w:left="357" w:firstLine="200" w:firstLineChars="200"/>
    </w:pPr>
    <w:rPr>
      <w:rFonts w:ascii="仿宋_GB2312" w:hAnsi="仿宋_GB2312" w:eastAsia="仿宋_GB2312" w:cs="宋体"/>
      <w:sz w:val="24"/>
      <w:szCs w:val="20"/>
    </w:rPr>
  </w:style>
  <w:style w:type="paragraph" w:customStyle="1" w:styleId="138">
    <w:name w:val="样式 宋体 小四 行距: 1.5 倍行距"/>
    <w:basedOn w:val="1"/>
    <w:qFormat/>
    <w:uiPriority w:val="0"/>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139">
    <w:name w:val="Char Char Char Char"/>
    <w:basedOn w:val="1"/>
    <w:qFormat/>
    <w:uiPriority w:val="0"/>
    <w:rPr>
      <w:rFonts w:ascii="Tahoma" w:hAnsi="Tahoma"/>
      <w:sz w:val="24"/>
      <w:szCs w:val="20"/>
    </w:rPr>
  </w:style>
  <w:style w:type="paragraph" w:customStyle="1" w:styleId="140">
    <w:name w:val="Style8"/>
    <w:basedOn w:val="1"/>
    <w:qFormat/>
    <w:uiPriority w:val="0"/>
    <w:pPr>
      <w:tabs>
        <w:tab w:val="left" w:pos="1304"/>
      </w:tabs>
      <w:spacing w:beforeLines="50" w:line="276" w:lineRule="auto"/>
      <w:ind w:left="1304" w:hanging="397"/>
    </w:pPr>
    <w:rPr>
      <w:rFonts w:ascii="Arial" w:hAnsi="Arial"/>
      <w:sz w:val="24"/>
      <w:szCs w:val="24"/>
    </w:rPr>
  </w:style>
  <w:style w:type="paragraph" w:customStyle="1" w:styleId="141">
    <w:name w:val="MM Topic 9"/>
    <w:basedOn w:val="10"/>
    <w:qFormat/>
    <w:uiPriority w:val="0"/>
    <w:pPr>
      <w:tabs>
        <w:tab w:val="left" w:pos="5102"/>
      </w:tabs>
    </w:pPr>
  </w:style>
  <w:style w:type="paragraph" w:customStyle="1" w:styleId="142">
    <w:name w:val="MM Topic 5"/>
    <w:basedOn w:val="6"/>
    <w:qFormat/>
    <w:uiPriority w:val="0"/>
    <w:pPr>
      <w:tabs>
        <w:tab w:val="left" w:pos="2551"/>
        <w:tab w:val="clear" w:pos="1134"/>
        <w:tab w:val="clear" w:pos="1560"/>
      </w:tabs>
      <w:ind w:left="0" w:firstLine="0"/>
    </w:pPr>
    <w:rPr>
      <w:rFonts w:cs="Times New Roman"/>
    </w:rPr>
  </w:style>
  <w:style w:type="paragraph" w:customStyle="1" w:styleId="143">
    <w:name w:val="大纲正文"/>
    <w:basedOn w:val="1"/>
    <w:qFormat/>
    <w:uiPriority w:val="0"/>
    <w:pPr>
      <w:spacing w:line="360" w:lineRule="auto"/>
      <w:ind w:firstLine="480" w:firstLineChars="200"/>
    </w:pPr>
    <w:rPr>
      <w:rFonts w:ascii="Times New Roman" w:hAnsi="Times New Roman"/>
      <w:sz w:val="24"/>
      <w:szCs w:val="20"/>
    </w:rPr>
  </w:style>
  <w:style w:type="paragraph" w:customStyle="1" w:styleId="144">
    <w:name w:val="MM Topic 4"/>
    <w:basedOn w:val="5"/>
    <w:qFormat/>
    <w:uiPriority w:val="0"/>
    <w:pPr>
      <w:tabs>
        <w:tab w:val="left" w:pos="1984"/>
      </w:tabs>
      <w:ind w:left="0" w:firstLine="0"/>
    </w:pPr>
  </w:style>
  <w:style w:type="paragraph" w:customStyle="1" w:styleId="145">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46">
    <w:name w:val="样式 小四 首行缩进:  0.74 厘米"/>
    <w:basedOn w:val="1"/>
    <w:qFormat/>
    <w:uiPriority w:val="0"/>
    <w:pPr>
      <w:spacing w:before="100" w:beforeAutospacing="1" w:after="100" w:afterAutospacing="1" w:line="300" w:lineRule="auto"/>
      <w:ind w:firstLine="420" w:firstLineChars="175"/>
    </w:pPr>
    <w:rPr>
      <w:rFonts w:ascii="宋体" w:hAnsi="宋体"/>
      <w:sz w:val="24"/>
      <w:szCs w:val="24"/>
    </w:rPr>
  </w:style>
  <w:style w:type="paragraph" w:customStyle="1" w:styleId="147">
    <w:name w:val="样式 标题 2H2第一章 标题 2Heading 2 HiddenHeading 2 CCBSheading 2h2..."/>
    <w:basedOn w:val="3"/>
    <w:qFormat/>
    <w:uiPriority w:val="0"/>
    <w:pPr>
      <w:tabs>
        <w:tab w:val="left" w:pos="-2493"/>
      </w:tabs>
    </w:pPr>
    <w:rPr>
      <w:rFonts w:cs="Times New Roman"/>
      <w:szCs w:val="20"/>
    </w:rPr>
  </w:style>
  <w:style w:type="paragraph" w:customStyle="1" w:styleId="148">
    <w:name w:val="正文首行缩进两字符"/>
    <w:basedOn w:val="1"/>
    <w:qFormat/>
    <w:uiPriority w:val="99"/>
    <w:pPr>
      <w:spacing w:line="360" w:lineRule="auto"/>
      <w:ind w:firstLine="200" w:firstLineChars="200"/>
    </w:pPr>
    <w:rPr>
      <w:rFonts w:ascii="Times New Roman" w:hAnsi="Times New Roman"/>
      <w:szCs w:val="24"/>
    </w:rPr>
  </w:style>
  <w:style w:type="paragraph" w:customStyle="1" w:styleId="149">
    <w:name w:val="列出段落2"/>
    <w:basedOn w:val="1"/>
    <w:qFormat/>
    <w:uiPriority w:val="0"/>
    <w:pPr>
      <w:ind w:firstLine="420" w:firstLineChars="200"/>
    </w:pPr>
  </w:style>
  <w:style w:type="paragraph" w:customStyle="1" w:styleId="150">
    <w:name w:val="列出段落4"/>
    <w:basedOn w:val="1"/>
    <w:qFormat/>
    <w:uiPriority w:val="34"/>
    <w:pPr>
      <w:ind w:firstLine="420" w:firstLineChars="200"/>
    </w:pPr>
    <w:rPr>
      <w:rFonts w:ascii="Times New Roman" w:hAnsi="Times New Roman"/>
      <w:szCs w:val="24"/>
    </w:rPr>
  </w:style>
  <w:style w:type="paragraph" w:customStyle="1" w:styleId="151">
    <w:name w:val="列出段落1111"/>
    <w:basedOn w:val="1"/>
    <w:qFormat/>
    <w:uiPriority w:val="0"/>
    <w:pPr>
      <w:ind w:firstLine="420" w:firstLineChars="200"/>
    </w:pPr>
  </w:style>
  <w:style w:type="paragraph" w:customStyle="1" w:styleId="152">
    <w:name w:val="修订1"/>
    <w:qFormat/>
    <w:uiPriority w:val="99"/>
    <w:rPr>
      <w:rFonts w:ascii="Calibri" w:hAnsi="Calibri" w:eastAsia="宋体" w:cs="Times New Roman"/>
      <w:kern w:val="2"/>
      <w:sz w:val="21"/>
      <w:szCs w:val="22"/>
      <w:lang w:val="en-US" w:eastAsia="zh-CN" w:bidi="ar-SA"/>
    </w:rPr>
  </w:style>
  <w:style w:type="paragraph" w:customStyle="1" w:styleId="153">
    <w:name w:val="彩色列表 - 强调文字颜色 12"/>
    <w:basedOn w:val="1"/>
    <w:qFormat/>
    <w:uiPriority w:val="0"/>
    <w:pPr>
      <w:ind w:firstLine="420" w:firstLineChars="200"/>
    </w:pPr>
  </w:style>
  <w:style w:type="paragraph" w:customStyle="1" w:styleId="154">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55">
    <w:name w:val="列出段落3"/>
    <w:basedOn w:val="1"/>
    <w:qFormat/>
    <w:uiPriority w:val="0"/>
    <w:pPr>
      <w:widowControl/>
      <w:ind w:firstLine="420" w:firstLineChars="200"/>
      <w:jc w:val="left"/>
    </w:pPr>
    <w:rPr>
      <w:rFonts w:ascii="Times New Roman" w:hAnsi="Times New Roman"/>
      <w:kern w:val="0"/>
      <w:sz w:val="24"/>
      <w:szCs w:val="24"/>
    </w:rPr>
  </w:style>
  <w:style w:type="paragraph" w:customStyle="1" w:styleId="156">
    <w:name w:val="列项——（一级）"/>
    <w:qFormat/>
    <w:uiPriority w:val="99"/>
    <w:pPr>
      <w:widowControl w:val="0"/>
      <w:numPr>
        <w:ilvl w:val="0"/>
        <w:numId w:val="4"/>
      </w:numPr>
      <w:jc w:val="both"/>
    </w:pPr>
    <w:rPr>
      <w:rFonts w:ascii="宋体" w:hAnsi="Times New Roman" w:eastAsia="宋体" w:cs="Times New Roman"/>
      <w:sz w:val="21"/>
      <w:lang w:val="en-US" w:eastAsia="zh-CN" w:bidi="ar-SA"/>
    </w:rPr>
  </w:style>
  <w:style w:type="character" w:customStyle="1" w:styleId="157">
    <w:name w:val="0-CD Char"/>
    <w:link w:val="158"/>
    <w:qFormat/>
    <w:locked/>
    <w:uiPriority w:val="0"/>
    <w:rPr>
      <w:rFonts w:ascii="宋体" w:hAnsi="宋体" w:eastAsia="宋体"/>
      <w:sz w:val="28"/>
      <w:szCs w:val="24"/>
    </w:rPr>
  </w:style>
  <w:style w:type="paragraph" w:customStyle="1" w:styleId="158">
    <w:name w:val="0-CD"/>
    <w:basedOn w:val="1"/>
    <w:link w:val="157"/>
    <w:qFormat/>
    <w:uiPriority w:val="0"/>
    <w:pPr>
      <w:spacing w:line="360" w:lineRule="auto"/>
      <w:ind w:firstLine="708" w:firstLineChars="253"/>
      <w:jc w:val="left"/>
    </w:pPr>
    <w:rPr>
      <w:rFonts w:ascii="宋体" w:hAnsi="宋体" w:cstheme="minorBidi"/>
      <w:sz w:val="28"/>
      <w:szCs w:val="24"/>
    </w:rPr>
  </w:style>
  <w:style w:type="character" w:customStyle="1" w:styleId="159">
    <w:name w:val="Char Char8"/>
    <w:qFormat/>
    <w:uiPriority w:val="0"/>
    <w:rPr>
      <w:rFonts w:hint="eastAsia" w:ascii="宋体" w:hAnsi="宋体" w:eastAsia="宋体"/>
      <w:kern w:val="2"/>
      <w:sz w:val="28"/>
      <w:szCs w:val="28"/>
    </w:rPr>
  </w:style>
  <w:style w:type="character" w:customStyle="1" w:styleId="160">
    <w:name w:val="Char Char5"/>
    <w:qFormat/>
    <w:uiPriority w:val="0"/>
    <w:rPr>
      <w:kern w:val="2"/>
      <w:sz w:val="21"/>
      <w:szCs w:val="24"/>
    </w:rPr>
  </w:style>
  <w:style w:type="character" w:customStyle="1" w:styleId="161">
    <w:name w:val="列出段落 Char Char"/>
    <w:qFormat/>
    <w:uiPriority w:val="0"/>
    <w:rPr>
      <w:rFonts w:hint="default" w:ascii="Calibri" w:hAnsi="Calibri" w:cs="Calibri"/>
      <w:kern w:val="2"/>
      <w:sz w:val="21"/>
      <w:szCs w:val="22"/>
    </w:rPr>
  </w:style>
  <w:style w:type="character" w:customStyle="1" w:styleId="162">
    <w:name w:val="正文文本 Char Char"/>
    <w:qFormat/>
    <w:uiPriority w:val="0"/>
    <w:rPr>
      <w:kern w:val="2"/>
      <w:sz w:val="21"/>
      <w:szCs w:val="24"/>
    </w:rPr>
  </w:style>
  <w:style w:type="character" w:customStyle="1" w:styleId="163">
    <w:name w:val="Char Char11"/>
    <w:qFormat/>
    <w:uiPriority w:val="0"/>
    <w:rPr>
      <w:rFonts w:hint="default" w:ascii="Arial Narrow" w:hAnsi="Arial Narrow"/>
      <w:b/>
      <w:bCs/>
      <w:iCs/>
      <w:szCs w:val="24"/>
      <w:lang w:eastAsia="en-US"/>
    </w:rPr>
  </w:style>
  <w:style w:type="character" w:customStyle="1" w:styleId="164">
    <w:name w:val="标书（正文） Char Char"/>
    <w:qFormat/>
    <w:uiPriority w:val="0"/>
    <w:rPr>
      <w:rFonts w:hint="eastAsia" w:ascii="宋体" w:hAnsi="宋体" w:eastAsia="宋体"/>
      <w:b/>
      <w:kern w:val="10"/>
      <w:sz w:val="21"/>
      <w:szCs w:val="21"/>
      <w:lang w:val="en-US" w:eastAsia="zh-CN" w:bidi="ar-SA"/>
    </w:rPr>
  </w:style>
  <w:style w:type="character" w:customStyle="1" w:styleId="165">
    <w:name w:val="line2"/>
    <w:basedOn w:val="45"/>
    <w:qFormat/>
    <w:uiPriority w:val="0"/>
  </w:style>
  <w:style w:type="character" w:customStyle="1" w:styleId="166">
    <w:name w:val="Char Char10"/>
    <w:qFormat/>
    <w:uiPriority w:val="0"/>
    <w:rPr>
      <w:kern w:val="2"/>
      <w:sz w:val="24"/>
      <w:szCs w:val="24"/>
    </w:rPr>
  </w:style>
  <w:style w:type="character" w:customStyle="1" w:styleId="167">
    <w:name w:val="MM Topic 4 Char Char"/>
    <w:qFormat/>
    <w:uiPriority w:val="0"/>
    <w:rPr>
      <w:rFonts w:hint="default" w:ascii="Arial" w:hAnsi="Arial" w:cs="Arial"/>
      <w:b/>
      <w:bCs/>
      <w:kern w:val="2"/>
      <w:sz w:val="28"/>
      <w:szCs w:val="28"/>
    </w:rPr>
  </w:style>
  <w:style w:type="character" w:customStyle="1" w:styleId="168">
    <w:name w:val="标书正文:  0.74 厘米 Char Char"/>
    <w:qFormat/>
    <w:uiPriority w:val="0"/>
    <w:rPr>
      <w:kern w:val="2"/>
      <w:sz w:val="24"/>
    </w:rPr>
  </w:style>
  <w:style w:type="character" w:customStyle="1" w:styleId="169">
    <w:name w:val="访问过的超链接1"/>
    <w:qFormat/>
    <w:uiPriority w:val="99"/>
    <w:rPr>
      <w:color w:val="800080"/>
      <w:u w:val="single"/>
    </w:rPr>
  </w:style>
  <w:style w:type="character" w:customStyle="1" w:styleId="170">
    <w:name w:val="标题 3 Char Char Char"/>
    <w:qFormat/>
    <w:uiPriority w:val="0"/>
    <w:rPr>
      <w:rFonts w:hint="eastAsia" w:ascii="宋体" w:hAnsi="宋体" w:eastAsia="宋体"/>
      <w:b/>
      <w:kern w:val="2"/>
      <w:sz w:val="32"/>
      <w:lang w:val="en-US" w:eastAsia="zh-CN" w:bidi="ar-SA"/>
    </w:rPr>
  </w:style>
  <w:style w:type="character" w:customStyle="1" w:styleId="171">
    <w:name w:val="（符号）邀请函中一、"/>
    <w:qFormat/>
    <w:uiPriority w:val="0"/>
    <w:rPr>
      <w:rFonts w:hint="eastAsia" w:ascii="黑体" w:hAnsi="黑体" w:eastAsia="黑体"/>
      <w:b/>
      <w:bCs/>
      <w:sz w:val="24"/>
    </w:rPr>
  </w:style>
  <w:style w:type="character" w:customStyle="1" w:styleId="172">
    <w:name w:val="tt Char"/>
    <w:qFormat/>
    <w:uiPriority w:val="0"/>
    <w:rPr>
      <w:rFonts w:hint="default" w:ascii="Arial" w:hAnsi="Arial" w:eastAsia="黑体" w:cs="Arial"/>
      <w:kern w:val="2"/>
      <w:sz w:val="21"/>
      <w:szCs w:val="21"/>
    </w:rPr>
  </w:style>
  <w:style w:type="character" w:customStyle="1" w:styleId="173">
    <w:name w:val="Char Char9"/>
    <w:qFormat/>
    <w:uiPriority w:val="0"/>
    <w:rPr>
      <w:kern w:val="2"/>
      <w:sz w:val="18"/>
      <w:szCs w:val="18"/>
    </w:rPr>
  </w:style>
  <w:style w:type="character" w:customStyle="1" w:styleId="174">
    <w:name w:val="MM Topic 3 Char Char"/>
    <w:qFormat/>
    <w:uiPriority w:val="0"/>
    <w:rPr>
      <w:rFonts w:hint="eastAsia" w:ascii="宋体" w:hAnsi="宋体" w:eastAsia="宋体"/>
      <w:b/>
      <w:bCs/>
      <w:color w:val="000000"/>
      <w:kern w:val="2"/>
      <w:sz w:val="28"/>
      <w:szCs w:val="28"/>
    </w:rPr>
  </w:style>
  <w:style w:type="character" w:customStyle="1" w:styleId="175">
    <w:name w:val="样式 小四2 Char Char"/>
    <w:qFormat/>
    <w:uiPriority w:val="0"/>
    <w:rPr>
      <w:rFonts w:hint="eastAsia" w:ascii="宋体" w:hAnsi="宋体" w:eastAsia="宋体"/>
      <w:kern w:val="2"/>
      <w:sz w:val="24"/>
      <w:szCs w:val="24"/>
    </w:rPr>
  </w:style>
  <w:style w:type="character" w:customStyle="1" w:styleId="176">
    <w:name w:val="Char Char7"/>
    <w:qFormat/>
    <w:uiPriority w:val="0"/>
    <w:rPr>
      <w:kern w:val="2"/>
      <w:sz w:val="18"/>
      <w:szCs w:val="18"/>
    </w:rPr>
  </w:style>
  <w:style w:type="character" w:customStyle="1" w:styleId="177">
    <w:name w:val="Char Char3"/>
    <w:qFormat/>
    <w:uiPriority w:val="0"/>
    <w:rPr>
      <w:b/>
      <w:bCs/>
      <w:kern w:val="2"/>
      <w:sz w:val="18"/>
      <w:szCs w:val="18"/>
    </w:rPr>
  </w:style>
  <w:style w:type="character" w:customStyle="1" w:styleId="178">
    <w:name w:val="apple-style-span"/>
    <w:basedOn w:val="45"/>
    <w:qFormat/>
    <w:uiPriority w:val="0"/>
  </w:style>
  <w:style w:type="character" w:customStyle="1" w:styleId="179">
    <w:name w:val="Char Char4"/>
    <w:qFormat/>
    <w:uiPriority w:val="0"/>
    <w:rPr>
      <w:kern w:val="2"/>
      <w:sz w:val="18"/>
      <w:szCs w:val="18"/>
    </w:rPr>
  </w:style>
  <w:style w:type="character" w:customStyle="1" w:styleId="180">
    <w:name w:val="副标题 Char1"/>
    <w:qFormat/>
    <w:uiPriority w:val="11"/>
    <w:rPr>
      <w:rFonts w:hint="default" w:ascii="Cambria" w:hAnsi="Cambria" w:cs="Times New Roman"/>
      <w:b/>
      <w:bCs/>
      <w:kern w:val="28"/>
      <w:sz w:val="32"/>
      <w:szCs w:val="32"/>
    </w:rPr>
  </w:style>
  <w:style w:type="character" w:customStyle="1" w:styleId="181">
    <w:name w:val="small"/>
    <w:basedOn w:val="45"/>
    <w:qFormat/>
    <w:uiPriority w:val="0"/>
  </w:style>
  <w:style w:type="character" w:customStyle="1" w:styleId="182">
    <w:name w:val="Legal Level 1.1.1. Char"/>
    <w:qFormat/>
    <w:uiPriority w:val="0"/>
    <w:rPr>
      <w:rFonts w:hint="default" w:ascii="Arial" w:hAnsi="Arial" w:eastAsia="黑体" w:cs="Arial"/>
      <w:kern w:val="2"/>
      <w:sz w:val="24"/>
      <w:szCs w:val="24"/>
    </w:rPr>
  </w:style>
  <w:style w:type="character" w:customStyle="1" w:styleId="183">
    <w:name w:val="文章正文 Char Char"/>
    <w:qFormat/>
    <w:uiPriority w:val="0"/>
    <w:rPr>
      <w:rFonts w:hint="eastAsia" w:ascii="宋体" w:hAnsi="宋体" w:eastAsia="宋体"/>
      <w:kern w:val="2"/>
      <w:sz w:val="24"/>
      <w:szCs w:val="24"/>
      <w:lang w:val="en-US" w:eastAsia="zh-CN" w:bidi="ar-SA"/>
    </w:rPr>
  </w:style>
  <w:style w:type="character" w:customStyle="1" w:styleId="184">
    <w:name w:val="正文文本 Char1"/>
    <w:qFormat/>
    <w:uiPriority w:val="0"/>
    <w:rPr>
      <w:rFonts w:hint="default" w:ascii="Times New Roman" w:hAnsi="Times New Roman" w:eastAsia="宋体" w:cs="Times New Roman"/>
      <w:kern w:val="0"/>
      <w:sz w:val="18"/>
      <w:szCs w:val="18"/>
    </w:rPr>
  </w:style>
  <w:style w:type="character" w:customStyle="1" w:styleId="185">
    <w:name w:val="正文文本 字符"/>
    <w:basedOn w:val="45"/>
    <w:link w:val="17"/>
    <w:qFormat/>
    <w:locked/>
    <w:uiPriority w:val="99"/>
    <w:rPr>
      <w:rFonts w:ascii="Calibri" w:hAnsi="Calibri" w:eastAsia="宋体" w:cs="Times New Roman"/>
    </w:rPr>
  </w:style>
  <w:style w:type="character" w:customStyle="1" w:styleId="186">
    <w:name w:val="CD正文 Char Char"/>
    <w:qFormat/>
    <w:uiPriority w:val="0"/>
    <w:rPr>
      <w:rFonts w:hint="eastAsia" w:ascii="宋体" w:hAnsi="宋体" w:eastAsia="宋体"/>
      <w:kern w:val="2"/>
      <w:sz w:val="30"/>
      <w:szCs w:val="28"/>
      <w:lang w:val="en-US" w:eastAsia="zh-CN" w:bidi="ar-SA"/>
    </w:rPr>
  </w:style>
  <w:style w:type="character" w:customStyle="1" w:styleId="187">
    <w:name w:val="Char Char2"/>
    <w:qFormat/>
    <w:uiPriority w:val="0"/>
    <w:rPr>
      <w:kern w:val="2"/>
      <w:sz w:val="18"/>
      <w:szCs w:val="18"/>
    </w:rPr>
  </w:style>
  <w:style w:type="character" w:customStyle="1" w:styleId="188">
    <w:name w:val="标题 1 Char1"/>
    <w:qFormat/>
    <w:uiPriority w:val="0"/>
    <w:rPr>
      <w:b/>
      <w:bCs/>
      <w:kern w:val="44"/>
      <w:sz w:val="44"/>
      <w:szCs w:val="44"/>
    </w:rPr>
  </w:style>
  <w:style w:type="character" w:customStyle="1" w:styleId="189">
    <w:name w:val="表正文 Char1"/>
    <w:qFormat/>
    <w:uiPriority w:val="0"/>
    <w:rPr>
      <w:rFonts w:hint="eastAsia" w:ascii="宋体" w:hAnsi="宋体" w:eastAsia="宋体"/>
      <w:kern w:val="2"/>
      <w:sz w:val="21"/>
      <w:lang w:val="en-US" w:eastAsia="zh-CN" w:bidi="ar-SA"/>
    </w:rPr>
  </w:style>
  <w:style w:type="character" w:customStyle="1" w:styleId="190">
    <w:name w:val="纯文本 字符"/>
    <w:link w:val="22"/>
    <w:qFormat/>
    <w:locked/>
    <w:uiPriority w:val="99"/>
    <w:rPr>
      <w:rFonts w:ascii="宋体" w:hAnsi="Courier New" w:eastAsia="宋体" w:cs="Times New Roman"/>
      <w:kern w:val="0"/>
      <w:sz w:val="20"/>
      <w:szCs w:val="18"/>
    </w:rPr>
  </w:style>
  <w:style w:type="character" w:customStyle="1" w:styleId="191">
    <w:name w:val="Char Char Char"/>
    <w:qFormat/>
    <w:uiPriority w:val="0"/>
    <w:rPr>
      <w:rFonts w:hint="eastAsia" w:ascii="宋体" w:hAnsi="宋体" w:eastAsia="宋体"/>
      <w:kern w:val="2"/>
      <w:sz w:val="18"/>
      <w:szCs w:val="18"/>
      <w:lang w:val="en-US" w:eastAsia="zh-CN" w:bidi="ar-SA"/>
    </w:rPr>
  </w:style>
  <w:style w:type="character" w:customStyle="1" w:styleId="192">
    <w:name w:val="Char Char6"/>
    <w:qFormat/>
    <w:uiPriority w:val="0"/>
    <w:rPr>
      <w:kern w:val="2"/>
      <w:sz w:val="21"/>
      <w:szCs w:val="24"/>
    </w:rPr>
  </w:style>
  <w:style w:type="character" w:customStyle="1" w:styleId="193">
    <w:name w:val="正文缩进 Char"/>
    <w:qFormat/>
    <w:uiPriority w:val="0"/>
    <w:rPr>
      <w:kern w:val="2"/>
      <w:sz w:val="21"/>
      <w:lang w:val="zh-CN" w:eastAsia="zh-CN"/>
    </w:rPr>
  </w:style>
  <w:style w:type="character" w:customStyle="1" w:styleId="194">
    <w:name w:val="font11"/>
    <w:basedOn w:val="45"/>
    <w:qFormat/>
    <w:uiPriority w:val="0"/>
    <w:rPr>
      <w:rFonts w:hint="eastAsia" w:ascii="宋体" w:hAnsi="宋体" w:eastAsia="宋体" w:cs="宋体"/>
      <w:b/>
      <w:color w:val="000000"/>
      <w:sz w:val="22"/>
      <w:szCs w:val="22"/>
      <w:u w:val="none"/>
    </w:rPr>
  </w:style>
  <w:style w:type="character" w:customStyle="1" w:styleId="195">
    <w:name w:val="font01"/>
    <w:basedOn w:val="45"/>
    <w:qFormat/>
    <w:uiPriority w:val="0"/>
    <w:rPr>
      <w:rFonts w:hint="eastAsia" w:ascii="宋体" w:hAnsi="宋体" w:eastAsia="宋体" w:cs="宋体"/>
      <w:color w:val="000000"/>
      <w:sz w:val="22"/>
      <w:szCs w:val="22"/>
      <w:u w:val="none"/>
    </w:rPr>
  </w:style>
  <w:style w:type="character" w:customStyle="1" w:styleId="196">
    <w:name w:val="页脚 Char1"/>
    <w:basedOn w:val="45"/>
    <w:qFormat/>
    <w:uiPriority w:val="99"/>
    <w:rPr>
      <w:sz w:val="18"/>
      <w:szCs w:val="18"/>
    </w:rPr>
  </w:style>
  <w:style w:type="character" w:customStyle="1" w:styleId="197">
    <w:name w:val="批注文字 Char2"/>
    <w:qFormat/>
    <w:uiPriority w:val="0"/>
    <w:rPr>
      <w:rFonts w:hint="eastAsia" w:ascii="宋体" w:hAnsi="宋体" w:eastAsia="宋体"/>
      <w:sz w:val="18"/>
      <w:szCs w:val="18"/>
    </w:rPr>
  </w:style>
  <w:style w:type="character" w:customStyle="1" w:styleId="198">
    <w:name w:val="列出段落 Char1"/>
    <w:qFormat/>
    <w:uiPriority w:val="0"/>
    <w:rPr>
      <w:rFonts w:hint="default" w:ascii="Calibri" w:hAnsi="Calibri"/>
      <w:kern w:val="2"/>
      <w:sz w:val="21"/>
      <w:szCs w:val="22"/>
    </w:rPr>
  </w:style>
  <w:style w:type="paragraph" w:customStyle="1" w:styleId="199">
    <w:name w:val="CD正文"/>
    <w:basedOn w:val="97"/>
    <w:link w:val="204"/>
    <w:qFormat/>
    <w:uiPriority w:val="0"/>
  </w:style>
  <w:style w:type="paragraph" w:customStyle="1" w:styleId="200">
    <w:name w:val="项目符号：一级"/>
    <w:basedOn w:val="84"/>
    <w:next w:val="84"/>
    <w:qFormat/>
    <w:uiPriority w:val="0"/>
  </w:style>
  <w:style w:type="character" w:customStyle="1" w:styleId="201">
    <w:name w:val="HTML 预设格式 字符"/>
    <w:basedOn w:val="45"/>
    <w:link w:val="38"/>
    <w:qFormat/>
    <w:uiPriority w:val="0"/>
    <w:rPr>
      <w:rFonts w:ascii="宋体" w:hAnsi="宋体" w:eastAsia="宋体" w:cs="Times New Roman"/>
      <w:kern w:val="0"/>
      <w:sz w:val="24"/>
      <w:szCs w:val="24"/>
    </w:rPr>
  </w:style>
  <w:style w:type="paragraph" w:customStyle="1" w:styleId="202">
    <w:name w:val="msonormal"/>
    <w:basedOn w:val="1"/>
    <w:qFormat/>
    <w:uiPriority w:val="99"/>
    <w:pPr>
      <w:widowControl/>
      <w:spacing w:before="100" w:beforeAutospacing="1" w:after="100" w:afterAutospacing="1"/>
      <w:jc w:val="left"/>
    </w:pPr>
    <w:rPr>
      <w:rFonts w:ascii="宋体" w:hAnsi="宋体"/>
      <w:color w:val="000000"/>
      <w:kern w:val="0"/>
      <w:sz w:val="24"/>
      <w:szCs w:val="24"/>
    </w:rPr>
  </w:style>
  <w:style w:type="character" w:customStyle="1" w:styleId="203">
    <w:name w:val="样式 Char Char"/>
    <w:link w:val="119"/>
    <w:qFormat/>
    <w:locked/>
    <w:uiPriority w:val="0"/>
    <w:rPr>
      <w:rFonts w:ascii="宋体" w:hAnsi="宋体" w:eastAsia="宋体" w:cs="宋体"/>
      <w:kern w:val="0"/>
      <w:sz w:val="24"/>
      <w:szCs w:val="24"/>
    </w:rPr>
  </w:style>
  <w:style w:type="character" w:customStyle="1" w:styleId="204">
    <w:name w:val="CD正文 Char"/>
    <w:link w:val="199"/>
    <w:qFormat/>
    <w:locked/>
    <w:uiPriority w:val="0"/>
    <w:rPr>
      <w:rFonts w:ascii="Times New Roman" w:hAnsi="Times New Roman" w:eastAsia="宋体" w:cs="Times New Roman"/>
      <w:sz w:val="24"/>
      <w:szCs w:val="24"/>
    </w:rPr>
  </w:style>
  <w:style w:type="paragraph" w:customStyle="1" w:styleId="205">
    <w:name w:val="正文 A"/>
    <w:qFormat/>
    <w:uiPriority w:val="99"/>
    <w:rPr>
      <w:rFonts w:ascii="Arial Unicode MS" w:hAnsi="Arial Unicode MS" w:eastAsia="Arial Unicode MS" w:cs="Arial Unicode MS"/>
      <w:color w:val="000000"/>
      <w:sz w:val="24"/>
      <w:szCs w:val="24"/>
      <w:lang w:val="zh-TW" w:eastAsia="zh-TW" w:bidi="ar-SA"/>
    </w:rPr>
  </w:style>
  <w:style w:type="paragraph" w:customStyle="1" w:styleId="206">
    <w:name w:val="标题5"/>
    <w:basedOn w:val="1"/>
    <w:qFormat/>
    <w:uiPriority w:val="99"/>
    <w:pPr>
      <w:spacing w:before="100" w:beforeAutospacing="1" w:after="100" w:afterAutospacing="1"/>
      <w:ind w:left="283" w:hanging="425"/>
      <w:outlineLvl w:val="4"/>
    </w:pPr>
    <w:rPr>
      <w:rFonts w:ascii="Times New Roman" w:hAnsi="Times New Roman"/>
      <w:szCs w:val="24"/>
    </w:rPr>
  </w:style>
  <w:style w:type="paragraph" w:customStyle="1" w:styleId="207">
    <w:name w:val="列出段落5"/>
    <w:basedOn w:val="1"/>
    <w:qFormat/>
    <w:uiPriority w:val="99"/>
    <w:pPr>
      <w:ind w:firstLine="420" w:firstLineChars="200"/>
    </w:pPr>
    <w:rPr>
      <w:rFonts w:ascii="Times New Roman" w:hAnsi="Times New Roman"/>
    </w:rPr>
  </w:style>
  <w:style w:type="paragraph" w:customStyle="1" w:styleId="208">
    <w:name w:val="Normal Indent1"/>
    <w:basedOn w:val="1"/>
    <w:qFormat/>
    <w:uiPriority w:val="99"/>
    <w:pPr>
      <w:spacing w:line="360" w:lineRule="auto"/>
      <w:ind w:firstLine="200" w:firstLineChars="200"/>
    </w:pPr>
    <w:rPr>
      <w:rFonts w:ascii="Times New Roman" w:hAnsi="Times New Roman"/>
      <w:sz w:val="24"/>
      <w:szCs w:val="24"/>
    </w:rPr>
  </w:style>
  <w:style w:type="paragraph" w:customStyle="1" w:styleId="209">
    <w:name w:val="图题标题"/>
    <w:basedOn w:val="1"/>
    <w:qFormat/>
    <w:uiPriority w:val="99"/>
    <w:pPr>
      <w:spacing w:line="400" w:lineRule="exact"/>
      <w:jc w:val="center"/>
    </w:pPr>
    <w:rPr>
      <w:rFonts w:ascii="Times New Roman" w:hAnsi="Times New Roman" w:eastAsia="黑体"/>
      <w:sz w:val="24"/>
      <w:szCs w:val="24"/>
    </w:rPr>
  </w:style>
  <w:style w:type="paragraph" w:customStyle="1" w:styleId="210">
    <w:name w:val="无间隔11"/>
    <w:qFormat/>
    <w:uiPriority w:val="99"/>
    <w:pPr>
      <w:widowControl w:val="0"/>
      <w:spacing w:after="200" w:line="300" w:lineRule="auto"/>
      <w:jc w:val="center"/>
    </w:pPr>
    <w:rPr>
      <w:rFonts w:ascii="宋体" w:hAnsi="宋体" w:eastAsia="宋体" w:cs="Times New Roman"/>
      <w:kern w:val="2"/>
      <w:sz w:val="24"/>
      <w:szCs w:val="21"/>
      <w:lang w:val="en-US" w:eastAsia="zh-CN" w:bidi="ar-SA"/>
    </w:rPr>
  </w:style>
  <w:style w:type="paragraph" w:customStyle="1" w:styleId="211">
    <w:name w:val="列出段落11"/>
    <w:basedOn w:val="1"/>
    <w:qFormat/>
    <w:uiPriority w:val="99"/>
    <w:pPr>
      <w:spacing w:after="200" w:line="276" w:lineRule="auto"/>
      <w:ind w:firstLine="420" w:firstLineChars="200"/>
    </w:pPr>
  </w:style>
  <w:style w:type="paragraph" w:customStyle="1" w:styleId="212">
    <w:name w:val="修订2"/>
    <w:qFormat/>
    <w:uiPriority w:val="99"/>
    <w:pPr>
      <w:spacing w:after="200" w:line="276" w:lineRule="auto"/>
    </w:pPr>
    <w:rPr>
      <w:rFonts w:ascii="Calibri" w:hAnsi="Calibri" w:eastAsia="宋体" w:cs="Times New Roman"/>
      <w:kern w:val="2"/>
      <w:sz w:val="21"/>
      <w:szCs w:val="22"/>
      <w:lang w:val="en-US" w:eastAsia="zh-CN" w:bidi="ar-SA"/>
    </w:rPr>
  </w:style>
  <w:style w:type="character" w:customStyle="1" w:styleId="213">
    <w:name w:val="UserStyle_26"/>
    <w:link w:val="214"/>
    <w:qFormat/>
    <w:locked/>
    <w:uiPriority w:val="0"/>
  </w:style>
  <w:style w:type="paragraph" w:customStyle="1" w:styleId="214">
    <w:name w:val="NormalIndent"/>
    <w:basedOn w:val="1"/>
    <w:link w:val="213"/>
    <w:qFormat/>
    <w:uiPriority w:val="0"/>
    <w:pPr>
      <w:widowControl/>
      <w:spacing w:after="200" w:line="276" w:lineRule="auto"/>
      <w:ind w:firstLine="420"/>
    </w:pPr>
    <w:rPr>
      <w:rFonts w:asciiTheme="minorHAnsi" w:hAnsiTheme="minorHAnsi" w:eastAsiaTheme="minorEastAsia" w:cstheme="minorBidi"/>
    </w:rPr>
  </w:style>
  <w:style w:type="paragraph" w:customStyle="1" w:styleId="215">
    <w:name w:val="HtmlNormal"/>
    <w:basedOn w:val="1"/>
    <w:qFormat/>
    <w:uiPriority w:val="99"/>
    <w:pPr>
      <w:widowControl/>
      <w:spacing w:before="100" w:beforeAutospacing="1" w:after="100" w:afterAutospacing="1" w:line="276" w:lineRule="auto"/>
      <w:jc w:val="left"/>
    </w:pPr>
    <w:rPr>
      <w:rFonts w:ascii="宋体" w:hAnsi="宋体"/>
      <w:kern w:val="0"/>
      <w:sz w:val="24"/>
      <w:szCs w:val="24"/>
    </w:rPr>
  </w:style>
  <w:style w:type="paragraph" w:customStyle="1" w:styleId="216">
    <w:name w:val="Heading1"/>
    <w:basedOn w:val="1"/>
    <w:next w:val="1"/>
    <w:qFormat/>
    <w:uiPriority w:val="99"/>
    <w:pPr>
      <w:keepNext/>
      <w:keepLines/>
      <w:widowControl/>
      <w:spacing w:before="300" w:after="200" w:line="276" w:lineRule="auto"/>
    </w:pPr>
    <w:rPr>
      <w:rFonts w:eastAsia="黑体"/>
      <w:kern w:val="44"/>
      <w:sz w:val="44"/>
      <w:szCs w:val="44"/>
    </w:rPr>
  </w:style>
  <w:style w:type="paragraph" w:customStyle="1" w:styleId="217">
    <w:name w:val="UserStyle_33"/>
    <w:basedOn w:val="1"/>
    <w:qFormat/>
    <w:uiPriority w:val="99"/>
    <w:pPr>
      <w:widowControl/>
      <w:spacing w:after="200" w:line="400" w:lineRule="exact"/>
      <w:ind w:firstLine="200" w:firstLineChars="200"/>
    </w:pPr>
    <w:rPr>
      <w:rFonts w:ascii="Times New Roman" w:hAnsi="Times New Roman"/>
      <w:sz w:val="24"/>
      <w:szCs w:val="24"/>
    </w:rPr>
  </w:style>
  <w:style w:type="paragraph" w:customStyle="1" w:styleId="218">
    <w:name w:val="UserStyle_40"/>
    <w:basedOn w:val="1"/>
    <w:qFormat/>
    <w:uiPriority w:val="99"/>
    <w:pPr>
      <w:widowControl/>
      <w:spacing w:after="200" w:line="276" w:lineRule="auto"/>
      <w:ind w:firstLine="420" w:firstLineChars="200"/>
    </w:pPr>
    <w:rPr>
      <w:szCs w:val="21"/>
    </w:rPr>
  </w:style>
  <w:style w:type="paragraph" w:customStyle="1" w:styleId="219">
    <w:name w:val="Heading2"/>
    <w:basedOn w:val="1"/>
    <w:next w:val="1"/>
    <w:qFormat/>
    <w:uiPriority w:val="99"/>
    <w:pPr>
      <w:widowControl/>
      <w:tabs>
        <w:tab w:val="right" w:leader="dot" w:pos="9000"/>
      </w:tabs>
      <w:spacing w:after="200" w:line="276" w:lineRule="auto"/>
      <w:ind w:right="-686" w:rightChars="-245"/>
    </w:pPr>
    <w:rPr>
      <w:szCs w:val="21"/>
    </w:rPr>
  </w:style>
  <w:style w:type="paragraph" w:customStyle="1" w:styleId="220">
    <w:name w:val="BodyText"/>
    <w:basedOn w:val="1"/>
    <w:qFormat/>
    <w:uiPriority w:val="0"/>
    <w:pPr>
      <w:spacing w:after="120" w:line="276" w:lineRule="auto"/>
    </w:pPr>
  </w:style>
  <w:style w:type="paragraph" w:customStyle="1" w:styleId="221">
    <w:name w:val="_Style 2"/>
    <w:basedOn w:val="1"/>
    <w:qFormat/>
    <w:uiPriority w:val="99"/>
    <w:pPr>
      <w:spacing w:after="200" w:line="276" w:lineRule="auto"/>
      <w:ind w:firstLine="420" w:firstLineChars="200"/>
    </w:pPr>
  </w:style>
  <w:style w:type="paragraph" w:customStyle="1" w:styleId="222">
    <w:name w:val="正文2"/>
    <w:qFormat/>
    <w:uiPriority w:val="99"/>
    <w:pPr>
      <w:spacing w:after="200" w:line="276" w:lineRule="auto"/>
      <w:jc w:val="both"/>
    </w:pPr>
    <w:rPr>
      <w:rFonts w:ascii="Calibri" w:hAnsi="Calibri" w:eastAsia="宋体" w:cs="Calibri"/>
      <w:kern w:val="2"/>
      <w:sz w:val="21"/>
      <w:szCs w:val="21"/>
      <w:lang w:val="en-US" w:eastAsia="zh-CN" w:bidi="ar-SA"/>
    </w:rPr>
  </w:style>
  <w:style w:type="character" w:customStyle="1" w:styleId="223">
    <w:name w:val="标准文本 Char Char"/>
    <w:link w:val="224"/>
    <w:qFormat/>
    <w:locked/>
    <w:uiPriority w:val="0"/>
    <w:rPr>
      <w:sz w:val="24"/>
    </w:rPr>
  </w:style>
  <w:style w:type="paragraph" w:customStyle="1" w:styleId="224">
    <w:name w:val="标准文本"/>
    <w:basedOn w:val="1"/>
    <w:link w:val="223"/>
    <w:qFormat/>
    <w:uiPriority w:val="0"/>
    <w:pPr>
      <w:spacing w:after="200" w:line="360" w:lineRule="auto"/>
      <w:ind w:firstLine="480" w:firstLineChars="200"/>
    </w:pPr>
    <w:rPr>
      <w:rFonts w:asciiTheme="minorHAnsi" w:hAnsiTheme="minorHAnsi" w:eastAsiaTheme="minorEastAsia" w:cstheme="minorBidi"/>
      <w:sz w:val="24"/>
    </w:rPr>
  </w:style>
  <w:style w:type="character" w:customStyle="1" w:styleId="225">
    <w:name w:val="正文360首行缩进 Char"/>
    <w:basedOn w:val="45"/>
    <w:link w:val="226"/>
    <w:qFormat/>
    <w:locked/>
    <w:uiPriority w:val="0"/>
    <w:rPr>
      <w:rFonts w:ascii="Times New Roman" w:hAnsi="Times New Roman" w:eastAsia="宋体" w:cs="Times New Roman"/>
      <w:sz w:val="24"/>
    </w:rPr>
  </w:style>
  <w:style w:type="paragraph" w:customStyle="1" w:styleId="226">
    <w:name w:val="正文360首行缩进"/>
    <w:basedOn w:val="1"/>
    <w:link w:val="225"/>
    <w:qFormat/>
    <w:uiPriority w:val="0"/>
    <w:pPr>
      <w:widowControl/>
      <w:spacing w:before="120" w:line="300" w:lineRule="auto"/>
      <w:ind w:firstLine="200" w:firstLineChars="200"/>
      <w:jc w:val="left"/>
    </w:pPr>
    <w:rPr>
      <w:rFonts w:ascii="Times New Roman" w:hAnsi="Times New Roman"/>
      <w:sz w:val="24"/>
    </w:rPr>
  </w:style>
  <w:style w:type="paragraph" w:customStyle="1" w:styleId="227">
    <w:name w:val="列出段落1_0"/>
    <w:basedOn w:val="1"/>
    <w:qFormat/>
    <w:uiPriority w:val="99"/>
    <w:pPr>
      <w:ind w:firstLine="420" w:firstLineChars="200"/>
    </w:pPr>
    <w:rPr>
      <w:szCs w:val="21"/>
    </w:rPr>
  </w:style>
  <w:style w:type="paragraph" w:customStyle="1" w:styleId="228">
    <w:name w:val="Normal_59"/>
    <w:qFormat/>
    <w:uiPriority w:val="0"/>
    <w:pPr>
      <w:spacing w:before="120" w:after="240" w:line="276" w:lineRule="auto"/>
      <w:jc w:val="both"/>
    </w:pPr>
    <w:rPr>
      <w:rFonts w:ascii="Times New Roman" w:hAnsi="Times New Roman" w:eastAsia="Calibri" w:cs="Times New Roman"/>
      <w:sz w:val="22"/>
      <w:szCs w:val="22"/>
      <w:lang w:val="ru-RU" w:eastAsia="en-US" w:bidi="ar-SA"/>
    </w:rPr>
  </w:style>
  <w:style w:type="paragraph" w:customStyle="1" w:styleId="229">
    <w:name w:val="Char1 Char Char Char Char Char Char_0"/>
    <w:basedOn w:val="1"/>
    <w:qFormat/>
    <w:uiPriority w:val="0"/>
    <w:rPr>
      <w:rFonts w:ascii="Tahoma" w:hAnsi="Tahoma"/>
      <w:sz w:val="24"/>
      <w:szCs w:val="20"/>
    </w:rPr>
  </w:style>
  <w:style w:type="paragraph" w:customStyle="1" w:styleId="230">
    <w:name w:val="样式 标题 2 + Times New Roman 四号 非加粗 段前: 5 磅 段后: 0 磅 行距: 固定值 20..."/>
    <w:basedOn w:val="3"/>
    <w:qFormat/>
    <w:uiPriority w:val="0"/>
    <w:pPr>
      <w:numPr>
        <w:ilvl w:val="0"/>
        <w:numId w:val="0"/>
      </w:numPr>
      <w:spacing w:before="100" w:line="400" w:lineRule="exact"/>
      <w:jc w:val="both"/>
    </w:pPr>
    <w:rPr>
      <w:rFonts w:ascii="Times New Roman" w:hAnsi="Times New Roman" w:eastAsia="黑体"/>
      <w:b w:val="0"/>
      <w:szCs w:val="32"/>
    </w:rPr>
  </w:style>
  <w:style w:type="paragraph" w:customStyle="1" w:styleId="231">
    <w:name w:val="列出段落111"/>
    <w:basedOn w:val="1"/>
    <w:qFormat/>
    <w:uiPriority w:val="99"/>
    <w:pPr>
      <w:ind w:firstLine="420" w:firstLineChars="200"/>
    </w:pPr>
    <w:rPr>
      <w:rFonts w:ascii="Times New Roman" w:hAnsi="Times New Roman"/>
    </w:rPr>
  </w:style>
  <w:style w:type="paragraph" w:customStyle="1" w:styleId="232">
    <w:name w:val="修订3"/>
    <w:qFormat/>
    <w:uiPriority w:val="99"/>
    <w:rPr>
      <w:rFonts w:ascii="Calibri" w:hAnsi="Calibri" w:eastAsia="宋体" w:cs="Times New Roman"/>
      <w:kern w:val="2"/>
      <w:sz w:val="21"/>
      <w:szCs w:val="22"/>
      <w:lang w:val="en-US" w:eastAsia="zh-CN" w:bidi="ar-SA"/>
    </w:rPr>
  </w:style>
  <w:style w:type="paragraph" w:customStyle="1" w:styleId="233">
    <w:name w:val="List Paragraph1"/>
    <w:basedOn w:val="1"/>
    <w:qFormat/>
    <w:uiPriority w:val="99"/>
    <w:pPr>
      <w:ind w:firstLine="420" w:firstLineChars="200"/>
    </w:pPr>
    <w:rPr>
      <w:rFonts w:ascii="Times New Roman" w:hAnsi="Times New Roman"/>
      <w:szCs w:val="24"/>
    </w:rPr>
  </w:style>
  <w:style w:type="paragraph" w:customStyle="1" w:styleId="234">
    <w:name w:val="正文_58"/>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35">
    <w:name w:val="正文（绿盟科技）"/>
    <w:qFormat/>
    <w:uiPriority w:val="99"/>
    <w:pPr>
      <w:spacing w:line="300" w:lineRule="auto"/>
    </w:pPr>
    <w:rPr>
      <w:rFonts w:ascii="Arial" w:hAnsi="Arial" w:eastAsia="宋体" w:cs="黑体"/>
      <w:sz w:val="21"/>
      <w:szCs w:val="21"/>
      <w:lang w:val="en-US" w:eastAsia="zh-CN" w:bidi="ar-SA"/>
    </w:rPr>
  </w:style>
  <w:style w:type="paragraph" w:customStyle="1" w:styleId="236">
    <w:name w:val="标题 5（有编号）（绿盟科技）"/>
    <w:basedOn w:val="1"/>
    <w:next w:val="235"/>
    <w:qFormat/>
    <w:uiPriority w:val="99"/>
    <w:pPr>
      <w:keepNext/>
      <w:keepLines/>
      <w:tabs>
        <w:tab w:val="left" w:pos="0"/>
      </w:tabs>
      <w:spacing w:before="280" w:after="156" w:line="376" w:lineRule="auto"/>
      <w:ind w:left="1958" w:hanging="420"/>
      <w:jc w:val="left"/>
      <w:outlineLvl w:val="4"/>
    </w:pPr>
    <w:rPr>
      <w:rFonts w:ascii="Arial" w:hAnsi="Arial" w:eastAsia="黑体"/>
      <w:b/>
      <w:sz w:val="24"/>
      <w:szCs w:val="28"/>
    </w:rPr>
  </w:style>
  <w:style w:type="paragraph" w:customStyle="1" w:styleId="237">
    <w:name w:val="09、“1.”表格内一级标题"/>
    <w:basedOn w:val="1"/>
    <w:qFormat/>
    <w:uiPriority w:val="99"/>
    <w:pPr>
      <w:tabs>
        <w:tab w:val="left" w:pos="0"/>
        <w:tab w:val="left" w:pos="420"/>
      </w:tabs>
      <w:wordWrap w:val="0"/>
      <w:topLinePunct/>
      <w:snapToGrid w:val="0"/>
      <w:spacing w:line="360" w:lineRule="exact"/>
      <w:ind w:left="48" w:leftChars="20" w:hanging="425"/>
    </w:pPr>
    <w:rPr>
      <w:rFonts w:ascii="宋体" w:hAnsi="宋体"/>
    </w:rPr>
  </w:style>
  <w:style w:type="paragraph" w:customStyle="1" w:styleId="238">
    <w:name w:val="12、表格内左对齐正文"/>
    <w:basedOn w:val="1"/>
    <w:qFormat/>
    <w:uiPriority w:val="99"/>
    <w:pPr>
      <w:tabs>
        <w:tab w:val="left" w:pos="0"/>
      </w:tabs>
      <w:wordWrap w:val="0"/>
      <w:topLinePunct/>
      <w:snapToGrid w:val="0"/>
      <w:spacing w:line="360" w:lineRule="exact"/>
      <w:ind w:left="48" w:leftChars="20"/>
    </w:pPr>
    <w:rPr>
      <w:rFonts w:ascii="宋体" w:hAnsi="宋体"/>
    </w:rPr>
  </w:style>
  <w:style w:type="paragraph" w:customStyle="1" w:styleId="239">
    <w:name w:val="修订11"/>
    <w:qFormat/>
    <w:uiPriority w:val="99"/>
    <w:rPr>
      <w:rFonts w:ascii="Calibri" w:hAnsi="Calibri" w:eastAsia="宋体" w:cs="Times New Roman"/>
      <w:kern w:val="2"/>
      <w:sz w:val="21"/>
      <w:szCs w:val="22"/>
      <w:lang w:val="en-US" w:eastAsia="zh-CN" w:bidi="ar-SA"/>
    </w:rPr>
  </w:style>
  <w:style w:type="paragraph" w:customStyle="1" w:styleId="240">
    <w:name w:val="_Style 32"/>
    <w:basedOn w:val="1"/>
    <w:next w:val="1"/>
    <w:qFormat/>
    <w:uiPriority w:val="99"/>
    <w:pPr>
      <w:spacing w:line="240" w:lineRule="atLeast"/>
      <w:ind w:left="420" w:firstLine="420"/>
      <w:jc w:val="left"/>
    </w:pPr>
    <w:rPr>
      <w:rFonts w:ascii="Times New Roman" w:hAnsi="Times New Roman"/>
      <w:szCs w:val="20"/>
    </w:rPr>
  </w:style>
  <w:style w:type="character" w:customStyle="1" w:styleId="241">
    <w:name w:val="占位符文本1"/>
    <w:basedOn w:val="45"/>
    <w:semiHidden/>
    <w:qFormat/>
    <w:uiPriority w:val="99"/>
    <w:rPr>
      <w:color w:val="808080"/>
    </w:rPr>
  </w:style>
  <w:style w:type="character" w:customStyle="1" w:styleId="242">
    <w:name w:val="页眉 字符1"/>
    <w:basedOn w:val="45"/>
    <w:semiHidden/>
    <w:qFormat/>
    <w:locked/>
    <w:uiPriority w:val="99"/>
    <w:rPr>
      <w:rFonts w:ascii="Calibri" w:hAnsi="Calibri" w:eastAsia="宋体" w:cs="Times New Roman"/>
      <w:kern w:val="0"/>
      <w:sz w:val="18"/>
      <w:szCs w:val="18"/>
    </w:rPr>
  </w:style>
  <w:style w:type="character" w:customStyle="1" w:styleId="243">
    <w:name w:val="正文文本 字符1"/>
    <w:basedOn w:val="45"/>
    <w:semiHidden/>
    <w:qFormat/>
    <w:locked/>
    <w:uiPriority w:val="99"/>
    <w:rPr>
      <w:rFonts w:ascii="Calibri" w:hAnsi="Calibri" w:eastAsia="宋体" w:cs="Times New Roman"/>
    </w:rPr>
  </w:style>
  <w:style w:type="character" w:customStyle="1" w:styleId="244">
    <w:name w:val="批注框文本 字符1"/>
    <w:basedOn w:val="45"/>
    <w:semiHidden/>
    <w:qFormat/>
    <w:locked/>
    <w:uiPriority w:val="99"/>
    <w:rPr>
      <w:rFonts w:ascii="Times New Roman" w:hAnsi="Times New Roman" w:eastAsia="宋体" w:cs="Times New Roman"/>
      <w:kern w:val="0"/>
      <w:sz w:val="18"/>
      <w:szCs w:val="18"/>
    </w:rPr>
  </w:style>
  <w:style w:type="character" w:customStyle="1" w:styleId="245">
    <w:name w:val="NormalCharacter"/>
    <w:qFormat/>
    <w:uiPriority w:val="0"/>
  </w:style>
  <w:style w:type="paragraph" w:customStyle="1" w:styleId="246">
    <w:name w:val="BodyText1I"/>
    <w:basedOn w:val="1"/>
    <w:link w:val="247"/>
    <w:qFormat/>
    <w:uiPriority w:val="0"/>
  </w:style>
  <w:style w:type="character" w:customStyle="1" w:styleId="247">
    <w:name w:val="UserStyle_9"/>
    <w:basedOn w:val="45"/>
    <w:link w:val="246"/>
    <w:qFormat/>
    <w:locked/>
    <w:uiPriority w:val="0"/>
    <w:rPr>
      <w:rFonts w:ascii="Calibri" w:hAnsi="Calibri" w:eastAsia="宋体" w:cs="Times New Roman"/>
    </w:rPr>
  </w:style>
  <w:style w:type="character" w:customStyle="1" w:styleId="248">
    <w:name w:val="15"/>
    <w:basedOn w:val="45"/>
    <w:qFormat/>
    <w:uiPriority w:val="0"/>
    <w:rPr>
      <w:rFonts w:hint="default" w:ascii="Calibri" w:hAnsi="Calibri"/>
    </w:rPr>
  </w:style>
  <w:style w:type="character" w:customStyle="1" w:styleId="249">
    <w:name w:val="批注文字 Char1"/>
    <w:basedOn w:val="45"/>
    <w:semiHidden/>
    <w:qFormat/>
    <w:locked/>
    <w:uiPriority w:val="0"/>
    <w:rPr>
      <w:rFonts w:hint="default" w:ascii="Calibri" w:hAnsi="Calibri" w:eastAsia="宋体" w:cs="Times New Roman"/>
    </w:rPr>
  </w:style>
  <w:style w:type="character" w:customStyle="1" w:styleId="250">
    <w:name w:val="font21"/>
    <w:qFormat/>
    <w:uiPriority w:val="0"/>
    <w:rPr>
      <w:rFonts w:hint="default" w:ascii="Arial" w:hAnsi="Arial" w:cs="Arial"/>
      <w:color w:val="000000"/>
      <w:sz w:val="18"/>
      <w:szCs w:val="18"/>
      <w:u w:val="none"/>
    </w:rPr>
  </w:style>
  <w:style w:type="character" w:customStyle="1" w:styleId="251">
    <w:name w:val="_Style 8"/>
    <w:qFormat/>
    <w:uiPriority w:val="32"/>
    <w:rPr>
      <w:b/>
      <w:bCs/>
      <w:smallCaps/>
      <w:color w:val="C0504D"/>
      <w:spacing w:val="5"/>
      <w:u w:val="single"/>
    </w:rPr>
  </w:style>
  <w:style w:type="character" w:customStyle="1" w:styleId="252">
    <w:name w:val="l-btn-icon-left"/>
    <w:basedOn w:val="45"/>
    <w:qFormat/>
    <w:uiPriority w:val="0"/>
  </w:style>
  <w:style w:type="character" w:customStyle="1" w:styleId="253">
    <w:name w:val="l-btn-icon-left1"/>
    <w:basedOn w:val="45"/>
    <w:qFormat/>
    <w:uiPriority w:val="0"/>
  </w:style>
  <w:style w:type="character" w:customStyle="1" w:styleId="254">
    <w:name w:val="l-btn-empty"/>
    <w:basedOn w:val="45"/>
    <w:qFormat/>
    <w:uiPriority w:val="0"/>
  </w:style>
  <w:style w:type="character" w:customStyle="1" w:styleId="255">
    <w:name w:val="l-btn-icon-right"/>
    <w:basedOn w:val="45"/>
    <w:qFormat/>
    <w:uiPriority w:val="0"/>
  </w:style>
  <w:style w:type="character" w:customStyle="1" w:styleId="256">
    <w:name w:val="l-btn-left2"/>
    <w:basedOn w:val="45"/>
    <w:qFormat/>
    <w:uiPriority w:val="0"/>
  </w:style>
  <w:style w:type="character" w:customStyle="1" w:styleId="257">
    <w:name w:val="l-btn-left3"/>
    <w:basedOn w:val="45"/>
    <w:qFormat/>
    <w:uiPriority w:val="0"/>
  </w:style>
  <w:style w:type="character" w:customStyle="1" w:styleId="258">
    <w:name w:val="l-btn-left4"/>
    <w:basedOn w:val="45"/>
    <w:qFormat/>
    <w:uiPriority w:val="0"/>
  </w:style>
  <w:style w:type="character" w:customStyle="1" w:styleId="259">
    <w:name w:val="l-btn-left5"/>
    <w:basedOn w:val="45"/>
    <w:qFormat/>
    <w:uiPriority w:val="0"/>
  </w:style>
  <w:style w:type="character" w:customStyle="1" w:styleId="260">
    <w:name w:val="l-btn-left6"/>
    <w:basedOn w:val="45"/>
    <w:qFormat/>
    <w:uiPriority w:val="0"/>
  </w:style>
  <w:style w:type="character" w:customStyle="1" w:styleId="261">
    <w:name w:val="l-btn-text"/>
    <w:basedOn w:val="45"/>
    <w:qFormat/>
    <w:uiPriority w:val="0"/>
    <w:rPr>
      <w:vertAlign w:val="baseline"/>
    </w:rPr>
  </w:style>
  <w:style w:type="character" w:customStyle="1" w:styleId="262">
    <w:name w:val="l-btn-text1"/>
    <w:basedOn w:val="45"/>
    <w:qFormat/>
    <w:uiPriority w:val="0"/>
    <w:rPr>
      <w:vertAlign w:val="baseline"/>
    </w:rPr>
  </w:style>
  <w:style w:type="character" w:customStyle="1" w:styleId="263">
    <w:name w:val="ajaxtitle"/>
    <w:basedOn w:val="45"/>
    <w:qFormat/>
    <w:uiPriority w:val="0"/>
  </w:style>
  <w:style w:type="character" w:customStyle="1" w:styleId="264">
    <w:name w:val="json_key"/>
    <w:basedOn w:val="45"/>
    <w:qFormat/>
    <w:uiPriority w:val="0"/>
  </w:style>
  <w:style w:type="character" w:customStyle="1" w:styleId="265">
    <w:name w:val="json_string"/>
    <w:basedOn w:val="45"/>
    <w:qFormat/>
    <w:uiPriority w:val="0"/>
  </w:style>
  <w:style w:type="character" w:customStyle="1" w:styleId="266">
    <w:name w:val="标题 2 Char1"/>
    <w:basedOn w:val="45"/>
    <w:semiHidden/>
    <w:qFormat/>
    <w:uiPriority w:val="99"/>
    <w:rPr>
      <w:rFonts w:hint="eastAsia" w:asciiTheme="majorHAnsi" w:hAnsiTheme="majorHAnsi" w:eastAsiaTheme="majorEastAsia" w:cstheme="majorBidi"/>
      <w:b/>
      <w:bCs/>
      <w:kern w:val="2"/>
      <w:sz w:val="32"/>
      <w:szCs w:val="32"/>
    </w:rPr>
  </w:style>
  <w:style w:type="character" w:customStyle="1" w:styleId="267">
    <w:name w:val="标题 3 Char1"/>
    <w:basedOn w:val="45"/>
    <w:semiHidden/>
    <w:qFormat/>
    <w:uiPriority w:val="99"/>
    <w:rPr>
      <w:rFonts w:hint="default" w:ascii="Calibri" w:hAnsi="Calibri"/>
      <w:b/>
      <w:bCs/>
      <w:kern w:val="2"/>
      <w:sz w:val="32"/>
      <w:szCs w:val="32"/>
    </w:rPr>
  </w:style>
  <w:style w:type="character" w:customStyle="1" w:styleId="268">
    <w:name w:val="标题 4 Char1"/>
    <w:basedOn w:val="45"/>
    <w:semiHidden/>
    <w:qFormat/>
    <w:uiPriority w:val="9"/>
    <w:rPr>
      <w:rFonts w:hint="eastAsia" w:asciiTheme="majorHAnsi" w:hAnsiTheme="majorHAnsi" w:eastAsiaTheme="majorEastAsia" w:cstheme="majorBidi"/>
      <w:b/>
      <w:bCs/>
      <w:kern w:val="2"/>
      <w:sz w:val="28"/>
      <w:szCs w:val="28"/>
    </w:rPr>
  </w:style>
  <w:style w:type="character" w:customStyle="1" w:styleId="269">
    <w:name w:val="正文文本缩进 2 Char1"/>
    <w:basedOn w:val="45"/>
    <w:semiHidden/>
    <w:qFormat/>
    <w:uiPriority w:val="99"/>
    <w:rPr>
      <w:rFonts w:hint="default" w:ascii="Calibri" w:hAnsi="Calibri" w:cs="Calibri"/>
      <w:kern w:val="2"/>
      <w:sz w:val="21"/>
      <w:szCs w:val="22"/>
    </w:rPr>
  </w:style>
  <w:style w:type="character" w:customStyle="1" w:styleId="270">
    <w:name w:val="正文文本缩进 Char1"/>
    <w:basedOn w:val="45"/>
    <w:semiHidden/>
    <w:qFormat/>
    <w:uiPriority w:val="99"/>
    <w:rPr>
      <w:rFonts w:hint="default" w:ascii="Calibri" w:hAnsi="Calibri" w:cs="Calibri"/>
      <w:kern w:val="2"/>
      <w:sz w:val="21"/>
      <w:szCs w:val="22"/>
    </w:rPr>
  </w:style>
  <w:style w:type="character" w:customStyle="1" w:styleId="271">
    <w:name w:val="正文文本 3 Char1"/>
    <w:basedOn w:val="45"/>
    <w:semiHidden/>
    <w:qFormat/>
    <w:uiPriority w:val="99"/>
    <w:rPr>
      <w:rFonts w:hint="default" w:ascii="Calibri" w:hAnsi="Calibri" w:cs="Calibri"/>
      <w:kern w:val="2"/>
      <w:sz w:val="16"/>
      <w:szCs w:val="16"/>
    </w:rPr>
  </w:style>
  <w:style w:type="character" w:customStyle="1" w:styleId="272">
    <w:name w:val="正文文本缩进 3 Char1"/>
    <w:basedOn w:val="45"/>
    <w:semiHidden/>
    <w:qFormat/>
    <w:uiPriority w:val="99"/>
    <w:rPr>
      <w:rFonts w:hint="default" w:ascii="Calibri" w:hAnsi="Calibri" w:cs="Calibri"/>
      <w:kern w:val="2"/>
      <w:sz w:val="16"/>
      <w:szCs w:val="16"/>
    </w:rPr>
  </w:style>
  <w:style w:type="character" w:customStyle="1" w:styleId="273">
    <w:name w:val="批注框文本 Char1"/>
    <w:basedOn w:val="45"/>
    <w:semiHidden/>
    <w:qFormat/>
    <w:uiPriority w:val="99"/>
    <w:rPr>
      <w:rFonts w:hint="default" w:ascii="Calibri" w:hAnsi="Calibri" w:cs="Calibri"/>
      <w:kern w:val="2"/>
      <w:sz w:val="18"/>
      <w:szCs w:val="18"/>
    </w:rPr>
  </w:style>
  <w:style w:type="character" w:customStyle="1" w:styleId="274">
    <w:name w:val="文档结构图 Char1"/>
    <w:basedOn w:val="45"/>
    <w:semiHidden/>
    <w:qFormat/>
    <w:uiPriority w:val="99"/>
    <w:rPr>
      <w:rFonts w:hint="eastAsia" w:ascii="宋体" w:hAnsi="Calibri" w:eastAsia="宋体"/>
      <w:kern w:val="2"/>
      <w:sz w:val="18"/>
      <w:szCs w:val="18"/>
    </w:rPr>
  </w:style>
  <w:style w:type="character" w:customStyle="1" w:styleId="275">
    <w:name w:val="页眉 Char1"/>
    <w:basedOn w:val="45"/>
    <w:semiHidden/>
    <w:qFormat/>
    <w:uiPriority w:val="99"/>
    <w:rPr>
      <w:rFonts w:hint="default" w:ascii="Calibri" w:hAnsi="Calibri" w:cs="Calibri"/>
      <w:kern w:val="2"/>
      <w:sz w:val="18"/>
      <w:szCs w:val="18"/>
    </w:rPr>
  </w:style>
  <w:style w:type="character" w:customStyle="1" w:styleId="276">
    <w:name w:val="日期 Char1"/>
    <w:basedOn w:val="45"/>
    <w:semiHidden/>
    <w:qFormat/>
    <w:uiPriority w:val="99"/>
    <w:rPr>
      <w:rFonts w:hint="default" w:ascii="Calibri" w:hAnsi="Calibri" w:cs="Calibri"/>
      <w:kern w:val="2"/>
      <w:sz w:val="21"/>
      <w:szCs w:val="22"/>
    </w:rPr>
  </w:style>
  <w:style w:type="character" w:customStyle="1" w:styleId="277">
    <w:name w:val="正文文本 Char3"/>
    <w:basedOn w:val="45"/>
    <w:qFormat/>
    <w:uiPriority w:val="99"/>
    <w:rPr>
      <w:rFonts w:hint="default" w:ascii="Calibri" w:hAnsi="Calibri" w:cs="Calibri"/>
      <w:kern w:val="2"/>
      <w:sz w:val="21"/>
      <w:szCs w:val="22"/>
    </w:rPr>
  </w:style>
  <w:style w:type="character" w:customStyle="1" w:styleId="278">
    <w:name w:val="纯文本 Char2"/>
    <w:basedOn w:val="45"/>
    <w:qFormat/>
    <w:uiPriority w:val="99"/>
    <w:rPr>
      <w:rFonts w:hint="eastAsia" w:ascii="宋体" w:hAnsi="Courier New" w:eastAsia="宋体" w:cs="Courier New"/>
      <w:kern w:val="2"/>
      <w:sz w:val="21"/>
      <w:szCs w:val="21"/>
    </w:rPr>
  </w:style>
  <w:style w:type="character" w:customStyle="1" w:styleId="279">
    <w:name w:val="正文首行缩进 Char1"/>
    <w:basedOn w:val="277"/>
    <w:semiHidden/>
    <w:qFormat/>
    <w:uiPriority w:val="99"/>
    <w:rPr>
      <w:rFonts w:hint="default" w:ascii="Calibri" w:hAnsi="Calibri" w:cs="Calibri"/>
      <w:kern w:val="2"/>
      <w:sz w:val="21"/>
      <w:szCs w:val="22"/>
    </w:rPr>
  </w:style>
  <w:style w:type="character" w:customStyle="1" w:styleId="280">
    <w:name w:val="正文文本 2 Char1"/>
    <w:basedOn w:val="45"/>
    <w:semiHidden/>
    <w:qFormat/>
    <w:uiPriority w:val="99"/>
    <w:rPr>
      <w:rFonts w:hint="default" w:ascii="Calibri" w:hAnsi="Calibri" w:cs="Calibri"/>
      <w:kern w:val="2"/>
      <w:sz w:val="21"/>
      <w:szCs w:val="22"/>
    </w:rPr>
  </w:style>
  <w:style w:type="character" w:customStyle="1" w:styleId="281">
    <w:name w:val="副标题 Char2"/>
    <w:basedOn w:val="45"/>
    <w:qFormat/>
    <w:uiPriority w:val="11"/>
    <w:rPr>
      <w:rFonts w:hint="eastAsia" w:eastAsia="等线 Light" w:asciiTheme="majorHAnsi" w:hAnsiTheme="majorHAnsi" w:cstheme="majorBidi"/>
      <w:b/>
      <w:bCs/>
      <w:kern w:val="28"/>
      <w:sz w:val="32"/>
      <w:szCs w:val="32"/>
    </w:rPr>
  </w:style>
  <w:style w:type="character" w:customStyle="1" w:styleId="282">
    <w:name w:val="font61"/>
    <w:qFormat/>
    <w:uiPriority w:val="0"/>
    <w:rPr>
      <w:rFonts w:hint="eastAsia" w:ascii="仿宋_GB2312" w:eastAsia="仿宋_GB2312" w:cs="仿宋_GB2312"/>
      <w:color w:val="000000"/>
      <w:sz w:val="24"/>
      <w:szCs w:val="24"/>
      <w:u w:val="none"/>
    </w:rPr>
  </w:style>
  <w:style w:type="character" w:customStyle="1" w:styleId="283">
    <w:name w:val="font31"/>
    <w:qFormat/>
    <w:uiPriority w:val="0"/>
    <w:rPr>
      <w:rFonts w:hint="eastAsia" w:ascii="宋体" w:hAnsi="宋体" w:eastAsia="宋体" w:cs="宋体"/>
      <w:color w:val="FF0000"/>
      <w:sz w:val="24"/>
      <w:szCs w:val="24"/>
      <w:u w:val="none"/>
    </w:rPr>
  </w:style>
  <w:style w:type="character" w:customStyle="1" w:styleId="284">
    <w:name w:val="font221"/>
    <w:qFormat/>
    <w:uiPriority w:val="0"/>
    <w:rPr>
      <w:rFonts w:hint="eastAsia" w:ascii="宋体" w:hAnsi="宋体" w:eastAsia="宋体" w:cs="宋体"/>
      <w:color w:val="000000"/>
      <w:sz w:val="24"/>
      <w:szCs w:val="24"/>
      <w:u w:val="none"/>
    </w:rPr>
  </w:style>
  <w:style w:type="character" w:customStyle="1" w:styleId="285">
    <w:name w:val="font121"/>
    <w:basedOn w:val="45"/>
    <w:qFormat/>
    <w:uiPriority w:val="0"/>
    <w:rPr>
      <w:rFonts w:hint="eastAsia" w:ascii="宋体" w:hAnsi="宋体" w:eastAsia="宋体" w:cs="宋体"/>
      <w:color w:val="000000"/>
      <w:sz w:val="22"/>
      <w:szCs w:val="22"/>
      <w:u w:val="none"/>
    </w:rPr>
  </w:style>
  <w:style w:type="character" w:customStyle="1" w:styleId="286">
    <w:name w:val="font41"/>
    <w:basedOn w:val="45"/>
    <w:qFormat/>
    <w:uiPriority w:val="0"/>
    <w:rPr>
      <w:rFonts w:hint="eastAsia" w:ascii="宋体" w:hAnsi="宋体" w:eastAsia="宋体" w:cs="宋体"/>
      <w:b/>
      <w:color w:val="000000"/>
      <w:sz w:val="22"/>
      <w:szCs w:val="22"/>
      <w:u w:val="none"/>
    </w:rPr>
  </w:style>
  <w:style w:type="character" w:customStyle="1" w:styleId="287">
    <w:name w:val="font71"/>
    <w:basedOn w:val="45"/>
    <w:qFormat/>
    <w:uiPriority w:val="0"/>
    <w:rPr>
      <w:rFonts w:hint="eastAsia" w:ascii="宋体" w:hAnsi="宋体" w:eastAsia="宋体" w:cs="宋体"/>
      <w:color w:val="0D0D0D"/>
      <w:sz w:val="22"/>
      <w:szCs w:val="22"/>
      <w:u w:val="none"/>
    </w:rPr>
  </w:style>
  <w:style w:type="character" w:customStyle="1" w:styleId="288">
    <w:name w:val="qowt-font2"/>
    <w:basedOn w:val="45"/>
    <w:qFormat/>
    <w:uiPriority w:val="0"/>
  </w:style>
  <w:style w:type="character" w:customStyle="1" w:styleId="289">
    <w:name w:val="font91"/>
    <w:qFormat/>
    <w:uiPriority w:val="0"/>
    <w:rPr>
      <w:rFonts w:hint="eastAsia" w:ascii="宋体" w:hAnsi="宋体" w:eastAsia="宋体" w:cs="宋体"/>
      <w:color w:val="000000"/>
      <w:sz w:val="20"/>
      <w:szCs w:val="20"/>
      <w:u w:val="none"/>
      <w:vertAlign w:val="superscript"/>
    </w:rPr>
  </w:style>
  <w:style w:type="table" w:customStyle="1" w:styleId="290">
    <w:name w:val="网格型2"/>
    <w:basedOn w:val="43"/>
    <w:qFormat/>
    <w:uiPriority w:val="0"/>
    <w:pPr>
      <w:widowControl w:val="0"/>
      <w:spacing w:after="200" w:line="276" w:lineRule="auto"/>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91">
    <w:name w:val="标题 1 字符1"/>
    <w:basedOn w:val="45"/>
    <w:uiPriority w:val="0"/>
    <w:rPr>
      <w:rFonts w:eastAsia="宋体" w:cs="Times New Roman"/>
      <w:b/>
      <w:bCs/>
      <w:kern w:val="44"/>
      <w:sz w:val="44"/>
      <w:szCs w:val="44"/>
    </w:rPr>
  </w:style>
  <w:style w:type="character" w:customStyle="1" w:styleId="292">
    <w:name w:val="标题 2 字符1"/>
    <w:basedOn w:val="45"/>
    <w:semiHidden/>
    <w:uiPriority w:val="9"/>
    <w:rPr>
      <w:rFonts w:asciiTheme="majorHAnsi" w:hAnsiTheme="majorHAnsi" w:eastAsiaTheme="majorEastAsia" w:cstheme="majorBidi"/>
      <w:b/>
      <w:bCs/>
      <w:kern w:val="2"/>
      <w:sz w:val="32"/>
      <w:szCs w:val="32"/>
    </w:rPr>
  </w:style>
  <w:style w:type="character" w:customStyle="1" w:styleId="293">
    <w:name w:val="标题 3 字符1"/>
    <w:basedOn w:val="45"/>
    <w:semiHidden/>
    <w:uiPriority w:val="9"/>
    <w:rPr>
      <w:rFonts w:eastAsia="宋体" w:cs="Times New Roman"/>
      <w:b/>
      <w:bCs/>
      <w:kern w:val="2"/>
      <w:sz w:val="32"/>
      <w:szCs w:val="32"/>
    </w:rPr>
  </w:style>
  <w:style w:type="character" w:customStyle="1" w:styleId="294">
    <w:name w:val="批注文字 Char"/>
    <w:basedOn w:val="45"/>
    <w:semiHidden/>
    <w:qFormat/>
    <w:uiPriority w:val="99"/>
    <w:rPr>
      <w:rFonts w:ascii="Calibri" w:hAnsi="Calibri" w:eastAsia="宋体" w:cs="Times New Roman"/>
    </w:rPr>
  </w:style>
  <w:style w:type="paragraph" w:customStyle="1" w:styleId="295">
    <w:name w:val="修订4"/>
    <w:semiHidden/>
    <w:qFormat/>
    <w:uiPriority w:val="99"/>
    <w:rPr>
      <w:rFonts w:ascii="Calibri" w:hAnsi="Calibri" w:eastAsia="宋体" w:cs="Times New Roman"/>
      <w:kern w:val="2"/>
      <w:sz w:val="21"/>
      <w:szCs w:val="22"/>
      <w:lang w:val="en-US" w:eastAsia="zh-CN" w:bidi="ar-SA"/>
    </w:rPr>
  </w:style>
  <w:style w:type="paragraph" w:customStyle="1" w:styleId="296">
    <w:name w:val="1 Char2"/>
    <w:basedOn w:val="1"/>
    <w:semiHidden/>
    <w:qFormat/>
    <w:uiPriority w:val="0"/>
    <w:pPr>
      <w:widowControl/>
      <w:spacing w:after="160" w:line="240" w:lineRule="exact"/>
      <w:jc w:val="left"/>
    </w:pPr>
    <w:rPr>
      <w:rFonts w:ascii="Tahoma" w:hAnsi="Tahoma" w:eastAsia="Times New Roman"/>
      <w:kern w:val="0"/>
      <w:sz w:val="24"/>
      <w:szCs w:val="24"/>
      <w:lang w:eastAsia="en-US"/>
    </w:rPr>
  </w:style>
  <w:style w:type="character" w:customStyle="1" w:styleId="297">
    <w:name w:val="正文文本 Char2"/>
    <w:basedOn w:val="45"/>
    <w:qFormat/>
    <w:locked/>
    <w:uiPriority w:val="99"/>
    <w:rPr>
      <w:rFonts w:hint="default" w:ascii="Times New Roman" w:hAnsi="Times New Roman" w:eastAsia="宋体" w:cs="Times New Roman"/>
      <w:kern w:val="0"/>
      <w:sz w:val="20"/>
      <w:szCs w:val="20"/>
    </w:rPr>
  </w:style>
  <w:style w:type="character" w:customStyle="1" w:styleId="298">
    <w:name w:val="p121"/>
    <w:qFormat/>
    <w:uiPriority w:val="0"/>
    <w:rPr>
      <w:sz w:val="24"/>
    </w:rPr>
  </w:style>
  <w:style w:type="paragraph" w:customStyle="1" w:styleId="299">
    <w:name w:val="列表段落1"/>
    <w:basedOn w:val="1"/>
    <w:qFormat/>
    <w:uiPriority w:val="99"/>
    <w:pPr>
      <w:ind w:firstLine="420" w:firstLineChars="200"/>
    </w:pPr>
    <w:rPr>
      <w:rFonts w:ascii="宋体" w:hAnsi="宋体" w:cs="宋体"/>
      <w:sz w:val="28"/>
      <w:szCs w:val="28"/>
    </w:rPr>
  </w:style>
  <w:style w:type="character" w:customStyle="1" w:styleId="300">
    <w:name w:val="AnnotationReference"/>
    <w:qFormat/>
    <w:uiPriority w:val="0"/>
    <w:rPr>
      <w:sz w:val="21"/>
      <w:szCs w:val="21"/>
    </w:rPr>
  </w:style>
  <w:style w:type="paragraph" w:customStyle="1" w:styleId="301">
    <w:name w:val="179"/>
    <w:basedOn w:val="1"/>
    <w:qFormat/>
    <w:uiPriority w:val="0"/>
    <w:pPr>
      <w:widowControl/>
      <w:ind w:firstLine="420" w:firstLineChars="200"/>
      <w:textAlignment w:val="baseline"/>
    </w:pPr>
    <w:rPr>
      <w:rFonts w:ascii="宋体" w:hAnsi="宋体" w:cstheme="minorBidi"/>
      <w:sz w:val="28"/>
      <w:szCs w:val="28"/>
    </w:rPr>
  </w:style>
  <w:style w:type="paragraph" w:customStyle="1" w:styleId="302">
    <w:name w:val="Heading3"/>
    <w:basedOn w:val="1"/>
    <w:next w:val="1"/>
    <w:link w:val="303"/>
    <w:qFormat/>
    <w:uiPriority w:val="0"/>
    <w:pPr>
      <w:widowControl/>
      <w:spacing w:before="100" w:beforeAutospacing="1" w:after="100" w:afterAutospacing="1"/>
      <w:ind w:firstLine="560" w:firstLineChars="200"/>
      <w:jc w:val="left"/>
      <w:textAlignment w:val="baseline"/>
    </w:pPr>
    <w:rPr>
      <w:rFonts w:ascii="宋体" w:hAnsi="宋体" w:cs="宋体"/>
      <w:b/>
      <w:bCs/>
      <w:kern w:val="0"/>
      <w:sz w:val="27"/>
      <w:szCs w:val="27"/>
    </w:rPr>
  </w:style>
  <w:style w:type="character" w:customStyle="1" w:styleId="303">
    <w:name w:val="UserStyle_4"/>
    <w:link w:val="302"/>
    <w:qFormat/>
    <w:uiPriority w:val="0"/>
    <w:rPr>
      <w:rFonts w:ascii="宋体" w:hAnsi="宋体" w:eastAsia="宋体" w:cs="宋体"/>
      <w:b/>
      <w:bCs/>
      <w:kern w:val="0"/>
      <w:sz w:val="27"/>
      <w:szCs w:val="27"/>
    </w:rPr>
  </w:style>
  <w:style w:type="paragraph" w:customStyle="1" w:styleId="304">
    <w:name w:val="_Style 48"/>
    <w:basedOn w:val="1"/>
    <w:qFormat/>
    <w:uiPriority w:val="0"/>
    <w:pPr>
      <w:ind w:firstLine="420" w:firstLineChars="200"/>
    </w:pPr>
    <w:rPr>
      <w:rFonts w:ascii="宋体" w:hAnsi="宋体" w:cs="宋体"/>
      <w:sz w:val="28"/>
      <w:szCs w:val="28"/>
    </w:rPr>
  </w:style>
  <w:style w:type="character" w:customStyle="1" w:styleId="305">
    <w:name w:val="font101"/>
    <w:basedOn w:val="45"/>
    <w:qFormat/>
    <w:uiPriority w:val="0"/>
    <w:rPr>
      <w:rFonts w:hint="eastAsia" w:ascii="宋体" w:hAnsi="宋体" w:eastAsia="宋体" w:cs="宋体"/>
      <w:color w:val="FF0000"/>
      <w:sz w:val="18"/>
      <w:szCs w:val="18"/>
      <w:u w:val="none"/>
    </w:rPr>
  </w:style>
  <w:style w:type="character" w:customStyle="1" w:styleId="306">
    <w:name w:val="font51"/>
    <w:basedOn w:val="45"/>
    <w:qFormat/>
    <w:uiPriority w:val="0"/>
    <w:rPr>
      <w:rFonts w:ascii="Calibri" w:hAnsi="Calibri" w:cs="Calibri"/>
      <w:color w:val="000000"/>
      <w:sz w:val="21"/>
      <w:szCs w:val="21"/>
      <w:u w:val="none"/>
    </w:rPr>
  </w:style>
  <w:style w:type="paragraph" w:customStyle="1" w:styleId="307">
    <w:name w:val="Table Paragraph"/>
    <w:basedOn w:val="1"/>
    <w:qFormat/>
    <w:uiPriority w:val="1"/>
    <w:pPr>
      <w:ind w:firstLine="560" w:firstLineChars="200"/>
    </w:pPr>
    <w:rPr>
      <w:rFonts w:ascii="宋体" w:hAnsi="宋体" w:cs="宋体"/>
      <w:sz w:val="28"/>
      <w:szCs w:val="28"/>
      <w:lang w:val="zh-CN" w:bidi="zh-CN"/>
    </w:rPr>
  </w:style>
  <w:style w:type="character" w:customStyle="1" w:styleId="308">
    <w:name w:val="表格文字 字符"/>
    <w:basedOn w:val="45"/>
    <w:link w:val="96"/>
    <w:qFormat/>
    <w:uiPriority w:val="0"/>
    <w:rPr>
      <w:rFonts w:ascii="Times New (W1)" w:hAnsi="Times New (W1)" w:eastAsia="宋体" w:cs="Times New Roman"/>
      <w:spacing w:val="10"/>
      <w:szCs w:val="24"/>
    </w:rPr>
  </w:style>
  <w:style w:type="paragraph" w:customStyle="1" w:styleId="309">
    <w:name w:val="修订5"/>
    <w:hidden/>
    <w:semiHidden/>
    <w:uiPriority w:val="99"/>
    <w:rPr>
      <w:rFonts w:ascii="Calibri" w:hAnsi="Calibri" w:eastAsia="宋体" w:cs="Times New Roman"/>
      <w:kern w:val="2"/>
      <w:sz w:val="21"/>
      <w:szCs w:val="22"/>
      <w:lang w:val="en-US" w:eastAsia="zh-CN" w:bidi="ar-SA"/>
    </w:rPr>
  </w:style>
  <w:style w:type="paragraph" w:customStyle="1" w:styleId="310">
    <w:name w:val="qowt-stl-正文"/>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311">
    <w:name w:val="fontstyle01"/>
    <w:basedOn w:val="45"/>
    <w:qFormat/>
    <w:uiPriority w:val="0"/>
    <w:rPr>
      <w:rFonts w:hint="eastAsia" w:ascii="宋体" w:hAnsi="宋体" w:eastAsia="宋体"/>
      <w:color w:val="000000"/>
      <w:sz w:val="22"/>
      <w:szCs w:val="22"/>
    </w:rPr>
  </w:style>
  <w:style w:type="paragraph" w:customStyle="1" w:styleId="312">
    <w:name w:val="font5"/>
    <w:basedOn w:val="1"/>
    <w:uiPriority w:val="0"/>
    <w:pPr>
      <w:widowControl/>
      <w:spacing w:before="100" w:beforeAutospacing="1" w:after="100" w:afterAutospacing="1"/>
      <w:jc w:val="left"/>
    </w:pPr>
    <w:rPr>
      <w:rFonts w:ascii="宋体" w:hAnsi="宋体" w:cs="宋体"/>
      <w:kern w:val="0"/>
      <w:sz w:val="18"/>
      <w:szCs w:val="18"/>
    </w:rPr>
  </w:style>
  <w:style w:type="paragraph" w:customStyle="1" w:styleId="313">
    <w:name w:val="font6"/>
    <w:basedOn w:val="1"/>
    <w:uiPriority w:val="0"/>
    <w:pPr>
      <w:widowControl/>
      <w:spacing w:before="100" w:beforeAutospacing="1" w:after="100" w:afterAutospacing="1"/>
      <w:jc w:val="left"/>
    </w:pPr>
    <w:rPr>
      <w:rFonts w:ascii="Times New Roman" w:hAnsi="Times New Roman"/>
      <w:kern w:val="0"/>
      <w:szCs w:val="21"/>
    </w:rPr>
  </w:style>
  <w:style w:type="paragraph" w:customStyle="1" w:styleId="314">
    <w:name w:val="xl63"/>
    <w:basedOn w:val="1"/>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cs="宋体"/>
      <w:color w:val="000000"/>
      <w:kern w:val="0"/>
      <w:sz w:val="18"/>
      <w:szCs w:val="18"/>
    </w:rPr>
  </w:style>
  <w:style w:type="paragraph" w:customStyle="1" w:styleId="315">
    <w:name w:val="xl64"/>
    <w:basedOn w:val="1"/>
    <w:uiPriority w:val="0"/>
    <w:pPr>
      <w:widowControl/>
      <w:pBdr>
        <w:bottom w:val="single" w:color="auto" w:sz="8" w:space="0"/>
        <w:right w:val="single" w:color="auto" w:sz="8" w:space="0"/>
      </w:pBdr>
      <w:spacing w:before="100" w:beforeAutospacing="1" w:after="100" w:afterAutospacing="1"/>
      <w:jc w:val="center"/>
    </w:pPr>
    <w:rPr>
      <w:rFonts w:ascii="宋体" w:hAnsi="宋体" w:cs="宋体"/>
      <w:color w:val="000000"/>
      <w:kern w:val="0"/>
      <w:sz w:val="18"/>
      <w:szCs w:val="18"/>
    </w:rPr>
  </w:style>
  <w:style w:type="paragraph" w:customStyle="1" w:styleId="316">
    <w:name w:val="xl65"/>
    <w:basedOn w:val="1"/>
    <w:uiPriority w:val="0"/>
    <w:pPr>
      <w:widowControl/>
      <w:pBdr>
        <w:left w:val="single" w:color="auto" w:sz="8" w:space="0"/>
        <w:bottom w:val="single" w:color="auto" w:sz="8" w:space="0"/>
        <w:right w:val="single" w:color="auto" w:sz="8" w:space="0"/>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317">
    <w:name w:val="xl66"/>
    <w:basedOn w:val="1"/>
    <w:uiPriority w:val="0"/>
    <w:pPr>
      <w:widowControl/>
      <w:pBdr>
        <w:bottom w:val="single" w:color="auto" w:sz="8" w:space="0"/>
        <w:right w:val="single" w:color="auto" w:sz="8" w:space="0"/>
      </w:pBdr>
      <w:spacing w:before="100" w:beforeAutospacing="1" w:after="100" w:afterAutospacing="1"/>
      <w:jc w:val="center"/>
    </w:pPr>
    <w:rPr>
      <w:rFonts w:ascii="宋体" w:hAnsi="宋体" w:cs="宋体"/>
      <w:kern w:val="0"/>
      <w:sz w:val="18"/>
      <w:szCs w:val="18"/>
    </w:rPr>
  </w:style>
  <w:style w:type="paragraph" w:customStyle="1" w:styleId="318">
    <w:name w:val="xl67"/>
    <w:basedOn w:val="1"/>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cs="宋体"/>
      <w:color w:val="000000"/>
      <w:kern w:val="0"/>
      <w:sz w:val="18"/>
      <w:szCs w:val="18"/>
    </w:rPr>
  </w:style>
  <w:style w:type="paragraph" w:customStyle="1" w:styleId="319">
    <w:name w:val="xl68"/>
    <w:basedOn w:val="1"/>
    <w:qFormat/>
    <w:uiPriority w:val="0"/>
    <w:pPr>
      <w:widowControl/>
      <w:pBdr>
        <w:bottom w:val="single" w:color="auto" w:sz="8" w:space="0"/>
        <w:right w:val="single" w:color="auto" w:sz="8" w:space="0"/>
      </w:pBdr>
      <w:spacing w:before="100" w:beforeAutospacing="1" w:after="100" w:afterAutospacing="1"/>
      <w:jc w:val="center"/>
    </w:pPr>
    <w:rPr>
      <w:rFonts w:ascii="宋体" w:hAnsi="宋体" w:cs="宋体"/>
      <w:kern w:val="0"/>
      <w:sz w:val="18"/>
      <w:szCs w:val="18"/>
    </w:rPr>
  </w:style>
  <w:style w:type="paragraph" w:customStyle="1" w:styleId="320">
    <w:name w:val="xl69"/>
    <w:basedOn w:val="1"/>
    <w:uiPriority w:val="0"/>
    <w:pPr>
      <w:widowControl/>
      <w:pBdr>
        <w:bottom w:val="single" w:color="auto" w:sz="8" w:space="0"/>
        <w:right w:val="single" w:color="auto" w:sz="8" w:space="0"/>
      </w:pBdr>
      <w:spacing w:before="100" w:beforeAutospacing="1" w:after="100" w:afterAutospacing="1"/>
      <w:jc w:val="center"/>
    </w:pPr>
    <w:rPr>
      <w:rFonts w:ascii="宋体" w:hAnsi="宋体" w:cs="宋体"/>
      <w:color w:val="000000"/>
      <w:kern w:val="0"/>
      <w:sz w:val="18"/>
      <w:szCs w:val="18"/>
    </w:rPr>
  </w:style>
  <w:style w:type="paragraph" w:customStyle="1" w:styleId="321">
    <w:name w:val="xl70"/>
    <w:basedOn w:val="1"/>
    <w:uiPriority w:val="0"/>
    <w:pPr>
      <w:widowControl/>
      <w:pBdr>
        <w:bottom w:val="single" w:color="auto" w:sz="8" w:space="0"/>
        <w:right w:val="single" w:color="auto" w:sz="8" w:space="0"/>
      </w:pBdr>
      <w:shd w:val="clear" w:color="000000" w:fill="FFFFFF"/>
      <w:spacing w:before="100" w:beforeAutospacing="1" w:after="100" w:afterAutospacing="1"/>
      <w:jc w:val="center"/>
    </w:pPr>
    <w:rPr>
      <w:rFonts w:ascii="宋体" w:hAnsi="宋体" w:cs="宋体"/>
      <w:kern w:val="0"/>
      <w:sz w:val="18"/>
      <w:szCs w:val="18"/>
    </w:rPr>
  </w:style>
  <w:style w:type="paragraph" w:customStyle="1" w:styleId="322">
    <w:name w:val="xl71"/>
    <w:basedOn w:val="1"/>
    <w:uiPriority w:val="0"/>
    <w:pPr>
      <w:widowControl/>
      <w:pBdr>
        <w:bottom w:val="single" w:color="auto" w:sz="8" w:space="0"/>
        <w:right w:val="single" w:color="auto" w:sz="8" w:space="0"/>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323">
    <w:name w:val="xl72"/>
    <w:basedOn w:val="1"/>
    <w:uiPriority w:val="0"/>
    <w:pPr>
      <w:widowControl/>
      <w:pBdr>
        <w:bottom w:val="single" w:color="auto" w:sz="8" w:space="0"/>
        <w:right w:val="single" w:color="auto" w:sz="8" w:space="0"/>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324">
    <w:name w:val="xl73"/>
    <w:basedOn w:val="1"/>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18"/>
      <w:szCs w:val="18"/>
    </w:rPr>
  </w:style>
  <w:style w:type="paragraph" w:customStyle="1" w:styleId="325">
    <w:name w:val="xl74"/>
    <w:basedOn w:val="1"/>
    <w:uiPriority w:val="0"/>
    <w:pPr>
      <w:widowControl/>
      <w:pBdr>
        <w:top w:val="single" w:color="auto" w:sz="8" w:space="0"/>
        <w:left w:val="single" w:color="auto" w:sz="8" w:space="0"/>
        <w:bottom w:val="single" w:color="auto" w:sz="8" w:space="0"/>
      </w:pBdr>
      <w:spacing w:before="100" w:beforeAutospacing="1" w:after="100" w:afterAutospacing="1"/>
      <w:jc w:val="left"/>
    </w:pPr>
    <w:rPr>
      <w:rFonts w:ascii="宋体" w:hAnsi="宋体" w:cs="宋体"/>
      <w:color w:val="000000"/>
      <w:kern w:val="0"/>
      <w:sz w:val="18"/>
      <w:szCs w:val="18"/>
    </w:rPr>
  </w:style>
  <w:style w:type="paragraph" w:customStyle="1" w:styleId="326">
    <w:name w:val="xl75"/>
    <w:basedOn w:val="1"/>
    <w:uiPriority w:val="0"/>
    <w:pPr>
      <w:widowControl/>
      <w:pBdr>
        <w:top w:val="single" w:color="auto" w:sz="8" w:space="0"/>
        <w:bottom w:val="single" w:color="auto" w:sz="8" w:space="0"/>
      </w:pBdr>
      <w:spacing w:before="100" w:beforeAutospacing="1" w:after="100" w:afterAutospacing="1"/>
      <w:jc w:val="left"/>
    </w:pPr>
    <w:rPr>
      <w:rFonts w:ascii="宋体" w:hAnsi="宋体" w:cs="宋体"/>
      <w:color w:val="000000"/>
      <w:kern w:val="0"/>
      <w:sz w:val="18"/>
      <w:szCs w:val="18"/>
    </w:rPr>
  </w:style>
  <w:style w:type="paragraph" w:customStyle="1" w:styleId="327">
    <w:name w:val="xl76"/>
    <w:basedOn w:val="1"/>
    <w:uiPriority w:val="0"/>
    <w:pPr>
      <w:widowControl/>
      <w:pBdr>
        <w:top w:val="single" w:color="auto" w:sz="8" w:space="0"/>
        <w:bottom w:val="single" w:color="auto" w:sz="8" w:space="0"/>
        <w:right w:val="single" w:color="auto" w:sz="8" w:space="0"/>
      </w:pBdr>
      <w:spacing w:before="100" w:beforeAutospacing="1" w:after="100" w:afterAutospacing="1"/>
      <w:jc w:val="left"/>
    </w:pPr>
    <w:rPr>
      <w:rFonts w:ascii="宋体" w:hAnsi="宋体" w:cs="宋体"/>
      <w:color w:val="000000"/>
      <w:kern w:val="0"/>
      <w:sz w:val="18"/>
      <w:szCs w:val="18"/>
    </w:rPr>
  </w:style>
  <w:style w:type="paragraph" w:customStyle="1" w:styleId="328">
    <w:name w:val="xl77"/>
    <w:basedOn w:val="1"/>
    <w:qFormat/>
    <w:uiPriority w:val="0"/>
    <w:pPr>
      <w:widowControl/>
      <w:pBdr>
        <w:top w:val="single" w:color="auto" w:sz="8" w:space="0"/>
        <w:left w:val="single" w:color="auto" w:sz="8" w:space="0"/>
        <w:bottom w:val="single" w:color="auto" w:sz="8" w:space="0"/>
      </w:pBdr>
      <w:spacing w:before="100" w:beforeAutospacing="1" w:after="100" w:afterAutospacing="1"/>
      <w:jc w:val="center"/>
    </w:pPr>
    <w:rPr>
      <w:rFonts w:ascii="宋体" w:hAnsi="宋体" w:cs="宋体"/>
      <w:kern w:val="0"/>
      <w:sz w:val="18"/>
      <w:szCs w:val="18"/>
    </w:rPr>
  </w:style>
  <w:style w:type="paragraph" w:customStyle="1" w:styleId="329">
    <w:name w:val="xl78"/>
    <w:basedOn w:val="1"/>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18"/>
      <w:szCs w:val="18"/>
    </w:rPr>
  </w:style>
  <w:style w:type="paragraph" w:customStyle="1" w:styleId="330">
    <w:name w:val="xl79"/>
    <w:basedOn w:val="1"/>
    <w:uiPriority w:val="0"/>
    <w:pPr>
      <w:widowControl/>
      <w:pBdr>
        <w:top w:val="single" w:color="auto" w:sz="8" w:space="0"/>
        <w:left w:val="single" w:color="auto" w:sz="8" w:space="0"/>
        <w:bottom w:val="single" w:color="auto" w:sz="8" w:space="0"/>
      </w:pBdr>
      <w:spacing w:before="100" w:beforeAutospacing="1" w:after="100" w:afterAutospacing="1"/>
      <w:jc w:val="left"/>
    </w:pPr>
    <w:rPr>
      <w:rFonts w:ascii="宋体" w:hAnsi="宋体" w:cs="宋体"/>
      <w:color w:val="000000"/>
      <w:kern w:val="0"/>
      <w:sz w:val="18"/>
      <w:szCs w:val="18"/>
    </w:rPr>
  </w:style>
  <w:style w:type="paragraph" w:customStyle="1" w:styleId="331">
    <w:name w:val="xl80"/>
    <w:basedOn w:val="1"/>
    <w:uiPriority w:val="0"/>
    <w:pPr>
      <w:widowControl/>
      <w:pBdr>
        <w:top w:val="single" w:color="auto" w:sz="8" w:space="0"/>
        <w:bottom w:val="single" w:color="auto" w:sz="8" w:space="0"/>
      </w:pBdr>
      <w:spacing w:before="100" w:beforeAutospacing="1" w:after="100" w:afterAutospacing="1"/>
      <w:jc w:val="left"/>
    </w:pPr>
    <w:rPr>
      <w:rFonts w:ascii="宋体" w:hAnsi="宋体" w:cs="宋体"/>
      <w:color w:val="000000"/>
      <w:kern w:val="0"/>
      <w:sz w:val="18"/>
      <w:szCs w:val="18"/>
    </w:rPr>
  </w:style>
  <w:style w:type="paragraph" w:customStyle="1" w:styleId="332">
    <w:name w:val="xl81"/>
    <w:basedOn w:val="1"/>
    <w:uiPriority w:val="0"/>
    <w:pPr>
      <w:widowControl/>
      <w:pBdr>
        <w:top w:val="single" w:color="auto" w:sz="8" w:space="0"/>
        <w:bottom w:val="single" w:color="auto" w:sz="8" w:space="0"/>
        <w:right w:val="single" w:color="auto" w:sz="8" w:space="0"/>
      </w:pBdr>
      <w:spacing w:before="100" w:beforeAutospacing="1" w:after="100" w:afterAutospacing="1"/>
      <w:jc w:val="left"/>
    </w:pPr>
    <w:rPr>
      <w:rFonts w:ascii="宋体" w:hAnsi="宋体" w:cs="宋体"/>
      <w:color w:val="000000"/>
      <w:kern w:val="0"/>
      <w:sz w:val="18"/>
      <w:szCs w:val="18"/>
    </w:rPr>
  </w:style>
  <w:style w:type="paragraph" w:customStyle="1" w:styleId="333">
    <w:name w:val="xl82"/>
    <w:basedOn w:val="1"/>
    <w:uiPriority w:val="0"/>
    <w:pPr>
      <w:widowControl/>
      <w:pBdr>
        <w:top w:val="single" w:color="auto" w:sz="8" w:space="0"/>
        <w:left w:val="single" w:color="auto" w:sz="8" w:space="0"/>
        <w:right w:val="single" w:color="auto" w:sz="8" w:space="0"/>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334">
    <w:name w:val="xl83"/>
    <w:basedOn w:val="1"/>
    <w:uiPriority w:val="0"/>
    <w:pPr>
      <w:widowControl/>
      <w:pBdr>
        <w:left w:val="single" w:color="auto" w:sz="8" w:space="0"/>
        <w:right w:val="single" w:color="auto" w:sz="8" w:space="0"/>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335">
    <w:name w:val="xl84"/>
    <w:basedOn w:val="1"/>
    <w:uiPriority w:val="0"/>
    <w:pPr>
      <w:widowControl/>
      <w:pBdr>
        <w:bottom w:val="single" w:color="auto" w:sz="8" w:space="0"/>
        <w:right w:val="single" w:color="auto" w:sz="8" w:space="0"/>
      </w:pBdr>
      <w:spacing w:before="100" w:beforeAutospacing="1" w:after="100" w:afterAutospacing="1"/>
      <w:jc w:val="left"/>
    </w:pPr>
    <w:rPr>
      <w:rFonts w:ascii="宋体" w:hAnsi="宋体" w:cs="宋体"/>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AFB5A4-A036-49E2-8211-AD2D8C9A72EC}">
  <ds:schemaRefs/>
</ds:datastoreItem>
</file>

<file path=docProps/app.xml><?xml version="1.0" encoding="utf-8"?>
<Properties xmlns="http://schemas.openxmlformats.org/officeDocument/2006/extended-properties" xmlns:vt="http://schemas.openxmlformats.org/officeDocument/2006/docPropsVTypes">
  <Template>Normal</Template>
  <Pages>134</Pages>
  <Words>14023</Words>
  <Characters>79933</Characters>
  <Lines>666</Lines>
  <Paragraphs>187</Paragraphs>
  <TotalTime>91</TotalTime>
  <ScaleCrop>false</ScaleCrop>
  <LinksUpToDate>false</LinksUpToDate>
  <CharactersWithSpaces>93769</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2021-07-20T07:19:00Z</dcterms:created>
  <dc:creator>高文豪</dc:creator>
  <cp:lastModifiedBy>HP</cp:lastModifiedBy>
  <cp:lastPrinted>2021-08-03T02:23:00Z</cp:lastPrinted>
  <dcterms:modified xsi:type="dcterms:W3CDTF">2021-08-03T07:15:09Z</dcterms:modified>
  <cp:revision>104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E1011CC273D24A2E9B8A0F9659830165</vt:lpwstr>
  </property>
</Properties>
</file>