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color w:val="000000" w:themeColor="text1"/>
          <w:spacing w:val="42"/>
          <w:sz w:val="84"/>
          <w14:textFill>
            <w14:solidFill>
              <w14:schemeClr w14:val="tx1"/>
            </w14:solidFill>
          </w14:textFill>
        </w:rPr>
      </w:pPr>
    </w:p>
    <w:p>
      <w:pPr>
        <w:spacing w:line="360" w:lineRule="auto"/>
        <w:jc w:val="center"/>
        <w:rPr>
          <w:rFonts w:ascii="华文中宋" w:hAnsi="华文中宋" w:eastAsia="华文中宋"/>
          <w:color w:val="000000" w:themeColor="text1"/>
          <w:spacing w:val="42"/>
          <w:sz w:val="130"/>
          <w:szCs w:val="130"/>
          <w14:textFill>
            <w14:solidFill>
              <w14:schemeClr w14:val="tx1"/>
            </w14:solidFill>
          </w14:textFill>
        </w:rPr>
      </w:pPr>
      <w:r>
        <w:rPr>
          <w:rFonts w:hint="eastAsia" w:ascii="华文中宋" w:hAnsi="华文中宋" w:eastAsia="华文中宋"/>
          <w:color w:val="000000" w:themeColor="text1"/>
          <w:spacing w:val="42"/>
          <w:sz w:val="130"/>
          <w:szCs w:val="130"/>
          <w14:textFill>
            <w14:solidFill>
              <w14:schemeClr w14:val="tx1"/>
            </w14:solidFill>
          </w14:textFill>
        </w:rPr>
        <w:t>招 标 文 件</w:t>
      </w:r>
    </w:p>
    <w:p>
      <w:pPr>
        <w:spacing w:line="360" w:lineRule="auto"/>
        <w:jc w:val="center"/>
        <w:rPr>
          <w:rFonts w:ascii="宋体" w:hAnsi="宋体"/>
          <w:color w:val="000000" w:themeColor="text1"/>
          <w:sz w:val="32"/>
          <w:szCs w:val="32"/>
          <w14:textFill>
            <w14:solidFill>
              <w14:schemeClr w14:val="tx1"/>
            </w14:solidFill>
          </w14:textFill>
        </w:rPr>
      </w:pPr>
    </w:p>
    <w:p>
      <w:pPr>
        <w:spacing w:line="360" w:lineRule="auto"/>
        <w:jc w:val="center"/>
        <w:rPr>
          <w:rFonts w:ascii="宋体" w:hAnsi="宋体"/>
          <w:color w:val="000000" w:themeColor="text1"/>
          <w:sz w:val="32"/>
          <w:szCs w:val="32"/>
          <w14:textFill>
            <w14:solidFill>
              <w14:schemeClr w14:val="tx1"/>
            </w14:solidFill>
          </w14:textFill>
        </w:rPr>
      </w:pPr>
    </w:p>
    <w:p>
      <w:pPr>
        <w:spacing w:line="360" w:lineRule="auto"/>
        <w:rPr>
          <w:rFonts w:ascii="宋体" w:hAnsi="宋体"/>
          <w:color w:val="000000" w:themeColor="text1"/>
          <w14:textFill>
            <w14:solidFill>
              <w14:schemeClr w14:val="tx1"/>
            </w14:solidFill>
          </w14:textFill>
        </w:rPr>
      </w:pPr>
    </w:p>
    <w:p>
      <w:pPr>
        <w:spacing w:line="360" w:lineRule="auto"/>
        <w:ind w:left="2409" w:leftChars="338" w:hanging="1699" w:hangingChars="531"/>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项目名称：中国共产党成都市青羊区委员会党校窗帘采购项目</w:t>
      </w:r>
    </w:p>
    <w:p>
      <w:pPr>
        <w:spacing w:line="360" w:lineRule="auto"/>
        <w:ind w:left="2409" w:leftChars="338" w:hanging="1699" w:hangingChars="531"/>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项目编号：青羊政采（2021）</w:t>
      </w:r>
      <w:r>
        <w:rPr>
          <w:rFonts w:hint="eastAsia" w:ascii="华文中宋" w:hAnsi="华文中宋" w:eastAsia="华文中宋"/>
          <w:color w:val="000000" w:themeColor="text1"/>
          <w:sz w:val="32"/>
          <w:szCs w:val="32"/>
          <w14:textFill>
            <w14:solidFill>
              <w14:schemeClr w14:val="tx1"/>
            </w14:solidFill>
          </w14:textFill>
        </w:rPr>
        <w:tab/>
      </w:r>
      <w:r>
        <w:rPr>
          <w:rFonts w:hint="eastAsia" w:ascii="华文中宋" w:hAnsi="华文中宋" w:eastAsia="华文中宋"/>
          <w:color w:val="000000" w:themeColor="text1"/>
          <w:sz w:val="32"/>
          <w:szCs w:val="32"/>
          <w14:textFill>
            <w14:solidFill>
              <w14:schemeClr w14:val="tx1"/>
            </w14:solidFill>
          </w14:textFill>
        </w:rPr>
        <w:t>A0024</w:t>
      </w:r>
    </w:p>
    <w:p>
      <w:pPr>
        <w:spacing w:line="360" w:lineRule="auto"/>
        <w:ind w:firstLine="1280" w:firstLineChars="400"/>
        <w:rPr>
          <w:rFonts w:ascii="宋体" w:hAnsi="宋体"/>
          <w:color w:val="000000" w:themeColor="text1"/>
          <w:sz w:val="32"/>
          <w:szCs w:val="32"/>
          <w14:textFill>
            <w14:solidFill>
              <w14:schemeClr w14:val="tx1"/>
            </w14:solidFill>
          </w14:textFill>
        </w:rPr>
      </w:pPr>
    </w:p>
    <w:p>
      <w:pPr>
        <w:spacing w:line="360" w:lineRule="auto"/>
        <w:ind w:firstLine="1256" w:firstLineChars="349"/>
        <w:rPr>
          <w:rFonts w:ascii="宋体" w:hAnsi="宋体"/>
          <w:color w:val="000000" w:themeColor="text1"/>
          <w:spacing w:val="20"/>
          <w:sz w:val="32"/>
          <w:szCs w:val="32"/>
          <w14:textFill>
            <w14:solidFill>
              <w14:schemeClr w14:val="tx1"/>
            </w14:solidFill>
          </w14:textFill>
        </w:rPr>
      </w:pPr>
    </w:p>
    <w:p>
      <w:pPr>
        <w:spacing w:line="360" w:lineRule="auto"/>
        <w:rPr>
          <w:rFonts w:ascii="宋体" w:hAnsi="宋体"/>
          <w:color w:val="000000" w:themeColor="text1"/>
          <w:kern w:val="24"/>
          <w:sz w:val="32"/>
          <w:szCs w:val="32"/>
          <w14:textFill>
            <w14:solidFill>
              <w14:schemeClr w14:val="tx1"/>
            </w14:solidFill>
          </w14:textFill>
        </w:rPr>
      </w:pPr>
    </w:p>
    <w:p>
      <w:pPr>
        <w:spacing w:line="360" w:lineRule="auto"/>
        <w:rPr>
          <w:rFonts w:ascii="宋体" w:hAnsi="宋体"/>
          <w:color w:val="000000" w:themeColor="text1"/>
          <w:kern w:val="24"/>
          <w:sz w:val="32"/>
          <w:szCs w:val="32"/>
          <w14:textFill>
            <w14:solidFill>
              <w14:schemeClr w14:val="tx1"/>
            </w14:solidFill>
          </w14:textFill>
        </w:rPr>
      </w:pPr>
    </w:p>
    <w:p>
      <w:pPr>
        <w:spacing w:line="360" w:lineRule="auto"/>
        <w:jc w:val="center"/>
        <w:rPr>
          <w:rFonts w:ascii="宋体" w:hAnsi="宋体"/>
          <w:color w:val="000000" w:themeColor="text1"/>
          <w:kern w:val="24"/>
          <w:sz w:val="32"/>
          <w:szCs w:val="32"/>
          <w14:textFill>
            <w14:solidFill>
              <w14:schemeClr w14:val="tx1"/>
            </w14:solidFill>
          </w14:textFill>
        </w:rPr>
      </w:pPr>
    </w:p>
    <w:p>
      <w:pPr>
        <w:widowControl/>
        <w:shd w:val="clear" w:color="auto" w:fill="FFFFFF"/>
        <w:ind w:left="360" w:firstLine="1920" w:firstLineChars="600"/>
        <w:jc w:val="left"/>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中国共产党成都市青羊区委员会党校、</w:t>
      </w: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成都市成都市青羊区政府采购服务中心共同编制</w:t>
      </w: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二〇二一年十一月三日</w:t>
      </w:r>
    </w:p>
    <w:p>
      <w:pPr>
        <w:spacing w:line="360" w:lineRule="auto"/>
        <w:jc w:val="center"/>
        <w:rPr>
          <w:rFonts w:ascii="华文中宋" w:hAnsi="华文中宋" w:eastAsia="华文中宋"/>
          <w:color w:val="000000" w:themeColor="text1"/>
          <w:sz w:val="32"/>
          <w:szCs w:val="32"/>
          <w14:textFill>
            <w14:solidFill>
              <w14:schemeClr w14:val="tx1"/>
            </w14:solidFill>
          </w14:textFill>
        </w:rPr>
      </w:pPr>
    </w:p>
    <w:p>
      <w:pPr>
        <w:spacing w:line="360" w:lineRule="auto"/>
        <w:jc w:val="center"/>
        <w:rPr>
          <w:rFonts w:ascii="华文中宋" w:hAnsi="华文中宋" w:eastAsia="华文中宋"/>
          <w:color w:val="000000" w:themeColor="text1"/>
          <w:sz w:val="32"/>
          <w:szCs w:val="32"/>
          <w14:textFill>
            <w14:solidFill>
              <w14:schemeClr w14:val="tx1"/>
            </w14:solidFill>
          </w14:textFill>
        </w:rPr>
      </w:pPr>
    </w:p>
    <w:p>
      <w:pPr>
        <w:spacing w:line="360" w:lineRule="auto"/>
        <w:jc w:val="center"/>
        <w:rPr>
          <w:rFonts w:ascii="宋体" w:hAnsi="宋体"/>
          <w:b/>
          <w:color w:val="000000" w:themeColor="text1"/>
          <w:sz w:val="36"/>
          <w14:textFill>
            <w14:solidFill>
              <w14:schemeClr w14:val="tx1"/>
            </w14:solidFill>
          </w14:textFill>
        </w:rPr>
      </w:pPr>
      <w:bookmarkStart w:id="0" w:name="_Toc148505181"/>
      <w:bookmarkStart w:id="1" w:name="_Toc101247312"/>
      <w:bookmarkStart w:id="2" w:name="_Toc101234248"/>
      <w:bookmarkStart w:id="3" w:name="_Toc101328520"/>
      <w:r>
        <w:rPr>
          <w:rFonts w:hint="eastAsia" w:ascii="宋体" w:hAnsi="宋体"/>
          <w:b/>
          <w:color w:val="000000" w:themeColor="text1"/>
          <w:sz w:val="32"/>
          <w:szCs w:val="32"/>
          <w14:textFill>
            <w14:solidFill>
              <w14:schemeClr w14:val="tx1"/>
            </w14:solidFill>
          </w14:textFill>
        </w:rPr>
        <w:t>目 录</w:t>
      </w:r>
    </w:p>
    <w:p>
      <w:pPr>
        <w:pStyle w:val="29"/>
        <w:rPr>
          <w:rFonts w:asciiTheme="minorHAnsi" w:hAnsiTheme="minorHAnsi" w:eastAsiaTheme="minorEastAsia" w:cstheme="minorBidi"/>
          <w:bCs w:val="0"/>
          <w:caps w:val="0"/>
          <w:color w:val="000000" w:themeColor="text1"/>
          <w:sz w:val="21"/>
          <w:szCs w:val="22"/>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ascii="宋体" w:hAnsi="宋体"/>
          <w:smallCaps/>
          <w:color w:val="000000" w:themeColor="text1"/>
          <w14:textFill>
            <w14:solidFill>
              <w14:schemeClr w14:val="tx1"/>
            </w14:solidFill>
          </w14:textFill>
        </w:rPr>
        <w:instrText xml:space="preserve"> TOC \o "1-2" \h \z \u </w:instrText>
      </w:r>
      <w:r>
        <w:rPr>
          <w:rFonts w:hint="eastAsia"/>
          <w:color w:val="000000" w:themeColor="text1"/>
          <w14:textFill>
            <w14:solidFill>
              <w14:schemeClr w14:val="tx1"/>
            </w14:solidFill>
          </w14:textFill>
        </w:rPr>
        <w:fldChar w:fldCharType="separate"/>
      </w:r>
      <w:r>
        <w:fldChar w:fldCharType="begin"/>
      </w:r>
      <w:r>
        <w:instrText xml:space="preserve"> HYPERLINK \l "_Toc76541344" </w:instrText>
      </w:r>
      <w:r>
        <w:fldChar w:fldCharType="separate"/>
      </w:r>
      <w:r>
        <w:rPr>
          <w:rStyle w:val="47"/>
          <w:rFonts w:hint="eastAsia" w:ascii="Times New Roman" w:hAnsi="Times New Roman"/>
          <w:color w:val="000000" w:themeColor="text1"/>
          <w:spacing w:val="-20"/>
          <w:kern w:val="44"/>
          <w14:textFill>
            <w14:solidFill>
              <w14:schemeClr w14:val="tx1"/>
            </w14:solidFill>
          </w14:textFill>
        </w:rPr>
        <w:t>第1章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47"/>
          <w:rFonts w:hint="eastAsia" w:ascii="宋体" w:hAnsi="宋体"/>
          <w:color w:val="000000" w:themeColor="text1"/>
          <w:spacing w:val="-20"/>
          <w:kern w:val="44"/>
          <w14:textFill>
            <w14:solidFill>
              <w14:schemeClr w14:val="tx1"/>
            </w14:solidFill>
          </w14:textFill>
        </w:rPr>
        <w:t>投标邀请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_Toc76541344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"_Toc76541345" </w:instrText>
      </w:r>
      <w:r>
        <w:fldChar w:fldCharType="separate"/>
      </w:r>
      <w:r>
        <w:rPr>
          <w:rStyle w:val="47"/>
          <w:rFonts w:hint="eastAsia" w:ascii="Times New Roman" w:hAnsi="Times New Roman"/>
          <w:color w:val="000000" w:themeColor="text1"/>
          <w:spacing w:val="-20"/>
          <w:kern w:val="44"/>
          <w14:textFill>
            <w14:solidFill>
              <w14:schemeClr w14:val="tx1"/>
            </w14:solidFill>
          </w14:textFill>
        </w:rPr>
        <w:t>第2章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47"/>
          <w:rFonts w:hint="eastAsia" w:ascii="宋体" w:hAnsi="宋体"/>
          <w:color w:val="000000" w:themeColor="text1"/>
          <w:spacing w:val="-20"/>
          <w:kern w:val="44"/>
          <w14:textFill>
            <w14:solidFill>
              <w14:schemeClr w14:val="tx1"/>
            </w14:solidFill>
          </w14:textFill>
        </w:rPr>
        <w:t>投标人须知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_Toc76541345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"_Toc76541346" </w:instrText>
      </w:r>
      <w:r>
        <w:fldChar w:fldCharType="separate"/>
      </w:r>
      <w:r>
        <w:rPr>
          <w:rStyle w:val="47"/>
          <w:rFonts w:ascii="Times New Roman" w:hAnsi="Times New Roman"/>
          <w:bCs/>
          <w:color w:val="000000" w:themeColor="text1"/>
          <w14:textFill>
            <w14:solidFill>
              <w14:schemeClr w14:val="tx1"/>
            </w14:solidFill>
          </w14:textFill>
        </w:rPr>
        <w:t>2.1</w:t>
      </w:r>
      <w:r>
        <w:rPr>
          <w:rStyle w:val="47"/>
          <w:rFonts w:hint="eastAsia" w:ascii="宋体" w:hAnsi="宋体"/>
          <w:bCs/>
          <w:color w:val="000000" w:themeColor="text1"/>
          <w14:textFill>
            <w14:solidFill>
              <w14:schemeClr w14:val="tx1"/>
            </w14:solidFill>
          </w14:textFill>
        </w:rPr>
        <w:t xml:space="preserve"> 投标人须知前附表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_Toc76541346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"_Toc76541347" </w:instrText>
      </w:r>
      <w:r>
        <w:fldChar w:fldCharType="separate"/>
      </w:r>
      <w:r>
        <w:rPr>
          <w:rStyle w:val="47"/>
          <w:rFonts w:ascii="Times New Roman" w:hAnsi="Times New Roman"/>
          <w:bCs/>
          <w:color w:val="000000" w:themeColor="text1"/>
          <w14:textFill>
            <w14:solidFill>
              <w14:schemeClr w14:val="tx1"/>
            </w14:solidFill>
          </w14:textFill>
        </w:rPr>
        <w:t>2.2</w:t>
      </w:r>
      <w:r>
        <w:rPr>
          <w:rStyle w:val="47"/>
          <w:rFonts w:hint="eastAsia" w:ascii="宋体" w:hAnsi="宋体"/>
          <w:bCs/>
          <w:color w:val="000000" w:themeColor="text1"/>
          <w14:textFill>
            <w14:solidFill>
              <w14:schemeClr w14:val="tx1"/>
            </w14:solidFill>
          </w14:textFill>
        </w:rPr>
        <w:t xml:space="preserve"> 总则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_Toc76541347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"_Toc76541348" </w:instrText>
      </w:r>
      <w:r>
        <w:fldChar w:fldCharType="separate"/>
      </w:r>
      <w:r>
        <w:rPr>
          <w:rStyle w:val="47"/>
          <w:rFonts w:ascii="Times New Roman" w:hAnsi="Times New Roman"/>
          <w:bCs/>
          <w:color w:val="000000" w:themeColor="text1"/>
          <w14:textFill>
            <w14:solidFill>
              <w14:schemeClr w14:val="tx1"/>
            </w14:solidFill>
          </w14:textFill>
        </w:rPr>
        <w:t>2.3</w:t>
      </w:r>
      <w:r>
        <w:rPr>
          <w:rStyle w:val="47"/>
          <w:rFonts w:hint="eastAsia" w:ascii="宋体" w:hAnsi="宋体"/>
          <w:bCs/>
          <w:color w:val="000000" w:themeColor="text1"/>
          <w14:textFill>
            <w14:solidFill>
              <w14:schemeClr w14:val="tx1"/>
            </w14:solidFill>
          </w14:textFill>
        </w:rPr>
        <w:t xml:space="preserve"> 招标文件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_Toc76541348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"_Toc76541349" </w:instrText>
      </w:r>
      <w:r>
        <w:fldChar w:fldCharType="separate"/>
      </w:r>
      <w:r>
        <w:rPr>
          <w:rStyle w:val="47"/>
          <w:rFonts w:ascii="Times New Roman" w:hAnsi="Times New Roman"/>
          <w:bCs/>
          <w:color w:val="000000" w:themeColor="text1"/>
          <w14:textFill>
            <w14:solidFill>
              <w14:schemeClr w14:val="tx1"/>
            </w14:solidFill>
          </w14:textFill>
        </w:rPr>
        <w:t>2.4</w:t>
      </w:r>
      <w:r>
        <w:rPr>
          <w:rStyle w:val="47"/>
          <w:rFonts w:hint="eastAsia" w:ascii="宋体" w:hAnsi="宋体"/>
          <w:bCs/>
          <w:color w:val="000000" w:themeColor="text1"/>
          <w14:textFill>
            <w14:solidFill>
              <w14:schemeClr w14:val="tx1"/>
            </w14:solidFill>
          </w14:textFill>
        </w:rPr>
        <w:t xml:space="preserve"> 投标文件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_Toc76541349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"_Toc76541350" </w:instrText>
      </w:r>
      <w:r>
        <w:fldChar w:fldCharType="separate"/>
      </w:r>
      <w:r>
        <w:rPr>
          <w:rStyle w:val="47"/>
          <w:rFonts w:ascii="Times New Roman" w:hAnsi="Times New Roman"/>
          <w:bCs/>
          <w:color w:val="000000" w:themeColor="text1"/>
          <w14:textFill>
            <w14:solidFill>
              <w14:schemeClr w14:val="tx1"/>
            </w14:solidFill>
          </w14:textFill>
        </w:rPr>
        <w:t>2.5</w:t>
      </w:r>
      <w:r>
        <w:rPr>
          <w:rStyle w:val="47"/>
          <w:rFonts w:hint="eastAsia" w:ascii="宋体" w:hAnsi="宋体"/>
          <w:bCs/>
          <w:color w:val="000000" w:themeColor="text1"/>
          <w14:textFill>
            <w14:solidFill>
              <w14:schemeClr w14:val="tx1"/>
            </w14:solidFill>
          </w14:textFill>
        </w:rPr>
        <w:t xml:space="preserve"> 开标、资格审查、评标和中标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"_Toc76541351" </w:instrText>
      </w:r>
      <w:r>
        <w:fldChar w:fldCharType="separate"/>
      </w:r>
      <w:r>
        <w:rPr>
          <w:rStyle w:val="47"/>
          <w:rFonts w:ascii="Times New Roman" w:hAnsi="Times New Roman"/>
          <w:bCs/>
          <w:color w:val="000000" w:themeColor="text1"/>
          <w14:textFill>
            <w14:solidFill>
              <w14:schemeClr w14:val="tx1"/>
            </w14:solidFill>
          </w14:textFill>
        </w:rPr>
        <w:t>2.6</w:t>
      </w:r>
      <w:r>
        <w:rPr>
          <w:rStyle w:val="47"/>
          <w:rFonts w:hint="eastAsia" w:ascii="宋体" w:hAnsi="宋体"/>
          <w:bCs/>
          <w:color w:val="000000" w:themeColor="text1"/>
          <w14:textFill>
            <w14:solidFill>
              <w14:schemeClr w14:val="tx1"/>
            </w14:solidFill>
          </w14:textFill>
        </w:rPr>
        <w:t xml:space="preserve"> 签订及履行合同和验收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"_Toc76541352" </w:instrText>
      </w:r>
      <w:r>
        <w:fldChar w:fldCharType="separate"/>
      </w:r>
      <w:r>
        <w:rPr>
          <w:rStyle w:val="47"/>
          <w:rFonts w:ascii="Times New Roman" w:hAnsi="Times New Roman"/>
          <w:bCs/>
          <w:color w:val="000000" w:themeColor="text1"/>
          <w14:textFill>
            <w14:solidFill>
              <w14:schemeClr w14:val="tx1"/>
            </w14:solidFill>
          </w14:textFill>
        </w:rPr>
        <w:t>2.7</w:t>
      </w:r>
      <w:r>
        <w:rPr>
          <w:rStyle w:val="47"/>
          <w:rFonts w:hint="eastAsia" w:ascii="宋体" w:hAnsi="宋体"/>
          <w:bCs/>
          <w:color w:val="000000" w:themeColor="text1"/>
          <w14:textFill>
            <w14:solidFill>
              <w14:schemeClr w14:val="tx1"/>
            </w14:solidFill>
          </w14:textFill>
        </w:rPr>
        <w:t xml:space="preserve"> 投标纪律要求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"_Toc76541353" </w:instrText>
      </w:r>
      <w:r>
        <w:fldChar w:fldCharType="separate"/>
      </w:r>
      <w:r>
        <w:rPr>
          <w:rStyle w:val="47"/>
          <w:rFonts w:ascii="Times New Roman" w:hAnsi="Times New Roman"/>
          <w:bCs/>
          <w:color w:val="000000" w:themeColor="text1"/>
          <w14:textFill>
            <w14:solidFill>
              <w14:schemeClr w14:val="tx1"/>
            </w14:solidFill>
          </w14:textFill>
        </w:rPr>
        <w:t>2.8</w:t>
      </w:r>
      <w:r>
        <w:rPr>
          <w:rStyle w:val="47"/>
          <w:rFonts w:hint="eastAsia" w:ascii="宋体" w:hAnsi="宋体"/>
          <w:bCs/>
          <w:color w:val="000000" w:themeColor="text1"/>
          <w14:textFill>
            <w14:solidFill>
              <w14:schemeClr w14:val="tx1"/>
            </w14:solidFill>
          </w14:textFill>
        </w:rPr>
        <w:t xml:space="preserve"> 询问、质疑和投诉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"_Toc76541354" </w:instrText>
      </w:r>
      <w:r>
        <w:fldChar w:fldCharType="separate"/>
      </w:r>
      <w:r>
        <w:rPr>
          <w:rStyle w:val="47"/>
          <w:rFonts w:ascii="Times New Roman" w:hAnsi="Times New Roman"/>
          <w:bCs/>
          <w:color w:val="000000" w:themeColor="text1"/>
          <w14:textFill>
            <w14:solidFill>
              <w14:schemeClr w14:val="tx1"/>
            </w14:solidFill>
          </w14:textFill>
        </w:rPr>
        <w:t>2.9</w:t>
      </w:r>
      <w:r>
        <w:rPr>
          <w:rStyle w:val="47"/>
          <w:rFonts w:hint="eastAsia" w:ascii="宋体" w:hAnsi="宋体"/>
          <w:bCs/>
          <w:color w:val="000000" w:themeColor="text1"/>
          <w14:textFill>
            <w14:solidFill>
              <w14:schemeClr w14:val="tx1"/>
            </w14:solidFill>
          </w14:textFill>
        </w:rPr>
        <w:t xml:space="preserve"> 中小企业政府采购信用融资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"_Toc76541355" </w:instrText>
      </w:r>
      <w:r>
        <w:fldChar w:fldCharType="separate"/>
      </w:r>
      <w:r>
        <w:rPr>
          <w:rStyle w:val="47"/>
          <w:rFonts w:hint="eastAsia" w:ascii="Times New Roman" w:hAnsi="Times New Roman"/>
          <w:color w:val="000000" w:themeColor="text1"/>
          <w:spacing w:val="-20"/>
          <w:kern w:val="44"/>
          <w14:textFill>
            <w14:solidFill>
              <w14:schemeClr w14:val="tx1"/>
            </w14:solidFill>
          </w14:textFill>
        </w:rPr>
        <w:t>第3章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47"/>
          <w:rFonts w:hint="eastAsia" w:ascii="宋体" w:hAnsi="宋体"/>
          <w:color w:val="000000" w:themeColor="text1"/>
          <w:spacing w:val="-20"/>
          <w:kern w:val="44"/>
          <w14:textFill>
            <w14:solidFill>
              <w14:schemeClr w14:val="tx1"/>
            </w14:solidFill>
          </w14:textFill>
        </w:rPr>
        <w:t>投标文件格式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"_Toc76541356" </w:instrText>
      </w:r>
      <w:r>
        <w:fldChar w:fldCharType="separate"/>
      </w:r>
      <w:r>
        <w:rPr>
          <w:rStyle w:val="47"/>
          <w:rFonts w:ascii="Times New Roman" w:hAnsi="Times New Roman"/>
          <w:bCs/>
          <w:color w:val="000000" w:themeColor="text1"/>
          <w14:textFill>
            <w14:solidFill>
              <w14:schemeClr w14:val="tx1"/>
            </w14:solidFill>
          </w14:textFill>
        </w:rPr>
        <w:t>3.1</w:t>
      </w:r>
      <w:r>
        <w:rPr>
          <w:rStyle w:val="47"/>
          <w:rFonts w:hint="eastAsia" w:ascii="宋体" w:hAnsi="宋体"/>
          <w:bCs/>
          <w:color w:val="000000" w:themeColor="text1"/>
          <w14:textFill>
            <w14:solidFill>
              <w14:schemeClr w14:val="tx1"/>
            </w14:solidFill>
          </w14:textFill>
        </w:rPr>
        <w:t xml:space="preserve"> 投标文件封面格式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"_Toc76541357" </w:instrText>
      </w:r>
      <w:r>
        <w:fldChar w:fldCharType="separate"/>
      </w:r>
      <w:r>
        <w:rPr>
          <w:rStyle w:val="47"/>
          <w:rFonts w:ascii="Times New Roman" w:hAnsi="Times New Roman"/>
          <w:bCs/>
          <w:color w:val="000000" w:themeColor="text1"/>
          <w14:textFill>
            <w14:solidFill>
              <w14:schemeClr w14:val="tx1"/>
            </w14:solidFill>
          </w14:textFill>
        </w:rPr>
        <w:t>3.2</w:t>
      </w:r>
      <w:r>
        <w:rPr>
          <w:rStyle w:val="47"/>
          <w:rFonts w:hint="eastAsia" w:ascii="宋体" w:hAnsi="宋体"/>
          <w:bCs/>
          <w:color w:val="000000" w:themeColor="text1"/>
          <w14:textFill>
            <w14:solidFill>
              <w14:schemeClr w14:val="tx1"/>
            </w14:solidFill>
          </w14:textFill>
        </w:rPr>
        <w:t xml:space="preserve"> 资格响应文件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"_Toc76541358" </w:instrText>
      </w:r>
      <w:r>
        <w:fldChar w:fldCharType="separate"/>
      </w:r>
      <w:r>
        <w:rPr>
          <w:rStyle w:val="47"/>
          <w:rFonts w:ascii="Times New Roman" w:hAnsi="Times New Roman"/>
          <w:bCs/>
          <w:color w:val="000000" w:themeColor="text1"/>
          <w14:textFill>
            <w14:solidFill>
              <w14:schemeClr w14:val="tx1"/>
            </w14:solidFill>
          </w14:textFill>
        </w:rPr>
        <w:t>3.3</w:t>
      </w:r>
      <w:r>
        <w:rPr>
          <w:rStyle w:val="47"/>
          <w:rFonts w:hint="eastAsia" w:ascii="宋体" w:hAnsi="宋体"/>
          <w:bCs/>
          <w:color w:val="000000" w:themeColor="text1"/>
          <w14:textFill>
            <w14:solidFill>
              <w14:schemeClr w14:val="tx1"/>
            </w14:solidFill>
          </w14:textFill>
        </w:rPr>
        <w:t xml:space="preserve"> 商务技术响应文件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"_Toc76541359" </w:instrText>
      </w:r>
      <w:r>
        <w:fldChar w:fldCharType="separate"/>
      </w:r>
      <w:r>
        <w:rPr>
          <w:rStyle w:val="47"/>
          <w:rFonts w:ascii="Times New Roman" w:hAnsi="Times New Roman"/>
          <w:color w:val="000000" w:themeColor="text1"/>
          <w14:textFill>
            <w14:solidFill>
              <w14:schemeClr w14:val="tx1"/>
            </w14:solidFill>
          </w14:textFill>
        </w:rPr>
        <w:t>3.4</w:t>
      </w:r>
      <w:r>
        <w:rPr>
          <w:rStyle w:val="47"/>
          <w:rFonts w:hint="eastAsia" w:ascii="宋体" w:hAnsi="宋体"/>
          <w:color w:val="000000" w:themeColor="text1"/>
          <w14:textFill>
            <w14:solidFill>
              <w14:schemeClr w14:val="tx1"/>
            </w14:solidFill>
          </w14:textFill>
        </w:rPr>
        <w:t xml:space="preserve"> 报价</w:t>
      </w:r>
      <w:r>
        <w:rPr>
          <w:rStyle w:val="47"/>
          <w:rFonts w:hint="eastAsia" w:ascii="宋体" w:hAnsi="宋体"/>
          <w:bCs/>
          <w:color w:val="000000" w:themeColor="text1"/>
          <w14:textFill>
            <w14:solidFill>
              <w14:schemeClr w14:val="tx1"/>
            </w14:solidFill>
          </w14:textFill>
        </w:rPr>
        <w:t>要求</w:t>
      </w:r>
      <w:r>
        <w:rPr>
          <w:rStyle w:val="47"/>
          <w:rFonts w:hint="eastAsia" w:ascii="宋体" w:hAnsi="宋体"/>
          <w:color w:val="000000" w:themeColor="text1"/>
          <w14:textFill>
            <w14:solidFill>
              <w14:schemeClr w14:val="tx1"/>
            </w14:solidFill>
          </w14:textFill>
        </w:rPr>
        <w:t>响应文件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"_Toc76541360" </w:instrText>
      </w:r>
      <w:r>
        <w:fldChar w:fldCharType="separate"/>
      </w:r>
      <w:r>
        <w:rPr>
          <w:rStyle w:val="47"/>
          <w:rFonts w:hint="eastAsia" w:ascii="Times New Roman" w:hAnsi="Times New Roman"/>
          <w:color w:val="000000" w:themeColor="text1"/>
          <w:spacing w:val="-20"/>
          <w:kern w:val="44"/>
          <w14:textFill>
            <w14:solidFill>
              <w14:schemeClr w14:val="tx1"/>
            </w14:solidFill>
          </w14:textFill>
        </w:rPr>
        <w:t>第4章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47"/>
          <w:rFonts w:hint="eastAsia" w:ascii="宋体" w:hAnsi="宋体"/>
          <w:color w:val="000000" w:themeColor="text1"/>
          <w:spacing w:val="-20"/>
          <w:kern w:val="44"/>
          <w14:textFill>
            <w14:solidFill>
              <w14:schemeClr w14:val="tx1"/>
            </w14:solidFill>
          </w14:textFill>
        </w:rPr>
        <w:t>招标项目技术、服务、商务及其他要求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_Toc76541360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"_Toc76541361" </w:instrText>
      </w:r>
      <w:r>
        <w:fldChar w:fldCharType="separate"/>
      </w:r>
      <w:r>
        <w:rPr>
          <w:rStyle w:val="47"/>
          <w:rFonts w:ascii="Times New Roman" w:hAnsi="Times New Roman"/>
          <w:color w:val="000000" w:themeColor="text1"/>
          <w14:textFill>
            <w14:solidFill>
              <w14:schemeClr w14:val="tx1"/>
            </w14:solidFill>
          </w14:textFill>
        </w:rPr>
        <w:t>4.1</w:t>
      </w:r>
      <w:r>
        <w:rPr>
          <w:rStyle w:val="47"/>
          <w:rFonts w:hint="eastAsia"/>
          <w:color w:val="000000" w:themeColor="text1"/>
          <w14:textFill>
            <w14:solidFill>
              <w14:schemeClr w14:val="tx1"/>
            </w14:solidFill>
          </w14:textFill>
        </w:rPr>
        <w:t xml:space="preserve"> 采购内容</w:t>
      </w:r>
      <w:r>
        <w:rPr>
          <w:rStyle w:val="47"/>
          <w:rFonts w:hint="eastAsia"/>
          <w:color w:val="000000" w:themeColor="text1"/>
          <w14:textFill>
            <w14:solidFill>
              <w14:schemeClr w14:val="tx1"/>
            </w14:solidFill>
          </w14:textFill>
        </w:rPr>
        <w:fldChar w:fldCharType="end"/>
      </w:r>
      <w:r>
        <w:rPr>
          <w:color w:val="000000" w:themeColor="text1"/>
          <w14:textFill>
            <w14:solidFill>
              <w14:schemeClr w14:val="tx1"/>
            </w14:solidFill>
          </w14:textFill>
        </w:rPr>
        <w:t>…………………………………………………………………………………………46</w:t>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"_Toc76541362" </w:instrText>
      </w:r>
      <w:r>
        <w:fldChar w:fldCharType="separate"/>
      </w:r>
      <w:r>
        <w:rPr>
          <w:rStyle w:val="47"/>
          <w:rFonts w:ascii="Times New Roman" w:hAnsi="Times New Roman"/>
          <w:color w:val="000000" w:themeColor="text1"/>
          <w14:textFill>
            <w14:solidFill>
              <w14:schemeClr w14:val="tx1"/>
            </w14:solidFill>
          </w14:textFill>
        </w:rPr>
        <w:t>4.2</w:t>
      </w:r>
      <w:r>
        <w:rPr>
          <w:rStyle w:val="47"/>
          <w:rFonts w:hint="eastAsia"/>
          <w:color w:val="000000" w:themeColor="text1"/>
          <w14:textFill>
            <w14:solidFill>
              <w14:schemeClr w14:val="tx1"/>
            </w14:solidFill>
          </w14:textFill>
        </w:rPr>
        <w:t xml:space="preserve"> 技术参数及要求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_Toc76541362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"_Toc76541363" </w:instrText>
      </w:r>
      <w:r>
        <w:fldChar w:fldCharType="separate"/>
      </w:r>
      <w:r>
        <w:rPr>
          <w:rStyle w:val="47"/>
          <w:rFonts w:ascii="Times New Roman" w:hAnsi="Times New Roman"/>
          <w:color w:val="000000" w:themeColor="text1"/>
          <w14:textFill>
            <w14:solidFill>
              <w14:schemeClr w14:val="tx1"/>
            </w14:solidFill>
          </w14:textFill>
        </w:rPr>
        <w:t>4.3</w:t>
      </w:r>
      <w:r>
        <w:rPr>
          <w:rStyle w:val="47"/>
          <w:rFonts w:hint="eastAsia"/>
          <w:color w:val="000000" w:themeColor="text1"/>
          <w14:textFill>
            <w14:solidFill>
              <w14:schemeClr w14:val="tx1"/>
            </w14:solidFill>
          </w14:textFill>
        </w:rPr>
        <w:t xml:space="preserve"> 商务要求</w:t>
      </w:r>
      <w:r>
        <w:rPr>
          <w:color w:val="000000" w:themeColor="text1"/>
          <w14:textFill>
            <w14:solidFill>
              <w14:schemeClr w14:val="tx1"/>
            </w14:solidFill>
          </w14:textFill>
        </w:rPr>
        <w:tab/>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"_Toc76541364" </w:instrText>
      </w:r>
      <w:r>
        <w:fldChar w:fldCharType="separate"/>
      </w:r>
      <w:r>
        <w:rPr>
          <w:rStyle w:val="47"/>
          <w:rFonts w:ascii="Times New Roman" w:hAnsi="Times New Roman"/>
          <w:color w:val="000000" w:themeColor="text1"/>
          <w14:textFill>
            <w14:solidFill>
              <w14:schemeClr w14:val="tx1"/>
            </w14:solidFill>
          </w14:textFill>
        </w:rPr>
        <w:t>4.4</w:t>
      </w:r>
      <w:r>
        <w:rPr>
          <w:rStyle w:val="47"/>
          <w:rFonts w:hint="eastAsia"/>
          <w:color w:val="000000" w:themeColor="text1"/>
          <w14:textFill>
            <w14:solidFill>
              <w14:schemeClr w14:val="tx1"/>
            </w14:solidFill>
          </w14:textFill>
        </w:rPr>
        <w:t xml:space="preserve"> 其他要求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_Toc76541364 \h </w:instrText>
      </w:r>
      <w:r>
        <w:rPr>
          <w:color w:val="000000" w:themeColor="text1"/>
          <w14:textFill>
            <w14:solidFill>
              <w14:schemeClr w14:val="tx1"/>
            </w14:solidFill>
          </w14:textFill>
        </w:rPr>
        <w:fldChar w:fldCharType="separate"/>
      </w:r>
      <w:r>
        <w:rPr>
          <w:b/>
        </w:rPr>
        <w:t>错误！未定义书签。</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"_Toc76541365" </w:instrText>
      </w:r>
      <w:r>
        <w:fldChar w:fldCharType="separate"/>
      </w:r>
      <w:r>
        <w:rPr>
          <w:rStyle w:val="47"/>
          <w:rFonts w:hint="eastAsia" w:ascii="Times New Roman" w:hAnsi="Times New Roman"/>
          <w:color w:val="000000" w:themeColor="text1"/>
          <w:spacing w:val="-20"/>
          <w:kern w:val="44"/>
          <w14:textFill>
            <w14:solidFill>
              <w14:schemeClr w14:val="tx1"/>
            </w14:solidFill>
          </w14:textFill>
        </w:rPr>
        <w:t>第5章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47"/>
          <w:rFonts w:hint="eastAsia" w:ascii="宋体" w:hAnsi="宋体"/>
          <w:color w:val="000000" w:themeColor="text1"/>
          <w:spacing w:val="-20"/>
          <w:kern w:val="44"/>
          <w14:textFill>
            <w14:solidFill>
              <w14:schemeClr w14:val="tx1"/>
            </w14:solidFill>
          </w14:textFill>
        </w:rPr>
        <w:t>资格性审查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_Toc76541365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"_Toc76541366" </w:instrText>
      </w:r>
      <w:r>
        <w:fldChar w:fldCharType="separate"/>
      </w:r>
      <w:r>
        <w:rPr>
          <w:rStyle w:val="47"/>
          <w:rFonts w:hint="eastAsia" w:ascii="Times New Roman" w:hAnsi="Times New Roman"/>
          <w:color w:val="000000" w:themeColor="text1"/>
          <w:spacing w:val="-20"/>
          <w:kern w:val="44"/>
          <w14:textFill>
            <w14:solidFill>
              <w14:schemeClr w14:val="tx1"/>
            </w14:solidFill>
          </w14:textFill>
        </w:rPr>
        <w:t>第6章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47"/>
          <w:rFonts w:hint="eastAsia" w:ascii="宋体" w:hAnsi="宋体"/>
          <w:color w:val="000000" w:themeColor="text1"/>
          <w:spacing w:val="-20"/>
          <w:kern w:val="44"/>
          <w14:textFill>
            <w14:solidFill>
              <w14:schemeClr w14:val="tx1"/>
            </w14:solidFill>
          </w14:textFill>
        </w:rPr>
        <w:t>评标办法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"_Toc76541367" </w:instrText>
      </w:r>
      <w:r>
        <w:fldChar w:fldCharType="separate"/>
      </w:r>
      <w:r>
        <w:rPr>
          <w:rStyle w:val="47"/>
          <w:rFonts w:ascii="Times New Roman" w:hAnsi="Times New Roman"/>
          <w:bCs/>
          <w:color w:val="000000" w:themeColor="text1"/>
          <w14:textFill>
            <w14:solidFill>
              <w14:schemeClr w14:val="tx1"/>
            </w14:solidFill>
          </w14:textFill>
        </w:rPr>
        <w:t>6.1</w:t>
      </w:r>
      <w:r>
        <w:rPr>
          <w:rStyle w:val="47"/>
          <w:rFonts w:hint="eastAsia" w:ascii="宋体" w:hAnsi="宋体"/>
          <w:bCs/>
          <w:color w:val="000000" w:themeColor="text1"/>
          <w14:textFill>
            <w14:solidFill>
              <w14:schemeClr w14:val="tx1"/>
            </w14:solidFill>
          </w14:textFill>
        </w:rPr>
        <w:t xml:space="preserve"> 总则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_Toc76541367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"_Toc76541368" </w:instrText>
      </w:r>
      <w:r>
        <w:fldChar w:fldCharType="separate"/>
      </w:r>
      <w:r>
        <w:rPr>
          <w:rStyle w:val="47"/>
          <w:rFonts w:ascii="Times New Roman" w:hAnsi="Times New Roman"/>
          <w:bCs/>
          <w:color w:val="000000" w:themeColor="text1"/>
          <w14:textFill>
            <w14:solidFill>
              <w14:schemeClr w14:val="tx1"/>
            </w14:solidFill>
          </w14:textFill>
        </w:rPr>
        <w:t>6.2</w:t>
      </w:r>
      <w:r>
        <w:rPr>
          <w:rStyle w:val="47"/>
          <w:rFonts w:hint="eastAsia" w:ascii="宋体" w:hAnsi="宋体"/>
          <w:bCs/>
          <w:color w:val="000000" w:themeColor="text1"/>
          <w14:textFill>
            <w14:solidFill>
              <w14:schemeClr w14:val="tx1"/>
            </w14:solidFill>
          </w14:textFill>
        </w:rPr>
        <w:t xml:space="preserve"> 评标方法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_Toc76541368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"_Toc76541369" </w:instrText>
      </w:r>
      <w:r>
        <w:fldChar w:fldCharType="separate"/>
      </w:r>
      <w:r>
        <w:rPr>
          <w:rStyle w:val="47"/>
          <w:rFonts w:ascii="Times New Roman" w:hAnsi="Times New Roman"/>
          <w:bCs/>
          <w:color w:val="000000" w:themeColor="text1"/>
          <w14:textFill>
            <w14:solidFill>
              <w14:schemeClr w14:val="tx1"/>
            </w14:solidFill>
          </w14:textFill>
        </w:rPr>
        <w:t>6.3</w:t>
      </w:r>
      <w:r>
        <w:rPr>
          <w:rStyle w:val="47"/>
          <w:rFonts w:hint="eastAsia" w:ascii="宋体" w:hAnsi="宋体"/>
          <w:bCs/>
          <w:color w:val="000000" w:themeColor="text1"/>
          <w14:textFill>
            <w14:solidFill>
              <w14:schemeClr w14:val="tx1"/>
            </w14:solidFill>
          </w14:textFill>
        </w:rPr>
        <w:t xml:space="preserve"> 评标程序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_Toc76541369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"_Toc76541370" </w:instrText>
      </w:r>
      <w:r>
        <w:fldChar w:fldCharType="separate"/>
      </w:r>
      <w:r>
        <w:rPr>
          <w:rStyle w:val="47"/>
          <w:rFonts w:ascii="Times New Roman" w:hAnsi="Times New Roman"/>
          <w:bCs/>
          <w:color w:val="000000" w:themeColor="text1"/>
          <w14:textFill>
            <w14:solidFill>
              <w14:schemeClr w14:val="tx1"/>
            </w14:solidFill>
          </w14:textFill>
        </w:rPr>
        <w:t>6.4</w:t>
      </w:r>
      <w:r>
        <w:rPr>
          <w:rStyle w:val="47"/>
          <w:rFonts w:hint="eastAsia" w:ascii="宋体" w:hAnsi="宋体"/>
          <w:bCs/>
          <w:color w:val="000000" w:themeColor="text1"/>
          <w14:textFill>
            <w14:solidFill>
              <w14:schemeClr w14:val="tx1"/>
            </w14:solidFill>
          </w14:textFill>
        </w:rPr>
        <w:t xml:space="preserve"> 评标争议处理规则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"_Toc76541371" </w:instrText>
      </w:r>
      <w:r>
        <w:fldChar w:fldCharType="separate"/>
      </w:r>
      <w:r>
        <w:rPr>
          <w:rStyle w:val="47"/>
          <w:rFonts w:ascii="Times New Roman" w:hAnsi="Times New Roman"/>
          <w:bCs/>
          <w:color w:val="000000" w:themeColor="text1"/>
          <w14:textFill>
            <w14:solidFill>
              <w14:schemeClr w14:val="tx1"/>
            </w14:solidFill>
          </w14:textFill>
        </w:rPr>
        <w:t>6.5</w:t>
      </w:r>
      <w:r>
        <w:rPr>
          <w:rStyle w:val="47"/>
          <w:rFonts w:hint="eastAsia" w:ascii="宋体" w:hAnsi="宋体"/>
          <w:bCs/>
          <w:color w:val="000000" w:themeColor="text1"/>
          <w14:textFill>
            <w14:solidFill>
              <w14:schemeClr w14:val="tx1"/>
            </w14:solidFill>
          </w14:textFill>
        </w:rPr>
        <w:t xml:space="preserve"> 评标细则及标准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_Toc76541371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"_Toc76541372" </w:instrText>
      </w:r>
      <w:r>
        <w:fldChar w:fldCharType="separate"/>
      </w:r>
      <w:r>
        <w:rPr>
          <w:rStyle w:val="47"/>
          <w:rFonts w:ascii="Times New Roman" w:hAnsi="Times New Roman"/>
          <w:bCs/>
          <w:color w:val="000000" w:themeColor="text1"/>
          <w14:textFill>
            <w14:solidFill>
              <w14:schemeClr w14:val="tx1"/>
            </w14:solidFill>
          </w14:textFill>
        </w:rPr>
        <w:t>6.6</w:t>
      </w:r>
      <w:r>
        <w:rPr>
          <w:rStyle w:val="47"/>
          <w:rFonts w:hint="eastAsia" w:ascii="宋体" w:hAnsi="宋体"/>
          <w:bCs/>
          <w:color w:val="000000" w:themeColor="text1"/>
          <w14:textFill>
            <w14:solidFill>
              <w14:schemeClr w14:val="tx1"/>
            </w14:solidFill>
          </w14:textFill>
        </w:rPr>
        <w:t xml:space="preserve"> 废标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_Toc76541372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"_Toc76541373" </w:instrText>
      </w:r>
      <w:r>
        <w:fldChar w:fldCharType="separate"/>
      </w:r>
      <w:r>
        <w:rPr>
          <w:rStyle w:val="47"/>
          <w:rFonts w:ascii="Times New Roman" w:hAnsi="Times New Roman"/>
          <w:bCs/>
          <w:color w:val="000000" w:themeColor="text1"/>
          <w14:textFill>
            <w14:solidFill>
              <w14:schemeClr w14:val="tx1"/>
            </w14:solidFill>
          </w14:textFill>
        </w:rPr>
        <w:t>6.7</w:t>
      </w:r>
      <w:r>
        <w:rPr>
          <w:rStyle w:val="47"/>
          <w:rFonts w:hint="eastAsia" w:ascii="宋体" w:hAnsi="宋体"/>
          <w:bCs/>
          <w:color w:val="000000" w:themeColor="text1"/>
          <w14:textFill>
            <w14:solidFill>
              <w14:schemeClr w14:val="tx1"/>
            </w14:solidFill>
          </w14:textFill>
        </w:rPr>
        <w:t xml:space="preserve"> 定标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_Toc76541373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"_Toc76541374" </w:instrText>
      </w:r>
      <w:r>
        <w:fldChar w:fldCharType="separate"/>
      </w:r>
      <w:r>
        <w:rPr>
          <w:rStyle w:val="47"/>
          <w:rFonts w:ascii="Times New Roman" w:hAnsi="Times New Roman"/>
          <w:bCs/>
          <w:color w:val="000000" w:themeColor="text1"/>
          <w14:textFill>
            <w14:solidFill>
              <w14:schemeClr w14:val="tx1"/>
            </w14:solidFill>
          </w14:textFill>
        </w:rPr>
        <w:t>6.8</w:t>
      </w:r>
      <w:r>
        <w:rPr>
          <w:rStyle w:val="47"/>
          <w:rFonts w:hint="eastAsia" w:ascii="宋体" w:hAnsi="宋体"/>
          <w:bCs/>
          <w:color w:val="000000" w:themeColor="text1"/>
          <w14:textFill>
            <w14:solidFill>
              <w14:schemeClr w14:val="tx1"/>
            </w14:solidFill>
          </w14:textFill>
        </w:rPr>
        <w:t xml:space="preserve"> 评标专家在政府采购活动中承担以下义务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_Toc76541374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"_Toc76541375" </w:instrText>
      </w:r>
      <w:r>
        <w:fldChar w:fldCharType="separate"/>
      </w:r>
      <w:r>
        <w:rPr>
          <w:rStyle w:val="47"/>
          <w:rFonts w:ascii="Times New Roman" w:hAnsi="Times New Roman"/>
          <w:bCs/>
          <w:color w:val="000000" w:themeColor="text1"/>
          <w14:textFill>
            <w14:solidFill>
              <w14:schemeClr w14:val="tx1"/>
            </w14:solidFill>
          </w14:textFill>
        </w:rPr>
        <w:t>6.9</w:t>
      </w:r>
      <w:r>
        <w:rPr>
          <w:rStyle w:val="47"/>
          <w:rFonts w:hint="eastAsia" w:ascii="宋体" w:hAnsi="宋体"/>
          <w:bCs/>
          <w:color w:val="000000" w:themeColor="text1"/>
          <w14:textFill>
            <w14:solidFill>
              <w14:schemeClr w14:val="tx1"/>
            </w14:solidFill>
          </w14:textFill>
        </w:rPr>
        <w:t xml:space="preserve"> 评标委员会及其成员不得有下列行为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"_Toc76541376" </w:instrText>
      </w:r>
      <w:r>
        <w:fldChar w:fldCharType="separate"/>
      </w:r>
      <w:r>
        <w:rPr>
          <w:rStyle w:val="47"/>
          <w:rFonts w:ascii="Times New Roman" w:hAnsi="Times New Roman"/>
          <w:bCs/>
          <w:color w:val="000000" w:themeColor="text1"/>
          <w14:textFill>
            <w14:solidFill>
              <w14:schemeClr w14:val="tx1"/>
            </w14:solidFill>
          </w14:textFill>
        </w:rPr>
        <w:t>6.10</w:t>
      </w:r>
      <w:r>
        <w:rPr>
          <w:rStyle w:val="47"/>
          <w:rFonts w:hint="eastAsia" w:ascii="宋体" w:hAnsi="宋体"/>
          <w:bCs/>
          <w:color w:val="000000" w:themeColor="text1"/>
          <w14:textFill>
            <w14:solidFill>
              <w14:schemeClr w14:val="tx1"/>
            </w14:solidFill>
          </w14:textFill>
        </w:rPr>
        <w:t xml:space="preserve"> 评审专家在政府采购活动中应当遵守以下工作纪律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_Toc76541376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"_Toc76541377" </w:instrText>
      </w:r>
      <w:r>
        <w:fldChar w:fldCharType="separate"/>
      </w:r>
      <w:r>
        <w:rPr>
          <w:rStyle w:val="47"/>
          <w:rFonts w:hint="eastAsia" w:ascii="Times New Roman" w:hAnsi="Times New Roman"/>
          <w:color w:val="000000" w:themeColor="text1"/>
          <w:spacing w:val="-20"/>
          <w:kern w:val="44"/>
          <w14:textFill>
            <w14:solidFill>
              <w14:schemeClr w14:val="tx1"/>
            </w14:solidFill>
          </w14:textFill>
        </w:rPr>
        <w:t>第7章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47"/>
          <w:rFonts w:hint="eastAsia" w:ascii="宋体" w:hAnsi="宋体"/>
          <w:color w:val="000000" w:themeColor="text1"/>
          <w:spacing w:val="-20"/>
          <w:kern w:val="44"/>
          <w14:textFill>
            <w14:solidFill>
              <w14:schemeClr w14:val="tx1"/>
            </w14:solidFill>
          </w14:textFill>
        </w:rPr>
        <w:t>拟签订的合同文本</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tabs>
          <w:tab w:val="left" w:pos="620"/>
          <w:tab w:val="right" w:leader="dot" w:pos="8364"/>
        </w:tabs>
        <w:ind w:left="18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end"/>
      </w:r>
    </w:p>
    <w:p>
      <w:pPr>
        <w:tabs>
          <w:tab w:val="left" w:pos="620"/>
          <w:tab w:val="right" w:leader="dot" w:pos="8364"/>
        </w:tabs>
        <w:ind w:left="180"/>
        <w:rPr>
          <w:color w:val="000000" w:themeColor="text1"/>
          <w14:textFill>
            <w14:solidFill>
              <w14:schemeClr w14:val="tx1"/>
            </w14:solidFill>
          </w14:textFill>
        </w:rPr>
      </w:pPr>
    </w:p>
    <w:p>
      <w:pPr>
        <w:tabs>
          <w:tab w:val="left" w:pos="620"/>
          <w:tab w:val="right" w:leader="dot" w:pos="8364"/>
        </w:tabs>
        <w:ind w:left="180"/>
        <w:rPr>
          <w:color w:val="000000" w:themeColor="text1"/>
          <w14:textFill>
            <w14:solidFill>
              <w14:schemeClr w14:val="tx1"/>
            </w14:solidFill>
          </w14:textFill>
        </w:rPr>
      </w:pPr>
    </w:p>
    <w:p>
      <w:pPr>
        <w:tabs>
          <w:tab w:val="left" w:pos="620"/>
          <w:tab w:val="right" w:leader="dot" w:pos="8364"/>
        </w:tabs>
        <w:rPr>
          <w:color w:val="000000" w:themeColor="text1"/>
          <w14:textFill>
            <w14:solidFill>
              <w14:schemeClr w14:val="tx1"/>
            </w14:solidFill>
          </w14:textFill>
        </w:rPr>
      </w:pPr>
    </w:p>
    <w:p>
      <w:pPr>
        <w:keepNext/>
        <w:keepLines/>
        <w:numPr>
          <w:ilvl w:val="0"/>
          <w:numId w:val="1"/>
        </w:numPr>
        <w:spacing w:before="340" w:after="330" w:line="400" w:lineRule="exact"/>
        <w:jc w:val="center"/>
        <w:outlineLvl w:val="0"/>
        <w:rPr>
          <w:rFonts w:ascii="宋体" w:hAnsi="宋体"/>
          <w:b/>
          <w:bCs/>
          <w:color w:val="000000" w:themeColor="text1"/>
          <w:spacing w:val="-20"/>
          <w:kern w:val="44"/>
          <w:sz w:val="32"/>
          <w:szCs w:val="32"/>
          <w14:textFill>
            <w14:solidFill>
              <w14:schemeClr w14:val="tx1"/>
            </w14:solidFill>
          </w14:textFill>
        </w:rPr>
      </w:pPr>
      <w:bookmarkStart w:id="4" w:name="_Toc181610856"/>
      <w:bookmarkStart w:id="5" w:name="_Toc76541344"/>
      <w:bookmarkStart w:id="6" w:name="_Toc204575871"/>
      <w:bookmarkStart w:id="7" w:name="_Toc181591102"/>
      <w:r>
        <w:rPr>
          <w:rFonts w:hint="eastAsia" w:ascii="宋体" w:hAnsi="宋体"/>
          <w:b/>
          <w:bCs/>
          <w:color w:val="000000" w:themeColor="text1"/>
          <w:spacing w:val="-20"/>
          <w:kern w:val="44"/>
          <w:sz w:val="32"/>
          <w:szCs w:val="32"/>
          <w14:textFill>
            <w14:solidFill>
              <w14:schemeClr w14:val="tx1"/>
            </w14:solidFill>
          </w14:textFill>
        </w:rPr>
        <w:t>投标邀请</w:t>
      </w:r>
      <w:bookmarkEnd w:id="4"/>
      <w:bookmarkEnd w:id="5"/>
      <w:bookmarkEnd w:id="6"/>
      <w:bookmarkEnd w:id="7"/>
    </w:p>
    <w:p>
      <w:pPr>
        <w:spacing w:line="360" w:lineRule="auto"/>
        <w:ind w:firstLine="560" w:firstLineChars="200"/>
        <w:jc w:val="left"/>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成都市青羊区政府采购服务中心(以下简称“青羊区采购中心”)受中国共产党成都市青羊区委员会党校委托，拟对中国共产党成都市青羊区委员会党校窗帘采购项目进行国内公开招标，兹邀请符合本次招标要求的供应商参加投标。</w:t>
      </w:r>
    </w:p>
    <w:p>
      <w:pPr>
        <w:widowControl/>
        <w:shd w:val="clear" w:color="auto" w:fill="FFFFFF"/>
        <w:ind w:firstLine="562" w:firstLineChars="200"/>
        <w:jc w:val="left"/>
        <w:rPr>
          <w:rFonts w:ascii="华文中宋" w:hAnsi="华文中宋"/>
          <w:color w:val="000000" w:themeColor="text1"/>
          <w:sz w:val="32"/>
          <w:szCs w:val="32"/>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一、项目编号：青羊政采（2021）A0024</w:t>
      </w:r>
    </w:p>
    <w:p>
      <w:pPr>
        <w:spacing w:line="360" w:lineRule="auto"/>
        <w:ind w:left="567" w:firstLine="281" w:firstLineChars="10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（采购项目编号：</w:t>
      </w:r>
      <w:r>
        <w:rPr>
          <w:rFonts w:hint="eastAsia" w:ascii="宋体" w:hAnsi="宋体"/>
          <w:b/>
          <w:color w:val="000000" w:themeColor="text1"/>
          <w:sz w:val="28"/>
          <w:szCs w:val="28"/>
          <w:lang w:val="en-US" w:eastAsia="zh-CN"/>
          <w14:textFill>
            <w14:solidFill>
              <w14:schemeClr w14:val="tx1"/>
            </w14:solidFill>
          </w14:textFill>
        </w:rPr>
        <w:t>510105202100162</w:t>
      </w:r>
      <w:r>
        <w:rPr>
          <w:rFonts w:hint="eastAsia" w:ascii="宋体" w:hAnsi="宋体"/>
          <w:b/>
          <w:color w:val="000000" w:themeColor="text1"/>
          <w:sz w:val="28"/>
          <w:szCs w:val="28"/>
          <w14:textFill>
            <w14:solidFill>
              <w14:schemeClr w14:val="tx1"/>
            </w14:solidFill>
          </w14:textFill>
        </w:rPr>
        <w:t>）</w:t>
      </w:r>
    </w:p>
    <w:p>
      <w:pPr>
        <w:spacing w:line="360" w:lineRule="auto"/>
        <w:ind w:firstLine="562" w:firstLineChars="200"/>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二、中国共产党成都市青羊区委员会党校窗帘采购项目</w:t>
      </w:r>
    </w:p>
    <w:p>
      <w:pPr>
        <w:spacing w:line="360" w:lineRule="auto"/>
        <w:ind w:firstLine="562" w:firstLineChars="200"/>
        <w:jc w:val="left"/>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三、</w:t>
      </w:r>
      <w:r>
        <w:rPr>
          <w:rFonts w:hint="eastAsia" w:ascii="宋体" w:hAnsi="宋体"/>
          <w:color w:val="000000" w:themeColor="text1"/>
          <w:sz w:val="28"/>
          <w:szCs w:val="28"/>
          <w14:textFill>
            <w14:solidFill>
              <w14:schemeClr w14:val="tx1"/>
            </w14:solidFill>
          </w14:textFill>
        </w:rPr>
        <w:t>资金来源、预算金额及最高限价：财政性资金，政府采购实施计划备案表号：510105-2021-[2021]50号；预算品目：A07030305窗帘及类似品。项目总预算58.39万元；最高限价：58.39万元。</w:t>
      </w:r>
    </w:p>
    <w:p>
      <w:pPr>
        <w:spacing w:line="360" w:lineRule="auto"/>
        <w:ind w:firstLine="562" w:firstLineChars="200"/>
        <w:jc w:val="left"/>
        <w:rPr>
          <w:rFonts w:ascii="宋体" w:hAnsi="宋体"/>
          <w:color w:val="000000" w:themeColor="text1"/>
          <w:sz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四、招标项目简介</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1、本项目为中国共产党成都市青羊区委员会党校窗帘采购项目。项目总预算58.39万元。</w:t>
      </w:r>
    </w:p>
    <w:tbl>
      <w:tblPr>
        <w:tblStyle w:val="336"/>
        <w:tblW w:w="90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8"/>
        <w:gridCol w:w="2018"/>
        <w:gridCol w:w="1912"/>
        <w:gridCol w:w="1400"/>
        <w:gridCol w:w="20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678" w:type="dxa"/>
          </w:tcPr>
          <w:p>
            <w:pPr>
              <w:spacing w:before="137" w:line="188" w:lineRule="auto"/>
              <w:ind w:firstLine="646"/>
              <w:rPr>
                <w:rFonts w:ascii="仿宋" w:hAnsi="仿宋" w:eastAsia="仿宋" w:cs="仿宋"/>
                <w:szCs w:val="21"/>
              </w:rPr>
            </w:pPr>
            <w:r>
              <w:rPr>
                <w:rFonts w:ascii="仿宋" w:hAnsi="仿宋" w:eastAsia="仿宋" w:cs="仿宋"/>
                <w:spacing w:val="-8"/>
                <w:szCs w:val="21"/>
              </w:rPr>
              <w:t>序号</w:t>
            </w:r>
          </w:p>
        </w:tc>
        <w:tc>
          <w:tcPr>
            <w:tcW w:w="2018" w:type="dxa"/>
          </w:tcPr>
          <w:p>
            <w:pPr>
              <w:spacing w:before="137" w:line="188" w:lineRule="auto"/>
              <w:jc w:val="center"/>
              <w:rPr>
                <w:rFonts w:ascii="仿宋" w:hAnsi="仿宋" w:eastAsia="仿宋" w:cs="仿宋"/>
                <w:szCs w:val="21"/>
              </w:rPr>
            </w:pPr>
            <w:r>
              <w:rPr>
                <w:rFonts w:ascii="仿宋" w:hAnsi="仿宋" w:eastAsia="仿宋" w:cs="仿宋"/>
                <w:spacing w:val="-5"/>
                <w:szCs w:val="21"/>
              </w:rPr>
              <w:t>产品名称</w:t>
            </w:r>
          </w:p>
        </w:tc>
        <w:tc>
          <w:tcPr>
            <w:tcW w:w="1912" w:type="dxa"/>
          </w:tcPr>
          <w:p>
            <w:pPr>
              <w:spacing w:before="137" w:line="188" w:lineRule="auto"/>
              <w:ind w:firstLine="925"/>
              <w:rPr>
                <w:rFonts w:ascii="仿宋" w:hAnsi="仿宋" w:eastAsia="仿宋" w:cs="仿宋"/>
                <w:szCs w:val="21"/>
              </w:rPr>
            </w:pPr>
            <w:r>
              <w:rPr>
                <w:rFonts w:ascii="仿宋" w:hAnsi="仿宋" w:eastAsia="仿宋" w:cs="仿宋"/>
                <w:spacing w:val="-8"/>
                <w:szCs w:val="21"/>
              </w:rPr>
              <w:t>数量</w:t>
            </w:r>
          </w:p>
        </w:tc>
        <w:tc>
          <w:tcPr>
            <w:tcW w:w="1400" w:type="dxa"/>
          </w:tcPr>
          <w:p>
            <w:pPr>
              <w:spacing w:before="137" w:line="188" w:lineRule="auto"/>
              <w:ind w:firstLine="696"/>
              <w:rPr>
                <w:rFonts w:ascii="仿宋" w:hAnsi="仿宋" w:eastAsia="仿宋" w:cs="仿宋"/>
                <w:szCs w:val="21"/>
              </w:rPr>
            </w:pPr>
            <w:r>
              <w:rPr>
                <w:rFonts w:ascii="仿宋" w:hAnsi="仿宋" w:eastAsia="仿宋" w:cs="仿宋"/>
                <w:spacing w:val="-10"/>
                <w:szCs w:val="21"/>
              </w:rPr>
              <w:t>单位</w:t>
            </w:r>
          </w:p>
        </w:tc>
        <w:tc>
          <w:tcPr>
            <w:tcW w:w="2025" w:type="dxa"/>
          </w:tcPr>
          <w:p>
            <w:pPr>
              <w:spacing w:before="137" w:line="188" w:lineRule="auto"/>
              <w:ind w:firstLine="190" w:firstLineChars="100"/>
              <w:jc w:val="center"/>
              <w:rPr>
                <w:rFonts w:ascii="仿宋" w:hAnsi="仿宋" w:eastAsia="仿宋" w:cs="仿宋"/>
                <w:spacing w:val="-10"/>
                <w:szCs w:val="21"/>
              </w:rPr>
            </w:pPr>
            <w:r>
              <w:rPr>
                <w:rFonts w:hint="eastAsia" w:ascii="仿宋" w:hAnsi="仿宋" w:eastAsia="仿宋" w:cs="仿宋"/>
                <w:spacing w:val="-10"/>
                <w:szCs w:val="21"/>
              </w:rPr>
              <w:t>所属行业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678" w:type="dxa"/>
          </w:tcPr>
          <w:p>
            <w:pPr>
              <w:spacing w:before="164" w:line="180" w:lineRule="auto"/>
              <w:ind w:firstLine="806"/>
              <w:rPr>
                <w:rFonts w:ascii="仿宋" w:hAnsi="仿宋" w:eastAsia="仿宋" w:cs="仿宋"/>
                <w:szCs w:val="21"/>
              </w:rPr>
            </w:pPr>
            <w:r>
              <w:rPr>
                <w:rFonts w:ascii="仿宋" w:hAnsi="仿宋" w:eastAsia="仿宋" w:cs="仿宋"/>
                <w:szCs w:val="21"/>
              </w:rPr>
              <w:t>1</w:t>
            </w:r>
          </w:p>
        </w:tc>
        <w:tc>
          <w:tcPr>
            <w:tcW w:w="2018" w:type="dxa"/>
          </w:tcPr>
          <w:p>
            <w:pPr>
              <w:spacing w:before="129" w:line="188" w:lineRule="auto"/>
              <w:jc w:val="center"/>
              <w:rPr>
                <w:rFonts w:ascii="仿宋" w:hAnsi="仿宋" w:eastAsia="仿宋" w:cs="仿宋"/>
                <w:szCs w:val="21"/>
              </w:rPr>
            </w:pPr>
            <w:r>
              <w:rPr>
                <w:rFonts w:ascii="仿宋" w:hAnsi="仿宋" w:eastAsia="仿宋" w:cs="仿宋"/>
                <w:spacing w:val="-7"/>
                <w:szCs w:val="21"/>
              </w:rPr>
              <w:t>阳光卷帘</w:t>
            </w:r>
          </w:p>
        </w:tc>
        <w:tc>
          <w:tcPr>
            <w:tcW w:w="1912" w:type="dxa"/>
          </w:tcPr>
          <w:p>
            <w:pPr>
              <w:spacing w:before="164" w:line="180" w:lineRule="auto"/>
              <w:ind w:firstLine="773"/>
              <w:rPr>
                <w:rFonts w:ascii="仿宋" w:hAnsi="仿宋" w:eastAsia="仿宋" w:cs="仿宋"/>
                <w:szCs w:val="21"/>
              </w:rPr>
            </w:pPr>
            <w:r>
              <w:rPr>
                <w:rFonts w:ascii="仿宋" w:hAnsi="仿宋" w:eastAsia="仿宋" w:cs="仿宋"/>
                <w:spacing w:val="-4"/>
                <w:szCs w:val="21"/>
              </w:rPr>
              <w:t>1585.37</w:t>
            </w:r>
          </w:p>
        </w:tc>
        <w:tc>
          <w:tcPr>
            <w:tcW w:w="1400" w:type="dxa"/>
          </w:tcPr>
          <w:p>
            <w:pPr>
              <w:spacing w:before="129" w:line="188" w:lineRule="auto"/>
              <w:ind w:firstLine="788"/>
              <w:rPr>
                <w:rFonts w:ascii="仿宋" w:hAnsi="仿宋" w:eastAsia="仿宋" w:cs="仿宋"/>
                <w:szCs w:val="21"/>
              </w:rPr>
            </w:pPr>
            <w:r>
              <w:rPr>
                <w:rFonts w:ascii="仿宋" w:hAnsi="仿宋" w:eastAsia="仿宋" w:cs="仿宋"/>
                <w:szCs w:val="21"/>
              </w:rPr>
              <w:t>㎡</w:t>
            </w:r>
          </w:p>
        </w:tc>
        <w:tc>
          <w:tcPr>
            <w:tcW w:w="2025" w:type="dxa"/>
          </w:tcPr>
          <w:p>
            <w:pPr>
              <w:spacing w:before="129" w:line="188" w:lineRule="auto"/>
              <w:jc w:val="center"/>
              <w:rPr>
                <w:rFonts w:ascii="仿宋" w:hAnsi="仿宋" w:eastAsia="仿宋" w:cs="仿宋"/>
                <w:szCs w:val="21"/>
              </w:rPr>
            </w:pPr>
            <w:r>
              <w:rPr>
                <w:rFonts w:hint="eastAsia" w:ascii="仿宋" w:hAnsi="仿宋" w:eastAsia="仿宋" w:cs="仿宋"/>
                <w:szCs w:val="21"/>
              </w:rPr>
              <w:t>制造业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678" w:type="dxa"/>
          </w:tcPr>
          <w:p>
            <w:pPr>
              <w:spacing w:before="166" w:line="180" w:lineRule="auto"/>
              <w:ind w:firstLine="793"/>
              <w:rPr>
                <w:rFonts w:ascii="仿宋" w:hAnsi="仿宋" w:eastAsia="仿宋" w:cs="仿宋"/>
                <w:szCs w:val="21"/>
              </w:rPr>
            </w:pPr>
            <w:r>
              <w:rPr>
                <w:rFonts w:ascii="仿宋" w:hAnsi="仿宋" w:eastAsia="仿宋" w:cs="仿宋"/>
                <w:szCs w:val="21"/>
              </w:rPr>
              <w:t>2</w:t>
            </w:r>
          </w:p>
        </w:tc>
        <w:tc>
          <w:tcPr>
            <w:tcW w:w="2018" w:type="dxa"/>
          </w:tcPr>
          <w:p>
            <w:pPr>
              <w:spacing w:before="130" w:line="188" w:lineRule="auto"/>
              <w:jc w:val="center"/>
              <w:rPr>
                <w:rFonts w:ascii="仿宋" w:hAnsi="仿宋" w:eastAsia="仿宋" w:cs="仿宋"/>
                <w:szCs w:val="21"/>
              </w:rPr>
            </w:pPr>
            <w:r>
              <w:rPr>
                <w:rFonts w:ascii="仿宋" w:hAnsi="仿宋" w:eastAsia="仿宋" w:cs="仿宋"/>
                <w:spacing w:val="-5"/>
                <w:szCs w:val="21"/>
              </w:rPr>
              <w:t>遮光卷帘</w:t>
            </w:r>
          </w:p>
        </w:tc>
        <w:tc>
          <w:tcPr>
            <w:tcW w:w="1912" w:type="dxa"/>
          </w:tcPr>
          <w:p>
            <w:pPr>
              <w:spacing w:before="165" w:line="180" w:lineRule="auto"/>
              <w:ind w:firstLine="773"/>
              <w:rPr>
                <w:rFonts w:ascii="仿宋" w:hAnsi="仿宋" w:eastAsia="仿宋" w:cs="仿宋"/>
                <w:szCs w:val="21"/>
              </w:rPr>
            </w:pPr>
            <w:r>
              <w:rPr>
                <w:rFonts w:ascii="仿宋" w:hAnsi="仿宋" w:eastAsia="仿宋" w:cs="仿宋"/>
                <w:spacing w:val="-4"/>
                <w:szCs w:val="21"/>
              </w:rPr>
              <w:t>1585.37</w:t>
            </w:r>
          </w:p>
        </w:tc>
        <w:tc>
          <w:tcPr>
            <w:tcW w:w="1400" w:type="dxa"/>
          </w:tcPr>
          <w:p>
            <w:pPr>
              <w:spacing w:before="130" w:line="188" w:lineRule="auto"/>
              <w:ind w:firstLine="788"/>
              <w:rPr>
                <w:rFonts w:ascii="仿宋" w:hAnsi="仿宋" w:eastAsia="仿宋" w:cs="仿宋"/>
                <w:szCs w:val="21"/>
              </w:rPr>
            </w:pPr>
            <w:r>
              <w:rPr>
                <w:rFonts w:ascii="仿宋" w:hAnsi="仿宋" w:eastAsia="仿宋" w:cs="仿宋"/>
                <w:szCs w:val="21"/>
              </w:rPr>
              <w:t>㎡</w:t>
            </w:r>
          </w:p>
        </w:tc>
        <w:tc>
          <w:tcPr>
            <w:tcW w:w="2025" w:type="dxa"/>
          </w:tcPr>
          <w:p>
            <w:pPr>
              <w:spacing w:before="130" w:line="188" w:lineRule="auto"/>
              <w:jc w:val="center"/>
              <w:rPr>
                <w:rFonts w:ascii="仿宋" w:hAnsi="仿宋" w:eastAsia="仿宋" w:cs="仿宋"/>
                <w:szCs w:val="21"/>
              </w:rPr>
            </w:pPr>
            <w:r>
              <w:rPr>
                <w:rFonts w:hint="eastAsia" w:ascii="仿宋" w:hAnsi="仿宋" w:eastAsia="仿宋" w:cs="仿宋"/>
                <w:szCs w:val="21"/>
              </w:rPr>
              <w:t>制造业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678" w:type="dxa"/>
          </w:tcPr>
          <w:p>
            <w:pPr>
              <w:spacing w:before="169" w:line="180" w:lineRule="auto"/>
              <w:ind w:firstLine="795"/>
              <w:rPr>
                <w:rFonts w:ascii="仿宋" w:hAnsi="仿宋" w:eastAsia="仿宋" w:cs="仿宋"/>
                <w:szCs w:val="21"/>
              </w:rPr>
            </w:pPr>
            <w:r>
              <w:rPr>
                <w:rFonts w:ascii="仿宋" w:hAnsi="仿宋" w:eastAsia="仿宋" w:cs="仿宋"/>
                <w:szCs w:val="21"/>
              </w:rPr>
              <w:t>3</w:t>
            </w:r>
          </w:p>
        </w:tc>
        <w:tc>
          <w:tcPr>
            <w:tcW w:w="2018" w:type="dxa"/>
          </w:tcPr>
          <w:p>
            <w:pPr>
              <w:spacing w:before="132" w:line="188" w:lineRule="auto"/>
              <w:jc w:val="center"/>
              <w:rPr>
                <w:rFonts w:ascii="仿宋" w:hAnsi="仿宋" w:eastAsia="仿宋" w:cs="仿宋"/>
                <w:szCs w:val="21"/>
              </w:rPr>
            </w:pPr>
            <w:r>
              <w:rPr>
                <w:rFonts w:ascii="仿宋" w:hAnsi="仿宋" w:eastAsia="仿宋" w:cs="仿宋"/>
                <w:spacing w:val="-10"/>
                <w:szCs w:val="21"/>
              </w:rPr>
              <w:t>电动布帘</w:t>
            </w:r>
          </w:p>
        </w:tc>
        <w:tc>
          <w:tcPr>
            <w:tcW w:w="1912" w:type="dxa"/>
          </w:tcPr>
          <w:p>
            <w:pPr>
              <w:spacing w:before="168" w:line="180" w:lineRule="auto"/>
              <w:ind w:firstLine="866"/>
              <w:rPr>
                <w:rFonts w:ascii="仿宋" w:hAnsi="仿宋" w:eastAsia="仿宋" w:cs="仿宋"/>
                <w:szCs w:val="21"/>
              </w:rPr>
            </w:pPr>
            <w:r>
              <w:rPr>
                <w:rFonts w:ascii="仿宋" w:hAnsi="仿宋" w:eastAsia="仿宋" w:cs="仿宋"/>
                <w:szCs w:val="21"/>
              </w:rPr>
              <w:t>297.5</w:t>
            </w:r>
          </w:p>
        </w:tc>
        <w:tc>
          <w:tcPr>
            <w:tcW w:w="1400" w:type="dxa"/>
          </w:tcPr>
          <w:p>
            <w:pPr>
              <w:spacing w:before="132" w:line="188" w:lineRule="auto"/>
              <w:ind w:firstLine="788"/>
              <w:rPr>
                <w:rFonts w:ascii="仿宋" w:hAnsi="仿宋" w:eastAsia="仿宋" w:cs="仿宋"/>
                <w:szCs w:val="21"/>
              </w:rPr>
            </w:pPr>
            <w:r>
              <w:rPr>
                <w:rFonts w:ascii="仿宋" w:hAnsi="仿宋" w:eastAsia="仿宋" w:cs="仿宋"/>
                <w:szCs w:val="21"/>
              </w:rPr>
              <w:t>㎡</w:t>
            </w:r>
          </w:p>
        </w:tc>
        <w:tc>
          <w:tcPr>
            <w:tcW w:w="2025" w:type="dxa"/>
          </w:tcPr>
          <w:p>
            <w:pPr>
              <w:spacing w:before="132" w:line="188" w:lineRule="auto"/>
              <w:jc w:val="center"/>
              <w:rPr>
                <w:rFonts w:ascii="仿宋" w:hAnsi="仿宋" w:eastAsia="仿宋" w:cs="仿宋"/>
                <w:szCs w:val="21"/>
              </w:rPr>
            </w:pPr>
            <w:r>
              <w:rPr>
                <w:rFonts w:hint="eastAsia" w:ascii="仿宋" w:hAnsi="仿宋" w:eastAsia="仿宋" w:cs="仿宋"/>
                <w:szCs w:val="21"/>
              </w:rPr>
              <w:t>制造业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678" w:type="dxa"/>
          </w:tcPr>
          <w:p>
            <w:pPr>
              <w:spacing w:before="169" w:line="180" w:lineRule="auto"/>
              <w:ind w:firstLine="790"/>
              <w:rPr>
                <w:rFonts w:ascii="仿宋" w:hAnsi="仿宋" w:eastAsia="仿宋" w:cs="仿宋"/>
                <w:szCs w:val="21"/>
              </w:rPr>
            </w:pPr>
            <w:r>
              <w:rPr>
                <w:rFonts w:ascii="仿宋" w:hAnsi="仿宋" w:eastAsia="仿宋" w:cs="仿宋"/>
                <w:szCs w:val="21"/>
              </w:rPr>
              <w:t>4</w:t>
            </w:r>
          </w:p>
        </w:tc>
        <w:tc>
          <w:tcPr>
            <w:tcW w:w="2018" w:type="dxa"/>
          </w:tcPr>
          <w:p>
            <w:pPr>
              <w:spacing w:before="133" w:line="188" w:lineRule="auto"/>
              <w:jc w:val="center"/>
              <w:rPr>
                <w:rFonts w:ascii="仿宋" w:hAnsi="仿宋" w:eastAsia="仿宋" w:cs="仿宋"/>
                <w:szCs w:val="21"/>
              </w:rPr>
            </w:pPr>
            <w:r>
              <w:rPr>
                <w:rFonts w:ascii="仿宋" w:hAnsi="仿宋" w:eastAsia="仿宋" w:cs="仿宋"/>
                <w:spacing w:val="-5"/>
                <w:szCs w:val="21"/>
              </w:rPr>
              <w:t>手动布帘</w:t>
            </w:r>
          </w:p>
        </w:tc>
        <w:tc>
          <w:tcPr>
            <w:tcW w:w="1912" w:type="dxa"/>
          </w:tcPr>
          <w:p>
            <w:pPr>
              <w:spacing w:before="169" w:line="180" w:lineRule="auto"/>
              <w:ind w:firstLine="921"/>
              <w:rPr>
                <w:rFonts w:ascii="仿宋" w:hAnsi="仿宋" w:eastAsia="仿宋" w:cs="仿宋"/>
                <w:szCs w:val="21"/>
              </w:rPr>
            </w:pPr>
            <w:r>
              <w:rPr>
                <w:rFonts w:ascii="仿宋" w:hAnsi="仿宋" w:eastAsia="仿宋" w:cs="仿宋"/>
                <w:spacing w:val="-3"/>
                <w:szCs w:val="21"/>
              </w:rPr>
              <w:t>3638</w:t>
            </w:r>
          </w:p>
        </w:tc>
        <w:tc>
          <w:tcPr>
            <w:tcW w:w="1400" w:type="dxa"/>
          </w:tcPr>
          <w:p>
            <w:pPr>
              <w:spacing w:before="133" w:line="188" w:lineRule="auto"/>
              <w:ind w:firstLine="788"/>
              <w:rPr>
                <w:rFonts w:ascii="仿宋" w:hAnsi="仿宋" w:eastAsia="仿宋" w:cs="仿宋"/>
                <w:szCs w:val="21"/>
              </w:rPr>
            </w:pPr>
            <w:r>
              <w:rPr>
                <w:rFonts w:ascii="仿宋" w:hAnsi="仿宋" w:eastAsia="仿宋" w:cs="仿宋"/>
                <w:szCs w:val="21"/>
              </w:rPr>
              <w:t>㎡</w:t>
            </w:r>
          </w:p>
        </w:tc>
        <w:tc>
          <w:tcPr>
            <w:tcW w:w="2025" w:type="dxa"/>
          </w:tcPr>
          <w:p>
            <w:pPr>
              <w:spacing w:before="133" w:line="188" w:lineRule="auto"/>
              <w:jc w:val="center"/>
              <w:rPr>
                <w:rFonts w:ascii="仿宋" w:hAnsi="仿宋" w:eastAsia="仿宋" w:cs="仿宋"/>
                <w:szCs w:val="21"/>
              </w:rPr>
            </w:pPr>
            <w:r>
              <w:rPr>
                <w:rFonts w:hint="eastAsia" w:ascii="仿宋" w:hAnsi="仿宋" w:eastAsia="仿宋" w:cs="仿宋"/>
                <w:szCs w:val="21"/>
              </w:rPr>
              <w:t>制造业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678" w:type="dxa"/>
          </w:tcPr>
          <w:p>
            <w:pPr>
              <w:spacing w:before="171" w:line="180" w:lineRule="auto"/>
              <w:ind w:firstLine="795"/>
              <w:rPr>
                <w:rFonts w:ascii="仿宋" w:hAnsi="仿宋" w:eastAsia="仿宋" w:cs="仿宋"/>
                <w:szCs w:val="21"/>
              </w:rPr>
            </w:pPr>
            <w:r>
              <w:rPr>
                <w:rFonts w:ascii="仿宋" w:hAnsi="仿宋" w:eastAsia="仿宋" w:cs="仿宋"/>
                <w:szCs w:val="21"/>
              </w:rPr>
              <w:t>5</w:t>
            </w:r>
          </w:p>
        </w:tc>
        <w:tc>
          <w:tcPr>
            <w:tcW w:w="2018" w:type="dxa"/>
          </w:tcPr>
          <w:p>
            <w:pPr>
              <w:spacing w:before="133" w:line="188" w:lineRule="auto"/>
              <w:jc w:val="center"/>
              <w:rPr>
                <w:rFonts w:ascii="仿宋" w:hAnsi="仿宋" w:eastAsia="仿宋" w:cs="仿宋"/>
                <w:szCs w:val="21"/>
              </w:rPr>
            </w:pPr>
            <w:r>
              <w:rPr>
                <w:rFonts w:ascii="仿宋" w:hAnsi="仿宋" w:eastAsia="仿宋" w:cs="仿宋"/>
                <w:spacing w:val="-7"/>
                <w:szCs w:val="21"/>
              </w:rPr>
              <w:t>电动遮光布帘</w:t>
            </w:r>
          </w:p>
        </w:tc>
        <w:tc>
          <w:tcPr>
            <w:tcW w:w="1912" w:type="dxa"/>
          </w:tcPr>
          <w:p>
            <w:pPr>
              <w:spacing w:before="169" w:line="180" w:lineRule="auto"/>
              <w:ind w:firstLine="868"/>
              <w:rPr>
                <w:rFonts w:ascii="仿宋" w:hAnsi="仿宋" w:eastAsia="仿宋" w:cs="仿宋"/>
                <w:szCs w:val="21"/>
              </w:rPr>
            </w:pPr>
            <w:r>
              <w:rPr>
                <w:rFonts w:ascii="仿宋" w:hAnsi="仿宋" w:eastAsia="仿宋" w:cs="仿宋"/>
                <w:spacing w:val="-3"/>
                <w:szCs w:val="21"/>
              </w:rPr>
              <w:t>380.8</w:t>
            </w:r>
          </w:p>
        </w:tc>
        <w:tc>
          <w:tcPr>
            <w:tcW w:w="1400" w:type="dxa"/>
          </w:tcPr>
          <w:p>
            <w:pPr>
              <w:spacing w:before="133" w:line="188" w:lineRule="auto"/>
              <w:ind w:firstLine="788"/>
              <w:rPr>
                <w:rFonts w:ascii="仿宋" w:hAnsi="仿宋" w:eastAsia="仿宋" w:cs="仿宋"/>
                <w:szCs w:val="21"/>
              </w:rPr>
            </w:pPr>
            <w:r>
              <w:rPr>
                <w:rFonts w:ascii="仿宋" w:hAnsi="仿宋" w:eastAsia="仿宋" w:cs="仿宋"/>
                <w:szCs w:val="21"/>
              </w:rPr>
              <w:t>㎡</w:t>
            </w:r>
          </w:p>
        </w:tc>
        <w:tc>
          <w:tcPr>
            <w:tcW w:w="2025" w:type="dxa"/>
          </w:tcPr>
          <w:p>
            <w:pPr>
              <w:spacing w:before="133" w:line="188" w:lineRule="auto"/>
              <w:jc w:val="center"/>
              <w:rPr>
                <w:rFonts w:ascii="仿宋" w:hAnsi="仿宋" w:eastAsia="仿宋" w:cs="仿宋"/>
                <w:szCs w:val="21"/>
              </w:rPr>
            </w:pPr>
            <w:r>
              <w:rPr>
                <w:rFonts w:hint="eastAsia" w:ascii="仿宋" w:hAnsi="仿宋" w:eastAsia="仿宋" w:cs="仿宋"/>
                <w:szCs w:val="21"/>
              </w:rPr>
              <w:t>制造业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678" w:type="dxa"/>
          </w:tcPr>
          <w:p>
            <w:pPr>
              <w:spacing w:before="169" w:line="180" w:lineRule="auto"/>
              <w:ind w:firstLine="792"/>
              <w:rPr>
                <w:rFonts w:ascii="仿宋" w:hAnsi="仿宋" w:eastAsia="仿宋" w:cs="仿宋"/>
                <w:szCs w:val="21"/>
              </w:rPr>
            </w:pPr>
            <w:r>
              <w:rPr>
                <w:rFonts w:ascii="仿宋" w:hAnsi="仿宋" w:eastAsia="仿宋" w:cs="仿宋"/>
                <w:szCs w:val="21"/>
              </w:rPr>
              <w:t>6</w:t>
            </w:r>
          </w:p>
        </w:tc>
        <w:tc>
          <w:tcPr>
            <w:tcW w:w="2018" w:type="dxa"/>
          </w:tcPr>
          <w:p>
            <w:pPr>
              <w:spacing w:before="133" w:line="188" w:lineRule="auto"/>
              <w:jc w:val="center"/>
              <w:rPr>
                <w:rFonts w:ascii="仿宋" w:hAnsi="仿宋" w:eastAsia="仿宋" w:cs="仿宋"/>
                <w:szCs w:val="21"/>
              </w:rPr>
            </w:pPr>
            <w:r>
              <w:rPr>
                <w:rFonts w:ascii="仿宋" w:hAnsi="仿宋" w:eastAsia="仿宋" w:cs="仿宋"/>
                <w:spacing w:val="-3"/>
                <w:szCs w:val="21"/>
              </w:rPr>
              <w:t>手动遮光布帘</w:t>
            </w:r>
          </w:p>
        </w:tc>
        <w:tc>
          <w:tcPr>
            <w:tcW w:w="1912" w:type="dxa"/>
          </w:tcPr>
          <w:p>
            <w:pPr>
              <w:spacing w:before="169" w:line="180" w:lineRule="auto"/>
              <w:ind w:firstLine="866"/>
              <w:rPr>
                <w:rFonts w:ascii="仿宋" w:hAnsi="仿宋" w:eastAsia="仿宋" w:cs="仿宋"/>
                <w:szCs w:val="21"/>
              </w:rPr>
            </w:pPr>
            <w:r>
              <w:rPr>
                <w:rFonts w:ascii="仿宋" w:hAnsi="仿宋" w:eastAsia="仿宋" w:cs="仿宋"/>
                <w:szCs w:val="21"/>
              </w:rPr>
              <w:t>200.5</w:t>
            </w:r>
          </w:p>
        </w:tc>
        <w:tc>
          <w:tcPr>
            <w:tcW w:w="1400" w:type="dxa"/>
          </w:tcPr>
          <w:p>
            <w:pPr>
              <w:spacing w:before="133" w:line="188" w:lineRule="auto"/>
              <w:ind w:firstLine="788"/>
              <w:rPr>
                <w:rFonts w:ascii="仿宋" w:hAnsi="仿宋" w:eastAsia="仿宋" w:cs="仿宋"/>
                <w:szCs w:val="21"/>
              </w:rPr>
            </w:pPr>
            <w:r>
              <w:rPr>
                <w:rFonts w:ascii="仿宋" w:hAnsi="仿宋" w:eastAsia="仿宋" w:cs="仿宋"/>
                <w:szCs w:val="21"/>
              </w:rPr>
              <w:t>㎡</w:t>
            </w:r>
          </w:p>
        </w:tc>
        <w:tc>
          <w:tcPr>
            <w:tcW w:w="2025" w:type="dxa"/>
          </w:tcPr>
          <w:p>
            <w:pPr>
              <w:spacing w:before="133" w:line="188" w:lineRule="auto"/>
              <w:jc w:val="center"/>
              <w:rPr>
                <w:rFonts w:ascii="仿宋" w:hAnsi="仿宋" w:eastAsia="仿宋" w:cs="仿宋"/>
                <w:szCs w:val="21"/>
              </w:rPr>
            </w:pPr>
            <w:r>
              <w:rPr>
                <w:rFonts w:hint="eastAsia" w:ascii="仿宋" w:hAnsi="仿宋" w:eastAsia="仿宋" w:cs="仿宋"/>
                <w:szCs w:val="21"/>
              </w:rPr>
              <w:t>制造业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678" w:type="dxa"/>
          </w:tcPr>
          <w:p>
            <w:pPr>
              <w:spacing w:before="170" w:line="180" w:lineRule="auto"/>
              <w:ind w:firstLine="795"/>
              <w:rPr>
                <w:rFonts w:ascii="仿宋" w:hAnsi="仿宋" w:eastAsia="仿宋" w:cs="仿宋"/>
                <w:szCs w:val="21"/>
              </w:rPr>
            </w:pPr>
            <w:r>
              <w:rPr>
                <w:rFonts w:ascii="仿宋" w:hAnsi="仿宋" w:eastAsia="仿宋" w:cs="仿宋"/>
                <w:szCs w:val="21"/>
              </w:rPr>
              <w:t>7</w:t>
            </w:r>
          </w:p>
        </w:tc>
        <w:tc>
          <w:tcPr>
            <w:tcW w:w="2018" w:type="dxa"/>
          </w:tcPr>
          <w:p>
            <w:pPr>
              <w:spacing w:before="132" w:line="188" w:lineRule="auto"/>
              <w:jc w:val="center"/>
              <w:rPr>
                <w:rFonts w:ascii="仿宋" w:hAnsi="仿宋" w:eastAsia="仿宋" w:cs="仿宋"/>
                <w:szCs w:val="21"/>
              </w:rPr>
            </w:pPr>
            <w:r>
              <w:rPr>
                <w:rFonts w:ascii="仿宋" w:hAnsi="仿宋" w:eastAsia="仿宋" w:cs="仿宋"/>
                <w:spacing w:val="-10"/>
                <w:szCs w:val="21"/>
              </w:rPr>
              <w:t>电动纱帘</w:t>
            </w:r>
          </w:p>
        </w:tc>
        <w:tc>
          <w:tcPr>
            <w:tcW w:w="1912" w:type="dxa"/>
          </w:tcPr>
          <w:p>
            <w:pPr>
              <w:spacing w:before="167" w:line="180" w:lineRule="auto"/>
              <w:ind w:firstLine="868"/>
              <w:rPr>
                <w:rFonts w:ascii="仿宋" w:hAnsi="仿宋" w:eastAsia="仿宋" w:cs="仿宋"/>
                <w:szCs w:val="21"/>
              </w:rPr>
            </w:pPr>
            <w:r>
              <w:rPr>
                <w:rFonts w:ascii="仿宋" w:hAnsi="仿宋" w:eastAsia="仿宋" w:cs="仿宋"/>
                <w:spacing w:val="-1"/>
                <w:szCs w:val="21"/>
              </w:rPr>
              <w:t>317.5</w:t>
            </w:r>
          </w:p>
        </w:tc>
        <w:tc>
          <w:tcPr>
            <w:tcW w:w="1400" w:type="dxa"/>
          </w:tcPr>
          <w:p>
            <w:pPr>
              <w:spacing w:before="132" w:line="188" w:lineRule="auto"/>
              <w:ind w:firstLine="788"/>
              <w:rPr>
                <w:rFonts w:ascii="仿宋" w:hAnsi="仿宋" w:eastAsia="仿宋" w:cs="仿宋"/>
                <w:szCs w:val="21"/>
              </w:rPr>
            </w:pPr>
            <w:r>
              <w:rPr>
                <w:rFonts w:ascii="仿宋" w:hAnsi="仿宋" w:eastAsia="仿宋" w:cs="仿宋"/>
                <w:szCs w:val="21"/>
              </w:rPr>
              <w:t>㎡</w:t>
            </w:r>
          </w:p>
        </w:tc>
        <w:tc>
          <w:tcPr>
            <w:tcW w:w="2025" w:type="dxa"/>
          </w:tcPr>
          <w:p>
            <w:pPr>
              <w:spacing w:before="132" w:line="188" w:lineRule="auto"/>
              <w:jc w:val="center"/>
              <w:rPr>
                <w:rFonts w:ascii="仿宋" w:hAnsi="仿宋" w:eastAsia="仿宋" w:cs="仿宋"/>
                <w:szCs w:val="21"/>
              </w:rPr>
            </w:pPr>
            <w:r>
              <w:rPr>
                <w:rFonts w:hint="eastAsia" w:ascii="仿宋" w:hAnsi="仿宋" w:eastAsia="仿宋" w:cs="仿宋"/>
                <w:szCs w:val="21"/>
              </w:rPr>
              <w:t>制造业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678" w:type="dxa"/>
          </w:tcPr>
          <w:p>
            <w:pPr>
              <w:spacing w:before="169" w:line="180" w:lineRule="auto"/>
              <w:ind w:firstLine="791"/>
              <w:rPr>
                <w:rFonts w:ascii="仿宋" w:hAnsi="仿宋" w:eastAsia="仿宋" w:cs="仿宋"/>
                <w:szCs w:val="21"/>
              </w:rPr>
            </w:pPr>
            <w:r>
              <w:rPr>
                <w:rFonts w:ascii="仿宋" w:hAnsi="仿宋" w:eastAsia="仿宋" w:cs="仿宋"/>
                <w:szCs w:val="21"/>
              </w:rPr>
              <w:t>8</w:t>
            </w:r>
          </w:p>
        </w:tc>
        <w:tc>
          <w:tcPr>
            <w:tcW w:w="2018" w:type="dxa"/>
          </w:tcPr>
          <w:p>
            <w:pPr>
              <w:spacing w:before="132" w:line="188" w:lineRule="auto"/>
              <w:jc w:val="center"/>
              <w:rPr>
                <w:rFonts w:ascii="仿宋" w:hAnsi="仿宋" w:eastAsia="仿宋" w:cs="仿宋"/>
                <w:szCs w:val="21"/>
              </w:rPr>
            </w:pPr>
            <w:r>
              <w:rPr>
                <w:rFonts w:ascii="仿宋" w:hAnsi="仿宋" w:eastAsia="仿宋" w:cs="仿宋"/>
                <w:spacing w:val="-5"/>
                <w:szCs w:val="21"/>
              </w:rPr>
              <w:t>手动纱帘</w:t>
            </w:r>
          </w:p>
        </w:tc>
        <w:tc>
          <w:tcPr>
            <w:tcW w:w="1912" w:type="dxa"/>
          </w:tcPr>
          <w:p>
            <w:pPr>
              <w:spacing w:before="167" w:line="180" w:lineRule="auto"/>
              <w:ind w:firstLine="762"/>
              <w:rPr>
                <w:rFonts w:ascii="仿宋" w:hAnsi="仿宋" w:eastAsia="仿宋" w:cs="仿宋"/>
                <w:szCs w:val="21"/>
              </w:rPr>
            </w:pPr>
            <w:r>
              <w:rPr>
                <w:rFonts w:ascii="仿宋" w:hAnsi="仿宋" w:eastAsia="仿宋" w:cs="仿宋"/>
                <w:spacing w:val="-2"/>
                <w:szCs w:val="21"/>
              </w:rPr>
              <w:t>3198.78</w:t>
            </w:r>
          </w:p>
        </w:tc>
        <w:tc>
          <w:tcPr>
            <w:tcW w:w="1400" w:type="dxa"/>
          </w:tcPr>
          <w:p>
            <w:pPr>
              <w:spacing w:before="132" w:line="188" w:lineRule="auto"/>
              <w:ind w:firstLine="788"/>
              <w:rPr>
                <w:rFonts w:ascii="仿宋" w:hAnsi="仿宋" w:eastAsia="仿宋" w:cs="仿宋"/>
                <w:szCs w:val="21"/>
              </w:rPr>
            </w:pPr>
            <w:r>
              <w:rPr>
                <w:rFonts w:ascii="仿宋" w:hAnsi="仿宋" w:eastAsia="仿宋" w:cs="仿宋"/>
                <w:szCs w:val="21"/>
              </w:rPr>
              <w:t>㎡</w:t>
            </w:r>
          </w:p>
        </w:tc>
        <w:tc>
          <w:tcPr>
            <w:tcW w:w="2025" w:type="dxa"/>
          </w:tcPr>
          <w:p>
            <w:pPr>
              <w:spacing w:before="132" w:line="188" w:lineRule="auto"/>
              <w:jc w:val="center"/>
              <w:rPr>
                <w:rFonts w:ascii="仿宋" w:hAnsi="仿宋" w:eastAsia="仿宋" w:cs="仿宋"/>
                <w:szCs w:val="21"/>
              </w:rPr>
            </w:pPr>
            <w:r>
              <w:rPr>
                <w:rFonts w:hint="eastAsia" w:ascii="仿宋" w:hAnsi="仿宋" w:eastAsia="仿宋" w:cs="仿宋"/>
                <w:szCs w:val="21"/>
              </w:rPr>
              <w:t>制造业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678" w:type="dxa"/>
          </w:tcPr>
          <w:p>
            <w:pPr>
              <w:spacing w:before="172" w:line="180" w:lineRule="auto"/>
              <w:ind w:firstLine="791"/>
              <w:rPr>
                <w:rFonts w:ascii="仿宋" w:hAnsi="仿宋" w:eastAsia="仿宋" w:cs="仿宋"/>
                <w:szCs w:val="21"/>
              </w:rPr>
            </w:pPr>
            <w:r>
              <w:rPr>
                <w:rFonts w:ascii="仿宋" w:hAnsi="仿宋" w:eastAsia="仿宋" w:cs="仿宋"/>
                <w:szCs w:val="21"/>
              </w:rPr>
              <w:t>9</w:t>
            </w:r>
          </w:p>
        </w:tc>
        <w:tc>
          <w:tcPr>
            <w:tcW w:w="2018" w:type="dxa"/>
          </w:tcPr>
          <w:p>
            <w:pPr>
              <w:spacing w:before="135" w:line="188" w:lineRule="auto"/>
              <w:jc w:val="center"/>
              <w:rPr>
                <w:rFonts w:ascii="仿宋" w:hAnsi="仿宋" w:eastAsia="仿宋" w:cs="仿宋"/>
                <w:szCs w:val="21"/>
              </w:rPr>
            </w:pPr>
            <w:r>
              <w:rPr>
                <w:rFonts w:ascii="仿宋" w:hAnsi="仿宋" w:eastAsia="仿宋" w:cs="仿宋"/>
                <w:spacing w:val="-8"/>
                <w:szCs w:val="21"/>
              </w:rPr>
              <w:t>阻燃布带</w:t>
            </w:r>
          </w:p>
        </w:tc>
        <w:tc>
          <w:tcPr>
            <w:tcW w:w="1912" w:type="dxa"/>
          </w:tcPr>
          <w:p>
            <w:pPr>
              <w:spacing w:before="170" w:line="180" w:lineRule="auto"/>
              <w:ind w:firstLine="921"/>
              <w:rPr>
                <w:rFonts w:ascii="仿宋" w:hAnsi="仿宋" w:eastAsia="仿宋" w:cs="仿宋"/>
                <w:szCs w:val="21"/>
              </w:rPr>
            </w:pPr>
            <w:r>
              <w:rPr>
                <w:rFonts w:ascii="仿宋" w:hAnsi="仿宋" w:eastAsia="仿宋" w:cs="仿宋"/>
                <w:spacing w:val="-3"/>
                <w:szCs w:val="21"/>
              </w:rPr>
              <w:t>3100</w:t>
            </w:r>
          </w:p>
        </w:tc>
        <w:tc>
          <w:tcPr>
            <w:tcW w:w="1400" w:type="dxa"/>
          </w:tcPr>
          <w:p>
            <w:pPr>
              <w:spacing w:before="135" w:line="188" w:lineRule="auto"/>
              <w:ind w:firstLine="795"/>
              <w:rPr>
                <w:rFonts w:ascii="仿宋" w:hAnsi="仿宋" w:eastAsia="仿宋" w:cs="仿宋"/>
                <w:szCs w:val="21"/>
              </w:rPr>
            </w:pPr>
            <w:r>
              <w:rPr>
                <w:rFonts w:ascii="仿宋" w:hAnsi="仿宋" w:eastAsia="仿宋" w:cs="仿宋"/>
                <w:szCs w:val="21"/>
              </w:rPr>
              <w:t>米</w:t>
            </w:r>
          </w:p>
        </w:tc>
        <w:tc>
          <w:tcPr>
            <w:tcW w:w="2025" w:type="dxa"/>
          </w:tcPr>
          <w:p>
            <w:pPr>
              <w:spacing w:before="135" w:line="188" w:lineRule="auto"/>
              <w:jc w:val="center"/>
              <w:rPr>
                <w:rFonts w:ascii="仿宋" w:hAnsi="仿宋" w:eastAsia="仿宋" w:cs="仿宋"/>
                <w:szCs w:val="21"/>
              </w:rPr>
            </w:pPr>
            <w:r>
              <w:rPr>
                <w:rFonts w:hint="eastAsia" w:ascii="仿宋" w:hAnsi="仿宋" w:eastAsia="仿宋" w:cs="仿宋"/>
                <w:szCs w:val="21"/>
              </w:rPr>
              <w:t>制造业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678" w:type="dxa"/>
          </w:tcPr>
          <w:p>
            <w:pPr>
              <w:spacing w:before="170" w:line="180" w:lineRule="auto"/>
              <w:ind w:firstLine="753"/>
              <w:rPr>
                <w:rFonts w:ascii="仿宋" w:hAnsi="仿宋" w:eastAsia="仿宋" w:cs="仿宋"/>
                <w:szCs w:val="21"/>
              </w:rPr>
            </w:pPr>
            <w:r>
              <w:rPr>
                <w:rFonts w:ascii="仿宋" w:hAnsi="仿宋" w:eastAsia="仿宋" w:cs="仿宋"/>
                <w:spacing w:val="-10"/>
                <w:w w:val="98"/>
                <w:szCs w:val="21"/>
              </w:rPr>
              <w:t>10</w:t>
            </w:r>
          </w:p>
        </w:tc>
        <w:tc>
          <w:tcPr>
            <w:tcW w:w="2018" w:type="dxa"/>
          </w:tcPr>
          <w:p>
            <w:pPr>
              <w:spacing w:before="135" w:line="188" w:lineRule="auto"/>
              <w:jc w:val="center"/>
              <w:rPr>
                <w:rFonts w:ascii="仿宋" w:hAnsi="仿宋" w:eastAsia="仿宋" w:cs="仿宋"/>
                <w:szCs w:val="21"/>
              </w:rPr>
            </w:pPr>
            <w:r>
              <w:rPr>
                <w:rFonts w:ascii="仿宋" w:hAnsi="仿宋" w:eastAsia="仿宋" w:cs="仿宋"/>
                <w:spacing w:val="-3"/>
                <w:szCs w:val="21"/>
              </w:rPr>
              <w:t>开合帘电机</w:t>
            </w:r>
          </w:p>
        </w:tc>
        <w:tc>
          <w:tcPr>
            <w:tcW w:w="1912" w:type="dxa"/>
          </w:tcPr>
          <w:p>
            <w:pPr>
              <w:spacing w:before="171" w:line="180" w:lineRule="auto"/>
              <w:ind w:firstLine="1025"/>
              <w:rPr>
                <w:rFonts w:ascii="仿宋" w:hAnsi="仿宋" w:eastAsia="仿宋" w:cs="仿宋"/>
                <w:szCs w:val="21"/>
              </w:rPr>
            </w:pPr>
            <w:r>
              <w:rPr>
                <w:rFonts w:ascii="仿宋" w:hAnsi="仿宋" w:eastAsia="仿宋" w:cs="仿宋"/>
                <w:spacing w:val="-5"/>
                <w:szCs w:val="21"/>
              </w:rPr>
              <w:t>20</w:t>
            </w:r>
          </w:p>
        </w:tc>
        <w:tc>
          <w:tcPr>
            <w:tcW w:w="1400" w:type="dxa"/>
          </w:tcPr>
          <w:p>
            <w:pPr>
              <w:spacing w:before="135" w:line="188" w:lineRule="auto"/>
              <w:ind w:firstLine="813"/>
              <w:rPr>
                <w:rFonts w:ascii="仿宋" w:hAnsi="仿宋" w:eastAsia="仿宋" w:cs="仿宋"/>
                <w:szCs w:val="21"/>
              </w:rPr>
            </w:pPr>
            <w:r>
              <w:rPr>
                <w:rFonts w:ascii="仿宋" w:hAnsi="仿宋" w:eastAsia="仿宋" w:cs="仿宋"/>
                <w:szCs w:val="21"/>
              </w:rPr>
              <w:t>台</w:t>
            </w:r>
          </w:p>
        </w:tc>
        <w:tc>
          <w:tcPr>
            <w:tcW w:w="2025" w:type="dxa"/>
          </w:tcPr>
          <w:p>
            <w:pPr>
              <w:spacing w:before="135" w:line="188" w:lineRule="auto"/>
              <w:jc w:val="center"/>
              <w:rPr>
                <w:rFonts w:ascii="仿宋" w:hAnsi="仿宋" w:eastAsia="仿宋" w:cs="仿宋"/>
                <w:szCs w:val="21"/>
              </w:rPr>
            </w:pPr>
            <w:r>
              <w:rPr>
                <w:rFonts w:hint="eastAsia" w:ascii="仿宋" w:hAnsi="仿宋" w:eastAsia="仿宋" w:cs="仿宋"/>
                <w:szCs w:val="21"/>
              </w:rPr>
              <w:t>制造业</w:t>
            </w:r>
          </w:p>
        </w:tc>
      </w:tr>
    </w:tbl>
    <w:p>
      <w:pPr>
        <w:ind w:firstLine="560" w:firstLineChars="200"/>
        <w:rPr>
          <w:rFonts w:ascii="宋体" w:hAnsi="宋体"/>
          <w:color w:val="000000" w:themeColor="text1"/>
          <w:sz w:val="28"/>
          <w:szCs w:val="28"/>
          <w14:textFill>
            <w14:solidFill>
              <w14:schemeClr w14:val="tx1"/>
            </w14:solidFill>
          </w14:textFill>
        </w:rPr>
      </w:pPr>
    </w:p>
    <w:p>
      <w:pPr>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详细的技术、服务、商务及其他要求见招标文件第4章。</w:t>
      </w:r>
    </w:p>
    <w:p>
      <w:pPr>
        <w:pStyle w:val="79"/>
        <w:numPr>
          <w:ilvl w:val="0"/>
          <w:numId w:val="5"/>
        </w:numPr>
        <w:spacing w:line="360" w:lineRule="auto"/>
        <w:ind w:firstLineChars="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供应商参加本次政府采购活动应具备的条件</w:t>
      </w:r>
    </w:p>
    <w:p>
      <w:pPr>
        <w:numPr>
          <w:ilvl w:val="1"/>
          <w:numId w:val="6"/>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符合《政府采购法》第二十二条第一款规定的条件；</w:t>
      </w:r>
    </w:p>
    <w:p>
      <w:pPr>
        <w:numPr>
          <w:ilvl w:val="1"/>
          <w:numId w:val="6"/>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在中华人民共和国境内依法登记注册，并有效存续具有独立法人资格的供应商；</w:t>
      </w:r>
    </w:p>
    <w:p>
      <w:pPr>
        <w:numPr>
          <w:ilvl w:val="1"/>
          <w:numId w:val="6"/>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未被列入失信被执行人、重大税收违法案件当事人名单、政府采购严重违法失信行为记录名单； </w:t>
      </w:r>
    </w:p>
    <w:p>
      <w:pPr>
        <w:numPr>
          <w:ilvl w:val="1"/>
          <w:numId w:val="6"/>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在行贿犯罪信息查询期限内，投标人及其现任法定代表人、主要负责人没有行贿犯罪记录；</w:t>
      </w:r>
    </w:p>
    <w:p>
      <w:pPr>
        <w:numPr>
          <w:ilvl w:val="1"/>
          <w:numId w:val="6"/>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未处于被行政部门禁止参与政府采购活动的期限内；</w:t>
      </w:r>
    </w:p>
    <w:p>
      <w:pPr>
        <w:numPr>
          <w:ilvl w:val="1"/>
          <w:numId w:val="6"/>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不属于其他国家相关法律法规规定的禁止参加投标的供应商</w:t>
      </w:r>
    </w:p>
    <w:p>
      <w:pPr>
        <w:numPr>
          <w:ilvl w:val="1"/>
          <w:numId w:val="6"/>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本项目不接受联合体投标</w:t>
      </w:r>
      <w:r>
        <w:rPr>
          <w:rFonts w:hint="eastAsia" w:ascii="宋体" w:hAnsi="宋体"/>
          <w:color w:val="000000" w:themeColor="text1"/>
          <w:sz w:val="28"/>
          <w:szCs w:val="28"/>
          <w:lang w:eastAsia="zh-CN"/>
          <w14:textFill>
            <w14:solidFill>
              <w14:schemeClr w14:val="tx1"/>
            </w14:solidFill>
          </w14:textFill>
        </w:rPr>
        <w:t>；</w:t>
      </w:r>
    </w:p>
    <w:p>
      <w:pPr>
        <w:numPr>
          <w:ilvl w:val="1"/>
          <w:numId w:val="6"/>
        </w:numPr>
        <w:tabs>
          <w:tab w:val="clear" w:pos="1130"/>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本项目为专门面向中小企业采购项目，提供的货物全部由符合政策要求的中小企业制造（说明：监狱企业、残疾人福利性单位的视同小型、微型企业）</w:t>
      </w:r>
      <w:r>
        <w:rPr>
          <w:rFonts w:hint="eastAsia" w:ascii="宋体" w:hAnsi="宋体"/>
          <w:color w:val="000000" w:themeColor="text1"/>
          <w:sz w:val="28"/>
          <w:szCs w:val="28"/>
          <w:lang w:eastAsia="zh-CN"/>
          <w14:textFill>
            <w14:solidFill>
              <w14:schemeClr w14:val="tx1"/>
            </w14:solidFill>
          </w14:textFill>
        </w:rPr>
        <w:t>。</w:t>
      </w:r>
    </w:p>
    <w:p>
      <w:pPr>
        <w:pStyle w:val="79"/>
        <w:numPr>
          <w:ilvl w:val="0"/>
          <w:numId w:val="5"/>
        </w:numPr>
        <w:spacing w:line="360" w:lineRule="auto"/>
        <w:ind w:firstLineChars="0"/>
        <w:rPr>
          <w:rFonts w:ascii="宋体" w:hAnsi="宋体"/>
          <w:b/>
          <w:i/>
          <w:color w:val="000000" w:themeColor="text1"/>
          <w:sz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招标文件获取时间</w:t>
      </w:r>
    </w:p>
    <w:p>
      <w:pPr>
        <w:numPr>
          <w:ilvl w:val="0"/>
          <w:numId w:val="7"/>
        </w:numPr>
        <w:spacing w:line="360" w:lineRule="auto"/>
        <w:ind w:left="0" w:firstLine="567"/>
        <w:rPr>
          <w:rFonts w:ascii="宋体" w:hAnsi="宋体"/>
          <w:b/>
          <w:color w:val="000000" w:themeColor="text1"/>
          <w:sz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招标文件获取时间：2021年</w:t>
      </w:r>
      <w:r>
        <w:rPr>
          <w:rFonts w:hint="eastAsia" w:ascii="宋体" w:hAnsi="宋体"/>
          <w:b/>
          <w:color w:val="000000" w:themeColor="text1"/>
          <w:sz w:val="28"/>
          <w:szCs w:val="28"/>
          <w:lang w:val="en-US" w:eastAsia="zh-CN"/>
          <w14:textFill>
            <w14:solidFill>
              <w14:schemeClr w14:val="tx1"/>
            </w14:solidFill>
          </w14:textFill>
        </w:rPr>
        <w:t>11</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10</w:t>
      </w:r>
      <w:r>
        <w:rPr>
          <w:rFonts w:hint="eastAsia" w:ascii="宋体" w:hAnsi="宋体"/>
          <w:b/>
          <w:color w:val="000000" w:themeColor="text1"/>
          <w:sz w:val="28"/>
          <w:szCs w:val="28"/>
          <w14:textFill>
            <w14:solidFill>
              <w14:schemeClr w14:val="tx1"/>
            </w14:solidFill>
          </w14:textFill>
        </w:rPr>
        <w:t>日至</w:t>
      </w:r>
      <w:r>
        <w:rPr>
          <w:rFonts w:hint="eastAsia" w:ascii="宋体" w:hAnsi="宋体"/>
          <w:b/>
          <w:color w:val="000000" w:themeColor="text1"/>
          <w:sz w:val="28"/>
          <w:szCs w:val="28"/>
          <w:lang w:val="en-US" w:eastAsia="zh-CN"/>
          <w14:textFill>
            <w14:solidFill>
              <w14:schemeClr w14:val="tx1"/>
            </w14:solidFill>
          </w14:textFill>
        </w:rPr>
        <w:t>12</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1</w:t>
      </w:r>
      <w:r>
        <w:rPr>
          <w:rFonts w:hint="eastAsia" w:ascii="宋体" w:hAnsi="宋体"/>
          <w:b/>
          <w:color w:val="000000" w:themeColor="text1"/>
          <w:sz w:val="28"/>
          <w:szCs w:val="28"/>
          <w14:textFill>
            <w14:solidFill>
              <w14:schemeClr w14:val="tx1"/>
            </w14:solidFill>
          </w14:textFill>
        </w:rPr>
        <w:t>日。</w:t>
      </w:r>
    </w:p>
    <w:p>
      <w:pPr>
        <w:numPr>
          <w:ilvl w:val="0"/>
          <w:numId w:val="7"/>
        </w:numPr>
        <w:spacing w:line="360" w:lineRule="auto"/>
        <w:ind w:left="0" w:firstLine="567"/>
        <w:rPr>
          <w:rFonts w:ascii="宋体" w:hAnsi="宋体"/>
          <w:b/>
          <w:color w:val="000000" w:themeColor="text1"/>
          <w:sz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公告期限：2021年</w:t>
      </w:r>
      <w:r>
        <w:rPr>
          <w:rFonts w:hint="eastAsia" w:ascii="宋体" w:hAnsi="宋体"/>
          <w:b/>
          <w:color w:val="000000" w:themeColor="text1"/>
          <w:sz w:val="28"/>
          <w:szCs w:val="28"/>
          <w:lang w:val="en-US" w:eastAsia="zh-CN"/>
          <w14:textFill>
            <w14:solidFill>
              <w14:schemeClr w14:val="tx1"/>
            </w14:solidFill>
          </w14:textFill>
        </w:rPr>
        <w:t>11</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10</w:t>
      </w:r>
      <w:r>
        <w:rPr>
          <w:rFonts w:hint="eastAsia" w:ascii="宋体" w:hAnsi="宋体"/>
          <w:b/>
          <w:color w:val="000000" w:themeColor="text1"/>
          <w:sz w:val="28"/>
          <w:szCs w:val="28"/>
          <w14:textFill>
            <w14:solidFill>
              <w14:schemeClr w14:val="tx1"/>
            </w14:solidFill>
          </w14:textFill>
        </w:rPr>
        <w:t>日至</w:t>
      </w:r>
      <w:r>
        <w:rPr>
          <w:rFonts w:hint="eastAsia" w:ascii="宋体" w:hAnsi="宋体"/>
          <w:b/>
          <w:color w:val="000000" w:themeColor="text1"/>
          <w:sz w:val="28"/>
          <w:szCs w:val="28"/>
          <w:lang w:val="en-US" w:eastAsia="zh-CN"/>
          <w14:textFill>
            <w14:solidFill>
              <w14:schemeClr w14:val="tx1"/>
            </w14:solidFill>
          </w14:textFill>
        </w:rPr>
        <w:t>11</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17</w:t>
      </w:r>
      <w:r>
        <w:rPr>
          <w:rFonts w:hint="eastAsia" w:ascii="宋体" w:hAnsi="宋体"/>
          <w:b/>
          <w:color w:val="000000" w:themeColor="text1"/>
          <w:sz w:val="28"/>
          <w:szCs w:val="28"/>
          <w14:textFill>
            <w14:solidFill>
              <w14:schemeClr w14:val="tx1"/>
            </w14:solidFill>
          </w14:textFill>
        </w:rPr>
        <w:t>日。</w:t>
      </w:r>
    </w:p>
    <w:p>
      <w:pPr>
        <w:numPr>
          <w:ilvl w:val="0"/>
          <w:numId w:val="5"/>
        </w:numPr>
        <w:spacing w:line="360" w:lineRule="auto"/>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招标文件获取方式</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提示：</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（1）本项目采购文件免费获取。</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（3）首次登录成都市公共资源交易服务中心门户网站的新用户应先点击“注册新用户”，注册成功后再登录。</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操作指南</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供应商”处下载查看）。</w:t>
      </w:r>
    </w:p>
    <w:p>
      <w:pPr>
        <w:numPr>
          <w:ilvl w:val="0"/>
          <w:numId w:val="5"/>
        </w:numPr>
        <w:spacing w:line="360" w:lineRule="auto"/>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招标文件获取地点</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登录成都市公共资源交易服务中心门户网站（https://www.cdggzy.com/）—用户中心—政府采购云平台获取</w:t>
      </w:r>
      <w:r>
        <w:rPr>
          <w:rFonts w:hint="eastAsia" w:ascii="宋体" w:hAnsi="宋体"/>
          <w:color w:val="000000" w:themeColor="text1"/>
          <w:sz w:val="28"/>
          <w14:textFill>
            <w14:solidFill>
              <w14:schemeClr w14:val="tx1"/>
            </w14:solidFill>
          </w14:textFill>
        </w:rPr>
        <w:t>。</w:t>
      </w:r>
    </w:p>
    <w:p>
      <w:pPr>
        <w:numPr>
          <w:ilvl w:val="0"/>
          <w:numId w:val="5"/>
        </w:numPr>
        <w:spacing w:line="360" w:lineRule="auto"/>
        <w:ind w:left="0" w:firstLine="567"/>
        <w:rPr>
          <w:rFonts w:ascii="宋体" w:hAnsi="宋体"/>
          <w:b/>
          <w:color w:val="000000" w:themeColor="text1"/>
          <w:sz w:val="28"/>
          <w:szCs w:val="28"/>
          <w14:textFill>
            <w14:solidFill>
              <w14:schemeClr w14:val="tx1"/>
            </w14:solidFill>
          </w14:textFill>
        </w:rPr>
      </w:pPr>
      <w:bookmarkStart w:id="8" w:name="_Toc180051012"/>
      <w:bookmarkStart w:id="9" w:name="_Toc174185149"/>
      <w:bookmarkStart w:id="10" w:name="_Toc184013605"/>
      <w:bookmarkStart w:id="11" w:name="_Toc186274101"/>
      <w:bookmarkStart w:id="12" w:name="_Toc184023104"/>
      <w:r>
        <w:rPr>
          <w:rFonts w:hint="eastAsia" w:ascii="宋体" w:hAnsi="宋体"/>
          <w:b/>
          <w:color w:val="000000" w:themeColor="text1"/>
          <w:sz w:val="28"/>
          <w:szCs w:val="28"/>
          <w14:textFill>
            <w14:solidFill>
              <w14:schemeClr w14:val="tx1"/>
            </w14:solidFill>
          </w14:textFill>
        </w:rPr>
        <w:t>投标文件递交截止时间及开标时间</w:t>
      </w:r>
      <w:bookmarkEnd w:id="8"/>
      <w:bookmarkEnd w:id="9"/>
      <w:bookmarkEnd w:id="10"/>
      <w:bookmarkEnd w:id="11"/>
      <w:bookmarkEnd w:id="12"/>
      <w:r>
        <w:rPr>
          <w:rFonts w:hint="eastAsia" w:ascii="宋体" w:hAnsi="宋体"/>
          <w:b/>
          <w:color w:val="000000" w:themeColor="text1"/>
          <w:sz w:val="28"/>
          <w:szCs w:val="28"/>
          <w14:textFill>
            <w14:solidFill>
              <w14:schemeClr w14:val="tx1"/>
            </w14:solidFill>
          </w14:textFill>
        </w:rPr>
        <w:t>(北京时间)、地点、方式</w:t>
      </w:r>
    </w:p>
    <w:p>
      <w:pPr>
        <w:spacing w:line="560" w:lineRule="exact"/>
        <w:ind w:firstLine="568" w:firstLineChars="202"/>
        <w:rPr>
          <w:rFonts w:ascii="宋体" w:hAnsi="宋体"/>
          <w:b/>
          <w:color w:val="FF0000"/>
          <w:sz w:val="28"/>
          <w:szCs w:val="28"/>
        </w:rPr>
      </w:pPr>
      <w:r>
        <w:rPr>
          <w:rFonts w:hint="eastAsia" w:ascii="宋体" w:hAnsi="宋体"/>
          <w:b/>
          <w:color w:val="000000" w:themeColor="text1"/>
          <w:sz w:val="28"/>
          <w:szCs w:val="28"/>
          <w14:textFill>
            <w14:solidFill>
              <w14:schemeClr w14:val="tx1"/>
            </w14:solidFill>
          </w14:textFill>
        </w:rPr>
        <w:t>（一）投标文件递交截止时间及开标时间：2021年</w:t>
      </w:r>
      <w:r>
        <w:rPr>
          <w:rFonts w:hint="eastAsia" w:ascii="宋体" w:hAnsi="宋体"/>
          <w:b/>
          <w:color w:val="000000" w:themeColor="text1"/>
          <w:sz w:val="28"/>
          <w:szCs w:val="28"/>
          <w:lang w:val="en-US" w:eastAsia="zh-CN"/>
          <w14:textFill>
            <w14:solidFill>
              <w14:schemeClr w14:val="tx1"/>
            </w14:solidFill>
          </w14:textFill>
        </w:rPr>
        <w:t>12</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2</w:t>
      </w:r>
      <w:r>
        <w:rPr>
          <w:rFonts w:hint="eastAsia" w:ascii="宋体" w:hAnsi="宋体"/>
          <w:b/>
          <w:color w:val="000000" w:themeColor="text1"/>
          <w:sz w:val="28"/>
          <w:szCs w:val="28"/>
          <w14:textFill>
            <w14:solidFill>
              <w14:schemeClr w14:val="tx1"/>
            </w14:solidFill>
          </w14:textFill>
        </w:rPr>
        <w:t>日上午09:</w:t>
      </w:r>
      <w:r>
        <w:rPr>
          <w:rFonts w:hint="eastAsia" w:ascii="宋体" w:hAnsi="宋体"/>
          <w:b/>
          <w:color w:val="000000" w:themeColor="text1"/>
          <w:sz w:val="28"/>
          <w:szCs w:val="28"/>
          <w:lang w:val="en-US" w:eastAsia="zh-CN"/>
          <w14:textFill>
            <w14:solidFill>
              <w14:schemeClr w14:val="tx1"/>
            </w14:solidFill>
          </w14:textFill>
        </w:rPr>
        <w:t>30</w:t>
      </w:r>
      <w:r>
        <w:rPr>
          <w:rFonts w:hint="eastAsia" w:ascii="宋体" w:hAnsi="宋体"/>
          <w:b/>
          <w:color w:val="000000" w:themeColor="text1"/>
          <w:sz w:val="28"/>
          <w:szCs w:val="28"/>
          <w14:textFill>
            <w14:solidFill>
              <w14:schemeClr w14:val="tx1"/>
            </w14:solidFill>
          </w14:textFill>
        </w:rPr>
        <w:t>。</w:t>
      </w:r>
    </w:p>
    <w:p>
      <w:pPr>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（二）投标文件递交方式、地点：投标截止时间前，投标人应将加密的投标文件递交至“政府采购云平台”对应项目（包件）。</w:t>
      </w:r>
    </w:p>
    <w:p>
      <w:pPr>
        <w:numPr>
          <w:ilvl w:val="0"/>
          <w:numId w:val="5"/>
        </w:numPr>
        <w:spacing w:line="360" w:lineRule="auto"/>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开标地点</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本项目为不见面开标项目。</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本项目只接受投标人加密并递交至“政府采购云平台”的投标文件。</w:t>
      </w:r>
    </w:p>
    <w:p>
      <w:pPr>
        <w:numPr>
          <w:ilvl w:val="0"/>
          <w:numId w:val="5"/>
        </w:numPr>
        <w:spacing w:line="360" w:lineRule="auto"/>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政采中、小企业政府采购信用担保融资</w:t>
      </w:r>
    </w:p>
    <w:p>
      <w:pPr>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5"/>
        </w:numPr>
        <w:spacing w:line="360" w:lineRule="auto"/>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本投标邀请在“四川政府采购网”和“成都市公共资源交易服务中心”网站上以公告形式发布</w:t>
      </w:r>
    </w:p>
    <w:p>
      <w:pPr>
        <w:numPr>
          <w:ilvl w:val="0"/>
          <w:numId w:val="5"/>
        </w:numPr>
        <w:spacing w:line="360" w:lineRule="auto"/>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联系方式</w:t>
      </w:r>
    </w:p>
    <w:p>
      <w:pPr>
        <w:spacing w:line="360" w:lineRule="auto"/>
        <w:ind w:firstLine="568" w:firstLineChars="202"/>
        <w:rPr>
          <w:rFonts w:ascii="宋体" w:hAnsi="宋体"/>
          <w:b/>
          <w:color w:val="000000" w:themeColor="text1"/>
          <w:sz w:val="28"/>
          <w:szCs w:val="28"/>
          <w14:textFill>
            <w14:solidFill>
              <w14:schemeClr w14:val="tx1"/>
            </w14:solidFill>
          </w14:textFill>
        </w:rPr>
      </w:pPr>
      <w:r>
        <w:rPr>
          <w:rFonts w:hint="eastAsia" w:ascii="宋体" w:hAnsi="宋体"/>
          <w:b/>
          <w:sz w:val="28"/>
          <w:szCs w:val="28"/>
        </w:rPr>
        <w:t>采购人：</w:t>
      </w:r>
      <w:r>
        <w:rPr>
          <w:rFonts w:hint="eastAsia" w:ascii="宋体" w:hAnsi="宋体"/>
          <w:b/>
          <w:color w:val="000000" w:themeColor="text1"/>
          <w:sz w:val="28"/>
          <w:szCs w:val="28"/>
          <w14:textFill>
            <w14:solidFill>
              <w14:schemeClr w14:val="tx1"/>
            </w14:solidFill>
          </w14:textFill>
        </w:rPr>
        <w:t>成都市青羊区委员会党校</w:t>
      </w:r>
    </w:p>
    <w:p>
      <w:pPr>
        <w:pStyle w:val="148"/>
        <w:spacing w:line="580" w:lineRule="exact"/>
        <w:ind w:firstLine="565" w:firstLineChars="202"/>
        <w:rPr>
          <w:rFonts w:ascii="宋体" w:hAnsi="宋体"/>
          <w:color w:val="000000" w:themeColor="text1"/>
          <w:kern w:val="0"/>
          <w:sz w:val="28"/>
          <w:szCs w:val="22"/>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  址：</w:t>
      </w:r>
      <w:r>
        <w:rPr>
          <w:rFonts w:hint="eastAsia" w:ascii="宋体" w:hAnsi="宋体"/>
          <w:color w:val="000000" w:themeColor="text1"/>
          <w:kern w:val="0"/>
          <w:sz w:val="28"/>
          <w:szCs w:val="22"/>
          <w14:textFill>
            <w14:solidFill>
              <w14:schemeClr w14:val="tx1"/>
            </w14:solidFill>
          </w14:textFill>
        </w:rPr>
        <w:t>成都市金牛区解放西路7号</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联系人：黄桄堃</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联系电话：</w:t>
      </w:r>
      <w:r>
        <w:rPr>
          <w:rFonts w:hint="eastAsia" w:ascii="宋体" w:hAnsi="宋体"/>
          <w:color w:val="000000" w:themeColor="text1"/>
          <w:kern w:val="0"/>
          <w:sz w:val="28"/>
          <w14:textFill>
            <w14:solidFill>
              <w14:schemeClr w14:val="tx1"/>
            </w14:solidFill>
          </w14:textFill>
        </w:rPr>
        <w:t>028-83332817</w:t>
      </w:r>
    </w:p>
    <w:p>
      <w:pPr>
        <w:spacing w:line="360" w:lineRule="auto"/>
        <w:ind w:firstLine="568" w:firstLineChars="202"/>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成都市成都市青羊区政府采购服务中心</w:t>
      </w:r>
    </w:p>
    <w:p>
      <w:pPr>
        <w:pStyle w:val="148"/>
        <w:ind w:firstLine="565" w:firstLineChars="202"/>
        <w:rPr>
          <w:rFonts w:ascii="宋体" w:hAnsi="宋体"/>
          <w:color w:val="000000" w:themeColor="text1"/>
          <w:kern w:val="0"/>
          <w:sz w:val="28"/>
          <w:szCs w:val="22"/>
          <w14:textFill>
            <w14:solidFill>
              <w14:schemeClr w14:val="tx1"/>
            </w14:solidFill>
          </w14:textFill>
        </w:rPr>
      </w:pPr>
      <w:r>
        <w:rPr>
          <w:rFonts w:hint="eastAsia" w:ascii="宋体" w:hAnsi="宋体"/>
          <w:color w:val="000000" w:themeColor="text1"/>
          <w:sz w:val="28"/>
          <w14:textFill>
            <w14:solidFill>
              <w14:schemeClr w14:val="tx1"/>
            </w14:solidFill>
          </w14:textFill>
        </w:rPr>
        <w:t>地  址：</w:t>
      </w:r>
      <w:r>
        <w:rPr>
          <w:rFonts w:hint="eastAsia" w:ascii="宋体" w:hAnsi="宋体"/>
          <w:color w:val="000000" w:themeColor="text1"/>
          <w:kern w:val="0"/>
          <w:sz w:val="28"/>
          <w:szCs w:val="22"/>
          <w14:textFill>
            <w14:solidFill>
              <w14:schemeClr w14:val="tx1"/>
            </w14:solidFill>
          </w14:textFill>
        </w:rPr>
        <w:t>成都市青羊区西华门街19号1号楼</w:t>
      </w:r>
    </w:p>
    <w:p>
      <w:pPr>
        <w:spacing w:line="360" w:lineRule="auto"/>
        <w:ind w:firstLine="565" w:firstLineChars="202"/>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邮  编：6100</w:t>
      </w:r>
      <w:r>
        <w:rPr>
          <w:rFonts w:ascii="宋体" w:hAnsi="宋体"/>
          <w:color w:val="000000" w:themeColor="text1"/>
          <w:sz w:val="28"/>
          <w14:textFill>
            <w14:solidFill>
              <w14:schemeClr w14:val="tx1"/>
            </w14:solidFill>
          </w14:textFill>
        </w:rPr>
        <w:t>00</w:t>
      </w:r>
    </w:p>
    <w:p>
      <w:pPr>
        <w:spacing w:line="360" w:lineRule="auto"/>
        <w:ind w:firstLine="565" w:firstLineChars="202"/>
        <w:rPr>
          <w:rFonts w:ascii="宋体" w:hAnsi="宋体"/>
          <w:color w:val="000000" w:themeColor="text1"/>
          <w:kern w:val="0"/>
          <w:sz w:val="28"/>
          <w14:textFill>
            <w14:solidFill>
              <w14:schemeClr w14:val="tx1"/>
            </w14:solidFill>
          </w14:textFill>
        </w:rPr>
      </w:pPr>
      <w:r>
        <w:rPr>
          <w:rFonts w:hint="eastAsia" w:ascii="宋体" w:hAnsi="宋体"/>
          <w:color w:val="000000" w:themeColor="text1"/>
          <w:sz w:val="28"/>
          <w14:textFill>
            <w14:solidFill>
              <w14:schemeClr w14:val="tx1"/>
            </w14:solidFill>
          </w14:textFill>
        </w:rPr>
        <w:t>联系人：梁志刚</w:t>
      </w:r>
    </w:p>
    <w:p>
      <w:pPr>
        <w:spacing w:line="360" w:lineRule="auto"/>
        <w:ind w:firstLine="565" w:firstLineChars="202"/>
        <w:rPr>
          <w:rFonts w:ascii="宋体" w:hAnsi="宋体"/>
          <w:color w:val="000000" w:themeColor="text1"/>
          <w:kern w:val="0"/>
          <w:sz w:val="28"/>
          <w14:textFill>
            <w14:solidFill>
              <w14:schemeClr w14:val="tx1"/>
            </w14:solidFill>
          </w14:textFill>
        </w:rPr>
      </w:pPr>
      <w:r>
        <w:rPr>
          <w:rFonts w:hint="eastAsia" w:ascii="宋体" w:hAnsi="宋体"/>
          <w:color w:val="000000" w:themeColor="text1"/>
          <w:sz w:val="28"/>
          <w14:textFill>
            <w14:solidFill>
              <w14:schemeClr w14:val="tx1"/>
            </w14:solidFill>
          </w14:textFill>
        </w:rPr>
        <w:t>联系电话：</w:t>
      </w:r>
      <w:r>
        <w:rPr>
          <w:rFonts w:ascii="宋体" w:hAnsi="宋体"/>
          <w:color w:val="000000" w:themeColor="text1"/>
          <w:kern w:val="0"/>
          <w:sz w:val="28"/>
          <w14:textFill>
            <w14:solidFill>
              <w14:schemeClr w14:val="tx1"/>
            </w14:solidFill>
          </w14:textFill>
        </w:rPr>
        <w:t>028-84532709</w:t>
      </w:r>
    </w:p>
    <w:p>
      <w:pPr>
        <w:spacing w:line="360" w:lineRule="auto"/>
        <w:ind w:firstLine="565" w:firstLineChars="202"/>
        <w:rPr>
          <w:rFonts w:ascii="宋体" w:hAnsi="宋体"/>
          <w:color w:val="000000" w:themeColor="text1"/>
          <w:kern w:val="0"/>
          <w:sz w:val="28"/>
          <w14:textFill>
            <w14:solidFill>
              <w14:schemeClr w14:val="tx1"/>
            </w14:solidFill>
          </w14:textFill>
        </w:rPr>
      </w:pPr>
      <w:r>
        <w:rPr>
          <w:rFonts w:hint="eastAsia" w:ascii="宋体" w:hAnsi="宋体"/>
          <w:color w:val="000000" w:themeColor="text1"/>
          <w:kern w:val="0"/>
          <w:sz w:val="28"/>
          <w14:textFill>
            <w14:solidFill>
              <w14:schemeClr w14:val="tx1"/>
            </w14:solidFill>
          </w14:textFill>
        </w:rPr>
        <w:t>技术支持电话：4</w:t>
      </w:r>
      <w:r>
        <w:rPr>
          <w:rFonts w:ascii="宋体" w:hAnsi="宋体"/>
          <w:color w:val="000000" w:themeColor="text1"/>
          <w:kern w:val="0"/>
          <w:sz w:val="28"/>
          <w14:textFill>
            <w14:solidFill>
              <w14:schemeClr w14:val="tx1"/>
            </w14:solidFill>
          </w14:textFill>
        </w:rPr>
        <w:t>00</w:t>
      </w:r>
      <w:r>
        <w:rPr>
          <w:rFonts w:hint="eastAsia" w:ascii="宋体" w:hAnsi="宋体"/>
          <w:color w:val="000000" w:themeColor="text1"/>
          <w:kern w:val="0"/>
          <w:sz w:val="28"/>
          <w14:textFill>
            <w14:solidFill>
              <w14:schemeClr w14:val="tx1"/>
            </w14:solidFill>
          </w14:textFill>
        </w:rPr>
        <w:t>—8</w:t>
      </w:r>
      <w:r>
        <w:rPr>
          <w:rFonts w:ascii="宋体" w:hAnsi="宋体"/>
          <w:color w:val="000000" w:themeColor="text1"/>
          <w:kern w:val="0"/>
          <w:sz w:val="28"/>
          <w14:textFill>
            <w14:solidFill>
              <w14:schemeClr w14:val="tx1"/>
            </w14:solidFill>
          </w14:textFill>
        </w:rPr>
        <w:t>81</w:t>
      </w:r>
      <w:r>
        <w:rPr>
          <w:rFonts w:hint="eastAsia" w:ascii="宋体" w:hAnsi="宋体"/>
          <w:color w:val="000000" w:themeColor="text1"/>
          <w:kern w:val="0"/>
          <w:sz w:val="28"/>
          <w14:textFill>
            <w14:solidFill>
              <w14:schemeClr w14:val="tx1"/>
            </w14:solidFill>
          </w14:textFill>
        </w:rPr>
        <w:t>—7</w:t>
      </w:r>
      <w:r>
        <w:rPr>
          <w:rFonts w:ascii="宋体" w:hAnsi="宋体"/>
          <w:color w:val="000000" w:themeColor="text1"/>
          <w:kern w:val="0"/>
          <w:sz w:val="28"/>
          <w14:textFill>
            <w14:solidFill>
              <w14:schemeClr w14:val="tx1"/>
            </w14:solidFill>
          </w14:textFill>
        </w:rPr>
        <w:t>190</w:t>
      </w:r>
    </w:p>
    <w:p>
      <w:pPr>
        <w:spacing w:line="360" w:lineRule="auto"/>
        <w:ind w:firstLine="562" w:firstLineChars="20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集中采购监督机构：成都市青羊区财政局</w:t>
      </w:r>
    </w:p>
    <w:p>
      <w:pPr>
        <w:spacing w:line="360" w:lineRule="auto"/>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 址：成都市青羊区西华门街19号1号楼</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联系人：</w:t>
      </w:r>
      <w:r>
        <w:rPr>
          <w:rFonts w:hint="eastAsia" w:ascii="宋体" w:hAnsi="宋体"/>
          <w:color w:val="000000" w:themeColor="text1"/>
          <w:sz w:val="28"/>
          <w:szCs w:val="28"/>
          <w14:textFill>
            <w14:solidFill>
              <w14:schemeClr w14:val="tx1"/>
            </w14:solidFill>
          </w14:textFill>
        </w:rPr>
        <w:t xml:space="preserve">冯 </w:t>
      </w:r>
      <w:r>
        <w:rPr>
          <w:rFonts w:ascii="宋体" w:hAnsi="宋体"/>
          <w:color w:val="000000" w:themeColor="text1"/>
          <w:sz w:val="28"/>
          <w:szCs w:val="28"/>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瑾</w:t>
      </w:r>
    </w:p>
    <w:p>
      <w:pPr>
        <w:pStyle w:val="81"/>
        <w:tabs>
          <w:tab w:val="left" w:pos="900"/>
        </w:tabs>
        <w:spacing w:line="360" w:lineRule="auto"/>
        <w:ind w:firstLine="560"/>
        <w:jc w:val="lef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联系电话：028-</w:t>
      </w:r>
      <w:r>
        <w:rPr>
          <w:rFonts w:hint="eastAsia" w:ascii="宋体" w:hAnsi="宋体"/>
          <w:color w:val="000000" w:themeColor="text1"/>
          <w:sz w:val="28"/>
          <w:szCs w:val="28"/>
          <w14:textFill>
            <w14:solidFill>
              <w14:schemeClr w14:val="tx1"/>
            </w14:solidFill>
          </w14:textFill>
        </w:rPr>
        <w:t>86699817</w:t>
      </w:r>
    </w:p>
    <w:p>
      <w:pPr>
        <w:tabs>
          <w:tab w:val="left" w:pos="900"/>
        </w:tabs>
        <w:spacing w:line="360" w:lineRule="auto"/>
        <w:rPr>
          <w:rFonts w:ascii="宋体" w:hAnsi="宋体" w:cstheme="minorBidi"/>
          <w:color w:val="000000" w:themeColor="text1"/>
          <w:sz w:val="28"/>
          <w:szCs w:val="28"/>
          <w14:textFill>
            <w14:solidFill>
              <w14:schemeClr w14:val="tx1"/>
            </w14:solidFill>
          </w14:textFill>
        </w:rPr>
      </w:pPr>
    </w:p>
    <w:p>
      <w:pPr>
        <w:keepNext/>
        <w:keepLines/>
        <w:numPr>
          <w:ilvl w:val="0"/>
          <w:numId w:val="1"/>
        </w:numPr>
        <w:spacing w:before="340" w:after="330" w:line="400" w:lineRule="exact"/>
        <w:ind w:left="0" w:firstLine="0"/>
        <w:jc w:val="center"/>
        <w:outlineLvl w:val="0"/>
        <w:rPr>
          <w:rFonts w:ascii="宋体" w:hAnsi="宋体"/>
          <w:b/>
          <w:bCs/>
          <w:color w:val="000000" w:themeColor="text1"/>
          <w:spacing w:val="-20"/>
          <w:kern w:val="44"/>
          <w:sz w:val="32"/>
          <w:szCs w:val="32"/>
          <w14:textFill>
            <w14:solidFill>
              <w14:schemeClr w14:val="tx1"/>
            </w14:solidFill>
          </w14:textFill>
        </w:rPr>
      </w:pPr>
      <w:bookmarkStart w:id="13" w:name="_Toc76541345"/>
      <w:r>
        <w:rPr>
          <w:rFonts w:hint="eastAsia" w:ascii="宋体" w:hAnsi="宋体"/>
          <w:b/>
          <w:bCs/>
          <w:color w:val="000000" w:themeColor="text1"/>
          <w:spacing w:val="-20"/>
          <w:kern w:val="44"/>
          <w:sz w:val="32"/>
          <w:szCs w:val="32"/>
          <w14:textFill>
            <w14:solidFill>
              <w14:schemeClr w14:val="tx1"/>
            </w14:solidFill>
          </w14:textFill>
        </w:rPr>
        <w:t>投标人须知</w:t>
      </w:r>
      <w:bookmarkEnd w:id="13"/>
    </w:p>
    <w:p>
      <w:pPr>
        <w:keepNext/>
        <w:keepLines/>
        <w:numPr>
          <w:ilvl w:val="1"/>
          <w:numId w:val="1"/>
        </w:numPr>
        <w:spacing w:before="260" w:after="260" w:line="360" w:lineRule="auto"/>
        <w:jc w:val="left"/>
        <w:outlineLvl w:val="1"/>
        <w:rPr>
          <w:rFonts w:ascii="宋体" w:hAnsi="宋体"/>
          <w:b/>
          <w:bCs/>
          <w:color w:val="000000" w:themeColor="text1"/>
          <w:sz w:val="28"/>
          <w:szCs w:val="28"/>
          <w14:textFill>
            <w14:solidFill>
              <w14:schemeClr w14:val="tx1"/>
            </w14:solidFill>
          </w14:textFill>
        </w:rPr>
      </w:pPr>
      <w:bookmarkStart w:id="14" w:name="_Toc217446032"/>
      <w:bookmarkStart w:id="15" w:name="_Toc76541346"/>
      <w:bookmarkStart w:id="16" w:name="_Toc213396946"/>
      <w:bookmarkStart w:id="17" w:name="_Toc213396760"/>
      <w:bookmarkStart w:id="18" w:name="_Toc189727030"/>
      <w:bookmarkStart w:id="19" w:name="_Toc213397010"/>
      <w:bookmarkStart w:id="20" w:name="_Toc213496268"/>
      <w:bookmarkStart w:id="21" w:name="_Toc316462344"/>
      <w:r>
        <w:rPr>
          <w:rFonts w:hint="eastAsia" w:ascii="宋体" w:hAnsi="宋体"/>
          <w:b/>
          <w:bCs/>
          <w:color w:val="000000" w:themeColor="text1"/>
          <w:sz w:val="28"/>
          <w:szCs w:val="28"/>
          <w14:textFill>
            <w14:solidFill>
              <w14:schemeClr w14:val="tx1"/>
            </w14:solidFill>
          </w14:textFill>
        </w:rPr>
        <w:t>投标人须知前附表</w:t>
      </w:r>
      <w:bookmarkEnd w:id="14"/>
      <w:bookmarkEnd w:id="15"/>
      <w:bookmarkEnd w:id="16"/>
      <w:bookmarkEnd w:id="17"/>
      <w:bookmarkEnd w:id="18"/>
      <w:bookmarkEnd w:id="19"/>
      <w:bookmarkEnd w:id="20"/>
      <w:bookmarkEnd w:id="21"/>
    </w:p>
    <w:tbl>
      <w:tblPr>
        <w:tblStyle w:val="43"/>
        <w:tblW w:w="9510"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14"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color w:val="000000" w:themeColor="text1"/>
                <w14:textFill>
                  <w14:solidFill>
                    <w14:schemeClr w14:val="tx1"/>
                  </w14:solidFill>
                </w14:textFill>
              </w:rPr>
            </w:pPr>
            <w:r>
              <w:rPr>
                <w:rFonts w:hint="eastAsia" w:ascii="宋体" w:hAnsi="宋体"/>
                <w:b/>
                <w:color w:val="000000" w:themeColor="text1"/>
                <w:sz w:val="28"/>
                <w:szCs w:val="28"/>
                <w:lang w:val="zh-CN"/>
                <w14:textFill>
                  <w14:solidFill>
                    <w14:schemeClr w14:val="tx1"/>
                  </w14:solidFill>
                </w14:textFill>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cs="宋体"/>
                <w:b/>
                <w:color w:val="000000" w:themeColor="text1"/>
                <w:lang w:val="zh-CN"/>
                <w14:textFill>
                  <w14:solidFill>
                    <w14:schemeClr w14:val="tx1"/>
                  </w14:solidFill>
                </w14:textFill>
              </w:rPr>
            </w:pPr>
            <w:r>
              <w:rPr>
                <w:rFonts w:hint="eastAsia" w:ascii="宋体" w:hAnsi="宋体" w:cs="宋体"/>
                <w:b/>
                <w:color w:val="000000" w:themeColor="text1"/>
                <w:sz w:val="28"/>
                <w:szCs w:val="28"/>
                <w:lang w:val="zh-CN"/>
                <w14:textFill>
                  <w14:solidFill>
                    <w14:schemeClr w14:val="tx1"/>
                  </w14:solidFill>
                </w14:textFill>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cs="宋体"/>
                <w:b/>
                <w:color w:val="000000" w:themeColor="text1"/>
                <w:lang w:val="zh-CN"/>
                <w14:textFill>
                  <w14:solidFill>
                    <w14:schemeClr w14:val="tx1"/>
                  </w14:solidFill>
                </w14:textFill>
              </w:rPr>
            </w:pPr>
            <w:r>
              <w:rPr>
                <w:rFonts w:hint="eastAsia" w:ascii="宋体" w:hAnsi="宋体" w:cs="宋体"/>
                <w:b/>
                <w:color w:val="000000" w:themeColor="text1"/>
                <w:sz w:val="28"/>
                <w:szCs w:val="28"/>
                <w:lang w:val="zh-CN"/>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eastAsia="仿宋_GB2312" w:cs="宋体"/>
                <w:b/>
                <w:color w:val="000000" w:themeColor="text1"/>
                <w:lang w:val="zh-CN"/>
                <w14:textFill>
                  <w14:solidFill>
                    <w14:schemeClr w14:val="tx1"/>
                  </w14:solidFill>
                </w14:textFill>
              </w:rPr>
            </w:pPr>
            <w:r>
              <w:rPr>
                <w:rFonts w:hint="eastAsia" w:ascii="宋体" w:hAnsi="宋体" w:cs="宋体"/>
                <w:b/>
                <w:color w:val="000000" w:themeColor="text1"/>
                <w:lang w:val="zh-CN"/>
                <w14:textFill>
                  <w14:solidFill>
                    <w14:schemeClr w14:val="tx1"/>
                  </w14:solidFill>
                </w14:textFill>
              </w:rPr>
              <w:t>人民币58.39 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b/>
                <w:color w:val="000000" w:themeColor="text1"/>
                <w:lang w:val="zh-CN"/>
                <w14:textFill>
                  <w14:solidFill>
                    <w14:schemeClr w14:val="tx1"/>
                  </w14:solidFill>
                </w14:textFill>
              </w:rPr>
            </w:pPr>
            <w:r>
              <w:rPr>
                <w:rFonts w:hint="eastAsia" w:ascii="宋体" w:hAnsi="宋体" w:cs="宋体"/>
                <w:b/>
                <w:color w:val="000000" w:themeColor="text1"/>
                <w:lang w:val="zh-CN"/>
                <w14:textFill>
                  <w14:solidFill>
                    <w14:schemeClr w14:val="tx1"/>
                  </w14:solidFill>
                </w14:textFill>
              </w:rPr>
              <w:t>本项目最高限价为人民币58.39 万元，投标人投标报价高于最高限价的则其投标文件将按无效投标文件处理。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14:textFill>
                  <w14:solidFill>
                    <w14:schemeClr w14:val="tx1"/>
                  </w14:solidFill>
                </w14:textFill>
              </w:rPr>
              <w:t>综合评标法</w:t>
            </w:r>
            <w:r>
              <w:rPr>
                <w:rFonts w:hint="eastAsia" w:ascii="宋体" w:hAnsi="宋体" w:cs="宋体"/>
                <w:color w:val="000000" w:themeColor="text1"/>
                <w:lang w:val="zh-CN"/>
                <w14:textFill>
                  <w14:solidFill>
                    <w14:schemeClr w14:val="tx1"/>
                  </w14:solidFill>
                </w14:textFill>
              </w:rPr>
              <w:t>(详见第6章)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color w:val="000000" w:themeColor="text1"/>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小微企业价格扣除</w:t>
            </w:r>
          </w:p>
          <w:p>
            <w:pPr>
              <w:pStyle w:val="2"/>
              <w:ind w:left="0" w:leftChars="0"/>
              <w:rPr>
                <w:lang w:val="zh-CN"/>
              </w:rPr>
            </w:pPr>
            <w:r>
              <w:rPr>
                <w:rFonts w:hint="eastAsia"/>
                <w:color w:val="000000" w:themeColor="text1"/>
                <w:lang w:val="zh-CN"/>
                <w14:textFill>
                  <w14:solidFill>
                    <w14:schemeClr w14:val="tx1"/>
                  </w14:solidFill>
                </w14:textFill>
              </w:rPr>
              <w:t>（本项目不适用）</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1.根据《政府采购促进中小企业发展管理办法》（财库[2020]46号）的规定，对小微企业制造的货物的价格给予10%的价格扣除，用扣除后的价格参加评审。供应商提供的货物既有中小企业制造货物，也有大型企业制造货物的，不享受该办法</w:t>
            </w:r>
            <w:r>
              <w:rPr>
                <w:rFonts w:ascii="宋体" w:hAnsi="宋体" w:cs="宋体"/>
                <w:color w:val="000000" w:themeColor="text1"/>
                <w:lang w:val="zh-CN"/>
                <w14:textFill>
                  <w14:solidFill>
                    <w14:schemeClr w14:val="tx1"/>
                  </w14:solidFill>
                </w14:textFill>
              </w:rPr>
              <w:t>规定的中小企业</w:t>
            </w:r>
            <w:r>
              <w:rPr>
                <w:rFonts w:hint="eastAsia" w:ascii="宋体" w:hAnsi="宋体" w:cs="宋体"/>
                <w:color w:val="000000" w:themeColor="text1"/>
                <w:lang w:val="zh-CN"/>
                <w14:textFill>
                  <w14:solidFill>
                    <w14:schemeClr w14:val="tx1"/>
                  </w14:solidFill>
                </w14:textFill>
              </w:rPr>
              <w:t>扶持</w:t>
            </w:r>
            <w:r>
              <w:rPr>
                <w:rFonts w:ascii="宋体" w:hAnsi="宋体" w:cs="宋体"/>
                <w:color w:val="000000" w:themeColor="text1"/>
                <w:lang w:val="zh-CN"/>
                <w14:textFill>
                  <w14:solidFill>
                    <w14:schemeClr w14:val="tx1"/>
                  </w14:solidFill>
                </w14:textFill>
              </w:rPr>
              <w:t>政策</w:t>
            </w:r>
            <w:r>
              <w:rPr>
                <w:rFonts w:hint="eastAsia" w:ascii="宋体" w:hAnsi="宋体" w:cs="宋体"/>
                <w:color w:val="000000" w:themeColor="text1"/>
                <w:lang w:val="zh-CN"/>
                <w14:textFill>
                  <w14:solidFill>
                    <w14:schemeClr w14:val="tx1"/>
                  </w14:solidFill>
                </w14:textFill>
              </w:rPr>
              <w:t>。</w:t>
            </w:r>
          </w:p>
          <w:p>
            <w:pPr>
              <w:spacing w:line="360" w:lineRule="auto"/>
              <w:rPr>
                <w:rFonts w:ascii="宋体" w:hAnsi="宋体"/>
                <w:b/>
                <w:color w:val="000000" w:themeColor="text1"/>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2.投标人应提供《中小企业声明函》。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监狱企业价格扣除</w:t>
            </w:r>
          </w:p>
          <w:p>
            <w:pPr>
              <w:pStyle w:val="2"/>
              <w:ind w:left="0" w:leftChars="0"/>
              <w:rPr>
                <w:lang w:val="zh-CN"/>
              </w:rPr>
            </w:pPr>
            <w:r>
              <w:rPr>
                <w:rFonts w:hint="eastAsia"/>
                <w:color w:val="000000" w:themeColor="text1"/>
                <w:lang w:val="zh-CN"/>
                <w14:textFill>
                  <w14:solidFill>
                    <w14:schemeClr w14:val="tx1"/>
                  </w14:solidFill>
                </w14:textFill>
              </w:rPr>
              <w:t>（本项目不适用）</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1.根据《关于政府采购支持监狱企业发展有关问题的通知》（财库[2014]68号）的规定，</w:t>
            </w:r>
            <w:r>
              <w:rPr>
                <w:rFonts w:hint="eastAsia" w:ascii="宋体" w:hAnsi="宋体"/>
                <w:color w:val="000000" w:themeColor="text1"/>
                <w14:textFill>
                  <w14:solidFill>
                    <w14:schemeClr w14:val="tx1"/>
                  </w14:solidFill>
                </w14:textFill>
              </w:rPr>
              <w:t>监狱企业视同小型、微型企业，</w:t>
            </w:r>
            <w:r>
              <w:rPr>
                <w:rFonts w:hint="eastAsia" w:ascii="宋体" w:hAnsi="宋体" w:cs="宋体"/>
                <w:color w:val="000000" w:themeColor="text1"/>
                <w:lang w:val="zh-CN"/>
                <w14:textFill>
                  <w14:solidFill>
                    <w14:schemeClr w14:val="tx1"/>
                  </w14:solidFill>
                </w14:textFill>
              </w:rPr>
              <w:t>对监狱企业制造的货物给予10%的价格扣除，用扣除后的价格参与评标。</w:t>
            </w:r>
          </w:p>
          <w:p>
            <w:pPr>
              <w:spacing w:line="360" w:lineRule="auto"/>
              <w:rPr>
                <w:rFonts w:ascii="宋体" w:hAnsi="宋体"/>
                <w:b/>
                <w:color w:val="000000" w:themeColor="text1"/>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2.投标产品中为监狱企业制造的货物应提供由省级以上监狱管理局、戒毒管理局（含新疆生产建设兵团）出具的制造商属于监狱企业的证明文件复印件。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残疾人福利性单位价格扣除</w:t>
            </w:r>
            <w:r>
              <w:rPr>
                <w:rFonts w:hint="eastAsia" w:ascii="宋体" w:hAnsi="宋体" w:cs="宋体"/>
                <w:color w:val="000000" w:themeColor="text1"/>
                <w:lang w:val="en-US" w:eastAsia="zh-CN"/>
                <w14:textFill>
                  <w14:solidFill>
                    <w14:schemeClr w14:val="tx1"/>
                  </w14:solidFill>
                </w14:textFill>
              </w:rPr>
              <w:t xml:space="preserve">      </w:t>
            </w:r>
            <w:r>
              <w:rPr>
                <w:rFonts w:hint="eastAsia"/>
                <w:color w:val="000000" w:themeColor="text1"/>
                <w:lang w:val="zh-CN"/>
                <w14:textFill>
                  <w14:solidFill>
                    <w14:schemeClr w14:val="tx1"/>
                  </w14:solidFill>
                </w14:textFill>
              </w:rPr>
              <w:t>（本项目不适用）</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1.根据《三部门联合发布关于促进残疾人就业政府采购政策的通知》（财库[2017]141号）的规定，残疾人福利性单位视同小型、微型企业，对残疾人福利性单位制造的货物给予10%的价格扣除，用扣除后的价格参与评标。</w:t>
            </w:r>
          </w:p>
          <w:p>
            <w:pPr>
              <w:spacing w:line="360" w:lineRule="auto"/>
              <w:rPr>
                <w:rFonts w:ascii="宋体" w:hAnsi="宋体"/>
                <w:b/>
                <w:color w:val="000000" w:themeColor="text1"/>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2.投标人应提供《残疾人福利性单位声明函》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提交投标文件的截止之日起</w:t>
            </w:r>
            <w:r>
              <w:rPr>
                <w:rFonts w:hint="eastAsia" w:ascii="宋体" w:hAnsi="宋体" w:cs="宋体"/>
                <w:color w:val="000000" w:themeColor="text1"/>
                <w:u w:val="single"/>
                <w:lang w:val="zh-CN"/>
                <w14:textFill>
                  <w14:solidFill>
                    <w14:schemeClr w14:val="tx1"/>
                  </w14:solidFill>
                </w14:textFill>
              </w:rPr>
              <w:t>120</w:t>
            </w:r>
            <w:r>
              <w:rPr>
                <w:rFonts w:hint="eastAsia" w:ascii="宋体" w:hAnsi="宋体" w:cs="宋体"/>
                <w:color w:val="000000" w:themeColor="text1"/>
                <w:lang w:val="zh-CN"/>
                <w14:textFill>
                  <w14:solidFill>
                    <w14:schemeClr w14:val="tx1"/>
                  </w14:solidFill>
                </w14:textFill>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详见投标人须知2.4.12</w:t>
            </w:r>
          </w:p>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注：投标人使用</w:t>
            </w:r>
            <w:r>
              <w:rPr>
                <w:rFonts w:ascii="宋体" w:hAnsi="宋体"/>
                <w:color w:val="000000" w:themeColor="text1"/>
                <w14:textFill>
                  <w14:solidFill>
                    <w14:schemeClr w14:val="tx1"/>
                  </w14:solidFill>
                </w14:textFill>
              </w:rPr>
              <w:t>CA证书在</w:t>
            </w:r>
            <w:r>
              <w:rPr>
                <w:rFonts w:hint="eastAsia" w:ascii="宋体" w:hAnsi="宋体"/>
                <w:color w:val="000000" w:themeColor="text1"/>
                <w14:textFill>
                  <w14:solidFill>
                    <w14:schemeClr w14:val="tx1"/>
                  </w14:solidFill>
                </w14:textFill>
              </w:rPr>
              <w:t>投标截止时间前，将投标文件上传至政府</w:t>
            </w:r>
            <w:r>
              <w:rPr>
                <w:rFonts w:ascii="宋体" w:hAnsi="宋体"/>
                <w:color w:val="000000" w:themeColor="text1"/>
                <w14:textFill>
                  <w14:solidFill>
                    <w14:schemeClr w14:val="tx1"/>
                  </w14:solidFill>
                </w14:textFill>
              </w:rPr>
              <w:t>采购</w:t>
            </w:r>
            <w:r>
              <w:rPr>
                <w:rFonts w:hint="eastAsia" w:ascii="宋体" w:hAnsi="宋体"/>
                <w:color w:val="000000" w:themeColor="text1"/>
                <w14:textFill>
                  <w14:solidFill>
                    <w14:schemeClr w14:val="tx1"/>
                  </w14:solidFill>
                </w14:textFill>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b/>
                <w:color w:val="000000" w:themeColor="text1"/>
                <w14:textFill>
                  <w14:solidFill>
                    <w14:schemeClr w14:val="tx1"/>
                  </w14:solidFill>
                </w14:textFill>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详见投标人须知2.5.1。</w:t>
            </w:r>
          </w:p>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投标文件解密：开启解密后，投标人应在系统提示的解密开始时间后</w:t>
            </w:r>
            <w:r>
              <w:rPr>
                <w:rFonts w:ascii="宋体" w:hAnsi="宋体"/>
                <w:b/>
                <w:color w:val="000000" w:themeColor="text1"/>
                <w14:textFill>
                  <w14:solidFill>
                    <w14:schemeClr w14:val="tx1"/>
                  </w14:solidFill>
                </w14:textFill>
              </w:rPr>
              <w:t>60</w:t>
            </w:r>
            <w:r>
              <w:rPr>
                <w:rFonts w:hint="eastAsia" w:ascii="宋体" w:hAnsi="宋体"/>
                <w:b/>
                <w:color w:val="000000" w:themeColor="text1"/>
                <w14:textFill>
                  <w14:solidFill>
                    <w14:schemeClr w14:val="tx1"/>
                  </w14:solidFill>
                </w14:textFill>
              </w:rPr>
              <w:t>分钟内，使用对投标文件进行加密的CA证书在线完成对投标人递交至政府采购云平台的投标文件的解密。</w:t>
            </w:r>
          </w:p>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向区采购服务中心提出，并由成都市青羊区政府采购服务中心按相关规定作出答复（详见投标人须知2.8）。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183" w:right="210" w:rightChars="100" w:hanging="182" w:hangingChars="87"/>
              <w:rPr>
                <w:rFonts w:ascii="宋体" w:hAnsi="宋体" w:eastAsia="仿宋_GB2312"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投诉受理单位：本项目同级财政部门，即成都市青羊区财政局。</w:t>
            </w:r>
          </w:p>
          <w:p>
            <w:pPr>
              <w:tabs>
                <w:tab w:val="left" w:pos="7665"/>
              </w:tabs>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联系电话：028-86699817。</w:t>
            </w:r>
          </w:p>
          <w:p>
            <w:pPr>
              <w:tabs>
                <w:tab w:val="left" w:pos="7665"/>
              </w:tabs>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地址：成都市青羊区西华门1</w:t>
            </w:r>
            <w:r>
              <w:rPr>
                <w:rFonts w:ascii="宋体" w:hAnsi="宋体"/>
                <w:color w:val="000000" w:themeColor="text1"/>
                <w14:textFill>
                  <w14:solidFill>
                    <w14:schemeClr w14:val="tx1"/>
                  </w14:solidFill>
                </w14:textFill>
              </w:rPr>
              <w:t>9</w:t>
            </w:r>
            <w:r>
              <w:rPr>
                <w:rFonts w:hint="eastAsia" w:ascii="宋体" w:hAnsi="宋体"/>
                <w:color w:val="000000" w:themeColor="text1"/>
                <w14:textFill>
                  <w14:solidFill>
                    <w14:schemeClr w14:val="tx1"/>
                  </w14:solidFill>
                </w14:textFill>
              </w:rPr>
              <w:t>号1号楼4楼</w:t>
            </w:r>
          </w:p>
          <w:p>
            <w:pPr>
              <w:tabs>
                <w:tab w:val="left" w:pos="7665"/>
              </w:tabs>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邮编：6100</w:t>
            </w:r>
            <w:r>
              <w:rPr>
                <w:rFonts w:ascii="宋体" w:hAnsi="宋体"/>
                <w:color w:val="000000" w:themeColor="text1"/>
                <w14:textFill>
                  <w14:solidFill>
                    <w14:schemeClr w14:val="tx1"/>
                  </w14:solidFill>
                </w14:textFill>
              </w:rPr>
              <w:t>00</w:t>
            </w:r>
            <w:r>
              <w:rPr>
                <w:rFonts w:hint="eastAsia" w:ascii="宋体" w:hAnsi="宋体"/>
                <w:color w:val="000000" w:themeColor="text1"/>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所有</w:t>
            </w:r>
            <w:r>
              <w:rPr>
                <w:rFonts w:hint="eastAsia" w:ascii="宋体" w:hAnsi="宋体"/>
                <w:color w:val="000000" w:themeColor="text1"/>
                <w14:textFill>
                  <w14:solidFill>
                    <w14:schemeClr w14:val="tx1"/>
                  </w14:solidFill>
                </w14:textFill>
              </w:rPr>
              <w:t>投标人</w:t>
            </w:r>
            <w:r>
              <w:rPr>
                <w:rFonts w:hint="eastAsia" w:ascii="宋体" w:hAnsi="宋体" w:cs="宋体"/>
                <w:color w:val="000000" w:themeColor="text1"/>
                <w:lang w:val="zh-CN"/>
                <w14:textFill>
                  <w14:solidFill>
                    <w14:schemeClr w14:val="tx1"/>
                  </w14:solidFill>
                </w14:textFill>
              </w:rPr>
              <w:t>投标文件资格性、符合性检查情况、采用综合评分法时的得分情况、评标结果等将在成都市青羊区政府采购服务中心网、四川政府采购网上采购结果公告栏中予以公告。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000000" w:themeColor="text1"/>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中标公告在四川政府采购网上公告后，中标供应商自行登录政府</w:t>
            </w:r>
            <w:r>
              <w:rPr>
                <w:rFonts w:ascii="宋体" w:hAnsi="宋体" w:cs="宋体"/>
                <w:color w:val="000000" w:themeColor="text1"/>
                <w:lang w:val="zh-CN"/>
                <w14:textFill>
                  <w14:solidFill>
                    <w14:schemeClr w14:val="tx1"/>
                  </w14:solidFill>
                </w14:textFill>
              </w:rPr>
              <w:t>采购</w:t>
            </w:r>
            <w:r>
              <w:rPr>
                <w:rFonts w:hint="eastAsia" w:ascii="宋体" w:hAnsi="宋体" w:cs="宋体"/>
                <w:color w:val="000000" w:themeColor="text1"/>
                <w:lang w:val="zh-CN"/>
                <w14:textFill>
                  <w14:solidFill>
                    <w14:schemeClr w14:val="tx1"/>
                  </w14:solidFill>
                </w14:textFill>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color w:val="000000" w:themeColor="text1"/>
                <w14:textFill>
                  <w14:solidFill>
                    <w14:schemeClr w14:val="tx1"/>
                  </w14:solidFill>
                </w14:textFill>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政府采购合同签订之日起2个工作日内，采购人将在四川政府采购网公告政府采购合同；疫情防控期间，采购人原则上在5个工作日内与供应商签订政府采购合同及向本采购项目同级财政部门，即成都市青羊区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2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color w:val="000000" w:themeColor="text1"/>
                <w14:textFill>
                  <w14:solidFill>
                    <w14:schemeClr w14:val="tx1"/>
                  </w14:solidFill>
                </w14:textFill>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b/>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中小企业政府采购信用融资（“蓉采贷”）</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Pr>
                <w:rFonts w:hint="eastAsia" w:ascii="宋体" w:hAnsi="宋体"/>
                <w:color w:val="000000" w:themeColor="text1"/>
                <w:sz w:val="24"/>
                <w14:textFill>
                  <w14:solidFill>
                    <w14:schemeClr w14:val="tx1"/>
                  </w14:solidFill>
                </w14:textFill>
              </w:rPr>
              <w:t>工作的通知》</w:t>
            </w:r>
            <w:r>
              <w:rPr>
                <w:rFonts w:hint="eastAsia" w:ascii="宋体" w:hAnsi="宋体"/>
                <w:color w:val="000000" w:themeColor="text1"/>
                <w14:textFill>
                  <w14:solidFill>
                    <w14:schemeClr w14:val="tx1"/>
                  </w14:solidFill>
                </w14:textFill>
              </w:rPr>
              <w:t>（成财采〔2020〕20号）</w:t>
            </w:r>
            <w:r>
              <w:rPr>
                <w:rFonts w:hint="eastAsia" w:ascii="宋体" w:hAnsi="宋体"/>
                <w:color w:val="000000" w:themeColor="text1"/>
                <w:sz w:val="24"/>
                <w14:textFill>
                  <w14:solidFill>
                    <w14:schemeClr w14:val="tx1"/>
                  </w14:solidFill>
                </w14:textFill>
              </w:rPr>
              <w:t>见附件</w:t>
            </w:r>
            <w:r>
              <w:rPr>
                <w:rFonts w:hint="eastAsia" w:ascii="宋体" w:hAnsi="宋体"/>
                <w:color w:val="000000" w:themeColor="text1"/>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color w:val="000000" w:themeColor="text1"/>
                <w14:textFill>
                  <w14:solidFill>
                    <w14:schemeClr w14:val="tx1"/>
                  </w14:solidFill>
                </w14:textFill>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color w:val="000000" w:themeColor="text1"/>
                <w14:textFill>
                  <w14:solidFill>
                    <w14:schemeClr w14:val="tx1"/>
                  </w14:solidFill>
                </w14:textFill>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1"/>
        </w:numPr>
        <w:spacing w:before="260" w:after="260" w:line="360" w:lineRule="auto"/>
        <w:jc w:val="left"/>
        <w:outlineLvl w:val="1"/>
        <w:rPr>
          <w:rFonts w:ascii="宋体" w:hAnsi="宋体"/>
          <w:b/>
          <w:bCs/>
          <w:color w:val="000000" w:themeColor="text1"/>
          <w:sz w:val="28"/>
          <w:szCs w:val="28"/>
          <w14:textFill>
            <w14:solidFill>
              <w14:schemeClr w14:val="tx1"/>
            </w14:solidFill>
          </w14:textFill>
        </w:rPr>
      </w:pPr>
      <w:bookmarkStart w:id="22" w:name="_Toc76541347"/>
      <w:r>
        <w:rPr>
          <w:rFonts w:hint="eastAsia" w:ascii="宋体" w:hAnsi="宋体"/>
          <w:b/>
          <w:bCs/>
          <w:color w:val="000000" w:themeColor="text1"/>
          <w:sz w:val="28"/>
          <w:szCs w:val="28"/>
          <w14:textFill>
            <w14:solidFill>
              <w14:schemeClr w14:val="tx1"/>
            </w14:solidFill>
          </w14:textFill>
        </w:rPr>
        <w:t>总则</w:t>
      </w:r>
      <w:bookmarkEnd w:id="22"/>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适用范围</w:t>
      </w:r>
    </w:p>
    <w:p>
      <w:pPr>
        <w:numPr>
          <w:ilvl w:val="0"/>
          <w:numId w:val="9"/>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本招标文件仅适用于本次公开招标采购项目。</w:t>
      </w:r>
    </w:p>
    <w:p>
      <w:pPr>
        <w:numPr>
          <w:ilvl w:val="0"/>
          <w:numId w:val="9"/>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的最终解释权由采购人或成都市成都市青羊区政府采购服务中心享有。对招标文件中供应商参加本次政府采购活动应当具备的条件，招标项目技术、服务、商务及其他要求，评标细则及标准由采购人负责解释。除上述招标文件内容，其他内容由成都市青羊区政府采购服务中心负责解释。</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有关定义</w:t>
      </w:r>
    </w:p>
    <w:p>
      <w:pPr>
        <w:numPr>
          <w:ilvl w:val="0"/>
          <w:numId w:val="10"/>
        </w:numPr>
        <w:tabs>
          <w:tab w:val="left" w:pos="1134"/>
        </w:tabs>
        <w:spacing w:line="360" w:lineRule="auto"/>
        <w:ind w:left="0" w:firstLine="568"/>
        <w:rPr>
          <w:rFonts w:asciiTheme="minorEastAsia" w:hAnsiTheme="minorEastAsia" w:eastAsiaTheme="minorEastAsia"/>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“采购人”和“甲方”系指依法进行政府采购的成都市青羊区机关、事业单位、团体组织。本次招标的采购人是</w:t>
      </w:r>
      <w:r>
        <w:rPr>
          <w:rFonts w:hint="eastAsia" w:asciiTheme="minorEastAsia" w:hAnsiTheme="minorEastAsia" w:eastAsiaTheme="minorEastAsia"/>
          <w:color w:val="000000" w:themeColor="text1"/>
          <w:sz w:val="28"/>
          <w:szCs w:val="28"/>
          <w14:textFill>
            <w14:solidFill>
              <w14:schemeClr w14:val="tx1"/>
            </w14:solidFill>
          </w14:textFill>
        </w:rPr>
        <w:t>成都市青羊区教育技术装备与信息管理中心。</w:t>
      </w:r>
    </w:p>
    <w:p>
      <w:pPr>
        <w:numPr>
          <w:ilvl w:val="0"/>
          <w:numId w:val="10"/>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“投标人”系指在系统中成功提交《采购文件获取登记表》拟参加投标和向采购人提供货物及服务的供应商。</w:t>
      </w:r>
    </w:p>
    <w:p>
      <w:pPr>
        <w:numPr>
          <w:ilvl w:val="0"/>
          <w:numId w:val="10"/>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本招标文件各部分规定的期间以时、日、月、年计算。期间开始的时和日，不计算在期间内，而从次日开始计算。期间届满的最后一天是节假日的，以节假日后的第一日为期间届满的日期。</w:t>
      </w:r>
    </w:p>
    <w:p>
      <w:pPr>
        <w:numPr>
          <w:ilvl w:val="0"/>
          <w:numId w:val="10"/>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本招标文件各部分规定的“以上”、“以下”、“内”、“以内”，包括本数；所称的“不足”，不包括本数。</w:t>
      </w:r>
    </w:p>
    <w:p>
      <w:pPr>
        <w:numPr>
          <w:ilvl w:val="0"/>
          <w:numId w:val="10"/>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重大违法记录是指供应商因违法经营受到刑事处罚或者责令停产停业、吊销许可证或者执照、较大数额罚款等行政处罚。</w:t>
      </w:r>
    </w:p>
    <w:p>
      <w:pPr>
        <w:numPr>
          <w:ilvl w:val="0"/>
          <w:numId w:val="10"/>
        </w:numPr>
        <w:tabs>
          <w:tab w:val="left" w:pos="1134"/>
        </w:tabs>
        <w:spacing w:line="360" w:lineRule="auto"/>
        <w:ind w:left="0"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不见面开标是指，成都市成都市青羊区政府采购服务中心依托政府采购云平台组织开标活动，供应商在线参与开标的一种组织形式。</w:t>
      </w:r>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bookmarkStart w:id="23" w:name="_Toc183682344"/>
      <w:bookmarkStart w:id="24" w:name="_Toc183582207"/>
      <w:bookmarkStart w:id="25" w:name="_Toc217446036"/>
      <w:bookmarkStart w:id="26" w:name="_Toc217390843"/>
      <w:r>
        <w:rPr>
          <w:rFonts w:hint="eastAsia" w:ascii="宋体" w:hAnsi="宋体"/>
          <w:b/>
          <w:bCs/>
          <w:color w:val="000000" w:themeColor="text1"/>
          <w:sz w:val="28"/>
          <w:szCs w:val="28"/>
          <w14:textFill>
            <w14:solidFill>
              <w14:schemeClr w14:val="tx1"/>
            </w14:solidFill>
          </w14:textFill>
        </w:rPr>
        <w:t>合格的投标人</w:t>
      </w:r>
      <w:bookmarkEnd w:id="23"/>
      <w:bookmarkEnd w:id="24"/>
      <w:bookmarkEnd w:id="25"/>
      <w:bookmarkEnd w:id="26"/>
    </w:p>
    <w:p>
      <w:pPr>
        <w:tabs>
          <w:tab w:val="left" w:pos="7665"/>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合格的投标人应具备以下条件：</w:t>
      </w:r>
    </w:p>
    <w:p>
      <w:pPr>
        <w:numPr>
          <w:ilvl w:val="0"/>
          <w:numId w:val="11"/>
        </w:numPr>
        <w:tabs>
          <w:tab w:val="left" w:pos="1134"/>
        </w:tabs>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本招标文件“投标邀请”第五条规定的条件；</w:t>
      </w:r>
    </w:p>
    <w:p>
      <w:pPr>
        <w:numPr>
          <w:ilvl w:val="0"/>
          <w:numId w:val="11"/>
        </w:numPr>
        <w:tabs>
          <w:tab w:val="left" w:pos="1134"/>
        </w:tabs>
        <w:spacing w:line="360" w:lineRule="auto"/>
        <w:ind w:left="0" w:firstLine="568"/>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按照招标文件“投标邀请”中第六、七、八条规定获取了招标文件。</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投标费用</w:t>
      </w:r>
    </w:p>
    <w:p>
      <w:pPr>
        <w:spacing w:line="360" w:lineRule="auto"/>
        <w:ind w:firstLine="660" w:firstLineChars="23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投标人应自行承担参加投标的全部费用。</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充分、公平竞争保障措施</w:t>
      </w:r>
    </w:p>
    <w:p>
      <w:pPr>
        <w:numPr>
          <w:ilvl w:val="0"/>
          <w:numId w:val="12"/>
        </w:numPr>
        <w:tabs>
          <w:tab w:val="left" w:pos="1134"/>
        </w:tabs>
        <w:adjustRightInd w:val="0"/>
        <w:spacing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单位负责人为同一人或者存在直接控股、管理关系的不同供应商，不得参加同一项目的投标。</w:t>
      </w:r>
    </w:p>
    <w:p>
      <w:pPr>
        <w:numPr>
          <w:ilvl w:val="0"/>
          <w:numId w:val="12"/>
        </w:numPr>
        <w:tabs>
          <w:tab w:val="left" w:pos="1134"/>
        </w:tabs>
        <w:adjustRightInd w:val="0"/>
        <w:spacing w:line="560" w:lineRule="exact"/>
        <w:ind w:left="0" w:firstLine="567"/>
        <w:rPr>
          <w:rFonts w:ascii="宋体" w:hAnsi="宋体"/>
          <w:b/>
          <w:color w:val="000000" w:themeColor="text1"/>
          <w:sz w:val="28"/>
          <w:szCs w:val="28"/>
          <w:highlight w:val="yellow"/>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为采购项目提供整体设计、规范编制或者项目管理、监理、检测等服务的供应商，不得再参加该采购项目的其他采购活动。供应商为采购人、</w:t>
      </w:r>
      <w:r>
        <w:rPr>
          <w:rFonts w:hint="eastAsia" w:ascii="宋体" w:cs="Arial"/>
          <w:color w:val="000000" w:themeColor="text1"/>
          <w:sz w:val="28"/>
          <w:szCs w:val="28"/>
          <w14:textFill>
            <w14:solidFill>
              <w14:schemeClr w14:val="tx1"/>
            </w14:solidFill>
          </w14:textFill>
        </w:rPr>
        <w:t>采购代理机构</w:t>
      </w:r>
      <w:r>
        <w:rPr>
          <w:rFonts w:hint="eastAsia" w:ascii="宋体" w:hAnsi="宋体"/>
          <w:color w:val="000000" w:themeColor="text1"/>
          <w:sz w:val="28"/>
          <w:szCs w:val="28"/>
          <w14:textFill>
            <w14:solidFill>
              <w14:schemeClr w14:val="tx1"/>
            </w14:solidFill>
          </w14:textFill>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b/>
          <w:bCs/>
          <w:color w:val="000000" w:themeColor="text1"/>
          <w:sz w:val="28"/>
          <w:szCs w:val="28"/>
          <w:lang w:eastAsia="zh-CN"/>
          <w14:textFill>
            <w14:solidFill>
              <w14:schemeClr w14:val="tx1"/>
            </w14:solidFill>
          </w14:textFill>
        </w:rPr>
        <w:t>（</w:t>
      </w:r>
      <w:r>
        <w:rPr>
          <w:rFonts w:hint="eastAsia" w:ascii="宋体" w:hAnsi="宋体"/>
          <w:b/>
          <w:bCs/>
          <w:color w:val="000000" w:themeColor="text1"/>
          <w:sz w:val="28"/>
          <w:szCs w:val="28"/>
          <w:lang w:val="en-US" w:eastAsia="zh-CN"/>
          <w14:textFill>
            <w14:solidFill>
              <w14:schemeClr w14:val="tx1"/>
            </w14:solidFill>
          </w14:textFill>
        </w:rPr>
        <w:t>本</w:t>
      </w:r>
      <w:r>
        <w:rPr>
          <w:rFonts w:hint="eastAsia" w:ascii="宋体" w:hAnsi="宋体"/>
          <w:b/>
          <w:bCs/>
          <w:color w:val="000000" w:themeColor="text1"/>
          <w:sz w:val="28"/>
          <w:szCs w:val="28"/>
          <w14:textFill>
            <w14:solidFill>
              <w14:schemeClr w14:val="tx1"/>
            </w14:solidFill>
          </w14:textFill>
        </w:rPr>
        <w:t>项目</w:t>
      </w:r>
      <w:r>
        <w:rPr>
          <w:rFonts w:hint="eastAsia" w:ascii="宋体" w:hAnsi="宋体"/>
          <w:b/>
          <w:bCs/>
          <w:color w:val="000000" w:themeColor="text1"/>
          <w:sz w:val="28"/>
          <w:szCs w:val="28"/>
          <w:lang w:val="en-US" w:eastAsia="zh-CN"/>
          <w14:textFill>
            <w14:solidFill>
              <w14:schemeClr w14:val="tx1"/>
            </w14:solidFill>
          </w14:textFill>
        </w:rPr>
        <w:t>无供应商</w:t>
      </w:r>
      <w:r>
        <w:rPr>
          <w:rFonts w:hint="eastAsia" w:ascii="宋体" w:hAnsi="宋体"/>
          <w:b/>
          <w:bCs/>
          <w:color w:val="000000" w:themeColor="text1"/>
          <w:sz w:val="28"/>
          <w:szCs w:val="28"/>
          <w14:textFill>
            <w14:solidFill>
              <w14:schemeClr w14:val="tx1"/>
            </w14:solidFill>
          </w14:textFill>
        </w:rPr>
        <w:t>提供整体设计、规范编制或者项目管理、监理、检测等服务</w:t>
      </w:r>
      <w:r>
        <w:rPr>
          <w:rFonts w:hint="eastAsia" w:ascii="宋体" w:hAnsi="宋体"/>
          <w:b/>
          <w:bCs/>
          <w:color w:val="000000" w:themeColor="text1"/>
          <w:sz w:val="28"/>
          <w:szCs w:val="28"/>
          <w:lang w:eastAsia="zh-CN"/>
          <w14:textFill>
            <w14:solidFill>
              <w14:schemeClr w14:val="tx1"/>
            </w14:solidFill>
          </w14:textFill>
        </w:rPr>
        <w:t>）</w:t>
      </w:r>
    </w:p>
    <w:p>
      <w:pPr>
        <w:numPr>
          <w:ilvl w:val="0"/>
          <w:numId w:val="12"/>
        </w:numPr>
        <w:tabs>
          <w:tab w:val="left" w:pos="1134"/>
        </w:tabs>
        <w:adjustRightInd w:val="0"/>
        <w:spacing w:line="560" w:lineRule="exact"/>
        <w:ind w:left="0" w:firstLine="567"/>
        <w:rPr>
          <w:rFonts w:ascii="宋体" w:hAnsi="宋体"/>
          <w:b/>
          <w:color w:val="000000" w:themeColor="text1"/>
          <w:sz w:val="28"/>
          <w:szCs w:val="28"/>
          <w:highlight w:val="yellow"/>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本项目核心产品为：</w:t>
      </w:r>
      <w:r>
        <w:rPr>
          <w:rFonts w:hint="eastAsia" w:ascii="宋体" w:hAnsi="宋体"/>
          <w:b/>
          <w:bCs/>
          <w:color w:val="000000" w:themeColor="text1"/>
          <w:sz w:val="28"/>
          <w:szCs w:val="28"/>
          <w14:textFill>
            <w14:solidFill>
              <w14:schemeClr w14:val="tx1"/>
            </w14:solidFill>
          </w14:textFill>
        </w:rPr>
        <w:t>电动遮光布帘</w:t>
      </w:r>
      <w:r>
        <w:rPr>
          <w:rFonts w:hint="eastAsia" w:ascii="宋体" w:hAnsi="宋体"/>
          <w:color w:val="000000" w:themeColor="text1"/>
          <w:sz w:val="28"/>
          <w:szCs w:val="28"/>
          <w14:textFill>
            <w14:solidFill>
              <w14:schemeClr w14:val="tx1"/>
            </w14:solidFill>
          </w14:textFill>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27" w:name="_Toc183582210"/>
      <w:bookmarkStart w:id="28" w:name="_Toc76541348"/>
      <w:bookmarkStart w:id="29" w:name="_Toc217446039"/>
      <w:bookmarkStart w:id="30" w:name="_Toc183682347"/>
      <w:r>
        <w:rPr>
          <w:rFonts w:hint="eastAsia" w:ascii="宋体" w:hAnsi="宋体"/>
          <w:b/>
          <w:bCs/>
          <w:color w:val="000000" w:themeColor="text1"/>
          <w:sz w:val="28"/>
          <w:szCs w:val="28"/>
          <w14:textFill>
            <w14:solidFill>
              <w14:schemeClr w14:val="tx1"/>
            </w14:solidFill>
          </w14:textFill>
        </w:rPr>
        <w:t>招标文件</w:t>
      </w:r>
      <w:bookmarkEnd w:id="27"/>
      <w:bookmarkEnd w:id="28"/>
      <w:bookmarkEnd w:id="29"/>
      <w:bookmarkEnd w:id="30"/>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招标文件的构成</w:t>
      </w:r>
    </w:p>
    <w:p>
      <w:pPr>
        <w:numPr>
          <w:ilvl w:val="0"/>
          <w:numId w:val="13"/>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4"/>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投标邀请；</w:t>
      </w:r>
    </w:p>
    <w:p>
      <w:pPr>
        <w:numPr>
          <w:ilvl w:val="1"/>
          <w:numId w:val="14"/>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投标人须知；</w:t>
      </w:r>
    </w:p>
    <w:p>
      <w:pPr>
        <w:numPr>
          <w:ilvl w:val="1"/>
          <w:numId w:val="14"/>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投标文件格式；</w:t>
      </w:r>
    </w:p>
    <w:p>
      <w:pPr>
        <w:numPr>
          <w:ilvl w:val="1"/>
          <w:numId w:val="14"/>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招标项目技术、服务、商务及其他要求；</w:t>
      </w:r>
    </w:p>
    <w:p>
      <w:pPr>
        <w:numPr>
          <w:ilvl w:val="1"/>
          <w:numId w:val="14"/>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w:t>
      </w:r>
    </w:p>
    <w:p>
      <w:pPr>
        <w:numPr>
          <w:ilvl w:val="1"/>
          <w:numId w:val="14"/>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评标办法；</w:t>
      </w:r>
    </w:p>
    <w:p>
      <w:pPr>
        <w:numPr>
          <w:ilvl w:val="1"/>
          <w:numId w:val="14"/>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拟签订合同文本。</w:t>
      </w:r>
    </w:p>
    <w:p>
      <w:pPr>
        <w:numPr>
          <w:ilvl w:val="0"/>
          <w:numId w:val="13"/>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投标人应认真阅读和充分理解招标文件中所有的事项、格式条款和规范要求。投标人没有对招标文件全面做出实质性响应所产生的风险由投标人承担。</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31" w:name="_Toc183682348"/>
      <w:bookmarkStart w:id="32" w:name="_Toc183582211"/>
      <w:bookmarkStart w:id="33" w:name="_Toc217446040"/>
      <w:r>
        <w:rPr>
          <w:rFonts w:hint="eastAsia" w:ascii="宋体" w:hAnsi="宋体"/>
          <w:b/>
          <w:bCs/>
          <w:color w:val="000000" w:themeColor="text1"/>
          <w:sz w:val="28"/>
          <w:szCs w:val="28"/>
          <w14:textFill>
            <w14:solidFill>
              <w14:schemeClr w14:val="tx1"/>
            </w14:solidFill>
          </w14:textFill>
        </w:rPr>
        <w:t>招标文件的澄清</w:t>
      </w:r>
      <w:bookmarkEnd w:id="31"/>
      <w:bookmarkEnd w:id="32"/>
      <w:r>
        <w:rPr>
          <w:rFonts w:hint="eastAsia" w:ascii="宋体" w:hAnsi="宋体"/>
          <w:b/>
          <w:bCs/>
          <w:color w:val="000000" w:themeColor="text1"/>
          <w:sz w:val="28"/>
          <w:szCs w:val="28"/>
          <w14:textFill>
            <w14:solidFill>
              <w14:schemeClr w14:val="tx1"/>
            </w14:solidFill>
          </w14:textFill>
        </w:rPr>
        <w:t>和修改</w:t>
      </w:r>
      <w:bookmarkEnd w:id="33"/>
      <w:bookmarkStart w:id="34" w:name="_Toc183582214"/>
      <w:bookmarkStart w:id="35" w:name="_Toc183682351"/>
      <w:bookmarkStart w:id="36" w:name="_Toc217446042"/>
      <w:bookmarkStart w:id="37" w:name="_Toc89075876"/>
      <w:bookmarkStart w:id="38" w:name="_Toc77400780"/>
    </w:p>
    <w:p>
      <w:pPr>
        <w:numPr>
          <w:ilvl w:val="0"/>
          <w:numId w:val="15"/>
        </w:numPr>
        <w:tabs>
          <w:tab w:val="left" w:pos="142"/>
          <w:tab w:val="left" w:pos="1134"/>
        </w:tabs>
        <w:spacing w:after="200"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在投标截止时间前，采购人或者</w:t>
      </w:r>
      <w:r>
        <w:rPr>
          <w:rFonts w:hint="eastAsia" w:cs="Arial"/>
          <w:color w:val="000000" w:themeColor="text1"/>
          <w:sz w:val="28"/>
          <w:szCs w:val="28"/>
          <w14:textFill>
            <w14:solidFill>
              <w14:schemeClr w14:val="tx1"/>
            </w14:solidFill>
          </w14:textFill>
        </w:rPr>
        <w:t>区政府采购服务中心</w:t>
      </w:r>
      <w:r>
        <w:rPr>
          <w:rFonts w:hint="eastAsia" w:ascii="宋体" w:hAnsi="宋体"/>
          <w:color w:val="000000" w:themeColor="text1"/>
          <w:sz w:val="28"/>
          <w:szCs w:val="28"/>
          <w14:textFill>
            <w14:solidFill>
              <w14:schemeClr w14:val="tx1"/>
            </w14:solidFill>
          </w14:textFill>
        </w:rPr>
        <w:t>可以对已发出的招标文件进行必要的澄清或者修改。</w:t>
      </w:r>
    </w:p>
    <w:p>
      <w:pPr>
        <w:numPr>
          <w:ilvl w:val="0"/>
          <w:numId w:val="15"/>
        </w:numPr>
        <w:spacing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或者修改的内容，成都市青羊区政府采购服务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5"/>
        </w:numPr>
        <w:tabs>
          <w:tab w:val="left" w:pos="142"/>
          <w:tab w:val="left" w:pos="1134"/>
        </w:tabs>
        <w:spacing w:after="200"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或者修改的内容可能影响投标文件编制的，成都市青羊区政府采购服务中心应当在投标截止时间至少15日前，通过政府采购云平台通知所有获取招标文件的潜在投标人；不足15日的，采购人或区政府采购服务中心应当顺延提交投标文件的截止时间。</w:t>
      </w: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39" w:name="_Toc76541349"/>
      <w:r>
        <w:rPr>
          <w:rFonts w:hint="eastAsia" w:ascii="宋体" w:hAnsi="宋体"/>
          <w:b/>
          <w:bCs/>
          <w:color w:val="000000" w:themeColor="text1"/>
          <w:sz w:val="28"/>
          <w:szCs w:val="28"/>
          <w14:textFill>
            <w14:solidFill>
              <w14:schemeClr w14:val="tx1"/>
            </w14:solidFill>
          </w14:textFill>
        </w:rPr>
        <w:t>投标文件</w:t>
      </w:r>
      <w:bookmarkEnd w:id="34"/>
      <w:bookmarkEnd w:id="35"/>
      <w:bookmarkEnd w:id="36"/>
      <w:bookmarkEnd w:id="37"/>
      <w:bookmarkEnd w:id="38"/>
      <w:bookmarkEnd w:id="39"/>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40" w:name="_Toc183682352"/>
      <w:bookmarkStart w:id="41" w:name="_Toc217446043"/>
      <w:bookmarkStart w:id="42" w:name="_Toc183582215"/>
      <w:r>
        <w:rPr>
          <w:rFonts w:hint="eastAsia" w:ascii="宋体" w:hAnsi="宋体"/>
          <w:b/>
          <w:bCs/>
          <w:color w:val="000000" w:themeColor="text1"/>
          <w:sz w:val="28"/>
          <w:szCs w:val="28"/>
          <w14:textFill>
            <w14:solidFill>
              <w14:schemeClr w14:val="tx1"/>
            </w14:solidFill>
          </w14:textFill>
        </w:rPr>
        <w:t>投标文件的语言</w:t>
      </w:r>
      <w:bookmarkEnd w:id="40"/>
      <w:bookmarkEnd w:id="41"/>
      <w:bookmarkEnd w:id="42"/>
    </w:p>
    <w:p>
      <w:pPr>
        <w:numPr>
          <w:ilvl w:val="0"/>
          <w:numId w:val="16"/>
        </w:numPr>
        <w:tabs>
          <w:tab w:val="left" w:pos="1134"/>
        </w:tabs>
        <w:spacing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投标人提交的投标文件以及投标人与采购人或</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6"/>
        </w:numPr>
        <w:tabs>
          <w:tab w:val="left" w:pos="1134"/>
        </w:tabs>
        <w:spacing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对不同文字文本投标文件的解释发生异议的，以中文文本为准。若投标人投标文件中提供的外文资料未翻译成中文，则评标委员会可将其视为无效材料。 </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43" w:name="_Toc217446044"/>
      <w:bookmarkStart w:id="44" w:name="_Toc183582216"/>
      <w:bookmarkStart w:id="45" w:name="_Toc183682353"/>
      <w:r>
        <w:rPr>
          <w:rFonts w:hint="eastAsia" w:ascii="宋体" w:hAnsi="宋体"/>
          <w:b/>
          <w:bCs/>
          <w:color w:val="000000" w:themeColor="text1"/>
          <w:sz w:val="28"/>
          <w:szCs w:val="28"/>
          <w14:textFill>
            <w14:solidFill>
              <w14:schemeClr w14:val="tx1"/>
            </w14:solidFill>
          </w14:textFill>
        </w:rPr>
        <w:t>计量单位</w:t>
      </w:r>
      <w:bookmarkEnd w:id="43"/>
      <w:bookmarkEnd w:id="44"/>
      <w:bookmarkEnd w:id="45"/>
    </w:p>
    <w:p>
      <w:pPr>
        <w:tabs>
          <w:tab w:val="left" w:pos="7665"/>
        </w:tabs>
        <w:spacing w:line="360" w:lineRule="auto"/>
        <w:ind w:left="13" w:firstLine="55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除招标文件中另有规定外，本次采购项目所有合同项下的投标均采用国家法定的计量单位。</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46" w:name="_Toc217446045"/>
      <w:r>
        <w:rPr>
          <w:rFonts w:hint="eastAsia" w:ascii="宋体" w:hAnsi="宋体"/>
          <w:b/>
          <w:bCs/>
          <w:color w:val="000000" w:themeColor="text1"/>
          <w:sz w:val="28"/>
          <w:szCs w:val="28"/>
          <w14:textFill>
            <w14:solidFill>
              <w14:schemeClr w14:val="tx1"/>
            </w14:solidFill>
          </w14:textFill>
        </w:rPr>
        <w:t>投标货币</w:t>
      </w:r>
      <w:bookmarkEnd w:id="46"/>
    </w:p>
    <w:p>
      <w:pPr>
        <w:tabs>
          <w:tab w:val="left" w:pos="7665"/>
        </w:tabs>
        <w:spacing w:line="360" w:lineRule="auto"/>
        <w:ind w:left="13" w:firstLine="55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本次招标项目的投标均以人民币报价。</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47" w:name="_Toc217446046"/>
      <w:r>
        <w:rPr>
          <w:rFonts w:hint="eastAsia" w:ascii="宋体" w:hAnsi="宋体"/>
          <w:b/>
          <w:bCs/>
          <w:color w:val="000000" w:themeColor="text1"/>
          <w:sz w:val="28"/>
          <w:szCs w:val="28"/>
          <w14:textFill>
            <w14:solidFill>
              <w14:schemeClr w14:val="tx1"/>
            </w14:solidFill>
          </w14:textFill>
        </w:rPr>
        <w:t>联合体投标</w:t>
      </w:r>
      <w:bookmarkEnd w:id="47"/>
    </w:p>
    <w:p>
      <w:pPr>
        <w:tabs>
          <w:tab w:val="left" w:pos="1134"/>
        </w:tabs>
        <w:spacing w:line="360" w:lineRule="auto"/>
        <w:ind w:left="54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本次政府采购活动</w:t>
      </w:r>
      <w:r>
        <w:rPr>
          <w:rFonts w:hint="eastAsia" w:ascii="宋体" w:hAnsi="宋体"/>
          <w:b/>
          <w:color w:val="000000" w:themeColor="text1"/>
          <w:sz w:val="28"/>
          <w:szCs w:val="28"/>
          <w14:textFill>
            <w14:solidFill>
              <w14:schemeClr w14:val="tx1"/>
            </w14:solidFill>
          </w14:textFill>
        </w:rPr>
        <w:t>不接受</w:t>
      </w:r>
      <w:r>
        <w:rPr>
          <w:rFonts w:hint="eastAsia" w:ascii="宋体" w:hAnsi="宋体"/>
          <w:color w:val="000000" w:themeColor="text1"/>
          <w:sz w:val="28"/>
          <w:szCs w:val="28"/>
          <w14:textFill>
            <w14:solidFill>
              <w14:schemeClr w14:val="tx1"/>
            </w14:solidFill>
          </w14:textFill>
        </w:rPr>
        <w:t>联合体投标。</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48" w:name="_Toc217446047"/>
      <w:r>
        <w:rPr>
          <w:rFonts w:hint="eastAsia" w:ascii="宋体" w:hAnsi="宋体"/>
          <w:b/>
          <w:bCs/>
          <w:color w:val="000000" w:themeColor="text1"/>
          <w:sz w:val="28"/>
          <w:szCs w:val="28"/>
          <w14:textFill>
            <w14:solidFill>
              <w14:schemeClr w14:val="tx1"/>
            </w14:solidFill>
          </w14:textFill>
        </w:rPr>
        <w:t>知识产权</w:t>
      </w:r>
      <w:bookmarkEnd w:id="48"/>
    </w:p>
    <w:p>
      <w:pPr>
        <w:numPr>
          <w:ilvl w:val="0"/>
          <w:numId w:val="17"/>
        </w:numPr>
        <w:tabs>
          <w:tab w:val="left" w:pos="1134"/>
        </w:tabs>
        <w:spacing w:line="360" w:lineRule="auto"/>
        <w:ind w:left="0" w:firstLine="549"/>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numPr>
          <w:ilvl w:val="0"/>
          <w:numId w:val="17"/>
        </w:numPr>
        <w:tabs>
          <w:tab w:val="left" w:pos="1134"/>
        </w:tabs>
        <w:spacing w:line="360" w:lineRule="auto"/>
        <w:ind w:left="0" w:firstLine="549"/>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采购人享有本项目实施过程中产生的知识成果及知识产权。</w:t>
      </w:r>
    </w:p>
    <w:p>
      <w:pPr>
        <w:numPr>
          <w:ilvl w:val="0"/>
          <w:numId w:val="17"/>
        </w:numPr>
        <w:tabs>
          <w:tab w:val="left" w:pos="1134"/>
        </w:tabs>
        <w:spacing w:line="360" w:lineRule="auto"/>
        <w:ind w:left="0" w:firstLine="549"/>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7"/>
        </w:numPr>
        <w:tabs>
          <w:tab w:val="left" w:pos="1134"/>
        </w:tabs>
        <w:spacing w:line="360" w:lineRule="auto"/>
        <w:ind w:left="0" w:firstLine="549"/>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如采用投标人所不拥有的知识产权，则在投标报价中必须包括合法获取该知识产权的相关费用。</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49" w:name="_Toc183682354"/>
      <w:bookmarkStart w:id="50" w:name="_Toc183582217"/>
      <w:bookmarkStart w:id="51" w:name="_Toc217446048"/>
      <w:r>
        <w:rPr>
          <w:rFonts w:hint="eastAsia" w:ascii="宋体" w:hAnsi="宋体"/>
          <w:b/>
          <w:bCs/>
          <w:color w:val="000000" w:themeColor="text1"/>
          <w:sz w:val="28"/>
          <w:szCs w:val="28"/>
          <w14:textFill>
            <w14:solidFill>
              <w14:schemeClr w14:val="tx1"/>
            </w14:solidFill>
          </w14:textFill>
        </w:rPr>
        <w:t>投标文件的组成</w:t>
      </w:r>
      <w:bookmarkEnd w:id="49"/>
      <w:bookmarkEnd w:id="50"/>
      <w:bookmarkEnd w:id="51"/>
    </w:p>
    <w:p>
      <w:pPr>
        <w:spacing w:line="360" w:lineRule="auto"/>
        <w:ind w:firstLine="548" w:firstLineChars="19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投标人应按照招标文件的规定和要求编制投标文件。投标人拟在中标后将中标项目的非主体、非关键性工作交由他人完成的，应当在投标文件中载明。投标人编写的投标文件应包括下列部分：</w:t>
      </w:r>
    </w:p>
    <w:p>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资格响应文件：</w:t>
      </w:r>
    </w:p>
    <w:p>
      <w:pPr>
        <w:pStyle w:val="149"/>
        <w:numPr>
          <w:ilvl w:val="0"/>
          <w:numId w:val="18"/>
        </w:numPr>
        <w:tabs>
          <w:tab w:val="left" w:pos="993"/>
        </w:tabs>
        <w:spacing w:after="200" w:line="360" w:lineRule="auto"/>
        <w:ind w:left="0" w:firstLine="420"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关于投标人资格申明的函；</w:t>
      </w:r>
    </w:p>
    <w:p>
      <w:pPr>
        <w:pStyle w:val="149"/>
        <w:numPr>
          <w:ilvl w:val="0"/>
          <w:numId w:val="18"/>
        </w:numPr>
        <w:tabs>
          <w:tab w:val="left" w:pos="993"/>
        </w:tabs>
        <w:spacing w:after="200" w:line="360" w:lineRule="auto"/>
        <w:ind w:left="0" w:firstLine="420"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声明；</w:t>
      </w:r>
    </w:p>
    <w:p>
      <w:pPr>
        <w:pStyle w:val="149"/>
        <w:numPr>
          <w:ilvl w:val="0"/>
          <w:numId w:val="18"/>
        </w:numPr>
        <w:tabs>
          <w:tab w:val="left" w:pos="993"/>
        </w:tabs>
        <w:spacing w:after="200" w:line="360" w:lineRule="auto"/>
        <w:ind w:left="0" w:firstLine="420"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投标人应提交的相关资格证明材料：</w:t>
      </w:r>
    </w:p>
    <w:p>
      <w:pPr>
        <w:pStyle w:val="149"/>
        <w:numPr>
          <w:ilvl w:val="0"/>
          <w:numId w:val="19"/>
        </w:numPr>
        <w:spacing w:after="200" w:line="360" w:lineRule="auto"/>
        <w:ind w:left="0" w:firstLine="573"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营业执照复印件（正本或副本）或法人证书复印件（正本或副本）；</w:t>
      </w:r>
    </w:p>
    <w:p>
      <w:pPr>
        <w:pStyle w:val="149"/>
        <w:numPr>
          <w:ilvl w:val="0"/>
          <w:numId w:val="19"/>
        </w:numPr>
        <w:spacing w:after="200" w:line="360" w:lineRule="auto"/>
        <w:ind w:left="0" w:firstLine="573"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2019或2020会计年度资产负债表复印件（说明：投标人成立时间至递交投标文件截止时间止不足一年的，提供成立后任意时段的资产负债表复印件）；</w:t>
      </w:r>
    </w:p>
    <w:p>
      <w:pPr>
        <w:pStyle w:val="149"/>
        <w:numPr>
          <w:ilvl w:val="0"/>
          <w:numId w:val="19"/>
        </w:numPr>
        <w:spacing w:after="200" w:line="360" w:lineRule="auto"/>
        <w:ind w:left="0" w:firstLine="573"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投标人缴纳2020或2021年任意时段的税收的银行电子回单或者行政部门出具的纳税证明或完税证明复印件；</w:t>
      </w:r>
    </w:p>
    <w:p>
      <w:pPr>
        <w:pStyle w:val="149"/>
        <w:numPr>
          <w:ilvl w:val="0"/>
          <w:numId w:val="19"/>
        </w:numPr>
        <w:spacing w:after="200" w:line="360" w:lineRule="auto"/>
        <w:ind w:left="0" w:firstLine="573"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采购人对投标人履行合同所必须的设备和专业技术能力无其他特殊要求，投标人具有有效的营业执照或法人证书即可，可不提供其他证明材料；</w:t>
      </w:r>
    </w:p>
    <w:p>
      <w:pPr>
        <w:pStyle w:val="149"/>
        <w:numPr>
          <w:ilvl w:val="0"/>
          <w:numId w:val="19"/>
        </w:numPr>
        <w:spacing w:after="200" w:line="360" w:lineRule="auto"/>
        <w:ind w:left="0" w:firstLine="573"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投标人缴纳2020或2021年任意时段的社保的银行电子回单或行政部门出具的社保缴纳证明材料复印件；</w:t>
      </w:r>
    </w:p>
    <w:p>
      <w:pPr>
        <w:pStyle w:val="149"/>
        <w:numPr>
          <w:ilvl w:val="0"/>
          <w:numId w:val="19"/>
        </w:numPr>
        <w:spacing w:after="200" w:line="360" w:lineRule="auto"/>
        <w:ind w:left="0" w:firstLine="573"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采购人对法律、行政法规规定的其他条件无其他特殊要求，投标人具有有效的营业执照或法人证书即可，可不提供其他证明材料。</w:t>
      </w:r>
    </w:p>
    <w:p>
      <w:pPr>
        <w:pStyle w:val="149"/>
        <w:numPr>
          <w:ilvl w:val="0"/>
          <w:numId w:val="0"/>
        </w:numPr>
        <w:spacing w:after="200" w:line="360" w:lineRule="auto"/>
        <w:ind w:left="573" w:leftChars="0"/>
        <w:rPr>
          <w:rFonts w:hint="default" w:ascii="宋体" w:hAnsi="宋体" w:eastAsia="宋体"/>
          <w:b/>
          <w:bCs/>
          <w:color w:val="000000" w:themeColor="text1"/>
          <w:kern w:val="0"/>
          <w:sz w:val="28"/>
          <w:szCs w:val="28"/>
          <w:lang w:val="en-US" w:eastAsia="zh-CN"/>
          <w14:textFill>
            <w14:solidFill>
              <w14:schemeClr w14:val="tx1"/>
            </w14:solidFill>
          </w14:textFill>
        </w:rPr>
      </w:pPr>
      <w:r>
        <w:rPr>
          <w:rFonts w:hint="eastAsia" w:ascii="宋体" w:hAnsi="宋体"/>
          <w:b/>
          <w:bCs/>
          <w:color w:val="000000" w:themeColor="text1"/>
          <w:kern w:val="0"/>
          <w:sz w:val="28"/>
          <w:szCs w:val="28"/>
          <w:lang w:val="en-US" w:eastAsia="zh-CN"/>
          <w14:textFill>
            <w14:solidFill>
              <w14:schemeClr w14:val="tx1"/>
            </w14:solidFill>
          </w14:textFill>
        </w:rPr>
        <w:t>四、中小企业声明函（监狱企业的证明文件、《残疾人福利性单位声明函》）。</w:t>
      </w:r>
    </w:p>
    <w:p>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商务技术响应文件</w:t>
      </w:r>
    </w:p>
    <w:p>
      <w:pPr>
        <w:numPr>
          <w:ilvl w:val="0"/>
          <w:numId w:val="20"/>
        </w:numPr>
        <w:tabs>
          <w:tab w:val="left" w:pos="1134"/>
        </w:tabs>
        <w:spacing w:line="360" w:lineRule="auto"/>
        <w:ind w:hanging="279"/>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投标函；</w:t>
      </w:r>
    </w:p>
    <w:p>
      <w:pPr>
        <w:numPr>
          <w:ilvl w:val="0"/>
          <w:numId w:val="20"/>
        </w:numPr>
        <w:tabs>
          <w:tab w:val="left" w:pos="1134"/>
        </w:tabs>
        <w:spacing w:line="360" w:lineRule="auto"/>
        <w:ind w:hanging="279"/>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法定代表人身份证明书；</w:t>
      </w:r>
    </w:p>
    <w:p>
      <w:pPr>
        <w:numPr>
          <w:ilvl w:val="0"/>
          <w:numId w:val="20"/>
        </w:numPr>
        <w:tabs>
          <w:tab w:val="left" w:pos="1134"/>
        </w:tabs>
        <w:spacing w:line="360" w:lineRule="auto"/>
        <w:ind w:hanging="279"/>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投标产品技术性能、技术参数和配置的详细描述；</w:t>
      </w:r>
    </w:p>
    <w:p>
      <w:pPr>
        <w:numPr>
          <w:ilvl w:val="0"/>
          <w:numId w:val="20"/>
        </w:numPr>
        <w:tabs>
          <w:tab w:val="left" w:pos="1134"/>
        </w:tabs>
        <w:spacing w:line="360" w:lineRule="auto"/>
        <w:ind w:hanging="279"/>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售后服务及承诺；</w:t>
      </w:r>
    </w:p>
    <w:p>
      <w:pPr>
        <w:numPr>
          <w:ilvl w:val="0"/>
          <w:numId w:val="20"/>
        </w:numPr>
        <w:tabs>
          <w:tab w:val="left" w:pos="1134"/>
        </w:tabs>
        <w:spacing w:line="360" w:lineRule="auto"/>
        <w:ind w:hanging="279"/>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项目实施方案；</w:t>
      </w:r>
    </w:p>
    <w:p>
      <w:pPr>
        <w:numPr>
          <w:ilvl w:val="0"/>
          <w:numId w:val="20"/>
        </w:numPr>
        <w:tabs>
          <w:tab w:val="left" w:pos="1134"/>
        </w:tabs>
        <w:spacing w:line="360" w:lineRule="auto"/>
        <w:ind w:hanging="279"/>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承诺函。</w:t>
      </w:r>
    </w:p>
    <w:p>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报价要求响应文件</w:t>
      </w:r>
    </w:p>
    <w:p>
      <w:pPr>
        <w:numPr>
          <w:ilvl w:val="0"/>
          <w:numId w:val="21"/>
        </w:numPr>
        <w:tabs>
          <w:tab w:val="left" w:pos="1134"/>
        </w:tabs>
        <w:spacing w:line="360" w:lineRule="auto"/>
        <w:ind w:left="0" w:firstLine="567"/>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开标一览表；</w:t>
      </w:r>
    </w:p>
    <w:p>
      <w:pPr>
        <w:numPr>
          <w:ilvl w:val="0"/>
          <w:numId w:val="21"/>
        </w:numPr>
        <w:tabs>
          <w:tab w:val="left" w:pos="1134"/>
        </w:tabs>
        <w:spacing w:line="360" w:lineRule="auto"/>
        <w:ind w:left="0" w:firstLine="567"/>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分项报价明细表（分项报价明细表格式中要求填写品牌、规格型号、制造商、进口或国产的，投标人必须载明其投标产品的品牌、规格型号、制造商、进口或国产）；</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52" w:name="_Toc316292019"/>
      <w:bookmarkEnd w:id="52"/>
      <w:bookmarkStart w:id="53" w:name="_Toc316291396"/>
      <w:bookmarkEnd w:id="53"/>
      <w:bookmarkStart w:id="54" w:name="_Toc316291395"/>
      <w:bookmarkEnd w:id="54"/>
      <w:bookmarkStart w:id="55" w:name="_Toc316292020"/>
      <w:bookmarkEnd w:id="55"/>
      <w:bookmarkStart w:id="56" w:name="_Toc183582218"/>
      <w:bookmarkStart w:id="57" w:name="_Toc217446049"/>
      <w:bookmarkStart w:id="58" w:name="_Toc183682355"/>
      <w:r>
        <w:rPr>
          <w:rFonts w:hint="eastAsia" w:ascii="宋体" w:hAnsi="宋体"/>
          <w:b/>
          <w:bCs/>
          <w:color w:val="000000" w:themeColor="text1"/>
          <w:sz w:val="28"/>
          <w:szCs w:val="28"/>
          <w14:textFill>
            <w14:solidFill>
              <w14:schemeClr w14:val="tx1"/>
            </w14:solidFill>
          </w14:textFill>
        </w:rPr>
        <w:t>投标文件格式</w:t>
      </w:r>
      <w:bookmarkEnd w:id="56"/>
      <w:bookmarkEnd w:id="57"/>
      <w:bookmarkEnd w:id="58"/>
      <w:r>
        <w:rPr>
          <w:rFonts w:hint="eastAsia" w:ascii="宋体" w:hAnsi="宋体"/>
          <w:b/>
          <w:bCs/>
          <w:color w:val="000000" w:themeColor="text1"/>
          <w:sz w:val="28"/>
          <w:szCs w:val="28"/>
          <w14:textFill>
            <w14:solidFill>
              <w14:schemeClr w14:val="tx1"/>
            </w14:solidFill>
          </w14:textFill>
        </w:rPr>
        <w:tab/>
      </w:r>
    </w:p>
    <w:p>
      <w:pPr>
        <w:numPr>
          <w:ilvl w:val="0"/>
          <w:numId w:val="22"/>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投标人应按照招标文件第3章中提供的“投标文件格式”填写相关内容。</w:t>
      </w:r>
    </w:p>
    <w:p>
      <w:pPr>
        <w:numPr>
          <w:ilvl w:val="0"/>
          <w:numId w:val="22"/>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对于没有格式要求的投标文件由投标人自行编写。</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投标报价</w:t>
      </w:r>
    </w:p>
    <w:p>
      <w:pPr>
        <w:numPr>
          <w:ilvl w:val="0"/>
          <w:numId w:val="23"/>
        </w:numPr>
        <w:tabs>
          <w:tab w:val="left" w:pos="1134"/>
        </w:tabs>
        <w:spacing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投标人的报价是投标人响应招标项目要求的全部工作内容的价格体现，包括投标人完成本项目所需的一切费用。</w:t>
      </w:r>
    </w:p>
    <w:p>
      <w:pPr>
        <w:numPr>
          <w:ilvl w:val="0"/>
          <w:numId w:val="23"/>
        </w:numPr>
        <w:tabs>
          <w:tab w:val="left" w:pos="1134"/>
        </w:tabs>
        <w:spacing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color w:val="000000" w:themeColor="text1"/>
          <w:sz w:val="28"/>
          <w:szCs w:val="28"/>
          <w14:textFill>
            <w14:solidFill>
              <w14:schemeClr w14:val="tx1"/>
            </w14:solidFill>
          </w14:textFill>
        </w:rPr>
      </w:pPr>
      <w:bookmarkStart w:id="59" w:name="_Toc217446050"/>
      <w:bookmarkStart w:id="60" w:name="_Toc183682360"/>
      <w:bookmarkStart w:id="61" w:name="_Toc183582223"/>
      <w:r>
        <w:rPr>
          <w:rFonts w:hint="eastAsia" w:ascii="宋体" w:hAnsi="宋体"/>
          <w:color w:val="000000" w:themeColor="text1"/>
          <w:sz w:val="28"/>
          <w:szCs w:val="28"/>
          <w14:textFill>
            <w14:solidFill>
              <w14:schemeClr w14:val="tx1"/>
            </w14:solidFill>
          </w14:textFill>
        </w:rPr>
        <w:t>三、投标文件报价出现前后不一致的，按照下列规定修正：（1）大写金额和小写金额不一致的，以大写金额为准，但大写金额出现文字错误，导致金额无法判断的除外；（</w:t>
      </w:r>
      <w:r>
        <w:rPr>
          <w:rFonts w:ascii="宋体" w:hAnsi="宋体"/>
          <w:color w:val="000000" w:themeColor="text1"/>
          <w:sz w:val="28"/>
          <w:szCs w:val="28"/>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）单价金额小数点或者百分比有明显错位的，应以总价为准，并修改单价；（</w:t>
      </w:r>
      <w:r>
        <w:rPr>
          <w:rFonts w:ascii="宋体" w:hAnsi="宋体"/>
          <w:color w:val="000000" w:themeColor="text1"/>
          <w:sz w:val="28"/>
          <w:szCs w:val="28"/>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）总价金额与按单价汇总金额不一致的，以单价金额计算结果为准。</w:t>
      </w:r>
    </w:p>
    <w:p>
      <w:pPr>
        <w:tabs>
          <w:tab w:val="left" w:pos="1134"/>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cs="Arial"/>
          <w:color w:val="000000" w:themeColor="text1"/>
          <w:sz w:val="28"/>
          <w:szCs w:val="28"/>
          <w14:textFill>
            <w14:solidFill>
              <w14:schemeClr w14:val="tx1"/>
            </w14:solidFill>
          </w14:textFill>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color w:val="000000" w:themeColor="text1"/>
          <w:sz w:val="28"/>
          <w:szCs w:val="28"/>
          <w14:textFill>
            <w14:solidFill>
              <w14:schemeClr w14:val="tx1"/>
            </w14:solidFill>
          </w14:textFill>
        </w:rPr>
        <w:t>如因断电、断网、系统故障或其他不可抗力等因素</w:t>
      </w:r>
      <w:r>
        <w:rPr>
          <w:rFonts w:hint="eastAsia" w:cs="Arial"/>
          <w:color w:val="000000" w:themeColor="text1"/>
          <w:sz w:val="28"/>
          <w:szCs w:val="28"/>
          <w14:textFill>
            <w14:solidFill>
              <w14:schemeClr w14:val="tx1"/>
            </w14:solidFill>
          </w14:textFill>
        </w:rPr>
        <w:t>，导致系统无法使用的，由投标人按评标委员会的要求进行澄清或者说明。</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投标保证金</w:t>
      </w:r>
      <w:bookmarkEnd w:id="59"/>
      <w:bookmarkEnd w:id="60"/>
      <w:bookmarkEnd w:id="61"/>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cs="Arial"/>
          <w:color w:val="000000" w:themeColor="text1"/>
          <w:sz w:val="28"/>
          <w:szCs w:val="28"/>
          <w14:textFill>
            <w14:solidFill>
              <w14:schemeClr w14:val="tx1"/>
            </w14:solidFill>
          </w14:textFill>
        </w:rPr>
        <w:t>本项目不收取投标保证金。</w:t>
      </w:r>
    </w:p>
    <w:p>
      <w:pPr>
        <w:keepNext/>
        <w:keepLines/>
        <w:numPr>
          <w:ilvl w:val="2"/>
          <w:numId w:val="1"/>
        </w:numPr>
        <w:tabs>
          <w:tab w:val="left" w:pos="851"/>
        </w:tabs>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62" w:name="_Toc316292024"/>
      <w:bookmarkEnd w:id="62"/>
      <w:bookmarkStart w:id="63" w:name="_Toc316291400"/>
      <w:bookmarkEnd w:id="63"/>
      <w:bookmarkStart w:id="64" w:name="_Toc183682361"/>
      <w:bookmarkStart w:id="65" w:name="_Toc217446051"/>
      <w:bookmarkStart w:id="66" w:name="_Toc183582224"/>
      <w:r>
        <w:rPr>
          <w:rFonts w:hint="eastAsia" w:ascii="宋体" w:hAnsi="宋体"/>
          <w:b/>
          <w:bCs/>
          <w:color w:val="000000" w:themeColor="text1"/>
          <w:sz w:val="28"/>
          <w:szCs w:val="28"/>
          <w14:textFill>
            <w14:solidFill>
              <w14:schemeClr w14:val="tx1"/>
            </w14:solidFill>
          </w14:textFill>
        </w:rPr>
        <w:t>投标有效期</w:t>
      </w:r>
      <w:bookmarkEnd w:id="64"/>
      <w:bookmarkEnd w:id="65"/>
      <w:bookmarkEnd w:id="66"/>
    </w:p>
    <w:p>
      <w:pPr>
        <w:numPr>
          <w:ilvl w:val="0"/>
          <w:numId w:val="24"/>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投标有效期为</w:t>
      </w:r>
      <w:r>
        <w:rPr>
          <w:rFonts w:hint="eastAsia" w:ascii="Helvetica" w:hAnsi="Helvetica" w:cs="Helvetica"/>
          <w:color w:val="000000" w:themeColor="text1"/>
          <w:sz w:val="28"/>
          <w:szCs w:val="28"/>
          <w14:textFill>
            <w14:solidFill>
              <w14:schemeClr w14:val="tx1"/>
            </w14:solidFill>
          </w14:textFill>
        </w:rPr>
        <w:t>提交投标文件的截止之日起</w:t>
      </w:r>
      <w:r>
        <w:rPr>
          <w:rFonts w:ascii="宋体" w:hAnsi="宋体"/>
          <w:color w:val="000000" w:themeColor="text1"/>
          <w:sz w:val="28"/>
          <w:szCs w:val="28"/>
          <w:u w:val="single"/>
          <w14:textFill>
            <w14:solidFill>
              <w14:schemeClr w14:val="tx1"/>
            </w14:solidFill>
          </w14:textFill>
        </w:rPr>
        <w:t>120</w:t>
      </w:r>
      <w:r>
        <w:rPr>
          <w:rFonts w:hint="eastAsia" w:ascii="宋体" w:hAnsi="宋体"/>
          <w:color w:val="000000" w:themeColor="text1"/>
          <w:sz w:val="28"/>
          <w:szCs w:val="28"/>
          <w14:textFill>
            <w14:solidFill>
              <w14:schemeClr w14:val="tx1"/>
            </w14:solidFill>
          </w14:textFill>
        </w:rPr>
        <w:t>天。投标有效期短于此规定期限的或不作响应的，则其投标文件将按无效投标文件处理。</w:t>
      </w:r>
    </w:p>
    <w:p>
      <w:pPr>
        <w:numPr>
          <w:ilvl w:val="0"/>
          <w:numId w:val="24"/>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5"/>
        <w:tabs>
          <w:tab w:val="left" w:pos="851"/>
        </w:tabs>
        <w:spacing w:after="200" w:line="240" w:lineRule="auto"/>
        <w:ind w:left="0" w:firstLine="0"/>
        <w:rPr>
          <w:color w:val="000000" w:themeColor="text1"/>
          <w14:textFill>
            <w14:solidFill>
              <w14:schemeClr w14:val="tx1"/>
            </w14:solidFill>
          </w14:textFill>
        </w:rPr>
      </w:pPr>
      <w:bookmarkStart w:id="67" w:name="_Toc183682364"/>
      <w:bookmarkStart w:id="68" w:name="_Toc183582227"/>
      <w:bookmarkStart w:id="69" w:name="_Toc217446054"/>
      <w:r>
        <w:rPr>
          <w:rFonts w:hint="eastAsia"/>
          <w:color w:val="000000" w:themeColor="text1"/>
          <w14:textFill>
            <w14:solidFill>
              <w14:schemeClr w14:val="tx1"/>
            </w14:solidFill>
          </w14:textFill>
        </w:rPr>
        <w:t>投标文件的制作和签章、加密</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二、投标文件制作详情：</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pPr>
        <w:spacing w:line="360" w:lineRule="auto"/>
        <w:ind w:firstLine="562" w:firstLineChars="20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3、投标人应使用本企业CA数字证书对投标文件进行加密。</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pPr>
        <w:pStyle w:val="5"/>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w:t>
      </w:r>
      <w:bookmarkEnd w:id="67"/>
      <w:bookmarkEnd w:id="68"/>
      <w:r>
        <w:rPr>
          <w:rFonts w:hint="eastAsia"/>
          <w:color w:val="000000" w:themeColor="text1"/>
          <w14:textFill>
            <w14:solidFill>
              <w14:schemeClr w14:val="tx1"/>
            </w14:solidFill>
          </w14:textFill>
        </w:rPr>
        <w:t>递交</w:t>
      </w:r>
      <w:bookmarkEnd w:id="69"/>
    </w:p>
    <w:p>
      <w:pPr>
        <w:tabs>
          <w:tab w:val="left" w:pos="0"/>
        </w:tabs>
        <w:spacing w:line="360" w:lineRule="auto"/>
        <w:ind w:firstLine="420" w:firstLineChars="150"/>
        <w:rPr>
          <w:rFonts w:ascii="宋体" w:hAnsi="宋体" w:eastAsiaTheme="minorEastAsia" w:cstheme="minorBidi"/>
          <w:bCs/>
          <w:color w:val="000000" w:themeColor="text1"/>
          <w:sz w:val="28"/>
          <w:szCs w:val="28"/>
          <w14:textFill>
            <w14:solidFill>
              <w14:schemeClr w14:val="tx1"/>
            </w14:solidFill>
          </w14:textFill>
        </w:rPr>
      </w:pPr>
      <w:bookmarkStart w:id="70" w:name="_Toc316475587"/>
      <w:bookmarkEnd w:id="70"/>
      <w:bookmarkStart w:id="71" w:name="_Toc316475586"/>
      <w:bookmarkEnd w:id="71"/>
      <w:bookmarkStart w:id="72" w:name="_Toc217446055"/>
      <w:bookmarkStart w:id="73" w:name="_Toc183582228"/>
      <w:bookmarkStart w:id="74" w:name="_Toc183682365"/>
      <w:r>
        <w:rPr>
          <w:rFonts w:hint="eastAsia" w:ascii="宋体" w:hAnsi="宋体" w:eastAsiaTheme="minorEastAsia" w:cstheme="minorBidi"/>
          <w:bCs/>
          <w:color w:val="000000" w:themeColor="text1"/>
          <w:sz w:val="28"/>
          <w:szCs w:val="28"/>
          <w14:textFill>
            <w14:solidFill>
              <w14:schemeClr w14:val="tx1"/>
            </w14:solidFill>
          </w14:textFill>
        </w:rPr>
        <w:t>一、投标人应当在投标文件递交截止时间前，将生成的已加密的投标文件成功递交至“政府采购云平台”。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二、因招标文件的修改推迟投标截止日期的，投标人按成都市青羊区政府采购服务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rPr>
          <w:rFonts w:ascii="宋体" w:hAnsi="宋体"/>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三、投标人应充分考虑递交文件的不可预见因素，未在投标截止时间前完成递交的，在投标截止时间后将无法递交</w:t>
      </w:r>
      <w:r>
        <w:rPr>
          <w:rFonts w:hint="eastAsia" w:ascii="宋体" w:hAnsi="宋体"/>
          <w:bCs/>
          <w:color w:val="000000" w:themeColor="text1"/>
          <w:sz w:val="28"/>
          <w:szCs w:val="28"/>
          <w14:textFill>
            <w14:solidFill>
              <w14:schemeClr w14:val="tx1"/>
            </w14:solidFill>
          </w14:textFill>
        </w:rPr>
        <w:t>。</w:t>
      </w:r>
    </w:p>
    <w:p>
      <w:pPr>
        <w:pStyle w:val="5"/>
        <w:spacing w:after="200" w:line="276"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w:t>
      </w:r>
      <w:bookmarkEnd w:id="72"/>
      <w:bookmarkEnd w:id="73"/>
      <w:bookmarkEnd w:id="74"/>
      <w:r>
        <w:rPr>
          <w:rFonts w:hint="eastAsia"/>
          <w:color w:val="000000" w:themeColor="text1"/>
          <w14:textFill>
            <w14:solidFill>
              <w14:schemeClr w14:val="tx1"/>
            </w14:solidFill>
          </w14:textFill>
        </w:rPr>
        <w:t>补充、修改</w:t>
      </w:r>
    </w:p>
    <w:p>
      <w:pPr>
        <w:numPr>
          <w:ilvl w:val="0"/>
          <w:numId w:val="25"/>
        </w:numPr>
        <w:tabs>
          <w:tab w:val="left" w:pos="1134"/>
        </w:tabs>
        <w:spacing w:before="120"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5"/>
        </w:numPr>
        <w:tabs>
          <w:tab w:val="left" w:pos="1134"/>
        </w:tabs>
        <w:spacing w:before="120"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在投标截止时间之后，投标人不得对其递交的投标文件做任何补充、修改。</w:t>
      </w:r>
    </w:p>
    <w:p>
      <w:pPr>
        <w:pStyle w:val="5"/>
        <w:spacing w:after="200" w:line="276"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投标文件的撤回</w:t>
      </w:r>
    </w:p>
    <w:p>
      <w:pPr>
        <w:spacing w:before="120" w:after="200" w:line="360" w:lineRule="auto"/>
        <w:ind w:firstLine="565" w:firstLineChars="202"/>
        <w:rPr>
          <w:rFonts w:ascii="宋体" w:hAnsi="宋体"/>
          <w:bCs/>
          <w:color w:val="000000" w:themeColor="text1"/>
          <w:sz w:val="28"/>
          <w:szCs w:val="28"/>
          <w14:textFill>
            <w14:solidFill>
              <w14:schemeClr w14:val="tx1"/>
            </w14:solidFill>
          </w14:textFill>
        </w:rPr>
      </w:pPr>
      <w:bookmarkStart w:id="75" w:name="_Toc183682368"/>
      <w:bookmarkStart w:id="76" w:name="_Toc183582231"/>
      <w:bookmarkStart w:id="77" w:name="_Toc89075878"/>
      <w:bookmarkStart w:id="78" w:name="_Toc217446056"/>
      <w:bookmarkStart w:id="79" w:name="_Toc77400782"/>
      <w:r>
        <w:rPr>
          <w:rFonts w:hint="eastAsia" w:ascii="宋体" w:hAnsi="宋体"/>
          <w:bCs/>
          <w:color w:val="000000" w:themeColor="text1"/>
          <w:sz w:val="28"/>
          <w:szCs w:val="28"/>
          <w14:textFill>
            <w14:solidFill>
              <w14:schemeClr w14:val="tx1"/>
            </w14:solidFill>
          </w14:textFill>
        </w:rPr>
        <w:t>在投标截止时间之前，投标人可对已递交的投标文件进行撤回。在投标截止时间之后，投标人不得撤回投标文件。</w:t>
      </w:r>
    </w:p>
    <w:p>
      <w:pPr>
        <w:pStyle w:val="5"/>
        <w:spacing w:after="200" w:line="276"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投标文件的解密</w:t>
      </w:r>
    </w:p>
    <w:p>
      <w:pPr>
        <w:tabs>
          <w:tab w:val="left" w:pos="1134"/>
        </w:tabs>
        <w:spacing w:before="120" w:line="360" w:lineRule="auto"/>
        <w:ind w:firstLine="565" w:firstLineChars="202"/>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w:t>
      </w:r>
      <w:r>
        <w:rPr>
          <w:rFonts w:hint="eastAsia" w:ascii="宋体" w:hAnsi="宋体"/>
          <w:color w:val="000000" w:themeColor="text1"/>
          <w:sz w:val="28"/>
          <w:szCs w:val="28"/>
          <w14:textFill>
            <w14:solidFill>
              <w14:schemeClr w14:val="tx1"/>
            </w14:solidFill>
          </w14:textFill>
        </w:rPr>
        <w:t>登录政府采购云平台，点击“项目采购—开标评标”模块，找到对应项目，进入“开标大厅”，等待区政府采购服务中心开启解密后，进行线上解密。</w:t>
      </w:r>
      <w:r>
        <w:rPr>
          <w:rFonts w:hint="eastAsia" w:ascii="宋体" w:hAnsi="宋体"/>
          <w:bCs/>
          <w:color w:val="000000" w:themeColor="text1"/>
          <w:sz w:val="28"/>
          <w:szCs w:val="28"/>
          <w14:textFill>
            <w14:solidFill>
              <w14:schemeClr w14:val="tx1"/>
            </w14:solidFill>
          </w14:textFill>
        </w:rPr>
        <w:t>除因断电、断网、系统故障或其他不可抗力等因素，导致系统无法使用外，投标人在规定的解密时间内，未成功解密的投标文件将视为无效投标文件。</w:t>
      </w: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80" w:name="_Toc76541350"/>
      <w:r>
        <w:rPr>
          <w:rFonts w:hint="eastAsia" w:ascii="宋体" w:hAnsi="宋体"/>
          <w:b/>
          <w:bCs/>
          <w:color w:val="000000" w:themeColor="text1"/>
          <w:sz w:val="28"/>
          <w:szCs w:val="28"/>
          <w14:textFill>
            <w14:solidFill>
              <w14:schemeClr w14:val="tx1"/>
            </w14:solidFill>
          </w14:textFill>
        </w:rPr>
        <w:t>开标、资格审查、评标和中标</w:t>
      </w:r>
      <w:bookmarkEnd w:id="75"/>
      <w:bookmarkEnd w:id="76"/>
      <w:bookmarkEnd w:id="77"/>
      <w:bookmarkEnd w:id="78"/>
      <w:bookmarkEnd w:id="79"/>
      <w:bookmarkEnd w:id="80"/>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81" w:name="_Toc183682369"/>
      <w:bookmarkStart w:id="82" w:name="_Toc217446057"/>
      <w:bookmarkStart w:id="83" w:name="_Toc183582232"/>
      <w:r>
        <w:rPr>
          <w:rFonts w:hint="eastAsia" w:ascii="宋体" w:hAnsi="宋体"/>
          <w:b/>
          <w:bCs/>
          <w:color w:val="000000" w:themeColor="text1"/>
          <w:sz w:val="28"/>
          <w:szCs w:val="28"/>
          <w14:textFill>
            <w14:solidFill>
              <w14:schemeClr w14:val="tx1"/>
            </w14:solidFill>
          </w14:textFill>
        </w:rPr>
        <w:t>开标</w:t>
      </w:r>
      <w:bookmarkEnd w:id="81"/>
      <w:bookmarkEnd w:id="82"/>
      <w:bookmarkEnd w:id="83"/>
      <w:r>
        <w:rPr>
          <w:rFonts w:hint="eastAsia" w:ascii="宋体" w:hAnsi="宋体"/>
          <w:b/>
          <w:bCs/>
          <w:color w:val="000000" w:themeColor="text1"/>
          <w:sz w:val="28"/>
          <w:szCs w:val="28"/>
          <w14:textFill>
            <w14:solidFill>
              <w14:schemeClr w14:val="tx1"/>
            </w14:solidFill>
          </w14:textFill>
        </w:rPr>
        <w:t>及开标程序</w:t>
      </w:r>
    </w:p>
    <w:p>
      <w:pPr>
        <w:pStyle w:val="79"/>
        <w:numPr>
          <w:ilvl w:val="0"/>
          <w:numId w:val="26"/>
        </w:numPr>
        <w:tabs>
          <w:tab w:val="left" w:pos="1134"/>
        </w:tabs>
        <w:spacing w:before="120" w:after="200" w:line="360" w:lineRule="auto"/>
        <w:ind w:left="0" w:right="210" w:firstLine="567" w:firstLineChars="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本项目为不见面开标项目。递交投标文件的投标人不足3家的，不予开标。</w:t>
      </w:r>
    </w:p>
    <w:p>
      <w:pPr>
        <w:pStyle w:val="79"/>
        <w:numPr>
          <w:ilvl w:val="0"/>
          <w:numId w:val="26"/>
        </w:numPr>
        <w:tabs>
          <w:tab w:val="left" w:pos="1134"/>
        </w:tabs>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pStyle w:val="79"/>
        <w:numPr>
          <w:ilvl w:val="0"/>
          <w:numId w:val="26"/>
        </w:numPr>
        <w:tabs>
          <w:tab w:val="left" w:pos="1134"/>
        </w:tabs>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解密投标文件投标文件。等待区采购中心开启解密后，投标人进行线上解密。开启解密后，投标人应在60分钟内，使用加密该投标文件的CA数字证书在线完成投标文件的解密。除因断电、断网、系统故障或其他不可抗力等因素，导致系统无法使用外，投标人在规定的解密时间内，未成功解密的投标文件将视为无效投标文件。</w:t>
      </w:r>
    </w:p>
    <w:p>
      <w:pPr>
        <w:pStyle w:val="79"/>
        <w:numPr>
          <w:ilvl w:val="0"/>
          <w:numId w:val="26"/>
        </w:numPr>
        <w:tabs>
          <w:tab w:val="left" w:pos="1134"/>
        </w:tabs>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79"/>
        <w:numPr>
          <w:ilvl w:val="0"/>
          <w:numId w:val="26"/>
        </w:numPr>
        <w:tabs>
          <w:tab w:val="left" w:pos="1134"/>
        </w:tabs>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79"/>
        <w:numPr>
          <w:ilvl w:val="0"/>
          <w:numId w:val="26"/>
        </w:numPr>
        <w:tabs>
          <w:tab w:val="left" w:pos="1134"/>
        </w:tabs>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因断电、断网、系统故障或其他不可抗力等因素导致不见面开标系统无法正常运行的，开标活动中止或延迟，待系统恢复正常后继续进行开标活动。</w:t>
      </w:r>
    </w:p>
    <w:p>
      <w:pPr>
        <w:pStyle w:val="79"/>
        <w:numPr>
          <w:ilvl w:val="0"/>
          <w:numId w:val="26"/>
        </w:numPr>
        <w:tabs>
          <w:tab w:val="left" w:pos="1134"/>
        </w:tabs>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不见面开标过程中，各方主体均应遵守互联网有关规定，不得发表与交易活动无关的言论。</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资格审查</w:t>
      </w:r>
    </w:p>
    <w:p>
      <w:pPr>
        <w:spacing w:line="360" w:lineRule="auto"/>
        <w:ind w:firstLine="49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详见招标文件第5章。</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评标</w:t>
      </w:r>
    </w:p>
    <w:p>
      <w:pPr>
        <w:spacing w:line="360" w:lineRule="auto"/>
        <w:ind w:firstLine="49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详见招标文件第6章。</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84" w:name="_Toc183582238"/>
      <w:bookmarkStart w:id="85" w:name="_Toc183682375"/>
      <w:bookmarkStart w:id="86" w:name="_Toc217446063"/>
      <w:r>
        <w:rPr>
          <w:rFonts w:hint="eastAsia" w:ascii="宋体" w:hAnsi="宋体"/>
          <w:b/>
          <w:bCs/>
          <w:color w:val="000000" w:themeColor="text1"/>
          <w:sz w:val="28"/>
          <w:szCs w:val="28"/>
          <w14:textFill>
            <w14:solidFill>
              <w14:schemeClr w14:val="tx1"/>
            </w14:solidFill>
          </w14:textFill>
        </w:rPr>
        <w:t>中标通知</w:t>
      </w:r>
      <w:bookmarkEnd w:id="84"/>
      <w:bookmarkEnd w:id="85"/>
      <w:r>
        <w:rPr>
          <w:rFonts w:hint="eastAsia" w:ascii="宋体" w:hAnsi="宋体"/>
          <w:b/>
          <w:bCs/>
          <w:color w:val="000000" w:themeColor="text1"/>
          <w:sz w:val="28"/>
          <w:szCs w:val="28"/>
          <w14:textFill>
            <w14:solidFill>
              <w14:schemeClr w14:val="tx1"/>
            </w14:solidFill>
          </w14:textFill>
        </w:rPr>
        <w:t>书</w:t>
      </w:r>
      <w:bookmarkEnd w:id="86"/>
    </w:p>
    <w:p>
      <w:pPr>
        <w:spacing w:line="580" w:lineRule="exact"/>
        <w:ind w:right="210" w:firstLine="560" w:firstLineChars="200"/>
        <w:rPr>
          <w:rFonts w:ascii="宋体" w:hAnsi="宋体"/>
          <w:color w:val="000000" w:themeColor="text1"/>
          <w:sz w:val="28"/>
          <w:szCs w:val="28"/>
          <w14:textFill>
            <w14:solidFill>
              <w14:schemeClr w14:val="tx1"/>
            </w14:solidFill>
          </w14:textFill>
        </w:rPr>
      </w:pPr>
      <w:bookmarkStart w:id="87" w:name="_Toc217446064"/>
      <w:bookmarkStart w:id="88" w:name="_Toc183582240"/>
      <w:bookmarkStart w:id="89" w:name="_Toc183682377"/>
      <w:r>
        <w:rPr>
          <w:rFonts w:hint="eastAsia" w:ascii="宋体" w:hAnsi="宋体"/>
          <w:color w:val="000000" w:themeColor="text1"/>
          <w:sz w:val="28"/>
          <w:szCs w:val="28"/>
          <w14:textFill>
            <w14:solidFill>
              <w14:schemeClr w14:val="tx1"/>
            </w14:solidFill>
          </w14:textFill>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二、中标通知书对采购人和中标人均具有法律效力。中标通知书发出后，采购人改变中标结果，或者中标人无正当理由放弃中标的，应当承担相应的法律责任。</w:t>
      </w:r>
    </w:p>
    <w:p>
      <w:pPr>
        <w:spacing w:line="58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三、中标公告在四川政府采购网上公告后，中标供应商自行登录政府</w:t>
      </w:r>
      <w:r>
        <w:rPr>
          <w:rFonts w:ascii="宋体" w:hAnsi="宋体"/>
          <w:color w:val="000000" w:themeColor="text1"/>
          <w:sz w:val="28"/>
          <w:szCs w:val="28"/>
          <w14:textFill>
            <w14:solidFill>
              <w14:schemeClr w14:val="tx1"/>
            </w14:solidFill>
          </w14:textFill>
        </w:rPr>
        <w:t>采购</w:t>
      </w:r>
      <w:r>
        <w:rPr>
          <w:rFonts w:hint="eastAsia" w:ascii="宋体" w:hAnsi="宋体"/>
          <w:color w:val="000000" w:themeColor="text1"/>
          <w:sz w:val="28"/>
          <w:szCs w:val="28"/>
          <w14:textFill>
            <w14:solidFill>
              <w14:schemeClr w14:val="tx1"/>
            </w14:solidFill>
          </w14:textFill>
        </w:rPr>
        <w:t>云平台下载中标通知书。</w:t>
      </w:r>
    </w:p>
    <w:p>
      <w:pPr>
        <w:keepNext/>
        <w:keepLines/>
        <w:numPr>
          <w:ilvl w:val="1"/>
          <w:numId w:val="1"/>
        </w:numPr>
        <w:spacing w:before="240" w:line="360" w:lineRule="auto"/>
        <w:jc w:val="left"/>
        <w:outlineLvl w:val="1"/>
        <w:rPr>
          <w:rFonts w:ascii="宋体" w:hAnsi="宋体"/>
          <w:b/>
          <w:bCs/>
          <w:color w:val="000000" w:themeColor="text1"/>
          <w:sz w:val="28"/>
          <w:szCs w:val="28"/>
          <w14:textFill>
            <w14:solidFill>
              <w14:schemeClr w14:val="tx1"/>
            </w14:solidFill>
          </w14:textFill>
        </w:rPr>
      </w:pPr>
      <w:bookmarkStart w:id="90" w:name="_Toc76541351"/>
      <w:r>
        <w:rPr>
          <w:rFonts w:hint="eastAsia" w:ascii="宋体" w:hAnsi="宋体"/>
          <w:b/>
          <w:bCs/>
          <w:color w:val="000000" w:themeColor="text1"/>
          <w:sz w:val="28"/>
          <w:szCs w:val="28"/>
          <w14:textFill>
            <w14:solidFill>
              <w14:schemeClr w14:val="tx1"/>
            </w14:solidFill>
          </w14:textFill>
        </w:rPr>
        <w:t>签订及履行合同和验收</w:t>
      </w:r>
      <w:bookmarkEnd w:id="87"/>
      <w:bookmarkEnd w:id="90"/>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91" w:name="_Toc217446065"/>
      <w:r>
        <w:rPr>
          <w:rFonts w:hint="eastAsia" w:ascii="宋体" w:hAnsi="宋体"/>
          <w:b/>
          <w:bCs/>
          <w:color w:val="000000" w:themeColor="text1"/>
          <w:sz w:val="28"/>
          <w:szCs w:val="28"/>
          <w14:textFill>
            <w14:solidFill>
              <w14:schemeClr w14:val="tx1"/>
            </w14:solidFill>
          </w14:textFill>
        </w:rPr>
        <w:t>签订合同</w:t>
      </w:r>
      <w:bookmarkEnd w:id="91"/>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四、询问或者质疑事项可能影响中标、成交结果的，采购人应当暂停签订合同，已经签订合同的，应当中止履行合同。</w:t>
      </w:r>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bookmarkStart w:id="92" w:name="_Toc315871033"/>
      <w:bookmarkEnd w:id="92"/>
      <w:bookmarkStart w:id="93" w:name="_Toc217446066"/>
      <w:r>
        <w:rPr>
          <w:rFonts w:hint="eastAsia" w:ascii="宋体" w:hAnsi="宋体"/>
          <w:b/>
          <w:bCs/>
          <w:color w:val="000000" w:themeColor="text1"/>
          <w:sz w:val="28"/>
          <w:szCs w:val="28"/>
          <w14:textFill>
            <w14:solidFill>
              <w14:schemeClr w14:val="tx1"/>
            </w14:solidFill>
          </w14:textFill>
        </w:rPr>
        <w:t>合同分包</w:t>
      </w:r>
      <w:bookmarkEnd w:id="93"/>
      <w:r>
        <w:rPr>
          <w:rFonts w:hint="eastAsia" w:ascii="宋体" w:hAnsi="宋体"/>
          <w:b/>
          <w:bCs/>
          <w:color w:val="000000" w:themeColor="text1"/>
          <w:sz w:val="28"/>
          <w:szCs w:val="28"/>
          <w14:textFill>
            <w14:solidFill>
              <w14:schemeClr w14:val="tx1"/>
            </w14:solidFill>
          </w14:textFill>
        </w:rPr>
        <w:t>和转包</w:t>
      </w:r>
    </w:p>
    <w:p>
      <w:pPr>
        <w:keepNext/>
        <w:keepLines/>
        <w:numPr>
          <w:ilvl w:val="3"/>
          <w:numId w:val="1"/>
        </w:numPr>
        <w:spacing w:line="360" w:lineRule="auto"/>
        <w:ind w:left="1275" w:hanging="1275"/>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合同分包</w:t>
      </w:r>
    </w:p>
    <w:p>
      <w:pPr>
        <w:pStyle w:val="119"/>
        <w:spacing w:line="360" w:lineRule="auto"/>
        <w:ind w:firstLine="560" w:firstLineChars="200"/>
        <w:rPr>
          <w:rFonts w:cs="Times New Roman" w:eastAsiaTheme="minorEastAsia"/>
          <w:color w:val="000000" w:themeColor="text1"/>
          <w:sz w:val="28"/>
          <w:szCs w:val="28"/>
          <w:lang w:val="zh-CN"/>
          <w14:textFill>
            <w14:solidFill>
              <w14:schemeClr w14:val="tx1"/>
            </w14:solidFill>
          </w14:textFill>
        </w:rPr>
      </w:pPr>
      <w:r>
        <w:rPr>
          <w:rFonts w:hint="eastAsia" w:cs="Times New Roman"/>
          <w:color w:val="000000" w:themeColor="text1"/>
          <w:sz w:val="28"/>
          <w:szCs w:val="28"/>
          <w:lang w:val="zh-CN"/>
          <w14:textFill>
            <w14:solidFill>
              <w14:schemeClr w14:val="tx1"/>
            </w14:solidFill>
          </w14:textFill>
        </w:rPr>
        <w:t>本</w:t>
      </w:r>
      <w:r>
        <w:rPr>
          <w:rFonts w:cs="Times New Roman"/>
          <w:color w:val="000000" w:themeColor="text1"/>
          <w:sz w:val="28"/>
          <w:szCs w:val="28"/>
          <w:lang w:val="zh-CN"/>
          <w14:textFill>
            <w14:solidFill>
              <w14:schemeClr w14:val="tx1"/>
            </w14:solidFill>
          </w14:textFill>
        </w:rPr>
        <w:t>项目不允许分包</w:t>
      </w:r>
      <w:r>
        <w:rPr>
          <w:rFonts w:hint="eastAsia" w:cs="Times New Roman"/>
          <w:color w:val="000000" w:themeColor="text1"/>
          <w:sz w:val="28"/>
          <w:szCs w:val="28"/>
          <w:lang w:val="zh-CN"/>
          <w14:textFill>
            <w14:solidFill>
              <w14:schemeClr w14:val="tx1"/>
            </w14:solidFill>
          </w14:textFill>
        </w:rPr>
        <w:t xml:space="preserve"> </w:t>
      </w:r>
    </w:p>
    <w:p>
      <w:pPr>
        <w:keepNext/>
        <w:keepLines/>
        <w:numPr>
          <w:ilvl w:val="3"/>
          <w:numId w:val="1"/>
        </w:numPr>
        <w:spacing w:line="360" w:lineRule="auto"/>
        <w:ind w:left="1275" w:hanging="1275"/>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合同转包</w:t>
      </w:r>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一、严禁中标供应商将本项目转包。本项目所称转包，是指</w:t>
      </w:r>
      <w:r>
        <w:rPr>
          <w:rFonts w:hint="eastAsia" w:ascii="宋体" w:hAnsi="宋体" w:cs="宋体"/>
          <w:color w:val="000000" w:themeColor="text1"/>
          <w:sz w:val="28"/>
          <w:szCs w:val="28"/>
          <w14:textFill>
            <w14:solidFill>
              <w14:schemeClr w14:val="tx1"/>
            </w14:solidFill>
          </w14:textFill>
        </w:rPr>
        <w:t xml:space="preserve">将本项目转给他人或者将本项目全部肢解以后以分包的名义分别转给他人的行为。 </w:t>
      </w:r>
    </w:p>
    <w:p>
      <w:pPr>
        <w:spacing w:line="360" w:lineRule="auto"/>
        <w:ind w:firstLine="49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二、中标供应商转包的，视同拒绝履行政府采购合同，将依法追究法律责任。</w:t>
      </w:r>
    </w:p>
    <w:p>
      <w:pPr>
        <w:keepNext/>
        <w:keepLines/>
        <w:numPr>
          <w:ilvl w:val="2"/>
          <w:numId w:val="1"/>
        </w:numPr>
        <w:spacing w:before="240" w:line="360" w:lineRule="auto"/>
        <w:ind w:left="0" w:firstLine="0"/>
        <w:outlineLvl w:val="2"/>
        <w:rPr>
          <w:rFonts w:ascii="宋体" w:hAnsi="宋体"/>
          <w:b/>
          <w:bCs/>
          <w:color w:val="000000" w:themeColor="text1"/>
          <w:sz w:val="28"/>
          <w:szCs w:val="28"/>
          <w14:textFill>
            <w14:solidFill>
              <w14:schemeClr w14:val="tx1"/>
            </w14:solidFill>
          </w14:textFill>
        </w:rPr>
      </w:pPr>
      <w:bookmarkStart w:id="94" w:name="_Toc217446067"/>
      <w:r>
        <w:rPr>
          <w:rFonts w:hint="eastAsia" w:ascii="宋体" w:hAnsi="宋体"/>
          <w:b/>
          <w:bCs/>
          <w:color w:val="000000" w:themeColor="text1"/>
          <w:sz w:val="28"/>
          <w:szCs w:val="28"/>
          <w14:textFill>
            <w14:solidFill>
              <w14:schemeClr w14:val="tx1"/>
            </w14:solidFill>
          </w14:textFill>
        </w:rPr>
        <w:t>采购人增加合同标的的权</w:t>
      </w:r>
      <w:bookmarkEnd w:id="94"/>
      <w:r>
        <w:rPr>
          <w:rFonts w:hint="eastAsia" w:ascii="宋体" w:hAnsi="宋体"/>
          <w:b/>
          <w:bCs/>
          <w:color w:val="000000" w:themeColor="text1"/>
          <w:sz w:val="28"/>
          <w:szCs w:val="28"/>
          <w14:textFill>
            <w14:solidFill>
              <w14:schemeClr w14:val="tx1"/>
            </w14:solidFill>
          </w14:textFill>
        </w:rPr>
        <w:t>利</w:t>
      </w:r>
    </w:p>
    <w:p>
      <w:pPr>
        <w:spacing w:after="180"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95" w:name="_Toc217446068"/>
      <w:r>
        <w:rPr>
          <w:rFonts w:hint="eastAsia" w:ascii="宋体" w:hAnsi="宋体"/>
          <w:b/>
          <w:bCs/>
          <w:color w:val="000000" w:themeColor="text1"/>
          <w:sz w:val="28"/>
          <w:szCs w:val="28"/>
          <w14:textFill>
            <w14:solidFill>
              <w14:schemeClr w14:val="tx1"/>
            </w14:solidFill>
          </w14:textFill>
        </w:rPr>
        <w:t>履约保证金</w:t>
      </w:r>
      <w:bookmarkEnd w:id="95"/>
    </w:p>
    <w:p>
      <w:pPr>
        <w:spacing w:line="360" w:lineRule="auto"/>
        <w:ind w:firstLine="49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本项目不收取履约保证金。</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96" w:name="_Toc217446069"/>
      <w:r>
        <w:rPr>
          <w:rFonts w:hint="eastAsia" w:ascii="宋体" w:hAnsi="宋体"/>
          <w:b/>
          <w:bCs/>
          <w:color w:val="000000" w:themeColor="text1"/>
          <w:sz w:val="28"/>
          <w:szCs w:val="28"/>
          <w14:textFill>
            <w14:solidFill>
              <w14:schemeClr w14:val="tx1"/>
            </w14:solidFill>
          </w14:textFill>
        </w:rPr>
        <w:t>合同公告</w:t>
      </w:r>
    </w:p>
    <w:p>
      <w:pPr>
        <w:spacing w:after="180"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采购人应当自政府采购合同签订之日起2个工作日内，在四川政府采购网公告，但政府采购合同中涉及国家秘密、商业秘密的内容除外。</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合同备案</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疫情防控期间，采购人原则上在5个工作日内与供应商签订政府采购合同及按成都市青羊区财政局的要求完成合同备案工作。</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履行合同</w:t>
      </w:r>
      <w:bookmarkEnd w:id="96"/>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一、合同一经签订，双方应严格履行合同规定的义务。</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二、在合同履行过程中，如发生合同纠纷，合同双方应按照《中华人民共和国民法典》及合同条款的有关规定进行处理。</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97" w:name="_Toc217446070"/>
      <w:r>
        <w:rPr>
          <w:rFonts w:hint="eastAsia" w:ascii="宋体" w:hAnsi="宋体"/>
          <w:b/>
          <w:bCs/>
          <w:color w:val="000000" w:themeColor="text1"/>
          <w:sz w:val="28"/>
          <w:szCs w:val="28"/>
          <w14:textFill>
            <w14:solidFill>
              <w14:schemeClr w14:val="tx1"/>
            </w14:solidFill>
          </w14:textFill>
        </w:rPr>
        <w:t>验收</w:t>
      </w:r>
      <w:bookmarkEnd w:id="97"/>
      <w:r>
        <w:rPr>
          <w:rFonts w:hint="eastAsia" w:ascii="宋体" w:hAnsi="宋体"/>
          <w:b/>
          <w:bCs/>
          <w:color w:val="000000" w:themeColor="text1"/>
          <w:sz w:val="28"/>
          <w:szCs w:val="28"/>
          <w14:textFill>
            <w14:solidFill>
              <w14:schemeClr w14:val="tx1"/>
            </w14:solidFill>
          </w14:textFill>
        </w:rPr>
        <w:t>及标准</w:t>
      </w:r>
    </w:p>
    <w:bookmarkEnd w:id="88"/>
    <w:bookmarkEnd w:id="89"/>
    <w:p>
      <w:pPr>
        <w:shd w:val="clear" w:color="auto" w:fill="FFFFFF"/>
        <w:spacing w:line="360" w:lineRule="auto"/>
        <w:ind w:firstLine="570"/>
        <w:rPr>
          <w:rFonts w:ascii="宋体" w:hAnsi="宋体" w:cs="Helvetica"/>
          <w:color w:val="000000" w:themeColor="text1"/>
          <w:sz w:val="28"/>
          <w:szCs w:val="28"/>
          <w14:textFill>
            <w14:solidFill>
              <w14:schemeClr w14:val="tx1"/>
            </w14:solidFill>
          </w14:textFill>
        </w:rPr>
      </w:pPr>
      <w:bookmarkStart w:id="98" w:name="_Toc217446074"/>
      <w:bookmarkStart w:id="99" w:name="_Toc183682380"/>
      <w:bookmarkStart w:id="100" w:name="_Toc183582243"/>
      <w:r>
        <w:rPr>
          <w:rFonts w:hint="eastAsia" w:ascii="宋体" w:hAnsi="宋体" w:cs="Helvetica"/>
          <w:color w:val="000000" w:themeColor="text1"/>
          <w:sz w:val="28"/>
          <w:szCs w:val="28"/>
          <w14:textFill>
            <w14:solidFill>
              <w14:schemeClr w14:val="tx1"/>
            </w14:solidFill>
          </w14:textFill>
        </w:rPr>
        <w:t>1、验收依据：按照采购文件、中标人投标文件、采购合同及国家法律法规的相关规定进行验收。</w:t>
      </w:r>
    </w:p>
    <w:p>
      <w:pPr>
        <w:shd w:val="clear" w:color="auto" w:fill="FFFFFF"/>
        <w:spacing w:line="360" w:lineRule="auto"/>
        <w:ind w:firstLine="57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2、验收标准：严格按照政府采购相关法律法规以及《财政部关于进一步加强政府采购需求 和履约验收管理的指导意见》财库〔2016〕 205 号的要求进行验收。</w:t>
      </w:r>
    </w:p>
    <w:p>
      <w:pPr>
        <w:shd w:val="clear" w:color="auto" w:fill="FFFFFF"/>
        <w:spacing w:line="360" w:lineRule="auto"/>
        <w:ind w:firstLine="57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3、项目验收时须具备下列条件：供应商提供的货物必须是原厂生产的，符合国家、行业和 生产者的质量检测标准，未使用过的全新货物，并附有正规的质量保证书或合格证，同时须 向采购人交付相关技术参数佐证资料；</w:t>
      </w:r>
    </w:p>
    <w:p>
      <w:pPr>
        <w:shd w:val="clear" w:color="auto" w:fill="FFFFFF"/>
        <w:spacing w:line="360" w:lineRule="auto"/>
        <w:ind w:firstLine="57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4、供应商履约时违反本项第 3 条规定情形的，采购人有权拒收，不予支付货款，同时向同级财政采购监管部门报告。</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资金支付</w:t>
      </w:r>
    </w:p>
    <w:p>
      <w:pPr>
        <w:shd w:val="clear" w:color="auto" w:fill="FFFFFF"/>
        <w:spacing w:line="360" w:lineRule="auto"/>
        <w:ind w:firstLine="570"/>
        <w:rPr>
          <w:rFonts w:ascii="宋体" w:hAnsi="宋体" w:cs="Helvetica"/>
          <w:color w:val="000000" w:themeColor="text1"/>
          <w:sz w:val="28"/>
          <w:szCs w:val="28"/>
          <w14:textFill>
            <w14:solidFill>
              <w14:schemeClr w14:val="tx1"/>
            </w14:solidFill>
          </w14:textFill>
        </w:rPr>
      </w:pPr>
      <w:bookmarkStart w:id="101" w:name="_Toc76541352"/>
      <w:r>
        <w:rPr>
          <w:rFonts w:hint="eastAsia" w:ascii="宋体" w:hAnsi="宋体" w:cs="Helvetica"/>
          <w:color w:val="000000" w:themeColor="text1"/>
          <w:sz w:val="28"/>
          <w:szCs w:val="28"/>
          <w14:textFill>
            <w14:solidFill>
              <w14:schemeClr w14:val="tx1"/>
            </w14:solidFill>
          </w14:textFill>
        </w:rPr>
        <w:t>1、合同签订后 7 天内，采购人支付合同总价 45%的预付款项。全部货物验收合格后，采购 人支付合同总价 50%的款项，质量期满后支付合同总额的 5%。</w:t>
      </w:r>
    </w:p>
    <w:p>
      <w:pPr>
        <w:shd w:val="clear" w:color="auto" w:fill="FFFFFF"/>
        <w:spacing w:line="360" w:lineRule="auto"/>
        <w:ind w:firstLine="57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2、每次付款前，成交供应商须向采购人提供与付款金额等额的正规税务发票。</w:t>
      </w: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投标纪律要求</w:t>
      </w:r>
      <w:bookmarkEnd w:id="98"/>
      <w:bookmarkEnd w:id="101"/>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102" w:name="_Toc217446075"/>
      <w:r>
        <w:rPr>
          <w:rFonts w:hint="eastAsia" w:ascii="宋体" w:hAnsi="宋体"/>
          <w:b/>
          <w:bCs/>
          <w:color w:val="000000" w:themeColor="text1"/>
          <w:sz w:val="28"/>
          <w:szCs w:val="28"/>
          <w14:textFill>
            <w14:solidFill>
              <w14:schemeClr w14:val="tx1"/>
            </w14:solidFill>
          </w14:textFill>
        </w:rPr>
        <w:t>投标人不得具有的情形</w:t>
      </w:r>
      <w:bookmarkEnd w:id="102"/>
    </w:p>
    <w:p>
      <w:pPr>
        <w:spacing w:after="180" w:line="360" w:lineRule="auto"/>
        <w:ind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投标人参加投标不得有下列情形：</w:t>
      </w:r>
    </w:p>
    <w:p>
      <w:pPr>
        <w:numPr>
          <w:ilvl w:val="1"/>
          <w:numId w:val="27"/>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有下列情形之一的，视为投标人串通投标：</w:t>
      </w:r>
    </w:p>
    <w:p>
      <w:pPr>
        <w:tabs>
          <w:tab w:val="left" w:pos="1134"/>
        </w:tabs>
        <w:spacing w:line="360" w:lineRule="auto"/>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（一）不同投标人的投标文件由同一单位或者个人编制；</w:t>
      </w:r>
    </w:p>
    <w:p>
      <w:pPr>
        <w:tabs>
          <w:tab w:val="left" w:pos="1134"/>
        </w:tabs>
        <w:spacing w:line="360" w:lineRule="auto"/>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（二）不同投标人委托同一单位或者个人办理投标事宜；</w:t>
      </w:r>
    </w:p>
    <w:p>
      <w:pPr>
        <w:tabs>
          <w:tab w:val="left" w:pos="1134"/>
        </w:tabs>
        <w:spacing w:line="360" w:lineRule="auto"/>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（三）不同投标人的投标文件载明的项目管理成员或者联系人员为同一人；</w:t>
      </w:r>
    </w:p>
    <w:p>
      <w:pPr>
        <w:tabs>
          <w:tab w:val="left" w:pos="1134"/>
        </w:tabs>
        <w:spacing w:line="360" w:lineRule="auto"/>
        <w:ind w:firstLine="420" w:firstLineChars="1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（四）不同投标人的投标文件异常一致或者投标报价呈规律性差异；</w:t>
      </w:r>
    </w:p>
    <w:p>
      <w:pPr>
        <w:tabs>
          <w:tab w:val="left" w:pos="1134"/>
        </w:tabs>
        <w:spacing w:line="360" w:lineRule="auto"/>
        <w:ind w:firstLine="420" w:firstLineChars="1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（五）不同投标人的投标文件相互混装；</w:t>
      </w:r>
    </w:p>
    <w:p>
      <w:pPr>
        <w:tabs>
          <w:tab w:val="left" w:pos="1134"/>
        </w:tabs>
        <w:spacing w:line="360" w:lineRule="auto"/>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（六）不同投标人的投标保证金从同一单位或者个人的账户转出；</w:t>
      </w:r>
    </w:p>
    <w:p>
      <w:pPr>
        <w:numPr>
          <w:ilvl w:val="1"/>
          <w:numId w:val="27"/>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提供虚假材料谋取中标；</w:t>
      </w:r>
    </w:p>
    <w:p>
      <w:pPr>
        <w:numPr>
          <w:ilvl w:val="1"/>
          <w:numId w:val="27"/>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采取不正当手段诋毁、排挤其他投标人；</w:t>
      </w:r>
    </w:p>
    <w:p>
      <w:pPr>
        <w:numPr>
          <w:ilvl w:val="1"/>
          <w:numId w:val="27"/>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与采购人或</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、其他投标人恶意串通；</w:t>
      </w:r>
    </w:p>
    <w:p>
      <w:pPr>
        <w:numPr>
          <w:ilvl w:val="1"/>
          <w:numId w:val="27"/>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向采购人或</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、评标委员会成员行贿或者提供其他不正当利益；</w:t>
      </w:r>
    </w:p>
    <w:p>
      <w:pPr>
        <w:numPr>
          <w:ilvl w:val="1"/>
          <w:numId w:val="27"/>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在招标过程中与采购人或</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进行协商谈判；</w:t>
      </w:r>
    </w:p>
    <w:p>
      <w:pPr>
        <w:numPr>
          <w:ilvl w:val="1"/>
          <w:numId w:val="27"/>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中标后无正当理由拒不与采购人签订政府采购合同；</w:t>
      </w:r>
    </w:p>
    <w:p>
      <w:pPr>
        <w:numPr>
          <w:ilvl w:val="1"/>
          <w:numId w:val="27"/>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未按照采购文件确定的事项签订政府采购合同；</w:t>
      </w:r>
    </w:p>
    <w:p>
      <w:pPr>
        <w:numPr>
          <w:ilvl w:val="1"/>
          <w:numId w:val="27"/>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将政府采购合同转包或者违规分包；</w:t>
      </w:r>
    </w:p>
    <w:p>
      <w:pPr>
        <w:numPr>
          <w:ilvl w:val="1"/>
          <w:numId w:val="27"/>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提供假冒伪劣产品；</w:t>
      </w:r>
    </w:p>
    <w:p>
      <w:pPr>
        <w:numPr>
          <w:ilvl w:val="1"/>
          <w:numId w:val="27"/>
        </w:numPr>
        <w:tabs>
          <w:tab w:val="left" w:pos="1134"/>
          <w:tab w:val="left" w:pos="1418"/>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擅自变更、中止或者终止政府采购合同；</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十四、处于被行政部门禁止参与政府采购活动的期限内；</w:t>
      </w:r>
    </w:p>
    <w:p>
      <w:pPr>
        <w:tabs>
          <w:tab w:val="left" w:pos="1134"/>
        </w:tabs>
        <w:spacing w:line="360" w:lineRule="auto"/>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十五、拒绝有关部门的监督检查或者向监督检查部门提供虚假情况；</w:t>
      </w:r>
    </w:p>
    <w:p>
      <w:pPr>
        <w:spacing w:after="180"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十六、法律法规规定的其他情形。</w:t>
      </w:r>
    </w:p>
    <w:p>
      <w:pPr>
        <w:spacing w:after="180" w:line="360" w:lineRule="auto"/>
        <w:ind w:firstLine="568" w:firstLineChars="20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投标人有上述情形的，按照规定追究法律责任，具备一至十四条情形之一的，同时将认定投标人投标无效或不确定其为中标人，或者取消中标资格或认定中标无效。</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103" w:name="_Toc314574786"/>
      <w:r>
        <w:rPr>
          <w:rFonts w:hint="eastAsia" w:ascii="宋体" w:hAnsi="宋体"/>
          <w:b/>
          <w:bCs/>
          <w:color w:val="000000" w:themeColor="text1"/>
          <w:sz w:val="28"/>
          <w:szCs w:val="28"/>
          <w14:textFill>
            <w14:solidFill>
              <w14:schemeClr w14:val="tx1"/>
            </w14:solidFill>
          </w14:textFill>
        </w:rPr>
        <w:t>保密</w:t>
      </w:r>
      <w:bookmarkEnd w:id="103"/>
    </w:p>
    <w:p>
      <w:pPr>
        <w:numPr>
          <w:ilvl w:val="0"/>
          <w:numId w:val="28"/>
        </w:numPr>
        <w:tabs>
          <w:tab w:val="left" w:pos="0"/>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不得透露有关在系统中成功提交《采购文件获取登记表》的潜在投标人的任何情况。</w:t>
      </w:r>
    </w:p>
    <w:p>
      <w:pPr>
        <w:numPr>
          <w:ilvl w:val="0"/>
          <w:numId w:val="28"/>
        </w:numPr>
        <w:tabs>
          <w:tab w:val="left" w:pos="0"/>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有关投标文件的审查、澄清、评估和比较以及合同授予意向等情况都不得对外透露。</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回避</w:t>
      </w:r>
    </w:p>
    <w:p>
      <w:pPr>
        <w:shd w:val="clear" w:color="auto" w:fill="FFFFFF"/>
        <w:spacing w:line="360" w:lineRule="auto"/>
        <w:ind w:firstLine="560" w:firstLineChars="20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在政府采购活动中，采购人员</w:t>
      </w:r>
      <w:r>
        <w:rPr>
          <w:rFonts w:hint="eastAsia" w:cs="Helvetica"/>
          <w:color w:val="000000" w:themeColor="text1"/>
          <w:sz w:val="28"/>
          <w:szCs w:val="28"/>
          <w14:textFill>
            <w14:solidFill>
              <w14:schemeClr w14:val="tx1"/>
            </w14:solidFill>
          </w14:textFill>
        </w:rPr>
        <w:t>（如</w:t>
      </w:r>
      <w:r>
        <w:rPr>
          <w:rFonts w:hint="eastAsia"/>
          <w:color w:val="000000" w:themeColor="text1"/>
          <w:sz w:val="28"/>
          <w:szCs w:val="28"/>
          <w14:textFill>
            <w14:solidFill>
              <w14:schemeClr w14:val="tx1"/>
            </w14:solidFill>
          </w14:textFill>
        </w:rPr>
        <w:t>采购人内部负责采购项目的具体经办工作人员或直接分管采购项目的负责人、</w:t>
      </w:r>
      <w:r>
        <w:rPr>
          <w:rFonts w:hint="eastAsia" w:cs="Arial"/>
          <w:color w:val="000000" w:themeColor="text1"/>
          <w:sz w:val="28"/>
          <w:szCs w:val="28"/>
          <w14:textFill>
            <w14:solidFill>
              <w14:schemeClr w14:val="tx1"/>
            </w14:solidFill>
          </w14:textFill>
        </w:rPr>
        <w:t>成都市青羊区政府采购服务中心</w:t>
      </w:r>
      <w:r>
        <w:rPr>
          <w:rFonts w:hint="eastAsia"/>
          <w:color w:val="000000" w:themeColor="text1"/>
          <w:sz w:val="28"/>
          <w:szCs w:val="28"/>
          <w14:textFill>
            <w14:solidFill>
              <w14:schemeClr w14:val="tx1"/>
            </w14:solidFill>
          </w14:textFill>
        </w:rPr>
        <w:t>负责采购项目的具体经办工作人员或直接分管采购活动的负责人等</w:t>
      </w:r>
      <w:r>
        <w:rPr>
          <w:rFonts w:hint="eastAsia" w:cs="Helvetica"/>
          <w:color w:val="000000" w:themeColor="text1"/>
          <w:sz w:val="28"/>
          <w:szCs w:val="28"/>
          <w14:textFill>
            <w14:solidFill>
              <w14:schemeClr w14:val="tx1"/>
            </w14:solidFill>
          </w14:textFill>
        </w:rPr>
        <w:t>）</w:t>
      </w:r>
      <w:r>
        <w:rPr>
          <w:rFonts w:hint="eastAsia" w:ascii="宋体" w:hAnsi="宋体" w:cs="Helvetica"/>
          <w:color w:val="000000" w:themeColor="text1"/>
          <w:sz w:val="28"/>
          <w:szCs w:val="28"/>
          <w14:textFill>
            <w14:solidFill>
              <w14:schemeClr w14:val="tx1"/>
            </w14:solidFill>
          </w14:textFill>
        </w:rPr>
        <w:t>及相关人员与</w:t>
      </w:r>
      <w:r>
        <w:rPr>
          <w:rFonts w:hint="eastAsia" w:ascii="宋体" w:hAnsi="宋体"/>
          <w:color w:val="000000" w:themeColor="text1"/>
          <w:sz w:val="28"/>
          <w:szCs w:val="28"/>
          <w14:textFill>
            <w14:solidFill>
              <w14:schemeClr w14:val="tx1"/>
            </w14:solidFill>
          </w14:textFill>
        </w:rPr>
        <w:t>供应商</w:t>
      </w:r>
      <w:r>
        <w:rPr>
          <w:rFonts w:hint="eastAsia" w:ascii="宋体" w:hAnsi="宋体" w:cs="Helvetica"/>
          <w:color w:val="000000" w:themeColor="text1"/>
          <w:sz w:val="28"/>
          <w:szCs w:val="28"/>
          <w14:textFill>
            <w14:solidFill>
              <w14:schemeClr w14:val="tx1"/>
            </w14:solidFill>
          </w14:textFill>
        </w:rPr>
        <w:t>有下列利害关系之一的，应当回避：</w:t>
      </w:r>
    </w:p>
    <w:p>
      <w:pPr>
        <w:shd w:val="clear" w:color="auto" w:fill="FFFFFF"/>
        <w:spacing w:line="360" w:lineRule="auto"/>
        <w:ind w:left="708" w:hanging="708" w:hangingChars="253"/>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　　（一）参加采购活动前3年内与</w:t>
      </w:r>
      <w:r>
        <w:rPr>
          <w:rFonts w:hint="eastAsia" w:ascii="宋体" w:hAnsi="宋体"/>
          <w:color w:val="000000" w:themeColor="text1"/>
          <w:sz w:val="28"/>
          <w:szCs w:val="28"/>
          <w14:textFill>
            <w14:solidFill>
              <w14:schemeClr w14:val="tx1"/>
            </w14:solidFill>
          </w14:textFill>
        </w:rPr>
        <w:t>供应商</w:t>
      </w:r>
      <w:r>
        <w:rPr>
          <w:rFonts w:hint="eastAsia" w:ascii="宋体" w:hAnsi="宋体" w:cs="Helvetica"/>
          <w:color w:val="000000" w:themeColor="text1"/>
          <w:sz w:val="28"/>
          <w:szCs w:val="28"/>
          <w14:textFill>
            <w14:solidFill>
              <w14:schemeClr w14:val="tx1"/>
            </w14:solidFill>
          </w14:textFill>
        </w:rPr>
        <w:t>存在劳动关系；</w:t>
      </w:r>
    </w:p>
    <w:p>
      <w:pPr>
        <w:shd w:val="clear" w:color="auto" w:fill="FFFFFF"/>
        <w:spacing w:line="360" w:lineRule="auto"/>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　　（二）参加采购活动前3年内担任</w:t>
      </w:r>
      <w:r>
        <w:rPr>
          <w:rFonts w:hint="eastAsia" w:ascii="宋体" w:hAnsi="宋体"/>
          <w:color w:val="000000" w:themeColor="text1"/>
          <w:sz w:val="28"/>
          <w:szCs w:val="28"/>
          <w14:textFill>
            <w14:solidFill>
              <w14:schemeClr w14:val="tx1"/>
            </w14:solidFill>
          </w14:textFill>
        </w:rPr>
        <w:t>供应商</w:t>
      </w:r>
      <w:r>
        <w:rPr>
          <w:rFonts w:hint="eastAsia" w:ascii="宋体" w:hAnsi="宋体" w:cs="Helvetica"/>
          <w:color w:val="000000" w:themeColor="text1"/>
          <w:sz w:val="28"/>
          <w:szCs w:val="28"/>
          <w14:textFill>
            <w14:solidFill>
              <w14:schemeClr w14:val="tx1"/>
            </w14:solidFill>
          </w14:textFill>
        </w:rPr>
        <w:t>的董事、监事；</w:t>
      </w:r>
    </w:p>
    <w:p>
      <w:pPr>
        <w:shd w:val="clear" w:color="auto" w:fill="FFFFFF"/>
        <w:spacing w:line="360" w:lineRule="auto"/>
        <w:ind w:firstLine="560" w:firstLineChars="20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（三）参加采购活动前3年内是</w:t>
      </w:r>
      <w:r>
        <w:rPr>
          <w:rFonts w:hint="eastAsia" w:ascii="宋体" w:hAnsi="宋体"/>
          <w:color w:val="000000" w:themeColor="text1"/>
          <w:sz w:val="28"/>
          <w:szCs w:val="28"/>
          <w14:textFill>
            <w14:solidFill>
              <w14:schemeClr w14:val="tx1"/>
            </w14:solidFill>
          </w14:textFill>
        </w:rPr>
        <w:t>供应商</w:t>
      </w:r>
      <w:r>
        <w:rPr>
          <w:rFonts w:hint="eastAsia" w:ascii="宋体" w:hAnsi="宋体" w:cs="Helvetica"/>
          <w:color w:val="000000" w:themeColor="text1"/>
          <w:sz w:val="28"/>
          <w:szCs w:val="28"/>
          <w14:textFill>
            <w14:solidFill>
              <w14:schemeClr w14:val="tx1"/>
            </w14:solidFill>
          </w14:textFill>
        </w:rPr>
        <w:t>的控股股东或者实际控制人；</w:t>
      </w:r>
    </w:p>
    <w:p>
      <w:pPr>
        <w:shd w:val="clear" w:color="auto" w:fill="FFFFFF"/>
        <w:spacing w:line="360" w:lineRule="auto"/>
        <w:ind w:firstLine="57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（四）与</w:t>
      </w:r>
      <w:r>
        <w:rPr>
          <w:rFonts w:hint="eastAsia" w:ascii="宋体" w:hAnsi="宋体"/>
          <w:color w:val="000000" w:themeColor="text1"/>
          <w:sz w:val="28"/>
          <w:szCs w:val="28"/>
          <w14:textFill>
            <w14:solidFill>
              <w14:schemeClr w14:val="tx1"/>
            </w14:solidFill>
          </w14:textFill>
        </w:rPr>
        <w:t>供应商</w:t>
      </w:r>
      <w:r>
        <w:rPr>
          <w:rFonts w:hint="eastAsia" w:ascii="宋体" w:hAnsi="宋体" w:cs="Helvetica"/>
          <w:color w:val="000000" w:themeColor="text1"/>
          <w:sz w:val="28"/>
          <w:szCs w:val="28"/>
          <w14:textFill>
            <w14:solidFill>
              <w14:schemeClr w14:val="tx1"/>
            </w14:solidFill>
          </w14:textFill>
        </w:rPr>
        <w:t>的法定代表人或者负责人有夫妻、直系血亲、三代以内旁系血亲或者近姻亲关系；</w:t>
      </w:r>
    </w:p>
    <w:p>
      <w:pPr>
        <w:shd w:val="clear" w:color="auto" w:fill="FFFFFF"/>
        <w:spacing w:line="360" w:lineRule="auto"/>
        <w:ind w:firstLine="57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（五）与</w:t>
      </w:r>
      <w:r>
        <w:rPr>
          <w:rFonts w:hint="eastAsia" w:ascii="宋体" w:hAnsi="宋体"/>
          <w:color w:val="000000" w:themeColor="text1"/>
          <w:sz w:val="28"/>
          <w:szCs w:val="28"/>
          <w14:textFill>
            <w14:solidFill>
              <w14:schemeClr w14:val="tx1"/>
            </w14:solidFill>
          </w14:textFill>
        </w:rPr>
        <w:t>供应商</w:t>
      </w:r>
      <w:r>
        <w:rPr>
          <w:rFonts w:hint="eastAsia" w:ascii="宋体" w:hAnsi="宋体" w:cs="Helvetica"/>
          <w:color w:val="000000" w:themeColor="text1"/>
          <w:sz w:val="28"/>
          <w:szCs w:val="28"/>
          <w14:textFill>
            <w14:solidFill>
              <w14:schemeClr w14:val="tx1"/>
            </w14:solidFill>
          </w14:textFill>
        </w:rPr>
        <w:t>有其他可能影响政府采购活动公平、公正进行的关系。</w:t>
      </w:r>
    </w:p>
    <w:p>
      <w:pPr>
        <w:shd w:val="clear" w:color="auto" w:fill="FFFFFF"/>
        <w:spacing w:line="360" w:lineRule="auto"/>
        <w:ind w:firstLine="570"/>
        <w:rPr>
          <w:rFonts w:ascii="宋体" w:hAnsi="宋体" w:cs="Helvetica"/>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w:t>
      </w:r>
      <w:r>
        <w:rPr>
          <w:rFonts w:hint="eastAsia" w:ascii="宋体" w:hAnsi="宋体" w:cs="Helvetica"/>
          <w:color w:val="000000" w:themeColor="text1"/>
          <w:sz w:val="28"/>
          <w:szCs w:val="28"/>
          <w14:textFill>
            <w14:solidFill>
              <w14:schemeClr w14:val="tx1"/>
            </w14:solidFill>
          </w14:textFill>
        </w:rPr>
        <w:t>认为采购人员及相关人员与其他</w:t>
      </w:r>
      <w:r>
        <w:rPr>
          <w:rFonts w:hint="eastAsia" w:ascii="宋体" w:hAnsi="宋体"/>
          <w:color w:val="000000" w:themeColor="text1"/>
          <w:sz w:val="28"/>
          <w:szCs w:val="28"/>
          <w14:textFill>
            <w14:solidFill>
              <w14:schemeClr w14:val="tx1"/>
            </w14:solidFill>
          </w14:textFill>
        </w:rPr>
        <w:t>供应商</w:t>
      </w:r>
      <w:r>
        <w:rPr>
          <w:rFonts w:hint="eastAsia" w:ascii="宋体" w:hAnsi="宋体" w:cs="Helvetica"/>
          <w:color w:val="000000" w:themeColor="text1"/>
          <w:sz w:val="28"/>
          <w:szCs w:val="28"/>
          <w14:textFill>
            <w14:solidFill>
              <w14:schemeClr w14:val="tx1"/>
            </w14:solidFill>
          </w14:textFill>
        </w:rPr>
        <w:t>有利害关系的，可以向采购人或者</w:t>
      </w:r>
      <w:r>
        <w:rPr>
          <w:rFonts w:hint="eastAsia" w:ascii="宋体" w:hAnsi="宋体" w:cs="Arial"/>
          <w:color w:val="000000" w:themeColor="text1"/>
          <w:sz w:val="28"/>
          <w:szCs w:val="28"/>
          <w14:textFill>
            <w14:solidFill>
              <w14:schemeClr w14:val="tx1"/>
            </w14:solidFill>
          </w14:textFill>
        </w:rPr>
        <w:t>采购代理机构</w:t>
      </w:r>
      <w:r>
        <w:rPr>
          <w:rFonts w:hint="eastAsia" w:ascii="宋体" w:hAnsi="宋体" w:cs="Helvetica"/>
          <w:color w:val="000000" w:themeColor="text1"/>
          <w:sz w:val="28"/>
          <w:szCs w:val="28"/>
          <w14:textFill>
            <w14:solidFill>
              <w14:schemeClr w14:val="tx1"/>
            </w14:solidFill>
          </w14:textFill>
        </w:rPr>
        <w:t>书面提出回避申请，并说明理由。采购人或者</w:t>
      </w:r>
      <w:r>
        <w:rPr>
          <w:rFonts w:hint="eastAsia" w:ascii="宋体" w:hAnsi="宋体" w:cs="Arial"/>
          <w:color w:val="000000" w:themeColor="text1"/>
          <w:sz w:val="28"/>
          <w:szCs w:val="28"/>
          <w14:textFill>
            <w14:solidFill>
              <w14:schemeClr w14:val="tx1"/>
            </w14:solidFill>
          </w14:textFill>
        </w:rPr>
        <w:t>采购代理机构</w:t>
      </w:r>
      <w:r>
        <w:rPr>
          <w:rFonts w:hint="eastAsia" w:ascii="宋体" w:hAnsi="宋体" w:cs="Helvetica"/>
          <w:color w:val="000000" w:themeColor="text1"/>
          <w:sz w:val="28"/>
          <w:szCs w:val="28"/>
          <w14:textFill>
            <w14:solidFill>
              <w14:schemeClr w14:val="tx1"/>
            </w14:solidFill>
          </w14:textFill>
        </w:rPr>
        <w:t>应当及时询问被申请回避人员，有利害关系的被申请回避人员应当回避。</w:t>
      </w: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104" w:name="_Toc217446078"/>
      <w:bookmarkStart w:id="105" w:name="_Toc76541353"/>
      <w:r>
        <w:rPr>
          <w:rFonts w:hint="eastAsia" w:ascii="宋体" w:hAnsi="宋体"/>
          <w:b/>
          <w:bCs/>
          <w:color w:val="000000" w:themeColor="text1"/>
          <w:sz w:val="28"/>
          <w:szCs w:val="28"/>
          <w14:textFill>
            <w14:solidFill>
              <w14:schemeClr w14:val="tx1"/>
            </w14:solidFill>
          </w14:textFill>
        </w:rPr>
        <w:t>询问、质疑和投诉</w:t>
      </w:r>
      <w:bookmarkEnd w:id="104"/>
      <w:bookmarkEnd w:id="105"/>
      <w:bookmarkStart w:id="106" w:name="_Toc217446079"/>
    </w:p>
    <w:bookmarkEnd w:id="99"/>
    <w:bookmarkEnd w:id="100"/>
    <w:bookmarkEnd w:id="106"/>
    <w:p>
      <w:pPr>
        <w:numPr>
          <w:ilvl w:val="0"/>
          <w:numId w:val="29"/>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询问、质疑、投诉的接收和处理严格按照《中华人民共和国政府采购法》、《中华人民共和国政府采购法实施条例》《中华人民共和国财政部货物和服务招投标管理办法》（财政部第</w:t>
      </w:r>
      <w:r>
        <w:rPr>
          <w:color w:val="000000" w:themeColor="text1"/>
          <w:sz w:val="28"/>
          <w:szCs w:val="28"/>
          <w14:textFill>
            <w14:solidFill>
              <w14:schemeClr w14:val="tx1"/>
            </w14:solidFill>
          </w14:textFill>
        </w:rPr>
        <w:t>87</w:t>
      </w:r>
      <w:r>
        <w:rPr>
          <w:rFonts w:hint="eastAsia"/>
          <w:color w:val="000000" w:themeColor="text1"/>
          <w:sz w:val="28"/>
          <w:szCs w:val="28"/>
          <w14:textFill>
            <w14:solidFill>
              <w14:schemeClr w14:val="tx1"/>
            </w14:solidFill>
          </w14:textFill>
        </w:rPr>
        <w:t>号令）和《政府采购质疑和投诉办法》（财政部</w:t>
      </w:r>
      <w:r>
        <w:rPr>
          <w:color w:val="000000" w:themeColor="text1"/>
          <w:sz w:val="28"/>
          <w:szCs w:val="28"/>
          <w14:textFill>
            <w14:solidFill>
              <w14:schemeClr w14:val="tx1"/>
            </w14:solidFill>
          </w14:textFill>
        </w:rPr>
        <w:t>94</w:t>
      </w:r>
      <w:r>
        <w:rPr>
          <w:rFonts w:hint="eastAsia"/>
          <w:color w:val="000000" w:themeColor="text1"/>
          <w:sz w:val="28"/>
          <w:szCs w:val="28"/>
          <w14:textFill>
            <w14:solidFill>
              <w14:schemeClr w14:val="tx1"/>
            </w14:solidFill>
          </w14:textFill>
        </w:rPr>
        <w:t>号令）的规定办理。</w:t>
      </w:r>
    </w:p>
    <w:p>
      <w:pPr>
        <w:numPr>
          <w:ilvl w:val="0"/>
          <w:numId w:val="29"/>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询问、质疑的对象</w:t>
      </w:r>
    </w:p>
    <w:p>
      <w:pPr>
        <w:numPr>
          <w:ilvl w:val="1"/>
          <w:numId w:val="30"/>
        </w:numPr>
        <w:tabs>
          <w:tab w:val="left" w:pos="0"/>
          <w:tab w:val="left" w:pos="1276"/>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对招标文件中</w:t>
      </w: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参加本次政府采购活动应当具备的条件，招标项目技术、服务、商务及其他要求，评标细则及标准，和中标结果中关于资格审查提出询问或质疑的，应通过</w:t>
      </w:r>
      <w:r>
        <w:rPr>
          <w:rFonts w:hint="eastAsia"/>
          <w:color w:val="000000" w:themeColor="text1"/>
          <w:sz w:val="28"/>
          <w:szCs w:val="28"/>
          <w14:textFill>
            <w14:solidFill>
              <w14:schemeClr w14:val="tx1"/>
            </w14:solidFill>
          </w14:textFill>
        </w:rPr>
        <w:t>“政府采购云平台”</w:t>
      </w:r>
      <w:r>
        <w:rPr>
          <w:rFonts w:hint="eastAsia" w:ascii="宋体" w:hAnsi="宋体"/>
          <w:color w:val="000000" w:themeColor="text1"/>
          <w:sz w:val="28"/>
          <w:szCs w:val="28"/>
          <w14:textFill>
            <w14:solidFill>
              <w14:schemeClr w14:val="tx1"/>
            </w14:solidFill>
          </w14:textFill>
        </w:rPr>
        <w:t>向采购人提出；</w:t>
      </w:r>
    </w:p>
    <w:p>
      <w:pPr>
        <w:numPr>
          <w:ilvl w:val="1"/>
          <w:numId w:val="30"/>
        </w:numPr>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供应商对除上述招标文件中的其他内容，采购过程及中标结果（除资格审查）提出询问或质疑的，应通过“政府采购云平台”向成都市青羊区政府采购服务中心提出</w:t>
      </w:r>
      <w:r>
        <w:rPr>
          <w:rFonts w:hint="eastAsia" w:ascii="宋体" w:hAnsi="宋体"/>
          <w:color w:val="000000" w:themeColor="text1"/>
          <w:sz w:val="28"/>
          <w:szCs w:val="28"/>
          <w14:textFill>
            <w14:solidFill>
              <w14:schemeClr w14:val="tx1"/>
            </w14:solidFill>
          </w14:textFill>
        </w:rPr>
        <w:t>。</w:t>
      </w:r>
    </w:p>
    <w:p>
      <w:pPr>
        <w:numPr>
          <w:ilvl w:val="0"/>
          <w:numId w:val="29"/>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供应商提出的询问，应当明确询问事项，如以书面形式提出的，应由供应商签字并加盖公章。</w:t>
      </w:r>
    </w:p>
    <w:p>
      <w:pPr>
        <w:numPr>
          <w:ilvl w:val="0"/>
          <w:numId w:val="29"/>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供应商应在法定质疑期内一次性提出针对同一采购程序环节的质疑。</w:t>
      </w:r>
    </w:p>
    <w:p>
      <w:pPr>
        <w:numPr>
          <w:ilvl w:val="0"/>
          <w:numId w:val="29"/>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供应商提出质疑时应当准备的资料</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（一）质疑书正本1份；</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（二）法定代表人授权委托书1份（委托代理人办理质疑事宜的需提供）；</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（三）营业执照或法人证书复印件1份（加盖公章）；</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（四）法定代表人身份证复印件1份；</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（五）委托代理人身份证复印件1份（委托代理人办理质疑事宜的需提供）；</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（六）针对质疑事项必要的证明材料。</w:t>
      </w:r>
    </w:p>
    <w:p>
      <w:pPr>
        <w:numPr>
          <w:ilvl w:val="0"/>
          <w:numId w:val="29"/>
        </w:numPr>
        <w:tabs>
          <w:tab w:val="left" w:pos="1134"/>
        </w:tabs>
        <w:spacing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供应商对采购人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14:textFill>
            <w14:solidFill>
              <w14:schemeClr w14:val="tx1"/>
            </w14:solidFill>
          </w14:textFill>
        </w:rPr>
        <w:t>成都市青羊区政府采购服务中心的质疑答复不满意，或者采购人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14:textFill>
            <w14:solidFill>
              <w14:schemeClr w14:val="tx1"/>
            </w14:solidFill>
          </w14:textFill>
        </w:rPr>
        <w:t>成都市青羊区政府采购服务中心未在规定期限内作出答复的，供应商可以在答复期满后15个工作日内向同级财政部门提起投诉。</w:t>
      </w:r>
    </w:p>
    <w:p>
      <w:pPr>
        <w:keepNext/>
        <w:keepLines/>
        <w:numPr>
          <w:ilvl w:val="1"/>
          <w:numId w:val="1"/>
        </w:numPr>
        <w:spacing w:before="260" w:line="360" w:lineRule="auto"/>
        <w:jc w:val="left"/>
        <w:outlineLvl w:val="1"/>
        <w:rPr>
          <w:rFonts w:ascii="宋体" w:hAnsi="宋体"/>
          <w:b/>
          <w:bCs/>
          <w:color w:val="000000" w:themeColor="text1"/>
          <w:sz w:val="28"/>
          <w:szCs w:val="28"/>
          <w14:textFill>
            <w14:solidFill>
              <w14:schemeClr w14:val="tx1"/>
            </w14:solidFill>
          </w14:textFill>
        </w:rPr>
      </w:pPr>
      <w:bookmarkStart w:id="107" w:name="_Toc76541354"/>
      <w:r>
        <w:rPr>
          <w:rFonts w:hint="eastAsia" w:ascii="宋体" w:hAnsi="宋体"/>
          <w:b/>
          <w:bCs/>
          <w:color w:val="000000" w:themeColor="text1"/>
          <w:sz w:val="28"/>
          <w:szCs w:val="28"/>
          <w14:textFill>
            <w14:solidFill>
              <w14:schemeClr w14:val="tx1"/>
            </w14:solidFill>
          </w14:textFill>
        </w:rPr>
        <w:t>中小企业政府采购信用融资</w:t>
      </w:r>
      <w:bookmarkEnd w:id="107"/>
    </w:p>
    <w:p>
      <w:pPr>
        <w:numPr>
          <w:ilvl w:val="0"/>
          <w:numId w:val="31"/>
        </w:numPr>
        <w:tabs>
          <w:tab w:val="left" w:pos="1134"/>
        </w:tabs>
        <w:spacing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参与本次招标活动中标的中小企业投标人无需提供财产抵押或第三方担保，凭借政府采购合同可向融资机构申请融资。</w:t>
      </w:r>
    </w:p>
    <w:p>
      <w:pPr>
        <w:numPr>
          <w:ilvl w:val="0"/>
          <w:numId w:val="31"/>
        </w:numPr>
        <w:tabs>
          <w:tab w:val="left" w:pos="1134"/>
        </w:tabs>
        <w:spacing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pPr>
        <w:tabs>
          <w:tab w:val="left" w:pos="1276"/>
        </w:tabs>
        <w:spacing w:line="360" w:lineRule="auto"/>
        <w:rPr>
          <w:rFonts w:ascii="宋体" w:hAnsi="宋体"/>
          <w:color w:val="000000" w:themeColor="text1"/>
          <w:sz w:val="28"/>
          <w:szCs w:val="28"/>
          <w14:textFill>
            <w14:solidFill>
              <w14:schemeClr w14:val="tx1"/>
            </w14:solidFill>
          </w14:textFill>
        </w:rPr>
      </w:pPr>
    </w:p>
    <w:p>
      <w:pPr>
        <w:tabs>
          <w:tab w:val="left" w:pos="1276"/>
        </w:tabs>
        <w:spacing w:line="360" w:lineRule="auto"/>
        <w:rPr>
          <w:rFonts w:ascii="宋体" w:hAnsi="宋体"/>
          <w:color w:val="000000" w:themeColor="text1"/>
          <w:sz w:val="28"/>
          <w:szCs w:val="28"/>
          <w14:textFill>
            <w14:solidFill>
              <w14:schemeClr w14:val="tx1"/>
            </w14:solidFill>
          </w14:textFill>
        </w:rPr>
      </w:pPr>
    </w:p>
    <w:p>
      <w:pPr>
        <w:tabs>
          <w:tab w:val="left" w:pos="1276"/>
        </w:tabs>
        <w:spacing w:line="360" w:lineRule="auto"/>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
        <w:ind w:left="0" w:leftChars="0" w:firstLine="0" w:firstLineChars="0"/>
        <w:rPr>
          <w:rFonts w:ascii="宋体" w:hAnsi="宋体"/>
          <w:color w:val="000000" w:themeColor="text1"/>
          <w:sz w:val="28"/>
          <w:szCs w:val="28"/>
          <w14:textFill>
            <w14:solidFill>
              <w14:schemeClr w14:val="tx1"/>
            </w14:solidFill>
          </w14:textFill>
        </w:rPr>
      </w:pPr>
    </w:p>
    <w:p>
      <w:pPr>
        <w:keepNext/>
        <w:keepLines/>
        <w:numPr>
          <w:ilvl w:val="0"/>
          <w:numId w:val="1"/>
        </w:numPr>
        <w:spacing w:before="340" w:after="330" w:line="400" w:lineRule="exact"/>
        <w:jc w:val="center"/>
        <w:outlineLvl w:val="0"/>
        <w:rPr>
          <w:rFonts w:ascii="宋体" w:hAnsi="宋体"/>
          <w:b/>
          <w:bCs/>
          <w:color w:val="000000" w:themeColor="text1"/>
          <w:spacing w:val="-20"/>
          <w:kern w:val="44"/>
          <w:sz w:val="32"/>
          <w:szCs w:val="32"/>
          <w14:textFill>
            <w14:solidFill>
              <w14:schemeClr w14:val="tx1"/>
            </w14:solidFill>
          </w14:textFill>
        </w:rPr>
      </w:pPr>
      <w:bookmarkStart w:id="108" w:name="_Toc316292049"/>
      <w:bookmarkEnd w:id="108"/>
      <w:bookmarkStart w:id="109" w:name="_Toc316292052"/>
      <w:bookmarkEnd w:id="109"/>
      <w:bookmarkStart w:id="110" w:name="_Toc316292051"/>
      <w:bookmarkEnd w:id="110"/>
      <w:bookmarkStart w:id="111" w:name="_Toc316292050"/>
      <w:bookmarkEnd w:id="111"/>
      <w:bookmarkStart w:id="112" w:name="_Toc315871050"/>
      <w:bookmarkEnd w:id="112"/>
      <w:bookmarkStart w:id="113" w:name="_Toc315871047"/>
      <w:bookmarkEnd w:id="113"/>
      <w:bookmarkStart w:id="114" w:name="_Toc315871045"/>
      <w:bookmarkEnd w:id="114"/>
      <w:bookmarkStart w:id="115" w:name="_Toc315871048"/>
      <w:bookmarkEnd w:id="115"/>
      <w:bookmarkStart w:id="116" w:name="_Toc315871046"/>
      <w:bookmarkEnd w:id="116"/>
      <w:bookmarkStart w:id="117" w:name="_Toc316292048"/>
      <w:bookmarkEnd w:id="117"/>
      <w:bookmarkStart w:id="118" w:name="_Toc315871049"/>
      <w:bookmarkEnd w:id="118"/>
      <w:bookmarkStart w:id="119" w:name="_Toc76541355"/>
      <w:r>
        <w:rPr>
          <w:rFonts w:hint="eastAsia" w:ascii="宋体" w:hAnsi="宋体"/>
          <w:b/>
          <w:bCs/>
          <w:color w:val="000000" w:themeColor="text1"/>
          <w:spacing w:val="-20"/>
          <w:kern w:val="44"/>
          <w:sz w:val="32"/>
          <w:szCs w:val="32"/>
          <w14:textFill>
            <w14:solidFill>
              <w14:schemeClr w14:val="tx1"/>
            </w14:solidFill>
          </w14:textFill>
        </w:rPr>
        <w:t>投标文件格式</w:t>
      </w:r>
      <w:bookmarkEnd w:id="119"/>
    </w:p>
    <w:p>
      <w:pPr>
        <w:keepNext/>
        <w:keepLines/>
        <w:numPr>
          <w:ilvl w:val="1"/>
          <w:numId w:val="1"/>
        </w:numPr>
        <w:spacing w:before="260" w:after="260" w:line="360" w:lineRule="auto"/>
        <w:jc w:val="left"/>
        <w:outlineLvl w:val="1"/>
        <w:rPr>
          <w:rFonts w:ascii="宋体" w:hAnsi="宋体"/>
          <w:b/>
          <w:bCs/>
          <w:color w:val="000000" w:themeColor="text1"/>
          <w:sz w:val="28"/>
          <w:szCs w:val="28"/>
          <w14:textFill>
            <w14:solidFill>
              <w14:schemeClr w14:val="tx1"/>
            </w14:solidFill>
          </w14:textFill>
        </w:rPr>
      </w:pPr>
      <w:bookmarkStart w:id="120" w:name="_Toc76541356"/>
      <w:r>
        <w:rPr>
          <w:rFonts w:hint="eastAsia" w:ascii="宋体" w:hAnsi="宋体"/>
          <w:b/>
          <w:bCs/>
          <w:color w:val="000000" w:themeColor="text1"/>
          <w:sz w:val="28"/>
          <w:szCs w:val="28"/>
          <w14:textFill>
            <w14:solidFill>
              <w14:schemeClr w14:val="tx1"/>
            </w14:solidFill>
          </w14:textFill>
        </w:rPr>
        <w:t>投标文件封面格式</w:t>
      </w:r>
      <w:bookmarkEnd w:id="120"/>
    </w:p>
    <w:p>
      <w:pPr>
        <w:spacing w:line="360" w:lineRule="auto"/>
        <w:rPr>
          <w:rFonts w:ascii="宋体" w:hAnsi="宋体"/>
          <w:bCs/>
          <w:color w:val="000000" w:themeColor="text1"/>
          <w:szCs w:val="21"/>
          <w14:textFill>
            <w14:solidFill>
              <w14:schemeClr w14:val="tx1"/>
            </w14:solidFill>
          </w14:textFill>
        </w:rPr>
      </w:pPr>
    </w:p>
    <w:p>
      <w:pPr>
        <w:spacing w:line="360" w:lineRule="auto"/>
        <w:rPr>
          <w:rFonts w:ascii="宋体" w:hAnsi="宋体"/>
          <w:bCs/>
          <w:color w:val="000000" w:themeColor="text1"/>
          <w:szCs w:val="21"/>
          <w14:textFill>
            <w14:solidFill>
              <w14:schemeClr w14:val="tx1"/>
            </w14:solidFill>
          </w14:textFill>
        </w:rPr>
      </w:pPr>
    </w:p>
    <w:p>
      <w:pPr>
        <w:spacing w:line="360" w:lineRule="auto"/>
        <w:jc w:val="right"/>
        <w:rPr>
          <w:rFonts w:ascii="宋体" w:hAnsi="宋体"/>
          <w:color w:val="000000" w:themeColor="text1"/>
          <w14:textFill>
            <w14:solidFill>
              <w14:schemeClr w14:val="tx1"/>
            </w14:solidFill>
          </w14:textFill>
        </w:rPr>
      </w:pPr>
    </w:p>
    <w:p>
      <w:pPr>
        <w:spacing w:line="360" w:lineRule="auto"/>
        <w:jc w:val="center"/>
        <w:rPr>
          <w:rFonts w:ascii="宋体" w:hAnsi="宋体"/>
          <w:color w:val="000000" w:themeColor="text1"/>
          <w:spacing w:val="78"/>
          <w:sz w:val="96"/>
          <w:szCs w:val="120"/>
          <w14:textFill>
            <w14:solidFill>
              <w14:schemeClr w14:val="tx1"/>
            </w14:solidFill>
          </w14:textFill>
        </w:rPr>
      </w:pPr>
      <w:r>
        <w:rPr>
          <w:rFonts w:hint="eastAsia" w:ascii="宋体" w:hAnsi="宋体"/>
          <w:color w:val="000000" w:themeColor="text1"/>
          <w:spacing w:val="78"/>
          <w:sz w:val="96"/>
          <w:szCs w:val="120"/>
          <w14:textFill>
            <w14:solidFill>
              <w14:schemeClr w14:val="tx1"/>
            </w14:solidFill>
          </w14:textFill>
        </w:rPr>
        <w:t>投标文件</w:t>
      </w:r>
    </w:p>
    <w:p>
      <w:pPr>
        <w:spacing w:line="360" w:lineRule="auto"/>
        <w:jc w:val="center"/>
        <w:rPr>
          <w:rFonts w:ascii="宋体" w:hAnsi="宋体"/>
          <w:bCs/>
          <w:color w:val="000000" w:themeColor="text1"/>
          <w:sz w:val="36"/>
          <w14:textFill>
            <w14:solidFill>
              <w14:schemeClr w14:val="tx1"/>
            </w14:solidFill>
          </w14:textFill>
        </w:rPr>
      </w:pPr>
    </w:p>
    <w:p>
      <w:pPr>
        <w:spacing w:line="360" w:lineRule="auto"/>
        <w:jc w:val="center"/>
        <w:rPr>
          <w:rFonts w:ascii="宋体" w:hAnsi="宋体"/>
          <w:bCs/>
          <w:color w:val="000000" w:themeColor="text1"/>
          <w:sz w:val="36"/>
          <w14:textFill>
            <w14:solidFill>
              <w14:schemeClr w14:val="tx1"/>
            </w14:solidFill>
          </w14:textFill>
        </w:rPr>
      </w:pPr>
    </w:p>
    <w:p>
      <w:pPr>
        <w:spacing w:line="360" w:lineRule="auto"/>
        <w:ind w:left="1751" w:hanging="1751" w:hangingChars="545"/>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项目名称：中国共产党成都市青羊区委员会党校窗帘采购项目</w:t>
      </w:r>
    </w:p>
    <w:p>
      <w:pPr>
        <w:spacing w:line="360" w:lineRule="auto"/>
        <w:rPr>
          <w:rFonts w:ascii="宋体" w:hAnsi="宋体"/>
          <w:b/>
          <w:color w:val="000000" w:themeColor="text1"/>
          <w:sz w:val="32"/>
          <w:szCs w:val="32"/>
          <w:u w:val="single"/>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项目编号：青羊政采（2021）A0024</w:t>
      </w:r>
    </w:p>
    <w:p>
      <w:pPr>
        <w:spacing w:line="360" w:lineRule="auto"/>
        <w:rPr>
          <w:rFonts w:ascii="宋体" w:hAnsi="宋体"/>
          <w:b/>
          <w:bCs/>
          <w:color w:val="000000" w:themeColor="text1"/>
          <w:sz w:val="32"/>
          <w:szCs w:val="32"/>
          <w14:textFill>
            <w14:solidFill>
              <w14:schemeClr w14:val="tx1"/>
            </w14:solidFill>
          </w14:textFill>
        </w:rPr>
      </w:pPr>
    </w:p>
    <w:p>
      <w:pPr>
        <w:spacing w:line="360" w:lineRule="auto"/>
        <w:rPr>
          <w:rFonts w:ascii="宋体" w:hAnsi="宋体"/>
          <w:b/>
          <w:bCs/>
          <w:color w:val="000000" w:themeColor="text1"/>
          <w:sz w:val="32"/>
          <w:szCs w:val="32"/>
          <w14:textFill>
            <w14:solidFill>
              <w14:schemeClr w14:val="tx1"/>
            </w14:solidFill>
          </w14:textFill>
        </w:rPr>
      </w:pPr>
    </w:p>
    <w:p>
      <w:pPr>
        <w:spacing w:line="360" w:lineRule="auto"/>
        <w:rPr>
          <w:rFonts w:ascii="宋体" w:hAnsi="宋体"/>
          <w:b/>
          <w:bCs/>
          <w:color w:val="000000" w:themeColor="text1"/>
          <w:sz w:val="32"/>
          <w:szCs w:val="32"/>
          <w14:textFill>
            <w14:solidFill>
              <w14:schemeClr w14:val="tx1"/>
            </w14:solidFill>
          </w14:textFill>
        </w:rPr>
      </w:pPr>
    </w:p>
    <w:p>
      <w:pPr>
        <w:spacing w:line="360" w:lineRule="auto"/>
        <w:ind w:firstLine="630" w:firstLineChars="196"/>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投标人名称：XXXX</w:t>
      </w:r>
    </w:p>
    <w:p>
      <w:pPr>
        <w:spacing w:line="360" w:lineRule="auto"/>
        <w:ind w:firstLine="569" w:firstLineChars="177"/>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日       期：202X年XX月XX日</w:t>
      </w:r>
    </w:p>
    <w:p>
      <w:pPr>
        <w:spacing w:line="360" w:lineRule="auto"/>
        <w:ind w:firstLine="569" w:firstLineChars="177"/>
        <w:rPr>
          <w:rFonts w:ascii="宋体" w:hAnsi="宋体"/>
          <w:b/>
          <w:bCs/>
          <w:color w:val="000000" w:themeColor="text1"/>
          <w:sz w:val="32"/>
          <w:szCs w:val="32"/>
          <w14:textFill>
            <w14:solidFill>
              <w14:schemeClr w14:val="tx1"/>
            </w14:solidFill>
          </w14:textFill>
        </w:rPr>
      </w:pPr>
    </w:p>
    <w:p>
      <w:pPr>
        <w:spacing w:line="360" w:lineRule="auto"/>
        <w:ind w:firstLine="569" w:firstLineChars="177"/>
        <w:rPr>
          <w:rFonts w:ascii="宋体" w:hAnsi="宋体"/>
          <w:b/>
          <w:bCs/>
          <w:color w:val="000000" w:themeColor="text1"/>
          <w:sz w:val="32"/>
          <w:szCs w:val="32"/>
          <w14:textFill>
            <w14:solidFill>
              <w14:schemeClr w14:val="tx1"/>
            </w14:solidFill>
          </w14:textFill>
        </w:rPr>
      </w:pPr>
    </w:p>
    <w:p>
      <w:pPr>
        <w:spacing w:line="360" w:lineRule="auto"/>
        <w:ind w:firstLine="569" w:firstLineChars="177"/>
        <w:rPr>
          <w:rFonts w:ascii="宋体" w:hAnsi="宋体"/>
          <w:b/>
          <w:bCs/>
          <w:color w:val="000000" w:themeColor="text1"/>
          <w:sz w:val="32"/>
          <w:szCs w:val="32"/>
          <w14:textFill>
            <w14:solidFill>
              <w14:schemeClr w14:val="tx1"/>
            </w14:solidFill>
          </w14:textFill>
        </w:rPr>
      </w:pPr>
    </w:p>
    <w:p>
      <w:pPr>
        <w:spacing w:line="360" w:lineRule="auto"/>
        <w:ind w:firstLine="569" w:firstLineChars="177"/>
        <w:rPr>
          <w:rFonts w:ascii="宋体" w:hAnsi="宋体"/>
          <w:b/>
          <w:bCs/>
          <w:color w:val="000000" w:themeColor="text1"/>
          <w:sz w:val="32"/>
          <w:szCs w:val="32"/>
          <w14:textFill>
            <w14:solidFill>
              <w14:schemeClr w14:val="tx1"/>
            </w14:solidFill>
          </w14:textFill>
        </w:rPr>
      </w:pPr>
    </w:p>
    <w:p>
      <w:pPr>
        <w:keepNext/>
        <w:keepLines/>
        <w:numPr>
          <w:ilvl w:val="1"/>
          <w:numId w:val="1"/>
        </w:numPr>
        <w:spacing w:before="260" w:after="260" w:line="360" w:lineRule="auto"/>
        <w:jc w:val="left"/>
        <w:outlineLvl w:val="1"/>
        <w:rPr>
          <w:rFonts w:ascii="宋体" w:hAnsi="宋体"/>
          <w:b/>
          <w:bCs/>
          <w:color w:val="000000" w:themeColor="text1"/>
          <w:sz w:val="28"/>
          <w:szCs w:val="28"/>
          <w14:textFill>
            <w14:solidFill>
              <w14:schemeClr w14:val="tx1"/>
            </w14:solidFill>
          </w14:textFill>
        </w:rPr>
      </w:pPr>
      <w:bookmarkStart w:id="121" w:name="_Toc76541357"/>
      <w:r>
        <w:rPr>
          <w:rFonts w:hint="eastAsia" w:ascii="宋体" w:hAnsi="宋体"/>
          <w:b/>
          <w:bCs/>
          <w:color w:val="000000" w:themeColor="text1"/>
          <w:sz w:val="28"/>
          <w:szCs w:val="28"/>
          <w14:textFill>
            <w14:solidFill>
              <w14:schemeClr w14:val="tx1"/>
            </w14:solidFill>
          </w14:textFill>
        </w:rPr>
        <w:t>资格响应文件</w:t>
      </w:r>
      <w:bookmarkEnd w:id="121"/>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关于投标人资格申明的函</w:t>
      </w:r>
    </w:p>
    <w:p>
      <w:pPr>
        <w:spacing w:line="360" w:lineRule="auto"/>
        <w:rPr>
          <w:rFonts w:ascii="宋体" w:hAnsi="宋体"/>
          <w:color w:val="000000" w:themeColor="text1"/>
          <w:sz w:val="28"/>
          <w:szCs w:val="28"/>
          <w14:textFill>
            <w14:solidFill>
              <w14:schemeClr w14:val="tx1"/>
            </w14:solidFill>
          </w14:textFill>
        </w:rPr>
      </w:pPr>
      <w:bookmarkStart w:id="122" w:name="_Toc238581782"/>
      <w:bookmarkStart w:id="123" w:name="_Toc119296788"/>
      <w:bookmarkStart w:id="124" w:name="_Toc119203988"/>
      <w:bookmarkStart w:id="125" w:name="_Toc119295087"/>
      <w:bookmarkStart w:id="126" w:name="_Toc52184753"/>
      <w:bookmarkStart w:id="127" w:name="_Toc146903609"/>
      <w:r>
        <w:rPr>
          <w:rFonts w:hint="eastAsia" w:ascii="宋体" w:hAnsi="宋体"/>
          <w:color w:val="000000" w:themeColor="text1"/>
          <w:sz w:val="28"/>
          <w:szCs w:val="28"/>
          <w14:textFill>
            <w14:solidFill>
              <w14:schemeClr w14:val="tx1"/>
            </w14:solidFill>
          </w14:textFill>
        </w:rPr>
        <w:t>致：成都市青羊区政府采购服务中心</w:t>
      </w:r>
      <w:bookmarkEnd w:id="122"/>
    </w:p>
    <w:p>
      <w:pPr>
        <w:spacing w:line="360" w:lineRule="auto"/>
        <w:ind w:firstLine="565" w:firstLineChars="202"/>
        <w:rPr>
          <w:rFonts w:ascii="宋体" w:hAnsi="宋体"/>
          <w:color w:val="000000" w:themeColor="text1"/>
          <w:sz w:val="28"/>
          <w:szCs w:val="28"/>
          <w14:textFill>
            <w14:solidFill>
              <w14:schemeClr w14:val="tx1"/>
            </w14:solidFill>
          </w14:textFill>
        </w:rPr>
      </w:pPr>
      <w:bookmarkStart w:id="128" w:name="_Toc238581783"/>
      <w:r>
        <w:rPr>
          <w:rFonts w:hint="eastAsia" w:ascii="宋体" w:hAnsi="宋体"/>
          <w:color w:val="000000" w:themeColor="text1"/>
          <w:sz w:val="28"/>
          <w:szCs w:val="28"/>
          <w14:textFill>
            <w14:solidFill>
              <w14:schemeClr w14:val="tx1"/>
            </w14:solidFill>
          </w14:textFill>
        </w:rPr>
        <w:t>关于我方对</w:t>
      </w:r>
      <w:r>
        <w:rPr>
          <w:rFonts w:hint="eastAsia" w:ascii="宋体" w:hAnsi="宋体"/>
          <w:b/>
          <w:color w:val="000000" w:themeColor="text1"/>
          <w:sz w:val="28"/>
          <w:szCs w:val="28"/>
          <w:u w:val="single"/>
          <w14:textFill>
            <w14:solidFill>
              <w14:schemeClr w14:val="tx1"/>
            </w14:solidFill>
          </w14:textFill>
        </w:rPr>
        <w:t>中国共产党成都市青羊区委员会党校窗帘采购项目（项目编号：青羊政采（2021）A0024）</w:t>
      </w:r>
      <w:r>
        <w:rPr>
          <w:rFonts w:hint="eastAsia" w:ascii="宋体" w:hAnsi="宋体"/>
          <w:color w:val="000000" w:themeColor="text1"/>
          <w:sz w:val="28"/>
          <w:szCs w:val="28"/>
          <w14:textFill>
            <w14:solidFill>
              <w14:schemeClr w14:val="tx1"/>
            </w14:solidFill>
          </w14:textFill>
        </w:rPr>
        <w:t>的公开招标，提交的下列文件和说明是准确的和真实的。</w:t>
      </w:r>
      <w:bookmarkEnd w:id="128"/>
    </w:p>
    <w:p>
      <w:pPr>
        <w:widowControl/>
        <w:numPr>
          <w:ilvl w:val="2"/>
          <w:numId w:val="32"/>
        </w:numPr>
        <w:spacing w:line="360" w:lineRule="auto"/>
        <w:ind w:left="0" w:firstLine="560" w:firstLineChars="200"/>
        <w:rPr>
          <w:rFonts w:ascii="宋体" w:hAnsi="宋体"/>
          <w:color w:val="000000" w:themeColor="text1"/>
          <w:sz w:val="28"/>
          <w:szCs w:val="28"/>
          <w14:textFill>
            <w14:solidFill>
              <w14:schemeClr w14:val="tx1"/>
            </w14:solidFill>
          </w14:textFill>
        </w:rPr>
      </w:pPr>
      <w:bookmarkStart w:id="129" w:name="_Toc238581784"/>
      <w:r>
        <w:rPr>
          <w:rFonts w:hint="eastAsia" w:ascii="宋体" w:hAnsi="宋体"/>
          <w:color w:val="000000" w:themeColor="text1"/>
          <w:sz w:val="28"/>
          <w:szCs w:val="28"/>
          <w14:textFill>
            <w14:solidFill>
              <w14:schemeClr w14:val="tx1"/>
            </w14:solidFill>
          </w14:textFill>
        </w:rPr>
        <w:t>投标人名称及概况：</w:t>
      </w:r>
      <w:bookmarkEnd w:id="123"/>
      <w:bookmarkEnd w:id="124"/>
      <w:bookmarkEnd w:id="125"/>
      <w:bookmarkEnd w:id="126"/>
      <w:bookmarkEnd w:id="127"/>
      <w:bookmarkEnd w:id="129"/>
    </w:p>
    <w:p>
      <w:pPr>
        <w:widowControl/>
        <w:numPr>
          <w:ilvl w:val="0"/>
          <w:numId w:val="33"/>
        </w:numPr>
        <w:spacing w:line="360" w:lineRule="auto"/>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投标人名称：XXXX</w:t>
      </w:r>
    </w:p>
    <w:p>
      <w:pPr>
        <w:widowControl/>
        <w:numPr>
          <w:ilvl w:val="0"/>
          <w:numId w:val="33"/>
        </w:numPr>
        <w:spacing w:line="360" w:lineRule="auto"/>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地址：XXXX           邮编：XXXX</w:t>
      </w:r>
    </w:p>
    <w:p>
      <w:pPr>
        <w:spacing w:line="360" w:lineRule="auto"/>
        <w:ind w:firstLine="700" w:firstLineChars="25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传真/电话：XXXX</w:t>
      </w:r>
    </w:p>
    <w:p>
      <w:pPr>
        <w:widowControl/>
        <w:numPr>
          <w:ilvl w:val="0"/>
          <w:numId w:val="33"/>
        </w:numPr>
        <w:spacing w:line="360" w:lineRule="auto"/>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成立日期或注册日期：XXXX</w:t>
      </w:r>
    </w:p>
    <w:p>
      <w:pPr>
        <w:widowControl/>
        <w:numPr>
          <w:ilvl w:val="0"/>
          <w:numId w:val="33"/>
        </w:numPr>
        <w:spacing w:line="360" w:lineRule="auto"/>
        <w:ind w:left="0" w:firstLine="560" w:firstLineChars="200"/>
        <w:jc w:val="left"/>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法定代表人姓名：XXXX</w:t>
      </w:r>
    </w:p>
    <w:p>
      <w:pPr>
        <w:widowControl/>
        <w:numPr>
          <w:ilvl w:val="2"/>
          <w:numId w:val="32"/>
        </w:numPr>
        <w:tabs>
          <w:tab w:val="left" w:pos="1276"/>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开户银行名称：XXXX</w:t>
      </w:r>
    </w:p>
    <w:p>
      <w:pPr>
        <w:spacing w:line="360" w:lineRule="auto"/>
        <w:ind w:firstLine="1260" w:firstLineChars="45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地址：XXXX</w:t>
      </w:r>
    </w:p>
    <w:p>
      <w:pPr>
        <w:spacing w:line="360" w:lineRule="auto"/>
        <w:ind w:firstLine="1260" w:firstLineChars="4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账号：XXXX</w:t>
      </w:r>
    </w:p>
    <w:p>
      <w:pPr>
        <w:spacing w:line="360" w:lineRule="auto"/>
        <w:ind w:left="560"/>
        <w:rPr>
          <w:rFonts w:ascii="宋体" w:hAnsi="宋体"/>
          <w:color w:val="000000" w:themeColor="text1"/>
          <w:sz w:val="28"/>
          <w:szCs w:val="28"/>
          <w14:textFill>
            <w14:solidFill>
              <w14:schemeClr w14:val="tx1"/>
            </w14:solidFill>
          </w14:textFill>
        </w:rPr>
      </w:pPr>
    </w:p>
    <w:p>
      <w:pPr>
        <w:spacing w:line="360" w:lineRule="auto"/>
        <w:ind w:left="560"/>
        <w:rPr>
          <w:rFonts w:ascii="宋体" w:hAnsi="宋体"/>
          <w:color w:val="000000" w:themeColor="text1"/>
          <w:sz w:val="28"/>
          <w:szCs w:val="28"/>
          <w14:textFill>
            <w14:solidFill>
              <w14:schemeClr w14:val="tx1"/>
            </w14:solidFill>
          </w14:textFill>
        </w:rPr>
      </w:pPr>
    </w:p>
    <w:p>
      <w:pPr>
        <w:spacing w:line="360" w:lineRule="auto"/>
        <w:ind w:left="560"/>
        <w:rPr>
          <w:rFonts w:ascii="宋体" w:hAnsi="宋体"/>
          <w:color w:val="000000" w:themeColor="text1"/>
          <w:sz w:val="28"/>
          <w:szCs w:val="28"/>
          <w14:textFill>
            <w14:solidFill>
              <w14:schemeClr w14:val="tx1"/>
            </w14:solidFill>
          </w14:textFill>
        </w:rPr>
      </w:pPr>
    </w:p>
    <w:p>
      <w:pPr>
        <w:spacing w:line="360" w:lineRule="auto"/>
        <w:ind w:left="560"/>
        <w:rPr>
          <w:rFonts w:ascii="宋体" w:hAnsi="宋体"/>
          <w:color w:val="000000" w:themeColor="text1"/>
          <w:sz w:val="28"/>
          <w:szCs w:val="28"/>
          <w14:textFill>
            <w14:solidFill>
              <w14:schemeClr w14:val="tx1"/>
            </w14:solidFill>
          </w14:textFill>
        </w:rPr>
      </w:pPr>
    </w:p>
    <w:p>
      <w:pPr>
        <w:spacing w:line="360" w:lineRule="auto"/>
        <w:ind w:left="560"/>
        <w:rPr>
          <w:rFonts w:ascii="宋体" w:hAnsi="宋体"/>
          <w:color w:val="000000" w:themeColor="text1"/>
          <w:sz w:val="28"/>
          <w:szCs w:val="28"/>
          <w14:textFill>
            <w14:solidFill>
              <w14:schemeClr w14:val="tx1"/>
            </w14:solidFill>
          </w14:textFill>
        </w:rPr>
      </w:pPr>
    </w:p>
    <w:p>
      <w:pPr>
        <w:spacing w:line="360" w:lineRule="auto"/>
        <w:ind w:left="560"/>
        <w:rPr>
          <w:rFonts w:ascii="宋体" w:hAnsi="宋体"/>
          <w:color w:val="000000" w:themeColor="text1"/>
          <w:sz w:val="28"/>
          <w:szCs w:val="28"/>
          <w14:textFill>
            <w14:solidFill>
              <w14:schemeClr w14:val="tx1"/>
            </w14:solidFill>
          </w14:textFill>
        </w:rPr>
      </w:pP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w:t>
      </w:r>
      <w:r>
        <w:rPr>
          <w:rFonts w:hint="eastAsia" w:ascii="宋体" w:hAnsi="宋体"/>
          <w:color w:val="000000" w:themeColor="text1"/>
          <w:sz w:val="28"/>
          <w:szCs w:val="28"/>
          <w:u w:val="single"/>
          <w14:textFill>
            <w14:solidFill>
              <w14:schemeClr w14:val="tx1"/>
            </w14:solidFill>
          </w14:textFill>
        </w:rPr>
        <w:t>XXXX</w:t>
      </w:r>
    </w:p>
    <w:p>
      <w:pPr>
        <w:spacing w:line="360" w:lineRule="auto"/>
        <w:ind w:left="283" w:leftChars="135" w:firstLine="280" w:firstLineChars="100"/>
        <w:rPr>
          <w:rFonts w:ascii="宋体" w:hAnsi="宋体"/>
          <w:color w:val="000000" w:themeColor="text1"/>
          <w:sz w:val="28"/>
          <w:szCs w:val="28"/>
          <w:u w:val="single"/>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日    期：</w:t>
      </w:r>
      <w:r>
        <w:rPr>
          <w:rFonts w:hint="eastAsia" w:ascii="宋体" w:hAnsi="宋体"/>
          <w:bCs/>
          <w:color w:val="000000" w:themeColor="text1"/>
          <w:sz w:val="28"/>
          <w14:textFill>
            <w14:solidFill>
              <w14:schemeClr w14:val="tx1"/>
            </w14:solidFill>
          </w14:textFill>
        </w:rPr>
        <w:t>202</w:t>
      </w:r>
      <w:r>
        <w:rPr>
          <w:rFonts w:hint="eastAsia" w:ascii="宋体" w:hAnsi="宋体"/>
          <w:bCs/>
          <w:color w:val="000000" w:themeColor="text1"/>
          <w:sz w:val="28"/>
          <w:u w:val="single"/>
          <w14:textFill>
            <w14:solidFill>
              <w14:schemeClr w14:val="tx1"/>
            </w14:solidFill>
          </w14:textFill>
        </w:rPr>
        <w:t>X</w:t>
      </w:r>
      <w:r>
        <w:rPr>
          <w:rFonts w:hint="eastAsia" w:ascii="宋体" w:hAnsi="宋体"/>
          <w:bCs/>
          <w:color w:val="000000" w:themeColor="text1"/>
          <w:sz w:val="28"/>
          <w14:textFill>
            <w14:solidFill>
              <w14:schemeClr w14:val="tx1"/>
            </w14:solidFill>
          </w14:textFill>
        </w:rPr>
        <w:t>年</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月</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日</w:t>
      </w:r>
    </w:p>
    <w:p>
      <w:pPr>
        <w:spacing w:line="380" w:lineRule="exact"/>
        <w:rPr>
          <w:rFonts w:ascii="宋体" w:hAnsi="宋体"/>
          <w:color w:val="000000" w:themeColor="text1"/>
          <w:sz w:val="28"/>
          <w:szCs w:val="28"/>
          <w14:textFill>
            <w14:solidFill>
              <w14:schemeClr w14:val="tx1"/>
            </w14:solidFill>
          </w14:textFill>
        </w:rPr>
      </w:pPr>
    </w:p>
    <w:p>
      <w:pPr>
        <w:spacing w:line="360" w:lineRule="auto"/>
        <w:rPr>
          <w:rFonts w:ascii="宋体" w:hAnsi="宋体"/>
          <w:b/>
          <w:bCs/>
          <w:color w:val="000000" w:themeColor="text1"/>
          <w:sz w:val="32"/>
          <w:szCs w:val="32"/>
          <w14:textFill>
            <w14:solidFill>
              <w14:schemeClr w14:val="tx1"/>
            </w14:solidFill>
          </w14:textFill>
        </w:rPr>
      </w:pP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声明</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致：成都市青羊区政府采购服务中心</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我单位作为</w:t>
      </w:r>
      <w:r>
        <w:rPr>
          <w:rFonts w:hint="eastAsia" w:ascii="宋体" w:hAnsi="宋体"/>
          <w:b/>
          <w:color w:val="000000" w:themeColor="text1"/>
          <w:sz w:val="28"/>
          <w:szCs w:val="28"/>
          <w:u w:val="single"/>
          <w14:textFill>
            <w14:solidFill>
              <w14:schemeClr w14:val="tx1"/>
            </w14:solidFill>
          </w14:textFill>
        </w:rPr>
        <w:t>中国共产党成都市青羊区委员会党校窗帘采购项目（项目编号：青羊政采（2021）A0024）</w:t>
      </w:r>
      <w:r>
        <w:rPr>
          <w:rFonts w:hint="eastAsia" w:ascii="宋体" w:hAnsi="宋体"/>
          <w:color w:val="000000" w:themeColor="text1"/>
          <w:sz w:val="28"/>
          <w:szCs w:val="28"/>
          <w14:textFill>
            <w14:solidFill>
              <w14:schemeClr w14:val="tx1"/>
            </w14:solidFill>
          </w14:textFill>
        </w:rPr>
        <w:t>的投标人，在此郑重声明：</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一、我单位参加政府采购活动前三年内，在经营活动中</w:t>
      </w:r>
      <w:r>
        <w:rPr>
          <w:rFonts w:hint="eastAsia" w:ascii="宋体" w:hAnsi="宋体"/>
          <w:b/>
          <w:color w:val="000000" w:themeColor="text1"/>
          <w:sz w:val="28"/>
          <w:szCs w:val="28"/>
          <w:u w:val="single"/>
          <w14:textFill>
            <w14:solidFill>
              <w14:schemeClr w14:val="tx1"/>
            </w14:solidFill>
          </w14:textFill>
        </w:rPr>
        <w:t>（说明：填写“没有”或“有”）</w:t>
      </w:r>
      <w:r>
        <w:rPr>
          <w:rFonts w:hint="eastAsia" w:ascii="宋体" w:hAnsi="宋体"/>
          <w:color w:val="000000" w:themeColor="text1"/>
          <w:sz w:val="28"/>
          <w:szCs w:val="28"/>
          <w14:textFill>
            <w14:solidFill>
              <w14:schemeClr w14:val="tx1"/>
            </w14:solidFill>
          </w14:textFill>
        </w:rPr>
        <w:t>重大违法记录。</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二、我单位</w:t>
      </w:r>
      <w:r>
        <w:rPr>
          <w:rFonts w:hint="eastAsia" w:ascii="宋体" w:hAnsi="宋体"/>
          <w:b/>
          <w:color w:val="000000" w:themeColor="text1"/>
          <w:sz w:val="28"/>
          <w:szCs w:val="28"/>
          <w:u w:val="single"/>
          <w14:textFill>
            <w14:solidFill>
              <w14:schemeClr w14:val="tx1"/>
            </w14:solidFill>
          </w14:textFill>
        </w:rPr>
        <w:t>（说明：填写“具有”或“不具有”）</w:t>
      </w:r>
      <w:r>
        <w:rPr>
          <w:rFonts w:hint="eastAsia" w:ascii="宋体" w:hAnsi="宋体"/>
          <w:color w:val="000000" w:themeColor="text1"/>
          <w:sz w:val="28"/>
          <w:szCs w:val="28"/>
          <w14:textFill>
            <w14:solidFill>
              <w14:schemeClr w14:val="tx1"/>
            </w14:solidFill>
          </w14:textFill>
        </w:rPr>
        <w:t>良好的商业信誉。</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三、与我单位负责人为同一人或者存在直接控股、管理关系的相关供应商：</w:t>
      </w:r>
      <w:r>
        <w:rPr>
          <w:rFonts w:hint="eastAsia" w:ascii="宋体" w:hAnsi="宋体"/>
          <w:b/>
          <w:color w:val="000000" w:themeColor="text1"/>
          <w:sz w:val="28"/>
          <w:szCs w:val="28"/>
          <w:u w:val="single"/>
          <w14:textFill>
            <w14:solidFill>
              <w14:schemeClr w14:val="tx1"/>
            </w14:solidFill>
          </w14:textFill>
        </w:rPr>
        <w:t>（说明：填写“无”或“（一）供应商名称１；（二）供应商名称２；（三）……”）</w:t>
      </w:r>
      <w:r>
        <w:rPr>
          <w:rFonts w:hint="eastAsia" w:ascii="宋体" w:hAnsi="宋体"/>
          <w:b/>
          <w:color w:val="000000" w:themeColor="text1"/>
          <w:sz w:val="28"/>
          <w:szCs w:val="28"/>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四、在行贿犯罪信息查询期限内，我单位及我单位现任法定代表人、主要负责人</w:t>
      </w:r>
      <w:r>
        <w:rPr>
          <w:rFonts w:hint="eastAsia" w:ascii="宋体" w:hAnsi="宋体"/>
          <w:b/>
          <w:color w:val="000000" w:themeColor="text1"/>
          <w:sz w:val="28"/>
          <w:szCs w:val="28"/>
          <w:u w:val="single"/>
          <w14:textFill>
            <w14:solidFill>
              <w14:schemeClr w14:val="tx1"/>
            </w14:solidFill>
          </w14:textFill>
        </w:rPr>
        <w:t>（说明：填写“没有”或“有”）</w:t>
      </w:r>
      <w:r>
        <w:rPr>
          <w:rFonts w:hint="eastAsia" w:ascii="宋体" w:hAnsi="宋体"/>
          <w:color w:val="000000" w:themeColor="text1"/>
          <w:sz w:val="28"/>
          <w:szCs w:val="28"/>
          <w14:textFill>
            <w14:solidFill>
              <w14:schemeClr w14:val="tx1"/>
            </w14:solidFill>
          </w14:textFill>
        </w:rPr>
        <w:t>行贿犯罪记录。</w:t>
      </w:r>
    </w:p>
    <w:p>
      <w:pPr>
        <w:tabs>
          <w:tab w:val="left" w:pos="1260"/>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五、我单位</w:t>
      </w:r>
      <w:r>
        <w:rPr>
          <w:rFonts w:hint="eastAsia" w:ascii="宋体" w:hAnsi="宋体"/>
          <w:b/>
          <w:color w:val="000000" w:themeColor="text1"/>
          <w:sz w:val="28"/>
          <w:szCs w:val="28"/>
          <w:u w:val="single"/>
          <w14:textFill>
            <w14:solidFill>
              <w14:schemeClr w14:val="tx1"/>
            </w14:solidFill>
          </w14:textFill>
        </w:rPr>
        <w:t>（说明：填写“未列入”或“被列入”）</w:t>
      </w:r>
      <w:r>
        <w:rPr>
          <w:rFonts w:hint="eastAsia" w:ascii="宋体" w:hAnsi="宋体"/>
          <w:color w:val="000000" w:themeColor="text1"/>
          <w:sz w:val="28"/>
          <w:szCs w:val="28"/>
          <w14:textFill>
            <w14:solidFill>
              <w14:schemeClr w14:val="tx1"/>
            </w14:solidFill>
          </w14:textFill>
        </w:rPr>
        <w:t>失信被执行人、重大税收违法案件当事人名单。</w:t>
      </w:r>
    </w:p>
    <w:p>
      <w:pPr>
        <w:tabs>
          <w:tab w:val="left" w:pos="1260"/>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w:t>
      </w:r>
      <w:r>
        <w:rPr>
          <w:rFonts w:hint="eastAsia" w:ascii="宋体" w:hAnsi="宋体"/>
          <w:b/>
          <w:color w:val="000000" w:themeColor="text1"/>
          <w:sz w:val="28"/>
          <w:szCs w:val="28"/>
          <w:u w:val="single"/>
          <w14:textFill>
            <w14:solidFill>
              <w14:schemeClr w14:val="tx1"/>
            </w14:solidFill>
          </w14:textFill>
        </w:rPr>
        <w:t>（说明：填写“未列入”或“被列入”）</w:t>
      </w:r>
      <w:r>
        <w:rPr>
          <w:rFonts w:hint="eastAsia" w:ascii="宋体" w:hAnsi="宋体"/>
          <w:color w:val="000000" w:themeColor="text1"/>
          <w:sz w:val="28"/>
          <w:szCs w:val="28"/>
          <w14:textFill>
            <w14:solidFill>
              <w14:schemeClr w14:val="tx1"/>
            </w14:solidFill>
          </w14:textFill>
        </w:rPr>
        <w:t>政府采购严重违法失信行为记录名单。</w:t>
      </w:r>
    </w:p>
    <w:p>
      <w:pPr>
        <w:tabs>
          <w:tab w:val="left" w:pos="1260"/>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六、我单位</w:t>
      </w:r>
      <w:r>
        <w:rPr>
          <w:rFonts w:hint="eastAsia" w:ascii="宋体" w:hAnsi="宋体"/>
          <w:b/>
          <w:color w:val="000000" w:themeColor="text1"/>
          <w:sz w:val="28"/>
          <w:szCs w:val="28"/>
          <w:u w:val="single"/>
          <w14:textFill>
            <w14:solidFill>
              <w14:schemeClr w14:val="tx1"/>
            </w14:solidFill>
          </w14:textFill>
        </w:rPr>
        <w:t>（说明：填写“未处于”或“处于”）</w:t>
      </w:r>
      <w:r>
        <w:rPr>
          <w:rFonts w:hint="eastAsia" w:ascii="宋体" w:hAnsi="宋体"/>
          <w:bCs/>
          <w:color w:val="000000" w:themeColor="text1"/>
          <w:sz w:val="28"/>
          <w:szCs w:val="28"/>
          <w14:textFill>
            <w14:solidFill>
              <w14:schemeClr w14:val="tx1"/>
            </w14:solidFill>
          </w14:textFill>
        </w:rPr>
        <w:t>被行政部门禁止参与政府采购活动的期限内。</w:t>
      </w:r>
    </w:p>
    <w:p>
      <w:pPr>
        <w:tabs>
          <w:tab w:val="left" w:pos="1260"/>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特此声明。</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w:t>
      </w:r>
      <w:r>
        <w:rPr>
          <w:rFonts w:hint="eastAsia" w:ascii="宋体" w:hAnsi="宋体"/>
          <w:color w:val="000000" w:themeColor="text1"/>
          <w:sz w:val="28"/>
          <w:szCs w:val="28"/>
          <w:u w:val="single"/>
          <w14:textFill>
            <w14:solidFill>
              <w14:schemeClr w14:val="tx1"/>
            </w14:solidFill>
          </w14:textFill>
        </w:rPr>
        <w:t>XXXX</w:t>
      </w:r>
    </w:p>
    <w:p>
      <w:pPr>
        <w:tabs>
          <w:tab w:val="left" w:pos="1260"/>
        </w:tabs>
        <w:spacing w:line="560" w:lineRule="exact"/>
        <w:ind w:firstLine="560" w:firstLineChars="20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    期：202</w:t>
      </w:r>
      <w:r>
        <w:rPr>
          <w:rFonts w:hint="eastAsia" w:ascii="宋体" w:hAnsi="宋体"/>
          <w:color w:val="000000" w:themeColor="text1"/>
          <w:sz w:val="28"/>
          <w:szCs w:val="28"/>
          <w:u w:val="single"/>
          <w14:textFill>
            <w14:solidFill>
              <w14:schemeClr w14:val="tx1"/>
            </w14:solidFill>
          </w14:textFill>
        </w:rPr>
        <w:t>X</w:t>
      </w:r>
      <w:r>
        <w:rPr>
          <w:rFonts w:hint="eastAsia" w:ascii="宋体" w:hAnsi="宋体"/>
          <w:color w:val="000000" w:themeColor="text1"/>
          <w:sz w:val="28"/>
          <w:szCs w:val="28"/>
          <w14:textFill>
            <w14:solidFill>
              <w14:schemeClr w14:val="tx1"/>
            </w14:solidFill>
          </w14:textFill>
        </w:rPr>
        <w:t>年</w:t>
      </w:r>
      <w:r>
        <w:rPr>
          <w:rFonts w:hint="eastAsia"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日</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说明：</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1.对声明中第一条的说明：如投标人在参加政府采购活动前三年内，在经营活动中有重大违法记录的，应填写“有”，投标人将被认定投标无效或被取消中标资格；</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5.对声明中第六条的说明：如投标人处于被行政部门禁止参加政府采购活动期限内的，该声明填“处于”，投标人将被认定投标无效或被取消中标资格。</w:t>
      </w:r>
    </w:p>
    <w:p>
      <w:pPr>
        <w:pStyle w:val="2"/>
        <w:rPr>
          <w:rFonts w:hint="eastAsia" w:ascii="宋体" w:hAnsi="宋体"/>
          <w:color w:val="000000" w:themeColor="text1"/>
          <w:sz w:val="28"/>
          <w:szCs w:val="28"/>
          <w14:textFill>
            <w14:solidFill>
              <w14:schemeClr w14:val="tx1"/>
            </w14:solidFill>
          </w14:textFill>
        </w:rPr>
      </w:pPr>
    </w:p>
    <w:p>
      <w:pPr>
        <w:pStyle w:val="2"/>
        <w:rPr>
          <w:rFonts w:hint="eastAsia" w:ascii="宋体" w:hAnsi="宋体"/>
          <w:color w:val="000000" w:themeColor="text1"/>
          <w:sz w:val="28"/>
          <w:szCs w:val="28"/>
          <w14:textFill>
            <w14:solidFill>
              <w14:schemeClr w14:val="tx1"/>
            </w14:solidFill>
          </w14:textFill>
        </w:rPr>
      </w:pPr>
    </w:p>
    <w:p>
      <w:pPr>
        <w:pStyle w:val="2"/>
        <w:rPr>
          <w:rFonts w:hint="eastAsia" w:ascii="宋体" w:hAnsi="宋体"/>
          <w:color w:val="000000" w:themeColor="text1"/>
          <w:sz w:val="28"/>
          <w:szCs w:val="28"/>
          <w14:textFill>
            <w14:solidFill>
              <w14:schemeClr w14:val="tx1"/>
            </w14:solidFill>
          </w14:textFill>
        </w:rPr>
      </w:pPr>
    </w:p>
    <w:p>
      <w:pPr>
        <w:pStyle w:val="2"/>
        <w:rPr>
          <w:rFonts w:hint="eastAsia" w:ascii="宋体" w:hAnsi="宋体"/>
          <w:color w:val="000000" w:themeColor="text1"/>
          <w:sz w:val="28"/>
          <w:szCs w:val="28"/>
          <w14:textFill>
            <w14:solidFill>
              <w14:schemeClr w14:val="tx1"/>
            </w14:solidFill>
          </w14:textFill>
        </w:rPr>
      </w:pPr>
    </w:p>
    <w:p>
      <w:pPr>
        <w:pStyle w:val="2"/>
        <w:rPr>
          <w:rFonts w:hint="eastAsia" w:ascii="宋体" w:hAnsi="宋体"/>
          <w:color w:val="000000" w:themeColor="text1"/>
          <w:sz w:val="28"/>
          <w:szCs w:val="28"/>
          <w14:textFill>
            <w14:solidFill>
              <w14:schemeClr w14:val="tx1"/>
            </w14:solidFill>
          </w14:textFill>
        </w:rPr>
      </w:pPr>
    </w:p>
    <w:p>
      <w:pPr>
        <w:pStyle w:val="2"/>
        <w:rPr>
          <w:rFonts w:hint="eastAsia" w:ascii="宋体" w:hAnsi="宋体"/>
          <w:color w:val="000000" w:themeColor="text1"/>
          <w:sz w:val="28"/>
          <w:szCs w:val="28"/>
          <w14:textFill>
            <w14:solidFill>
              <w14:schemeClr w14:val="tx1"/>
            </w14:solidFill>
          </w14:textFill>
        </w:rPr>
      </w:pPr>
    </w:p>
    <w:p>
      <w:pPr>
        <w:pStyle w:val="2"/>
        <w:rPr>
          <w:rFonts w:hint="eastAsia" w:ascii="宋体" w:hAnsi="宋体"/>
          <w:color w:val="000000" w:themeColor="text1"/>
          <w:sz w:val="28"/>
          <w:szCs w:val="28"/>
          <w14:textFill>
            <w14:solidFill>
              <w14:schemeClr w14:val="tx1"/>
            </w14:solidFill>
          </w14:textFill>
        </w:rPr>
      </w:pPr>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中小企业声明函</w:t>
      </w:r>
    </w:p>
    <w:p>
      <w:pPr>
        <w:spacing w:line="588" w:lineRule="exact"/>
        <w:jc w:val="center"/>
        <w:rPr>
          <w:rFonts w:ascii="宋体" w:hAnsi="宋体"/>
          <w:b/>
          <w:color w:val="000000" w:themeColor="text1"/>
          <w:spacing w:val="6"/>
          <w:sz w:val="28"/>
          <w:szCs w:val="28"/>
          <w14:textFill>
            <w14:solidFill>
              <w14:schemeClr w14:val="tx1"/>
            </w14:solidFill>
          </w14:textFill>
        </w:rPr>
      </w:pPr>
      <w:r>
        <w:rPr>
          <w:rFonts w:hint="eastAsia" w:ascii="宋体" w:hAnsi="宋体"/>
          <w:b/>
          <w:color w:val="000000" w:themeColor="text1"/>
          <w:spacing w:val="6"/>
          <w:sz w:val="28"/>
          <w:szCs w:val="28"/>
          <w14:textFill>
            <w14:solidFill>
              <w14:schemeClr w14:val="tx1"/>
            </w14:solidFill>
          </w14:textFill>
        </w:rPr>
        <w:t>中小企业声明函</w:t>
      </w:r>
    </w:p>
    <w:p>
      <w:pPr>
        <w:spacing w:line="588" w:lineRule="exact"/>
        <w:ind w:firstLine="563"/>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本公司郑重声明，根据《政府采购促进中小企业发展管理办法》（财库﹝2020﹞46 号）的规定，本公司参加</w:t>
      </w:r>
      <w:r>
        <w:rPr>
          <w:rFonts w:hint="eastAsia" w:ascii="宋体" w:hAnsi="宋体"/>
          <w:color w:val="000000" w:themeColor="text1"/>
          <w:sz w:val="28"/>
          <w:szCs w:val="28"/>
          <w:u w:val="single"/>
          <w14:textFill>
            <w14:solidFill>
              <w14:schemeClr w14:val="tx1"/>
            </w14:solidFill>
          </w14:textFill>
        </w:rPr>
        <w:t>（单位名称）</w:t>
      </w:r>
      <w:r>
        <w:rPr>
          <w:rFonts w:hint="eastAsia" w:ascii="宋体" w:hAnsi="宋体"/>
          <w:color w:val="000000" w:themeColor="text1"/>
          <w:sz w:val="28"/>
          <w:szCs w:val="28"/>
          <w14:textFill>
            <w14:solidFill>
              <w14:schemeClr w14:val="tx1"/>
            </w14:solidFill>
          </w14:textFill>
        </w:rPr>
        <w:t>的</w:t>
      </w:r>
      <w:r>
        <w:rPr>
          <w:rFonts w:hint="eastAsia" w:ascii="宋体" w:hAnsi="宋体"/>
          <w:color w:val="000000" w:themeColor="text1"/>
          <w:sz w:val="28"/>
          <w:szCs w:val="28"/>
          <w:u w:val="single"/>
          <w14:textFill>
            <w14:solidFill>
              <w14:schemeClr w14:val="tx1"/>
            </w14:solidFill>
          </w14:textFill>
        </w:rPr>
        <w:t>（项目名称）</w:t>
      </w:r>
      <w:r>
        <w:rPr>
          <w:rFonts w:hint="eastAsia" w:ascii="宋体" w:hAnsi="宋体"/>
          <w:color w:val="000000" w:themeColor="text1"/>
          <w:sz w:val="28"/>
          <w:szCs w:val="28"/>
          <w14:textFill>
            <w14:solidFill>
              <w14:schemeClr w14:val="tx1"/>
            </w14:solidFill>
          </w14:textFill>
        </w:rPr>
        <w:t>采购活动，提供的货物全部由符合政策要求的中小企业制造。相关企业的具体情况如下：</w:t>
      </w:r>
    </w:p>
    <w:p>
      <w:pPr>
        <w:spacing w:line="588" w:lineRule="exact"/>
        <w:ind w:firstLine="563"/>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1.</w:t>
      </w:r>
      <w:r>
        <w:rPr>
          <w:rFonts w:hint="eastAsia" w:ascii="宋体" w:hAnsi="宋体"/>
          <w:color w:val="000000" w:themeColor="text1"/>
          <w:sz w:val="28"/>
          <w:szCs w:val="28"/>
          <w:u w:val="single"/>
          <w14:textFill>
            <w14:solidFill>
              <w14:schemeClr w14:val="tx1"/>
            </w14:solidFill>
          </w14:textFill>
        </w:rPr>
        <w:t xml:space="preserve"> ___XXXX____</w:t>
      </w:r>
      <w:r>
        <w:rPr>
          <w:rFonts w:hint="eastAsia" w:ascii="宋体" w:hAnsi="宋体"/>
          <w:color w:val="000000" w:themeColor="text1"/>
          <w:sz w:val="28"/>
          <w:szCs w:val="28"/>
          <w14:textFill>
            <w14:solidFill>
              <w14:schemeClr w14:val="tx1"/>
            </w14:solidFill>
          </w14:textFill>
        </w:rPr>
        <w:t>（标的名称），属于</w:t>
      </w:r>
      <w:r>
        <w:rPr>
          <w:rFonts w:hint="eastAsia" w:ascii="宋体" w:hAnsi="宋体"/>
          <w:color w:val="000000" w:themeColor="text1"/>
          <w:sz w:val="28"/>
          <w:szCs w:val="28"/>
          <w:u w:val="single"/>
          <w14:textFill>
            <w14:solidFill>
              <w14:schemeClr w14:val="tx1"/>
            </w14:solidFill>
          </w14:textFill>
        </w:rPr>
        <w:t>___XXXX____</w:t>
      </w:r>
      <w:r>
        <w:rPr>
          <w:rFonts w:hint="eastAsia" w:ascii="宋体" w:hAnsi="宋体"/>
          <w:color w:val="000000" w:themeColor="text1"/>
          <w:sz w:val="28"/>
          <w:szCs w:val="28"/>
          <w14:textFill>
            <w14:solidFill>
              <w14:schemeClr w14:val="tx1"/>
            </w14:solidFill>
          </w14:textFill>
        </w:rPr>
        <w:t>（采购文件中明确的所属行业） 行业；制造商为</w:t>
      </w:r>
      <w:r>
        <w:rPr>
          <w:rFonts w:hint="eastAsia" w:ascii="宋体" w:hAnsi="宋体"/>
          <w:color w:val="000000" w:themeColor="text1"/>
          <w:sz w:val="28"/>
          <w:szCs w:val="28"/>
          <w:u w:val="single"/>
          <w14:textFill>
            <w14:solidFill>
              <w14:schemeClr w14:val="tx1"/>
            </w14:solidFill>
          </w14:textFill>
        </w:rPr>
        <w:t>___XXXX____</w:t>
      </w:r>
      <w:r>
        <w:rPr>
          <w:rFonts w:hint="eastAsia" w:ascii="宋体" w:hAnsi="宋体"/>
          <w:color w:val="000000" w:themeColor="text1"/>
          <w:sz w:val="28"/>
          <w:szCs w:val="28"/>
          <w14:textFill>
            <w14:solidFill>
              <w14:schemeClr w14:val="tx1"/>
            </w14:solidFill>
          </w14:textFill>
        </w:rPr>
        <w:t>（企业名称），从业人员</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人，营业收入为</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万元，资产总额为</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万元，属于</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（中型企业、小型企业、微型企业）；</w:t>
      </w:r>
    </w:p>
    <w:p>
      <w:pPr>
        <w:spacing w:line="588" w:lineRule="exact"/>
        <w:ind w:firstLine="563"/>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2. </w:t>
      </w:r>
      <w:r>
        <w:rPr>
          <w:rFonts w:hint="eastAsia" w:ascii="宋体" w:hAnsi="宋体"/>
          <w:color w:val="000000" w:themeColor="text1"/>
          <w:sz w:val="28"/>
          <w:szCs w:val="28"/>
          <w:u w:val="single"/>
          <w14:textFill>
            <w14:solidFill>
              <w14:schemeClr w14:val="tx1"/>
            </w14:solidFill>
          </w14:textFill>
        </w:rPr>
        <w:t>___XXXX____</w:t>
      </w:r>
      <w:r>
        <w:rPr>
          <w:rFonts w:hint="eastAsia" w:ascii="宋体" w:hAnsi="宋体"/>
          <w:color w:val="000000" w:themeColor="text1"/>
          <w:sz w:val="28"/>
          <w:szCs w:val="28"/>
          <w14:textFill>
            <w14:solidFill>
              <w14:schemeClr w14:val="tx1"/>
            </w14:solidFill>
          </w14:textFill>
        </w:rPr>
        <w:t>（标的名称），属于</w:t>
      </w:r>
      <w:r>
        <w:rPr>
          <w:rFonts w:hint="eastAsia" w:ascii="宋体" w:hAnsi="宋体"/>
          <w:color w:val="000000" w:themeColor="text1"/>
          <w:sz w:val="28"/>
          <w:szCs w:val="28"/>
          <w:u w:val="single"/>
          <w14:textFill>
            <w14:solidFill>
              <w14:schemeClr w14:val="tx1"/>
            </w14:solidFill>
          </w14:textFill>
        </w:rPr>
        <w:t>___XXXX____</w:t>
      </w:r>
      <w:r>
        <w:rPr>
          <w:rFonts w:hint="eastAsia" w:ascii="宋体" w:hAnsi="宋体"/>
          <w:color w:val="000000" w:themeColor="text1"/>
          <w:sz w:val="28"/>
          <w:szCs w:val="28"/>
          <w14:textFill>
            <w14:solidFill>
              <w14:schemeClr w14:val="tx1"/>
            </w14:solidFill>
          </w14:textFill>
        </w:rPr>
        <w:t>（采购文件中明确的所属行业） 行业；制造商为</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（企业名称），从业人员</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人，营业收入为</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万元，资产总额为</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万元，属于</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（中型企业、小型企业、微型企业）；</w:t>
      </w:r>
    </w:p>
    <w:p>
      <w:pPr>
        <w:spacing w:line="588" w:lineRule="exact"/>
        <w:ind w:firstLine="563"/>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w:t>
      </w:r>
    </w:p>
    <w:p>
      <w:pPr>
        <w:spacing w:line="588" w:lineRule="exact"/>
        <w:ind w:firstLine="563"/>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以上企业，不属于大企业的分支机构，不存在控股股东 为大企业的情形，也不存在与大企业的负责人为同一人的情形。</w:t>
      </w:r>
    </w:p>
    <w:p>
      <w:pPr>
        <w:spacing w:line="588" w:lineRule="exact"/>
        <w:ind w:firstLine="563"/>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本企业对上述声明内容的真实性负责。如有虚假，将依法承担相应责任。</w:t>
      </w:r>
    </w:p>
    <w:p>
      <w:pPr>
        <w:spacing w:line="588" w:lineRule="exact"/>
        <w:ind w:firstLine="5040" w:firstLineChars="18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企业名称：</w:t>
      </w:r>
      <w:r>
        <w:rPr>
          <w:rFonts w:hint="eastAsia" w:ascii="宋体" w:hAnsi="宋体"/>
          <w:color w:val="000000" w:themeColor="text1"/>
          <w:sz w:val="28"/>
          <w:szCs w:val="28"/>
          <w:u w:val="single"/>
          <w14:textFill>
            <w14:solidFill>
              <w14:schemeClr w14:val="tx1"/>
            </w14:solidFill>
          </w14:textFill>
        </w:rPr>
        <w:t>___XXXX____</w:t>
      </w:r>
    </w:p>
    <w:p>
      <w:pPr>
        <w:spacing w:line="588" w:lineRule="exact"/>
        <w:ind w:firstLine="563"/>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日 期：</w:t>
      </w:r>
      <w:r>
        <w:rPr>
          <w:rFonts w:ascii="宋体" w:hAnsi="宋体"/>
          <w:color w:val="000000" w:themeColor="text1"/>
          <w:sz w:val="28"/>
          <w:szCs w:val="28"/>
          <w:u w:val="single"/>
          <w14:textFill>
            <w14:solidFill>
              <w14:schemeClr w14:val="tx1"/>
            </w14:solidFill>
          </w14:textFill>
        </w:rPr>
        <w:t>202X</w:t>
      </w:r>
      <w:r>
        <w:rPr>
          <w:rFonts w:hint="eastAsia" w:ascii="宋体" w:hAnsi="宋体"/>
          <w:color w:val="000000" w:themeColor="text1"/>
          <w:sz w:val="28"/>
          <w14:textFill>
            <w14:solidFill>
              <w14:schemeClr w14:val="tx1"/>
            </w14:solidFill>
          </w14:textFill>
        </w:rPr>
        <w:t>年</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14:textFill>
            <w14:solidFill>
              <w14:schemeClr w14:val="tx1"/>
            </w14:solidFill>
          </w14:textFill>
        </w:rPr>
        <w:t>月</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14:textFill>
            <w14:solidFill>
              <w14:schemeClr w14:val="tx1"/>
            </w14:solidFill>
          </w14:textFill>
        </w:rPr>
        <w:t>日</w:t>
      </w:r>
    </w:p>
    <w:p>
      <w:pPr>
        <w:pStyle w:val="79"/>
        <w:tabs>
          <w:tab w:val="left" w:pos="567"/>
          <w:tab w:val="left" w:pos="709"/>
          <w:tab w:val="left" w:pos="851"/>
        </w:tabs>
        <w:spacing w:before="60" w:line="360" w:lineRule="auto"/>
        <w:ind w:firstLine="0" w:firstLineChars="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说明：</w:t>
      </w:r>
      <w:r>
        <w:rPr>
          <w:rFonts w:ascii="宋体" w:hAnsi="宋体"/>
          <w:b/>
          <w:color w:val="000000" w:themeColor="text1"/>
          <w:sz w:val="28"/>
          <w:szCs w:val="28"/>
          <w14:textFill>
            <w14:solidFill>
              <w14:schemeClr w14:val="tx1"/>
            </w14:solidFill>
          </w14:textFill>
        </w:rPr>
        <w:t>从业人员、营业收入、资产总额填报上</w:t>
      </w:r>
      <w:r>
        <w:rPr>
          <w:rFonts w:hint="eastAsia" w:ascii="宋体" w:hAnsi="宋体"/>
          <w:b/>
          <w:color w:val="000000" w:themeColor="text1"/>
          <w:sz w:val="28"/>
          <w:szCs w:val="28"/>
          <w14:textFill>
            <w14:solidFill>
              <w14:schemeClr w14:val="tx1"/>
            </w14:solidFill>
          </w14:textFill>
        </w:rPr>
        <w:t>一</w:t>
      </w:r>
      <w:r>
        <w:rPr>
          <w:rFonts w:ascii="宋体" w:hAnsi="宋体"/>
          <w:b/>
          <w:color w:val="000000" w:themeColor="text1"/>
          <w:sz w:val="28"/>
          <w:szCs w:val="28"/>
          <w14:textFill>
            <w14:solidFill>
              <w14:schemeClr w14:val="tx1"/>
            </w14:solidFill>
          </w14:textFill>
        </w:rPr>
        <w:t>年度数据，无上一年度</w:t>
      </w:r>
      <w:r>
        <w:rPr>
          <w:rFonts w:hint="eastAsia" w:ascii="宋体" w:hAnsi="宋体"/>
          <w:b/>
          <w:color w:val="000000" w:themeColor="text1"/>
          <w:sz w:val="28"/>
          <w:szCs w:val="28"/>
          <w14:textFill>
            <w14:solidFill>
              <w14:schemeClr w14:val="tx1"/>
            </w14:solidFill>
          </w14:textFill>
        </w:rPr>
        <w:t>数据</w:t>
      </w:r>
      <w:r>
        <w:rPr>
          <w:rFonts w:ascii="宋体" w:hAnsi="宋体"/>
          <w:b/>
          <w:color w:val="000000" w:themeColor="text1"/>
          <w:sz w:val="28"/>
          <w:szCs w:val="28"/>
          <w14:textFill>
            <w14:solidFill>
              <w14:schemeClr w14:val="tx1"/>
            </w14:solidFill>
          </w14:textFill>
        </w:rPr>
        <w:t>的新成立企业可不填报。</w:t>
      </w:r>
    </w:p>
    <w:p>
      <w:pPr>
        <w:pStyle w:val="79"/>
        <w:tabs>
          <w:tab w:val="left" w:pos="567"/>
          <w:tab w:val="left" w:pos="709"/>
          <w:tab w:val="left" w:pos="851"/>
        </w:tabs>
        <w:spacing w:before="60" w:line="360" w:lineRule="auto"/>
        <w:ind w:firstLine="0" w:firstLineChars="0"/>
        <w:rPr>
          <w:rFonts w:ascii="宋体" w:hAnsi="宋体"/>
          <w:b/>
          <w:color w:val="000000" w:themeColor="text1"/>
          <w:sz w:val="28"/>
          <w:szCs w:val="28"/>
          <w14:textFill>
            <w14:solidFill>
              <w14:schemeClr w14:val="tx1"/>
            </w14:solidFill>
          </w14:textFill>
        </w:rPr>
      </w:pPr>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残疾人福利性单位声明函</w:t>
      </w:r>
    </w:p>
    <w:p>
      <w:pPr>
        <w:spacing w:line="588" w:lineRule="exact"/>
        <w:ind w:firstLine="562" w:firstLineChars="200"/>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残疾人福利性单位声明函</w:t>
      </w:r>
    </w:p>
    <w:p>
      <w:pPr>
        <w:spacing w:line="360" w:lineRule="auto"/>
        <w:ind w:firstLine="584" w:firstLineChars="200"/>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olor w:val="000000" w:themeColor="text1"/>
          <w:spacing w:val="6"/>
          <w:sz w:val="28"/>
          <w:szCs w:val="28"/>
          <w:u w:val="single"/>
          <w14:textFill>
            <w14:solidFill>
              <w14:schemeClr w14:val="tx1"/>
            </w14:solidFill>
          </w14:textFill>
        </w:rPr>
        <w:t>XXXX单位的XXXX项目</w:t>
      </w:r>
      <w:r>
        <w:rPr>
          <w:rFonts w:hint="eastAsia" w:ascii="宋体" w:hAnsi="宋体"/>
          <w:color w:val="000000" w:themeColor="text1"/>
          <w:spacing w:val="6"/>
          <w:sz w:val="28"/>
          <w:szCs w:val="28"/>
          <w14:textFill>
            <w14:solidFill>
              <w14:schemeClr w14:val="tx1"/>
            </w14:solidFill>
          </w14:textFill>
        </w:rPr>
        <w:t>采购活动提供本单位制造的货物，或者提供其他残疾人福利性单位制造的货物（不包括使用非残疾人福利性单位注册商标的货物）。</w:t>
      </w:r>
    </w:p>
    <w:p>
      <w:pPr>
        <w:spacing w:line="360" w:lineRule="auto"/>
        <w:ind w:firstLine="584" w:firstLineChars="200"/>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本单位对上述声明的真实性负责。如有虚假，将依法承担相应责任。</w:t>
      </w:r>
    </w:p>
    <w:p>
      <w:pPr>
        <w:spacing w:line="360" w:lineRule="auto"/>
        <w:ind w:firstLine="584" w:firstLineChars="200"/>
        <w:rPr>
          <w:rFonts w:ascii="宋体" w:hAnsi="宋体"/>
          <w:color w:val="000000" w:themeColor="text1"/>
          <w:spacing w:val="6"/>
          <w:sz w:val="28"/>
          <w:szCs w:val="28"/>
          <w14:textFill>
            <w14:solidFill>
              <w14:schemeClr w14:val="tx1"/>
            </w14:solidFill>
          </w14:textFill>
        </w:rPr>
      </w:pPr>
    </w:p>
    <w:p>
      <w:pPr>
        <w:spacing w:line="588" w:lineRule="exact"/>
        <w:rPr>
          <w:rFonts w:ascii="宋体" w:hAnsi="宋体"/>
          <w:color w:val="000000" w:themeColor="text1"/>
          <w:spacing w:val="6"/>
          <w:sz w:val="28"/>
          <w:szCs w:val="28"/>
          <w14:textFill>
            <w14:solidFill>
              <w14:schemeClr w14:val="tx1"/>
            </w14:solidFill>
          </w14:textFill>
        </w:rPr>
      </w:pPr>
    </w:p>
    <w:p>
      <w:pPr>
        <w:spacing w:line="588" w:lineRule="exact"/>
        <w:ind w:firstLine="584" w:firstLineChars="200"/>
        <w:rPr>
          <w:rFonts w:ascii="宋体" w:hAnsi="宋体"/>
          <w:color w:val="000000" w:themeColor="text1"/>
          <w:spacing w:val="6"/>
          <w:sz w:val="28"/>
          <w:szCs w:val="28"/>
          <w14:textFill>
            <w14:solidFill>
              <w14:schemeClr w14:val="tx1"/>
            </w14:solidFill>
          </w14:textFill>
        </w:rPr>
      </w:pPr>
    </w:p>
    <w:p>
      <w:pPr>
        <w:spacing w:line="588" w:lineRule="exact"/>
        <w:ind w:firstLine="584" w:firstLineChars="200"/>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单位名称：</w:t>
      </w:r>
      <w:r>
        <w:rPr>
          <w:rFonts w:hint="eastAsia" w:ascii="宋体" w:hAnsi="宋体"/>
          <w:color w:val="000000" w:themeColor="text1"/>
          <w:spacing w:val="6"/>
          <w:sz w:val="28"/>
          <w:szCs w:val="28"/>
          <w:u w:val="single"/>
          <w14:textFill>
            <w14:solidFill>
              <w14:schemeClr w14:val="tx1"/>
            </w14:solidFill>
          </w14:textFill>
        </w:rPr>
        <w:t>XXXX</w:t>
      </w:r>
    </w:p>
    <w:p>
      <w:pPr>
        <w:tabs>
          <w:tab w:val="left" w:pos="3969"/>
        </w:tabs>
        <w:spacing w:line="588" w:lineRule="exact"/>
        <w:ind w:right="-58"/>
        <w:rPr>
          <w:rFonts w:hint="eastAsia" w:ascii="宋体" w:hAnsi="宋体"/>
          <w:bCs/>
          <w:color w:val="000000" w:themeColor="text1"/>
          <w:sz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日  期：</w:t>
      </w:r>
      <w:r>
        <w:rPr>
          <w:rFonts w:hint="eastAsia" w:ascii="宋体" w:hAnsi="宋体"/>
          <w:bCs/>
          <w:color w:val="000000" w:themeColor="text1"/>
          <w:sz w:val="28"/>
          <w14:textFill>
            <w14:solidFill>
              <w14:schemeClr w14:val="tx1"/>
            </w14:solidFill>
          </w14:textFill>
        </w:rPr>
        <w:t>202</w:t>
      </w:r>
      <w:r>
        <w:rPr>
          <w:rFonts w:hint="eastAsia" w:ascii="宋体" w:hAnsi="宋体"/>
          <w:bCs/>
          <w:color w:val="000000" w:themeColor="text1"/>
          <w:sz w:val="28"/>
          <w:u w:val="single"/>
          <w14:textFill>
            <w14:solidFill>
              <w14:schemeClr w14:val="tx1"/>
            </w14:solidFill>
          </w14:textFill>
        </w:rPr>
        <w:t>X</w:t>
      </w:r>
      <w:r>
        <w:rPr>
          <w:rFonts w:hint="eastAsia" w:ascii="宋体" w:hAnsi="宋体"/>
          <w:bCs/>
          <w:color w:val="000000" w:themeColor="text1"/>
          <w:sz w:val="28"/>
          <w14:textFill>
            <w14:solidFill>
              <w14:schemeClr w14:val="tx1"/>
            </w14:solidFill>
          </w14:textFill>
        </w:rPr>
        <w:t>年</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月</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日</w:t>
      </w:r>
    </w:p>
    <w:p>
      <w:pPr>
        <w:pStyle w:val="2"/>
        <w:rPr>
          <w:rFonts w:hint="eastAsia" w:ascii="宋体" w:hAnsi="宋体"/>
          <w:bCs/>
          <w:color w:val="000000" w:themeColor="text1"/>
          <w:sz w:val="28"/>
          <w14:textFill>
            <w14:solidFill>
              <w14:schemeClr w14:val="tx1"/>
            </w14:solidFill>
          </w14:textFill>
        </w:rPr>
      </w:pPr>
    </w:p>
    <w:p>
      <w:pPr>
        <w:pStyle w:val="2"/>
        <w:rPr>
          <w:rFonts w:hint="eastAsia" w:ascii="宋体" w:hAnsi="宋体"/>
          <w:bCs/>
          <w:color w:val="000000" w:themeColor="text1"/>
          <w:sz w:val="28"/>
          <w14:textFill>
            <w14:solidFill>
              <w14:schemeClr w14:val="tx1"/>
            </w14:solidFill>
          </w14:textFill>
        </w:rPr>
      </w:pPr>
    </w:p>
    <w:p>
      <w:pPr>
        <w:pStyle w:val="2"/>
        <w:rPr>
          <w:rFonts w:hint="eastAsia" w:ascii="宋体" w:hAnsi="宋体"/>
          <w:bCs/>
          <w:color w:val="000000" w:themeColor="text1"/>
          <w:sz w:val="28"/>
          <w14:textFill>
            <w14:solidFill>
              <w14:schemeClr w14:val="tx1"/>
            </w14:solidFill>
          </w14:textFill>
        </w:rPr>
      </w:pPr>
    </w:p>
    <w:p>
      <w:pPr>
        <w:pStyle w:val="2"/>
        <w:rPr>
          <w:rFonts w:hint="eastAsia" w:ascii="宋体" w:hAnsi="宋体"/>
          <w:bCs/>
          <w:color w:val="000000" w:themeColor="text1"/>
          <w:sz w:val="28"/>
          <w14:textFill>
            <w14:solidFill>
              <w14:schemeClr w14:val="tx1"/>
            </w14:solidFill>
          </w14:textFill>
        </w:rPr>
      </w:pPr>
    </w:p>
    <w:p>
      <w:pPr>
        <w:pStyle w:val="2"/>
        <w:rPr>
          <w:rFonts w:hint="eastAsia" w:ascii="宋体" w:hAnsi="宋体"/>
          <w:bCs/>
          <w:color w:val="000000" w:themeColor="text1"/>
          <w:sz w:val="28"/>
          <w14:textFill>
            <w14:solidFill>
              <w14:schemeClr w14:val="tx1"/>
            </w14:solidFill>
          </w14:textFill>
        </w:rPr>
      </w:pPr>
    </w:p>
    <w:p>
      <w:pPr>
        <w:pStyle w:val="2"/>
        <w:rPr>
          <w:rFonts w:hint="eastAsia" w:ascii="宋体" w:hAnsi="宋体"/>
          <w:bCs/>
          <w:color w:val="000000" w:themeColor="text1"/>
          <w:sz w:val="28"/>
          <w14:textFill>
            <w14:solidFill>
              <w14:schemeClr w14:val="tx1"/>
            </w14:solidFill>
          </w14:textFill>
        </w:rPr>
      </w:pPr>
    </w:p>
    <w:p>
      <w:pPr>
        <w:pStyle w:val="2"/>
        <w:ind w:left="0" w:leftChars="0" w:firstLine="0" w:firstLineChars="0"/>
        <w:rPr>
          <w:color w:val="000000" w:themeColor="text1"/>
          <w14:textFill>
            <w14:solidFill>
              <w14:schemeClr w14:val="tx1"/>
            </w14:solidFill>
          </w14:textFill>
        </w:rPr>
      </w:pPr>
    </w:p>
    <w:p>
      <w:pPr>
        <w:keepNext/>
        <w:keepLines/>
        <w:numPr>
          <w:ilvl w:val="2"/>
          <w:numId w:val="1"/>
        </w:numPr>
        <w:spacing w:line="360" w:lineRule="auto"/>
        <w:ind w:left="3119" w:hanging="3119"/>
        <w:outlineLvl w:val="2"/>
        <w:rPr>
          <w:rFonts w:ascii="宋体" w:hAnsi="宋体"/>
          <w:color w:val="000000" w:themeColor="text1"/>
          <w:sz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投标产品</w:t>
      </w:r>
      <w:r>
        <w:rPr>
          <w:rFonts w:ascii="宋体" w:hAnsi="宋体"/>
          <w:b/>
          <w:color w:val="000000" w:themeColor="text1"/>
          <w:sz w:val="28"/>
          <w:szCs w:val="28"/>
          <w14:textFill>
            <w14:solidFill>
              <w14:schemeClr w14:val="tx1"/>
            </w14:solidFill>
          </w14:textFill>
        </w:rPr>
        <w:t>制造商属于监狱企业的证明文件复印件</w:t>
      </w:r>
    </w:p>
    <w:p>
      <w:pPr>
        <w:tabs>
          <w:tab w:val="left" w:pos="3969"/>
        </w:tabs>
        <w:spacing w:line="588" w:lineRule="exact"/>
        <w:ind w:right="-58" w:firstLine="708" w:firstLineChars="25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投标产品中为监狱企业制造的货物应提供由省级以上监狱管理局、戒毒管理局（含新疆生产建设兵团）出具的制造商属于监狱企业的证明文件复印件</w:t>
      </w:r>
    </w:p>
    <w:p>
      <w:pPr>
        <w:pStyle w:val="2"/>
        <w:rPr>
          <w:color w:val="000000" w:themeColor="text1"/>
          <w:sz w:val="28"/>
          <w:szCs w:val="28"/>
          <w14:textFill>
            <w14:solidFill>
              <w14:schemeClr w14:val="tx1"/>
            </w14:solidFill>
          </w14:textFill>
        </w:rPr>
      </w:pPr>
    </w:p>
    <w:p>
      <w:pPr>
        <w:pStyle w:val="2"/>
        <w:rPr>
          <w:color w:val="000000" w:themeColor="text1"/>
          <w:sz w:val="28"/>
          <w:szCs w:val="28"/>
          <w14:textFill>
            <w14:solidFill>
              <w14:schemeClr w14:val="tx1"/>
            </w14:solidFill>
          </w14:textFill>
        </w:rPr>
      </w:pPr>
    </w:p>
    <w:p>
      <w:pPr>
        <w:pStyle w:val="2"/>
        <w:rPr>
          <w:color w:val="000000" w:themeColor="text1"/>
          <w:sz w:val="28"/>
          <w:szCs w:val="28"/>
          <w14:textFill>
            <w14:solidFill>
              <w14:schemeClr w14:val="tx1"/>
            </w14:solidFill>
          </w14:textFill>
        </w:rPr>
      </w:pPr>
    </w:p>
    <w:p>
      <w:pPr>
        <w:pStyle w:val="2"/>
        <w:rPr>
          <w:color w:val="000000" w:themeColor="text1"/>
          <w:sz w:val="28"/>
          <w:szCs w:val="28"/>
          <w14:textFill>
            <w14:solidFill>
              <w14:schemeClr w14:val="tx1"/>
            </w14:solidFill>
          </w14:textFill>
        </w:rPr>
      </w:pPr>
    </w:p>
    <w:p>
      <w:pPr>
        <w:pStyle w:val="2"/>
        <w:rPr>
          <w:color w:val="000000" w:themeColor="text1"/>
          <w:sz w:val="28"/>
          <w:szCs w:val="28"/>
          <w14:textFill>
            <w14:solidFill>
              <w14:schemeClr w14:val="tx1"/>
            </w14:solidFill>
          </w14:textFill>
        </w:rPr>
      </w:pPr>
    </w:p>
    <w:p>
      <w:pPr>
        <w:pStyle w:val="2"/>
        <w:rPr>
          <w:color w:val="000000" w:themeColor="text1"/>
          <w:sz w:val="28"/>
          <w:szCs w:val="28"/>
          <w14:textFill>
            <w14:solidFill>
              <w14:schemeClr w14:val="tx1"/>
            </w14:solidFill>
          </w14:textFill>
        </w:rPr>
      </w:pPr>
    </w:p>
    <w:p>
      <w:pPr>
        <w:pStyle w:val="2"/>
        <w:rPr>
          <w:color w:val="000000" w:themeColor="text1"/>
          <w:sz w:val="28"/>
          <w:szCs w:val="28"/>
          <w14:textFill>
            <w14:solidFill>
              <w14:schemeClr w14:val="tx1"/>
            </w14:solidFill>
          </w14:textFill>
        </w:rPr>
      </w:pPr>
    </w:p>
    <w:p>
      <w:pPr>
        <w:pStyle w:val="2"/>
        <w:rPr>
          <w:color w:val="000000" w:themeColor="text1"/>
          <w:sz w:val="28"/>
          <w:szCs w:val="28"/>
          <w14:textFill>
            <w14:solidFill>
              <w14:schemeClr w14:val="tx1"/>
            </w14:solidFill>
          </w14:textFill>
        </w:rPr>
      </w:pPr>
    </w:p>
    <w:p>
      <w:pPr>
        <w:pStyle w:val="2"/>
        <w:rPr>
          <w:color w:val="000000" w:themeColor="text1"/>
          <w:sz w:val="28"/>
          <w:szCs w:val="28"/>
          <w14:textFill>
            <w14:solidFill>
              <w14:schemeClr w14:val="tx1"/>
            </w14:solidFill>
          </w14:textFill>
        </w:rPr>
      </w:pPr>
    </w:p>
    <w:p>
      <w:pPr>
        <w:pStyle w:val="2"/>
        <w:rPr>
          <w:color w:val="000000" w:themeColor="text1"/>
          <w:sz w:val="28"/>
          <w:szCs w:val="28"/>
          <w14:textFill>
            <w14:solidFill>
              <w14:schemeClr w14:val="tx1"/>
            </w14:solidFill>
          </w14:textFill>
        </w:rPr>
      </w:pPr>
    </w:p>
    <w:p>
      <w:pPr>
        <w:pStyle w:val="2"/>
        <w:rPr>
          <w:color w:val="000000" w:themeColor="text1"/>
          <w:sz w:val="28"/>
          <w:szCs w:val="28"/>
          <w14:textFill>
            <w14:solidFill>
              <w14:schemeClr w14:val="tx1"/>
            </w14:solidFill>
          </w14:textFill>
        </w:rPr>
      </w:pPr>
    </w:p>
    <w:p>
      <w:pPr>
        <w:pStyle w:val="2"/>
        <w:rPr>
          <w:color w:val="000000" w:themeColor="text1"/>
          <w:sz w:val="28"/>
          <w:szCs w:val="28"/>
          <w14:textFill>
            <w14:solidFill>
              <w14:schemeClr w14:val="tx1"/>
            </w14:solidFill>
          </w14:textFill>
        </w:rPr>
      </w:pPr>
    </w:p>
    <w:p>
      <w:pPr>
        <w:pStyle w:val="2"/>
        <w:rPr>
          <w:color w:val="000000" w:themeColor="text1"/>
          <w:sz w:val="28"/>
          <w:szCs w:val="28"/>
          <w14:textFill>
            <w14:solidFill>
              <w14:schemeClr w14:val="tx1"/>
            </w14:solidFill>
          </w14:textFill>
        </w:rPr>
      </w:pPr>
    </w:p>
    <w:p>
      <w:pPr>
        <w:pStyle w:val="2"/>
        <w:rPr>
          <w:color w:val="000000" w:themeColor="text1"/>
          <w:sz w:val="28"/>
          <w:szCs w:val="28"/>
          <w14:textFill>
            <w14:solidFill>
              <w14:schemeClr w14:val="tx1"/>
            </w14:solidFill>
          </w14:textFill>
        </w:rPr>
      </w:pP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投标人应提交的相关资格证明材料</w:t>
      </w:r>
    </w:p>
    <w:p>
      <w:pPr>
        <w:ind w:firstLine="560" w:firstLineChars="200"/>
        <w:rPr>
          <w:color w:val="000000" w:themeColor="text1"/>
          <w:sz w:val="28"/>
          <w:szCs w:val="28"/>
          <w14:textFill>
            <w14:solidFill>
              <w14:schemeClr w14:val="tx1"/>
            </w14:solidFill>
          </w14:textFill>
        </w:rPr>
      </w:pPr>
    </w:p>
    <w:p>
      <w:pPr>
        <w:pStyle w:val="79"/>
        <w:tabs>
          <w:tab w:val="left" w:pos="1134"/>
        </w:tabs>
        <w:spacing w:after="200" w:line="360" w:lineRule="auto"/>
        <w:ind w:firstLine="546" w:firstLineChars="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投标人按招标文件要求，应提供以下相关资格证明材料：</w:t>
      </w:r>
    </w:p>
    <w:p>
      <w:pPr>
        <w:pStyle w:val="79"/>
        <w:tabs>
          <w:tab w:val="left" w:pos="1134"/>
        </w:tabs>
        <w:spacing w:after="200" w:line="360" w:lineRule="auto"/>
        <w:ind w:firstLine="546" w:firstLineChars="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一</w:t>
      </w:r>
      <w:r>
        <w:rPr>
          <w:rFonts w:ascii="宋体" w:hAnsi="宋体"/>
          <w:color w:val="000000" w:themeColor="text1"/>
          <w:kern w:val="0"/>
          <w:sz w:val="28"/>
          <w:szCs w:val="28"/>
          <w14:textFill>
            <w14:solidFill>
              <w14:schemeClr w14:val="tx1"/>
            </w14:solidFill>
          </w14:textFill>
        </w:rPr>
        <w:t>、</w:t>
      </w:r>
      <w:r>
        <w:rPr>
          <w:rFonts w:hint="eastAsia" w:ascii="宋体" w:hAnsi="宋体"/>
          <w:color w:val="000000" w:themeColor="text1"/>
          <w:kern w:val="0"/>
          <w:sz w:val="28"/>
          <w:szCs w:val="28"/>
          <w14:textFill>
            <w14:solidFill>
              <w14:schemeClr w14:val="tx1"/>
            </w14:solidFill>
          </w14:textFill>
        </w:rPr>
        <w:t>营业执照复印件（正本或副本）或法人证书复印件（正本或副本）；</w:t>
      </w:r>
    </w:p>
    <w:p>
      <w:pPr>
        <w:pStyle w:val="79"/>
        <w:tabs>
          <w:tab w:val="left" w:pos="1134"/>
        </w:tabs>
        <w:spacing w:after="200" w:line="360" w:lineRule="auto"/>
        <w:ind w:firstLine="546" w:firstLineChars="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二</w:t>
      </w:r>
      <w:r>
        <w:rPr>
          <w:rFonts w:ascii="宋体" w:hAnsi="宋体"/>
          <w:color w:val="000000" w:themeColor="text1"/>
          <w:kern w:val="0"/>
          <w:sz w:val="28"/>
          <w:szCs w:val="28"/>
          <w14:textFill>
            <w14:solidFill>
              <w14:schemeClr w14:val="tx1"/>
            </w14:solidFill>
          </w14:textFill>
        </w:rPr>
        <w:t>、</w:t>
      </w:r>
      <w:r>
        <w:rPr>
          <w:rFonts w:hint="eastAsia" w:ascii="宋体" w:hAnsi="宋体"/>
          <w:color w:val="000000" w:themeColor="text1"/>
          <w:kern w:val="0"/>
          <w:sz w:val="28"/>
          <w:szCs w:val="28"/>
          <w14:textFill>
            <w14:solidFill>
              <w14:schemeClr w14:val="tx1"/>
            </w14:solidFill>
          </w14:textFill>
        </w:rPr>
        <w:t>2019或2020会计年度资产负债表复印件（说明：投标人成立时间至递交投标文件截止时间止不足一年的，提供成立后任意时段的资产负债表复印件）；</w:t>
      </w:r>
    </w:p>
    <w:p>
      <w:pPr>
        <w:pStyle w:val="79"/>
        <w:tabs>
          <w:tab w:val="left" w:pos="1134"/>
        </w:tabs>
        <w:spacing w:after="200" w:line="360" w:lineRule="auto"/>
        <w:ind w:firstLine="546" w:firstLineChars="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三</w:t>
      </w:r>
      <w:r>
        <w:rPr>
          <w:rFonts w:ascii="宋体" w:hAnsi="宋体"/>
          <w:color w:val="000000" w:themeColor="text1"/>
          <w:kern w:val="0"/>
          <w:sz w:val="28"/>
          <w:szCs w:val="28"/>
          <w14:textFill>
            <w14:solidFill>
              <w14:schemeClr w14:val="tx1"/>
            </w14:solidFill>
          </w14:textFill>
        </w:rPr>
        <w:t>、</w:t>
      </w:r>
      <w:r>
        <w:rPr>
          <w:rFonts w:hint="eastAsia" w:ascii="宋体" w:hAnsi="宋体"/>
          <w:color w:val="000000" w:themeColor="text1"/>
          <w:kern w:val="0"/>
          <w:sz w:val="28"/>
          <w:szCs w:val="28"/>
          <w14:textFill>
            <w14:solidFill>
              <w14:schemeClr w14:val="tx1"/>
            </w14:solidFill>
          </w14:textFill>
        </w:rPr>
        <w:t>投标人缴纳2020或2021年任意时段的税收的银行电子回单或者行政部门出具的纳税证明或完税证明复印件；</w:t>
      </w:r>
    </w:p>
    <w:p>
      <w:pPr>
        <w:pStyle w:val="79"/>
        <w:tabs>
          <w:tab w:val="left" w:pos="1134"/>
        </w:tabs>
        <w:spacing w:after="200" w:line="360" w:lineRule="auto"/>
        <w:ind w:firstLine="546" w:firstLineChars="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四</w:t>
      </w:r>
      <w:r>
        <w:rPr>
          <w:rFonts w:ascii="宋体" w:hAnsi="宋体"/>
          <w:color w:val="000000" w:themeColor="text1"/>
          <w:kern w:val="0"/>
          <w:sz w:val="28"/>
          <w:szCs w:val="28"/>
          <w14:textFill>
            <w14:solidFill>
              <w14:schemeClr w14:val="tx1"/>
            </w14:solidFill>
          </w14:textFill>
        </w:rPr>
        <w:t>、</w:t>
      </w:r>
      <w:r>
        <w:rPr>
          <w:rFonts w:hint="eastAsia" w:ascii="宋体" w:hAnsi="宋体"/>
          <w:color w:val="000000" w:themeColor="text1"/>
          <w:kern w:val="0"/>
          <w:sz w:val="28"/>
          <w:szCs w:val="28"/>
          <w14:textFill>
            <w14:solidFill>
              <w14:schemeClr w14:val="tx1"/>
            </w14:solidFill>
          </w14:textFill>
        </w:rPr>
        <w:t>采购人对投标人履行合同所必须的设备和专业技术能力无其他特殊要求，投标人具有有效的营业执照或法人证书即可，可不提供其他证明材料；</w:t>
      </w:r>
    </w:p>
    <w:p>
      <w:pPr>
        <w:pStyle w:val="79"/>
        <w:tabs>
          <w:tab w:val="left" w:pos="1134"/>
        </w:tabs>
        <w:spacing w:after="200" w:line="360" w:lineRule="auto"/>
        <w:ind w:firstLine="546" w:firstLineChars="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五</w:t>
      </w:r>
      <w:r>
        <w:rPr>
          <w:rFonts w:ascii="宋体" w:hAnsi="宋体"/>
          <w:color w:val="000000" w:themeColor="text1"/>
          <w:kern w:val="0"/>
          <w:sz w:val="28"/>
          <w:szCs w:val="28"/>
          <w14:textFill>
            <w14:solidFill>
              <w14:schemeClr w14:val="tx1"/>
            </w14:solidFill>
          </w14:textFill>
        </w:rPr>
        <w:t>、</w:t>
      </w:r>
      <w:r>
        <w:rPr>
          <w:rFonts w:hint="eastAsia" w:ascii="宋体" w:hAnsi="宋体"/>
          <w:color w:val="000000" w:themeColor="text1"/>
          <w:kern w:val="0"/>
          <w:sz w:val="28"/>
          <w:szCs w:val="28"/>
          <w14:textFill>
            <w14:solidFill>
              <w14:schemeClr w14:val="tx1"/>
            </w14:solidFill>
          </w14:textFill>
        </w:rPr>
        <w:t>投标人缴纳2020或2021年任意时段的社保的银行电子回单或行政部门出具的社保缴纳证明材料复印件；</w:t>
      </w:r>
    </w:p>
    <w:p>
      <w:pPr>
        <w:pStyle w:val="79"/>
        <w:tabs>
          <w:tab w:val="left" w:pos="1134"/>
        </w:tabs>
        <w:spacing w:after="200" w:line="360" w:lineRule="auto"/>
        <w:ind w:firstLine="546" w:firstLineChars="0"/>
        <w:rPr>
          <w:rFonts w:hint="eastAsia"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六</w:t>
      </w:r>
      <w:r>
        <w:rPr>
          <w:rFonts w:ascii="宋体" w:hAnsi="宋体"/>
          <w:color w:val="000000" w:themeColor="text1"/>
          <w:kern w:val="0"/>
          <w:sz w:val="28"/>
          <w:szCs w:val="28"/>
          <w14:textFill>
            <w14:solidFill>
              <w14:schemeClr w14:val="tx1"/>
            </w14:solidFill>
          </w14:textFill>
        </w:rPr>
        <w:t>、</w:t>
      </w:r>
      <w:r>
        <w:rPr>
          <w:rFonts w:hint="eastAsia" w:ascii="宋体" w:hAnsi="宋体"/>
          <w:color w:val="000000" w:themeColor="text1"/>
          <w:kern w:val="0"/>
          <w:sz w:val="28"/>
          <w:szCs w:val="28"/>
          <w14:textFill>
            <w14:solidFill>
              <w14:schemeClr w14:val="tx1"/>
            </w14:solidFill>
          </w14:textFill>
        </w:rPr>
        <w:t>采购人对法律、行政法规规定的其他条件无其他特殊要求，投标人具有有效的营业执照或法人证书即可，可不提供其他证明材料。</w:t>
      </w:r>
    </w:p>
    <w:p>
      <w:pPr>
        <w:pStyle w:val="79"/>
        <w:tabs>
          <w:tab w:val="left" w:pos="1134"/>
        </w:tabs>
        <w:spacing w:after="200" w:line="360" w:lineRule="auto"/>
        <w:ind w:firstLine="546" w:firstLineChars="0"/>
        <w:rPr>
          <w:rFonts w:hint="eastAsia" w:ascii="宋体" w:hAnsi="宋体"/>
          <w:color w:val="000000" w:themeColor="text1"/>
          <w:kern w:val="0"/>
          <w:sz w:val="28"/>
          <w:szCs w:val="28"/>
          <w14:textFill>
            <w14:solidFill>
              <w14:schemeClr w14:val="tx1"/>
            </w14:solidFill>
          </w14:textFill>
        </w:rPr>
      </w:pPr>
    </w:p>
    <w:p>
      <w:pPr>
        <w:pStyle w:val="79"/>
        <w:tabs>
          <w:tab w:val="left" w:pos="1134"/>
        </w:tabs>
        <w:spacing w:after="200" w:line="360" w:lineRule="auto"/>
        <w:ind w:firstLine="546" w:firstLineChars="0"/>
        <w:rPr>
          <w:rFonts w:hint="eastAsia" w:ascii="宋体" w:hAnsi="宋体"/>
          <w:color w:val="000000" w:themeColor="text1"/>
          <w:kern w:val="0"/>
          <w:sz w:val="28"/>
          <w:szCs w:val="28"/>
          <w14:textFill>
            <w14:solidFill>
              <w14:schemeClr w14:val="tx1"/>
            </w14:solidFill>
          </w14:textFill>
        </w:rPr>
      </w:pPr>
    </w:p>
    <w:p>
      <w:pPr>
        <w:pStyle w:val="79"/>
        <w:tabs>
          <w:tab w:val="left" w:pos="1134"/>
        </w:tabs>
        <w:spacing w:after="200" w:line="360" w:lineRule="auto"/>
        <w:ind w:firstLine="546" w:firstLineChars="0"/>
        <w:rPr>
          <w:rFonts w:hint="eastAsia" w:ascii="宋体" w:hAnsi="宋体"/>
          <w:color w:val="000000" w:themeColor="text1"/>
          <w:kern w:val="0"/>
          <w:sz w:val="28"/>
          <w:szCs w:val="28"/>
          <w14:textFill>
            <w14:solidFill>
              <w14:schemeClr w14:val="tx1"/>
            </w14:solidFill>
          </w14:textFill>
        </w:rPr>
      </w:pPr>
    </w:p>
    <w:p>
      <w:pPr>
        <w:pStyle w:val="79"/>
        <w:tabs>
          <w:tab w:val="left" w:pos="1134"/>
        </w:tabs>
        <w:spacing w:after="200" w:line="360" w:lineRule="auto"/>
        <w:ind w:firstLine="546" w:firstLineChars="0"/>
        <w:rPr>
          <w:rFonts w:hint="eastAsia" w:ascii="宋体" w:hAnsi="宋体"/>
          <w:color w:val="000000" w:themeColor="text1"/>
          <w:kern w:val="0"/>
          <w:sz w:val="28"/>
          <w:szCs w:val="28"/>
          <w14:textFill>
            <w14:solidFill>
              <w14:schemeClr w14:val="tx1"/>
            </w14:solidFill>
          </w14:textFill>
        </w:rPr>
      </w:pP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130" w:name="_Toc76541358"/>
      <w:r>
        <w:rPr>
          <w:rFonts w:hint="eastAsia" w:ascii="宋体" w:hAnsi="宋体"/>
          <w:b/>
          <w:bCs/>
          <w:color w:val="000000" w:themeColor="text1"/>
          <w:sz w:val="28"/>
          <w:szCs w:val="28"/>
          <w14:textFill>
            <w14:solidFill>
              <w14:schemeClr w14:val="tx1"/>
            </w14:solidFill>
          </w14:textFill>
        </w:rPr>
        <w:t>商务技术响应文件</w:t>
      </w:r>
      <w:bookmarkEnd w:id="130"/>
    </w:p>
    <w:p>
      <w:pPr>
        <w:keepNext/>
        <w:keepLines/>
        <w:numPr>
          <w:ilvl w:val="2"/>
          <w:numId w:val="1"/>
        </w:numPr>
        <w:spacing w:line="360" w:lineRule="auto"/>
        <w:ind w:left="569" w:hanging="56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投标函</w:t>
      </w:r>
    </w:p>
    <w:p>
      <w:pPr>
        <w:spacing w:line="560" w:lineRule="exact"/>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成都市青羊区政府采购服务中心：</w:t>
      </w:r>
    </w:p>
    <w:p>
      <w:pPr>
        <w:spacing w:line="560" w:lineRule="exact"/>
        <w:ind w:firstLine="565" w:firstLineChars="202"/>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我方全面研究了“</w:t>
      </w:r>
      <w:r>
        <w:rPr>
          <w:rFonts w:hint="eastAsia" w:ascii="宋体" w:hAnsi="宋体"/>
          <w:b/>
          <w:color w:val="000000" w:themeColor="text1"/>
          <w:sz w:val="28"/>
          <w:szCs w:val="28"/>
          <w:u w:val="single"/>
          <w14:textFill>
            <w14:solidFill>
              <w14:schemeClr w14:val="tx1"/>
            </w14:solidFill>
          </w14:textFill>
        </w:rPr>
        <w:t>中国共产党成都市青羊区委员会党校窗帘采购项目</w:t>
      </w:r>
      <w:r>
        <w:rPr>
          <w:rFonts w:hint="eastAsia" w:ascii="宋体" w:hAnsi="宋体"/>
          <w:b/>
          <w:bCs/>
          <w:color w:val="000000" w:themeColor="text1"/>
          <w:sz w:val="28"/>
          <w:szCs w:val="28"/>
          <w:u w:val="single"/>
          <w14:textFill>
            <w14:solidFill>
              <w14:schemeClr w14:val="tx1"/>
            </w14:solidFill>
          </w14:textFill>
        </w:rPr>
        <w:t>”（项目编号：青羊政采（2021）A0024）</w:t>
      </w:r>
      <w:r>
        <w:rPr>
          <w:rFonts w:hint="eastAsia" w:ascii="宋体" w:hAnsi="宋体"/>
          <w:bCs/>
          <w:color w:val="000000" w:themeColor="text1"/>
          <w:sz w:val="28"/>
          <w:szCs w:val="28"/>
          <w14:textFill>
            <w14:solidFill>
              <w14:schemeClr w14:val="tx1"/>
            </w14:solidFill>
          </w14:textFill>
        </w:rPr>
        <w:t>招标文件，决定参加贵单位组织的本项目投标。我方授权</w:t>
      </w:r>
      <w:r>
        <w:rPr>
          <w:rFonts w:hint="eastAsia" w:ascii="宋体" w:hAnsi="宋体"/>
          <w:bCs/>
          <w:color w:val="000000" w:themeColor="text1"/>
          <w:sz w:val="28"/>
          <w:szCs w:val="28"/>
          <w:u w:val="single"/>
          <w14:textFill>
            <w14:solidFill>
              <w14:schemeClr w14:val="tx1"/>
            </w14:solidFill>
          </w14:textFill>
        </w:rPr>
        <w:t>XXXX（姓名、职务）</w:t>
      </w:r>
      <w:r>
        <w:rPr>
          <w:rFonts w:hint="eastAsia" w:ascii="宋体" w:hAnsi="宋体"/>
          <w:bCs/>
          <w:color w:val="000000" w:themeColor="text1"/>
          <w:sz w:val="28"/>
          <w:szCs w:val="28"/>
          <w14:textFill>
            <w14:solidFill>
              <w14:schemeClr w14:val="tx1"/>
            </w14:solidFill>
          </w14:textFill>
        </w:rPr>
        <w:t>代表我方</w:t>
      </w:r>
      <w:r>
        <w:rPr>
          <w:rFonts w:hint="eastAsia" w:ascii="宋体" w:hAnsi="宋体"/>
          <w:bCs/>
          <w:color w:val="000000" w:themeColor="text1"/>
          <w:sz w:val="28"/>
          <w:szCs w:val="28"/>
          <w:u w:val="single"/>
          <w14:textFill>
            <w14:solidFill>
              <w14:schemeClr w14:val="tx1"/>
            </w14:solidFill>
          </w14:textFill>
        </w:rPr>
        <w:t>XXXX（投标人名称）</w:t>
      </w:r>
      <w:r>
        <w:rPr>
          <w:rFonts w:hint="eastAsia" w:ascii="宋体" w:hAnsi="宋体"/>
          <w:bCs/>
          <w:color w:val="000000" w:themeColor="text1"/>
          <w:sz w:val="28"/>
          <w:szCs w:val="28"/>
          <w14:textFill>
            <w14:solidFill>
              <w14:schemeClr w14:val="tx1"/>
            </w14:solidFill>
          </w14:textFill>
        </w:rPr>
        <w:t>全权处理本项目投标的有关事宜。</w:t>
      </w:r>
    </w:p>
    <w:p>
      <w:pPr>
        <w:numPr>
          <w:ilvl w:val="1"/>
          <w:numId w:val="34"/>
        </w:numPr>
        <w:tabs>
          <w:tab w:val="left" w:pos="1134"/>
        </w:tabs>
        <w:spacing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我方自愿按照招标文件规定的各项要求向采购人提供所需货物及服务，</w:t>
      </w:r>
      <w:r>
        <w:rPr>
          <w:rFonts w:hint="eastAsia" w:ascii="宋体" w:hAnsi="宋体"/>
          <w:b/>
          <w:color w:val="000000" w:themeColor="text1"/>
          <w:sz w:val="28"/>
          <w:szCs w:val="28"/>
          <w14:textFill>
            <w14:solidFill>
              <w14:schemeClr w14:val="tx1"/>
            </w14:solidFill>
          </w14:textFill>
        </w:rPr>
        <w:t>投标报价以《开标一览表》为准</w:t>
      </w:r>
      <w:r>
        <w:rPr>
          <w:rFonts w:hint="eastAsia" w:ascii="宋体" w:hAnsi="宋体"/>
          <w:color w:val="000000" w:themeColor="text1"/>
          <w:sz w:val="28"/>
          <w:szCs w:val="28"/>
          <w14:textFill>
            <w14:solidFill>
              <w14:schemeClr w14:val="tx1"/>
            </w14:solidFill>
          </w14:textFill>
        </w:rPr>
        <w:t>。</w:t>
      </w:r>
    </w:p>
    <w:p>
      <w:pPr>
        <w:numPr>
          <w:ilvl w:val="1"/>
          <w:numId w:val="34"/>
        </w:numPr>
        <w:tabs>
          <w:tab w:val="left" w:pos="1134"/>
        </w:tabs>
        <w:spacing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如果我方中标，我方将严格履行合同规定的责任和义务，否则将承担由此产生的一切责任。</w:t>
      </w:r>
    </w:p>
    <w:p>
      <w:pPr>
        <w:numPr>
          <w:ilvl w:val="1"/>
          <w:numId w:val="34"/>
        </w:numPr>
        <w:tabs>
          <w:tab w:val="left" w:pos="1134"/>
        </w:tabs>
        <w:spacing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我方已知晓全部招标文件的内容，包括修改文件（如有）以及全部相关资料和有关附件，并对上述文件均无异议。</w:t>
      </w:r>
    </w:p>
    <w:p>
      <w:pPr>
        <w:numPr>
          <w:ilvl w:val="1"/>
          <w:numId w:val="34"/>
        </w:numPr>
        <w:tabs>
          <w:tab w:val="left" w:pos="1134"/>
        </w:tabs>
        <w:spacing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投标有效期为从投标截止之日起120天。</w:t>
      </w:r>
    </w:p>
    <w:p>
      <w:pPr>
        <w:numPr>
          <w:ilvl w:val="1"/>
          <w:numId w:val="34"/>
        </w:numPr>
        <w:tabs>
          <w:tab w:val="left" w:pos="1134"/>
        </w:tabs>
        <w:spacing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我方愿意提供贵中心可能另外要求的，与投标有关的文件资料，并保证我方已提供和将要提供的文件资料是真实、准确的，并对此承担一切法律后果。</w:t>
      </w:r>
    </w:p>
    <w:p>
      <w:pPr>
        <w:numPr>
          <w:ilvl w:val="1"/>
          <w:numId w:val="34"/>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我单位联系方式：</w:t>
      </w:r>
    </w:p>
    <w:p>
      <w:pPr>
        <w:spacing w:line="360" w:lineRule="auto"/>
        <w:ind w:left="420" w:firstLine="565" w:firstLineChars="202"/>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    址：</w:t>
      </w:r>
      <w:r>
        <w:rPr>
          <w:rFonts w:hint="eastAsia" w:ascii="宋体" w:hAnsi="宋体"/>
          <w:color w:val="000000" w:themeColor="text1"/>
          <w:sz w:val="28"/>
          <w:szCs w:val="28"/>
          <w:u w:val="single"/>
          <w14:textFill>
            <w14:solidFill>
              <w14:schemeClr w14:val="tx1"/>
            </w14:solidFill>
          </w14:textFill>
        </w:rPr>
        <w:t>XXXX</w:t>
      </w:r>
    </w:p>
    <w:p>
      <w:pPr>
        <w:spacing w:line="360" w:lineRule="auto"/>
        <w:ind w:left="420" w:firstLine="565" w:firstLineChars="202"/>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传    真：</w:t>
      </w:r>
      <w:r>
        <w:rPr>
          <w:rFonts w:hint="eastAsia" w:ascii="宋体" w:hAnsi="宋体"/>
          <w:color w:val="000000" w:themeColor="text1"/>
          <w:sz w:val="28"/>
          <w:szCs w:val="28"/>
          <w:u w:val="single"/>
          <w14:textFill>
            <w14:solidFill>
              <w14:schemeClr w14:val="tx1"/>
            </w14:solidFill>
          </w14:textFill>
        </w:rPr>
        <w:t>XXXX</w:t>
      </w:r>
    </w:p>
    <w:p>
      <w:pPr>
        <w:spacing w:line="360" w:lineRule="auto"/>
        <w:ind w:left="420" w:firstLine="565" w:firstLineChars="202"/>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邮政编码：</w:t>
      </w:r>
      <w:r>
        <w:rPr>
          <w:rFonts w:hint="eastAsia" w:ascii="宋体" w:hAnsi="宋体"/>
          <w:color w:val="000000" w:themeColor="text1"/>
          <w:sz w:val="28"/>
          <w:szCs w:val="28"/>
          <w:u w:val="single"/>
          <w14:textFill>
            <w14:solidFill>
              <w14:schemeClr w14:val="tx1"/>
            </w14:solidFill>
          </w14:textFill>
        </w:rPr>
        <w:t>XXXX</w:t>
      </w:r>
    </w:p>
    <w:p>
      <w:pPr>
        <w:spacing w:after="120" w:line="360" w:lineRule="auto"/>
        <w:ind w:left="420" w:leftChars="200" w:firstLine="560" w:firstLineChars="20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投标人名称：</w:t>
      </w:r>
      <w:r>
        <w:rPr>
          <w:rFonts w:hint="eastAsia" w:ascii="宋体" w:hAnsi="宋体"/>
          <w:bCs/>
          <w:color w:val="000000" w:themeColor="text1"/>
          <w:sz w:val="28"/>
          <w:szCs w:val="28"/>
          <w:u w:val="single"/>
          <w14:textFill>
            <w14:solidFill>
              <w14:schemeClr w14:val="tx1"/>
            </w14:solidFill>
          </w14:textFill>
        </w:rPr>
        <w:t>XXXX</w:t>
      </w:r>
    </w:p>
    <w:p>
      <w:pPr>
        <w:spacing w:line="360" w:lineRule="auto"/>
        <w:ind w:left="283" w:leftChars="135" w:firstLine="700" w:firstLineChars="250"/>
        <w:rPr>
          <w:rFonts w:ascii="宋体" w:hAnsi="宋体"/>
          <w:bCs/>
          <w:color w:val="000000" w:themeColor="text1"/>
          <w:sz w:val="28"/>
          <w:u w:val="single"/>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日    期：</w:t>
      </w:r>
      <w:r>
        <w:rPr>
          <w:rFonts w:hint="eastAsia" w:ascii="宋体" w:hAnsi="宋体"/>
          <w:bCs/>
          <w:color w:val="000000" w:themeColor="text1"/>
          <w:sz w:val="28"/>
          <w14:textFill>
            <w14:solidFill>
              <w14:schemeClr w14:val="tx1"/>
            </w14:solidFill>
          </w14:textFill>
        </w:rPr>
        <w:t>202</w:t>
      </w:r>
      <w:r>
        <w:rPr>
          <w:rFonts w:hint="eastAsia" w:ascii="宋体" w:hAnsi="宋体"/>
          <w:bCs/>
          <w:color w:val="000000" w:themeColor="text1"/>
          <w:sz w:val="28"/>
          <w:u w:val="single"/>
          <w14:textFill>
            <w14:solidFill>
              <w14:schemeClr w14:val="tx1"/>
            </w14:solidFill>
          </w14:textFill>
        </w:rPr>
        <w:t>X</w:t>
      </w:r>
      <w:r>
        <w:rPr>
          <w:rFonts w:hint="eastAsia" w:ascii="宋体" w:hAnsi="宋体"/>
          <w:bCs/>
          <w:color w:val="000000" w:themeColor="text1"/>
          <w:sz w:val="28"/>
          <w14:textFill>
            <w14:solidFill>
              <w14:schemeClr w14:val="tx1"/>
            </w14:solidFill>
          </w14:textFill>
        </w:rPr>
        <w:t>年</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月</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日</w:t>
      </w:r>
    </w:p>
    <w:p>
      <w:pPr>
        <w:tabs>
          <w:tab w:val="left" w:pos="630"/>
          <w:tab w:val="left" w:pos="7560"/>
        </w:tabs>
        <w:spacing w:line="360" w:lineRule="auto"/>
        <w:rPr>
          <w:rFonts w:ascii="宋体" w:hAnsi="宋体"/>
          <w:color w:val="000000" w:themeColor="text1"/>
          <w:sz w:val="28"/>
          <w:szCs w:val="28"/>
          <w:u w:val="single"/>
          <w14:textFill>
            <w14:solidFill>
              <w14:schemeClr w14:val="tx1"/>
            </w14:solidFill>
          </w14:textFill>
        </w:rPr>
      </w:pPr>
      <w:bookmarkStart w:id="131" w:name="_Toc229802674"/>
      <w:bookmarkStart w:id="132" w:name="_Toc237145395"/>
      <w:bookmarkStart w:id="133" w:name="_Toc239849853"/>
      <w:bookmarkStart w:id="134" w:name="_Toc265494342"/>
      <w:bookmarkStart w:id="135" w:name="_Toc231030275"/>
      <w:bookmarkStart w:id="136" w:name="_Toc240367172"/>
      <w:bookmarkStart w:id="137" w:name="_Toc239846734"/>
      <w:bookmarkStart w:id="138" w:name="_Toc314574804"/>
      <w:bookmarkStart w:id="139" w:name="_Toc240865266"/>
    </w:p>
    <w:p>
      <w:pPr>
        <w:tabs>
          <w:tab w:val="left" w:pos="630"/>
          <w:tab w:val="left" w:pos="7560"/>
        </w:tabs>
        <w:spacing w:line="360" w:lineRule="auto"/>
        <w:rPr>
          <w:rFonts w:ascii="宋体" w:hAnsi="宋体"/>
          <w:color w:val="000000" w:themeColor="text1"/>
          <w:sz w:val="28"/>
          <w:szCs w:val="28"/>
          <w14:textFill>
            <w14:solidFill>
              <w14:schemeClr w14:val="tx1"/>
            </w14:solidFill>
          </w14:textFill>
        </w:rPr>
      </w:pPr>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法定代表人身份证明书</w:t>
      </w:r>
    </w:p>
    <w:p>
      <w:pPr>
        <w:tabs>
          <w:tab w:val="left" w:pos="6300"/>
        </w:tabs>
        <w:spacing w:line="360" w:lineRule="auto"/>
        <w:ind w:firstLine="573"/>
        <w:rPr>
          <w:rFonts w:ascii="宋体" w:hAnsi="宋体"/>
          <w:color w:val="000000" w:themeColor="text1"/>
          <w:sz w:val="28"/>
          <w:u w:val="single"/>
          <w:lang w:val="zh-CN"/>
          <w14:textFill>
            <w14:solidFill>
              <w14:schemeClr w14:val="tx1"/>
            </w14:solidFill>
          </w14:textFill>
        </w:rPr>
      </w:pPr>
    </w:p>
    <w:p>
      <w:pPr>
        <w:tabs>
          <w:tab w:val="left" w:pos="6300"/>
        </w:tabs>
        <w:spacing w:line="360" w:lineRule="auto"/>
        <w:ind w:firstLine="573"/>
        <w:rPr>
          <w:rFonts w:ascii="宋体" w:hAnsi="宋体"/>
          <w:color w:val="000000" w:themeColor="text1"/>
          <w:sz w:val="28"/>
          <w:lang w:val="zh-CN"/>
          <w14:textFill>
            <w14:solidFill>
              <w14:schemeClr w14:val="tx1"/>
            </w14:solidFill>
          </w14:textFill>
        </w:rPr>
      </w:pPr>
      <w:r>
        <w:rPr>
          <w:rFonts w:hint="eastAsia" w:ascii="宋体" w:hAnsi="宋体"/>
          <w:color w:val="000000" w:themeColor="text1"/>
          <w:sz w:val="28"/>
          <w:u w:val="single"/>
          <w:lang w:val="zh-CN"/>
          <w14:textFill>
            <w14:solidFill>
              <w14:schemeClr w14:val="tx1"/>
            </w14:solidFill>
          </w14:textFill>
        </w:rPr>
        <w:t>XXXX（法定代表人姓名）</w:t>
      </w:r>
      <w:r>
        <w:rPr>
          <w:rFonts w:hint="eastAsia" w:ascii="宋体" w:hAnsi="宋体"/>
          <w:color w:val="000000" w:themeColor="text1"/>
          <w:sz w:val="28"/>
          <w:lang w:val="zh-CN"/>
          <w14:textFill>
            <w14:solidFill>
              <w14:schemeClr w14:val="tx1"/>
            </w14:solidFill>
          </w14:textFill>
        </w:rPr>
        <w:t>在</w:t>
      </w:r>
      <w:r>
        <w:rPr>
          <w:rFonts w:hint="eastAsia" w:ascii="宋体" w:hAnsi="宋体"/>
          <w:color w:val="000000" w:themeColor="text1"/>
          <w:sz w:val="28"/>
          <w:u w:val="single"/>
          <w:lang w:val="zh-CN"/>
          <w14:textFill>
            <w14:solidFill>
              <w14:schemeClr w14:val="tx1"/>
            </w14:solidFill>
          </w14:textFill>
        </w:rPr>
        <w:t>XXXX（投标人名称）</w:t>
      </w:r>
      <w:r>
        <w:rPr>
          <w:rFonts w:hint="eastAsia" w:ascii="宋体" w:hAnsi="宋体"/>
          <w:color w:val="000000" w:themeColor="text1"/>
          <w:sz w:val="28"/>
          <w:lang w:val="zh-CN"/>
          <w14:textFill>
            <w14:solidFill>
              <w14:schemeClr w14:val="tx1"/>
            </w14:solidFill>
          </w14:textFill>
        </w:rPr>
        <w:t>处 任</w:t>
      </w:r>
      <w:r>
        <w:rPr>
          <w:rFonts w:hint="eastAsia" w:ascii="宋体" w:hAnsi="宋体"/>
          <w:color w:val="000000" w:themeColor="text1"/>
          <w:sz w:val="28"/>
          <w:u w:val="single"/>
          <w:lang w:val="zh-CN"/>
          <w14:textFill>
            <w14:solidFill>
              <w14:schemeClr w14:val="tx1"/>
            </w14:solidFill>
          </w14:textFill>
        </w:rPr>
        <w:t>XXXX（职务名称）</w:t>
      </w:r>
      <w:r>
        <w:rPr>
          <w:rFonts w:hint="eastAsia" w:ascii="宋体" w:hAnsi="宋体"/>
          <w:color w:val="000000" w:themeColor="text1"/>
          <w:sz w:val="28"/>
          <w:lang w:val="zh-CN"/>
          <w14:textFill>
            <w14:solidFill>
              <w14:schemeClr w14:val="tx1"/>
            </w14:solidFill>
          </w14:textFill>
        </w:rPr>
        <w:t>职务，是</w:t>
      </w:r>
      <w:r>
        <w:rPr>
          <w:rFonts w:hint="eastAsia" w:ascii="宋体" w:hAnsi="宋体"/>
          <w:color w:val="000000" w:themeColor="text1"/>
          <w:sz w:val="28"/>
          <w:u w:val="single"/>
          <w:lang w:val="zh-CN"/>
          <w14:textFill>
            <w14:solidFill>
              <w14:schemeClr w14:val="tx1"/>
            </w14:solidFill>
          </w14:textFill>
        </w:rPr>
        <w:t>XXXX（投标人名称）</w:t>
      </w:r>
      <w:r>
        <w:rPr>
          <w:rFonts w:hint="eastAsia" w:ascii="宋体" w:hAnsi="宋体"/>
          <w:color w:val="000000" w:themeColor="text1"/>
          <w:sz w:val="28"/>
          <w:lang w:val="zh-CN"/>
          <w14:textFill>
            <w14:solidFill>
              <w14:schemeClr w14:val="tx1"/>
            </w14:solidFill>
          </w14:textFill>
        </w:rPr>
        <w:t>的法定代表人。</w:t>
      </w:r>
    </w:p>
    <w:p>
      <w:pPr>
        <w:tabs>
          <w:tab w:val="left" w:pos="6300"/>
        </w:tabs>
        <w:spacing w:line="360" w:lineRule="auto"/>
        <w:rPr>
          <w:rFonts w:ascii="宋体" w:hAnsi="宋体"/>
          <w:color w:val="000000" w:themeColor="text1"/>
          <w:sz w:val="28"/>
          <w:lang w:val="zh-CN"/>
          <w14:textFill>
            <w14:solidFill>
              <w14:schemeClr w14:val="tx1"/>
            </w14:solidFill>
          </w14:textFill>
        </w:rPr>
      </w:pPr>
    </w:p>
    <w:p>
      <w:pPr>
        <w:tabs>
          <w:tab w:val="left" w:pos="6300"/>
        </w:tabs>
        <w:spacing w:line="360" w:lineRule="auto"/>
        <w:rPr>
          <w:rFonts w:ascii="宋体" w:hAnsi="宋体"/>
          <w:color w:val="000000" w:themeColor="text1"/>
          <w:sz w:val="28"/>
          <w:lang w:val="zh-CN"/>
          <w14:textFill>
            <w14:solidFill>
              <w14:schemeClr w14:val="tx1"/>
            </w14:solidFill>
          </w14:textFill>
        </w:rPr>
      </w:pPr>
    </w:p>
    <w:p>
      <w:pPr>
        <w:tabs>
          <w:tab w:val="left" w:pos="6300"/>
        </w:tabs>
        <w:spacing w:line="360" w:lineRule="auto"/>
        <w:ind w:firstLine="573"/>
        <w:rPr>
          <w:rFonts w:ascii="宋体" w:hAnsi="宋体"/>
          <w:color w:val="000000" w:themeColor="text1"/>
          <w:sz w:val="28"/>
          <w:lang w:val="zh-CN"/>
          <w14:textFill>
            <w14:solidFill>
              <w14:schemeClr w14:val="tx1"/>
            </w14:solidFill>
          </w14:textFill>
        </w:rPr>
      </w:pPr>
    </w:p>
    <w:p>
      <w:pPr>
        <w:tabs>
          <w:tab w:val="left" w:pos="6300"/>
        </w:tabs>
        <w:spacing w:line="360" w:lineRule="auto"/>
        <w:ind w:firstLine="573"/>
        <w:rPr>
          <w:rFonts w:ascii="宋体" w:hAnsi="宋体"/>
          <w:color w:val="000000" w:themeColor="text1"/>
          <w:sz w:val="28"/>
          <w:lang w:val="zh-CN"/>
          <w14:textFill>
            <w14:solidFill>
              <w14:schemeClr w14:val="tx1"/>
            </w14:solidFill>
          </w14:textFill>
        </w:rPr>
      </w:pPr>
    </w:p>
    <w:p>
      <w:pPr>
        <w:tabs>
          <w:tab w:val="left" w:pos="6300"/>
        </w:tabs>
        <w:spacing w:line="360" w:lineRule="auto"/>
        <w:ind w:firstLine="573"/>
        <w:rPr>
          <w:rFonts w:ascii="宋体" w:hAnsi="宋体"/>
          <w:color w:val="000000" w:themeColor="text1"/>
          <w:sz w:val="28"/>
          <w:lang w:val="zh-CN"/>
          <w14:textFill>
            <w14:solidFill>
              <w14:schemeClr w14:val="tx1"/>
            </w14:solidFill>
          </w14:textFill>
        </w:rPr>
      </w:pPr>
    </w:p>
    <w:p>
      <w:pPr>
        <w:tabs>
          <w:tab w:val="left" w:pos="6300"/>
        </w:tabs>
        <w:spacing w:line="360" w:lineRule="auto"/>
        <w:ind w:firstLine="573"/>
        <w:rPr>
          <w:rFonts w:ascii="宋体" w:hAnsi="宋体"/>
          <w:color w:val="000000" w:themeColor="text1"/>
          <w:sz w:val="28"/>
          <w:lang w:val="zh-CN"/>
          <w14:textFill>
            <w14:solidFill>
              <w14:schemeClr w14:val="tx1"/>
            </w14:solidFill>
          </w14:textFill>
        </w:rPr>
      </w:pPr>
      <w:bookmarkStart w:id="140" w:name="_Toc263768866"/>
      <w:r>
        <w:rPr>
          <w:rFonts w:hint="eastAsia" w:ascii="宋体" w:hAnsi="宋体"/>
          <w:color w:val="000000" w:themeColor="text1"/>
          <w:sz w:val="28"/>
          <w:lang w:val="zh-CN"/>
          <w14:textFill>
            <w14:solidFill>
              <w14:schemeClr w14:val="tx1"/>
            </w14:solidFill>
          </w14:textFill>
        </w:rPr>
        <w:t>特此证明。</w:t>
      </w:r>
      <w:bookmarkEnd w:id="140"/>
    </w:p>
    <w:p>
      <w:pPr>
        <w:tabs>
          <w:tab w:val="left" w:pos="6300"/>
        </w:tabs>
        <w:spacing w:line="360" w:lineRule="auto"/>
        <w:rPr>
          <w:rFonts w:ascii="宋体" w:hAnsi="宋体"/>
          <w:color w:val="000000" w:themeColor="text1"/>
          <w:sz w:val="28"/>
          <w:lang w:val="zh-CN"/>
          <w14:textFill>
            <w14:solidFill>
              <w14:schemeClr w14:val="tx1"/>
            </w14:solidFill>
          </w14:textFill>
        </w:rPr>
      </w:pPr>
    </w:p>
    <w:p>
      <w:pPr>
        <w:tabs>
          <w:tab w:val="left" w:pos="6300"/>
        </w:tabs>
        <w:spacing w:line="360" w:lineRule="auto"/>
        <w:rPr>
          <w:rFonts w:ascii="宋体" w:hAnsi="宋体"/>
          <w:color w:val="000000" w:themeColor="text1"/>
          <w:sz w:val="28"/>
          <w:lang w:val="zh-CN"/>
          <w14:textFill>
            <w14:solidFill>
              <w14:schemeClr w14:val="tx1"/>
            </w14:solidFill>
          </w14:textFill>
        </w:rPr>
      </w:pPr>
    </w:p>
    <w:p>
      <w:pPr>
        <w:tabs>
          <w:tab w:val="left" w:pos="6300"/>
        </w:tabs>
        <w:spacing w:line="360" w:lineRule="auto"/>
        <w:rPr>
          <w:rFonts w:ascii="宋体" w:hAnsi="宋体"/>
          <w:color w:val="000000" w:themeColor="text1"/>
          <w:sz w:val="28"/>
          <w:lang w:val="zh-CN"/>
          <w14:textFill>
            <w14:solidFill>
              <w14:schemeClr w14:val="tx1"/>
            </w14:solidFill>
          </w14:textFill>
        </w:rPr>
      </w:pPr>
    </w:p>
    <w:p>
      <w:pPr>
        <w:tabs>
          <w:tab w:val="left" w:pos="6300"/>
        </w:tabs>
        <w:spacing w:line="360" w:lineRule="auto"/>
        <w:rPr>
          <w:rFonts w:ascii="宋体" w:hAnsi="宋体"/>
          <w:color w:val="000000" w:themeColor="text1"/>
          <w:sz w:val="28"/>
          <w:lang w:val="zh-CN"/>
          <w14:textFill>
            <w14:solidFill>
              <w14:schemeClr w14:val="tx1"/>
            </w14:solidFill>
          </w14:textFill>
        </w:rPr>
      </w:pPr>
    </w:p>
    <w:p>
      <w:pPr>
        <w:tabs>
          <w:tab w:val="left" w:pos="6300"/>
        </w:tabs>
        <w:spacing w:line="360" w:lineRule="auto"/>
        <w:rPr>
          <w:rFonts w:ascii="宋体" w:hAnsi="宋体"/>
          <w:color w:val="000000" w:themeColor="text1"/>
          <w:sz w:val="28"/>
          <w:lang w:val="zh-CN"/>
          <w14:textFill>
            <w14:solidFill>
              <w14:schemeClr w14:val="tx1"/>
            </w14:solidFill>
          </w14:textFill>
        </w:rPr>
      </w:pPr>
    </w:p>
    <w:p>
      <w:pPr>
        <w:tabs>
          <w:tab w:val="left" w:pos="6300"/>
        </w:tabs>
        <w:spacing w:line="360" w:lineRule="auto"/>
        <w:rPr>
          <w:rFonts w:ascii="宋体" w:hAnsi="宋体"/>
          <w:color w:val="000000" w:themeColor="text1"/>
          <w:sz w:val="28"/>
          <w:lang w:val="zh-CN"/>
          <w14:textFill>
            <w14:solidFill>
              <w14:schemeClr w14:val="tx1"/>
            </w14:solidFill>
          </w14:textFill>
        </w:rPr>
      </w:pPr>
    </w:p>
    <w:p>
      <w:pPr>
        <w:spacing w:line="360" w:lineRule="auto"/>
        <w:rPr>
          <w:rFonts w:ascii="宋体" w:hAnsi="宋体"/>
          <w:color w:val="000000" w:themeColor="text1"/>
          <w:sz w:val="28"/>
          <w:lang w:val="zh-CN"/>
          <w14:textFill>
            <w14:solidFill>
              <w14:schemeClr w14:val="tx1"/>
            </w14:solidFill>
          </w14:textFill>
        </w:rPr>
      </w:pPr>
      <w:r>
        <w:rPr>
          <w:rFonts w:hint="eastAsia" w:ascii="宋体" w:hAnsi="宋体"/>
          <w:color w:val="000000" w:themeColor="text1"/>
          <w:sz w:val="28"/>
          <w:lang w:val="zh-CN"/>
          <w14:textFill>
            <w14:solidFill>
              <w14:schemeClr w14:val="tx1"/>
            </w14:solidFill>
          </w14:textFill>
        </w:rPr>
        <w:t>投标人名称：</w:t>
      </w:r>
      <w:r>
        <w:rPr>
          <w:rFonts w:hint="eastAsia" w:ascii="宋体" w:hAnsi="宋体"/>
          <w:color w:val="000000" w:themeColor="text1"/>
          <w:sz w:val="28"/>
          <w:u w:val="single"/>
          <w:lang w:val="zh-CN"/>
          <w14:textFill>
            <w14:solidFill>
              <w14:schemeClr w14:val="tx1"/>
            </w14:solidFill>
          </w14:textFill>
        </w:rPr>
        <w:t>XXXX</w:t>
      </w:r>
    </w:p>
    <w:p>
      <w:pPr>
        <w:spacing w:line="360" w:lineRule="auto"/>
        <w:rPr>
          <w:rFonts w:ascii="宋体" w:hAnsi="宋体"/>
          <w:b/>
          <w:color w:val="000000" w:themeColor="text1"/>
          <w:sz w:val="28"/>
          <w:u w:val="single"/>
          <w:lang w:val="zh-CN"/>
          <w14:textFill>
            <w14:solidFill>
              <w14:schemeClr w14:val="tx1"/>
            </w14:solidFill>
          </w14:textFill>
        </w:rPr>
      </w:pPr>
      <w:r>
        <w:rPr>
          <w:rFonts w:hint="eastAsia" w:ascii="宋体" w:hAnsi="宋体"/>
          <w:color w:val="000000" w:themeColor="text1"/>
          <w:sz w:val="28"/>
          <w14:textFill>
            <w14:solidFill>
              <w14:schemeClr w14:val="tx1"/>
            </w14:solidFill>
          </w14:textFill>
        </w:rPr>
        <w:t>日期：</w:t>
      </w:r>
      <w:r>
        <w:rPr>
          <w:rFonts w:hint="eastAsia" w:ascii="宋体" w:hAnsi="宋体"/>
          <w:bCs/>
          <w:color w:val="000000" w:themeColor="text1"/>
          <w:sz w:val="28"/>
          <w14:textFill>
            <w14:solidFill>
              <w14:schemeClr w14:val="tx1"/>
            </w14:solidFill>
          </w14:textFill>
        </w:rPr>
        <w:t>20</w:t>
      </w:r>
      <w:r>
        <w:rPr>
          <w:rFonts w:hint="eastAsia" w:ascii="宋体" w:hAnsi="宋体"/>
          <w:color w:val="000000" w:themeColor="text1"/>
          <w:sz w:val="28"/>
          <w:lang w:val="zh-CN"/>
          <w14:textFill>
            <w14:solidFill>
              <w14:schemeClr w14:val="tx1"/>
            </w14:solidFill>
          </w14:textFill>
        </w:rPr>
        <w:t>2</w:t>
      </w:r>
      <w:r>
        <w:rPr>
          <w:rFonts w:hint="eastAsia" w:ascii="宋体" w:hAnsi="宋体"/>
          <w:color w:val="000000" w:themeColor="text1"/>
          <w:sz w:val="28"/>
          <w:u w:val="single"/>
          <w:lang w:val="zh-CN"/>
          <w14:textFill>
            <w14:solidFill>
              <w14:schemeClr w14:val="tx1"/>
            </w14:solidFill>
          </w14:textFill>
        </w:rPr>
        <w:t>X</w:t>
      </w:r>
      <w:r>
        <w:rPr>
          <w:rFonts w:hint="eastAsia" w:ascii="宋体" w:hAnsi="宋体"/>
          <w:bCs/>
          <w:color w:val="000000" w:themeColor="text1"/>
          <w:sz w:val="28"/>
          <w14:textFill>
            <w14:solidFill>
              <w14:schemeClr w14:val="tx1"/>
            </w14:solidFill>
          </w14:textFill>
        </w:rPr>
        <w:t>年</w:t>
      </w:r>
      <w:r>
        <w:rPr>
          <w:rFonts w:hint="eastAsia" w:ascii="宋体" w:hAnsi="宋体"/>
          <w:color w:val="000000" w:themeColor="text1"/>
          <w:sz w:val="28"/>
          <w:u w:val="single"/>
          <w:lang w:val="zh-CN"/>
          <w14:textFill>
            <w14:solidFill>
              <w14:schemeClr w14:val="tx1"/>
            </w14:solidFill>
          </w14:textFill>
        </w:rPr>
        <w:t>XX</w:t>
      </w:r>
      <w:r>
        <w:rPr>
          <w:rFonts w:hint="eastAsia" w:ascii="宋体" w:hAnsi="宋体"/>
          <w:bCs/>
          <w:color w:val="000000" w:themeColor="text1"/>
          <w:sz w:val="28"/>
          <w14:textFill>
            <w14:solidFill>
              <w14:schemeClr w14:val="tx1"/>
            </w14:solidFill>
          </w14:textFill>
        </w:rPr>
        <w:t>月</w:t>
      </w:r>
      <w:r>
        <w:rPr>
          <w:rFonts w:hint="eastAsia" w:ascii="宋体" w:hAnsi="宋体"/>
          <w:color w:val="000000" w:themeColor="text1"/>
          <w:sz w:val="28"/>
          <w:u w:val="single"/>
          <w:lang w:val="zh-CN"/>
          <w14:textFill>
            <w14:solidFill>
              <w14:schemeClr w14:val="tx1"/>
            </w14:solidFill>
          </w14:textFill>
        </w:rPr>
        <w:t>XX</w:t>
      </w:r>
      <w:r>
        <w:rPr>
          <w:rFonts w:hint="eastAsia" w:ascii="宋体" w:hAnsi="宋体"/>
          <w:bCs/>
          <w:color w:val="000000" w:themeColor="text1"/>
          <w:sz w:val="28"/>
          <w14:textFill>
            <w14:solidFill>
              <w14:schemeClr w14:val="tx1"/>
            </w14:solidFill>
          </w14:textFill>
        </w:rPr>
        <w:t>日</w:t>
      </w:r>
    </w:p>
    <w:p>
      <w:pPr>
        <w:spacing w:after="180" w:line="360" w:lineRule="auto"/>
        <w:ind w:firstLine="568" w:firstLineChars="202"/>
        <w:rPr>
          <w:rFonts w:ascii="宋体" w:hAnsi="宋体"/>
          <w:b/>
          <w:color w:val="000000" w:themeColor="text1"/>
          <w:sz w:val="28"/>
          <w:szCs w:val="28"/>
          <w14:textFill>
            <w14:solidFill>
              <w14:schemeClr w14:val="tx1"/>
            </w14:solidFill>
          </w14:textFill>
        </w:rPr>
      </w:pPr>
    </w:p>
    <w:p>
      <w:pPr>
        <w:spacing w:after="180" w:line="360" w:lineRule="auto"/>
        <w:ind w:firstLine="568" w:firstLineChars="20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说明：上述证明文件在投标文件中附有法定代表人身份证复印件（身份证两面均应复印）或护照复印件（投标人的法定代表人为外籍人士的，则提供护照复印件）时才能生效。</w:t>
      </w:r>
    </w:p>
    <w:p>
      <w:pPr>
        <w:spacing w:after="180" w:line="300" w:lineRule="auto"/>
        <w:rPr>
          <w:rFonts w:ascii="宋体" w:hAnsi="宋体"/>
          <w:b/>
          <w:color w:val="000000" w:themeColor="text1"/>
          <w:sz w:val="28"/>
          <w:szCs w:val="28"/>
          <w14:textFill>
            <w14:solidFill>
              <w14:schemeClr w14:val="tx1"/>
            </w14:solidFill>
          </w14:textFill>
        </w:rPr>
      </w:pPr>
    </w:p>
    <w:bookmarkEnd w:id="131"/>
    <w:bookmarkEnd w:id="132"/>
    <w:bookmarkEnd w:id="133"/>
    <w:bookmarkEnd w:id="134"/>
    <w:bookmarkEnd w:id="135"/>
    <w:bookmarkEnd w:id="136"/>
    <w:bookmarkEnd w:id="137"/>
    <w:bookmarkEnd w:id="138"/>
    <w:bookmarkEnd w:id="139"/>
    <w:p>
      <w:pPr>
        <w:rPr>
          <w:color w:val="000000" w:themeColor="text1"/>
          <w14:textFill>
            <w14:solidFill>
              <w14:schemeClr w14:val="tx1"/>
            </w14:solidFill>
          </w14:textFill>
        </w:rPr>
      </w:pPr>
      <w:bookmarkStart w:id="141" w:name="_Toc315871054"/>
      <w:bookmarkEnd w:id="141"/>
      <w:bookmarkStart w:id="142" w:name="_Toc302997926"/>
      <w:bookmarkStart w:id="143" w:name="_Toc217446083"/>
      <w:bookmarkStart w:id="144" w:name="_Toc263768870"/>
      <w:bookmarkStart w:id="145" w:name="_Toc220299393"/>
      <w:bookmarkStart w:id="146" w:name="_Toc263753605"/>
    </w:p>
    <w:p>
      <w:pPr>
        <w:rPr>
          <w:color w:val="000000" w:themeColor="text1"/>
          <w14:textFill>
            <w14:solidFill>
              <w14:schemeClr w14:val="tx1"/>
            </w14:solidFill>
          </w14:textFill>
        </w:rPr>
      </w:pPr>
    </w:p>
    <w:p>
      <w:pPr>
        <w:rPr>
          <w:color w:val="000000" w:themeColor="text1"/>
          <w14:textFill>
            <w14:solidFill>
              <w14:schemeClr w14:val="tx1"/>
            </w14:solidFill>
          </w14:textFill>
        </w:rPr>
      </w:pPr>
    </w:p>
    <w:bookmarkEnd w:id="142"/>
    <w:p>
      <w:pPr>
        <w:pStyle w:val="5"/>
        <w:spacing w:after="200" w:line="240" w:lineRule="auto"/>
        <w:ind w:left="851" w:hanging="851"/>
        <w:rPr>
          <w:color w:val="000000" w:themeColor="text1"/>
          <w14:textFill>
            <w14:solidFill>
              <w14:schemeClr w14:val="tx1"/>
            </w14:solidFill>
          </w14:textFill>
        </w:rPr>
      </w:pPr>
      <w:r>
        <w:rPr>
          <w:rFonts w:hint="eastAsia"/>
          <w:color w:val="000000" w:themeColor="text1"/>
          <w14:textFill>
            <w14:solidFill>
              <w14:schemeClr w14:val="tx1"/>
            </w14:solidFill>
          </w14:textFill>
        </w:rPr>
        <w:t>投标产品技术性能、技术参数和配置的详细描述</w:t>
      </w:r>
    </w:p>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项目名称：</w:t>
      </w:r>
    </w:p>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pacing w:after="120" w:line="360" w:lineRule="auto"/>
        <w:ind w:left="420" w:leftChars="20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投标人名称：</w:t>
      </w:r>
      <w:r>
        <w:rPr>
          <w:rFonts w:hint="eastAsia" w:ascii="宋体" w:hAnsi="宋体"/>
          <w:bCs/>
          <w:color w:val="000000" w:themeColor="text1"/>
          <w:sz w:val="28"/>
          <w:szCs w:val="28"/>
          <w:u w:val="single"/>
          <w14:textFill>
            <w14:solidFill>
              <w14:schemeClr w14:val="tx1"/>
            </w14:solidFill>
          </w14:textFill>
        </w:rPr>
        <w:t>XXXX</w:t>
      </w: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日期：</w:t>
      </w:r>
      <w:r>
        <w:rPr>
          <w:rFonts w:hint="eastAsia" w:ascii="宋体" w:hAnsi="宋体"/>
          <w:bCs/>
          <w:color w:val="000000" w:themeColor="text1"/>
          <w:sz w:val="28"/>
          <w14:textFill>
            <w14:solidFill>
              <w14:schemeClr w14:val="tx1"/>
            </w14:solidFill>
          </w14:textFill>
        </w:rPr>
        <w:t>202</w:t>
      </w:r>
      <w:r>
        <w:rPr>
          <w:rFonts w:hint="eastAsia" w:ascii="宋体" w:hAnsi="宋体"/>
          <w:bCs/>
          <w:color w:val="000000" w:themeColor="text1"/>
          <w:sz w:val="28"/>
          <w:u w:val="single"/>
          <w14:textFill>
            <w14:solidFill>
              <w14:schemeClr w14:val="tx1"/>
            </w14:solidFill>
          </w14:textFill>
        </w:rPr>
        <w:t>X</w:t>
      </w:r>
      <w:r>
        <w:rPr>
          <w:rFonts w:hint="eastAsia" w:ascii="宋体" w:hAnsi="宋体"/>
          <w:bCs/>
          <w:color w:val="000000" w:themeColor="text1"/>
          <w:sz w:val="28"/>
          <w14:textFill>
            <w14:solidFill>
              <w14:schemeClr w14:val="tx1"/>
            </w14:solidFill>
          </w14:textFill>
        </w:rPr>
        <w:t>年</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月</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日</w:t>
      </w: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pStyle w:val="2"/>
        <w:rPr>
          <w:rFonts w:ascii="宋体" w:hAnsi="宋体"/>
          <w:bCs/>
          <w:color w:val="000000" w:themeColor="text1"/>
          <w:sz w:val="28"/>
          <w14:textFill>
            <w14:solidFill>
              <w14:schemeClr w14:val="tx1"/>
            </w14:solidFill>
          </w14:textFill>
        </w:rPr>
      </w:pPr>
    </w:p>
    <w:p>
      <w:pPr>
        <w:pStyle w:val="2"/>
        <w:rPr>
          <w:rFonts w:ascii="宋体" w:hAnsi="宋体"/>
          <w:bCs/>
          <w:color w:val="000000" w:themeColor="text1"/>
          <w:sz w:val="28"/>
          <w14:textFill>
            <w14:solidFill>
              <w14:schemeClr w14:val="tx1"/>
            </w14:solidFill>
          </w14:textFill>
        </w:rPr>
      </w:pPr>
    </w:p>
    <w:p>
      <w:pPr>
        <w:adjustRightInd w:val="0"/>
        <w:spacing w:line="400" w:lineRule="exact"/>
        <w:rPr>
          <w:rFonts w:ascii="宋体" w:hAnsi="宋体"/>
          <w:bCs/>
          <w:color w:val="000000" w:themeColor="text1"/>
          <w:sz w:val="28"/>
          <w:u w:val="single"/>
          <w14:textFill>
            <w14:solidFill>
              <w14:schemeClr w14:val="tx1"/>
            </w14:solidFill>
          </w14:textFill>
        </w:rPr>
      </w:pPr>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售后服务及承诺</w:t>
      </w:r>
    </w:p>
    <w:p>
      <w:pPr>
        <w:snapToGrid w:val="0"/>
        <w:spacing w:line="360" w:lineRule="auto"/>
        <w:ind w:right="-624" w:rightChars="-29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14:textFill>
            <w14:solidFill>
              <w14:schemeClr w14:val="tx1"/>
            </w14:solidFill>
          </w14:textFill>
        </w:rPr>
        <w:t>项目名称：</w:t>
      </w:r>
    </w:p>
    <w:p>
      <w:pPr>
        <w:snapToGrid w:val="0"/>
        <w:spacing w:line="360" w:lineRule="auto"/>
        <w:ind w:right="-624" w:rightChars="-297"/>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项目编号：</w:t>
      </w:r>
    </w:p>
    <w:p>
      <w:pPr>
        <w:tabs>
          <w:tab w:val="left" w:pos="720"/>
        </w:tabs>
        <w:spacing w:line="360" w:lineRule="auto"/>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一、验收标准</w:t>
      </w:r>
    </w:p>
    <w:p>
      <w:pPr>
        <w:spacing w:line="360" w:lineRule="auto"/>
        <w:ind w:firstLine="565" w:firstLineChars="202"/>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 xml:space="preserve">    （投标人应提出详细的验收程序和所执行的验收标准）</w:t>
      </w:r>
    </w:p>
    <w:p>
      <w:pPr>
        <w:spacing w:line="360" w:lineRule="auto"/>
        <w:ind w:firstLine="565" w:firstLineChars="202"/>
        <w:rPr>
          <w:rFonts w:ascii="宋体" w:hAnsi="宋体"/>
          <w:color w:val="000000" w:themeColor="text1"/>
          <w:sz w:val="28"/>
          <w14:textFill>
            <w14:solidFill>
              <w14:schemeClr w14:val="tx1"/>
            </w14:solidFill>
          </w14:textFill>
        </w:rPr>
      </w:pPr>
    </w:p>
    <w:p>
      <w:pPr>
        <w:spacing w:line="360" w:lineRule="auto"/>
        <w:ind w:firstLine="565" w:firstLineChars="202"/>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二、交货进度计划及保障措施</w:t>
      </w:r>
    </w:p>
    <w:p>
      <w:pPr>
        <w:spacing w:line="360" w:lineRule="auto"/>
        <w:ind w:firstLine="565" w:firstLineChars="202"/>
        <w:rPr>
          <w:rFonts w:ascii="宋体" w:hAnsi="宋体"/>
          <w:color w:val="000000" w:themeColor="text1"/>
          <w:sz w:val="28"/>
          <w14:textFill>
            <w14:solidFill>
              <w14:schemeClr w14:val="tx1"/>
            </w14:solidFill>
          </w14:textFill>
        </w:rPr>
      </w:pPr>
    </w:p>
    <w:p>
      <w:pPr>
        <w:spacing w:line="360" w:lineRule="auto"/>
        <w:ind w:firstLine="565" w:firstLineChars="202"/>
        <w:rPr>
          <w:rFonts w:ascii="宋体" w:hAnsi="宋体"/>
          <w:color w:val="000000" w:themeColor="text1"/>
          <w:sz w:val="28"/>
          <w14:textFill>
            <w14:solidFill>
              <w14:schemeClr w14:val="tx1"/>
            </w14:solidFill>
          </w14:textFill>
        </w:rPr>
      </w:pPr>
    </w:p>
    <w:p>
      <w:pPr>
        <w:tabs>
          <w:tab w:val="left" w:pos="720"/>
        </w:tabs>
        <w:spacing w:line="360" w:lineRule="auto"/>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三、售后服务承诺</w:t>
      </w:r>
    </w:p>
    <w:p>
      <w:pPr>
        <w:ind w:firstLine="565" w:firstLineChars="202"/>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（售后服务承诺应包括但不限于以下内容）</w:t>
      </w:r>
    </w:p>
    <w:p>
      <w:pPr>
        <w:spacing w:line="40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（一）产品制造厂家或投标人设立的售后服务机构网点清单、服务电话和维修人员名单；</w:t>
      </w:r>
    </w:p>
    <w:p>
      <w:pPr>
        <w:spacing w:line="40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（二）说明投标产品的保修时间、保修期内的保修内容与范围、维修响应时间等；</w:t>
      </w:r>
    </w:p>
    <w:p>
      <w:pPr>
        <w:ind w:firstLine="565" w:firstLineChars="202"/>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（三）……</w:t>
      </w:r>
    </w:p>
    <w:p>
      <w:pPr>
        <w:ind w:firstLine="565" w:firstLineChars="202"/>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四、技术支持的能力及方案</w:t>
      </w: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tabs>
          <w:tab w:val="left" w:pos="720"/>
        </w:tabs>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五、其他说明的内容</w:t>
      </w:r>
    </w:p>
    <w:p>
      <w:pPr>
        <w:ind w:firstLine="565" w:firstLineChars="202"/>
        <w:rPr>
          <w:rFonts w:ascii="宋体" w:hAnsi="宋体"/>
          <w:color w:val="000000" w:themeColor="text1"/>
          <w:sz w:val="28"/>
          <w14:textFill>
            <w14:solidFill>
              <w14:schemeClr w14:val="tx1"/>
            </w14:solidFill>
          </w14:textFill>
        </w:rPr>
      </w:pPr>
    </w:p>
    <w:p>
      <w:pPr>
        <w:spacing w:after="120" w:line="360" w:lineRule="auto"/>
        <w:ind w:left="420" w:leftChars="20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投标人名称：</w:t>
      </w:r>
      <w:r>
        <w:rPr>
          <w:rFonts w:hint="eastAsia" w:ascii="宋体" w:hAnsi="宋体"/>
          <w:bCs/>
          <w:color w:val="000000" w:themeColor="text1"/>
          <w:sz w:val="28"/>
          <w:szCs w:val="28"/>
          <w:u w:val="single"/>
          <w14:textFill>
            <w14:solidFill>
              <w14:schemeClr w14:val="tx1"/>
            </w14:solidFill>
          </w14:textFill>
        </w:rPr>
        <w:t>XXXX</w:t>
      </w: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日期：</w:t>
      </w:r>
      <w:r>
        <w:rPr>
          <w:rFonts w:hint="eastAsia" w:ascii="宋体" w:hAnsi="宋体"/>
          <w:bCs/>
          <w:color w:val="000000" w:themeColor="text1"/>
          <w:sz w:val="28"/>
          <w14:textFill>
            <w14:solidFill>
              <w14:schemeClr w14:val="tx1"/>
            </w14:solidFill>
          </w14:textFill>
        </w:rPr>
        <w:t>202</w:t>
      </w:r>
      <w:r>
        <w:rPr>
          <w:rFonts w:hint="eastAsia" w:ascii="宋体" w:hAnsi="宋体"/>
          <w:bCs/>
          <w:color w:val="000000" w:themeColor="text1"/>
          <w:sz w:val="28"/>
          <w:u w:val="single"/>
          <w14:textFill>
            <w14:solidFill>
              <w14:schemeClr w14:val="tx1"/>
            </w14:solidFill>
          </w14:textFill>
        </w:rPr>
        <w:t>X</w:t>
      </w:r>
      <w:r>
        <w:rPr>
          <w:rFonts w:hint="eastAsia" w:ascii="宋体" w:hAnsi="宋体"/>
          <w:bCs/>
          <w:color w:val="000000" w:themeColor="text1"/>
          <w:sz w:val="28"/>
          <w14:textFill>
            <w14:solidFill>
              <w14:schemeClr w14:val="tx1"/>
            </w14:solidFill>
          </w14:textFill>
        </w:rPr>
        <w:t>年</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月</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日</w:t>
      </w: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keepNext/>
        <w:keepLines/>
        <w:numPr>
          <w:ilvl w:val="2"/>
          <w:numId w:val="1"/>
        </w:numPr>
        <w:spacing w:line="360" w:lineRule="auto"/>
        <w:ind w:left="567"/>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项目实施方案</w:t>
      </w:r>
    </w:p>
    <w:p>
      <w:pPr>
        <w:snapToGrid w:val="0"/>
        <w:spacing w:line="360" w:lineRule="auto"/>
        <w:ind w:right="-624" w:rightChars="-29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项目名称：</w:t>
      </w:r>
    </w:p>
    <w:p>
      <w:pPr>
        <w:snapToGrid w:val="0"/>
        <w:spacing w:line="360" w:lineRule="auto"/>
        <w:rPr>
          <w:rFonts w:ascii="宋体" w:hAnsi="宋体"/>
          <w:b/>
          <w:color w:val="000000" w:themeColor="text1"/>
          <w:sz w:val="28"/>
          <w:u w:val="single"/>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pacing w:after="120" w:line="360" w:lineRule="auto"/>
        <w:ind w:left="420" w:leftChars="200"/>
        <w:rPr>
          <w:rFonts w:ascii="宋体" w:hAnsi="宋体"/>
          <w:bCs/>
          <w:color w:val="000000" w:themeColor="text1"/>
          <w:sz w:val="28"/>
          <w:szCs w:val="28"/>
          <w:u w:val="single"/>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投标人名称：</w:t>
      </w:r>
      <w:r>
        <w:rPr>
          <w:rFonts w:hint="eastAsia" w:ascii="宋体" w:hAnsi="宋体"/>
          <w:bCs/>
          <w:color w:val="000000" w:themeColor="text1"/>
          <w:sz w:val="28"/>
          <w:szCs w:val="28"/>
          <w:u w:val="single"/>
          <w14:textFill>
            <w14:solidFill>
              <w14:schemeClr w14:val="tx1"/>
            </w14:solidFill>
          </w14:textFill>
        </w:rPr>
        <w:t>XXXX</w:t>
      </w:r>
    </w:p>
    <w:p>
      <w:pPr>
        <w:spacing w:after="120" w:line="360" w:lineRule="auto"/>
        <w:ind w:left="420" w:leftChars="200"/>
        <w:rPr>
          <w:rFonts w:ascii="宋体" w:hAnsi="宋体"/>
          <w:bCs/>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日期：</w:t>
      </w:r>
      <w:r>
        <w:rPr>
          <w:rFonts w:hint="eastAsia" w:ascii="宋体" w:hAnsi="宋体"/>
          <w:bCs/>
          <w:color w:val="000000" w:themeColor="text1"/>
          <w:sz w:val="28"/>
          <w14:textFill>
            <w14:solidFill>
              <w14:schemeClr w14:val="tx1"/>
            </w14:solidFill>
          </w14:textFill>
        </w:rPr>
        <w:t>202</w:t>
      </w:r>
      <w:r>
        <w:rPr>
          <w:rFonts w:hint="eastAsia" w:ascii="宋体" w:hAnsi="宋体"/>
          <w:bCs/>
          <w:color w:val="000000" w:themeColor="text1"/>
          <w:sz w:val="28"/>
          <w:u w:val="single"/>
          <w14:textFill>
            <w14:solidFill>
              <w14:schemeClr w14:val="tx1"/>
            </w14:solidFill>
          </w14:textFill>
        </w:rPr>
        <w:t>X</w:t>
      </w:r>
      <w:r>
        <w:rPr>
          <w:rFonts w:hint="eastAsia" w:ascii="宋体" w:hAnsi="宋体"/>
          <w:bCs/>
          <w:color w:val="000000" w:themeColor="text1"/>
          <w:sz w:val="28"/>
          <w14:textFill>
            <w14:solidFill>
              <w14:schemeClr w14:val="tx1"/>
            </w14:solidFill>
          </w14:textFill>
        </w:rPr>
        <w:t>年</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月</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日</w:t>
      </w:r>
    </w:p>
    <w:p>
      <w:pPr>
        <w:spacing w:after="120" w:line="360" w:lineRule="auto"/>
        <w:ind w:left="420" w:leftChars="200"/>
        <w:rPr>
          <w:rFonts w:ascii="宋体" w:hAnsi="宋体"/>
          <w:bCs/>
          <w:color w:val="000000" w:themeColor="text1"/>
          <w:sz w:val="28"/>
          <w14:textFill>
            <w14:solidFill>
              <w14:schemeClr w14:val="tx1"/>
            </w14:solidFill>
          </w14:textFill>
        </w:rPr>
      </w:pPr>
    </w:p>
    <w:p>
      <w:pPr>
        <w:spacing w:after="120" w:line="360" w:lineRule="auto"/>
        <w:ind w:left="420" w:leftChars="200"/>
        <w:rPr>
          <w:rFonts w:ascii="宋体" w:hAnsi="宋体"/>
          <w:b/>
          <w:color w:val="000000" w:themeColor="text1"/>
          <w:sz w:val="28"/>
          <w:szCs w:val="28"/>
          <w14:textFill>
            <w14:solidFill>
              <w14:schemeClr w14:val="tx1"/>
            </w14:solidFill>
          </w14:textFill>
        </w:rPr>
      </w:pPr>
    </w:p>
    <w:p>
      <w:pPr>
        <w:keepNext/>
        <w:keepLines/>
        <w:numPr>
          <w:ilvl w:val="2"/>
          <w:numId w:val="1"/>
        </w:numPr>
        <w:spacing w:line="360" w:lineRule="auto"/>
        <w:ind w:left="567"/>
        <w:outlineLvl w:val="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承诺函</w:t>
      </w:r>
    </w:p>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项目名称：</w:t>
      </w:r>
    </w:p>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p>
    <w:p>
      <w:pPr>
        <w:snapToGrid w:val="0"/>
        <w:spacing w:line="360" w:lineRule="auto"/>
        <w:ind w:firstLine="560" w:firstLineChars="200"/>
        <w:rPr>
          <w:rFonts w:ascii="宋体" w:hAnsi="宋体"/>
          <w:color w:val="000000" w:themeColor="text1"/>
          <w14:textFill>
            <w14:solidFill>
              <w14:schemeClr w14:val="tx1"/>
            </w14:solidFill>
          </w14:textFill>
        </w:rPr>
      </w:pPr>
      <w:r>
        <w:rPr>
          <w:rFonts w:hint="eastAsia" w:ascii="宋体" w:hAnsi="宋体"/>
          <w:color w:val="000000" w:themeColor="text1"/>
          <w:sz w:val="28"/>
          <w14:textFill>
            <w14:solidFill>
              <w14:schemeClr w14:val="tx1"/>
            </w14:solidFill>
          </w14:textFill>
        </w:rPr>
        <w:t>我单位作为参加本</w:t>
      </w:r>
      <w:r>
        <w:rPr>
          <w:rFonts w:hint="eastAsia" w:ascii="宋体" w:hAnsi="宋体"/>
          <w:color w:val="000000" w:themeColor="text1"/>
          <w:sz w:val="28"/>
          <w:szCs w:val="28"/>
          <w14:textFill>
            <w14:solidFill>
              <w14:schemeClr w14:val="tx1"/>
            </w14:solidFill>
          </w14:textFill>
        </w:rPr>
        <w:t>项目</w:t>
      </w:r>
      <w:r>
        <w:rPr>
          <w:rFonts w:hint="eastAsia" w:ascii="宋体" w:hAnsi="宋体"/>
          <w:color w:val="000000" w:themeColor="text1"/>
          <w:sz w:val="28"/>
          <w14:textFill>
            <w14:solidFill>
              <w14:schemeClr w14:val="tx1"/>
            </w14:solidFill>
          </w14:textFill>
        </w:rPr>
        <w:t>的投标人，在此郑重承诺：</w:t>
      </w:r>
    </w:p>
    <w:p>
      <w:pPr>
        <w:numPr>
          <w:ilvl w:val="0"/>
          <w:numId w:val="35"/>
        </w:numPr>
        <w:tabs>
          <w:tab w:val="left" w:pos="1134"/>
        </w:tabs>
        <w:snapToGrid w:val="0"/>
        <w:spacing w:line="360" w:lineRule="auto"/>
        <w:ind w:left="698" w:firstLine="562"/>
        <w:rPr>
          <w:rFonts w:ascii="宋体" w:hAnsi="宋体" w:eastAsiaTheme="minorEastAsia" w:cstheme="minorBidi"/>
          <w:color w:val="000000" w:themeColor="text1"/>
          <w:sz w:val="28"/>
          <w:szCs w:val="28"/>
          <w14:textFill>
            <w14:solidFill>
              <w14:schemeClr w14:val="tx1"/>
            </w14:solidFill>
          </w14:textFill>
        </w:rPr>
      </w:pPr>
      <w:r>
        <w:rPr>
          <w:rFonts w:hint="eastAsia" w:ascii="宋体" w:hAnsi="宋体" w:eastAsiaTheme="minorEastAsia" w:cstheme="minorBidi"/>
          <w:color w:val="000000" w:themeColor="text1"/>
          <w:sz w:val="28"/>
          <w:szCs w:val="28"/>
          <w14:textFill>
            <w14:solidFill>
              <w14:schemeClr w14:val="tx1"/>
            </w14:solidFill>
          </w14:textFill>
        </w:rPr>
        <w:t>为本项目提供的所有产品、辅材中</w:t>
      </w:r>
      <w:r>
        <w:rPr>
          <w:rFonts w:cs="宋体" w:asciiTheme="minorEastAsia" w:hAnsiTheme="minorEastAsia" w:eastAsiaTheme="minorEastAsia"/>
          <w:color w:val="000000" w:themeColor="text1"/>
          <w:sz w:val="28"/>
          <w:szCs w:val="28"/>
          <w14:textFill>
            <w14:solidFill>
              <w14:schemeClr w14:val="tx1"/>
            </w14:solidFill>
          </w14:textFill>
        </w:rPr>
        <w:t>属于《国家强制性产品认证目录》范围内产品的，均通过国家强制性产品认证并取得认证证书。</w:t>
      </w:r>
    </w:p>
    <w:p>
      <w:pPr>
        <w:numPr>
          <w:ilvl w:val="0"/>
          <w:numId w:val="35"/>
        </w:numPr>
        <w:tabs>
          <w:tab w:val="left" w:pos="1134"/>
        </w:tabs>
        <w:snapToGrid w:val="0"/>
        <w:spacing w:line="360" w:lineRule="auto"/>
        <w:ind w:left="698" w:firstLine="562"/>
        <w:rPr>
          <w:rFonts w:ascii="宋体" w:hAnsi="宋体" w:eastAsiaTheme="minorEastAsia" w:cstheme="minorBidi"/>
          <w:b/>
          <w:color w:val="000000" w:themeColor="text1"/>
          <w:sz w:val="28"/>
          <w:szCs w:val="28"/>
          <w14:textFill>
            <w14:solidFill>
              <w14:schemeClr w14:val="tx1"/>
            </w14:solidFill>
          </w14:textFill>
        </w:rPr>
      </w:pPr>
      <w:r>
        <w:rPr>
          <w:rFonts w:hint="eastAsia" w:eastAsiaTheme="minorEastAsia" w:cstheme="minorBidi"/>
          <w:color w:val="000000" w:themeColor="text1"/>
          <w:sz w:val="28"/>
          <w:szCs w:val="28"/>
          <w14:textFill>
            <w14:solidFill>
              <w14:schemeClr w14:val="tx1"/>
            </w14:solidFill>
          </w14:textFill>
        </w:rPr>
        <w:t>为本项目提供的所有产品、辅材符合现行的强制性国家相关标准、行业标准。</w:t>
      </w:r>
    </w:p>
    <w:p>
      <w:pPr>
        <w:numPr>
          <w:ilvl w:val="0"/>
          <w:numId w:val="35"/>
        </w:numPr>
        <w:tabs>
          <w:tab w:val="left" w:pos="1134"/>
        </w:tabs>
        <w:snapToGrid w:val="0"/>
        <w:spacing w:line="360" w:lineRule="auto"/>
        <w:ind w:left="698" w:firstLine="562"/>
        <w:rPr>
          <w:rFonts w:ascii="宋体" w:hAnsi="宋体" w:eastAsiaTheme="minorEastAsia" w:cstheme="minorBidi"/>
          <w:color w:val="000000" w:themeColor="text1"/>
          <w:sz w:val="28"/>
          <w:szCs w:val="28"/>
          <w:lang w:val="zh-CN"/>
          <w14:textFill>
            <w14:solidFill>
              <w14:schemeClr w14:val="tx1"/>
            </w14:solidFill>
          </w14:textFill>
        </w:rPr>
      </w:pPr>
      <w:r>
        <w:rPr>
          <w:rFonts w:hint="eastAsia" w:ascii="宋体" w:hAnsi="宋体" w:eastAsiaTheme="minorEastAsia" w:cstheme="minorBidi"/>
          <w:color w:val="000000" w:themeColor="text1"/>
          <w:sz w:val="28"/>
          <w:szCs w:val="28"/>
          <w:lang w:val="zh-CN"/>
          <w14:textFill>
            <w14:solidFill>
              <w14:schemeClr w14:val="tx1"/>
            </w14:solidFill>
          </w14:textFill>
        </w:rPr>
        <w:t>为本项目提供的所有产品中属于节能产品政府采购品目清单中的政府强制采购产品的，均具有国家确定的认证机构出具的有效期内的节能产品认证证书。</w:t>
      </w:r>
    </w:p>
    <w:p>
      <w:pPr>
        <w:numPr>
          <w:ilvl w:val="0"/>
          <w:numId w:val="35"/>
        </w:numPr>
        <w:tabs>
          <w:tab w:val="left" w:pos="1134"/>
        </w:tabs>
        <w:snapToGrid w:val="0"/>
        <w:spacing w:line="360" w:lineRule="auto"/>
        <w:ind w:left="698" w:firstLine="562"/>
        <w:rPr>
          <w:rFonts w:ascii="宋体" w:hAnsi="宋体" w:eastAsiaTheme="minorEastAsia" w:cstheme="minorBidi"/>
          <w:color w:val="000000" w:themeColor="text1"/>
          <w:sz w:val="28"/>
          <w:szCs w:val="28"/>
          <w:lang w:val="zh-CN"/>
          <w14:textFill>
            <w14:solidFill>
              <w14:schemeClr w14:val="tx1"/>
            </w14:solidFill>
          </w14:textFill>
        </w:rPr>
      </w:pPr>
      <w:r>
        <w:rPr>
          <w:rFonts w:hint="eastAsia" w:ascii="宋体" w:hAnsi="宋体" w:cs="仿宋"/>
          <w:color w:val="000000" w:themeColor="text1"/>
          <w:sz w:val="28"/>
          <w:szCs w:val="28"/>
          <w14:textFill>
            <w14:solidFill>
              <w14:schemeClr w14:val="tx1"/>
            </w14:solidFill>
          </w14:textFill>
        </w:rPr>
        <w:t>为本项目实施涉及的商品包装和快递包装，均符合财政部等三部门联合印发商品包装和快递包装政府采购需求标准（试行）（财办库[2020]123号）的要求。</w:t>
      </w:r>
    </w:p>
    <w:p>
      <w:pPr>
        <w:tabs>
          <w:tab w:val="left" w:pos="851"/>
        </w:tabs>
        <w:spacing w:line="360" w:lineRule="auto"/>
        <w:ind w:firstLine="1122" w:firstLineChars="401"/>
        <w:rPr>
          <w:rFonts w:ascii="宋体" w:hAnsi="宋体"/>
          <w:color w:val="000000" w:themeColor="text1"/>
          <w:sz w:val="28"/>
          <w14:textFill>
            <w14:solidFill>
              <w14:schemeClr w14:val="tx1"/>
            </w14:solidFill>
          </w14:textFill>
        </w:rPr>
      </w:pPr>
      <w:r>
        <w:rPr>
          <w:rFonts w:hint="eastAsia" w:ascii="宋体" w:hAnsi="宋体" w:eastAsiaTheme="minorEastAsia" w:cstheme="minorBidi"/>
          <w:color w:val="000000" w:themeColor="text1"/>
          <w:sz w:val="28"/>
          <w:szCs w:val="28"/>
          <w:lang w:val="zh-CN"/>
          <w14:textFill>
            <w14:solidFill>
              <w14:schemeClr w14:val="tx1"/>
            </w14:solidFill>
          </w14:textFill>
        </w:rPr>
        <w:t>五、我方承诺完全响应招标文件“</w:t>
      </w:r>
      <w:r>
        <w:rPr>
          <w:rFonts w:hint="eastAsia" w:ascii="宋体" w:hAnsi="宋体" w:eastAsiaTheme="minorEastAsia" w:cstheme="minorBidi"/>
          <w:color w:val="000000" w:themeColor="text1"/>
          <w:sz w:val="28"/>
          <w:szCs w:val="28"/>
          <w14:textFill>
            <w14:solidFill>
              <w14:schemeClr w14:val="tx1"/>
            </w14:solidFill>
          </w14:textFill>
        </w:rPr>
        <w:t>4.3商务要求”中</w:t>
      </w:r>
      <w:r>
        <w:rPr>
          <w:rFonts w:hint="eastAsia" w:ascii="宋体" w:hAnsi="宋体" w:eastAsiaTheme="minorEastAsia" w:cstheme="minorBidi"/>
          <w:color w:val="000000" w:themeColor="text1"/>
          <w:sz w:val="28"/>
          <w:szCs w:val="28"/>
          <w:lang w:val="zh-CN"/>
          <w14:textFill>
            <w14:solidFill>
              <w14:schemeClr w14:val="tx1"/>
            </w14:solidFill>
          </w14:textFill>
        </w:rPr>
        <w:t>（</w:t>
      </w:r>
      <w:r>
        <w:rPr>
          <w:rFonts w:hint="eastAsia" w:ascii="宋体" w:hAnsi="宋体" w:eastAsiaTheme="minorEastAsia" w:cstheme="minorBidi"/>
          <w:color w:val="000000" w:themeColor="text1"/>
          <w:sz w:val="28"/>
          <w:szCs w:val="28"/>
          <w14:textFill>
            <w14:solidFill>
              <w14:schemeClr w14:val="tx1"/>
            </w14:solidFill>
          </w14:textFill>
        </w:rPr>
        <w:t>一</w:t>
      </w:r>
      <w:r>
        <w:rPr>
          <w:rFonts w:hint="eastAsia" w:ascii="宋体" w:hAnsi="宋体" w:eastAsiaTheme="minorEastAsia" w:cstheme="minorBidi"/>
          <w:color w:val="000000" w:themeColor="text1"/>
          <w:sz w:val="28"/>
          <w:szCs w:val="28"/>
          <w:lang w:val="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货物配送、安装时间地点要求、（二）付款方式、（六）本项目售后服务基本要求、（八） 其他商务要求。</w:t>
      </w:r>
    </w:p>
    <w:p>
      <w:pPr>
        <w:snapToGrid w:val="0"/>
        <w:spacing w:line="360" w:lineRule="auto"/>
        <w:ind w:firstLine="560" w:firstLineChars="200"/>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特此承诺。</w:t>
      </w:r>
    </w:p>
    <w:p>
      <w:pPr>
        <w:spacing w:after="120" w:line="360" w:lineRule="auto"/>
        <w:ind w:left="420" w:leftChars="20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投标人名称：</w:t>
      </w:r>
      <w:r>
        <w:rPr>
          <w:rFonts w:hint="eastAsia" w:ascii="宋体" w:hAnsi="宋体"/>
          <w:bCs/>
          <w:color w:val="000000" w:themeColor="text1"/>
          <w:sz w:val="28"/>
          <w:szCs w:val="28"/>
          <w:u w:val="single"/>
          <w14:textFill>
            <w14:solidFill>
              <w14:schemeClr w14:val="tx1"/>
            </w14:solidFill>
          </w14:textFill>
        </w:rPr>
        <w:t>XXXX</w:t>
      </w:r>
    </w:p>
    <w:p>
      <w:pPr>
        <w:adjustRightInd w:val="0"/>
        <w:spacing w:line="400" w:lineRule="exact"/>
        <w:ind w:firstLine="420" w:firstLineChars="150"/>
        <w:rPr>
          <w:rFonts w:ascii="宋体" w:hAnsi="宋体"/>
          <w:bCs/>
          <w:color w:val="000000" w:themeColor="text1"/>
          <w:sz w:val="28"/>
          <w14:textFill>
            <w14:solidFill>
              <w14:schemeClr w14:val="tx1"/>
            </w14:solidFill>
          </w14:textFill>
        </w:rPr>
        <w:sectPr>
          <w:pgSz w:w="11906" w:h="16838"/>
          <w:pgMar w:top="1440" w:right="1474" w:bottom="1440" w:left="1474" w:header="851" w:footer="992" w:gutter="0"/>
          <w:cols w:space="720" w:num="1"/>
        </w:sectPr>
      </w:pPr>
      <w:r>
        <w:rPr>
          <w:rFonts w:hint="eastAsia" w:ascii="宋体" w:hAnsi="宋体"/>
          <w:color w:val="000000" w:themeColor="text1"/>
          <w:sz w:val="28"/>
          <w14:textFill>
            <w14:solidFill>
              <w14:schemeClr w14:val="tx1"/>
            </w14:solidFill>
          </w14:textFill>
        </w:rPr>
        <w:t>日期：</w:t>
      </w:r>
      <w:r>
        <w:rPr>
          <w:rFonts w:hint="eastAsia" w:ascii="宋体" w:hAnsi="宋体"/>
          <w:bCs/>
          <w:color w:val="000000" w:themeColor="text1"/>
          <w:sz w:val="28"/>
          <w14:textFill>
            <w14:solidFill>
              <w14:schemeClr w14:val="tx1"/>
            </w14:solidFill>
          </w14:textFill>
        </w:rPr>
        <w:t>202</w:t>
      </w:r>
      <w:r>
        <w:rPr>
          <w:rFonts w:hint="eastAsia" w:ascii="宋体" w:hAnsi="宋体"/>
          <w:bCs/>
          <w:color w:val="000000" w:themeColor="text1"/>
          <w:sz w:val="28"/>
          <w:u w:val="single"/>
          <w14:textFill>
            <w14:solidFill>
              <w14:schemeClr w14:val="tx1"/>
            </w14:solidFill>
          </w14:textFill>
        </w:rPr>
        <w:t>X</w:t>
      </w:r>
      <w:r>
        <w:rPr>
          <w:rFonts w:hint="eastAsia" w:ascii="宋体" w:hAnsi="宋体"/>
          <w:bCs/>
          <w:color w:val="000000" w:themeColor="text1"/>
          <w:sz w:val="28"/>
          <w14:textFill>
            <w14:solidFill>
              <w14:schemeClr w14:val="tx1"/>
            </w14:solidFill>
          </w14:textFill>
        </w:rPr>
        <w:t>年</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月</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日</w:t>
      </w:r>
      <w:bookmarkEnd w:id="143"/>
      <w:bookmarkEnd w:id="144"/>
      <w:bookmarkEnd w:id="145"/>
      <w:bookmarkEnd w:id="146"/>
      <w:bookmarkStart w:id="147" w:name="_Toc316475719"/>
    </w:p>
    <w:p>
      <w:pPr>
        <w:keepNext/>
        <w:keepLines/>
        <w:numPr>
          <w:ilvl w:val="1"/>
          <w:numId w:val="1"/>
        </w:numPr>
        <w:spacing w:before="260" w:after="260" w:line="360" w:lineRule="auto"/>
        <w:jc w:val="left"/>
        <w:outlineLvl w:val="1"/>
        <w:rPr>
          <w:rFonts w:ascii="宋体" w:hAnsi="宋体"/>
          <w:b/>
          <w:color w:val="000000" w:themeColor="text1"/>
          <w:sz w:val="28"/>
          <w14:textFill>
            <w14:solidFill>
              <w14:schemeClr w14:val="tx1"/>
            </w14:solidFill>
          </w14:textFill>
        </w:rPr>
      </w:pPr>
      <w:bookmarkStart w:id="148" w:name="_Toc76541359"/>
      <w:r>
        <w:rPr>
          <w:rFonts w:hint="eastAsia" w:ascii="宋体" w:hAnsi="宋体"/>
          <w:b/>
          <w:color w:val="000000" w:themeColor="text1"/>
          <w:sz w:val="28"/>
          <w14:textFill>
            <w14:solidFill>
              <w14:schemeClr w14:val="tx1"/>
            </w14:solidFill>
          </w14:textFill>
        </w:rPr>
        <w:t>报价</w:t>
      </w:r>
      <w:r>
        <w:rPr>
          <w:rFonts w:hint="eastAsia" w:ascii="宋体" w:hAnsi="宋体"/>
          <w:b/>
          <w:bCs/>
          <w:color w:val="000000" w:themeColor="text1"/>
          <w:sz w:val="28"/>
          <w:szCs w:val="28"/>
          <w14:textFill>
            <w14:solidFill>
              <w14:schemeClr w14:val="tx1"/>
            </w14:solidFill>
          </w14:textFill>
        </w:rPr>
        <w:t>要求</w:t>
      </w:r>
      <w:r>
        <w:rPr>
          <w:rFonts w:hint="eastAsia" w:ascii="宋体" w:hAnsi="宋体"/>
          <w:b/>
          <w:color w:val="000000" w:themeColor="text1"/>
          <w:sz w:val="28"/>
          <w14:textFill>
            <w14:solidFill>
              <w14:schemeClr w14:val="tx1"/>
            </w14:solidFill>
          </w14:textFill>
        </w:rPr>
        <w:t>响应文件</w:t>
      </w:r>
      <w:bookmarkEnd w:id="148"/>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开标一览表</w:t>
      </w:r>
    </w:p>
    <w:p>
      <w:pPr>
        <w:tabs>
          <w:tab w:val="left" w:pos="1134"/>
        </w:tabs>
        <w:spacing w:line="560" w:lineRule="exact"/>
        <w:ind w:firstLine="427" w:firstLineChars="15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 xml:space="preserve">标项1： </w:t>
      </w:r>
    </w:p>
    <w:tbl>
      <w:tblPr>
        <w:tblStyle w:val="44"/>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color w:val="000000" w:themeColor="text1"/>
                <w:kern w:val="0"/>
                <w:sz w:val="28"/>
                <w:szCs w:val="28"/>
                <w14:textFill>
                  <w14:solidFill>
                    <w14:schemeClr w14:val="tx1"/>
                  </w14:solidFill>
                </w14:textFill>
              </w:rPr>
            </w:pPr>
          </w:p>
        </w:tc>
      </w:tr>
    </w:tbl>
    <w:p>
      <w:pPr>
        <w:tabs>
          <w:tab w:val="left" w:pos="1134"/>
        </w:tabs>
        <w:spacing w:line="560" w:lineRule="exact"/>
        <w:rPr>
          <w:rFonts w:ascii="宋体" w:hAnsi="宋体"/>
          <w:color w:val="000000" w:themeColor="text1"/>
          <w:sz w:val="28"/>
          <w:szCs w:val="28"/>
          <w14:textFill>
            <w14:solidFill>
              <w14:schemeClr w14:val="tx1"/>
            </w14:solidFill>
          </w14:textFill>
        </w:rPr>
      </w:pPr>
    </w:p>
    <w:p>
      <w:pPr>
        <w:tabs>
          <w:tab w:val="left" w:pos="1134"/>
        </w:tabs>
        <w:spacing w:line="560" w:lineRule="exact"/>
        <w:ind w:firstLine="427" w:firstLineChars="152"/>
        <w:rPr>
          <w:rFonts w:ascii="宋体" w:hAnsi="宋体"/>
          <w:b/>
          <w:bCs/>
          <w:color w:val="000000" w:themeColor="text1"/>
          <w:sz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投标报价以投标人在政府采购云平台开标一览表中填写的报价为准。</w:t>
      </w:r>
    </w:p>
    <w:p>
      <w:pPr>
        <w:spacing w:line="440" w:lineRule="atLeast"/>
        <w:rPr>
          <w:rFonts w:ascii="宋体" w:hAnsi="宋体"/>
          <w:b/>
          <w:color w:val="000000" w:themeColor="text1"/>
          <w:sz w:val="28"/>
          <w:szCs w:val="28"/>
          <w14:textFill>
            <w14:solidFill>
              <w14:schemeClr w14:val="tx1"/>
            </w14:solidFill>
          </w14:textFill>
        </w:rPr>
      </w:pPr>
    </w:p>
    <w:p>
      <w:pPr>
        <w:pStyle w:val="2"/>
        <w:rPr>
          <w:rFonts w:ascii="宋体" w:hAnsi="宋体"/>
          <w:b/>
          <w:color w:val="000000" w:themeColor="text1"/>
          <w:sz w:val="28"/>
          <w:szCs w:val="28"/>
          <w14:textFill>
            <w14:solidFill>
              <w14:schemeClr w14:val="tx1"/>
            </w14:solidFill>
          </w14:textFill>
        </w:rPr>
      </w:pPr>
    </w:p>
    <w:p>
      <w:pPr>
        <w:pStyle w:val="2"/>
        <w:rPr>
          <w:rFonts w:ascii="宋体" w:hAnsi="宋体"/>
          <w:b/>
          <w:color w:val="000000" w:themeColor="text1"/>
          <w:sz w:val="28"/>
          <w:szCs w:val="28"/>
          <w14:textFill>
            <w14:solidFill>
              <w14:schemeClr w14:val="tx1"/>
            </w14:solidFill>
          </w14:textFill>
        </w:rPr>
      </w:pPr>
    </w:p>
    <w:p>
      <w:pPr>
        <w:pStyle w:val="2"/>
        <w:rPr>
          <w:rFonts w:ascii="宋体" w:hAnsi="宋体"/>
          <w:b/>
          <w:color w:val="000000" w:themeColor="text1"/>
          <w:sz w:val="28"/>
          <w:szCs w:val="28"/>
          <w14:textFill>
            <w14:solidFill>
              <w14:schemeClr w14:val="tx1"/>
            </w14:solidFill>
          </w14:textFill>
        </w:rPr>
      </w:pPr>
    </w:p>
    <w:p>
      <w:pPr>
        <w:pStyle w:val="2"/>
        <w:rPr>
          <w:rFonts w:ascii="宋体" w:hAnsi="宋体"/>
          <w:b/>
          <w:color w:val="000000" w:themeColor="text1"/>
          <w:sz w:val="28"/>
          <w:szCs w:val="28"/>
          <w14:textFill>
            <w14:solidFill>
              <w14:schemeClr w14:val="tx1"/>
            </w14:solidFill>
          </w14:textFill>
        </w:rPr>
      </w:pPr>
    </w:p>
    <w:p>
      <w:pPr>
        <w:pStyle w:val="2"/>
        <w:rPr>
          <w:rFonts w:ascii="宋体" w:hAnsi="宋体"/>
          <w:b/>
          <w:color w:val="000000" w:themeColor="text1"/>
          <w:sz w:val="28"/>
          <w:szCs w:val="28"/>
          <w14:textFill>
            <w14:solidFill>
              <w14:schemeClr w14:val="tx1"/>
            </w14:solidFill>
          </w14:textFill>
        </w:rPr>
      </w:pPr>
    </w:p>
    <w:p>
      <w:pPr>
        <w:pStyle w:val="2"/>
        <w:rPr>
          <w:rFonts w:ascii="宋体" w:hAnsi="宋体"/>
          <w:b/>
          <w:color w:val="000000" w:themeColor="text1"/>
          <w:sz w:val="28"/>
          <w:szCs w:val="28"/>
          <w14:textFill>
            <w14:solidFill>
              <w14:schemeClr w14:val="tx1"/>
            </w14:solidFill>
          </w14:textFill>
        </w:rPr>
      </w:pPr>
    </w:p>
    <w:p>
      <w:pPr>
        <w:pStyle w:val="2"/>
        <w:rPr>
          <w:rFonts w:ascii="宋体" w:hAnsi="宋体"/>
          <w:b/>
          <w:color w:val="000000" w:themeColor="text1"/>
          <w:sz w:val="28"/>
          <w:szCs w:val="28"/>
          <w14:textFill>
            <w14:solidFill>
              <w14:schemeClr w14:val="tx1"/>
            </w14:solidFill>
          </w14:textFill>
        </w:rPr>
      </w:pPr>
    </w:p>
    <w:p>
      <w:pPr>
        <w:pStyle w:val="2"/>
        <w:rPr>
          <w:rFonts w:ascii="宋体" w:hAnsi="宋体"/>
          <w:b/>
          <w:color w:val="000000" w:themeColor="text1"/>
          <w:sz w:val="28"/>
          <w:szCs w:val="28"/>
          <w14:textFill>
            <w14:solidFill>
              <w14:schemeClr w14:val="tx1"/>
            </w14:solidFill>
          </w14:textFill>
        </w:rPr>
      </w:pPr>
    </w:p>
    <w:p>
      <w:pPr>
        <w:pStyle w:val="2"/>
        <w:rPr>
          <w:rFonts w:ascii="宋体" w:hAnsi="宋体"/>
          <w:b/>
          <w:color w:val="000000" w:themeColor="text1"/>
          <w:sz w:val="28"/>
          <w:szCs w:val="28"/>
          <w14:textFill>
            <w14:solidFill>
              <w14:schemeClr w14:val="tx1"/>
            </w14:solidFill>
          </w14:textFill>
        </w:rPr>
      </w:pPr>
    </w:p>
    <w:p>
      <w:pPr>
        <w:pStyle w:val="2"/>
        <w:rPr>
          <w:rFonts w:ascii="宋体" w:hAnsi="宋体"/>
          <w:b/>
          <w:color w:val="000000" w:themeColor="text1"/>
          <w:sz w:val="28"/>
          <w:szCs w:val="28"/>
          <w14:textFill>
            <w14:solidFill>
              <w14:schemeClr w14:val="tx1"/>
            </w14:solidFill>
          </w14:textFill>
        </w:rPr>
      </w:pPr>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分项报价明细表</w:t>
      </w:r>
    </w:p>
    <w:p>
      <w:pPr>
        <w:snapToGrid w:val="0"/>
        <w:spacing w:line="440" w:lineRule="exact"/>
        <w:ind w:right="-624" w:rightChars="-297"/>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项目名称：</w:t>
      </w:r>
      <w:r>
        <w:rPr>
          <w:rFonts w:ascii="宋体" w:hAnsi="宋体"/>
          <w:b/>
          <w:color w:val="000000" w:themeColor="text1"/>
          <w:sz w:val="28"/>
          <w14:textFill>
            <w14:solidFill>
              <w14:schemeClr w14:val="tx1"/>
            </w14:solidFill>
          </w14:textFill>
        </w:rPr>
        <w:t xml:space="preserve"> </w:t>
      </w:r>
    </w:p>
    <w:p>
      <w:pPr>
        <w:tabs>
          <w:tab w:val="left" w:pos="7560"/>
        </w:tabs>
        <w:spacing w:after="180" w:line="440" w:lineRule="exact"/>
        <w:rPr>
          <w:rFonts w:ascii="宋体" w:hAnsi="宋体"/>
          <w:b/>
          <w:color w:val="000000" w:themeColor="text1"/>
          <w:sz w:val="28"/>
          <w:szCs w:val="20"/>
          <w:u w:val="single"/>
          <w14:textFill>
            <w14:solidFill>
              <w14:schemeClr w14:val="tx1"/>
            </w14:solidFill>
          </w14:textFill>
        </w:rPr>
      </w:pPr>
      <w:r>
        <w:rPr>
          <w:rFonts w:hint="eastAsia" w:ascii="宋体" w:hAnsi="宋体"/>
          <w:b/>
          <w:color w:val="000000" w:themeColor="text1"/>
          <w:sz w:val="28"/>
          <w:szCs w:val="20"/>
          <w14:textFill>
            <w14:solidFill>
              <w14:schemeClr w14:val="tx1"/>
            </w14:solidFill>
          </w14:textFill>
        </w:rPr>
        <w:t>项目编号：</w:t>
      </w:r>
    </w:p>
    <w:p>
      <w:pPr>
        <w:tabs>
          <w:tab w:val="left" w:pos="7560"/>
        </w:tabs>
        <w:spacing w:after="180" w:line="440" w:lineRule="exact"/>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分项报价明细表（说明：投标人应根据其投标报价的构成提供详细的分项价格明细表。）</w:t>
      </w:r>
    </w:p>
    <w:tbl>
      <w:tblPr>
        <w:tblStyle w:val="43"/>
        <w:tblW w:w="9640" w:type="dxa"/>
        <w:tblInd w:w="-5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276"/>
        <w:gridCol w:w="850"/>
        <w:gridCol w:w="1320"/>
        <w:gridCol w:w="1089"/>
        <w:gridCol w:w="1559"/>
        <w:gridCol w:w="567"/>
        <w:gridCol w:w="709"/>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 w:hRule="atLeast"/>
        </w:trPr>
        <w:tc>
          <w:tcPr>
            <w:tcW w:w="852"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序号</w:t>
            </w:r>
          </w:p>
        </w:tc>
        <w:tc>
          <w:tcPr>
            <w:tcW w:w="1276"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货物名称</w:t>
            </w:r>
          </w:p>
        </w:tc>
        <w:tc>
          <w:tcPr>
            <w:tcW w:w="850"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品牌</w:t>
            </w:r>
          </w:p>
        </w:tc>
        <w:tc>
          <w:tcPr>
            <w:tcW w:w="1320"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规格型号</w:t>
            </w:r>
          </w:p>
        </w:tc>
        <w:tc>
          <w:tcPr>
            <w:tcW w:w="1089"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制造商</w:t>
            </w:r>
          </w:p>
        </w:tc>
        <w:tc>
          <w:tcPr>
            <w:tcW w:w="1559"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进口或国产</w:t>
            </w:r>
          </w:p>
        </w:tc>
        <w:tc>
          <w:tcPr>
            <w:tcW w:w="567"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数量</w:t>
            </w:r>
          </w:p>
        </w:tc>
        <w:tc>
          <w:tcPr>
            <w:tcW w:w="709"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单价</w:t>
            </w:r>
          </w:p>
        </w:tc>
        <w:tc>
          <w:tcPr>
            <w:tcW w:w="1418"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总价</w:t>
            </w:r>
            <w:r>
              <w:rPr>
                <w:rFonts w:hint="eastAsia" w:ascii="宋体" w:hAnsi="宋体"/>
                <w:b/>
                <w:bCs/>
                <w:color w:val="000000" w:themeColor="text1"/>
                <w:sz w:val="24"/>
                <w:szCs w:val="28"/>
                <w14:textFill>
                  <w14:solidFill>
                    <w14:schemeClr w14:val="tx1"/>
                  </w14:solidFill>
                </w14:textFill>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Cs/>
                <w:color w:val="000000" w:themeColor="text1"/>
                <w:sz w:val="24"/>
                <w:szCs w:val="28"/>
                <w14:textFill>
                  <w14:solidFill>
                    <w14:schemeClr w14:val="tx1"/>
                  </w14:solidFill>
                </w14:textFill>
              </w:rPr>
            </w:pPr>
          </w:p>
        </w:tc>
        <w:tc>
          <w:tcPr>
            <w:tcW w:w="1276"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Cs/>
                <w:color w:val="000000" w:themeColor="text1"/>
                <w:sz w:val="24"/>
                <w:szCs w:val="28"/>
                <w14:textFill>
                  <w14:solidFill>
                    <w14:schemeClr w14:val="tx1"/>
                  </w14:solidFill>
                </w14:textFill>
              </w:rPr>
            </w:pPr>
          </w:p>
        </w:tc>
        <w:tc>
          <w:tcPr>
            <w:tcW w:w="850"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Cs/>
                <w:color w:val="000000" w:themeColor="text1"/>
                <w:sz w:val="24"/>
                <w:szCs w:val="28"/>
                <w14:textFill>
                  <w14:solidFill>
                    <w14:schemeClr w14:val="tx1"/>
                  </w14:solidFill>
                </w14:textFill>
              </w:rPr>
            </w:pPr>
          </w:p>
        </w:tc>
        <w:tc>
          <w:tcPr>
            <w:tcW w:w="1320"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Cs/>
                <w:color w:val="000000" w:themeColor="text1"/>
                <w:sz w:val="24"/>
                <w:szCs w:val="28"/>
                <w14:textFill>
                  <w14:solidFill>
                    <w14:schemeClr w14:val="tx1"/>
                  </w14:solidFill>
                </w14:textFill>
              </w:rPr>
            </w:pPr>
          </w:p>
        </w:tc>
        <w:tc>
          <w:tcPr>
            <w:tcW w:w="1089"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Cs/>
                <w:color w:val="000000" w:themeColor="text1"/>
                <w:sz w:val="24"/>
                <w:szCs w:val="28"/>
                <w14:textFill>
                  <w14:solidFill>
                    <w14:schemeClr w14:val="tx1"/>
                  </w14:solidFill>
                </w14:textFill>
              </w:rPr>
            </w:pPr>
          </w:p>
        </w:tc>
        <w:tc>
          <w:tcPr>
            <w:tcW w:w="1559"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Cs/>
                <w:color w:val="000000" w:themeColor="text1"/>
                <w:sz w:val="24"/>
                <w:szCs w:val="28"/>
                <w14:textFill>
                  <w14:solidFill>
                    <w14:schemeClr w14:val="tx1"/>
                  </w14:solidFill>
                </w14:textFill>
              </w:rPr>
            </w:pPr>
          </w:p>
        </w:tc>
        <w:tc>
          <w:tcPr>
            <w:tcW w:w="567"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Cs/>
                <w:color w:val="000000" w:themeColor="text1"/>
                <w:sz w:val="24"/>
                <w:szCs w:val="28"/>
                <w14:textFill>
                  <w14:solidFill>
                    <w14:schemeClr w14:val="tx1"/>
                  </w14:solidFill>
                </w14:textFill>
              </w:rPr>
            </w:pPr>
          </w:p>
        </w:tc>
        <w:tc>
          <w:tcPr>
            <w:tcW w:w="709"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Cs/>
                <w:color w:val="000000" w:themeColor="text1"/>
                <w:sz w:val="24"/>
                <w:szCs w:val="28"/>
                <w14:textFill>
                  <w14:solidFill>
                    <w14:schemeClr w14:val="tx1"/>
                  </w14:solidFill>
                </w14:textFill>
              </w:rPr>
            </w:pPr>
          </w:p>
        </w:tc>
        <w:tc>
          <w:tcPr>
            <w:tcW w:w="1418"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Cs/>
                <w:color w:val="000000" w:themeColor="text1"/>
                <w:sz w:val="24"/>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Cs/>
                <w:color w:val="000000" w:themeColor="text1"/>
                <w:sz w:val="24"/>
                <w:szCs w:val="28"/>
                <w14:textFill>
                  <w14:solidFill>
                    <w14:schemeClr w14:val="tx1"/>
                  </w14:solidFill>
                </w14:textFill>
              </w:rPr>
            </w:pPr>
          </w:p>
        </w:tc>
        <w:tc>
          <w:tcPr>
            <w:tcW w:w="1276"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Cs/>
                <w:color w:val="000000" w:themeColor="text1"/>
                <w:sz w:val="24"/>
                <w:szCs w:val="28"/>
                <w14:textFill>
                  <w14:solidFill>
                    <w14:schemeClr w14:val="tx1"/>
                  </w14:solidFill>
                </w14:textFill>
              </w:rPr>
            </w:pPr>
          </w:p>
        </w:tc>
        <w:tc>
          <w:tcPr>
            <w:tcW w:w="850"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Cs/>
                <w:color w:val="000000" w:themeColor="text1"/>
                <w:sz w:val="24"/>
                <w:szCs w:val="28"/>
                <w14:textFill>
                  <w14:solidFill>
                    <w14:schemeClr w14:val="tx1"/>
                  </w14:solidFill>
                </w14:textFill>
              </w:rPr>
            </w:pPr>
          </w:p>
        </w:tc>
        <w:tc>
          <w:tcPr>
            <w:tcW w:w="1320"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Cs/>
                <w:color w:val="000000" w:themeColor="text1"/>
                <w:sz w:val="24"/>
                <w:szCs w:val="28"/>
                <w14:textFill>
                  <w14:solidFill>
                    <w14:schemeClr w14:val="tx1"/>
                  </w14:solidFill>
                </w14:textFill>
              </w:rPr>
            </w:pPr>
          </w:p>
        </w:tc>
        <w:tc>
          <w:tcPr>
            <w:tcW w:w="1089"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Cs/>
                <w:color w:val="000000" w:themeColor="text1"/>
                <w:sz w:val="24"/>
                <w:szCs w:val="28"/>
                <w14:textFill>
                  <w14:solidFill>
                    <w14:schemeClr w14:val="tx1"/>
                  </w14:solidFill>
                </w14:textFill>
              </w:rPr>
            </w:pPr>
          </w:p>
        </w:tc>
        <w:tc>
          <w:tcPr>
            <w:tcW w:w="1559"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Cs/>
                <w:color w:val="000000" w:themeColor="text1"/>
                <w:sz w:val="24"/>
                <w:szCs w:val="28"/>
                <w14:textFill>
                  <w14:solidFill>
                    <w14:schemeClr w14:val="tx1"/>
                  </w14:solidFill>
                </w14:textFill>
              </w:rPr>
            </w:pPr>
          </w:p>
        </w:tc>
        <w:tc>
          <w:tcPr>
            <w:tcW w:w="567"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Cs/>
                <w:color w:val="000000" w:themeColor="text1"/>
                <w:sz w:val="24"/>
                <w:szCs w:val="28"/>
                <w14:textFill>
                  <w14:solidFill>
                    <w14:schemeClr w14:val="tx1"/>
                  </w14:solidFill>
                </w14:textFill>
              </w:rPr>
            </w:pPr>
          </w:p>
        </w:tc>
        <w:tc>
          <w:tcPr>
            <w:tcW w:w="709"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Cs/>
                <w:color w:val="000000" w:themeColor="text1"/>
                <w:sz w:val="24"/>
                <w:szCs w:val="28"/>
                <w14:textFill>
                  <w14:solidFill>
                    <w14:schemeClr w14:val="tx1"/>
                  </w14:solidFill>
                </w14:textFill>
              </w:rPr>
            </w:pPr>
          </w:p>
        </w:tc>
        <w:tc>
          <w:tcPr>
            <w:tcW w:w="1418"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Cs/>
                <w:color w:val="000000" w:themeColor="text1"/>
                <w:sz w:val="24"/>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Cs/>
                <w:color w:val="000000" w:themeColor="text1"/>
                <w:sz w:val="24"/>
                <w:szCs w:val="28"/>
                <w14:textFill>
                  <w14:solidFill>
                    <w14:schemeClr w14:val="tx1"/>
                  </w14:solidFill>
                </w14:textFill>
              </w:rPr>
            </w:pPr>
          </w:p>
        </w:tc>
        <w:tc>
          <w:tcPr>
            <w:tcW w:w="1276"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Cs/>
                <w:color w:val="000000" w:themeColor="text1"/>
                <w:sz w:val="24"/>
                <w:szCs w:val="28"/>
                <w14:textFill>
                  <w14:solidFill>
                    <w14:schemeClr w14:val="tx1"/>
                  </w14:solidFill>
                </w14:textFill>
              </w:rPr>
            </w:pPr>
          </w:p>
        </w:tc>
        <w:tc>
          <w:tcPr>
            <w:tcW w:w="850"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Cs/>
                <w:color w:val="000000" w:themeColor="text1"/>
                <w:sz w:val="24"/>
                <w:szCs w:val="28"/>
                <w14:textFill>
                  <w14:solidFill>
                    <w14:schemeClr w14:val="tx1"/>
                  </w14:solidFill>
                </w14:textFill>
              </w:rPr>
            </w:pPr>
          </w:p>
        </w:tc>
        <w:tc>
          <w:tcPr>
            <w:tcW w:w="1320"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Cs/>
                <w:color w:val="000000" w:themeColor="text1"/>
                <w:sz w:val="24"/>
                <w:szCs w:val="28"/>
                <w14:textFill>
                  <w14:solidFill>
                    <w14:schemeClr w14:val="tx1"/>
                  </w14:solidFill>
                </w14:textFill>
              </w:rPr>
            </w:pPr>
          </w:p>
        </w:tc>
        <w:tc>
          <w:tcPr>
            <w:tcW w:w="1089"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Cs/>
                <w:color w:val="000000" w:themeColor="text1"/>
                <w:sz w:val="24"/>
                <w:szCs w:val="28"/>
                <w14:textFill>
                  <w14:solidFill>
                    <w14:schemeClr w14:val="tx1"/>
                  </w14:solidFill>
                </w14:textFill>
              </w:rPr>
            </w:pPr>
          </w:p>
        </w:tc>
        <w:tc>
          <w:tcPr>
            <w:tcW w:w="1559"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Cs/>
                <w:color w:val="000000" w:themeColor="text1"/>
                <w:sz w:val="24"/>
                <w:szCs w:val="28"/>
                <w14:textFill>
                  <w14:solidFill>
                    <w14:schemeClr w14:val="tx1"/>
                  </w14:solidFill>
                </w14:textFill>
              </w:rPr>
            </w:pPr>
          </w:p>
        </w:tc>
        <w:tc>
          <w:tcPr>
            <w:tcW w:w="567"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Cs/>
                <w:color w:val="000000" w:themeColor="text1"/>
                <w:sz w:val="24"/>
                <w:szCs w:val="28"/>
                <w14:textFill>
                  <w14:solidFill>
                    <w14:schemeClr w14:val="tx1"/>
                  </w14:solidFill>
                </w14:textFill>
              </w:rPr>
            </w:pPr>
          </w:p>
        </w:tc>
        <w:tc>
          <w:tcPr>
            <w:tcW w:w="709"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Cs/>
                <w:color w:val="000000" w:themeColor="text1"/>
                <w:sz w:val="24"/>
                <w:szCs w:val="28"/>
                <w14:textFill>
                  <w14:solidFill>
                    <w14:schemeClr w14:val="tx1"/>
                  </w14:solidFill>
                </w14:textFill>
              </w:rPr>
            </w:pPr>
          </w:p>
        </w:tc>
        <w:tc>
          <w:tcPr>
            <w:tcW w:w="1418" w:type="dxa"/>
            <w:tcBorders>
              <w:top w:val="single" w:color="auto" w:sz="2" w:space="0"/>
              <w:left w:val="single" w:color="auto" w:sz="2" w:space="0"/>
              <w:bottom w:val="single" w:color="auto" w:sz="2" w:space="0"/>
              <w:right w:val="single" w:color="auto" w:sz="2" w:space="0"/>
            </w:tcBorders>
            <w:vAlign w:val="center"/>
          </w:tcPr>
          <w:p>
            <w:pPr>
              <w:pStyle w:val="2"/>
              <w:ind w:left="0" w:leftChars="0"/>
              <w:rPr>
                <w:rFonts w:ascii="宋体" w:hAnsi="宋体"/>
                <w:bCs/>
                <w:color w:val="000000" w:themeColor="text1"/>
                <w:sz w:val="24"/>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2" w:type="dxa"/>
            <w:gridSpan w:val="8"/>
            <w:tcBorders>
              <w:top w:val="single" w:color="auto" w:sz="2" w:space="0"/>
              <w:left w:val="single" w:color="auto" w:sz="2" w:space="0"/>
              <w:bottom w:val="single" w:color="auto" w:sz="2" w:space="0"/>
              <w:right w:val="single" w:color="auto" w:sz="4" w:space="0"/>
            </w:tcBorders>
            <w:vAlign w:val="center"/>
          </w:tcPr>
          <w:p>
            <w:pPr>
              <w:pStyle w:val="2"/>
              <w:ind w:left="0" w:leftChars="0"/>
              <w:jc w:val="center"/>
              <w:rPr>
                <w:rFonts w:ascii="宋体" w:hAnsi="宋体"/>
                <w:bCs/>
                <w:color w:val="000000" w:themeColor="text1"/>
                <w:sz w:val="24"/>
                <w:szCs w:val="28"/>
                <w14:textFill>
                  <w14:solidFill>
                    <w14:schemeClr w14:val="tx1"/>
                  </w14:solidFill>
                </w14:textFill>
              </w:rPr>
            </w:pPr>
            <w:r>
              <w:rPr>
                <w:rFonts w:hint="eastAsia" w:ascii="宋体" w:hAnsi="宋体"/>
                <w:bCs/>
                <w:color w:val="000000" w:themeColor="text1"/>
                <w:sz w:val="24"/>
                <w:szCs w:val="28"/>
                <w14:textFill>
                  <w14:solidFill>
                    <w14:schemeClr w14:val="tx1"/>
                  </w14:solidFill>
                </w14:textFill>
              </w:rPr>
              <w:t>投标报价（总价合计）</w:t>
            </w:r>
          </w:p>
        </w:tc>
        <w:tc>
          <w:tcPr>
            <w:tcW w:w="1418" w:type="dxa"/>
            <w:tcBorders>
              <w:top w:val="single" w:color="auto" w:sz="2" w:space="0"/>
              <w:left w:val="single" w:color="auto" w:sz="4" w:space="0"/>
              <w:bottom w:val="single" w:color="auto" w:sz="2" w:space="0"/>
              <w:right w:val="single" w:color="auto" w:sz="2" w:space="0"/>
            </w:tcBorders>
            <w:vAlign w:val="center"/>
          </w:tcPr>
          <w:p>
            <w:pPr>
              <w:pStyle w:val="2"/>
              <w:ind w:left="0" w:leftChars="0"/>
              <w:rPr>
                <w:rFonts w:ascii="宋体" w:hAnsi="宋体"/>
                <w:bCs/>
                <w:color w:val="000000" w:themeColor="text1"/>
                <w:sz w:val="24"/>
                <w:szCs w:val="28"/>
                <w14:textFill>
                  <w14:solidFill>
                    <w14:schemeClr w14:val="tx1"/>
                  </w14:solidFill>
                </w14:textFill>
              </w:rPr>
            </w:pPr>
            <w:r>
              <w:rPr>
                <w:rFonts w:hint="eastAsia" w:ascii="宋体" w:hAnsi="宋体"/>
                <w:bCs/>
                <w:color w:val="000000" w:themeColor="text1"/>
                <w:sz w:val="24"/>
                <w:szCs w:val="28"/>
                <w14:textFill>
                  <w14:solidFill>
                    <w14:schemeClr w14:val="tx1"/>
                  </w14:solidFill>
                </w14:textFill>
              </w:rPr>
              <w:t>X</w:t>
            </w:r>
            <w:r>
              <w:rPr>
                <w:rFonts w:ascii="宋体" w:hAnsi="宋体"/>
                <w:bCs/>
                <w:color w:val="000000" w:themeColor="text1"/>
                <w:sz w:val="24"/>
                <w:szCs w:val="28"/>
                <w14:textFill>
                  <w14:solidFill>
                    <w14:schemeClr w14:val="tx1"/>
                  </w14:solidFill>
                </w14:textFill>
              </w:rPr>
              <w:t>X</w:t>
            </w:r>
            <w:r>
              <w:rPr>
                <w:rFonts w:hint="eastAsia" w:ascii="宋体" w:hAnsi="宋体"/>
                <w:bCs/>
                <w:color w:val="000000" w:themeColor="text1"/>
                <w:sz w:val="24"/>
                <w:szCs w:val="28"/>
                <w14:textFill>
                  <w14:solidFill>
                    <w14:schemeClr w14:val="tx1"/>
                  </w14:solidFill>
                </w14:textFill>
              </w:rPr>
              <w:t>元</w:t>
            </w:r>
          </w:p>
        </w:tc>
      </w:tr>
    </w:tbl>
    <w:p>
      <w:pPr>
        <w:spacing w:line="440" w:lineRule="atLeast"/>
        <w:ind w:firstLine="419" w:firstLineChars="149"/>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说明：</w:t>
      </w:r>
    </w:p>
    <w:p>
      <w:pPr>
        <w:spacing w:line="440" w:lineRule="atLeast"/>
        <w:ind w:firstLine="419" w:firstLineChars="149"/>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1、进口产品是指通过中国海关报关验放进入中国境内且产自关境外的产品。</w:t>
      </w:r>
    </w:p>
    <w:p>
      <w:pPr>
        <w:spacing w:line="440" w:lineRule="atLeast"/>
        <w:ind w:firstLine="419" w:firstLineChars="149"/>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2、分项报价明细表格式中要求填写品牌、规格型号、制造商、进口或国产的，投标人必须载明其投标产品的品牌、规格型号、制造商、进口或国产。</w:t>
      </w:r>
    </w:p>
    <w:p>
      <w:pPr>
        <w:pStyle w:val="13"/>
        <w:spacing w:after="0" w:line="240" w:lineRule="auto"/>
        <w:ind w:firstLine="0"/>
        <w:rPr>
          <w:rFonts w:ascii="宋体" w:hAnsi="宋体"/>
          <w:bCs/>
          <w:color w:val="000000" w:themeColor="text1"/>
          <w:sz w:val="28"/>
          <w14:textFill>
            <w14:solidFill>
              <w14:schemeClr w14:val="tx1"/>
            </w14:solidFill>
          </w14:textFill>
        </w:rPr>
      </w:pPr>
    </w:p>
    <w:p>
      <w:pPr>
        <w:pStyle w:val="13"/>
        <w:spacing w:after="0" w:line="240" w:lineRule="auto"/>
        <w:ind w:firstLine="0"/>
        <w:rPr>
          <w:rFonts w:ascii="宋体" w:hAnsi="宋体"/>
          <w:bCs/>
          <w:color w:val="000000" w:themeColor="text1"/>
          <w:sz w:val="28"/>
          <w14:textFill>
            <w14:solidFill>
              <w14:schemeClr w14:val="tx1"/>
            </w14:solidFill>
          </w14:textFill>
        </w:rPr>
      </w:pPr>
    </w:p>
    <w:p>
      <w:pPr>
        <w:pStyle w:val="13"/>
        <w:spacing w:after="0" w:line="240" w:lineRule="auto"/>
        <w:ind w:firstLine="0"/>
        <w:rPr>
          <w:rFonts w:ascii="宋体" w:hAnsi="宋体"/>
          <w:bCs/>
          <w:color w:val="000000" w:themeColor="text1"/>
          <w:sz w:val="28"/>
          <w14:textFill>
            <w14:solidFill>
              <w14:schemeClr w14:val="tx1"/>
            </w14:solidFill>
          </w14:textFill>
        </w:rPr>
      </w:pPr>
    </w:p>
    <w:p>
      <w:pPr>
        <w:pStyle w:val="13"/>
        <w:spacing w:after="0" w:line="240" w:lineRule="auto"/>
        <w:ind w:firstLine="0"/>
        <w:rPr>
          <w:rFonts w:ascii="宋体" w:hAnsi="宋体"/>
          <w:bCs/>
          <w:color w:val="000000" w:themeColor="text1"/>
          <w:sz w:val="28"/>
          <w14:textFill>
            <w14:solidFill>
              <w14:schemeClr w14:val="tx1"/>
            </w14:solidFill>
          </w14:textFill>
        </w:rPr>
      </w:pPr>
    </w:p>
    <w:p>
      <w:pPr>
        <w:pStyle w:val="13"/>
        <w:spacing w:after="0" w:line="240" w:lineRule="auto"/>
        <w:ind w:firstLine="0"/>
        <w:rPr>
          <w:rFonts w:ascii="宋体" w:hAnsi="宋体"/>
          <w:bCs/>
          <w:color w:val="000000" w:themeColor="text1"/>
          <w:sz w:val="28"/>
          <w14:textFill>
            <w14:solidFill>
              <w14:schemeClr w14:val="tx1"/>
            </w14:solidFill>
          </w14:textFill>
        </w:rPr>
      </w:pPr>
    </w:p>
    <w:bookmarkEnd w:id="147"/>
    <w:p>
      <w:pPr>
        <w:keepNext/>
        <w:keepLines/>
        <w:numPr>
          <w:ilvl w:val="0"/>
          <w:numId w:val="1"/>
        </w:numPr>
        <w:spacing w:line="360" w:lineRule="auto"/>
        <w:ind w:left="0" w:firstLine="0"/>
        <w:jc w:val="center"/>
        <w:outlineLvl w:val="0"/>
        <w:rPr>
          <w:rFonts w:ascii="宋体" w:hAnsi="宋体"/>
          <w:b/>
          <w:bCs/>
          <w:color w:val="000000" w:themeColor="text1"/>
          <w:spacing w:val="-20"/>
          <w:kern w:val="44"/>
          <w:sz w:val="32"/>
          <w:szCs w:val="32"/>
          <w14:textFill>
            <w14:solidFill>
              <w14:schemeClr w14:val="tx1"/>
            </w14:solidFill>
          </w14:textFill>
        </w:rPr>
      </w:pPr>
      <w:bookmarkStart w:id="149" w:name="_Toc217446093"/>
      <w:bookmarkStart w:id="150" w:name="_Toc76541360"/>
      <w:bookmarkStart w:id="151" w:name="_Toc321382057"/>
      <w:bookmarkStart w:id="152" w:name="_Toc316292231"/>
      <w:r>
        <w:rPr>
          <w:rFonts w:hint="eastAsia" w:ascii="宋体" w:hAnsi="宋体"/>
          <w:b/>
          <w:bCs/>
          <w:color w:val="000000" w:themeColor="text1"/>
          <w:spacing w:val="-20"/>
          <w:kern w:val="44"/>
          <w:sz w:val="32"/>
          <w:szCs w:val="32"/>
          <w14:textFill>
            <w14:solidFill>
              <w14:schemeClr w14:val="tx1"/>
            </w14:solidFill>
          </w14:textFill>
        </w:rPr>
        <w:t>招标项目技术、服务、商务及其他要求</w:t>
      </w:r>
      <w:bookmarkEnd w:id="149"/>
      <w:bookmarkEnd w:id="150"/>
    </w:p>
    <w:p>
      <w:pPr>
        <w:pStyle w:val="4"/>
        <w:tabs>
          <w:tab w:val="left" w:pos="0"/>
          <w:tab w:val="left" w:pos="426"/>
          <w:tab w:val="left" w:pos="576"/>
          <w:tab w:val="left" w:pos="786"/>
        </w:tabs>
        <w:spacing w:before="0" w:after="0" w:line="500" w:lineRule="exact"/>
        <w:ind w:left="0" w:firstLine="0"/>
        <w:jc w:val="both"/>
        <w:rPr>
          <w:color w:val="000000" w:themeColor="text1"/>
          <w14:textFill>
            <w14:solidFill>
              <w14:schemeClr w14:val="tx1"/>
            </w14:solidFill>
          </w14:textFill>
        </w:rPr>
      </w:pPr>
      <w:bookmarkStart w:id="153" w:name="_Toc76541362"/>
      <w:bookmarkStart w:id="154" w:name="_Toc529173741"/>
      <w:bookmarkStart w:id="155" w:name="_Toc533672602"/>
      <w:r>
        <w:rPr>
          <w:rFonts w:hint="eastAsia"/>
          <w:color w:val="000000" w:themeColor="text1"/>
          <w14:textFill>
            <w14:solidFill>
              <w14:schemeClr w14:val="tx1"/>
            </w14:solidFill>
          </w14:textFill>
        </w:rPr>
        <w:t>项目概况</w:t>
      </w:r>
    </w:p>
    <w:p>
      <w:pPr>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本项目为中国共产党成都市青羊区委员会党校窗帘采购项目。项目总预算58.39 万元。</w:t>
      </w:r>
    </w:p>
    <w:p>
      <w:pPr>
        <w:pStyle w:val="4"/>
        <w:tabs>
          <w:tab w:val="left" w:pos="0"/>
          <w:tab w:val="left" w:pos="426"/>
          <w:tab w:val="left" w:pos="576"/>
          <w:tab w:val="left" w:pos="786"/>
        </w:tabs>
        <w:spacing w:before="0" w:after="0" w:line="500" w:lineRule="exact"/>
        <w:ind w:left="0" w:firstLine="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技术参数及要求</w:t>
      </w:r>
      <w:bookmarkEnd w:id="153"/>
    </w:p>
    <w:p>
      <w:pPr>
        <w:rPr>
          <w:rFonts w:hint="eastAsia"/>
          <w:color w:val="000000" w:themeColor="text1"/>
          <w14:textFill>
            <w14:solidFill>
              <w14:schemeClr w14:val="tx1"/>
            </w14:solidFill>
          </w14:textFill>
        </w:rPr>
      </w:pPr>
    </w:p>
    <w:tbl>
      <w:tblPr>
        <w:tblStyle w:val="33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52"/>
        <w:gridCol w:w="2316"/>
        <w:gridCol w:w="2804"/>
        <w:gridCol w:w="20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693" w:type="pct"/>
          </w:tcPr>
          <w:p>
            <w:pPr>
              <w:spacing w:before="137" w:line="188" w:lineRule="auto"/>
              <w:ind w:firstLine="194" w:firstLineChars="100"/>
              <w:jc w:val="both"/>
              <w:rPr>
                <w:rFonts w:hint="eastAsia" w:ascii="宋体" w:hAnsi="宋体" w:eastAsia="宋体" w:cs="宋体"/>
                <w:sz w:val="21"/>
                <w:szCs w:val="21"/>
              </w:rPr>
            </w:pPr>
            <w:r>
              <w:rPr>
                <w:rFonts w:hint="eastAsia" w:ascii="宋体" w:hAnsi="宋体" w:eastAsia="宋体" w:cs="宋体"/>
                <w:spacing w:val="-8"/>
                <w:sz w:val="21"/>
                <w:szCs w:val="21"/>
              </w:rPr>
              <w:t>序号</w:t>
            </w:r>
          </w:p>
        </w:tc>
        <w:tc>
          <w:tcPr>
            <w:tcW w:w="1393" w:type="pct"/>
          </w:tcPr>
          <w:p>
            <w:pPr>
              <w:spacing w:before="137" w:line="188" w:lineRule="auto"/>
              <w:jc w:val="center"/>
              <w:rPr>
                <w:rFonts w:hint="eastAsia" w:ascii="宋体" w:hAnsi="宋体" w:eastAsia="宋体" w:cs="宋体"/>
                <w:sz w:val="21"/>
                <w:szCs w:val="21"/>
              </w:rPr>
            </w:pPr>
            <w:r>
              <w:rPr>
                <w:rFonts w:hint="eastAsia" w:ascii="宋体" w:hAnsi="宋体" w:eastAsia="宋体" w:cs="宋体"/>
                <w:spacing w:val="-5"/>
                <w:sz w:val="21"/>
                <w:szCs w:val="21"/>
              </w:rPr>
              <w:t>产品名称</w:t>
            </w:r>
          </w:p>
        </w:tc>
        <w:tc>
          <w:tcPr>
            <w:tcW w:w="1687" w:type="pct"/>
          </w:tcPr>
          <w:p>
            <w:pPr>
              <w:spacing w:before="137" w:line="188" w:lineRule="auto"/>
              <w:ind w:firstLine="925"/>
              <w:jc w:val="both"/>
              <w:rPr>
                <w:rFonts w:hint="eastAsia" w:ascii="宋体" w:hAnsi="宋体" w:eastAsia="宋体" w:cs="宋体"/>
                <w:sz w:val="21"/>
                <w:szCs w:val="21"/>
              </w:rPr>
            </w:pPr>
            <w:r>
              <w:rPr>
                <w:rFonts w:hint="eastAsia" w:ascii="宋体" w:hAnsi="宋体" w:eastAsia="宋体" w:cs="宋体"/>
                <w:spacing w:val="-8"/>
                <w:sz w:val="21"/>
                <w:szCs w:val="21"/>
              </w:rPr>
              <w:t>数量</w:t>
            </w:r>
          </w:p>
        </w:tc>
        <w:tc>
          <w:tcPr>
            <w:tcW w:w="1225" w:type="pct"/>
          </w:tcPr>
          <w:p>
            <w:pPr>
              <w:spacing w:before="137" w:line="188" w:lineRule="auto"/>
              <w:ind w:firstLine="696"/>
              <w:jc w:val="both"/>
              <w:rPr>
                <w:rFonts w:hint="eastAsia" w:ascii="宋体" w:hAnsi="宋体" w:eastAsia="宋体" w:cs="宋体"/>
                <w:sz w:val="21"/>
                <w:szCs w:val="21"/>
              </w:rPr>
            </w:pPr>
            <w:r>
              <w:rPr>
                <w:rFonts w:hint="eastAsia" w:ascii="宋体" w:hAnsi="宋体" w:eastAsia="宋体" w:cs="宋体"/>
                <w:spacing w:val="-10"/>
                <w:sz w:val="21"/>
                <w:szCs w:val="21"/>
              </w:rPr>
              <w:t>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93" w:type="pct"/>
          </w:tcPr>
          <w:p>
            <w:pPr>
              <w:spacing w:before="164" w:line="18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1</w:t>
            </w:r>
          </w:p>
        </w:tc>
        <w:tc>
          <w:tcPr>
            <w:tcW w:w="1393" w:type="pct"/>
          </w:tcPr>
          <w:p>
            <w:pPr>
              <w:spacing w:before="129" w:line="188" w:lineRule="auto"/>
              <w:jc w:val="center"/>
              <w:rPr>
                <w:rFonts w:hint="eastAsia" w:ascii="宋体" w:hAnsi="宋体" w:eastAsia="宋体" w:cs="宋体"/>
                <w:sz w:val="21"/>
                <w:szCs w:val="21"/>
              </w:rPr>
            </w:pPr>
            <w:r>
              <w:rPr>
                <w:rFonts w:hint="eastAsia" w:ascii="宋体" w:hAnsi="宋体" w:eastAsia="宋体" w:cs="宋体"/>
                <w:spacing w:val="-7"/>
                <w:sz w:val="21"/>
                <w:szCs w:val="21"/>
              </w:rPr>
              <w:t>阳光卷帘</w:t>
            </w:r>
          </w:p>
        </w:tc>
        <w:tc>
          <w:tcPr>
            <w:tcW w:w="1687" w:type="pct"/>
          </w:tcPr>
          <w:p>
            <w:pPr>
              <w:spacing w:before="164" w:line="180" w:lineRule="auto"/>
              <w:ind w:firstLine="773"/>
              <w:jc w:val="center"/>
              <w:rPr>
                <w:rFonts w:hint="eastAsia" w:ascii="宋体" w:hAnsi="宋体" w:eastAsia="宋体" w:cs="宋体"/>
                <w:sz w:val="21"/>
                <w:szCs w:val="21"/>
              </w:rPr>
            </w:pPr>
            <w:r>
              <w:rPr>
                <w:rFonts w:hint="eastAsia" w:ascii="宋体" w:hAnsi="宋体" w:eastAsia="宋体" w:cs="宋体"/>
                <w:spacing w:val="-4"/>
                <w:sz w:val="21"/>
                <w:szCs w:val="21"/>
              </w:rPr>
              <w:t>1585.37</w:t>
            </w:r>
          </w:p>
        </w:tc>
        <w:tc>
          <w:tcPr>
            <w:tcW w:w="1225" w:type="pct"/>
          </w:tcPr>
          <w:p>
            <w:pPr>
              <w:spacing w:before="129" w:line="188" w:lineRule="auto"/>
              <w:ind w:firstLine="788"/>
              <w:jc w:val="both"/>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93" w:type="pct"/>
          </w:tcPr>
          <w:p>
            <w:pPr>
              <w:spacing w:before="166" w:line="18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2</w:t>
            </w:r>
          </w:p>
        </w:tc>
        <w:tc>
          <w:tcPr>
            <w:tcW w:w="1393" w:type="pct"/>
          </w:tcPr>
          <w:p>
            <w:pPr>
              <w:spacing w:before="130" w:line="188" w:lineRule="auto"/>
              <w:jc w:val="center"/>
              <w:rPr>
                <w:rFonts w:hint="eastAsia" w:ascii="宋体" w:hAnsi="宋体" w:eastAsia="宋体" w:cs="宋体"/>
                <w:sz w:val="21"/>
                <w:szCs w:val="21"/>
              </w:rPr>
            </w:pPr>
            <w:r>
              <w:rPr>
                <w:rFonts w:hint="eastAsia" w:ascii="宋体" w:hAnsi="宋体" w:eastAsia="宋体" w:cs="宋体"/>
                <w:spacing w:val="-5"/>
                <w:sz w:val="21"/>
                <w:szCs w:val="21"/>
              </w:rPr>
              <w:t>遮光卷帘</w:t>
            </w:r>
          </w:p>
        </w:tc>
        <w:tc>
          <w:tcPr>
            <w:tcW w:w="1687" w:type="pct"/>
          </w:tcPr>
          <w:p>
            <w:pPr>
              <w:spacing w:before="165" w:line="180" w:lineRule="auto"/>
              <w:ind w:firstLine="773"/>
              <w:jc w:val="center"/>
              <w:rPr>
                <w:rFonts w:hint="eastAsia" w:ascii="宋体" w:hAnsi="宋体" w:eastAsia="宋体" w:cs="宋体"/>
                <w:sz w:val="21"/>
                <w:szCs w:val="21"/>
              </w:rPr>
            </w:pPr>
            <w:r>
              <w:rPr>
                <w:rFonts w:hint="eastAsia" w:ascii="宋体" w:hAnsi="宋体" w:eastAsia="宋体" w:cs="宋体"/>
                <w:spacing w:val="-4"/>
                <w:sz w:val="21"/>
                <w:szCs w:val="21"/>
              </w:rPr>
              <w:t>1585.37</w:t>
            </w:r>
          </w:p>
        </w:tc>
        <w:tc>
          <w:tcPr>
            <w:tcW w:w="1225" w:type="pct"/>
          </w:tcPr>
          <w:p>
            <w:pPr>
              <w:spacing w:before="130" w:line="188" w:lineRule="auto"/>
              <w:ind w:firstLine="788"/>
              <w:jc w:val="both"/>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93" w:type="pct"/>
          </w:tcPr>
          <w:p>
            <w:pPr>
              <w:spacing w:before="169" w:line="18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3</w:t>
            </w:r>
          </w:p>
        </w:tc>
        <w:tc>
          <w:tcPr>
            <w:tcW w:w="1393" w:type="pct"/>
          </w:tcPr>
          <w:p>
            <w:pPr>
              <w:spacing w:before="132" w:line="188" w:lineRule="auto"/>
              <w:jc w:val="center"/>
              <w:rPr>
                <w:rFonts w:hint="eastAsia" w:ascii="宋体" w:hAnsi="宋体" w:eastAsia="宋体" w:cs="宋体"/>
                <w:sz w:val="21"/>
                <w:szCs w:val="21"/>
              </w:rPr>
            </w:pPr>
            <w:r>
              <w:rPr>
                <w:rFonts w:hint="eastAsia" w:ascii="宋体" w:hAnsi="宋体" w:eastAsia="宋体" w:cs="宋体"/>
                <w:spacing w:val="-10"/>
                <w:sz w:val="21"/>
                <w:szCs w:val="21"/>
              </w:rPr>
              <w:t>电动布帘</w:t>
            </w:r>
          </w:p>
        </w:tc>
        <w:tc>
          <w:tcPr>
            <w:tcW w:w="1687" w:type="pct"/>
          </w:tcPr>
          <w:p>
            <w:pPr>
              <w:spacing w:before="168" w:line="180" w:lineRule="auto"/>
              <w:ind w:firstLine="866"/>
              <w:jc w:val="center"/>
              <w:rPr>
                <w:rFonts w:hint="eastAsia" w:ascii="宋体" w:hAnsi="宋体" w:eastAsia="宋体" w:cs="宋体"/>
                <w:sz w:val="21"/>
                <w:szCs w:val="21"/>
              </w:rPr>
            </w:pPr>
            <w:r>
              <w:rPr>
                <w:rFonts w:hint="eastAsia" w:ascii="宋体" w:hAnsi="宋体" w:eastAsia="宋体" w:cs="宋体"/>
                <w:sz w:val="21"/>
                <w:szCs w:val="21"/>
              </w:rPr>
              <w:t>297.5</w:t>
            </w:r>
          </w:p>
        </w:tc>
        <w:tc>
          <w:tcPr>
            <w:tcW w:w="1225" w:type="pct"/>
          </w:tcPr>
          <w:p>
            <w:pPr>
              <w:spacing w:before="132" w:line="188" w:lineRule="auto"/>
              <w:ind w:firstLine="788"/>
              <w:jc w:val="both"/>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93" w:type="pct"/>
          </w:tcPr>
          <w:p>
            <w:pPr>
              <w:spacing w:before="169" w:line="18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4</w:t>
            </w:r>
          </w:p>
        </w:tc>
        <w:tc>
          <w:tcPr>
            <w:tcW w:w="1393" w:type="pct"/>
          </w:tcPr>
          <w:p>
            <w:pPr>
              <w:spacing w:before="133" w:line="188" w:lineRule="auto"/>
              <w:jc w:val="center"/>
              <w:rPr>
                <w:rFonts w:hint="eastAsia" w:ascii="宋体" w:hAnsi="宋体" w:eastAsia="宋体" w:cs="宋体"/>
                <w:sz w:val="21"/>
                <w:szCs w:val="21"/>
              </w:rPr>
            </w:pPr>
            <w:r>
              <w:rPr>
                <w:rFonts w:hint="eastAsia" w:ascii="宋体" w:hAnsi="宋体" w:eastAsia="宋体" w:cs="宋体"/>
                <w:spacing w:val="-5"/>
                <w:sz w:val="21"/>
                <w:szCs w:val="21"/>
              </w:rPr>
              <w:t>手动布帘</w:t>
            </w:r>
          </w:p>
        </w:tc>
        <w:tc>
          <w:tcPr>
            <w:tcW w:w="1687" w:type="pct"/>
          </w:tcPr>
          <w:p>
            <w:pPr>
              <w:spacing w:before="169" w:line="180" w:lineRule="auto"/>
              <w:ind w:firstLine="921"/>
              <w:jc w:val="center"/>
              <w:rPr>
                <w:rFonts w:hint="eastAsia" w:ascii="宋体" w:hAnsi="宋体" w:eastAsia="宋体" w:cs="宋体"/>
                <w:sz w:val="21"/>
                <w:szCs w:val="21"/>
              </w:rPr>
            </w:pPr>
            <w:r>
              <w:rPr>
                <w:rFonts w:hint="eastAsia" w:ascii="宋体" w:hAnsi="宋体" w:eastAsia="宋体" w:cs="宋体"/>
                <w:spacing w:val="-3"/>
                <w:sz w:val="21"/>
                <w:szCs w:val="21"/>
              </w:rPr>
              <w:t>3638</w:t>
            </w:r>
          </w:p>
        </w:tc>
        <w:tc>
          <w:tcPr>
            <w:tcW w:w="1225" w:type="pct"/>
          </w:tcPr>
          <w:p>
            <w:pPr>
              <w:spacing w:before="133" w:line="188" w:lineRule="auto"/>
              <w:ind w:firstLine="788"/>
              <w:jc w:val="both"/>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93" w:type="pct"/>
          </w:tcPr>
          <w:p>
            <w:pPr>
              <w:spacing w:before="171" w:line="18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5</w:t>
            </w:r>
          </w:p>
        </w:tc>
        <w:tc>
          <w:tcPr>
            <w:tcW w:w="1393" w:type="pct"/>
          </w:tcPr>
          <w:p>
            <w:pPr>
              <w:spacing w:before="133" w:line="188" w:lineRule="auto"/>
              <w:jc w:val="center"/>
              <w:rPr>
                <w:rFonts w:hint="eastAsia" w:ascii="宋体" w:hAnsi="宋体" w:eastAsia="宋体" w:cs="宋体"/>
                <w:sz w:val="21"/>
                <w:szCs w:val="21"/>
              </w:rPr>
            </w:pPr>
            <w:r>
              <w:rPr>
                <w:rFonts w:hint="eastAsia" w:ascii="宋体" w:hAnsi="宋体" w:eastAsia="宋体" w:cs="宋体"/>
                <w:spacing w:val="-7"/>
                <w:sz w:val="21"/>
                <w:szCs w:val="21"/>
              </w:rPr>
              <w:t>电动遮光布帘</w:t>
            </w:r>
          </w:p>
        </w:tc>
        <w:tc>
          <w:tcPr>
            <w:tcW w:w="1687" w:type="pct"/>
          </w:tcPr>
          <w:p>
            <w:pPr>
              <w:spacing w:before="169" w:line="180" w:lineRule="auto"/>
              <w:ind w:firstLine="868"/>
              <w:jc w:val="center"/>
              <w:rPr>
                <w:rFonts w:hint="eastAsia" w:ascii="宋体" w:hAnsi="宋体" w:eastAsia="宋体" w:cs="宋体"/>
                <w:sz w:val="21"/>
                <w:szCs w:val="21"/>
              </w:rPr>
            </w:pPr>
            <w:r>
              <w:rPr>
                <w:rFonts w:hint="eastAsia" w:ascii="宋体" w:hAnsi="宋体" w:eastAsia="宋体" w:cs="宋体"/>
                <w:spacing w:val="-3"/>
                <w:sz w:val="21"/>
                <w:szCs w:val="21"/>
              </w:rPr>
              <w:t>380.8</w:t>
            </w:r>
          </w:p>
        </w:tc>
        <w:tc>
          <w:tcPr>
            <w:tcW w:w="1225" w:type="pct"/>
          </w:tcPr>
          <w:p>
            <w:pPr>
              <w:spacing w:before="133" w:line="188" w:lineRule="auto"/>
              <w:ind w:firstLine="788"/>
              <w:jc w:val="both"/>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93" w:type="pct"/>
          </w:tcPr>
          <w:p>
            <w:pPr>
              <w:spacing w:before="169" w:line="18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6</w:t>
            </w:r>
          </w:p>
        </w:tc>
        <w:tc>
          <w:tcPr>
            <w:tcW w:w="1393" w:type="pct"/>
          </w:tcPr>
          <w:p>
            <w:pPr>
              <w:spacing w:before="133" w:line="188" w:lineRule="auto"/>
              <w:jc w:val="center"/>
              <w:rPr>
                <w:rFonts w:hint="eastAsia" w:ascii="宋体" w:hAnsi="宋体" w:eastAsia="宋体" w:cs="宋体"/>
                <w:sz w:val="21"/>
                <w:szCs w:val="21"/>
              </w:rPr>
            </w:pPr>
            <w:r>
              <w:rPr>
                <w:rFonts w:hint="eastAsia" w:ascii="宋体" w:hAnsi="宋体" w:eastAsia="宋体" w:cs="宋体"/>
                <w:spacing w:val="-3"/>
                <w:sz w:val="21"/>
                <w:szCs w:val="21"/>
              </w:rPr>
              <w:t>手动遮光布帘</w:t>
            </w:r>
          </w:p>
        </w:tc>
        <w:tc>
          <w:tcPr>
            <w:tcW w:w="1687" w:type="pct"/>
          </w:tcPr>
          <w:p>
            <w:pPr>
              <w:spacing w:before="169" w:line="180" w:lineRule="auto"/>
              <w:ind w:firstLine="866"/>
              <w:jc w:val="center"/>
              <w:rPr>
                <w:rFonts w:hint="eastAsia" w:ascii="宋体" w:hAnsi="宋体" w:eastAsia="宋体" w:cs="宋体"/>
                <w:sz w:val="21"/>
                <w:szCs w:val="21"/>
              </w:rPr>
            </w:pPr>
            <w:r>
              <w:rPr>
                <w:rFonts w:hint="eastAsia" w:ascii="宋体" w:hAnsi="宋体" w:eastAsia="宋体" w:cs="宋体"/>
                <w:sz w:val="21"/>
                <w:szCs w:val="21"/>
              </w:rPr>
              <w:t>200.5</w:t>
            </w:r>
          </w:p>
        </w:tc>
        <w:tc>
          <w:tcPr>
            <w:tcW w:w="1225" w:type="pct"/>
          </w:tcPr>
          <w:p>
            <w:pPr>
              <w:spacing w:before="133" w:line="188" w:lineRule="auto"/>
              <w:ind w:firstLine="788"/>
              <w:jc w:val="both"/>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93" w:type="pct"/>
          </w:tcPr>
          <w:p>
            <w:pPr>
              <w:spacing w:before="170" w:line="18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7</w:t>
            </w:r>
          </w:p>
        </w:tc>
        <w:tc>
          <w:tcPr>
            <w:tcW w:w="1393" w:type="pct"/>
          </w:tcPr>
          <w:p>
            <w:pPr>
              <w:spacing w:before="132" w:line="188" w:lineRule="auto"/>
              <w:jc w:val="center"/>
              <w:rPr>
                <w:rFonts w:hint="eastAsia" w:ascii="宋体" w:hAnsi="宋体" w:eastAsia="宋体" w:cs="宋体"/>
                <w:sz w:val="21"/>
                <w:szCs w:val="21"/>
              </w:rPr>
            </w:pPr>
            <w:r>
              <w:rPr>
                <w:rFonts w:hint="eastAsia" w:ascii="宋体" w:hAnsi="宋体" w:eastAsia="宋体" w:cs="宋体"/>
                <w:spacing w:val="-10"/>
                <w:sz w:val="21"/>
                <w:szCs w:val="21"/>
              </w:rPr>
              <w:t>电动纱帘</w:t>
            </w:r>
          </w:p>
        </w:tc>
        <w:tc>
          <w:tcPr>
            <w:tcW w:w="1687" w:type="pct"/>
          </w:tcPr>
          <w:p>
            <w:pPr>
              <w:spacing w:before="167" w:line="180" w:lineRule="auto"/>
              <w:ind w:firstLine="868"/>
              <w:jc w:val="center"/>
              <w:rPr>
                <w:rFonts w:hint="eastAsia" w:ascii="宋体" w:hAnsi="宋体" w:eastAsia="宋体" w:cs="宋体"/>
                <w:sz w:val="21"/>
                <w:szCs w:val="21"/>
              </w:rPr>
            </w:pPr>
            <w:r>
              <w:rPr>
                <w:rFonts w:hint="eastAsia" w:ascii="宋体" w:hAnsi="宋体" w:eastAsia="宋体" w:cs="宋体"/>
                <w:spacing w:val="-1"/>
                <w:sz w:val="21"/>
                <w:szCs w:val="21"/>
              </w:rPr>
              <w:t>317.5</w:t>
            </w:r>
          </w:p>
        </w:tc>
        <w:tc>
          <w:tcPr>
            <w:tcW w:w="1225" w:type="pct"/>
          </w:tcPr>
          <w:p>
            <w:pPr>
              <w:spacing w:before="132" w:line="188" w:lineRule="auto"/>
              <w:ind w:firstLine="788"/>
              <w:jc w:val="both"/>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93" w:type="pct"/>
          </w:tcPr>
          <w:p>
            <w:pPr>
              <w:spacing w:before="169" w:line="18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8</w:t>
            </w:r>
          </w:p>
        </w:tc>
        <w:tc>
          <w:tcPr>
            <w:tcW w:w="1393" w:type="pct"/>
          </w:tcPr>
          <w:p>
            <w:pPr>
              <w:spacing w:before="132" w:line="188" w:lineRule="auto"/>
              <w:jc w:val="center"/>
              <w:rPr>
                <w:rFonts w:hint="eastAsia" w:ascii="宋体" w:hAnsi="宋体" w:eastAsia="宋体" w:cs="宋体"/>
                <w:sz w:val="21"/>
                <w:szCs w:val="21"/>
              </w:rPr>
            </w:pPr>
            <w:r>
              <w:rPr>
                <w:rFonts w:hint="eastAsia" w:ascii="宋体" w:hAnsi="宋体" w:eastAsia="宋体" w:cs="宋体"/>
                <w:spacing w:val="-5"/>
                <w:sz w:val="21"/>
                <w:szCs w:val="21"/>
              </w:rPr>
              <w:t>手动纱帘</w:t>
            </w:r>
          </w:p>
        </w:tc>
        <w:tc>
          <w:tcPr>
            <w:tcW w:w="1687" w:type="pct"/>
          </w:tcPr>
          <w:p>
            <w:pPr>
              <w:spacing w:before="167" w:line="180" w:lineRule="auto"/>
              <w:ind w:firstLine="762"/>
              <w:jc w:val="center"/>
              <w:rPr>
                <w:rFonts w:hint="eastAsia" w:ascii="宋体" w:hAnsi="宋体" w:eastAsia="宋体" w:cs="宋体"/>
                <w:sz w:val="21"/>
                <w:szCs w:val="21"/>
              </w:rPr>
            </w:pPr>
            <w:r>
              <w:rPr>
                <w:rFonts w:hint="eastAsia" w:ascii="宋体" w:hAnsi="宋体" w:eastAsia="宋体" w:cs="宋体"/>
                <w:spacing w:val="-2"/>
                <w:sz w:val="21"/>
                <w:szCs w:val="21"/>
              </w:rPr>
              <w:t>3198.78</w:t>
            </w:r>
          </w:p>
        </w:tc>
        <w:tc>
          <w:tcPr>
            <w:tcW w:w="1225" w:type="pct"/>
          </w:tcPr>
          <w:p>
            <w:pPr>
              <w:spacing w:before="132" w:line="188" w:lineRule="auto"/>
              <w:ind w:firstLine="788"/>
              <w:jc w:val="both"/>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93" w:type="pct"/>
          </w:tcPr>
          <w:p>
            <w:pPr>
              <w:spacing w:before="172" w:line="18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9</w:t>
            </w:r>
          </w:p>
        </w:tc>
        <w:tc>
          <w:tcPr>
            <w:tcW w:w="1393" w:type="pct"/>
          </w:tcPr>
          <w:p>
            <w:pPr>
              <w:spacing w:before="135" w:line="188" w:lineRule="auto"/>
              <w:jc w:val="center"/>
              <w:rPr>
                <w:rFonts w:hint="eastAsia" w:ascii="宋体" w:hAnsi="宋体" w:eastAsia="宋体" w:cs="宋体"/>
                <w:sz w:val="21"/>
                <w:szCs w:val="21"/>
              </w:rPr>
            </w:pPr>
            <w:r>
              <w:rPr>
                <w:rFonts w:hint="eastAsia" w:ascii="宋体" w:hAnsi="宋体" w:eastAsia="宋体" w:cs="宋体"/>
                <w:spacing w:val="-8"/>
                <w:sz w:val="21"/>
                <w:szCs w:val="21"/>
              </w:rPr>
              <w:t>阻燃布带</w:t>
            </w:r>
          </w:p>
        </w:tc>
        <w:tc>
          <w:tcPr>
            <w:tcW w:w="1687" w:type="pct"/>
          </w:tcPr>
          <w:p>
            <w:pPr>
              <w:spacing w:before="170" w:line="180" w:lineRule="auto"/>
              <w:ind w:firstLine="921"/>
              <w:jc w:val="center"/>
              <w:rPr>
                <w:rFonts w:hint="eastAsia" w:ascii="宋体" w:hAnsi="宋体" w:eastAsia="宋体" w:cs="宋体"/>
                <w:sz w:val="21"/>
                <w:szCs w:val="21"/>
              </w:rPr>
            </w:pPr>
            <w:r>
              <w:rPr>
                <w:rFonts w:hint="eastAsia" w:ascii="宋体" w:hAnsi="宋体" w:eastAsia="宋体" w:cs="宋体"/>
                <w:spacing w:val="-3"/>
                <w:sz w:val="21"/>
                <w:szCs w:val="21"/>
              </w:rPr>
              <w:t>3100</w:t>
            </w:r>
          </w:p>
        </w:tc>
        <w:tc>
          <w:tcPr>
            <w:tcW w:w="1225" w:type="pct"/>
          </w:tcPr>
          <w:p>
            <w:pPr>
              <w:spacing w:before="135" w:line="188" w:lineRule="auto"/>
              <w:ind w:firstLine="795"/>
              <w:jc w:val="both"/>
              <w:rPr>
                <w:rFonts w:hint="eastAsia" w:ascii="宋体" w:hAnsi="宋体" w:eastAsia="宋体" w:cs="宋体"/>
                <w:sz w:val="21"/>
                <w:szCs w:val="21"/>
              </w:rPr>
            </w:pPr>
            <w:r>
              <w:rPr>
                <w:rFonts w:hint="eastAsia" w:ascii="宋体" w:hAnsi="宋体" w:eastAsia="宋体" w:cs="宋体"/>
                <w:sz w:val="21"/>
                <w:szCs w:val="21"/>
              </w:rPr>
              <w:t>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693" w:type="pct"/>
          </w:tcPr>
          <w:p>
            <w:pPr>
              <w:spacing w:before="170" w:line="180" w:lineRule="auto"/>
              <w:ind w:firstLine="370" w:firstLineChars="200"/>
              <w:jc w:val="both"/>
              <w:rPr>
                <w:rFonts w:hint="eastAsia" w:ascii="宋体" w:hAnsi="宋体" w:eastAsia="宋体" w:cs="宋体"/>
                <w:sz w:val="21"/>
                <w:szCs w:val="21"/>
              </w:rPr>
            </w:pPr>
            <w:r>
              <w:rPr>
                <w:rFonts w:hint="eastAsia" w:ascii="宋体" w:hAnsi="宋体" w:eastAsia="宋体" w:cs="宋体"/>
                <w:spacing w:val="-10"/>
                <w:w w:val="98"/>
                <w:sz w:val="21"/>
                <w:szCs w:val="21"/>
              </w:rPr>
              <w:t>10</w:t>
            </w:r>
          </w:p>
        </w:tc>
        <w:tc>
          <w:tcPr>
            <w:tcW w:w="1393" w:type="pct"/>
          </w:tcPr>
          <w:p>
            <w:pPr>
              <w:spacing w:before="135" w:line="188" w:lineRule="auto"/>
              <w:jc w:val="center"/>
              <w:rPr>
                <w:rFonts w:hint="eastAsia" w:ascii="宋体" w:hAnsi="宋体" w:eastAsia="宋体" w:cs="宋体"/>
                <w:sz w:val="21"/>
                <w:szCs w:val="21"/>
              </w:rPr>
            </w:pPr>
            <w:r>
              <w:rPr>
                <w:rFonts w:hint="eastAsia" w:ascii="宋体" w:hAnsi="宋体" w:eastAsia="宋体" w:cs="宋体"/>
                <w:spacing w:val="-3"/>
                <w:sz w:val="21"/>
                <w:szCs w:val="21"/>
              </w:rPr>
              <w:t>开合帘电机</w:t>
            </w:r>
          </w:p>
        </w:tc>
        <w:tc>
          <w:tcPr>
            <w:tcW w:w="1687" w:type="pct"/>
          </w:tcPr>
          <w:p>
            <w:pPr>
              <w:spacing w:before="171" w:line="180" w:lineRule="auto"/>
              <w:ind w:firstLine="1025"/>
              <w:jc w:val="center"/>
              <w:rPr>
                <w:rFonts w:hint="eastAsia" w:ascii="宋体" w:hAnsi="宋体" w:eastAsia="宋体" w:cs="宋体"/>
                <w:sz w:val="21"/>
                <w:szCs w:val="21"/>
              </w:rPr>
            </w:pPr>
            <w:r>
              <w:rPr>
                <w:rFonts w:hint="eastAsia" w:ascii="宋体" w:hAnsi="宋体" w:eastAsia="宋体" w:cs="宋体"/>
                <w:spacing w:val="-5"/>
                <w:sz w:val="21"/>
                <w:szCs w:val="21"/>
              </w:rPr>
              <w:t>20</w:t>
            </w:r>
          </w:p>
        </w:tc>
        <w:tc>
          <w:tcPr>
            <w:tcW w:w="1225" w:type="pct"/>
          </w:tcPr>
          <w:p>
            <w:pPr>
              <w:spacing w:before="135" w:line="188" w:lineRule="auto"/>
              <w:ind w:firstLine="813"/>
              <w:jc w:val="both"/>
              <w:rPr>
                <w:rFonts w:hint="eastAsia" w:ascii="宋体" w:hAnsi="宋体" w:eastAsia="宋体" w:cs="宋体"/>
                <w:sz w:val="21"/>
                <w:szCs w:val="21"/>
              </w:rPr>
            </w:pPr>
            <w:r>
              <w:rPr>
                <w:rFonts w:hint="eastAsia" w:ascii="宋体" w:hAnsi="宋体" w:eastAsia="宋体" w:cs="宋体"/>
                <w:sz w:val="21"/>
                <w:szCs w:val="21"/>
              </w:rPr>
              <w:t>台</w:t>
            </w:r>
          </w:p>
        </w:tc>
      </w:tr>
    </w:tbl>
    <w:tbl>
      <w:tblPr>
        <w:tblStyle w:val="336"/>
        <w:tblpPr w:leftFromText="180" w:rightFromText="180" w:vertAnchor="text" w:horzAnchor="page" w:tblpX="1801" w:tblpY="726"/>
        <w:tblOverlap w:val="never"/>
        <w:tblW w:w="83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0"/>
        <w:gridCol w:w="71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220" w:type="dxa"/>
            <w:vAlign w:val="top"/>
          </w:tcPr>
          <w:p>
            <w:pPr>
              <w:keepNext w:val="0"/>
              <w:keepLines w:val="0"/>
              <w:pageBreakBefore w:val="0"/>
              <w:widowControl w:val="0"/>
              <w:kinsoku/>
              <w:wordWrap/>
              <w:overflowPunct/>
              <w:topLinePunct w:val="0"/>
              <w:autoSpaceDE/>
              <w:autoSpaceDN/>
              <w:bidi w:val="0"/>
              <w:adjustRightInd/>
              <w:snapToGrid/>
              <w:spacing w:before="56" w:line="360" w:lineRule="auto"/>
              <w:ind w:firstLine="390" w:firstLineChars="200"/>
              <w:textAlignment w:val="auto"/>
              <w:rPr>
                <w:rFonts w:hint="eastAsia" w:ascii="宋体" w:hAnsi="宋体" w:eastAsia="宋体" w:cs="宋体"/>
                <w:b/>
                <w:bCs/>
                <w:sz w:val="21"/>
                <w:szCs w:val="21"/>
              </w:rPr>
            </w:pPr>
            <w:r>
              <w:rPr>
                <w:rFonts w:hint="eastAsia" w:ascii="宋体" w:hAnsi="宋体" w:eastAsia="宋体" w:cs="宋体"/>
                <w:b/>
                <w:bCs/>
                <w:spacing w:val="-8"/>
                <w:sz w:val="21"/>
                <w:szCs w:val="21"/>
                <w14:textOutline w14:w="3797" w14:cap="sq" w14:cmpd="sng" w14:algn="ctr">
                  <w14:solidFill>
                    <w14:srgbClr w14:val="000000"/>
                  </w14:solidFill>
                  <w14:prstDash w14:val="solid"/>
                  <w14:bevel/>
                </w14:textOutline>
              </w:rPr>
              <w:t>名称</w:t>
            </w:r>
          </w:p>
        </w:tc>
        <w:tc>
          <w:tcPr>
            <w:tcW w:w="7112" w:type="dxa"/>
            <w:vAlign w:val="top"/>
          </w:tcPr>
          <w:p>
            <w:pPr>
              <w:keepNext w:val="0"/>
              <w:keepLines w:val="0"/>
              <w:pageBreakBefore w:val="0"/>
              <w:widowControl w:val="0"/>
              <w:kinsoku/>
              <w:wordWrap/>
              <w:overflowPunct/>
              <w:topLinePunct w:val="0"/>
              <w:autoSpaceDE/>
              <w:autoSpaceDN/>
              <w:bidi w:val="0"/>
              <w:adjustRightInd/>
              <w:snapToGrid/>
              <w:spacing w:before="98" w:line="360" w:lineRule="auto"/>
              <w:ind w:left="21"/>
              <w:jc w:val="center"/>
              <w:textAlignment w:val="auto"/>
              <w:rPr>
                <w:rFonts w:hint="default" w:ascii="宋体" w:hAnsi="宋体" w:eastAsia="宋体" w:cs="宋体"/>
                <w:b/>
                <w:bCs/>
                <w:sz w:val="21"/>
                <w:szCs w:val="21"/>
                <w:lang w:val="en-US" w:eastAsia="zh-CN"/>
              </w:rPr>
            </w:pPr>
            <w:r>
              <w:rPr>
                <w:rFonts w:hint="eastAsia" w:ascii="宋体" w:hAnsi="宋体" w:eastAsia="宋体" w:cs="宋体"/>
                <w:spacing w:val="-1"/>
                <w:sz w:val="21"/>
                <w:szCs w:val="21"/>
                <w14:textOutline w14:w="3797" w14:cap="sq" w14:cmpd="sng" w14:algn="ctr">
                  <w14:solidFill>
                    <w14:srgbClr w14:val="000000"/>
                  </w14:solidFill>
                  <w14:prstDash w14:val="solid"/>
                  <w14:bevel/>
                </w14:textOutline>
              </w:rPr>
              <w:t>性能、标准、技术参数及其他要求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220"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before="69" w:line="360" w:lineRule="auto"/>
              <w:textAlignment w:val="auto"/>
              <w:rPr>
                <w:rFonts w:hint="eastAsia" w:ascii="宋体" w:hAnsi="宋体" w:eastAsia="宋体" w:cs="宋体"/>
                <w:sz w:val="21"/>
                <w:szCs w:val="21"/>
              </w:rPr>
            </w:pPr>
            <w:r>
              <w:rPr>
                <w:rFonts w:hint="eastAsia" w:ascii="宋体" w:hAnsi="宋体" w:eastAsia="宋体" w:cs="宋体"/>
                <w:spacing w:val="-4"/>
                <w:sz w:val="21"/>
                <w:szCs w:val="21"/>
                <w14:textOutline w14:w="3797" w14:cap="sq" w14:cmpd="sng" w14:algn="ctr">
                  <w14:solidFill>
                    <w14:srgbClr w14:val="000000"/>
                  </w14:solidFill>
                  <w14:prstDash w14:val="solid"/>
                  <w14:bevel/>
                </w14:textOutline>
              </w:rPr>
              <w:t>1.阳光卷帘</w:t>
            </w:r>
          </w:p>
        </w:tc>
        <w:tc>
          <w:tcPr>
            <w:tcW w:w="7112" w:type="dxa"/>
            <w:vAlign w:val="top"/>
          </w:tcPr>
          <w:p>
            <w:pPr>
              <w:keepNext w:val="0"/>
              <w:keepLines w:val="0"/>
              <w:pageBreakBefore w:val="0"/>
              <w:widowControl w:val="0"/>
              <w:kinsoku/>
              <w:wordWrap/>
              <w:overflowPunct/>
              <w:topLinePunct w:val="0"/>
              <w:autoSpaceDE/>
              <w:autoSpaceDN/>
              <w:bidi w:val="0"/>
              <w:adjustRightInd/>
              <w:snapToGrid/>
              <w:spacing w:before="52" w:line="360" w:lineRule="auto"/>
              <w:ind w:firstLine="19"/>
              <w:textAlignment w:val="auto"/>
              <w:rPr>
                <w:rFonts w:hint="eastAsia" w:ascii="宋体" w:hAnsi="宋体" w:eastAsia="宋体" w:cs="宋体"/>
                <w:sz w:val="21"/>
                <w:szCs w:val="21"/>
              </w:rPr>
            </w:pPr>
            <w:r>
              <w:rPr>
                <w:rFonts w:hint="eastAsia" w:ascii="宋体" w:hAnsi="宋体" w:eastAsia="宋体" w:cs="宋体"/>
                <w:sz w:val="21"/>
                <w:szCs w:val="21"/>
              </w:rPr>
              <w:t>面料部分：</w:t>
            </w:r>
          </w:p>
          <w:p>
            <w:pPr>
              <w:keepNext w:val="0"/>
              <w:keepLines w:val="0"/>
              <w:pageBreakBefore w:val="0"/>
              <w:widowControl w:val="0"/>
              <w:kinsoku/>
              <w:wordWrap/>
              <w:overflowPunct/>
              <w:topLinePunct w:val="0"/>
              <w:autoSpaceDE/>
              <w:autoSpaceDN/>
              <w:bidi w:val="0"/>
              <w:adjustRightInd/>
              <w:snapToGrid/>
              <w:spacing w:before="96" w:line="360" w:lineRule="auto"/>
              <w:ind w:left="18" w:right="5" w:hanging="1"/>
              <w:textAlignment w:val="auto"/>
              <w:rPr>
                <w:rFonts w:hint="eastAsia" w:ascii="宋体" w:hAnsi="宋体" w:eastAsia="宋体" w:cs="宋体"/>
                <w:sz w:val="21"/>
                <w:szCs w:val="21"/>
              </w:rPr>
            </w:pPr>
            <w:r>
              <w:rPr>
                <w:rFonts w:hint="eastAsia" w:ascii="宋体" w:hAnsi="宋体" w:eastAsia="宋体" w:cs="宋体"/>
                <w:sz w:val="21"/>
                <w:szCs w:val="21"/>
              </w:rPr>
              <w:t>▲1、成分： 聚酯纤维 49%+聚氯乙烯 PVC22%+有机添加剂 16%+无机填料、颜料 13%（含 量正负偏离不得超过 5%）。织物密度： 经向 ≥220 根/10cm,纬向≥120 根/10cm；</w:t>
            </w:r>
          </w:p>
          <w:p>
            <w:pPr>
              <w:keepNext w:val="0"/>
              <w:keepLines w:val="0"/>
              <w:pageBreakBefore w:val="0"/>
              <w:widowControl w:val="0"/>
              <w:kinsoku/>
              <w:wordWrap/>
              <w:overflowPunct/>
              <w:topLinePunct w:val="0"/>
              <w:autoSpaceDE/>
              <w:autoSpaceDN/>
              <w:bidi w:val="0"/>
              <w:adjustRightInd/>
              <w:snapToGrid/>
              <w:spacing w:before="99" w:line="360" w:lineRule="auto"/>
              <w:ind w:left="15" w:right="7" w:hanging="2"/>
              <w:textAlignment w:val="auto"/>
              <w:rPr>
                <w:rFonts w:hint="eastAsia" w:ascii="宋体" w:hAnsi="宋体" w:eastAsia="宋体" w:cs="宋体"/>
                <w:sz w:val="21"/>
                <w:szCs w:val="21"/>
              </w:rPr>
            </w:pPr>
            <w:r>
              <w:rPr>
                <w:rFonts w:hint="eastAsia" w:ascii="宋体" w:hAnsi="宋体" w:eastAsia="宋体" w:cs="宋体"/>
                <w:sz w:val="21"/>
                <w:szCs w:val="21"/>
              </w:rPr>
              <w:t>★2、单位面积质量： ≥500 克/平方米。厚度： 0.7mm（允许±0.1mm） 。</w:t>
            </w:r>
          </w:p>
          <w:p>
            <w:pPr>
              <w:keepNext w:val="0"/>
              <w:keepLines w:val="0"/>
              <w:pageBreakBefore w:val="0"/>
              <w:widowControl w:val="0"/>
              <w:kinsoku/>
              <w:wordWrap/>
              <w:overflowPunct/>
              <w:topLinePunct w:val="0"/>
              <w:autoSpaceDE/>
              <w:autoSpaceDN/>
              <w:bidi w:val="0"/>
              <w:adjustRightInd/>
              <w:snapToGrid/>
              <w:spacing w:before="1" w:line="360" w:lineRule="auto"/>
              <w:ind w:firstLine="13"/>
              <w:textAlignment w:val="auto"/>
              <w:rPr>
                <w:rFonts w:hint="eastAsia" w:ascii="宋体" w:hAnsi="宋体" w:eastAsia="宋体" w:cs="宋体"/>
                <w:sz w:val="21"/>
                <w:szCs w:val="21"/>
              </w:rPr>
            </w:pPr>
            <w:r>
              <w:rPr>
                <w:rFonts w:hint="eastAsia" w:ascii="宋体" w:hAnsi="宋体" w:eastAsia="宋体" w:cs="宋体"/>
                <w:sz w:val="21"/>
                <w:szCs w:val="21"/>
              </w:rPr>
              <w:t>3、阻燃等级： 符合 GB/T17591-2006 B1 级。</w:t>
            </w:r>
          </w:p>
          <w:p>
            <w:pPr>
              <w:keepNext w:val="0"/>
              <w:keepLines w:val="0"/>
              <w:pageBreakBefore w:val="0"/>
              <w:widowControl w:val="0"/>
              <w:kinsoku/>
              <w:wordWrap/>
              <w:overflowPunct/>
              <w:topLinePunct w:val="0"/>
              <w:autoSpaceDE/>
              <w:autoSpaceDN/>
              <w:bidi w:val="0"/>
              <w:adjustRightInd/>
              <w:snapToGrid/>
              <w:spacing w:before="80" w:line="360" w:lineRule="auto"/>
              <w:ind w:left="6" w:right="5" w:firstLine="1"/>
              <w:textAlignment w:val="auto"/>
              <w:rPr>
                <w:rFonts w:hint="eastAsia" w:ascii="宋体" w:hAnsi="宋体" w:eastAsia="宋体" w:cs="宋体"/>
                <w:sz w:val="21"/>
                <w:szCs w:val="21"/>
              </w:rPr>
            </w:pPr>
            <w:r>
              <w:rPr>
                <w:rFonts w:hint="eastAsia" w:ascii="宋体" w:hAnsi="宋体" w:eastAsia="宋体" w:cs="宋体"/>
                <w:sz w:val="21"/>
                <w:szCs w:val="21"/>
              </w:rPr>
              <w:t xml:space="preserve">4、安全性能： 甲醛、异味、PH 值、可分解芳香胺致癌物质含量必须符合国家纺织品 强制性标准 GB18401-2010C 类或更优标准（GB18401-2010B 类或 A 类） ,符合检测标准 GB/T2912.1-2009、GB/T7573-2009、GB/T17592-2011、GB18401-2010；            </w:t>
            </w:r>
          </w:p>
          <w:p>
            <w:pPr>
              <w:keepNext w:val="0"/>
              <w:keepLines w:val="0"/>
              <w:pageBreakBefore w:val="0"/>
              <w:widowControl w:val="0"/>
              <w:kinsoku/>
              <w:wordWrap/>
              <w:overflowPunct/>
              <w:topLinePunct w:val="0"/>
              <w:autoSpaceDE/>
              <w:autoSpaceDN/>
              <w:bidi w:val="0"/>
              <w:adjustRightInd/>
              <w:snapToGrid/>
              <w:spacing w:before="80" w:line="360" w:lineRule="auto"/>
              <w:ind w:left="6" w:right="5" w:firstLine="1"/>
              <w:textAlignment w:val="auto"/>
              <w:rPr>
                <w:rFonts w:hint="eastAsia" w:ascii="宋体" w:hAnsi="宋体" w:eastAsia="宋体" w:cs="宋体"/>
                <w:sz w:val="21"/>
                <w:szCs w:val="21"/>
              </w:rPr>
            </w:pPr>
            <w:r>
              <w:rPr>
                <w:rFonts w:hint="eastAsia" w:ascii="宋体" w:hAnsi="宋体" w:eastAsia="宋体" w:cs="宋体"/>
                <w:sz w:val="21"/>
                <w:szCs w:val="21"/>
              </w:rPr>
              <w:t>5、紫外线阻挡率： UVA-UVB≥90% 。</w:t>
            </w:r>
          </w:p>
          <w:p>
            <w:pPr>
              <w:keepNext w:val="0"/>
              <w:keepLines w:val="0"/>
              <w:pageBreakBefore w:val="0"/>
              <w:widowControl w:val="0"/>
              <w:kinsoku/>
              <w:wordWrap/>
              <w:overflowPunct/>
              <w:topLinePunct w:val="0"/>
              <w:autoSpaceDE/>
              <w:autoSpaceDN/>
              <w:bidi w:val="0"/>
              <w:adjustRightInd/>
              <w:snapToGrid/>
              <w:spacing w:before="1" w:line="360" w:lineRule="auto"/>
              <w:ind w:firstLine="13"/>
              <w:textAlignment w:val="auto"/>
              <w:rPr>
                <w:rFonts w:hint="eastAsia" w:ascii="宋体" w:hAnsi="宋体" w:eastAsia="宋体" w:cs="宋体"/>
                <w:sz w:val="21"/>
                <w:szCs w:val="21"/>
              </w:rPr>
            </w:pPr>
            <w:r>
              <w:rPr>
                <w:rFonts w:hint="eastAsia" w:ascii="宋体" w:hAnsi="宋体" w:eastAsia="宋体" w:cs="宋体"/>
                <w:sz w:val="21"/>
                <w:szCs w:val="21"/>
              </w:rPr>
              <w:t>辅材部分：</w:t>
            </w:r>
          </w:p>
          <w:p>
            <w:pPr>
              <w:keepNext w:val="0"/>
              <w:keepLines w:val="0"/>
              <w:pageBreakBefore w:val="0"/>
              <w:widowControl w:val="0"/>
              <w:numPr>
                <w:ilvl w:val="0"/>
                <w:numId w:val="36"/>
              </w:numPr>
              <w:kinsoku/>
              <w:wordWrap/>
              <w:overflowPunct/>
              <w:topLinePunct w:val="0"/>
              <w:autoSpaceDE/>
              <w:autoSpaceDN/>
              <w:bidi w:val="0"/>
              <w:adjustRightInd/>
              <w:snapToGrid/>
              <w:spacing w:before="96" w:line="360" w:lineRule="auto"/>
              <w:ind w:left="18" w:right="5" w:hanging="1"/>
              <w:textAlignment w:val="auto"/>
              <w:rPr>
                <w:rFonts w:hint="eastAsia" w:ascii="宋体" w:hAnsi="宋体" w:eastAsia="宋体" w:cs="宋体"/>
                <w:sz w:val="21"/>
                <w:szCs w:val="21"/>
              </w:rPr>
            </w:pPr>
            <w:r>
              <w:rPr>
                <w:rFonts w:hint="eastAsia" w:ascii="宋体" w:hAnsi="宋体" w:eastAsia="宋体" w:cs="宋体"/>
                <w:sz w:val="21"/>
                <w:szCs w:val="21"/>
              </w:rPr>
              <w:t xml:space="preserve">卷管:镁铝合金材质，外径≥38mm，壁厚≥1.5mm,内置不少于 4 条加强筋。   2、底槽：  镁铝合金材质，壁厚： 1.4mm±5%，方形型底槽 18mm±5%*35mm±5%， 表面静电粉末喷涂烤漆，底部带有防撞静音条，保证帘布平整挺括。          </w:t>
            </w:r>
          </w:p>
          <w:p>
            <w:pPr>
              <w:keepNext w:val="0"/>
              <w:keepLines w:val="0"/>
              <w:pageBreakBefore w:val="0"/>
              <w:widowControl w:val="0"/>
              <w:numPr>
                <w:ilvl w:val="0"/>
                <w:numId w:val="0"/>
              </w:numPr>
              <w:kinsoku/>
              <w:wordWrap/>
              <w:overflowPunct/>
              <w:topLinePunct w:val="0"/>
              <w:autoSpaceDE/>
              <w:autoSpaceDN/>
              <w:bidi w:val="0"/>
              <w:adjustRightInd/>
              <w:snapToGrid/>
              <w:spacing w:before="96" w:line="360" w:lineRule="auto"/>
              <w:ind w:left="17" w:leftChars="0" w:right="5" w:rightChars="0"/>
              <w:textAlignment w:val="auto"/>
              <w:rPr>
                <w:rFonts w:hint="eastAsia" w:ascii="宋体" w:hAnsi="宋体" w:eastAsia="宋体" w:cs="宋体"/>
                <w:sz w:val="21"/>
                <w:szCs w:val="21"/>
              </w:rPr>
            </w:pPr>
            <w:r>
              <w:rPr>
                <w:rFonts w:hint="eastAsia" w:ascii="宋体" w:hAnsi="宋体" w:eastAsia="宋体" w:cs="宋体"/>
                <w:sz w:val="21"/>
                <w:szCs w:val="21"/>
              </w:rPr>
              <w:t>3、帘布与顶底槽的连接方式： 帘布的顶、底部必须是透明 PVC 胶条连接（不接受 普通包装带装订） 。</w:t>
            </w:r>
          </w:p>
          <w:p>
            <w:pPr>
              <w:keepNext w:val="0"/>
              <w:keepLines w:val="0"/>
              <w:pageBreakBefore w:val="0"/>
              <w:widowControl w:val="0"/>
              <w:kinsoku/>
              <w:wordWrap/>
              <w:overflowPunct/>
              <w:topLinePunct w:val="0"/>
              <w:autoSpaceDE/>
              <w:autoSpaceDN/>
              <w:bidi w:val="0"/>
              <w:adjustRightInd/>
              <w:snapToGrid/>
              <w:spacing w:before="96" w:line="360" w:lineRule="auto"/>
              <w:ind w:left="18" w:right="5" w:hanging="1"/>
              <w:textAlignment w:val="auto"/>
              <w:rPr>
                <w:rFonts w:hint="eastAsia" w:ascii="宋体" w:hAnsi="宋体" w:eastAsia="宋体" w:cs="宋体"/>
                <w:sz w:val="21"/>
                <w:szCs w:val="21"/>
              </w:rPr>
            </w:pPr>
            <w:r>
              <w:rPr>
                <w:rFonts w:hint="eastAsia" w:ascii="宋体" w:hAnsi="宋体" w:eastAsia="宋体" w:cs="宋体"/>
                <w:sz w:val="21"/>
                <w:szCs w:val="21"/>
              </w:rPr>
              <w:t>4、万向齿轮制头。</w:t>
            </w:r>
          </w:p>
          <w:p>
            <w:pPr>
              <w:keepNext w:val="0"/>
              <w:keepLines w:val="0"/>
              <w:pageBreakBefore w:val="0"/>
              <w:widowControl w:val="0"/>
              <w:kinsoku/>
              <w:wordWrap/>
              <w:overflowPunct/>
              <w:topLinePunct w:val="0"/>
              <w:autoSpaceDE/>
              <w:autoSpaceDN/>
              <w:bidi w:val="0"/>
              <w:adjustRightInd/>
              <w:snapToGrid/>
              <w:spacing w:before="96" w:line="360" w:lineRule="auto"/>
              <w:ind w:left="18" w:right="5" w:hanging="1"/>
              <w:textAlignment w:val="auto"/>
              <w:rPr>
                <w:rFonts w:hint="eastAsia" w:ascii="宋体" w:hAnsi="宋体" w:eastAsia="宋体" w:cs="宋体"/>
                <w:sz w:val="21"/>
                <w:szCs w:val="21"/>
              </w:rPr>
            </w:pPr>
            <w:r>
              <w:rPr>
                <w:rFonts w:hint="eastAsia" w:ascii="宋体" w:hAnsi="宋体" w:eastAsia="宋体" w:cs="宋体"/>
                <w:sz w:val="21"/>
                <w:szCs w:val="21"/>
              </w:rPr>
              <w:t>注：面料部分参数须提供第三方检测机构出具的检测报告复印件，并加盖投标人公章。且检测结果必须要在同一份检测报告中体现。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220"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before="68" w:line="360" w:lineRule="auto"/>
              <w:textAlignment w:val="auto"/>
              <w:rPr>
                <w:rFonts w:hint="eastAsia" w:ascii="宋体" w:hAnsi="宋体" w:eastAsia="宋体" w:cs="宋体"/>
                <w:sz w:val="21"/>
                <w:szCs w:val="21"/>
              </w:rPr>
            </w:pPr>
            <w:r>
              <w:rPr>
                <w:rFonts w:hint="eastAsia" w:ascii="宋体" w:hAnsi="宋体" w:eastAsia="宋体" w:cs="宋体"/>
                <w:spacing w:val="-2"/>
                <w:sz w:val="21"/>
                <w:szCs w:val="21"/>
                <w14:textOutline w14:w="3797" w14:cap="sq" w14:cmpd="sng" w14:algn="ctr">
                  <w14:solidFill>
                    <w14:srgbClr w14:val="000000"/>
                  </w14:solidFill>
                  <w14:prstDash w14:val="solid"/>
                  <w14:bevel/>
                </w14:textOutline>
              </w:rPr>
              <w:t>2.遮光卷帘</w:t>
            </w:r>
          </w:p>
        </w:tc>
        <w:tc>
          <w:tcPr>
            <w:tcW w:w="7112" w:type="dxa"/>
            <w:vAlign w:val="top"/>
          </w:tcPr>
          <w:p>
            <w:pPr>
              <w:keepNext w:val="0"/>
              <w:keepLines w:val="0"/>
              <w:pageBreakBefore w:val="0"/>
              <w:widowControl w:val="0"/>
              <w:kinsoku/>
              <w:wordWrap/>
              <w:overflowPunct/>
              <w:topLinePunct w:val="0"/>
              <w:autoSpaceDE/>
              <w:autoSpaceDN/>
              <w:bidi w:val="0"/>
              <w:adjustRightInd/>
              <w:snapToGrid/>
              <w:spacing w:before="1" w:line="360" w:lineRule="auto"/>
              <w:ind w:firstLine="13"/>
              <w:textAlignment w:val="auto"/>
              <w:rPr>
                <w:rFonts w:hint="eastAsia" w:ascii="宋体" w:hAnsi="宋体" w:eastAsia="宋体" w:cs="宋体"/>
                <w:spacing w:val="-3"/>
                <w:sz w:val="21"/>
                <w:szCs w:val="21"/>
                <w14:textOutline w14:w="3797" w14:cap="sq" w14:cmpd="sng" w14:algn="ctr">
                  <w14:solidFill>
                    <w14:srgbClr w14:val="000000"/>
                  </w14:solidFill>
                  <w14:prstDash w14:val="solid"/>
                  <w14:bevel/>
                </w14:textOutline>
              </w:rPr>
            </w:pPr>
            <w:r>
              <w:rPr>
                <w:rFonts w:hint="eastAsia" w:ascii="宋体" w:hAnsi="宋体" w:eastAsia="宋体" w:cs="宋体"/>
                <w:spacing w:val="-3"/>
                <w:sz w:val="21"/>
                <w:szCs w:val="21"/>
                <w14:textOutline w14:w="3797" w14:cap="sq" w14:cmpd="sng" w14:algn="ctr">
                  <w14:solidFill>
                    <w14:srgbClr w14:val="000000"/>
                  </w14:solidFill>
                  <w14:prstDash w14:val="solid"/>
                  <w14:bevel/>
                </w14:textOutline>
              </w:rPr>
              <w:t>面料部分：</w:t>
            </w:r>
          </w:p>
          <w:p>
            <w:pPr>
              <w:keepNext w:val="0"/>
              <w:keepLines w:val="0"/>
              <w:pageBreakBefore w:val="0"/>
              <w:widowControl w:val="0"/>
              <w:kinsoku/>
              <w:wordWrap/>
              <w:overflowPunct/>
              <w:topLinePunct w:val="0"/>
              <w:autoSpaceDE/>
              <w:autoSpaceDN/>
              <w:bidi w:val="0"/>
              <w:adjustRightInd/>
              <w:snapToGrid/>
              <w:spacing w:before="96" w:line="360" w:lineRule="auto"/>
              <w:ind w:left="18" w:right="5" w:hanging="1"/>
              <w:textAlignment w:val="auto"/>
              <w:rPr>
                <w:rFonts w:hint="eastAsia" w:ascii="宋体" w:hAnsi="宋体" w:eastAsia="宋体" w:cs="宋体"/>
                <w:spacing w:val="-1"/>
                <w:sz w:val="21"/>
                <w:szCs w:val="21"/>
              </w:rPr>
            </w:pPr>
            <w:r>
              <w:rPr>
                <w:rFonts w:hint="eastAsia" w:ascii="宋体" w:hAnsi="宋体" w:eastAsia="宋体" w:cs="宋体"/>
                <w:spacing w:val="-1"/>
                <w:sz w:val="21"/>
                <w:szCs w:val="21"/>
              </w:rPr>
              <w:t>▲1、成分： 玻璃纤维 48%+聚氯乙烯 PVC23%+有机添加剂 14%+无机填料、颜料 15%（含  量正负偏离不得超过 5%）  。织物密度： 经向≥  95 根/10cm,纬向≥65 根/10cm。                                                       ★2、单位面积质量： ≥500 克/平方米。厚度： 0.38mm（允许±0.1mm）。</w:t>
            </w:r>
          </w:p>
          <w:p>
            <w:pPr>
              <w:keepNext w:val="0"/>
              <w:keepLines w:val="0"/>
              <w:pageBreakBefore w:val="0"/>
              <w:widowControl w:val="0"/>
              <w:kinsoku/>
              <w:wordWrap/>
              <w:overflowPunct/>
              <w:topLinePunct w:val="0"/>
              <w:autoSpaceDE/>
              <w:autoSpaceDN/>
              <w:bidi w:val="0"/>
              <w:adjustRightInd/>
              <w:snapToGrid/>
              <w:spacing w:before="96" w:line="360" w:lineRule="auto"/>
              <w:ind w:left="18" w:right="5" w:hanging="1"/>
              <w:textAlignment w:val="auto"/>
              <w:rPr>
                <w:rFonts w:hint="eastAsia" w:ascii="宋体" w:hAnsi="宋体" w:eastAsia="宋体" w:cs="宋体"/>
                <w:spacing w:val="-1"/>
                <w:sz w:val="21"/>
                <w:szCs w:val="21"/>
              </w:rPr>
            </w:pPr>
            <w:r>
              <w:rPr>
                <w:rFonts w:hint="eastAsia" w:ascii="宋体" w:hAnsi="宋体" w:eastAsia="宋体" w:cs="宋体"/>
                <w:spacing w:val="-1"/>
                <w:sz w:val="21"/>
                <w:szCs w:val="21"/>
              </w:rPr>
              <w:t>3、阻燃等级： 符合 GB/T17591-2006 B1 级。</w:t>
            </w:r>
          </w:p>
          <w:p>
            <w:pPr>
              <w:keepNext w:val="0"/>
              <w:keepLines w:val="0"/>
              <w:pageBreakBefore w:val="0"/>
              <w:widowControl w:val="0"/>
              <w:kinsoku/>
              <w:wordWrap/>
              <w:overflowPunct/>
              <w:topLinePunct w:val="0"/>
              <w:autoSpaceDE/>
              <w:autoSpaceDN/>
              <w:bidi w:val="0"/>
              <w:adjustRightInd/>
              <w:snapToGrid/>
              <w:spacing w:before="96" w:line="360" w:lineRule="auto"/>
              <w:ind w:left="18" w:right="5" w:hanging="1"/>
              <w:textAlignment w:val="auto"/>
              <w:rPr>
                <w:rFonts w:hint="eastAsia" w:ascii="宋体" w:hAnsi="宋体" w:eastAsia="宋体" w:cs="宋体"/>
                <w:spacing w:val="-1"/>
                <w:sz w:val="21"/>
                <w:szCs w:val="21"/>
              </w:rPr>
            </w:pPr>
            <w:r>
              <w:rPr>
                <w:rFonts w:hint="eastAsia" w:ascii="宋体" w:hAnsi="宋体" w:eastAsia="宋体" w:cs="宋体"/>
                <w:spacing w:val="-1"/>
                <w:sz w:val="21"/>
                <w:szCs w:val="21"/>
              </w:rPr>
              <w:t>4、安全性能： 甲醛、异味、PH 值、可分解芳香胺致癌物质含量必须符合国家纺织品 强制性标准 GB18401-2010C 类或更优标准（GB18401-2010B 类或 A 类） ,检测标准    GB/T2912.1-2009、GB/T7573-2009、GB/T17592-2011、GB18401-2010；</w:t>
            </w:r>
          </w:p>
          <w:p>
            <w:pPr>
              <w:keepNext w:val="0"/>
              <w:keepLines w:val="0"/>
              <w:pageBreakBefore w:val="0"/>
              <w:widowControl w:val="0"/>
              <w:kinsoku/>
              <w:wordWrap/>
              <w:overflowPunct/>
              <w:topLinePunct w:val="0"/>
              <w:autoSpaceDE/>
              <w:autoSpaceDN/>
              <w:bidi w:val="0"/>
              <w:adjustRightInd/>
              <w:snapToGrid/>
              <w:spacing w:before="96" w:line="360" w:lineRule="auto"/>
              <w:ind w:left="18" w:right="5" w:hanging="1"/>
              <w:textAlignment w:val="auto"/>
              <w:rPr>
                <w:rFonts w:hint="eastAsia" w:ascii="宋体" w:hAnsi="宋体" w:eastAsia="宋体" w:cs="宋体"/>
                <w:spacing w:val="-1"/>
                <w:sz w:val="21"/>
                <w:szCs w:val="21"/>
              </w:rPr>
            </w:pPr>
            <w:r>
              <w:rPr>
                <w:rFonts w:hint="eastAsia" w:ascii="宋体" w:hAnsi="宋体" w:eastAsia="宋体" w:cs="宋体"/>
                <w:spacing w:val="-1"/>
                <w:sz w:val="21"/>
                <w:szCs w:val="21"/>
              </w:rPr>
              <w:t>5、紫外线阻挡率： UVA-UVB≥90% 。</w:t>
            </w:r>
          </w:p>
          <w:p>
            <w:pPr>
              <w:keepNext w:val="0"/>
              <w:keepLines w:val="0"/>
              <w:pageBreakBefore w:val="0"/>
              <w:widowControl w:val="0"/>
              <w:kinsoku/>
              <w:wordWrap/>
              <w:overflowPunct/>
              <w:topLinePunct w:val="0"/>
              <w:autoSpaceDE/>
              <w:autoSpaceDN/>
              <w:bidi w:val="0"/>
              <w:adjustRightInd/>
              <w:snapToGrid/>
              <w:spacing w:before="1" w:line="360" w:lineRule="auto"/>
              <w:ind w:firstLine="13"/>
              <w:textAlignment w:val="auto"/>
              <w:rPr>
                <w:rFonts w:hint="eastAsia" w:ascii="宋体" w:hAnsi="宋体" w:eastAsia="宋体" w:cs="宋体"/>
                <w:spacing w:val="-3"/>
                <w:sz w:val="21"/>
                <w:szCs w:val="21"/>
                <w14:textOutline w14:w="3797" w14:cap="sq" w14:cmpd="sng" w14:algn="ctr">
                  <w14:solidFill>
                    <w14:srgbClr w14:val="000000"/>
                  </w14:solidFill>
                  <w14:prstDash w14:val="solid"/>
                  <w14:bevel/>
                </w14:textOutline>
              </w:rPr>
            </w:pPr>
            <w:r>
              <w:rPr>
                <w:rFonts w:hint="eastAsia" w:ascii="宋体" w:hAnsi="宋体" w:eastAsia="宋体" w:cs="宋体"/>
                <w:spacing w:val="-3"/>
                <w:sz w:val="21"/>
                <w:szCs w:val="21"/>
                <w14:textOutline w14:w="3797" w14:cap="sq" w14:cmpd="sng" w14:algn="ctr">
                  <w14:solidFill>
                    <w14:srgbClr w14:val="000000"/>
                  </w14:solidFill>
                  <w14:prstDash w14:val="solid"/>
                  <w14:bevel/>
                </w14:textOutline>
              </w:rPr>
              <w:t>辅材部分：</w:t>
            </w:r>
          </w:p>
          <w:p>
            <w:pPr>
              <w:keepNext w:val="0"/>
              <w:keepLines w:val="0"/>
              <w:pageBreakBefore w:val="0"/>
              <w:widowControl w:val="0"/>
              <w:numPr>
                <w:ilvl w:val="0"/>
                <w:numId w:val="37"/>
              </w:numPr>
              <w:kinsoku/>
              <w:wordWrap/>
              <w:overflowPunct/>
              <w:topLinePunct w:val="0"/>
              <w:autoSpaceDE/>
              <w:autoSpaceDN/>
              <w:bidi w:val="0"/>
              <w:adjustRightInd/>
              <w:snapToGrid/>
              <w:spacing w:before="96" w:line="360" w:lineRule="auto"/>
              <w:ind w:left="18" w:right="5" w:hanging="1"/>
              <w:textAlignment w:val="auto"/>
              <w:rPr>
                <w:rFonts w:hint="eastAsia" w:ascii="宋体" w:hAnsi="宋体" w:eastAsia="宋体" w:cs="宋体"/>
                <w:spacing w:val="-1"/>
                <w:sz w:val="21"/>
                <w:szCs w:val="21"/>
              </w:rPr>
            </w:pPr>
            <w:r>
              <w:rPr>
                <w:rFonts w:hint="eastAsia" w:ascii="宋体" w:hAnsi="宋体" w:eastAsia="宋体" w:cs="宋体"/>
                <w:spacing w:val="-1"/>
                <w:sz w:val="21"/>
                <w:szCs w:val="21"/>
              </w:rPr>
              <w:t xml:space="preserve">卷管:镁铝合金材质，外径≥38mm，壁厚≥1.5mm,内置不少于 4 条加强筋。      </w:t>
            </w:r>
          </w:p>
          <w:p>
            <w:pPr>
              <w:keepNext w:val="0"/>
              <w:keepLines w:val="0"/>
              <w:pageBreakBefore w:val="0"/>
              <w:widowControl w:val="0"/>
              <w:numPr>
                <w:ilvl w:val="0"/>
                <w:numId w:val="0"/>
              </w:numPr>
              <w:kinsoku/>
              <w:wordWrap/>
              <w:overflowPunct/>
              <w:topLinePunct w:val="0"/>
              <w:autoSpaceDE/>
              <w:autoSpaceDN/>
              <w:bidi w:val="0"/>
              <w:adjustRightInd/>
              <w:snapToGrid/>
              <w:spacing w:before="96" w:line="360" w:lineRule="auto"/>
              <w:ind w:left="17" w:leftChars="0" w:right="5" w:rightChars="0"/>
              <w:textAlignment w:val="auto"/>
              <w:rPr>
                <w:rFonts w:hint="eastAsia" w:ascii="宋体" w:hAnsi="宋体" w:eastAsia="宋体" w:cs="宋体"/>
                <w:spacing w:val="-1"/>
                <w:sz w:val="21"/>
                <w:szCs w:val="21"/>
              </w:rPr>
            </w:pPr>
            <w:r>
              <w:rPr>
                <w:rFonts w:hint="eastAsia" w:ascii="宋体" w:hAnsi="宋体" w:eastAsia="宋体" w:cs="宋体"/>
                <w:spacing w:val="-1"/>
                <w:sz w:val="21"/>
                <w:szCs w:val="21"/>
              </w:rPr>
              <w:t xml:space="preserve">2、底槽：  镁铝合金材质，壁厚： 1.4mm±5%，方形型底槽 18mm±5%*35mm±5%，表面 静电粉末喷涂烤漆，底部带有防撞静音条，保证帘布平整挺括。                  </w:t>
            </w:r>
          </w:p>
          <w:p>
            <w:pPr>
              <w:keepNext w:val="0"/>
              <w:keepLines w:val="0"/>
              <w:pageBreakBefore w:val="0"/>
              <w:widowControl w:val="0"/>
              <w:numPr>
                <w:ilvl w:val="0"/>
                <w:numId w:val="0"/>
              </w:numPr>
              <w:kinsoku/>
              <w:wordWrap/>
              <w:overflowPunct/>
              <w:topLinePunct w:val="0"/>
              <w:autoSpaceDE/>
              <w:autoSpaceDN/>
              <w:bidi w:val="0"/>
              <w:adjustRightInd/>
              <w:snapToGrid/>
              <w:spacing w:before="96" w:line="360" w:lineRule="auto"/>
              <w:ind w:left="17" w:leftChars="0" w:right="5" w:rightChars="0"/>
              <w:textAlignment w:val="auto"/>
              <w:rPr>
                <w:rFonts w:hint="eastAsia" w:ascii="宋体" w:hAnsi="宋体" w:eastAsia="宋体" w:cs="宋体"/>
                <w:spacing w:val="-1"/>
                <w:sz w:val="21"/>
                <w:szCs w:val="21"/>
              </w:rPr>
            </w:pPr>
            <w:r>
              <w:rPr>
                <w:rFonts w:hint="eastAsia" w:ascii="宋体" w:hAnsi="宋体" w:eastAsia="宋体" w:cs="宋体"/>
                <w:spacing w:val="-1"/>
                <w:sz w:val="21"/>
                <w:szCs w:val="21"/>
              </w:rPr>
              <w:t>3、帘布与顶底槽的连接方式： 帘布的顶、底部必须是透明 PVC 胶条连接（不接受普通 包装带装订） 。</w:t>
            </w:r>
          </w:p>
          <w:p>
            <w:pPr>
              <w:keepNext w:val="0"/>
              <w:keepLines w:val="0"/>
              <w:pageBreakBefore w:val="0"/>
              <w:widowControl w:val="0"/>
              <w:kinsoku/>
              <w:wordWrap/>
              <w:overflowPunct/>
              <w:topLinePunct w:val="0"/>
              <w:autoSpaceDE/>
              <w:autoSpaceDN/>
              <w:bidi w:val="0"/>
              <w:adjustRightInd/>
              <w:snapToGrid/>
              <w:spacing w:before="96" w:line="360" w:lineRule="auto"/>
              <w:ind w:left="18" w:right="5" w:hanging="1"/>
              <w:textAlignment w:val="auto"/>
              <w:rPr>
                <w:rFonts w:hint="eastAsia" w:ascii="宋体" w:hAnsi="宋体" w:eastAsia="宋体" w:cs="宋体"/>
                <w:spacing w:val="-1"/>
                <w:sz w:val="21"/>
                <w:szCs w:val="21"/>
              </w:rPr>
            </w:pPr>
            <w:r>
              <w:rPr>
                <w:rFonts w:hint="eastAsia" w:ascii="宋体" w:hAnsi="宋体" w:eastAsia="宋体" w:cs="宋体"/>
                <w:spacing w:val="-1"/>
                <w:sz w:val="21"/>
                <w:szCs w:val="21"/>
              </w:rPr>
              <w:t>4、万向齿轮制头。</w:t>
            </w:r>
          </w:p>
          <w:p>
            <w:pPr>
              <w:keepNext w:val="0"/>
              <w:keepLines w:val="0"/>
              <w:pageBreakBefore w:val="0"/>
              <w:widowControl w:val="0"/>
              <w:kinsoku/>
              <w:wordWrap/>
              <w:overflowPunct/>
              <w:topLinePunct w:val="0"/>
              <w:autoSpaceDE/>
              <w:autoSpaceDN/>
              <w:bidi w:val="0"/>
              <w:adjustRightInd/>
              <w:snapToGrid/>
              <w:spacing w:before="96" w:line="360" w:lineRule="auto"/>
              <w:ind w:left="18" w:right="5" w:hanging="1"/>
              <w:textAlignment w:val="auto"/>
              <w:rPr>
                <w:rFonts w:hint="eastAsia" w:ascii="宋体" w:hAnsi="宋体" w:eastAsia="宋体" w:cs="宋体"/>
                <w:sz w:val="21"/>
                <w:szCs w:val="21"/>
              </w:rPr>
            </w:pPr>
            <w:r>
              <w:rPr>
                <w:rFonts w:hint="eastAsia" w:ascii="宋体" w:hAnsi="宋体" w:eastAsia="宋体" w:cs="宋体"/>
                <w:b/>
                <w:bCs/>
                <w:color w:val="000000" w:themeColor="text1"/>
                <w:spacing w:val="-7"/>
                <w:sz w:val="21"/>
                <w:szCs w:val="21"/>
                <w14:textFill>
                  <w14:solidFill>
                    <w14:schemeClr w14:val="tx1"/>
                  </w14:solidFill>
                </w14:textFill>
              </w:rPr>
              <w:t>注：面料部分参数须提供第三方检测机构出具的检测报告复印件，并加盖投标人公章。且检测结果必须要在同一份检测报告中体现。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220"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before="68" w:line="360" w:lineRule="auto"/>
              <w:textAlignment w:val="auto"/>
              <w:rPr>
                <w:rFonts w:hint="eastAsia" w:ascii="宋体" w:hAnsi="宋体" w:eastAsia="宋体" w:cs="宋体"/>
                <w:sz w:val="21"/>
                <w:szCs w:val="21"/>
              </w:rPr>
            </w:pPr>
            <w:r>
              <w:rPr>
                <w:rFonts w:hint="eastAsia" w:ascii="宋体" w:hAnsi="宋体" w:eastAsia="宋体" w:cs="宋体"/>
                <w:spacing w:val="-2"/>
                <w:sz w:val="21"/>
                <w:szCs w:val="21"/>
                <w14:textOutline w14:w="3797" w14:cap="sq" w14:cmpd="sng" w14:algn="ctr">
                  <w14:solidFill>
                    <w14:srgbClr w14:val="000000"/>
                  </w14:solidFill>
                  <w14:prstDash w14:val="solid"/>
                  <w14:bevel/>
                </w14:textOutline>
              </w:rPr>
              <w:t>3.电动布帘</w:t>
            </w:r>
          </w:p>
        </w:tc>
        <w:tc>
          <w:tcPr>
            <w:tcW w:w="7112" w:type="dxa"/>
            <w:vAlign w:val="top"/>
          </w:tcPr>
          <w:p>
            <w:pPr>
              <w:keepNext w:val="0"/>
              <w:keepLines w:val="0"/>
              <w:pageBreakBefore w:val="0"/>
              <w:widowControl w:val="0"/>
              <w:kinsoku/>
              <w:wordWrap/>
              <w:overflowPunct/>
              <w:topLinePunct w:val="0"/>
              <w:autoSpaceDE/>
              <w:autoSpaceDN/>
              <w:bidi w:val="0"/>
              <w:adjustRightInd/>
              <w:snapToGrid/>
              <w:spacing w:before="52" w:line="360" w:lineRule="auto"/>
              <w:ind w:firstLine="19"/>
              <w:textAlignment w:val="auto"/>
              <w:rPr>
                <w:rFonts w:hint="eastAsia" w:ascii="宋体" w:hAnsi="宋体" w:eastAsia="宋体" w:cs="宋体"/>
                <w:sz w:val="21"/>
                <w:szCs w:val="21"/>
              </w:rPr>
            </w:pPr>
            <w:r>
              <w:rPr>
                <w:rFonts w:hint="eastAsia" w:ascii="宋体" w:hAnsi="宋体" w:eastAsia="宋体" w:cs="宋体"/>
                <w:sz w:val="21"/>
                <w:szCs w:val="21"/>
              </w:rPr>
              <w:t>面料部分：</w:t>
            </w:r>
          </w:p>
          <w:p>
            <w:pPr>
              <w:keepNext w:val="0"/>
              <w:keepLines w:val="0"/>
              <w:pageBreakBefore w:val="0"/>
              <w:widowControl w:val="0"/>
              <w:kinsoku/>
              <w:wordWrap/>
              <w:overflowPunct/>
              <w:topLinePunct w:val="0"/>
              <w:autoSpaceDE/>
              <w:autoSpaceDN/>
              <w:bidi w:val="0"/>
              <w:adjustRightInd/>
              <w:snapToGrid/>
              <w:spacing w:before="98" w:line="360" w:lineRule="auto"/>
              <w:ind w:left="9" w:firstLine="3"/>
              <w:textAlignment w:val="auto"/>
              <w:rPr>
                <w:rFonts w:hint="eastAsia" w:ascii="宋体" w:hAnsi="宋体" w:eastAsia="宋体" w:cs="宋体"/>
                <w:sz w:val="21"/>
                <w:szCs w:val="21"/>
              </w:rPr>
            </w:pPr>
            <w:r>
              <w:rPr>
                <w:rFonts w:hint="eastAsia" w:ascii="宋体" w:hAnsi="宋体" w:eastAsia="宋体" w:cs="宋体"/>
                <w:sz w:val="21"/>
                <w:szCs w:val="21"/>
              </w:rPr>
              <w:t>★1、成分： 100%聚酯纤维。 挥发性物质（mg/㎡） ：未检出有以下挥发性物质//氯乙烯、1，3-丁二烯、乙烯基环  己烯、苯乙烯、4-苯基环己烯，检测标准 GB/T24281-2009 。 抗菌性能（吸收法） 水洗 20 次以上： 金黄色葡萄球菌、大肠杆菌、肺炎克雷伯氏菌≥ 90%。</w:t>
            </w:r>
          </w:p>
          <w:p>
            <w:pPr>
              <w:keepNext w:val="0"/>
              <w:keepLines w:val="0"/>
              <w:pageBreakBefore w:val="0"/>
              <w:widowControl w:val="0"/>
              <w:kinsoku/>
              <w:wordWrap/>
              <w:overflowPunct/>
              <w:topLinePunct w:val="0"/>
              <w:autoSpaceDE/>
              <w:autoSpaceDN/>
              <w:bidi w:val="0"/>
              <w:adjustRightInd/>
              <w:snapToGrid/>
              <w:spacing w:before="96" w:line="360" w:lineRule="auto"/>
              <w:ind w:right="24"/>
              <w:textAlignment w:val="auto"/>
              <w:rPr>
                <w:rFonts w:hint="eastAsia" w:ascii="宋体" w:hAnsi="宋体" w:eastAsia="宋体" w:cs="宋体"/>
                <w:sz w:val="21"/>
                <w:szCs w:val="21"/>
              </w:rPr>
            </w:pPr>
            <w:r>
              <w:rPr>
                <w:rFonts w:hint="eastAsia" w:ascii="宋体" w:hAnsi="宋体" w:eastAsia="宋体" w:cs="宋体"/>
                <w:sz w:val="21"/>
                <w:szCs w:val="21"/>
              </w:rPr>
              <w:t xml:space="preserve">★2、石棉纤维： 未检出 。                                               ▲3、织物密度及纱线线密度： 经密≥1000 根/10cm，纬密≥300 根/10cm； 经纱≥    18tex160den，纬纱 1≥37tex340den，纬纱 2≥220tex2000den。环保要求： 符合绿色产品 GB/T35611-2017 (直接接触皮肤类或以上标准婴幼儿用品类）标准（邻苯二甲酸脂总量、致敏染料、重金属(原子吸收分光光度法） 、重金属（电感 耦合等离子体原子发射光谱法）、六价铬含量、含氯酚、领苯基苯酚、氯化苯和氯化甲苯、总铅和总镉的含量) 。阻燃标准： 满足 GB8624-2012 B1 级，符合氧指数≥32%，损毁长度≤150mm，续燃时间 ≤5S，阴燃时间≤15S，燃烧滴落物未引起脱脂棉燃烧或阴燃。         </w:t>
            </w:r>
          </w:p>
          <w:p>
            <w:pPr>
              <w:keepNext w:val="0"/>
              <w:keepLines w:val="0"/>
              <w:pageBreakBefore w:val="0"/>
              <w:widowControl w:val="0"/>
              <w:numPr>
                <w:ilvl w:val="0"/>
                <w:numId w:val="38"/>
              </w:numPr>
              <w:kinsoku/>
              <w:wordWrap/>
              <w:overflowPunct/>
              <w:topLinePunct w:val="0"/>
              <w:autoSpaceDE/>
              <w:autoSpaceDN/>
              <w:bidi w:val="0"/>
              <w:adjustRightInd/>
              <w:snapToGrid/>
              <w:spacing w:before="96" w:line="360" w:lineRule="auto"/>
              <w:ind w:right="24"/>
              <w:textAlignment w:val="auto"/>
              <w:rPr>
                <w:rFonts w:hint="eastAsia" w:ascii="宋体" w:hAnsi="宋体" w:eastAsia="宋体" w:cs="宋体"/>
                <w:sz w:val="21"/>
                <w:szCs w:val="21"/>
              </w:rPr>
            </w:pPr>
            <w:r>
              <w:rPr>
                <w:rFonts w:hint="eastAsia" w:ascii="宋体" w:hAnsi="宋体" w:eastAsia="宋体" w:cs="宋体"/>
                <w:sz w:val="21"/>
                <w:szCs w:val="21"/>
              </w:rPr>
              <w:t xml:space="preserve">安全性能： 甲醛含量： ≤300mg/kg，可分解致癌芳香胺染料： 禁用，PH 值： 4.0-9.0， 无异味，检测标准 GB/T2912.1-2009，GB/T17592-2011，GB/T7573-2009，GB/T7573-2009 </w:t>
            </w:r>
          </w:p>
          <w:p>
            <w:pPr>
              <w:keepNext w:val="0"/>
              <w:keepLines w:val="0"/>
              <w:pageBreakBefore w:val="0"/>
              <w:widowControl w:val="0"/>
              <w:numPr>
                <w:ilvl w:val="0"/>
                <w:numId w:val="0"/>
              </w:numPr>
              <w:kinsoku/>
              <w:wordWrap/>
              <w:overflowPunct/>
              <w:topLinePunct w:val="0"/>
              <w:autoSpaceDE/>
              <w:autoSpaceDN/>
              <w:bidi w:val="0"/>
              <w:adjustRightInd/>
              <w:snapToGrid/>
              <w:spacing w:before="96" w:line="360" w:lineRule="auto"/>
              <w:ind w:right="24" w:rightChars="0"/>
              <w:textAlignment w:val="auto"/>
              <w:rPr>
                <w:rFonts w:hint="eastAsia" w:ascii="宋体" w:hAnsi="宋体" w:eastAsia="宋体" w:cs="宋体"/>
                <w:sz w:val="21"/>
                <w:szCs w:val="21"/>
              </w:rPr>
            </w:pPr>
            <w:r>
              <w:rPr>
                <w:rFonts w:hint="eastAsia" w:ascii="宋体" w:hAnsi="宋体" w:eastAsia="宋体" w:cs="宋体"/>
                <w:sz w:val="21"/>
                <w:szCs w:val="21"/>
              </w:rPr>
              <w:t>5、色牢度： 耐皂洗、耐水、耐干（湿） 摩擦色牢度≥4 级，检测标准 GB/T3921-2008， GB/T5713-2013，GB/T3920-2008</w:t>
            </w:r>
          </w:p>
          <w:p>
            <w:pPr>
              <w:keepNext w:val="0"/>
              <w:keepLines w:val="0"/>
              <w:pageBreakBefore w:val="0"/>
              <w:widowControl w:val="0"/>
              <w:kinsoku/>
              <w:wordWrap/>
              <w:overflowPunct/>
              <w:topLinePunct w:val="0"/>
              <w:autoSpaceDE/>
              <w:autoSpaceDN/>
              <w:bidi w:val="0"/>
              <w:adjustRightInd/>
              <w:snapToGrid/>
              <w:spacing w:before="98" w:line="360" w:lineRule="auto"/>
              <w:ind w:firstLine="10"/>
              <w:textAlignment w:val="auto"/>
              <w:rPr>
                <w:rFonts w:hint="eastAsia" w:ascii="宋体" w:hAnsi="宋体" w:eastAsia="宋体" w:cs="宋体"/>
                <w:sz w:val="21"/>
                <w:szCs w:val="21"/>
              </w:rPr>
            </w:pPr>
            <w:r>
              <w:rPr>
                <w:rFonts w:hint="eastAsia" w:ascii="宋体" w:hAnsi="宋体" w:eastAsia="宋体" w:cs="宋体"/>
                <w:sz w:val="21"/>
                <w:szCs w:val="21"/>
              </w:rPr>
              <w:t>6、单位面积克重： ≥200g/㎡ ，检测标准 GB/T4669-2008</w:t>
            </w:r>
          </w:p>
          <w:p>
            <w:pPr>
              <w:keepNext w:val="0"/>
              <w:keepLines w:val="0"/>
              <w:pageBreakBefore w:val="0"/>
              <w:widowControl w:val="0"/>
              <w:kinsoku/>
              <w:wordWrap/>
              <w:overflowPunct/>
              <w:topLinePunct w:val="0"/>
              <w:autoSpaceDE/>
              <w:autoSpaceDN/>
              <w:bidi w:val="0"/>
              <w:adjustRightInd/>
              <w:snapToGrid/>
              <w:spacing w:before="98" w:line="360" w:lineRule="auto"/>
              <w:ind w:firstLine="38"/>
              <w:textAlignment w:val="auto"/>
              <w:rPr>
                <w:rFonts w:hint="eastAsia" w:ascii="宋体" w:hAnsi="宋体" w:eastAsia="宋体" w:cs="宋体"/>
                <w:sz w:val="21"/>
                <w:szCs w:val="21"/>
              </w:rPr>
            </w:pPr>
            <w:r>
              <w:rPr>
                <w:rFonts w:hint="eastAsia" w:ascii="宋体" w:hAnsi="宋体" w:eastAsia="宋体" w:cs="宋体"/>
                <w:sz w:val="21"/>
                <w:szCs w:val="21"/>
              </w:rPr>
              <w:t>电动布帘轨道：</w:t>
            </w:r>
          </w:p>
          <w:p>
            <w:pPr>
              <w:keepNext w:val="0"/>
              <w:keepLines w:val="0"/>
              <w:pageBreakBefore w:val="0"/>
              <w:widowControl w:val="0"/>
              <w:kinsoku/>
              <w:wordWrap/>
              <w:overflowPunct/>
              <w:topLinePunct w:val="0"/>
              <w:autoSpaceDE/>
              <w:autoSpaceDN/>
              <w:bidi w:val="0"/>
              <w:adjustRightInd/>
              <w:snapToGrid/>
              <w:spacing w:before="98" w:line="360" w:lineRule="auto"/>
              <w:ind w:firstLine="24"/>
              <w:textAlignment w:val="auto"/>
              <w:rPr>
                <w:rFonts w:hint="eastAsia" w:ascii="宋体" w:hAnsi="宋体" w:eastAsia="宋体" w:cs="宋体"/>
                <w:sz w:val="21"/>
                <w:szCs w:val="21"/>
              </w:rPr>
            </w:pPr>
            <w:r>
              <w:rPr>
                <w:rFonts w:hint="eastAsia" w:ascii="宋体" w:hAnsi="宋体" w:eastAsia="宋体" w:cs="宋体"/>
                <w:sz w:val="21"/>
                <w:szCs w:val="21"/>
              </w:rPr>
              <w:t>1、铝型材标号： 6063-T5。</w:t>
            </w:r>
          </w:p>
          <w:p>
            <w:pPr>
              <w:keepNext w:val="0"/>
              <w:keepLines w:val="0"/>
              <w:pageBreakBefore w:val="0"/>
              <w:widowControl w:val="0"/>
              <w:kinsoku/>
              <w:wordWrap/>
              <w:overflowPunct/>
              <w:topLinePunct w:val="0"/>
              <w:autoSpaceDE/>
              <w:autoSpaceDN/>
              <w:bidi w:val="0"/>
              <w:adjustRightInd/>
              <w:snapToGrid/>
              <w:spacing w:before="100" w:line="360" w:lineRule="auto"/>
              <w:ind w:left="18" w:hanging="5"/>
              <w:textAlignment w:val="auto"/>
              <w:rPr>
                <w:rFonts w:hint="eastAsia" w:ascii="宋体" w:hAnsi="宋体" w:eastAsia="宋体" w:cs="宋体"/>
                <w:sz w:val="21"/>
                <w:szCs w:val="21"/>
              </w:rPr>
            </w:pPr>
            <w:r>
              <w:rPr>
                <w:rFonts w:hint="eastAsia" w:ascii="宋体" w:hAnsi="宋体" w:eastAsia="宋体" w:cs="宋体"/>
                <w:sz w:val="21"/>
                <w:szCs w:val="21"/>
              </w:rPr>
              <w:t>★2、轨道弯曲度≤0.15mm（提供检测报告复印件）。规格为宽*长≥（宽 28mm*长 22mm） 方形轨道，国标型材厚度: ≥2.0mm。压痕硬度（膜层抗压痕  性） ≥95。（提供第三方检测机构出具的检测报告复印件，并加盖投标人公章）</w:t>
            </w:r>
          </w:p>
          <w:p>
            <w:pPr>
              <w:keepNext w:val="0"/>
              <w:keepLines w:val="0"/>
              <w:pageBreakBefore w:val="0"/>
              <w:widowControl w:val="0"/>
              <w:kinsoku/>
              <w:wordWrap/>
              <w:overflowPunct/>
              <w:topLinePunct w:val="0"/>
              <w:autoSpaceDE/>
              <w:autoSpaceDN/>
              <w:bidi w:val="0"/>
              <w:adjustRightInd/>
              <w:snapToGrid/>
              <w:spacing w:line="360" w:lineRule="auto"/>
              <w:ind w:left="11" w:right="130" w:firstLine="5"/>
              <w:textAlignment w:val="auto"/>
              <w:rPr>
                <w:rFonts w:hint="eastAsia" w:ascii="宋体" w:hAnsi="宋体" w:eastAsia="宋体" w:cs="宋体"/>
                <w:sz w:val="21"/>
                <w:szCs w:val="21"/>
              </w:rPr>
            </w:pPr>
            <w:r>
              <w:rPr>
                <w:rFonts w:hint="eastAsia" w:ascii="宋体" w:hAnsi="宋体" w:eastAsia="宋体" w:cs="宋体"/>
                <w:sz w:val="21"/>
                <w:szCs w:val="21"/>
              </w:rPr>
              <w:t>▲3、力学性能：韦氏硬度≥10.5HW，规定非比例延伸强度≥205N/mm2，抗拉强度≥ 230N/mm2，，断后伸长率≥8.5%（提供第三方检测机构出具的检测报告复印件，并加盖投标人公章）</w:t>
            </w:r>
          </w:p>
          <w:p>
            <w:pPr>
              <w:keepNext w:val="0"/>
              <w:keepLines w:val="0"/>
              <w:pageBreakBefore w:val="0"/>
              <w:widowControl w:val="0"/>
              <w:kinsoku/>
              <w:wordWrap/>
              <w:overflowPunct/>
              <w:topLinePunct w:val="0"/>
              <w:autoSpaceDE/>
              <w:autoSpaceDN/>
              <w:bidi w:val="0"/>
              <w:adjustRightInd/>
              <w:snapToGrid/>
              <w:spacing w:before="1" w:line="360" w:lineRule="auto"/>
              <w:ind w:firstLine="111"/>
              <w:textAlignment w:val="auto"/>
              <w:rPr>
                <w:rFonts w:hint="eastAsia" w:ascii="宋体" w:hAnsi="宋体" w:eastAsia="宋体" w:cs="宋体"/>
                <w:sz w:val="21"/>
                <w:szCs w:val="21"/>
              </w:rPr>
            </w:pPr>
            <w:r>
              <w:rPr>
                <w:rFonts w:hint="eastAsia" w:ascii="宋体" w:hAnsi="宋体" w:eastAsia="宋体" w:cs="宋体"/>
                <w:sz w:val="21"/>
                <w:szCs w:val="21"/>
              </w:rPr>
              <w:t>4、轨道具有耐盐酸性、耐溶剂性、耐洗涤剂性，滑珠吊环为不锈钢。</w:t>
            </w:r>
          </w:p>
          <w:p>
            <w:pPr>
              <w:keepNext w:val="0"/>
              <w:keepLines w:val="0"/>
              <w:pageBreakBefore w:val="0"/>
              <w:widowControl w:val="0"/>
              <w:kinsoku/>
              <w:wordWrap/>
              <w:overflowPunct/>
              <w:topLinePunct w:val="0"/>
              <w:autoSpaceDE/>
              <w:autoSpaceDN/>
              <w:bidi w:val="0"/>
              <w:adjustRightInd/>
              <w:snapToGrid/>
              <w:spacing w:before="96" w:line="360" w:lineRule="auto"/>
              <w:ind w:left="18" w:right="5" w:hanging="1"/>
              <w:textAlignment w:val="auto"/>
              <w:rPr>
                <w:rFonts w:hint="eastAsia" w:ascii="宋体" w:hAnsi="宋体" w:eastAsia="宋体" w:cs="宋体"/>
                <w:sz w:val="21"/>
                <w:szCs w:val="21"/>
              </w:rPr>
            </w:pPr>
            <w:r>
              <w:rPr>
                <w:rFonts w:hint="eastAsia" w:ascii="宋体" w:hAnsi="宋体" w:eastAsia="宋体" w:cs="宋体"/>
                <w:sz w:val="21"/>
                <w:szCs w:val="21"/>
              </w:rPr>
              <w:t>注：面料部分参数须提供第三方检测机构出具的检测报告复印件，并加盖投标人公章。且检测结果必须要在同一份检测报告中体现。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220"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before="68" w:line="360" w:lineRule="auto"/>
              <w:textAlignment w:val="auto"/>
              <w:rPr>
                <w:rFonts w:hint="eastAsia" w:ascii="宋体" w:hAnsi="宋体" w:eastAsia="宋体" w:cs="宋体"/>
                <w:sz w:val="21"/>
                <w:szCs w:val="21"/>
              </w:rPr>
            </w:pPr>
            <w:r>
              <w:rPr>
                <w:rFonts w:hint="eastAsia" w:ascii="宋体" w:hAnsi="宋体" w:eastAsia="宋体" w:cs="宋体"/>
                <w:spacing w:val="-1"/>
                <w:sz w:val="21"/>
                <w:szCs w:val="21"/>
                <w14:textOutline w14:w="3797" w14:cap="sq" w14:cmpd="sng" w14:algn="ctr">
                  <w14:solidFill>
                    <w14:srgbClr w14:val="000000"/>
                  </w14:solidFill>
                  <w14:prstDash w14:val="solid"/>
                  <w14:bevel/>
                </w14:textOutline>
              </w:rPr>
              <w:t>4.手动布帘</w:t>
            </w:r>
          </w:p>
        </w:tc>
        <w:tc>
          <w:tcPr>
            <w:tcW w:w="7112" w:type="dxa"/>
            <w:vAlign w:val="top"/>
          </w:tcPr>
          <w:p>
            <w:pPr>
              <w:keepNext w:val="0"/>
              <w:keepLines w:val="0"/>
              <w:pageBreakBefore w:val="0"/>
              <w:widowControl w:val="0"/>
              <w:kinsoku/>
              <w:wordWrap/>
              <w:overflowPunct/>
              <w:topLinePunct w:val="0"/>
              <w:autoSpaceDE/>
              <w:autoSpaceDN/>
              <w:bidi w:val="0"/>
              <w:adjustRightInd/>
              <w:snapToGrid/>
              <w:spacing w:before="55" w:line="360" w:lineRule="auto"/>
              <w:ind w:firstLine="19"/>
              <w:textAlignment w:val="auto"/>
              <w:rPr>
                <w:rFonts w:hint="eastAsia"/>
              </w:rPr>
            </w:pPr>
            <w:r>
              <w:rPr>
                <w:rFonts w:hint="eastAsia"/>
              </w:rPr>
              <w:t>面料部分：</w:t>
            </w:r>
          </w:p>
          <w:p>
            <w:pPr>
              <w:keepNext w:val="0"/>
              <w:keepLines w:val="0"/>
              <w:pageBreakBefore w:val="0"/>
              <w:widowControl w:val="0"/>
              <w:kinsoku/>
              <w:wordWrap/>
              <w:overflowPunct/>
              <w:topLinePunct w:val="0"/>
              <w:autoSpaceDE/>
              <w:autoSpaceDN/>
              <w:bidi w:val="0"/>
              <w:adjustRightInd/>
              <w:snapToGrid/>
              <w:spacing w:before="98" w:line="360" w:lineRule="auto"/>
              <w:ind w:firstLine="24"/>
              <w:textAlignment w:val="auto"/>
              <w:rPr>
                <w:rFonts w:hint="eastAsia"/>
              </w:rPr>
            </w:pPr>
            <w:r>
              <w:rPr>
                <w:rFonts w:hint="eastAsia"/>
              </w:rPr>
              <w:t>1、成分： 100%聚酯纤维，检测标准 FZ/T01057-2007</w:t>
            </w:r>
          </w:p>
          <w:p>
            <w:pPr>
              <w:keepNext w:val="0"/>
              <w:keepLines w:val="0"/>
              <w:pageBreakBefore w:val="0"/>
              <w:widowControl w:val="0"/>
              <w:kinsoku/>
              <w:wordWrap/>
              <w:overflowPunct/>
              <w:topLinePunct w:val="0"/>
              <w:autoSpaceDE/>
              <w:autoSpaceDN/>
              <w:bidi w:val="0"/>
              <w:adjustRightInd/>
              <w:snapToGrid/>
              <w:spacing w:before="98" w:line="360" w:lineRule="auto"/>
              <w:ind w:firstLine="11"/>
              <w:textAlignment w:val="auto"/>
              <w:rPr>
                <w:rFonts w:hint="eastAsia"/>
              </w:rPr>
            </w:pPr>
            <w:r>
              <w:rPr>
                <w:rFonts w:hint="eastAsia"/>
              </w:rPr>
              <w:t>2、单位面积质量： ≥200g/㎡ ，检测标准 GB/T4669-2008</w:t>
            </w:r>
          </w:p>
          <w:p>
            <w:pPr>
              <w:keepNext w:val="0"/>
              <w:keepLines w:val="0"/>
              <w:pageBreakBefore w:val="0"/>
              <w:widowControl w:val="0"/>
              <w:kinsoku/>
              <w:wordWrap/>
              <w:overflowPunct/>
              <w:topLinePunct w:val="0"/>
              <w:autoSpaceDE/>
              <w:autoSpaceDN/>
              <w:bidi w:val="0"/>
              <w:adjustRightInd/>
              <w:snapToGrid/>
              <w:spacing w:before="98" w:line="360" w:lineRule="auto"/>
              <w:ind w:firstLine="13"/>
              <w:textAlignment w:val="auto"/>
              <w:rPr>
                <w:rFonts w:hint="eastAsia"/>
              </w:rPr>
            </w:pPr>
            <w:r>
              <w:rPr>
                <w:rFonts w:hint="eastAsia"/>
              </w:rPr>
              <w:t>3、织物密度及纱线线密度： 经密≥650 根/10cm，纬密≥200 根/10cm</w:t>
            </w:r>
          </w:p>
          <w:p>
            <w:pPr>
              <w:keepNext w:val="0"/>
              <w:keepLines w:val="0"/>
              <w:pageBreakBefore w:val="0"/>
              <w:widowControl w:val="0"/>
              <w:kinsoku/>
              <w:wordWrap/>
              <w:overflowPunct/>
              <w:topLinePunct w:val="0"/>
              <w:autoSpaceDE/>
              <w:autoSpaceDN/>
              <w:bidi w:val="0"/>
              <w:adjustRightInd/>
              <w:snapToGrid/>
              <w:spacing w:before="98" w:line="360" w:lineRule="auto"/>
              <w:ind w:left="14" w:right="132" w:hanging="6"/>
              <w:textAlignment w:val="auto"/>
              <w:rPr>
                <w:rFonts w:hint="eastAsia"/>
              </w:rPr>
            </w:pPr>
            <w:r>
              <w:rPr>
                <w:rFonts w:hint="eastAsia"/>
              </w:rPr>
              <w:t>4、甲醛含量： 符合 18401-2010《国家纺织产品基本安全规范》 C 类标准或更优标准 （GB18401-2010B 类或 A 类） ，检测标准 GB/T2912.1-2009</w:t>
            </w:r>
          </w:p>
          <w:p>
            <w:pPr>
              <w:keepNext w:val="0"/>
              <w:keepLines w:val="0"/>
              <w:pageBreakBefore w:val="0"/>
              <w:widowControl w:val="0"/>
              <w:kinsoku/>
              <w:wordWrap/>
              <w:overflowPunct/>
              <w:topLinePunct w:val="0"/>
              <w:autoSpaceDE/>
              <w:autoSpaceDN/>
              <w:bidi w:val="0"/>
              <w:adjustRightInd/>
              <w:snapToGrid/>
              <w:spacing w:before="98" w:line="360" w:lineRule="auto"/>
              <w:ind w:left="17" w:right="77" w:hanging="4"/>
              <w:textAlignment w:val="auto"/>
              <w:rPr>
                <w:rFonts w:hint="eastAsia"/>
              </w:rPr>
            </w:pPr>
            <w:r>
              <w:rPr>
                <w:rFonts w:hint="eastAsia"/>
              </w:rPr>
              <w:t>5、可分解致癌芳香胺染料： 符合 18401-2010《国家纺织产品基本安全规范》 禁用标 准,检测标准 GB/T17592-2011</w:t>
            </w:r>
          </w:p>
          <w:p>
            <w:pPr>
              <w:keepNext w:val="0"/>
              <w:keepLines w:val="0"/>
              <w:pageBreakBefore w:val="0"/>
              <w:widowControl w:val="0"/>
              <w:kinsoku/>
              <w:wordWrap/>
              <w:overflowPunct/>
              <w:topLinePunct w:val="0"/>
              <w:autoSpaceDE/>
              <w:autoSpaceDN/>
              <w:bidi w:val="0"/>
              <w:adjustRightInd/>
              <w:snapToGrid/>
              <w:spacing w:before="98" w:line="360" w:lineRule="auto"/>
              <w:ind w:left="14" w:right="26" w:hanging="4"/>
              <w:textAlignment w:val="auto"/>
              <w:rPr>
                <w:rFonts w:hint="eastAsia" w:ascii="宋体" w:hAnsi="宋体" w:eastAsia="宋体" w:cs="宋体"/>
                <w:sz w:val="21"/>
                <w:szCs w:val="21"/>
              </w:rPr>
            </w:pPr>
            <w:r>
              <w:rPr>
                <w:rFonts w:hint="eastAsia"/>
              </w:rPr>
              <w:t>6、阻燃标准： 检测符合 GB8624-2012 B1 级，符合 GB/T5454-1997、GB/T5455-2014  经向/纬向氧指数≥32%，损毁长度≤150mm，续燃时间≤5S，阴燃时间≤15S，燃烧滴</w:t>
            </w:r>
            <w:r>
              <w:rPr>
                <w:rFonts w:hint="eastAsia" w:ascii="宋体" w:hAnsi="宋体" w:eastAsia="宋体" w:cs="宋体"/>
                <w:sz w:val="21"/>
                <w:szCs w:val="21"/>
              </w:rPr>
              <w:t>落物未引起脱脂棉燃烧或阴燃；</w:t>
            </w:r>
          </w:p>
          <w:p>
            <w:pPr>
              <w:keepNext w:val="0"/>
              <w:keepLines w:val="0"/>
              <w:pageBreakBefore w:val="0"/>
              <w:widowControl w:val="0"/>
              <w:kinsoku/>
              <w:wordWrap/>
              <w:overflowPunct/>
              <w:topLinePunct w:val="0"/>
              <w:autoSpaceDE/>
              <w:autoSpaceDN/>
              <w:bidi w:val="0"/>
              <w:adjustRightInd/>
              <w:snapToGrid/>
              <w:spacing w:before="98" w:line="360" w:lineRule="auto"/>
              <w:ind w:left="13" w:right="499"/>
              <w:textAlignment w:val="auto"/>
              <w:rPr>
                <w:rFonts w:hint="eastAsia" w:ascii="宋体" w:hAnsi="宋体" w:eastAsia="宋体" w:cs="宋体"/>
                <w:sz w:val="21"/>
                <w:szCs w:val="21"/>
              </w:rPr>
            </w:pPr>
            <w:r>
              <w:rPr>
                <w:rFonts w:hint="eastAsia" w:ascii="宋体" w:hAnsi="宋体" w:eastAsia="宋体" w:cs="宋体"/>
                <w:sz w:val="21"/>
                <w:szCs w:val="21"/>
              </w:rPr>
              <w:t>7、PH 值： 符合 18401-2010《国家纺织产品基本安全规范》 C 类标准或更优标准 （GB18401-2010B 类或 A 类） ,检测标准 GB/T7573-2009。</w:t>
            </w:r>
          </w:p>
          <w:p>
            <w:pPr>
              <w:keepNext w:val="0"/>
              <w:keepLines w:val="0"/>
              <w:pageBreakBefore w:val="0"/>
              <w:widowControl w:val="0"/>
              <w:kinsoku/>
              <w:wordWrap/>
              <w:overflowPunct/>
              <w:topLinePunct w:val="0"/>
              <w:autoSpaceDE/>
              <w:autoSpaceDN/>
              <w:bidi w:val="0"/>
              <w:adjustRightInd/>
              <w:snapToGrid/>
              <w:spacing w:before="98" w:line="360" w:lineRule="auto"/>
              <w:ind w:left="17" w:right="5" w:hanging="8"/>
              <w:textAlignment w:val="auto"/>
              <w:rPr>
                <w:rFonts w:hint="eastAsia" w:ascii="宋体" w:hAnsi="宋体" w:eastAsia="宋体" w:cs="宋体"/>
                <w:sz w:val="21"/>
                <w:szCs w:val="21"/>
              </w:rPr>
            </w:pPr>
            <w:r>
              <w:rPr>
                <w:rFonts w:hint="eastAsia" w:ascii="宋体" w:hAnsi="宋体" w:eastAsia="宋体" w:cs="宋体"/>
                <w:sz w:val="21"/>
                <w:szCs w:val="21"/>
              </w:rPr>
              <w:t>8、异味： 符合 18401-2010《国家纺织产品基本安全规范》 标准，实测无异味,检测标 准 GB18401-2010。</w:t>
            </w:r>
          </w:p>
          <w:p>
            <w:pPr>
              <w:keepNext w:val="0"/>
              <w:keepLines w:val="0"/>
              <w:pageBreakBefore w:val="0"/>
              <w:widowControl w:val="0"/>
              <w:kinsoku/>
              <w:wordWrap/>
              <w:overflowPunct/>
              <w:topLinePunct w:val="0"/>
              <w:autoSpaceDE/>
              <w:autoSpaceDN/>
              <w:bidi w:val="0"/>
              <w:adjustRightInd/>
              <w:snapToGrid/>
              <w:spacing w:before="98" w:line="360" w:lineRule="auto"/>
              <w:ind w:left="6" w:firstLine="3"/>
              <w:textAlignment w:val="auto"/>
              <w:rPr>
                <w:rFonts w:hint="eastAsia" w:ascii="宋体" w:hAnsi="宋体" w:eastAsia="宋体" w:cs="宋体"/>
                <w:sz w:val="21"/>
                <w:szCs w:val="21"/>
              </w:rPr>
            </w:pPr>
            <w:r>
              <w:rPr>
                <w:rFonts w:hint="eastAsia" w:ascii="宋体" w:hAnsi="宋体" w:eastAsia="宋体" w:cs="宋体"/>
                <w:sz w:val="21"/>
                <w:szCs w:val="21"/>
              </w:rPr>
              <w:t>9、色牢度： 耐皂洗、耐水、耐干（湿） 摩擦色牢度≥4 级，检测标准 GB/T3921-2008， GB/T5713-2013，GB/T3920-2008</w:t>
            </w:r>
          </w:p>
          <w:p>
            <w:pPr>
              <w:keepNext w:val="0"/>
              <w:keepLines w:val="0"/>
              <w:pageBreakBefore w:val="0"/>
              <w:widowControl w:val="0"/>
              <w:kinsoku/>
              <w:wordWrap/>
              <w:overflowPunct/>
              <w:topLinePunct w:val="0"/>
              <w:autoSpaceDE/>
              <w:autoSpaceDN/>
              <w:bidi w:val="0"/>
              <w:adjustRightInd/>
              <w:snapToGrid/>
              <w:spacing w:before="98" w:line="360" w:lineRule="auto"/>
              <w:ind w:left="19" w:right="7" w:firstLine="4"/>
              <w:textAlignment w:val="auto"/>
              <w:rPr>
                <w:rFonts w:hint="eastAsia" w:ascii="宋体" w:hAnsi="宋体" w:eastAsia="宋体" w:cs="宋体"/>
                <w:sz w:val="21"/>
                <w:szCs w:val="21"/>
              </w:rPr>
            </w:pPr>
            <w:r>
              <w:rPr>
                <w:rFonts w:hint="eastAsia" w:ascii="宋体" w:hAnsi="宋体" w:eastAsia="宋体" w:cs="宋体"/>
                <w:sz w:val="21"/>
                <w:szCs w:val="21"/>
              </w:rPr>
              <w:t>10、抗菌性能（吸收法） 水洗 20 次以上： 金黄色葡萄球菌、大肠杆菌、肺炎克雷伯氏 菌≥90%，检测标准 GB/T20944.2-2007。</w:t>
            </w:r>
          </w:p>
          <w:p>
            <w:pPr>
              <w:keepNext w:val="0"/>
              <w:keepLines w:val="0"/>
              <w:pageBreakBefore w:val="0"/>
              <w:widowControl w:val="0"/>
              <w:kinsoku/>
              <w:wordWrap/>
              <w:overflowPunct/>
              <w:topLinePunct w:val="0"/>
              <w:autoSpaceDE/>
              <w:autoSpaceDN/>
              <w:bidi w:val="0"/>
              <w:adjustRightInd/>
              <w:snapToGrid/>
              <w:spacing w:before="98" w:line="360" w:lineRule="auto"/>
              <w:ind w:firstLine="17"/>
              <w:textAlignment w:val="auto"/>
              <w:rPr>
                <w:rFonts w:hint="eastAsia" w:ascii="宋体" w:hAnsi="宋体" w:eastAsia="宋体" w:cs="宋体"/>
                <w:sz w:val="21"/>
                <w:szCs w:val="21"/>
              </w:rPr>
            </w:pPr>
            <w:r>
              <w:rPr>
                <w:rFonts w:hint="eastAsia" w:ascii="宋体" w:hAnsi="宋体" w:eastAsia="宋体" w:cs="宋体"/>
                <w:sz w:val="21"/>
                <w:szCs w:val="21"/>
              </w:rPr>
              <w:t>手动窗帘轨道：</w:t>
            </w:r>
          </w:p>
          <w:p>
            <w:pPr>
              <w:keepNext w:val="0"/>
              <w:keepLines w:val="0"/>
              <w:pageBreakBefore w:val="0"/>
              <w:widowControl w:val="0"/>
              <w:kinsoku/>
              <w:wordWrap/>
              <w:overflowPunct/>
              <w:topLinePunct w:val="0"/>
              <w:autoSpaceDE/>
              <w:autoSpaceDN/>
              <w:bidi w:val="0"/>
              <w:adjustRightInd/>
              <w:snapToGrid/>
              <w:spacing w:before="98" w:line="360" w:lineRule="auto"/>
              <w:ind w:firstLine="24"/>
              <w:textAlignment w:val="auto"/>
              <w:rPr>
                <w:rFonts w:hint="eastAsia" w:ascii="宋体" w:hAnsi="宋体" w:eastAsia="宋体" w:cs="宋体"/>
                <w:sz w:val="21"/>
                <w:szCs w:val="21"/>
              </w:rPr>
            </w:pPr>
            <w:r>
              <w:rPr>
                <w:rFonts w:hint="eastAsia" w:ascii="宋体" w:hAnsi="宋体" w:eastAsia="宋体" w:cs="宋体"/>
                <w:sz w:val="21"/>
                <w:szCs w:val="21"/>
              </w:rPr>
              <w:t>1、铝型材标号： 6063-T5</w:t>
            </w:r>
          </w:p>
          <w:p>
            <w:pPr>
              <w:keepNext w:val="0"/>
              <w:keepLines w:val="0"/>
              <w:pageBreakBefore w:val="0"/>
              <w:widowControl w:val="0"/>
              <w:kinsoku/>
              <w:wordWrap/>
              <w:overflowPunct/>
              <w:topLinePunct w:val="0"/>
              <w:autoSpaceDE/>
              <w:autoSpaceDN/>
              <w:bidi w:val="0"/>
              <w:adjustRightInd/>
              <w:snapToGrid/>
              <w:spacing w:before="98" w:line="360" w:lineRule="auto"/>
              <w:ind w:firstLine="11"/>
              <w:textAlignment w:val="auto"/>
              <w:rPr>
                <w:rFonts w:hint="eastAsia" w:ascii="宋体" w:hAnsi="宋体" w:eastAsia="宋体" w:cs="宋体"/>
                <w:sz w:val="21"/>
                <w:szCs w:val="21"/>
              </w:rPr>
            </w:pPr>
            <w:r>
              <w:rPr>
                <w:rFonts w:hint="eastAsia" w:ascii="宋体" w:hAnsi="宋体" w:eastAsia="宋体" w:cs="宋体"/>
                <w:sz w:val="21"/>
                <w:szCs w:val="21"/>
              </w:rPr>
              <w:t>2、轨道弯曲度≤0.17mm</w:t>
            </w:r>
          </w:p>
          <w:p>
            <w:pPr>
              <w:keepNext w:val="0"/>
              <w:keepLines w:val="0"/>
              <w:pageBreakBefore w:val="0"/>
              <w:widowControl w:val="0"/>
              <w:kinsoku/>
              <w:wordWrap/>
              <w:overflowPunct/>
              <w:topLinePunct w:val="0"/>
              <w:autoSpaceDE/>
              <w:autoSpaceDN/>
              <w:bidi w:val="0"/>
              <w:adjustRightInd/>
              <w:snapToGrid/>
              <w:spacing w:before="98" w:line="360" w:lineRule="auto"/>
              <w:ind w:firstLine="13"/>
              <w:textAlignment w:val="auto"/>
              <w:rPr>
                <w:rFonts w:hint="eastAsia" w:ascii="宋体" w:hAnsi="宋体" w:eastAsia="宋体" w:cs="宋体"/>
                <w:sz w:val="21"/>
                <w:szCs w:val="21"/>
              </w:rPr>
            </w:pPr>
            <w:r>
              <w:rPr>
                <w:rFonts w:hint="eastAsia" w:ascii="宋体" w:hAnsi="宋体" w:eastAsia="宋体" w:cs="宋体"/>
                <w:sz w:val="21"/>
                <w:szCs w:val="21"/>
              </w:rPr>
              <w:t>3、韦氏硬度≥10HW</w:t>
            </w:r>
          </w:p>
          <w:p>
            <w:pPr>
              <w:keepNext w:val="0"/>
              <w:keepLines w:val="0"/>
              <w:pageBreakBefore w:val="0"/>
              <w:widowControl w:val="0"/>
              <w:kinsoku/>
              <w:wordWrap/>
              <w:overflowPunct/>
              <w:topLinePunct w:val="0"/>
              <w:autoSpaceDE/>
              <w:autoSpaceDN/>
              <w:bidi w:val="0"/>
              <w:adjustRightInd/>
              <w:snapToGrid/>
              <w:spacing w:before="99" w:line="360" w:lineRule="auto"/>
              <w:ind w:left="30" w:right="5" w:hanging="22"/>
              <w:textAlignment w:val="auto"/>
              <w:rPr>
                <w:rFonts w:hint="eastAsia" w:ascii="宋体" w:hAnsi="宋体" w:eastAsia="宋体" w:cs="宋体"/>
                <w:sz w:val="21"/>
                <w:szCs w:val="21"/>
              </w:rPr>
            </w:pPr>
            <w:r>
              <w:rPr>
                <w:rFonts w:hint="eastAsia" w:ascii="宋体" w:hAnsi="宋体" w:eastAsia="宋体" w:cs="宋体"/>
                <w:sz w:val="21"/>
                <w:szCs w:val="21"/>
              </w:rPr>
              <w:t>4、力学性能： 规定非比例延伸强度≥200N/mm2，抗拉强度≥200N/mm2，，断后伸长率 ≥8%。</w:t>
            </w:r>
          </w:p>
          <w:p>
            <w:pPr>
              <w:keepNext w:val="0"/>
              <w:keepLines w:val="0"/>
              <w:pageBreakBefore w:val="0"/>
              <w:widowControl w:val="0"/>
              <w:kinsoku/>
              <w:wordWrap/>
              <w:overflowPunct/>
              <w:topLinePunct w:val="0"/>
              <w:autoSpaceDE/>
              <w:autoSpaceDN/>
              <w:bidi w:val="0"/>
              <w:adjustRightInd/>
              <w:snapToGrid/>
              <w:spacing w:before="98" w:line="360" w:lineRule="auto"/>
              <w:ind w:firstLine="13"/>
              <w:textAlignment w:val="auto"/>
              <w:rPr>
                <w:rFonts w:hint="eastAsia" w:ascii="宋体" w:hAnsi="宋体" w:eastAsia="宋体" w:cs="宋体"/>
                <w:sz w:val="21"/>
                <w:szCs w:val="21"/>
              </w:rPr>
            </w:pPr>
            <w:r>
              <w:rPr>
                <w:rFonts w:hint="eastAsia" w:ascii="宋体" w:hAnsi="宋体" w:eastAsia="宋体" w:cs="宋体"/>
                <w:sz w:val="21"/>
                <w:szCs w:val="21"/>
              </w:rPr>
              <w:t>5、轨道具有耐盐酸性、耐溶剂性、耐洗涤剂性，滑珠吊环为不锈钢。</w:t>
            </w:r>
          </w:p>
          <w:p>
            <w:pPr>
              <w:pStyle w:val="2"/>
              <w:rPr>
                <w:rFonts w:hint="eastAsia"/>
              </w:rPr>
            </w:pPr>
            <w:r>
              <w:rPr>
                <w:rFonts w:hint="eastAsia" w:ascii="宋体" w:hAnsi="宋体" w:eastAsia="宋体" w:cs="宋体"/>
                <w:sz w:val="21"/>
                <w:szCs w:val="21"/>
              </w:rPr>
              <w:t>注：面料部分参数须提供第三方检测机构出具的检测报告复印件，并加盖投标人公章。且检测结果必须要在同一份检测报告中体现。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220"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before="69" w:line="360" w:lineRule="auto"/>
              <w:ind w:firstLine="77"/>
              <w:textAlignment w:val="auto"/>
              <w:rPr>
                <w:rFonts w:hint="eastAsia" w:ascii="宋体" w:hAnsi="宋体" w:eastAsia="宋体" w:cs="宋体"/>
                <w:sz w:val="21"/>
                <w:szCs w:val="21"/>
              </w:rPr>
            </w:pPr>
            <w:r>
              <w:rPr>
                <w:rFonts w:hint="eastAsia" w:ascii="宋体" w:hAnsi="宋体" w:eastAsia="宋体" w:cs="宋体"/>
                <w:spacing w:val="-1"/>
                <w:sz w:val="21"/>
                <w:szCs w:val="21"/>
                <w14:textOutline w14:w="3797" w14:cap="sq" w14:cmpd="sng" w14:algn="ctr">
                  <w14:solidFill>
                    <w14:srgbClr w14:val="000000"/>
                  </w14:solidFill>
                  <w14:prstDash w14:val="solid"/>
                  <w14:bevel/>
                </w14:textOutline>
              </w:rPr>
              <w:t>5.电动遮光布帘</w:t>
            </w:r>
          </w:p>
          <w:p>
            <w:pPr>
              <w:keepNext w:val="0"/>
              <w:keepLines w:val="0"/>
              <w:pageBreakBefore w:val="0"/>
              <w:widowControl w:val="0"/>
              <w:kinsoku/>
              <w:wordWrap/>
              <w:overflowPunct/>
              <w:topLinePunct w:val="0"/>
              <w:autoSpaceDE/>
              <w:autoSpaceDN/>
              <w:bidi w:val="0"/>
              <w:adjustRightInd/>
              <w:snapToGrid/>
              <w:spacing w:before="98" w:line="360" w:lineRule="auto"/>
              <w:ind w:firstLine="185" w:firstLineChars="0"/>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2"/>
                <w:sz w:val="21"/>
                <w:szCs w:val="21"/>
                <w14:textOutline w14:w="3797" w14:cap="sq" w14:cmpd="sng" w14:algn="ctr">
                  <w14:solidFill>
                    <w14:srgbClr w14:val="000000"/>
                  </w14:solidFill>
                  <w14:prstDash w14:val="solid"/>
                  <w14:bevel/>
                </w14:textOutline>
              </w:rPr>
              <w:t>（核心产品）</w:t>
            </w:r>
          </w:p>
        </w:tc>
        <w:tc>
          <w:tcPr>
            <w:tcW w:w="7112" w:type="dxa"/>
            <w:vAlign w:val="top"/>
          </w:tcPr>
          <w:p>
            <w:pPr>
              <w:keepNext w:val="0"/>
              <w:keepLines w:val="0"/>
              <w:pageBreakBefore w:val="0"/>
              <w:widowControl w:val="0"/>
              <w:kinsoku/>
              <w:wordWrap/>
              <w:overflowPunct/>
              <w:topLinePunct w:val="0"/>
              <w:autoSpaceDE/>
              <w:autoSpaceDN/>
              <w:bidi w:val="0"/>
              <w:adjustRightInd/>
              <w:snapToGrid/>
              <w:spacing w:before="98" w:line="360" w:lineRule="auto"/>
              <w:ind w:firstLine="17"/>
              <w:textAlignment w:val="auto"/>
              <w:rPr>
                <w:rFonts w:hint="eastAsia" w:ascii="宋体" w:hAnsi="宋体" w:eastAsia="宋体" w:cs="宋体"/>
                <w:sz w:val="21"/>
                <w:szCs w:val="21"/>
              </w:rPr>
            </w:pPr>
            <w:r>
              <w:rPr>
                <w:rFonts w:hint="eastAsia" w:ascii="宋体" w:hAnsi="宋体" w:eastAsia="宋体" w:cs="宋体"/>
                <w:sz w:val="21"/>
                <w:szCs w:val="21"/>
              </w:rPr>
              <w:t>面料部分：</w:t>
            </w:r>
          </w:p>
          <w:p>
            <w:pPr>
              <w:keepNext w:val="0"/>
              <w:keepLines w:val="0"/>
              <w:pageBreakBefore w:val="0"/>
              <w:widowControl w:val="0"/>
              <w:kinsoku/>
              <w:wordWrap/>
              <w:overflowPunct/>
              <w:topLinePunct w:val="0"/>
              <w:autoSpaceDE/>
              <w:autoSpaceDN/>
              <w:bidi w:val="0"/>
              <w:adjustRightInd/>
              <w:snapToGrid/>
              <w:spacing w:before="99" w:line="360" w:lineRule="auto"/>
              <w:ind w:left="30" w:right="5" w:hanging="22"/>
              <w:textAlignment w:val="auto"/>
              <w:rPr>
                <w:rFonts w:hint="eastAsia" w:ascii="宋体" w:hAnsi="宋体" w:eastAsia="宋体" w:cs="宋体"/>
                <w:sz w:val="21"/>
                <w:szCs w:val="21"/>
              </w:rPr>
            </w:pPr>
            <w:r>
              <w:rPr>
                <w:rFonts w:hint="eastAsia" w:ascii="宋体" w:hAnsi="宋体" w:eastAsia="宋体" w:cs="宋体"/>
                <w:sz w:val="21"/>
                <w:szCs w:val="21"/>
              </w:rPr>
              <w:t>★1、成分： 100%聚酯纤维。消臭性能（%） ：浓度减少率，硫化氢≥1.5，甲硫醇≥8，氨气≥45，醋酸≥55。抗菌性能（吸收法） 水洗 20 次以上： 金黄色葡萄球菌、大肠杆菌、肺炎克雷伯氏菌≥ 90%。石棉纤维：未检出。                            ▲2、织物密度及纱线线密度： 经密≥680 根/10cm，纬密≥300 根/10cm； 经纱≥ 17tex150den,纬纱 1≥34tex300den,纬纱 2≥34tex300den。</w:t>
            </w:r>
          </w:p>
          <w:p>
            <w:pPr>
              <w:keepNext w:val="0"/>
              <w:keepLines w:val="0"/>
              <w:pageBreakBefore w:val="0"/>
              <w:widowControl w:val="0"/>
              <w:kinsoku/>
              <w:wordWrap/>
              <w:overflowPunct/>
              <w:topLinePunct w:val="0"/>
              <w:autoSpaceDE/>
              <w:autoSpaceDN/>
              <w:bidi w:val="0"/>
              <w:adjustRightInd/>
              <w:snapToGrid/>
              <w:spacing w:before="99" w:line="360" w:lineRule="auto"/>
              <w:ind w:left="30" w:right="5" w:hanging="22"/>
              <w:textAlignment w:val="auto"/>
              <w:rPr>
                <w:rFonts w:hint="eastAsia" w:ascii="宋体" w:hAnsi="宋体" w:eastAsia="宋体" w:cs="宋体"/>
                <w:sz w:val="21"/>
                <w:szCs w:val="21"/>
              </w:rPr>
            </w:pPr>
            <w:r>
              <w:rPr>
                <w:rFonts w:hint="eastAsia" w:ascii="宋体" w:hAnsi="宋体" w:eastAsia="宋体" w:cs="宋体"/>
                <w:sz w:val="21"/>
                <w:szCs w:val="21"/>
              </w:rPr>
              <w:t>3、安全性能： 甲醛含量： ≤300mg/kg，可分解致癌芳香胺染料： 禁用，PH 值： 4.0-9.0， 无异味，检测标准 GB/T2912.1-2009，GB/T17592-2011，GB/T7573-2009，GB/T7573-2009                                                              ★4、阻燃标准： 符合 GB8624-2012 B1 级，符合 GB/T5454-1997、GB/T5455-2014 经向 /纬向氧指数≥32%，损毁长度≤150mm，续燃时间≤5S，阴燃时间≤15S，燃烧滴落物 未引起脱脂棉燃烧或阴燃。</w:t>
            </w:r>
          </w:p>
          <w:p>
            <w:pPr>
              <w:keepNext w:val="0"/>
              <w:keepLines w:val="0"/>
              <w:pageBreakBefore w:val="0"/>
              <w:widowControl w:val="0"/>
              <w:kinsoku/>
              <w:wordWrap/>
              <w:overflowPunct/>
              <w:topLinePunct w:val="0"/>
              <w:autoSpaceDE/>
              <w:autoSpaceDN/>
              <w:bidi w:val="0"/>
              <w:adjustRightInd/>
              <w:snapToGrid/>
              <w:spacing w:before="99" w:line="360" w:lineRule="auto"/>
              <w:ind w:left="30" w:right="5" w:hanging="22"/>
              <w:textAlignment w:val="auto"/>
              <w:rPr>
                <w:rFonts w:hint="eastAsia" w:ascii="宋体" w:hAnsi="宋体" w:eastAsia="宋体" w:cs="宋体"/>
                <w:sz w:val="21"/>
                <w:szCs w:val="21"/>
              </w:rPr>
            </w:pPr>
            <w:r>
              <w:rPr>
                <w:rFonts w:hint="eastAsia" w:ascii="宋体" w:hAnsi="宋体" w:eastAsia="宋体" w:cs="宋体"/>
                <w:sz w:val="21"/>
                <w:szCs w:val="21"/>
              </w:rPr>
              <w:t>5、单位面积克重： ≥240g/㎡ ，检测标准 GB/T4669-2008。</w:t>
            </w:r>
          </w:p>
          <w:p>
            <w:pPr>
              <w:keepNext w:val="0"/>
              <w:keepLines w:val="0"/>
              <w:pageBreakBefore w:val="0"/>
              <w:widowControl w:val="0"/>
              <w:kinsoku/>
              <w:wordWrap/>
              <w:overflowPunct/>
              <w:topLinePunct w:val="0"/>
              <w:autoSpaceDE/>
              <w:autoSpaceDN/>
              <w:bidi w:val="0"/>
              <w:adjustRightInd/>
              <w:snapToGrid/>
              <w:spacing w:before="99" w:line="360" w:lineRule="auto"/>
              <w:ind w:left="30" w:right="5" w:hanging="22"/>
              <w:textAlignment w:val="auto"/>
              <w:rPr>
                <w:rFonts w:hint="eastAsia" w:ascii="宋体" w:hAnsi="宋体" w:eastAsia="宋体" w:cs="宋体"/>
                <w:sz w:val="21"/>
                <w:szCs w:val="21"/>
              </w:rPr>
            </w:pPr>
            <w:r>
              <w:rPr>
                <w:rFonts w:hint="eastAsia" w:ascii="宋体" w:hAnsi="宋体" w:eastAsia="宋体" w:cs="宋体"/>
                <w:sz w:val="21"/>
                <w:szCs w:val="21"/>
              </w:rPr>
              <w:t>6、色牢度： 耐皂洗、耐水、耐干（湿） 摩擦色牢度≥4 级，检测标准 GB/T3921-2008， GB/T5713-2013，GB/T3920-2008。</w:t>
            </w:r>
          </w:p>
          <w:p>
            <w:pPr>
              <w:keepNext w:val="0"/>
              <w:keepLines w:val="0"/>
              <w:pageBreakBefore w:val="0"/>
              <w:widowControl w:val="0"/>
              <w:kinsoku/>
              <w:wordWrap/>
              <w:overflowPunct/>
              <w:topLinePunct w:val="0"/>
              <w:autoSpaceDE/>
              <w:autoSpaceDN/>
              <w:bidi w:val="0"/>
              <w:adjustRightInd/>
              <w:snapToGrid/>
              <w:spacing w:before="56" w:line="360" w:lineRule="auto"/>
              <w:ind w:firstLine="38"/>
              <w:textAlignment w:val="auto"/>
              <w:rPr>
                <w:rFonts w:hint="eastAsia" w:ascii="宋体" w:hAnsi="宋体" w:eastAsia="宋体" w:cs="宋体"/>
                <w:sz w:val="21"/>
                <w:szCs w:val="21"/>
              </w:rPr>
            </w:pPr>
            <w:r>
              <w:rPr>
                <w:rFonts w:hint="eastAsia" w:ascii="宋体" w:hAnsi="宋体" w:eastAsia="宋体" w:cs="宋体"/>
                <w:sz w:val="21"/>
                <w:szCs w:val="21"/>
              </w:rPr>
              <w:t>电动窗帘轨道：</w:t>
            </w:r>
          </w:p>
          <w:p>
            <w:pPr>
              <w:keepNext w:val="0"/>
              <w:keepLines w:val="0"/>
              <w:pageBreakBefore w:val="0"/>
              <w:widowControl w:val="0"/>
              <w:kinsoku/>
              <w:wordWrap/>
              <w:overflowPunct/>
              <w:topLinePunct w:val="0"/>
              <w:autoSpaceDE/>
              <w:autoSpaceDN/>
              <w:bidi w:val="0"/>
              <w:adjustRightInd/>
              <w:snapToGrid/>
              <w:spacing w:before="98" w:line="360" w:lineRule="auto"/>
              <w:ind w:firstLine="24"/>
              <w:textAlignment w:val="auto"/>
              <w:rPr>
                <w:rFonts w:hint="eastAsia" w:ascii="宋体" w:hAnsi="宋体" w:eastAsia="宋体" w:cs="宋体"/>
                <w:sz w:val="21"/>
                <w:szCs w:val="21"/>
              </w:rPr>
            </w:pPr>
            <w:r>
              <w:rPr>
                <w:rFonts w:hint="eastAsia" w:ascii="宋体" w:hAnsi="宋体" w:eastAsia="宋体" w:cs="宋体"/>
                <w:sz w:val="21"/>
                <w:szCs w:val="21"/>
              </w:rPr>
              <w:t>1、铝型材标号： 6063-T5</w:t>
            </w:r>
          </w:p>
          <w:p>
            <w:pPr>
              <w:keepNext w:val="0"/>
              <w:keepLines w:val="0"/>
              <w:pageBreakBefore w:val="0"/>
              <w:widowControl w:val="0"/>
              <w:kinsoku/>
              <w:wordWrap/>
              <w:overflowPunct/>
              <w:topLinePunct w:val="0"/>
              <w:autoSpaceDE/>
              <w:autoSpaceDN/>
              <w:bidi w:val="0"/>
              <w:adjustRightInd/>
              <w:snapToGrid/>
              <w:spacing w:before="98" w:line="360" w:lineRule="auto"/>
              <w:ind w:firstLine="11"/>
              <w:textAlignment w:val="auto"/>
              <w:rPr>
                <w:rFonts w:hint="eastAsia" w:ascii="宋体" w:hAnsi="宋体" w:eastAsia="宋体" w:cs="宋体"/>
                <w:sz w:val="21"/>
                <w:szCs w:val="21"/>
              </w:rPr>
            </w:pPr>
            <w:r>
              <w:rPr>
                <w:rFonts w:hint="eastAsia" w:ascii="宋体" w:hAnsi="宋体" w:eastAsia="宋体" w:cs="宋体"/>
                <w:sz w:val="21"/>
                <w:szCs w:val="21"/>
              </w:rPr>
              <w:t>2、轨道弯曲度≤0.15mm</w:t>
            </w:r>
          </w:p>
          <w:p>
            <w:pPr>
              <w:keepNext w:val="0"/>
              <w:keepLines w:val="0"/>
              <w:pageBreakBefore w:val="0"/>
              <w:widowControl w:val="0"/>
              <w:kinsoku/>
              <w:wordWrap/>
              <w:overflowPunct/>
              <w:topLinePunct w:val="0"/>
              <w:autoSpaceDE/>
              <w:autoSpaceDN/>
              <w:bidi w:val="0"/>
              <w:adjustRightInd/>
              <w:snapToGrid/>
              <w:spacing w:before="98" w:line="360" w:lineRule="auto"/>
              <w:ind w:firstLine="13"/>
              <w:textAlignment w:val="auto"/>
              <w:rPr>
                <w:rFonts w:hint="eastAsia" w:ascii="宋体" w:hAnsi="宋体" w:eastAsia="宋体" w:cs="宋体"/>
                <w:sz w:val="21"/>
                <w:szCs w:val="21"/>
              </w:rPr>
            </w:pPr>
            <w:r>
              <w:rPr>
                <w:rFonts w:hint="eastAsia" w:ascii="宋体" w:hAnsi="宋体" w:eastAsia="宋体" w:cs="宋体"/>
                <w:sz w:val="21"/>
                <w:szCs w:val="21"/>
              </w:rPr>
              <w:t>3、规格为宽*长≥（宽 28mm*长 22mm） 方形轨道，国标型材厚度: ≥2.0mm</w:t>
            </w:r>
          </w:p>
          <w:p>
            <w:pPr>
              <w:keepNext w:val="0"/>
              <w:keepLines w:val="0"/>
              <w:pageBreakBefore w:val="0"/>
              <w:widowControl w:val="0"/>
              <w:kinsoku/>
              <w:wordWrap/>
              <w:overflowPunct/>
              <w:topLinePunct w:val="0"/>
              <w:autoSpaceDE/>
              <w:autoSpaceDN/>
              <w:bidi w:val="0"/>
              <w:adjustRightInd/>
              <w:snapToGrid/>
              <w:spacing w:before="98" w:line="360" w:lineRule="auto"/>
              <w:ind w:left="11" w:right="341" w:hanging="3"/>
              <w:textAlignment w:val="auto"/>
              <w:rPr>
                <w:rFonts w:hint="eastAsia" w:ascii="宋体" w:hAnsi="宋体" w:eastAsia="宋体" w:cs="宋体"/>
                <w:sz w:val="21"/>
                <w:szCs w:val="21"/>
              </w:rPr>
            </w:pPr>
            <w:r>
              <w:rPr>
                <w:rFonts w:hint="eastAsia" w:ascii="宋体" w:hAnsi="宋体" w:eastAsia="宋体" w:cs="宋体"/>
                <w:sz w:val="21"/>
                <w:szCs w:val="21"/>
              </w:rPr>
              <w:t>4、力学性能： 韦氏硬度≥10.5HW，规定非比例延伸强度≥205N/mm2，抗拉强度≥ 230N/mm2，，断后伸长率≥8.5%</w:t>
            </w:r>
          </w:p>
          <w:p>
            <w:pPr>
              <w:keepNext w:val="0"/>
              <w:keepLines w:val="0"/>
              <w:pageBreakBefore w:val="0"/>
              <w:widowControl w:val="0"/>
              <w:kinsoku/>
              <w:wordWrap/>
              <w:overflowPunct/>
              <w:topLinePunct w:val="0"/>
              <w:autoSpaceDE/>
              <w:autoSpaceDN/>
              <w:bidi w:val="0"/>
              <w:adjustRightInd/>
              <w:snapToGrid/>
              <w:spacing w:before="99" w:line="360" w:lineRule="auto"/>
              <w:ind w:left="30" w:right="5" w:hanging="22"/>
              <w:textAlignment w:val="auto"/>
              <w:rPr>
                <w:rFonts w:hint="eastAsia" w:ascii="宋体" w:hAnsi="宋体" w:eastAsia="宋体" w:cs="宋体"/>
                <w:sz w:val="21"/>
                <w:szCs w:val="21"/>
              </w:rPr>
            </w:pPr>
            <w:r>
              <w:rPr>
                <w:rFonts w:hint="eastAsia" w:ascii="宋体" w:hAnsi="宋体" w:eastAsia="宋体" w:cs="宋体"/>
                <w:sz w:val="21"/>
                <w:szCs w:val="21"/>
              </w:rPr>
              <w:t>5、压痕硬度（膜层抗压痕性） ≥95</w:t>
            </w:r>
          </w:p>
          <w:p>
            <w:pPr>
              <w:keepNext w:val="0"/>
              <w:keepLines w:val="0"/>
              <w:pageBreakBefore w:val="0"/>
              <w:widowControl w:val="0"/>
              <w:kinsoku/>
              <w:wordWrap/>
              <w:overflowPunct/>
              <w:topLinePunct w:val="0"/>
              <w:autoSpaceDE/>
              <w:autoSpaceDN/>
              <w:bidi w:val="0"/>
              <w:adjustRightInd/>
              <w:snapToGrid/>
              <w:spacing w:before="99" w:line="360" w:lineRule="auto"/>
              <w:ind w:left="30" w:right="5" w:hanging="22"/>
              <w:textAlignment w:val="auto"/>
              <w:rPr>
                <w:rFonts w:hint="eastAsia" w:ascii="宋体" w:hAnsi="宋体" w:eastAsia="宋体" w:cs="宋体"/>
                <w:sz w:val="21"/>
                <w:szCs w:val="21"/>
              </w:rPr>
            </w:pPr>
            <w:r>
              <w:rPr>
                <w:rFonts w:hint="eastAsia" w:ascii="宋体" w:hAnsi="宋体" w:eastAsia="宋体" w:cs="宋体"/>
                <w:sz w:val="21"/>
                <w:szCs w:val="21"/>
              </w:rPr>
              <w:t>6、轨道具有耐盐酸性、耐溶剂性、耐洗涤剂性，滑珠吊环为不锈钢。</w:t>
            </w:r>
          </w:p>
          <w:p>
            <w:pPr>
              <w:keepNext w:val="0"/>
              <w:keepLines w:val="0"/>
              <w:pageBreakBefore w:val="0"/>
              <w:widowControl w:val="0"/>
              <w:kinsoku/>
              <w:wordWrap/>
              <w:overflowPunct/>
              <w:topLinePunct w:val="0"/>
              <w:autoSpaceDE/>
              <w:autoSpaceDN/>
              <w:bidi w:val="0"/>
              <w:adjustRightInd/>
              <w:snapToGrid/>
              <w:spacing w:before="99" w:line="360" w:lineRule="auto"/>
              <w:ind w:left="30" w:leftChars="0" w:right="5" w:rightChars="0" w:hanging="22" w:firstLineChars="0"/>
              <w:textAlignment w:val="auto"/>
              <w:rPr>
                <w:rFonts w:hint="eastAsia" w:ascii="宋体" w:hAnsi="宋体" w:eastAsia="宋体" w:cs="宋体"/>
                <w:b/>
                <w:bCs/>
                <w:color w:val="FF0000"/>
                <w:spacing w:val="-5"/>
                <w:kern w:val="2"/>
                <w:sz w:val="21"/>
                <w:szCs w:val="21"/>
                <w:lang w:val="en-US" w:eastAsia="zh-CN" w:bidi="ar-SA"/>
              </w:rPr>
            </w:pPr>
            <w:r>
              <w:rPr>
                <w:rFonts w:hint="eastAsia" w:ascii="宋体" w:hAnsi="宋体" w:eastAsia="宋体" w:cs="宋体"/>
                <w:sz w:val="21"/>
                <w:szCs w:val="21"/>
              </w:rPr>
              <w:t>注：面料部分参数须提供第三方检测机构出具的检测报告复印件，并加盖投标人公章。且检测结果必须要在同一份检测报告中体现。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220"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before="68" w:line="360" w:lineRule="auto"/>
              <w:ind w:firstLine="75" w:firstLineChars="0"/>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1"/>
                <w:sz w:val="21"/>
                <w:szCs w:val="21"/>
                <w14:textOutline w14:w="3797" w14:cap="sq" w14:cmpd="sng" w14:algn="ctr">
                  <w14:solidFill>
                    <w14:srgbClr w14:val="000000"/>
                  </w14:solidFill>
                  <w14:prstDash w14:val="solid"/>
                  <w14:bevel/>
                </w14:textOutline>
              </w:rPr>
              <w:t>6.手动遮光布帘</w:t>
            </w:r>
          </w:p>
        </w:tc>
        <w:tc>
          <w:tcPr>
            <w:tcW w:w="7112" w:type="dxa"/>
            <w:vAlign w:val="top"/>
          </w:tcPr>
          <w:p>
            <w:pPr>
              <w:keepNext w:val="0"/>
              <w:keepLines w:val="0"/>
              <w:pageBreakBefore w:val="0"/>
              <w:widowControl w:val="0"/>
              <w:kinsoku/>
              <w:wordWrap/>
              <w:overflowPunct/>
              <w:topLinePunct w:val="0"/>
              <w:autoSpaceDE/>
              <w:autoSpaceDN/>
              <w:bidi w:val="0"/>
              <w:adjustRightInd/>
              <w:snapToGrid/>
              <w:spacing w:before="52" w:line="360" w:lineRule="auto"/>
              <w:ind w:firstLine="19"/>
              <w:textAlignment w:val="auto"/>
              <w:rPr>
                <w:rFonts w:hint="eastAsia" w:ascii="宋体" w:hAnsi="宋体" w:eastAsia="宋体" w:cs="宋体"/>
                <w:sz w:val="21"/>
                <w:szCs w:val="21"/>
              </w:rPr>
            </w:pPr>
            <w:r>
              <w:rPr>
                <w:rFonts w:hint="eastAsia" w:ascii="宋体" w:hAnsi="宋体" w:eastAsia="宋体" w:cs="宋体"/>
                <w:spacing w:val="-4"/>
                <w:sz w:val="21"/>
                <w:szCs w:val="21"/>
                <w14:textOutline w14:w="3797" w14:cap="sq" w14:cmpd="sng" w14:algn="ctr">
                  <w14:solidFill>
                    <w14:srgbClr w14:val="000000"/>
                  </w14:solidFill>
                  <w14:prstDash w14:val="solid"/>
                  <w14:bevel/>
                </w14:textOutline>
              </w:rPr>
              <w:t>面料部分：</w:t>
            </w:r>
          </w:p>
          <w:p>
            <w:pPr>
              <w:keepNext w:val="0"/>
              <w:keepLines w:val="0"/>
              <w:pageBreakBefore w:val="0"/>
              <w:widowControl w:val="0"/>
              <w:kinsoku/>
              <w:wordWrap/>
              <w:overflowPunct/>
              <w:topLinePunct w:val="0"/>
              <w:autoSpaceDE/>
              <w:autoSpaceDN/>
              <w:bidi w:val="0"/>
              <w:adjustRightInd/>
              <w:snapToGrid/>
              <w:spacing w:before="98" w:line="360" w:lineRule="auto"/>
              <w:ind w:left="14" w:hanging="1"/>
              <w:textAlignment w:val="auto"/>
              <w:rPr>
                <w:rFonts w:hint="eastAsia" w:ascii="宋体" w:hAnsi="宋体" w:eastAsia="宋体" w:cs="宋体"/>
                <w:sz w:val="21"/>
                <w:szCs w:val="21"/>
              </w:rPr>
            </w:pPr>
            <w:r>
              <w:rPr>
                <w:rFonts w:hint="eastAsia" w:ascii="宋体" w:hAnsi="宋体" w:eastAsia="宋体" w:cs="宋体"/>
                <w:spacing w:val="-8"/>
                <w:sz w:val="21"/>
                <w:szCs w:val="21"/>
              </w:rPr>
              <w:t>★1、成分：</w:t>
            </w:r>
            <w:r>
              <w:rPr>
                <w:rFonts w:hint="eastAsia" w:ascii="宋体" w:hAnsi="宋体" w:eastAsia="宋体" w:cs="宋体"/>
                <w:spacing w:val="40"/>
                <w:sz w:val="21"/>
                <w:szCs w:val="21"/>
              </w:rPr>
              <w:t xml:space="preserve"> </w:t>
            </w:r>
            <w:r>
              <w:rPr>
                <w:rFonts w:hint="eastAsia" w:ascii="宋体" w:hAnsi="宋体" w:eastAsia="宋体" w:cs="宋体"/>
                <w:spacing w:val="-8"/>
                <w:sz w:val="21"/>
                <w:szCs w:val="21"/>
              </w:rPr>
              <w:t>100%聚酯纤维。</w:t>
            </w:r>
            <w:r>
              <w:rPr>
                <w:rFonts w:hint="eastAsia" w:ascii="宋体" w:hAnsi="宋体" w:eastAsia="宋体" w:cs="宋体"/>
                <w:sz w:val="21"/>
                <w:szCs w:val="21"/>
              </w:rPr>
              <w:t xml:space="preserve"> </w:t>
            </w:r>
            <w:r>
              <w:rPr>
                <w:rFonts w:hint="eastAsia" w:ascii="宋体" w:hAnsi="宋体" w:eastAsia="宋体" w:cs="宋体"/>
                <w:spacing w:val="-10"/>
                <w:sz w:val="21"/>
                <w:szCs w:val="21"/>
              </w:rPr>
              <w:t>单位面积质量：</w:t>
            </w:r>
            <w:r>
              <w:rPr>
                <w:rFonts w:hint="eastAsia" w:ascii="宋体" w:hAnsi="宋体" w:eastAsia="宋体" w:cs="宋体"/>
                <w:spacing w:val="60"/>
                <w:sz w:val="21"/>
                <w:szCs w:val="21"/>
              </w:rPr>
              <w:t xml:space="preserve"> </w:t>
            </w:r>
            <w:r>
              <w:rPr>
                <w:rFonts w:hint="eastAsia" w:ascii="宋体" w:hAnsi="宋体" w:eastAsia="宋体" w:cs="宋体"/>
                <w:spacing w:val="-10"/>
                <w:sz w:val="21"/>
                <w:szCs w:val="21"/>
              </w:rPr>
              <w:t>≥280g/㎡</w:t>
            </w:r>
            <w:r>
              <w:rPr>
                <w:rFonts w:hint="eastAsia" w:ascii="宋体" w:hAnsi="宋体" w:eastAsia="宋体" w:cs="宋体"/>
                <w:spacing w:val="-59"/>
                <w:sz w:val="21"/>
                <w:szCs w:val="21"/>
              </w:rPr>
              <w:t xml:space="preserve"> </w:t>
            </w:r>
            <w:r>
              <w:rPr>
                <w:rFonts w:hint="eastAsia" w:ascii="宋体" w:hAnsi="宋体" w:eastAsia="宋体" w:cs="宋体"/>
                <w:spacing w:val="-10"/>
                <w:sz w:val="21"/>
                <w:szCs w:val="21"/>
              </w:rPr>
              <w:t>。甲醛含量：符合</w:t>
            </w:r>
            <w:r>
              <w:rPr>
                <w:rFonts w:hint="eastAsia" w:ascii="宋体" w:hAnsi="宋体" w:eastAsia="宋体" w:cs="宋体"/>
                <w:spacing w:val="-31"/>
                <w:sz w:val="21"/>
                <w:szCs w:val="21"/>
              </w:rPr>
              <w:t xml:space="preserve"> </w:t>
            </w:r>
            <w:r>
              <w:rPr>
                <w:rFonts w:hint="eastAsia" w:ascii="宋体" w:hAnsi="宋体" w:eastAsia="宋体" w:cs="宋体"/>
                <w:spacing w:val="-10"/>
                <w:sz w:val="21"/>
                <w:szCs w:val="21"/>
              </w:rPr>
              <w:t>18401-2010《国家纺织产品基本安全规范》</w:t>
            </w:r>
            <w:r>
              <w:rPr>
                <w:rFonts w:hint="eastAsia" w:ascii="宋体" w:hAnsi="宋体" w:eastAsia="宋体" w:cs="宋体"/>
                <w:spacing w:val="-6"/>
                <w:sz w:val="21"/>
                <w:szCs w:val="21"/>
              </w:rPr>
              <w:t xml:space="preserve"> </w:t>
            </w:r>
            <w:r>
              <w:rPr>
                <w:rFonts w:hint="eastAsia" w:ascii="宋体" w:hAnsi="宋体" w:eastAsia="宋体" w:cs="宋体"/>
                <w:spacing w:val="-10"/>
                <w:sz w:val="21"/>
                <w:szCs w:val="21"/>
              </w:rPr>
              <w:t>C</w:t>
            </w:r>
            <w:r>
              <w:rPr>
                <w:rFonts w:hint="eastAsia" w:ascii="宋体" w:hAnsi="宋体" w:eastAsia="宋体" w:cs="宋体"/>
                <w:spacing w:val="-35"/>
                <w:sz w:val="21"/>
                <w:szCs w:val="21"/>
              </w:rPr>
              <w:t xml:space="preserve"> </w:t>
            </w:r>
            <w:r>
              <w:rPr>
                <w:rFonts w:hint="eastAsia" w:ascii="宋体" w:hAnsi="宋体" w:eastAsia="宋体" w:cs="宋体"/>
                <w:spacing w:val="-10"/>
                <w:sz w:val="21"/>
                <w:szCs w:val="21"/>
              </w:rPr>
              <w:t>类标准或更优标准</w:t>
            </w:r>
            <w:r>
              <w:rPr>
                <w:rFonts w:hint="eastAsia" w:ascii="宋体" w:hAnsi="宋体" w:eastAsia="宋体" w:cs="宋体"/>
                <w:sz w:val="21"/>
                <w:szCs w:val="21"/>
              </w:rPr>
              <w:t xml:space="preserve"> </w:t>
            </w:r>
            <w:r>
              <w:rPr>
                <w:rFonts w:hint="eastAsia" w:ascii="宋体" w:hAnsi="宋体" w:eastAsia="宋体" w:cs="宋体"/>
                <w:spacing w:val="-7"/>
                <w:sz w:val="21"/>
                <w:szCs w:val="21"/>
              </w:rPr>
              <w:t>（GB18401-2010B</w:t>
            </w:r>
            <w:r>
              <w:rPr>
                <w:rFonts w:hint="eastAsia" w:ascii="宋体" w:hAnsi="宋体" w:eastAsia="宋体" w:cs="宋体"/>
                <w:spacing w:val="14"/>
                <w:sz w:val="21"/>
                <w:szCs w:val="21"/>
              </w:rPr>
              <w:t xml:space="preserve"> </w:t>
            </w:r>
            <w:r>
              <w:rPr>
                <w:rFonts w:hint="eastAsia" w:ascii="宋体" w:hAnsi="宋体" w:eastAsia="宋体" w:cs="宋体"/>
                <w:spacing w:val="-7"/>
                <w:sz w:val="21"/>
                <w:szCs w:val="21"/>
              </w:rPr>
              <w:t>类或</w:t>
            </w:r>
            <w:r>
              <w:rPr>
                <w:rFonts w:hint="eastAsia" w:ascii="宋体" w:hAnsi="宋体" w:eastAsia="宋体" w:cs="宋体"/>
                <w:spacing w:val="-50"/>
                <w:sz w:val="21"/>
                <w:szCs w:val="21"/>
              </w:rPr>
              <w:t xml:space="preserve"> </w:t>
            </w:r>
            <w:r>
              <w:rPr>
                <w:rFonts w:hint="eastAsia" w:ascii="宋体" w:hAnsi="宋体" w:eastAsia="宋体" w:cs="宋体"/>
                <w:spacing w:val="-7"/>
                <w:sz w:val="21"/>
                <w:szCs w:val="21"/>
              </w:rPr>
              <w:t>A</w:t>
            </w:r>
            <w:r>
              <w:rPr>
                <w:rFonts w:hint="eastAsia" w:ascii="宋体" w:hAnsi="宋体" w:eastAsia="宋体" w:cs="宋体"/>
                <w:spacing w:val="-38"/>
                <w:sz w:val="21"/>
                <w:szCs w:val="21"/>
              </w:rPr>
              <w:t xml:space="preserve"> </w:t>
            </w:r>
            <w:r>
              <w:rPr>
                <w:rFonts w:hint="eastAsia" w:ascii="宋体" w:hAnsi="宋体" w:eastAsia="宋体" w:cs="宋体"/>
                <w:spacing w:val="-7"/>
                <w:sz w:val="21"/>
                <w:szCs w:val="21"/>
              </w:rPr>
              <w:t>类）</w:t>
            </w:r>
            <w:r>
              <w:rPr>
                <w:rFonts w:hint="eastAsia" w:ascii="宋体" w:hAnsi="宋体" w:eastAsia="宋体" w:cs="宋体"/>
                <w:spacing w:val="28"/>
                <w:sz w:val="21"/>
                <w:szCs w:val="21"/>
              </w:rPr>
              <w:t xml:space="preserve"> </w:t>
            </w:r>
            <w:r>
              <w:rPr>
                <w:rFonts w:hint="eastAsia" w:ascii="宋体" w:hAnsi="宋体" w:eastAsia="宋体" w:cs="宋体"/>
                <w:spacing w:val="-20"/>
                <w:w w:val="95"/>
                <w:sz w:val="21"/>
                <w:szCs w:val="21"/>
              </w:rPr>
              <w:t>。</w:t>
            </w:r>
            <w:r>
              <w:rPr>
                <w:rFonts w:hint="eastAsia" w:ascii="宋体" w:hAnsi="宋体" w:eastAsia="宋体" w:cs="宋体"/>
                <w:spacing w:val="-9"/>
                <w:sz w:val="21"/>
                <w:szCs w:val="21"/>
              </w:rPr>
              <w:t>可分解致癌芳香胺染料：符合</w:t>
            </w:r>
            <w:r>
              <w:rPr>
                <w:rFonts w:hint="eastAsia" w:ascii="宋体" w:hAnsi="宋体" w:eastAsia="宋体" w:cs="宋体"/>
                <w:spacing w:val="-30"/>
                <w:sz w:val="21"/>
                <w:szCs w:val="21"/>
              </w:rPr>
              <w:t xml:space="preserve"> </w:t>
            </w:r>
            <w:r>
              <w:rPr>
                <w:rFonts w:hint="eastAsia" w:ascii="宋体" w:hAnsi="宋体" w:eastAsia="宋体" w:cs="宋体"/>
                <w:spacing w:val="-9"/>
                <w:sz w:val="21"/>
                <w:szCs w:val="21"/>
              </w:rPr>
              <w:t>18401-2010《国家纺织产品基本安全规范》禁用标准。</w:t>
            </w:r>
            <w:r>
              <w:rPr>
                <w:rFonts w:hint="eastAsia" w:ascii="宋体" w:hAnsi="宋体" w:eastAsia="宋体" w:cs="宋体"/>
                <w:sz w:val="21"/>
                <w:szCs w:val="21"/>
              </w:rPr>
              <w:t xml:space="preserve">                        </w:t>
            </w:r>
          </w:p>
          <w:p>
            <w:pPr>
              <w:keepNext w:val="0"/>
              <w:keepLines w:val="0"/>
              <w:pageBreakBefore w:val="0"/>
              <w:widowControl w:val="0"/>
              <w:kinsoku/>
              <w:wordWrap/>
              <w:overflowPunct/>
              <w:topLinePunct w:val="0"/>
              <w:autoSpaceDE/>
              <w:autoSpaceDN/>
              <w:bidi w:val="0"/>
              <w:adjustRightInd/>
              <w:snapToGrid/>
              <w:spacing w:before="98" w:line="360" w:lineRule="auto"/>
              <w:ind w:left="14" w:hanging="1"/>
              <w:textAlignment w:val="auto"/>
              <w:rPr>
                <w:rFonts w:hint="eastAsia" w:ascii="宋体" w:hAnsi="宋体" w:eastAsia="宋体" w:cs="宋体"/>
                <w:sz w:val="21"/>
                <w:szCs w:val="21"/>
              </w:rPr>
            </w:pPr>
            <w:r>
              <w:rPr>
                <w:rFonts w:hint="eastAsia" w:ascii="宋体" w:hAnsi="宋体" w:eastAsia="宋体" w:cs="宋体"/>
                <w:spacing w:val="-8"/>
                <w:sz w:val="21"/>
                <w:szCs w:val="21"/>
              </w:rPr>
              <w:t>▲2、织物密度及纱线线密度：</w:t>
            </w:r>
            <w:r>
              <w:rPr>
                <w:rFonts w:hint="eastAsia" w:ascii="宋体" w:hAnsi="宋体" w:eastAsia="宋体" w:cs="宋体"/>
                <w:spacing w:val="56"/>
                <w:sz w:val="21"/>
                <w:szCs w:val="21"/>
              </w:rPr>
              <w:t xml:space="preserve"> </w:t>
            </w:r>
            <w:r>
              <w:rPr>
                <w:rFonts w:hint="eastAsia" w:ascii="宋体" w:hAnsi="宋体" w:eastAsia="宋体" w:cs="宋体"/>
                <w:spacing w:val="-8"/>
                <w:sz w:val="21"/>
                <w:szCs w:val="21"/>
              </w:rPr>
              <w:t>经密≥980</w:t>
            </w:r>
            <w:r>
              <w:rPr>
                <w:rFonts w:hint="eastAsia" w:ascii="宋体" w:hAnsi="宋体" w:eastAsia="宋体" w:cs="宋体"/>
                <w:spacing w:val="-39"/>
                <w:sz w:val="21"/>
                <w:szCs w:val="21"/>
              </w:rPr>
              <w:t xml:space="preserve"> </w:t>
            </w:r>
            <w:r>
              <w:rPr>
                <w:rFonts w:hint="eastAsia" w:ascii="宋体" w:hAnsi="宋体" w:eastAsia="宋体" w:cs="宋体"/>
                <w:spacing w:val="-8"/>
                <w:sz w:val="21"/>
                <w:szCs w:val="21"/>
              </w:rPr>
              <w:t>根/10cm，纬密≥990</w:t>
            </w:r>
            <w:r>
              <w:rPr>
                <w:rFonts w:hint="eastAsia" w:ascii="宋体" w:hAnsi="宋体" w:eastAsia="宋体" w:cs="宋体"/>
                <w:spacing w:val="-39"/>
                <w:sz w:val="21"/>
                <w:szCs w:val="21"/>
              </w:rPr>
              <w:t xml:space="preserve"> </w:t>
            </w:r>
            <w:r>
              <w:rPr>
                <w:rFonts w:hint="eastAsia" w:ascii="宋体" w:hAnsi="宋体" w:eastAsia="宋体" w:cs="宋体"/>
                <w:spacing w:val="-8"/>
                <w:sz w:val="21"/>
                <w:szCs w:val="21"/>
              </w:rPr>
              <w:t>根/10cm；</w:t>
            </w:r>
            <w:r>
              <w:rPr>
                <w:rFonts w:hint="eastAsia" w:ascii="宋体" w:hAnsi="宋体" w:eastAsia="宋体" w:cs="宋体"/>
                <w:spacing w:val="45"/>
                <w:sz w:val="21"/>
                <w:szCs w:val="21"/>
              </w:rPr>
              <w:t xml:space="preserve"> </w:t>
            </w:r>
            <w:r>
              <w:rPr>
                <w:rFonts w:hint="eastAsia" w:ascii="宋体" w:hAnsi="宋体" w:eastAsia="宋体" w:cs="宋体"/>
                <w:spacing w:val="-8"/>
                <w:sz w:val="21"/>
                <w:szCs w:val="21"/>
              </w:rPr>
              <w:t>经纱≤</w:t>
            </w:r>
            <w:r>
              <w:rPr>
                <w:rFonts w:hint="eastAsia" w:ascii="宋体" w:hAnsi="宋体" w:eastAsia="宋体" w:cs="宋体"/>
                <w:sz w:val="21"/>
                <w:szCs w:val="21"/>
              </w:rPr>
              <w:t xml:space="preserve">     </w:t>
            </w:r>
            <w:r>
              <w:rPr>
                <w:rFonts w:hint="eastAsia" w:ascii="宋体" w:hAnsi="宋体" w:eastAsia="宋体" w:cs="宋体"/>
                <w:spacing w:val="-6"/>
                <w:sz w:val="21"/>
                <w:szCs w:val="21"/>
              </w:rPr>
              <w:t>18tex160D,（纬纱</w:t>
            </w:r>
            <w:r>
              <w:rPr>
                <w:rFonts w:hint="eastAsia" w:ascii="宋体" w:hAnsi="宋体" w:eastAsia="宋体" w:cs="宋体"/>
                <w:spacing w:val="-29"/>
                <w:sz w:val="21"/>
                <w:szCs w:val="21"/>
              </w:rPr>
              <w:t xml:space="preserve"> </w:t>
            </w:r>
            <w:r>
              <w:rPr>
                <w:rFonts w:hint="eastAsia" w:ascii="宋体" w:hAnsi="宋体" w:eastAsia="宋体" w:cs="宋体"/>
                <w:spacing w:val="-6"/>
                <w:sz w:val="21"/>
                <w:szCs w:val="21"/>
              </w:rPr>
              <w:t>1）</w:t>
            </w:r>
            <w:r>
              <w:rPr>
                <w:rFonts w:hint="eastAsia" w:ascii="宋体" w:hAnsi="宋体" w:eastAsia="宋体" w:cs="宋体"/>
                <w:spacing w:val="16"/>
                <w:sz w:val="21"/>
                <w:szCs w:val="21"/>
              </w:rPr>
              <w:t xml:space="preserve"> </w:t>
            </w:r>
            <w:r>
              <w:rPr>
                <w:rFonts w:hint="eastAsia" w:ascii="宋体" w:hAnsi="宋体" w:eastAsia="宋体" w:cs="宋体"/>
                <w:spacing w:val="-6"/>
                <w:sz w:val="21"/>
                <w:szCs w:val="21"/>
              </w:rPr>
              <w:t>≤9tex80D</w:t>
            </w:r>
            <w:r>
              <w:rPr>
                <w:rFonts w:hint="eastAsia" w:ascii="宋体" w:hAnsi="宋体" w:eastAsia="宋体" w:cs="宋体"/>
                <w:spacing w:val="-10"/>
                <w:sz w:val="21"/>
                <w:szCs w:val="21"/>
              </w:rPr>
              <w:t>，（</w:t>
            </w:r>
            <w:r>
              <w:rPr>
                <w:rFonts w:hint="eastAsia" w:ascii="宋体" w:hAnsi="宋体" w:eastAsia="宋体" w:cs="宋体"/>
                <w:spacing w:val="-6"/>
                <w:sz w:val="21"/>
                <w:szCs w:val="21"/>
              </w:rPr>
              <w:t>纬纱</w:t>
            </w:r>
            <w:r>
              <w:rPr>
                <w:rFonts w:hint="eastAsia" w:ascii="宋体" w:hAnsi="宋体" w:eastAsia="宋体" w:cs="宋体"/>
                <w:spacing w:val="-40"/>
                <w:sz w:val="21"/>
                <w:szCs w:val="21"/>
              </w:rPr>
              <w:t xml:space="preserve"> </w:t>
            </w:r>
            <w:r>
              <w:rPr>
                <w:rFonts w:hint="eastAsia" w:ascii="宋体" w:hAnsi="宋体" w:eastAsia="宋体" w:cs="宋体"/>
                <w:spacing w:val="-6"/>
                <w:sz w:val="21"/>
                <w:szCs w:val="21"/>
              </w:rPr>
              <w:t>2）</w:t>
            </w:r>
            <w:r>
              <w:rPr>
                <w:rFonts w:hint="eastAsia" w:ascii="宋体" w:hAnsi="宋体" w:eastAsia="宋体" w:cs="宋体"/>
                <w:spacing w:val="28"/>
                <w:sz w:val="21"/>
                <w:szCs w:val="21"/>
              </w:rPr>
              <w:t xml:space="preserve"> </w:t>
            </w:r>
            <w:r>
              <w:rPr>
                <w:rFonts w:hint="eastAsia" w:ascii="宋体" w:hAnsi="宋体" w:eastAsia="宋体" w:cs="宋体"/>
                <w:spacing w:val="-6"/>
                <w:sz w:val="21"/>
                <w:szCs w:val="21"/>
              </w:rPr>
              <w:t>≤21tex30s。</w:t>
            </w:r>
            <w:r>
              <w:rPr>
                <w:rFonts w:hint="eastAsia" w:ascii="宋体" w:hAnsi="宋体" w:eastAsia="宋体" w:cs="宋体"/>
                <w:spacing w:val="-5"/>
                <w:sz w:val="21"/>
                <w:szCs w:val="21"/>
              </w:rPr>
              <w:t>阻燃标准：</w:t>
            </w:r>
            <w:r>
              <w:rPr>
                <w:rFonts w:hint="eastAsia" w:ascii="宋体" w:hAnsi="宋体" w:eastAsia="宋体" w:cs="宋体"/>
                <w:spacing w:val="67"/>
                <w:sz w:val="21"/>
                <w:szCs w:val="21"/>
              </w:rPr>
              <w:t xml:space="preserve"> </w:t>
            </w:r>
            <w:r>
              <w:rPr>
                <w:rFonts w:hint="eastAsia" w:ascii="宋体" w:hAnsi="宋体" w:eastAsia="宋体" w:cs="宋体"/>
                <w:spacing w:val="-5"/>
                <w:sz w:val="21"/>
                <w:szCs w:val="21"/>
              </w:rPr>
              <w:t>检测符合</w:t>
            </w:r>
            <w:r>
              <w:rPr>
                <w:rFonts w:hint="eastAsia" w:ascii="宋体" w:hAnsi="宋体" w:eastAsia="宋体" w:cs="宋体"/>
                <w:spacing w:val="-48"/>
                <w:sz w:val="21"/>
                <w:szCs w:val="21"/>
              </w:rPr>
              <w:t xml:space="preserve"> </w:t>
            </w:r>
            <w:r>
              <w:rPr>
                <w:rFonts w:hint="eastAsia" w:ascii="宋体" w:hAnsi="宋体" w:eastAsia="宋体" w:cs="宋体"/>
                <w:spacing w:val="-5"/>
                <w:sz w:val="21"/>
                <w:szCs w:val="21"/>
              </w:rPr>
              <w:t>GB8624-2012</w:t>
            </w:r>
            <w:r>
              <w:rPr>
                <w:rFonts w:hint="eastAsia" w:ascii="宋体" w:hAnsi="宋体" w:eastAsia="宋体" w:cs="宋体"/>
                <w:spacing w:val="-48"/>
                <w:sz w:val="21"/>
                <w:szCs w:val="21"/>
              </w:rPr>
              <w:t xml:space="preserve"> </w:t>
            </w:r>
            <w:r>
              <w:rPr>
                <w:rFonts w:hint="eastAsia" w:ascii="宋体" w:hAnsi="宋体" w:eastAsia="宋体" w:cs="宋体"/>
                <w:spacing w:val="-5"/>
                <w:sz w:val="21"/>
                <w:szCs w:val="21"/>
              </w:rPr>
              <w:t>B1</w:t>
            </w:r>
            <w:r>
              <w:rPr>
                <w:rFonts w:hint="eastAsia" w:ascii="宋体" w:hAnsi="宋体" w:eastAsia="宋体" w:cs="宋体"/>
                <w:spacing w:val="-38"/>
                <w:sz w:val="21"/>
                <w:szCs w:val="21"/>
              </w:rPr>
              <w:t xml:space="preserve"> </w:t>
            </w:r>
            <w:r>
              <w:rPr>
                <w:rFonts w:hint="eastAsia" w:ascii="宋体" w:hAnsi="宋体" w:eastAsia="宋体" w:cs="宋体"/>
                <w:spacing w:val="-5"/>
                <w:sz w:val="21"/>
                <w:szCs w:val="21"/>
              </w:rPr>
              <w:t>级，符合</w:t>
            </w:r>
            <w:r>
              <w:rPr>
                <w:rFonts w:hint="eastAsia" w:ascii="宋体" w:hAnsi="宋体" w:eastAsia="宋体" w:cs="宋体"/>
                <w:spacing w:val="-45"/>
                <w:sz w:val="21"/>
                <w:szCs w:val="21"/>
              </w:rPr>
              <w:t xml:space="preserve"> </w:t>
            </w:r>
            <w:r>
              <w:rPr>
                <w:rFonts w:hint="eastAsia" w:ascii="宋体" w:hAnsi="宋体" w:eastAsia="宋体" w:cs="宋体"/>
                <w:spacing w:val="-5"/>
                <w:sz w:val="21"/>
                <w:szCs w:val="21"/>
              </w:rPr>
              <w:t>GB/T5454-1997、GB/T5455-2014</w:t>
            </w:r>
            <w:r>
              <w:rPr>
                <w:rFonts w:hint="eastAsia" w:ascii="宋体" w:hAnsi="宋体" w:eastAsia="宋体" w:cs="宋体"/>
                <w:spacing w:val="-37"/>
                <w:sz w:val="21"/>
                <w:szCs w:val="21"/>
              </w:rPr>
              <w:t xml:space="preserve"> </w:t>
            </w:r>
            <w:r>
              <w:rPr>
                <w:rFonts w:hint="eastAsia" w:ascii="宋体" w:hAnsi="宋体" w:eastAsia="宋体" w:cs="宋体"/>
                <w:spacing w:val="-5"/>
                <w:sz w:val="21"/>
                <w:szCs w:val="21"/>
              </w:rPr>
              <w:t>经向/</w:t>
            </w:r>
            <w:r>
              <w:rPr>
                <w:rFonts w:hint="eastAsia" w:ascii="宋体" w:hAnsi="宋体" w:eastAsia="宋体" w:cs="宋体"/>
                <w:sz w:val="21"/>
                <w:szCs w:val="21"/>
              </w:rPr>
              <w:t xml:space="preserve"> </w:t>
            </w:r>
            <w:r>
              <w:rPr>
                <w:rFonts w:hint="eastAsia" w:ascii="宋体" w:hAnsi="宋体" w:eastAsia="宋体" w:cs="宋体"/>
                <w:spacing w:val="-3"/>
                <w:sz w:val="21"/>
                <w:szCs w:val="21"/>
              </w:rPr>
              <w:t>纬向氧指数≥32%，损毁长度≤150mm，续燃时间≤5S，阴燃时间≤15S，燃烧滴落物未</w:t>
            </w:r>
            <w:r>
              <w:rPr>
                <w:rFonts w:hint="eastAsia" w:ascii="宋体" w:hAnsi="宋体" w:eastAsia="宋体" w:cs="宋体"/>
                <w:spacing w:val="26"/>
                <w:sz w:val="21"/>
                <w:szCs w:val="21"/>
              </w:rPr>
              <w:t xml:space="preserve"> </w:t>
            </w:r>
            <w:r>
              <w:rPr>
                <w:rFonts w:hint="eastAsia" w:ascii="宋体" w:hAnsi="宋体" w:eastAsia="宋体" w:cs="宋体"/>
                <w:spacing w:val="-1"/>
                <w:sz w:val="21"/>
                <w:szCs w:val="21"/>
              </w:rPr>
              <w:t>引起脱脂棉燃烧或阴燃。</w:t>
            </w:r>
          </w:p>
          <w:p>
            <w:pPr>
              <w:keepNext w:val="0"/>
              <w:keepLines w:val="0"/>
              <w:pageBreakBefore w:val="0"/>
              <w:widowControl w:val="0"/>
              <w:kinsoku/>
              <w:wordWrap/>
              <w:overflowPunct/>
              <w:topLinePunct w:val="0"/>
              <w:autoSpaceDE/>
              <w:autoSpaceDN/>
              <w:bidi w:val="0"/>
              <w:adjustRightInd/>
              <w:snapToGrid/>
              <w:spacing w:line="360" w:lineRule="auto"/>
              <w:ind w:left="14" w:right="499" w:hanging="1"/>
              <w:textAlignment w:val="auto"/>
              <w:rPr>
                <w:rFonts w:hint="eastAsia" w:ascii="宋体" w:hAnsi="宋体" w:eastAsia="宋体" w:cs="宋体"/>
                <w:sz w:val="21"/>
                <w:szCs w:val="21"/>
              </w:rPr>
            </w:pPr>
            <w:r>
              <w:rPr>
                <w:rFonts w:hint="eastAsia" w:ascii="宋体" w:hAnsi="宋体" w:eastAsia="宋体" w:cs="宋体"/>
                <w:spacing w:val="-8"/>
                <w:sz w:val="21"/>
                <w:szCs w:val="21"/>
              </w:rPr>
              <w:t>3、PH</w:t>
            </w:r>
            <w:r>
              <w:rPr>
                <w:rFonts w:hint="eastAsia" w:ascii="宋体" w:hAnsi="宋体" w:eastAsia="宋体" w:cs="宋体"/>
                <w:spacing w:val="-39"/>
                <w:sz w:val="21"/>
                <w:szCs w:val="21"/>
              </w:rPr>
              <w:t xml:space="preserve"> </w:t>
            </w:r>
            <w:r>
              <w:rPr>
                <w:rFonts w:hint="eastAsia" w:ascii="宋体" w:hAnsi="宋体" w:eastAsia="宋体" w:cs="宋体"/>
                <w:spacing w:val="-8"/>
                <w:sz w:val="21"/>
                <w:szCs w:val="21"/>
              </w:rPr>
              <w:t>值：符合</w:t>
            </w:r>
            <w:r>
              <w:rPr>
                <w:rFonts w:hint="eastAsia" w:ascii="宋体" w:hAnsi="宋体" w:eastAsia="宋体" w:cs="宋体"/>
                <w:spacing w:val="-27"/>
                <w:sz w:val="21"/>
                <w:szCs w:val="21"/>
              </w:rPr>
              <w:t xml:space="preserve"> </w:t>
            </w:r>
            <w:r>
              <w:rPr>
                <w:rFonts w:hint="eastAsia" w:ascii="宋体" w:hAnsi="宋体" w:eastAsia="宋体" w:cs="宋体"/>
                <w:spacing w:val="-8"/>
                <w:sz w:val="21"/>
                <w:szCs w:val="21"/>
              </w:rPr>
              <w:t>18401-2010《国家纺织产品基本安全规范》</w:t>
            </w:r>
            <w:r>
              <w:rPr>
                <w:rFonts w:hint="eastAsia" w:ascii="宋体" w:hAnsi="宋体" w:eastAsia="宋体" w:cs="宋体"/>
                <w:spacing w:val="-5"/>
                <w:sz w:val="21"/>
                <w:szCs w:val="21"/>
              </w:rPr>
              <w:t xml:space="preserve"> </w:t>
            </w:r>
            <w:r>
              <w:rPr>
                <w:rFonts w:hint="eastAsia" w:ascii="宋体" w:hAnsi="宋体" w:eastAsia="宋体" w:cs="宋体"/>
                <w:spacing w:val="-8"/>
                <w:sz w:val="21"/>
                <w:szCs w:val="21"/>
              </w:rPr>
              <w:t>C</w:t>
            </w:r>
            <w:r>
              <w:rPr>
                <w:rFonts w:hint="eastAsia" w:ascii="宋体" w:hAnsi="宋体" w:eastAsia="宋体" w:cs="宋体"/>
                <w:spacing w:val="-37"/>
                <w:sz w:val="21"/>
                <w:szCs w:val="21"/>
              </w:rPr>
              <w:t xml:space="preserve"> </w:t>
            </w:r>
            <w:r>
              <w:rPr>
                <w:rFonts w:hint="eastAsia" w:ascii="宋体" w:hAnsi="宋体" w:eastAsia="宋体" w:cs="宋体"/>
                <w:spacing w:val="-8"/>
                <w:sz w:val="21"/>
                <w:szCs w:val="21"/>
              </w:rPr>
              <w:t>类标准或更优标准</w:t>
            </w:r>
            <w:r>
              <w:rPr>
                <w:rFonts w:hint="eastAsia" w:ascii="宋体" w:hAnsi="宋体" w:eastAsia="宋体" w:cs="宋体"/>
                <w:sz w:val="21"/>
                <w:szCs w:val="21"/>
              </w:rPr>
              <w:t xml:space="preserve"> </w:t>
            </w:r>
            <w:r>
              <w:rPr>
                <w:rFonts w:hint="eastAsia" w:ascii="宋体" w:hAnsi="宋体" w:eastAsia="宋体" w:cs="宋体"/>
                <w:spacing w:val="-6"/>
                <w:sz w:val="21"/>
                <w:szCs w:val="21"/>
              </w:rPr>
              <w:t>（GB18401-2010B</w:t>
            </w:r>
            <w:r>
              <w:rPr>
                <w:rFonts w:hint="eastAsia" w:ascii="宋体" w:hAnsi="宋体" w:eastAsia="宋体" w:cs="宋体"/>
                <w:sz w:val="21"/>
                <w:szCs w:val="21"/>
              </w:rPr>
              <w:t xml:space="preserve"> </w:t>
            </w:r>
            <w:r>
              <w:rPr>
                <w:rFonts w:hint="eastAsia" w:ascii="宋体" w:hAnsi="宋体" w:eastAsia="宋体" w:cs="宋体"/>
                <w:spacing w:val="-6"/>
                <w:sz w:val="21"/>
                <w:szCs w:val="21"/>
              </w:rPr>
              <w:t>类或</w:t>
            </w:r>
            <w:r>
              <w:rPr>
                <w:rFonts w:hint="eastAsia" w:ascii="宋体" w:hAnsi="宋体" w:eastAsia="宋体" w:cs="宋体"/>
                <w:spacing w:val="-49"/>
                <w:sz w:val="21"/>
                <w:szCs w:val="21"/>
              </w:rPr>
              <w:t xml:space="preserve"> </w:t>
            </w:r>
            <w:r>
              <w:rPr>
                <w:rFonts w:hint="eastAsia" w:ascii="宋体" w:hAnsi="宋体" w:eastAsia="宋体" w:cs="宋体"/>
                <w:spacing w:val="-6"/>
                <w:sz w:val="21"/>
                <w:szCs w:val="21"/>
              </w:rPr>
              <w:t>A</w:t>
            </w:r>
            <w:r>
              <w:rPr>
                <w:rFonts w:hint="eastAsia" w:ascii="宋体" w:hAnsi="宋体" w:eastAsia="宋体" w:cs="宋体"/>
                <w:spacing w:val="-37"/>
                <w:sz w:val="21"/>
                <w:szCs w:val="21"/>
              </w:rPr>
              <w:t xml:space="preserve"> </w:t>
            </w:r>
            <w:r>
              <w:rPr>
                <w:rFonts w:hint="eastAsia" w:ascii="宋体" w:hAnsi="宋体" w:eastAsia="宋体" w:cs="宋体"/>
                <w:spacing w:val="-6"/>
                <w:sz w:val="21"/>
                <w:szCs w:val="21"/>
              </w:rPr>
              <w:t>类）</w:t>
            </w:r>
            <w:r>
              <w:rPr>
                <w:rFonts w:hint="eastAsia" w:ascii="宋体" w:hAnsi="宋体" w:eastAsia="宋体" w:cs="宋体"/>
                <w:spacing w:val="30"/>
                <w:sz w:val="21"/>
                <w:szCs w:val="21"/>
              </w:rPr>
              <w:t xml:space="preserve"> </w:t>
            </w:r>
            <w:r>
              <w:rPr>
                <w:rFonts w:hint="eastAsia" w:ascii="宋体" w:hAnsi="宋体" w:eastAsia="宋体" w:cs="宋体"/>
                <w:spacing w:val="-6"/>
                <w:sz w:val="21"/>
                <w:szCs w:val="21"/>
              </w:rPr>
              <w:t>,检测标准</w:t>
            </w:r>
            <w:r>
              <w:rPr>
                <w:rFonts w:hint="eastAsia" w:ascii="宋体" w:hAnsi="宋体" w:eastAsia="宋体" w:cs="宋体"/>
                <w:spacing w:val="-45"/>
                <w:sz w:val="21"/>
                <w:szCs w:val="21"/>
              </w:rPr>
              <w:t xml:space="preserve"> </w:t>
            </w:r>
            <w:r>
              <w:rPr>
                <w:rFonts w:hint="eastAsia" w:ascii="宋体" w:hAnsi="宋体" w:eastAsia="宋体" w:cs="宋体"/>
                <w:spacing w:val="-6"/>
                <w:sz w:val="21"/>
                <w:szCs w:val="21"/>
              </w:rPr>
              <w:t>GB/T7573-2009。</w:t>
            </w:r>
          </w:p>
          <w:p>
            <w:pPr>
              <w:keepNext w:val="0"/>
              <w:keepLines w:val="0"/>
              <w:pageBreakBefore w:val="0"/>
              <w:widowControl w:val="0"/>
              <w:kinsoku/>
              <w:wordWrap/>
              <w:overflowPunct/>
              <w:topLinePunct w:val="0"/>
              <w:autoSpaceDE/>
              <w:autoSpaceDN/>
              <w:bidi w:val="0"/>
              <w:adjustRightInd/>
              <w:snapToGrid/>
              <w:spacing w:before="98" w:line="360" w:lineRule="auto"/>
              <w:ind w:left="17" w:right="5" w:hanging="9"/>
              <w:textAlignment w:val="auto"/>
              <w:rPr>
                <w:rFonts w:hint="eastAsia" w:ascii="宋体" w:hAnsi="宋体" w:eastAsia="宋体" w:cs="宋体"/>
                <w:sz w:val="21"/>
                <w:szCs w:val="21"/>
              </w:rPr>
            </w:pPr>
            <w:r>
              <w:rPr>
                <w:rFonts w:hint="eastAsia" w:ascii="宋体" w:hAnsi="宋体" w:eastAsia="宋体" w:cs="宋体"/>
                <w:spacing w:val="-8"/>
                <w:sz w:val="21"/>
                <w:szCs w:val="21"/>
              </w:rPr>
              <w:t>4、异味：符合</w:t>
            </w:r>
            <w:r>
              <w:rPr>
                <w:rFonts w:hint="eastAsia" w:ascii="宋体" w:hAnsi="宋体" w:eastAsia="宋体" w:cs="宋体"/>
                <w:spacing w:val="-27"/>
                <w:sz w:val="21"/>
                <w:szCs w:val="21"/>
              </w:rPr>
              <w:t xml:space="preserve"> </w:t>
            </w:r>
            <w:r>
              <w:rPr>
                <w:rFonts w:hint="eastAsia" w:ascii="宋体" w:hAnsi="宋体" w:eastAsia="宋体" w:cs="宋体"/>
                <w:spacing w:val="-8"/>
                <w:sz w:val="21"/>
                <w:szCs w:val="21"/>
              </w:rPr>
              <w:t>18401-2010《国家纺织产品基本安全规范》</w:t>
            </w:r>
            <w:r>
              <w:rPr>
                <w:rFonts w:hint="eastAsia" w:ascii="宋体" w:hAnsi="宋体" w:eastAsia="宋体" w:cs="宋体"/>
                <w:spacing w:val="-5"/>
                <w:sz w:val="21"/>
                <w:szCs w:val="21"/>
              </w:rPr>
              <w:t xml:space="preserve"> </w:t>
            </w:r>
            <w:r>
              <w:rPr>
                <w:rFonts w:hint="eastAsia" w:ascii="宋体" w:hAnsi="宋体" w:eastAsia="宋体" w:cs="宋体"/>
                <w:spacing w:val="-8"/>
                <w:sz w:val="21"/>
                <w:szCs w:val="21"/>
              </w:rPr>
              <w:t>标准，实测无异味,检测标</w:t>
            </w:r>
            <w:r>
              <w:rPr>
                <w:rFonts w:hint="eastAsia" w:ascii="宋体" w:hAnsi="宋体" w:eastAsia="宋体" w:cs="宋体"/>
                <w:sz w:val="21"/>
                <w:szCs w:val="21"/>
              </w:rPr>
              <w:t xml:space="preserve"> </w:t>
            </w:r>
            <w:r>
              <w:rPr>
                <w:rFonts w:hint="eastAsia" w:ascii="宋体" w:hAnsi="宋体" w:eastAsia="宋体" w:cs="宋体"/>
                <w:spacing w:val="-2"/>
                <w:sz w:val="21"/>
                <w:szCs w:val="21"/>
              </w:rPr>
              <w:t>准</w:t>
            </w:r>
            <w:r>
              <w:rPr>
                <w:rFonts w:hint="eastAsia" w:ascii="宋体" w:hAnsi="宋体" w:eastAsia="宋体" w:cs="宋体"/>
                <w:spacing w:val="-41"/>
                <w:sz w:val="21"/>
                <w:szCs w:val="21"/>
              </w:rPr>
              <w:t xml:space="preserve"> </w:t>
            </w:r>
            <w:r>
              <w:rPr>
                <w:rFonts w:hint="eastAsia" w:ascii="宋体" w:hAnsi="宋体" w:eastAsia="宋体" w:cs="宋体"/>
                <w:spacing w:val="-2"/>
                <w:sz w:val="21"/>
                <w:szCs w:val="21"/>
              </w:rPr>
              <w:t>GB18401-2010。</w:t>
            </w:r>
          </w:p>
          <w:p>
            <w:pPr>
              <w:keepNext w:val="0"/>
              <w:keepLines w:val="0"/>
              <w:pageBreakBefore w:val="0"/>
              <w:widowControl w:val="0"/>
              <w:kinsoku/>
              <w:wordWrap/>
              <w:overflowPunct/>
              <w:topLinePunct w:val="0"/>
              <w:autoSpaceDE/>
              <w:autoSpaceDN/>
              <w:bidi w:val="0"/>
              <w:adjustRightInd/>
              <w:snapToGrid/>
              <w:spacing w:before="99" w:line="360" w:lineRule="auto"/>
              <w:ind w:left="6" w:firstLine="6"/>
              <w:textAlignment w:val="auto"/>
              <w:rPr>
                <w:rFonts w:hint="eastAsia" w:ascii="宋体" w:hAnsi="宋体" w:eastAsia="宋体" w:cs="宋体"/>
                <w:sz w:val="21"/>
                <w:szCs w:val="21"/>
              </w:rPr>
            </w:pPr>
            <w:r>
              <w:rPr>
                <w:rFonts w:hint="eastAsia" w:ascii="宋体" w:hAnsi="宋体" w:eastAsia="宋体" w:cs="宋体"/>
                <w:spacing w:val="-10"/>
                <w:sz w:val="21"/>
                <w:szCs w:val="21"/>
              </w:rPr>
              <w:t>5、色牢度：耐皂洗、耐水、耐干（湿）</w:t>
            </w:r>
            <w:r>
              <w:rPr>
                <w:rFonts w:hint="eastAsia" w:ascii="宋体" w:hAnsi="宋体" w:eastAsia="宋体" w:cs="宋体"/>
                <w:spacing w:val="-17"/>
                <w:sz w:val="21"/>
                <w:szCs w:val="21"/>
              </w:rPr>
              <w:t xml:space="preserve"> </w:t>
            </w:r>
            <w:r>
              <w:rPr>
                <w:rFonts w:hint="eastAsia" w:ascii="宋体" w:hAnsi="宋体" w:eastAsia="宋体" w:cs="宋体"/>
                <w:spacing w:val="-10"/>
                <w:sz w:val="21"/>
                <w:szCs w:val="21"/>
              </w:rPr>
              <w:t>摩擦色牢度≥4</w:t>
            </w:r>
            <w:r>
              <w:rPr>
                <w:rFonts w:hint="eastAsia" w:ascii="宋体" w:hAnsi="宋体" w:eastAsia="宋体" w:cs="宋体"/>
                <w:spacing w:val="-35"/>
                <w:sz w:val="21"/>
                <w:szCs w:val="21"/>
              </w:rPr>
              <w:t xml:space="preserve"> </w:t>
            </w:r>
            <w:r>
              <w:rPr>
                <w:rFonts w:hint="eastAsia" w:ascii="宋体" w:hAnsi="宋体" w:eastAsia="宋体" w:cs="宋体"/>
                <w:spacing w:val="-10"/>
                <w:sz w:val="21"/>
                <w:szCs w:val="21"/>
              </w:rPr>
              <w:t>级，检测标准</w:t>
            </w:r>
            <w:r>
              <w:rPr>
                <w:rFonts w:hint="eastAsia" w:ascii="宋体" w:hAnsi="宋体" w:eastAsia="宋体" w:cs="宋体"/>
                <w:spacing w:val="-46"/>
                <w:sz w:val="21"/>
                <w:szCs w:val="21"/>
              </w:rPr>
              <w:t xml:space="preserve"> </w:t>
            </w:r>
            <w:r>
              <w:rPr>
                <w:rFonts w:hint="eastAsia" w:ascii="宋体" w:hAnsi="宋体" w:eastAsia="宋体" w:cs="宋体"/>
                <w:spacing w:val="-10"/>
                <w:sz w:val="21"/>
                <w:szCs w:val="21"/>
              </w:rPr>
              <w:t>GB/T3921-2008，</w:t>
            </w:r>
            <w:r>
              <w:rPr>
                <w:rFonts w:hint="eastAsia" w:ascii="宋体" w:hAnsi="宋体" w:eastAsia="宋体" w:cs="宋体"/>
                <w:sz w:val="21"/>
                <w:szCs w:val="21"/>
              </w:rPr>
              <w:t xml:space="preserve"> </w:t>
            </w:r>
            <w:r>
              <w:rPr>
                <w:rFonts w:hint="eastAsia" w:ascii="宋体" w:hAnsi="宋体" w:eastAsia="宋体" w:cs="宋体"/>
                <w:spacing w:val="-1"/>
                <w:sz w:val="21"/>
                <w:szCs w:val="21"/>
              </w:rPr>
              <w:t>GB/T5713-2013，GB/T3920-2008</w:t>
            </w:r>
          </w:p>
          <w:p>
            <w:pPr>
              <w:keepNext w:val="0"/>
              <w:keepLines w:val="0"/>
              <w:pageBreakBefore w:val="0"/>
              <w:widowControl w:val="0"/>
              <w:kinsoku/>
              <w:wordWrap/>
              <w:overflowPunct/>
              <w:topLinePunct w:val="0"/>
              <w:autoSpaceDE/>
              <w:autoSpaceDN/>
              <w:bidi w:val="0"/>
              <w:adjustRightInd/>
              <w:snapToGrid/>
              <w:spacing w:before="98" w:line="360" w:lineRule="auto"/>
              <w:ind w:left="18" w:right="24" w:hanging="8"/>
              <w:textAlignment w:val="auto"/>
              <w:rPr>
                <w:rFonts w:hint="eastAsia" w:ascii="宋体" w:hAnsi="宋体" w:eastAsia="宋体" w:cs="宋体"/>
                <w:sz w:val="21"/>
                <w:szCs w:val="21"/>
              </w:rPr>
            </w:pPr>
            <w:r>
              <w:rPr>
                <w:rFonts w:hint="eastAsia" w:ascii="宋体" w:hAnsi="宋体" w:eastAsia="宋体" w:cs="宋体"/>
                <w:spacing w:val="-8"/>
                <w:sz w:val="21"/>
                <w:szCs w:val="21"/>
              </w:rPr>
              <w:t>6、抗菌性能（吸收法）</w:t>
            </w:r>
            <w:r>
              <w:rPr>
                <w:rFonts w:hint="eastAsia" w:ascii="宋体" w:hAnsi="宋体" w:eastAsia="宋体" w:cs="宋体"/>
                <w:spacing w:val="8"/>
                <w:sz w:val="21"/>
                <w:szCs w:val="21"/>
              </w:rPr>
              <w:t xml:space="preserve"> </w:t>
            </w:r>
            <w:r>
              <w:rPr>
                <w:rFonts w:hint="eastAsia" w:ascii="宋体" w:hAnsi="宋体" w:eastAsia="宋体" w:cs="宋体"/>
                <w:spacing w:val="-8"/>
                <w:sz w:val="21"/>
                <w:szCs w:val="21"/>
              </w:rPr>
              <w:t>水洗</w:t>
            </w:r>
            <w:r>
              <w:rPr>
                <w:rFonts w:hint="eastAsia" w:ascii="宋体" w:hAnsi="宋体" w:eastAsia="宋体" w:cs="宋体"/>
                <w:spacing w:val="-40"/>
                <w:sz w:val="21"/>
                <w:szCs w:val="21"/>
              </w:rPr>
              <w:t xml:space="preserve"> </w:t>
            </w:r>
            <w:r>
              <w:rPr>
                <w:rFonts w:hint="eastAsia" w:ascii="宋体" w:hAnsi="宋体" w:eastAsia="宋体" w:cs="宋体"/>
                <w:spacing w:val="-8"/>
                <w:sz w:val="21"/>
                <w:szCs w:val="21"/>
              </w:rPr>
              <w:t>20</w:t>
            </w:r>
            <w:r>
              <w:rPr>
                <w:rFonts w:hint="eastAsia" w:ascii="宋体" w:hAnsi="宋体" w:eastAsia="宋体" w:cs="宋体"/>
                <w:spacing w:val="-38"/>
                <w:sz w:val="21"/>
                <w:szCs w:val="21"/>
              </w:rPr>
              <w:t xml:space="preserve"> </w:t>
            </w:r>
            <w:r>
              <w:rPr>
                <w:rFonts w:hint="eastAsia" w:ascii="宋体" w:hAnsi="宋体" w:eastAsia="宋体" w:cs="宋体"/>
                <w:spacing w:val="-8"/>
                <w:sz w:val="21"/>
                <w:szCs w:val="21"/>
              </w:rPr>
              <w:t>次以上：</w:t>
            </w:r>
            <w:r>
              <w:rPr>
                <w:rFonts w:hint="eastAsia" w:ascii="宋体" w:hAnsi="宋体" w:eastAsia="宋体" w:cs="宋体"/>
                <w:spacing w:val="48"/>
                <w:sz w:val="21"/>
                <w:szCs w:val="21"/>
              </w:rPr>
              <w:t xml:space="preserve"> </w:t>
            </w:r>
            <w:r>
              <w:rPr>
                <w:rFonts w:hint="eastAsia" w:ascii="宋体" w:hAnsi="宋体" w:eastAsia="宋体" w:cs="宋体"/>
                <w:spacing w:val="-8"/>
                <w:sz w:val="21"/>
                <w:szCs w:val="21"/>
              </w:rPr>
              <w:t>金黄色葡萄球菌、大肠杆菌、肺炎克雷伯氏</w:t>
            </w:r>
            <w:r>
              <w:rPr>
                <w:rFonts w:hint="eastAsia" w:ascii="宋体" w:hAnsi="宋体" w:eastAsia="宋体" w:cs="宋体"/>
                <w:sz w:val="21"/>
                <w:szCs w:val="21"/>
              </w:rPr>
              <w:t xml:space="preserve"> </w:t>
            </w:r>
            <w:r>
              <w:rPr>
                <w:rFonts w:hint="eastAsia" w:ascii="宋体" w:hAnsi="宋体" w:eastAsia="宋体" w:cs="宋体"/>
                <w:spacing w:val="-1"/>
                <w:sz w:val="21"/>
                <w:szCs w:val="21"/>
              </w:rPr>
              <w:t>菌≥90%，检测标准</w:t>
            </w:r>
            <w:r>
              <w:rPr>
                <w:rFonts w:hint="eastAsia" w:ascii="宋体" w:hAnsi="宋体" w:eastAsia="宋体" w:cs="宋体"/>
                <w:spacing w:val="-44"/>
                <w:sz w:val="21"/>
                <w:szCs w:val="21"/>
              </w:rPr>
              <w:t xml:space="preserve"> </w:t>
            </w:r>
            <w:r>
              <w:rPr>
                <w:rFonts w:hint="eastAsia" w:ascii="宋体" w:hAnsi="宋体" w:eastAsia="宋体" w:cs="宋体"/>
                <w:spacing w:val="-1"/>
                <w:sz w:val="21"/>
                <w:szCs w:val="21"/>
              </w:rPr>
              <w:t>GB/T20944.2-2007。</w:t>
            </w:r>
          </w:p>
          <w:p>
            <w:pPr>
              <w:keepNext w:val="0"/>
              <w:keepLines w:val="0"/>
              <w:pageBreakBefore w:val="0"/>
              <w:widowControl w:val="0"/>
              <w:kinsoku/>
              <w:wordWrap/>
              <w:overflowPunct/>
              <w:topLinePunct w:val="0"/>
              <w:autoSpaceDE/>
              <w:autoSpaceDN/>
              <w:bidi w:val="0"/>
              <w:adjustRightInd/>
              <w:snapToGrid/>
              <w:spacing w:before="98" w:line="360" w:lineRule="auto"/>
              <w:ind w:firstLine="17"/>
              <w:textAlignment w:val="auto"/>
              <w:rPr>
                <w:rFonts w:hint="eastAsia" w:ascii="宋体" w:hAnsi="宋体" w:eastAsia="宋体" w:cs="宋体"/>
                <w:sz w:val="21"/>
                <w:szCs w:val="21"/>
              </w:rPr>
            </w:pPr>
            <w:r>
              <w:rPr>
                <w:rFonts w:hint="eastAsia" w:ascii="宋体" w:hAnsi="宋体" w:eastAsia="宋体" w:cs="宋体"/>
                <w:spacing w:val="-2"/>
                <w:sz w:val="21"/>
                <w:szCs w:val="21"/>
                <w14:textOutline w14:w="3797" w14:cap="sq" w14:cmpd="sng" w14:algn="ctr">
                  <w14:solidFill>
                    <w14:srgbClr w14:val="000000"/>
                  </w14:solidFill>
                  <w14:prstDash w14:val="solid"/>
                  <w14:bevel/>
                </w14:textOutline>
              </w:rPr>
              <w:t>手动窗帘轨道：</w:t>
            </w:r>
          </w:p>
          <w:p>
            <w:pPr>
              <w:keepNext w:val="0"/>
              <w:keepLines w:val="0"/>
              <w:pageBreakBefore w:val="0"/>
              <w:widowControl w:val="0"/>
              <w:kinsoku/>
              <w:wordWrap/>
              <w:overflowPunct/>
              <w:topLinePunct w:val="0"/>
              <w:autoSpaceDE/>
              <w:autoSpaceDN/>
              <w:bidi w:val="0"/>
              <w:adjustRightInd/>
              <w:snapToGrid/>
              <w:spacing w:before="99" w:line="360" w:lineRule="auto"/>
              <w:ind w:firstLine="24"/>
              <w:textAlignment w:val="auto"/>
              <w:rPr>
                <w:rFonts w:hint="eastAsia" w:ascii="宋体" w:hAnsi="宋体" w:eastAsia="宋体" w:cs="宋体"/>
                <w:sz w:val="21"/>
                <w:szCs w:val="21"/>
              </w:rPr>
            </w:pPr>
            <w:r>
              <w:rPr>
                <w:rFonts w:hint="eastAsia" w:ascii="宋体" w:hAnsi="宋体" w:eastAsia="宋体" w:cs="宋体"/>
                <w:spacing w:val="-10"/>
                <w:w w:val="99"/>
                <w:sz w:val="21"/>
                <w:szCs w:val="21"/>
              </w:rPr>
              <w:t>1、铝型材标号：</w:t>
            </w:r>
            <w:r>
              <w:rPr>
                <w:rFonts w:hint="eastAsia" w:ascii="宋体" w:hAnsi="宋体" w:eastAsia="宋体" w:cs="宋体"/>
                <w:spacing w:val="45"/>
                <w:sz w:val="21"/>
                <w:szCs w:val="21"/>
              </w:rPr>
              <w:t xml:space="preserve"> </w:t>
            </w:r>
            <w:r>
              <w:rPr>
                <w:rFonts w:hint="eastAsia" w:ascii="宋体" w:hAnsi="宋体" w:eastAsia="宋体" w:cs="宋体"/>
                <w:spacing w:val="-10"/>
                <w:w w:val="99"/>
                <w:sz w:val="21"/>
                <w:szCs w:val="21"/>
              </w:rPr>
              <w:t>6063-T5</w:t>
            </w:r>
          </w:p>
          <w:p>
            <w:pPr>
              <w:keepNext w:val="0"/>
              <w:keepLines w:val="0"/>
              <w:pageBreakBefore w:val="0"/>
              <w:widowControl w:val="0"/>
              <w:kinsoku/>
              <w:wordWrap/>
              <w:overflowPunct/>
              <w:topLinePunct w:val="0"/>
              <w:autoSpaceDE/>
              <w:autoSpaceDN/>
              <w:bidi w:val="0"/>
              <w:adjustRightInd/>
              <w:snapToGrid/>
              <w:spacing w:before="98" w:line="360" w:lineRule="auto"/>
              <w:ind w:firstLine="11"/>
              <w:textAlignment w:val="auto"/>
              <w:rPr>
                <w:rFonts w:hint="eastAsia" w:ascii="宋体" w:hAnsi="宋体" w:eastAsia="宋体" w:cs="宋体"/>
                <w:sz w:val="21"/>
                <w:szCs w:val="21"/>
              </w:rPr>
            </w:pPr>
            <w:r>
              <w:rPr>
                <w:rFonts w:hint="eastAsia" w:ascii="宋体" w:hAnsi="宋体" w:eastAsia="宋体" w:cs="宋体"/>
                <w:spacing w:val="-1"/>
                <w:sz w:val="21"/>
                <w:szCs w:val="21"/>
              </w:rPr>
              <w:t>2、轨道弯曲度≤0.17mm</w:t>
            </w:r>
          </w:p>
          <w:p>
            <w:pPr>
              <w:keepNext w:val="0"/>
              <w:keepLines w:val="0"/>
              <w:pageBreakBefore w:val="0"/>
              <w:widowControl w:val="0"/>
              <w:kinsoku/>
              <w:wordWrap/>
              <w:overflowPunct/>
              <w:topLinePunct w:val="0"/>
              <w:autoSpaceDE/>
              <w:autoSpaceDN/>
              <w:bidi w:val="0"/>
              <w:adjustRightInd/>
              <w:snapToGrid/>
              <w:spacing w:before="98" w:line="360" w:lineRule="auto"/>
              <w:ind w:firstLine="13"/>
              <w:textAlignment w:val="auto"/>
              <w:rPr>
                <w:rFonts w:hint="eastAsia" w:ascii="宋体" w:hAnsi="宋体" w:eastAsia="宋体" w:cs="宋体"/>
                <w:sz w:val="21"/>
                <w:szCs w:val="21"/>
              </w:rPr>
            </w:pPr>
            <w:r>
              <w:rPr>
                <w:rFonts w:hint="eastAsia" w:ascii="宋体" w:hAnsi="宋体" w:eastAsia="宋体" w:cs="宋体"/>
                <w:spacing w:val="-5"/>
                <w:sz w:val="21"/>
                <w:szCs w:val="21"/>
              </w:rPr>
              <w:t>3、规格：</w:t>
            </w:r>
            <w:r>
              <w:rPr>
                <w:rFonts w:hint="eastAsia" w:ascii="宋体" w:hAnsi="宋体" w:eastAsia="宋体" w:cs="宋体"/>
                <w:spacing w:val="57"/>
                <w:sz w:val="21"/>
                <w:szCs w:val="21"/>
              </w:rPr>
              <w:t xml:space="preserve"> </w:t>
            </w:r>
            <w:r>
              <w:rPr>
                <w:rFonts w:hint="eastAsia" w:ascii="宋体" w:hAnsi="宋体" w:eastAsia="宋体" w:cs="宋体"/>
                <w:spacing w:val="-5"/>
                <w:sz w:val="21"/>
                <w:szCs w:val="21"/>
              </w:rPr>
              <w:t>宽</w:t>
            </w:r>
            <w:r>
              <w:rPr>
                <w:rFonts w:hint="eastAsia" w:ascii="宋体" w:hAnsi="宋体" w:eastAsia="宋体" w:cs="宋体"/>
                <w:spacing w:val="-38"/>
                <w:sz w:val="21"/>
                <w:szCs w:val="21"/>
              </w:rPr>
              <w:t xml:space="preserve"> </w:t>
            </w:r>
            <w:r>
              <w:rPr>
                <w:rFonts w:hint="eastAsia" w:ascii="宋体" w:hAnsi="宋体" w:eastAsia="宋体" w:cs="宋体"/>
                <w:spacing w:val="-5"/>
                <w:sz w:val="21"/>
                <w:szCs w:val="21"/>
              </w:rPr>
              <w:t>35mm±5%，长</w:t>
            </w:r>
            <w:r>
              <w:rPr>
                <w:rFonts w:hint="eastAsia" w:ascii="宋体" w:hAnsi="宋体" w:eastAsia="宋体" w:cs="宋体"/>
                <w:spacing w:val="-44"/>
                <w:sz w:val="21"/>
                <w:szCs w:val="21"/>
              </w:rPr>
              <w:t xml:space="preserve"> </w:t>
            </w:r>
            <w:r>
              <w:rPr>
                <w:rFonts w:hint="eastAsia" w:ascii="宋体" w:hAnsi="宋体" w:eastAsia="宋体" w:cs="宋体"/>
                <w:spacing w:val="-5"/>
                <w:sz w:val="21"/>
                <w:szCs w:val="21"/>
              </w:rPr>
              <w:t>45mm±5%，方形轨道，国标型材厚度:</w:t>
            </w:r>
            <w:r>
              <w:rPr>
                <w:rFonts w:hint="eastAsia" w:ascii="宋体" w:hAnsi="宋体" w:eastAsia="宋体" w:cs="宋体"/>
                <w:spacing w:val="22"/>
                <w:sz w:val="21"/>
                <w:szCs w:val="21"/>
              </w:rPr>
              <w:t xml:space="preserve"> </w:t>
            </w:r>
            <w:r>
              <w:rPr>
                <w:rFonts w:hint="eastAsia" w:ascii="宋体" w:hAnsi="宋体" w:eastAsia="宋体" w:cs="宋体"/>
                <w:spacing w:val="-5"/>
                <w:sz w:val="21"/>
                <w:szCs w:val="21"/>
              </w:rPr>
              <w:t>1.4mm±5%。</w:t>
            </w:r>
          </w:p>
          <w:p>
            <w:pPr>
              <w:keepNext w:val="0"/>
              <w:keepLines w:val="0"/>
              <w:pageBreakBefore w:val="0"/>
              <w:widowControl w:val="0"/>
              <w:kinsoku/>
              <w:wordWrap/>
              <w:overflowPunct/>
              <w:topLinePunct w:val="0"/>
              <w:autoSpaceDE/>
              <w:autoSpaceDN/>
              <w:bidi w:val="0"/>
              <w:adjustRightInd/>
              <w:snapToGrid/>
              <w:spacing w:before="98" w:line="360" w:lineRule="auto"/>
              <w:ind w:firstLine="8"/>
              <w:textAlignment w:val="auto"/>
              <w:rPr>
                <w:rFonts w:hint="eastAsia" w:ascii="宋体" w:hAnsi="宋体" w:eastAsia="宋体" w:cs="宋体"/>
                <w:sz w:val="21"/>
                <w:szCs w:val="21"/>
              </w:rPr>
            </w:pPr>
            <w:r>
              <w:rPr>
                <w:rFonts w:hint="eastAsia" w:ascii="宋体" w:hAnsi="宋体" w:eastAsia="宋体" w:cs="宋体"/>
                <w:spacing w:val="-1"/>
                <w:sz w:val="21"/>
                <w:szCs w:val="21"/>
              </w:rPr>
              <w:t>4、韦氏硬度≥10HW</w:t>
            </w:r>
          </w:p>
          <w:p>
            <w:pPr>
              <w:keepNext w:val="0"/>
              <w:keepLines w:val="0"/>
              <w:pageBreakBefore w:val="0"/>
              <w:widowControl w:val="0"/>
              <w:kinsoku/>
              <w:wordWrap/>
              <w:overflowPunct/>
              <w:topLinePunct w:val="0"/>
              <w:autoSpaceDE/>
              <w:autoSpaceDN/>
              <w:bidi w:val="0"/>
              <w:adjustRightInd/>
              <w:snapToGrid/>
              <w:spacing w:before="99" w:line="360" w:lineRule="auto"/>
              <w:ind w:left="30" w:right="5" w:hanging="17"/>
              <w:textAlignment w:val="auto"/>
              <w:rPr>
                <w:rFonts w:hint="eastAsia" w:ascii="宋体" w:hAnsi="宋体" w:eastAsia="宋体" w:cs="宋体"/>
                <w:sz w:val="21"/>
                <w:szCs w:val="21"/>
              </w:rPr>
            </w:pPr>
            <w:r>
              <w:rPr>
                <w:rFonts w:hint="eastAsia" w:ascii="宋体" w:hAnsi="宋体" w:eastAsia="宋体" w:cs="宋体"/>
                <w:spacing w:val="-5"/>
                <w:sz w:val="21"/>
                <w:szCs w:val="21"/>
              </w:rPr>
              <w:t>5、力学性能：</w:t>
            </w:r>
            <w:r>
              <w:rPr>
                <w:rFonts w:hint="eastAsia" w:ascii="宋体" w:hAnsi="宋体" w:eastAsia="宋体" w:cs="宋体"/>
                <w:spacing w:val="24"/>
                <w:sz w:val="21"/>
                <w:szCs w:val="21"/>
              </w:rPr>
              <w:t xml:space="preserve"> </w:t>
            </w:r>
            <w:r>
              <w:rPr>
                <w:rFonts w:hint="eastAsia" w:ascii="宋体" w:hAnsi="宋体" w:eastAsia="宋体" w:cs="宋体"/>
                <w:spacing w:val="-5"/>
                <w:sz w:val="21"/>
                <w:szCs w:val="21"/>
              </w:rPr>
              <w:t>规定非比例延伸强度≥200N/mm2，抗拉强度≥200N/mm2</w:t>
            </w:r>
            <w:r>
              <w:rPr>
                <w:rFonts w:hint="eastAsia" w:ascii="宋体" w:hAnsi="宋体" w:eastAsia="宋体" w:cs="宋体"/>
                <w:spacing w:val="-4"/>
                <w:sz w:val="21"/>
                <w:szCs w:val="21"/>
              </w:rPr>
              <w:t>，，</w:t>
            </w:r>
            <w:r>
              <w:rPr>
                <w:rFonts w:hint="eastAsia" w:ascii="宋体" w:hAnsi="宋体" w:eastAsia="宋体" w:cs="宋体"/>
                <w:spacing w:val="-5"/>
                <w:sz w:val="21"/>
                <w:szCs w:val="21"/>
              </w:rPr>
              <w:t>断后伸长率</w:t>
            </w:r>
            <w:r>
              <w:rPr>
                <w:rFonts w:hint="eastAsia" w:ascii="宋体" w:hAnsi="宋体" w:eastAsia="宋体" w:cs="宋体"/>
                <w:sz w:val="21"/>
                <w:szCs w:val="21"/>
              </w:rPr>
              <w:t xml:space="preserve"> </w:t>
            </w:r>
            <w:r>
              <w:rPr>
                <w:rFonts w:hint="eastAsia" w:ascii="宋体" w:hAnsi="宋体" w:eastAsia="宋体" w:cs="宋体"/>
                <w:spacing w:val="-8"/>
                <w:sz w:val="21"/>
                <w:szCs w:val="21"/>
              </w:rPr>
              <w:t>≥8%。</w:t>
            </w:r>
          </w:p>
          <w:p>
            <w:pPr>
              <w:keepNext w:val="0"/>
              <w:keepLines w:val="0"/>
              <w:pageBreakBefore w:val="0"/>
              <w:widowControl w:val="0"/>
              <w:kinsoku/>
              <w:wordWrap/>
              <w:overflowPunct/>
              <w:topLinePunct w:val="0"/>
              <w:autoSpaceDE/>
              <w:autoSpaceDN/>
              <w:bidi w:val="0"/>
              <w:adjustRightInd/>
              <w:snapToGrid/>
              <w:spacing w:before="98" w:line="360" w:lineRule="auto"/>
              <w:ind w:firstLine="10"/>
              <w:textAlignment w:val="auto"/>
              <w:rPr>
                <w:rFonts w:hint="eastAsia" w:ascii="宋体" w:hAnsi="宋体" w:eastAsia="宋体" w:cs="宋体"/>
                <w:sz w:val="21"/>
                <w:szCs w:val="21"/>
              </w:rPr>
            </w:pPr>
            <w:r>
              <w:rPr>
                <w:rFonts w:hint="eastAsia" w:ascii="宋体" w:hAnsi="宋体" w:eastAsia="宋体" w:cs="宋体"/>
                <w:spacing w:val="-1"/>
                <w:sz w:val="21"/>
                <w:szCs w:val="21"/>
              </w:rPr>
              <w:t>6、轨道具有耐盐酸性、耐溶剂性、耐洗涤剂性，滑珠吊环为不锈钢。</w:t>
            </w:r>
          </w:p>
          <w:p>
            <w:pPr>
              <w:keepNext w:val="0"/>
              <w:keepLines w:val="0"/>
              <w:pageBreakBefore w:val="0"/>
              <w:widowControl w:val="0"/>
              <w:kinsoku/>
              <w:wordWrap/>
              <w:overflowPunct/>
              <w:topLinePunct w:val="0"/>
              <w:autoSpaceDE/>
              <w:autoSpaceDN/>
              <w:bidi w:val="0"/>
              <w:adjustRightInd/>
              <w:snapToGrid/>
              <w:spacing w:before="92" w:line="360" w:lineRule="auto"/>
              <w:ind w:left="17" w:leftChars="0" w:right="91" w:rightChars="0" w:firstLine="4" w:firstLineChars="0"/>
              <w:textAlignment w:val="auto"/>
              <w:rPr>
                <w:rFonts w:hint="eastAsia" w:ascii="宋体" w:hAnsi="宋体" w:eastAsia="宋体" w:cs="宋体"/>
                <w:kern w:val="2"/>
                <w:sz w:val="21"/>
                <w:szCs w:val="21"/>
                <w:lang w:val="en-US" w:eastAsia="zh-CN" w:bidi="ar-SA"/>
              </w:rPr>
            </w:pPr>
            <w:r>
              <w:rPr>
                <w:rFonts w:hint="eastAsia" w:ascii="宋体" w:hAnsi="宋体" w:eastAsia="宋体" w:cs="宋体"/>
                <w:b/>
                <w:bCs/>
                <w:color w:val="000000" w:themeColor="text1"/>
                <w:spacing w:val="-5"/>
                <w:sz w:val="21"/>
                <w:szCs w:val="21"/>
                <w14:textFill>
                  <w14:solidFill>
                    <w14:schemeClr w14:val="tx1"/>
                  </w14:solidFill>
                </w14:textFill>
              </w:rPr>
              <w:t>注：面料部分参数须提供第三方检测机构出具的检测报告复印件，并加盖投标人公章。且检测结果必须要在同一份检测报告中体现。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220" w:type="dxa"/>
            <w:vAlign w:val="center"/>
          </w:tcPr>
          <w:p>
            <w:pPr>
              <w:keepNext w:val="0"/>
              <w:keepLines w:val="0"/>
              <w:pageBreakBefore w:val="0"/>
              <w:widowControl w:val="0"/>
              <w:kinsoku/>
              <w:wordWrap/>
              <w:overflowPunct/>
              <w:topLinePunct w:val="0"/>
              <w:autoSpaceDE/>
              <w:autoSpaceDN/>
              <w:bidi w:val="0"/>
              <w:adjustRightInd/>
              <w:snapToGrid/>
              <w:spacing w:before="211" w:line="36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2"/>
                <w:sz w:val="21"/>
                <w:szCs w:val="21"/>
                <w14:textOutline w14:w="3797" w14:cap="sq" w14:cmpd="sng" w14:algn="ctr">
                  <w14:solidFill>
                    <w14:srgbClr w14:val="000000"/>
                  </w14:solidFill>
                  <w14:prstDash w14:val="solid"/>
                  <w14:bevel/>
                </w14:textOutline>
              </w:rPr>
              <w:t>7.电动纱帘</w:t>
            </w:r>
          </w:p>
        </w:tc>
        <w:tc>
          <w:tcPr>
            <w:tcW w:w="7112" w:type="dxa"/>
            <w:vAlign w:val="top"/>
          </w:tcPr>
          <w:p>
            <w:pPr>
              <w:keepNext w:val="0"/>
              <w:keepLines w:val="0"/>
              <w:pageBreakBefore w:val="0"/>
              <w:widowControl w:val="0"/>
              <w:kinsoku/>
              <w:wordWrap/>
              <w:overflowPunct/>
              <w:topLinePunct w:val="0"/>
              <w:autoSpaceDE/>
              <w:autoSpaceDN/>
              <w:bidi w:val="0"/>
              <w:adjustRightInd/>
              <w:snapToGrid/>
              <w:spacing w:before="98" w:line="360" w:lineRule="auto"/>
              <w:ind w:firstLine="38"/>
              <w:textAlignment w:val="auto"/>
              <w:rPr>
                <w:rFonts w:hint="eastAsia" w:ascii="宋体" w:hAnsi="宋体" w:eastAsia="宋体" w:cs="宋体"/>
                <w:spacing w:val="-5"/>
                <w:sz w:val="21"/>
                <w:szCs w:val="21"/>
                <w14:textOutline w14:w="3797" w14:cap="sq" w14:cmpd="sng" w14:algn="ctr">
                  <w14:solidFill>
                    <w14:srgbClr w14:val="000000"/>
                  </w14:solidFill>
                  <w14:prstDash w14:val="solid"/>
                  <w14:bevel/>
                </w14:textOutline>
              </w:rPr>
            </w:pPr>
            <w:r>
              <w:rPr>
                <w:rFonts w:hint="eastAsia" w:ascii="宋体" w:hAnsi="宋体" w:eastAsia="宋体" w:cs="宋体"/>
                <w:spacing w:val="-5"/>
                <w:sz w:val="21"/>
                <w:szCs w:val="21"/>
                <w14:textOutline w14:w="3797" w14:cap="sq" w14:cmpd="sng" w14:algn="ctr">
                  <w14:solidFill>
                    <w14:srgbClr w14:val="000000"/>
                  </w14:solidFill>
                  <w14:prstDash w14:val="solid"/>
                  <w14:bevel/>
                </w14:textOutline>
              </w:rPr>
              <w:t>面料部分：</w:t>
            </w:r>
          </w:p>
          <w:p>
            <w:pPr>
              <w:keepNext w:val="0"/>
              <w:keepLines w:val="0"/>
              <w:pageBreakBefore w:val="0"/>
              <w:widowControl w:val="0"/>
              <w:kinsoku/>
              <w:wordWrap/>
              <w:overflowPunct/>
              <w:topLinePunct w:val="0"/>
              <w:autoSpaceDE/>
              <w:autoSpaceDN/>
              <w:bidi w:val="0"/>
              <w:adjustRightInd/>
              <w:snapToGrid/>
              <w:spacing w:before="98" w:line="360" w:lineRule="auto"/>
              <w:ind w:left="2" w:firstLine="5"/>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1、成分：100%聚酯纤维，检测标准 FZ/T01057-2007</w:t>
            </w:r>
          </w:p>
          <w:p>
            <w:pPr>
              <w:keepNext w:val="0"/>
              <w:keepLines w:val="0"/>
              <w:pageBreakBefore w:val="0"/>
              <w:widowControl w:val="0"/>
              <w:kinsoku/>
              <w:wordWrap/>
              <w:overflowPunct/>
              <w:topLinePunct w:val="0"/>
              <w:autoSpaceDE/>
              <w:autoSpaceDN/>
              <w:bidi w:val="0"/>
              <w:adjustRightInd/>
              <w:snapToGrid/>
              <w:spacing w:before="56" w:line="360" w:lineRule="auto"/>
              <w:ind w:firstLine="11"/>
              <w:textAlignment w:val="auto"/>
              <w:rPr>
                <w:rFonts w:hint="eastAsia" w:ascii="宋体" w:hAnsi="宋体" w:eastAsia="宋体" w:cs="宋体"/>
                <w:sz w:val="21"/>
                <w:szCs w:val="21"/>
              </w:rPr>
            </w:pPr>
            <w:r>
              <w:rPr>
                <w:rFonts w:hint="eastAsia" w:ascii="宋体" w:hAnsi="宋体" w:eastAsia="宋体" w:cs="宋体"/>
                <w:spacing w:val="-7"/>
                <w:sz w:val="21"/>
                <w:szCs w:val="21"/>
              </w:rPr>
              <w:t>2、单位面积质量：</w:t>
            </w:r>
            <w:r>
              <w:rPr>
                <w:rFonts w:hint="eastAsia" w:ascii="宋体" w:hAnsi="宋体" w:eastAsia="宋体" w:cs="宋体"/>
                <w:spacing w:val="62"/>
                <w:sz w:val="21"/>
                <w:szCs w:val="21"/>
              </w:rPr>
              <w:t xml:space="preserve"> </w:t>
            </w:r>
            <w:r>
              <w:rPr>
                <w:rFonts w:hint="eastAsia" w:ascii="宋体" w:hAnsi="宋体" w:eastAsia="宋体" w:cs="宋体"/>
                <w:spacing w:val="-7"/>
                <w:sz w:val="21"/>
                <w:szCs w:val="21"/>
              </w:rPr>
              <w:t>≥50g/㎡</w:t>
            </w:r>
            <w:r>
              <w:rPr>
                <w:rFonts w:hint="eastAsia" w:ascii="宋体" w:hAnsi="宋体" w:eastAsia="宋体" w:cs="宋体"/>
                <w:spacing w:val="-60"/>
                <w:sz w:val="21"/>
                <w:szCs w:val="21"/>
              </w:rPr>
              <w:t xml:space="preserve"> </w:t>
            </w:r>
            <w:r>
              <w:rPr>
                <w:rFonts w:hint="eastAsia" w:ascii="宋体" w:hAnsi="宋体" w:eastAsia="宋体" w:cs="宋体"/>
                <w:spacing w:val="-7"/>
                <w:sz w:val="21"/>
                <w:szCs w:val="21"/>
              </w:rPr>
              <w:t>，检测标准</w:t>
            </w:r>
            <w:r>
              <w:rPr>
                <w:rFonts w:hint="eastAsia" w:ascii="宋体" w:hAnsi="宋体" w:eastAsia="宋体" w:cs="宋体"/>
                <w:spacing w:val="-45"/>
                <w:sz w:val="21"/>
                <w:szCs w:val="21"/>
              </w:rPr>
              <w:t xml:space="preserve"> </w:t>
            </w:r>
            <w:r>
              <w:rPr>
                <w:rFonts w:hint="eastAsia" w:ascii="宋体" w:hAnsi="宋体" w:eastAsia="宋体" w:cs="宋体"/>
                <w:spacing w:val="-7"/>
                <w:sz w:val="21"/>
                <w:szCs w:val="21"/>
              </w:rPr>
              <w:t>GB/T4669-2008</w:t>
            </w:r>
          </w:p>
          <w:p>
            <w:pPr>
              <w:keepNext w:val="0"/>
              <w:keepLines w:val="0"/>
              <w:pageBreakBefore w:val="0"/>
              <w:widowControl w:val="0"/>
              <w:kinsoku/>
              <w:wordWrap/>
              <w:overflowPunct/>
              <w:topLinePunct w:val="0"/>
              <w:autoSpaceDE/>
              <w:autoSpaceDN/>
              <w:bidi w:val="0"/>
              <w:adjustRightInd/>
              <w:snapToGrid/>
              <w:spacing w:before="98" w:line="360" w:lineRule="auto"/>
              <w:ind w:firstLine="13"/>
              <w:textAlignment w:val="auto"/>
              <w:rPr>
                <w:rFonts w:hint="eastAsia" w:ascii="宋体" w:hAnsi="宋体" w:eastAsia="宋体" w:cs="宋体"/>
                <w:sz w:val="21"/>
                <w:szCs w:val="21"/>
              </w:rPr>
            </w:pPr>
            <w:r>
              <w:rPr>
                <w:rFonts w:hint="eastAsia" w:ascii="宋体" w:hAnsi="宋体" w:eastAsia="宋体" w:cs="宋体"/>
                <w:spacing w:val="-8"/>
                <w:sz w:val="21"/>
                <w:szCs w:val="21"/>
              </w:rPr>
              <w:t>3、织物密度：经密≥90</w:t>
            </w:r>
            <w:r>
              <w:rPr>
                <w:rFonts w:hint="eastAsia" w:ascii="宋体" w:hAnsi="宋体" w:eastAsia="宋体" w:cs="宋体"/>
                <w:spacing w:val="-38"/>
                <w:sz w:val="21"/>
                <w:szCs w:val="21"/>
              </w:rPr>
              <w:t xml:space="preserve"> </w:t>
            </w:r>
            <w:r>
              <w:rPr>
                <w:rFonts w:hint="eastAsia" w:ascii="宋体" w:hAnsi="宋体" w:eastAsia="宋体" w:cs="宋体"/>
                <w:spacing w:val="-8"/>
                <w:sz w:val="21"/>
                <w:szCs w:val="21"/>
              </w:rPr>
              <w:t>根/10cm，纬密≥150</w:t>
            </w:r>
            <w:r>
              <w:rPr>
                <w:rFonts w:hint="eastAsia" w:ascii="宋体" w:hAnsi="宋体" w:eastAsia="宋体" w:cs="宋体"/>
                <w:spacing w:val="-37"/>
                <w:sz w:val="21"/>
                <w:szCs w:val="21"/>
              </w:rPr>
              <w:t xml:space="preserve"> </w:t>
            </w:r>
            <w:r>
              <w:rPr>
                <w:rFonts w:hint="eastAsia" w:ascii="宋体" w:hAnsi="宋体" w:eastAsia="宋体" w:cs="宋体"/>
                <w:spacing w:val="-8"/>
                <w:sz w:val="21"/>
                <w:szCs w:val="21"/>
              </w:rPr>
              <w:t>根/10cm；</w:t>
            </w:r>
            <w:r>
              <w:rPr>
                <w:rFonts w:hint="eastAsia" w:ascii="宋体" w:hAnsi="宋体" w:eastAsia="宋体" w:cs="宋体"/>
                <w:spacing w:val="47"/>
                <w:sz w:val="21"/>
                <w:szCs w:val="21"/>
              </w:rPr>
              <w:t xml:space="preserve"> </w:t>
            </w:r>
            <w:r>
              <w:rPr>
                <w:rFonts w:hint="eastAsia" w:ascii="宋体" w:hAnsi="宋体" w:eastAsia="宋体" w:cs="宋体"/>
                <w:spacing w:val="-8"/>
                <w:sz w:val="21"/>
                <w:szCs w:val="21"/>
              </w:rPr>
              <w:t>检测标准</w:t>
            </w:r>
            <w:r>
              <w:rPr>
                <w:rFonts w:hint="eastAsia" w:ascii="宋体" w:hAnsi="宋体" w:eastAsia="宋体" w:cs="宋体"/>
                <w:spacing w:val="-48"/>
                <w:sz w:val="21"/>
                <w:szCs w:val="21"/>
              </w:rPr>
              <w:t xml:space="preserve"> </w:t>
            </w:r>
            <w:r>
              <w:rPr>
                <w:rFonts w:hint="eastAsia" w:ascii="宋体" w:hAnsi="宋体" w:eastAsia="宋体" w:cs="宋体"/>
                <w:spacing w:val="-8"/>
                <w:sz w:val="21"/>
                <w:szCs w:val="21"/>
              </w:rPr>
              <w:t>GB/T4668-1995</w:t>
            </w:r>
          </w:p>
          <w:p>
            <w:pPr>
              <w:keepNext w:val="0"/>
              <w:keepLines w:val="0"/>
              <w:pageBreakBefore w:val="0"/>
              <w:widowControl w:val="0"/>
              <w:kinsoku/>
              <w:wordWrap/>
              <w:overflowPunct/>
              <w:topLinePunct w:val="0"/>
              <w:autoSpaceDE/>
              <w:autoSpaceDN/>
              <w:bidi w:val="0"/>
              <w:adjustRightInd/>
              <w:snapToGrid/>
              <w:spacing w:before="98" w:line="360" w:lineRule="auto"/>
              <w:ind w:left="2" w:firstLine="5"/>
              <w:textAlignment w:val="auto"/>
              <w:rPr>
                <w:rFonts w:hint="eastAsia" w:ascii="宋体" w:hAnsi="宋体" w:eastAsia="宋体" w:cs="宋体"/>
                <w:sz w:val="21"/>
                <w:szCs w:val="21"/>
              </w:rPr>
            </w:pPr>
            <w:r>
              <w:rPr>
                <w:rFonts w:hint="eastAsia" w:ascii="宋体" w:hAnsi="宋体" w:eastAsia="宋体" w:cs="宋体"/>
                <w:spacing w:val="-10"/>
                <w:w w:val="99"/>
                <w:sz w:val="21"/>
                <w:szCs w:val="21"/>
              </w:rPr>
              <w:t>4、甲醛含量：符合</w:t>
            </w:r>
            <w:r>
              <w:rPr>
                <w:rFonts w:hint="eastAsia" w:ascii="宋体" w:hAnsi="宋体" w:eastAsia="宋体" w:cs="宋体"/>
                <w:spacing w:val="-28"/>
                <w:sz w:val="21"/>
                <w:szCs w:val="21"/>
              </w:rPr>
              <w:t xml:space="preserve"> </w:t>
            </w:r>
            <w:r>
              <w:rPr>
                <w:rFonts w:hint="eastAsia" w:ascii="宋体" w:hAnsi="宋体" w:eastAsia="宋体" w:cs="宋体"/>
                <w:spacing w:val="-10"/>
                <w:w w:val="99"/>
                <w:sz w:val="21"/>
                <w:szCs w:val="21"/>
              </w:rPr>
              <w:t>18401-2010《国家纺织产品基本安全规范》</w:t>
            </w:r>
            <w:r>
              <w:rPr>
                <w:rFonts w:hint="eastAsia" w:ascii="宋体" w:hAnsi="宋体" w:eastAsia="宋体" w:cs="宋体"/>
                <w:spacing w:val="-35"/>
                <w:sz w:val="21"/>
                <w:szCs w:val="21"/>
              </w:rPr>
              <w:t xml:space="preserve"> </w:t>
            </w:r>
            <w:r>
              <w:rPr>
                <w:rFonts w:hint="eastAsia" w:ascii="宋体" w:hAnsi="宋体" w:eastAsia="宋体" w:cs="宋体"/>
                <w:spacing w:val="-10"/>
                <w:w w:val="99"/>
                <w:sz w:val="21"/>
                <w:szCs w:val="21"/>
              </w:rPr>
              <w:t>C</w:t>
            </w:r>
            <w:r>
              <w:rPr>
                <w:rFonts w:hint="eastAsia" w:ascii="宋体" w:hAnsi="宋体" w:eastAsia="宋体" w:cs="宋体"/>
                <w:spacing w:val="-35"/>
                <w:sz w:val="21"/>
                <w:szCs w:val="21"/>
              </w:rPr>
              <w:t xml:space="preserve"> </w:t>
            </w:r>
            <w:r>
              <w:rPr>
                <w:rFonts w:hint="eastAsia" w:ascii="宋体" w:hAnsi="宋体" w:eastAsia="宋体" w:cs="宋体"/>
                <w:spacing w:val="-10"/>
                <w:w w:val="99"/>
                <w:sz w:val="21"/>
                <w:szCs w:val="21"/>
              </w:rPr>
              <w:t>类标准或以上（B</w:t>
            </w:r>
            <w:r>
              <w:rPr>
                <w:rFonts w:hint="eastAsia" w:ascii="宋体" w:hAnsi="宋体" w:eastAsia="宋体" w:cs="宋体"/>
                <w:spacing w:val="-36"/>
                <w:sz w:val="21"/>
                <w:szCs w:val="21"/>
              </w:rPr>
              <w:t xml:space="preserve"> </w:t>
            </w:r>
            <w:r>
              <w:rPr>
                <w:rFonts w:hint="eastAsia" w:ascii="宋体" w:hAnsi="宋体" w:eastAsia="宋体" w:cs="宋体"/>
                <w:spacing w:val="-10"/>
                <w:w w:val="99"/>
                <w:sz w:val="21"/>
                <w:szCs w:val="21"/>
              </w:rPr>
              <w:t>类、</w:t>
            </w:r>
            <w:r>
              <w:rPr>
                <w:rFonts w:hint="eastAsia" w:ascii="宋体" w:hAnsi="宋体" w:eastAsia="宋体" w:cs="宋体"/>
                <w:sz w:val="21"/>
                <w:szCs w:val="21"/>
              </w:rPr>
              <w:t xml:space="preserve"> </w:t>
            </w:r>
            <w:r>
              <w:rPr>
                <w:rFonts w:hint="eastAsia" w:ascii="宋体" w:hAnsi="宋体" w:eastAsia="宋体" w:cs="宋体"/>
                <w:spacing w:val="-7"/>
                <w:sz w:val="21"/>
                <w:szCs w:val="21"/>
              </w:rPr>
              <w:t>A</w:t>
            </w:r>
            <w:r>
              <w:rPr>
                <w:rFonts w:hint="eastAsia" w:ascii="宋体" w:hAnsi="宋体" w:eastAsia="宋体" w:cs="宋体"/>
                <w:spacing w:val="-33"/>
                <w:sz w:val="21"/>
                <w:szCs w:val="21"/>
              </w:rPr>
              <w:t xml:space="preserve"> </w:t>
            </w:r>
            <w:r>
              <w:rPr>
                <w:rFonts w:hint="eastAsia" w:ascii="宋体" w:hAnsi="宋体" w:eastAsia="宋体" w:cs="宋体"/>
                <w:spacing w:val="-7"/>
                <w:sz w:val="21"/>
                <w:szCs w:val="21"/>
              </w:rPr>
              <w:t>类）</w:t>
            </w:r>
            <w:r>
              <w:rPr>
                <w:rFonts w:hint="eastAsia" w:ascii="宋体" w:hAnsi="宋体" w:eastAsia="宋体" w:cs="宋体"/>
                <w:spacing w:val="12"/>
                <w:sz w:val="21"/>
                <w:szCs w:val="21"/>
              </w:rPr>
              <w:t xml:space="preserve"> </w:t>
            </w:r>
            <w:r>
              <w:rPr>
                <w:rFonts w:hint="eastAsia" w:ascii="宋体" w:hAnsi="宋体" w:eastAsia="宋体" w:cs="宋体"/>
                <w:spacing w:val="-7"/>
                <w:sz w:val="21"/>
                <w:szCs w:val="21"/>
              </w:rPr>
              <w:t>标准，检测标准</w:t>
            </w:r>
            <w:r>
              <w:rPr>
                <w:rFonts w:hint="eastAsia" w:ascii="宋体" w:hAnsi="宋体" w:eastAsia="宋体" w:cs="宋体"/>
                <w:spacing w:val="-46"/>
                <w:sz w:val="21"/>
                <w:szCs w:val="21"/>
              </w:rPr>
              <w:t xml:space="preserve"> </w:t>
            </w:r>
            <w:r>
              <w:rPr>
                <w:rFonts w:hint="eastAsia" w:ascii="宋体" w:hAnsi="宋体" w:eastAsia="宋体" w:cs="宋体"/>
                <w:spacing w:val="-7"/>
                <w:sz w:val="21"/>
                <w:szCs w:val="21"/>
              </w:rPr>
              <w:t>GB/T2912.1-2009</w:t>
            </w:r>
          </w:p>
          <w:p>
            <w:pPr>
              <w:keepNext w:val="0"/>
              <w:keepLines w:val="0"/>
              <w:pageBreakBefore w:val="0"/>
              <w:widowControl w:val="0"/>
              <w:kinsoku/>
              <w:wordWrap/>
              <w:overflowPunct/>
              <w:topLinePunct w:val="0"/>
              <w:autoSpaceDE/>
              <w:autoSpaceDN/>
              <w:bidi w:val="0"/>
              <w:adjustRightInd/>
              <w:snapToGrid/>
              <w:spacing w:before="98" w:line="360" w:lineRule="auto"/>
              <w:ind w:left="17" w:right="77" w:hanging="4"/>
              <w:textAlignment w:val="auto"/>
              <w:rPr>
                <w:rFonts w:hint="eastAsia" w:ascii="宋体" w:hAnsi="宋体" w:eastAsia="宋体" w:cs="宋体"/>
                <w:sz w:val="21"/>
                <w:szCs w:val="21"/>
              </w:rPr>
            </w:pPr>
            <w:r>
              <w:rPr>
                <w:rFonts w:hint="eastAsia" w:ascii="宋体" w:hAnsi="宋体" w:eastAsia="宋体" w:cs="宋体"/>
                <w:spacing w:val="-8"/>
                <w:sz w:val="21"/>
                <w:szCs w:val="21"/>
              </w:rPr>
              <w:t>5、可分解致癌芳香胺染料：</w:t>
            </w:r>
            <w:r>
              <w:rPr>
                <w:rFonts w:hint="eastAsia" w:ascii="宋体" w:hAnsi="宋体" w:eastAsia="宋体" w:cs="宋体"/>
                <w:spacing w:val="78"/>
                <w:sz w:val="21"/>
                <w:szCs w:val="21"/>
              </w:rPr>
              <w:t xml:space="preserve"> </w:t>
            </w:r>
            <w:r>
              <w:rPr>
                <w:rFonts w:hint="eastAsia" w:ascii="宋体" w:hAnsi="宋体" w:eastAsia="宋体" w:cs="宋体"/>
                <w:spacing w:val="-8"/>
                <w:sz w:val="21"/>
                <w:szCs w:val="21"/>
              </w:rPr>
              <w:t>符合</w:t>
            </w:r>
            <w:r>
              <w:rPr>
                <w:rFonts w:hint="eastAsia" w:ascii="宋体" w:hAnsi="宋体" w:eastAsia="宋体" w:cs="宋体"/>
                <w:spacing w:val="-27"/>
                <w:sz w:val="21"/>
                <w:szCs w:val="21"/>
              </w:rPr>
              <w:t xml:space="preserve"> </w:t>
            </w:r>
            <w:r>
              <w:rPr>
                <w:rFonts w:hint="eastAsia" w:ascii="宋体" w:hAnsi="宋体" w:eastAsia="宋体" w:cs="宋体"/>
                <w:spacing w:val="-8"/>
                <w:sz w:val="21"/>
                <w:szCs w:val="21"/>
              </w:rPr>
              <w:t>18401-2010《国家纺织产品基本安全规范》</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禁用标</w:t>
            </w:r>
            <w:r>
              <w:rPr>
                <w:rFonts w:hint="eastAsia" w:ascii="宋体" w:hAnsi="宋体" w:eastAsia="宋体" w:cs="宋体"/>
                <w:sz w:val="21"/>
                <w:szCs w:val="21"/>
              </w:rPr>
              <w:t xml:space="preserve"> </w:t>
            </w:r>
            <w:r>
              <w:rPr>
                <w:rFonts w:hint="eastAsia" w:ascii="宋体" w:hAnsi="宋体" w:eastAsia="宋体" w:cs="宋体"/>
                <w:spacing w:val="-2"/>
                <w:sz w:val="21"/>
                <w:szCs w:val="21"/>
              </w:rPr>
              <w:t>准,检测标准</w:t>
            </w:r>
            <w:r>
              <w:rPr>
                <w:rFonts w:hint="eastAsia" w:ascii="宋体" w:hAnsi="宋体" w:eastAsia="宋体" w:cs="宋体"/>
                <w:spacing w:val="-28"/>
                <w:sz w:val="21"/>
                <w:szCs w:val="21"/>
              </w:rPr>
              <w:t xml:space="preserve"> </w:t>
            </w:r>
            <w:r>
              <w:rPr>
                <w:rFonts w:hint="eastAsia" w:ascii="宋体" w:hAnsi="宋体" w:eastAsia="宋体" w:cs="宋体"/>
                <w:spacing w:val="-2"/>
                <w:sz w:val="21"/>
                <w:szCs w:val="21"/>
              </w:rPr>
              <w:t>GB/T17592-2011。</w:t>
            </w:r>
          </w:p>
          <w:p>
            <w:pPr>
              <w:keepNext w:val="0"/>
              <w:keepLines w:val="0"/>
              <w:pageBreakBefore w:val="0"/>
              <w:widowControl w:val="0"/>
              <w:kinsoku/>
              <w:wordWrap/>
              <w:overflowPunct/>
              <w:topLinePunct w:val="0"/>
              <w:autoSpaceDE/>
              <w:autoSpaceDN/>
              <w:bidi w:val="0"/>
              <w:adjustRightInd/>
              <w:snapToGrid/>
              <w:spacing w:before="96" w:line="360" w:lineRule="auto"/>
              <w:ind w:left="14" w:right="16" w:hanging="4"/>
              <w:textAlignment w:val="auto"/>
              <w:rPr>
                <w:rFonts w:hint="eastAsia" w:ascii="宋体" w:hAnsi="宋体" w:eastAsia="宋体" w:cs="宋体"/>
                <w:sz w:val="21"/>
                <w:szCs w:val="21"/>
              </w:rPr>
            </w:pPr>
            <w:r>
              <w:rPr>
                <w:rFonts w:hint="eastAsia" w:ascii="宋体" w:hAnsi="宋体" w:eastAsia="宋体" w:cs="宋体"/>
                <w:spacing w:val="-5"/>
                <w:sz w:val="21"/>
                <w:szCs w:val="21"/>
              </w:rPr>
              <w:t>6、阻燃标准：检测符合</w:t>
            </w:r>
            <w:r>
              <w:rPr>
                <w:rFonts w:hint="eastAsia" w:ascii="宋体" w:hAnsi="宋体" w:eastAsia="宋体" w:cs="宋体"/>
                <w:spacing w:val="-45"/>
                <w:sz w:val="21"/>
                <w:szCs w:val="21"/>
              </w:rPr>
              <w:t xml:space="preserve"> </w:t>
            </w:r>
            <w:r>
              <w:rPr>
                <w:rFonts w:hint="eastAsia" w:ascii="宋体" w:hAnsi="宋体" w:eastAsia="宋体" w:cs="宋体"/>
                <w:spacing w:val="-5"/>
                <w:sz w:val="21"/>
                <w:szCs w:val="21"/>
              </w:rPr>
              <w:t>GB8624-2012</w:t>
            </w:r>
            <w:r>
              <w:rPr>
                <w:rFonts w:hint="eastAsia" w:ascii="宋体" w:hAnsi="宋体" w:eastAsia="宋体" w:cs="宋体"/>
                <w:spacing w:val="2"/>
                <w:sz w:val="21"/>
                <w:szCs w:val="21"/>
              </w:rPr>
              <w:t xml:space="preserve"> </w:t>
            </w:r>
            <w:r>
              <w:rPr>
                <w:rFonts w:hint="eastAsia" w:ascii="宋体" w:hAnsi="宋体" w:eastAsia="宋体" w:cs="宋体"/>
                <w:spacing w:val="-5"/>
                <w:sz w:val="21"/>
                <w:szCs w:val="21"/>
              </w:rPr>
              <w:t>B1</w:t>
            </w:r>
            <w:r>
              <w:rPr>
                <w:rFonts w:hint="eastAsia" w:ascii="宋体" w:hAnsi="宋体" w:eastAsia="宋体" w:cs="宋体"/>
                <w:spacing w:val="-35"/>
                <w:sz w:val="21"/>
                <w:szCs w:val="21"/>
              </w:rPr>
              <w:t xml:space="preserve"> </w:t>
            </w:r>
            <w:r>
              <w:rPr>
                <w:rFonts w:hint="eastAsia" w:ascii="宋体" w:hAnsi="宋体" w:eastAsia="宋体" w:cs="宋体"/>
                <w:spacing w:val="-5"/>
                <w:sz w:val="21"/>
                <w:szCs w:val="21"/>
              </w:rPr>
              <w:t>级，符合</w:t>
            </w:r>
            <w:r>
              <w:rPr>
                <w:rFonts w:hint="eastAsia" w:ascii="宋体" w:hAnsi="宋体" w:eastAsia="宋体" w:cs="宋体"/>
                <w:spacing w:val="-48"/>
                <w:sz w:val="21"/>
                <w:szCs w:val="21"/>
              </w:rPr>
              <w:t xml:space="preserve"> </w:t>
            </w:r>
            <w:r>
              <w:rPr>
                <w:rFonts w:hint="eastAsia" w:ascii="宋体" w:hAnsi="宋体" w:eastAsia="宋体" w:cs="宋体"/>
                <w:spacing w:val="-5"/>
                <w:sz w:val="21"/>
                <w:szCs w:val="21"/>
              </w:rPr>
              <w:t>GB/T5454-1997、GB/T5455-2014，</w:t>
            </w:r>
            <w:r>
              <w:rPr>
                <w:rFonts w:hint="eastAsia" w:ascii="宋体" w:hAnsi="宋体" w:eastAsia="宋体" w:cs="宋体"/>
                <w:sz w:val="21"/>
                <w:szCs w:val="21"/>
              </w:rPr>
              <w:t xml:space="preserve"> </w:t>
            </w:r>
            <w:r>
              <w:rPr>
                <w:rFonts w:hint="eastAsia" w:ascii="宋体" w:hAnsi="宋体" w:eastAsia="宋体" w:cs="宋体"/>
                <w:spacing w:val="-1"/>
                <w:sz w:val="21"/>
                <w:szCs w:val="21"/>
              </w:rPr>
              <w:t>经向/纬向氧指数≥32%，损毁长度≤150mm，续燃时间≤5S，阴燃时间≤15S，燃烧滴</w:t>
            </w:r>
            <w:r>
              <w:rPr>
                <w:rFonts w:hint="eastAsia" w:ascii="宋体" w:hAnsi="宋体" w:eastAsia="宋体" w:cs="宋体"/>
                <w:spacing w:val="26"/>
                <w:sz w:val="21"/>
                <w:szCs w:val="21"/>
              </w:rPr>
              <w:t xml:space="preserve"> </w:t>
            </w:r>
            <w:r>
              <w:rPr>
                <w:rFonts w:hint="eastAsia" w:ascii="宋体" w:hAnsi="宋体" w:eastAsia="宋体" w:cs="宋体"/>
                <w:spacing w:val="-2"/>
                <w:sz w:val="21"/>
                <w:szCs w:val="21"/>
              </w:rPr>
              <w:t>落物未引起脱脂棉燃烧或阴燃</w:t>
            </w:r>
          </w:p>
          <w:p>
            <w:pPr>
              <w:keepNext w:val="0"/>
              <w:keepLines w:val="0"/>
              <w:pageBreakBefore w:val="0"/>
              <w:widowControl w:val="0"/>
              <w:kinsoku/>
              <w:wordWrap/>
              <w:overflowPunct/>
              <w:topLinePunct w:val="0"/>
              <w:autoSpaceDE/>
              <w:autoSpaceDN/>
              <w:bidi w:val="0"/>
              <w:adjustRightInd/>
              <w:snapToGrid/>
              <w:spacing w:before="98" w:line="360" w:lineRule="auto"/>
              <w:ind w:left="16" w:right="25" w:hanging="3"/>
              <w:textAlignment w:val="auto"/>
              <w:rPr>
                <w:rFonts w:hint="eastAsia" w:ascii="宋体" w:hAnsi="宋体" w:eastAsia="宋体" w:cs="宋体"/>
                <w:sz w:val="21"/>
                <w:szCs w:val="21"/>
              </w:rPr>
            </w:pPr>
            <w:r>
              <w:rPr>
                <w:rFonts w:hint="eastAsia" w:ascii="宋体" w:hAnsi="宋体" w:eastAsia="宋体" w:cs="宋体"/>
                <w:spacing w:val="-8"/>
                <w:sz w:val="21"/>
                <w:szCs w:val="21"/>
              </w:rPr>
              <w:t>7、PH</w:t>
            </w:r>
            <w:r>
              <w:rPr>
                <w:rFonts w:hint="eastAsia" w:ascii="宋体" w:hAnsi="宋体" w:eastAsia="宋体" w:cs="宋体"/>
                <w:spacing w:val="-30"/>
                <w:sz w:val="21"/>
                <w:szCs w:val="21"/>
              </w:rPr>
              <w:t xml:space="preserve"> </w:t>
            </w:r>
            <w:r>
              <w:rPr>
                <w:rFonts w:hint="eastAsia" w:ascii="宋体" w:hAnsi="宋体" w:eastAsia="宋体" w:cs="宋体"/>
                <w:spacing w:val="-8"/>
                <w:sz w:val="21"/>
                <w:szCs w:val="21"/>
              </w:rPr>
              <w:t>值：符合</w:t>
            </w:r>
            <w:r>
              <w:rPr>
                <w:rFonts w:hint="eastAsia" w:ascii="宋体" w:hAnsi="宋体" w:eastAsia="宋体" w:cs="宋体"/>
                <w:spacing w:val="-27"/>
                <w:sz w:val="21"/>
                <w:szCs w:val="21"/>
              </w:rPr>
              <w:t xml:space="preserve"> </w:t>
            </w:r>
            <w:r>
              <w:rPr>
                <w:rFonts w:hint="eastAsia" w:ascii="宋体" w:hAnsi="宋体" w:eastAsia="宋体" w:cs="宋体"/>
                <w:spacing w:val="-8"/>
                <w:sz w:val="21"/>
                <w:szCs w:val="21"/>
              </w:rPr>
              <w:t>18401-2010《国家纺织产品基本安全规范》</w:t>
            </w:r>
            <w:r>
              <w:rPr>
                <w:rFonts w:hint="eastAsia" w:ascii="宋体" w:hAnsi="宋体" w:eastAsia="宋体" w:cs="宋体"/>
                <w:spacing w:val="-5"/>
                <w:sz w:val="21"/>
                <w:szCs w:val="21"/>
              </w:rPr>
              <w:t xml:space="preserve"> </w:t>
            </w:r>
            <w:r>
              <w:rPr>
                <w:rFonts w:hint="eastAsia" w:ascii="宋体" w:hAnsi="宋体" w:eastAsia="宋体" w:cs="宋体"/>
                <w:spacing w:val="-8"/>
                <w:sz w:val="21"/>
                <w:szCs w:val="21"/>
              </w:rPr>
              <w:t>C</w:t>
            </w:r>
            <w:r>
              <w:rPr>
                <w:rFonts w:hint="eastAsia" w:ascii="宋体" w:hAnsi="宋体" w:eastAsia="宋体" w:cs="宋体"/>
                <w:spacing w:val="-37"/>
                <w:sz w:val="21"/>
                <w:szCs w:val="21"/>
              </w:rPr>
              <w:t xml:space="preserve"> </w:t>
            </w:r>
            <w:r>
              <w:rPr>
                <w:rFonts w:hint="eastAsia" w:ascii="宋体" w:hAnsi="宋体" w:eastAsia="宋体" w:cs="宋体"/>
                <w:spacing w:val="-8"/>
                <w:sz w:val="21"/>
                <w:szCs w:val="21"/>
              </w:rPr>
              <w:t>类标准或以上（B</w:t>
            </w:r>
            <w:r>
              <w:rPr>
                <w:rFonts w:hint="eastAsia" w:ascii="宋体" w:hAnsi="宋体" w:eastAsia="宋体" w:cs="宋体"/>
                <w:spacing w:val="-37"/>
                <w:sz w:val="21"/>
                <w:szCs w:val="21"/>
              </w:rPr>
              <w:t xml:space="preserve"> </w:t>
            </w:r>
            <w:r>
              <w:rPr>
                <w:rFonts w:hint="eastAsia" w:ascii="宋体" w:hAnsi="宋体" w:eastAsia="宋体" w:cs="宋体"/>
                <w:spacing w:val="-8"/>
                <w:sz w:val="21"/>
                <w:szCs w:val="21"/>
              </w:rPr>
              <w:t>类、A</w:t>
            </w:r>
            <w:r>
              <w:rPr>
                <w:rFonts w:hint="eastAsia" w:ascii="宋体" w:hAnsi="宋体" w:eastAsia="宋体" w:cs="宋体"/>
                <w:sz w:val="21"/>
                <w:szCs w:val="21"/>
              </w:rPr>
              <w:t xml:space="preserve"> </w:t>
            </w:r>
            <w:r>
              <w:rPr>
                <w:rFonts w:hint="eastAsia" w:ascii="宋体" w:hAnsi="宋体" w:eastAsia="宋体" w:cs="宋体"/>
                <w:spacing w:val="-7"/>
                <w:sz w:val="21"/>
                <w:szCs w:val="21"/>
              </w:rPr>
              <w:t>类）</w:t>
            </w:r>
            <w:r>
              <w:rPr>
                <w:rFonts w:hint="eastAsia" w:ascii="宋体" w:hAnsi="宋体" w:eastAsia="宋体" w:cs="宋体"/>
                <w:spacing w:val="31"/>
                <w:sz w:val="21"/>
                <w:szCs w:val="21"/>
              </w:rPr>
              <w:t xml:space="preserve"> </w:t>
            </w:r>
            <w:r>
              <w:rPr>
                <w:rFonts w:hint="eastAsia" w:ascii="宋体" w:hAnsi="宋体" w:eastAsia="宋体" w:cs="宋体"/>
                <w:spacing w:val="-7"/>
                <w:sz w:val="21"/>
                <w:szCs w:val="21"/>
              </w:rPr>
              <w:t>标准,检测标准</w:t>
            </w:r>
            <w:r>
              <w:rPr>
                <w:rFonts w:hint="eastAsia" w:ascii="宋体" w:hAnsi="宋体" w:eastAsia="宋体" w:cs="宋体"/>
                <w:spacing w:val="-45"/>
                <w:sz w:val="21"/>
                <w:szCs w:val="21"/>
              </w:rPr>
              <w:t xml:space="preserve"> </w:t>
            </w:r>
            <w:r>
              <w:rPr>
                <w:rFonts w:hint="eastAsia" w:ascii="宋体" w:hAnsi="宋体" w:eastAsia="宋体" w:cs="宋体"/>
                <w:spacing w:val="-7"/>
                <w:sz w:val="21"/>
                <w:szCs w:val="21"/>
              </w:rPr>
              <w:t>GB/T7573-2009。</w:t>
            </w:r>
          </w:p>
          <w:p>
            <w:pPr>
              <w:keepNext w:val="0"/>
              <w:keepLines w:val="0"/>
              <w:pageBreakBefore w:val="0"/>
              <w:widowControl w:val="0"/>
              <w:kinsoku/>
              <w:wordWrap/>
              <w:overflowPunct/>
              <w:topLinePunct w:val="0"/>
              <w:autoSpaceDE/>
              <w:autoSpaceDN/>
              <w:bidi w:val="0"/>
              <w:adjustRightInd/>
              <w:snapToGrid/>
              <w:spacing w:before="98" w:line="360" w:lineRule="auto"/>
              <w:ind w:firstLine="9"/>
              <w:textAlignment w:val="auto"/>
              <w:rPr>
                <w:rFonts w:hint="eastAsia" w:ascii="宋体" w:hAnsi="宋体" w:eastAsia="宋体" w:cs="宋体"/>
                <w:sz w:val="21"/>
                <w:szCs w:val="21"/>
              </w:rPr>
            </w:pPr>
            <w:r>
              <w:rPr>
                <w:rFonts w:hint="eastAsia" w:ascii="宋体" w:hAnsi="宋体" w:eastAsia="宋体" w:cs="宋体"/>
                <w:spacing w:val="-8"/>
                <w:sz w:val="21"/>
                <w:szCs w:val="21"/>
              </w:rPr>
              <w:t>8、异味：符合</w:t>
            </w:r>
            <w:r>
              <w:rPr>
                <w:rFonts w:hint="eastAsia" w:ascii="宋体" w:hAnsi="宋体" w:eastAsia="宋体" w:cs="宋体"/>
                <w:spacing w:val="-27"/>
                <w:sz w:val="21"/>
                <w:szCs w:val="21"/>
              </w:rPr>
              <w:t xml:space="preserve"> </w:t>
            </w:r>
            <w:r>
              <w:rPr>
                <w:rFonts w:hint="eastAsia" w:ascii="宋体" w:hAnsi="宋体" w:eastAsia="宋体" w:cs="宋体"/>
                <w:spacing w:val="-8"/>
                <w:sz w:val="21"/>
                <w:szCs w:val="21"/>
              </w:rPr>
              <w:t>18401-2010《国家纺织产品基本安全规范》</w:t>
            </w:r>
            <w:r>
              <w:rPr>
                <w:rFonts w:hint="eastAsia" w:ascii="宋体" w:hAnsi="宋体" w:eastAsia="宋体" w:cs="宋体"/>
                <w:spacing w:val="2"/>
                <w:sz w:val="21"/>
                <w:szCs w:val="21"/>
              </w:rPr>
              <w:t xml:space="preserve"> </w:t>
            </w:r>
            <w:r>
              <w:rPr>
                <w:rFonts w:hint="eastAsia" w:ascii="宋体" w:hAnsi="宋体" w:eastAsia="宋体" w:cs="宋体"/>
                <w:spacing w:val="-8"/>
                <w:sz w:val="21"/>
                <w:szCs w:val="21"/>
              </w:rPr>
              <w:t>标准，实测无异味，</w:t>
            </w:r>
          </w:p>
          <w:p>
            <w:pPr>
              <w:keepNext w:val="0"/>
              <w:keepLines w:val="0"/>
              <w:pageBreakBefore w:val="0"/>
              <w:widowControl w:val="0"/>
              <w:kinsoku/>
              <w:wordWrap/>
              <w:overflowPunct/>
              <w:topLinePunct w:val="0"/>
              <w:autoSpaceDE/>
              <w:autoSpaceDN/>
              <w:bidi w:val="0"/>
              <w:adjustRightInd/>
              <w:snapToGrid/>
              <w:spacing w:before="99" w:line="360" w:lineRule="auto"/>
              <w:ind w:left="18" w:leftChars="0" w:right="24" w:rightChars="0" w:hanging="9" w:firstLineChars="0"/>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8"/>
                <w:sz w:val="21"/>
                <w:szCs w:val="21"/>
              </w:rPr>
              <w:t>9、抗菌性能（吸收法）</w:t>
            </w:r>
            <w:r>
              <w:rPr>
                <w:rFonts w:hint="eastAsia" w:ascii="宋体" w:hAnsi="宋体" w:eastAsia="宋体" w:cs="宋体"/>
                <w:spacing w:val="8"/>
                <w:sz w:val="21"/>
                <w:szCs w:val="21"/>
              </w:rPr>
              <w:t xml:space="preserve"> </w:t>
            </w:r>
            <w:r>
              <w:rPr>
                <w:rFonts w:hint="eastAsia" w:ascii="宋体" w:hAnsi="宋体" w:eastAsia="宋体" w:cs="宋体"/>
                <w:spacing w:val="-8"/>
                <w:sz w:val="21"/>
                <w:szCs w:val="21"/>
              </w:rPr>
              <w:t>水洗</w:t>
            </w:r>
            <w:r>
              <w:rPr>
                <w:rFonts w:hint="eastAsia" w:ascii="宋体" w:hAnsi="宋体" w:eastAsia="宋体" w:cs="宋体"/>
                <w:spacing w:val="-40"/>
                <w:sz w:val="21"/>
                <w:szCs w:val="21"/>
              </w:rPr>
              <w:t xml:space="preserve"> </w:t>
            </w:r>
            <w:r>
              <w:rPr>
                <w:rFonts w:hint="eastAsia" w:ascii="宋体" w:hAnsi="宋体" w:eastAsia="宋体" w:cs="宋体"/>
                <w:spacing w:val="-8"/>
                <w:sz w:val="21"/>
                <w:szCs w:val="21"/>
              </w:rPr>
              <w:t>20</w:t>
            </w:r>
            <w:r>
              <w:rPr>
                <w:rFonts w:hint="eastAsia" w:ascii="宋体" w:hAnsi="宋体" w:eastAsia="宋体" w:cs="宋体"/>
                <w:spacing w:val="-37"/>
                <w:sz w:val="21"/>
                <w:szCs w:val="21"/>
              </w:rPr>
              <w:t xml:space="preserve"> </w:t>
            </w:r>
            <w:r>
              <w:rPr>
                <w:rFonts w:hint="eastAsia" w:ascii="宋体" w:hAnsi="宋体" w:eastAsia="宋体" w:cs="宋体"/>
                <w:spacing w:val="-8"/>
                <w:sz w:val="21"/>
                <w:szCs w:val="21"/>
              </w:rPr>
              <w:t>次以上：</w:t>
            </w:r>
            <w:r>
              <w:rPr>
                <w:rFonts w:hint="eastAsia" w:ascii="宋体" w:hAnsi="宋体" w:eastAsia="宋体" w:cs="宋体"/>
                <w:spacing w:val="48"/>
                <w:sz w:val="21"/>
                <w:szCs w:val="21"/>
              </w:rPr>
              <w:t xml:space="preserve"> </w:t>
            </w:r>
            <w:r>
              <w:rPr>
                <w:rFonts w:hint="eastAsia" w:ascii="宋体" w:hAnsi="宋体" w:eastAsia="宋体" w:cs="宋体"/>
                <w:spacing w:val="-8"/>
                <w:sz w:val="21"/>
                <w:szCs w:val="21"/>
              </w:rPr>
              <w:t>金黄色葡萄球菌、大肠杆菌、肺炎克雷伯氏</w:t>
            </w:r>
            <w:r>
              <w:rPr>
                <w:rFonts w:hint="eastAsia" w:ascii="宋体" w:hAnsi="宋体" w:eastAsia="宋体" w:cs="宋体"/>
                <w:sz w:val="21"/>
                <w:szCs w:val="21"/>
              </w:rPr>
              <w:t xml:space="preserve"> </w:t>
            </w:r>
            <w:r>
              <w:rPr>
                <w:rFonts w:hint="eastAsia" w:ascii="宋体" w:hAnsi="宋体" w:eastAsia="宋体" w:cs="宋体"/>
                <w:spacing w:val="-1"/>
                <w:sz w:val="21"/>
                <w:szCs w:val="21"/>
              </w:rPr>
              <w:t>菌≥90%，检测标准</w:t>
            </w:r>
            <w:r>
              <w:rPr>
                <w:rFonts w:hint="eastAsia" w:ascii="宋体" w:hAnsi="宋体" w:eastAsia="宋体" w:cs="宋体"/>
                <w:spacing w:val="-44"/>
                <w:sz w:val="21"/>
                <w:szCs w:val="21"/>
              </w:rPr>
              <w:t xml:space="preserve"> </w:t>
            </w:r>
            <w:r>
              <w:rPr>
                <w:rFonts w:hint="eastAsia" w:ascii="宋体" w:hAnsi="宋体" w:eastAsia="宋体" w:cs="宋体"/>
                <w:spacing w:val="-1"/>
                <w:sz w:val="21"/>
                <w:szCs w:val="21"/>
              </w:rPr>
              <w:t>GB/T20944.2-2007。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220"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CN" w:bidi="ar-SA"/>
              </w:rPr>
            </w:pPr>
          </w:p>
        </w:tc>
        <w:tc>
          <w:tcPr>
            <w:tcW w:w="7112" w:type="dxa"/>
            <w:vAlign w:val="top"/>
          </w:tcPr>
          <w:p>
            <w:pPr>
              <w:keepNext w:val="0"/>
              <w:keepLines w:val="0"/>
              <w:pageBreakBefore w:val="0"/>
              <w:widowControl w:val="0"/>
              <w:kinsoku/>
              <w:wordWrap/>
              <w:overflowPunct/>
              <w:topLinePunct w:val="0"/>
              <w:autoSpaceDE/>
              <w:autoSpaceDN/>
              <w:bidi w:val="0"/>
              <w:adjustRightInd/>
              <w:snapToGrid/>
              <w:spacing w:before="98" w:line="360" w:lineRule="auto"/>
              <w:ind w:firstLine="38"/>
              <w:textAlignment w:val="auto"/>
              <w:rPr>
                <w:rFonts w:hint="eastAsia" w:ascii="宋体" w:hAnsi="宋体" w:eastAsia="宋体" w:cs="宋体"/>
                <w:sz w:val="21"/>
                <w:szCs w:val="21"/>
              </w:rPr>
            </w:pPr>
            <w:r>
              <w:rPr>
                <w:rFonts w:hint="eastAsia" w:ascii="宋体" w:hAnsi="宋体" w:eastAsia="宋体" w:cs="宋体"/>
                <w:spacing w:val="-5"/>
                <w:sz w:val="21"/>
                <w:szCs w:val="21"/>
                <w14:textOutline w14:w="3797" w14:cap="sq" w14:cmpd="sng" w14:algn="ctr">
                  <w14:solidFill>
                    <w14:srgbClr w14:val="000000"/>
                  </w14:solidFill>
                  <w14:prstDash w14:val="solid"/>
                  <w14:bevel/>
                </w14:textOutline>
              </w:rPr>
              <w:t>电动窗帘轨道：</w:t>
            </w:r>
          </w:p>
          <w:p>
            <w:pPr>
              <w:keepNext w:val="0"/>
              <w:keepLines w:val="0"/>
              <w:pageBreakBefore w:val="0"/>
              <w:widowControl w:val="0"/>
              <w:kinsoku/>
              <w:wordWrap/>
              <w:overflowPunct/>
              <w:topLinePunct w:val="0"/>
              <w:autoSpaceDE/>
              <w:autoSpaceDN/>
              <w:bidi w:val="0"/>
              <w:adjustRightInd/>
              <w:snapToGrid/>
              <w:spacing w:before="98" w:line="360" w:lineRule="auto"/>
              <w:ind w:firstLine="24"/>
              <w:textAlignment w:val="auto"/>
              <w:rPr>
                <w:rFonts w:hint="eastAsia" w:ascii="宋体" w:hAnsi="宋体" w:eastAsia="宋体" w:cs="宋体"/>
                <w:sz w:val="21"/>
                <w:szCs w:val="21"/>
              </w:rPr>
            </w:pPr>
            <w:r>
              <w:rPr>
                <w:rFonts w:hint="eastAsia" w:ascii="宋体" w:hAnsi="宋体" w:eastAsia="宋体" w:cs="宋体"/>
                <w:spacing w:val="-10"/>
                <w:w w:val="99"/>
                <w:sz w:val="21"/>
                <w:szCs w:val="21"/>
              </w:rPr>
              <w:t>1、铝型材标号：</w:t>
            </w:r>
            <w:r>
              <w:rPr>
                <w:rFonts w:hint="eastAsia" w:ascii="宋体" w:hAnsi="宋体" w:eastAsia="宋体" w:cs="宋体"/>
                <w:spacing w:val="45"/>
                <w:sz w:val="21"/>
                <w:szCs w:val="21"/>
              </w:rPr>
              <w:t xml:space="preserve"> </w:t>
            </w:r>
            <w:r>
              <w:rPr>
                <w:rFonts w:hint="eastAsia" w:ascii="宋体" w:hAnsi="宋体" w:eastAsia="宋体" w:cs="宋体"/>
                <w:spacing w:val="-10"/>
                <w:w w:val="99"/>
                <w:sz w:val="21"/>
                <w:szCs w:val="21"/>
              </w:rPr>
              <w:t>6063-T5</w:t>
            </w:r>
          </w:p>
          <w:p>
            <w:pPr>
              <w:keepNext w:val="0"/>
              <w:keepLines w:val="0"/>
              <w:pageBreakBefore w:val="0"/>
              <w:widowControl w:val="0"/>
              <w:kinsoku/>
              <w:wordWrap/>
              <w:overflowPunct/>
              <w:topLinePunct w:val="0"/>
              <w:autoSpaceDE/>
              <w:autoSpaceDN/>
              <w:bidi w:val="0"/>
              <w:adjustRightInd/>
              <w:snapToGrid/>
              <w:spacing w:before="98" w:line="360" w:lineRule="auto"/>
              <w:ind w:firstLine="11"/>
              <w:textAlignment w:val="auto"/>
              <w:rPr>
                <w:rFonts w:hint="eastAsia" w:ascii="宋体" w:hAnsi="宋体" w:eastAsia="宋体" w:cs="宋体"/>
                <w:sz w:val="21"/>
                <w:szCs w:val="21"/>
              </w:rPr>
            </w:pPr>
            <w:r>
              <w:rPr>
                <w:rFonts w:hint="eastAsia" w:ascii="宋体" w:hAnsi="宋体" w:eastAsia="宋体" w:cs="宋体"/>
                <w:spacing w:val="-1"/>
                <w:sz w:val="21"/>
                <w:szCs w:val="21"/>
              </w:rPr>
              <w:t>2、轨道弯曲度≤0.15mm</w:t>
            </w:r>
          </w:p>
          <w:p>
            <w:pPr>
              <w:keepNext w:val="0"/>
              <w:keepLines w:val="0"/>
              <w:pageBreakBefore w:val="0"/>
              <w:widowControl w:val="0"/>
              <w:kinsoku/>
              <w:wordWrap/>
              <w:overflowPunct/>
              <w:topLinePunct w:val="0"/>
              <w:autoSpaceDE/>
              <w:autoSpaceDN/>
              <w:bidi w:val="0"/>
              <w:adjustRightInd/>
              <w:snapToGrid/>
              <w:spacing w:before="98" w:line="360" w:lineRule="auto"/>
              <w:ind w:firstLine="13"/>
              <w:textAlignment w:val="auto"/>
              <w:rPr>
                <w:rFonts w:hint="eastAsia" w:ascii="宋体" w:hAnsi="宋体" w:eastAsia="宋体" w:cs="宋体"/>
                <w:sz w:val="21"/>
                <w:szCs w:val="21"/>
              </w:rPr>
            </w:pPr>
            <w:r>
              <w:rPr>
                <w:rFonts w:hint="eastAsia" w:ascii="宋体" w:hAnsi="宋体" w:eastAsia="宋体" w:cs="宋体"/>
                <w:spacing w:val="-5"/>
                <w:sz w:val="21"/>
                <w:szCs w:val="21"/>
              </w:rPr>
              <w:t>3、规格为宽*长≥（宽</w:t>
            </w:r>
            <w:r>
              <w:rPr>
                <w:rFonts w:hint="eastAsia" w:ascii="宋体" w:hAnsi="宋体" w:eastAsia="宋体" w:cs="宋体"/>
                <w:spacing w:val="-32"/>
                <w:sz w:val="21"/>
                <w:szCs w:val="21"/>
              </w:rPr>
              <w:t xml:space="preserve"> </w:t>
            </w:r>
            <w:r>
              <w:rPr>
                <w:rFonts w:hint="eastAsia" w:ascii="宋体" w:hAnsi="宋体" w:eastAsia="宋体" w:cs="宋体"/>
                <w:spacing w:val="-5"/>
                <w:sz w:val="21"/>
                <w:szCs w:val="21"/>
              </w:rPr>
              <w:t>28mm*长</w:t>
            </w:r>
            <w:r>
              <w:rPr>
                <w:rFonts w:hint="eastAsia" w:ascii="宋体" w:hAnsi="宋体" w:eastAsia="宋体" w:cs="宋体"/>
                <w:spacing w:val="-40"/>
                <w:sz w:val="21"/>
                <w:szCs w:val="21"/>
              </w:rPr>
              <w:t xml:space="preserve"> </w:t>
            </w:r>
            <w:r>
              <w:rPr>
                <w:rFonts w:hint="eastAsia" w:ascii="宋体" w:hAnsi="宋体" w:eastAsia="宋体" w:cs="宋体"/>
                <w:spacing w:val="-5"/>
                <w:sz w:val="21"/>
                <w:szCs w:val="21"/>
              </w:rPr>
              <w:t>22mm）</w:t>
            </w:r>
            <w:r>
              <w:rPr>
                <w:rFonts w:hint="eastAsia" w:ascii="宋体" w:hAnsi="宋体" w:eastAsia="宋体" w:cs="宋体"/>
                <w:spacing w:val="22"/>
                <w:sz w:val="21"/>
                <w:szCs w:val="21"/>
              </w:rPr>
              <w:t xml:space="preserve"> </w:t>
            </w:r>
            <w:r>
              <w:rPr>
                <w:rFonts w:hint="eastAsia" w:ascii="宋体" w:hAnsi="宋体" w:eastAsia="宋体" w:cs="宋体"/>
                <w:spacing w:val="-5"/>
                <w:sz w:val="21"/>
                <w:szCs w:val="21"/>
              </w:rPr>
              <w:t>方形轨道，国标型材厚度:</w:t>
            </w:r>
            <w:r>
              <w:rPr>
                <w:rFonts w:hint="eastAsia" w:ascii="宋体" w:hAnsi="宋体" w:eastAsia="宋体" w:cs="宋体"/>
                <w:spacing w:val="27"/>
                <w:sz w:val="21"/>
                <w:szCs w:val="21"/>
              </w:rPr>
              <w:t xml:space="preserve"> </w:t>
            </w:r>
            <w:r>
              <w:rPr>
                <w:rFonts w:hint="eastAsia" w:ascii="宋体" w:hAnsi="宋体" w:eastAsia="宋体" w:cs="宋体"/>
                <w:spacing w:val="-5"/>
                <w:sz w:val="21"/>
                <w:szCs w:val="21"/>
              </w:rPr>
              <w:t>≥2.0mm</w:t>
            </w:r>
          </w:p>
          <w:p>
            <w:pPr>
              <w:keepNext w:val="0"/>
              <w:keepLines w:val="0"/>
              <w:pageBreakBefore w:val="0"/>
              <w:widowControl w:val="0"/>
              <w:kinsoku/>
              <w:wordWrap/>
              <w:overflowPunct/>
              <w:topLinePunct w:val="0"/>
              <w:autoSpaceDE/>
              <w:autoSpaceDN/>
              <w:bidi w:val="0"/>
              <w:adjustRightInd/>
              <w:snapToGrid/>
              <w:spacing w:before="99" w:line="360" w:lineRule="auto"/>
              <w:ind w:left="11" w:right="341" w:hanging="3"/>
              <w:textAlignment w:val="auto"/>
              <w:rPr>
                <w:rFonts w:hint="eastAsia" w:ascii="宋体" w:hAnsi="宋体" w:eastAsia="宋体" w:cs="宋体"/>
                <w:sz w:val="21"/>
                <w:szCs w:val="21"/>
              </w:rPr>
            </w:pPr>
            <w:r>
              <w:rPr>
                <w:rFonts w:hint="eastAsia" w:ascii="宋体" w:hAnsi="宋体" w:eastAsia="宋体" w:cs="宋体"/>
                <w:spacing w:val="-4"/>
                <w:sz w:val="21"/>
                <w:szCs w:val="21"/>
              </w:rPr>
              <w:t>4、力学性能：</w:t>
            </w:r>
            <w:r>
              <w:rPr>
                <w:rFonts w:hint="eastAsia" w:ascii="宋体" w:hAnsi="宋体" w:eastAsia="宋体" w:cs="宋体"/>
                <w:spacing w:val="57"/>
                <w:sz w:val="21"/>
                <w:szCs w:val="21"/>
              </w:rPr>
              <w:t xml:space="preserve"> </w:t>
            </w:r>
            <w:r>
              <w:rPr>
                <w:rFonts w:hint="eastAsia" w:ascii="宋体" w:hAnsi="宋体" w:eastAsia="宋体" w:cs="宋体"/>
                <w:spacing w:val="-4"/>
                <w:sz w:val="21"/>
                <w:szCs w:val="21"/>
              </w:rPr>
              <w:t>韦氏硬度≥10.5HW，规定非比例延伸强度≥205N/mm2，抗拉强度≥</w:t>
            </w:r>
            <w:r>
              <w:rPr>
                <w:rFonts w:hint="eastAsia" w:ascii="宋体" w:hAnsi="宋体" w:eastAsia="宋体" w:cs="宋体"/>
                <w:sz w:val="21"/>
                <w:szCs w:val="21"/>
              </w:rPr>
              <w:t xml:space="preserve"> </w:t>
            </w:r>
            <w:r>
              <w:rPr>
                <w:rFonts w:hint="eastAsia" w:ascii="宋体" w:hAnsi="宋体" w:eastAsia="宋体" w:cs="宋体"/>
                <w:spacing w:val="-1"/>
                <w:sz w:val="21"/>
                <w:szCs w:val="21"/>
              </w:rPr>
              <w:t>230N/mm2</w:t>
            </w:r>
            <w:r>
              <w:rPr>
                <w:rFonts w:hint="eastAsia" w:ascii="宋体" w:hAnsi="宋体" w:eastAsia="宋体" w:cs="宋体"/>
                <w:spacing w:val="4"/>
                <w:sz w:val="21"/>
                <w:szCs w:val="21"/>
              </w:rPr>
              <w:t>，，</w:t>
            </w:r>
            <w:r>
              <w:rPr>
                <w:rFonts w:hint="eastAsia" w:ascii="宋体" w:hAnsi="宋体" w:eastAsia="宋体" w:cs="宋体"/>
                <w:spacing w:val="-1"/>
                <w:sz w:val="21"/>
                <w:szCs w:val="21"/>
              </w:rPr>
              <w:t>断后伸长率≥8.5%</w:t>
            </w:r>
          </w:p>
          <w:p>
            <w:pPr>
              <w:keepNext w:val="0"/>
              <w:keepLines w:val="0"/>
              <w:pageBreakBefore w:val="0"/>
              <w:widowControl w:val="0"/>
              <w:kinsoku/>
              <w:wordWrap/>
              <w:overflowPunct/>
              <w:topLinePunct w:val="0"/>
              <w:autoSpaceDE/>
              <w:autoSpaceDN/>
              <w:bidi w:val="0"/>
              <w:adjustRightInd/>
              <w:snapToGrid/>
              <w:spacing w:before="98" w:line="360" w:lineRule="auto"/>
              <w:ind w:firstLine="13"/>
              <w:textAlignment w:val="auto"/>
              <w:rPr>
                <w:rFonts w:hint="eastAsia" w:ascii="宋体" w:hAnsi="宋体" w:eastAsia="宋体" w:cs="宋体"/>
                <w:sz w:val="21"/>
                <w:szCs w:val="21"/>
              </w:rPr>
            </w:pPr>
            <w:r>
              <w:rPr>
                <w:rFonts w:hint="eastAsia" w:ascii="宋体" w:hAnsi="宋体" w:eastAsia="宋体" w:cs="宋体"/>
                <w:spacing w:val="-8"/>
                <w:sz w:val="21"/>
                <w:szCs w:val="21"/>
              </w:rPr>
              <w:t>5、压痕硬度（膜层抗压痕性）</w:t>
            </w:r>
            <w:r>
              <w:rPr>
                <w:rFonts w:hint="eastAsia" w:ascii="宋体" w:hAnsi="宋体" w:eastAsia="宋体" w:cs="宋体"/>
                <w:spacing w:val="17"/>
                <w:sz w:val="21"/>
                <w:szCs w:val="21"/>
              </w:rPr>
              <w:t xml:space="preserve"> </w:t>
            </w:r>
            <w:r>
              <w:rPr>
                <w:rFonts w:hint="eastAsia" w:ascii="宋体" w:hAnsi="宋体" w:eastAsia="宋体" w:cs="宋体"/>
                <w:spacing w:val="-8"/>
                <w:sz w:val="21"/>
                <w:szCs w:val="21"/>
              </w:rPr>
              <w:t>≥95</w:t>
            </w:r>
          </w:p>
          <w:p>
            <w:pPr>
              <w:keepNext w:val="0"/>
              <w:keepLines w:val="0"/>
              <w:pageBreakBefore w:val="0"/>
              <w:widowControl w:val="0"/>
              <w:kinsoku/>
              <w:wordWrap/>
              <w:overflowPunct/>
              <w:topLinePunct w:val="0"/>
              <w:autoSpaceDE/>
              <w:autoSpaceDN/>
              <w:bidi w:val="0"/>
              <w:adjustRightInd/>
              <w:snapToGrid/>
              <w:spacing w:before="98" w:line="360" w:lineRule="auto"/>
              <w:ind w:firstLine="10" w:firstLineChars="0"/>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1"/>
                <w:sz w:val="21"/>
                <w:szCs w:val="21"/>
              </w:rPr>
              <w:t>6、轨道具有耐盐酸性、耐溶剂性、耐洗涤剂性，滑珠吊环为不锈钢。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220"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before="68" w:line="36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1"/>
                <w:sz w:val="21"/>
                <w:szCs w:val="21"/>
                <w14:textOutline w14:w="3797" w14:cap="sq" w14:cmpd="sng" w14:algn="ctr">
                  <w14:solidFill>
                    <w14:srgbClr w14:val="000000"/>
                  </w14:solidFill>
                  <w14:prstDash w14:val="solid"/>
                  <w14:bevel/>
                </w14:textOutline>
              </w:rPr>
              <w:t>8.手动纱帘</w:t>
            </w:r>
          </w:p>
        </w:tc>
        <w:tc>
          <w:tcPr>
            <w:tcW w:w="7112" w:type="dxa"/>
            <w:vAlign w:val="top"/>
          </w:tcPr>
          <w:p>
            <w:pPr>
              <w:keepNext w:val="0"/>
              <w:keepLines w:val="0"/>
              <w:pageBreakBefore w:val="0"/>
              <w:widowControl w:val="0"/>
              <w:kinsoku/>
              <w:wordWrap/>
              <w:overflowPunct/>
              <w:topLinePunct w:val="0"/>
              <w:autoSpaceDE/>
              <w:autoSpaceDN/>
              <w:bidi w:val="0"/>
              <w:adjustRightInd/>
              <w:snapToGrid/>
              <w:spacing w:before="54" w:line="360" w:lineRule="auto"/>
              <w:ind w:firstLine="19"/>
              <w:textAlignment w:val="auto"/>
              <w:rPr>
                <w:rFonts w:hint="eastAsia" w:ascii="宋体" w:hAnsi="宋体" w:eastAsia="宋体" w:cs="宋体"/>
                <w:sz w:val="21"/>
                <w:szCs w:val="21"/>
              </w:rPr>
            </w:pPr>
            <w:r>
              <w:rPr>
                <w:rFonts w:hint="eastAsia" w:ascii="宋体" w:hAnsi="宋体" w:eastAsia="宋体" w:cs="宋体"/>
                <w:spacing w:val="-4"/>
                <w:sz w:val="21"/>
                <w:szCs w:val="21"/>
                <w14:textOutline w14:w="3797" w14:cap="sq" w14:cmpd="sng" w14:algn="ctr">
                  <w14:solidFill>
                    <w14:srgbClr w14:val="000000"/>
                  </w14:solidFill>
                  <w14:prstDash w14:val="solid"/>
                  <w14:bevel/>
                </w14:textOutline>
              </w:rPr>
              <w:t>面料部分：</w:t>
            </w:r>
          </w:p>
          <w:p>
            <w:pPr>
              <w:keepNext w:val="0"/>
              <w:keepLines w:val="0"/>
              <w:pageBreakBefore w:val="0"/>
              <w:widowControl w:val="0"/>
              <w:kinsoku/>
              <w:wordWrap/>
              <w:overflowPunct/>
              <w:topLinePunct w:val="0"/>
              <w:autoSpaceDE/>
              <w:autoSpaceDN/>
              <w:bidi w:val="0"/>
              <w:adjustRightInd/>
              <w:snapToGrid/>
              <w:spacing w:before="98" w:line="360" w:lineRule="auto"/>
              <w:ind w:firstLine="24"/>
              <w:textAlignment w:val="auto"/>
              <w:rPr>
                <w:rFonts w:hint="eastAsia" w:ascii="宋体" w:hAnsi="宋体" w:eastAsia="宋体" w:cs="宋体"/>
                <w:sz w:val="21"/>
                <w:szCs w:val="21"/>
              </w:rPr>
            </w:pPr>
            <w:r>
              <w:rPr>
                <w:rFonts w:hint="eastAsia" w:ascii="宋体" w:hAnsi="宋体" w:eastAsia="宋体" w:cs="宋体"/>
                <w:spacing w:val="-6"/>
                <w:sz w:val="21"/>
                <w:szCs w:val="21"/>
              </w:rPr>
              <w:t>1、成分：</w:t>
            </w:r>
            <w:r>
              <w:rPr>
                <w:rFonts w:hint="eastAsia" w:ascii="宋体" w:hAnsi="宋体" w:eastAsia="宋体" w:cs="宋体"/>
                <w:spacing w:val="57"/>
                <w:sz w:val="21"/>
                <w:szCs w:val="21"/>
              </w:rPr>
              <w:t xml:space="preserve"> </w:t>
            </w:r>
            <w:r>
              <w:rPr>
                <w:rFonts w:hint="eastAsia" w:ascii="宋体" w:hAnsi="宋体" w:eastAsia="宋体" w:cs="宋体"/>
                <w:spacing w:val="-6"/>
                <w:sz w:val="21"/>
                <w:szCs w:val="21"/>
              </w:rPr>
              <w:t>100%聚酯纤维，检测标准</w:t>
            </w:r>
            <w:r>
              <w:rPr>
                <w:rFonts w:hint="eastAsia" w:ascii="宋体" w:hAnsi="宋体" w:eastAsia="宋体" w:cs="宋体"/>
                <w:spacing w:val="-46"/>
                <w:sz w:val="21"/>
                <w:szCs w:val="21"/>
              </w:rPr>
              <w:t xml:space="preserve"> </w:t>
            </w:r>
            <w:r>
              <w:rPr>
                <w:rFonts w:hint="eastAsia" w:ascii="宋体" w:hAnsi="宋体" w:eastAsia="宋体" w:cs="宋体"/>
                <w:spacing w:val="-6"/>
                <w:sz w:val="21"/>
                <w:szCs w:val="21"/>
              </w:rPr>
              <w:t>FZ/T01057-2007</w:t>
            </w:r>
          </w:p>
          <w:p>
            <w:pPr>
              <w:keepNext w:val="0"/>
              <w:keepLines w:val="0"/>
              <w:pageBreakBefore w:val="0"/>
              <w:widowControl w:val="0"/>
              <w:kinsoku/>
              <w:wordWrap/>
              <w:overflowPunct/>
              <w:topLinePunct w:val="0"/>
              <w:autoSpaceDE/>
              <w:autoSpaceDN/>
              <w:bidi w:val="0"/>
              <w:adjustRightInd/>
              <w:snapToGrid/>
              <w:spacing w:before="98" w:line="360" w:lineRule="auto"/>
              <w:ind w:firstLine="11"/>
              <w:textAlignment w:val="auto"/>
              <w:rPr>
                <w:rFonts w:hint="eastAsia" w:ascii="宋体" w:hAnsi="宋体" w:eastAsia="宋体" w:cs="宋体"/>
                <w:sz w:val="21"/>
                <w:szCs w:val="21"/>
              </w:rPr>
            </w:pPr>
            <w:r>
              <w:rPr>
                <w:rFonts w:hint="eastAsia" w:ascii="宋体" w:hAnsi="宋体" w:eastAsia="宋体" w:cs="宋体"/>
                <w:spacing w:val="-7"/>
                <w:sz w:val="21"/>
                <w:szCs w:val="21"/>
              </w:rPr>
              <w:t>2、单位面积质量：</w:t>
            </w:r>
            <w:r>
              <w:rPr>
                <w:rFonts w:hint="eastAsia" w:ascii="宋体" w:hAnsi="宋体" w:eastAsia="宋体" w:cs="宋体"/>
                <w:spacing w:val="62"/>
                <w:sz w:val="21"/>
                <w:szCs w:val="21"/>
              </w:rPr>
              <w:t xml:space="preserve"> </w:t>
            </w:r>
            <w:r>
              <w:rPr>
                <w:rFonts w:hint="eastAsia" w:ascii="宋体" w:hAnsi="宋体" w:eastAsia="宋体" w:cs="宋体"/>
                <w:spacing w:val="-7"/>
                <w:sz w:val="21"/>
                <w:szCs w:val="21"/>
              </w:rPr>
              <w:t>≥50g/㎡</w:t>
            </w:r>
            <w:r>
              <w:rPr>
                <w:rFonts w:hint="eastAsia" w:ascii="宋体" w:hAnsi="宋体" w:eastAsia="宋体" w:cs="宋体"/>
                <w:spacing w:val="-60"/>
                <w:sz w:val="21"/>
                <w:szCs w:val="21"/>
              </w:rPr>
              <w:t xml:space="preserve"> </w:t>
            </w:r>
            <w:r>
              <w:rPr>
                <w:rFonts w:hint="eastAsia" w:ascii="宋体" w:hAnsi="宋体" w:eastAsia="宋体" w:cs="宋体"/>
                <w:spacing w:val="-7"/>
                <w:sz w:val="21"/>
                <w:szCs w:val="21"/>
              </w:rPr>
              <w:t>，检测标准</w:t>
            </w:r>
            <w:r>
              <w:rPr>
                <w:rFonts w:hint="eastAsia" w:ascii="宋体" w:hAnsi="宋体" w:eastAsia="宋体" w:cs="宋体"/>
                <w:spacing w:val="-45"/>
                <w:sz w:val="21"/>
                <w:szCs w:val="21"/>
              </w:rPr>
              <w:t xml:space="preserve"> </w:t>
            </w:r>
            <w:r>
              <w:rPr>
                <w:rFonts w:hint="eastAsia" w:ascii="宋体" w:hAnsi="宋体" w:eastAsia="宋体" w:cs="宋体"/>
                <w:spacing w:val="-7"/>
                <w:sz w:val="21"/>
                <w:szCs w:val="21"/>
              </w:rPr>
              <w:t>GB/T4669-2008</w:t>
            </w:r>
          </w:p>
          <w:p>
            <w:pPr>
              <w:keepNext w:val="0"/>
              <w:keepLines w:val="0"/>
              <w:pageBreakBefore w:val="0"/>
              <w:widowControl w:val="0"/>
              <w:kinsoku/>
              <w:wordWrap/>
              <w:overflowPunct/>
              <w:topLinePunct w:val="0"/>
              <w:autoSpaceDE/>
              <w:autoSpaceDN/>
              <w:bidi w:val="0"/>
              <w:adjustRightInd/>
              <w:snapToGrid/>
              <w:spacing w:before="98" w:line="360" w:lineRule="auto"/>
              <w:ind w:firstLine="13"/>
              <w:textAlignment w:val="auto"/>
              <w:rPr>
                <w:rFonts w:hint="eastAsia" w:ascii="宋体" w:hAnsi="宋体" w:eastAsia="宋体" w:cs="宋体"/>
                <w:sz w:val="21"/>
                <w:szCs w:val="21"/>
              </w:rPr>
            </w:pPr>
            <w:r>
              <w:rPr>
                <w:rFonts w:hint="eastAsia" w:ascii="宋体" w:hAnsi="宋体" w:eastAsia="宋体" w:cs="宋体"/>
                <w:spacing w:val="-8"/>
                <w:sz w:val="21"/>
                <w:szCs w:val="21"/>
              </w:rPr>
              <w:t>3、织物密度：</w:t>
            </w:r>
            <w:r>
              <w:rPr>
                <w:rFonts w:hint="eastAsia" w:ascii="宋体" w:hAnsi="宋体" w:eastAsia="宋体" w:cs="宋体"/>
                <w:spacing w:val="88"/>
                <w:sz w:val="21"/>
                <w:szCs w:val="21"/>
              </w:rPr>
              <w:t xml:space="preserve"> </w:t>
            </w:r>
            <w:r>
              <w:rPr>
                <w:rFonts w:hint="eastAsia" w:ascii="宋体" w:hAnsi="宋体" w:eastAsia="宋体" w:cs="宋体"/>
                <w:spacing w:val="-8"/>
                <w:sz w:val="21"/>
                <w:szCs w:val="21"/>
              </w:rPr>
              <w:t>经密≥90</w:t>
            </w:r>
            <w:r>
              <w:rPr>
                <w:rFonts w:hint="eastAsia" w:ascii="宋体" w:hAnsi="宋体" w:eastAsia="宋体" w:cs="宋体"/>
                <w:spacing w:val="-38"/>
                <w:sz w:val="21"/>
                <w:szCs w:val="21"/>
              </w:rPr>
              <w:t xml:space="preserve"> </w:t>
            </w:r>
            <w:r>
              <w:rPr>
                <w:rFonts w:hint="eastAsia" w:ascii="宋体" w:hAnsi="宋体" w:eastAsia="宋体" w:cs="宋体"/>
                <w:spacing w:val="-8"/>
                <w:sz w:val="21"/>
                <w:szCs w:val="21"/>
              </w:rPr>
              <w:t>根/10cm，纬密≥150</w:t>
            </w:r>
            <w:r>
              <w:rPr>
                <w:rFonts w:hint="eastAsia" w:ascii="宋体" w:hAnsi="宋体" w:eastAsia="宋体" w:cs="宋体"/>
                <w:spacing w:val="-37"/>
                <w:sz w:val="21"/>
                <w:szCs w:val="21"/>
              </w:rPr>
              <w:t xml:space="preserve"> </w:t>
            </w:r>
            <w:r>
              <w:rPr>
                <w:rFonts w:hint="eastAsia" w:ascii="宋体" w:hAnsi="宋体" w:eastAsia="宋体" w:cs="宋体"/>
                <w:spacing w:val="-8"/>
                <w:sz w:val="21"/>
                <w:szCs w:val="21"/>
              </w:rPr>
              <w:t>根/10cm；</w:t>
            </w:r>
            <w:r>
              <w:rPr>
                <w:rFonts w:hint="eastAsia" w:ascii="宋体" w:hAnsi="宋体" w:eastAsia="宋体" w:cs="宋体"/>
                <w:spacing w:val="47"/>
                <w:sz w:val="21"/>
                <w:szCs w:val="21"/>
              </w:rPr>
              <w:t xml:space="preserve"> </w:t>
            </w:r>
            <w:r>
              <w:rPr>
                <w:rFonts w:hint="eastAsia" w:ascii="宋体" w:hAnsi="宋体" w:eastAsia="宋体" w:cs="宋体"/>
                <w:spacing w:val="-8"/>
                <w:sz w:val="21"/>
                <w:szCs w:val="21"/>
              </w:rPr>
              <w:t>检测标准</w:t>
            </w:r>
            <w:r>
              <w:rPr>
                <w:rFonts w:hint="eastAsia" w:ascii="宋体" w:hAnsi="宋体" w:eastAsia="宋体" w:cs="宋体"/>
                <w:spacing w:val="-48"/>
                <w:sz w:val="21"/>
                <w:szCs w:val="21"/>
              </w:rPr>
              <w:t xml:space="preserve"> </w:t>
            </w:r>
            <w:r>
              <w:rPr>
                <w:rFonts w:hint="eastAsia" w:ascii="宋体" w:hAnsi="宋体" w:eastAsia="宋体" w:cs="宋体"/>
                <w:spacing w:val="-8"/>
                <w:sz w:val="21"/>
                <w:szCs w:val="21"/>
              </w:rPr>
              <w:t>GB/T4668-1995</w:t>
            </w:r>
          </w:p>
          <w:p>
            <w:pPr>
              <w:keepNext w:val="0"/>
              <w:keepLines w:val="0"/>
              <w:pageBreakBefore w:val="0"/>
              <w:widowControl w:val="0"/>
              <w:kinsoku/>
              <w:wordWrap/>
              <w:overflowPunct/>
              <w:topLinePunct w:val="0"/>
              <w:autoSpaceDE/>
              <w:autoSpaceDN/>
              <w:bidi w:val="0"/>
              <w:adjustRightInd/>
              <w:snapToGrid/>
              <w:spacing w:before="98" w:line="360" w:lineRule="auto"/>
              <w:ind w:left="2" w:firstLine="5"/>
              <w:textAlignment w:val="auto"/>
              <w:rPr>
                <w:rFonts w:hint="eastAsia" w:ascii="宋体" w:hAnsi="宋体" w:eastAsia="宋体" w:cs="宋体"/>
                <w:sz w:val="21"/>
                <w:szCs w:val="21"/>
              </w:rPr>
            </w:pPr>
            <w:r>
              <w:rPr>
                <w:rFonts w:hint="eastAsia" w:ascii="宋体" w:hAnsi="宋体" w:eastAsia="宋体" w:cs="宋体"/>
                <w:spacing w:val="-10"/>
                <w:w w:val="99"/>
                <w:sz w:val="21"/>
                <w:szCs w:val="21"/>
              </w:rPr>
              <w:t>4、甲醛含量：</w:t>
            </w:r>
            <w:r>
              <w:rPr>
                <w:rFonts w:hint="eastAsia" w:ascii="宋体" w:hAnsi="宋体" w:eastAsia="宋体" w:cs="宋体"/>
                <w:spacing w:val="39"/>
                <w:sz w:val="21"/>
                <w:szCs w:val="21"/>
              </w:rPr>
              <w:t xml:space="preserve"> </w:t>
            </w:r>
            <w:r>
              <w:rPr>
                <w:rFonts w:hint="eastAsia" w:ascii="宋体" w:hAnsi="宋体" w:eastAsia="宋体" w:cs="宋体"/>
                <w:spacing w:val="-10"/>
                <w:w w:val="99"/>
                <w:sz w:val="21"/>
                <w:szCs w:val="21"/>
              </w:rPr>
              <w:t>符合</w:t>
            </w:r>
            <w:r>
              <w:rPr>
                <w:rFonts w:hint="eastAsia" w:ascii="宋体" w:hAnsi="宋体" w:eastAsia="宋体" w:cs="宋体"/>
                <w:spacing w:val="-28"/>
                <w:sz w:val="21"/>
                <w:szCs w:val="21"/>
              </w:rPr>
              <w:t xml:space="preserve"> </w:t>
            </w:r>
            <w:r>
              <w:rPr>
                <w:rFonts w:hint="eastAsia" w:ascii="宋体" w:hAnsi="宋体" w:eastAsia="宋体" w:cs="宋体"/>
                <w:spacing w:val="-10"/>
                <w:w w:val="99"/>
                <w:sz w:val="21"/>
                <w:szCs w:val="21"/>
              </w:rPr>
              <w:t>18401-2010《国家纺织产品基本安全规范》</w:t>
            </w:r>
            <w:r>
              <w:rPr>
                <w:rFonts w:hint="eastAsia" w:ascii="宋体" w:hAnsi="宋体" w:eastAsia="宋体" w:cs="宋体"/>
                <w:spacing w:val="-35"/>
                <w:sz w:val="21"/>
                <w:szCs w:val="21"/>
              </w:rPr>
              <w:t xml:space="preserve"> </w:t>
            </w:r>
            <w:r>
              <w:rPr>
                <w:rFonts w:hint="eastAsia" w:ascii="宋体" w:hAnsi="宋体" w:eastAsia="宋体" w:cs="宋体"/>
                <w:spacing w:val="-10"/>
                <w:w w:val="99"/>
                <w:sz w:val="21"/>
                <w:szCs w:val="21"/>
              </w:rPr>
              <w:t>C</w:t>
            </w:r>
            <w:r>
              <w:rPr>
                <w:rFonts w:hint="eastAsia" w:ascii="宋体" w:hAnsi="宋体" w:eastAsia="宋体" w:cs="宋体"/>
                <w:spacing w:val="-35"/>
                <w:sz w:val="21"/>
                <w:szCs w:val="21"/>
              </w:rPr>
              <w:t xml:space="preserve"> </w:t>
            </w:r>
            <w:r>
              <w:rPr>
                <w:rFonts w:hint="eastAsia" w:ascii="宋体" w:hAnsi="宋体" w:eastAsia="宋体" w:cs="宋体"/>
                <w:spacing w:val="-10"/>
                <w:w w:val="99"/>
                <w:sz w:val="21"/>
                <w:szCs w:val="21"/>
              </w:rPr>
              <w:t>类标准或以上（B</w:t>
            </w:r>
            <w:r>
              <w:rPr>
                <w:rFonts w:hint="eastAsia" w:ascii="宋体" w:hAnsi="宋体" w:eastAsia="宋体" w:cs="宋体"/>
                <w:spacing w:val="-36"/>
                <w:sz w:val="21"/>
                <w:szCs w:val="21"/>
              </w:rPr>
              <w:t xml:space="preserve"> </w:t>
            </w:r>
            <w:r>
              <w:rPr>
                <w:rFonts w:hint="eastAsia" w:ascii="宋体" w:hAnsi="宋体" w:eastAsia="宋体" w:cs="宋体"/>
                <w:spacing w:val="-10"/>
                <w:w w:val="99"/>
                <w:sz w:val="21"/>
                <w:szCs w:val="21"/>
              </w:rPr>
              <w:t>类、</w:t>
            </w:r>
            <w:r>
              <w:rPr>
                <w:rFonts w:hint="eastAsia" w:ascii="宋体" w:hAnsi="宋体" w:eastAsia="宋体" w:cs="宋体"/>
                <w:sz w:val="21"/>
                <w:szCs w:val="21"/>
              </w:rPr>
              <w:t xml:space="preserve"> </w:t>
            </w:r>
            <w:r>
              <w:rPr>
                <w:rFonts w:hint="eastAsia" w:ascii="宋体" w:hAnsi="宋体" w:eastAsia="宋体" w:cs="宋体"/>
                <w:spacing w:val="-7"/>
                <w:sz w:val="21"/>
                <w:szCs w:val="21"/>
              </w:rPr>
              <w:t>A</w:t>
            </w:r>
            <w:r>
              <w:rPr>
                <w:rFonts w:hint="eastAsia" w:ascii="宋体" w:hAnsi="宋体" w:eastAsia="宋体" w:cs="宋体"/>
                <w:spacing w:val="-33"/>
                <w:sz w:val="21"/>
                <w:szCs w:val="21"/>
              </w:rPr>
              <w:t xml:space="preserve"> </w:t>
            </w:r>
            <w:r>
              <w:rPr>
                <w:rFonts w:hint="eastAsia" w:ascii="宋体" w:hAnsi="宋体" w:eastAsia="宋体" w:cs="宋体"/>
                <w:spacing w:val="-7"/>
                <w:sz w:val="21"/>
                <w:szCs w:val="21"/>
              </w:rPr>
              <w:t>类）</w:t>
            </w:r>
            <w:r>
              <w:rPr>
                <w:rFonts w:hint="eastAsia" w:ascii="宋体" w:hAnsi="宋体" w:eastAsia="宋体" w:cs="宋体"/>
                <w:spacing w:val="12"/>
                <w:sz w:val="21"/>
                <w:szCs w:val="21"/>
              </w:rPr>
              <w:t xml:space="preserve"> </w:t>
            </w:r>
            <w:r>
              <w:rPr>
                <w:rFonts w:hint="eastAsia" w:ascii="宋体" w:hAnsi="宋体" w:eastAsia="宋体" w:cs="宋体"/>
                <w:spacing w:val="-7"/>
                <w:sz w:val="21"/>
                <w:szCs w:val="21"/>
              </w:rPr>
              <w:t>标准，检测标准</w:t>
            </w:r>
            <w:r>
              <w:rPr>
                <w:rFonts w:hint="eastAsia" w:ascii="宋体" w:hAnsi="宋体" w:eastAsia="宋体" w:cs="宋体"/>
                <w:spacing w:val="-46"/>
                <w:sz w:val="21"/>
                <w:szCs w:val="21"/>
              </w:rPr>
              <w:t xml:space="preserve"> </w:t>
            </w:r>
            <w:r>
              <w:rPr>
                <w:rFonts w:hint="eastAsia" w:ascii="宋体" w:hAnsi="宋体" w:eastAsia="宋体" w:cs="宋体"/>
                <w:spacing w:val="-7"/>
                <w:sz w:val="21"/>
                <w:szCs w:val="21"/>
              </w:rPr>
              <w:t>GB/T2912.1-2009</w:t>
            </w:r>
          </w:p>
          <w:p>
            <w:pPr>
              <w:keepNext w:val="0"/>
              <w:keepLines w:val="0"/>
              <w:pageBreakBefore w:val="0"/>
              <w:widowControl w:val="0"/>
              <w:kinsoku/>
              <w:wordWrap/>
              <w:overflowPunct/>
              <w:topLinePunct w:val="0"/>
              <w:autoSpaceDE/>
              <w:autoSpaceDN/>
              <w:bidi w:val="0"/>
              <w:adjustRightInd/>
              <w:snapToGrid/>
              <w:spacing w:before="98" w:line="360" w:lineRule="auto"/>
              <w:ind w:left="17" w:right="77" w:hanging="4"/>
              <w:textAlignment w:val="auto"/>
              <w:rPr>
                <w:rFonts w:hint="eastAsia" w:ascii="宋体" w:hAnsi="宋体" w:eastAsia="宋体" w:cs="宋体"/>
                <w:sz w:val="21"/>
                <w:szCs w:val="21"/>
              </w:rPr>
            </w:pPr>
            <w:r>
              <w:rPr>
                <w:rFonts w:hint="eastAsia" w:ascii="宋体" w:hAnsi="宋体" w:eastAsia="宋体" w:cs="宋体"/>
                <w:spacing w:val="-8"/>
                <w:sz w:val="21"/>
                <w:szCs w:val="21"/>
              </w:rPr>
              <w:t>5、可分解致癌芳香胺染料：</w:t>
            </w:r>
            <w:r>
              <w:rPr>
                <w:rFonts w:hint="eastAsia" w:ascii="宋体" w:hAnsi="宋体" w:eastAsia="宋体" w:cs="宋体"/>
                <w:spacing w:val="78"/>
                <w:sz w:val="21"/>
                <w:szCs w:val="21"/>
              </w:rPr>
              <w:t xml:space="preserve"> </w:t>
            </w:r>
            <w:r>
              <w:rPr>
                <w:rFonts w:hint="eastAsia" w:ascii="宋体" w:hAnsi="宋体" w:eastAsia="宋体" w:cs="宋体"/>
                <w:spacing w:val="-8"/>
                <w:sz w:val="21"/>
                <w:szCs w:val="21"/>
              </w:rPr>
              <w:t>符合</w:t>
            </w:r>
            <w:r>
              <w:rPr>
                <w:rFonts w:hint="eastAsia" w:ascii="宋体" w:hAnsi="宋体" w:eastAsia="宋体" w:cs="宋体"/>
                <w:spacing w:val="-27"/>
                <w:sz w:val="21"/>
                <w:szCs w:val="21"/>
              </w:rPr>
              <w:t xml:space="preserve"> </w:t>
            </w:r>
            <w:r>
              <w:rPr>
                <w:rFonts w:hint="eastAsia" w:ascii="宋体" w:hAnsi="宋体" w:eastAsia="宋体" w:cs="宋体"/>
                <w:spacing w:val="-8"/>
                <w:sz w:val="21"/>
                <w:szCs w:val="21"/>
              </w:rPr>
              <w:t>18401-2010《国家纺织产品基本安全规范》</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禁用标</w:t>
            </w:r>
            <w:r>
              <w:rPr>
                <w:rFonts w:hint="eastAsia" w:ascii="宋体" w:hAnsi="宋体" w:eastAsia="宋体" w:cs="宋体"/>
                <w:sz w:val="21"/>
                <w:szCs w:val="21"/>
              </w:rPr>
              <w:t xml:space="preserve"> </w:t>
            </w:r>
            <w:r>
              <w:rPr>
                <w:rFonts w:hint="eastAsia" w:ascii="宋体" w:hAnsi="宋体" w:eastAsia="宋体" w:cs="宋体"/>
                <w:spacing w:val="-2"/>
                <w:sz w:val="21"/>
                <w:szCs w:val="21"/>
              </w:rPr>
              <w:t>准,检测标准</w:t>
            </w:r>
            <w:r>
              <w:rPr>
                <w:rFonts w:hint="eastAsia" w:ascii="宋体" w:hAnsi="宋体" w:eastAsia="宋体" w:cs="宋体"/>
                <w:spacing w:val="-28"/>
                <w:sz w:val="21"/>
                <w:szCs w:val="21"/>
              </w:rPr>
              <w:t xml:space="preserve"> </w:t>
            </w:r>
            <w:r>
              <w:rPr>
                <w:rFonts w:hint="eastAsia" w:ascii="宋体" w:hAnsi="宋体" w:eastAsia="宋体" w:cs="宋体"/>
                <w:spacing w:val="-2"/>
                <w:sz w:val="21"/>
                <w:szCs w:val="21"/>
              </w:rPr>
              <w:t>GB/T17592-2011。</w:t>
            </w:r>
          </w:p>
          <w:p>
            <w:pPr>
              <w:keepNext w:val="0"/>
              <w:keepLines w:val="0"/>
              <w:pageBreakBefore w:val="0"/>
              <w:widowControl w:val="0"/>
              <w:kinsoku/>
              <w:wordWrap/>
              <w:overflowPunct/>
              <w:topLinePunct w:val="0"/>
              <w:autoSpaceDE/>
              <w:autoSpaceDN/>
              <w:bidi w:val="0"/>
              <w:adjustRightInd/>
              <w:snapToGrid/>
              <w:spacing w:before="96" w:line="360" w:lineRule="auto"/>
              <w:ind w:left="14" w:right="16" w:hanging="4"/>
              <w:textAlignment w:val="auto"/>
              <w:rPr>
                <w:rFonts w:hint="eastAsia" w:ascii="宋体" w:hAnsi="宋体" w:eastAsia="宋体" w:cs="宋体"/>
                <w:sz w:val="21"/>
                <w:szCs w:val="21"/>
              </w:rPr>
            </w:pPr>
            <w:r>
              <w:rPr>
                <w:rFonts w:hint="eastAsia" w:ascii="宋体" w:hAnsi="宋体" w:eastAsia="宋体" w:cs="宋体"/>
                <w:spacing w:val="-5"/>
                <w:sz w:val="21"/>
                <w:szCs w:val="21"/>
              </w:rPr>
              <w:t>6、阻燃标准：</w:t>
            </w:r>
            <w:r>
              <w:rPr>
                <w:rFonts w:hint="eastAsia" w:ascii="宋体" w:hAnsi="宋体" w:eastAsia="宋体" w:cs="宋体"/>
                <w:spacing w:val="88"/>
                <w:sz w:val="21"/>
                <w:szCs w:val="21"/>
              </w:rPr>
              <w:t xml:space="preserve"> </w:t>
            </w:r>
            <w:r>
              <w:rPr>
                <w:rFonts w:hint="eastAsia" w:ascii="宋体" w:hAnsi="宋体" w:eastAsia="宋体" w:cs="宋体"/>
                <w:spacing w:val="-5"/>
                <w:sz w:val="21"/>
                <w:szCs w:val="21"/>
              </w:rPr>
              <w:t>检测符合</w:t>
            </w:r>
            <w:r>
              <w:rPr>
                <w:rFonts w:hint="eastAsia" w:ascii="宋体" w:hAnsi="宋体" w:eastAsia="宋体" w:cs="宋体"/>
                <w:spacing w:val="-45"/>
                <w:sz w:val="21"/>
                <w:szCs w:val="21"/>
              </w:rPr>
              <w:t xml:space="preserve"> </w:t>
            </w:r>
            <w:r>
              <w:rPr>
                <w:rFonts w:hint="eastAsia" w:ascii="宋体" w:hAnsi="宋体" w:eastAsia="宋体" w:cs="宋体"/>
                <w:spacing w:val="-5"/>
                <w:sz w:val="21"/>
                <w:szCs w:val="21"/>
              </w:rPr>
              <w:t>GB8624-2012</w:t>
            </w:r>
            <w:r>
              <w:rPr>
                <w:rFonts w:hint="eastAsia" w:ascii="宋体" w:hAnsi="宋体" w:eastAsia="宋体" w:cs="宋体"/>
                <w:spacing w:val="2"/>
                <w:sz w:val="21"/>
                <w:szCs w:val="21"/>
              </w:rPr>
              <w:t xml:space="preserve"> </w:t>
            </w:r>
            <w:r>
              <w:rPr>
                <w:rFonts w:hint="eastAsia" w:ascii="宋体" w:hAnsi="宋体" w:eastAsia="宋体" w:cs="宋体"/>
                <w:spacing w:val="-5"/>
                <w:sz w:val="21"/>
                <w:szCs w:val="21"/>
              </w:rPr>
              <w:t>B1</w:t>
            </w:r>
            <w:r>
              <w:rPr>
                <w:rFonts w:hint="eastAsia" w:ascii="宋体" w:hAnsi="宋体" w:eastAsia="宋体" w:cs="宋体"/>
                <w:spacing w:val="-35"/>
                <w:sz w:val="21"/>
                <w:szCs w:val="21"/>
              </w:rPr>
              <w:t xml:space="preserve"> </w:t>
            </w:r>
            <w:r>
              <w:rPr>
                <w:rFonts w:hint="eastAsia" w:ascii="宋体" w:hAnsi="宋体" w:eastAsia="宋体" w:cs="宋体"/>
                <w:spacing w:val="-5"/>
                <w:sz w:val="21"/>
                <w:szCs w:val="21"/>
              </w:rPr>
              <w:t>级，符合</w:t>
            </w:r>
            <w:r>
              <w:rPr>
                <w:rFonts w:hint="eastAsia" w:ascii="宋体" w:hAnsi="宋体" w:eastAsia="宋体" w:cs="宋体"/>
                <w:spacing w:val="-48"/>
                <w:sz w:val="21"/>
                <w:szCs w:val="21"/>
              </w:rPr>
              <w:t xml:space="preserve"> </w:t>
            </w:r>
            <w:r>
              <w:rPr>
                <w:rFonts w:hint="eastAsia" w:ascii="宋体" w:hAnsi="宋体" w:eastAsia="宋体" w:cs="宋体"/>
                <w:spacing w:val="-5"/>
                <w:sz w:val="21"/>
                <w:szCs w:val="21"/>
              </w:rPr>
              <w:t>GB/T5454-1997、GB/T5455-2014，</w:t>
            </w:r>
            <w:r>
              <w:rPr>
                <w:rFonts w:hint="eastAsia" w:ascii="宋体" w:hAnsi="宋体" w:eastAsia="宋体" w:cs="宋体"/>
                <w:sz w:val="21"/>
                <w:szCs w:val="21"/>
              </w:rPr>
              <w:t xml:space="preserve"> </w:t>
            </w:r>
            <w:r>
              <w:rPr>
                <w:rFonts w:hint="eastAsia" w:ascii="宋体" w:hAnsi="宋体" w:eastAsia="宋体" w:cs="宋体"/>
                <w:spacing w:val="-1"/>
                <w:sz w:val="21"/>
                <w:szCs w:val="21"/>
              </w:rPr>
              <w:t>经向/纬向氧指数≥32%，损毁长度≤150mm，续燃时间≤5S，阴燃时间≤15S，燃烧滴</w:t>
            </w:r>
            <w:r>
              <w:rPr>
                <w:rFonts w:hint="eastAsia" w:ascii="宋体" w:hAnsi="宋体" w:eastAsia="宋体" w:cs="宋体"/>
                <w:spacing w:val="26"/>
                <w:sz w:val="21"/>
                <w:szCs w:val="21"/>
              </w:rPr>
              <w:t xml:space="preserve"> </w:t>
            </w:r>
            <w:r>
              <w:rPr>
                <w:rFonts w:hint="eastAsia" w:ascii="宋体" w:hAnsi="宋体" w:eastAsia="宋体" w:cs="宋体"/>
                <w:spacing w:val="-2"/>
                <w:sz w:val="21"/>
                <w:szCs w:val="21"/>
              </w:rPr>
              <w:t>落物未引起脱脂棉燃烧或阴燃</w:t>
            </w:r>
          </w:p>
          <w:p>
            <w:pPr>
              <w:keepNext w:val="0"/>
              <w:keepLines w:val="0"/>
              <w:pageBreakBefore w:val="0"/>
              <w:widowControl w:val="0"/>
              <w:kinsoku/>
              <w:wordWrap/>
              <w:overflowPunct/>
              <w:topLinePunct w:val="0"/>
              <w:autoSpaceDE/>
              <w:autoSpaceDN/>
              <w:bidi w:val="0"/>
              <w:adjustRightInd/>
              <w:snapToGrid/>
              <w:spacing w:before="98" w:line="360" w:lineRule="auto"/>
              <w:ind w:left="16" w:right="25" w:hanging="3"/>
              <w:textAlignment w:val="auto"/>
              <w:rPr>
                <w:rFonts w:hint="eastAsia" w:ascii="宋体" w:hAnsi="宋体" w:eastAsia="宋体" w:cs="宋体"/>
                <w:sz w:val="21"/>
                <w:szCs w:val="21"/>
              </w:rPr>
            </w:pPr>
            <w:r>
              <w:rPr>
                <w:rFonts w:hint="eastAsia" w:ascii="宋体" w:hAnsi="宋体" w:eastAsia="宋体" w:cs="宋体"/>
                <w:spacing w:val="-8"/>
                <w:sz w:val="21"/>
                <w:szCs w:val="21"/>
              </w:rPr>
              <w:t>7、PH</w:t>
            </w:r>
            <w:r>
              <w:rPr>
                <w:rFonts w:hint="eastAsia" w:ascii="宋体" w:hAnsi="宋体" w:eastAsia="宋体" w:cs="宋体"/>
                <w:spacing w:val="-30"/>
                <w:sz w:val="21"/>
                <w:szCs w:val="21"/>
              </w:rPr>
              <w:t xml:space="preserve"> </w:t>
            </w:r>
            <w:r>
              <w:rPr>
                <w:rFonts w:hint="eastAsia" w:ascii="宋体" w:hAnsi="宋体" w:eastAsia="宋体" w:cs="宋体"/>
                <w:spacing w:val="-8"/>
                <w:sz w:val="21"/>
                <w:szCs w:val="21"/>
              </w:rPr>
              <w:t>值：</w:t>
            </w:r>
            <w:r>
              <w:rPr>
                <w:rFonts w:hint="eastAsia" w:ascii="宋体" w:hAnsi="宋体" w:eastAsia="宋体" w:cs="宋体"/>
                <w:spacing w:val="53"/>
                <w:sz w:val="21"/>
                <w:szCs w:val="21"/>
              </w:rPr>
              <w:t xml:space="preserve"> </w:t>
            </w:r>
            <w:r>
              <w:rPr>
                <w:rFonts w:hint="eastAsia" w:ascii="宋体" w:hAnsi="宋体" w:eastAsia="宋体" w:cs="宋体"/>
                <w:spacing w:val="-8"/>
                <w:sz w:val="21"/>
                <w:szCs w:val="21"/>
              </w:rPr>
              <w:t>符合</w:t>
            </w:r>
            <w:r>
              <w:rPr>
                <w:rFonts w:hint="eastAsia" w:ascii="宋体" w:hAnsi="宋体" w:eastAsia="宋体" w:cs="宋体"/>
                <w:spacing w:val="-27"/>
                <w:sz w:val="21"/>
                <w:szCs w:val="21"/>
              </w:rPr>
              <w:t xml:space="preserve"> </w:t>
            </w:r>
            <w:r>
              <w:rPr>
                <w:rFonts w:hint="eastAsia" w:ascii="宋体" w:hAnsi="宋体" w:eastAsia="宋体" w:cs="宋体"/>
                <w:spacing w:val="-8"/>
                <w:sz w:val="21"/>
                <w:szCs w:val="21"/>
              </w:rPr>
              <w:t>18401-2010《国家纺织产品基本安全规范》</w:t>
            </w:r>
            <w:r>
              <w:rPr>
                <w:rFonts w:hint="eastAsia" w:ascii="宋体" w:hAnsi="宋体" w:eastAsia="宋体" w:cs="宋体"/>
                <w:spacing w:val="-5"/>
                <w:sz w:val="21"/>
                <w:szCs w:val="21"/>
              </w:rPr>
              <w:t xml:space="preserve"> </w:t>
            </w:r>
            <w:r>
              <w:rPr>
                <w:rFonts w:hint="eastAsia" w:ascii="宋体" w:hAnsi="宋体" w:eastAsia="宋体" w:cs="宋体"/>
                <w:spacing w:val="-8"/>
                <w:sz w:val="21"/>
                <w:szCs w:val="21"/>
              </w:rPr>
              <w:t>C</w:t>
            </w:r>
            <w:r>
              <w:rPr>
                <w:rFonts w:hint="eastAsia" w:ascii="宋体" w:hAnsi="宋体" w:eastAsia="宋体" w:cs="宋体"/>
                <w:spacing w:val="-37"/>
                <w:sz w:val="21"/>
                <w:szCs w:val="21"/>
              </w:rPr>
              <w:t xml:space="preserve"> </w:t>
            </w:r>
            <w:r>
              <w:rPr>
                <w:rFonts w:hint="eastAsia" w:ascii="宋体" w:hAnsi="宋体" w:eastAsia="宋体" w:cs="宋体"/>
                <w:spacing w:val="-8"/>
                <w:sz w:val="21"/>
                <w:szCs w:val="21"/>
              </w:rPr>
              <w:t>类标准或以上（B</w:t>
            </w:r>
            <w:r>
              <w:rPr>
                <w:rFonts w:hint="eastAsia" w:ascii="宋体" w:hAnsi="宋体" w:eastAsia="宋体" w:cs="宋体"/>
                <w:spacing w:val="-37"/>
                <w:sz w:val="21"/>
                <w:szCs w:val="21"/>
              </w:rPr>
              <w:t xml:space="preserve"> </w:t>
            </w:r>
            <w:r>
              <w:rPr>
                <w:rFonts w:hint="eastAsia" w:ascii="宋体" w:hAnsi="宋体" w:eastAsia="宋体" w:cs="宋体"/>
                <w:spacing w:val="-8"/>
                <w:sz w:val="21"/>
                <w:szCs w:val="21"/>
              </w:rPr>
              <w:t>类、A</w:t>
            </w:r>
            <w:r>
              <w:rPr>
                <w:rFonts w:hint="eastAsia" w:ascii="宋体" w:hAnsi="宋体" w:eastAsia="宋体" w:cs="宋体"/>
                <w:sz w:val="21"/>
                <w:szCs w:val="21"/>
              </w:rPr>
              <w:t xml:space="preserve"> </w:t>
            </w:r>
            <w:r>
              <w:rPr>
                <w:rFonts w:hint="eastAsia" w:ascii="宋体" w:hAnsi="宋体" w:eastAsia="宋体" w:cs="宋体"/>
                <w:spacing w:val="-7"/>
                <w:sz w:val="21"/>
                <w:szCs w:val="21"/>
              </w:rPr>
              <w:t>类）</w:t>
            </w:r>
            <w:r>
              <w:rPr>
                <w:rFonts w:hint="eastAsia" w:ascii="宋体" w:hAnsi="宋体" w:eastAsia="宋体" w:cs="宋体"/>
                <w:spacing w:val="31"/>
                <w:sz w:val="21"/>
                <w:szCs w:val="21"/>
              </w:rPr>
              <w:t xml:space="preserve"> </w:t>
            </w:r>
            <w:r>
              <w:rPr>
                <w:rFonts w:hint="eastAsia" w:ascii="宋体" w:hAnsi="宋体" w:eastAsia="宋体" w:cs="宋体"/>
                <w:spacing w:val="-7"/>
                <w:sz w:val="21"/>
                <w:szCs w:val="21"/>
              </w:rPr>
              <w:t>标准,检测标准</w:t>
            </w:r>
            <w:r>
              <w:rPr>
                <w:rFonts w:hint="eastAsia" w:ascii="宋体" w:hAnsi="宋体" w:eastAsia="宋体" w:cs="宋体"/>
                <w:spacing w:val="-45"/>
                <w:sz w:val="21"/>
                <w:szCs w:val="21"/>
              </w:rPr>
              <w:t xml:space="preserve"> </w:t>
            </w:r>
            <w:r>
              <w:rPr>
                <w:rFonts w:hint="eastAsia" w:ascii="宋体" w:hAnsi="宋体" w:eastAsia="宋体" w:cs="宋体"/>
                <w:spacing w:val="-7"/>
                <w:sz w:val="21"/>
                <w:szCs w:val="21"/>
              </w:rPr>
              <w:t>GB/T7573-2009。</w:t>
            </w:r>
          </w:p>
          <w:p>
            <w:pPr>
              <w:keepNext w:val="0"/>
              <w:keepLines w:val="0"/>
              <w:pageBreakBefore w:val="0"/>
              <w:widowControl w:val="0"/>
              <w:kinsoku/>
              <w:wordWrap/>
              <w:overflowPunct/>
              <w:topLinePunct w:val="0"/>
              <w:autoSpaceDE/>
              <w:autoSpaceDN/>
              <w:bidi w:val="0"/>
              <w:adjustRightInd/>
              <w:snapToGrid/>
              <w:spacing w:before="98" w:line="360" w:lineRule="auto"/>
              <w:ind w:firstLine="9"/>
              <w:textAlignment w:val="auto"/>
              <w:rPr>
                <w:rFonts w:hint="eastAsia" w:ascii="宋体" w:hAnsi="宋体" w:eastAsia="宋体" w:cs="宋体"/>
                <w:sz w:val="21"/>
                <w:szCs w:val="21"/>
              </w:rPr>
            </w:pPr>
            <w:r>
              <w:rPr>
                <w:rFonts w:hint="eastAsia" w:ascii="宋体" w:hAnsi="宋体" w:eastAsia="宋体" w:cs="宋体"/>
                <w:spacing w:val="-8"/>
                <w:sz w:val="21"/>
                <w:szCs w:val="21"/>
              </w:rPr>
              <w:t>8、异味：</w:t>
            </w:r>
            <w:r>
              <w:rPr>
                <w:rFonts w:hint="eastAsia" w:ascii="宋体" w:hAnsi="宋体" w:eastAsia="宋体" w:cs="宋体"/>
                <w:spacing w:val="64"/>
                <w:sz w:val="21"/>
                <w:szCs w:val="21"/>
              </w:rPr>
              <w:t xml:space="preserve"> </w:t>
            </w:r>
            <w:r>
              <w:rPr>
                <w:rFonts w:hint="eastAsia" w:ascii="宋体" w:hAnsi="宋体" w:eastAsia="宋体" w:cs="宋体"/>
                <w:spacing w:val="-8"/>
                <w:sz w:val="21"/>
                <w:szCs w:val="21"/>
              </w:rPr>
              <w:t>符合</w:t>
            </w:r>
            <w:r>
              <w:rPr>
                <w:rFonts w:hint="eastAsia" w:ascii="宋体" w:hAnsi="宋体" w:eastAsia="宋体" w:cs="宋体"/>
                <w:spacing w:val="-27"/>
                <w:sz w:val="21"/>
                <w:szCs w:val="21"/>
              </w:rPr>
              <w:t xml:space="preserve"> </w:t>
            </w:r>
            <w:r>
              <w:rPr>
                <w:rFonts w:hint="eastAsia" w:ascii="宋体" w:hAnsi="宋体" w:eastAsia="宋体" w:cs="宋体"/>
                <w:spacing w:val="-8"/>
                <w:sz w:val="21"/>
                <w:szCs w:val="21"/>
              </w:rPr>
              <w:t>18401-2010《国家纺织产品基本安全规范》</w:t>
            </w:r>
            <w:r>
              <w:rPr>
                <w:rFonts w:hint="eastAsia" w:ascii="宋体" w:hAnsi="宋体" w:eastAsia="宋体" w:cs="宋体"/>
                <w:spacing w:val="2"/>
                <w:sz w:val="21"/>
                <w:szCs w:val="21"/>
              </w:rPr>
              <w:t xml:space="preserve"> </w:t>
            </w:r>
            <w:r>
              <w:rPr>
                <w:rFonts w:hint="eastAsia" w:ascii="宋体" w:hAnsi="宋体" w:eastAsia="宋体" w:cs="宋体"/>
                <w:spacing w:val="-8"/>
                <w:sz w:val="21"/>
                <w:szCs w:val="21"/>
              </w:rPr>
              <w:t>标准，实测无异味</w:t>
            </w:r>
          </w:p>
          <w:p>
            <w:pPr>
              <w:keepNext w:val="0"/>
              <w:keepLines w:val="0"/>
              <w:pageBreakBefore w:val="0"/>
              <w:widowControl w:val="0"/>
              <w:kinsoku/>
              <w:wordWrap/>
              <w:overflowPunct/>
              <w:topLinePunct w:val="0"/>
              <w:autoSpaceDE/>
              <w:autoSpaceDN/>
              <w:bidi w:val="0"/>
              <w:adjustRightInd/>
              <w:snapToGrid/>
              <w:spacing w:before="99" w:line="360" w:lineRule="auto"/>
              <w:ind w:left="18" w:right="24" w:hanging="9"/>
              <w:textAlignment w:val="auto"/>
              <w:rPr>
                <w:rFonts w:hint="eastAsia" w:ascii="宋体" w:hAnsi="宋体" w:eastAsia="宋体" w:cs="宋体"/>
                <w:sz w:val="21"/>
                <w:szCs w:val="21"/>
              </w:rPr>
            </w:pPr>
            <w:r>
              <w:rPr>
                <w:rFonts w:hint="eastAsia" w:ascii="宋体" w:hAnsi="宋体" w:eastAsia="宋体" w:cs="宋体"/>
                <w:spacing w:val="-8"/>
                <w:sz w:val="21"/>
                <w:szCs w:val="21"/>
              </w:rPr>
              <w:t>9、抗菌性能（吸收法）</w:t>
            </w:r>
            <w:r>
              <w:rPr>
                <w:rFonts w:hint="eastAsia" w:ascii="宋体" w:hAnsi="宋体" w:eastAsia="宋体" w:cs="宋体"/>
                <w:spacing w:val="8"/>
                <w:sz w:val="21"/>
                <w:szCs w:val="21"/>
              </w:rPr>
              <w:t xml:space="preserve"> </w:t>
            </w:r>
            <w:r>
              <w:rPr>
                <w:rFonts w:hint="eastAsia" w:ascii="宋体" w:hAnsi="宋体" w:eastAsia="宋体" w:cs="宋体"/>
                <w:spacing w:val="-8"/>
                <w:sz w:val="21"/>
                <w:szCs w:val="21"/>
              </w:rPr>
              <w:t>水洗</w:t>
            </w:r>
            <w:r>
              <w:rPr>
                <w:rFonts w:hint="eastAsia" w:ascii="宋体" w:hAnsi="宋体" w:eastAsia="宋体" w:cs="宋体"/>
                <w:spacing w:val="-40"/>
                <w:sz w:val="21"/>
                <w:szCs w:val="21"/>
              </w:rPr>
              <w:t xml:space="preserve"> </w:t>
            </w:r>
            <w:r>
              <w:rPr>
                <w:rFonts w:hint="eastAsia" w:ascii="宋体" w:hAnsi="宋体" w:eastAsia="宋体" w:cs="宋体"/>
                <w:spacing w:val="-8"/>
                <w:sz w:val="21"/>
                <w:szCs w:val="21"/>
              </w:rPr>
              <w:t>20</w:t>
            </w:r>
            <w:r>
              <w:rPr>
                <w:rFonts w:hint="eastAsia" w:ascii="宋体" w:hAnsi="宋体" w:eastAsia="宋体" w:cs="宋体"/>
                <w:spacing w:val="-37"/>
                <w:sz w:val="21"/>
                <w:szCs w:val="21"/>
              </w:rPr>
              <w:t xml:space="preserve"> </w:t>
            </w:r>
            <w:r>
              <w:rPr>
                <w:rFonts w:hint="eastAsia" w:ascii="宋体" w:hAnsi="宋体" w:eastAsia="宋体" w:cs="宋体"/>
                <w:spacing w:val="-8"/>
                <w:sz w:val="21"/>
                <w:szCs w:val="21"/>
              </w:rPr>
              <w:t>次以上：</w:t>
            </w:r>
            <w:r>
              <w:rPr>
                <w:rFonts w:hint="eastAsia" w:ascii="宋体" w:hAnsi="宋体" w:eastAsia="宋体" w:cs="宋体"/>
                <w:spacing w:val="48"/>
                <w:sz w:val="21"/>
                <w:szCs w:val="21"/>
              </w:rPr>
              <w:t xml:space="preserve"> </w:t>
            </w:r>
            <w:r>
              <w:rPr>
                <w:rFonts w:hint="eastAsia" w:ascii="宋体" w:hAnsi="宋体" w:eastAsia="宋体" w:cs="宋体"/>
                <w:spacing w:val="-8"/>
                <w:sz w:val="21"/>
                <w:szCs w:val="21"/>
              </w:rPr>
              <w:t>金黄色葡萄球菌、大肠杆菌、肺炎克雷伯氏</w:t>
            </w:r>
            <w:r>
              <w:rPr>
                <w:rFonts w:hint="eastAsia" w:ascii="宋体" w:hAnsi="宋体" w:eastAsia="宋体" w:cs="宋体"/>
                <w:sz w:val="21"/>
                <w:szCs w:val="21"/>
              </w:rPr>
              <w:t xml:space="preserve"> </w:t>
            </w:r>
            <w:r>
              <w:rPr>
                <w:rFonts w:hint="eastAsia" w:ascii="宋体" w:hAnsi="宋体" w:eastAsia="宋体" w:cs="宋体"/>
                <w:spacing w:val="-1"/>
                <w:sz w:val="21"/>
                <w:szCs w:val="21"/>
              </w:rPr>
              <w:t>菌≥90%，检测标准</w:t>
            </w:r>
            <w:r>
              <w:rPr>
                <w:rFonts w:hint="eastAsia" w:ascii="宋体" w:hAnsi="宋体" w:eastAsia="宋体" w:cs="宋体"/>
                <w:spacing w:val="-44"/>
                <w:sz w:val="21"/>
                <w:szCs w:val="21"/>
              </w:rPr>
              <w:t xml:space="preserve"> </w:t>
            </w:r>
            <w:r>
              <w:rPr>
                <w:rFonts w:hint="eastAsia" w:ascii="宋体" w:hAnsi="宋体" w:eastAsia="宋体" w:cs="宋体"/>
                <w:spacing w:val="-1"/>
                <w:sz w:val="21"/>
                <w:szCs w:val="21"/>
              </w:rPr>
              <w:t>GB/T20944.2-2007。</w:t>
            </w:r>
          </w:p>
          <w:p>
            <w:pPr>
              <w:keepNext w:val="0"/>
              <w:keepLines w:val="0"/>
              <w:pageBreakBefore w:val="0"/>
              <w:widowControl w:val="0"/>
              <w:kinsoku/>
              <w:wordWrap/>
              <w:overflowPunct/>
              <w:topLinePunct w:val="0"/>
              <w:autoSpaceDE/>
              <w:autoSpaceDN/>
              <w:bidi w:val="0"/>
              <w:adjustRightInd/>
              <w:snapToGrid/>
              <w:spacing w:before="98" w:line="360" w:lineRule="auto"/>
              <w:ind w:firstLine="17"/>
              <w:textAlignment w:val="auto"/>
              <w:rPr>
                <w:rFonts w:hint="eastAsia" w:ascii="宋体" w:hAnsi="宋体" w:eastAsia="宋体" w:cs="宋体"/>
                <w:sz w:val="21"/>
                <w:szCs w:val="21"/>
              </w:rPr>
            </w:pPr>
            <w:r>
              <w:rPr>
                <w:rFonts w:hint="eastAsia" w:ascii="宋体" w:hAnsi="宋体" w:eastAsia="宋体" w:cs="宋体"/>
                <w:spacing w:val="-2"/>
                <w:sz w:val="21"/>
                <w:szCs w:val="21"/>
                <w14:textOutline w14:w="3797" w14:cap="sq" w14:cmpd="sng" w14:algn="ctr">
                  <w14:solidFill>
                    <w14:srgbClr w14:val="000000"/>
                  </w14:solidFill>
                  <w14:prstDash w14:val="solid"/>
                  <w14:bevel/>
                </w14:textOutline>
              </w:rPr>
              <w:t>手动窗帘轨道：</w:t>
            </w:r>
          </w:p>
          <w:p>
            <w:pPr>
              <w:keepNext w:val="0"/>
              <w:keepLines w:val="0"/>
              <w:pageBreakBefore w:val="0"/>
              <w:widowControl w:val="0"/>
              <w:kinsoku/>
              <w:wordWrap/>
              <w:overflowPunct/>
              <w:topLinePunct w:val="0"/>
              <w:autoSpaceDE/>
              <w:autoSpaceDN/>
              <w:bidi w:val="0"/>
              <w:adjustRightInd/>
              <w:snapToGrid/>
              <w:spacing w:before="98" w:line="360" w:lineRule="auto"/>
              <w:ind w:firstLine="24"/>
              <w:textAlignment w:val="auto"/>
              <w:rPr>
                <w:rFonts w:hint="eastAsia" w:ascii="宋体" w:hAnsi="宋体" w:eastAsia="宋体" w:cs="宋体"/>
                <w:sz w:val="21"/>
                <w:szCs w:val="21"/>
              </w:rPr>
            </w:pPr>
            <w:r>
              <w:rPr>
                <w:rFonts w:hint="eastAsia" w:ascii="宋体" w:hAnsi="宋体" w:eastAsia="宋体" w:cs="宋体"/>
                <w:spacing w:val="-10"/>
                <w:w w:val="99"/>
                <w:sz w:val="21"/>
                <w:szCs w:val="21"/>
              </w:rPr>
              <w:t>1、铝型材标号：</w:t>
            </w:r>
            <w:r>
              <w:rPr>
                <w:rFonts w:hint="eastAsia" w:ascii="宋体" w:hAnsi="宋体" w:eastAsia="宋体" w:cs="宋体"/>
                <w:spacing w:val="45"/>
                <w:sz w:val="21"/>
                <w:szCs w:val="21"/>
              </w:rPr>
              <w:t xml:space="preserve"> </w:t>
            </w:r>
            <w:r>
              <w:rPr>
                <w:rFonts w:hint="eastAsia" w:ascii="宋体" w:hAnsi="宋体" w:eastAsia="宋体" w:cs="宋体"/>
                <w:spacing w:val="-10"/>
                <w:w w:val="99"/>
                <w:sz w:val="21"/>
                <w:szCs w:val="21"/>
              </w:rPr>
              <w:t>6063-T5</w:t>
            </w:r>
          </w:p>
          <w:p>
            <w:pPr>
              <w:keepNext w:val="0"/>
              <w:keepLines w:val="0"/>
              <w:pageBreakBefore w:val="0"/>
              <w:widowControl w:val="0"/>
              <w:kinsoku/>
              <w:wordWrap/>
              <w:overflowPunct/>
              <w:topLinePunct w:val="0"/>
              <w:autoSpaceDE/>
              <w:autoSpaceDN/>
              <w:bidi w:val="0"/>
              <w:adjustRightInd/>
              <w:snapToGrid/>
              <w:spacing w:before="98" w:line="360" w:lineRule="auto"/>
              <w:ind w:firstLine="11"/>
              <w:textAlignment w:val="auto"/>
              <w:rPr>
                <w:rFonts w:hint="eastAsia" w:ascii="宋体" w:hAnsi="宋体" w:eastAsia="宋体" w:cs="宋体"/>
                <w:sz w:val="21"/>
                <w:szCs w:val="21"/>
              </w:rPr>
            </w:pPr>
            <w:r>
              <w:rPr>
                <w:rFonts w:hint="eastAsia" w:ascii="宋体" w:hAnsi="宋体" w:eastAsia="宋体" w:cs="宋体"/>
                <w:spacing w:val="-1"/>
                <w:sz w:val="21"/>
                <w:szCs w:val="21"/>
              </w:rPr>
              <w:t>2、轨道弯曲度≤0.17mm</w:t>
            </w:r>
          </w:p>
          <w:p>
            <w:pPr>
              <w:keepNext w:val="0"/>
              <w:keepLines w:val="0"/>
              <w:pageBreakBefore w:val="0"/>
              <w:widowControl w:val="0"/>
              <w:kinsoku/>
              <w:wordWrap/>
              <w:overflowPunct/>
              <w:topLinePunct w:val="0"/>
              <w:autoSpaceDE/>
              <w:autoSpaceDN/>
              <w:bidi w:val="0"/>
              <w:adjustRightInd/>
              <w:snapToGrid/>
              <w:spacing w:before="98" w:line="360" w:lineRule="auto"/>
              <w:ind w:firstLine="13"/>
              <w:textAlignment w:val="auto"/>
              <w:rPr>
                <w:rFonts w:hint="eastAsia" w:ascii="宋体" w:hAnsi="宋体" w:eastAsia="宋体" w:cs="宋体"/>
                <w:sz w:val="21"/>
                <w:szCs w:val="21"/>
              </w:rPr>
            </w:pPr>
            <w:r>
              <w:rPr>
                <w:rFonts w:hint="eastAsia" w:ascii="宋体" w:hAnsi="宋体" w:eastAsia="宋体" w:cs="宋体"/>
                <w:spacing w:val="-5"/>
                <w:sz w:val="21"/>
                <w:szCs w:val="21"/>
              </w:rPr>
              <w:t>3、规格：</w:t>
            </w:r>
            <w:r>
              <w:rPr>
                <w:rFonts w:hint="eastAsia" w:ascii="宋体" w:hAnsi="宋体" w:eastAsia="宋体" w:cs="宋体"/>
                <w:spacing w:val="57"/>
                <w:sz w:val="21"/>
                <w:szCs w:val="21"/>
              </w:rPr>
              <w:t xml:space="preserve"> </w:t>
            </w:r>
            <w:r>
              <w:rPr>
                <w:rFonts w:hint="eastAsia" w:ascii="宋体" w:hAnsi="宋体" w:eastAsia="宋体" w:cs="宋体"/>
                <w:spacing w:val="-5"/>
                <w:sz w:val="21"/>
                <w:szCs w:val="21"/>
              </w:rPr>
              <w:t>宽</w:t>
            </w:r>
            <w:r>
              <w:rPr>
                <w:rFonts w:hint="eastAsia" w:ascii="宋体" w:hAnsi="宋体" w:eastAsia="宋体" w:cs="宋体"/>
                <w:spacing w:val="-38"/>
                <w:sz w:val="21"/>
                <w:szCs w:val="21"/>
              </w:rPr>
              <w:t xml:space="preserve"> </w:t>
            </w:r>
            <w:r>
              <w:rPr>
                <w:rFonts w:hint="eastAsia" w:ascii="宋体" w:hAnsi="宋体" w:eastAsia="宋体" w:cs="宋体"/>
                <w:spacing w:val="-5"/>
                <w:sz w:val="21"/>
                <w:szCs w:val="21"/>
              </w:rPr>
              <w:t>35mm±5%，长</w:t>
            </w:r>
            <w:r>
              <w:rPr>
                <w:rFonts w:hint="eastAsia" w:ascii="宋体" w:hAnsi="宋体" w:eastAsia="宋体" w:cs="宋体"/>
                <w:spacing w:val="-44"/>
                <w:sz w:val="21"/>
                <w:szCs w:val="21"/>
              </w:rPr>
              <w:t xml:space="preserve"> </w:t>
            </w:r>
            <w:r>
              <w:rPr>
                <w:rFonts w:hint="eastAsia" w:ascii="宋体" w:hAnsi="宋体" w:eastAsia="宋体" w:cs="宋体"/>
                <w:spacing w:val="-5"/>
                <w:sz w:val="21"/>
                <w:szCs w:val="21"/>
              </w:rPr>
              <w:t>45mm±5%，方形轨道，国标型材厚度:</w:t>
            </w:r>
            <w:r>
              <w:rPr>
                <w:rFonts w:hint="eastAsia" w:ascii="宋体" w:hAnsi="宋体" w:eastAsia="宋体" w:cs="宋体"/>
                <w:spacing w:val="22"/>
                <w:sz w:val="21"/>
                <w:szCs w:val="21"/>
              </w:rPr>
              <w:t xml:space="preserve"> </w:t>
            </w:r>
            <w:r>
              <w:rPr>
                <w:rFonts w:hint="eastAsia" w:ascii="宋体" w:hAnsi="宋体" w:eastAsia="宋体" w:cs="宋体"/>
                <w:spacing w:val="-5"/>
                <w:sz w:val="21"/>
                <w:szCs w:val="21"/>
              </w:rPr>
              <w:t>1.4mm±5%。</w:t>
            </w:r>
          </w:p>
          <w:p>
            <w:pPr>
              <w:keepNext w:val="0"/>
              <w:keepLines w:val="0"/>
              <w:pageBreakBefore w:val="0"/>
              <w:widowControl w:val="0"/>
              <w:kinsoku/>
              <w:wordWrap/>
              <w:overflowPunct/>
              <w:topLinePunct w:val="0"/>
              <w:autoSpaceDE/>
              <w:autoSpaceDN/>
              <w:bidi w:val="0"/>
              <w:adjustRightInd/>
              <w:snapToGrid/>
              <w:spacing w:before="98" w:line="360" w:lineRule="auto"/>
              <w:ind w:firstLine="8"/>
              <w:textAlignment w:val="auto"/>
              <w:rPr>
                <w:rFonts w:hint="eastAsia" w:ascii="宋体" w:hAnsi="宋体" w:eastAsia="宋体" w:cs="宋体"/>
                <w:sz w:val="21"/>
                <w:szCs w:val="21"/>
              </w:rPr>
            </w:pPr>
            <w:r>
              <w:rPr>
                <w:rFonts w:hint="eastAsia" w:ascii="宋体" w:hAnsi="宋体" w:eastAsia="宋体" w:cs="宋体"/>
                <w:spacing w:val="-1"/>
                <w:sz w:val="21"/>
                <w:szCs w:val="21"/>
              </w:rPr>
              <w:t>4、韦氏硬度≥10HW</w:t>
            </w:r>
          </w:p>
          <w:p>
            <w:pPr>
              <w:keepNext w:val="0"/>
              <w:keepLines w:val="0"/>
              <w:pageBreakBefore w:val="0"/>
              <w:widowControl w:val="0"/>
              <w:kinsoku/>
              <w:wordWrap/>
              <w:overflowPunct/>
              <w:topLinePunct w:val="0"/>
              <w:autoSpaceDE/>
              <w:autoSpaceDN/>
              <w:bidi w:val="0"/>
              <w:adjustRightInd/>
              <w:snapToGrid/>
              <w:spacing w:before="56" w:line="360" w:lineRule="auto"/>
              <w:ind w:firstLine="30"/>
              <w:textAlignment w:val="auto"/>
              <w:rPr>
                <w:rFonts w:hint="eastAsia" w:ascii="宋体" w:hAnsi="宋体" w:eastAsia="宋体" w:cs="宋体"/>
                <w:sz w:val="21"/>
                <w:szCs w:val="21"/>
              </w:rPr>
            </w:pPr>
            <w:r>
              <w:rPr>
                <w:rFonts w:hint="eastAsia" w:ascii="宋体" w:hAnsi="宋体" w:eastAsia="宋体" w:cs="宋体"/>
                <w:spacing w:val="-5"/>
                <w:sz w:val="21"/>
                <w:szCs w:val="21"/>
              </w:rPr>
              <w:t>5、力学性能：</w:t>
            </w:r>
            <w:r>
              <w:rPr>
                <w:rFonts w:hint="eastAsia" w:ascii="宋体" w:hAnsi="宋体" w:eastAsia="宋体" w:cs="宋体"/>
                <w:spacing w:val="24"/>
                <w:sz w:val="21"/>
                <w:szCs w:val="21"/>
              </w:rPr>
              <w:t xml:space="preserve"> </w:t>
            </w:r>
            <w:r>
              <w:rPr>
                <w:rFonts w:hint="eastAsia" w:ascii="宋体" w:hAnsi="宋体" w:eastAsia="宋体" w:cs="宋体"/>
                <w:spacing w:val="-5"/>
                <w:sz w:val="21"/>
                <w:szCs w:val="21"/>
              </w:rPr>
              <w:t>规定非比例延伸强度≥200N/mm2，抗拉强度≥200N/mm2</w:t>
            </w:r>
            <w:r>
              <w:rPr>
                <w:rFonts w:hint="eastAsia" w:ascii="宋体" w:hAnsi="宋体" w:eastAsia="宋体" w:cs="宋体"/>
                <w:spacing w:val="-4"/>
                <w:sz w:val="21"/>
                <w:szCs w:val="21"/>
              </w:rPr>
              <w:t>，，</w:t>
            </w:r>
            <w:r>
              <w:rPr>
                <w:rFonts w:hint="eastAsia" w:ascii="宋体" w:hAnsi="宋体" w:eastAsia="宋体" w:cs="宋体"/>
                <w:spacing w:val="-5"/>
                <w:sz w:val="21"/>
                <w:szCs w:val="21"/>
              </w:rPr>
              <w:t>断后伸长率</w:t>
            </w:r>
            <w:r>
              <w:rPr>
                <w:rFonts w:hint="eastAsia" w:ascii="宋体" w:hAnsi="宋体" w:eastAsia="宋体" w:cs="宋体"/>
                <w:spacing w:val="-8"/>
                <w:sz w:val="21"/>
                <w:szCs w:val="21"/>
              </w:rPr>
              <w:t>≥8%。</w:t>
            </w:r>
          </w:p>
          <w:p>
            <w:pPr>
              <w:keepNext w:val="0"/>
              <w:keepLines w:val="0"/>
              <w:pageBreakBefore w:val="0"/>
              <w:widowControl w:val="0"/>
              <w:kinsoku/>
              <w:wordWrap/>
              <w:overflowPunct/>
              <w:topLinePunct w:val="0"/>
              <w:autoSpaceDE/>
              <w:autoSpaceDN/>
              <w:bidi w:val="0"/>
              <w:adjustRightInd/>
              <w:snapToGrid/>
              <w:spacing w:before="98" w:line="360" w:lineRule="auto"/>
              <w:ind w:firstLine="13" w:firstLineChars="0"/>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1"/>
                <w:sz w:val="21"/>
                <w:szCs w:val="21"/>
              </w:rPr>
              <w:t>6、轨道具有耐盐酸性、耐溶剂性、耐洗涤剂性，滑珠吊环为不锈钢。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220"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before="68" w:line="36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1"/>
                <w:sz w:val="21"/>
                <w:szCs w:val="21"/>
                <w14:textOutline w14:w="3797" w14:cap="sq" w14:cmpd="sng" w14:algn="ctr">
                  <w14:solidFill>
                    <w14:srgbClr w14:val="000000"/>
                  </w14:solidFill>
                  <w14:prstDash w14:val="solid"/>
                  <w14:bevel/>
                </w14:textOutline>
              </w:rPr>
              <w:t>9.阻燃布带</w:t>
            </w:r>
          </w:p>
        </w:tc>
        <w:tc>
          <w:tcPr>
            <w:tcW w:w="7112" w:type="dxa"/>
            <w:vAlign w:val="top"/>
          </w:tcPr>
          <w:p>
            <w:pPr>
              <w:keepNext w:val="0"/>
              <w:keepLines w:val="0"/>
              <w:pageBreakBefore w:val="0"/>
              <w:widowControl w:val="0"/>
              <w:kinsoku/>
              <w:wordWrap/>
              <w:overflowPunct/>
              <w:topLinePunct w:val="0"/>
              <w:autoSpaceDE/>
              <w:autoSpaceDN/>
              <w:bidi w:val="0"/>
              <w:adjustRightInd/>
              <w:snapToGrid/>
              <w:spacing w:before="1" w:line="360" w:lineRule="auto"/>
              <w:ind w:firstLine="6"/>
              <w:textAlignment w:val="auto"/>
              <w:rPr>
                <w:rFonts w:hint="eastAsia" w:ascii="宋体" w:hAnsi="宋体" w:eastAsia="宋体" w:cs="宋体"/>
                <w:sz w:val="21"/>
                <w:szCs w:val="21"/>
              </w:rPr>
            </w:pPr>
            <w:r>
              <w:rPr>
                <w:rFonts w:hint="eastAsia" w:ascii="宋体" w:hAnsi="宋体" w:eastAsia="宋体" w:cs="宋体"/>
                <w:spacing w:val="-5"/>
                <w:sz w:val="21"/>
                <w:szCs w:val="21"/>
              </w:rPr>
              <w:t>★1、成分：</w:t>
            </w:r>
            <w:r>
              <w:rPr>
                <w:rFonts w:hint="eastAsia" w:ascii="宋体" w:hAnsi="宋体" w:eastAsia="宋体" w:cs="宋体"/>
                <w:spacing w:val="75"/>
                <w:sz w:val="21"/>
                <w:szCs w:val="21"/>
              </w:rPr>
              <w:t xml:space="preserve"> </w:t>
            </w:r>
            <w:r>
              <w:rPr>
                <w:rFonts w:hint="eastAsia" w:ascii="宋体" w:hAnsi="宋体" w:eastAsia="宋体" w:cs="宋体"/>
                <w:spacing w:val="-5"/>
                <w:sz w:val="21"/>
                <w:szCs w:val="21"/>
              </w:rPr>
              <w:t>100%聚酯纤维。</w:t>
            </w:r>
            <w:r>
              <w:rPr>
                <w:rFonts w:hint="eastAsia" w:ascii="宋体" w:hAnsi="宋体" w:eastAsia="宋体" w:cs="宋体"/>
                <w:spacing w:val="-7"/>
                <w:sz w:val="21"/>
                <w:szCs w:val="21"/>
              </w:rPr>
              <w:t>色牢度：耐水色牢度≥4</w:t>
            </w:r>
            <w:r>
              <w:rPr>
                <w:rFonts w:hint="eastAsia" w:ascii="宋体" w:hAnsi="宋体" w:eastAsia="宋体" w:cs="宋体"/>
                <w:spacing w:val="-35"/>
                <w:sz w:val="21"/>
                <w:szCs w:val="21"/>
              </w:rPr>
              <w:t xml:space="preserve"> </w:t>
            </w:r>
            <w:r>
              <w:rPr>
                <w:rFonts w:hint="eastAsia" w:ascii="宋体" w:hAnsi="宋体" w:eastAsia="宋体" w:cs="宋体"/>
                <w:spacing w:val="-7"/>
                <w:sz w:val="21"/>
                <w:szCs w:val="21"/>
              </w:rPr>
              <w:t>级，耐洗色牢度≥4</w:t>
            </w:r>
            <w:r>
              <w:rPr>
                <w:rFonts w:hint="eastAsia" w:ascii="宋体" w:hAnsi="宋体" w:eastAsia="宋体" w:cs="宋体"/>
                <w:spacing w:val="-35"/>
                <w:sz w:val="21"/>
                <w:szCs w:val="21"/>
              </w:rPr>
              <w:t xml:space="preserve"> </w:t>
            </w:r>
            <w:r>
              <w:rPr>
                <w:rFonts w:hint="eastAsia" w:ascii="宋体" w:hAnsi="宋体" w:eastAsia="宋体" w:cs="宋体"/>
                <w:spacing w:val="-7"/>
                <w:sz w:val="21"/>
                <w:szCs w:val="21"/>
              </w:rPr>
              <w:t>级，耐摩擦色牢度≥4</w:t>
            </w:r>
            <w:r>
              <w:rPr>
                <w:rFonts w:hint="eastAsia" w:ascii="宋体" w:hAnsi="宋体" w:eastAsia="宋体" w:cs="宋体"/>
                <w:spacing w:val="-34"/>
                <w:sz w:val="21"/>
                <w:szCs w:val="21"/>
              </w:rPr>
              <w:t xml:space="preserve"> </w:t>
            </w:r>
            <w:r>
              <w:rPr>
                <w:rFonts w:hint="eastAsia" w:ascii="宋体" w:hAnsi="宋体" w:eastAsia="宋体" w:cs="宋体"/>
                <w:spacing w:val="-7"/>
                <w:sz w:val="21"/>
                <w:szCs w:val="21"/>
              </w:rPr>
              <w:t>级，耐光色牢度≥</w:t>
            </w:r>
            <w:r>
              <w:rPr>
                <w:rFonts w:hint="eastAsia" w:ascii="宋体" w:hAnsi="宋体" w:eastAsia="宋体" w:cs="宋体"/>
                <w:sz w:val="21"/>
                <w:szCs w:val="21"/>
              </w:rPr>
              <w:t xml:space="preserve"> </w:t>
            </w:r>
            <w:r>
              <w:rPr>
                <w:rFonts w:hint="eastAsia" w:ascii="宋体" w:hAnsi="宋体" w:eastAsia="宋体" w:cs="宋体"/>
                <w:spacing w:val="-2"/>
                <w:sz w:val="21"/>
                <w:szCs w:val="21"/>
              </w:rPr>
              <w:t>5</w:t>
            </w:r>
            <w:r>
              <w:rPr>
                <w:rFonts w:hint="eastAsia" w:ascii="宋体" w:hAnsi="宋体" w:eastAsia="宋体" w:cs="宋体"/>
                <w:spacing w:val="7"/>
                <w:sz w:val="21"/>
                <w:szCs w:val="21"/>
              </w:rPr>
              <w:t xml:space="preserve"> </w:t>
            </w:r>
            <w:r>
              <w:rPr>
                <w:rFonts w:hint="eastAsia" w:ascii="宋体" w:hAnsi="宋体" w:eastAsia="宋体" w:cs="宋体"/>
                <w:spacing w:val="-2"/>
                <w:sz w:val="21"/>
                <w:szCs w:val="21"/>
              </w:rPr>
              <w:t>级。</w:t>
            </w:r>
            <w:r>
              <w:rPr>
                <w:rFonts w:hint="eastAsia" w:ascii="宋体" w:hAnsi="宋体" w:eastAsia="宋体" w:cs="宋体"/>
                <w:spacing w:val="-104"/>
                <w:sz w:val="21"/>
                <w:szCs w:val="21"/>
              </w:rPr>
              <w:t xml:space="preserve"> </w:t>
            </w:r>
            <w:r>
              <w:rPr>
                <w:rFonts w:hint="eastAsia" w:ascii="宋体" w:hAnsi="宋体" w:eastAsia="宋体" w:cs="宋体"/>
                <w:sz w:val="21"/>
                <w:szCs w:val="21"/>
              </w:rPr>
              <w:t xml:space="preserve">    </w:t>
            </w:r>
            <w:r>
              <w:rPr>
                <w:rFonts w:hint="eastAsia" w:ascii="宋体" w:hAnsi="宋体" w:eastAsia="宋体" w:cs="宋体"/>
                <w:spacing w:val="-6"/>
                <w:sz w:val="21"/>
                <w:szCs w:val="21"/>
              </w:rPr>
              <w:t>致癌染料：</w:t>
            </w:r>
            <w:r>
              <w:rPr>
                <w:rFonts w:hint="eastAsia" w:ascii="宋体" w:hAnsi="宋体" w:eastAsia="宋体" w:cs="宋体"/>
                <w:spacing w:val="74"/>
                <w:sz w:val="21"/>
                <w:szCs w:val="21"/>
              </w:rPr>
              <w:t xml:space="preserve"> </w:t>
            </w:r>
            <w:r>
              <w:rPr>
                <w:rFonts w:hint="eastAsia" w:ascii="宋体" w:hAnsi="宋体" w:eastAsia="宋体" w:cs="宋体"/>
                <w:spacing w:val="-6"/>
                <w:sz w:val="21"/>
                <w:szCs w:val="21"/>
              </w:rPr>
              <w:t>禁用。</w:t>
            </w:r>
            <w:r>
              <w:rPr>
                <w:rFonts w:hint="eastAsia" w:ascii="宋体" w:hAnsi="宋体" w:eastAsia="宋体" w:cs="宋体"/>
                <w:spacing w:val="-104"/>
                <w:sz w:val="21"/>
                <w:szCs w:val="21"/>
              </w:rPr>
              <w:t xml:space="preserve"> </w:t>
            </w:r>
            <w:r>
              <w:rPr>
                <w:rFonts w:hint="eastAsia" w:ascii="宋体" w:hAnsi="宋体" w:eastAsia="宋体" w:cs="宋体"/>
                <w:sz w:val="21"/>
                <w:szCs w:val="21"/>
              </w:rPr>
              <w:t xml:space="preserve">                       </w:t>
            </w:r>
            <w:r>
              <w:rPr>
                <w:rFonts w:hint="eastAsia" w:ascii="宋体" w:hAnsi="宋体" w:eastAsia="宋体" w:cs="宋体"/>
                <w:spacing w:val="-6"/>
                <w:sz w:val="21"/>
                <w:szCs w:val="21"/>
              </w:rPr>
              <w:t>2、安全性能：</w:t>
            </w:r>
            <w:r>
              <w:rPr>
                <w:rFonts w:hint="eastAsia" w:ascii="宋体" w:hAnsi="宋体" w:eastAsia="宋体" w:cs="宋体"/>
                <w:spacing w:val="102"/>
                <w:sz w:val="21"/>
                <w:szCs w:val="21"/>
              </w:rPr>
              <w:t xml:space="preserve"> </w:t>
            </w:r>
            <w:r>
              <w:rPr>
                <w:rFonts w:hint="eastAsia" w:ascii="宋体" w:hAnsi="宋体" w:eastAsia="宋体" w:cs="宋体"/>
                <w:spacing w:val="-6"/>
                <w:sz w:val="21"/>
                <w:szCs w:val="21"/>
              </w:rPr>
              <w:t>甲醛、异味、PH</w:t>
            </w:r>
            <w:r>
              <w:rPr>
                <w:rFonts w:hint="eastAsia" w:ascii="宋体" w:hAnsi="宋体" w:eastAsia="宋体" w:cs="宋体"/>
                <w:spacing w:val="-38"/>
                <w:sz w:val="21"/>
                <w:szCs w:val="21"/>
              </w:rPr>
              <w:t xml:space="preserve"> </w:t>
            </w:r>
            <w:r>
              <w:rPr>
                <w:rFonts w:hint="eastAsia" w:ascii="宋体" w:hAnsi="宋体" w:eastAsia="宋体" w:cs="宋体"/>
                <w:spacing w:val="-6"/>
                <w:sz w:val="21"/>
                <w:szCs w:val="21"/>
              </w:rPr>
              <w:t>值、可分解芳香胺致癌物质含量必须符合国家纺织品</w:t>
            </w:r>
            <w:r>
              <w:rPr>
                <w:rFonts w:hint="eastAsia" w:ascii="宋体" w:hAnsi="宋体" w:eastAsia="宋体" w:cs="宋体"/>
                <w:sz w:val="21"/>
                <w:szCs w:val="21"/>
              </w:rPr>
              <w:t xml:space="preserve"> </w:t>
            </w:r>
            <w:r>
              <w:rPr>
                <w:rFonts w:hint="eastAsia" w:ascii="宋体" w:hAnsi="宋体" w:eastAsia="宋体" w:cs="宋体"/>
                <w:spacing w:val="-5"/>
                <w:sz w:val="21"/>
                <w:szCs w:val="21"/>
              </w:rPr>
              <w:t>强制性标准</w:t>
            </w:r>
            <w:r>
              <w:rPr>
                <w:rFonts w:hint="eastAsia" w:ascii="宋体" w:hAnsi="宋体" w:eastAsia="宋体" w:cs="宋体"/>
                <w:spacing w:val="-10"/>
                <w:sz w:val="21"/>
                <w:szCs w:val="21"/>
              </w:rPr>
              <w:t xml:space="preserve"> </w:t>
            </w:r>
            <w:r>
              <w:rPr>
                <w:rFonts w:hint="eastAsia" w:ascii="宋体" w:hAnsi="宋体" w:eastAsia="宋体" w:cs="宋体"/>
                <w:spacing w:val="-5"/>
                <w:sz w:val="21"/>
                <w:szCs w:val="21"/>
              </w:rPr>
              <w:t>GB18401-2010C</w:t>
            </w:r>
            <w:r>
              <w:rPr>
                <w:rFonts w:hint="eastAsia" w:ascii="宋体" w:hAnsi="宋体" w:eastAsia="宋体" w:cs="宋体"/>
                <w:spacing w:val="-35"/>
                <w:sz w:val="21"/>
                <w:szCs w:val="21"/>
              </w:rPr>
              <w:t xml:space="preserve"> </w:t>
            </w:r>
            <w:r>
              <w:rPr>
                <w:rFonts w:hint="eastAsia" w:ascii="宋体" w:hAnsi="宋体" w:eastAsia="宋体" w:cs="宋体"/>
                <w:spacing w:val="-5"/>
                <w:sz w:val="21"/>
                <w:szCs w:val="21"/>
              </w:rPr>
              <w:t>类或更优标准（GB18401-2010B</w:t>
            </w:r>
            <w:r>
              <w:rPr>
                <w:rFonts w:hint="eastAsia" w:ascii="宋体" w:hAnsi="宋体" w:eastAsia="宋体" w:cs="宋体"/>
                <w:spacing w:val="-35"/>
                <w:sz w:val="21"/>
                <w:szCs w:val="21"/>
              </w:rPr>
              <w:t xml:space="preserve"> </w:t>
            </w:r>
            <w:r>
              <w:rPr>
                <w:rFonts w:hint="eastAsia" w:ascii="宋体" w:hAnsi="宋体" w:eastAsia="宋体" w:cs="宋体"/>
                <w:spacing w:val="-5"/>
                <w:sz w:val="21"/>
                <w:szCs w:val="21"/>
              </w:rPr>
              <w:t>类或</w:t>
            </w:r>
            <w:r>
              <w:rPr>
                <w:rFonts w:hint="eastAsia" w:ascii="宋体" w:hAnsi="宋体" w:eastAsia="宋体" w:cs="宋体"/>
                <w:spacing w:val="-49"/>
                <w:sz w:val="21"/>
                <w:szCs w:val="21"/>
              </w:rPr>
              <w:t xml:space="preserve"> </w:t>
            </w:r>
            <w:r>
              <w:rPr>
                <w:rFonts w:hint="eastAsia" w:ascii="宋体" w:hAnsi="宋体" w:eastAsia="宋体" w:cs="宋体"/>
                <w:spacing w:val="-5"/>
                <w:sz w:val="21"/>
                <w:szCs w:val="21"/>
              </w:rPr>
              <w:t>A</w:t>
            </w:r>
            <w:r>
              <w:rPr>
                <w:rFonts w:hint="eastAsia" w:ascii="宋体" w:hAnsi="宋体" w:eastAsia="宋体" w:cs="宋体"/>
                <w:spacing w:val="-37"/>
                <w:sz w:val="21"/>
                <w:szCs w:val="21"/>
              </w:rPr>
              <w:t xml:space="preserve"> </w:t>
            </w:r>
            <w:r>
              <w:rPr>
                <w:rFonts w:hint="eastAsia" w:ascii="宋体" w:hAnsi="宋体" w:eastAsia="宋体" w:cs="宋体"/>
                <w:spacing w:val="-5"/>
                <w:sz w:val="21"/>
                <w:szCs w:val="21"/>
              </w:rPr>
              <w:t>类）</w:t>
            </w:r>
            <w:r>
              <w:rPr>
                <w:rFonts w:hint="eastAsia" w:ascii="宋体" w:hAnsi="宋体" w:eastAsia="宋体" w:cs="宋体"/>
                <w:spacing w:val="30"/>
                <w:sz w:val="21"/>
                <w:szCs w:val="21"/>
              </w:rPr>
              <w:t xml:space="preserve"> </w:t>
            </w:r>
            <w:r>
              <w:rPr>
                <w:rFonts w:hint="eastAsia" w:ascii="宋体" w:hAnsi="宋体" w:eastAsia="宋体" w:cs="宋体"/>
                <w:spacing w:val="-5"/>
                <w:sz w:val="21"/>
                <w:szCs w:val="21"/>
              </w:rPr>
              <w:t>,检测标准</w:t>
            </w:r>
            <w:r>
              <w:rPr>
                <w:rFonts w:hint="eastAsia" w:ascii="宋体" w:hAnsi="宋体" w:eastAsia="宋体" w:cs="宋体"/>
                <w:sz w:val="21"/>
                <w:szCs w:val="21"/>
              </w:rPr>
              <w:t xml:space="preserve">    </w:t>
            </w:r>
            <w:r>
              <w:rPr>
                <w:rFonts w:hint="eastAsia" w:ascii="宋体" w:hAnsi="宋体" w:eastAsia="宋体" w:cs="宋体"/>
                <w:spacing w:val="-1"/>
                <w:sz w:val="21"/>
                <w:szCs w:val="21"/>
              </w:rPr>
              <w:t>GB/T2912.1-2009、GB/T7573-2009、GB/T17592-2011、GB18401-2010；</w:t>
            </w:r>
            <w:r>
              <w:rPr>
                <w:rFonts w:hint="eastAsia" w:ascii="宋体" w:hAnsi="宋体" w:eastAsia="宋体" w:cs="宋体"/>
                <w:sz w:val="21"/>
                <w:szCs w:val="21"/>
              </w:rPr>
              <w:t xml:space="preserve">             </w:t>
            </w:r>
            <w:r>
              <w:rPr>
                <w:rFonts w:hint="eastAsia" w:ascii="宋体" w:hAnsi="宋体" w:eastAsia="宋体" w:cs="宋体"/>
                <w:spacing w:val="-10"/>
                <w:w w:val="99"/>
                <w:sz w:val="21"/>
                <w:szCs w:val="21"/>
              </w:rPr>
              <w:t>▲3、织物密度：</w:t>
            </w:r>
            <w:r>
              <w:rPr>
                <w:rFonts w:hint="eastAsia" w:ascii="宋体" w:hAnsi="宋体" w:eastAsia="宋体" w:cs="宋体"/>
                <w:spacing w:val="58"/>
                <w:sz w:val="21"/>
                <w:szCs w:val="21"/>
              </w:rPr>
              <w:t xml:space="preserve"> </w:t>
            </w:r>
            <w:r>
              <w:rPr>
                <w:rFonts w:hint="eastAsia" w:ascii="宋体" w:hAnsi="宋体" w:eastAsia="宋体" w:cs="宋体"/>
                <w:spacing w:val="-10"/>
                <w:w w:val="99"/>
                <w:sz w:val="21"/>
                <w:szCs w:val="21"/>
              </w:rPr>
              <w:t>经向：</w:t>
            </w:r>
            <w:r>
              <w:rPr>
                <w:rFonts w:hint="eastAsia" w:ascii="宋体" w:hAnsi="宋体" w:eastAsia="宋体" w:cs="宋体"/>
                <w:spacing w:val="60"/>
                <w:sz w:val="21"/>
                <w:szCs w:val="21"/>
              </w:rPr>
              <w:t xml:space="preserve"> </w:t>
            </w:r>
            <w:r>
              <w:rPr>
                <w:rFonts w:hint="eastAsia" w:ascii="宋体" w:hAnsi="宋体" w:eastAsia="宋体" w:cs="宋体"/>
                <w:spacing w:val="-10"/>
                <w:w w:val="99"/>
                <w:sz w:val="21"/>
                <w:szCs w:val="21"/>
              </w:rPr>
              <w:t>≥400</w:t>
            </w:r>
            <w:r>
              <w:rPr>
                <w:rFonts w:hint="eastAsia" w:ascii="宋体" w:hAnsi="宋体" w:eastAsia="宋体" w:cs="宋体"/>
                <w:spacing w:val="-39"/>
                <w:sz w:val="21"/>
                <w:szCs w:val="21"/>
              </w:rPr>
              <w:t xml:space="preserve"> </w:t>
            </w:r>
            <w:r>
              <w:rPr>
                <w:rFonts w:hint="eastAsia" w:ascii="宋体" w:hAnsi="宋体" w:eastAsia="宋体" w:cs="宋体"/>
                <w:spacing w:val="-10"/>
                <w:w w:val="99"/>
                <w:sz w:val="21"/>
                <w:szCs w:val="21"/>
              </w:rPr>
              <w:t>根/10cm，纬向：</w:t>
            </w:r>
            <w:r>
              <w:rPr>
                <w:rFonts w:hint="eastAsia" w:ascii="宋体" w:hAnsi="宋体" w:eastAsia="宋体" w:cs="宋体"/>
                <w:spacing w:val="60"/>
                <w:sz w:val="21"/>
                <w:szCs w:val="21"/>
              </w:rPr>
              <w:t xml:space="preserve"> </w:t>
            </w:r>
            <w:r>
              <w:rPr>
                <w:rFonts w:hint="eastAsia" w:ascii="宋体" w:hAnsi="宋体" w:eastAsia="宋体" w:cs="宋体"/>
                <w:spacing w:val="-10"/>
                <w:w w:val="99"/>
                <w:sz w:val="21"/>
                <w:szCs w:val="21"/>
              </w:rPr>
              <w:t>≥700</w:t>
            </w:r>
            <w:r>
              <w:rPr>
                <w:rFonts w:hint="eastAsia" w:ascii="宋体" w:hAnsi="宋体" w:eastAsia="宋体" w:cs="宋体"/>
                <w:spacing w:val="-39"/>
                <w:sz w:val="21"/>
                <w:szCs w:val="21"/>
              </w:rPr>
              <w:t xml:space="preserve"> </w:t>
            </w:r>
            <w:r>
              <w:rPr>
                <w:rFonts w:hint="eastAsia" w:ascii="宋体" w:hAnsi="宋体" w:eastAsia="宋体" w:cs="宋体"/>
                <w:spacing w:val="-10"/>
                <w:w w:val="99"/>
                <w:sz w:val="21"/>
                <w:szCs w:val="21"/>
              </w:rPr>
              <w:t>根/10cm。（提供符合检测标准</w:t>
            </w:r>
            <w:r>
              <w:rPr>
                <w:rFonts w:hint="eastAsia" w:ascii="宋体" w:hAnsi="宋体" w:eastAsia="宋体" w:cs="宋体"/>
                <w:sz w:val="21"/>
                <w:szCs w:val="21"/>
              </w:rPr>
              <w:t xml:space="preserve"> </w:t>
            </w:r>
            <w:r>
              <w:rPr>
                <w:rFonts w:hint="eastAsia" w:ascii="宋体" w:hAnsi="宋体" w:eastAsia="宋体" w:cs="宋体"/>
                <w:spacing w:val="-2"/>
                <w:sz w:val="21"/>
                <w:szCs w:val="21"/>
              </w:rPr>
              <w:t>GB/T4668-1995</w:t>
            </w:r>
            <w:r>
              <w:rPr>
                <w:rFonts w:hint="eastAsia" w:ascii="宋体" w:hAnsi="宋体" w:eastAsia="宋体" w:cs="宋体"/>
                <w:spacing w:val="-18"/>
                <w:sz w:val="21"/>
                <w:szCs w:val="21"/>
              </w:rPr>
              <w:t xml:space="preserve"> </w:t>
            </w:r>
            <w:r>
              <w:rPr>
                <w:rFonts w:hint="eastAsia" w:ascii="宋体" w:hAnsi="宋体" w:eastAsia="宋体" w:cs="宋体"/>
                <w:spacing w:val="-2"/>
                <w:sz w:val="21"/>
                <w:szCs w:val="21"/>
              </w:rPr>
              <w:t>检测报告复印件）</w:t>
            </w:r>
          </w:p>
          <w:p>
            <w:pPr>
              <w:keepNext w:val="0"/>
              <w:keepLines w:val="0"/>
              <w:pageBreakBefore w:val="0"/>
              <w:widowControl w:val="0"/>
              <w:kinsoku/>
              <w:wordWrap/>
              <w:overflowPunct/>
              <w:topLinePunct w:val="0"/>
              <w:autoSpaceDE/>
              <w:autoSpaceDN/>
              <w:bidi w:val="0"/>
              <w:adjustRightInd/>
              <w:snapToGrid/>
              <w:spacing w:line="360" w:lineRule="auto"/>
              <w:ind w:left="24" w:right="7" w:firstLine="5"/>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6"/>
                <w:sz w:val="21"/>
                <w:szCs w:val="21"/>
                <w14:textFill>
                  <w14:solidFill>
                    <w14:schemeClr w14:val="tx1"/>
                  </w14:solidFill>
                </w14:textFill>
              </w:rPr>
              <w:t>4、阻燃标准：</w:t>
            </w:r>
            <w:r>
              <w:rPr>
                <w:rFonts w:hint="eastAsia" w:ascii="宋体" w:hAnsi="宋体" w:eastAsia="宋体" w:cs="宋体"/>
                <w:color w:val="000000" w:themeColor="text1"/>
                <w:spacing w:val="79"/>
                <w:sz w:val="21"/>
                <w:szCs w:val="21"/>
                <w14:textFill>
                  <w14:solidFill>
                    <w14:schemeClr w14:val="tx1"/>
                  </w14:solidFill>
                </w14:textFill>
              </w:rPr>
              <w:t xml:space="preserve"> </w:t>
            </w:r>
            <w:r>
              <w:rPr>
                <w:rFonts w:hint="eastAsia" w:ascii="宋体" w:hAnsi="宋体" w:eastAsia="宋体" w:cs="宋体"/>
                <w:color w:val="000000" w:themeColor="text1"/>
                <w:spacing w:val="-6"/>
                <w:sz w:val="21"/>
                <w:szCs w:val="21"/>
                <w14:textFill>
                  <w14:solidFill>
                    <w14:schemeClr w14:val="tx1"/>
                  </w14:solidFill>
                </w14:textFill>
              </w:rPr>
              <w:t>符合</w:t>
            </w:r>
            <w:r>
              <w:rPr>
                <w:rFonts w:hint="eastAsia" w:ascii="宋体" w:hAnsi="宋体" w:eastAsia="宋体" w:cs="宋体"/>
                <w:color w:val="000000" w:themeColor="text1"/>
                <w:spacing w:val="-45"/>
                <w:sz w:val="21"/>
                <w:szCs w:val="21"/>
                <w14:textFill>
                  <w14:solidFill>
                    <w14:schemeClr w14:val="tx1"/>
                  </w14:solidFill>
                </w14:textFill>
              </w:rPr>
              <w:t xml:space="preserve"> </w:t>
            </w:r>
            <w:r>
              <w:rPr>
                <w:rFonts w:hint="eastAsia" w:ascii="宋体" w:hAnsi="宋体" w:eastAsia="宋体" w:cs="宋体"/>
                <w:color w:val="000000" w:themeColor="text1"/>
                <w:spacing w:val="-6"/>
                <w:sz w:val="21"/>
                <w:szCs w:val="21"/>
                <w14:textFill>
                  <w14:solidFill>
                    <w14:schemeClr w14:val="tx1"/>
                  </w14:solidFill>
                </w14:textFill>
              </w:rPr>
              <w:t>GB/T17591-2006B1</w:t>
            </w:r>
            <w:r>
              <w:rPr>
                <w:rFonts w:hint="eastAsia" w:ascii="宋体" w:hAnsi="宋体" w:eastAsia="宋体" w:cs="宋体"/>
                <w:color w:val="000000" w:themeColor="text1"/>
                <w:spacing w:val="-38"/>
                <w:sz w:val="21"/>
                <w:szCs w:val="21"/>
                <w14:textFill>
                  <w14:solidFill>
                    <w14:schemeClr w14:val="tx1"/>
                  </w14:solidFill>
                </w14:textFill>
              </w:rPr>
              <w:t xml:space="preserve"> </w:t>
            </w:r>
            <w:r>
              <w:rPr>
                <w:rFonts w:hint="eastAsia" w:ascii="宋体" w:hAnsi="宋体" w:eastAsia="宋体" w:cs="宋体"/>
                <w:color w:val="000000" w:themeColor="text1"/>
                <w:spacing w:val="-6"/>
                <w:sz w:val="21"/>
                <w:szCs w:val="21"/>
                <w14:textFill>
                  <w14:solidFill>
                    <w14:schemeClr w14:val="tx1"/>
                  </w14:solidFill>
                </w14:textFill>
              </w:rPr>
              <w:t>级，GB/T5455-2014，损毁长度≤150mm，续燃时间</w:t>
            </w:r>
            <w:r>
              <w:rPr>
                <w:rFonts w:hint="eastAsia" w:ascii="宋体" w:hAnsi="宋体" w:eastAsia="宋体" w:cs="宋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pacing w:val="-2"/>
                <w:sz w:val="21"/>
                <w:szCs w:val="21"/>
                <w14:textFill>
                  <w14:solidFill>
                    <w14:schemeClr w14:val="tx1"/>
                  </w14:solidFill>
                </w14:textFill>
              </w:rPr>
              <w:t>≤5S，阴燃时间≤5S。</w:t>
            </w:r>
          </w:p>
          <w:p>
            <w:pPr>
              <w:keepNext w:val="0"/>
              <w:keepLines w:val="0"/>
              <w:pageBreakBefore w:val="0"/>
              <w:widowControl w:val="0"/>
              <w:kinsoku/>
              <w:wordWrap/>
              <w:overflowPunct/>
              <w:topLinePunct w:val="0"/>
              <w:autoSpaceDE/>
              <w:autoSpaceDN/>
              <w:bidi w:val="0"/>
              <w:adjustRightInd/>
              <w:snapToGrid/>
              <w:spacing w:before="92" w:line="360" w:lineRule="auto"/>
              <w:ind w:left="17" w:leftChars="0" w:right="5" w:rightChars="0" w:firstLine="4" w:firstLineChars="0"/>
              <w:textAlignment w:val="auto"/>
              <w:rPr>
                <w:rFonts w:hint="eastAsia" w:ascii="宋体" w:hAnsi="宋体" w:eastAsia="宋体" w:cs="宋体"/>
                <w:kern w:val="2"/>
                <w:sz w:val="21"/>
                <w:szCs w:val="21"/>
                <w:lang w:val="en-US" w:eastAsia="zh-CN" w:bidi="ar-SA"/>
              </w:rPr>
            </w:pPr>
            <w:r>
              <w:rPr>
                <w:rFonts w:hint="eastAsia" w:ascii="宋体" w:hAnsi="宋体" w:eastAsia="宋体" w:cs="宋体"/>
                <w:b/>
                <w:bCs/>
                <w:color w:val="000000" w:themeColor="text1"/>
                <w:spacing w:val="-5"/>
                <w:sz w:val="21"/>
                <w:szCs w:val="21"/>
                <w14:textFill>
                  <w14:solidFill>
                    <w14:schemeClr w14:val="tx1"/>
                  </w14:solidFill>
                </w14:textFill>
              </w:rPr>
              <w:t>注：面料部分参数须提供第三方检测机构出具的检测报告复印件，并加盖投标人公章。且检测结果必须要在同一份检测报告中体现。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before="69" w:line="36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3"/>
                <w:sz w:val="21"/>
                <w:szCs w:val="21"/>
                <w14:textOutline w14:w="3797" w14:cap="sq" w14:cmpd="sng" w14:algn="ctr">
                  <w14:solidFill>
                    <w14:srgbClr w14:val="000000"/>
                  </w14:solidFill>
                  <w14:prstDash w14:val="solid"/>
                  <w14:bevel/>
                </w14:textOutline>
              </w:rPr>
              <w:t>10.开合帘电机</w:t>
            </w:r>
          </w:p>
        </w:tc>
        <w:tc>
          <w:tcPr>
            <w:tcW w:w="0" w:type="auto"/>
            <w:vAlign w:val="top"/>
          </w:tcPr>
          <w:p>
            <w:pPr>
              <w:keepNext w:val="0"/>
              <w:keepLines w:val="0"/>
              <w:pageBreakBefore w:val="0"/>
              <w:widowControl w:val="0"/>
              <w:kinsoku/>
              <w:wordWrap/>
              <w:overflowPunct/>
              <w:topLinePunct w:val="0"/>
              <w:autoSpaceDE/>
              <w:autoSpaceDN/>
              <w:bidi w:val="0"/>
              <w:adjustRightInd/>
              <w:snapToGrid/>
              <w:spacing w:before="54" w:line="360" w:lineRule="auto"/>
              <w:ind w:firstLine="24"/>
              <w:textAlignment w:val="auto"/>
              <w:rPr>
                <w:rFonts w:hint="eastAsia" w:ascii="宋体" w:hAnsi="宋体" w:eastAsia="宋体" w:cs="宋体"/>
                <w:sz w:val="21"/>
                <w:szCs w:val="21"/>
              </w:rPr>
            </w:pPr>
            <w:r>
              <w:rPr>
                <w:rFonts w:hint="eastAsia" w:ascii="宋体" w:hAnsi="宋体" w:eastAsia="宋体" w:cs="宋体"/>
                <w:spacing w:val="-10"/>
                <w:w w:val="99"/>
                <w:sz w:val="21"/>
                <w:szCs w:val="21"/>
              </w:rPr>
              <w:t>1、外接电源：</w:t>
            </w:r>
            <w:r>
              <w:rPr>
                <w:rFonts w:hint="eastAsia" w:ascii="宋体" w:hAnsi="宋体" w:eastAsia="宋体" w:cs="宋体"/>
                <w:spacing w:val="69"/>
                <w:sz w:val="21"/>
                <w:szCs w:val="21"/>
              </w:rPr>
              <w:t xml:space="preserve"> </w:t>
            </w:r>
            <w:r>
              <w:rPr>
                <w:rFonts w:hint="eastAsia" w:ascii="宋体" w:hAnsi="宋体" w:eastAsia="宋体" w:cs="宋体"/>
                <w:spacing w:val="-10"/>
                <w:w w:val="99"/>
                <w:sz w:val="21"/>
                <w:szCs w:val="21"/>
              </w:rPr>
              <w:t>220V，内置变压器</w:t>
            </w:r>
          </w:p>
          <w:p>
            <w:pPr>
              <w:keepNext w:val="0"/>
              <w:keepLines w:val="0"/>
              <w:pageBreakBefore w:val="0"/>
              <w:widowControl w:val="0"/>
              <w:kinsoku/>
              <w:wordWrap/>
              <w:overflowPunct/>
              <w:topLinePunct w:val="0"/>
              <w:autoSpaceDE/>
              <w:autoSpaceDN/>
              <w:bidi w:val="0"/>
              <w:adjustRightInd/>
              <w:snapToGrid/>
              <w:spacing w:before="98" w:line="360" w:lineRule="auto"/>
              <w:ind w:firstLine="11"/>
              <w:textAlignment w:val="auto"/>
              <w:rPr>
                <w:rFonts w:hint="eastAsia" w:ascii="宋体" w:hAnsi="宋体" w:eastAsia="宋体" w:cs="宋体"/>
                <w:sz w:val="21"/>
                <w:szCs w:val="21"/>
              </w:rPr>
            </w:pPr>
            <w:r>
              <w:rPr>
                <w:rFonts w:hint="eastAsia" w:ascii="宋体" w:hAnsi="宋体" w:eastAsia="宋体" w:cs="宋体"/>
                <w:spacing w:val="-9"/>
                <w:w w:val="93"/>
                <w:sz w:val="21"/>
                <w:szCs w:val="21"/>
              </w:rPr>
              <w:t>2、功率：</w:t>
            </w:r>
            <w:r>
              <w:rPr>
                <w:rFonts w:hint="eastAsia" w:ascii="宋体" w:hAnsi="宋体" w:eastAsia="宋体" w:cs="宋体"/>
                <w:spacing w:val="69"/>
                <w:sz w:val="21"/>
                <w:szCs w:val="21"/>
              </w:rPr>
              <w:t xml:space="preserve"> </w:t>
            </w:r>
            <w:r>
              <w:rPr>
                <w:rFonts w:hint="eastAsia" w:ascii="宋体" w:hAnsi="宋体" w:eastAsia="宋体" w:cs="宋体"/>
                <w:spacing w:val="-9"/>
                <w:w w:val="93"/>
                <w:sz w:val="21"/>
                <w:szCs w:val="21"/>
              </w:rPr>
              <w:t>≥45W</w:t>
            </w:r>
          </w:p>
          <w:p>
            <w:pPr>
              <w:keepNext w:val="0"/>
              <w:keepLines w:val="0"/>
              <w:pageBreakBefore w:val="0"/>
              <w:widowControl w:val="0"/>
              <w:kinsoku/>
              <w:wordWrap/>
              <w:overflowPunct/>
              <w:topLinePunct w:val="0"/>
              <w:autoSpaceDE/>
              <w:autoSpaceDN/>
              <w:bidi w:val="0"/>
              <w:adjustRightInd/>
              <w:snapToGrid/>
              <w:spacing w:before="98" w:line="360" w:lineRule="auto"/>
              <w:ind w:firstLine="13"/>
              <w:textAlignment w:val="auto"/>
              <w:rPr>
                <w:rFonts w:hint="eastAsia" w:ascii="宋体" w:hAnsi="宋体" w:eastAsia="宋体" w:cs="宋体"/>
                <w:sz w:val="21"/>
                <w:szCs w:val="21"/>
              </w:rPr>
            </w:pPr>
            <w:r>
              <w:rPr>
                <w:rFonts w:hint="eastAsia" w:ascii="宋体" w:hAnsi="宋体" w:eastAsia="宋体" w:cs="宋体"/>
                <w:spacing w:val="-10"/>
                <w:w w:val="97"/>
                <w:sz w:val="21"/>
                <w:szCs w:val="21"/>
              </w:rPr>
              <w:t>3、额定电流：</w:t>
            </w:r>
            <w:r>
              <w:rPr>
                <w:rFonts w:hint="eastAsia" w:ascii="宋体" w:hAnsi="宋体" w:eastAsia="宋体" w:cs="宋体"/>
                <w:spacing w:val="77"/>
                <w:sz w:val="21"/>
                <w:szCs w:val="21"/>
              </w:rPr>
              <w:t xml:space="preserve"> </w:t>
            </w:r>
            <w:r>
              <w:rPr>
                <w:rFonts w:hint="eastAsia" w:ascii="宋体" w:hAnsi="宋体" w:eastAsia="宋体" w:cs="宋体"/>
                <w:spacing w:val="-10"/>
                <w:w w:val="97"/>
                <w:sz w:val="21"/>
                <w:szCs w:val="21"/>
              </w:rPr>
              <w:t>≥0.14A</w:t>
            </w:r>
          </w:p>
          <w:p>
            <w:pPr>
              <w:keepNext w:val="0"/>
              <w:keepLines w:val="0"/>
              <w:pageBreakBefore w:val="0"/>
              <w:widowControl w:val="0"/>
              <w:kinsoku/>
              <w:wordWrap/>
              <w:overflowPunct/>
              <w:topLinePunct w:val="0"/>
              <w:autoSpaceDE/>
              <w:autoSpaceDN/>
              <w:bidi w:val="0"/>
              <w:adjustRightInd/>
              <w:snapToGrid/>
              <w:spacing w:before="98" w:line="360" w:lineRule="auto"/>
              <w:ind w:firstLine="8"/>
              <w:textAlignment w:val="auto"/>
              <w:rPr>
                <w:rFonts w:hint="eastAsia" w:ascii="宋体" w:hAnsi="宋体" w:eastAsia="宋体" w:cs="宋体"/>
                <w:sz w:val="21"/>
                <w:szCs w:val="21"/>
              </w:rPr>
            </w:pPr>
            <w:r>
              <w:rPr>
                <w:rFonts w:hint="eastAsia" w:ascii="宋体" w:hAnsi="宋体" w:eastAsia="宋体" w:cs="宋体"/>
                <w:spacing w:val="-10"/>
                <w:w w:val="98"/>
                <w:sz w:val="21"/>
                <w:szCs w:val="21"/>
              </w:rPr>
              <w:t>4、额定扭矩：</w:t>
            </w:r>
            <w:r>
              <w:rPr>
                <w:rFonts w:hint="eastAsia" w:ascii="宋体" w:hAnsi="宋体" w:eastAsia="宋体" w:cs="宋体"/>
                <w:spacing w:val="72"/>
                <w:sz w:val="21"/>
                <w:szCs w:val="21"/>
              </w:rPr>
              <w:t xml:space="preserve"> </w:t>
            </w:r>
            <w:r>
              <w:rPr>
                <w:rFonts w:hint="eastAsia" w:ascii="宋体" w:hAnsi="宋体" w:eastAsia="宋体" w:cs="宋体"/>
                <w:spacing w:val="-10"/>
                <w:w w:val="98"/>
                <w:sz w:val="21"/>
                <w:szCs w:val="21"/>
              </w:rPr>
              <w:t>≥1.2N.m</w:t>
            </w:r>
          </w:p>
          <w:p>
            <w:pPr>
              <w:keepNext w:val="0"/>
              <w:keepLines w:val="0"/>
              <w:pageBreakBefore w:val="0"/>
              <w:widowControl w:val="0"/>
              <w:kinsoku/>
              <w:wordWrap/>
              <w:overflowPunct/>
              <w:topLinePunct w:val="0"/>
              <w:autoSpaceDE/>
              <w:autoSpaceDN/>
              <w:bidi w:val="0"/>
              <w:adjustRightInd/>
              <w:snapToGrid/>
              <w:spacing w:before="98" w:line="360" w:lineRule="auto"/>
              <w:ind w:firstLine="13"/>
              <w:textAlignment w:val="auto"/>
              <w:rPr>
                <w:rFonts w:hint="eastAsia" w:ascii="宋体" w:hAnsi="宋体" w:eastAsia="宋体" w:cs="宋体"/>
                <w:sz w:val="21"/>
                <w:szCs w:val="21"/>
              </w:rPr>
            </w:pPr>
            <w:r>
              <w:rPr>
                <w:rFonts w:hint="eastAsia" w:ascii="宋体" w:hAnsi="宋体" w:eastAsia="宋体" w:cs="宋体"/>
                <w:spacing w:val="-10"/>
                <w:w w:val="97"/>
                <w:sz w:val="21"/>
                <w:szCs w:val="21"/>
              </w:rPr>
              <w:t>5、安全载重：</w:t>
            </w:r>
            <w:r>
              <w:rPr>
                <w:rFonts w:hint="eastAsia" w:ascii="宋体" w:hAnsi="宋体" w:eastAsia="宋体" w:cs="宋体"/>
                <w:spacing w:val="64"/>
                <w:sz w:val="21"/>
                <w:szCs w:val="21"/>
              </w:rPr>
              <w:t xml:space="preserve"> </w:t>
            </w:r>
            <w:r>
              <w:rPr>
                <w:rFonts w:hint="eastAsia" w:ascii="宋体" w:hAnsi="宋体" w:eastAsia="宋体" w:cs="宋体"/>
                <w:spacing w:val="-10"/>
                <w:w w:val="97"/>
                <w:sz w:val="21"/>
                <w:szCs w:val="21"/>
              </w:rPr>
              <w:t>≥50KG</w:t>
            </w:r>
          </w:p>
          <w:p>
            <w:pPr>
              <w:keepNext w:val="0"/>
              <w:keepLines w:val="0"/>
              <w:pageBreakBefore w:val="0"/>
              <w:widowControl w:val="0"/>
              <w:kinsoku/>
              <w:wordWrap/>
              <w:overflowPunct/>
              <w:topLinePunct w:val="0"/>
              <w:autoSpaceDE/>
              <w:autoSpaceDN/>
              <w:bidi w:val="0"/>
              <w:adjustRightInd/>
              <w:snapToGrid/>
              <w:spacing w:before="98" w:line="360" w:lineRule="auto"/>
              <w:ind w:firstLine="10"/>
              <w:textAlignment w:val="auto"/>
              <w:rPr>
                <w:rFonts w:hint="eastAsia" w:ascii="宋体" w:hAnsi="宋体" w:eastAsia="宋体" w:cs="宋体"/>
                <w:sz w:val="21"/>
                <w:szCs w:val="21"/>
              </w:rPr>
            </w:pPr>
            <w:r>
              <w:rPr>
                <w:rFonts w:hint="eastAsia" w:ascii="宋体" w:hAnsi="宋体" w:eastAsia="宋体" w:cs="宋体"/>
                <w:spacing w:val="-10"/>
                <w:w w:val="98"/>
                <w:sz w:val="21"/>
                <w:szCs w:val="21"/>
              </w:rPr>
              <w:t>6、连续工作时间：</w:t>
            </w:r>
            <w:r>
              <w:rPr>
                <w:rFonts w:hint="eastAsia" w:ascii="宋体" w:hAnsi="宋体" w:eastAsia="宋体" w:cs="宋体"/>
                <w:spacing w:val="74"/>
                <w:sz w:val="21"/>
                <w:szCs w:val="21"/>
              </w:rPr>
              <w:t xml:space="preserve"> </w:t>
            </w:r>
            <w:r>
              <w:rPr>
                <w:rFonts w:hint="eastAsia" w:ascii="宋体" w:hAnsi="宋体" w:eastAsia="宋体" w:cs="宋体"/>
                <w:spacing w:val="-10"/>
                <w:w w:val="98"/>
                <w:sz w:val="21"/>
                <w:szCs w:val="21"/>
              </w:rPr>
              <w:t>≥4min</w:t>
            </w:r>
          </w:p>
          <w:p>
            <w:pPr>
              <w:keepNext w:val="0"/>
              <w:keepLines w:val="0"/>
              <w:pageBreakBefore w:val="0"/>
              <w:widowControl w:val="0"/>
              <w:kinsoku/>
              <w:wordWrap/>
              <w:overflowPunct/>
              <w:topLinePunct w:val="0"/>
              <w:autoSpaceDE/>
              <w:autoSpaceDN/>
              <w:bidi w:val="0"/>
              <w:adjustRightInd/>
              <w:snapToGrid/>
              <w:spacing w:before="98" w:line="360" w:lineRule="auto"/>
              <w:ind w:firstLine="13" w:firstLineChars="0"/>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8"/>
                <w:sz w:val="21"/>
                <w:szCs w:val="21"/>
              </w:rPr>
              <w:t>7、功能：</w:t>
            </w:r>
            <w:r>
              <w:rPr>
                <w:rFonts w:hint="eastAsia" w:ascii="宋体" w:hAnsi="宋体" w:eastAsia="宋体" w:cs="宋体"/>
                <w:spacing w:val="47"/>
                <w:sz w:val="21"/>
                <w:szCs w:val="21"/>
              </w:rPr>
              <w:t xml:space="preserve"> </w:t>
            </w:r>
            <w:r>
              <w:rPr>
                <w:rFonts w:hint="eastAsia" w:ascii="宋体" w:hAnsi="宋体" w:eastAsia="宋体" w:cs="宋体"/>
                <w:spacing w:val="-8"/>
                <w:sz w:val="21"/>
                <w:szCs w:val="21"/>
              </w:rPr>
              <w:t>遇阻停止、轻触启动、停电手拉功能</w:t>
            </w:r>
          </w:p>
        </w:tc>
      </w:tr>
    </w:tbl>
    <w:p>
      <w:pPr>
        <w:keepNext w:val="0"/>
        <w:keepLines w:val="0"/>
        <w:pageBreakBefore w:val="0"/>
        <w:widowControl w:val="0"/>
        <w:kinsoku/>
        <w:wordWrap/>
        <w:overflowPunct/>
        <w:topLinePunct w:val="0"/>
        <w:autoSpaceDE/>
        <w:autoSpaceDN/>
        <w:bidi w:val="0"/>
        <w:adjustRightInd/>
        <w:snapToGrid/>
        <w:spacing w:before="56" w:line="360" w:lineRule="auto"/>
        <w:ind w:firstLine="18"/>
        <w:textAlignment w:val="auto"/>
        <w:rPr>
          <w:b w:val="0"/>
          <w:bCs w:val="0"/>
        </w:rPr>
      </w:pPr>
      <w:r>
        <w:rPr>
          <w:rFonts w:hint="eastAsia"/>
          <w:lang w:val="en-US" w:eastAsia="zh-CN"/>
        </w:rPr>
        <w:t>备注：1.</w:t>
      </w:r>
      <w:r>
        <w:rPr>
          <w:rFonts w:hint="eastAsia"/>
        </w:rPr>
        <w:t>性能、标准、技术参数及其他要求中，标注“▲” 、 “★”项为评审打分项。</w:t>
      </w:r>
      <w:r>
        <w:rPr>
          <w:rFonts w:hint="eastAsia"/>
          <w:lang w:val="en-US" w:eastAsia="zh-CN"/>
        </w:rPr>
        <w:t>2.</w:t>
      </w:r>
      <w:r>
        <w:rPr>
          <w:rFonts w:hint="eastAsia"/>
        </w:rPr>
        <w:t>其他要求： 窗帘花型、颜色中标后由采购方确认选择。</w:t>
      </w:r>
    </w:p>
    <w:p>
      <w:r>
        <w:rPr>
          <w:rFonts w:ascii="宋体" w:hAnsi="宋体"/>
          <w:b/>
          <w:color w:val="000000" w:themeColor="text1"/>
          <w:sz w:val="28"/>
          <w:szCs w:val="28"/>
          <w14:textFill>
            <w14:solidFill>
              <w14:schemeClr w14:val="tx1"/>
            </w14:solidFill>
          </w14:textFill>
        </w:rPr>
        <w:t>4.</w:t>
      </w:r>
      <w:r>
        <w:rPr>
          <w:rFonts w:hint="eastAsia" w:ascii="宋体" w:hAnsi="宋体"/>
          <w:b/>
          <w:color w:val="000000" w:themeColor="text1"/>
          <w:sz w:val="28"/>
          <w:szCs w:val="28"/>
          <w14:textFill>
            <w14:solidFill>
              <w14:schemeClr w14:val="tx1"/>
            </w14:solidFill>
          </w14:textFill>
        </w:rPr>
        <w:t>3商务要求</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 货物配送、安装时间、地点要求</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1、配送时间要求： 本项目要求成交供应商与采购人签订合同后 30 个日历天内，完成采购货物的配送、安装工作。</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配送地点要求： 采购人指定地点。</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*（二） 付款方式：</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1、合同签订后 7 天内，采购人支付合同总价 45%的预付款项。全部货物验收合格后，采购 人支付合同总价 50%的款项，质量期满后支付合同总额的 5%。</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2、每次付款前，成交供应商须向采购人提供与付款金额等额的正规税务发票。</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w:t>
      </w:r>
      <w:r>
        <w:rPr>
          <w:rFonts w:hint="eastAsia" w:ascii="宋体" w:hAnsi="宋体"/>
          <w:color w:val="000000" w:themeColor="text1"/>
          <w:sz w:val="28"/>
          <w:szCs w:val="28"/>
          <w:lang w:val="en-US" w:eastAsia="zh-CN"/>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验收及标准</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1、验收依据：按照采购文件、中标人投标文件、采购合同及国家法律法规的相关规定进行 验收。</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2、验收标准：严格按照政府采购相关法律法规以及《财政部关于进一步加强政府采购需求 和履约验收管理的指导意见》 财库〔2016〕 205 号的要求进行验收。</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3、项目验收时须具备下列条件：供应商提供的货物必须是原厂生产的，符合国家、行业和 生产者的质量检测标准，未使用过的全新货物，并附有正规的质量保证书或合格证，同时须 向采购人交付相关技术参数佐证资料；</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4、供应商履约时违反本项第 3 条规定情形的，采购人有权拒收，不予支付货款，同时向同级财政采购监管部门报告。</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（四）违约责任</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甲方违约责任</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（1）甲方无正当理由拒收货物的， 甲方应偿付合同总价百分之 五 的违约金；</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（2）甲方逾期支付货款的，除应及时付足货款外，应向乙方偿付欠款总额万分之 五 /天 的违约金； 逾期付款超过 三十 天的，乙方有权终止合同；</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（3）甲方偿付的违约金不足以弥补乙方损失的，还应按乙方损失尚未弥补的部分，支付赔 偿金给乙方。</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乙方违约责任</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（1）乙方交付的货物质量不符合合同规定的，乙方应向甲方支付合同总价的百分之 二十 的 违约金， 甲方有权终止合同，乙方应赔偿因此给甲方造成的一切损失。</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（2）乙方不能交付货物或逾期交付货物而违约的，除应及时交足货物外，应向甲方偿付逾 期交货部分货款总额的万分之 五 /天的违约金； 逾期交货的， 甲方有权终止合同，乙方则 应按合同总价的百分之 二十 的款额向甲方偿付赔偿金，并须全额退还甲方已经付给乙方的 货款及其利息。</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（3）乙方货物经甲方送交具有法定资格条件的质量技术监督机构检测后，如检测结果认定 货物质量不符合本合同规定标准的，则视为乙方没有按时交货而违约，乙方须在 十 天内无 条件更换合格的货物，如逾期不能更换合格的货物，甲方有权终止本合同，乙方应另付合同 总价的百分之 二十的赔偿金给甲方。</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（4）乙方保证本合同货物的权利无瑕疵，包括货物所有权及知识产权等权利无瑕疵。如任 何第三方经法院（或仲裁机构） 裁决有权对上述货物主张权利或国家机关依法对货物进行没收查处的，乙方除应向甲方返还已收款项外，还应另按合同总价的百分之 五 向甲方支付违约金并赔偿因此给甲方造成的一切损失。</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（5）乙方偿付的违约金不足以弥补甲方损失的，还应按甲方损失尚未弥补的部分，支付赔 偿金给甲方。此违约责任条款中的甲方是指采购人，乙方是指成交供应商。</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（五）争议解决办法：</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1、因货物的质量问题发生争议， 由质量技术监督部门或其指定的质量鉴定机构进行质量鉴 定。货物符合标准的，鉴定费由采购人承担； 货物不符合质量标准的，鉴定费由成交供应商 承担。</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2、合同履行期间,若双方发生争议，可协商或由有关部门调解解决，协商或调解不成的，由 当事人依法维护其合法权益。</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 本项目售后服务基本要求：</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1、项目质保期： 本项目提供的货物整体质保期限为1年，主要货物制造商提供的售后服务年 限（不低于一年，并满足国家“三包”规范） 执行。</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2、售后服务时间要求： 实行 7*24 小时售后服务响应机制，采购货物在质保期内发生质量 问题，供应商应在 30 分钟内电话响应，接到通知 8 小时内赶到现场进行免费维修，排除 故障，所有材料、配件、人工等一切费用由成交供应商负责。质保期内经 3 次以上维修仍 出现故障的，成交供应商应无条件予以更换新品（人为操作因素损坏的除外） 。如成交供应 商在接到通知后 8 小时内没有答复或处理问题，则视为成交供应商承认质量问题并承担由 此而发生的一切费用。</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3、质保及免费更换要求： 货物在质保期限内出现质量问题提供及时免费维修及更换相应配 件服务。</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4、供应商应保证提供的货物是最近生产的、未使用过的，是原装合格正品，并完全符合合 同规定的质量、规格和性能的要求。成交供应商应保证货物在正常使用和保养条件下，在其 使用寿命周期内应具有满意的品质。</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5、供应商应当为采购人提供完整的使用技术培训，培训范围包括设备结构、工作原理、故 障判断、故障处理、设备的正常操作、保养、维护、修理等相关内容，保证操作人员能够正 常上岗操作维护。</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6、特别要求： 质保期满后，若采购人有需要，供应商提供的售后服务标准及内容不低于免 费期内的售后服务标准及内容的要求。</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（七） 投标项目实施及售后服务要求：</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1、投标项目实施方案包括生产或备货供应能力、质量保障措施、项目实施计划、项目实施</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应急预案等。</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2、投标售后服务方案包括售后服务组织架构和服务体系、响应时间、售后巡检、现场服务支持能力、售后应急处理方案等。</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*（八） 其他商务要求：</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 报价要求：</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 本报价是供应商全部完成本项目所有的采购内容的最终报价，包括供应商履约过程中 的人工费、材料费、运费、竞标费用、税金、利润及与供应商履约本项目所需要的其他所有 费用。采购人在项目结算时不再向成交供应商支付其他任何费用。如出现在竞标报价估算错 误等引起的损失由供应商自行承担。</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2、在本采购文件中没有提及的与本项目履约切实相关的事宜，在采购人与成交供应商订立 合同时按明细约定或后续补充约定（约定的内容须符合国家相关法律法规的规定） 。</w:t>
      </w:r>
    </w:p>
    <w:p>
      <w:pPr>
        <w:tabs>
          <w:tab w:val="left" w:pos="851"/>
        </w:tabs>
        <w:spacing w:line="360" w:lineRule="auto"/>
        <w:rPr>
          <w:rFonts w:ascii="宋体" w:hAnsi="宋体"/>
          <w:color w:val="000000" w:themeColor="text1"/>
          <w:sz w:val="28"/>
          <w:szCs w:val="28"/>
          <w14:textFill>
            <w14:solidFill>
              <w14:schemeClr w14:val="tx1"/>
            </w14:solidFill>
          </w14:textFill>
        </w:rPr>
      </w:pPr>
    </w:p>
    <w:p>
      <w:pPr>
        <w:pStyle w:val="2"/>
        <w:rPr>
          <w:rFonts w:ascii="宋体" w:hAnsi="宋体"/>
          <w:b/>
          <w:bCs/>
          <w:color w:val="000000" w:themeColor="text1"/>
          <w:sz w:val="28"/>
          <w:szCs w:val="28"/>
          <w14:textFill>
            <w14:solidFill>
              <w14:schemeClr w14:val="tx1"/>
            </w14:solidFill>
          </w14:textFill>
        </w:rPr>
      </w:pPr>
    </w:p>
    <w:p>
      <w:pPr>
        <w:pStyle w:val="2"/>
        <w:rPr>
          <w:rFonts w:ascii="宋体" w:hAnsi="宋体"/>
          <w:b/>
          <w:bCs/>
          <w:color w:val="000000" w:themeColor="text1"/>
          <w:sz w:val="28"/>
          <w:szCs w:val="28"/>
          <w14:textFill>
            <w14:solidFill>
              <w14:schemeClr w14:val="tx1"/>
            </w14:solidFill>
          </w14:textFill>
        </w:rPr>
      </w:pPr>
    </w:p>
    <w:p>
      <w:pPr>
        <w:pStyle w:val="2"/>
        <w:rPr>
          <w:rFonts w:ascii="宋体" w:hAnsi="宋体"/>
          <w:b/>
          <w:bCs/>
          <w:color w:val="000000" w:themeColor="text1"/>
          <w:sz w:val="28"/>
          <w:szCs w:val="28"/>
          <w14:textFill>
            <w14:solidFill>
              <w14:schemeClr w14:val="tx1"/>
            </w14:solidFill>
          </w14:textFill>
        </w:rPr>
      </w:pPr>
    </w:p>
    <w:p>
      <w:pPr>
        <w:pStyle w:val="2"/>
        <w:rPr>
          <w:rFonts w:ascii="宋体" w:hAnsi="宋体"/>
          <w:b/>
          <w:bCs/>
          <w:color w:val="000000" w:themeColor="text1"/>
          <w:sz w:val="28"/>
          <w:szCs w:val="28"/>
          <w14:textFill>
            <w14:solidFill>
              <w14:schemeClr w14:val="tx1"/>
            </w14:solidFill>
          </w14:textFill>
        </w:rPr>
      </w:pPr>
    </w:p>
    <w:p>
      <w:pPr>
        <w:pStyle w:val="2"/>
        <w:rPr>
          <w:rFonts w:ascii="宋体" w:hAnsi="宋体"/>
          <w:b/>
          <w:bCs/>
          <w:color w:val="000000" w:themeColor="text1"/>
          <w:sz w:val="28"/>
          <w:szCs w:val="28"/>
          <w14:textFill>
            <w14:solidFill>
              <w14:schemeClr w14:val="tx1"/>
            </w14:solidFill>
          </w14:textFill>
        </w:rPr>
      </w:pPr>
    </w:p>
    <w:p>
      <w:pPr>
        <w:pStyle w:val="2"/>
        <w:rPr>
          <w:rFonts w:ascii="宋体" w:hAnsi="宋体"/>
          <w:b/>
          <w:bCs/>
          <w:color w:val="000000" w:themeColor="text1"/>
          <w:sz w:val="28"/>
          <w:szCs w:val="28"/>
          <w14:textFill>
            <w14:solidFill>
              <w14:schemeClr w14:val="tx1"/>
            </w14:solidFill>
          </w14:textFill>
        </w:rPr>
      </w:pPr>
    </w:p>
    <w:bookmarkEnd w:id="154"/>
    <w:bookmarkEnd w:id="155"/>
    <w:p>
      <w:pPr>
        <w:keepNext/>
        <w:keepLines/>
        <w:numPr>
          <w:ilvl w:val="0"/>
          <w:numId w:val="1"/>
        </w:numPr>
        <w:spacing w:before="340" w:after="330" w:line="400" w:lineRule="exact"/>
        <w:jc w:val="center"/>
        <w:outlineLvl w:val="0"/>
        <w:rPr>
          <w:rFonts w:ascii="宋体" w:hAnsi="宋体"/>
          <w:b/>
          <w:bCs/>
          <w:color w:val="000000" w:themeColor="text1"/>
          <w:spacing w:val="-20"/>
          <w:kern w:val="44"/>
          <w:sz w:val="32"/>
          <w:szCs w:val="32"/>
          <w14:textFill>
            <w14:solidFill>
              <w14:schemeClr w14:val="tx1"/>
            </w14:solidFill>
          </w14:textFill>
        </w:rPr>
      </w:pPr>
      <w:bookmarkStart w:id="156" w:name="_Toc76541365"/>
      <w:r>
        <w:rPr>
          <w:rFonts w:hint="eastAsia" w:ascii="宋体" w:hAnsi="宋体"/>
          <w:b/>
          <w:bCs/>
          <w:color w:val="000000" w:themeColor="text1"/>
          <w:spacing w:val="-20"/>
          <w:kern w:val="44"/>
          <w:sz w:val="32"/>
          <w:szCs w:val="32"/>
          <w14:textFill>
            <w14:solidFill>
              <w14:schemeClr w14:val="tx1"/>
            </w14:solidFill>
          </w14:textFill>
        </w:rPr>
        <w:t>资格性审查</w:t>
      </w:r>
      <w:bookmarkEnd w:id="156"/>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资格性审查由采购人组建的资格审查小组依据法律法规和招标文件的规定，对投标文件中的资格证明等进行审查，以确定投标人是否具备投标资格，并出具资格性审查报告。</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时因断电、断网、系统故障或其他不可抗力等因素，导致资格审查小组无法通过系统阅读投标文件进行审查的，待系统恢复后继续审查。出现上述情况时，成都市青羊区政府采购服务中心将以电子邮件形式通知各投标人。资格性审查标准见下表：</w:t>
      </w:r>
    </w:p>
    <w:tbl>
      <w:tblPr>
        <w:tblStyle w:val="43"/>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426"/>
        <w:gridCol w:w="1623"/>
        <w:gridCol w:w="5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734"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color w:val="000000" w:themeColor="text1"/>
                <w:sz w:val="20"/>
                <w14:textFill>
                  <w14:solidFill>
                    <w14:schemeClr w14:val="tx1"/>
                  </w14:solidFill>
                </w14:textFill>
              </w:rPr>
            </w:pPr>
            <w:r>
              <w:rPr>
                <w:rFonts w:hint="eastAsia"/>
                <w:b/>
                <w:color w:val="000000" w:themeColor="text1"/>
                <w:sz w:val="20"/>
                <w14:textFill>
                  <w14:solidFill>
                    <w14:schemeClr w14:val="tx1"/>
                  </w14:solidFill>
                </w14:textFill>
              </w:rPr>
              <w:t>资格性审查项</w:t>
            </w:r>
          </w:p>
        </w:tc>
        <w:tc>
          <w:tcPr>
            <w:tcW w:w="5566"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rFonts w:hint="eastAsia"/>
                <w:b/>
                <w:color w:val="000000" w:themeColor="text1"/>
                <w:sz w:val="20"/>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tcBorders>
              <w:top w:val="single" w:color="auto" w:sz="2" w:space="0"/>
              <w:left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color w:val="000000" w:themeColor="text1"/>
                <w:sz w:val="20"/>
                <w14:textFill>
                  <w14:solidFill>
                    <w14:schemeClr w14:val="tx1"/>
                  </w14:solidFill>
                </w14:textFill>
              </w:rPr>
              <w:t>1</w:t>
            </w:r>
          </w:p>
        </w:tc>
        <w:tc>
          <w:tcPr>
            <w:tcW w:w="2049" w:type="dxa"/>
            <w:gridSpan w:val="2"/>
            <w:tcBorders>
              <w:top w:val="single" w:color="auto" w:sz="2" w:space="0"/>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在中华人民共和国境内依法登记注册，并有效存续具有独立法人资格的供应商</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营业执照复印件（正本或副本）或法人证书复印件（正本或副本）。【说明：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营业执照或法人证书载明有期限的，应在有效期限内；</w:t>
            </w:r>
            <w:r>
              <w:rPr>
                <w:rFonts w:hint="eastAsia" w:ascii="宋体" w:hAnsi="宋体"/>
                <w:color w:val="000000" w:themeColor="text1"/>
                <w:sz w:val="20"/>
                <w:szCs w:val="28"/>
                <w14:textFill>
                  <w14:solidFill>
                    <w14:schemeClr w14:val="tx1"/>
                  </w14:solidFill>
                </w14:textFill>
              </w:rPr>
              <w:t>②</w:t>
            </w:r>
            <w:r>
              <w:rPr>
                <w:rFonts w:hint="eastAsia"/>
                <w:color w:val="000000" w:themeColor="text1"/>
                <w:sz w:val="20"/>
                <w14:textFill>
                  <w14:solidFill>
                    <w14:schemeClr w14:val="tx1"/>
                  </w14:solidFill>
                </w14:textFill>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color w:val="000000" w:themeColor="text1"/>
                <w:sz w:val="20"/>
                <w14:textFill>
                  <w14:solidFill>
                    <w14:schemeClr w14:val="tx1"/>
                  </w14:solidFill>
                </w14:textFill>
              </w:rPr>
              <w:t>2</w:t>
            </w:r>
          </w:p>
        </w:tc>
        <w:tc>
          <w:tcPr>
            <w:tcW w:w="426"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书面声明材料</w:t>
            </w: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具有良好的商业信誉的证明材料</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投标人具有良好的商业信誉的书面声明材料。【说明：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.2.2声明的内容提供书面声明材料</w:t>
            </w:r>
            <w:r>
              <w:rPr>
                <w:rFonts w:hint="eastAsia" w:ascii="宋体" w:hAnsi="宋体"/>
                <w:color w:val="000000" w:themeColor="text1"/>
                <w:sz w:val="20"/>
                <w:szCs w:val="28"/>
                <w14:textFill>
                  <w14:solidFill>
                    <w14:schemeClr w14:val="tx1"/>
                  </w14:solidFill>
                </w14:textFill>
              </w:rPr>
              <w:t>；②供应商具有良好的商业信誉</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参加政府采购活动前三年内，在经营活动中没有重大违法记录</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投标人参加政府采购活动前三年内，在经营活动中没有重大违法记录的书面声明材料。【说明：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.2.2声明的内容提供书面声明材料；</w:t>
            </w:r>
            <w:r>
              <w:rPr>
                <w:rFonts w:hint="eastAsia" w:ascii="宋体" w:hAnsi="宋体"/>
                <w:color w:val="000000" w:themeColor="text1"/>
                <w:sz w:val="20"/>
                <w:szCs w:val="28"/>
                <w14:textFill>
                  <w14:solidFill>
                    <w14:schemeClr w14:val="tx1"/>
                  </w14:solidFill>
                </w14:textFill>
              </w:rPr>
              <w:t>②供应商参加政府采购活动前三年内，在经营活动中没有重大违法记录</w:t>
            </w:r>
            <w:r>
              <w:rPr>
                <w:rFonts w:hint="eastAsia"/>
                <w:color w:val="000000" w:themeColor="text1"/>
                <w:sz w:val="20"/>
                <w14:textFill>
                  <w14:solidFill>
                    <w14:schemeClr w14:val="tx1"/>
                  </w14:solidFill>
                </w14:textFill>
              </w:rPr>
              <w:t>。】</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2. </w:t>
            </w:r>
            <w:r>
              <w:rPr>
                <w:rFonts w:hint="eastAsia"/>
                <w:color w:val="000000" w:themeColor="text1"/>
                <w:sz w:val="20"/>
                <w14:textFill>
                  <w14:solidFill>
                    <w14:schemeClr w14:val="tx1"/>
                  </w14:solidFill>
                </w14:textFill>
              </w:rPr>
              <w:t>资格审查小组根据</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信用中国</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和</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中国政府采购网</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未被列入失信被执行人、重大税收违法案件当事人名单、政府采购严重违法失信行为记录名单</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投标人未列入失信被执行人、重大税收违法案件当事人名单、政府采购严重违法失信行为记录名单的书面声明材料。【说明：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投标人未列入失信被执行人、重大税收违法案件当事人名单、政府采购严重违法失信行为记录名单；</w:t>
            </w:r>
            <w:r>
              <w:rPr>
                <w:rFonts w:hint="eastAsia" w:ascii="宋体" w:hAnsi="宋体"/>
                <w:color w:val="000000" w:themeColor="text1"/>
                <w:sz w:val="20"/>
                <w:szCs w:val="28"/>
                <w14:textFill>
                  <w14:solidFill>
                    <w14:schemeClr w14:val="tx1"/>
                  </w14:solidFill>
                </w14:textFill>
              </w:rPr>
              <w:t>②</w:t>
            </w:r>
            <w:r>
              <w:rPr>
                <w:rFonts w:hint="eastAsia"/>
                <w:color w:val="000000" w:themeColor="text1"/>
                <w:sz w:val="20"/>
                <w14:textFill>
                  <w14:solidFill>
                    <w14:schemeClr w14:val="tx1"/>
                  </w14:solidFill>
                </w14:textFill>
              </w:rPr>
              <w:t>按招标文件</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.2.2声明内容提供书面声明材料。】</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2. </w:t>
            </w:r>
            <w:r>
              <w:rPr>
                <w:rFonts w:hint="eastAsia"/>
                <w:color w:val="000000" w:themeColor="text1"/>
                <w:sz w:val="20"/>
                <w14:textFill>
                  <w14:solidFill>
                    <w14:schemeClr w14:val="tx1"/>
                  </w14:solidFill>
                </w14:textFill>
              </w:rPr>
              <w:t>资格审查小组根据</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信用中国</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和</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中国政府采购网</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未处于被行政部门禁止参与政府采购活动的期限内</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投标人未处于被行政部门禁止参与政府采购活动的期限内。【说明：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.2.2声明内容提供书面声明材料</w:t>
            </w:r>
            <w:r>
              <w:rPr>
                <w:rFonts w:hint="eastAsia" w:ascii="宋体" w:hAnsi="宋体"/>
                <w:color w:val="000000" w:themeColor="text1"/>
                <w:sz w:val="20"/>
                <w:szCs w:val="28"/>
                <w14:textFill>
                  <w14:solidFill>
                    <w14:schemeClr w14:val="tx1"/>
                  </w14:solidFill>
                </w14:textFill>
              </w:rPr>
              <w:t>；②供应商未处于被行政部门禁止参与政府采购活动的期限内。</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行贿犯罪记录</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在行贿犯罪信息查询期限内，投标人及其现任法定代表人、主要负责人没有行贿犯罪记录的书面声明材料。【说明：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.2.2声明内容提供书面声明材料，投标文件中不需提供中国裁判文书网（</w:t>
            </w:r>
            <w:r>
              <w:rPr>
                <w:color w:val="000000" w:themeColor="text1"/>
                <w:sz w:val="20"/>
                <w14:textFill>
                  <w14:solidFill>
                    <w14:schemeClr w14:val="tx1"/>
                  </w14:solidFill>
                </w14:textFill>
              </w:rPr>
              <w:t>https://wenshu.court.gov.cn</w:t>
            </w:r>
            <w:r>
              <w:rPr>
                <w:rFonts w:hint="eastAsia"/>
                <w:color w:val="000000" w:themeColor="text1"/>
                <w:sz w:val="20"/>
                <w14:textFill>
                  <w14:solidFill>
                    <w14:schemeClr w14:val="tx1"/>
                  </w14:solidFill>
                </w14:textFill>
              </w:rPr>
              <w:t>）查询结果的证明材料；</w:t>
            </w:r>
            <w:r>
              <w:rPr>
                <w:rFonts w:hint="eastAsia" w:ascii="宋体" w:hAnsi="宋体"/>
                <w:color w:val="000000" w:themeColor="text1"/>
                <w:sz w:val="20"/>
                <w:szCs w:val="28"/>
                <w14:textFill>
                  <w14:solidFill>
                    <w14:schemeClr w14:val="tx1"/>
                  </w14:solidFill>
                </w14:textFill>
              </w:rPr>
              <w:t>②在行贿犯罪信息查询期限内，供应商及其现任法定代表人、主要负责人没有行贿犯罪记录</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单位负责人为同一人或者存在直接控股、管理关系的不同供应商，不得参加同一项目的投标</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与投标人负责人为同一人或者存在直接控股、管理关系的相关供应商的书面声明材料。【说明：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.2.2声明内容提供书面声明材料</w:t>
            </w:r>
            <w:r>
              <w:rPr>
                <w:rFonts w:hint="eastAsia" w:ascii="宋体" w:hAnsi="宋体"/>
                <w:color w:val="000000" w:themeColor="text1"/>
                <w:sz w:val="20"/>
                <w:szCs w:val="28"/>
                <w14:textFill>
                  <w14:solidFill>
                    <w14:schemeClr w14:val="tx1"/>
                  </w14:solidFill>
                </w14:textFill>
              </w:rPr>
              <w:t>；②参加投标的供应商中无与投标人的负责人为同一人或者存在直接控股、管理关系的供应商。</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restart"/>
            <w:tcBorders>
              <w:left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3</w:t>
            </w:r>
          </w:p>
        </w:tc>
        <w:tc>
          <w:tcPr>
            <w:tcW w:w="426" w:type="dxa"/>
            <w:vMerge w:val="restart"/>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其他</w:t>
            </w: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具有履行合同所必须的设备和专业技术能力</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采购人对投标人履行合同所必须的设备和专业技术能力无其他特殊要求，投标人具有有效的营业执照或法人证书</w:t>
            </w:r>
            <w:r>
              <w:rPr>
                <w:rFonts w:hint="eastAsia" w:ascii="宋体" w:hAnsi="宋体"/>
                <w:color w:val="000000" w:themeColor="text1"/>
                <w:sz w:val="20"/>
                <w:szCs w:val="28"/>
                <w14:textFill>
                  <w14:solidFill>
                    <w14:schemeClr w14:val="tx1"/>
                  </w14:solidFill>
                </w14:textFill>
              </w:rPr>
              <w:t>即可，可不提供其他证明材料</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法律、行政法规规定的其他条件</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采购人对法律、行政法规规定的其他条件无其他特殊要求，投标人具有有效的营业执照或法人证书</w:t>
            </w:r>
            <w:r>
              <w:rPr>
                <w:rFonts w:hint="eastAsia" w:ascii="宋体" w:hAnsi="宋体"/>
                <w:color w:val="000000" w:themeColor="text1"/>
                <w:sz w:val="20"/>
                <w:szCs w:val="28"/>
                <w14:textFill>
                  <w14:solidFill>
                    <w14:schemeClr w14:val="tx1"/>
                  </w14:solidFill>
                </w14:textFill>
              </w:rPr>
              <w:t>即可，可不提供其他证明材料</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不属于其他国家相关法律法规规定的禁止参加投标的供应商</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、根据招标文件的要求不属于禁止参加投标或投标无效的供应商；</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2</w:t>
            </w:r>
            <w:r>
              <w:rPr>
                <w:rFonts w:hint="eastAsia"/>
                <w:color w:val="000000" w:themeColor="text1"/>
                <w:sz w:val="20"/>
                <w14:textFill>
                  <w14:solidFill>
                    <w14:schemeClr w14:val="tx1"/>
                  </w14:solidFill>
                </w14:textFill>
              </w:rPr>
              <w:t>、资格审查小组未发现或者未知晓投标人存在属于国家相关法律法规规定的禁止参加投标或投标无效的供应商。</w:t>
            </w:r>
          </w:p>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联合体投标</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资质要求</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投标保证金</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投标文件解密情况</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color w:val="000000" w:themeColor="text1"/>
                <w:sz w:val="20"/>
                <w:szCs w:val="28"/>
                <w14:textFill>
                  <w14:solidFill>
                    <w14:schemeClr w14:val="tx1"/>
                  </w14:solidFill>
                </w14:textFill>
              </w:rPr>
              <w:t>除因断电、断网、系统故障或其他不可抗力等因素，导致系统无法使用外，投标文件已成功解密。</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投标文件签章</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投标文件资格性审查部分的语言</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tcBorders>
              <w:left w:val="single" w:color="auto" w:sz="2" w:space="0"/>
              <w:bottom w:val="single" w:color="auto" w:sz="2" w:space="0"/>
              <w:right w:val="single" w:color="auto" w:sz="2" w:space="0"/>
            </w:tcBorders>
            <w:vAlign w:val="center"/>
          </w:tcPr>
          <w:p>
            <w:pPr>
              <w:tabs>
                <w:tab w:val="left" w:pos="851"/>
              </w:tabs>
              <w:spacing w:line="360" w:lineRule="auto"/>
              <w:ind w:firstLine="200" w:firstLineChars="100"/>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4</w:t>
            </w:r>
          </w:p>
        </w:tc>
        <w:tc>
          <w:tcPr>
            <w:tcW w:w="2049" w:type="dxa"/>
            <w:gridSpan w:val="2"/>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投标文件资格性审查部分组成</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color w:val="000000" w:themeColor="text1"/>
                <w:sz w:val="20"/>
                <w:szCs w:val="28"/>
                <w14:textFill>
                  <w14:solidFill>
                    <w14:schemeClr w14:val="tx1"/>
                  </w14:solidFill>
                </w14:textFill>
              </w:rPr>
              <w:t>符合资格预审文件“</w:t>
            </w:r>
            <w:r>
              <w:rPr>
                <w:rFonts w:ascii="宋体" w:hAnsi="宋体"/>
                <w:color w:val="000000" w:themeColor="text1"/>
                <w:sz w:val="20"/>
                <w:szCs w:val="28"/>
                <w14:textFill>
                  <w14:solidFill>
                    <w14:schemeClr w14:val="tx1"/>
                  </w14:solidFill>
                </w14:textFill>
              </w:rPr>
              <w:t>2.4.</w:t>
            </w:r>
            <w:r>
              <w:rPr>
                <w:rFonts w:hint="eastAsia" w:ascii="宋体" w:hAnsi="宋体"/>
                <w:color w:val="000000" w:themeColor="text1"/>
                <w:sz w:val="20"/>
                <w:szCs w:val="28"/>
                <w14:textFill>
                  <w14:solidFill>
                    <w14:schemeClr w14:val="tx1"/>
                  </w14:solidFill>
                </w14:textFill>
              </w:rPr>
              <w:t>6投标</w:t>
            </w:r>
            <w:r>
              <w:rPr>
                <w:rFonts w:ascii="宋体" w:hAnsi="宋体"/>
                <w:color w:val="000000" w:themeColor="text1"/>
                <w:sz w:val="20"/>
                <w:szCs w:val="28"/>
                <w14:textFill>
                  <w14:solidFill>
                    <w14:schemeClr w14:val="tx1"/>
                  </w14:solidFill>
                </w14:textFill>
              </w:rPr>
              <w:t>文件的组成”规定要求。</w:t>
            </w:r>
            <w:r>
              <w:rPr>
                <w:rFonts w:hint="eastAsia" w:ascii="宋体" w:hAnsi="宋体"/>
                <w:color w:val="000000" w:themeColor="text1"/>
                <w:sz w:val="20"/>
                <w:szCs w:val="28"/>
                <w14:textFill>
                  <w14:solidFill>
                    <w14:schemeClr w14:val="tx1"/>
                  </w14:solidFill>
                </w14:textFill>
              </w:rPr>
              <w:t>【说明：投标人按招标文件3.2.1关于投标人资格资格申明的</w:t>
            </w:r>
            <w:r>
              <w:rPr>
                <w:rFonts w:hint="eastAsia"/>
                <w:color w:val="000000" w:themeColor="text1"/>
                <w:sz w:val="20"/>
                <w14:textFill>
                  <w14:solidFill>
                    <w14:schemeClr w14:val="tx1"/>
                  </w14:solidFill>
                </w14:textFill>
              </w:rPr>
              <w:t>内容</w:t>
            </w:r>
            <w:r>
              <w:rPr>
                <w:rFonts w:hint="eastAsia" w:ascii="宋体" w:hAnsi="宋体"/>
                <w:color w:val="000000" w:themeColor="text1"/>
                <w:sz w:val="20"/>
                <w:szCs w:val="28"/>
                <w14:textFill>
                  <w14:solidFill>
                    <w14:schemeClr w14:val="tx1"/>
                  </w14:solidFill>
                </w14:textFill>
              </w:rPr>
              <w:t>提供关于投标人资格资格申明的函。】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5</w:t>
            </w:r>
          </w:p>
        </w:tc>
        <w:tc>
          <w:tcPr>
            <w:tcW w:w="2049"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具有健全的财务会计制度的证明材料</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2019</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2020</w:t>
            </w:r>
            <w:r>
              <w:rPr>
                <w:rFonts w:hint="eastAsia"/>
                <w:color w:val="000000" w:themeColor="text1"/>
                <w:sz w:val="20"/>
                <w14:textFill>
                  <w14:solidFill>
                    <w14:schemeClr w14:val="tx1"/>
                  </w14:solidFill>
                </w14:textFill>
              </w:rPr>
              <w:t>会计年度资产负债表复印件。【说明：投标人成立时间至投标截止时间止不足一年的，提供成立后任意时段的资产负债表复印件。】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6</w:t>
            </w:r>
          </w:p>
        </w:tc>
        <w:tc>
          <w:tcPr>
            <w:tcW w:w="2049"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缴纳社会保障资金的证明材料</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投标人缴纳</w:t>
            </w:r>
            <w:r>
              <w:rPr>
                <w:color w:val="000000" w:themeColor="text1"/>
                <w:sz w:val="20"/>
                <w14:textFill>
                  <w14:solidFill>
                    <w14:schemeClr w14:val="tx1"/>
                  </w14:solidFill>
                </w14:textFill>
              </w:rPr>
              <w:t>2020</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2021</w:t>
            </w:r>
            <w:r>
              <w:rPr>
                <w:rFonts w:hint="eastAsia"/>
                <w:color w:val="000000" w:themeColor="text1"/>
                <w:sz w:val="20"/>
                <w14:textFill>
                  <w14:solidFill>
                    <w14:schemeClr w14:val="tx1"/>
                  </w14:solidFill>
                </w14:textFill>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7</w:t>
            </w:r>
          </w:p>
        </w:tc>
        <w:tc>
          <w:tcPr>
            <w:tcW w:w="2049"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缴纳税收的证明材料</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投标人缴纳</w:t>
            </w:r>
            <w:r>
              <w:rPr>
                <w:color w:val="000000" w:themeColor="text1"/>
                <w:sz w:val="20"/>
                <w14:textFill>
                  <w14:solidFill>
                    <w14:schemeClr w14:val="tx1"/>
                  </w14:solidFill>
                </w14:textFill>
              </w:rPr>
              <w:t>2020</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2021</w:t>
            </w:r>
            <w:r>
              <w:rPr>
                <w:rFonts w:hint="eastAsia"/>
                <w:color w:val="000000" w:themeColor="text1"/>
                <w:sz w:val="20"/>
                <w14:textFill>
                  <w14:solidFill>
                    <w14:schemeClr w14:val="tx1"/>
                  </w14:solidFill>
                </w14:textFill>
              </w:rPr>
              <w:t>年任意时段的税收的银行电子回单或者行政部门出具的纳税证明或完税证明的复印件。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8</w:t>
            </w:r>
          </w:p>
        </w:tc>
        <w:tc>
          <w:tcPr>
            <w:tcW w:w="2049"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中小微企业（监狱企业、残疾人福利单位视同小微企业）证明材料</w:t>
            </w:r>
          </w:p>
        </w:tc>
        <w:tc>
          <w:tcPr>
            <w:tcW w:w="5566" w:type="dxa"/>
            <w:tcBorders>
              <w:top w:val="single" w:color="auto" w:sz="2" w:space="0"/>
              <w:left w:val="single" w:color="auto" w:sz="2" w:space="0"/>
              <w:bottom w:val="single" w:color="auto" w:sz="2" w:space="0"/>
              <w:right w:val="single" w:color="auto" w:sz="2" w:space="0"/>
            </w:tcBorders>
            <w:vAlign w:val="center"/>
          </w:tcPr>
          <w:p>
            <w:pPr>
              <w:spacing w:line="300" w:lineRule="exact"/>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本项目专门面向中小企业，参加政府采购活动的供应商应当提供《中小企业声明函》原件,监狱企业应当提供《监狱企业证明》原件,残疾人福利性单位应当提供《残疾人福利性单位声明函》原件。</w:t>
            </w:r>
          </w:p>
        </w:tc>
      </w:tr>
    </w:tbl>
    <w:p>
      <w:pPr>
        <w:tabs>
          <w:tab w:val="left" w:pos="851"/>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投标人的投标文件资格性审查时被判定为无效的，成都市青羊区政府采购服务中心将通知投标人（以短信、现场公示、电话、“政府采购云平台”等任一方式）。投标人如对资格审查结论有异议的，应及时向成都市青羊区政府采购服务中心反馈意见。成都市青羊区政府采购服务中心将及时告知资格审查小组。（说明：无论投标人是否收到通知或提供反馈意见，均不影响资格审查和评标工作，且成都市青羊区政府采购服务中心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四、通过资格性审查的供应商＜3名，采购失败。</w:t>
      </w:r>
    </w:p>
    <w:p>
      <w:pPr>
        <w:keepNext/>
        <w:keepLines/>
        <w:numPr>
          <w:ilvl w:val="0"/>
          <w:numId w:val="1"/>
        </w:numPr>
        <w:spacing w:line="360" w:lineRule="auto"/>
        <w:ind w:left="0" w:firstLine="0"/>
        <w:jc w:val="center"/>
        <w:outlineLvl w:val="0"/>
        <w:rPr>
          <w:rFonts w:ascii="宋体" w:hAnsi="宋体"/>
          <w:b/>
          <w:bCs/>
          <w:color w:val="000000" w:themeColor="text1"/>
          <w:spacing w:val="-20"/>
          <w:kern w:val="44"/>
          <w:sz w:val="32"/>
          <w:szCs w:val="32"/>
          <w14:textFill>
            <w14:solidFill>
              <w14:schemeClr w14:val="tx1"/>
            </w14:solidFill>
          </w14:textFill>
        </w:rPr>
      </w:pPr>
      <w:bookmarkStart w:id="157" w:name="_Toc76541366"/>
      <w:r>
        <w:rPr>
          <w:rFonts w:hint="eastAsia" w:ascii="宋体" w:hAnsi="宋体"/>
          <w:b/>
          <w:bCs/>
          <w:color w:val="000000" w:themeColor="text1"/>
          <w:spacing w:val="-20"/>
          <w:kern w:val="44"/>
          <w:sz w:val="32"/>
          <w:szCs w:val="32"/>
          <w14:textFill>
            <w14:solidFill>
              <w14:schemeClr w14:val="tx1"/>
            </w14:solidFill>
          </w14:textFill>
        </w:rPr>
        <w:t>评标办法</w:t>
      </w:r>
      <w:bookmarkEnd w:id="157"/>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158" w:name="_Toc76541367"/>
      <w:r>
        <w:rPr>
          <w:rFonts w:hint="eastAsia" w:ascii="宋体" w:hAnsi="宋体"/>
          <w:b/>
          <w:bCs/>
          <w:color w:val="000000" w:themeColor="text1"/>
          <w:sz w:val="28"/>
          <w:szCs w:val="28"/>
          <w14:textFill>
            <w14:solidFill>
              <w14:schemeClr w14:val="tx1"/>
            </w14:solidFill>
          </w14:textFill>
        </w:rPr>
        <w:t>总则</w:t>
      </w:r>
      <w:bookmarkEnd w:id="158"/>
    </w:p>
    <w:p>
      <w:pPr>
        <w:numPr>
          <w:ilvl w:val="0"/>
          <w:numId w:val="39"/>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根据《中华人民共和国政府采购法》、《中华人民共和国政府采购法实施条例》和《政府采购货物和服务招标投标管理办法》等法律规章，结合采购项目特点制定本评标办法。</w:t>
      </w:r>
    </w:p>
    <w:p>
      <w:pPr>
        <w:numPr>
          <w:ilvl w:val="0"/>
          <w:numId w:val="39"/>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评标工作由</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负责组织，具体评标事务由采购人或</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依法组建的评标委员会负责。评标委员会由采购人代表和评审专家组成。</w:t>
      </w:r>
    </w:p>
    <w:p>
      <w:pPr>
        <w:numPr>
          <w:ilvl w:val="0"/>
          <w:numId w:val="39"/>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评标工作应遵循公平、公正、科学及择优的原则，并以相同的评标程序和标准对待所有的投标人。</w:t>
      </w:r>
    </w:p>
    <w:p>
      <w:pPr>
        <w:numPr>
          <w:ilvl w:val="0"/>
          <w:numId w:val="39"/>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评标委员会按照招标文件规定的评标程序、评标方法和标准进行独立评审，并独立履行下列职责：</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熟悉和理解招标文件；</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审查、评价投标文件是否符合招标文件的商务、技术等实质性要求；</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对投标文件进行比较和评价；</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根据需要要求采购人对招标文件作出解释；根据需要要求投标人对投标文件有关事项作出解释或者澄清；</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确定中标候选人名单，以及根据采购人委托直接确定中标人；</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起草评标报告并进行签署；</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向采购人、成都市青羊区政府采购服务中心或者财政、监察等有关部门报告或举报非法干预评标工作的行为；</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或者有关部门报告评标中发现的违法行为。</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法律、法规和规章规定的其他职责。</w:t>
      </w:r>
    </w:p>
    <w:p>
      <w:pPr>
        <w:numPr>
          <w:ilvl w:val="0"/>
          <w:numId w:val="39"/>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评标过程独立、保密。投标人非法干预评标过程的行为将导致其投标文件作为无效处理。</w:t>
      </w:r>
    </w:p>
    <w:p>
      <w:pPr>
        <w:numPr>
          <w:ilvl w:val="0"/>
          <w:numId w:val="39"/>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评标委员会决定投标文件的响应性依据投标文件本身的内容，而不寻求外部的证据，招标文件有明确约定的除外。</w:t>
      </w:r>
    </w:p>
    <w:p>
      <w:pPr>
        <w:numPr>
          <w:ilvl w:val="0"/>
          <w:numId w:val="39"/>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评标委员会发现招标文件表述不明确或需要说明的事项，可提请采购人和成都市青羊区政府采购服务中心书面解释说明。</w:t>
      </w: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159" w:name="_Toc76541368"/>
      <w:r>
        <w:rPr>
          <w:rFonts w:hint="eastAsia" w:ascii="宋体" w:hAnsi="宋体"/>
          <w:b/>
          <w:bCs/>
          <w:color w:val="000000" w:themeColor="text1"/>
          <w:sz w:val="28"/>
          <w:szCs w:val="28"/>
          <w14:textFill>
            <w14:solidFill>
              <w14:schemeClr w14:val="tx1"/>
            </w14:solidFill>
          </w14:textFill>
        </w:rPr>
        <w:t>评标方法</w:t>
      </w:r>
      <w:bookmarkEnd w:id="159"/>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综合评标法。</w:t>
      </w: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160" w:name="_Toc76541369"/>
      <w:r>
        <w:rPr>
          <w:rFonts w:hint="eastAsia" w:ascii="宋体" w:hAnsi="宋体"/>
          <w:b/>
          <w:bCs/>
          <w:color w:val="000000" w:themeColor="text1"/>
          <w:sz w:val="28"/>
          <w:szCs w:val="28"/>
          <w14:textFill>
            <w14:solidFill>
              <w14:schemeClr w14:val="tx1"/>
            </w14:solidFill>
          </w14:textFill>
        </w:rPr>
        <w:t>评标程序</w:t>
      </w:r>
      <w:bookmarkEnd w:id="160"/>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符合性审查</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符合性审查标准见下表（按以下顺序审查）： </w:t>
      </w:r>
    </w:p>
    <w:tbl>
      <w:tblPr>
        <w:tblStyle w:val="43"/>
        <w:tblW w:w="859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2022"/>
        <w:gridCol w:w="5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序号</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符合性审查项</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1</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投标文件商务技术响应文件、报价要求响应文件组成</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2</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投标文件商务技术响应文件、报价要求响应文件的计量单位、语言、报价货币、投标有效期</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3</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投标文件签章</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投标文件加盖有投标人（法定名称）电子签章。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4</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第4章打</w:t>
            </w:r>
            <w:r>
              <w:rPr>
                <w:rFonts w:hint="eastAsia" w:ascii="宋体" w:hAnsi="宋体"/>
                <w:color w:val="000000" w:themeColor="text1"/>
                <w:sz w:val="28"/>
                <w:szCs w:val="28"/>
                <w14:textFill>
                  <w14:solidFill>
                    <w14:schemeClr w14:val="tx1"/>
                  </w14:solidFill>
                </w14:textFill>
              </w:rPr>
              <w:t>*</w:t>
            </w:r>
            <w:r>
              <w:rPr>
                <w:rFonts w:hint="eastAsia" w:ascii="宋体" w:hAnsi="宋体"/>
                <w:color w:val="000000" w:themeColor="text1"/>
                <w:sz w:val="24"/>
                <w:szCs w:val="28"/>
                <w14:textFill>
                  <w14:solidFill>
                    <w14:schemeClr w14:val="tx1"/>
                  </w14:solidFill>
                </w14:textFill>
              </w:rPr>
              <w:t>号的技术、服务、商务及其他要求</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投标文件均实质性响应招标文件中加</w:t>
            </w:r>
            <w:r>
              <w:rPr>
                <w:rFonts w:hint="eastAsia" w:ascii="宋体" w:hAnsi="宋体"/>
                <w:color w:val="000000" w:themeColor="text1"/>
                <w:sz w:val="28"/>
                <w:szCs w:val="28"/>
                <w14:textFill>
                  <w14:solidFill>
                    <w14:schemeClr w14:val="tx1"/>
                  </w14:solidFill>
                </w14:textFill>
              </w:rPr>
              <w:t>*</w:t>
            </w:r>
            <w:r>
              <w:rPr>
                <w:rFonts w:hint="eastAsia" w:ascii="宋体" w:hAnsi="宋体"/>
                <w:color w:val="000000" w:themeColor="text1"/>
                <w:sz w:val="24"/>
                <w:szCs w:val="28"/>
                <w14:textFill>
                  <w14:solidFill>
                    <w14:schemeClr w14:val="tx1"/>
                  </w14:solidFill>
                </w14:textFill>
              </w:rPr>
              <w:t>号的技术、服务、商务及其他要求。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5</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不属于禁止参加投标或投标无效的供应商</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（1）根据招标文件的要求不属于禁止参加投标或投标无效的供应商；</w:t>
            </w:r>
          </w:p>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6</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法定代表人身份证复印件或护照复印件</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7</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除资格性审查要求的证明材料外，招标文件要求提供的其他证明材料</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color w:val="000000" w:themeColor="text1"/>
                <w:sz w:val="24"/>
                <w:szCs w:val="24"/>
                <w14:textFill>
                  <w14:solidFill>
                    <w14:schemeClr w14:val="tx1"/>
                  </w14:solidFill>
                </w14:textFill>
              </w:rPr>
            </w:pPr>
            <w:r>
              <w:rPr>
                <w:rFonts w:cs="仿宋_GB2312" w:asciiTheme="minorEastAsia" w:hAnsiTheme="minorEastAsia" w:eastAsiaTheme="minorEastAsia"/>
                <w:color w:val="000000" w:themeColor="text1"/>
                <w:sz w:val="24"/>
                <w:szCs w:val="24"/>
                <w14:textFill>
                  <w14:solidFill>
                    <w14:schemeClr w14:val="tx1"/>
                  </w14:solidFill>
                </w14:textFill>
              </w:rPr>
              <w:t>1、承诺函【说明：①按3.3.</w:t>
            </w:r>
            <w:r>
              <w:rPr>
                <w:rFonts w:hint="eastAsia" w:cs="仿宋_GB2312" w:asciiTheme="minorEastAsia" w:hAnsiTheme="minorEastAsia" w:eastAsiaTheme="minorEastAsia"/>
                <w:color w:val="000000" w:themeColor="text1"/>
                <w:sz w:val="24"/>
                <w:szCs w:val="24"/>
                <w14:textFill>
                  <w14:solidFill>
                    <w14:schemeClr w14:val="tx1"/>
                  </w14:solidFill>
                </w14:textFill>
              </w:rPr>
              <w:t>6</w:t>
            </w:r>
            <w:r>
              <w:rPr>
                <w:rFonts w:cs="仿宋_GB2312" w:asciiTheme="minorEastAsia" w:hAnsiTheme="minorEastAsia" w:eastAsiaTheme="minorEastAsia"/>
                <w:color w:val="000000" w:themeColor="text1"/>
                <w:sz w:val="24"/>
                <w:szCs w:val="24"/>
                <w14:textFill>
                  <w14:solidFill>
                    <w14:schemeClr w14:val="tx1"/>
                  </w14:solidFill>
                </w14:textFill>
              </w:rPr>
              <w:t>承诺函</w:t>
            </w:r>
            <w:r>
              <w:rPr>
                <w:rFonts w:hint="eastAsia" w:cs="仿宋_GB2312" w:asciiTheme="minorEastAsia" w:hAnsiTheme="minorEastAsia" w:eastAsiaTheme="minorEastAsia"/>
                <w:color w:val="000000" w:themeColor="text1"/>
                <w:sz w:val="24"/>
                <w:szCs w:val="24"/>
                <w14:textFill>
                  <w14:solidFill>
                    <w14:schemeClr w14:val="tx1"/>
                  </w14:solidFill>
                </w14:textFill>
              </w:rPr>
              <w:t>内容</w:t>
            </w:r>
            <w:r>
              <w:rPr>
                <w:rFonts w:cs="仿宋_GB2312" w:asciiTheme="minorEastAsia" w:hAnsiTheme="minorEastAsia" w:eastAsiaTheme="minorEastAsia"/>
                <w:color w:val="000000" w:themeColor="text1"/>
                <w:sz w:val="24"/>
                <w:szCs w:val="24"/>
                <w14:textFill>
                  <w14:solidFill>
                    <w14:schemeClr w14:val="tx1"/>
                  </w14:solidFill>
                </w14:textFill>
              </w:rPr>
              <w:t>提供承诺函；②承诺的内容满足招标文件的要求。】。</w:t>
            </w:r>
          </w:p>
          <w:p>
            <w:pPr>
              <w:tabs>
                <w:tab w:val="left" w:pos="851"/>
              </w:tabs>
              <w:spacing w:line="360" w:lineRule="auto"/>
              <w:rPr>
                <w:rFonts w:cs="仿宋_GB2312" w:asciiTheme="minorEastAsia" w:hAnsiTheme="minorEastAsia" w:eastAsiaTheme="minorEastAsia"/>
                <w:color w:val="000000" w:themeColor="text1"/>
                <w:sz w:val="24"/>
                <w:szCs w:val="24"/>
                <w14:textFill>
                  <w14:solidFill>
                    <w14:schemeClr w14:val="tx1"/>
                  </w14:solidFill>
                </w14:textFill>
              </w:rPr>
            </w:pPr>
            <w:r>
              <w:rPr>
                <w:rFonts w:cs="仿宋_GB2312" w:asciiTheme="minorEastAsia" w:hAnsiTheme="minorEastAsia" w:eastAsiaTheme="minorEastAsia"/>
                <w:color w:val="000000" w:themeColor="text1"/>
                <w:sz w:val="24"/>
                <w:szCs w:val="24"/>
                <w14:textFill>
                  <w14:solidFill>
                    <w14:schemeClr w14:val="tx1"/>
                  </w14:solidFill>
                </w14:textFill>
              </w:rPr>
              <w:t>说明：投标产品具有国家确定的认证机构出具的有效的节能产品认证证书。】。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8</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投标报价</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color w:val="000000" w:themeColor="text1"/>
                <w:sz w:val="24"/>
                <w:szCs w:val="24"/>
                <w14:textFill>
                  <w14:solidFill>
                    <w14:schemeClr w14:val="tx1"/>
                  </w14:solidFill>
                </w14:textFill>
              </w:rPr>
            </w:pPr>
            <w:r>
              <w:rPr>
                <w:rFonts w:hint="eastAsia" w:ascii="宋体" w:hAnsi="宋体"/>
                <w:color w:val="000000" w:themeColor="text1"/>
                <w:sz w:val="24"/>
                <w:szCs w:val="28"/>
                <w14:textFill>
                  <w14:solidFill>
                    <w14:schemeClr w14:val="tx1"/>
                  </w14:solidFill>
                </w14:textFill>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color w:val="000000" w:themeColor="text1"/>
                <w:sz w:val="24"/>
                <w:szCs w:val="28"/>
                <w14:textFill>
                  <w14:solidFill>
                    <w14:schemeClr w14:val="tx1"/>
                  </w14:solidFill>
                </w14:textFill>
              </w:rPr>
              <w:t>②</w:t>
            </w:r>
            <w:r>
              <w:rPr>
                <w:rFonts w:hint="eastAsia" w:ascii="宋体" w:hAnsi="宋体"/>
                <w:color w:val="000000" w:themeColor="text1"/>
                <w:sz w:val="24"/>
                <w:szCs w:val="28"/>
                <w14:textFill>
                  <w14:solidFill>
                    <w14:schemeClr w14:val="tx1"/>
                  </w14:solidFill>
                </w14:textFill>
              </w:rPr>
              <w:t>单价金额小数点或者百分比有明显错位的，以总价为准，并修改单价；</w:t>
            </w:r>
            <w:r>
              <w:rPr>
                <w:rFonts w:hint="eastAsia" w:ascii="宋体" w:hAnsi="宋体" w:cs="宋体"/>
                <w:color w:val="000000" w:themeColor="text1"/>
                <w:sz w:val="24"/>
                <w:szCs w:val="28"/>
                <w14:textFill>
                  <w14:solidFill>
                    <w14:schemeClr w14:val="tx1"/>
                  </w14:solidFill>
                </w14:textFill>
              </w:rPr>
              <w:t>③</w:t>
            </w:r>
            <w:r>
              <w:rPr>
                <w:rFonts w:hint="eastAsia" w:ascii="宋体" w:hAnsi="宋体"/>
                <w:color w:val="000000" w:themeColor="text1"/>
                <w:sz w:val="24"/>
                <w:szCs w:val="28"/>
                <w14:textFill>
                  <w14:solidFill>
                    <w14:schemeClr w14:val="tx1"/>
                  </w14:solidFill>
                </w14:textFill>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color w:val="000000" w:themeColor="text1"/>
                <w:sz w:val="24"/>
                <w:szCs w:val="28"/>
                <w14:textFill>
                  <w14:solidFill>
                    <w14:schemeClr w14:val="tx1"/>
                  </w14:solidFill>
                </w14:textFill>
              </w:rPr>
              <w:t>5）如因断电、断网、系统故障或其他不可抗力等因素，导致系统无法使用的，由投标人按评标委员会的要求进行澄清或者说明</w:t>
            </w:r>
            <w:r>
              <w:rPr>
                <w:rFonts w:hint="eastAsia" w:ascii="宋体" w:hAnsi="宋体"/>
                <w:color w:val="000000" w:themeColor="text1"/>
                <w:sz w:val="24"/>
                <w:szCs w:val="28"/>
                <w14:textFill>
                  <w14:solidFill>
                    <w14:schemeClr w14:val="tx1"/>
                  </w14:solidFill>
                </w14:textFill>
              </w:rPr>
              <w:t>。（6）无须提供证明材料，上传空白页即可，不对本项上传的材料作符合性审查。】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9</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进口产品</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color w:val="000000" w:themeColor="text1"/>
                <w:sz w:val="24"/>
                <w:szCs w:val="24"/>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招标文件中未载明“允许采购进口产品”的产品，投标产品为国产产品。</w:t>
            </w:r>
          </w:p>
        </w:tc>
      </w:tr>
    </w:tbl>
    <w:p>
      <w:pPr>
        <w:tabs>
          <w:tab w:val="left" w:pos="851"/>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人的投标文件符合性审查时被判定为无效投标文件的，成都市青羊区政府采购服务中心将通知投标人（以短信、现场公示、电话、“政府采购云平台”等任一方式）。投标人如对评审结论有异议的，应及时向成都市青羊区政府采购服务中心反馈意见。成都市青羊区政府采购服务中心在评审结束前将收到的反馈意见及时告知评标委员会。（说明：无论投标人是否收到通知或提供反馈意见，均不影响评标委员会的评标工作，且成都市青羊区政府采购服务中心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三、通过符合性审查的供应商＜3名，本项目采购失败。</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解释、澄清有关问题</w:t>
      </w:r>
    </w:p>
    <w:p>
      <w:pPr>
        <w:numPr>
          <w:ilvl w:val="0"/>
          <w:numId w:val="41"/>
        </w:numPr>
        <w:tabs>
          <w:tab w:val="left" w:pos="1134"/>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过程中，评标委员会认为招标文件有关事项表述不明确或需要说明的，可以提请成都市青羊区政府采购服务中心书面解释。成都市青羊区政府采购服务中心的解释不得改变招标文件的原义或者影响公平、公正，解释事项如果涉及投标人权益的以有利于投标人的原则进行解释。</w:t>
      </w:r>
    </w:p>
    <w:p>
      <w:pPr>
        <w:numPr>
          <w:ilvl w:val="0"/>
          <w:numId w:val="41"/>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41"/>
        </w:numPr>
        <w:tabs>
          <w:tab w:val="left" w:pos="1134"/>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澄清应当不超出投标文件的范围、不实质性改变投标文件的内容、不影响投标人的公平竞争、不导致投标文件从不响应招标文件变为响应招标文件的条件。下列内容不得澄清：</w:t>
      </w:r>
    </w:p>
    <w:p>
      <w:pPr>
        <w:numPr>
          <w:ilvl w:val="0"/>
          <w:numId w:val="42"/>
        </w:numPr>
        <w:tabs>
          <w:tab w:val="left" w:pos="1260"/>
        </w:tabs>
        <w:spacing w:line="560" w:lineRule="exact"/>
        <w:ind w:left="0" w:firstLine="525"/>
        <w:rPr>
          <w:rFonts w:ascii="宋体" w:hAnsi="宋体" w:cstheme="minorBidi"/>
          <w:color w:val="000000" w:themeColor="text1"/>
          <w:sz w:val="28"/>
          <w:szCs w:val="28"/>
          <w14:textFill>
            <w14:solidFill>
              <w14:schemeClr w14:val="tx1"/>
            </w14:solidFill>
          </w14:textFill>
        </w:rPr>
      </w:pPr>
      <w:r>
        <w:rPr>
          <w:rFonts w:hint="eastAsia" w:ascii="宋体" w:hAnsi="宋体" w:cstheme="minorBidi"/>
          <w:color w:val="000000" w:themeColor="text1"/>
          <w:sz w:val="28"/>
          <w:szCs w:val="28"/>
          <w14:textFill>
            <w14:solidFill>
              <w14:schemeClr w14:val="tx1"/>
            </w14:solidFill>
          </w14:textFill>
        </w:rPr>
        <w:t>投标人投标文件中不响应招标文件规定的技术参数指标和商务应答；</w:t>
      </w:r>
    </w:p>
    <w:p>
      <w:pPr>
        <w:numPr>
          <w:ilvl w:val="0"/>
          <w:numId w:val="42"/>
        </w:numPr>
        <w:tabs>
          <w:tab w:val="left" w:pos="1260"/>
        </w:tabs>
        <w:spacing w:line="560" w:lineRule="exact"/>
        <w:ind w:left="0" w:firstLine="525"/>
        <w:rPr>
          <w:rFonts w:ascii="宋体" w:hAnsi="宋体" w:cstheme="minorBidi"/>
          <w:color w:val="000000" w:themeColor="text1"/>
          <w:sz w:val="28"/>
          <w:szCs w:val="28"/>
          <w14:textFill>
            <w14:solidFill>
              <w14:schemeClr w14:val="tx1"/>
            </w14:solidFill>
          </w14:textFill>
        </w:rPr>
      </w:pPr>
      <w:r>
        <w:rPr>
          <w:rFonts w:hint="eastAsia" w:ascii="宋体" w:hAnsi="宋体" w:cstheme="minorBidi"/>
          <w:color w:val="000000" w:themeColor="text1"/>
          <w:sz w:val="28"/>
          <w:szCs w:val="28"/>
          <w14:textFill>
            <w14:solidFill>
              <w14:schemeClr w14:val="tx1"/>
            </w14:solidFill>
          </w14:textFill>
        </w:rPr>
        <w:t>投标人投标文件中未提供的证明其是否符合招标文件资格性、符合性规定要求的相关材料。</w:t>
      </w:r>
    </w:p>
    <w:p>
      <w:pPr>
        <w:numPr>
          <w:ilvl w:val="0"/>
          <w:numId w:val="42"/>
        </w:numPr>
        <w:tabs>
          <w:tab w:val="left" w:pos="993"/>
          <w:tab w:val="left" w:pos="1260"/>
        </w:tabs>
        <w:spacing w:line="560" w:lineRule="exact"/>
        <w:ind w:left="0" w:firstLine="525"/>
        <w:rPr>
          <w:rFonts w:ascii="宋体" w:hAnsi="宋体" w:cstheme="minorBidi"/>
          <w:color w:val="000000" w:themeColor="text1"/>
          <w:sz w:val="28"/>
          <w:szCs w:val="28"/>
          <w14:textFill>
            <w14:solidFill>
              <w14:schemeClr w14:val="tx1"/>
            </w14:solidFill>
          </w14:textFill>
        </w:rPr>
      </w:pPr>
      <w:r>
        <w:rPr>
          <w:rFonts w:hint="eastAsia" w:ascii="宋体" w:hAnsi="宋体" w:cstheme="minorBidi"/>
          <w:color w:val="000000" w:themeColor="text1"/>
          <w:sz w:val="28"/>
          <w:szCs w:val="28"/>
          <w14:textFill>
            <w14:solidFill>
              <w14:schemeClr w14:val="tx1"/>
            </w14:solidFill>
          </w14:textFill>
        </w:rPr>
        <w:t>投标人投标文件中的材料因印刷、影印等不清晰而难以辨认的。</w:t>
      </w:r>
    </w:p>
    <w:p>
      <w:pPr>
        <w:numPr>
          <w:ilvl w:val="0"/>
          <w:numId w:val="41"/>
        </w:numPr>
        <w:tabs>
          <w:tab w:val="left" w:pos="1134"/>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投标文件报价出现下列情况的，不需要投标人澄清，按以下原则处理：</w:t>
      </w:r>
    </w:p>
    <w:p>
      <w:pPr>
        <w:tabs>
          <w:tab w:val="left" w:pos="1134"/>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（二）单价金额小数点或者百分比有明显错位的，以总价为准，并修改单价；</w:t>
      </w:r>
    </w:p>
    <w:p>
      <w:pPr>
        <w:tabs>
          <w:tab w:val="left" w:pos="1134"/>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（三）总价金额与按单价汇总金额不一致的，以单价金额计算结果为准。</w:t>
      </w:r>
    </w:p>
    <w:p>
      <w:pPr>
        <w:spacing w:line="560" w:lineRule="exact"/>
        <w:ind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五、对不同语言文本投标文件的解释发生异议的，以中文文本为准。</w:t>
      </w:r>
    </w:p>
    <w:p>
      <w:pPr>
        <w:tabs>
          <w:tab w:val="left" w:pos="720"/>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评标委员会应当积极履行澄清、说明或者更正的职责，不得滥用权力。</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比较与评价</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按招标文件中规定的评标细则及标准，对符合性检查合格的投标文件进行商务和技术评估，综合比较和评价。</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复核</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评标结果汇总完成后，评标委员会拟出具评审报告前，</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评标结果汇总完成后，除下列情形外，任何人不得修改评标结果：</w:t>
      </w:r>
    </w:p>
    <w:p>
      <w:pPr>
        <w:numPr>
          <w:ilvl w:val="0"/>
          <w:numId w:val="43"/>
        </w:numPr>
        <w:tabs>
          <w:tab w:val="left" w:pos="851"/>
          <w:tab w:val="left" w:pos="1276"/>
        </w:tabs>
        <w:spacing w:line="560" w:lineRule="exact"/>
        <w:ind w:left="0" w:firstLine="424"/>
        <w:rPr>
          <w:rFonts w:ascii="宋体" w:hAnsi="宋体" w:cstheme="minorBidi"/>
          <w:color w:val="000000" w:themeColor="text1"/>
          <w:sz w:val="28"/>
          <w:szCs w:val="28"/>
          <w14:textFill>
            <w14:solidFill>
              <w14:schemeClr w14:val="tx1"/>
            </w14:solidFill>
          </w14:textFill>
        </w:rPr>
      </w:pPr>
      <w:r>
        <w:rPr>
          <w:rFonts w:hint="eastAsia" w:ascii="宋体" w:hAnsi="宋体" w:cstheme="minorBidi"/>
          <w:color w:val="000000" w:themeColor="text1"/>
          <w:sz w:val="28"/>
          <w:szCs w:val="28"/>
          <w14:textFill>
            <w14:solidFill>
              <w14:schemeClr w14:val="tx1"/>
            </w14:solidFill>
          </w14:textFill>
        </w:rPr>
        <w:t>分值汇总计算错误的；</w:t>
      </w:r>
    </w:p>
    <w:p>
      <w:pPr>
        <w:numPr>
          <w:ilvl w:val="0"/>
          <w:numId w:val="43"/>
        </w:numPr>
        <w:tabs>
          <w:tab w:val="left" w:pos="851"/>
          <w:tab w:val="left" w:pos="1276"/>
        </w:tabs>
        <w:spacing w:line="560" w:lineRule="exact"/>
        <w:ind w:left="0" w:firstLine="424"/>
        <w:rPr>
          <w:rFonts w:ascii="宋体" w:hAnsi="宋体" w:cstheme="minorBidi"/>
          <w:color w:val="000000" w:themeColor="text1"/>
          <w:sz w:val="28"/>
          <w:szCs w:val="28"/>
          <w14:textFill>
            <w14:solidFill>
              <w14:schemeClr w14:val="tx1"/>
            </w14:solidFill>
          </w14:textFill>
        </w:rPr>
      </w:pPr>
      <w:r>
        <w:rPr>
          <w:rFonts w:hint="eastAsia" w:ascii="宋体" w:hAnsi="宋体" w:cstheme="minorBidi"/>
          <w:color w:val="000000" w:themeColor="text1"/>
          <w:sz w:val="28"/>
          <w:szCs w:val="28"/>
          <w14:textFill>
            <w14:solidFill>
              <w14:schemeClr w14:val="tx1"/>
            </w14:solidFill>
          </w14:textFill>
        </w:rPr>
        <w:t>分项评分超出评分标准范围的；</w:t>
      </w:r>
    </w:p>
    <w:p>
      <w:pPr>
        <w:numPr>
          <w:ilvl w:val="0"/>
          <w:numId w:val="43"/>
        </w:numPr>
        <w:tabs>
          <w:tab w:val="left" w:pos="851"/>
          <w:tab w:val="left" w:pos="1276"/>
          <w:tab w:val="left" w:pos="1560"/>
        </w:tabs>
        <w:spacing w:line="560" w:lineRule="exact"/>
        <w:ind w:left="0" w:firstLine="424"/>
        <w:rPr>
          <w:rFonts w:ascii="宋体" w:hAnsi="宋体" w:cstheme="minorBidi"/>
          <w:color w:val="000000" w:themeColor="text1"/>
          <w:sz w:val="28"/>
          <w:szCs w:val="28"/>
          <w14:textFill>
            <w14:solidFill>
              <w14:schemeClr w14:val="tx1"/>
            </w14:solidFill>
          </w14:textFill>
        </w:rPr>
      </w:pPr>
      <w:r>
        <w:rPr>
          <w:rFonts w:hint="eastAsia" w:ascii="宋体" w:hAnsi="宋体" w:cstheme="minorBidi"/>
          <w:color w:val="000000" w:themeColor="text1"/>
          <w:sz w:val="28"/>
          <w:szCs w:val="28"/>
          <w14:textFill>
            <w14:solidFill>
              <w14:schemeClr w14:val="tx1"/>
            </w14:solidFill>
          </w14:textFill>
        </w:rPr>
        <w:t>评标委员会成员对客观评审因素评分不一致的；</w:t>
      </w:r>
    </w:p>
    <w:p>
      <w:pPr>
        <w:numPr>
          <w:ilvl w:val="0"/>
          <w:numId w:val="43"/>
        </w:numPr>
        <w:tabs>
          <w:tab w:val="left" w:pos="851"/>
          <w:tab w:val="left" w:pos="1276"/>
        </w:tabs>
        <w:spacing w:line="560" w:lineRule="exact"/>
        <w:ind w:left="0" w:firstLine="426"/>
        <w:rPr>
          <w:rFonts w:ascii="宋体" w:hAnsi="宋体" w:cstheme="minorBidi"/>
          <w:color w:val="000000" w:themeColor="text1"/>
          <w:sz w:val="28"/>
          <w:szCs w:val="28"/>
          <w14:textFill>
            <w14:solidFill>
              <w14:schemeClr w14:val="tx1"/>
            </w14:solidFill>
          </w14:textFill>
        </w:rPr>
      </w:pPr>
      <w:r>
        <w:rPr>
          <w:rFonts w:hint="eastAsia" w:ascii="宋体" w:hAnsi="宋体" w:cstheme="minorBidi"/>
          <w:color w:val="000000" w:themeColor="text1"/>
          <w:sz w:val="28"/>
          <w:szCs w:val="28"/>
          <w14:textFill>
            <w14:solidFill>
              <w14:schemeClr w14:val="tx1"/>
            </w14:solidFill>
          </w14:textFill>
        </w:rPr>
        <w:t>经评标委员会认定评分畸高、畸低的。</w:t>
      </w:r>
    </w:p>
    <w:p>
      <w:pPr>
        <w:tabs>
          <w:tab w:val="left" w:pos="851"/>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确定中标候选人名单</w:t>
      </w:r>
    </w:p>
    <w:p>
      <w:pPr>
        <w:tabs>
          <w:tab w:val="left" w:pos="851"/>
        </w:tabs>
        <w:spacing w:line="560" w:lineRule="exact"/>
        <w:ind w:firstLine="565" w:firstLineChars="202"/>
        <w:rPr>
          <w:rFonts w:ascii="Helvetica" w:hAnsi="Helvetica" w:cs="Helvetica"/>
          <w:color w:val="000000" w:themeColor="text1"/>
          <w:kern w:val="0"/>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按供应商综合得分从高到低进行排序，确定1至3名成交候选人。综合得分相同的，按报价由低到高顺序排列，得分且报价相同的并列。</w:t>
      </w:r>
      <w:r>
        <w:rPr>
          <w:rFonts w:hint="eastAsia" w:ascii="Helvetica" w:hAnsi="Helvetica" w:cs="Helvetica"/>
          <w:color w:val="000000" w:themeColor="text1"/>
          <w:kern w:val="0"/>
          <w:sz w:val="28"/>
          <w:szCs w:val="28"/>
          <w14:textFill>
            <w14:solidFill>
              <w14:schemeClr w14:val="tx1"/>
            </w14:solidFill>
          </w14:textFill>
        </w:rPr>
        <w:t>响应文件满足采购文件全部实质性要求，且按照评审因素的量化指标评审得分最高的供应商为排名第一的成交候选人。</w:t>
      </w:r>
    </w:p>
    <w:p>
      <w:pPr>
        <w:tabs>
          <w:tab w:val="left" w:pos="851"/>
        </w:tabs>
        <w:spacing w:line="560" w:lineRule="exact"/>
        <w:ind w:firstLine="565" w:firstLineChars="202"/>
        <w:rPr>
          <w:rFonts w:ascii="Helvetica" w:hAnsi="Helvetica" w:cs="Helvetica"/>
          <w:color w:val="000000" w:themeColor="text1"/>
          <w:kern w:val="0"/>
          <w:sz w:val="28"/>
          <w:szCs w:val="28"/>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提供核心产品品牌相同且通过资格检查和符合性检查的不同供应商参加同一项目的，按一家供应商计算，评审后得分最高的供应商获得成交候选人推荐资格；评审得分相同的，报价最低的供应商获得成交候选人推荐资格；评审得分相同且报价相同的，由评审委员会采取随机抽取的方式确定一个供应商获得成交候选人推荐资格。</w:t>
      </w:r>
    </w:p>
    <w:p>
      <w:pPr>
        <w:keepNext/>
        <w:keepLines/>
        <w:numPr>
          <w:ilvl w:val="2"/>
          <w:numId w:val="1"/>
        </w:numPr>
        <w:spacing w:before="240"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编写评标报告</w:t>
      </w:r>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评标报告是评标委员会根据全体评标成员签字的原始评标记录和评标结果编写的报告，其主要内容包括：</w:t>
      </w:r>
    </w:p>
    <w:p>
      <w:pPr>
        <w:numPr>
          <w:ilvl w:val="0"/>
          <w:numId w:val="44"/>
        </w:numPr>
        <w:tabs>
          <w:tab w:val="left" w:pos="1155"/>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招标公告刊登的媒体名称、开标日期和地点；</w:t>
      </w:r>
    </w:p>
    <w:p>
      <w:pPr>
        <w:numPr>
          <w:ilvl w:val="0"/>
          <w:numId w:val="44"/>
        </w:numPr>
        <w:tabs>
          <w:tab w:val="left" w:pos="1155"/>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投标人名单和评标委员会成员名单；</w:t>
      </w:r>
    </w:p>
    <w:p>
      <w:pPr>
        <w:numPr>
          <w:ilvl w:val="0"/>
          <w:numId w:val="44"/>
        </w:numPr>
        <w:tabs>
          <w:tab w:val="left" w:pos="1155"/>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评标方法和标准；</w:t>
      </w:r>
    </w:p>
    <w:p>
      <w:pPr>
        <w:numPr>
          <w:ilvl w:val="0"/>
          <w:numId w:val="44"/>
        </w:numPr>
        <w:tabs>
          <w:tab w:val="left" w:pos="1155"/>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开标记录和评标情况及说明，包括投标无效投标人名单及原因；</w:t>
      </w:r>
    </w:p>
    <w:p>
      <w:pPr>
        <w:numPr>
          <w:ilvl w:val="0"/>
          <w:numId w:val="44"/>
        </w:numPr>
        <w:tabs>
          <w:tab w:val="left" w:pos="1155"/>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评标结果，确定的中标候选人名单或者经采购人委托直接确定的中标人；</w:t>
      </w:r>
    </w:p>
    <w:p>
      <w:pPr>
        <w:numPr>
          <w:ilvl w:val="0"/>
          <w:numId w:val="44"/>
        </w:numPr>
        <w:tabs>
          <w:tab w:val="left" w:pos="1155"/>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其他需要说明的情况，包括评标过程中投标人根据评标委员会要求进行的澄清、说明或者补正，评标委员会成员的更换等；</w:t>
      </w:r>
    </w:p>
    <w:p>
      <w:pPr>
        <w:numPr>
          <w:ilvl w:val="0"/>
          <w:numId w:val="44"/>
        </w:numPr>
        <w:tabs>
          <w:tab w:val="left" w:pos="1155"/>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报价最高的投标人为中标候选人的，评标委员会应当对其报价的合理性予以特别说明。</w:t>
      </w:r>
    </w:p>
    <w:p>
      <w:pPr>
        <w:tabs>
          <w:tab w:val="left" w:pos="1155"/>
        </w:tabs>
        <w:spacing w:line="560" w:lineRule="exact"/>
        <w:ind w:firstLine="523" w:firstLineChars="18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161" w:name="_Toc76541370"/>
      <w:r>
        <w:rPr>
          <w:rFonts w:hint="eastAsia" w:ascii="宋体" w:hAnsi="宋体"/>
          <w:b/>
          <w:bCs/>
          <w:color w:val="000000" w:themeColor="text1"/>
          <w:sz w:val="28"/>
          <w:szCs w:val="28"/>
          <w14:textFill>
            <w14:solidFill>
              <w14:schemeClr w14:val="tx1"/>
            </w14:solidFill>
          </w14:textFill>
        </w:rPr>
        <w:t>评标争议处理规则</w:t>
      </w:r>
      <w:bookmarkEnd w:id="161"/>
    </w:p>
    <w:p>
      <w:pPr>
        <w:tabs>
          <w:tab w:val="left" w:pos="1155"/>
        </w:tabs>
        <w:spacing w:line="560" w:lineRule="exact"/>
        <w:ind w:firstLine="523" w:firstLineChars="18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color w:val="000000" w:themeColor="text1"/>
          <w:sz w:val="28"/>
          <w:szCs w:val="28"/>
          <w14:textFill>
            <w14:solidFill>
              <w14:schemeClr w14:val="tx1"/>
            </w14:solidFill>
          </w14:textFill>
        </w:rPr>
        <w:t>持不同意见的评标委员会成员应当在评标报告上签署不同意见及理由，否则视为同意评标报告。</w:t>
      </w:r>
      <w:r>
        <w:rPr>
          <w:rFonts w:hint="eastAsia" w:ascii="宋体" w:hAnsi="宋体"/>
          <w:color w:val="000000" w:themeColor="text1"/>
          <w:sz w:val="28"/>
          <w:szCs w:val="28"/>
          <w14:textFill>
            <w14:solidFill>
              <w14:schemeClr w14:val="tx1"/>
            </w14:solidFill>
          </w14:textFill>
        </w:rPr>
        <w:t>持不同意见的评标委员会成员认为认定过程和结果不符合法律法规或者招标文件规定的，应当及时向采购人或</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书面反映。采购人或</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收到书面反映后，应当书面报告采购项目同级财政部门依法处理。</w:t>
      </w:r>
    </w:p>
    <w:p>
      <w:pPr>
        <w:rPr>
          <w:rFonts w:ascii="宋体" w:hAnsi="宋体"/>
          <w:b/>
          <w:color w:val="000000" w:themeColor="text1"/>
          <w:sz w:val="28"/>
          <w:szCs w:val="28"/>
          <w14:textFill>
            <w14:solidFill>
              <w14:schemeClr w14:val="tx1"/>
            </w14:solidFill>
          </w14:textFill>
        </w:rPr>
      </w:pPr>
      <w:bookmarkStart w:id="162" w:name="_Toc76541371"/>
      <w:r>
        <w:rPr>
          <w:rFonts w:hint="eastAsia" w:ascii="宋体" w:hAnsi="宋体"/>
          <w:b/>
          <w:color w:val="000000" w:themeColor="text1"/>
          <w:sz w:val="28"/>
          <w:szCs w:val="28"/>
          <w14:textFill>
            <w14:solidFill>
              <w14:schemeClr w14:val="tx1"/>
            </w14:solidFill>
          </w14:textFill>
        </w:rPr>
        <w:t>6</w:t>
      </w:r>
      <w:r>
        <w:rPr>
          <w:rFonts w:ascii="宋体" w:hAnsi="宋体"/>
          <w:b/>
          <w:color w:val="000000" w:themeColor="text1"/>
          <w:sz w:val="28"/>
          <w:szCs w:val="28"/>
          <w14:textFill>
            <w14:solidFill>
              <w14:schemeClr w14:val="tx1"/>
            </w14:solidFill>
          </w14:textFill>
        </w:rPr>
        <w:t>.</w:t>
      </w:r>
      <w:r>
        <w:rPr>
          <w:rFonts w:ascii="宋体" w:hAnsi="宋体"/>
          <w:b/>
          <w:bCs/>
          <w:color w:val="000000" w:themeColor="text1"/>
          <w:sz w:val="28"/>
          <w:szCs w:val="28"/>
          <w14:textFill>
            <w14:solidFill>
              <w14:schemeClr w14:val="tx1"/>
            </w14:solidFill>
          </w14:textFill>
        </w:rPr>
        <w:t>5</w:t>
      </w:r>
      <w:r>
        <w:rPr>
          <w:rFonts w:hint="eastAsia" w:ascii="宋体" w:hAnsi="宋体"/>
          <w:b/>
          <w:bCs/>
          <w:color w:val="000000" w:themeColor="text1"/>
          <w:sz w:val="28"/>
          <w:szCs w:val="28"/>
          <w14:textFill>
            <w14:solidFill>
              <w14:schemeClr w14:val="tx1"/>
            </w14:solidFill>
          </w14:textFill>
        </w:rPr>
        <w:t>评标细则及标准</w:t>
      </w:r>
      <w:bookmarkEnd w:id="162"/>
    </w:p>
    <w:p>
      <w:pPr>
        <w:numPr>
          <w:ilvl w:val="0"/>
          <w:numId w:val="45"/>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评标委员会只对通过资格和符合性审查的投标文件，根据招标文件的要求采用相同的评标程序、评标办法及标准进行评价和比较。</w:t>
      </w:r>
    </w:p>
    <w:p>
      <w:pPr>
        <w:numPr>
          <w:ilvl w:val="0"/>
          <w:numId w:val="45"/>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招标文件第4章技术、服务、商务要求及其他要求中加“*”号的条款为招标文件的实质性要求。</w:t>
      </w:r>
    </w:p>
    <w:p>
      <w:pPr>
        <w:numPr>
          <w:ilvl w:val="0"/>
          <w:numId w:val="45"/>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价格扣除（本项目</w:t>
      </w:r>
      <w:r>
        <w:rPr>
          <w:rFonts w:hint="eastAsia" w:ascii="宋体" w:hAnsi="宋体"/>
          <w:color w:val="000000" w:themeColor="text1"/>
          <w:sz w:val="28"/>
          <w:szCs w:val="28"/>
          <w:lang w:val="en-US" w:eastAsia="zh-CN"/>
          <w14:textFill>
            <w14:solidFill>
              <w14:schemeClr w14:val="tx1"/>
            </w14:solidFill>
          </w14:textFill>
        </w:rPr>
        <w:t>不</w:t>
      </w:r>
      <w:bookmarkStart w:id="172" w:name="_GoBack"/>
      <w:bookmarkEnd w:id="172"/>
      <w:r>
        <w:rPr>
          <w:rFonts w:hint="eastAsia" w:ascii="宋体" w:hAnsi="宋体"/>
          <w:color w:val="000000" w:themeColor="text1"/>
          <w:sz w:val="28"/>
          <w:szCs w:val="28"/>
          <w14:textFill>
            <w14:solidFill>
              <w14:schemeClr w14:val="tx1"/>
            </w14:solidFill>
          </w14:textFill>
        </w:rPr>
        <w:t>适用）</w:t>
      </w:r>
    </w:p>
    <w:p>
      <w:pPr>
        <w:tabs>
          <w:tab w:val="left" w:pos="1155"/>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对小型和微型企业、监狱企业或残疾人福利性单位制造的产品的价格（如涉及）给予10%的价格扣除，按扣除后的价格参与评审。</w:t>
      </w:r>
    </w:p>
    <w:p>
      <w:pP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6</w:t>
      </w:r>
      <w:r>
        <w:rPr>
          <w:rFonts w:ascii="宋体" w:hAnsi="宋体"/>
          <w:b/>
          <w:color w:val="000000" w:themeColor="text1"/>
          <w:sz w:val="28"/>
          <w:szCs w:val="28"/>
          <w14:textFill>
            <w14:solidFill>
              <w14:schemeClr w14:val="tx1"/>
            </w14:solidFill>
          </w14:textFill>
        </w:rPr>
        <w:t>.5.1</w:t>
      </w:r>
      <w:r>
        <w:rPr>
          <w:rFonts w:hint="eastAsia" w:ascii="宋体" w:hAnsi="宋体"/>
          <w:b/>
          <w:color w:val="000000" w:themeColor="text1"/>
          <w:sz w:val="28"/>
          <w:szCs w:val="28"/>
          <w14:textFill>
            <w14:solidFill>
              <w14:schemeClr w14:val="tx1"/>
            </w14:solidFill>
          </w14:textFill>
        </w:rPr>
        <w:t>评标办法</w:t>
      </w:r>
    </w:p>
    <w:p>
      <w:pPr>
        <w:spacing w:line="560" w:lineRule="exact"/>
        <w:ind w:firstLine="630" w:firstLineChars="2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本次评审采用综合评分法，由评审委员会各成员独立对通过初审（资格检查和符合性检查）的供应商的响应文件进行评审和打分，    </w:t>
      </w:r>
    </w:p>
    <w:p>
      <w:pPr>
        <w:spacing w:line="560" w:lineRule="exact"/>
        <w:ind w:firstLine="630" w:firstLineChars="2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评审得分＝（A</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）/n</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n</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n</w:t>
      </w:r>
      <w:r>
        <w:rPr>
          <w:rFonts w:hint="eastAsia" w:ascii="宋体" w:hAnsi="宋体"/>
          <w:color w:val="000000" w:themeColor="text1"/>
          <w:sz w:val="28"/>
          <w:szCs w:val="28"/>
          <w:vertAlign w:val="subscript"/>
          <w14:textFill>
            <w14:solidFill>
              <w14:schemeClr w14:val="tx1"/>
            </w14:solidFill>
          </w14:textFill>
        </w:rPr>
        <w:t>3</w:t>
      </w:r>
    </w:p>
    <w:p>
      <w:pPr>
        <w:spacing w:line="360" w:lineRule="auto"/>
        <w:ind w:firstLine="560" w:firstLineChars="200"/>
        <w:rPr>
          <w:rFonts w:ascii="宋体" w:hAnsi="宋体"/>
          <w:b/>
          <w:bCs/>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分别为每个</w:t>
      </w:r>
      <w:r>
        <w:rPr>
          <w:rFonts w:hint="eastAsia" w:ascii="宋体" w:hAnsi="宋体" w:cs="宋体"/>
          <w:color w:val="000000" w:themeColor="text1"/>
          <w:kern w:val="0"/>
          <w:sz w:val="28"/>
          <w:szCs w:val="28"/>
          <w14:textFill>
            <w14:solidFill>
              <w14:schemeClr w14:val="tx1"/>
            </w14:solidFill>
          </w14:textFill>
        </w:rPr>
        <w:t>经济类</w:t>
      </w:r>
      <w:r>
        <w:rPr>
          <w:rFonts w:hint="eastAsia" w:ascii="宋体" w:hAnsi="宋体"/>
          <w:color w:val="000000" w:themeColor="text1"/>
          <w:sz w:val="28"/>
          <w:szCs w:val="28"/>
          <w14:textFill>
            <w14:solidFill>
              <w14:schemeClr w14:val="tx1"/>
            </w14:solidFill>
          </w14:textFill>
        </w:rPr>
        <w:t>评委的打分，n</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为</w:t>
      </w:r>
      <w:r>
        <w:rPr>
          <w:rFonts w:hint="eastAsia" w:ascii="宋体" w:hAnsi="宋体" w:cs="宋体"/>
          <w:color w:val="000000" w:themeColor="text1"/>
          <w:kern w:val="0"/>
          <w:sz w:val="28"/>
          <w:szCs w:val="28"/>
          <w14:textFill>
            <w14:solidFill>
              <w14:schemeClr w14:val="tx1"/>
            </w14:solidFill>
          </w14:textFill>
        </w:rPr>
        <w:t>经济类</w:t>
      </w:r>
      <w:r>
        <w:rPr>
          <w:rFonts w:hint="eastAsia" w:ascii="宋体" w:hAnsi="宋体"/>
          <w:color w:val="000000" w:themeColor="text1"/>
          <w:sz w:val="28"/>
          <w:szCs w:val="28"/>
          <w14:textFill>
            <w14:solidFill>
              <w14:schemeClr w14:val="tx1"/>
            </w14:solidFill>
          </w14:textFill>
        </w:rPr>
        <w:t>评委人数；B</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xml:space="preserve"> 分别为每个技术类评委（含采购人代表）的打分，n</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为</w:t>
      </w:r>
      <w:r>
        <w:rPr>
          <w:rFonts w:hint="eastAsia" w:ascii="宋体" w:hAnsi="宋体" w:cs="宋体"/>
          <w:color w:val="000000" w:themeColor="text1"/>
          <w:kern w:val="0"/>
          <w:sz w:val="28"/>
          <w:szCs w:val="28"/>
          <w14:textFill>
            <w14:solidFill>
              <w14:schemeClr w14:val="tx1"/>
            </w14:solidFill>
          </w14:textFill>
        </w:rPr>
        <w:t>技术类</w:t>
      </w:r>
      <w:r>
        <w:rPr>
          <w:rFonts w:hint="eastAsia" w:ascii="宋体" w:hAnsi="宋体"/>
          <w:color w:val="000000" w:themeColor="text1"/>
          <w:sz w:val="28"/>
          <w:szCs w:val="28"/>
          <w14:textFill>
            <w14:solidFill>
              <w14:schemeClr w14:val="tx1"/>
            </w14:solidFill>
          </w14:textFill>
        </w:rPr>
        <w:t>评委（含采购人代表）人数；C</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xml:space="preserve"> 分别为评审委员会每个成员的打分，n</w:t>
      </w:r>
      <w:r>
        <w:rPr>
          <w:rFonts w:hint="eastAsia" w:ascii="宋体" w:hAnsi="宋体"/>
          <w:color w:val="000000" w:themeColor="text1"/>
          <w:sz w:val="28"/>
          <w:szCs w:val="28"/>
          <w:vertAlign w:val="subscript"/>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为评委人数。</w:t>
      </w:r>
    </w:p>
    <w:p>
      <w:pP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6</w:t>
      </w:r>
      <w:r>
        <w:rPr>
          <w:rFonts w:ascii="宋体" w:hAnsi="宋体"/>
          <w:b/>
          <w:color w:val="000000" w:themeColor="text1"/>
          <w:sz w:val="28"/>
          <w:szCs w:val="28"/>
          <w14:textFill>
            <w14:solidFill>
              <w14:schemeClr w14:val="tx1"/>
            </w14:solidFill>
          </w14:textFill>
        </w:rPr>
        <w:t>.5.2</w:t>
      </w:r>
      <w:r>
        <w:rPr>
          <w:rFonts w:hint="eastAsia" w:ascii="宋体" w:hAnsi="宋体"/>
          <w:b/>
          <w:color w:val="000000" w:themeColor="text1"/>
          <w:sz w:val="28"/>
          <w:szCs w:val="28"/>
          <w14:textFill>
            <w14:solidFill>
              <w14:schemeClr w14:val="tx1"/>
            </w14:solidFill>
          </w14:textFill>
        </w:rPr>
        <w:t>评标标准</w:t>
      </w:r>
    </w:p>
    <w:tbl>
      <w:tblPr>
        <w:tblStyle w:val="43"/>
        <w:tblW w:w="50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529"/>
        <w:gridCol w:w="1160"/>
        <w:gridCol w:w="821"/>
        <w:gridCol w:w="4884"/>
        <w:gridCol w:w="1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3" w:hRule="atLeast"/>
        </w:trPr>
        <w:tc>
          <w:tcPr>
            <w:tcW w:w="312" w:type="pct"/>
            <w:shd w:val="clear" w:color="auto" w:fill="FFFFFF"/>
            <w:vAlign w:val="center"/>
          </w:tcPr>
          <w:p>
            <w:pPr>
              <w:spacing w:before="53" w:line="257" w:lineRule="auto"/>
              <w:ind w:left="118" w:right="109" w:firstLine="3"/>
              <w:rPr>
                <w:rFonts w:ascii="仿宋" w:hAnsi="仿宋" w:eastAsia="仿宋" w:cs="仿宋"/>
                <w:spacing w:val="-1"/>
                <w:szCs w:val="21"/>
              </w:rPr>
            </w:pPr>
            <w:r>
              <w:rPr>
                <w:rFonts w:hint="eastAsia" w:ascii="仿宋" w:hAnsi="仿宋" w:eastAsia="仿宋" w:cs="仿宋"/>
                <w:spacing w:val="-1"/>
                <w:szCs w:val="21"/>
              </w:rPr>
              <w:t>序号</w:t>
            </w:r>
          </w:p>
        </w:tc>
        <w:tc>
          <w:tcPr>
            <w:tcW w:w="684" w:type="pct"/>
            <w:shd w:val="clear" w:color="auto" w:fill="FFFFFF"/>
            <w:vAlign w:val="center"/>
          </w:tcPr>
          <w:p>
            <w:pPr>
              <w:spacing w:before="53" w:line="257" w:lineRule="auto"/>
              <w:ind w:left="118" w:right="109" w:firstLine="3"/>
              <w:jc w:val="center"/>
              <w:rPr>
                <w:rFonts w:ascii="仿宋" w:hAnsi="仿宋" w:eastAsia="仿宋" w:cs="仿宋"/>
                <w:spacing w:val="-1"/>
                <w:szCs w:val="21"/>
              </w:rPr>
            </w:pPr>
            <w:r>
              <w:rPr>
                <w:rFonts w:hint="eastAsia" w:ascii="仿宋" w:hAnsi="仿宋" w:eastAsia="仿宋" w:cs="仿宋"/>
                <w:spacing w:val="-1"/>
                <w:szCs w:val="21"/>
              </w:rPr>
              <w:t>评分因素</w:t>
            </w:r>
          </w:p>
        </w:tc>
        <w:tc>
          <w:tcPr>
            <w:tcW w:w="484" w:type="pct"/>
            <w:shd w:val="clear" w:color="auto" w:fill="FFFFFF"/>
            <w:vAlign w:val="center"/>
          </w:tcPr>
          <w:p>
            <w:pPr>
              <w:spacing w:before="53" w:line="257" w:lineRule="auto"/>
              <w:ind w:left="118" w:right="109" w:firstLine="3"/>
              <w:jc w:val="center"/>
              <w:rPr>
                <w:rFonts w:ascii="仿宋" w:hAnsi="仿宋" w:eastAsia="仿宋" w:cs="仿宋"/>
                <w:spacing w:val="-1"/>
                <w:szCs w:val="21"/>
              </w:rPr>
            </w:pPr>
            <w:r>
              <w:rPr>
                <w:rFonts w:hint="eastAsia" w:ascii="仿宋" w:hAnsi="仿宋" w:eastAsia="仿宋" w:cs="仿宋"/>
                <w:spacing w:val="-1"/>
                <w:szCs w:val="21"/>
              </w:rPr>
              <w:t>分值</w:t>
            </w:r>
          </w:p>
        </w:tc>
        <w:tc>
          <w:tcPr>
            <w:tcW w:w="2880" w:type="pct"/>
            <w:shd w:val="clear" w:color="auto" w:fill="FFFFFF"/>
            <w:vAlign w:val="center"/>
          </w:tcPr>
          <w:p>
            <w:pPr>
              <w:spacing w:before="53" w:line="257" w:lineRule="auto"/>
              <w:ind w:left="118" w:right="109" w:firstLine="3"/>
              <w:jc w:val="center"/>
              <w:rPr>
                <w:rFonts w:ascii="仿宋" w:hAnsi="仿宋" w:eastAsia="仿宋" w:cs="仿宋"/>
                <w:spacing w:val="-1"/>
                <w:szCs w:val="21"/>
              </w:rPr>
            </w:pPr>
            <w:r>
              <w:rPr>
                <w:rFonts w:hint="eastAsia" w:ascii="仿宋" w:hAnsi="仿宋" w:eastAsia="仿宋" w:cs="仿宋"/>
                <w:spacing w:val="-1"/>
                <w:szCs w:val="21"/>
              </w:rPr>
              <w:t>评分标准</w:t>
            </w:r>
          </w:p>
        </w:tc>
        <w:tc>
          <w:tcPr>
            <w:tcW w:w="638" w:type="pct"/>
            <w:shd w:val="clear" w:color="auto" w:fill="FFFFFF"/>
            <w:vAlign w:val="center"/>
          </w:tcPr>
          <w:p>
            <w:pPr>
              <w:spacing w:before="53" w:line="257" w:lineRule="auto"/>
              <w:ind w:left="118" w:right="109" w:firstLine="3"/>
              <w:jc w:val="center"/>
              <w:rPr>
                <w:rFonts w:hint="default" w:ascii="仿宋" w:hAnsi="仿宋" w:eastAsia="仿宋" w:cs="仿宋"/>
                <w:spacing w:val="-1"/>
                <w:szCs w:val="21"/>
                <w:lang w:val="en-US" w:eastAsia="zh-CN"/>
              </w:rPr>
            </w:pPr>
            <w:r>
              <w:rPr>
                <w:rFonts w:hint="eastAsia" w:ascii="仿宋" w:hAnsi="仿宋" w:eastAsia="仿宋" w:cs="仿宋"/>
                <w:spacing w:val="-1"/>
                <w:szCs w:val="21"/>
                <w:lang w:val="en-US" w:eastAsia="zh-CN"/>
              </w:rPr>
              <w:t>评审类别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3" w:hRule="atLeast"/>
        </w:trPr>
        <w:tc>
          <w:tcPr>
            <w:tcW w:w="312" w:type="pct"/>
            <w:shd w:val="clear" w:color="auto" w:fill="FFFFFF"/>
            <w:vAlign w:val="center"/>
          </w:tcPr>
          <w:p>
            <w:pPr>
              <w:spacing w:before="53" w:line="257" w:lineRule="auto"/>
              <w:ind w:left="118" w:right="109" w:firstLine="3"/>
              <w:jc w:val="center"/>
              <w:rPr>
                <w:rFonts w:ascii="仿宋" w:hAnsi="仿宋" w:eastAsia="仿宋" w:cs="仿宋"/>
                <w:spacing w:val="-1"/>
                <w:szCs w:val="21"/>
              </w:rPr>
            </w:pPr>
            <w:r>
              <w:rPr>
                <w:rFonts w:hint="eastAsia" w:ascii="仿宋" w:hAnsi="仿宋" w:eastAsia="仿宋" w:cs="仿宋"/>
                <w:spacing w:val="-1"/>
                <w:szCs w:val="21"/>
              </w:rPr>
              <w:t>1</w:t>
            </w:r>
          </w:p>
        </w:tc>
        <w:tc>
          <w:tcPr>
            <w:tcW w:w="684" w:type="pct"/>
            <w:shd w:val="clear" w:color="auto" w:fill="FFFFFF"/>
            <w:vAlign w:val="center"/>
          </w:tcPr>
          <w:p>
            <w:pPr>
              <w:spacing w:before="53" w:line="257" w:lineRule="auto"/>
              <w:ind w:left="118" w:right="109" w:firstLine="3"/>
              <w:jc w:val="center"/>
              <w:rPr>
                <w:rFonts w:ascii="仿宋" w:hAnsi="仿宋" w:eastAsia="仿宋" w:cs="仿宋"/>
                <w:spacing w:val="-1"/>
                <w:szCs w:val="21"/>
              </w:rPr>
            </w:pPr>
            <w:r>
              <w:rPr>
                <w:rFonts w:hint="eastAsia" w:ascii="仿宋" w:hAnsi="仿宋" w:eastAsia="仿宋" w:cs="仿宋"/>
                <w:spacing w:val="-1"/>
                <w:szCs w:val="21"/>
              </w:rPr>
              <w:t>报价</w:t>
            </w:r>
          </w:p>
          <w:p>
            <w:pPr>
              <w:spacing w:before="53" w:line="257" w:lineRule="auto"/>
              <w:ind w:left="118" w:right="109" w:firstLine="3"/>
              <w:jc w:val="center"/>
              <w:rPr>
                <w:rFonts w:ascii="仿宋" w:hAnsi="仿宋" w:eastAsia="仿宋" w:cs="仿宋"/>
                <w:spacing w:val="-1"/>
                <w:szCs w:val="21"/>
              </w:rPr>
            </w:pPr>
          </w:p>
        </w:tc>
        <w:tc>
          <w:tcPr>
            <w:tcW w:w="484" w:type="pct"/>
            <w:shd w:val="clear" w:color="auto" w:fill="FFFFFF"/>
            <w:vAlign w:val="center"/>
          </w:tcPr>
          <w:p>
            <w:pPr>
              <w:spacing w:before="53" w:line="257" w:lineRule="auto"/>
              <w:ind w:left="118" w:right="109" w:firstLine="3"/>
              <w:jc w:val="center"/>
              <w:rPr>
                <w:rFonts w:ascii="仿宋" w:hAnsi="仿宋" w:eastAsia="仿宋" w:cs="仿宋"/>
                <w:spacing w:val="-1"/>
                <w:szCs w:val="21"/>
              </w:rPr>
            </w:pPr>
            <w:r>
              <w:rPr>
                <w:rFonts w:hint="eastAsia" w:ascii="仿宋" w:hAnsi="仿宋" w:eastAsia="仿宋" w:cs="仿宋"/>
                <w:spacing w:val="-1"/>
                <w:szCs w:val="21"/>
              </w:rPr>
              <w:t>30分</w:t>
            </w:r>
          </w:p>
        </w:tc>
        <w:tc>
          <w:tcPr>
            <w:tcW w:w="2880" w:type="pct"/>
            <w:shd w:val="clear" w:color="auto" w:fill="FFFFFF"/>
            <w:vAlign w:val="center"/>
          </w:tcPr>
          <w:p>
            <w:pPr>
              <w:spacing w:before="53" w:line="257" w:lineRule="auto"/>
              <w:ind w:left="118" w:right="109" w:firstLine="3"/>
              <w:rPr>
                <w:rFonts w:ascii="仿宋" w:hAnsi="仿宋" w:eastAsia="仿宋" w:cs="仿宋"/>
                <w:spacing w:val="-1"/>
                <w:szCs w:val="21"/>
              </w:rPr>
            </w:pPr>
            <w:r>
              <w:rPr>
                <w:rFonts w:ascii="仿宋" w:hAnsi="仿宋" w:eastAsia="仿宋" w:cs="仿宋"/>
                <w:spacing w:val="-1"/>
                <w:szCs w:val="21"/>
              </w:rPr>
              <w:t>综合评分法中的价格分统一采用低价优先法计算，即满足招标文件要求且投标价格最低的投标报价为评标基准价，其价格分为满分。其他投标人的价格分统一按照下列公式计算： 投标报价得分=（基准价／ 投标报价） ×30（保留小数点后两 位） 。</w:t>
            </w:r>
          </w:p>
        </w:tc>
        <w:tc>
          <w:tcPr>
            <w:tcW w:w="638" w:type="pct"/>
            <w:shd w:val="clear" w:color="auto" w:fill="FFFFFF"/>
            <w:vAlign w:val="center"/>
          </w:tcPr>
          <w:p>
            <w:pPr>
              <w:spacing w:before="53" w:line="257" w:lineRule="auto"/>
              <w:ind w:left="118" w:right="109" w:firstLine="3"/>
              <w:rPr>
                <w:rFonts w:hint="default" w:ascii="仿宋" w:hAnsi="仿宋" w:eastAsia="仿宋" w:cs="仿宋"/>
                <w:spacing w:val="-1"/>
                <w:szCs w:val="21"/>
                <w:lang w:val="en-US" w:eastAsia="zh-CN"/>
              </w:rPr>
            </w:pPr>
            <w:r>
              <w:rPr>
                <w:rFonts w:hint="eastAsia" w:ascii="仿宋" w:hAnsi="仿宋" w:eastAsia="仿宋" w:cs="仿宋"/>
                <w:spacing w:val="-1"/>
                <w:szCs w:val="21"/>
                <w:lang w:val="en-US" w:eastAsia="zh-CN"/>
              </w:rPr>
              <w:t>评审委员会成员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3" w:hRule="atLeast"/>
        </w:trPr>
        <w:tc>
          <w:tcPr>
            <w:tcW w:w="312" w:type="pct"/>
            <w:shd w:val="clear" w:color="auto" w:fill="FFFFFF"/>
            <w:vAlign w:val="center"/>
          </w:tcPr>
          <w:p>
            <w:pPr>
              <w:spacing w:before="53" w:line="257" w:lineRule="auto"/>
              <w:ind w:left="118" w:right="109" w:firstLine="3"/>
              <w:jc w:val="center"/>
              <w:rPr>
                <w:rFonts w:ascii="仿宋" w:hAnsi="仿宋" w:eastAsia="仿宋" w:cs="仿宋"/>
                <w:spacing w:val="-1"/>
                <w:szCs w:val="21"/>
              </w:rPr>
            </w:pPr>
            <w:r>
              <w:rPr>
                <w:rFonts w:hint="eastAsia" w:ascii="仿宋" w:hAnsi="仿宋" w:eastAsia="仿宋" w:cs="仿宋"/>
                <w:spacing w:val="-1"/>
                <w:szCs w:val="21"/>
              </w:rPr>
              <w:t>2</w:t>
            </w:r>
          </w:p>
        </w:tc>
        <w:tc>
          <w:tcPr>
            <w:tcW w:w="684" w:type="pct"/>
            <w:shd w:val="clear" w:color="auto" w:fill="FFFFFF"/>
            <w:vAlign w:val="center"/>
          </w:tcPr>
          <w:p>
            <w:pPr>
              <w:spacing w:before="53" w:line="257" w:lineRule="auto"/>
              <w:ind w:left="118" w:right="109" w:firstLine="3"/>
              <w:jc w:val="center"/>
              <w:rPr>
                <w:rFonts w:ascii="仿宋" w:hAnsi="仿宋" w:eastAsia="仿宋" w:cs="仿宋"/>
                <w:spacing w:val="-1"/>
                <w:szCs w:val="21"/>
              </w:rPr>
            </w:pPr>
            <w:r>
              <w:rPr>
                <w:rFonts w:hint="eastAsia" w:ascii="仿宋" w:hAnsi="仿宋" w:eastAsia="仿宋" w:cs="仿宋"/>
                <w:spacing w:val="-1"/>
                <w:szCs w:val="21"/>
              </w:rPr>
              <w:t>技术指标和配置</w:t>
            </w:r>
          </w:p>
          <w:p>
            <w:pPr>
              <w:spacing w:before="53" w:line="257" w:lineRule="auto"/>
              <w:ind w:left="118" w:right="109" w:firstLine="3"/>
              <w:jc w:val="center"/>
              <w:rPr>
                <w:rFonts w:ascii="仿宋" w:hAnsi="仿宋" w:eastAsia="仿宋" w:cs="仿宋"/>
                <w:spacing w:val="-1"/>
                <w:szCs w:val="21"/>
              </w:rPr>
            </w:pPr>
          </w:p>
        </w:tc>
        <w:tc>
          <w:tcPr>
            <w:tcW w:w="484" w:type="pct"/>
            <w:shd w:val="clear" w:color="auto" w:fill="FFFFFF"/>
            <w:vAlign w:val="center"/>
          </w:tcPr>
          <w:p>
            <w:pPr>
              <w:spacing w:before="53" w:line="257" w:lineRule="auto"/>
              <w:ind w:left="118" w:right="109" w:firstLine="3"/>
              <w:jc w:val="center"/>
              <w:rPr>
                <w:rFonts w:ascii="仿宋" w:hAnsi="仿宋" w:eastAsia="仿宋" w:cs="仿宋"/>
                <w:spacing w:val="-1"/>
                <w:szCs w:val="21"/>
              </w:rPr>
            </w:pPr>
            <w:r>
              <w:rPr>
                <w:rFonts w:hint="eastAsia" w:ascii="仿宋" w:hAnsi="仿宋" w:eastAsia="仿宋" w:cs="仿宋"/>
                <w:spacing w:val="-1"/>
                <w:szCs w:val="21"/>
              </w:rPr>
              <w:t>40分</w:t>
            </w:r>
          </w:p>
        </w:tc>
        <w:tc>
          <w:tcPr>
            <w:tcW w:w="2880" w:type="pct"/>
            <w:shd w:val="clear" w:color="auto" w:fill="FFFFFF"/>
            <w:vAlign w:val="center"/>
          </w:tcPr>
          <w:p>
            <w:pPr>
              <w:spacing w:before="58" w:line="288" w:lineRule="auto"/>
              <w:ind w:left="114" w:right="109" w:firstLine="12"/>
              <w:rPr>
                <w:rFonts w:ascii="仿宋" w:hAnsi="仿宋" w:eastAsia="仿宋" w:cs="仿宋"/>
                <w:sz w:val="20"/>
                <w:szCs w:val="20"/>
              </w:rPr>
            </w:pPr>
            <w:r>
              <w:rPr>
                <w:rFonts w:ascii="仿宋" w:hAnsi="仿宋" w:eastAsia="仿宋" w:cs="仿宋"/>
                <w:spacing w:val="-5"/>
                <w:sz w:val="20"/>
                <w:szCs w:val="20"/>
              </w:rPr>
              <w:t>1、完全符合招标文件要求的得</w:t>
            </w:r>
            <w:r>
              <w:rPr>
                <w:rFonts w:hint="eastAsia" w:ascii="仿宋" w:hAnsi="仿宋" w:eastAsia="仿宋" w:cs="仿宋"/>
                <w:spacing w:val="-5"/>
                <w:sz w:val="20"/>
                <w:szCs w:val="20"/>
              </w:rPr>
              <w:t>40</w:t>
            </w:r>
            <w:r>
              <w:rPr>
                <w:rFonts w:ascii="仿宋" w:hAnsi="仿宋" w:eastAsia="仿宋" w:cs="仿宋"/>
                <w:spacing w:val="-36"/>
                <w:sz w:val="20"/>
                <w:szCs w:val="20"/>
              </w:rPr>
              <w:t xml:space="preserve"> </w:t>
            </w:r>
            <w:r>
              <w:rPr>
                <w:rFonts w:ascii="仿宋" w:hAnsi="仿宋" w:eastAsia="仿宋" w:cs="仿宋"/>
                <w:spacing w:val="-5"/>
                <w:sz w:val="20"/>
                <w:szCs w:val="20"/>
              </w:rPr>
              <w:t>分；</w:t>
            </w:r>
            <w:r>
              <w:rPr>
                <w:rFonts w:ascii="仿宋" w:hAnsi="仿宋" w:eastAsia="仿宋" w:cs="仿宋"/>
                <w:sz w:val="20"/>
                <w:szCs w:val="20"/>
              </w:rPr>
              <w:t xml:space="preserve">                      </w:t>
            </w:r>
            <w:r>
              <w:rPr>
                <w:rFonts w:hint="eastAsia" w:ascii="仿宋" w:hAnsi="仿宋" w:eastAsia="仿宋" w:cs="仿宋"/>
                <w:sz w:val="20"/>
                <w:szCs w:val="20"/>
              </w:rPr>
              <w:t>（1）</w:t>
            </w:r>
            <w:r>
              <w:rPr>
                <w:rFonts w:ascii="仿宋" w:hAnsi="仿宋" w:eastAsia="仿宋" w:cs="仿宋"/>
                <w:spacing w:val="-10"/>
                <w:sz w:val="20"/>
                <w:szCs w:val="20"/>
              </w:rPr>
              <w:t>标注“▲”的参数有一条负偏离的扣</w:t>
            </w:r>
            <w:r>
              <w:rPr>
                <w:rFonts w:ascii="仿宋" w:hAnsi="仿宋" w:eastAsia="仿宋" w:cs="仿宋"/>
                <w:spacing w:val="-19"/>
                <w:sz w:val="20"/>
                <w:szCs w:val="20"/>
              </w:rPr>
              <w:t xml:space="preserve"> </w:t>
            </w:r>
            <w:r>
              <w:rPr>
                <w:rFonts w:ascii="仿宋" w:hAnsi="仿宋" w:eastAsia="仿宋" w:cs="仿宋"/>
                <w:spacing w:val="-10"/>
                <w:sz w:val="20"/>
                <w:szCs w:val="20"/>
              </w:rPr>
              <w:t>3</w:t>
            </w:r>
            <w:r>
              <w:rPr>
                <w:rFonts w:ascii="仿宋" w:hAnsi="仿宋" w:eastAsia="仿宋" w:cs="仿宋"/>
                <w:spacing w:val="-32"/>
                <w:sz w:val="20"/>
                <w:szCs w:val="20"/>
              </w:rPr>
              <w:t xml:space="preserve"> </w:t>
            </w:r>
            <w:r>
              <w:rPr>
                <w:rFonts w:ascii="仿宋" w:hAnsi="仿宋" w:eastAsia="仿宋" w:cs="仿宋"/>
                <w:spacing w:val="-10"/>
                <w:sz w:val="20"/>
                <w:szCs w:val="20"/>
              </w:rPr>
              <w:t>分，最多扣</w:t>
            </w:r>
            <w:r>
              <w:rPr>
                <w:rFonts w:ascii="仿宋" w:hAnsi="仿宋" w:eastAsia="仿宋" w:cs="仿宋"/>
                <w:spacing w:val="-40"/>
                <w:sz w:val="20"/>
                <w:szCs w:val="20"/>
              </w:rPr>
              <w:t xml:space="preserve"> </w:t>
            </w:r>
            <w:r>
              <w:rPr>
                <w:rFonts w:ascii="仿宋" w:hAnsi="仿宋" w:eastAsia="仿宋" w:cs="仿宋"/>
                <w:spacing w:val="-10"/>
                <w:sz w:val="20"/>
                <w:szCs w:val="20"/>
              </w:rPr>
              <w:t>21</w:t>
            </w:r>
            <w:r>
              <w:rPr>
                <w:rFonts w:ascii="仿宋" w:hAnsi="仿宋" w:eastAsia="仿宋" w:cs="仿宋"/>
                <w:spacing w:val="-36"/>
                <w:sz w:val="20"/>
                <w:szCs w:val="20"/>
              </w:rPr>
              <w:t xml:space="preserve"> </w:t>
            </w:r>
            <w:r>
              <w:rPr>
                <w:rFonts w:ascii="仿宋" w:hAnsi="仿宋" w:eastAsia="仿宋" w:cs="仿宋"/>
                <w:spacing w:val="-10"/>
                <w:sz w:val="20"/>
                <w:szCs w:val="20"/>
              </w:rPr>
              <w:t>分；</w:t>
            </w:r>
            <w:r>
              <w:rPr>
                <w:rFonts w:ascii="仿宋" w:hAnsi="仿宋" w:eastAsia="仿宋" w:cs="仿宋"/>
                <w:spacing w:val="13"/>
                <w:sz w:val="20"/>
                <w:szCs w:val="20"/>
              </w:rPr>
              <w:t xml:space="preserve"> </w:t>
            </w:r>
            <w:r>
              <w:rPr>
                <w:rFonts w:ascii="仿宋" w:hAnsi="仿宋" w:eastAsia="仿宋" w:cs="仿宋"/>
                <w:spacing w:val="-10"/>
                <w:sz w:val="20"/>
                <w:szCs w:val="20"/>
              </w:rPr>
              <w:t>标</w:t>
            </w:r>
            <w:r>
              <w:rPr>
                <w:rFonts w:ascii="仿宋" w:hAnsi="仿宋" w:eastAsia="仿宋" w:cs="仿宋"/>
                <w:sz w:val="20"/>
                <w:szCs w:val="20"/>
              </w:rPr>
              <w:t xml:space="preserve"> </w:t>
            </w:r>
            <w:r>
              <w:rPr>
                <w:rFonts w:ascii="仿宋" w:hAnsi="仿宋" w:eastAsia="仿宋" w:cs="仿宋"/>
                <w:spacing w:val="-4"/>
                <w:sz w:val="20"/>
                <w:szCs w:val="20"/>
              </w:rPr>
              <w:t>注“★”参数有一条不符合的扣</w:t>
            </w:r>
            <w:r>
              <w:rPr>
                <w:rFonts w:ascii="仿宋" w:hAnsi="仿宋" w:eastAsia="仿宋" w:cs="仿宋"/>
                <w:spacing w:val="-9"/>
                <w:sz w:val="20"/>
                <w:szCs w:val="20"/>
              </w:rPr>
              <w:t xml:space="preserve"> </w:t>
            </w:r>
            <w:r>
              <w:rPr>
                <w:rFonts w:ascii="仿宋" w:hAnsi="仿宋" w:eastAsia="仿宋" w:cs="仿宋"/>
                <w:spacing w:val="-4"/>
                <w:sz w:val="20"/>
                <w:szCs w:val="20"/>
              </w:rPr>
              <w:t>1</w:t>
            </w:r>
            <w:r>
              <w:rPr>
                <w:rFonts w:ascii="仿宋" w:hAnsi="仿宋" w:eastAsia="仿宋" w:cs="仿宋"/>
                <w:spacing w:val="-35"/>
                <w:sz w:val="20"/>
                <w:szCs w:val="20"/>
              </w:rPr>
              <w:t xml:space="preserve"> </w:t>
            </w:r>
            <w:r>
              <w:rPr>
                <w:rFonts w:ascii="仿宋" w:hAnsi="仿宋" w:eastAsia="仿宋" w:cs="仿宋"/>
                <w:spacing w:val="-4"/>
                <w:sz w:val="20"/>
                <w:szCs w:val="20"/>
              </w:rPr>
              <w:t>分，最多扣</w:t>
            </w:r>
            <w:r>
              <w:rPr>
                <w:rFonts w:ascii="仿宋" w:hAnsi="仿宋" w:eastAsia="仿宋" w:cs="仿宋"/>
                <w:spacing w:val="-40"/>
                <w:sz w:val="20"/>
                <w:szCs w:val="20"/>
              </w:rPr>
              <w:t xml:space="preserve"> </w:t>
            </w:r>
            <w:r>
              <w:rPr>
                <w:rFonts w:ascii="仿宋" w:hAnsi="仿宋" w:eastAsia="仿宋" w:cs="仿宋"/>
                <w:spacing w:val="-4"/>
                <w:sz w:val="20"/>
                <w:szCs w:val="20"/>
              </w:rPr>
              <w:t>9</w:t>
            </w:r>
            <w:r>
              <w:rPr>
                <w:rFonts w:ascii="仿宋" w:hAnsi="仿宋" w:eastAsia="仿宋" w:cs="仿宋"/>
                <w:spacing w:val="-35"/>
                <w:sz w:val="20"/>
                <w:szCs w:val="20"/>
              </w:rPr>
              <w:t xml:space="preserve"> </w:t>
            </w:r>
            <w:r>
              <w:rPr>
                <w:rFonts w:ascii="仿宋" w:hAnsi="仿宋" w:eastAsia="仿宋" w:cs="仿宋"/>
                <w:spacing w:val="-4"/>
                <w:sz w:val="20"/>
                <w:szCs w:val="20"/>
              </w:rPr>
              <w:t>分。</w:t>
            </w:r>
          </w:p>
          <w:p>
            <w:pPr>
              <w:spacing w:before="2" w:line="237" w:lineRule="auto"/>
              <w:ind w:left="125" w:right="41" w:hanging="2"/>
              <w:rPr>
                <w:rFonts w:ascii="仿宋" w:hAnsi="仿宋" w:eastAsia="仿宋" w:cs="仿宋"/>
                <w:sz w:val="20"/>
                <w:szCs w:val="20"/>
              </w:rPr>
            </w:pPr>
            <w:r>
              <w:rPr>
                <w:rFonts w:ascii="仿宋" w:hAnsi="仿宋" w:eastAsia="仿宋" w:cs="仿宋"/>
                <w:spacing w:val="-5"/>
                <w:sz w:val="20"/>
                <w:szCs w:val="20"/>
              </w:rPr>
              <w:t>注</w:t>
            </w:r>
            <w:r>
              <w:rPr>
                <w:rFonts w:ascii="仿宋" w:hAnsi="仿宋" w:eastAsia="仿宋" w:cs="仿宋"/>
                <w:spacing w:val="-86"/>
                <w:sz w:val="20"/>
                <w:szCs w:val="20"/>
              </w:rPr>
              <w:t>：</w:t>
            </w:r>
            <w:r>
              <w:rPr>
                <w:rFonts w:ascii="仿宋" w:hAnsi="仿宋" w:eastAsia="仿宋" w:cs="仿宋"/>
                <w:spacing w:val="33"/>
                <w:sz w:val="20"/>
                <w:szCs w:val="20"/>
              </w:rPr>
              <w:t xml:space="preserve"> </w:t>
            </w:r>
            <w:r>
              <w:rPr>
                <w:rFonts w:ascii="仿宋" w:hAnsi="仿宋" w:eastAsia="仿宋" w:cs="仿宋"/>
                <w:spacing w:val="-86"/>
                <w:sz w:val="20"/>
                <w:szCs w:val="20"/>
              </w:rPr>
              <w:t>（</w:t>
            </w:r>
            <w:r>
              <w:rPr>
                <w:rFonts w:ascii="仿宋" w:hAnsi="仿宋" w:eastAsia="仿宋" w:cs="仿宋"/>
                <w:spacing w:val="-49"/>
                <w:sz w:val="20"/>
                <w:szCs w:val="20"/>
              </w:rPr>
              <w:t xml:space="preserve"> </w:t>
            </w:r>
            <w:r>
              <w:rPr>
                <w:rFonts w:ascii="仿宋" w:hAnsi="仿宋" w:eastAsia="仿宋" w:cs="仿宋"/>
                <w:spacing w:val="-5"/>
                <w:sz w:val="20"/>
                <w:szCs w:val="20"/>
              </w:rPr>
              <w:t>1）</w:t>
            </w:r>
            <w:r>
              <w:rPr>
                <w:rFonts w:ascii="仿宋" w:hAnsi="仿宋" w:eastAsia="仿宋" w:cs="仿宋"/>
                <w:spacing w:val="4"/>
                <w:sz w:val="20"/>
                <w:szCs w:val="20"/>
              </w:rPr>
              <w:t xml:space="preserve"> </w:t>
            </w:r>
            <w:r>
              <w:rPr>
                <w:rFonts w:ascii="仿宋" w:hAnsi="仿宋" w:eastAsia="仿宋" w:cs="仿宋"/>
                <w:spacing w:val="-5"/>
                <w:sz w:val="20"/>
                <w:szCs w:val="20"/>
              </w:rPr>
              <w:t>针对“★”和“▲”条款的技术、服务响应，投标人</w:t>
            </w:r>
            <w:r>
              <w:rPr>
                <w:rFonts w:ascii="仿宋" w:hAnsi="仿宋" w:eastAsia="仿宋" w:cs="仿宋"/>
                <w:sz w:val="20"/>
                <w:szCs w:val="20"/>
              </w:rPr>
              <w:t xml:space="preserve"> </w:t>
            </w:r>
            <w:r>
              <w:rPr>
                <w:rFonts w:ascii="仿宋" w:hAnsi="仿宋" w:eastAsia="仿宋" w:cs="仿宋"/>
                <w:spacing w:val="-2"/>
                <w:sz w:val="20"/>
                <w:szCs w:val="20"/>
              </w:rPr>
              <w:t>需根据第六章“技术、服务要求”具体的要求，提供证明资料。</w:t>
            </w:r>
          </w:p>
          <w:p>
            <w:pPr>
              <w:spacing w:before="108" w:line="188" w:lineRule="auto"/>
              <w:ind w:firstLine="117"/>
              <w:rPr>
                <w:rFonts w:ascii="仿宋" w:hAnsi="仿宋" w:eastAsia="仿宋" w:cs="仿宋"/>
                <w:sz w:val="20"/>
                <w:szCs w:val="20"/>
              </w:rPr>
            </w:pPr>
            <w:r>
              <w:rPr>
                <w:rFonts w:ascii="仿宋" w:hAnsi="仿宋" w:eastAsia="仿宋" w:cs="仿宋"/>
                <w:spacing w:val="-5"/>
                <w:sz w:val="20"/>
                <w:szCs w:val="20"/>
              </w:rPr>
              <w:t>（2）</w:t>
            </w:r>
            <w:r>
              <w:rPr>
                <w:rFonts w:ascii="仿宋" w:hAnsi="仿宋" w:eastAsia="仿宋" w:cs="仿宋"/>
                <w:spacing w:val="2"/>
                <w:sz w:val="20"/>
                <w:szCs w:val="20"/>
              </w:rPr>
              <w:t xml:space="preserve"> </w:t>
            </w:r>
            <w:r>
              <w:rPr>
                <w:rFonts w:ascii="仿宋" w:hAnsi="仿宋" w:eastAsia="仿宋" w:cs="仿宋"/>
                <w:spacing w:val="-5"/>
                <w:sz w:val="20"/>
                <w:szCs w:val="20"/>
              </w:rPr>
              <w:t>“★”技术参数条款共计</w:t>
            </w:r>
            <w:r>
              <w:rPr>
                <w:rFonts w:ascii="仿宋" w:hAnsi="仿宋" w:eastAsia="仿宋" w:cs="仿宋"/>
                <w:spacing w:val="-42"/>
                <w:sz w:val="20"/>
                <w:szCs w:val="20"/>
              </w:rPr>
              <w:t xml:space="preserve"> </w:t>
            </w:r>
            <w:r>
              <w:rPr>
                <w:rFonts w:ascii="仿宋" w:hAnsi="仿宋" w:eastAsia="仿宋" w:cs="仿宋"/>
                <w:spacing w:val="-5"/>
                <w:sz w:val="20"/>
                <w:szCs w:val="20"/>
              </w:rPr>
              <w:t>9</w:t>
            </w:r>
            <w:r>
              <w:rPr>
                <w:rFonts w:ascii="仿宋" w:hAnsi="仿宋" w:eastAsia="仿宋" w:cs="仿宋"/>
                <w:spacing w:val="-33"/>
                <w:sz w:val="20"/>
                <w:szCs w:val="20"/>
              </w:rPr>
              <w:t xml:space="preserve"> </w:t>
            </w:r>
            <w:r>
              <w:rPr>
                <w:rFonts w:ascii="仿宋" w:hAnsi="仿宋" w:eastAsia="仿宋" w:cs="仿宋"/>
                <w:spacing w:val="-5"/>
                <w:sz w:val="20"/>
                <w:szCs w:val="20"/>
              </w:rPr>
              <w:t>条，“▲”技术参数条款共计</w:t>
            </w:r>
            <w:r>
              <w:rPr>
                <w:rFonts w:ascii="仿宋" w:hAnsi="仿宋" w:eastAsia="仿宋" w:cs="仿宋"/>
                <w:spacing w:val="-10"/>
                <w:sz w:val="20"/>
                <w:szCs w:val="20"/>
              </w:rPr>
              <w:t>7</w:t>
            </w:r>
            <w:r>
              <w:rPr>
                <w:rFonts w:ascii="仿宋" w:hAnsi="仿宋" w:eastAsia="仿宋" w:cs="仿宋"/>
                <w:spacing w:val="-32"/>
                <w:sz w:val="20"/>
                <w:szCs w:val="20"/>
              </w:rPr>
              <w:t xml:space="preserve"> </w:t>
            </w:r>
            <w:r>
              <w:rPr>
                <w:rFonts w:ascii="仿宋" w:hAnsi="仿宋" w:eastAsia="仿宋" w:cs="仿宋"/>
                <w:spacing w:val="-10"/>
                <w:sz w:val="20"/>
                <w:szCs w:val="20"/>
              </w:rPr>
              <w:t>条</w:t>
            </w:r>
            <w:r>
              <w:rPr>
                <w:rFonts w:ascii="仿宋" w:hAnsi="仿宋" w:eastAsia="仿宋" w:cs="仿宋"/>
                <w:spacing w:val="-100"/>
                <w:sz w:val="20"/>
                <w:szCs w:val="20"/>
              </w:rPr>
              <w:t xml:space="preserve"> </w:t>
            </w:r>
            <w:r>
              <w:rPr>
                <w:rFonts w:ascii="仿宋" w:hAnsi="仿宋" w:eastAsia="仿宋" w:cs="仿宋"/>
                <w:spacing w:val="-10"/>
                <w:sz w:val="20"/>
                <w:szCs w:val="20"/>
              </w:rPr>
              <w:t>。</w:t>
            </w:r>
          </w:p>
          <w:p>
            <w:pPr>
              <w:spacing w:before="53" w:line="257" w:lineRule="auto"/>
              <w:ind w:left="118" w:right="109" w:firstLine="3"/>
              <w:rPr>
                <w:rFonts w:ascii="仿宋" w:hAnsi="仿宋" w:eastAsia="仿宋" w:cs="仿宋"/>
                <w:spacing w:val="-1"/>
                <w:szCs w:val="21"/>
              </w:rPr>
            </w:pPr>
            <w:r>
              <w:rPr>
                <w:rFonts w:ascii="仿宋" w:hAnsi="仿宋" w:eastAsia="仿宋" w:cs="仿宋"/>
                <w:spacing w:val="-1"/>
                <w:szCs w:val="21"/>
              </w:rPr>
              <w:t>2</w:t>
            </w:r>
            <w:r>
              <w:rPr>
                <w:rFonts w:hint="eastAsia" w:ascii="仿宋" w:hAnsi="仿宋" w:eastAsia="仿宋" w:cs="仿宋"/>
                <w:spacing w:val="-1"/>
                <w:szCs w:val="21"/>
              </w:rPr>
              <w:t>、技术参数要求未标注“▲”和“★”项共计92项，该部分技术参数条款响应得分=（投标人满足该部分技术服务参数条款的数量÷该部分技术服务参数条款的总数量92条）×10分。保留两位小数，四舍五入。</w:t>
            </w:r>
          </w:p>
          <w:p>
            <w:pPr>
              <w:spacing w:before="53" w:line="257" w:lineRule="auto"/>
              <w:ind w:left="118" w:right="109" w:firstLine="3"/>
              <w:rPr>
                <w:rFonts w:ascii="仿宋" w:hAnsi="仿宋" w:eastAsia="仿宋" w:cs="仿宋"/>
                <w:spacing w:val="-1"/>
                <w:szCs w:val="21"/>
              </w:rPr>
            </w:pPr>
            <w:r>
              <w:rPr>
                <w:rFonts w:ascii="仿宋" w:hAnsi="仿宋" w:eastAsia="仿宋" w:cs="仿宋"/>
                <w:spacing w:val="-1"/>
                <w:szCs w:val="21"/>
              </w:rPr>
              <w:t>3</w:t>
            </w:r>
            <w:r>
              <w:rPr>
                <w:rFonts w:hint="eastAsia" w:ascii="仿宋" w:hAnsi="仿宋" w:eastAsia="仿宋" w:cs="仿宋"/>
                <w:spacing w:val="-1"/>
                <w:szCs w:val="21"/>
              </w:rPr>
              <w:t xml:space="preserve">、前三项汇总得出技术指标及配置总得分。                                      </w:t>
            </w:r>
          </w:p>
          <w:p>
            <w:pPr>
              <w:spacing w:before="53" w:line="257" w:lineRule="auto"/>
              <w:ind w:left="118" w:right="109" w:firstLine="3"/>
              <w:rPr>
                <w:rFonts w:ascii="仿宋" w:hAnsi="仿宋" w:eastAsia="仿宋" w:cs="仿宋"/>
                <w:spacing w:val="-1"/>
                <w:szCs w:val="21"/>
              </w:rPr>
            </w:pPr>
            <w:r>
              <w:rPr>
                <w:rFonts w:hint="eastAsia" w:ascii="仿宋" w:hAnsi="仿宋" w:eastAsia="仿宋" w:cs="仿宋"/>
                <w:spacing w:val="-1"/>
                <w:szCs w:val="21"/>
              </w:rPr>
              <w:t>注：所有“技术参数”中要求提供的证明材料须按要求提供,如未按要求提供视为不满足/负偏离。</w:t>
            </w:r>
          </w:p>
        </w:tc>
        <w:tc>
          <w:tcPr>
            <w:tcW w:w="638" w:type="pct"/>
            <w:shd w:val="clear" w:color="auto" w:fill="FFFFFF"/>
            <w:vAlign w:val="center"/>
          </w:tcPr>
          <w:p>
            <w:pPr>
              <w:spacing w:before="53" w:line="257" w:lineRule="auto"/>
              <w:ind w:left="118" w:right="109" w:firstLine="3"/>
              <w:rPr>
                <w:rFonts w:ascii="仿宋" w:hAnsi="仿宋" w:eastAsia="仿宋" w:cs="仿宋"/>
                <w:spacing w:val="-1"/>
                <w:szCs w:val="21"/>
              </w:rPr>
            </w:pPr>
            <w:r>
              <w:rPr>
                <w:rFonts w:hint="eastAsia" w:ascii="仿宋" w:hAnsi="仿宋" w:eastAsia="仿宋" w:cs="仿宋"/>
                <w:spacing w:val="-1"/>
                <w:szCs w:val="21"/>
                <w:lang w:val="en-US" w:eastAsia="zh-CN"/>
              </w:rPr>
              <w:t>评审委员会成员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3" w:hRule="atLeast"/>
        </w:trPr>
        <w:tc>
          <w:tcPr>
            <w:tcW w:w="312" w:type="pct"/>
            <w:shd w:val="clear" w:color="auto" w:fill="FFFFFF"/>
            <w:vAlign w:val="center"/>
          </w:tcPr>
          <w:p>
            <w:pPr>
              <w:spacing w:before="53" w:line="257" w:lineRule="auto"/>
              <w:ind w:left="118" w:right="109" w:firstLine="3"/>
              <w:rPr>
                <w:rFonts w:hint="eastAsia" w:ascii="仿宋" w:hAnsi="仿宋" w:eastAsia="仿宋" w:cs="仿宋"/>
                <w:spacing w:val="-1"/>
                <w:szCs w:val="21"/>
                <w:lang w:eastAsia="zh-CN"/>
              </w:rPr>
            </w:pPr>
            <w:r>
              <w:rPr>
                <w:rFonts w:hint="eastAsia" w:ascii="仿宋" w:hAnsi="仿宋" w:eastAsia="仿宋" w:cs="仿宋"/>
                <w:spacing w:val="-1"/>
                <w:szCs w:val="21"/>
                <w:lang w:val="en-US" w:eastAsia="zh-CN"/>
              </w:rPr>
              <w:t>3</w:t>
            </w:r>
          </w:p>
        </w:tc>
        <w:tc>
          <w:tcPr>
            <w:tcW w:w="684" w:type="pct"/>
            <w:shd w:val="clear" w:color="auto" w:fill="FFFFFF"/>
            <w:vAlign w:val="center"/>
          </w:tcPr>
          <w:p>
            <w:pPr>
              <w:spacing w:before="53" w:line="257" w:lineRule="auto"/>
              <w:ind w:left="118" w:right="109" w:firstLine="3"/>
              <w:rPr>
                <w:rFonts w:ascii="仿宋" w:hAnsi="仿宋" w:eastAsia="仿宋" w:cs="仿宋"/>
                <w:spacing w:val="-1"/>
                <w:szCs w:val="21"/>
              </w:rPr>
            </w:pPr>
            <w:r>
              <w:rPr>
                <w:rFonts w:ascii="仿宋" w:hAnsi="仿宋" w:eastAsia="仿宋" w:cs="仿宋"/>
                <w:spacing w:val="-4"/>
                <w:szCs w:val="21"/>
              </w:rPr>
              <w:t>项目实施方</w:t>
            </w:r>
            <w:r>
              <w:rPr>
                <w:rFonts w:ascii="仿宋" w:hAnsi="仿宋" w:eastAsia="仿宋" w:cs="仿宋"/>
                <w:spacing w:val="4"/>
                <w:szCs w:val="21"/>
              </w:rPr>
              <w:t xml:space="preserve"> </w:t>
            </w:r>
            <w:r>
              <w:rPr>
                <w:rFonts w:ascii="仿宋" w:hAnsi="仿宋" w:eastAsia="仿宋" w:cs="仿宋"/>
                <w:szCs w:val="21"/>
              </w:rPr>
              <w:t>案</w:t>
            </w:r>
          </w:p>
        </w:tc>
        <w:tc>
          <w:tcPr>
            <w:tcW w:w="484" w:type="pct"/>
            <w:shd w:val="clear" w:color="auto" w:fill="FFFFFF"/>
            <w:vAlign w:val="center"/>
          </w:tcPr>
          <w:p>
            <w:pPr>
              <w:spacing w:before="53" w:line="257" w:lineRule="auto"/>
              <w:ind w:left="118" w:right="109" w:firstLine="3"/>
              <w:rPr>
                <w:rFonts w:ascii="仿宋" w:hAnsi="仿宋" w:eastAsia="仿宋" w:cs="仿宋"/>
                <w:spacing w:val="-1"/>
                <w:szCs w:val="21"/>
              </w:rPr>
            </w:pPr>
            <w:r>
              <w:rPr>
                <w:rFonts w:hint="eastAsia" w:ascii="仿宋" w:hAnsi="仿宋" w:eastAsia="仿宋" w:cs="仿宋"/>
                <w:color w:val="000000" w:themeColor="text1"/>
                <w:spacing w:val="-1"/>
                <w:szCs w:val="21"/>
                <w14:textFill>
                  <w14:solidFill>
                    <w14:schemeClr w14:val="tx1"/>
                  </w14:solidFill>
                </w14:textFill>
              </w:rPr>
              <w:t>12分</w:t>
            </w:r>
          </w:p>
        </w:tc>
        <w:tc>
          <w:tcPr>
            <w:tcW w:w="2880" w:type="pct"/>
            <w:shd w:val="clear" w:color="auto" w:fill="FFFFFF"/>
            <w:vAlign w:val="center"/>
          </w:tcPr>
          <w:p>
            <w:pPr>
              <w:spacing w:before="53" w:line="257" w:lineRule="auto"/>
              <w:ind w:left="118" w:right="109" w:firstLine="3"/>
              <w:rPr>
                <w:rFonts w:ascii="仿宋" w:hAnsi="仿宋" w:eastAsia="仿宋" w:cs="仿宋"/>
                <w:spacing w:val="-1"/>
                <w:szCs w:val="21"/>
              </w:rPr>
            </w:pPr>
            <w:r>
              <w:rPr>
                <w:rFonts w:ascii="仿宋" w:hAnsi="仿宋" w:eastAsia="仿宋" w:cs="仿宋"/>
                <w:spacing w:val="-8"/>
                <w:szCs w:val="21"/>
              </w:rPr>
              <w:t>据投标人提供的项目实施方案</w:t>
            </w:r>
            <w:r>
              <w:rPr>
                <w:rFonts w:hint="eastAsia" w:ascii="仿宋" w:hAnsi="仿宋" w:eastAsia="仿宋" w:cs="仿宋"/>
                <w:color w:val="000000" w:themeColor="text1"/>
                <w:spacing w:val="-8"/>
                <w:szCs w:val="21"/>
                <w14:textFill>
                  <w14:solidFill>
                    <w14:schemeClr w14:val="tx1"/>
                  </w14:solidFill>
                </w14:textFill>
              </w:rPr>
              <w:t>至少</w:t>
            </w:r>
            <w:r>
              <w:rPr>
                <w:rFonts w:ascii="仿宋" w:hAnsi="仿宋" w:eastAsia="仿宋" w:cs="仿宋"/>
                <w:spacing w:val="-8"/>
                <w:szCs w:val="21"/>
              </w:rPr>
              <w:t>包括：</w:t>
            </w:r>
            <w:r>
              <w:rPr>
                <w:rFonts w:ascii="仿宋" w:hAnsi="仿宋" w:eastAsia="仿宋" w:cs="仿宋"/>
                <w:spacing w:val="45"/>
                <w:szCs w:val="21"/>
              </w:rPr>
              <w:t xml:space="preserve"> </w:t>
            </w:r>
            <w:r>
              <w:rPr>
                <w:rFonts w:ascii="仿宋" w:hAnsi="仿宋" w:eastAsia="仿宋" w:cs="仿宋"/>
                <w:spacing w:val="-8"/>
                <w:szCs w:val="21"/>
              </w:rPr>
              <w:t>(1)生产或备货供应</w:t>
            </w:r>
            <w:r>
              <w:rPr>
                <w:rFonts w:ascii="仿宋" w:hAnsi="仿宋" w:eastAsia="仿宋" w:cs="仿宋"/>
                <w:spacing w:val="-4"/>
                <w:szCs w:val="21"/>
              </w:rPr>
              <w:t>能力;(2)质量保障措施;</w:t>
            </w:r>
            <w:r>
              <w:rPr>
                <w:rFonts w:ascii="仿宋" w:hAnsi="仿宋" w:eastAsia="仿宋" w:cs="仿宋"/>
                <w:spacing w:val="54"/>
                <w:szCs w:val="21"/>
              </w:rPr>
              <w:t xml:space="preserve"> </w:t>
            </w:r>
            <w:r>
              <w:rPr>
                <w:rFonts w:ascii="仿宋" w:hAnsi="仿宋" w:eastAsia="仿宋" w:cs="仿宋"/>
                <w:spacing w:val="-4"/>
                <w:szCs w:val="21"/>
              </w:rPr>
              <w:t>(3)项目实施计划;</w:t>
            </w:r>
            <w:r>
              <w:rPr>
                <w:rFonts w:ascii="仿宋" w:hAnsi="仿宋" w:eastAsia="仿宋" w:cs="仿宋"/>
                <w:spacing w:val="44"/>
                <w:szCs w:val="21"/>
              </w:rPr>
              <w:t xml:space="preserve"> </w:t>
            </w:r>
            <w:r>
              <w:rPr>
                <w:rFonts w:ascii="仿宋" w:hAnsi="仿宋" w:eastAsia="仿宋" w:cs="仿宋"/>
                <w:spacing w:val="-4"/>
                <w:szCs w:val="21"/>
              </w:rPr>
              <w:t>(4)项目实施应</w:t>
            </w:r>
            <w:r>
              <w:rPr>
                <w:rFonts w:ascii="仿宋" w:hAnsi="仿宋" w:eastAsia="仿宋" w:cs="仿宋"/>
                <w:spacing w:val="-13"/>
                <w:szCs w:val="21"/>
              </w:rPr>
              <w:t>急预案等进行评审</w:t>
            </w:r>
            <w:r>
              <w:rPr>
                <w:rFonts w:hint="eastAsia" w:ascii="仿宋" w:hAnsi="仿宋" w:eastAsia="仿宋" w:cs="仿宋"/>
                <w:spacing w:val="-13"/>
                <w:szCs w:val="21"/>
              </w:rPr>
              <w:t>。</w:t>
            </w:r>
            <w:r>
              <w:rPr>
                <w:rFonts w:ascii="仿宋" w:hAnsi="仿宋" w:eastAsia="仿宋" w:cs="仿宋"/>
                <w:spacing w:val="-13"/>
                <w:szCs w:val="21"/>
              </w:rPr>
              <w:t>内容齐全，完全满足项目要求的得</w:t>
            </w:r>
            <w:r>
              <w:rPr>
                <w:rFonts w:ascii="仿宋" w:hAnsi="仿宋" w:eastAsia="仿宋" w:cs="仿宋"/>
                <w:spacing w:val="-27"/>
                <w:szCs w:val="21"/>
              </w:rPr>
              <w:t xml:space="preserve"> </w:t>
            </w:r>
            <w:r>
              <w:rPr>
                <w:rFonts w:hint="eastAsia" w:ascii="仿宋" w:hAnsi="仿宋" w:eastAsia="仿宋" w:cs="仿宋"/>
                <w:spacing w:val="-13"/>
                <w:szCs w:val="21"/>
              </w:rPr>
              <w:t>12</w:t>
            </w:r>
            <w:r>
              <w:rPr>
                <w:rFonts w:ascii="仿宋" w:hAnsi="仿宋" w:eastAsia="仿宋" w:cs="仿宋"/>
                <w:spacing w:val="-1"/>
                <w:szCs w:val="21"/>
              </w:rPr>
              <w:t>分。如有漏项或虽有内容但描述不完整，无法实现预期目标</w:t>
            </w:r>
            <w:r>
              <w:rPr>
                <w:rFonts w:ascii="仿宋" w:hAnsi="仿宋" w:eastAsia="仿宋" w:cs="仿宋"/>
                <w:spacing w:val="-2"/>
                <w:szCs w:val="21"/>
              </w:rPr>
              <w:t>的，有一项扣</w:t>
            </w:r>
            <w:r>
              <w:rPr>
                <w:rFonts w:hint="eastAsia" w:ascii="仿宋" w:hAnsi="仿宋" w:eastAsia="仿宋" w:cs="仿宋"/>
                <w:spacing w:val="-31"/>
                <w:szCs w:val="21"/>
              </w:rPr>
              <w:t>3</w:t>
            </w:r>
            <w:r>
              <w:rPr>
                <w:rFonts w:ascii="仿宋" w:hAnsi="仿宋" w:eastAsia="仿宋" w:cs="仿宋"/>
                <w:spacing w:val="-2"/>
                <w:szCs w:val="21"/>
              </w:rPr>
              <w:t>分。每有一处存在空洞罗列内容、逻辑错</w:t>
            </w:r>
            <w:r>
              <w:rPr>
                <w:rFonts w:ascii="仿宋" w:hAnsi="仿宋" w:eastAsia="仿宋" w:cs="仿宋"/>
                <w:spacing w:val="-1"/>
                <w:szCs w:val="21"/>
              </w:rPr>
              <w:t>误、不可能实现的夸大情形、不结合项目实际的直接套用其</w:t>
            </w:r>
            <w:r>
              <w:rPr>
                <w:rFonts w:ascii="仿宋" w:hAnsi="仿宋" w:eastAsia="仿宋" w:cs="仿宋"/>
                <w:spacing w:val="-4"/>
                <w:szCs w:val="21"/>
              </w:rPr>
              <w:t>他项目内容的情况扣</w:t>
            </w:r>
            <w:r>
              <w:rPr>
                <w:rFonts w:ascii="仿宋" w:hAnsi="仿宋" w:eastAsia="仿宋" w:cs="仿宋"/>
                <w:spacing w:val="-17"/>
                <w:szCs w:val="21"/>
              </w:rPr>
              <w:t xml:space="preserve"> </w:t>
            </w:r>
            <w:r>
              <w:rPr>
                <w:rFonts w:hint="eastAsia" w:ascii="仿宋" w:hAnsi="仿宋" w:eastAsia="仿宋" w:cs="仿宋"/>
                <w:spacing w:val="-4"/>
                <w:szCs w:val="21"/>
              </w:rPr>
              <w:t>1.5</w:t>
            </w:r>
            <w:r>
              <w:rPr>
                <w:rFonts w:ascii="仿宋" w:hAnsi="仿宋" w:eastAsia="仿宋" w:cs="仿宋"/>
                <w:spacing w:val="-35"/>
                <w:szCs w:val="21"/>
              </w:rPr>
              <w:t xml:space="preserve"> </w:t>
            </w:r>
            <w:r>
              <w:rPr>
                <w:rFonts w:ascii="仿宋" w:hAnsi="仿宋" w:eastAsia="仿宋" w:cs="仿宋"/>
                <w:spacing w:val="-4"/>
                <w:szCs w:val="21"/>
              </w:rPr>
              <w:t>分，扣完为止。</w:t>
            </w:r>
          </w:p>
        </w:tc>
        <w:tc>
          <w:tcPr>
            <w:tcW w:w="638" w:type="pct"/>
            <w:shd w:val="clear" w:color="auto" w:fill="FFFFFF"/>
            <w:vAlign w:val="center"/>
          </w:tcPr>
          <w:p>
            <w:pPr>
              <w:spacing w:before="53" w:line="257" w:lineRule="auto"/>
              <w:ind w:left="118" w:right="109" w:firstLine="3"/>
              <w:rPr>
                <w:rFonts w:ascii="仿宋" w:hAnsi="仿宋" w:eastAsia="仿宋" w:cs="仿宋"/>
                <w:spacing w:val="-1"/>
                <w:szCs w:val="21"/>
              </w:rPr>
            </w:pPr>
            <w:r>
              <w:rPr>
                <w:rFonts w:hint="eastAsia" w:ascii="仿宋" w:hAnsi="仿宋" w:eastAsia="仿宋" w:cs="仿宋"/>
                <w:spacing w:val="-1"/>
                <w:szCs w:val="21"/>
                <w:lang w:val="en-US" w:eastAsia="zh-CN"/>
              </w:rPr>
              <w:t>评审委员会成员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3" w:hRule="atLeast"/>
        </w:trPr>
        <w:tc>
          <w:tcPr>
            <w:tcW w:w="312" w:type="pct"/>
            <w:shd w:val="clear" w:color="auto" w:fill="FFFFFF"/>
            <w:vAlign w:val="center"/>
          </w:tcPr>
          <w:p>
            <w:pPr>
              <w:spacing w:before="53" w:line="257" w:lineRule="auto"/>
              <w:ind w:left="118" w:right="109" w:firstLine="3"/>
              <w:rPr>
                <w:rFonts w:hint="eastAsia" w:ascii="仿宋" w:hAnsi="仿宋" w:eastAsia="仿宋" w:cs="仿宋"/>
                <w:spacing w:val="-1"/>
                <w:szCs w:val="21"/>
                <w:lang w:eastAsia="zh-CN"/>
              </w:rPr>
            </w:pPr>
            <w:r>
              <w:rPr>
                <w:rFonts w:hint="eastAsia" w:ascii="仿宋" w:hAnsi="仿宋" w:eastAsia="仿宋" w:cs="仿宋"/>
                <w:spacing w:val="-1"/>
                <w:szCs w:val="21"/>
                <w:lang w:val="en-US" w:eastAsia="zh-CN"/>
              </w:rPr>
              <w:t>4</w:t>
            </w:r>
          </w:p>
        </w:tc>
        <w:tc>
          <w:tcPr>
            <w:tcW w:w="684" w:type="pct"/>
            <w:shd w:val="clear" w:color="auto" w:fill="FFFFFF"/>
            <w:vAlign w:val="center"/>
          </w:tcPr>
          <w:p>
            <w:pPr>
              <w:spacing w:before="53" w:line="257" w:lineRule="auto"/>
              <w:ind w:left="118" w:right="109" w:firstLine="3"/>
              <w:rPr>
                <w:rFonts w:ascii="仿宋" w:hAnsi="仿宋" w:eastAsia="仿宋" w:cs="仿宋"/>
                <w:spacing w:val="-1"/>
                <w:szCs w:val="21"/>
              </w:rPr>
            </w:pPr>
            <w:r>
              <w:rPr>
                <w:rFonts w:ascii="仿宋" w:hAnsi="仿宋" w:eastAsia="仿宋" w:cs="仿宋"/>
                <w:spacing w:val="-6"/>
                <w:szCs w:val="21"/>
              </w:rPr>
              <w:t>售后服务方</w:t>
            </w:r>
            <w:r>
              <w:rPr>
                <w:rFonts w:ascii="仿宋" w:hAnsi="仿宋" w:eastAsia="仿宋" w:cs="仿宋"/>
                <w:spacing w:val="3"/>
                <w:szCs w:val="21"/>
              </w:rPr>
              <w:t xml:space="preserve"> </w:t>
            </w:r>
            <w:r>
              <w:rPr>
                <w:rFonts w:ascii="仿宋" w:hAnsi="仿宋" w:eastAsia="仿宋" w:cs="仿宋"/>
                <w:szCs w:val="21"/>
              </w:rPr>
              <w:t>案</w:t>
            </w:r>
          </w:p>
        </w:tc>
        <w:tc>
          <w:tcPr>
            <w:tcW w:w="484" w:type="pct"/>
            <w:shd w:val="clear" w:color="auto" w:fill="FFFFFF"/>
            <w:vAlign w:val="center"/>
          </w:tcPr>
          <w:p>
            <w:pPr>
              <w:spacing w:before="53" w:line="257" w:lineRule="auto"/>
              <w:ind w:left="118" w:right="109" w:firstLine="3"/>
              <w:rPr>
                <w:rFonts w:ascii="仿宋" w:hAnsi="仿宋" w:eastAsia="仿宋" w:cs="仿宋"/>
                <w:spacing w:val="-1"/>
                <w:szCs w:val="21"/>
              </w:rPr>
            </w:pPr>
            <w:r>
              <w:rPr>
                <w:rFonts w:hint="eastAsia" w:ascii="仿宋" w:hAnsi="仿宋" w:eastAsia="仿宋" w:cs="仿宋"/>
                <w:color w:val="000000" w:themeColor="text1"/>
                <w:spacing w:val="-1"/>
                <w:szCs w:val="21"/>
                <w14:textFill>
                  <w14:solidFill>
                    <w14:schemeClr w14:val="tx1"/>
                  </w14:solidFill>
                </w14:textFill>
              </w:rPr>
              <w:t>15分</w:t>
            </w:r>
          </w:p>
        </w:tc>
        <w:tc>
          <w:tcPr>
            <w:tcW w:w="2880" w:type="pct"/>
            <w:shd w:val="clear" w:color="auto" w:fill="FFFFFF"/>
            <w:vAlign w:val="center"/>
          </w:tcPr>
          <w:p>
            <w:pPr>
              <w:spacing w:before="53" w:line="257" w:lineRule="auto"/>
              <w:ind w:left="118" w:right="109" w:firstLine="3"/>
              <w:rPr>
                <w:rFonts w:ascii="仿宋" w:hAnsi="仿宋" w:eastAsia="仿宋" w:cs="仿宋"/>
                <w:spacing w:val="-1"/>
                <w:szCs w:val="21"/>
              </w:rPr>
            </w:pPr>
            <w:r>
              <w:rPr>
                <w:rFonts w:ascii="仿宋" w:hAnsi="仿宋" w:eastAsia="仿宋" w:cs="仿宋"/>
                <w:spacing w:val="-6"/>
                <w:szCs w:val="21"/>
              </w:rPr>
              <w:t>根据供应商提供售后服务方案</w:t>
            </w:r>
            <w:r>
              <w:rPr>
                <w:rFonts w:hint="eastAsia" w:ascii="仿宋" w:hAnsi="仿宋" w:eastAsia="仿宋" w:cs="仿宋"/>
                <w:spacing w:val="-6"/>
                <w:szCs w:val="21"/>
              </w:rPr>
              <w:t>至少</w:t>
            </w:r>
            <w:r>
              <w:rPr>
                <w:rFonts w:ascii="仿宋" w:hAnsi="仿宋" w:eastAsia="仿宋" w:cs="仿宋"/>
                <w:spacing w:val="-6"/>
                <w:szCs w:val="21"/>
              </w:rPr>
              <w:t>包括</w:t>
            </w:r>
            <w:r>
              <w:rPr>
                <w:rFonts w:ascii="仿宋" w:hAnsi="仿宋" w:eastAsia="仿宋" w:cs="仿宋"/>
                <w:spacing w:val="-89"/>
                <w:szCs w:val="21"/>
              </w:rPr>
              <w:t>：</w:t>
            </w:r>
            <w:r>
              <w:rPr>
                <w:rFonts w:ascii="仿宋" w:hAnsi="仿宋" w:eastAsia="仿宋" w:cs="仿宋"/>
                <w:spacing w:val="-11"/>
                <w:szCs w:val="21"/>
              </w:rPr>
              <w:t xml:space="preserve"> </w:t>
            </w:r>
            <w:r>
              <w:rPr>
                <w:rFonts w:ascii="仿宋" w:hAnsi="仿宋" w:eastAsia="仿宋" w:cs="仿宋"/>
                <w:spacing w:val="-89"/>
                <w:szCs w:val="21"/>
              </w:rPr>
              <w:t>（</w:t>
            </w:r>
            <w:r>
              <w:rPr>
                <w:rFonts w:ascii="仿宋" w:hAnsi="仿宋" w:eastAsia="仿宋" w:cs="仿宋"/>
                <w:spacing w:val="-52"/>
                <w:szCs w:val="21"/>
              </w:rPr>
              <w:t xml:space="preserve"> </w:t>
            </w:r>
            <w:r>
              <w:rPr>
                <w:rFonts w:hint="eastAsia" w:ascii="仿宋" w:hAnsi="仿宋" w:eastAsia="仿宋" w:cs="仿宋"/>
                <w:spacing w:val="-6"/>
                <w:szCs w:val="21"/>
              </w:rPr>
              <w:t>（1）</w:t>
            </w:r>
            <w:r>
              <w:rPr>
                <w:rFonts w:ascii="仿宋" w:hAnsi="仿宋" w:eastAsia="仿宋" w:cs="仿宋"/>
                <w:spacing w:val="-6"/>
                <w:szCs w:val="21"/>
              </w:rPr>
              <w:t>售后服务组织架</w:t>
            </w:r>
            <w:r>
              <w:rPr>
                <w:rFonts w:ascii="仿宋" w:hAnsi="仿宋" w:eastAsia="仿宋" w:cs="仿宋"/>
                <w:spacing w:val="-10"/>
                <w:szCs w:val="21"/>
              </w:rPr>
              <w:t>构</w:t>
            </w:r>
            <w:r>
              <w:rPr>
                <w:rFonts w:ascii="仿宋" w:hAnsi="仿宋" w:eastAsia="仿宋" w:cs="仿宋"/>
                <w:spacing w:val="-89"/>
                <w:szCs w:val="21"/>
              </w:rPr>
              <w:t>（</w:t>
            </w:r>
            <w:r>
              <w:rPr>
                <w:rFonts w:ascii="仿宋" w:hAnsi="仿宋" w:eastAsia="仿宋" w:cs="仿宋"/>
                <w:spacing w:val="-52"/>
                <w:szCs w:val="21"/>
              </w:rPr>
              <w:t xml:space="preserve"> </w:t>
            </w:r>
            <w:r>
              <w:rPr>
                <w:rFonts w:hint="eastAsia" w:ascii="仿宋" w:hAnsi="仿宋" w:eastAsia="仿宋" w:cs="仿宋"/>
                <w:spacing w:val="-6"/>
                <w:szCs w:val="21"/>
              </w:rPr>
              <w:t>（2）</w:t>
            </w:r>
            <w:r>
              <w:rPr>
                <w:rFonts w:ascii="仿宋" w:hAnsi="仿宋" w:eastAsia="仿宋" w:cs="仿宋"/>
                <w:spacing w:val="-10"/>
                <w:szCs w:val="21"/>
              </w:rPr>
              <w:t>服务体系</w:t>
            </w:r>
            <w:r>
              <w:rPr>
                <w:rFonts w:ascii="仿宋" w:hAnsi="仿宋" w:eastAsia="仿宋" w:cs="仿宋"/>
                <w:spacing w:val="-79"/>
                <w:szCs w:val="21"/>
              </w:rPr>
              <w:t>（</w:t>
            </w:r>
            <w:r>
              <w:rPr>
                <w:rFonts w:ascii="仿宋" w:hAnsi="仿宋" w:eastAsia="仿宋" w:cs="仿宋"/>
                <w:spacing w:val="-61"/>
                <w:szCs w:val="21"/>
              </w:rPr>
              <w:t xml:space="preserve"> </w:t>
            </w:r>
            <w:r>
              <w:rPr>
                <w:rFonts w:hint="eastAsia" w:ascii="仿宋" w:hAnsi="仿宋" w:eastAsia="仿宋" w:cs="仿宋"/>
                <w:spacing w:val="-61"/>
                <w:szCs w:val="21"/>
                <w:lang w:val="en-US" w:eastAsia="zh-CN"/>
              </w:rPr>
              <w:t>3</w:t>
            </w:r>
            <w:r>
              <w:rPr>
                <w:rFonts w:ascii="仿宋" w:hAnsi="仿宋" w:eastAsia="仿宋" w:cs="仿宋"/>
                <w:spacing w:val="-10"/>
                <w:szCs w:val="21"/>
              </w:rPr>
              <w:t>售后巡检</w:t>
            </w:r>
            <w:r>
              <w:rPr>
                <w:rFonts w:ascii="仿宋" w:hAnsi="仿宋" w:eastAsia="仿宋" w:cs="仿宋"/>
                <w:spacing w:val="-79"/>
                <w:szCs w:val="21"/>
              </w:rPr>
              <w:t>；</w:t>
            </w:r>
            <w:r>
              <w:rPr>
                <w:rFonts w:ascii="仿宋" w:hAnsi="仿宋" w:eastAsia="仿宋" w:cs="仿宋"/>
                <w:spacing w:val="18"/>
                <w:szCs w:val="21"/>
              </w:rPr>
              <w:t xml:space="preserve"> </w:t>
            </w:r>
            <w:r>
              <w:rPr>
                <w:rFonts w:hint="eastAsia" w:ascii="仿宋" w:hAnsi="仿宋" w:eastAsia="仿宋" w:cs="仿宋"/>
                <w:spacing w:val="18"/>
                <w:szCs w:val="21"/>
              </w:rPr>
              <w:t>（4）</w:t>
            </w:r>
            <w:r>
              <w:rPr>
                <w:rFonts w:ascii="仿宋" w:hAnsi="仿宋" w:eastAsia="仿宋" w:cs="仿宋"/>
                <w:spacing w:val="-10"/>
                <w:szCs w:val="21"/>
              </w:rPr>
              <w:t>现场服务</w:t>
            </w:r>
            <w:r>
              <w:rPr>
                <w:rFonts w:ascii="仿宋" w:hAnsi="仿宋" w:eastAsia="仿宋" w:cs="仿宋"/>
                <w:spacing w:val="-18"/>
                <w:szCs w:val="21"/>
              </w:rPr>
              <w:t>支持能力</w:t>
            </w:r>
            <w:r>
              <w:rPr>
                <w:rFonts w:ascii="仿宋" w:hAnsi="仿宋" w:eastAsia="仿宋" w:cs="仿宋"/>
                <w:spacing w:val="-65"/>
                <w:szCs w:val="21"/>
              </w:rPr>
              <w:t>；</w:t>
            </w:r>
            <w:r>
              <w:rPr>
                <w:rFonts w:ascii="仿宋" w:hAnsi="仿宋" w:eastAsia="仿宋" w:cs="仿宋"/>
                <w:spacing w:val="-32"/>
                <w:szCs w:val="21"/>
              </w:rPr>
              <w:t xml:space="preserve"> </w:t>
            </w:r>
            <w:r>
              <w:rPr>
                <w:rFonts w:hint="eastAsia" w:ascii="仿宋" w:hAnsi="仿宋" w:eastAsia="仿宋" w:cs="仿宋"/>
                <w:spacing w:val="-65"/>
                <w:szCs w:val="21"/>
              </w:rPr>
              <w:t>（5）</w:t>
            </w:r>
            <w:r>
              <w:rPr>
                <w:rFonts w:ascii="仿宋" w:hAnsi="仿宋" w:eastAsia="仿宋" w:cs="仿宋"/>
                <w:spacing w:val="-18"/>
                <w:szCs w:val="21"/>
              </w:rPr>
              <w:t>售后应急处理方案等</w:t>
            </w:r>
            <w:r>
              <w:rPr>
                <w:rFonts w:ascii="仿宋" w:hAnsi="仿宋" w:eastAsia="仿宋" w:cs="仿宋"/>
                <w:spacing w:val="-29"/>
                <w:szCs w:val="21"/>
              </w:rPr>
              <w:t xml:space="preserve"> </w:t>
            </w:r>
            <w:r>
              <w:rPr>
                <w:rFonts w:ascii="仿宋" w:hAnsi="仿宋" w:eastAsia="仿宋" w:cs="仿宋"/>
                <w:spacing w:val="-18"/>
                <w:szCs w:val="21"/>
              </w:rPr>
              <w:t>进行评审：</w:t>
            </w:r>
            <w:r>
              <w:rPr>
                <w:rFonts w:ascii="仿宋" w:hAnsi="仿宋" w:eastAsia="仿宋" w:cs="仿宋"/>
                <w:spacing w:val="39"/>
                <w:szCs w:val="21"/>
              </w:rPr>
              <w:t xml:space="preserve"> </w:t>
            </w:r>
            <w:r>
              <w:rPr>
                <w:rFonts w:ascii="仿宋" w:hAnsi="仿宋" w:eastAsia="仿宋" w:cs="仿宋"/>
                <w:spacing w:val="-18"/>
                <w:szCs w:val="21"/>
              </w:rPr>
              <w:t>内容齐全，</w:t>
            </w:r>
            <w:r>
              <w:rPr>
                <w:rFonts w:ascii="仿宋" w:hAnsi="仿宋" w:eastAsia="仿宋" w:cs="仿宋"/>
                <w:szCs w:val="21"/>
              </w:rPr>
              <w:t xml:space="preserve"> </w:t>
            </w:r>
            <w:r>
              <w:rPr>
                <w:rFonts w:ascii="仿宋" w:hAnsi="仿宋" w:eastAsia="仿宋" w:cs="仿宋"/>
                <w:spacing w:val="-1"/>
                <w:szCs w:val="21"/>
              </w:rPr>
              <w:t>完全满足项目要求的得</w:t>
            </w:r>
            <w:r>
              <w:rPr>
                <w:rFonts w:hint="eastAsia" w:ascii="仿宋" w:hAnsi="仿宋" w:eastAsia="仿宋" w:cs="仿宋"/>
                <w:spacing w:val="-1"/>
                <w:szCs w:val="21"/>
              </w:rPr>
              <w:t>15</w:t>
            </w:r>
            <w:r>
              <w:rPr>
                <w:rFonts w:ascii="仿宋" w:hAnsi="仿宋" w:eastAsia="仿宋" w:cs="仿宋"/>
                <w:spacing w:val="-1"/>
                <w:szCs w:val="21"/>
              </w:rPr>
              <w:t>分。如有漏项或虽有内容但描述不</w:t>
            </w:r>
            <w:r>
              <w:rPr>
                <w:rFonts w:ascii="仿宋" w:hAnsi="仿宋" w:eastAsia="仿宋" w:cs="仿宋"/>
                <w:spacing w:val="-3"/>
                <w:szCs w:val="21"/>
              </w:rPr>
              <w:t>完整，无法实现预期目标的，有一项扣</w:t>
            </w:r>
            <w:r>
              <w:rPr>
                <w:rFonts w:hint="eastAsia" w:ascii="仿宋" w:hAnsi="仿宋" w:eastAsia="仿宋" w:cs="仿宋"/>
                <w:spacing w:val="-3"/>
                <w:szCs w:val="21"/>
              </w:rPr>
              <w:t>3</w:t>
            </w:r>
            <w:r>
              <w:rPr>
                <w:rFonts w:ascii="仿宋" w:hAnsi="仿宋" w:eastAsia="仿宋" w:cs="仿宋"/>
                <w:spacing w:val="-3"/>
                <w:szCs w:val="21"/>
              </w:rPr>
              <w:t>分。每有一处存在</w:t>
            </w:r>
            <w:r>
              <w:rPr>
                <w:rFonts w:ascii="仿宋" w:hAnsi="仿宋" w:eastAsia="仿宋" w:cs="仿宋"/>
                <w:spacing w:val="-1"/>
                <w:szCs w:val="21"/>
              </w:rPr>
              <w:t>空洞罗列内容、逻辑错误、不可能实现的夸大情形、不结合项目实际直接套用其他项目内容的情况扣</w:t>
            </w:r>
            <w:r>
              <w:rPr>
                <w:rFonts w:hint="eastAsia" w:ascii="仿宋" w:hAnsi="仿宋" w:eastAsia="仿宋" w:cs="仿宋"/>
                <w:spacing w:val="-1"/>
                <w:szCs w:val="21"/>
              </w:rPr>
              <w:t>1.5</w:t>
            </w:r>
            <w:r>
              <w:rPr>
                <w:rFonts w:ascii="仿宋" w:hAnsi="仿宋" w:eastAsia="仿宋" w:cs="仿宋"/>
                <w:spacing w:val="-1"/>
                <w:szCs w:val="21"/>
              </w:rPr>
              <w:t>分，扣完为止。</w:t>
            </w:r>
          </w:p>
        </w:tc>
        <w:tc>
          <w:tcPr>
            <w:tcW w:w="638" w:type="pct"/>
            <w:shd w:val="clear" w:color="auto" w:fill="FFFFFF"/>
            <w:vAlign w:val="center"/>
          </w:tcPr>
          <w:p>
            <w:pPr>
              <w:spacing w:before="53" w:line="257" w:lineRule="auto"/>
              <w:ind w:left="118" w:right="109" w:firstLine="3"/>
              <w:rPr>
                <w:rFonts w:ascii="仿宋" w:hAnsi="仿宋" w:eastAsia="仿宋" w:cs="仿宋"/>
                <w:spacing w:val="-1"/>
                <w:szCs w:val="21"/>
              </w:rPr>
            </w:pPr>
            <w:r>
              <w:rPr>
                <w:rFonts w:hint="eastAsia" w:ascii="仿宋" w:hAnsi="仿宋" w:eastAsia="仿宋" w:cs="仿宋"/>
                <w:spacing w:val="-1"/>
                <w:szCs w:val="21"/>
                <w:lang w:val="en-US" w:eastAsia="zh-CN"/>
              </w:rPr>
              <w:t>评审委员会成员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3" w:hRule="atLeast"/>
        </w:trPr>
        <w:tc>
          <w:tcPr>
            <w:tcW w:w="312" w:type="pct"/>
            <w:shd w:val="clear" w:color="auto" w:fill="FFFFFF"/>
            <w:vAlign w:val="center"/>
          </w:tcPr>
          <w:p>
            <w:pPr>
              <w:spacing w:before="53" w:line="257" w:lineRule="auto"/>
              <w:ind w:left="118" w:right="109" w:firstLine="3"/>
              <w:rPr>
                <w:rFonts w:hint="eastAsia" w:ascii="仿宋" w:hAnsi="仿宋" w:eastAsia="仿宋" w:cs="仿宋"/>
                <w:spacing w:val="-1"/>
                <w:szCs w:val="21"/>
                <w:lang w:eastAsia="zh-CN"/>
              </w:rPr>
            </w:pPr>
            <w:r>
              <w:rPr>
                <w:rFonts w:hint="eastAsia" w:ascii="仿宋" w:hAnsi="仿宋" w:eastAsia="仿宋" w:cs="仿宋"/>
                <w:spacing w:val="-1"/>
                <w:szCs w:val="21"/>
                <w:lang w:val="en-US" w:eastAsia="zh-CN"/>
              </w:rPr>
              <w:t>5</w:t>
            </w:r>
          </w:p>
        </w:tc>
        <w:tc>
          <w:tcPr>
            <w:tcW w:w="684" w:type="pct"/>
            <w:shd w:val="clear" w:color="auto" w:fill="FFFFFF"/>
            <w:vAlign w:val="center"/>
          </w:tcPr>
          <w:p>
            <w:pPr>
              <w:spacing w:before="53" w:line="257" w:lineRule="auto"/>
              <w:ind w:left="118" w:right="109" w:firstLine="3"/>
              <w:rPr>
                <w:rFonts w:ascii="仿宋" w:hAnsi="仿宋" w:eastAsia="仿宋" w:cs="仿宋"/>
                <w:spacing w:val="-1"/>
                <w:szCs w:val="21"/>
              </w:rPr>
            </w:pPr>
            <w:r>
              <w:rPr>
                <w:rFonts w:hint="eastAsia" w:ascii="仿宋" w:hAnsi="仿宋" w:eastAsia="仿宋" w:cs="仿宋"/>
                <w:spacing w:val="-1"/>
                <w:szCs w:val="21"/>
              </w:rPr>
              <w:t>节能环保</w:t>
            </w:r>
          </w:p>
        </w:tc>
        <w:tc>
          <w:tcPr>
            <w:tcW w:w="484" w:type="pct"/>
            <w:shd w:val="clear" w:color="auto" w:fill="FFFFFF"/>
            <w:vAlign w:val="center"/>
          </w:tcPr>
          <w:p>
            <w:pPr>
              <w:spacing w:before="53" w:line="257" w:lineRule="auto"/>
              <w:ind w:left="118" w:right="109" w:firstLine="3"/>
              <w:rPr>
                <w:rFonts w:ascii="仿宋" w:hAnsi="仿宋" w:eastAsia="仿宋" w:cs="仿宋"/>
                <w:spacing w:val="-1"/>
                <w:szCs w:val="21"/>
              </w:rPr>
            </w:pPr>
            <w:r>
              <w:rPr>
                <w:rFonts w:hint="eastAsia" w:ascii="仿宋" w:hAnsi="仿宋" w:eastAsia="仿宋" w:cs="仿宋"/>
                <w:spacing w:val="-1"/>
                <w:szCs w:val="21"/>
              </w:rPr>
              <w:t>3分</w:t>
            </w:r>
          </w:p>
        </w:tc>
        <w:tc>
          <w:tcPr>
            <w:tcW w:w="2880" w:type="pct"/>
            <w:shd w:val="clear" w:color="auto" w:fill="FFFFFF"/>
            <w:vAlign w:val="center"/>
          </w:tcPr>
          <w:p>
            <w:pPr>
              <w:spacing w:before="53" w:line="257" w:lineRule="auto"/>
              <w:ind w:left="118" w:right="109" w:firstLine="3"/>
              <w:rPr>
                <w:rFonts w:ascii="仿宋" w:hAnsi="仿宋" w:eastAsia="仿宋" w:cs="仿宋"/>
                <w:spacing w:val="-1"/>
                <w:szCs w:val="21"/>
              </w:rPr>
            </w:pPr>
            <w:r>
              <w:rPr>
                <w:rFonts w:hint="eastAsia" w:ascii="仿宋" w:hAnsi="仿宋" w:eastAsia="仿宋" w:cs="仿宋"/>
                <w:spacing w:val="-1"/>
                <w:szCs w:val="21"/>
              </w:rPr>
              <w:t>1.投标产品中，每有一项认定为品目清单中优先采购节能产品或者政府采购环境标志产品或者无线局域网认证产品的得1分，最多得3分。非政府采购节能、环境标志产品的、无线局域网认证产品的不得分。</w:t>
            </w:r>
          </w:p>
          <w:p>
            <w:pPr>
              <w:spacing w:before="53" w:line="257" w:lineRule="auto"/>
              <w:ind w:left="118" w:right="109" w:firstLine="3"/>
              <w:rPr>
                <w:rFonts w:ascii="仿宋" w:hAnsi="仿宋" w:eastAsia="仿宋" w:cs="仿宋"/>
                <w:spacing w:val="-1"/>
                <w:szCs w:val="21"/>
              </w:rPr>
            </w:pPr>
            <w:r>
              <w:rPr>
                <w:rFonts w:hint="eastAsia" w:ascii="仿宋" w:hAnsi="仿宋" w:eastAsia="仿宋" w:cs="仿宋"/>
                <w:spacing w:val="-1"/>
                <w:szCs w:val="21"/>
              </w:rPr>
              <w:t>1、可重复计分；</w:t>
            </w:r>
          </w:p>
          <w:p>
            <w:pPr>
              <w:spacing w:before="53" w:line="257" w:lineRule="auto"/>
              <w:ind w:left="118" w:right="109" w:firstLine="3"/>
              <w:rPr>
                <w:rFonts w:ascii="仿宋" w:hAnsi="仿宋" w:eastAsia="仿宋" w:cs="仿宋"/>
                <w:spacing w:val="-1"/>
                <w:szCs w:val="21"/>
              </w:rPr>
            </w:pPr>
            <w:r>
              <w:rPr>
                <w:rFonts w:hint="eastAsia" w:ascii="仿宋" w:hAnsi="仿宋" w:eastAsia="仿宋" w:cs="仿宋"/>
                <w:spacing w:val="-1"/>
                <w:szCs w:val="21"/>
              </w:rPr>
              <w:t>2、本项目采购的产品中属于节能产品或环境标志产品政府采购品目清单中强制采购范围的，不属于本项评分范围。</w:t>
            </w:r>
          </w:p>
          <w:p>
            <w:pPr>
              <w:spacing w:before="53" w:line="257" w:lineRule="auto"/>
              <w:ind w:left="118" w:right="109" w:firstLine="3"/>
              <w:rPr>
                <w:rFonts w:ascii="仿宋" w:hAnsi="仿宋" w:eastAsia="仿宋" w:cs="仿宋"/>
                <w:spacing w:val="-1"/>
                <w:szCs w:val="21"/>
              </w:rPr>
            </w:pPr>
            <w:r>
              <w:rPr>
                <w:rFonts w:hint="eastAsia" w:ascii="仿宋" w:hAnsi="仿宋" w:eastAsia="仿宋" w:cs="仿宋"/>
                <w:spacing w:val="-1"/>
                <w:szCs w:val="21"/>
              </w:rPr>
              <w:t>3、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pPr>
              <w:spacing w:before="53" w:line="257" w:lineRule="auto"/>
              <w:ind w:left="118" w:right="109" w:firstLine="3"/>
              <w:rPr>
                <w:rFonts w:ascii="仿宋" w:hAnsi="仿宋" w:eastAsia="仿宋" w:cs="仿宋"/>
                <w:spacing w:val="-1"/>
                <w:szCs w:val="21"/>
              </w:rPr>
            </w:pPr>
            <w:r>
              <w:rPr>
                <w:rFonts w:hint="eastAsia" w:ascii="仿宋" w:hAnsi="仿宋" w:eastAsia="仿宋" w:cs="仿宋"/>
                <w:spacing w:val="-1"/>
                <w:szCs w:val="21"/>
              </w:rPr>
              <w:t>4、投标人所投产品属于优先采购范围内的无线局域网产品的，需提供《中国政府采购网》公布的无线局域网产品政府采购清单封面及对应页并加盖供应商单位公章（鲜章）。</w:t>
            </w:r>
          </w:p>
          <w:p>
            <w:pPr>
              <w:spacing w:before="53" w:line="257" w:lineRule="auto"/>
              <w:ind w:left="118" w:right="109" w:firstLine="3"/>
              <w:rPr>
                <w:rFonts w:ascii="仿宋" w:hAnsi="仿宋" w:eastAsia="仿宋" w:cs="仿宋"/>
                <w:spacing w:val="-1"/>
                <w:szCs w:val="21"/>
              </w:rPr>
            </w:pPr>
            <w:r>
              <w:rPr>
                <w:rFonts w:hint="eastAsia" w:ascii="仿宋" w:hAnsi="仿宋" w:eastAsia="仿宋" w:cs="仿宋"/>
                <w:spacing w:val="-1"/>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638" w:type="pct"/>
            <w:shd w:val="clear" w:color="auto" w:fill="FFFFFF"/>
            <w:vAlign w:val="center"/>
          </w:tcPr>
          <w:p>
            <w:pPr>
              <w:spacing w:before="53" w:line="257" w:lineRule="auto"/>
              <w:ind w:left="118" w:right="109" w:firstLine="3"/>
              <w:rPr>
                <w:rFonts w:ascii="仿宋" w:hAnsi="仿宋" w:eastAsia="仿宋" w:cs="仿宋"/>
                <w:spacing w:val="-1"/>
                <w:szCs w:val="21"/>
              </w:rPr>
            </w:pPr>
            <w:r>
              <w:rPr>
                <w:rFonts w:hint="eastAsia" w:ascii="仿宋" w:hAnsi="仿宋" w:eastAsia="仿宋" w:cs="仿宋"/>
                <w:spacing w:val="-1"/>
                <w:szCs w:val="21"/>
                <w:lang w:val="en-US" w:eastAsia="zh-CN"/>
              </w:rPr>
              <w:t>评审委员会成员</w:t>
            </w:r>
          </w:p>
        </w:tc>
      </w:tr>
    </w:tbl>
    <w:p>
      <w:pPr>
        <w:keepNext/>
        <w:keepLines/>
        <w:spacing w:before="260" w:after="260" w:line="360" w:lineRule="auto"/>
        <w:jc w:val="left"/>
        <w:outlineLvl w:val="1"/>
        <w:rPr>
          <w:rFonts w:ascii="宋体" w:hAnsi="宋体"/>
          <w:b/>
          <w:bCs/>
          <w:color w:val="000000" w:themeColor="text1"/>
          <w:sz w:val="28"/>
          <w:szCs w:val="28"/>
          <w14:textFill>
            <w14:solidFill>
              <w14:schemeClr w14:val="tx1"/>
            </w14:solidFill>
          </w14:textFill>
        </w:rPr>
      </w:pPr>
      <w:bookmarkStart w:id="163" w:name="_Toc76541372"/>
      <w:r>
        <w:rPr>
          <w:rFonts w:ascii="宋体" w:hAnsi="宋体"/>
          <w:b/>
          <w:bCs/>
          <w:color w:val="000000" w:themeColor="text1"/>
          <w:sz w:val="28"/>
          <w:szCs w:val="28"/>
          <w14:textFill>
            <w14:solidFill>
              <w14:schemeClr w14:val="tx1"/>
            </w14:solidFill>
          </w14:textFill>
        </w:rPr>
        <w:t>6.6</w:t>
      </w:r>
      <w:r>
        <w:rPr>
          <w:rFonts w:hint="eastAsia" w:ascii="宋体" w:hAnsi="宋体"/>
          <w:b/>
          <w:bCs/>
          <w:color w:val="000000" w:themeColor="text1"/>
          <w:sz w:val="28"/>
          <w:szCs w:val="28"/>
          <w14:textFill>
            <w14:solidFill>
              <w14:schemeClr w14:val="tx1"/>
            </w14:solidFill>
          </w14:textFill>
        </w:rPr>
        <w:t>废标</w:t>
      </w:r>
      <w:bookmarkEnd w:id="163"/>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本次政府采购活动中，出现下列情形之一的，予以废标：</w:t>
      </w:r>
    </w:p>
    <w:p>
      <w:pPr>
        <w:numPr>
          <w:ilvl w:val="0"/>
          <w:numId w:val="46"/>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符合专业条件的投标人或者对招标文件作实质响应的投标人不足三家的；</w:t>
      </w:r>
    </w:p>
    <w:p>
      <w:pPr>
        <w:numPr>
          <w:ilvl w:val="0"/>
          <w:numId w:val="46"/>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出现影响采购公正的违法、违规行为的；</w:t>
      </w:r>
    </w:p>
    <w:p>
      <w:pPr>
        <w:numPr>
          <w:ilvl w:val="0"/>
          <w:numId w:val="46"/>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投标人的报价均超过了采购预算，采购人不能支付的；</w:t>
      </w:r>
    </w:p>
    <w:p>
      <w:pPr>
        <w:numPr>
          <w:ilvl w:val="0"/>
          <w:numId w:val="46"/>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因重大变故，采购任务取消的；</w:t>
      </w:r>
    </w:p>
    <w:p>
      <w:pPr>
        <w:numPr>
          <w:ilvl w:val="0"/>
          <w:numId w:val="46"/>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废标后，成都市青羊区政府采购服务中心将在“四川政府采购网”和“成都市青羊区政府采购服务中心”网站上公告。</w:t>
      </w:r>
    </w:p>
    <w:p>
      <w:pPr>
        <w:keepNext/>
        <w:keepLines/>
        <w:spacing w:before="260" w:after="260" w:line="360" w:lineRule="auto"/>
        <w:jc w:val="left"/>
        <w:outlineLvl w:val="1"/>
        <w:rPr>
          <w:rFonts w:ascii="宋体" w:hAnsi="宋体"/>
          <w:b/>
          <w:bCs/>
          <w:color w:val="000000" w:themeColor="text1"/>
          <w:sz w:val="28"/>
          <w:szCs w:val="28"/>
          <w14:textFill>
            <w14:solidFill>
              <w14:schemeClr w14:val="tx1"/>
            </w14:solidFill>
          </w14:textFill>
        </w:rPr>
      </w:pPr>
      <w:bookmarkStart w:id="164" w:name="_Toc76541373"/>
      <w:r>
        <w:rPr>
          <w:rFonts w:hint="eastAsia" w:ascii="宋体" w:hAnsi="宋体"/>
          <w:b/>
          <w:bCs/>
          <w:color w:val="000000" w:themeColor="text1"/>
          <w:sz w:val="28"/>
          <w:szCs w:val="28"/>
          <w14:textFill>
            <w14:solidFill>
              <w14:schemeClr w14:val="tx1"/>
            </w14:solidFill>
          </w14:textFill>
        </w:rPr>
        <w:t>6</w:t>
      </w:r>
      <w:r>
        <w:rPr>
          <w:rFonts w:ascii="宋体" w:hAnsi="宋体"/>
          <w:b/>
          <w:bCs/>
          <w:color w:val="000000" w:themeColor="text1"/>
          <w:sz w:val="28"/>
          <w:szCs w:val="28"/>
          <w14:textFill>
            <w14:solidFill>
              <w14:schemeClr w14:val="tx1"/>
            </w14:solidFill>
          </w14:textFill>
        </w:rPr>
        <w:t>.7</w:t>
      </w:r>
      <w:r>
        <w:rPr>
          <w:rFonts w:hint="eastAsia" w:ascii="宋体" w:hAnsi="宋体"/>
          <w:b/>
          <w:bCs/>
          <w:color w:val="000000" w:themeColor="text1"/>
          <w:sz w:val="28"/>
          <w:szCs w:val="28"/>
          <w14:textFill>
            <w14:solidFill>
              <w14:schemeClr w14:val="tx1"/>
            </w14:solidFill>
          </w14:textFill>
        </w:rPr>
        <w:t>定标</w:t>
      </w:r>
      <w:bookmarkEnd w:id="164"/>
    </w:p>
    <w:p>
      <w:pPr>
        <w:keepNext/>
        <w:keepLines/>
        <w:spacing w:line="360" w:lineRule="auto"/>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6</w:t>
      </w:r>
      <w:r>
        <w:rPr>
          <w:rFonts w:ascii="宋体" w:hAnsi="宋体"/>
          <w:b/>
          <w:bCs/>
          <w:color w:val="000000" w:themeColor="text1"/>
          <w:sz w:val="28"/>
          <w:szCs w:val="28"/>
          <w14:textFill>
            <w14:solidFill>
              <w14:schemeClr w14:val="tx1"/>
            </w14:solidFill>
          </w14:textFill>
        </w:rPr>
        <w:t>.7.1</w:t>
      </w:r>
      <w:r>
        <w:rPr>
          <w:rFonts w:hint="eastAsia" w:ascii="宋体" w:hAnsi="宋体"/>
          <w:b/>
          <w:bCs/>
          <w:color w:val="000000" w:themeColor="text1"/>
          <w:sz w:val="28"/>
          <w:szCs w:val="28"/>
          <w14:textFill>
            <w14:solidFill>
              <w14:schemeClr w14:val="tx1"/>
            </w14:solidFill>
          </w14:textFill>
        </w:rPr>
        <w:t>定标原则</w:t>
      </w:r>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本项目根据评审委员会确定的成交候选人名单，采购人按顺序确定1名成交供应商。成交候选供应商并列的，由采购人采取随机抽取的方式确定成交供应商。</w:t>
      </w:r>
    </w:p>
    <w:p>
      <w:pPr>
        <w:keepNext/>
        <w:keepLines/>
        <w:spacing w:line="360" w:lineRule="auto"/>
        <w:outlineLvl w:val="2"/>
        <w:rPr>
          <w:rFonts w:ascii="宋体" w:hAnsi="宋体"/>
          <w:b/>
          <w:bCs/>
          <w:color w:val="000000" w:themeColor="text1"/>
          <w:sz w:val="28"/>
          <w:szCs w:val="28"/>
          <w14:textFill>
            <w14:solidFill>
              <w14:schemeClr w14:val="tx1"/>
            </w14:solidFill>
          </w14:textFill>
        </w:rPr>
      </w:pPr>
      <w:r>
        <w:rPr>
          <w:rFonts w:hint="eastAsia" w:ascii="宋体" w:hAnsi="宋体" w:cs="Helvetica"/>
          <w:color w:val="000000" w:themeColor="text1"/>
          <w:kern w:val="0"/>
          <w:sz w:val="28"/>
          <w:szCs w:val="28"/>
          <w14:textFill>
            <w14:solidFill>
              <w14:schemeClr w14:val="tx1"/>
            </w14:solidFill>
          </w14:textFill>
        </w:rPr>
        <w:t xml:space="preserve">    采购人在收到评审报告</w:t>
      </w:r>
      <w:r>
        <w:rPr>
          <w:rFonts w:hint="eastAsia" w:ascii="宋体" w:hAnsi="宋体" w:cs="宋体"/>
          <w:color w:val="000000" w:themeColor="text1"/>
          <w:kern w:val="0"/>
          <w:sz w:val="28"/>
          <w:szCs w:val="28"/>
          <w14:textFill>
            <w14:solidFill>
              <w14:schemeClr w14:val="tx1"/>
            </w14:solidFill>
          </w14:textFill>
        </w:rPr>
        <w:t>5</w:t>
      </w:r>
      <w:r>
        <w:rPr>
          <w:rFonts w:hint="eastAsia" w:ascii="宋体" w:hAnsi="宋体" w:cs="Helvetica"/>
          <w:color w:val="000000" w:themeColor="text1"/>
          <w:kern w:val="0"/>
          <w:sz w:val="28"/>
          <w:szCs w:val="28"/>
          <w14:textFill>
            <w14:solidFill>
              <w14:schemeClr w14:val="tx1"/>
            </w14:solidFill>
          </w14:textFill>
        </w:rPr>
        <w:t>个工作日内未按评审报告推荐的成交候选人顺序确定成交供应商，又不能说明合法理由的，视同按评审报告推荐的顺序确定排名第一的成交候选人为成交供应商。</w:t>
      </w:r>
    </w:p>
    <w:p>
      <w:pPr>
        <w:keepNext/>
        <w:keepLines/>
        <w:spacing w:line="360" w:lineRule="auto"/>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6</w:t>
      </w:r>
      <w:r>
        <w:rPr>
          <w:rFonts w:ascii="宋体" w:hAnsi="宋体"/>
          <w:b/>
          <w:bCs/>
          <w:color w:val="000000" w:themeColor="text1"/>
          <w:sz w:val="28"/>
          <w:szCs w:val="28"/>
          <w14:textFill>
            <w14:solidFill>
              <w14:schemeClr w14:val="tx1"/>
            </w14:solidFill>
          </w14:textFill>
        </w:rPr>
        <w:t>.7.2</w:t>
      </w:r>
      <w:r>
        <w:rPr>
          <w:rFonts w:hint="eastAsia" w:ascii="宋体" w:hAnsi="宋体"/>
          <w:b/>
          <w:bCs/>
          <w:color w:val="000000" w:themeColor="text1"/>
          <w:sz w:val="28"/>
          <w:szCs w:val="28"/>
          <w14:textFill>
            <w14:solidFill>
              <w14:schemeClr w14:val="tx1"/>
            </w14:solidFill>
          </w14:textFill>
        </w:rPr>
        <w:t>定标程序</w:t>
      </w:r>
    </w:p>
    <w:p>
      <w:pPr>
        <w:spacing w:line="360" w:lineRule="auto"/>
        <w:ind w:firstLine="560" w:firstLineChars="20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一、评审委员会将评审情况写出书面报告。</w:t>
      </w:r>
    </w:p>
    <w:p>
      <w:pPr>
        <w:spacing w:line="360" w:lineRule="auto"/>
        <w:ind w:firstLine="560" w:firstLineChars="20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二、成都市青羊区政府采购服务中心在评审结束之日起2个工作日内将评审报告送采购人。</w:t>
      </w:r>
    </w:p>
    <w:p>
      <w:pPr>
        <w:spacing w:line="360" w:lineRule="auto"/>
        <w:ind w:firstLine="560" w:firstLineChars="20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四、根据采购人确定的中标（成交）人，成都市青羊区政府采购服务中心在“四川政府采购网”和“成都市青羊区政府采购服务中心”网站上发布中标（成交）公告，同时向中标（成交）人发出中标（成交）通知书。</w:t>
      </w:r>
    </w:p>
    <w:p>
      <w:pPr>
        <w:spacing w:line="360" w:lineRule="auto"/>
        <w:ind w:firstLine="560" w:firstLineChars="20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五、采购人、成都市青羊区政府采购服务中心不解释中标（成交）或未中标（成交）原因，不退回投标文件和其他投标资料。</w:t>
      </w:r>
    </w:p>
    <w:p>
      <w:pPr>
        <w:keepNext/>
        <w:keepLines/>
        <w:spacing w:line="360" w:lineRule="auto"/>
        <w:jc w:val="left"/>
        <w:outlineLvl w:val="1"/>
        <w:rPr>
          <w:rFonts w:ascii="宋体" w:hAnsi="宋体"/>
          <w:b/>
          <w:bCs/>
          <w:color w:val="000000" w:themeColor="text1"/>
          <w:sz w:val="28"/>
          <w:szCs w:val="28"/>
          <w14:textFill>
            <w14:solidFill>
              <w14:schemeClr w14:val="tx1"/>
            </w14:solidFill>
          </w14:textFill>
        </w:rPr>
      </w:pPr>
      <w:bookmarkStart w:id="165" w:name="_Toc76541374"/>
      <w:r>
        <w:rPr>
          <w:rFonts w:ascii="宋体" w:hAnsi="宋体"/>
          <w:b/>
          <w:bCs/>
          <w:color w:val="000000" w:themeColor="text1"/>
          <w:sz w:val="28"/>
          <w:szCs w:val="28"/>
          <w14:textFill>
            <w14:solidFill>
              <w14:schemeClr w14:val="tx1"/>
            </w14:solidFill>
          </w14:textFill>
        </w:rPr>
        <w:t>6.8</w:t>
      </w:r>
      <w:r>
        <w:rPr>
          <w:rFonts w:hint="eastAsia" w:ascii="宋体" w:hAnsi="宋体"/>
          <w:b/>
          <w:bCs/>
          <w:color w:val="000000" w:themeColor="text1"/>
          <w:sz w:val="28"/>
          <w:szCs w:val="28"/>
          <w14:textFill>
            <w14:solidFill>
              <w14:schemeClr w14:val="tx1"/>
            </w14:solidFill>
          </w14:textFill>
        </w:rPr>
        <w:t>评标专家在政府采购活动中承担以下义务</w:t>
      </w:r>
      <w:bookmarkEnd w:id="165"/>
    </w:p>
    <w:p>
      <w:pPr>
        <w:numPr>
          <w:ilvl w:val="0"/>
          <w:numId w:val="47"/>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遵纪守法，客观、公正、廉洁地履行职责。</w:t>
      </w:r>
    </w:p>
    <w:p>
      <w:pPr>
        <w:numPr>
          <w:ilvl w:val="0"/>
          <w:numId w:val="47"/>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7"/>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保守秘密。不得泄漏投标人的投标文件及知悉的商业秘密，不得向投标人透露评审情况。</w:t>
      </w:r>
    </w:p>
    <w:p>
      <w:pPr>
        <w:numPr>
          <w:ilvl w:val="0"/>
          <w:numId w:val="47"/>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发现投标人在政府采购活动中有不正当竞争或恶意串通等违规行为，及时向政府采购评审工作的组织者或财政部门报告并加以制止。</w:t>
      </w:r>
    </w:p>
    <w:p>
      <w:pPr>
        <w:numPr>
          <w:ilvl w:val="0"/>
          <w:numId w:val="47"/>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发现采购人、成都市青羊区政府采购服务中心及其工作人员在政府采购活动中有干预评审、发表倾向性和歧视性言论、受贿或者接受投标人的其他好处及其他违法违规行为，及时向财政部门报告。</w:t>
      </w:r>
    </w:p>
    <w:p>
      <w:pPr>
        <w:numPr>
          <w:ilvl w:val="0"/>
          <w:numId w:val="47"/>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解答有关方面对政府采购评审工作中有关问题的询问，配合采购人或者成都市青羊区政府采购服务中心答复投标人的询问、质疑，配合财政部门的投诉处理工作等事宜。</w:t>
      </w:r>
    </w:p>
    <w:p>
      <w:pPr>
        <w:numPr>
          <w:ilvl w:val="0"/>
          <w:numId w:val="47"/>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法律、法规和规章规定的其他义务。</w:t>
      </w:r>
    </w:p>
    <w:p>
      <w:pPr>
        <w:keepNext/>
        <w:keepLines/>
        <w:spacing w:line="360" w:lineRule="auto"/>
        <w:jc w:val="left"/>
        <w:outlineLvl w:val="1"/>
        <w:rPr>
          <w:rFonts w:ascii="宋体" w:hAnsi="宋体"/>
          <w:b/>
          <w:bCs/>
          <w:color w:val="000000" w:themeColor="text1"/>
          <w:sz w:val="28"/>
          <w:szCs w:val="28"/>
          <w14:textFill>
            <w14:solidFill>
              <w14:schemeClr w14:val="tx1"/>
            </w14:solidFill>
          </w14:textFill>
        </w:rPr>
      </w:pPr>
      <w:bookmarkStart w:id="166" w:name="_Toc76541375"/>
      <w:r>
        <w:rPr>
          <w:rFonts w:ascii="宋体" w:hAnsi="宋体"/>
          <w:b/>
          <w:bCs/>
          <w:color w:val="000000" w:themeColor="text1"/>
          <w:sz w:val="28"/>
          <w:szCs w:val="28"/>
          <w14:textFill>
            <w14:solidFill>
              <w14:schemeClr w14:val="tx1"/>
            </w14:solidFill>
          </w14:textFill>
        </w:rPr>
        <w:t>6.9</w:t>
      </w:r>
      <w:r>
        <w:rPr>
          <w:rFonts w:hint="eastAsia" w:ascii="宋体" w:hAnsi="宋体"/>
          <w:b/>
          <w:bCs/>
          <w:color w:val="000000" w:themeColor="text1"/>
          <w:sz w:val="28"/>
          <w:szCs w:val="28"/>
          <w14:textFill>
            <w14:solidFill>
              <w14:schemeClr w14:val="tx1"/>
            </w14:solidFill>
          </w14:textFill>
        </w:rPr>
        <w:t>评标委员会及其成员不得有下列行为</w:t>
      </w:r>
      <w:bookmarkEnd w:id="166"/>
    </w:p>
    <w:p>
      <w:pPr>
        <w:numPr>
          <w:ilvl w:val="0"/>
          <w:numId w:val="48"/>
        </w:numPr>
        <w:tabs>
          <w:tab w:val="left" w:pos="1155"/>
        </w:tabs>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确定参与评标至评标结束前私自接触投标人；</w:t>
      </w:r>
    </w:p>
    <w:p>
      <w:pPr>
        <w:numPr>
          <w:ilvl w:val="0"/>
          <w:numId w:val="48"/>
        </w:numPr>
        <w:tabs>
          <w:tab w:val="left" w:pos="1155"/>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接受投标人提出的与投标文件不一致的澄清或者说明，除招标文件明确可以澄清的除外；</w:t>
      </w:r>
    </w:p>
    <w:p>
      <w:pPr>
        <w:numPr>
          <w:ilvl w:val="0"/>
          <w:numId w:val="48"/>
        </w:numPr>
        <w:tabs>
          <w:tab w:val="left" w:pos="1155"/>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违反评标纪律发表倾向性意见或者征询采购人的倾向性意见；</w:t>
      </w:r>
    </w:p>
    <w:p>
      <w:pPr>
        <w:numPr>
          <w:ilvl w:val="0"/>
          <w:numId w:val="48"/>
        </w:numPr>
        <w:tabs>
          <w:tab w:val="left" w:pos="1155"/>
        </w:tabs>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对需要专业判断的主观评审因素协商评分；</w:t>
      </w:r>
    </w:p>
    <w:p>
      <w:pPr>
        <w:numPr>
          <w:ilvl w:val="0"/>
          <w:numId w:val="48"/>
        </w:numPr>
        <w:tabs>
          <w:tab w:val="left" w:pos="1155"/>
        </w:tabs>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在评标过程中擅离职守，影响评标程序正常进行的；</w:t>
      </w:r>
    </w:p>
    <w:p>
      <w:pPr>
        <w:numPr>
          <w:ilvl w:val="0"/>
          <w:numId w:val="48"/>
        </w:numPr>
        <w:tabs>
          <w:tab w:val="left" w:pos="1155"/>
        </w:tabs>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记录、复制或者带走任何评标资料；</w:t>
      </w:r>
    </w:p>
    <w:p>
      <w:pPr>
        <w:numPr>
          <w:ilvl w:val="0"/>
          <w:numId w:val="48"/>
        </w:numPr>
        <w:tabs>
          <w:tab w:val="left" w:pos="1155"/>
        </w:tabs>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其他不遵守评标纪律的行为。</w:t>
      </w:r>
    </w:p>
    <w:p>
      <w:pPr>
        <w:spacing w:line="360" w:lineRule="auto"/>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评标委员会成员有前款第一至五项行为之一的，其评审意见无效，并不得获取评审劳务报酬和报销异地评审差旅费。</w:t>
      </w:r>
    </w:p>
    <w:p>
      <w:pPr>
        <w:keepNext/>
        <w:keepLines/>
        <w:spacing w:before="240" w:line="360" w:lineRule="auto"/>
        <w:jc w:val="left"/>
        <w:outlineLvl w:val="1"/>
        <w:rPr>
          <w:rFonts w:ascii="宋体" w:hAnsi="宋体"/>
          <w:b/>
          <w:bCs/>
          <w:color w:val="000000" w:themeColor="text1"/>
          <w:sz w:val="28"/>
          <w:szCs w:val="28"/>
          <w14:textFill>
            <w14:solidFill>
              <w14:schemeClr w14:val="tx1"/>
            </w14:solidFill>
          </w14:textFill>
        </w:rPr>
      </w:pPr>
      <w:bookmarkStart w:id="167" w:name="_Toc76541376"/>
      <w:r>
        <w:rPr>
          <w:rFonts w:hint="eastAsia" w:ascii="宋体" w:hAnsi="宋体"/>
          <w:b/>
          <w:bCs/>
          <w:color w:val="000000" w:themeColor="text1"/>
          <w:sz w:val="28"/>
          <w:szCs w:val="28"/>
          <w14:textFill>
            <w14:solidFill>
              <w14:schemeClr w14:val="tx1"/>
            </w14:solidFill>
          </w14:textFill>
        </w:rPr>
        <w:t>6</w:t>
      </w:r>
      <w:r>
        <w:rPr>
          <w:rFonts w:ascii="宋体" w:hAnsi="宋体"/>
          <w:b/>
          <w:bCs/>
          <w:color w:val="000000" w:themeColor="text1"/>
          <w:sz w:val="28"/>
          <w:szCs w:val="28"/>
          <w14:textFill>
            <w14:solidFill>
              <w14:schemeClr w14:val="tx1"/>
            </w14:solidFill>
          </w14:textFill>
        </w:rPr>
        <w:t>.10</w:t>
      </w:r>
      <w:r>
        <w:rPr>
          <w:rFonts w:hint="eastAsia" w:ascii="宋体" w:hAnsi="宋体"/>
          <w:b/>
          <w:bCs/>
          <w:color w:val="000000" w:themeColor="text1"/>
          <w:sz w:val="28"/>
          <w:szCs w:val="28"/>
          <w14:textFill>
            <w14:solidFill>
              <w14:schemeClr w14:val="tx1"/>
            </w14:solidFill>
          </w14:textFill>
        </w:rPr>
        <w:t>评审专家在政府采购活动中应当遵守以下工作纪律</w:t>
      </w:r>
      <w:bookmarkEnd w:id="167"/>
    </w:p>
    <w:p>
      <w:pPr>
        <w:numPr>
          <w:ilvl w:val="0"/>
          <w:numId w:val="49"/>
        </w:numPr>
        <w:tabs>
          <w:tab w:val="left" w:pos="1155"/>
        </w:tabs>
        <w:spacing w:line="360" w:lineRule="auto"/>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遵行《政府采购法》第十二条和《政府采购法实施条例》第九条及政府采购相关法律法规关于回避的规定。</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应邀按时参加评审和咨询活动，遵守评标区管理规定。</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进入评标区之前应将所有的通信设备存入公共资源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，不得私自转托他人。</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不得参加与自己有利害关系的政府采购项目的评审活动。对与自己有利害关系的评审项目，如受到邀请，应主动提出回避。财政部门、采购人或</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也可要求该评审专家回避。</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评审过程中关闭通讯设备，不得与外界联系。因发生不可预见情况，确实需要与外界联系的，应告知评标区值守人员，使用评标区内由公共资源交易中心提供的通信设备，在监督人员监督之下办理。</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在评标过程中和评标结束后，不得记录、复制或带走任何评标资料，除因规定的义务外，不得向外界透露评标内容。</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服从评标现场</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的现场秩序管理，接受评标现场监督人员的合法监督。</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遵守有关廉洁自律规定，不得私下接触投标人，不得收受投标人及有关业务单位和个人的财物或好处，不得接受采购组织单位的请托。</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在咨询工作中，严格执行国家产业政策和产品标准，认真听取咨询方的合理要求，提出科学合理的、无倾向性和歧视性的咨询方案，并对所提出的意见和建议承担个人责任。</w:t>
      </w:r>
    </w:p>
    <w:p>
      <w:pPr>
        <w:numPr>
          <w:ilvl w:val="0"/>
          <w:numId w:val="49"/>
        </w:numPr>
        <w:tabs>
          <w:tab w:val="left" w:pos="1155"/>
          <w:tab w:val="left" w:pos="1276"/>
          <w:tab w:val="left" w:pos="1418"/>
        </w:tabs>
        <w:spacing w:line="580" w:lineRule="exact"/>
        <w:ind w:left="527" w:firstLine="4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有关部门（机构）制定的其他评审工作纪律。</w:t>
      </w:r>
    </w:p>
    <w:p>
      <w:pPr>
        <w:tabs>
          <w:tab w:val="left" w:pos="1155"/>
          <w:tab w:val="left" w:pos="1276"/>
          <w:tab w:val="left" w:pos="1418"/>
        </w:tabs>
        <w:spacing w:line="580" w:lineRule="exact"/>
        <w:rPr>
          <w:rFonts w:ascii="宋体" w:hAnsi="宋体"/>
          <w:color w:val="000000" w:themeColor="text1"/>
          <w:sz w:val="28"/>
          <w:szCs w:val="28"/>
          <w14:textFill>
            <w14:solidFill>
              <w14:schemeClr w14:val="tx1"/>
            </w14:solidFill>
          </w14:textFill>
        </w:rPr>
      </w:pPr>
    </w:p>
    <w:p>
      <w:pPr>
        <w:tabs>
          <w:tab w:val="left" w:pos="1155"/>
          <w:tab w:val="left" w:pos="1276"/>
          <w:tab w:val="left" w:pos="1418"/>
        </w:tabs>
        <w:spacing w:line="580" w:lineRule="exact"/>
        <w:rPr>
          <w:rFonts w:ascii="宋体" w:hAnsi="宋体"/>
          <w:color w:val="000000" w:themeColor="text1"/>
          <w:sz w:val="28"/>
          <w:szCs w:val="28"/>
          <w14:textFill>
            <w14:solidFill>
              <w14:schemeClr w14:val="tx1"/>
            </w14:solidFill>
          </w14:textFill>
        </w:rPr>
      </w:pPr>
    </w:p>
    <w:p>
      <w:pPr>
        <w:tabs>
          <w:tab w:val="left" w:pos="1155"/>
          <w:tab w:val="left" w:pos="1276"/>
          <w:tab w:val="left" w:pos="1418"/>
        </w:tabs>
        <w:spacing w:line="580" w:lineRule="exact"/>
        <w:rPr>
          <w:rFonts w:ascii="宋体" w:hAnsi="宋体"/>
          <w:color w:val="000000" w:themeColor="text1"/>
          <w:sz w:val="28"/>
          <w:szCs w:val="28"/>
          <w14:textFill>
            <w14:solidFill>
              <w14:schemeClr w14:val="tx1"/>
            </w14:solidFill>
          </w14:textFill>
        </w:rPr>
      </w:pPr>
    </w:p>
    <w:p>
      <w:pPr>
        <w:tabs>
          <w:tab w:val="left" w:pos="1155"/>
          <w:tab w:val="left" w:pos="1276"/>
          <w:tab w:val="left" w:pos="1418"/>
        </w:tabs>
        <w:spacing w:line="580" w:lineRule="exact"/>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
        <w:ind w:left="0" w:leftChars="0" w:firstLine="0" w:firstLineChars="0"/>
        <w:rPr>
          <w:rFonts w:ascii="宋体" w:hAnsi="宋体"/>
          <w:color w:val="000000" w:themeColor="text1"/>
          <w:sz w:val="28"/>
          <w:szCs w:val="28"/>
          <w14:textFill>
            <w14:solidFill>
              <w14:schemeClr w14:val="tx1"/>
            </w14:solidFill>
          </w14:textFill>
        </w:rPr>
      </w:pPr>
    </w:p>
    <w:p>
      <w:pPr>
        <w:pStyle w:val="2"/>
        <w:ind w:left="0" w:leftChars="0" w:firstLine="0" w:firstLineChars="0"/>
        <w:rPr>
          <w:rFonts w:ascii="宋体" w:hAnsi="宋体"/>
          <w:color w:val="000000" w:themeColor="text1"/>
          <w:sz w:val="28"/>
          <w:szCs w:val="28"/>
          <w14:textFill>
            <w14:solidFill>
              <w14:schemeClr w14:val="tx1"/>
            </w14:solidFill>
          </w14:textFill>
        </w:rPr>
      </w:pPr>
    </w:p>
    <w:p>
      <w:pPr>
        <w:pStyle w:val="2"/>
        <w:ind w:left="0" w:leftChars="0" w:firstLine="0" w:firstLineChars="0"/>
        <w:rPr>
          <w:rFonts w:ascii="宋体" w:hAnsi="宋体"/>
          <w:color w:val="000000" w:themeColor="text1"/>
          <w:sz w:val="28"/>
          <w:szCs w:val="28"/>
          <w14:textFill>
            <w14:solidFill>
              <w14:schemeClr w14:val="tx1"/>
            </w14:solidFill>
          </w14:textFill>
        </w:rPr>
      </w:pPr>
    </w:p>
    <w:p>
      <w:pPr>
        <w:pStyle w:val="2"/>
        <w:ind w:left="0" w:leftChars="0" w:firstLine="0" w:firstLineChars="0"/>
        <w:rPr>
          <w:rFonts w:ascii="宋体" w:hAnsi="宋体"/>
          <w:color w:val="000000" w:themeColor="text1"/>
          <w:sz w:val="28"/>
          <w:szCs w:val="28"/>
          <w14:textFill>
            <w14:solidFill>
              <w14:schemeClr w14:val="tx1"/>
            </w14:solidFill>
          </w14:textFill>
        </w:rPr>
      </w:pPr>
    </w:p>
    <w:p>
      <w:pPr>
        <w:tabs>
          <w:tab w:val="left" w:pos="1155"/>
          <w:tab w:val="left" w:pos="1276"/>
          <w:tab w:val="left" w:pos="1418"/>
        </w:tabs>
        <w:spacing w:line="580" w:lineRule="exact"/>
        <w:rPr>
          <w:rFonts w:ascii="宋体" w:hAnsi="宋体"/>
          <w:color w:val="000000" w:themeColor="text1"/>
          <w:sz w:val="28"/>
          <w:szCs w:val="28"/>
          <w14:textFill>
            <w14:solidFill>
              <w14:schemeClr w14:val="tx1"/>
            </w14:solidFill>
          </w14:textFill>
        </w:rPr>
      </w:pPr>
    </w:p>
    <w:bookmarkEnd w:id="0"/>
    <w:bookmarkEnd w:id="1"/>
    <w:bookmarkEnd w:id="2"/>
    <w:bookmarkEnd w:id="3"/>
    <w:bookmarkEnd w:id="151"/>
    <w:bookmarkEnd w:id="152"/>
    <w:p>
      <w:pPr>
        <w:keepNext/>
        <w:keepLines/>
        <w:numPr>
          <w:ilvl w:val="0"/>
          <w:numId w:val="1"/>
        </w:numPr>
        <w:spacing w:line="360" w:lineRule="auto"/>
        <w:ind w:left="0" w:firstLine="0"/>
        <w:jc w:val="center"/>
        <w:outlineLvl w:val="0"/>
        <w:rPr>
          <w:rFonts w:ascii="宋体" w:hAnsi="宋体"/>
          <w:b/>
          <w:bCs/>
          <w:color w:val="000000" w:themeColor="text1"/>
          <w:spacing w:val="-20"/>
          <w:kern w:val="44"/>
          <w:sz w:val="32"/>
          <w:szCs w:val="32"/>
          <w14:textFill>
            <w14:solidFill>
              <w14:schemeClr w14:val="tx1"/>
            </w14:solidFill>
          </w14:textFill>
        </w:rPr>
      </w:pPr>
      <w:bookmarkStart w:id="168" w:name="_Toc76541377"/>
      <w:bookmarkStart w:id="169" w:name="_Toc34729074"/>
      <w:bookmarkStart w:id="170" w:name="_Toc8573798"/>
      <w:bookmarkStart w:id="171" w:name="_Toc217446108"/>
      <w:r>
        <w:rPr>
          <w:rFonts w:hint="eastAsia" w:ascii="宋体" w:hAnsi="宋体"/>
          <w:b/>
          <w:bCs/>
          <w:color w:val="000000" w:themeColor="text1"/>
          <w:spacing w:val="-20"/>
          <w:kern w:val="44"/>
          <w:sz w:val="32"/>
          <w:szCs w:val="32"/>
          <w14:textFill>
            <w14:solidFill>
              <w14:schemeClr w14:val="tx1"/>
            </w14:solidFill>
          </w14:textFill>
        </w:rPr>
        <w:t>拟签订的合同文本</w:t>
      </w:r>
      <w:bookmarkEnd w:id="168"/>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合同编号：XXXX。</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签订地点：XXXX。</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签订时间：XXXX年XX月XX日。</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 xml:space="preserve">采购人（甲方）：                              </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 xml:space="preserve">供应商（乙方）：                    </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一、合同货物</w:t>
      </w:r>
    </w:p>
    <w:tbl>
      <w:tblPr>
        <w:tblStyle w:val="43"/>
        <w:tblW w:w="10028"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56"/>
        <w:gridCol w:w="992"/>
        <w:gridCol w:w="851"/>
        <w:gridCol w:w="992"/>
        <w:gridCol w:w="1984"/>
        <w:gridCol w:w="1701"/>
        <w:gridCol w:w="1418"/>
        <w:gridCol w:w="11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83" w:hRule="atLeast"/>
        </w:trPr>
        <w:tc>
          <w:tcPr>
            <w:tcW w:w="956"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货物品名</w:t>
            </w: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规格型号</w:t>
            </w:r>
          </w:p>
        </w:tc>
        <w:tc>
          <w:tcPr>
            <w:tcW w:w="85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单位</w:t>
            </w: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数量</w:t>
            </w:r>
          </w:p>
        </w:tc>
        <w:tc>
          <w:tcPr>
            <w:tcW w:w="198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单价（万元）</w:t>
            </w:r>
          </w:p>
        </w:tc>
        <w:tc>
          <w:tcPr>
            <w:tcW w:w="170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总价（万元）</w:t>
            </w:r>
          </w:p>
        </w:tc>
        <w:tc>
          <w:tcPr>
            <w:tcW w:w="1418"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随机配件</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47" w:hRule="atLeast"/>
        </w:trPr>
        <w:tc>
          <w:tcPr>
            <w:tcW w:w="956"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p>
        </w:tc>
        <w:tc>
          <w:tcPr>
            <w:tcW w:w="198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47" w:hRule="atLeast"/>
        </w:trPr>
        <w:tc>
          <w:tcPr>
            <w:tcW w:w="956"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p>
        </w:tc>
        <w:tc>
          <w:tcPr>
            <w:tcW w:w="198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p>
        </w:tc>
      </w:tr>
    </w:tbl>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二、合同总价</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合同总价为人民币大写：</w:t>
      </w:r>
      <w:r>
        <w:rPr>
          <w:rFonts w:hint="eastAsia" w:ascii="Times New Roman" w:hAnsi="Times New Roman" w:eastAsia="仿宋_GB2312"/>
          <w:color w:val="000000" w:themeColor="text1"/>
          <w:szCs w:val="21"/>
          <w:u w:val="single"/>
          <w14:textFill>
            <w14:solidFill>
              <w14:schemeClr w14:val="tx1"/>
            </w14:solidFill>
          </w14:textFill>
        </w:rPr>
        <w:t xml:space="preserve">        </w:t>
      </w:r>
      <w:r>
        <w:rPr>
          <w:rFonts w:hint="eastAsia" w:ascii="Times New Roman" w:hAnsi="Times New Roman" w:eastAsia="仿宋_GB2312"/>
          <w:color w:val="000000" w:themeColor="text1"/>
          <w:szCs w:val="21"/>
          <w14:textFill>
            <w14:solidFill>
              <w14:schemeClr w14:val="tx1"/>
            </w14:solidFill>
          </w14:textFill>
        </w:rPr>
        <w:t>元，即RMB￥</w:t>
      </w:r>
      <w:r>
        <w:rPr>
          <w:rFonts w:hint="eastAsia" w:ascii="Times New Roman" w:hAnsi="Times New Roman" w:eastAsia="仿宋_GB2312"/>
          <w:color w:val="000000" w:themeColor="text1"/>
          <w:szCs w:val="21"/>
          <w:u w:val="single"/>
          <w14:textFill>
            <w14:solidFill>
              <w14:schemeClr w14:val="tx1"/>
            </w14:solidFill>
          </w14:textFill>
        </w:rPr>
        <w:t xml:space="preserve">      </w:t>
      </w:r>
      <w:r>
        <w:rPr>
          <w:rFonts w:hint="eastAsia" w:ascii="Times New Roman" w:hAnsi="Times New Roman" w:eastAsia="仿宋_GB2312"/>
          <w:color w:val="000000" w:themeColor="text1"/>
          <w:szCs w:val="21"/>
          <w14:textFill>
            <w14:solidFill>
              <w14:schemeClr w14:val="tx1"/>
            </w14:solidFill>
          </w14:textFill>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三、质量要求</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1、乙方须提供全新的货物（含零部件、配件等），表面无划伤、无碰撞痕迹，且权属清楚，不得侵害他人的知识产权。</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2、货物必须符合或优于国家（行业）</w:t>
      </w:r>
      <w:r>
        <w:rPr>
          <w:rFonts w:hint="eastAsia" w:ascii="Times New Roman" w:hAnsi="Times New Roman" w:eastAsia="仿宋_GB2312"/>
          <w:color w:val="000000" w:themeColor="text1"/>
          <w:szCs w:val="21"/>
          <w:u w:val="single"/>
          <w14:textFill>
            <w14:solidFill>
              <w14:schemeClr w14:val="tx1"/>
            </w14:solidFill>
          </w14:textFill>
        </w:rPr>
        <w:t xml:space="preserve">          </w:t>
      </w:r>
      <w:r>
        <w:rPr>
          <w:rFonts w:hint="eastAsia" w:ascii="Times New Roman" w:hAnsi="Times New Roman" w:eastAsia="仿宋_GB2312"/>
          <w:color w:val="000000" w:themeColor="text1"/>
          <w:szCs w:val="21"/>
          <w14:textFill>
            <w14:solidFill>
              <w14:schemeClr w14:val="tx1"/>
            </w14:solidFill>
          </w14:textFill>
        </w:rPr>
        <w:t>标准，以及本项目招标文件的质量要求和技术指标与出厂标准。</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3、乙方须在本合同签订之日起</w:t>
      </w:r>
      <w:r>
        <w:rPr>
          <w:rFonts w:hint="eastAsia" w:ascii="Times New Roman" w:hAnsi="Times New Roman" w:eastAsia="仿宋_GB2312"/>
          <w:color w:val="000000" w:themeColor="text1"/>
          <w:szCs w:val="21"/>
          <w:u w:val="single"/>
          <w14:textFill>
            <w14:solidFill>
              <w14:schemeClr w14:val="tx1"/>
            </w14:solidFill>
          </w14:textFill>
        </w:rPr>
        <w:t xml:space="preserve">   </w:t>
      </w:r>
      <w:r>
        <w:rPr>
          <w:rFonts w:hint="eastAsia" w:ascii="Times New Roman" w:hAnsi="Times New Roman" w:eastAsia="仿宋_GB2312"/>
          <w:color w:val="000000" w:themeColor="text1"/>
          <w:szCs w:val="21"/>
          <w14:textFill>
            <w14:solidFill>
              <w14:schemeClr w14:val="tx1"/>
            </w14:solidFill>
          </w14:textFill>
        </w:rPr>
        <w:t>日内送交货物成品(核心产品)样品给甲方确认，在甲方出具样品确认书并封存成品样品外观尺寸后，乙方才能按样生产，并以此样品作为验收样品.每台货物上均应有产品质量检验合格标志。</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4、货物制造质量出现问题，乙方应负责三包（包修、包换、包退），费用由乙方负担，甲方有权到乙方生产场地检查货物质量和生产进度。</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5、货到现场后由于甲方保管不当造成的质量问题，乙方亦应负责修理，但费用由甲方负担。</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四、交货及验收</w:t>
      </w:r>
    </w:p>
    <w:p>
      <w:pPr>
        <w:spacing w:before="141" w:line="307" w:lineRule="auto"/>
        <w:ind w:left="29" w:firstLine="490"/>
        <w:rPr>
          <w:rFonts w:ascii="仿宋" w:hAnsi="仿宋" w:eastAsia="仿宋" w:cs="仿宋"/>
          <w:sz w:val="24"/>
          <w:szCs w:val="24"/>
        </w:rPr>
      </w:pPr>
      <w:r>
        <w:rPr>
          <w:rFonts w:ascii="仿宋" w:hAnsi="仿宋" w:eastAsia="仿宋" w:cs="仿宋"/>
          <w:spacing w:val="-4"/>
          <w:sz w:val="24"/>
          <w:szCs w:val="24"/>
        </w:rPr>
        <w:t>1、乙方交货期限为合同签订生效后的</w:t>
      </w:r>
      <w:r>
        <w:rPr>
          <w:rFonts w:ascii="仿宋" w:hAnsi="仿宋" w:eastAsia="仿宋" w:cs="仿宋"/>
          <w:spacing w:val="-23"/>
          <w:sz w:val="24"/>
          <w:szCs w:val="24"/>
        </w:rPr>
        <w:t xml:space="preserve"> </w:t>
      </w:r>
      <w:r>
        <w:rPr>
          <w:rFonts w:ascii="仿宋" w:hAnsi="仿宋" w:eastAsia="仿宋" w:cs="仿宋"/>
          <w:spacing w:val="-4"/>
          <w:sz w:val="24"/>
          <w:szCs w:val="24"/>
        </w:rPr>
        <w:t>XX</w:t>
      </w:r>
      <w:r>
        <w:rPr>
          <w:rFonts w:ascii="仿宋" w:hAnsi="仿宋" w:eastAsia="仿宋" w:cs="仿宋"/>
          <w:spacing w:val="7"/>
          <w:sz w:val="24"/>
          <w:szCs w:val="24"/>
        </w:rPr>
        <w:t xml:space="preserve"> </w:t>
      </w:r>
      <w:r>
        <w:rPr>
          <w:rFonts w:ascii="仿宋" w:hAnsi="仿宋" w:eastAsia="仿宋" w:cs="仿宋"/>
          <w:spacing w:val="-4"/>
          <w:sz w:val="24"/>
          <w:szCs w:val="24"/>
        </w:rPr>
        <w:t>日内，在合同签订生效之日起</w:t>
      </w:r>
      <w:r>
        <w:rPr>
          <w:rFonts w:ascii="仿宋" w:hAnsi="仿宋" w:eastAsia="仿宋" w:cs="仿宋"/>
          <w:spacing w:val="-55"/>
          <w:sz w:val="24"/>
          <w:szCs w:val="24"/>
        </w:rPr>
        <w:t xml:space="preserve"> </w:t>
      </w:r>
      <w:r>
        <w:rPr>
          <w:rFonts w:ascii="仿宋" w:hAnsi="仿宋" w:eastAsia="仿宋" w:cs="仿宋"/>
          <w:spacing w:val="-4"/>
          <w:sz w:val="24"/>
          <w:szCs w:val="24"/>
        </w:rPr>
        <w:t>XX</w:t>
      </w:r>
      <w:r>
        <w:rPr>
          <w:rFonts w:ascii="仿宋" w:hAnsi="仿宋" w:eastAsia="仿宋" w:cs="仿宋"/>
          <w:sz w:val="24"/>
          <w:szCs w:val="24"/>
        </w:rPr>
        <w:t xml:space="preserve">  </w:t>
      </w:r>
      <w:r>
        <w:rPr>
          <w:rFonts w:ascii="仿宋" w:hAnsi="仿宋" w:eastAsia="仿宋" w:cs="仿宋"/>
          <w:spacing w:val="-7"/>
          <w:sz w:val="24"/>
          <w:szCs w:val="24"/>
        </w:rPr>
        <w:t>天内交货到甲方指定地点，随即在</w:t>
      </w:r>
      <w:r>
        <w:rPr>
          <w:rFonts w:ascii="仿宋" w:hAnsi="仿宋" w:eastAsia="仿宋" w:cs="仿宋"/>
          <w:spacing w:val="-34"/>
          <w:sz w:val="24"/>
          <w:szCs w:val="24"/>
        </w:rPr>
        <w:t xml:space="preserve"> </w:t>
      </w:r>
      <w:r>
        <w:rPr>
          <w:rFonts w:ascii="仿宋" w:hAnsi="仿宋" w:eastAsia="仿宋" w:cs="仿宋"/>
          <w:spacing w:val="-7"/>
          <w:sz w:val="24"/>
          <w:szCs w:val="24"/>
        </w:rPr>
        <w:t>XX</w:t>
      </w:r>
      <w:r>
        <w:rPr>
          <w:rFonts w:ascii="仿宋" w:hAnsi="仿宋" w:eastAsia="仿宋" w:cs="仿宋"/>
          <w:spacing w:val="6"/>
          <w:sz w:val="24"/>
          <w:szCs w:val="24"/>
        </w:rPr>
        <w:t xml:space="preserve"> </w:t>
      </w:r>
      <w:r>
        <w:rPr>
          <w:rFonts w:ascii="仿宋" w:hAnsi="仿宋" w:eastAsia="仿宋" w:cs="仿宋"/>
          <w:spacing w:val="-7"/>
          <w:sz w:val="24"/>
          <w:szCs w:val="24"/>
        </w:rPr>
        <w:t>日内全部完成安装调试验收合格交付使用，</w:t>
      </w:r>
      <w:r>
        <w:rPr>
          <w:rFonts w:ascii="仿宋" w:hAnsi="仿宋" w:eastAsia="仿宋" w:cs="仿宋"/>
          <w:sz w:val="24"/>
          <w:szCs w:val="24"/>
        </w:rPr>
        <w:t xml:space="preserve"> </w:t>
      </w:r>
      <w:r>
        <w:rPr>
          <w:rFonts w:ascii="仿宋" w:hAnsi="仿宋" w:eastAsia="仿宋" w:cs="仿宋"/>
          <w:spacing w:val="-1"/>
          <w:sz w:val="24"/>
          <w:szCs w:val="24"/>
        </w:rPr>
        <w:t>并且最迟应在XX</w:t>
      </w:r>
      <w:r>
        <w:rPr>
          <w:rFonts w:ascii="仿宋" w:hAnsi="仿宋" w:eastAsia="仿宋" w:cs="仿宋"/>
          <w:spacing w:val="-18"/>
          <w:sz w:val="24"/>
          <w:szCs w:val="24"/>
        </w:rPr>
        <w:t xml:space="preserve"> </w:t>
      </w:r>
      <w:r>
        <w:rPr>
          <w:rFonts w:ascii="仿宋" w:hAnsi="仿宋" w:eastAsia="仿宋" w:cs="仿宋"/>
          <w:spacing w:val="-1"/>
          <w:sz w:val="24"/>
          <w:szCs w:val="24"/>
        </w:rPr>
        <w:t>年XX</w:t>
      </w:r>
      <w:r>
        <w:rPr>
          <w:rFonts w:ascii="仿宋" w:hAnsi="仿宋" w:eastAsia="仿宋" w:cs="仿宋"/>
          <w:spacing w:val="-47"/>
          <w:sz w:val="24"/>
          <w:szCs w:val="24"/>
        </w:rPr>
        <w:t xml:space="preserve"> </w:t>
      </w:r>
      <w:r>
        <w:rPr>
          <w:rFonts w:ascii="仿宋" w:hAnsi="仿宋" w:eastAsia="仿宋" w:cs="仿宋"/>
          <w:spacing w:val="-1"/>
          <w:sz w:val="24"/>
          <w:szCs w:val="24"/>
        </w:rPr>
        <w:t>月XX</w:t>
      </w:r>
      <w:r>
        <w:rPr>
          <w:rFonts w:ascii="仿宋" w:hAnsi="仿宋" w:eastAsia="仿宋" w:cs="仿宋"/>
          <w:spacing w:val="-8"/>
          <w:sz w:val="24"/>
          <w:szCs w:val="24"/>
        </w:rPr>
        <w:t xml:space="preserve"> </w:t>
      </w:r>
      <w:r>
        <w:rPr>
          <w:rFonts w:ascii="仿宋" w:hAnsi="仿宋" w:eastAsia="仿宋" w:cs="仿宋"/>
          <w:spacing w:val="-1"/>
          <w:sz w:val="24"/>
          <w:szCs w:val="24"/>
        </w:rPr>
        <w:t>日前全部完成安装调试验收合格交付使用(如由于采</w:t>
      </w:r>
      <w:r>
        <w:rPr>
          <w:rFonts w:ascii="仿宋" w:hAnsi="仿宋" w:eastAsia="仿宋" w:cs="仿宋"/>
          <w:sz w:val="24"/>
          <w:szCs w:val="24"/>
        </w:rPr>
        <w:t xml:space="preserve"> </w:t>
      </w:r>
      <w:r>
        <w:rPr>
          <w:rFonts w:ascii="仿宋" w:hAnsi="仿宋" w:eastAsia="仿宋" w:cs="仿宋"/>
          <w:spacing w:val="-1"/>
          <w:sz w:val="24"/>
          <w:szCs w:val="24"/>
        </w:rPr>
        <w:t>购人的原因造成合同延迟签订或验收的，时间顺延)。交货验收时须提供产品质</w:t>
      </w:r>
      <w:r>
        <w:rPr>
          <w:rFonts w:ascii="仿宋" w:hAnsi="仿宋" w:eastAsia="仿宋" w:cs="仿宋"/>
          <w:spacing w:val="19"/>
          <w:sz w:val="24"/>
          <w:szCs w:val="24"/>
        </w:rPr>
        <w:t xml:space="preserve"> </w:t>
      </w:r>
      <w:r>
        <w:rPr>
          <w:rFonts w:ascii="仿宋" w:hAnsi="仿宋" w:eastAsia="仿宋" w:cs="仿宋"/>
          <w:spacing w:val="-1"/>
          <w:sz w:val="24"/>
          <w:szCs w:val="24"/>
        </w:rPr>
        <w:t>检部门从同类产品中抽样检查合格的检测报告。</w:t>
      </w:r>
    </w:p>
    <w:p>
      <w:pPr>
        <w:spacing w:before="1" w:line="201" w:lineRule="auto"/>
        <w:ind w:firstLine="505"/>
        <w:rPr>
          <w:rFonts w:ascii="仿宋" w:hAnsi="仿宋" w:eastAsia="仿宋" w:cs="仿宋"/>
          <w:sz w:val="24"/>
          <w:szCs w:val="24"/>
        </w:rPr>
      </w:pPr>
      <w:r>
        <w:rPr>
          <w:rFonts w:ascii="仿宋" w:hAnsi="仿宋" w:eastAsia="仿宋" w:cs="仿宋"/>
          <w:spacing w:val="-1"/>
          <w:sz w:val="24"/>
          <w:szCs w:val="24"/>
        </w:rPr>
        <w:t>2、验收由甲方组织，乙方配合进行：</w:t>
      </w:r>
    </w:p>
    <w:p>
      <w:pPr>
        <w:spacing w:before="140" w:line="307" w:lineRule="auto"/>
        <w:ind w:left="29" w:right="26" w:firstLine="514"/>
        <w:rPr>
          <w:rFonts w:ascii="仿宋" w:hAnsi="仿宋" w:eastAsia="仿宋" w:cs="仿宋"/>
          <w:sz w:val="24"/>
          <w:szCs w:val="24"/>
        </w:rPr>
      </w:pPr>
      <w:r>
        <w:rPr>
          <w:rFonts w:ascii="仿宋" w:hAnsi="仿宋" w:eastAsia="仿宋" w:cs="仿宋"/>
          <w:spacing w:val="-6"/>
          <w:sz w:val="24"/>
          <w:szCs w:val="24"/>
        </w:rPr>
        <w:t>(1)</w:t>
      </w:r>
      <w:r>
        <w:rPr>
          <w:rFonts w:ascii="仿宋" w:hAnsi="仿宋" w:eastAsia="仿宋" w:cs="仿宋"/>
          <w:spacing w:val="25"/>
          <w:sz w:val="24"/>
          <w:szCs w:val="24"/>
        </w:rPr>
        <w:t xml:space="preserve"> </w:t>
      </w:r>
      <w:r>
        <w:rPr>
          <w:rFonts w:ascii="仿宋" w:hAnsi="仿宋" w:eastAsia="仿宋" w:cs="仿宋"/>
          <w:spacing w:val="-6"/>
          <w:sz w:val="24"/>
          <w:szCs w:val="24"/>
        </w:rPr>
        <w:t>货物在乙方通知安装调试完毕后</w:t>
      </w:r>
      <w:r>
        <w:rPr>
          <w:rFonts w:ascii="仿宋" w:hAnsi="仿宋" w:eastAsia="仿宋" w:cs="仿宋"/>
          <w:spacing w:val="16"/>
          <w:sz w:val="24"/>
          <w:szCs w:val="24"/>
          <w:u w:val="single"/>
        </w:rPr>
        <w:t xml:space="preserve">    </w:t>
      </w:r>
      <w:r>
        <w:rPr>
          <w:rFonts w:ascii="仿宋" w:hAnsi="仿宋" w:eastAsia="仿宋" w:cs="仿宋"/>
          <w:spacing w:val="-6"/>
          <w:sz w:val="24"/>
          <w:szCs w:val="24"/>
        </w:rPr>
        <w:t>日内初步验收。初步验收合格后，</w:t>
      </w:r>
      <w:r>
        <w:rPr>
          <w:rFonts w:ascii="仿宋" w:hAnsi="仿宋" w:eastAsia="仿宋" w:cs="仿宋"/>
          <w:spacing w:val="2"/>
          <w:sz w:val="24"/>
          <w:szCs w:val="24"/>
        </w:rPr>
        <w:t xml:space="preserve"> </w:t>
      </w:r>
      <w:r>
        <w:rPr>
          <w:rFonts w:ascii="仿宋" w:hAnsi="仿宋" w:eastAsia="仿宋" w:cs="仿宋"/>
          <w:spacing w:val="-13"/>
          <w:sz w:val="24"/>
          <w:szCs w:val="24"/>
        </w:rPr>
        <w:t>进入</w:t>
      </w:r>
      <w:r>
        <w:rPr>
          <w:rFonts w:ascii="仿宋" w:hAnsi="仿宋" w:eastAsia="仿宋" w:cs="仿宋"/>
          <w:spacing w:val="9"/>
          <w:sz w:val="24"/>
          <w:szCs w:val="24"/>
          <w:u w:val="single"/>
        </w:rPr>
        <w:t xml:space="preserve">    </w:t>
      </w:r>
      <w:r>
        <w:rPr>
          <w:rFonts w:ascii="仿宋" w:hAnsi="仿宋" w:eastAsia="仿宋" w:cs="仿宋"/>
          <w:spacing w:val="-13"/>
          <w:sz w:val="24"/>
          <w:szCs w:val="24"/>
        </w:rPr>
        <w:t>试用期；</w:t>
      </w:r>
      <w:r>
        <w:rPr>
          <w:rFonts w:ascii="仿宋" w:hAnsi="仿宋" w:eastAsia="仿宋" w:cs="仿宋"/>
          <w:spacing w:val="23"/>
          <w:sz w:val="24"/>
          <w:szCs w:val="24"/>
        </w:rPr>
        <w:t xml:space="preserve"> </w:t>
      </w:r>
      <w:r>
        <w:rPr>
          <w:rFonts w:ascii="仿宋" w:hAnsi="仿宋" w:eastAsia="仿宋" w:cs="仿宋"/>
          <w:spacing w:val="-13"/>
          <w:sz w:val="24"/>
          <w:szCs w:val="24"/>
        </w:rPr>
        <w:t>试用期间发生重大质量问题，修复后试用相应顺延；</w:t>
      </w:r>
      <w:r>
        <w:rPr>
          <w:rFonts w:ascii="仿宋" w:hAnsi="仿宋" w:eastAsia="仿宋" w:cs="仿宋"/>
          <w:spacing w:val="20"/>
          <w:sz w:val="24"/>
          <w:szCs w:val="24"/>
        </w:rPr>
        <w:t xml:space="preserve"> </w:t>
      </w:r>
      <w:r>
        <w:rPr>
          <w:rFonts w:ascii="仿宋" w:hAnsi="仿宋" w:eastAsia="仿宋" w:cs="仿宋"/>
          <w:spacing w:val="-13"/>
          <w:sz w:val="24"/>
          <w:szCs w:val="24"/>
        </w:rPr>
        <w:t>试用期结</w:t>
      </w:r>
      <w:r>
        <w:rPr>
          <w:rFonts w:ascii="仿宋" w:hAnsi="仿宋" w:eastAsia="仿宋" w:cs="仿宋"/>
          <w:sz w:val="24"/>
          <w:szCs w:val="24"/>
        </w:rPr>
        <w:t xml:space="preserve"> </w:t>
      </w:r>
      <w:r>
        <w:rPr>
          <w:rFonts w:ascii="仿宋" w:hAnsi="仿宋" w:eastAsia="仿宋" w:cs="仿宋"/>
          <w:spacing w:val="-8"/>
          <w:sz w:val="24"/>
          <w:szCs w:val="24"/>
        </w:rPr>
        <w:t>束后</w:t>
      </w:r>
      <w:r>
        <w:rPr>
          <w:rFonts w:ascii="仿宋" w:hAnsi="仿宋" w:eastAsia="仿宋" w:cs="仿宋"/>
          <w:spacing w:val="18"/>
          <w:sz w:val="24"/>
          <w:szCs w:val="24"/>
          <w:u w:val="single"/>
        </w:rPr>
        <w:t xml:space="preserve">    </w:t>
      </w:r>
      <w:r>
        <w:rPr>
          <w:rFonts w:ascii="仿宋" w:hAnsi="仿宋" w:eastAsia="仿宋" w:cs="仿宋"/>
          <w:spacing w:val="-8"/>
          <w:sz w:val="24"/>
          <w:szCs w:val="24"/>
        </w:rPr>
        <w:t>日内完成最终验收；</w:t>
      </w:r>
    </w:p>
    <w:p>
      <w:pPr>
        <w:spacing w:before="1" w:line="278" w:lineRule="auto"/>
        <w:ind w:left="30" w:right="15" w:firstLine="513"/>
        <w:rPr>
          <w:rFonts w:ascii="仿宋" w:hAnsi="仿宋" w:eastAsia="仿宋" w:cs="仿宋"/>
          <w:sz w:val="24"/>
          <w:szCs w:val="24"/>
        </w:rPr>
      </w:pPr>
      <w:r>
        <w:rPr>
          <w:rFonts w:ascii="仿宋" w:hAnsi="仿宋" w:eastAsia="仿宋" w:cs="仿宋"/>
          <w:spacing w:val="-9"/>
          <w:sz w:val="24"/>
          <w:szCs w:val="24"/>
        </w:rPr>
        <w:t>(2)</w:t>
      </w:r>
      <w:r>
        <w:rPr>
          <w:rFonts w:ascii="仿宋" w:hAnsi="仿宋" w:eastAsia="仿宋" w:cs="仿宋"/>
          <w:spacing w:val="42"/>
          <w:sz w:val="24"/>
          <w:szCs w:val="24"/>
        </w:rPr>
        <w:t xml:space="preserve"> </w:t>
      </w:r>
      <w:r>
        <w:rPr>
          <w:rFonts w:ascii="仿宋" w:hAnsi="仿宋" w:eastAsia="仿宋" w:cs="仿宋"/>
          <w:spacing w:val="-9"/>
          <w:sz w:val="24"/>
          <w:szCs w:val="24"/>
        </w:rPr>
        <w:t>验收标准：</w:t>
      </w:r>
      <w:r>
        <w:rPr>
          <w:rFonts w:ascii="仿宋" w:hAnsi="仿宋" w:eastAsia="仿宋" w:cs="仿宋"/>
          <w:spacing w:val="54"/>
          <w:sz w:val="24"/>
          <w:szCs w:val="24"/>
        </w:rPr>
        <w:t xml:space="preserve"> </w:t>
      </w:r>
      <w:r>
        <w:rPr>
          <w:rFonts w:ascii="仿宋" w:hAnsi="仿宋" w:eastAsia="仿宋" w:cs="仿宋"/>
          <w:spacing w:val="-9"/>
          <w:sz w:val="24"/>
          <w:szCs w:val="24"/>
        </w:rPr>
        <w:t>按国家有关规定以及甲方招标文件的质量要求和技术指标、</w:t>
      </w:r>
      <w:r>
        <w:rPr>
          <w:rFonts w:ascii="仿宋" w:hAnsi="仿宋" w:eastAsia="仿宋" w:cs="仿宋"/>
          <w:sz w:val="24"/>
          <w:szCs w:val="24"/>
        </w:rPr>
        <w:t xml:space="preserve"> </w:t>
      </w:r>
      <w:r>
        <w:rPr>
          <w:rFonts w:ascii="仿宋" w:hAnsi="仿宋" w:eastAsia="仿宋" w:cs="仿宋"/>
          <w:spacing w:val="-7"/>
          <w:sz w:val="24"/>
          <w:szCs w:val="24"/>
        </w:rPr>
        <w:t>乙方的投标文件及承诺与本合同约定标准进行验收；</w:t>
      </w:r>
      <w:r>
        <w:rPr>
          <w:rFonts w:ascii="仿宋" w:hAnsi="仿宋" w:eastAsia="仿宋" w:cs="仿宋"/>
          <w:spacing w:val="14"/>
          <w:sz w:val="24"/>
          <w:szCs w:val="24"/>
        </w:rPr>
        <w:t xml:space="preserve"> </w:t>
      </w:r>
      <w:r>
        <w:rPr>
          <w:rFonts w:ascii="仿宋" w:hAnsi="仿宋" w:eastAsia="仿宋" w:cs="仿宋"/>
          <w:spacing w:val="-7"/>
          <w:sz w:val="24"/>
          <w:szCs w:val="24"/>
        </w:rPr>
        <w:t>甲乙双方如对质量要求和技</w:t>
      </w:r>
      <w:r>
        <w:rPr>
          <w:rFonts w:ascii="仿宋" w:hAnsi="仿宋" w:eastAsia="仿宋" w:cs="仿宋"/>
          <w:sz w:val="24"/>
          <w:szCs w:val="24"/>
        </w:rPr>
        <w:t xml:space="preserve"> </w:t>
      </w:r>
      <w:r>
        <w:rPr>
          <w:rFonts w:ascii="仿宋" w:hAnsi="仿宋" w:eastAsia="仿宋" w:cs="仿宋"/>
          <w:spacing w:val="-4"/>
          <w:sz w:val="24"/>
          <w:szCs w:val="24"/>
        </w:rPr>
        <w:t>术指标的约定标准有相互抵触或异议的事项，由甲方在招标与投标文件中按质量</w:t>
      </w:r>
      <w:r>
        <w:rPr>
          <w:rFonts w:ascii="仿宋" w:hAnsi="仿宋" w:eastAsia="仿宋" w:cs="仿宋"/>
          <w:spacing w:val="29"/>
          <w:sz w:val="24"/>
          <w:szCs w:val="24"/>
        </w:rPr>
        <w:t xml:space="preserve"> </w:t>
      </w:r>
      <w:r>
        <w:rPr>
          <w:rFonts w:ascii="仿宋" w:hAnsi="仿宋" w:eastAsia="仿宋" w:cs="仿宋"/>
          <w:spacing w:val="-1"/>
          <w:sz w:val="24"/>
          <w:szCs w:val="24"/>
        </w:rPr>
        <w:t>要求和技术指标比较优胜的原则确定该项的约定标准进行验收；</w:t>
      </w:r>
    </w:p>
    <w:p>
      <w:pPr>
        <w:spacing w:before="152" w:line="308" w:lineRule="auto"/>
        <w:ind w:left="29" w:right="70" w:firstLine="515"/>
        <w:rPr>
          <w:rFonts w:ascii="仿宋" w:hAnsi="仿宋" w:eastAsia="仿宋" w:cs="仿宋"/>
          <w:sz w:val="24"/>
          <w:szCs w:val="24"/>
        </w:rPr>
      </w:pPr>
      <w:r>
        <w:rPr>
          <w:rFonts w:ascii="仿宋" w:hAnsi="仿宋" w:eastAsia="仿宋" w:cs="仿宋"/>
          <w:spacing w:val="-5"/>
          <w:sz w:val="24"/>
          <w:szCs w:val="24"/>
        </w:rPr>
        <w:t>(3)</w:t>
      </w:r>
      <w:r>
        <w:rPr>
          <w:rFonts w:ascii="仿宋" w:hAnsi="仿宋" w:eastAsia="仿宋" w:cs="仿宋"/>
          <w:spacing w:val="25"/>
          <w:sz w:val="24"/>
          <w:szCs w:val="24"/>
        </w:rPr>
        <w:t xml:space="preserve"> </w:t>
      </w:r>
      <w:r>
        <w:rPr>
          <w:rFonts w:ascii="仿宋" w:hAnsi="仿宋" w:eastAsia="仿宋" w:cs="仿宋"/>
          <w:spacing w:val="-5"/>
          <w:sz w:val="24"/>
          <w:szCs w:val="24"/>
        </w:rPr>
        <w:t>验收时如发现所交付的货物有短装、次品、损坏或其它不符合标准及本</w:t>
      </w:r>
      <w:r>
        <w:rPr>
          <w:rFonts w:ascii="仿宋" w:hAnsi="仿宋" w:eastAsia="仿宋" w:cs="仿宋"/>
          <w:sz w:val="24"/>
          <w:szCs w:val="24"/>
        </w:rPr>
        <w:t xml:space="preserve"> </w:t>
      </w:r>
      <w:r>
        <w:rPr>
          <w:rFonts w:ascii="仿宋" w:hAnsi="仿宋" w:eastAsia="仿宋" w:cs="仿宋"/>
          <w:spacing w:val="-4"/>
          <w:sz w:val="24"/>
          <w:szCs w:val="24"/>
        </w:rPr>
        <w:t>合同规定之情形者，甲方应做出详尽的现场记录，或由甲乙双方签署备忘录，此</w:t>
      </w:r>
      <w:r>
        <w:rPr>
          <w:rFonts w:ascii="仿宋" w:hAnsi="仿宋" w:eastAsia="仿宋" w:cs="仿宋"/>
          <w:spacing w:val="31"/>
          <w:sz w:val="24"/>
          <w:szCs w:val="24"/>
        </w:rPr>
        <w:t xml:space="preserve"> </w:t>
      </w:r>
      <w:r>
        <w:rPr>
          <w:rFonts w:ascii="仿宋" w:hAnsi="仿宋" w:eastAsia="仿宋" w:cs="仿宋"/>
          <w:spacing w:val="-4"/>
          <w:sz w:val="24"/>
          <w:szCs w:val="24"/>
        </w:rPr>
        <w:t>现场记录或备忘录可用作补充、缺失和更换损坏部件的有效证据，由此产生的时</w:t>
      </w:r>
      <w:r>
        <w:rPr>
          <w:rFonts w:ascii="仿宋" w:hAnsi="仿宋" w:eastAsia="仿宋" w:cs="仿宋"/>
          <w:spacing w:val="31"/>
          <w:sz w:val="24"/>
          <w:szCs w:val="24"/>
        </w:rPr>
        <w:t xml:space="preserve"> </w:t>
      </w:r>
      <w:r>
        <w:rPr>
          <w:rFonts w:ascii="仿宋" w:hAnsi="仿宋" w:eastAsia="仿宋" w:cs="仿宋"/>
          <w:spacing w:val="-1"/>
          <w:sz w:val="24"/>
          <w:szCs w:val="24"/>
        </w:rPr>
        <w:t>间延误与有关费用由乙方承担，验收期限相应顺延；</w:t>
      </w:r>
    </w:p>
    <w:p>
      <w:pPr>
        <w:spacing w:before="1" w:line="201" w:lineRule="auto"/>
        <w:ind w:firstLine="544"/>
        <w:rPr>
          <w:rFonts w:ascii="仿宋" w:hAnsi="仿宋" w:eastAsia="仿宋" w:cs="仿宋"/>
          <w:sz w:val="24"/>
          <w:szCs w:val="24"/>
        </w:rPr>
      </w:pPr>
      <w:r>
        <w:rPr>
          <w:rFonts w:ascii="仿宋" w:hAnsi="仿宋" w:eastAsia="仿宋" w:cs="仿宋"/>
          <w:spacing w:val="-4"/>
          <w:sz w:val="24"/>
          <w:szCs w:val="24"/>
        </w:rPr>
        <w:t>(4)</w:t>
      </w:r>
      <w:r>
        <w:rPr>
          <w:rFonts w:ascii="仿宋" w:hAnsi="仿宋" w:eastAsia="仿宋" w:cs="仿宋"/>
          <w:spacing w:val="37"/>
          <w:sz w:val="24"/>
          <w:szCs w:val="24"/>
        </w:rPr>
        <w:t xml:space="preserve"> </w:t>
      </w:r>
      <w:r>
        <w:rPr>
          <w:rFonts w:ascii="仿宋" w:hAnsi="仿宋" w:eastAsia="仿宋" w:cs="仿宋"/>
          <w:spacing w:val="-4"/>
          <w:sz w:val="24"/>
          <w:szCs w:val="24"/>
        </w:rPr>
        <w:t>如质量验收合格，双方签署质量验收报告。</w:t>
      </w:r>
    </w:p>
    <w:p>
      <w:pPr>
        <w:spacing w:before="140" w:line="306" w:lineRule="auto"/>
        <w:ind w:left="28" w:right="26" w:firstLine="479"/>
        <w:rPr>
          <w:rFonts w:ascii="仿宋" w:hAnsi="仿宋" w:eastAsia="仿宋" w:cs="仿宋"/>
          <w:sz w:val="24"/>
          <w:szCs w:val="24"/>
        </w:rPr>
      </w:pPr>
      <w:r>
        <w:rPr>
          <w:rFonts w:ascii="仿宋" w:hAnsi="仿宋" w:eastAsia="仿宋" w:cs="仿宋"/>
          <w:spacing w:val="-5"/>
          <w:sz w:val="24"/>
          <w:szCs w:val="24"/>
        </w:rPr>
        <w:t>3、货物安装完成后</w:t>
      </w:r>
      <w:r>
        <w:rPr>
          <w:rFonts w:ascii="仿宋" w:hAnsi="仿宋" w:eastAsia="仿宋" w:cs="仿宋"/>
          <w:spacing w:val="18"/>
          <w:sz w:val="24"/>
          <w:szCs w:val="24"/>
          <w:u w:val="single"/>
        </w:rPr>
        <w:t xml:space="preserve">     </w:t>
      </w:r>
      <w:r>
        <w:rPr>
          <w:rFonts w:ascii="仿宋" w:hAnsi="仿宋" w:eastAsia="仿宋" w:cs="仿宋"/>
          <w:spacing w:val="-5"/>
          <w:sz w:val="24"/>
          <w:szCs w:val="24"/>
        </w:rPr>
        <w:t>日内，甲方无故不进行验收工作并已使用货物的，</w:t>
      </w:r>
      <w:r>
        <w:rPr>
          <w:rFonts w:ascii="仿宋" w:hAnsi="仿宋" w:eastAsia="仿宋" w:cs="仿宋"/>
          <w:spacing w:val="2"/>
          <w:sz w:val="24"/>
          <w:szCs w:val="24"/>
        </w:rPr>
        <w:t xml:space="preserve"> </w:t>
      </w:r>
      <w:r>
        <w:rPr>
          <w:rFonts w:ascii="仿宋" w:hAnsi="仿宋" w:eastAsia="仿宋" w:cs="仿宋"/>
          <w:spacing w:val="-1"/>
          <w:sz w:val="24"/>
          <w:szCs w:val="24"/>
        </w:rPr>
        <w:t>视同已安装调试完成并验收合格。</w:t>
      </w:r>
    </w:p>
    <w:p>
      <w:pPr>
        <w:spacing w:before="4" w:line="307" w:lineRule="auto"/>
        <w:ind w:left="29" w:right="96" w:firstLine="472"/>
        <w:rPr>
          <w:rFonts w:ascii="仿宋" w:hAnsi="仿宋" w:eastAsia="仿宋" w:cs="仿宋"/>
          <w:sz w:val="24"/>
          <w:szCs w:val="24"/>
        </w:rPr>
      </w:pPr>
      <w:r>
        <w:rPr>
          <w:rFonts w:ascii="仿宋" w:hAnsi="仿宋" w:eastAsia="仿宋" w:cs="仿宋"/>
          <w:spacing w:val="-1"/>
          <w:sz w:val="24"/>
          <w:szCs w:val="24"/>
        </w:rPr>
        <w:t>4、乙方应将所提供货物的装箱清单、配件、随机工具、用户使用手册、原</w:t>
      </w:r>
      <w:r>
        <w:rPr>
          <w:rFonts w:ascii="仿宋" w:hAnsi="仿宋" w:eastAsia="仿宋" w:cs="仿宋"/>
          <w:spacing w:val="25"/>
          <w:sz w:val="24"/>
          <w:szCs w:val="24"/>
        </w:rPr>
        <w:t xml:space="preserve"> </w:t>
      </w:r>
      <w:r>
        <w:rPr>
          <w:rFonts w:ascii="仿宋" w:hAnsi="仿宋" w:eastAsia="仿宋" w:cs="仿宋"/>
          <w:spacing w:val="-7"/>
          <w:sz w:val="24"/>
          <w:szCs w:val="24"/>
        </w:rPr>
        <w:t>厂保修卡等资料交付给甲方；</w:t>
      </w:r>
      <w:r>
        <w:rPr>
          <w:rFonts w:ascii="仿宋" w:hAnsi="仿宋" w:eastAsia="仿宋" w:cs="仿宋"/>
          <w:spacing w:val="102"/>
          <w:sz w:val="24"/>
          <w:szCs w:val="24"/>
        </w:rPr>
        <w:t xml:space="preserve"> </w:t>
      </w:r>
      <w:r>
        <w:rPr>
          <w:rFonts w:ascii="仿宋" w:hAnsi="仿宋" w:eastAsia="仿宋" w:cs="仿宋"/>
          <w:spacing w:val="-7"/>
          <w:sz w:val="24"/>
          <w:szCs w:val="24"/>
        </w:rPr>
        <w:t>乙方不能完整交付货物及本款规定的单证和工具</w:t>
      </w:r>
      <w:r>
        <w:rPr>
          <w:rFonts w:ascii="仿宋" w:hAnsi="仿宋" w:eastAsia="仿宋" w:cs="仿宋"/>
          <w:sz w:val="24"/>
          <w:szCs w:val="24"/>
        </w:rPr>
        <w:t xml:space="preserve">  </w:t>
      </w:r>
      <w:r>
        <w:rPr>
          <w:rFonts w:ascii="仿宋" w:hAnsi="仿宋" w:eastAsia="仿宋" w:cs="仿宋"/>
          <w:spacing w:val="-1"/>
          <w:sz w:val="24"/>
          <w:szCs w:val="24"/>
        </w:rPr>
        <w:t>的，必须负责补齐，否则视为未按合同约定交货。</w:t>
      </w:r>
    </w:p>
    <w:p>
      <w:pPr>
        <w:spacing w:before="3" w:line="307" w:lineRule="auto"/>
        <w:ind w:left="31" w:firstLine="475"/>
        <w:rPr>
          <w:rFonts w:ascii="仿宋" w:hAnsi="仿宋" w:eastAsia="仿宋" w:cs="仿宋"/>
          <w:sz w:val="24"/>
          <w:szCs w:val="24"/>
        </w:rPr>
      </w:pPr>
      <w:r>
        <w:rPr>
          <w:rFonts w:ascii="仿宋" w:hAnsi="仿宋" w:eastAsia="仿宋" w:cs="仿宋"/>
          <w:spacing w:val="-9"/>
          <w:sz w:val="24"/>
          <w:szCs w:val="24"/>
        </w:rPr>
        <w:t>5、如货物经乙方</w:t>
      </w:r>
      <w:r>
        <w:rPr>
          <w:rFonts w:ascii="仿宋" w:hAnsi="仿宋" w:eastAsia="仿宋" w:cs="仿宋"/>
          <w:spacing w:val="6"/>
          <w:sz w:val="24"/>
          <w:szCs w:val="24"/>
          <w:u w:val="single"/>
        </w:rPr>
        <w:t xml:space="preserve">   </w:t>
      </w:r>
      <w:r>
        <w:rPr>
          <w:rFonts w:ascii="仿宋" w:hAnsi="仿宋" w:eastAsia="仿宋" w:cs="仿宋"/>
          <w:spacing w:val="-9"/>
          <w:sz w:val="24"/>
          <w:szCs w:val="24"/>
        </w:rPr>
        <w:t>次维修仍不能达到合同约定的质量标准，甲方有权退货，</w:t>
      </w:r>
      <w:r>
        <w:rPr>
          <w:rFonts w:ascii="仿宋" w:hAnsi="仿宋" w:eastAsia="仿宋" w:cs="仿宋"/>
          <w:spacing w:val="2"/>
          <w:sz w:val="24"/>
          <w:szCs w:val="24"/>
        </w:rPr>
        <w:t xml:space="preserve"> </w:t>
      </w:r>
      <w:r>
        <w:rPr>
          <w:rFonts w:ascii="仿宋" w:hAnsi="仿宋" w:eastAsia="仿宋" w:cs="仿宋"/>
          <w:spacing w:val="-4"/>
          <w:sz w:val="24"/>
          <w:szCs w:val="24"/>
        </w:rPr>
        <w:t>并视作乙方不能交付货物而须支付违约赔偿金给甲方，甲方还可依法追究乙方的</w:t>
      </w:r>
      <w:r>
        <w:rPr>
          <w:rFonts w:ascii="仿宋" w:hAnsi="仿宋" w:eastAsia="仿宋" w:cs="仿宋"/>
          <w:spacing w:val="28"/>
          <w:sz w:val="24"/>
          <w:szCs w:val="24"/>
        </w:rPr>
        <w:t xml:space="preserve"> </w:t>
      </w:r>
      <w:r>
        <w:rPr>
          <w:rFonts w:ascii="仿宋" w:hAnsi="仿宋" w:eastAsia="仿宋" w:cs="仿宋"/>
          <w:spacing w:val="-4"/>
          <w:sz w:val="24"/>
          <w:szCs w:val="24"/>
        </w:rPr>
        <w:t>违约责任。</w:t>
      </w:r>
    </w:p>
    <w:p>
      <w:pPr>
        <w:spacing w:before="122" w:line="189" w:lineRule="auto"/>
        <w:outlineLvl w:val="0"/>
        <w:rPr>
          <w:rFonts w:ascii="仿宋" w:hAnsi="仿宋" w:eastAsia="仿宋" w:cs="仿宋"/>
          <w:spacing w:val="-16"/>
          <w:sz w:val="24"/>
          <w:szCs w:val="24"/>
        </w:rPr>
      </w:pPr>
      <w:r>
        <w:rPr>
          <w:rFonts w:ascii="仿宋" w:hAnsi="仿宋" w:eastAsia="仿宋" w:cs="仿宋"/>
          <w:spacing w:val="-1"/>
          <w:sz w:val="24"/>
          <w:szCs w:val="24"/>
        </w:rPr>
        <w:t>6、其他未尽事宜应严格按照《财政部关于进一步加强政府采购需求和履约</w:t>
      </w:r>
      <w:r>
        <w:rPr>
          <w:rFonts w:ascii="仿宋" w:hAnsi="仿宋" w:eastAsia="仿宋" w:cs="仿宋"/>
          <w:spacing w:val="22"/>
          <w:sz w:val="24"/>
          <w:szCs w:val="24"/>
        </w:rPr>
        <w:t xml:space="preserve"> </w:t>
      </w:r>
      <w:r>
        <w:rPr>
          <w:rFonts w:ascii="仿宋" w:hAnsi="仿宋" w:eastAsia="仿宋" w:cs="仿宋"/>
          <w:spacing w:val="-16"/>
          <w:sz w:val="24"/>
          <w:szCs w:val="24"/>
        </w:rPr>
        <w:t>验收管理的指导意见》</w:t>
      </w:r>
      <w:r>
        <w:rPr>
          <w:rFonts w:ascii="仿宋" w:hAnsi="仿宋" w:eastAsia="仿宋" w:cs="仿宋"/>
          <w:spacing w:val="17"/>
          <w:sz w:val="24"/>
          <w:szCs w:val="24"/>
        </w:rPr>
        <w:t xml:space="preserve"> </w:t>
      </w:r>
      <w:r>
        <w:rPr>
          <w:rFonts w:ascii="仿宋" w:hAnsi="仿宋" w:eastAsia="仿宋" w:cs="仿宋"/>
          <w:spacing w:val="-16"/>
          <w:sz w:val="24"/>
          <w:szCs w:val="24"/>
        </w:rPr>
        <w:t>（财库〔2016〕</w:t>
      </w:r>
      <w:r>
        <w:rPr>
          <w:rFonts w:ascii="仿宋" w:hAnsi="仿宋" w:eastAsia="仿宋" w:cs="仿宋"/>
          <w:spacing w:val="40"/>
          <w:sz w:val="24"/>
          <w:szCs w:val="24"/>
        </w:rPr>
        <w:t xml:space="preserve"> </w:t>
      </w:r>
      <w:r>
        <w:rPr>
          <w:rFonts w:ascii="仿宋" w:hAnsi="仿宋" w:eastAsia="仿宋" w:cs="仿宋"/>
          <w:spacing w:val="-16"/>
          <w:sz w:val="24"/>
          <w:szCs w:val="24"/>
        </w:rPr>
        <w:t>205</w:t>
      </w:r>
      <w:r>
        <w:rPr>
          <w:rFonts w:ascii="仿宋" w:hAnsi="仿宋" w:eastAsia="仿宋" w:cs="仿宋"/>
          <w:spacing w:val="-39"/>
          <w:sz w:val="24"/>
          <w:szCs w:val="24"/>
        </w:rPr>
        <w:t xml:space="preserve"> </w:t>
      </w:r>
      <w:r>
        <w:rPr>
          <w:rFonts w:ascii="仿宋" w:hAnsi="仿宋" w:eastAsia="仿宋" w:cs="仿宋"/>
          <w:spacing w:val="-16"/>
          <w:sz w:val="24"/>
          <w:szCs w:val="24"/>
        </w:rPr>
        <w:t>号）</w:t>
      </w:r>
      <w:r>
        <w:rPr>
          <w:rFonts w:ascii="仿宋" w:hAnsi="仿宋" w:eastAsia="仿宋" w:cs="仿宋"/>
          <w:spacing w:val="26"/>
          <w:sz w:val="24"/>
          <w:szCs w:val="24"/>
        </w:rPr>
        <w:t xml:space="preserve"> </w:t>
      </w:r>
      <w:r>
        <w:rPr>
          <w:rFonts w:ascii="仿宋" w:hAnsi="仿宋" w:eastAsia="仿宋" w:cs="仿宋"/>
          <w:spacing w:val="-16"/>
          <w:sz w:val="24"/>
          <w:szCs w:val="24"/>
        </w:rPr>
        <w:t>的要求进行。</w:t>
      </w:r>
    </w:p>
    <w:p>
      <w:pPr>
        <w:spacing w:before="122" w:line="189" w:lineRule="auto"/>
        <w:outlineLvl w:val="0"/>
        <w:rPr>
          <w:rFonts w:ascii="仿宋" w:hAnsi="仿宋" w:eastAsia="仿宋" w:cs="仿宋"/>
          <w:sz w:val="24"/>
          <w:szCs w:val="24"/>
        </w:rPr>
      </w:pPr>
      <w:r>
        <w:rPr>
          <w:rFonts w:ascii="仿宋" w:hAnsi="仿宋" w:eastAsia="仿宋" w:cs="仿宋"/>
          <w:spacing w:val="-3"/>
          <w:sz w:val="24"/>
          <w:szCs w:val="24"/>
          <w14:textOutline w14:w="4356" w14:cap="sq" w14:cmpd="sng" w14:algn="ctr">
            <w14:solidFill>
              <w14:srgbClr w14:val="000000"/>
            </w14:solidFill>
            <w14:prstDash w14:val="solid"/>
            <w14:bevel/>
          </w14:textOutline>
        </w:rPr>
        <w:t>五、付款方式</w:t>
      </w:r>
    </w:p>
    <w:p>
      <w:pPr>
        <w:spacing w:before="153" w:line="308" w:lineRule="auto"/>
        <w:ind w:left="31" w:firstLine="488"/>
        <w:rPr>
          <w:rFonts w:ascii="仿宋" w:hAnsi="仿宋" w:eastAsia="仿宋" w:cs="仿宋"/>
          <w:sz w:val="24"/>
          <w:szCs w:val="24"/>
        </w:rPr>
      </w:pPr>
      <w:r>
        <w:rPr>
          <w:rFonts w:ascii="仿宋" w:hAnsi="仿宋" w:eastAsia="仿宋" w:cs="仿宋"/>
          <w:spacing w:val="-1"/>
          <w:sz w:val="24"/>
          <w:szCs w:val="24"/>
        </w:rPr>
        <w:t>1、甲方在本合同签订生效之日起接到乙方通知和票据凭证资料以及乙方交</w:t>
      </w:r>
      <w:r>
        <w:rPr>
          <w:rFonts w:ascii="仿宋" w:hAnsi="仿宋" w:eastAsia="仿宋" w:cs="仿宋"/>
          <w:spacing w:val="6"/>
          <w:sz w:val="24"/>
          <w:szCs w:val="24"/>
        </w:rPr>
        <w:t xml:space="preserve"> </w:t>
      </w:r>
      <w:r>
        <w:rPr>
          <w:rFonts w:ascii="仿宋" w:hAnsi="仿宋" w:eastAsia="仿宋" w:cs="仿宋"/>
          <w:spacing w:val="-9"/>
          <w:sz w:val="24"/>
          <w:szCs w:val="24"/>
        </w:rPr>
        <w:t>给甲方的合同履约保证金（按合同总价的百分之</w:t>
      </w:r>
      <w:r>
        <w:rPr>
          <w:rFonts w:ascii="仿宋" w:hAnsi="仿宋" w:eastAsia="仿宋" w:cs="仿宋"/>
          <w:spacing w:val="20"/>
          <w:sz w:val="24"/>
          <w:szCs w:val="24"/>
        </w:rPr>
        <w:t xml:space="preserve">  </w:t>
      </w:r>
      <w:r>
        <w:rPr>
          <w:rFonts w:ascii="仿宋" w:hAnsi="仿宋" w:eastAsia="仿宋" w:cs="仿宋"/>
          <w:spacing w:val="-9"/>
          <w:sz w:val="24"/>
          <w:szCs w:val="24"/>
        </w:rPr>
        <w:t>计算款额￥</w:t>
      </w:r>
      <w:r>
        <w:rPr>
          <w:rFonts w:ascii="仿宋" w:hAnsi="仿宋" w:eastAsia="仿宋" w:cs="仿宋"/>
          <w:spacing w:val="3"/>
          <w:sz w:val="24"/>
          <w:szCs w:val="24"/>
          <w:u w:val="single"/>
        </w:rPr>
        <w:t xml:space="preserve">             </w:t>
      </w:r>
      <w:r>
        <w:rPr>
          <w:rFonts w:ascii="仿宋" w:hAnsi="仿宋" w:eastAsia="仿宋" w:cs="仿宋"/>
          <w:spacing w:val="-9"/>
          <w:sz w:val="24"/>
          <w:szCs w:val="24"/>
        </w:rPr>
        <w:t>元，</w:t>
      </w:r>
      <w:r>
        <w:rPr>
          <w:rFonts w:ascii="仿宋" w:hAnsi="仿宋" w:eastAsia="仿宋" w:cs="仿宋"/>
          <w:spacing w:val="11"/>
          <w:sz w:val="24"/>
          <w:szCs w:val="24"/>
        </w:rPr>
        <w:t xml:space="preserve"> </w:t>
      </w:r>
      <w:r>
        <w:rPr>
          <w:rFonts w:ascii="仿宋" w:hAnsi="仿宋" w:eastAsia="仿宋" w:cs="仿宋"/>
          <w:spacing w:val="-21"/>
          <w:sz w:val="24"/>
          <w:szCs w:val="24"/>
        </w:rPr>
        <w:t>人民币大写：</w:t>
      </w:r>
      <w:r>
        <w:rPr>
          <w:rFonts w:ascii="仿宋" w:hAnsi="仿宋" w:eastAsia="仿宋" w:cs="仿宋"/>
          <w:sz w:val="24"/>
          <w:szCs w:val="24"/>
          <w:u w:val="single"/>
        </w:rPr>
        <w:t xml:space="preserve">                             </w:t>
      </w:r>
      <w:r>
        <w:rPr>
          <w:rFonts w:ascii="仿宋" w:hAnsi="仿宋" w:eastAsia="仿宋" w:cs="仿宋"/>
          <w:spacing w:val="-21"/>
          <w:sz w:val="24"/>
          <w:szCs w:val="24"/>
        </w:rPr>
        <w:t>元整）</w:t>
      </w:r>
      <w:r>
        <w:rPr>
          <w:rFonts w:ascii="仿宋" w:hAnsi="仿宋" w:eastAsia="仿宋" w:cs="仿宋"/>
          <w:spacing w:val="-19"/>
          <w:sz w:val="24"/>
          <w:szCs w:val="24"/>
        </w:rPr>
        <w:t xml:space="preserve"> </w:t>
      </w:r>
      <w:r>
        <w:rPr>
          <w:rFonts w:ascii="仿宋" w:hAnsi="仿宋" w:eastAsia="仿宋" w:cs="仿宋"/>
          <w:spacing w:val="-21"/>
          <w:sz w:val="24"/>
          <w:szCs w:val="24"/>
        </w:rPr>
        <w:t>后的</w:t>
      </w:r>
      <w:r>
        <w:rPr>
          <w:rFonts w:ascii="仿宋" w:hAnsi="仿宋" w:eastAsia="仿宋" w:cs="仿宋"/>
          <w:spacing w:val="16"/>
          <w:sz w:val="24"/>
          <w:szCs w:val="24"/>
          <w:u w:val="single"/>
        </w:rPr>
        <w:t xml:space="preserve">    </w:t>
      </w:r>
      <w:r>
        <w:rPr>
          <w:rFonts w:ascii="仿宋" w:hAnsi="仿宋" w:eastAsia="仿宋" w:cs="仿宋"/>
          <w:spacing w:val="-21"/>
          <w:sz w:val="24"/>
          <w:szCs w:val="24"/>
        </w:rPr>
        <w:t>日内支付合同金额</w:t>
      </w:r>
      <w:r>
        <w:rPr>
          <w:rFonts w:ascii="仿宋" w:hAnsi="仿宋" w:eastAsia="仿宋" w:cs="仿宋"/>
          <w:spacing w:val="2"/>
          <w:sz w:val="24"/>
          <w:szCs w:val="24"/>
        </w:rPr>
        <w:t xml:space="preserve"> </w:t>
      </w:r>
      <w:r>
        <w:rPr>
          <w:rFonts w:ascii="仿宋" w:hAnsi="仿宋" w:eastAsia="仿宋" w:cs="仿宋"/>
          <w:spacing w:val="-7"/>
          <w:sz w:val="24"/>
          <w:szCs w:val="24"/>
        </w:rPr>
        <w:t>百分之</w:t>
      </w:r>
      <w:r>
        <w:rPr>
          <w:rFonts w:ascii="仿宋" w:hAnsi="仿宋" w:eastAsia="仿宋" w:cs="仿宋"/>
          <w:spacing w:val="6"/>
          <w:sz w:val="24"/>
          <w:szCs w:val="24"/>
          <w:u w:val="single"/>
        </w:rPr>
        <w:t xml:space="preserve">     </w:t>
      </w:r>
      <w:r>
        <w:rPr>
          <w:rFonts w:ascii="仿宋" w:hAnsi="仿宋" w:eastAsia="仿宋" w:cs="仿宋"/>
          <w:spacing w:val="-7"/>
          <w:sz w:val="24"/>
          <w:szCs w:val="24"/>
        </w:rPr>
        <w:t>的价款；</w:t>
      </w:r>
    </w:p>
    <w:p>
      <w:pPr>
        <w:spacing w:line="278" w:lineRule="auto"/>
        <w:ind w:left="29" w:right="96" w:firstLine="476"/>
        <w:rPr>
          <w:rFonts w:ascii="仿宋" w:hAnsi="仿宋" w:eastAsia="仿宋" w:cs="仿宋"/>
          <w:sz w:val="24"/>
          <w:szCs w:val="24"/>
        </w:rPr>
      </w:pPr>
      <w:r>
        <w:rPr>
          <w:rFonts w:ascii="仿宋" w:hAnsi="仿宋" w:eastAsia="仿宋" w:cs="仿宋"/>
          <w:spacing w:val="-1"/>
          <w:sz w:val="24"/>
          <w:szCs w:val="24"/>
        </w:rPr>
        <w:t>2、全部货物安装调试完毕并验收合格之日起，甲方接到乙方通知与票据凭</w:t>
      </w:r>
      <w:r>
        <w:rPr>
          <w:rFonts w:ascii="仿宋" w:hAnsi="仿宋" w:eastAsia="仿宋" w:cs="仿宋"/>
          <w:spacing w:val="21"/>
          <w:sz w:val="24"/>
          <w:szCs w:val="24"/>
        </w:rPr>
        <w:t xml:space="preserve"> </w:t>
      </w:r>
      <w:r>
        <w:rPr>
          <w:rFonts w:ascii="仿宋" w:hAnsi="仿宋" w:eastAsia="仿宋" w:cs="仿宋"/>
          <w:spacing w:val="-4"/>
          <w:sz w:val="24"/>
          <w:szCs w:val="24"/>
        </w:rPr>
        <w:t>证资料以后的</w:t>
      </w:r>
      <w:r>
        <w:rPr>
          <w:rFonts w:ascii="仿宋" w:hAnsi="仿宋" w:eastAsia="仿宋" w:cs="仿宋"/>
          <w:spacing w:val="13"/>
          <w:sz w:val="24"/>
          <w:szCs w:val="24"/>
          <w:u w:val="single"/>
        </w:rPr>
        <w:t xml:space="preserve">      </w:t>
      </w:r>
      <w:r>
        <w:rPr>
          <w:rFonts w:ascii="仿宋" w:hAnsi="仿宋" w:eastAsia="仿宋" w:cs="仿宋"/>
          <w:spacing w:val="-4"/>
          <w:sz w:val="24"/>
          <w:szCs w:val="24"/>
        </w:rPr>
        <w:t>日内，提交支付凭证资料给</w:t>
      </w:r>
      <w:r>
        <w:rPr>
          <w:rFonts w:ascii="仿宋" w:hAnsi="仿宋" w:eastAsia="仿宋" w:cs="仿宋"/>
          <w:spacing w:val="2"/>
          <w:sz w:val="24"/>
          <w:szCs w:val="24"/>
          <w:u w:val="single"/>
        </w:rPr>
        <w:t xml:space="preserve">       </w:t>
      </w:r>
      <w:r>
        <w:rPr>
          <w:rFonts w:ascii="仿宋" w:hAnsi="仿宋" w:eastAsia="仿宋" w:cs="仿宋"/>
          <w:spacing w:val="-4"/>
          <w:sz w:val="24"/>
          <w:szCs w:val="24"/>
        </w:rPr>
        <w:t>财政国库支付执行机构</w:t>
      </w:r>
      <w:r>
        <w:rPr>
          <w:rFonts w:ascii="仿宋" w:hAnsi="仿宋" w:eastAsia="仿宋" w:cs="仿宋"/>
          <w:spacing w:val="4"/>
          <w:sz w:val="24"/>
          <w:szCs w:val="24"/>
        </w:rPr>
        <w:t xml:space="preserve"> </w:t>
      </w:r>
      <w:r>
        <w:rPr>
          <w:rFonts w:ascii="仿宋" w:hAnsi="仿宋" w:eastAsia="仿宋" w:cs="仿宋"/>
          <w:spacing w:val="-3"/>
          <w:sz w:val="24"/>
          <w:szCs w:val="24"/>
        </w:rPr>
        <w:t>办理财政国库支付手续，并由其向乙方核拨合同总价的百分之</w:t>
      </w:r>
      <w:r>
        <w:rPr>
          <w:rFonts w:ascii="仿宋" w:hAnsi="仿宋" w:eastAsia="仿宋" w:cs="仿宋"/>
          <w:spacing w:val="12"/>
          <w:sz w:val="24"/>
          <w:szCs w:val="24"/>
          <w:u w:val="single"/>
        </w:rPr>
        <w:t xml:space="preserve">   </w:t>
      </w:r>
      <w:r>
        <w:rPr>
          <w:rFonts w:ascii="仿宋" w:hAnsi="仿宋" w:eastAsia="仿宋" w:cs="仿宋"/>
          <w:spacing w:val="-3"/>
          <w:sz w:val="24"/>
          <w:szCs w:val="24"/>
        </w:rPr>
        <w:t>款项：</w:t>
      </w:r>
      <w:r>
        <w:rPr>
          <w:rFonts w:ascii="仿宋" w:hAnsi="仿宋" w:eastAsia="仿宋" w:cs="仿宋"/>
          <w:sz w:val="24"/>
          <w:szCs w:val="24"/>
        </w:rPr>
        <w:t xml:space="preserve">       </w:t>
      </w:r>
      <w:r>
        <w:rPr>
          <w:rFonts w:ascii="仿宋" w:hAnsi="仿宋" w:eastAsia="仿宋" w:cs="仿宋"/>
          <w:spacing w:val="-8"/>
          <w:sz w:val="24"/>
          <w:szCs w:val="24"/>
        </w:rPr>
        <w:t>￥</w:t>
      </w:r>
      <w:r>
        <w:rPr>
          <w:rFonts w:ascii="仿宋" w:hAnsi="仿宋" w:eastAsia="仿宋" w:cs="仿宋"/>
          <w:spacing w:val="10"/>
          <w:sz w:val="24"/>
          <w:szCs w:val="24"/>
          <w:u w:val="single"/>
        </w:rPr>
        <w:t xml:space="preserve">     </w:t>
      </w:r>
      <w:r>
        <w:rPr>
          <w:rFonts w:ascii="仿宋" w:hAnsi="仿宋" w:eastAsia="仿宋" w:cs="仿宋"/>
          <w:spacing w:val="-8"/>
          <w:sz w:val="24"/>
          <w:szCs w:val="24"/>
        </w:rPr>
        <w:t>元，人民币大写</w:t>
      </w:r>
      <w:r>
        <w:rPr>
          <w:rFonts w:ascii="仿宋" w:hAnsi="仿宋" w:eastAsia="仿宋" w:cs="仿宋"/>
          <w:spacing w:val="5"/>
          <w:sz w:val="24"/>
          <w:szCs w:val="24"/>
          <w:u w:val="single"/>
        </w:rPr>
        <w:t xml:space="preserve">    </w:t>
      </w:r>
      <w:r>
        <w:rPr>
          <w:rFonts w:ascii="仿宋" w:hAnsi="仿宋" w:eastAsia="仿宋" w:cs="仿宋"/>
          <w:spacing w:val="-8"/>
          <w:sz w:val="24"/>
          <w:szCs w:val="24"/>
        </w:rPr>
        <w:t>元整；</w:t>
      </w:r>
    </w:p>
    <w:p>
      <w:pPr>
        <w:spacing w:before="154" w:line="268" w:lineRule="auto"/>
        <w:ind w:left="41" w:right="70" w:firstLine="466"/>
        <w:rPr>
          <w:rFonts w:ascii="仿宋" w:hAnsi="仿宋" w:eastAsia="仿宋" w:cs="仿宋"/>
          <w:sz w:val="24"/>
          <w:szCs w:val="24"/>
        </w:rPr>
      </w:pPr>
      <w:r>
        <w:rPr>
          <w:rFonts w:ascii="仿宋" w:hAnsi="仿宋" w:eastAsia="仿宋" w:cs="仿宋"/>
          <w:spacing w:val="-7"/>
          <w:sz w:val="24"/>
          <w:szCs w:val="24"/>
        </w:rPr>
        <w:t>3、履约保证金退还：</w:t>
      </w:r>
      <w:r>
        <w:rPr>
          <w:rFonts w:ascii="仿宋" w:hAnsi="仿宋" w:eastAsia="仿宋" w:cs="仿宋"/>
          <w:spacing w:val="66"/>
          <w:sz w:val="24"/>
          <w:szCs w:val="24"/>
        </w:rPr>
        <w:t xml:space="preserve"> </w:t>
      </w:r>
      <w:r>
        <w:rPr>
          <w:rFonts w:ascii="仿宋" w:hAnsi="仿宋" w:eastAsia="仿宋" w:cs="仿宋"/>
          <w:spacing w:val="-7"/>
          <w:sz w:val="24"/>
          <w:szCs w:val="24"/>
        </w:rPr>
        <w:t>在货物验收合格满</w:t>
      </w:r>
      <w:r>
        <w:rPr>
          <w:rFonts w:ascii="仿宋" w:hAnsi="仿宋" w:eastAsia="仿宋" w:cs="仿宋"/>
          <w:spacing w:val="4"/>
          <w:sz w:val="24"/>
          <w:szCs w:val="24"/>
          <w:u w:val="single"/>
        </w:rPr>
        <w:t xml:space="preserve">    </w:t>
      </w:r>
      <w:r>
        <w:rPr>
          <w:rFonts w:ascii="仿宋" w:hAnsi="仿宋" w:eastAsia="仿宋" w:cs="仿宋"/>
          <w:spacing w:val="-7"/>
          <w:sz w:val="24"/>
          <w:szCs w:val="24"/>
        </w:rPr>
        <w:t>后，甲方接到乙方通知和支付</w:t>
      </w:r>
      <w:r>
        <w:rPr>
          <w:rFonts w:ascii="仿宋" w:hAnsi="仿宋" w:eastAsia="仿宋" w:cs="仿宋"/>
          <w:spacing w:val="1"/>
          <w:sz w:val="24"/>
          <w:szCs w:val="24"/>
        </w:rPr>
        <w:t xml:space="preserve"> </w:t>
      </w:r>
      <w:r>
        <w:rPr>
          <w:rFonts w:ascii="仿宋" w:hAnsi="仿宋" w:eastAsia="仿宋" w:cs="仿宋"/>
          <w:spacing w:val="-4"/>
          <w:sz w:val="24"/>
          <w:szCs w:val="24"/>
        </w:rPr>
        <w:t>凭证资料文件，以及由甲方确认本合同货物质量与服务等约定事项已经履行完毕</w:t>
      </w:r>
      <w:r>
        <w:rPr>
          <w:rFonts w:ascii="仿宋" w:hAnsi="仿宋" w:eastAsia="仿宋" w:cs="仿宋"/>
          <w:spacing w:val="19"/>
          <w:sz w:val="24"/>
          <w:szCs w:val="24"/>
        </w:rPr>
        <w:t xml:space="preserve"> </w:t>
      </w:r>
      <w:r>
        <w:rPr>
          <w:rFonts w:ascii="仿宋" w:hAnsi="仿宋" w:eastAsia="仿宋" w:cs="仿宋"/>
          <w:spacing w:val="-3"/>
          <w:sz w:val="24"/>
          <w:szCs w:val="24"/>
        </w:rPr>
        <w:t>的正式书面文件后的</w:t>
      </w:r>
      <w:r>
        <w:rPr>
          <w:rFonts w:ascii="仿宋" w:hAnsi="仿宋" w:eastAsia="仿宋" w:cs="仿宋"/>
          <w:spacing w:val="13"/>
          <w:sz w:val="24"/>
          <w:szCs w:val="24"/>
          <w:u w:val="single"/>
        </w:rPr>
        <w:t xml:space="preserve">     </w:t>
      </w:r>
      <w:r>
        <w:rPr>
          <w:rFonts w:ascii="仿宋" w:hAnsi="仿宋" w:eastAsia="仿宋" w:cs="仿宋"/>
          <w:spacing w:val="-3"/>
          <w:sz w:val="24"/>
          <w:szCs w:val="24"/>
        </w:rPr>
        <w:t>日内，递交结算凭证资料给银行并由其向乙方支付价</w:t>
      </w:r>
    </w:p>
    <w:p>
      <w:pPr>
        <w:spacing w:before="153" w:line="189" w:lineRule="auto"/>
        <w:ind w:firstLine="29"/>
        <w:rPr>
          <w:rFonts w:ascii="仿宋" w:hAnsi="仿宋" w:eastAsia="仿宋" w:cs="仿宋"/>
          <w:sz w:val="24"/>
          <w:szCs w:val="24"/>
        </w:rPr>
      </w:pPr>
      <w:r>
        <w:rPr>
          <w:rFonts w:ascii="仿宋" w:hAnsi="仿宋" w:eastAsia="仿宋" w:cs="仿宋"/>
          <w:spacing w:val="-19"/>
          <w:sz w:val="24"/>
          <w:szCs w:val="24"/>
        </w:rPr>
        <w:t>款￥</w:t>
      </w:r>
      <w:r>
        <w:rPr>
          <w:rFonts w:ascii="仿宋" w:hAnsi="仿宋" w:eastAsia="仿宋" w:cs="仿宋"/>
          <w:spacing w:val="9"/>
          <w:sz w:val="24"/>
          <w:szCs w:val="24"/>
          <w:u w:val="single"/>
        </w:rPr>
        <w:t xml:space="preserve">      </w:t>
      </w:r>
      <w:r>
        <w:rPr>
          <w:rFonts w:ascii="仿宋" w:hAnsi="仿宋" w:eastAsia="仿宋" w:cs="仿宋"/>
          <w:spacing w:val="-19"/>
          <w:sz w:val="24"/>
          <w:szCs w:val="24"/>
        </w:rPr>
        <w:t>元，</w:t>
      </w:r>
      <w:r>
        <w:rPr>
          <w:rFonts w:ascii="仿宋" w:hAnsi="仿宋" w:eastAsia="仿宋" w:cs="仿宋"/>
          <w:spacing w:val="22"/>
          <w:sz w:val="24"/>
          <w:szCs w:val="24"/>
        </w:rPr>
        <w:t xml:space="preserve"> </w:t>
      </w:r>
      <w:r>
        <w:rPr>
          <w:rFonts w:ascii="仿宋" w:hAnsi="仿宋" w:eastAsia="仿宋" w:cs="仿宋"/>
          <w:spacing w:val="-19"/>
          <w:sz w:val="24"/>
          <w:szCs w:val="24"/>
        </w:rPr>
        <w:t>人民币大写：</w:t>
      </w:r>
      <w:r>
        <w:rPr>
          <w:rFonts w:ascii="仿宋" w:hAnsi="仿宋" w:eastAsia="仿宋" w:cs="仿宋"/>
          <w:spacing w:val="3"/>
          <w:sz w:val="24"/>
          <w:szCs w:val="24"/>
          <w:u w:val="single"/>
        </w:rPr>
        <w:t xml:space="preserve">               </w:t>
      </w:r>
      <w:r>
        <w:rPr>
          <w:rFonts w:ascii="仿宋" w:hAnsi="仿宋" w:eastAsia="仿宋" w:cs="仿宋"/>
          <w:spacing w:val="-19"/>
          <w:sz w:val="24"/>
          <w:szCs w:val="24"/>
        </w:rPr>
        <w:t>元整；</w:t>
      </w:r>
      <w:r>
        <w:rPr>
          <w:rFonts w:ascii="仿宋" w:hAnsi="仿宋" w:eastAsia="仿宋" w:cs="仿宋"/>
          <w:spacing w:val="79"/>
          <w:sz w:val="24"/>
          <w:szCs w:val="24"/>
        </w:rPr>
        <w:t xml:space="preserve"> </w:t>
      </w:r>
      <w:r>
        <w:rPr>
          <w:rFonts w:ascii="仿宋" w:hAnsi="仿宋" w:eastAsia="仿宋" w:cs="仿宋"/>
          <w:spacing w:val="-19"/>
          <w:sz w:val="24"/>
          <w:szCs w:val="24"/>
        </w:rPr>
        <w:t>乙方履约不合格的，履约</w:t>
      </w:r>
    </w:p>
    <w:p>
      <w:pPr>
        <w:spacing w:before="155" w:line="189" w:lineRule="auto"/>
        <w:ind w:firstLine="30"/>
        <w:rPr>
          <w:rFonts w:ascii="仿宋" w:hAnsi="仿宋" w:eastAsia="仿宋" w:cs="仿宋"/>
          <w:sz w:val="24"/>
          <w:szCs w:val="24"/>
        </w:rPr>
      </w:pPr>
      <w:r>
        <w:rPr>
          <w:rFonts w:ascii="仿宋" w:hAnsi="仿宋" w:eastAsia="仿宋" w:cs="仿宋"/>
          <w:spacing w:val="-3"/>
          <w:sz w:val="24"/>
          <w:szCs w:val="24"/>
        </w:rPr>
        <w:t>保证金不予退还。</w:t>
      </w:r>
    </w:p>
    <w:p>
      <w:pPr>
        <w:spacing w:before="155" w:line="189" w:lineRule="auto"/>
        <w:ind w:firstLine="501"/>
        <w:rPr>
          <w:rFonts w:ascii="仿宋" w:hAnsi="仿宋" w:eastAsia="仿宋" w:cs="仿宋"/>
          <w:sz w:val="24"/>
          <w:szCs w:val="24"/>
        </w:rPr>
      </w:pPr>
      <w:r>
        <w:rPr>
          <w:rFonts w:ascii="仿宋" w:hAnsi="仿宋" w:eastAsia="仿宋" w:cs="仿宋"/>
          <w:spacing w:val="-1"/>
          <w:sz w:val="24"/>
          <w:szCs w:val="24"/>
        </w:rPr>
        <w:t>4、乙方须向甲方出具合法有效完整的完税发票及凭证资料进行支付结算。</w:t>
      </w:r>
    </w:p>
    <w:p>
      <w:pPr>
        <w:spacing w:before="153" w:line="189" w:lineRule="auto"/>
        <w:ind w:firstLine="511"/>
        <w:outlineLvl w:val="0"/>
        <w:rPr>
          <w:rFonts w:ascii="仿宋" w:hAnsi="仿宋" w:eastAsia="仿宋" w:cs="仿宋"/>
          <w:sz w:val="24"/>
          <w:szCs w:val="24"/>
        </w:rPr>
      </w:pPr>
      <w:r>
        <w:rPr>
          <w:rFonts w:ascii="仿宋" w:hAnsi="仿宋" w:eastAsia="仿宋" w:cs="仿宋"/>
          <w:spacing w:val="-3"/>
          <w:sz w:val="24"/>
          <w:szCs w:val="24"/>
          <w14:textOutline w14:w="4356" w14:cap="sq" w14:cmpd="sng" w14:algn="ctr">
            <w14:solidFill>
              <w14:srgbClr w14:val="000000"/>
            </w14:solidFill>
            <w14:prstDash w14:val="solid"/>
            <w14:bevel/>
          </w14:textOutline>
        </w:rPr>
        <w:t>六、售后服务</w:t>
      </w:r>
    </w:p>
    <w:p>
      <w:pPr>
        <w:spacing w:before="156" w:line="284" w:lineRule="auto"/>
        <w:ind w:left="29" w:right="70" w:firstLine="490"/>
        <w:rPr>
          <w:rFonts w:ascii="仿宋" w:hAnsi="仿宋" w:eastAsia="仿宋" w:cs="仿宋"/>
          <w:sz w:val="24"/>
          <w:szCs w:val="24"/>
        </w:rPr>
      </w:pPr>
      <w:r>
        <w:rPr>
          <w:rFonts w:ascii="仿宋" w:hAnsi="仿宋" w:eastAsia="仿宋" w:cs="仿宋"/>
          <w:spacing w:val="-5"/>
          <w:sz w:val="24"/>
          <w:szCs w:val="24"/>
        </w:rPr>
        <w:t>1、质保期为验收合格后</w:t>
      </w:r>
      <w:r>
        <w:rPr>
          <w:rFonts w:ascii="仿宋" w:hAnsi="仿宋" w:eastAsia="仿宋" w:cs="仿宋"/>
          <w:spacing w:val="-31"/>
          <w:sz w:val="24"/>
          <w:szCs w:val="24"/>
        </w:rPr>
        <w:t xml:space="preserve"> </w:t>
      </w:r>
      <w:r>
        <w:rPr>
          <w:rFonts w:ascii="仿宋" w:hAnsi="仿宋" w:eastAsia="仿宋" w:cs="仿宋"/>
          <w:spacing w:val="-5"/>
          <w:sz w:val="24"/>
          <w:szCs w:val="24"/>
        </w:rPr>
        <w:t>XX</w:t>
      </w:r>
      <w:r>
        <w:rPr>
          <w:rFonts w:ascii="仿宋" w:hAnsi="仿宋" w:eastAsia="仿宋" w:cs="仿宋"/>
          <w:spacing w:val="-39"/>
          <w:sz w:val="24"/>
          <w:szCs w:val="24"/>
        </w:rPr>
        <w:t xml:space="preserve"> </w:t>
      </w:r>
      <w:r>
        <w:rPr>
          <w:rFonts w:ascii="仿宋" w:hAnsi="仿宋" w:eastAsia="仿宋" w:cs="仿宋"/>
          <w:spacing w:val="-5"/>
          <w:sz w:val="24"/>
          <w:szCs w:val="24"/>
        </w:rPr>
        <w:t>年，质保期内出现质量问题，乙方在接到通知后</w:t>
      </w:r>
      <w:r>
        <w:rPr>
          <w:rFonts w:ascii="仿宋" w:hAnsi="仿宋" w:eastAsia="仿宋" w:cs="仿宋"/>
          <w:sz w:val="24"/>
          <w:szCs w:val="24"/>
        </w:rPr>
        <w:t xml:space="preserve"> </w:t>
      </w:r>
      <w:r>
        <w:rPr>
          <w:rFonts w:ascii="仿宋" w:hAnsi="仿宋" w:eastAsia="仿宋" w:cs="仿宋"/>
          <w:spacing w:val="-8"/>
          <w:sz w:val="24"/>
          <w:szCs w:val="24"/>
        </w:rPr>
        <w:t>小时内响应到场，</w:t>
      </w:r>
      <w:r>
        <w:rPr>
          <w:rFonts w:ascii="仿宋" w:hAnsi="仿宋" w:eastAsia="仿宋" w:cs="仿宋"/>
          <w:spacing w:val="43"/>
          <w:sz w:val="24"/>
          <w:szCs w:val="24"/>
          <w:u w:val="single"/>
        </w:rPr>
        <w:t xml:space="preserve">   </w:t>
      </w:r>
      <w:r>
        <w:rPr>
          <w:rFonts w:ascii="仿宋" w:hAnsi="仿宋" w:eastAsia="仿宋" w:cs="仿宋"/>
          <w:spacing w:val="-8"/>
          <w:sz w:val="24"/>
          <w:szCs w:val="24"/>
        </w:rPr>
        <w:t>小时内完成维修或更换，并承担修理调换的费用；</w:t>
      </w:r>
      <w:r>
        <w:rPr>
          <w:rFonts w:ascii="仿宋" w:hAnsi="仿宋" w:eastAsia="仿宋" w:cs="仿宋"/>
          <w:spacing w:val="25"/>
          <w:sz w:val="24"/>
          <w:szCs w:val="24"/>
        </w:rPr>
        <w:t xml:space="preserve"> </w:t>
      </w:r>
      <w:r>
        <w:rPr>
          <w:rFonts w:ascii="仿宋" w:hAnsi="仿宋" w:eastAsia="仿宋" w:cs="仿宋"/>
          <w:spacing w:val="-8"/>
          <w:sz w:val="24"/>
          <w:szCs w:val="24"/>
        </w:rPr>
        <w:t>如货物</w:t>
      </w:r>
      <w:r>
        <w:rPr>
          <w:rFonts w:ascii="仿宋" w:hAnsi="仿宋" w:eastAsia="仿宋" w:cs="仿宋"/>
          <w:sz w:val="24"/>
          <w:szCs w:val="24"/>
        </w:rPr>
        <w:t xml:space="preserve"> </w:t>
      </w:r>
      <w:r>
        <w:rPr>
          <w:rFonts w:ascii="仿宋" w:hAnsi="仿宋" w:eastAsia="仿宋" w:cs="仿宋"/>
          <w:spacing w:val="-1"/>
          <w:sz w:val="24"/>
          <w:szCs w:val="24"/>
        </w:rPr>
        <w:t>经乙方</w:t>
      </w:r>
      <w:r>
        <w:rPr>
          <w:rFonts w:ascii="仿宋" w:hAnsi="仿宋" w:eastAsia="仿宋" w:cs="仿宋"/>
          <w:spacing w:val="14"/>
          <w:sz w:val="24"/>
          <w:szCs w:val="24"/>
          <w:u w:val="single"/>
        </w:rPr>
        <w:t xml:space="preserve">   </w:t>
      </w:r>
      <w:r>
        <w:rPr>
          <w:rFonts w:ascii="仿宋" w:hAnsi="仿宋" w:eastAsia="仿宋" w:cs="仿宋"/>
          <w:spacing w:val="-1"/>
          <w:sz w:val="24"/>
          <w:szCs w:val="24"/>
        </w:rPr>
        <w:t>次维修仍不能达到本合同约定的质量标准，视作乙方未能按时交货，</w:t>
      </w:r>
      <w:r>
        <w:rPr>
          <w:rFonts w:ascii="仿宋" w:hAnsi="仿宋" w:eastAsia="仿宋" w:cs="仿宋"/>
          <w:spacing w:val="1"/>
          <w:sz w:val="24"/>
          <w:szCs w:val="24"/>
        </w:rPr>
        <w:t xml:space="preserve"> </w:t>
      </w:r>
      <w:r>
        <w:rPr>
          <w:rFonts w:ascii="仿宋" w:hAnsi="仿宋" w:eastAsia="仿宋" w:cs="仿宋"/>
          <w:spacing w:val="-1"/>
          <w:sz w:val="24"/>
          <w:szCs w:val="24"/>
        </w:rPr>
        <w:t>甲方有权退货并追究乙方的违约责任。货到现场后由于甲方保管不当造成的问</w:t>
      </w:r>
      <w:r>
        <w:rPr>
          <w:rFonts w:ascii="仿宋" w:hAnsi="仿宋" w:eastAsia="仿宋" w:cs="仿宋"/>
          <w:spacing w:val="9"/>
          <w:sz w:val="24"/>
          <w:szCs w:val="24"/>
        </w:rPr>
        <w:t xml:space="preserve">  </w:t>
      </w:r>
      <w:r>
        <w:rPr>
          <w:rFonts w:ascii="仿宋" w:hAnsi="仿宋" w:eastAsia="仿宋" w:cs="仿宋"/>
          <w:spacing w:val="-1"/>
          <w:sz w:val="24"/>
          <w:szCs w:val="24"/>
        </w:rPr>
        <w:t>题，乙方亦应负责修复，但费用由甲方负担。</w:t>
      </w:r>
    </w:p>
    <w:p>
      <w:pPr>
        <w:spacing w:before="152" w:line="189" w:lineRule="auto"/>
        <w:ind w:firstLine="505"/>
        <w:rPr>
          <w:rFonts w:ascii="仿宋" w:hAnsi="仿宋" w:eastAsia="仿宋" w:cs="仿宋"/>
          <w:sz w:val="24"/>
          <w:szCs w:val="24"/>
        </w:rPr>
      </w:pPr>
      <w:r>
        <w:rPr>
          <w:rFonts w:ascii="仿宋" w:hAnsi="仿宋" w:eastAsia="仿宋" w:cs="仿宋"/>
          <w:spacing w:val="-1"/>
          <w:sz w:val="24"/>
          <w:szCs w:val="24"/>
        </w:rPr>
        <w:t>2、乙方须指派专人负责与甲方联系售后服务事宜。</w:t>
      </w:r>
    </w:p>
    <w:p>
      <w:pPr>
        <w:spacing w:before="155" w:line="189" w:lineRule="auto"/>
        <w:ind w:firstLine="514"/>
        <w:outlineLvl w:val="0"/>
        <w:rPr>
          <w:rFonts w:ascii="仿宋" w:hAnsi="仿宋" w:eastAsia="仿宋" w:cs="仿宋"/>
          <w:sz w:val="24"/>
          <w:szCs w:val="24"/>
        </w:rPr>
      </w:pPr>
      <w:r>
        <w:rPr>
          <w:rFonts w:ascii="仿宋" w:hAnsi="仿宋" w:eastAsia="仿宋" w:cs="仿宋"/>
          <w:spacing w:val="-3"/>
          <w:sz w:val="24"/>
          <w:szCs w:val="24"/>
          <w14:textOutline w14:w="4356" w14:cap="sq" w14:cmpd="sng" w14:algn="ctr">
            <w14:solidFill>
              <w14:srgbClr w14:val="000000"/>
            </w14:solidFill>
            <w14:prstDash w14:val="solid"/>
            <w14:bevel/>
          </w14:textOutline>
        </w:rPr>
        <w:t>七、违约责任</w:t>
      </w:r>
    </w:p>
    <w:p>
      <w:pPr>
        <w:spacing w:before="155" w:line="189" w:lineRule="auto"/>
        <w:ind w:firstLine="520"/>
        <w:rPr>
          <w:rFonts w:ascii="仿宋" w:hAnsi="仿宋" w:eastAsia="仿宋" w:cs="仿宋"/>
          <w:sz w:val="24"/>
          <w:szCs w:val="24"/>
        </w:rPr>
      </w:pPr>
      <w:r>
        <w:rPr>
          <w:rFonts w:ascii="仿宋" w:hAnsi="仿宋" w:eastAsia="仿宋" w:cs="仿宋"/>
          <w:spacing w:val="-4"/>
          <w:sz w:val="24"/>
          <w:szCs w:val="24"/>
        </w:rPr>
        <w:t>1、甲方违约责任</w:t>
      </w:r>
    </w:p>
    <w:p>
      <w:pPr>
        <w:spacing w:before="153" w:line="189" w:lineRule="auto"/>
        <w:ind w:firstLine="509"/>
        <w:rPr>
          <w:rFonts w:ascii="仿宋" w:hAnsi="仿宋" w:eastAsia="仿宋" w:cs="仿宋"/>
          <w:sz w:val="24"/>
          <w:szCs w:val="24"/>
        </w:rPr>
      </w:pPr>
      <w:r>
        <w:rPr>
          <w:rFonts w:ascii="仿宋" w:hAnsi="仿宋" w:eastAsia="仿宋" w:cs="仿宋"/>
          <w:spacing w:val="-11"/>
          <w:sz w:val="24"/>
          <w:szCs w:val="24"/>
        </w:rPr>
        <w:t>（1）</w:t>
      </w:r>
      <w:r>
        <w:rPr>
          <w:rFonts w:ascii="仿宋" w:hAnsi="仿宋" w:eastAsia="仿宋" w:cs="仿宋"/>
          <w:spacing w:val="50"/>
          <w:sz w:val="24"/>
          <w:szCs w:val="24"/>
        </w:rPr>
        <w:t xml:space="preserve"> </w:t>
      </w:r>
      <w:r>
        <w:rPr>
          <w:rFonts w:ascii="仿宋" w:hAnsi="仿宋" w:eastAsia="仿宋" w:cs="仿宋"/>
          <w:spacing w:val="-11"/>
          <w:sz w:val="24"/>
          <w:szCs w:val="24"/>
        </w:rPr>
        <w:t>甲方无正当理由拒收货物的，甲方应偿付合同总价百分之</w:t>
      </w:r>
      <w:r>
        <w:rPr>
          <w:rFonts w:ascii="仿宋" w:hAnsi="仿宋" w:eastAsia="仿宋" w:cs="仿宋"/>
          <w:spacing w:val="15"/>
          <w:sz w:val="24"/>
          <w:szCs w:val="24"/>
        </w:rPr>
        <w:t xml:space="preserve">  </w:t>
      </w:r>
      <w:r>
        <w:rPr>
          <w:rFonts w:ascii="仿宋" w:hAnsi="仿宋" w:eastAsia="仿宋" w:cs="仿宋"/>
          <w:spacing w:val="-11"/>
          <w:sz w:val="24"/>
          <w:szCs w:val="24"/>
        </w:rPr>
        <w:t>的违约金；</w:t>
      </w:r>
    </w:p>
    <w:p>
      <w:pPr>
        <w:spacing w:before="155" w:line="189" w:lineRule="auto"/>
        <w:ind w:firstLine="509"/>
        <w:rPr>
          <w:rFonts w:ascii="仿宋" w:hAnsi="仿宋" w:eastAsia="仿宋" w:cs="仿宋"/>
          <w:sz w:val="24"/>
          <w:szCs w:val="24"/>
        </w:rPr>
      </w:pPr>
      <w:r>
        <w:rPr>
          <w:rFonts w:ascii="仿宋" w:hAnsi="仿宋" w:eastAsia="仿宋" w:cs="仿宋"/>
          <w:spacing w:val="-7"/>
          <w:sz w:val="24"/>
          <w:szCs w:val="24"/>
        </w:rPr>
        <w:t>（2）</w:t>
      </w:r>
      <w:r>
        <w:rPr>
          <w:rFonts w:ascii="仿宋" w:hAnsi="仿宋" w:eastAsia="仿宋" w:cs="仿宋"/>
          <w:spacing w:val="121"/>
          <w:sz w:val="24"/>
          <w:szCs w:val="24"/>
        </w:rPr>
        <w:t xml:space="preserve"> </w:t>
      </w:r>
      <w:r>
        <w:rPr>
          <w:rFonts w:ascii="仿宋" w:hAnsi="仿宋" w:eastAsia="仿宋" w:cs="仿宋"/>
          <w:spacing w:val="-7"/>
          <w:sz w:val="24"/>
          <w:szCs w:val="24"/>
        </w:rPr>
        <w:t>甲方逾期支付货款的，除应及时付足货款外，应向乙方偿付欠款总额</w:t>
      </w:r>
    </w:p>
    <w:p>
      <w:pPr>
        <w:spacing w:before="155" w:line="189" w:lineRule="auto"/>
        <w:ind w:firstLine="31"/>
        <w:rPr>
          <w:rFonts w:ascii="仿宋" w:hAnsi="仿宋" w:eastAsia="仿宋" w:cs="仿宋"/>
          <w:sz w:val="24"/>
          <w:szCs w:val="24"/>
        </w:rPr>
      </w:pPr>
      <w:r>
        <w:rPr>
          <w:rFonts w:ascii="仿宋" w:hAnsi="仿宋" w:eastAsia="仿宋" w:cs="仿宋"/>
          <w:spacing w:val="-9"/>
          <w:sz w:val="24"/>
          <w:szCs w:val="24"/>
        </w:rPr>
        <w:t>万分之</w:t>
      </w:r>
      <w:r>
        <w:rPr>
          <w:rFonts w:ascii="仿宋" w:hAnsi="仿宋" w:eastAsia="仿宋" w:cs="仿宋"/>
          <w:spacing w:val="46"/>
          <w:sz w:val="24"/>
          <w:szCs w:val="24"/>
          <w:u w:val="single"/>
        </w:rPr>
        <w:t xml:space="preserve"> </w:t>
      </w:r>
      <w:r>
        <w:rPr>
          <w:rFonts w:ascii="仿宋" w:hAnsi="仿宋" w:eastAsia="仿宋" w:cs="仿宋"/>
          <w:spacing w:val="-9"/>
          <w:sz w:val="24"/>
          <w:szCs w:val="24"/>
          <w:u w:val="single"/>
        </w:rPr>
        <w:t>1</w:t>
      </w:r>
      <w:r>
        <w:rPr>
          <w:rFonts w:ascii="仿宋" w:hAnsi="仿宋" w:eastAsia="仿宋" w:cs="仿宋"/>
          <w:spacing w:val="3"/>
          <w:sz w:val="24"/>
          <w:szCs w:val="24"/>
          <w:u w:val="single"/>
        </w:rPr>
        <w:t xml:space="preserve">  </w:t>
      </w:r>
      <w:r>
        <w:rPr>
          <w:rFonts w:ascii="仿宋" w:hAnsi="仿宋" w:eastAsia="仿宋" w:cs="仿宋"/>
          <w:spacing w:val="-9"/>
          <w:sz w:val="24"/>
          <w:szCs w:val="24"/>
        </w:rPr>
        <w:t>/天的违约金；</w:t>
      </w:r>
      <w:r>
        <w:rPr>
          <w:rFonts w:ascii="仿宋" w:hAnsi="仿宋" w:eastAsia="仿宋" w:cs="仿宋"/>
          <w:spacing w:val="62"/>
          <w:sz w:val="24"/>
          <w:szCs w:val="24"/>
        </w:rPr>
        <w:t xml:space="preserve"> </w:t>
      </w:r>
      <w:r>
        <w:rPr>
          <w:rFonts w:ascii="仿宋" w:hAnsi="仿宋" w:eastAsia="仿宋" w:cs="仿宋"/>
          <w:spacing w:val="-9"/>
          <w:sz w:val="24"/>
          <w:szCs w:val="24"/>
        </w:rPr>
        <w:t>逾期付款超过</w:t>
      </w:r>
      <w:r>
        <w:rPr>
          <w:rFonts w:ascii="仿宋" w:hAnsi="仿宋" w:eastAsia="仿宋" w:cs="仿宋"/>
          <w:spacing w:val="10"/>
          <w:sz w:val="24"/>
          <w:szCs w:val="24"/>
          <w:u w:val="single"/>
        </w:rPr>
        <w:t xml:space="preserve"> </w:t>
      </w:r>
      <w:r>
        <w:rPr>
          <w:rFonts w:ascii="仿宋" w:hAnsi="仿宋" w:eastAsia="仿宋" w:cs="仿宋"/>
          <w:spacing w:val="-9"/>
          <w:sz w:val="24"/>
          <w:szCs w:val="24"/>
          <w:u w:val="single"/>
        </w:rPr>
        <w:t>60</w:t>
      </w:r>
      <w:r>
        <w:rPr>
          <w:rFonts w:ascii="仿宋" w:hAnsi="仿宋" w:eastAsia="仿宋" w:cs="仿宋"/>
          <w:spacing w:val="17"/>
          <w:sz w:val="24"/>
          <w:szCs w:val="24"/>
          <w:u w:val="single"/>
        </w:rPr>
        <w:t xml:space="preserve"> </w:t>
      </w:r>
      <w:r>
        <w:rPr>
          <w:rFonts w:ascii="仿宋" w:hAnsi="仿宋" w:eastAsia="仿宋" w:cs="仿宋"/>
          <w:spacing w:val="-9"/>
          <w:sz w:val="24"/>
          <w:szCs w:val="24"/>
        </w:rPr>
        <w:t>天的，乙方有权终止合同；</w:t>
      </w:r>
    </w:p>
    <w:p>
      <w:pPr>
        <w:spacing w:before="152" w:line="249" w:lineRule="auto"/>
        <w:ind w:left="44" w:right="70" w:firstLine="465"/>
        <w:rPr>
          <w:rFonts w:ascii="仿宋" w:hAnsi="仿宋" w:eastAsia="仿宋" w:cs="仿宋"/>
          <w:sz w:val="24"/>
          <w:szCs w:val="24"/>
        </w:rPr>
      </w:pPr>
      <w:r>
        <w:rPr>
          <w:rFonts w:ascii="仿宋" w:hAnsi="仿宋" w:eastAsia="仿宋" w:cs="仿宋"/>
          <w:spacing w:val="-7"/>
          <w:sz w:val="24"/>
          <w:szCs w:val="24"/>
        </w:rPr>
        <w:t>（3）</w:t>
      </w:r>
      <w:r>
        <w:rPr>
          <w:rFonts w:ascii="仿宋" w:hAnsi="仿宋" w:eastAsia="仿宋" w:cs="仿宋"/>
          <w:spacing w:val="121"/>
          <w:sz w:val="24"/>
          <w:szCs w:val="24"/>
        </w:rPr>
        <w:t xml:space="preserve"> </w:t>
      </w:r>
      <w:r>
        <w:rPr>
          <w:rFonts w:ascii="仿宋" w:hAnsi="仿宋" w:eastAsia="仿宋" w:cs="仿宋"/>
          <w:spacing w:val="-7"/>
          <w:sz w:val="24"/>
          <w:szCs w:val="24"/>
        </w:rPr>
        <w:t>甲方偿付的违约金不足以弥补乙方损失的，还应按乙方损失尚未弥补</w:t>
      </w:r>
      <w:r>
        <w:rPr>
          <w:rFonts w:ascii="仿宋" w:hAnsi="仿宋" w:eastAsia="仿宋" w:cs="仿宋"/>
          <w:sz w:val="24"/>
          <w:szCs w:val="24"/>
        </w:rPr>
        <w:t xml:space="preserve"> </w:t>
      </w:r>
      <w:r>
        <w:rPr>
          <w:rFonts w:ascii="仿宋" w:hAnsi="仿宋" w:eastAsia="仿宋" w:cs="仿宋"/>
          <w:spacing w:val="-3"/>
          <w:sz w:val="24"/>
          <w:szCs w:val="24"/>
        </w:rPr>
        <w:t>的部分，支付赔偿金给乙方。</w:t>
      </w:r>
    </w:p>
    <w:p>
      <w:pPr>
        <w:spacing w:before="155" w:line="189" w:lineRule="auto"/>
        <w:ind w:firstLine="505"/>
        <w:rPr>
          <w:rFonts w:ascii="仿宋" w:hAnsi="仿宋" w:eastAsia="仿宋" w:cs="仿宋"/>
          <w:sz w:val="24"/>
          <w:szCs w:val="24"/>
        </w:rPr>
      </w:pPr>
      <w:r>
        <w:rPr>
          <w:rFonts w:ascii="仿宋" w:hAnsi="仿宋" w:eastAsia="仿宋" w:cs="仿宋"/>
          <w:spacing w:val="-2"/>
          <w:sz w:val="24"/>
          <w:szCs w:val="24"/>
        </w:rPr>
        <w:t>2、乙方违约责任</w:t>
      </w:r>
    </w:p>
    <w:p>
      <w:pPr>
        <w:spacing w:before="121" w:line="308" w:lineRule="auto"/>
        <w:ind w:left="29" w:right="70" w:firstLine="480"/>
        <w:rPr>
          <w:rFonts w:ascii="仿宋" w:hAnsi="仿宋" w:eastAsia="仿宋" w:cs="仿宋"/>
          <w:spacing w:val="-2"/>
          <w:sz w:val="24"/>
          <w:szCs w:val="24"/>
        </w:rPr>
      </w:pPr>
      <w:r>
        <w:rPr>
          <w:rFonts w:ascii="仿宋" w:hAnsi="仿宋" w:eastAsia="仿宋" w:cs="仿宋"/>
          <w:spacing w:val="-5"/>
          <w:sz w:val="24"/>
          <w:szCs w:val="24"/>
        </w:rPr>
        <w:t>（1）</w:t>
      </w:r>
      <w:r>
        <w:rPr>
          <w:rFonts w:ascii="仿宋" w:hAnsi="仿宋" w:eastAsia="仿宋" w:cs="仿宋"/>
          <w:spacing w:val="29"/>
          <w:sz w:val="24"/>
          <w:szCs w:val="24"/>
        </w:rPr>
        <w:t xml:space="preserve"> </w:t>
      </w:r>
      <w:r>
        <w:rPr>
          <w:rFonts w:ascii="仿宋" w:hAnsi="仿宋" w:eastAsia="仿宋" w:cs="仿宋"/>
          <w:spacing w:val="-5"/>
          <w:sz w:val="24"/>
          <w:szCs w:val="24"/>
        </w:rPr>
        <w:t>乙方交付的货物质量不符合合同规定的，乙方应向甲方支付合同总价</w:t>
      </w:r>
      <w:r>
        <w:rPr>
          <w:rFonts w:ascii="仿宋" w:hAnsi="仿宋" w:eastAsia="仿宋" w:cs="仿宋"/>
          <w:sz w:val="24"/>
          <w:szCs w:val="24"/>
        </w:rPr>
        <w:t xml:space="preserve"> </w:t>
      </w:r>
      <w:r>
        <w:rPr>
          <w:rFonts w:ascii="仿宋" w:hAnsi="仿宋" w:eastAsia="仿宋" w:cs="仿宋"/>
          <w:spacing w:val="-3"/>
          <w:sz w:val="24"/>
          <w:szCs w:val="24"/>
        </w:rPr>
        <w:t>的百分之</w:t>
      </w:r>
      <w:r>
        <w:rPr>
          <w:rFonts w:ascii="仿宋" w:hAnsi="仿宋" w:eastAsia="仿宋" w:cs="仿宋"/>
          <w:spacing w:val="50"/>
          <w:sz w:val="24"/>
          <w:szCs w:val="24"/>
          <w:u w:val="single"/>
        </w:rPr>
        <w:t xml:space="preserve"> </w:t>
      </w:r>
      <w:r>
        <w:rPr>
          <w:rFonts w:ascii="仿宋" w:hAnsi="仿宋" w:eastAsia="仿宋" w:cs="仿宋"/>
          <w:spacing w:val="-3"/>
          <w:sz w:val="24"/>
          <w:szCs w:val="24"/>
          <w:u w:val="single"/>
        </w:rPr>
        <w:t>1</w:t>
      </w:r>
      <w:r>
        <w:rPr>
          <w:rFonts w:ascii="仿宋" w:hAnsi="仿宋" w:eastAsia="仿宋" w:cs="仿宋"/>
          <w:spacing w:val="30"/>
          <w:sz w:val="24"/>
          <w:szCs w:val="24"/>
          <w:u w:val="single"/>
        </w:rPr>
        <w:t xml:space="preserve"> </w:t>
      </w:r>
      <w:r>
        <w:rPr>
          <w:rFonts w:ascii="仿宋" w:hAnsi="仿宋" w:eastAsia="仿宋" w:cs="仿宋"/>
          <w:spacing w:val="-3"/>
          <w:sz w:val="24"/>
          <w:szCs w:val="24"/>
        </w:rPr>
        <w:t>的违约金，并须在合同规定的交货时间内更换合格的货物给甲方，</w:t>
      </w:r>
      <w:r>
        <w:rPr>
          <w:rFonts w:ascii="仿宋" w:hAnsi="仿宋" w:eastAsia="仿宋" w:cs="仿宋"/>
          <w:sz w:val="24"/>
          <w:szCs w:val="24"/>
        </w:rPr>
        <w:t xml:space="preserve"> </w:t>
      </w:r>
      <w:r>
        <w:rPr>
          <w:rFonts w:ascii="仿宋" w:hAnsi="仿宋" w:eastAsia="仿宋" w:cs="仿宋"/>
          <w:spacing w:val="-5"/>
          <w:sz w:val="24"/>
          <w:szCs w:val="24"/>
        </w:rPr>
        <w:t>否则，视作乙方不能交付货物而违约，按本条本款下述第“（2）</w:t>
      </w:r>
      <w:r>
        <w:rPr>
          <w:rFonts w:ascii="仿宋" w:hAnsi="仿宋" w:eastAsia="仿宋" w:cs="仿宋"/>
          <w:spacing w:val="33"/>
          <w:sz w:val="24"/>
          <w:szCs w:val="24"/>
        </w:rPr>
        <w:t xml:space="preserve"> </w:t>
      </w:r>
      <w:r>
        <w:rPr>
          <w:rFonts w:ascii="仿宋" w:hAnsi="仿宋" w:eastAsia="仿宋" w:cs="仿宋"/>
          <w:spacing w:val="-5"/>
          <w:sz w:val="24"/>
          <w:szCs w:val="24"/>
        </w:rPr>
        <w:t>”项规定由乙</w:t>
      </w:r>
      <w:r>
        <w:rPr>
          <w:rFonts w:ascii="仿宋" w:hAnsi="仿宋" w:eastAsia="仿宋" w:cs="仿宋"/>
          <w:sz w:val="24"/>
          <w:szCs w:val="24"/>
        </w:rPr>
        <w:t xml:space="preserve"> </w:t>
      </w:r>
      <w:r>
        <w:rPr>
          <w:rFonts w:ascii="仿宋" w:hAnsi="仿宋" w:eastAsia="仿宋" w:cs="仿宋"/>
          <w:spacing w:val="-2"/>
          <w:sz w:val="24"/>
          <w:szCs w:val="24"/>
        </w:rPr>
        <w:t>方偿付违约赔偿金给甲方。</w:t>
      </w:r>
    </w:p>
    <w:p>
      <w:pPr>
        <w:spacing w:before="121" w:line="308" w:lineRule="auto"/>
        <w:ind w:left="29" w:right="70" w:firstLine="480"/>
        <w:rPr>
          <w:rFonts w:ascii="仿宋" w:hAnsi="仿宋" w:eastAsia="仿宋" w:cs="仿宋"/>
          <w:sz w:val="24"/>
          <w:szCs w:val="24"/>
        </w:rPr>
      </w:pPr>
      <w:r>
        <w:rPr>
          <w:rFonts w:ascii="仿宋" w:hAnsi="仿宋" w:eastAsia="仿宋" w:cs="仿宋"/>
          <w:spacing w:val="-4"/>
          <w:sz w:val="24"/>
          <w:szCs w:val="24"/>
        </w:rPr>
        <w:t>（2）</w:t>
      </w:r>
      <w:r>
        <w:rPr>
          <w:rFonts w:ascii="仿宋" w:hAnsi="仿宋" w:eastAsia="仿宋" w:cs="仿宋"/>
          <w:spacing w:val="22"/>
          <w:sz w:val="24"/>
          <w:szCs w:val="24"/>
        </w:rPr>
        <w:t xml:space="preserve"> </w:t>
      </w:r>
      <w:r>
        <w:rPr>
          <w:rFonts w:ascii="仿宋" w:hAnsi="仿宋" w:eastAsia="仿宋" w:cs="仿宋"/>
          <w:spacing w:val="-4"/>
          <w:sz w:val="24"/>
          <w:szCs w:val="24"/>
        </w:rPr>
        <w:t>乙方不能交付货物或逾期交付货物而违约的，除应及时交足货物外，</w:t>
      </w:r>
      <w:r>
        <w:rPr>
          <w:rFonts w:ascii="仿宋" w:hAnsi="仿宋" w:eastAsia="仿宋" w:cs="仿宋"/>
          <w:sz w:val="24"/>
          <w:szCs w:val="24"/>
        </w:rPr>
        <w:t xml:space="preserve"> </w:t>
      </w:r>
      <w:r>
        <w:rPr>
          <w:rFonts w:ascii="仿宋" w:hAnsi="仿宋" w:eastAsia="仿宋" w:cs="仿宋"/>
          <w:spacing w:val="-7"/>
          <w:sz w:val="24"/>
          <w:szCs w:val="24"/>
        </w:rPr>
        <w:t>应向甲方偿付逾期交货部分货款总额的万分之</w:t>
      </w:r>
      <w:r>
        <w:rPr>
          <w:rFonts w:ascii="仿宋" w:hAnsi="仿宋" w:eastAsia="仿宋" w:cs="仿宋"/>
          <w:spacing w:val="34"/>
          <w:sz w:val="24"/>
          <w:szCs w:val="24"/>
          <w:u w:val="single"/>
        </w:rPr>
        <w:t xml:space="preserve"> </w:t>
      </w:r>
      <w:r>
        <w:rPr>
          <w:rFonts w:ascii="仿宋" w:hAnsi="仿宋" w:eastAsia="仿宋" w:cs="仿宋"/>
          <w:spacing w:val="-7"/>
          <w:sz w:val="24"/>
          <w:szCs w:val="24"/>
          <w:u w:val="single"/>
        </w:rPr>
        <w:t>1</w:t>
      </w:r>
      <w:r>
        <w:rPr>
          <w:rFonts w:ascii="仿宋" w:hAnsi="仿宋" w:eastAsia="仿宋" w:cs="仿宋"/>
          <w:spacing w:val="3"/>
          <w:sz w:val="24"/>
          <w:szCs w:val="24"/>
          <w:u w:val="single"/>
        </w:rPr>
        <w:t xml:space="preserve">  </w:t>
      </w:r>
      <w:r>
        <w:rPr>
          <w:rFonts w:ascii="仿宋" w:hAnsi="仿宋" w:eastAsia="仿宋" w:cs="仿宋"/>
          <w:spacing w:val="-7"/>
          <w:sz w:val="24"/>
          <w:szCs w:val="24"/>
        </w:rPr>
        <w:t>/天的违约金；</w:t>
      </w:r>
      <w:r>
        <w:rPr>
          <w:rFonts w:ascii="仿宋" w:hAnsi="仿宋" w:eastAsia="仿宋" w:cs="仿宋"/>
          <w:spacing w:val="62"/>
          <w:sz w:val="24"/>
          <w:szCs w:val="24"/>
        </w:rPr>
        <w:t xml:space="preserve"> </w:t>
      </w:r>
      <w:r>
        <w:rPr>
          <w:rFonts w:ascii="仿宋" w:hAnsi="仿宋" w:eastAsia="仿宋" w:cs="仿宋"/>
          <w:spacing w:val="-7"/>
          <w:sz w:val="24"/>
          <w:szCs w:val="24"/>
        </w:rPr>
        <w:t>逾期交货超过</w:t>
      </w:r>
      <w:r>
        <w:rPr>
          <w:rFonts w:ascii="仿宋" w:hAnsi="仿宋" w:eastAsia="仿宋" w:cs="仿宋"/>
          <w:sz w:val="24"/>
          <w:szCs w:val="24"/>
        </w:rPr>
        <w:t xml:space="preserve"> </w:t>
      </w:r>
      <w:r>
        <w:rPr>
          <w:rFonts w:ascii="仿宋" w:hAnsi="仿宋" w:eastAsia="仿宋" w:cs="仿宋"/>
          <w:spacing w:val="-4"/>
          <w:sz w:val="24"/>
          <w:szCs w:val="24"/>
        </w:rPr>
        <w:t>15</w:t>
      </w:r>
      <w:r>
        <w:rPr>
          <w:rFonts w:ascii="仿宋" w:hAnsi="仿宋" w:eastAsia="仿宋" w:cs="仿宋"/>
          <w:spacing w:val="-13"/>
          <w:sz w:val="24"/>
          <w:szCs w:val="24"/>
        </w:rPr>
        <w:t xml:space="preserve"> </w:t>
      </w:r>
      <w:r>
        <w:rPr>
          <w:rFonts w:ascii="仿宋" w:hAnsi="仿宋" w:eastAsia="仿宋" w:cs="仿宋"/>
          <w:spacing w:val="-4"/>
          <w:sz w:val="24"/>
          <w:szCs w:val="24"/>
        </w:rPr>
        <w:t>天，甲方有权终止合同，乙方则应按合同总价的百分之</w:t>
      </w:r>
      <w:r>
        <w:rPr>
          <w:rFonts w:ascii="仿宋" w:hAnsi="仿宋" w:eastAsia="仿宋" w:cs="仿宋"/>
          <w:spacing w:val="13"/>
          <w:sz w:val="24"/>
          <w:szCs w:val="24"/>
          <w:u w:val="single"/>
        </w:rPr>
        <w:t xml:space="preserve"> </w:t>
      </w:r>
      <w:r>
        <w:rPr>
          <w:rFonts w:ascii="仿宋" w:hAnsi="仿宋" w:eastAsia="仿宋" w:cs="仿宋"/>
          <w:spacing w:val="-4"/>
          <w:sz w:val="24"/>
          <w:szCs w:val="24"/>
          <w:u w:val="single"/>
        </w:rPr>
        <w:t>3</w:t>
      </w:r>
      <w:r>
        <w:rPr>
          <w:rFonts w:ascii="仿宋" w:hAnsi="仿宋" w:eastAsia="仿宋" w:cs="仿宋"/>
          <w:spacing w:val="30"/>
          <w:sz w:val="24"/>
          <w:szCs w:val="24"/>
          <w:u w:val="single"/>
        </w:rPr>
        <w:t xml:space="preserve"> </w:t>
      </w:r>
      <w:r>
        <w:rPr>
          <w:rFonts w:ascii="仿宋" w:hAnsi="仿宋" w:eastAsia="仿宋" w:cs="仿宋"/>
          <w:spacing w:val="-4"/>
          <w:sz w:val="24"/>
          <w:szCs w:val="24"/>
        </w:rPr>
        <w:t>的款额向甲方偿付</w:t>
      </w:r>
      <w:r>
        <w:rPr>
          <w:rFonts w:ascii="仿宋" w:hAnsi="仿宋" w:eastAsia="仿宋" w:cs="仿宋"/>
          <w:sz w:val="24"/>
          <w:szCs w:val="24"/>
        </w:rPr>
        <w:t xml:space="preserve"> </w:t>
      </w:r>
      <w:r>
        <w:rPr>
          <w:rFonts w:ascii="仿宋" w:hAnsi="仿宋" w:eastAsia="仿宋" w:cs="仿宋"/>
          <w:spacing w:val="-1"/>
          <w:sz w:val="24"/>
          <w:szCs w:val="24"/>
        </w:rPr>
        <w:t>赔偿金，并须全额退还甲方已经付给乙方的货款及其利息。</w:t>
      </w:r>
    </w:p>
    <w:p>
      <w:pPr>
        <w:spacing w:before="4" w:line="307" w:lineRule="auto"/>
        <w:ind w:left="31" w:firstLine="478"/>
        <w:rPr>
          <w:rFonts w:ascii="仿宋" w:hAnsi="仿宋" w:eastAsia="仿宋" w:cs="仿宋"/>
          <w:sz w:val="24"/>
          <w:szCs w:val="24"/>
        </w:rPr>
      </w:pPr>
      <w:r>
        <w:rPr>
          <w:rFonts w:ascii="仿宋" w:hAnsi="仿宋" w:eastAsia="仿宋" w:cs="仿宋"/>
          <w:spacing w:val="-4"/>
          <w:sz w:val="24"/>
          <w:szCs w:val="24"/>
        </w:rPr>
        <w:t>（3）</w:t>
      </w:r>
      <w:r>
        <w:rPr>
          <w:rFonts w:ascii="仿宋" w:hAnsi="仿宋" w:eastAsia="仿宋" w:cs="仿宋"/>
          <w:spacing w:val="29"/>
          <w:sz w:val="24"/>
          <w:szCs w:val="24"/>
        </w:rPr>
        <w:t xml:space="preserve"> </w:t>
      </w:r>
      <w:r>
        <w:rPr>
          <w:rFonts w:ascii="仿宋" w:hAnsi="仿宋" w:eastAsia="仿宋" w:cs="仿宋"/>
          <w:spacing w:val="-4"/>
          <w:sz w:val="24"/>
          <w:szCs w:val="24"/>
        </w:rPr>
        <w:t>乙方货物经甲方送交具有法定资格条件的质量技术监督机构检测后，</w:t>
      </w:r>
      <w:r>
        <w:rPr>
          <w:rFonts w:ascii="仿宋" w:hAnsi="仿宋" w:eastAsia="仿宋" w:cs="仿宋"/>
          <w:sz w:val="24"/>
          <w:szCs w:val="24"/>
        </w:rPr>
        <w:t xml:space="preserve"> </w:t>
      </w:r>
      <w:r>
        <w:rPr>
          <w:rFonts w:ascii="仿宋" w:hAnsi="仿宋" w:eastAsia="仿宋" w:cs="仿宋"/>
          <w:spacing w:val="-4"/>
          <w:sz w:val="24"/>
          <w:szCs w:val="24"/>
        </w:rPr>
        <w:t>如检测结果认定货物质量不符合本合同规定标准的，则视为乙方没有按时交货而</w:t>
      </w:r>
      <w:r>
        <w:rPr>
          <w:rFonts w:ascii="仿宋" w:hAnsi="仿宋" w:eastAsia="仿宋" w:cs="仿宋"/>
          <w:spacing w:val="28"/>
          <w:sz w:val="24"/>
          <w:szCs w:val="24"/>
        </w:rPr>
        <w:t xml:space="preserve"> </w:t>
      </w:r>
      <w:r>
        <w:rPr>
          <w:rFonts w:ascii="仿宋" w:hAnsi="仿宋" w:eastAsia="仿宋" w:cs="仿宋"/>
          <w:spacing w:val="-6"/>
          <w:sz w:val="24"/>
          <w:szCs w:val="24"/>
        </w:rPr>
        <w:t>违约，乙方须在</w:t>
      </w:r>
      <w:r>
        <w:rPr>
          <w:rFonts w:ascii="仿宋" w:hAnsi="仿宋" w:eastAsia="仿宋" w:cs="仿宋"/>
          <w:spacing w:val="32"/>
          <w:sz w:val="24"/>
          <w:szCs w:val="24"/>
          <w:u w:val="single"/>
        </w:rPr>
        <w:t xml:space="preserve"> </w:t>
      </w:r>
      <w:r>
        <w:rPr>
          <w:rFonts w:ascii="仿宋" w:hAnsi="仿宋" w:eastAsia="仿宋" w:cs="仿宋"/>
          <w:spacing w:val="-6"/>
          <w:sz w:val="24"/>
          <w:szCs w:val="24"/>
          <w:u w:val="single"/>
        </w:rPr>
        <w:t>15</w:t>
      </w:r>
      <w:r>
        <w:rPr>
          <w:rFonts w:ascii="仿宋" w:hAnsi="仿宋" w:eastAsia="仿宋" w:cs="仿宋"/>
          <w:spacing w:val="8"/>
          <w:sz w:val="24"/>
          <w:szCs w:val="24"/>
          <w:u w:val="single"/>
        </w:rPr>
        <w:t xml:space="preserve">  </w:t>
      </w:r>
      <w:r>
        <w:rPr>
          <w:rFonts w:ascii="仿宋" w:hAnsi="仿宋" w:eastAsia="仿宋" w:cs="仿宋"/>
          <w:spacing w:val="-6"/>
          <w:sz w:val="24"/>
          <w:szCs w:val="24"/>
        </w:rPr>
        <w:t>天内无条件更换合格的货物，如逾期不能更换合格的货物，</w:t>
      </w:r>
      <w:r>
        <w:rPr>
          <w:rFonts w:ascii="仿宋" w:hAnsi="仿宋" w:eastAsia="仿宋" w:cs="仿宋"/>
          <w:sz w:val="24"/>
          <w:szCs w:val="24"/>
        </w:rPr>
        <w:t xml:space="preserve"> </w:t>
      </w:r>
      <w:r>
        <w:rPr>
          <w:rFonts w:ascii="仿宋" w:hAnsi="仿宋" w:eastAsia="仿宋" w:cs="仿宋"/>
          <w:spacing w:val="-2"/>
          <w:sz w:val="24"/>
          <w:szCs w:val="24"/>
        </w:rPr>
        <w:t>甲方有权终止本合同，乙方应另付合同总价的百分之</w:t>
      </w:r>
      <w:r>
        <w:rPr>
          <w:rFonts w:ascii="仿宋" w:hAnsi="仿宋" w:eastAsia="仿宋" w:cs="仿宋"/>
          <w:spacing w:val="16"/>
          <w:sz w:val="24"/>
          <w:szCs w:val="24"/>
          <w:u w:val="single"/>
        </w:rPr>
        <w:t xml:space="preserve"> </w:t>
      </w:r>
      <w:r>
        <w:rPr>
          <w:rFonts w:ascii="仿宋" w:hAnsi="仿宋" w:eastAsia="仿宋" w:cs="仿宋"/>
          <w:spacing w:val="-2"/>
          <w:sz w:val="24"/>
          <w:szCs w:val="24"/>
          <w:u w:val="single"/>
        </w:rPr>
        <w:t>3</w:t>
      </w:r>
      <w:r>
        <w:rPr>
          <w:rFonts w:ascii="仿宋" w:hAnsi="仿宋" w:eastAsia="仿宋" w:cs="仿宋"/>
          <w:spacing w:val="15"/>
          <w:sz w:val="24"/>
          <w:szCs w:val="24"/>
          <w:u w:val="single"/>
        </w:rPr>
        <w:t xml:space="preserve">  </w:t>
      </w:r>
      <w:r>
        <w:rPr>
          <w:rFonts w:ascii="仿宋" w:hAnsi="仿宋" w:eastAsia="仿宋" w:cs="仿宋"/>
          <w:spacing w:val="-2"/>
          <w:sz w:val="24"/>
          <w:szCs w:val="24"/>
        </w:rPr>
        <w:t>的赔偿金给甲方。</w:t>
      </w:r>
    </w:p>
    <w:p>
      <w:pPr>
        <w:spacing w:line="278" w:lineRule="auto"/>
        <w:ind w:left="29" w:right="8" w:firstLine="480"/>
        <w:rPr>
          <w:rFonts w:ascii="仿宋" w:hAnsi="仿宋" w:eastAsia="仿宋" w:cs="仿宋"/>
          <w:sz w:val="24"/>
          <w:szCs w:val="24"/>
        </w:rPr>
      </w:pPr>
      <w:r>
        <w:rPr>
          <w:rFonts w:ascii="仿宋" w:hAnsi="仿宋" w:eastAsia="仿宋" w:cs="仿宋"/>
          <w:spacing w:val="-5"/>
          <w:sz w:val="24"/>
          <w:szCs w:val="24"/>
        </w:rPr>
        <w:t>（4）</w:t>
      </w:r>
      <w:r>
        <w:rPr>
          <w:rFonts w:ascii="仿宋" w:hAnsi="仿宋" w:eastAsia="仿宋" w:cs="仿宋"/>
          <w:spacing w:val="29"/>
          <w:sz w:val="24"/>
          <w:szCs w:val="24"/>
        </w:rPr>
        <w:t xml:space="preserve"> </w:t>
      </w:r>
      <w:r>
        <w:rPr>
          <w:rFonts w:ascii="仿宋" w:hAnsi="仿宋" w:eastAsia="仿宋" w:cs="仿宋"/>
          <w:spacing w:val="-5"/>
          <w:sz w:val="24"/>
          <w:szCs w:val="24"/>
        </w:rPr>
        <w:t>乙方保证本合同货物的权利无瑕疵，包括货物所有权及知识产权等权</w:t>
      </w:r>
      <w:r>
        <w:rPr>
          <w:rFonts w:ascii="仿宋" w:hAnsi="仿宋" w:eastAsia="仿宋" w:cs="仿宋"/>
          <w:sz w:val="24"/>
          <w:szCs w:val="24"/>
        </w:rPr>
        <w:t xml:space="preserve"> </w:t>
      </w:r>
      <w:r>
        <w:rPr>
          <w:rFonts w:ascii="仿宋" w:hAnsi="仿宋" w:eastAsia="仿宋" w:cs="仿宋"/>
          <w:spacing w:val="-6"/>
          <w:sz w:val="24"/>
          <w:szCs w:val="24"/>
        </w:rPr>
        <w:t>利无瑕疵。如任何第三方经法院（或仲裁机构）</w:t>
      </w:r>
      <w:r>
        <w:rPr>
          <w:rFonts w:ascii="仿宋" w:hAnsi="仿宋" w:eastAsia="仿宋" w:cs="仿宋"/>
          <w:spacing w:val="-19"/>
          <w:sz w:val="24"/>
          <w:szCs w:val="24"/>
        </w:rPr>
        <w:t xml:space="preserve"> </w:t>
      </w:r>
      <w:r>
        <w:rPr>
          <w:rFonts w:ascii="仿宋" w:hAnsi="仿宋" w:eastAsia="仿宋" w:cs="仿宋"/>
          <w:spacing w:val="-6"/>
          <w:sz w:val="24"/>
          <w:szCs w:val="24"/>
        </w:rPr>
        <w:t>裁决有权对上述货物主张权利或</w:t>
      </w:r>
      <w:r>
        <w:rPr>
          <w:rFonts w:ascii="仿宋" w:hAnsi="仿宋" w:eastAsia="仿宋" w:cs="仿宋"/>
          <w:sz w:val="24"/>
          <w:szCs w:val="24"/>
        </w:rPr>
        <w:t xml:space="preserve"> </w:t>
      </w:r>
      <w:r>
        <w:rPr>
          <w:rFonts w:ascii="仿宋" w:hAnsi="仿宋" w:eastAsia="仿宋" w:cs="仿宋"/>
          <w:spacing w:val="-4"/>
          <w:sz w:val="24"/>
          <w:szCs w:val="24"/>
        </w:rPr>
        <w:t>国家机关依法对货物进行没收查处的，乙方除应向甲方返还已收款项外，还应另</w:t>
      </w:r>
      <w:r>
        <w:rPr>
          <w:rFonts w:ascii="仿宋" w:hAnsi="仿宋" w:eastAsia="仿宋" w:cs="仿宋"/>
          <w:spacing w:val="31"/>
          <w:sz w:val="24"/>
          <w:szCs w:val="24"/>
        </w:rPr>
        <w:t xml:space="preserve"> </w:t>
      </w:r>
      <w:r>
        <w:rPr>
          <w:rFonts w:ascii="仿宋" w:hAnsi="仿宋" w:eastAsia="仿宋" w:cs="仿宋"/>
          <w:spacing w:val="-4"/>
          <w:sz w:val="24"/>
          <w:szCs w:val="24"/>
        </w:rPr>
        <w:t>按合同总价的百分之</w:t>
      </w:r>
      <w:r>
        <w:rPr>
          <w:rFonts w:ascii="仿宋" w:hAnsi="仿宋" w:eastAsia="仿宋" w:cs="仿宋"/>
          <w:spacing w:val="42"/>
          <w:sz w:val="24"/>
          <w:szCs w:val="24"/>
          <w:u w:val="single"/>
        </w:rPr>
        <w:t xml:space="preserve"> </w:t>
      </w:r>
      <w:r>
        <w:rPr>
          <w:rFonts w:ascii="仿宋" w:hAnsi="仿宋" w:eastAsia="仿宋" w:cs="仿宋"/>
          <w:spacing w:val="-4"/>
          <w:sz w:val="24"/>
          <w:szCs w:val="24"/>
          <w:u w:val="single"/>
        </w:rPr>
        <w:t>3</w:t>
      </w:r>
      <w:r>
        <w:rPr>
          <w:rFonts w:ascii="仿宋" w:hAnsi="仿宋" w:eastAsia="仿宋" w:cs="仿宋"/>
          <w:spacing w:val="23"/>
          <w:sz w:val="24"/>
          <w:szCs w:val="24"/>
          <w:u w:val="single"/>
        </w:rPr>
        <w:t xml:space="preserve">  </w:t>
      </w:r>
      <w:r>
        <w:rPr>
          <w:rFonts w:ascii="仿宋" w:hAnsi="仿宋" w:eastAsia="仿宋" w:cs="仿宋"/>
          <w:spacing w:val="-4"/>
          <w:sz w:val="24"/>
          <w:szCs w:val="24"/>
        </w:rPr>
        <w:t>向甲方支付违约金并赔偿因此给甲方造成的一切损失。</w:t>
      </w:r>
    </w:p>
    <w:p>
      <w:pPr>
        <w:spacing w:before="151" w:line="249" w:lineRule="auto"/>
        <w:ind w:left="44" w:right="96" w:firstLine="465"/>
        <w:rPr>
          <w:rFonts w:ascii="仿宋" w:hAnsi="仿宋" w:eastAsia="仿宋" w:cs="仿宋"/>
          <w:sz w:val="24"/>
          <w:szCs w:val="24"/>
        </w:rPr>
      </w:pPr>
      <w:r>
        <w:rPr>
          <w:rFonts w:ascii="仿宋" w:hAnsi="仿宋" w:eastAsia="仿宋" w:cs="仿宋"/>
          <w:spacing w:val="-5"/>
          <w:sz w:val="24"/>
          <w:szCs w:val="24"/>
        </w:rPr>
        <w:t>（5）</w:t>
      </w:r>
      <w:r>
        <w:rPr>
          <w:rFonts w:ascii="仿宋" w:hAnsi="仿宋" w:eastAsia="仿宋" w:cs="仿宋"/>
          <w:spacing w:val="29"/>
          <w:sz w:val="24"/>
          <w:szCs w:val="24"/>
        </w:rPr>
        <w:t xml:space="preserve"> </w:t>
      </w:r>
      <w:r>
        <w:rPr>
          <w:rFonts w:ascii="仿宋" w:hAnsi="仿宋" w:eastAsia="仿宋" w:cs="仿宋"/>
          <w:spacing w:val="-5"/>
          <w:sz w:val="24"/>
          <w:szCs w:val="24"/>
        </w:rPr>
        <w:t>乙方偿付的违约金不足以弥补甲方损失的，还应按甲方损失尚未弥补</w:t>
      </w:r>
      <w:r>
        <w:rPr>
          <w:rFonts w:ascii="仿宋" w:hAnsi="仿宋" w:eastAsia="仿宋" w:cs="仿宋"/>
          <w:sz w:val="24"/>
          <w:szCs w:val="24"/>
        </w:rPr>
        <w:t xml:space="preserve"> </w:t>
      </w:r>
      <w:r>
        <w:rPr>
          <w:rFonts w:ascii="仿宋" w:hAnsi="仿宋" w:eastAsia="仿宋" w:cs="仿宋"/>
          <w:spacing w:val="-3"/>
          <w:sz w:val="24"/>
          <w:szCs w:val="24"/>
        </w:rPr>
        <w:t>的部分，支付赔偿金给甲方。</w:t>
      </w:r>
    </w:p>
    <w:p>
      <w:pPr>
        <w:spacing w:before="155" w:line="189" w:lineRule="auto"/>
        <w:ind w:firstLine="509"/>
        <w:outlineLvl w:val="0"/>
        <w:rPr>
          <w:rFonts w:ascii="仿宋" w:hAnsi="仿宋" w:eastAsia="仿宋" w:cs="仿宋"/>
          <w:sz w:val="24"/>
          <w:szCs w:val="24"/>
        </w:rPr>
      </w:pPr>
      <w:r>
        <w:rPr>
          <w:rFonts w:ascii="仿宋" w:hAnsi="仿宋" w:eastAsia="仿宋" w:cs="仿宋"/>
          <w:spacing w:val="-1"/>
          <w:sz w:val="24"/>
          <w:szCs w:val="24"/>
          <w14:textOutline w14:w="4356" w14:cap="sq" w14:cmpd="sng" w14:algn="ctr">
            <w14:solidFill>
              <w14:srgbClr w14:val="000000"/>
            </w14:solidFill>
            <w14:prstDash w14:val="solid"/>
            <w14:bevel/>
          </w14:textOutline>
        </w:rPr>
        <w:t>八、争议解决办法</w:t>
      </w:r>
    </w:p>
    <w:p>
      <w:pPr>
        <w:spacing w:before="155" w:line="268" w:lineRule="auto"/>
        <w:ind w:left="29" w:right="70" w:firstLine="490"/>
        <w:rPr>
          <w:rFonts w:ascii="仿宋" w:hAnsi="仿宋" w:eastAsia="仿宋" w:cs="仿宋"/>
          <w:sz w:val="24"/>
          <w:szCs w:val="24"/>
        </w:rPr>
      </w:pPr>
      <w:r>
        <w:rPr>
          <w:rFonts w:ascii="仿宋" w:hAnsi="仿宋" w:eastAsia="仿宋" w:cs="仿宋"/>
          <w:spacing w:val="-1"/>
          <w:sz w:val="24"/>
          <w:szCs w:val="24"/>
        </w:rPr>
        <w:t>1、因货物的质量问题发生争议，由质量技术监督部门或其指定的质量鉴定</w:t>
      </w:r>
      <w:r>
        <w:rPr>
          <w:rFonts w:ascii="仿宋" w:hAnsi="仿宋" w:eastAsia="仿宋" w:cs="仿宋"/>
          <w:spacing w:val="6"/>
          <w:sz w:val="24"/>
          <w:szCs w:val="24"/>
        </w:rPr>
        <w:t xml:space="preserve"> </w:t>
      </w:r>
      <w:r>
        <w:rPr>
          <w:rFonts w:ascii="仿宋" w:hAnsi="仿宋" w:eastAsia="仿宋" w:cs="仿宋"/>
          <w:spacing w:val="-8"/>
          <w:sz w:val="24"/>
          <w:szCs w:val="24"/>
        </w:rPr>
        <w:t>机构进行质量鉴定。货物符合标准的，鉴定费由甲方承担；</w:t>
      </w:r>
      <w:r>
        <w:rPr>
          <w:rFonts w:ascii="仿宋" w:hAnsi="仿宋" w:eastAsia="仿宋" w:cs="仿宋"/>
          <w:spacing w:val="50"/>
          <w:sz w:val="24"/>
          <w:szCs w:val="24"/>
        </w:rPr>
        <w:t xml:space="preserve"> </w:t>
      </w:r>
      <w:r>
        <w:rPr>
          <w:rFonts w:ascii="仿宋" w:hAnsi="仿宋" w:eastAsia="仿宋" w:cs="仿宋"/>
          <w:spacing w:val="-8"/>
          <w:sz w:val="24"/>
          <w:szCs w:val="24"/>
        </w:rPr>
        <w:t>货物不符合质量标准</w:t>
      </w:r>
      <w:r>
        <w:rPr>
          <w:rFonts w:ascii="仿宋" w:hAnsi="仿宋" w:eastAsia="仿宋" w:cs="仿宋"/>
          <w:sz w:val="24"/>
          <w:szCs w:val="24"/>
        </w:rPr>
        <w:t xml:space="preserve"> </w:t>
      </w:r>
      <w:r>
        <w:rPr>
          <w:rFonts w:ascii="仿宋" w:hAnsi="仿宋" w:eastAsia="仿宋" w:cs="仿宋"/>
          <w:spacing w:val="-2"/>
          <w:sz w:val="24"/>
          <w:szCs w:val="24"/>
        </w:rPr>
        <w:t>的，鉴定费由乙方承担。</w:t>
      </w:r>
    </w:p>
    <w:p>
      <w:pPr>
        <w:spacing w:before="151" w:line="249" w:lineRule="auto"/>
        <w:ind w:left="29" w:right="70" w:firstLine="475"/>
        <w:rPr>
          <w:rFonts w:ascii="仿宋" w:hAnsi="仿宋" w:eastAsia="仿宋" w:cs="仿宋"/>
          <w:sz w:val="24"/>
          <w:szCs w:val="24"/>
        </w:rPr>
      </w:pPr>
      <w:r>
        <w:rPr>
          <w:rFonts w:ascii="仿宋" w:hAnsi="仿宋" w:eastAsia="仿宋" w:cs="仿宋"/>
          <w:spacing w:val="-4"/>
          <w:sz w:val="24"/>
          <w:szCs w:val="24"/>
        </w:rPr>
        <w:t>2、合同履行期间,若双方发生争议，可协商或由有关部门调解解决，协商或</w:t>
      </w:r>
      <w:r>
        <w:rPr>
          <w:rFonts w:ascii="仿宋" w:hAnsi="仿宋" w:eastAsia="仿宋" w:cs="仿宋"/>
          <w:spacing w:val="31"/>
          <w:sz w:val="24"/>
          <w:szCs w:val="24"/>
        </w:rPr>
        <w:t xml:space="preserve"> </w:t>
      </w:r>
      <w:r>
        <w:rPr>
          <w:rFonts w:ascii="仿宋" w:hAnsi="仿宋" w:eastAsia="仿宋" w:cs="仿宋"/>
          <w:spacing w:val="-1"/>
          <w:sz w:val="24"/>
          <w:szCs w:val="24"/>
        </w:rPr>
        <w:t>调解不成的，由当事人依法维护其合法权益。</w:t>
      </w:r>
    </w:p>
    <w:p>
      <w:pPr>
        <w:spacing w:before="155" w:line="189" w:lineRule="auto"/>
        <w:ind w:firstLine="518"/>
        <w:outlineLvl w:val="0"/>
        <w:rPr>
          <w:rFonts w:ascii="仿宋" w:hAnsi="仿宋" w:eastAsia="仿宋" w:cs="仿宋"/>
          <w:sz w:val="24"/>
          <w:szCs w:val="24"/>
        </w:rPr>
      </w:pPr>
      <w:r>
        <w:rPr>
          <w:rFonts w:ascii="仿宋" w:hAnsi="仿宋" w:eastAsia="仿宋" w:cs="仿宋"/>
          <w:spacing w:val="-6"/>
          <w:sz w:val="24"/>
          <w:szCs w:val="24"/>
          <w14:textOutline w14:w="4356" w14:cap="sq" w14:cmpd="sng" w14:algn="ctr">
            <w14:solidFill>
              <w14:srgbClr w14:val="000000"/>
            </w14:solidFill>
            <w14:prstDash w14:val="solid"/>
            <w14:bevel/>
          </w14:textOutline>
        </w:rPr>
        <w:t>九、其他</w:t>
      </w:r>
    </w:p>
    <w:p>
      <w:pPr>
        <w:spacing w:before="153" w:line="189" w:lineRule="auto"/>
        <w:ind w:firstLine="520"/>
        <w:rPr>
          <w:rFonts w:ascii="仿宋" w:hAnsi="仿宋" w:eastAsia="仿宋" w:cs="仿宋"/>
          <w:sz w:val="24"/>
          <w:szCs w:val="24"/>
        </w:rPr>
      </w:pPr>
      <w:r>
        <w:rPr>
          <w:rFonts w:ascii="仿宋" w:hAnsi="仿宋" w:eastAsia="仿宋" w:cs="仿宋"/>
          <w:spacing w:val="-2"/>
          <w:sz w:val="24"/>
          <w:szCs w:val="24"/>
        </w:rPr>
        <w:t>1、如有未尽事宜，由双方依法订立补充合同。</w:t>
      </w:r>
    </w:p>
    <w:p>
      <w:pPr>
        <w:spacing w:before="154" w:line="249" w:lineRule="auto"/>
        <w:ind w:left="43" w:right="96" w:firstLine="462"/>
        <w:rPr>
          <w:rFonts w:ascii="仿宋" w:hAnsi="仿宋" w:eastAsia="仿宋" w:cs="仿宋"/>
          <w:sz w:val="24"/>
          <w:szCs w:val="24"/>
        </w:rPr>
      </w:pPr>
      <w:r>
        <w:rPr>
          <w:rFonts w:ascii="仿宋" w:hAnsi="仿宋" w:eastAsia="仿宋" w:cs="仿宋"/>
          <w:spacing w:val="-3"/>
          <w:sz w:val="24"/>
          <w:szCs w:val="24"/>
        </w:rPr>
        <w:t>2、本合同一式六份，</w:t>
      </w:r>
      <w:r>
        <w:rPr>
          <w:rFonts w:ascii="仿宋" w:hAnsi="仿宋" w:eastAsia="仿宋" w:cs="仿宋"/>
          <w:spacing w:val="-33"/>
          <w:sz w:val="24"/>
          <w:szCs w:val="24"/>
        </w:rPr>
        <w:t xml:space="preserve"> </w:t>
      </w:r>
      <w:r>
        <w:rPr>
          <w:rFonts w:ascii="仿宋" w:hAnsi="仿宋" w:eastAsia="仿宋" w:cs="仿宋"/>
          <w:spacing w:val="-3"/>
          <w:sz w:val="24"/>
          <w:szCs w:val="24"/>
        </w:rPr>
        <w:t>自双方签章之日起生效。甲方三份，乙方、政府采购</w:t>
      </w:r>
      <w:r>
        <w:rPr>
          <w:rFonts w:ascii="仿宋" w:hAnsi="仿宋" w:eastAsia="仿宋" w:cs="仿宋"/>
          <w:sz w:val="24"/>
          <w:szCs w:val="24"/>
        </w:rPr>
        <w:t xml:space="preserve"> </w:t>
      </w:r>
      <w:r>
        <w:rPr>
          <w:rFonts w:ascii="仿宋" w:hAnsi="仿宋" w:eastAsia="仿宋" w:cs="仿宋"/>
          <w:spacing w:val="-2"/>
          <w:sz w:val="24"/>
          <w:szCs w:val="24"/>
        </w:rPr>
        <w:t>管理部门、采购代理机构各一份。</w:t>
      </w:r>
    </w:p>
    <w:p>
      <w:pPr>
        <w:spacing w:before="153" w:line="189" w:lineRule="auto"/>
        <w:ind w:firstLine="516"/>
        <w:rPr>
          <w:rFonts w:ascii="仿宋" w:hAnsi="仿宋" w:eastAsia="仿宋" w:cs="仿宋"/>
          <w:sz w:val="24"/>
          <w:szCs w:val="24"/>
        </w:rPr>
      </w:pPr>
      <w:r>
        <w:rPr>
          <w:rFonts w:ascii="仿宋" w:hAnsi="仿宋" w:eastAsia="仿宋" w:cs="仿宋"/>
          <w:spacing w:val="-6"/>
          <w:sz w:val="24"/>
          <w:szCs w:val="24"/>
          <w14:textOutline w14:w="4356" w14:cap="sq" w14:cmpd="sng" w14:algn="ctr">
            <w14:solidFill>
              <w14:srgbClr w14:val="000000"/>
            </w14:solidFill>
            <w14:prstDash w14:val="solid"/>
            <w14:bevel/>
          </w14:textOutline>
        </w:rPr>
        <w:t>十、附件</w:t>
      </w:r>
    </w:p>
    <w:p>
      <w:pPr>
        <w:spacing w:before="222" w:line="189" w:lineRule="auto"/>
        <w:ind w:firstLine="520"/>
        <w:rPr>
          <w:rFonts w:ascii="仿宋" w:hAnsi="仿宋" w:eastAsia="仿宋" w:cs="仿宋"/>
          <w:sz w:val="24"/>
          <w:szCs w:val="24"/>
        </w:rPr>
      </w:pPr>
      <w:r>
        <w:rPr>
          <w:rFonts w:ascii="仿宋" w:hAnsi="仿宋" w:eastAsia="仿宋" w:cs="仿宋"/>
          <w:spacing w:val="-4"/>
          <w:sz w:val="24"/>
          <w:szCs w:val="24"/>
        </w:rPr>
        <w:t>1、中标通知书</w:t>
      </w:r>
    </w:p>
    <w:p>
      <w:pPr>
        <w:spacing w:before="223" w:line="189" w:lineRule="auto"/>
        <w:ind w:firstLine="505"/>
        <w:rPr>
          <w:rFonts w:ascii="仿宋" w:hAnsi="仿宋" w:eastAsia="仿宋" w:cs="仿宋"/>
          <w:sz w:val="24"/>
          <w:szCs w:val="24"/>
        </w:rPr>
      </w:pPr>
      <w:r>
        <w:rPr>
          <w:rFonts w:ascii="仿宋" w:hAnsi="仿宋" w:eastAsia="仿宋" w:cs="仿宋"/>
          <w:spacing w:val="-2"/>
          <w:sz w:val="24"/>
          <w:szCs w:val="24"/>
        </w:rPr>
        <w:t>2、采购需求及投标应答</w:t>
      </w:r>
    </w:p>
    <w:p>
      <w:pPr>
        <w:spacing w:before="222" w:line="189" w:lineRule="auto"/>
        <w:ind w:firstLine="507"/>
        <w:rPr>
          <w:rFonts w:ascii="仿宋" w:hAnsi="仿宋" w:eastAsia="仿宋" w:cs="仿宋"/>
          <w:sz w:val="24"/>
          <w:szCs w:val="24"/>
        </w:rPr>
      </w:pPr>
      <w:r>
        <w:rPr>
          <w:rFonts w:ascii="仿宋" w:hAnsi="仿宋" w:eastAsia="仿宋" w:cs="仿宋"/>
          <w:spacing w:val="-2"/>
          <w:sz w:val="24"/>
          <w:szCs w:val="24"/>
        </w:rPr>
        <w:t>3、项目验收标准和程序</w:t>
      </w:r>
    </w:p>
    <w:p>
      <w:pPr>
        <w:spacing w:before="222" w:line="189" w:lineRule="auto"/>
        <w:ind w:firstLine="501"/>
        <w:rPr>
          <w:rFonts w:ascii="Times New Roman" w:hAnsi="Times New Roman" w:eastAsia="仿宋_GB2312"/>
          <w:color w:val="000000" w:themeColor="text1"/>
          <w:szCs w:val="21"/>
          <w14:textFill>
            <w14:solidFill>
              <w14:schemeClr w14:val="tx1"/>
            </w14:solidFill>
          </w14:textFill>
        </w:rPr>
      </w:pPr>
      <w:r>
        <w:rPr>
          <w:rFonts w:ascii="仿宋" w:hAnsi="仿宋" w:eastAsia="仿宋" w:cs="仿宋"/>
          <w:spacing w:val="-2"/>
          <w:sz w:val="24"/>
          <w:szCs w:val="24"/>
        </w:rPr>
        <w:t>4、其他</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1、如有未尽事宜，由双方依法订立补充合同。</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2、本合同一式捌份，自双方签章之日起生效。甲方陆份，乙方、政府采购管理部门各壹份。</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 xml:space="preserve">甲方：   （盖章）   </w:t>
      </w:r>
      <w:r>
        <w:rPr>
          <w:rFonts w:hint="eastAsia" w:ascii="Times New Roman" w:hAnsi="Times New Roman" w:eastAsia="仿宋_GB2312"/>
          <w:color w:val="000000" w:themeColor="text1"/>
          <w:szCs w:val="21"/>
          <w14:textFill>
            <w14:solidFill>
              <w14:schemeClr w14:val="tx1"/>
            </w14:solidFill>
          </w14:textFill>
        </w:rPr>
        <w:tab/>
      </w:r>
      <w:r>
        <w:rPr>
          <w:rFonts w:hint="eastAsia" w:ascii="Times New Roman" w:hAnsi="Times New Roman" w:eastAsia="仿宋_GB2312"/>
          <w:color w:val="000000" w:themeColor="text1"/>
          <w:szCs w:val="21"/>
          <w14:textFill>
            <w14:solidFill>
              <w14:schemeClr w14:val="tx1"/>
            </w14:solidFill>
          </w14:textFill>
        </w:rPr>
        <w:tab/>
      </w:r>
      <w:r>
        <w:rPr>
          <w:rFonts w:hint="eastAsia" w:ascii="Times New Roman" w:hAnsi="Times New Roman" w:eastAsia="仿宋_GB2312"/>
          <w:color w:val="000000" w:themeColor="text1"/>
          <w:szCs w:val="21"/>
          <w14:textFill>
            <w14:solidFill>
              <w14:schemeClr w14:val="tx1"/>
            </w14:solidFill>
          </w14:textFill>
        </w:rPr>
        <w:tab/>
      </w:r>
      <w:r>
        <w:rPr>
          <w:rFonts w:hint="eastAsia" w:ascii="Times New Roman" w:hAnsi="Times New Roman" w:eastAsia="仿宋_GB2312"/>
          <w:color w:val="000000" w:themeColor="text1"/>
          <w:szCs w:val="21"/>
          <w14:textFill>
            <w14:solidFill>
              <w14:schemeClr w14:val="tx1"/>
            </w14:solidFill>
          </w14:textFill>
        </w:rPr>
        <w:t xml:space="preserve">           乙方：   （盖章）</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法定代表人（授权代表）：                法定代表人（授权代表）：</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 xml:space="preserve">地    址：                              地    址：                    </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 xml:space="preserve">开户银行：                              开户银行：                      </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账号：                                  账号：</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电    话：                              电    话：</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传    真：                              传    真：</w:t>
      </w:r>
    </w:p>
    <w:p>
      <w:pPr>
        <w:spacing w:line="360" w:lineRule="auto"/>
        <w:rPr>
          <w:rFonts w:ascii="宋体" w:hAnsi="宋体"/>
          <w:color w:val="000000" w:themeColor="text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 xml:space="preserve">签约日期：  年  月  日 </w:t>
      </w:r>
      <w:r>
        <w:rPr>
          <w:rFonts w:hint="eastAsia" w:ascii="Times New Roman" w:hAnsi="Times New Roman" w:eastAsia="仿宋_GB2312"/>
          <w:color w:val="000000" w:themeColor="text1"/>
          <w:szCs w:val="21"/>
          <w14:textFill>
            <w14:solidFill>
              <w14:schemeClr w14:val="tx1"/>
            </w14:solidFill>
          </w14:textFill>
        </w:rPr>
        <w:tab/>
      </w:r>
      <w:r>
        <w:rPr>
          <w:rFonts w:hint="eastAsia" w:ascii="Times New Roman" w:hAnsi="Times New Roman" w:eastAsia="仿宋_GB2312"/>
          <w:color w:val="000000" w:themeColor="text1"/>
          <w:szCs w:val="21"/>
          <w14:textFill>
            <w14:solidFill>
              <w14:schemeClr w14:val="tx1"/>
            </w14:solidFill>
          </w14:textFill>
        </w:rPr>
        <w:tab/>
      </w:r>
      <w:r>
        <w:rPr>
          <w:rFonts w:hint="eastAsia" w:ascii="Times New Roman" w:hAnsi="Times New Roman" w:eastAsia="仿宋_GB2312"/>
          <w:color w:val="000000" w:themeColor="text1"/>
          <w:szCs w:val="21"/>
          <w14:textFill>
            <w14:solidFill>
              <w14:schemeClr w14:val="tx1"/>
            </w14:solidFill>
          </w14:textFill>
        </w:rPr>
        <w:t xml:space="preserve">     签约日期：  年  月   日</w:t>
      </w:r>
    </w:p>
    <w:p>
      <w:pPr>
        <w:spacing w:line="400" w:lineRule="exact"/>
        <w:ind w:firstLine="420" w:firstLineChars="200"/>
        <w:rPr>
          <w:rFonts w:ascii="宋体" w:hAnsi="宋体"/>
          <w:color w:val="000000" w:themeColor="text1"/>
          <w:szCs w:val="21"/>
          <w14:textFill>
            <w14:solidFill>
              <w14:schemeClr w14:val="tx1"/>
            </w14:solidFill>
          </w14:textFill>
        </w:rPr>
      </w:pPr>
    </w:p>
    <w:p>
      <w:pPr>
        <w:spacing w:line="400" w:lineRule="exact"/>
        <w:ind w:firstLine="420" w:firstLineChars="200"/>
        <w:rPr>
          <w:rFonts w:ascii="宋体" w:hAnsi="宋体"/>
          <w:color w:val="000000" w:themeColor="text1"/>
          <w:szCs w:val="21"/>
          <w14:textFill>
            <w14:solidFill>
              <w14:schemeClr w14:val="tx1"/>
            </w14:solidFill>
          </w14:textFill>
        </w:rPr>
      </w:pPr>
    </w:p>
    <w:p>
      <w:pPr>
        <w:spacing w:line="400" w:lineRule="exact"/>
        <w:ind w:firstLine="420" w:firstLineChars="200"/>
        <w:rPr>
          <w:rFonts w:ascii="宋体" w:hAnsi="宋体"/>
          <w:color w:val="000000" w:themeColor="text1"/>
          <w:szCs w:val="21"/>
          <w14:textFill>
            <w14:solidFill>
              <w14:schemeClr w14:val="tx1"/>
            </w14:solidFill>
          </w14:textFill>
        </w:rPr>
      </w:pPr>
    </w:p>
    <w:p>
      <w:pPr>
        <w:tabs>
          <w:tab w:val="left" w:pos="1155"/>
          <w:tab w:val="left" w:pos="1276"/>
          <w:tab w:val="left" w:pos="1418"/>
        </w:tabs>
        <w:spacing w:line="580" w:lineRule="exact"/>
        <w:rPr>
          <w:rFonts w:eastAsia="仿宋"/>
          <w:color w:val="000000" w:themeColor="text1"/>
          <w:szCs w:val="21"/>
          <w14:textFill>
            <w14:solidFill>
              <w14:schemeClr w14:val="tx1"/>
            </w14:solidFill>
          </w14:textFill>
        </w:rPr>
      </w:pPr>
    </w:p>
    <w:p>
      <w:pPr>
        <w:pStyle w:val="2"/>
        <w:ind w:left="0" w:leftChars="0" w:firstLine="0" w:firstLineChars="0"/>
        <w:rPr>
          <w:rFonts w:ascii="宋体" w:hAnsi="宋体"/>
          <w:b/>
          <w:bCs/>
          <w:color w:val="000000" w:themeColor="text1"/>
          <w:spacing w:val="-20"/>
          <w:kern w:val="44"/>
          <w:szCs w:val="32"/>
          <w14:textFill>
            <w14:solidFill>
              <w14:schemeClr w14:val="tx1"/>
            </w14:solidFill>
          </w14:textFill>
        </w:rPr>
      </w:pPr>
    </w:p>
    <w:bookmarkEnd w:id="169"/>
    <w:bookmarkEnd w:id="170"/>
    <w:bookmarkEnd w:id="171"/>
    <w:p>
      <w:pPr>
        <w:rPr>
          <w:rFonts w:ascii="宋体" w:hAnsi="宋体" w:cs="Tahoma"/>
          <w:b/>
          <w:color w:val="000000" w:themeColor="text1"/>
          <w:sz w:val="30"/>
          <w:szCs w:val="30"/>
          <w14:textFill>
            <w14:solidFill>
              <w14:schemeClr w14:val="tx1"/>
            </w14:solidFill>
          </w14:textFill>
        </w:rPr>
      </w:pPr>
      <w:r>
        <w:rPr>
          <w:rFonts w:hint="eastAsia" w:ascii="宋体" w:hAnsi="宋体" w:cs="Tahoma"/>
          <w:b/>
          <w:color w:val="000000" w:themeColor="text1"/>
          <w:sz w:val="30"/>
          <w:szCs w:val="30"/>
          <w14:textFill>
            <w14:solidFill>
              <w14:schemeClr w14:val="tx1"/>
            </w14:solidFill>
          </w14:textFill>
        </w:rPr>
        <w:t>附件</w:t>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Times New (W1)">
    <w:altName w:val="Times New Roman"/>
    <w:panose1 w:val="00000000000000000000"/>
    <w:charset w:val="00"/>
    <w:family w:val="decorative"/>
    <w:pitch w:val="default"/>
    <w:sig w:usb0="00000000" w:usb1="00000000" w:usb2="00000000" w:usb3="00000000" w:csb0="00000000" w:csb1="00000000"/>
  </w:font>
  <w:font w:name="Arial (W1)">
    <w:altName w:val="Arial"/>
    <w:panose1 w:val="00000000000000000000"/>
    <w:charset w:val="00"/>
    <w:family w:val="modern"/>
    <w:pitch w:val="default"/>
    <w:sig w:usb0="00000000" w:usb1="00000000" w:usb2="00000008" w:usb3="00000000" w:csb0="000001FF" w:csb1="00000000"/>
  </w:font>
  <w:font w:name="隶书">
    <w:panose1 w:val="02010509060101010101"/>
    <w:charset w:val="86"/>
    <w:family w:val="modern"/>
    <w:pitch w:val="default"/>
    <w:sig w:usb0="00000001" w:usb1="080E0000" w:usb2="00000000" w:usb3="00000000" w:csb0="00040000" w:csb1="00000000"/>
  </w:font>
  <w:font w:name="Arial Unicode MS">
    <w:altName w:val="Arial"/>
    <w:panose1 w:val="020B0604020202020204"/>
    <w:charset w:val="00"/>
    <w:family w:val="decorative"/>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F3B6B1"/>
    <w:multiLevelType w:val="singleLevel"/>
    <w:tmpl w:val="A8F3B6B1"/>
    <w:lvl w:ilvl="0" w:tentative="0">
      <w:start w:val="1"/>
      <w:numFmt w:val="decimal"/>
      <w:suff w:val="nothing"/>
      <w:lvlText w:val="%1、"/>
      <w:lvlJc w:val="left"/>
    </w:lvl>
  </w:abstractNum>
  <w:abstractNum w:abstractNumId="1">
    <w:nsid w:val="E8CF95E9"/>
    <w:multiLevelType w:val="singleLevel"/>
    <w:tmpl w:val="E8CF95E9"/>
    <w:lvl w:ilvl="0" w:tentative="0">
      <w:start w:val="4"/>
      <w:numFmt w:val="decimal"/>
      <w:suff w:val="nothing"/>
      <w:lvlText w:val="%1、"/>
      <w:lvlJc w:val="left"/>
    </w:lvl>
  </w:abstractNum>
  <w:abstractNum w:abstractNumId="2">
    <w:nsid w:val="EEE2FC0D"/>
    <w:multiLevelType w:val="singleLevel"/>
    <w:tmpl w:val="EEE2FC0D"/>
    <w:lvl w:ilvl="0" w:tentative="0">
      <w:start w:val="1"/>
      <w:numFmt w:val="decimal"/>
      <w:suff w:val="nothing"/>
      <w:lvlText w:val="%1、"/>
      <w:lvlJc w:val="left"/>
    </w:lvl>
  </w:abstractNum>
  <w:abstractNum w:abstractNumId="3">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0"/>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4">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7"/>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8"/>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5">
    <w:nsid w:val="0000002E"/>
    <w:multiLevelType w:val="multilevel"/>
    <w:tmpl w:val="0000002E"/>
    <w:lvl w:ilvl="0" w:tentative="0">
      <w:start w:val="1"/>
      <w:numFmt w:val="decimal"/>
      <w:pStyle w:val="3"/>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992" w:hanging="567"/>
      </w:pPr>
      <w:rPr>
        <w:rFonts w:hint="default" w:ascii="Times New Roman" w:hAnsi="Times New Roman" w:eastAsia="宋体" w:cs="Times New Roman"/>
        <w:b/>
        <w:i w:val="0"/>
        <w:sz w:val="28"/>
      </w:rPr>
    </w:lvl>
    <w:lvl w:ilvl="3" w:tentative="0">
      <w:start w:val="1"/>
      <w:numFmt w:val="decimal"/>
      <w:pStyle w:val="6"/>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6">
    <w:nsid w:val="1B246E06"/>
    <w:multiLevelType w:val="multilevel"/>
    <w:tmpl w:val="1B246E06"/>
    <w:lvl w:ilvl="0" w:tentative="0">
      <w:start w:val="1"/>
      <w:numFmt w:val="japaneseCounting"/>
      <w:lvlText w:val="%1、"/>
      <w:lvlJc w:val="left"/>
      <w:pPr>
        <w:ind w:left="1986" w:hanging="720"/>
      </w:pPr>
      <w:rPr>
        <w:rFonts w:hint="default"/>
        <w:b w:val="0"/>
        <w:sz w:val="28"/>
        <w:szCs w:val="28"/>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7">
    <w:nsid w:val="2C5917C3"/>
    <w:multiLevelType w:val="multilevel"/>
    <w:tmpl w:val="2C5917C3"/>
    <w:lvl w:ilvl="0" w:tentative="0">
      <w:start w:val="1"/>
      <w:numFmt w:val="none"/>
      <w:pStyle w:val="156"/>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8">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9">
    <w:nsid w:val="4D2540F1"/>
    <w:multiLevelType w:val="multilevel"/>
    <w:tmpl w:val="4D2540F1"/>
    <w:lvl w:ilvl="0" w:tentative="0">
      <w:start w:val="5"/>
      <w:numFmt w:val="japaneseCounting"/>
      <w:lvlText w:val="%1、"/>
      <w:lvlJc w:val="left"/>
      <w:pPr>
        <w:ind w:left="1429" w:hanging="720"/>
      </w:pPr>
      <w:rPr>
        <w:rFonts w:hint="default"/>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0">
    <w:nsid w:val="6107B084"/>
    <w:multiLevelType w:val="multilevel"/>
    <w:tmpl w:val="6107B084"/>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6107B08F"/>
    <w:multiLevelType w:val="multilevel"/>
    <w:tmpl w:val="6107B08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12">
    <w:nsid w:val="6107B09A"/>
    <w:multiLevelType w:val="multilevel"/>
    <w:tmpl w:val="6107B09A"/>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107B0A5"/>
    <w:multiLevelType w:val="multilevel"/>
    <w:tmpl w:val="6107B0A5"/>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107B0B0"/>
    <w:multiLevelType w:val="multilevel"/>
    <w:tmpl w:val="6107B0B0"/>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5">
    <w:nsid w:val="6107B0BB"/>
    <w:multiLevelType w:val="multilevel"/>
    <w:tmpl w:val="6107B0BB"/>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abstractNum w:abstractNumId="16">
    <w:nsid w:val="6107B0C6"/>
    <w:multiLevelType w:val="multilevel"/>
    <w:tmpl w:val="6107B0C6"/>
    <w:lvl w:ilvl="0" w:tentative="0">
      <w:start w:val="1"/>
      <w:numFmt w:val="chineseCountingThousand"/>
      <w:lvlText w:val="%1、"/>
      <w:lvlJc w:val="left"/>
      <w:pPr>
        <w:ind w:left="986" w:hanging="420"/>
      </w:pPr>
      <w:rPr>
        <w:rFonts w:hint="eastAsia"/>
        <w:color w:val="auto"/>
        <w:sz w:val="28"/>
        <w:highlight w:val="none"/>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7">
    <w:nsid w:val="6107B0D1"/>
    <w:multiLevelType w:val="multilevel"/>
    <w:tmpl w:val="6107B0D1"/>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8">
    <w:nsid w:val="6107B0DC"/>
    <w:multiLevelType w:val="multilevel"/>
    <w:tmpl w:val="6107B0DC"/>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9">
    <w:nsid w:val="6107B0E7"/>
    <w:multiLevelType w:val="multilevel"/>
    <w:tmpl w:val="6107B0E7"/>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0">
    <w:nsid w:val="6107B0F2"/>
    <w:multiLevelType w:val="multilevel"/>
    <w:tmpl w:val="6107B0F2"/>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21">
    <w:nsid w:val="6107B0FD"/>
    <w:multiLevelType w:val="multilevel"/>
    <w:tmpl w:val="6107B0FD"/>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2">
    <w:nsid w:val="6107B108"/>
    <w:multiLevelType w:val="multilevel"/>
    <w:tmpl w:val="6107B108"/>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3">
    <w:nsid w:val="6107B113"/>
    <w:multiLevelType w:val="multilevel"/>
    <w:tmpl w:val="6107B113"/>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4">
    <w:nsid w:val="6107B11E"/>
    <w:multiLevelType w:val="multilevel"/>
    <w:tmpl w:val="6107B11E"/>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25">
    <w:nsid w:val="6107B129"/>
    <w:multiLevelType w:val="multilevel"/>
    <w:tmpl w:val="6107B129"/>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26">
    <w:nsid w:val="6107B134"/>
    <w:multiLevelType w:val="multilevel"/>
    <w:tmpl w:val="6107B134"/>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7">
    <w:nsid w:val="6107B13F"/>
    <w:multiLevelType w:val="multilevel"/>
    <w:tmpl w:val="6107B13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8">
    <w:nsid w:val="6107B14A"/>
    <w:multiLevelType w:val="multilevel"/>
    <w:tmpl w:val="6107B14A"/>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9">
    <w:nsid w:val="6107B155"/>
    <w:multiLevelType w:val="multilevel"/>
    <w:tmpl w:val="6107B155"/>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30">
    <w:nsid w:val="6107B160"/>
    <w:multiLevelType w:val="multilevel"/>
    <w:tmpl w:val="6107B160"/>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31">
    <w:nsid w:val="6107B16B"/>
    <w:multiLevelType w:val="multilevel"/>
    <w:tmpl w:val="6107B16B"/>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2">
    <w:nsid w:val="6107B176"/>
    <w:multiLevelType w:val="multilevel"/>
    <w:tmpl w:val="6107B176"/>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3">
    <w:nsid w:val="6107B181"/>
    <w:multiLevelType w:val="multilevel"/>
    <w:tmpl w:val="6107B181"/>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34">
    <w:nsid w:val="6107B18C"/>
    <w:multiLevelType w:val="multilevel"/>
    <w:tmpl w:val="6107B18C"/>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5">
    <w:nsid w:val="6107B197"/>
    <w:multiLevelType w:val="multilevel"/>
    <w:tmpl w:val="6107B197"/>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6">
    <w:nsid w:val="6107B1A2"/>
    <w:multiLevelType w:val="multilevel"/>
    <w:tmpl w:val="6107B1A2"/>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7">
    <w:nsid w:val="6107B1AD"/>
    <w:multiLevelType w:val="multilevel"/>
    <w:tmpl w:val="6107B1AD"/>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8">
    <w:nsid w:val="6107B1B8"/>
    <w:multiLevelType w:val="multilevel"/>
    <w:tmpl w:val="6107B1B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6107B1C3"/>
    <w:multiLevelType w:val="multilevel"/>
    <w:tmpl w:val="6107B1C3"/>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0">
    <w:nsid w:val="6107B1CE"/>
    <w:multiLevelType w:val="multilevel"/>
    <w:tmpl w:val="6107B1CE"/>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1">
    <w:nsid w:val="6107B1D9"/>
    <w:multiLevelType w:val="multilevel"/>
    <w:tmpl w:val="6107B1D9"/>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2">
    <w:nsid w:val="6107B1E4"/>
    <w:multiLevelType w:val="multilevel"/>
    <w:tmpl w:val="6107B1E4"/>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3">
    <w:nsid w:val="6107B1EF"/>
    <w:multiLevelType w:val="multilevel"/>
    <w:tmpl w:val="6107B1EF"/>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44">
    <w:nsid w:val="6107B1FA"/>
    <w:multiLevelType w:val="multilevel"/>
    <w:tmpl w:val="6107B1FA"/>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5">
    <w:nsid w:val="6107B205"/>
    <w:multiLevelType w:val="multilevel"/>
    <w:tmpl w:val="6107B2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6">
    <w:nsid w:val="6107B210"/>
    <w:multiLevelType w:val="multilevel"/>
    <w:tmpl w:val="6107B210"/>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7">
    <w:nsid w:val="6107B21B"/>
    <w:multiLevelType w:val="multilevel"/>
    <w:tmpl w:val="6107B21B"/>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8">
    <w:nsid w:val="6107B226"/>
    <w:multiLevelType w:val="multilevel"/>
    <w:tmpl w:val="6107B226"/>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num w:numId="1">
    <w:abstractNumId w:val="5"/>
  </w:num>
  <w:num w:numId="2">
    <w:abstractNumId w:val="4"/>
  </w:num>
  <w:num w:numId="3">
    <w:abstractNumId w:val="3"/>
  </w:num>
  <w:num w:numId="4">
    <w:abstractNumId w:val="7"/>
  </w:num>
  <w:num w:numId="5">
    <w:abstractNumId w:val="9"/>
  </w:num>
  <w:num w:numId="6">
    <w:abstractNumId w:val="10"/>
    <w:lvlOverride w:ilvl="1">
      <w:startOverride w:val="1"/>
    </w:lvlOverride>
  </w:num>
  <w:num w:numId="7">
    <w:abstractNumId w:val="11"/>
    <w:lvlOverride w:ilvl="0">
      <w:startOverride w:val="1"/>
    </w:lvlOverride>
  </w:num>
  <w:num w:numId="8">
    <w:abstractNumId w:val="12"/>
    <w:lvlOverride w:ilvl="0">
      <w:startOverride w:val="1"/>
    </w:lvlOverride>
  </w:num>
  <w:num w:numId="9">
    <w:abstractNumId w:val="13"/>
    <w:lvlOverride w:ilvl="0">
      <w:startOverride w:val="1"/>
    </w:lvlOverride>
  </w:num>
  <w:num w:numId="10">
    <w:abstractNumId w:val="14"/>
    <w:lvlOverride w:ilvl="0">
      <w:startOverride w:val="1"/>
    </w:lvlOverride>
  </w:num>
  <w:num w:numId="11">
    <w:abstractNumId w:val="15"/>
    <w:lvlOverride w:ilvl="0">
      <w:startOverride w:val="1"/>
    </w:lvlOverride>
  </w:num>
  <w:num w:numId="12">
    <w:abstractNumId w:val="16"/>
    <w:lvlOverride w:ilvl="0">
      <w:startOverride w:val="1"/>
    </w:lvlOverride>
  </w:num>
  <w:num w:numId="13">
    <w:abstractNumId w:val="17"/>
    <w:lvlOverride w:ilvl="0">
      <w:startOverride w:val="1"/>
    </w:lvlOverride>
  </w:num>
  <w:num w:numId="14">
    <w:abstractNumId w:val="18"/>
    <w:lvlOverride w:ilvl="1">
      <w:startOverride w:val="1"/>
    </w:lvlOverride>
  </w:num>
  <w:num w:numId="15">
    <w:abstractNumId w:val="19"/>
    <w:lvlOverride w:ilvl="0">
      <w:startOverride w:val="1"/>
    </w:lvlOverride>
  </w:num>
  <w:num w:numId="16">
    <w:abstractNumId w:val="20"/>
    <w:lvlOverride w:ilvl="0">
      <w:startOverride w:val="1"/>
    </w:lvlOverride>
  </w:num>
  <w:num w:numId="17">
    <w:abstractNumId w:val="21"/>
    <w:lvlOverride w:ilvl="0">
      <w:startOverride w:val="1"/>
    </w:lvlOverride>
  </w:num>
  <w:num w:numId="18">
    <w:abstractNumId w:val="22"/>
    <w:lvlOverride w:ilvl="0">
      <w:startOverride w:val="1"/>
    </w:lvlOverride>
  </w:num>
  <w:num w:numId="19">
    <w:abstractNumId w:val="23"/>
    <w:lvlOverride w:ilvl="0">
      <w:startOverride w:val="1"/>
    </w:lvlOverride>
  </w:num>
  <w:num w:numId="20">
    <w:abstractNumId w:val="24"/>
    <w:lvlOverride w:ilvl="0">
      <w:startOverride w:val="1"/>
    </w:lvlOverride>
  </w:num>
  <w:num w:numId="21">
    <w:abstractNumId w:val="8"/>
  </w:num>
  <w:num w:numId="22">
    <w:abstractNumId w:val="25"/>
    <w:lvlOverride w:ilvl="0">
      <w:startOverride w:val="1"/>
    </w:lvlOverride>
  </w:num>
  <w:num w:numId="23">
    <w:abstractNumId w:val="26"/>
    <w:lvlOverride w:ilvl="0">
      <w:startOverride w:val="1"/>
    </w:lvlOverride>
  </w:num>
  <w:num w:numId="24">
    <w:abstractNumId w:val="27"/>
    <w:lvlOverride w:ilvl="0">
      <w:startOverride w:val="1"/>
    </w:lvlOverride>
  </w:num>
  <w:num w:numId="25">
    <w:abstractNumId w:val="28"/>
    <w:lvlOverride w:ilvl="0">
      <w:startOverride w:val="1"/>
    </w:lvlOverride>
  </w:num>
  <w:num w:numId="26">
    <w:abstractNumId w:val="29"/>
    <w:lvlOverride w:ilvl="0">
      <w:startOverride w:val="1"/>
    </w:lvlOverride>
  </w:num>
  <w:num w:numId="27">
    <w:abstractNumId w:val="30"/>
    <w:lvlOverride w:ilvl="1">
      <w:startOverride w:val="1"/>
    </w:lvlOverride>
  </w:num>
  <w:num w:numId="28">
    <w:abstractNumId w:val="31"/>
    <w:lvlOverride w:ilvl="0">
      <w:startOverride w:val="1"/>
    </w:lvlOverride>
  </w:num>
  <w:num w:numId="29">
    <w:abstractNumId w:val="32"/>
    <w:lvlOverride w:ilvl="0">
      <w:startOverride w:val="1"/>
    </w:lvlOverride>
  </w:num>
  <w:num w:numId="30">
    <w:abstractNumId w:val="33"/>
    <w:lvlOverride w:ilvl="1">
      <w:startOverride w:val="1"/>
    </w:lvlOverride>
  </w:num>
  <w:num w:numId="31">
    <w:abstractNumId w:val="34"/>
    <w:lvlOverride w:ilvl="0">
      <w:startOverride w:val="1"/>
    </w:lvlOverride>
  </w:num>
  <w:num w:numId="32">
    <w:abstractNumId w:val="35"/>
    <w:lvlOverride w:ilvl="2">
      <w:startOverride w:val="1"/>
    </w:lvlOverride>
  </w:num>
  <w:num w:numId="33">
    <w:abstractNumId w:val="36"/>
    <w:lvlOverride w:ilvl="0">
      <w:startOverride w:val="1"/>
    </w:lvlOverride>
  </w:num>
  <w:num w:numId="34">
    <w:abstractNumId w:val="37"/>
    <w:lvlOverride w:ilvl="1">
      <w:startOverride w:val="1"/>
    </w:lvlOverride>
  </w:num>
  <w:num w:numId="35">
    <w:abstractNumId w:val="6"/>
  </w:num>
  <w:num w:numId="36">
    <w:abstractNumId w:val="0"/>
  </w:num>
  <w:num w:numId="37">
    <w:abstractNumId w:val="2"/>
  </w:num>
  <w:num w:numId="38">
    <w:abstractNumId w:val="1"/>
  </w:num>
  <w:num w:numId="39">
    <w:abstractNumId w:val="38"/>
    <w:lvlOverride w:ilvl="0">
      <w:startOverride w:val="1"/>
    </w:lvlOverride>
  </w:num>
  <w:num w:numId="40">
    <w:abstractNumId w:val="39"/>
    <w:lvlOverride w:ilvl="1">
      <w:startOverride w:val="1"/>
    </w:lvlOverride>
  </w:num>
  <w:num w:numId="41">
    <w:abstractNumId w:val="40"/>
    <w:lvlOverride w:ilvl="0">
      <w:startOverride w:val="1"/>
    </w:lvlOverride>
  </w:num>
  <w:num w:numId="42">
    <w:abstractNumId w:val="41"/>
    <w:lvlOverride w:ilvl="0">
      <w:startOverride w:val="1"/>
    </w:lvlOverride>
  </w:num>
  <w:num w:numId="43">
    <w:abstractNumId w:val="42"/>
    <w:lvlOverride w:ilvl="0">
      <w:startOverride w:val="1"/>
    </w:lvlOverride>
  </w:num>
  <w:num w:numId="44">
    <w:abstractNumId w:val="43"/>
    <w:lvlOverride w:ilvl="0">
      <w:startOverride w:val="1"/>
    </w:lvlOverride>
  </w:num>
  <w:num w:numId="45">
    <w:abstractNumId w:val="44"/>
    <w:lvlOverride w:ilvl="0">
      <w:startOverride w:val="1"/>
    </w:lvlOverride>
  </w:num>
  <w:num w:numId="46">
    <w:abstractNumId w:val="45"/>
    <w:lvlOverride w:ilvl="0">
      <w:startOverride w:val="1"/>
    </w:lvlOverride>
  </w:num>
  <w:num w:numId="47">
    <w:abstractNumId w:val="46"/>
    <w:lvlOverride w:ilvl="0">
      <w:startOverride w:val="1"/>
    </w:lvlOverride>
  </w:num>
  <w:num w:numId="48">
    <w:abstractNumId w:val="47"/>
    <w:lvlOverride w:ilvl="0">
      <w:startOverride w:val="1"/>
    </w:lvlOverride>
  </w:num>
  <w:num w:numId="49">
    <w:abstractNumId w:val="4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387B"/>
    <w:rsid w:val="000042B8"/>
    <w:rsid w:val="00004B28"/>
    <w:rsid w:val="000101A5"/>
    <w:rsid w:val="00014923"/>
    <w:rsid w:val="000174DF"/>
    <w:rsid w:val="000174E4"/>
    <w:rsid w:val="00020209"/>
    <w:rsid w:val="00026529"/>
    <w:rsid w:val="00026B21"/>
    <w:rsid w:val="00027703"/>
    <w:rsid w:val="0003136B"/>
    <w:rsid w:val="0003676E"/>
    <w:rsid w:val="0005344D"/>
    <w:rsid w:val="0006474F"/>
    <w:rsid w:val="00065981"/>
    <w:rsid w:val="000679F7"/>
    <w:rsid w:val="00070719"/>
    <w:rsid w:val="00070733"/>
    <w:rsid w:val="00072234"/>
    <w:rsid w:val="000777D1"/>
    <w:rsid w:val="0008155B"/>
    <w:rsid w:val="000843CC"/>
    <w:rsid w:val="00086E37"/>
    <w:rsid w:val="00086F3A"/>
    <w:rsid w:val="0009560F"/>
    <w:rsid w:val="000A0B0A"/>
    <w:rsid w:val="000A4B6A"/>
    <w:rsid w:val="000B0144"/>
    <w:rsid w:val="000B310F"/>
    <w:rsid w:val="000B33FA"/>
    <w:rsid w:val="000B3D82"/>
    <w:rsid w:val="000B43E4"/>
    <w:rsid w:val="000B6789"/>
    <w:rsid w:val="000B687F"/>
    <w:rsid w:val="000C16AE"/>
    <w:rsid w:val="000C51E1"/>
    <w:rsid w:val="000C688A"/>
    <w:rsid w:val="000C7BCC"/>
    <w:rsid w:val="000D7F24"/>
    <w:rsid w:val="000F2F9B"/>
    <w:rsid w:val="000F57CA"/>
    <w:rsid w:val="00101BE9"/>
    <w:rsid w:val="00102646"/>
    <w:rsid w:val="00117367"/>
    <w:rsid w:val="00120CCC"/>
    <w:rsid w:val="001254AD"/>
    <w:rsid w:val="001346A7"/>
    <w:rsid w:val="0015020F"/>
    <w:rsid w:val="00154224"/>
    <w:rsid w:val="0015495F"/>
    <w:rsid w:val="0015628B"/>
    <w:rsid w:val="001565CC"/>
    <w:rsid w:val="00162002"/>
    <w:rsid w:val="0016758C"/>
    <w:rsid w:val="00173A4F"/>
    <w:rsid w:val="00180441"/>
    <w:rsid w:val="00182C60"/>
    <w:rsid w:val="00183360"/>
    <w:rsid w:val="0019367D"/>
    <w:rsid w:val="001968B4"/>
    <w:rsid w:val="001A025C"/>
    <w:rsid w:val="001A6D6C"/>
    <w:rsid w:val="001B7C8D"/>
    <w:rsid w:val="001C0579"/>
    <w:rsid w:val="001C1EF9"/>
    <w:rsid w:val="001C7D1E"/>
    <w:rsid w:val="001D348C"/>
    <w:rsid w:val="001D56CD"/>
    <w:rsid w:val="001D631B"/>
    <w:rsid w:val="001E4E60"/>
    <w:rsid w:val="001F4244"/>
    <w:rsid w:val="001F73B0"/>
    <w:rsid w:val="0020005A"/>
    <w:rsid w:val="00202454"/>
    <w:rsid w:val="002040A4"/>
    <w:rsid w:val="0020671B"/>
    <w:rsid w:val="002067B1"/>
    <w:rsid w:val="00207E19"/>
    <w:rsid w:val="00211515"/>
    <w:rsid w:val="00212479"/>
    <w:rsid w:val="0021467A"/>
    <w:rsid w:val="0021701C"/>
    <w:rsid w:val="0022692C"/>
    <w:rsid w:val="00226BF4"/>
    <w:rsid w:val="00243F9D"/>
    <w:rsid w:val="00250BDE"/>
    <w:rsid w:val="002560C4"/>
    <w:rsid w:val="00261A3C"/>
    <w:rsid w:val="00262433"/>
    <w:rsid w:val="002637AD"/>
    <w:rsid w:val="00281E99"/>
    <w:rsid w:val="0028375D"/>
    <w:rsid w:val="00287BC3"/>
    <w:rsid w:val="00291D39"/>
    <w:rsid w:val="002A261C"/>
    <w:rsid w:val="002A3A1C"/>
    <w:rsid w:val="002B0466"/>
    <w:rsid w:val="002B2023"/>
    <w:rsid w:val="002C764F"/>
    <w:rsid w:val="002D760C"/>
    <w:rsid w:val="002E123D"/>
    <w:rsid w:val="002E4801"/>
    <w:rsid w:val="002F6FD2"/>
    <w:rsid w:val="0030284F"/>
    <w:rsid w:val="00303FFE"/>
    <w:rsid w:val="00305097"/>
    <w:rsid w:val="0033555E"/>
    <w:rsid w:val="003420BA"/>
    <w:rsid w:val="003518B7"/>
    <w:rsid w:val="00353263"/>
    <w:rsid w:val="00364328"/>
    <w:rsid w:val="003646B9"/>
    <w:rsid w:val="00370D4D"/>
    <w:rsid w:val="003710A5"/>
    <w:rsid w:val="00371482"/>
    <w:rsid w:val="00374619"/>
    <w:rsid w:val="00383D6E"/>
    <w:rsid w:val="00390301"/>
    <w:rsid w:val="00390E31"/>
    <w:rsid w:val="003944EB"/>
    <w:rsid w:val="003A1E27"/>
    <w:rsid w:val="003B66BD"/>
    <w:rsid w:val="003D27CA"/>
    <w:rsid w:val="003D2A89"/>
    <w:rsid w:val="003D2F7D"/>
    <w:rsid w:val="003D53E3"/>
    <w:rsid w:val="003D7BD8"/>
    <w:rsid w:val="003E2110"/>
    <w:rsid w:val="003E3793"/>
    <w:rsid w:val="003F0EDE"/>
    <w:rsid w:val="003F53CF"/>
    <w:rsid w:val="0040069B"/>
    <w:rsid w:val="00402344"/>
    <w:rsid w:val="00404442"/>
    <w:rsid w:val="004051C9"/>
    <w:rsid w:val="00405BCD"/>
    <w:rsid w:val="00406FE3"/>
    <w:rsid w:val="004108A4"/>
    <w:rsid w:val="00411516"/>
    <w:rsid w:val="00421832"/>
    <w:rsid w:val="004232E7"/>
    <w:rsid w:val="004323DB"/>
    <w:rsid w:val="004357C7"/>
    <w:rsid w:val="0043700B"/>
    <w:rsid w:val="00437A1A"/>
    <w:rsid w:val="00437E6C"/>
    <w:rsid w:val="0044052B"/>
    <w:rsid w:val="0044346E"/>
    <w:rsid w:val="00445184"/>
    <w:rsid w:val="00445E0E"/>
    <w:rsid w:val="00446126"/>
    <w:rsid w:val="00452ACF"/>
    <w:rsid w:val="00452EF2"/>
    <w:rsid w:val="00463F68"/>
    <w:rsid w:val="00470575"/>
    <w:rsid w:val="00471217"/>
    <w:rsid w:val="0047177D"/>
    <w:rsid w:val="00471B43"/>
    <w:rsid w:val="00473E00"/>
    <w:rsid w:val="00480397"/>
    <w:rsid w:val="004813F1"/>
    <w:rsid w:val="00484CF8"/>
    <w:rsid w:val="004864AB"/>
    <w:rsid w:val="00495010"/>
    <w:rsid w:val="00497555"/>
    <w:rsid w:val="004A07CA"/>
    <w:rsid w:val="004A1910"/>
    <w:rsid w:val="004A56E0"/>
    <w:rsid w:val="004B06E4"/>
    <w:rsid w:val="004B26F4"/>
    <w:rsid w:val="004E030D"/>
    <w:rsid w:val="004E43EA"/>
    <w:rsid w:val="004F4893"/>
    <w:rsid w:val="004F5599"/>
    <w:rsid w:val="00504133"/>
    <w:rsid w:val="005100C9"/>
    <w:rsid w:val="005205B5"/>
    <w:rsid w:val="0052113C"/>
    <w:rsid w:val="00523498"/>
    <w:rsid w:val="00523994"/>
    <w:rsid w:val="00526794"/>
    <w:rsid w:val="00527B0B"/>
    <w:rsid w:val="00531A79"/>
    <w:rsid w:val="00531B44"/>
    <w:rsid w:val="00532E8C"/>
    <w:rsid w:val="00536BA7"/>
    <w:rsid w:val="00540C51"/>
    <w:rsid w:val="00541CA9"/>
    <w:rsid w:val="005446FD"/>
    <w:rsid w:val="00551D24"/>
    <w:rsid w:val="005538C1"/>
    <w:rsid w:val="00553F24"/>
    <w:rsid w:val="005568B2"/>
    <w:rsid w:val="00556F88"/>
    <w:rsid w:val="005570C1"/>
    <w:rsid w:val="0056027F"/>
    <w:rsid w:val="00564FA0"/>
    <w:rsid w:val="00576EE9"/>
    <w:rsid w:val="0057742C"/>
    <w:rsid w:val="005800A8"/>
    <w:rsid w:val="00580DDE"/>
    <w:rsid w:val="00582B28"/>
    <w:rsid w:val="005830E8"/>
    <w:rsid w:val="005901C0"/>
    <w:rsid w:val="0059249A"/>
    <w:rsid w:val="0059336C"/>
    <w:rsid w:val="005C3C4F"/>
    <w:rsid w:val="005D0E99"/>
    <w:rsid w:val="005D7421"/>
    <w:rsid w:val="005D7B75"/>
    <w:rsid w:val="005E269C"/>
    <w:rsid w:val="005E272D"/>
    <w:rsid w:val="005E43E2"/>
    <w:rsid w:val="005E599B"/>
    <w:rsid w:val="00600114"/>
    <w:rsid w:val="00600E5C"/>
    <w:rsid w:val="006049E3"/>
    <w:rsid w:val="00605E7B"/>
    <w:rsid w:val="00606C63"/>
    <w:rsid w:val="00611A72"/>
    <w:rsid w:val="00611BFE"/>
    <w:rsid w:val="00615912"/>
    <w:rsid w:val="00623DAD"/>
    <w:rsid w:val="00624151"/>
    <w:rsid w:val="00625DC3"/>
    <w:rsid w:val="006260D7"/>
    <w:rsid w:val="00626714"/>
    <w:rsid w:val="00633F88"/>
    <w:rsid w:val="006406E3"/>
    <w:rsid w:val="006435DE"/>
    <w:rsid w:val="006568E1"/>
    <w:rsid w:val="00662A9F"/>
    <w:rsid w:val="00662EAB"/>
    <w:rsid w:val="006739AA"/>
    <w:rsid w:val="00673C2B"/>
    <w:rsid w:val="0067729F"/>
    <w:rsid w:val="006905BA"/>
    <w:rsid w:val="00691467"/>
    <w:rsid w:val="00693EFC"/>
    <w:rsid w:val="006A5E19"/>
    <w:rsid w:val="006B54C4"/>
    <w:rsid w:val="006C10D5"/>
    <w:rsid w:val="006C3900"/>
    <w:rsid w:val="006D01EC"/>
    <w:rsid w:val="006D3124"/>
    <w:rsid w:val="006D4AEC"/>
    <w:rsid w:val="006E0195"/>
    <w:rsid w:val="006E4108"/>
    <w:rsid w:val="006F4841"/>
    <w:rsid w:val="00702559"/>
    <w:rsid w:val="007034BC"/>
    <w:rsid w:val="00705295"/>
    <w:rsid w:val="007211D4"/>
    <w:rsid w:val="00730B24"/>
    <w:rsid w:val="00731305"/>
    <w:rsid w:val="00733724"/>
    <w:rsid w:val="007345B7"/>
    <w:rsid w:val="0073713B"/>
    <w:rsid w:val="007407F8"/>
    <w:rsid w:val="007425A7"/>
    <w:rsid w:val="0075607C"/>
    <w:rsid w:val="00756241"/>
    <w:rsid w:val="00761A8D"/>
    <w:rsid w:val="0076602A"/>
    <w:rsid w:val="00766AD6"/>
    <w:rsid w:val="0077736E"/>
    <w:rsid w:val="00780DA1"/>
    <w:rsid w:val="00786A79"/>
    <w:rsid w:val="00787DC7"/>
    <w:rsid w:val="007970C5"/>
    <w:rsid w:val="007A48B3"/>
    <w:rsid w:val="007A7E5C"/>
    <w:rsid w:val="007B1592"/>
    <w:rsid w:val="007B3281"/>
    <w:rsid w:val="007B3969"/>
    <w:rsid w:val="007B3BB8"/>
    <w:rsid w:val="007B78D7"/>
    <w:rsid w:val="007C3DA8"/>
    <w:rsid w:val="007C41A7"/>
    <w:rsid w:val="007D0E55"/>
    <w:rsid w:val="007D509C"/>
    <w:rsid w:val="007D6384"/>
    <w:rsid w:val="007D69A9"/>
    <w:rsid w:val="007E017C"/>
    <w:rsid w:val="007E14ED"/>
    <w:rsid w:val="007E1FF4"/>
    <w:rsid w:val="007E2130"/>
    <w:rsid w:val="007E3C07"/>
    <w:rsid w:val="007E563A"/>
    <w:rsid w:val="007F6422"/>
    <w:rsid w:val="007F6B4C"/>
    <w:rsid w:val="007F7ACB"/>
    <w:rsid w:val="008005AD"/>
    <w:rsid w:val="0080079C"/>
    <w:rsid w:val="00801195"/>
    <w:rsid w:val="00802D5E"/>
    <w:rsid w:val="0080702A"/>
    <w:rsid w:val="008073F4"/>
    <w:rsid w:val="00812794"/>
    <w:rsid w:val="00817E69"/>
    <w:rsid w:val="00825CAB"/>
    <w:rsid w:val="00827B20"/>
    <w:rsid w:val="00833D36"/>
    <w:rsid w:val="00834A7F"/>
    <w:rsid w:val="008361D5"/>
    <w:rsid w:val="00847463"/>
    <w:rsid w:val="008617AC"/>
    <w:rsid w:val="00865F44"/>
    <w:rsid w:val="008716D3"/>
    <w:rsid w:val="00872312"/>
    <w:rsid w:val="00872B11"/>
    <w:rsid w:val="00881C3F"/>
    <w:rsid w:val="008835ED"/>
    <w:rsid w:val="00883F4A"/>
    <w:rsid w:val="008900B3"/>
    <w:rsid w:val="00890F59"/>
    <w:rsid w:val="0089574F"/>
    <w:rsid w:val="008A0DF1"/>
    <w:rsid w:val="008A78E9"/>
    <w:rsid w:val="008C03A7"/>
    <w:rsid w:val="008C0FC0"/>
    <w:rsid w:val="008D02F2"/>
    <w:rsid w:val="008E5564"/>
    <w:rsid w:val="008F4D64"/>
    <w:rsid w:val="008F7A66"/>
    <w:rsid w:val="00902F5C"/>
    <w:rsid w:val="00910788"/>
    <w:rsid w:val="00922252"/>
    <w:rsid w:val="00922AAC"/>
    <w:rsid w:val="00927C8C"/>
    <w:rsid w:val="00932889"/>
    <w:rsid w:val="009337EB"/>
    <w:rsid w:val="009358AF"/>
    <w:rsid w:val="009363E2"/>
    <w:rsid w:val="009372FB"/>
    <w:rsid w:val="00944C6B"/>
    <w:rsid w:val="00946C1A"/>
    <w:rsid w:val="009536AA"/>
    <w:rsid w:val="00954AF8"/>
    <w:rsid w:val="00961CD4"/>
    <w:rsid w:val="00962A42"/>
    <w:rsid w:val="0096458D"/>
    <w:rsid w:val="00965A4C"/>
    <w:rsid w:val="00967937"/>
    <w:rsid w:val="00970A58"/>
    <w:rsid w:val="009710C8"/>
    <w:rsid w:val="0097213B"/>
    <w:rsid w:val="00993681"/>
    <w:rsid w:val="00995B59"/>
    <w:rsid w:val="00997227"/>
    <w:rsid w:val="009A0F28"/>
    <w:rsid w:val="009A2E01"/>
    <w:rsid w:val="009A49CE"/>
    <w:rsid w:val="009B3038"/>
    <w:rsid w:val="009B3644"/>
    <w:rsid w:val="009D0A91"/>
    <w:rsid w:val="009D0BEB"/>
    <w:rsid w:val="009D3D25"/>
    <w:rsid w:val="009D62EA"/>
    <w:rsid w:val="009E1266"/>
    <w:rsid w:val="009F3945"/>
    <w:rsid w:val="009F7A93"/>
    <w:rsid w:val="00A0136A"/>
    <w:rsid w:val="00A066E6"/>
    <w:rsid w:val="00A0782A"/>
    <w:rsid w:val="00A13B86"/>
    <w:rsid w:val="00A15156"/>
    <w:rsid w:val="00A35F40"/>
    <w:rsid w:val="00A36339"/>
    <w:rsid w:val="00A366D5"/>
    <w:rsid w:val="00A40674"/>
    <w:rsid w:val="00A4098A"/>
    <w:rsid w:val="00A43C7A"/>
    <w:rsid w:val="00A446EB"/>
    <w:rsid w:val="00A50DC0"/>
    <w:rsid w:val="00A52BFA"/>
    <w:rsid w:val="00A55A80"/>
    <w:rsid w:val="00A64D91"/>
    <w:rsid w:val="00A752AC"/>
    <w:rsid w:val="00A829E4"/>
    <w:rsid w:val="00A83EE6"/>
    <w:rsid w:val="00A916FD"/>
    <w:rsid w:val="00A9315A"/>
    <w:rsid w:val="00A94DE0"/>
    <w:rsid w:val="00AA1747"/>
    <w:rsid w:val="00AA3CE3"/>
    <w:rsid w:val="00AA3DA8"/>
    <w:rsid w:val="00AB17B6"/>
    <w:rsid w:val="00AC0572"/>
    <w:rsid w:val="00AC383A"/>
    <w:rsid w:val="00AC41B8"/>
    <w:rsid w:val="00AC6C54"/>
    <w:rsid w:val="00AE029F"/>
    <w:rsid w:val="00AE1EE1"/>
    <w:rsid w:val="00AE4E9E"/>
    <w:rsid w:val="00AE7378"/>
    <w:rsid w:val="00AF04F6"/>
    <w:rsid w:val="00B01D34"/>
    <w:rsid w:val="00B04AFD"/>
    <w:rsid w:val="00B14279"/>
    <w:rsid w:val="00B15863"/>
    <w:rsid w:val="00B172F3"/>
    <w:rsid w:val="00B24328"/>
    <w:rsid w:val="00B25F3F"/>
    <w:rsid w:val="00B412D3"/>
    <w:rsid w:val="00B4316B"/>
    <w:rsid w:val="00B50DB0"/>
    <w:rsid w:val="00B51B2E"/>
    <w:rsid w:val="00B52A9F"/>
    <w:rsid w:val="00B54401"/>
    <w:rsid w:val="00B56BFB"/>
    <w:rsid w:val="00B610F2"/>
    <w:rsid w:val="00B720DA"/>
    <w:rsid w:val="00B766CA"/>
    <w:rsid w:val="00B80C22"/>
    <w:rsid w:val="00B810C2"/>
    <w:rsid w:val="00B86086"/>
    <w:rsid w:val="00BA0AAC"/>
    <w:rsid w:val="00BB19C9"/>
    <w:rsid w:val="00BB6CC7"/>
    <w:rsid w:val="00BB6FD6"/>
    <w:rsid w:val="00BC320B"/>
    <w:rsid w:val="00BD6DE0"/>
    <w:rsid w:val="00BE5989"/>
    <w:rsid w:val="00BF41C6"/>
    <w:rsid w:val="00C04B81"/>
    <w:rsid w:val="00C04ECC"/>
    <w:rsid w:val="00C160C2"/>
    <w:rsid w:val="00C171D7"/>
    <w:rsid w:val="00C21D8A"/>
    <w:rsid w:val="00C23559"/>
    <w:rsid w:val="00C23A03"/>
    <w:rsid w:val="00C37BC6"/>
    <w:rsid w:val="00C404C1"/>
    <w:rsid w:val="00C43381"/>
    <w:rsid w:val="00C44CBC"/>
    <w:rsid w:val="00C45D66"/>
    <w:rsid w:val="00C61F50"/>
    <w:rsid w:val="00C65D63"/>
    <w:rsid w:val="00C661DA"/>
    <w:rsid w:val="00C67F06"/>
    <w:rsid w:val="00C70F78"/>
    <w:rsid w:val="00C71725"/>
    <w:rsid w:val="00C74E87"/>
    <w:rsid w:val="00C8207E"/>
    <w:rsid w:val="00C91C1D"/>
    <w:rsid w:val="00CA26DF"/>
    <w:rsid w:val="00CA2CC5"/>
    <w:rsid w:val="00CA62AD"/>
    <w:rsid w:val="00CB2337"/>
    <w:rsid w:val="00CB31CD"/>
    <w:rsid w:val="00CB5A9B"/>
    <w:rsid w:val="00CB719B"/>
    <w:rsid w:val="00CC4F73"/>
    <w:rsid w:val="00CC6F6B"/>
    <w:rsid w:val="00CD54C6"/>
    <w:rsid w:val="00CD5760"/>
    <w:rsid w:val="00CE2477"/>
    <w:rsid w:val="00CE2D49"/>
    <w:rsid w:val="00CE4639"/>
    <w:rsid w:val="00CF3593"/>
    <w:rsid w:val="00CF4A72"/>
    <w:rsid w:val="00CF65EE"/>
    <w:rsid w:val="00D06ABF"/>
    <w:rsid w:val="00D12F0B"/>
    <w:rsid w:val="00D17694"/>
    <w:rsid w:val="00D238E8"/>
    <w:rsid w:val="00D23FF0"/>
    <w:rsid w:val="00D258C2"/>
    <w:rsid w:val="00D3009E"/>
    <w:rsid w:val="00D325E8"/>
    <w:rsid w:val="00D44B46"/>
    <w:rsid w:val="00D559E0"/>
    <w:rsid w:val="00D56AB5"/>
    <w:rsid w:val="00D6455E"/>
    <w:rsid w:val="00D73F70"/>
    <w:rsid w:val="00D76FE3"/>
    <w:rsid w:val="00D80080"/>
    <w:rsid w:val="00D80945"/>
    <w:rsid w:val="00D817FC"/>
    <w:rsid w:val="00D85797"/>
    <w:rsid w:val="00D86A10"/>
    <w:rsid w:val="00D92BF1"/>
    <w:rsid w:val="00D938A6"/>
    <w:rsid w:val="00DA1AF0"/>
    <w:rsid w:val="00DA2476"/>
    <w:rsid w:val="00DA3E0D"/>
    <w:rsid w:val="00DB01D1"/>
    <w:rsid w:val="00DB0C4D"/>
    <w:rsid w:val="00DB2076"/>
    <w:rsid w:val="00DB3587"/>
    <w:rsid w:val="00DB5AD9"/>
    <w:rsid w:val="00DC1D94"/>
    <w:rsid w:val="00DC434E"/>
    <w:rsid w:val="00DC5C5A"/>
    <w:rsid w:val="00DC617A"/>
    <w:rsid w:val="00DD221C"/>
    <w:rsid w:val="00DD4E54"/>
    <w:rsid w:val="00DE24CD"/>
    <w:rsid w:val="00DE4FDF"/>
    <w:rsid w:val="00DF1FE5"/>
    <w:rsid w:val="00DF6252"/>
    <w:rsid w:val="00E02C00"/>
    <w:rsid w:val="00E13610"/>
    <w:rsid w:val="00E1515C"/>
    <w:rsid w:val="00E15625"/>
    <w:rsid w:val="00E15AA8"/>
    <w:rsid w:val="00E170E6"/>
    <w:rsid w:val="00E22FAC"/>
    <w:rsid w:val="00E26617"/>
    <w:rsid w:val="00E27149"/>
    <w:rsid w:val="00E34D34"/>
    <w:rsid w:val="00E3605F"/>
    <w:rsid w:val="00E36B56"/>
    <w:rsid w:val="00E37998"/>
    <w:rsid w:val="00E518D6"/>
    <w:rsid w:val="00E53F2F"/>
    <w:rsid w:val="00E5426C"/>
    <w:rsid w:val="00E572D4"/>
    <w:rsid w:val="00E57318"/>
    <w:rsid w:val="00E6373B"/>
    <w:rsid w:val="00E744CB"/>
    <w:rsid w:val="00E75525"/>
    <w:rsid w:val="00E8589B"/>
    <w:rsid w:val="00E85E58"/>
    <w:rsid w:val="00E9019B"/>
    <w:rsid w:val="00E977B7"/>
    <w:rsid w:val="00EA23AA"/>
    <w:rsid w:val="00EA2B43"/>
    <w:rsid w:val="00EA3447"/>
    <w:rsid w:val="00EB58A4"/>
    <w:rsid w:val="00EB7F88"/>
    <w:rsid w:val="00EC0EC8"/>
    <w:rsid w:val="00EC75AF"/>
    <w:rsid w:val="00ED4215"/>
    <w:rsid w:val="00ED469C"/>
    <w:rsid w:val="00EF045D"/>
    <w:rsid w:val="00EF288A"/>
    <w:rsid w:val="00EF5CFC"/>
    <w:rsid w:val="00F00A4F"/>
    <w:rsid w:val="00F04B7A"/>
    <w:rsid w:val="00F1011C"/>
    <w:rsid w:val="00F12111"/>
    <w:rsid w:val="00F12B8A"/>
    <w:rsid w:val="00F1447D"/>
    <w:rsid w:val="00F1576F"/>
    <w:rsid w:val="00F2508D"/>
    <w:rsid w:val="00F42C9C"/>
    <w:rsid w:val="00F4485C"/>
    <w:rsid w:val="00F53550"/>
    <w:rsid w:val="00F53B34"/>
    <w:rsid w:val="00F558D2"/>
    <w:rsid w:val="00F61D52"/>
    <w:rsid w:val="00F62EAD"/>
    <w:rsid w:val="00F64DBC"/>
    <w:rsid w:val="00F6598C"/>
    <w:rsid w:val="00F700D5"/>
    <w:rsid w:val="00F72F70"/>
    <w:rsid w:val="00F7371D"/>
    <w:rsid w:val="00F7503C"/>
    <w:rsid w:val="00F77716"/>
    <w:rsid w:val="00F85A7B"/>
    <w:rsid w:val="00FA318B"/>
    <w:rsid w:val="00FA4A49"/>
    <w:rsid w:val="00FB7100"/>
    <w:rsid w:val="00FC2162"/>
    <w:rsid w:val="00FC2BF8"/>
    <w:rsid w:val="00FD1285"/>
    <w:rsid w:val="00FD3B84"/>
    <w:rsid w:val="01D57E32"/>
    <w:rsid w:val="055B543F"/>
    <w:rsid w:val="06CA57D2"/>
    <w:rsid w:val="09BB4941"/>
    <w:rsid w:val="10616F12"/>
    <w:rsid w:val="11594015"/>
    <w:rsid w:val="12DE2F04"/>
    <w:rsid w:val="130C2561"/>
    <w:rsid w:val="13154E88"/>
    <w:rsid w:val="133972C2"/>
    <w:rsid w:val="13F217DA"/>
    <w:rsid w:val="148A46BB"/>
    <w:rsid w:val="14B62E05"/>
    <w:rsid w:val="18816044"/>
    <w:rsid w:val="192B553B"/>
    <w:rsid w:val="1ABE30FF"/>
    <w:rsid w:val="1B2D7D8B"/>
    <w:rsid w:val="1BF14D03"/>
    <w:rsid w:val="1CC23432"/>
    <w:rsid w:val="1DB22424"/>
    <w:rsid w:val="1DDA56B0"/>
    <w:rsid w:val="1E5F3E11"/>
    <w:rsid w:val="1FF63598"/>
    <w:rsid w:val="202645B9"/>
    <w:rsid w:val="218B6F16"/>
    <w:rsid w:val="239E2E7D"/>
    <w:rsid w:val="25401BCD"/>
    <w:rsid w:val="29996C94"/>
    <w:rsid w:val="2A6D690A"/>
    <w:rsid w:val="34382C6F"/>
    <w:rsid w:val="357F71E5"/>
    <w:rsid w:val="381A0A89"/>
    <w:rsid w:val="3A3663FE"/>
    <w:rsid w:val="3B8D2540"/>
    <w:rsid w:val="3D98570C"/>
    <w:rsid w:val="3FD60E4A"/>
    <w:rsid w:val="421502BE"/>
    <w:rsid w:val="4C2D1BDE"/>
    <w:rsid w:val="4F0A0A7E"/>
    <w:rsid w:val="4F1679BD"/>
    <w:rsid w:val="518E3B5A"/>
    <w:rsid w:val="5259507A"/>
    <w:rsid w:val="541C1E83"/>
    <w:rsid w:val="54A21FA8"/>
    <w:rsid w:val="561225EE"/>
    <w:rsid w:val="57593BE3"/>
    <w:rsid w:val="5D620CB3"/>
    <w:rsid w:val="5D7060CC"/>
    <w:rsid w:val="5DD04865"/>
    <w:rsid w:val="5F7A57AC"/>
    <w:rsid w:val="5FE518AB"/>
    <w:rsid w:val="60A455BF"/>
    <w:rsid w:val="65EC32C5"/>
    <w:rsid w:val="67D77EB5"/>
    <w:rsid w:val="697B13FC"/>
    <w:rsid w:val="6AED0AFA"/>
    <w:rsid w:val="6B105217"/>
    <w:rsid w:val="6BDD36E0"/>
    <w:rsid w:val="6E16308D"/>
    <w:rsid w:val="6E895A0C"/>
    <w:rsid w:val="709A7A5C"/>
    <w:rsid w:val="71E05943"/>
    <w:rsid w:val="75C87480"/>
    <w:rsid w:val="76365DFD"/>
    <w:rsid w:val="7A4C04B1"/>
    <w:rsid w:val="7A5E336A"/>
    <w:rsid w:val="7A6B1E96"/>
    <w:rsid w:val="7D653640"/>
    <w:rsid w:val="7E2D63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iPriority="0" w:semiHidden="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iPriority="0" w:semiHidden="0" w:name="Body Text First Indent"/>
    <w:lsdException w:uiPriority="99" w:name="Body Text First Indent 2"/>
    <w:lsdException w:unhideWhenUsed="0" w:uiPriority="99" w:name="Note Heading"/>
    <w:lsdException w:qFormat="1" w:uiPriority="0" w:semiHidden="0" w:name="Body Text 2"/>
    <w:lsdException w:qFormat="1" w:uiPriority="0" w:semiHidden="0" w:name="Body Text 3"/>
    <w:lsdException w:qFormat="1" w:uiPriority="99" w:semiHidden="0" w:name="Body Text Indent 2"/>
    <w:lsdException w:qFormat="1" w:uiPriority="0" w:semiHidden="0" w:name="Body Text Indent 3"/>
    <w:lsdException w:qFormat="1"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0"/>
    <w:qFormat/>
    <w:uiPriority w:val="9"/>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4">
    <w:name w:val="heading 2"/>
    <w:basedOn w:val="1"/>
    <w:next w:val="1"/>
    <w:link w:val="51"/>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5">
    <w:name w:val="heading 3"/>
    <w:basedOn w:val="1"/>
    <w:next w:val="1"/>
    <w:link w:val="52"/>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6">
    <w:name w:val="heading 4"/>
    <w:basedOn w:val="1"/>
    <w:next w:val="1"/>
    <w:link w:val="53"/>
    <w:unhideWhenUsed/>
    <w:qFormat/>
    <w:uiPriority w:val="0"/>
    <w:pPr>
      <w:keepNext/>
      <w:keepLines/>
      <w:numPr>
        <w:ilvl w:val="3"/>
        <w:numId w:val="1"/>
      </w:numPr>
      <w:spacing w:before="120" w:after="120" w:line="360" w:lineRule="auto"/>
      <w:jc w:val="left"/>
      <w:outlineLvl w:val="3"/>
    </w:pPr>
    <w:rPr>
      <w:rFonts w:ascii="Arial" w:hAnsi="Arial"/>
      <w:b/>
      <w:bCs/>
      <w:kern w:val="0"/>
      <w:sz w:val="28"/>
      <w:szCs w:val="28"/>
    </w:rPr>
  </w:style>
  <w:style w:type="paragraph" w:styleId="7">
    <w:name w:val="heading 5"/>
    <w:basedOn w:val="1"/>
    <w:next w:val="1"/>
    <w:link w:val="54"/>
    <w:unhideWhenUsed/>
    <w:qFormat/>
    <w:uiPriority w:val="0"/>
    <w:pPr>
      <w:numPr>
        <w:ilvl w:val="4"/>
        <w:numId w:val="2"/>
      </w:numPr>
      <w:tabs>
        <w:tab w:val="left" w:pos="1134"/>
      </w:tabs>
      <w:spacing w:before="280" w:after="290" w:line="360" w:lineRule="auto"/>
      <w:outlineLvl w:val="4"/>
    </w:pPr>
    <w:rPr>
      <w:rFonts w:cs="宋体"/>
      <w:b/>
      <w:bCs/>
      <w:kern w:val="0"/>
      <w:sz w:val="28"/>
      <w:szCs w:val="28"/>
    </w:rPr>
  </w:style>
  <w:style w:type="paragraph" w:styleId="8">
    <w:name w:val="heading 6"/>
    <w:basedOn w:val="1"/>
    <w:next w:val="1"/>
    <w:link w:val="55"/>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9">
    <w:name w:val="heading 7"/>
    <w:basedOn w:val="1"/>
    <w:next w:val="1"/>
    <w:link w:val="56"/>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0">
    <w:name w:val="heading 8"/>
    <w:basedOn w:val="1"/>
    <w:next w:val="1"/>
    <w:link w:val="57"/>
    <w:unhideWhenUsed/>
    <w:qFormat/>
    <w:uiPriority w:val="0"/>
    <w:pPr>
      <w:keepNext/>
      <w:keepLines/>
      <w:spacing w:before="240" w:after="64" w:line="314" w:lineRule="auto"/>
      <w:outlineLvl w:val="7"/>
    </w:pPr>
    <w:rPr>
      <w:rFonts w:ascii="Arial" w:hAnsi="Arial" w:eastAsia="黑体"/>
      <w:kern w:val="0"/>
      <w:sz w:val="24"/>
      <w:szCs w:val="24"/>
    </w:rPr>
  </w:style>
  <w:style w:type="paragraph" w:styleId="11">
    <w:name w:val="heading 9"/>
    <w:basedOn w:val="1"/>
    <w:next w:val="1"/>
    <w:link w:val="58"/>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link w:val="71"/>
    <w:unhideWhenUsed/>
    <w:qFormat/>
    <w:uiPriority w:val="99"/>
    <w:pPr>
      <w:spacing w:after="120" w:line="480" w:lineRule="auto"/>
      <w:ind w:left="420" w:leftChars="200"/>
    </w:pPr>
  </w:style>
  <w:style w:type="paragraph" w:styleId="12">
    <w:name w:val="toc 7"/>
    <w:basedOn w:val="1"/>
    <w:next w:val="1"/>
    <w:unhideWhenUsed/>
    <w:qFormat/>
    <w:uiPriority w:val="0"/>
    <w:pPr>
      <w:ind w:left="2520" w:leftChars="1200"/>
    </w:pPr>
    <w:rPr>
      <w:rFonts w:ascii="Times New Roman" w:hAnsi="Times New Roman"/>
      <w:szCs w:val="24"/>
    </w:rPr>
  </w:style>
  <w:style w:type="paragraph" w:styleId="13">
    <w:name w:val="Normal Indent"/>
    <w:basedOn w:val="1"/>
    <w:link w:val="59"/>
    <w:unhideWhenUsed/>
    <w:qFormat/>
    <w:uiPriority w:val="0"/>
    <w:pPr>
      <w:spacing w:after="180" w:line="307" w:lineRule="auto"/>
      <w:ind w:firstLine="420"/>
    </w:pPr>
    <w:rPr>
      <w:rFonts w:asciiTheme="minorHAnsi" w:hAnsiTheme="minorHAnsi" w:eastAsiaTheme="minorEastAsia" w:cstheme="minorBidi"/>
    </w:rPr>
  </w:style>
  <w:style w:type="paragraph" w:styleId="14">
    <w:name w:val="caption"/>
    <w:basedOn w:val="1"/>
    <w:next w:val="1"/>
    <w:unhideWhenUsed/>
    <w:qFormat/>
    <w:uiPriority w:val="0"/>
    <w:pPr>
      <w:spacing w:before="152" w:after="160" w:line="360" w:lineRule="auto"/>
    </w:pPr>
    <w:rPr>
      <w:rFonts w:ascii="Arial" w:hAnsi="Arial" w:eastAsia="黑体" w:cs="Arial"/>
      <w:sz w:val="20"/>
      <w:szCs w:val="20"/>
    </w:rPr>
  </w:style>
  <w:style w:type="paragraph" w:styleId="15">
    <w:name w:val="Document Map"/>
    <w:basedOn w:val="1"/>
    <w:link w:val="73"/>
    <w:unhideWhenUsed/>
    <w:qFormat/>
    <w:uiPriority w:val="99"/>
    <w:pPr>
      <w:shd w:val="clear" w:color="auto" w:fill="000080"/>
    </w:pPr>
    <w:rPr>
      <w:rFonts w:ascii="Times New Roman" w:hAnsi="Times New Roman"/>
      <w:kern w:val="0"/>
      <w:sz w:val="18"/>
      <w:szCs w:val="18"/>
    </w:rPr>
  </w:style>
  <w:style w:type="paragraph" w:styleId="16">
    <w:name w:val="annotation text"/>
    <w:basedOn w:val="1"/>
    <w:link w:val="61"/>
    <w:unhideWhenUsed/>
    <w:qFormat/>
    <w:uiPriority w:val="99"/>
    <w:pPr>
      <w:jc w:val="left"/>
    </w:pPr>
    <w:rPr>
      <w:rFonts w:ascii="Times New Roman" w:hAnsi="Times New Roman"/>
      <w:kern w:val="0"/>
      <w:sz w:val="18"/>
      <w:szCs w:val="18"/>
    </w:rPr>
  </w:style>
  <w:style w:type="paragraph" w:styleId="17">
    <w:name w:val="Body Text 3"/>
    <w:basedOn w:val="1"/>
    <w:link w:val="70"/>
    <w:unhideWhenUsed/>
    <w:qFormat/>
    <w:uiPriority w:val="0"/>
    <w:pPr>
      <w:jc w:val="center"/>
    </w:pPr>
    <w:rPr>
      <w:rFonts w:ascii="Times New Roman" w:hAnsi="Times New Roman" w:eastAsia="黑体"/>
      <w:sz w:val="44"/>
      <w:szCs w:val="24"/>
    </w:rPr>
  </w:style>
  <w:style w:type="paragraph" w:styleId="18">
    <w:name w:val="Body Text"/>
    <w:basedOn w:val="1"/>
    <w:link w:val="185"/>
    <w:unhideWhenUsed/>
    <w:qFormat/>
    <w:uiPriority w:val="99"/>
    <w:pPr>
      <w:spacing w:after="120"/>
    </w:pPr>
  </w:style>
  <w:style w:type="paragraph" w:styleId="19">
    <w:name w:val="Body Text Indent"/>
    <w:basedOn w:val="1"/>
    <w:link w:val="65"/>
    <w:unhideWhenUsed/>
    <w:qFormat/>
    <w:uiPriority w:val="0"/>
    <w:pPr>
      <w:spacing w:after="120"/>
      <w:ind w:left="420" w:leftChars="200"/>
    </w:pPr>
    <w:rPr>
      <w:rFonts w:ascii="Times New Roman" w:hAnsi="Times New Roman"/>
      <w:kern w:val="0"/>
      <w:sz w:val="20"/>
      <w:szCs w:val="24"/>
    </w:rPr>
  </w:style>
  <w:style w:type="paragraph" w:styleId="20">
    <w:name w:val="Block Text"/>
    <w:basedOn w:val="1"/>
    <w:unhideWhenUsed/>
    <w:qFormat/>
    <w:uiPriority w:val="0"/>
    <w:pPr>
      <w:ind w:left="-540" w:leftChars="-257" w:right="-334" w:rightChars="-159" w:firstLine="540" w:firstLineChars="180"/>
    </w:pPr>
    <w:rPr>
      <w:rFonts w:ascii="Times New Roman" w:hAnsi="Times New Roman"/>
      <w:sz w:val="30"/>
      <w:szCs w:val="24"/>
    </w:rPr>
  </w:style>
  <w:style w:type="paragraph" w:styleId="21">
    <w:name w:val="toc 5"/>
    <w:basedOn w:val="1"/>
    <w:next w:val="1"/>
    <w:unhideWhenUsed/>
    <w:qFormat/>
    <w:uiPriority w:val="0"/>
    <w:pPr>
      <w:ind w:left="1680" w:leftChars="800"/>
    </w:pPr>
    <w:rPr>
      <w:rFonts w:ascii="Times New Roman" w:hAnsi="Times New Roman"/>
      <w:sz w:val="18"/>
      <w:szCs w:val="18"/>
    </w:rPr>
  </w:style>
  <w:style w:type="paragraph" w:styleId="22">
    <w:name w:val="toc 3"/>
    <w:basedOn w:val="1"/>
    <w:next w:val="1"/>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3">
    <w:name w:val="Plain Text"/>
    <w:basedOn w:val="1"/>
    <w:link w:val="190"/>
    <w:unhideWhenUsed/>
    <w:qFormat/>
    <w:uiPriority w:val="99"/>
    <w:rPr>
      <w:rFonts w:ascii="宋体" w:hAnsi="Courier New"/>
      <w:kern w:val="0"/>
      <w:sz w:val="20"/>
      <w:szCs w:val="18"/>
    </w:rPr>
  </w:style>
  <w:style w:type="paragraph" w:styleId="24">
    <w:name w:val="toc 8"/>
    <w:basedOn w:val="1"/>
    <w:next w:val="1"/>
    <w:unhideWhenUsed/>
    <w:qFormat/>
    <w:uiPriority w:val="0"/>
    <w:pPr>
      <w:ind w:left="2940" w:leftChars="1400"/>
    </w:pPr>
    <w:rPr>
      <w:rFonts w:ascii="Times New Roman" w:hAnsi="Times New Roman"/>
      <w:szCs w:val="24"/>
    </w:rPr>
  </w:style>
  <w:style w:type="paragraph" w:styleId="25">
    <w:name w:val="Date"/>
    <w:basedOn w:val="1"/>
    <w:next w:val="1"/>
    <w:link w:val="67"/>
    <w:unhideWhenUsed/>
    <w:qFormat/>
    <w:uiPriority w:val="99"/>
    <w:pPr>
      <w:ind w:left="100" w:leftChars="2500"/>
    </w:pPr>
    <w:rPr>
      <w:rFonts w:ascii="Times New Roman" w:hAnsi="Times New Roman"/>
      <w:kern w:val="0"/>
      <w:sz w:val="24"/>
      <w:szCs w:val="24"/>
    </w:rPr>
  </w:style>
  <w:style w:type="paragraph" w:styleId="26">
    <w:name w:val="Balloon Text"/>
    <w:basedOn w:val="1"/>
    <w:link w:val="76"/>
    <w:unhideWhenUsed/>
    <w:qFormat/>
    <w:uiPriority w:val="99"/>
    <w:rPr>
      <w:rFonts w:ascii="Times New Roman" w:hAnsi="Times New Roman"/>
      <w:kern w:val="0"/>
      <w:sz w:val="18"/>
      <w:szCs w:val="18"/>
    </w:rPr>
  </w:style>
  <w:style w:type="paragraph" w:styleId="27">
    <w:name w:val="footer"/>
    <w:basedOn w:val="1"/>
    <w:link w:val="63"/>
    <w:unhideWhenUsed/>
    <w:qFormat/>
    <w:uiPriority w:val="99"/>
    <w:pPr>
      <w:tabs>
        <w:tab w:val="center" w:pos="4153"/>
        <w:tab w:val="right" w:pos="8306"/>
      </w:tabs>
      <w:snapToGrid w:val="0"/>
      <w:jc w:val="left"/>
    </w:pPr>
    <w:rPr>
      <w:kern w:val="0"/>
      <w:sz w:val="18"/>
      <w:szCs w:val="18"/>
    </w:rPr>
  </w:style>
  <w:style w:type="paragraph" w:styleId="28">
    <w:name w:val="header"/>
    <w:basedOn w:val="1"/>
    <w:link w:val="62"/>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0">
    <w:name w:val="toc 4"/>
    <w:basedOn w:val="1"/>
    <w:next w:val="1"/>
    <w:unhideWhenUsed/>
    <w:qFormat/>
    <w:uiPriority w:val="0"/>
    <w:pPr>
      <w:ind w:left="1260" w:leftChars="600"/>
    </w:pPr>
    <w:rPr>
      <w:rFonts w:ascii="Times New Roman" w:hAnsi="Times New Roman"/>
      <w:sz w:val="18"/>
      <w:szCs w:val="18"/>
    </w:rPr>
  </w:style>
  <w:style w:type="paragraph" w:styleId="31">
    <w:name w:val="Subtitle"/>
    <w:basedOn w:val="1"/>
    <w:next w:val="1"/>
    <w:link w:val="66"/>
    <w:qFormat/>
    <w:uiPriority w:val="0"/>
    <w:pPr>
      <w:spacing w:before="240" w:after="60" w:line="312" w:lineRule="auto"/>
      <w:jc w:val="center"/>
      <w:outlineLvl w:val="1"/>
    </w:pPr>
    <w:rPr>
      <w:rFonts w:ascii="Cambria" w:hAnsi="Cambria"/>
      <w:b/>
      <w:bCs/>
      <w:kern w:val="28"/>
      <w:sz w:val="32"/>
      <w:szCs w:val="32"/>
    </w:rPr>
  </w:style>
  <w:style w:type="paragraph" w:styleId="32">
    <w:name w:val="footnote text"/>
    <w:basedOn w:val="1"/>
    <w:link w:val="60"/>
    <w:unhideWhenUsed/>
    <w:qFormat/>
    <w:uiPriority w:val="0"/>
    <w:pPr>
      <w:snapToGrid w:val="0"/>
      <w:jc w:val="left"/>
    </w:pPr>
    <w:rPr>
      <w:sz w:val="18"/>
      <w:szCs w:val="18"/>
    </w:rPr>
  </w:style>
  <w:style w:type="paragraph" w:styleId="33">
    <w:name w:val="toc 6"/>
    <w:basedOn w:val="1"/>
    <w:next w:val="1"/>
    <w:unhideWhenUsed/>
    <w:qFormat/>
    <w:uiPriority w:val="0"/>
    <w:pPr>
      <w:ind w:left="2100" w:leftChars="1000"/>
    </w:pPr>
    <w:rPr>
      <w:rFonts w:ascii="Times New Roman" w:hAnsi="Times New Roman"/>
      <w:szCs w:val="24"/>
    </w:rPr>
  </w:style>
  <w:style w:type="paragraph" w:styleId="34">
    <w:name w:val="Body Text Indent 3"/>
    <w:basedOn w:val="1"/>
    <w:link w:val="72"/>
    <w:unhideWhenUsed/>
    <w:qFormat/>
    <w:uiPriority w:val="0"/>
    <w:pPr>
      <w:spacing w:line="360" w:lineRule="auto"/>
      <w:ind w:left="153" w:leftChars="85" w:firstLine="560" w:firstLineChars="200"/>
    </w:pPr>
    <w:rPr>
      <w:rFonts w:ascii="宋体" w:hAnsi="宋体"/>
      <w:kern w:val="0"/>
      <w:sz w:val="28"/>
      <w:szCs w:val="28"/>
    </w:rPr>
  </w:style>
  <w:style w:type="paragraph" w:styleId="35">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6">
    <w:name w:val="toc 9"/>
    <w:basedOn w:val="1"/>
    <w:next w:val="1"/>
    <w:unhideWhenUsed/>
    <w:qFormat/>
    <w:uiPriority w:val="0"/>
    <w:pPr>
      <w:ind w:left="3360" w:leftChars="1600"/>
    </w:pPr>
    <w:rPr>
      <w:rFonts w:ascii="Times New Roman" w:hAnsi="Times New Roman"/>
      <w:szCs w:val="24"/>
    </w:rPr>
  </w:style>
  <w:style w:type="paragraph" w:styleId="37">
    <w:name w:val="Body Text 2"/>
    <w:basedOn w:val="1"/>
    <w:link w:val="69"/>
    <w:unhideWhenUsed/>
    <w:qFormat/>
    <w:uiPriority w:val="0"/>
    <w:pPr>
      <w:spacing w:after="120" w:line="480" w:lineRule="auto"/>
    </w:pPr>
    <w:rPr>
      <w:rFonts w:ascii="Times New Roman" w:hAnsi="Times New Roman"/>
      <w:kern w:val="0"/>
      <w:sz w:val="18"/>
      <w:szCs w:val="18"/>
    </w:rPr>
  </w:style>
  <w:style w:type="paragraph" w:styleId="38">
    <w:name w:val="HTML Preformatted"/>
    <w:basedOn w:val="1"/>
    <w:link w:val="201"/>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39">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paragraph" w:styleId="40">
    <w:name w:val="index 1"/>
    <w:basedOn w:val="1"/>
    <w:next w:val="1"/>
    <w:unhideWhenUsed/>
    <w:qFormat/>
    <w:uiPriority w:val="0"/>
    <w:pPr>
      <w:ind w:firstLine="560" w:firstLineChars="200"/>
    </w:pPr>
    <w:rPr>
      <w:rFonts w:ascii="宋体" w:hAnsi="宋体" w:cs="宋体"/>
      <w:sz w:val="28"/>
      <w:szCs w:val="28"/>
    </w:rPr>
  </w:style>
  <w:style w:type="paragraph" w:styleId="41">
    <w:name w:val="annotation subject"/>
    <w:basedOn w:val="16"/>
    <w:next w:val="16"/>
    <w:link w:val="75"/>
    <w:unhideWhenUsed/>
    <w:qFormat/>
    <w:uiPriority w:val="99"/>
    <w:rPr>
      <w:rFonts w:ascii="Calibri" w:hAnsi="Calibri"/>
      <w:b/>
      <w:bCs/>
      <w:kern w:val="2"/>
      <w:sz w:val="21"/>
      <w:szCs w:val="22"/>
    </w:rPr>
  </w:style>
  <w:style w:type="paragraph" w:styleId="42">
    <w:name w:val="Body Text First Indent"/>
    <w:basedOn w:val="18"/>
    <w:link w:val="68"/>
    <w:unhideWhenUsed/>
    <w:qFormat/>
    <w:uiPriority w:val="0"/>
    <w:pPr>
      <w:ind w:firstLine="420" w:firstLineChars="100"/>
    </w:pPr>
    <w:rPr>
      <w:rFonts w:ascii="Times New Roman" w:hAnsi="Times New Roman"/>
      <w:kern w:val="0"/>
      <w:sz w:val="18"/>
      <w:szCs w:val="18"/>
    </w:rPr>
  </w:style>
  <w:style w:type="table" w:styleId="44">
    <w:name w:val="Table Grid"/>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FollowedHyperlink"/>
    <w:basedOn w:val="45"/>
    <w:unhideWhenUsed/>
    <w:qFormat/>
    <w:uiPriority w:val="99"/>
    <w:rPr>
      <w:color w:val="800080" w:themeColor="followedHyperlink"/>
      <w:u w:val="single"/>
      <w14:textFill>
        <w14:solidFill>
          <w14:schemeClr w14:val="folHlink"/>
        </w14:solidFill>
      </w14:textFill>
    </w:rPr>
  </w:style>
  <w:style w:type="character" w:styleId="47">
    <w:name w:val="Hyperlink"/>
    <w:unhideWhenUsed/>
    <w:qFormat/>
    <w:uiPriority w:val="99"/>
    <w:rPr>
      <w:color w:val="0000FF"/>
      <w:u w:val="single"/>
    </w:rPr>
  </w:style>
  <w:style w:type="character" w:styleId="48">
    <w:name w:val="annotation reference"/>
    <w:unhideWhenUsed/>
    <w:qFormat/>
    <w:uiPriority w:val="99"/>
    <w:rPr>
      <w:sz w:val="21"/>
      <w:szCs w:val="21"/>
    </w:rPr>
  </w:style>
  <w:style w:type="character" w:styleId="49">
    <w:name w:val="footnote reference"/>
    <w:unhideWhenUsed/>
    <w:qFormat/>
    <w:uiPriority w:val="0"/>
    <w:rPr>
      <w:vertAlign w:val="superscript"/>
    </w:rPr>
  </w:style>
  <w:style w:type="character" w:customStyle="1" w:styleId="50">
    <w:name w:val="标题 1 字符"/>
    <w:basedOn w:val="45"/>
    <w:link w:val="3"/>
    <w:qFormat/>
    <w:uiPriority w:val="9"/>
    <w:rPr>
      <w:rFonts w:ascii="宋体" w:hAnsi="宋体" w:eastAsia="宋体" w:cs="宋体"/>
      <w:b/>
      <w:bCs/>
      <w:spacing w:val="-20"/>
      <w:kern w:val="44"/>
      <w:sz w:val="32"/>
      <w:szCs w:val="32"/>
    </w:rPr>
  </w:style>
  <w:style w:type="character" w:customStyle="1" w:styleId="51">
    <w:name w:val="标题 2 字符"/>
    <w:basedOn w:val="45"/>
    <w:link w:val="4"/>
    <w:qFormat/>
    <w:uiPriority w:val="0"/>
    <w:rPr>
      <w:rFonts w:ascii="宋体" w:hAnsi="宋体" w:eastAsia="宋体" w:cs="宋体"/>
      <w:b/>
      <w:bCs/>
      <w:kern w:val="2"/>
      <w:sz w:val="28"/>
      <w:szCs w:val="28"/>
    </w:rPr>
  </w:style>
  <w:style w:type="character" w:customStyle="1" w:styleId="52">
    <w:name w:val="标题 3 字符"/>
    <w:basedOn w:val="45"/>
    <w:link w:val="5"/>
    <w:qFormat/>
    <w:uiPriority w:val="0"/>
    <w:rPr>
      <w:rFonts w:ascii="宋体" w:hAnsi="宋体" w:eastAsia="宋体" w:cs="宋体"/>
      <w:b/>
      <w:bCs/>
      <w:color w:val="000000"/>
      <w:sz w:val="28"/>
      <w:szCs w:val="28"/>
    </w:rPr>
  </w:style>
  <w:style w:type="character" w:customStyle="1" w:styleId="53">
    <w:name w:val="标题 4 字符"/>
    <w:basedOn w:val="45"/>
    <w:link w:val="6"/>
    <w:qFormat/>
    <w:uiPriority w:val="0"/>
    <w:rPr>
      <w:rFonts w:ascii="Arial" w:hAnsi="Arial" w:eastAsia="宋体" w:cs="Times New Roman"/>
      <w:b/>
      <w:bCs/>
      <w:sz w:val="28"/>
      <w:szCs w:val="28"/>
    </w:rPr>
  </w:style>
  <w:style w:type="character" w:customStyle="1" w:styleId="54">
    <w:name w:val="标题 5 字符"/>
    <w:basedOn w:val="45"/>
    <w:link w:val="7"/>
    <w:qFormat/>
    <w:uiPriority w:val="0"/>
    <w:rPr>
      <w:rFonts w:ascii="Calibri" w:hAnsi="Calibri" w:eastAsia="宋体" w:cs="宋体"/>
      <w:b/>
      <w:bCs/>
      <w:sz w:val="28"/>
      <w:szCs w:val="28"/>
    </w:rPr>
  </w:style>
  <w:style w:type="character" w:customStyle="1" w:styleId="55">
    <w:name w:val="标题 6 字符"/>
    <w:basedOn w:val="45"/>
    <w:link w:val="8"/>
    <w:qFormat/>
    <w:uiPriority w:val="0"/>
    <w:rPr>
      <w:rFonts w:ascii="Arial" w:hAnsi="Arial" w:eastAsia="宋体" w:cs="Times New Roman"/>
      <w:b/>
      <w:bCs/>
      <w:sz w:val="28"/>
      <w:szCs w:val="18"/>
    </w:rPr>
  </w:style>
  <w:style w:type="character" w:customStyle="1" w:styleId="56">
    <w:name w:val="标题 7 字符"/>
    <w:basedOn w:val="45"/>
    <w:link w:val="9"/>
    <w:qFormat/>
    <w:uiPriority w:val="0"/>
    <w:rPr>
      <w:rFonts w:ascii="Arial Narrow" w:hAnsi="Arial Narrow" w:eastAsia="宋体" w:cs="Times New Roman"/>
      <w:b/>
      <w:bCs/>
      <w:iCs/>
      <w:kern w:val="0"/>
      <w:sz w:val="20"/>
      <w:szCs w:val="24"/>
      <w:lang w:eastAsia="en-US"/>
    </w:rPr>
  </w:style>
  <w:style w:type="character" w:customStyle="1" w:styleId="57">
    <w:name w:val="标题 8 字符"/>
    <w:basedOn w:val="45"/>
    <w:link w:val="10"/>
    <w:semiHidden/>
    <w:qFormat/>
    <w:uiPriority w:val="0"/>
    <w:rPr>
      <w:rFonts w:ascii="Arial" w:hAnsi="Arial" w:eastAsia="黑体" w:cs="Times New Roman"/>
      <w:kern w:val="0"/>
      <w:sz w:val="24"/>
      <w:szCs w:val="24"/>
    </w:rPr>
  </w:style>
  <w:style w:type="character" w:customStyle="1" w:styleId="58">
    <w:name w:val="标题 9 字符"/>
    <w:basedOn w:val="45"/>
    <w:link w:val="11"/>
    <w:semiHidden/>
    <w:qFormat/>
    <w:uiPriority w:val="0"/>
    <w:rPr>
      <w:rFonts w:ascii="Arial" w:hAnsi="Arial" w:eastAsia="黑体" w:cs="Times New Roman"/>
      <w:kern w:val="0"/>
      <w:sz w:val="20"/>
      <w:szCs w:val="21"/>
    </w:rPr>
  </w:style>
  <w:style w:type="character" w:customStyle="1" w:styleId="59">
    <w:name w:val="正文缩进 字符"/>
    <w:link w:val="13"/>
    <w:qFormat/>
    <w:locked/>
    <w:uiPriority w:val="0"/>
  </w:style>
  <w:style w:type="character" w:customStyle="1" w:styleId="60">
    <w:name w:val="脚注文本 字符"/>
    <w:basedOn w:val="45"/>
    <w:link w:val="32"/>
    <w:semiHidden/>
    <w:qFormat/>
    <w:uiPriority w:val="0"/>
    <w:rPr>
      <w:rFonts w:ascii="Calibri" w:hAnsi="Calibri" w:eastAsia="宋体" w:cs="Times New Roman"/>
      <w:sz w:val="18"/>
      <w:szCs w:val="18"/>
    </w:rPr>
  </w:style>
  <w:style w:type="character" w:customStyle="1" w:styleId="61">
    <w:name w:val="批注文字 字符"/>
    <w:basedOn w:val="45"/>
    <w:link w:val="16"/>
    <w:qFormat/>
    <w:uiPriority w:val="99"/>
    <w:rPr>
      <w:rFonts w:ascii="Times New Roman" w:hAnsi="Times New Roman" w:eastAsia="宋体" w:cs="Times New Roman"/>
      <w:kern w:val="0"/>
      <w:sz w:val="18"/>
      <w:szCs w:val="18"/>
    </w:rPr>
  </w:style>
  <w:style w:type="character" w:customStyle="1" w:styleId="62">
    <w:name w:val="页眉 字符"/>
    <w:basedOn w:val="45"/>
    <w:link w:val="28"/>
    <w:qFormat/>
    <w:uiPriority w:val="99"/>
    <w:rPr>
      <w:rFonts w:ascii="Calibri" w:hAnsi="Calibri" w:eastAsia="宋体" w:cs="Times New Roman"/>
      <w:kern w:val="0"/>
      <w:sz w:val="18"/>
      <w:szCs w:val="18"/>
    </w:rPr>
  </w:style>
  <w:style w:type="character" w:customStyle="1" w:styleId="63">
    <w:name w:val="页脚 字符"/>
    <w:basedOn w:val="45"/>
    <w:link w:val="27"/>
    <w:qFormat/>
    <w:uiPriority w:val="99"/>
    <w:rPr>
      <w:rFonts w:ascii="Calibri" w:hAnsi="Calibri" w:eastAsia="宋体" w:cs="Times New Roman"/>
      <w:kern w:val="0"/>
      <w:sz w:val="18"/>
      <w:szCs w:val="18"/>
    </w:rPr>
  </w:style>
  <w:style w:type="character" w:customStyle="1" w:styleId="64">
    <w:name w:val="正文文本 Char"/>
    <w:basedOn w:val="45"/>
    <w:qFormat/>
    <w:uiPriority w:val="99"/>
    <w:rPr>
      <w:rFonts w:ascii="Calibri" w:hAnsi="Calibri" w:eastAsia="宋体" w:cs="Times New Roman"/>
    </w:rPr>
  </w:style>
  <w:style w:type="character" w:customStyle="1" w:styleId="65">
    <w:name w:val="正文文本缩进 字符"/>
    <w:basedOn w:val="45"/>
    <w:link w:val="19"/>
    <w:semiHidden/>
    <w:qFormat/>
    <w:uiPriority w:val="0"/>
    <w:rPr>
      <w:rFonts w:ascii="Times New Roman" w:hAnsi="Times New Roman" w:eastAsia="宋体" w:cs="Times New Roman"/>
      <w:kern w:val="0"/>
      <w:sz w:val="20"/>
      <w:szCs w:val="24"/>
    </w:rPr>
  </w:style>
  <w:style w:type="character" w:customStyle="1" w:styleId="66">
    <w:name w:val="副标题 字符"/>
    <w:basedOn w:val="45"/>
    <w:link w:val="31"/>
    <w:qFormat/>
    <w:uiPriority w:val="0"/>
    <w:rPr>
      <w:rFonts w:ascii="Cambria" w:hAnsi="Cambria" w:eastAsia="宋体" w:cs="Times New Roman"/>
      <w:b/>
      <w:bCs/>
      <w:kern w:val="28"/>
      <w:sz w:val="32"/>
      <w:szCs w:val="32"/>
    </w:rPr>
  </w:style>
  <w:style w:type="character" w:customStyle="1" w:styleId="67">
    <w:name w:val="日期 字符"/>
    <w:basedOn w:val="45"/>
    <w:link w:val="25"/>
    <w:qFormat/>
    <w:uiPriority w:val="99"/>
    <w:rPr>
      <w:rFonts w:ascii="Times New Roman" w:hAnsi="Times New Roman" w:eastAsia="宋体" w:cs="Times New Roman"/>
      <w:kern w:val="0"/>
      <w:sz w:val="24"/>
      <w:szCs w:val="24"/>
    </w:rPr>
  </w:style>
  <w:style w:type="character" w:customStyle="1" w:styleId="68">
    <w:name w:val="正文首行缩进 字符"/>
    <w:basedOn w:val="64"/>
    <w:link w:val="42"/>
    <w:semiHidden/>
    <w:qFormat/>
    <w:uiPriority w:val="0"/>
    <w:rPr>
      <w:rFonts w:ascii="Times New Roman" w:hAnsi="Times New Roman" w:eastAsia="宋体" w:cs="Times New Roman"/>
      <w:kern w:val="0"/>
      <w:sz w:val="18"/>
      <w:szCs w:val="18"/>
    </w:rPr>
  </w:style>
  <w:style w:type="character" w:customStyle="1" w:styleId="69">
    <w:name w:val="正文文本 2 字符"/>
    <w:basedOn w:val="45"/>
    <w:link w:val="37"/>
    <w:semiHidden/>
    <w:qFormat/>
    <w:uiPriority w:val="0"/>
    <w:rPr>
      <w:rFonts w:ascii="Times New Roman" w:hAnsi="Times New Roman" w:eastAsia="宋体" w:cs="Times New Roman"/>
      <w:kern w:val="0"/>
      <w:sz w:val="18"/>
      <w:szCs w:val="18"/>
    </w:rPr>
  </w:style>
  <w:style w:type="character" w:customStyle="1" w:styleId="70">
    <w:name w:val="正文文本 3 字符"/>
    <w:basedOn w:val="45"/>
    <w:link w:val="17"/>
    <w:semiHidden/>
    <w:qFormat/>
    <w:uiPriority w:val="0"/>
    <w:rPr>
      <w:rFonts w:ascii="Times New Roman" w:hAnsi="Times New Roman" w:eastAsia="黑体" w:cs="Times New Roman"/>
      <w:sz w:val="44"/>
      <w:szCs w:val="24"/>
    </w:rPr>
  </w:style>
  <w:style w:type="character" w:customStyle="1" w:styleId="71">
    <w:name w:val="正文文本缩进 2 字符"/>
    <w:basedOn w:val="45"/>
    <w:link w:val="2"/>
    <w:qFormat/>
    <w:uiPriority w:val="99"/>
    <w:rPr>
      <w:rFonts w:ascii="Calibri" w:hAnsi="Calibri" w:eastAsia="宋体" w:cs="Times New Roman"/>
    </w:rPr>
  </w:style>
  <w:style w:type="character" w:customStyle="1" w:styleId="72">
    <w:name w:val="正文文本缩进 3 字符"/>
    <w:basedOn w:val="45"/>
    <w:link w:val="34"/>
    <w:semiHidden/>
    <w:qFormat/>
    <w:uiPriority w:val="0"/>
    <w:rPr>
      <w:rFonts w:ascii="宋体" w:hAnsi="宋体" w:eastAsia="宋体" w:cs="Times New Roman"/>
      <w:kern w:val="0"/>
      <w:sz w:val="28"/>
      <w:szCs w:val="28"/>
    </w:rPr>
  </w:style>
  <w:style w:type="character" w:customStyle="1" w:styleId="73">
    <w:name w:val="文档结构图 字符"/>
    <w:basedOn w:val="45"/>
    <w:link w:val="15"/>
    <w:qFormat/>
    <w:uiPriority w:val="99"/>
    <w:rPr>
      <w:rFonts w:ascii="Times New Roman" w:hAnsi="Times New Roman" w:eastAsia="宋体" w:cs="Times New Roman"/>
      <w:kern w:val="0"/>
      <w:sz w:val="18"/>
      <w:szCs w:val="18"/>
      <w:shd w:val="clear" w:color="auto" w:fill="000080"/>
    </w:rPr>
  </w:style>
  <w:style w:type="character" w:customStyle="1" w:styleId="74">
    <w:name w:val="纯文本 Char"/>
    <w:basedOn w:val="45"/>
    <w:qFormat/>
    <w:uiPriority w:val="99"/>
    <w:rPr>
      <w:rFonts w:ascii="宋体" w:hAnsi="Courier New" w:eastAsia="宋体" w:cs="Courier New"/>
      <w:szCs w:val="21"/>
    </w:rPr>
  </w:style>
  <w:style w:type="character" w:customStyle="1" w:styleId="75">
    <w:name w:val="批注主题 字符"/>
    <w:basedOn w:val="61"/>
    <w:link w:val="41"/>
    <w:qFormat/>
    <w:uiPriority w:val="99"/>
    <w:rPr>
      <w:rFonts w:ascii="Calibri" w:hAnsi="Calibri" w:eastAsia="宋体" w:cs="Times New Roman"/>
      <w:b/>
      <w:bCs/>
      <w:kern w:val="0"/>
      <w:sz w:val="18"/>
      <w:szCs w:val="18"/>
    </w:rPr>
  </w:style>
  <w:style w:type="character" w:customStyle="1" w:styleId="76">
    <w:name w:val="批注框文本 字符"/>
    <w:basedOn w:val="45"/>
    <w:link w:val="26"/>
    <w:qFormat/>
    <w:uiPriority w:val="99"/>
    <w:rPr>
      <w:rFonts w:ascii="Times New Roman" w:hAnsi="Times New Roman" w:eastAsia="宋体" w:cs="Times New Roman"/>
      <w:kern w:val="0"/>
      <w:sz w:val="18"/>
      <w:szCs w:val="18"/>
    </w:rPr>
  </w:style>
  <w:style w:type="paragraph" w:customStyle="1" w:styleId="77">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78">
    <w:name w:val="列出段落 字符"/>
    <w:link w:val="79"/>
    <w:qFormat/>
    <w:locked/>
    <w:uiPriority w:val="0"/>
    <w:rPr>
      <w:rFonts w:ascii="Calibri" w:hAnsi="Calibri"/>
    </w:rPr>
  </w:style>
  <w:style w:type="paragraph" w:customStyle="1" w:styleId="79">
    <w:name w:val="列出段落1"/>
    <w:basedOn w:val="1"/>
    <w:link w:val="78"/>
    <w:qFormat/>
    <w:uiPriority w:val="34"/>
    <w:pPr>
      <w:ind w:firstLine="420" w:firstLineChars="200"/>
    </w:pPr>
    <w:rPr>
      <w:rFonts w:eastAsiaTheme="minorEastAsia" w:cstheme="minorBidi"/>
    </w:rPr>
  </w:style>
  <w:style w:type="character" w:customStyle="1" w:styleId="80">
    <w:name w:val="彩色列表 - 强调文字颜色 1 Char"/>
    <w:link w:val="81"/>
    <w:qFormat/>
    <w:locked/>
    <w:uiPriority w:val="0"/>
    <w:rPr>
      <w:rFonts w:ascii="Calibri" w:hAnsi="Calibri"/>
    </w:rPr>
  </w:style>
  <w:style w:type="paragraph" w:customStyle="1" w:styleId="81">
    <w:name w:val="彩色列表 - 强调文字颜色 11"/>
    <w:basedOn w:val="1"/>
    <w:link w:val="80"/>
    <w:qFormat/>
    <w:uiPriority w:val="0"/>
    <w:pPr>
      <w:ind w:firstLine="420" w:firstLineChars="200"/>
    </w:pPr>
    <w:rPr>
      <w:rFonts w:eastAsiaTheme="minorEastAsia" w:cstheme="minorBidi"/>
    </w:rPr>
  </w:style>
  <w:style w:type="paragraph" w:customStyle="1" w:styleId="82">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3">
    <w:name w:val="MM Title"/>
    <w:basedOn w:val="1"/>
    <w:qFormat/>
    <w:uiPriority w:val="0"/>
    <w:pPr>
      <w:spacing w:before="240" w:after="60"/>
      <w:jc w:val="center"/>
      <w:outlineLvl w:val="0"/>
    </w:pPr>
    <w:rPr>
      <w:rFonts w:ascii="Arial" w:hAnsi="Arial" w:cs="Arial"/>
      <w:b/>
      <w:bCs/>
      <w:sz w:val="32"/>
      <w:szCs w:val="32"/>
    </w:rPr>
  </w:style>
  <w:style w:type="paragraph" w:customStyle="1" w:styleId="84">
    <w:name w:val="正文格式"/>
    <w:basedOn w:val="1"/>
    <w:qFormat/>
    <w:uiPriority w:val="99"/>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5">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86">
    <w:name w:val="gb_master正文"/>
    <w:basedOn w:val="1"/>
    <w:qFormat/>
    <w:uiPriority w:val="0"/>
    <w:pPr>
      <w:ind w:firstLine="200" w:firstLineChars="200"/>
    </w:pPr>
    <w:rPr>
      <w:rFonts w:ascii="Times New Roman" w:hAnsi="Times New Roman"/>
      <w:szCs w:val="24"/>
    </w:rPr>
  </w:style>
  <w:style w:type="paragraph" w:customStyle="1" w:styleId="87">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8">
    <w:name w:val="无间隔1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89">
    <w:name w:val="Char2 Char Char Char"/>
    <w:basedOn w:val="1"/>
    <w:qFormat/>
    <w:uiPriority w:val="0"/>
    <w:rPr>
      <w:rFonts w:ascii="仿宋_GB2312" w:hAnsi="Times New Roman"/>
      <w:b/>
      <w:sz w:val="30"/>
      <w:szCs w:val="32"/>
    </w:rPr>
  </w:style>
  <w:style w:type="paragraph" w:customStyle="1" w:styleId="90">
    <w:name w:val="样式 样式 样式 标题 2 + 宋体 五号 非加粗 黑色 + 段前: 6 磅 段后: 0 磅 行距: 单倍行距 + 段前: 12..."/>
    <w:basedOn w:val="1"/>
    <w:qFormat/>
    <w:uiPriority w:val="0"/>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1">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2">
    <w:name w:val="默认段落字体 Para Char"/>
    <w:basedOn w:val="1"/>
    <w:qFormat/>
    <w:uiPriority w:val="0"/>
    <w:rPr>
      <w:rFonts w:ascii="Tahoma" w:hAnsi="Tahoma"/>
      <w:sz w:val="24"/>
      <w:szCs w:val="20"/>
    </w:rPr>
  </w:style>
  <w:style w:type="paragraph" w:customStyle="1" w:styleId="93">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4">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5">
    <w:name w:val="样式 正文缩进 + (中文) 仿宋_GB2312 小四 Char"/>
    <w:basedOn w:val="13"/>
    <w:qFormat/>
    <w:uiPriority w:val="0"/>
    <w:pPr>
      <w:spacing w:after="0" w:line="360" w:lineRule="auto"/>
      <w:ind w:firstLine="480" w:firstLineChars="200"/>
    </w:pPr>
    <w:rPr>
      <w:rFonts w:ascii="宋体" w:hAnsi="宋体"/>
      <w:sz w:val="24"/>
      <w:szCs w:val="24"/>
    </w:rPr>
  </w:style>
  <w:style w:type="paragraph" w:customStyle="1" w:styleId="96">
    <w:name w:val="表格文字"/>
    <w:basedOn w:val="1"/>
    <w:link w:val="308"/>
    <w:qFormat/>
    <w:uiPriority w:val="0"/>
    <w:pPr>
      <w:spacing w:beforeLines="25"/>
    </w:pPr>
    <w:rPr>
      <w:rFonts w:ascii="Times New (W1)" w:hAnsi="Times New (W1)"/>
      <w:spacing w:val="10"/>
      <w:szCs w:val="24"/>
    </w:rPr>
  </w:style>
  <w:style w:type="paragraph" w:customStyle="1" w:styleId="97">
    <w:name w:val="文章正文"/>
    <w:basedOn w:val="1"/>
    <w:qFormat/>
    <w:uiPriority w:val="0"/>
    <w:pPr>
      <w:spacing w:line="360" w:lineRule="auto"/>
      <w:ind w:firstLine="420"/>
    </w:pPr>
    <w:rPr>
      <w:rFonts w:ascii="Times New Roman" w:hAnsi="Times New Roman"/>
      <w:sz w:val="24"/>
      <w:szCs w:val="24"/>
    </w:rPr>
  </w:style>
  <w:style w:type="paragraph" w:customStyle="1" w:styleId="98">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99">
    <w:name w:val="默认段落字体 Para Char Char"/>
    <w:basedOn w:val="1"/>
    <w:qFormat/>
    <w:uiPriority w:val="0"/>
    <w:rPr>
      <w:rFonts w:ascii="Times New Roman" w:hAnsi="Times New Roman"/>
      <w:szCs w:val="24"/>
    </w:rPr>
  </w:style>
  <w:style w:type="paragraph" w:customStyle="1" w:styleId="100">
    <w:name w:val="MM Topic 6"/>
    <w:basedOn w:val="8"/>
    <w:qFormat/>
    <w:uiPriority w:val="0"/>
    <w:pPr>
      <w:tabs>
        <w:tab w:val="left" w:pos="3260"/>
        <w:tab w:val="clear" w:pos="1702"/>
      </w:tabs>
      <w:ind w:left="0" w:firstLine="0"/>
    </w:pPr>
    <w:rPr>
      <w:rFonts w:eastAsia="黑体"/>
    </w:rPr>
  </w:style>
  <w:style w:type="paragraph" w:customStyle="1" w:styleId="101">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2">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3">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4">
    <w:name w:val="标题 5 + 首行缩进:  2 字符"/>
    <w:basedOn w:val="7"/>
    <w:next w:val="19"/>
    <w:qFormat/>
    <w:uiPriority w:val="0"/>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5">
    <w:name w:val="Char2 Char Char Char Char Char Char"/>
    <w:basedOn w:val="1"/>
    <w:qFormat/>
    <w:uiPriority w:val="0"/>
    <w:rPr>
      <w:rFonts w:ascii="仿宋_GB2312" w:hAnsi="Times New Roman"/>
      <w:b/>
      <w:sz w:val="30"/>
      <w:szCs w:val="32"/>
    </w:rPr>
  </w:style>
  <w:style w:type="paragraph" w:customStyle="1" w:styleId="106">
    <w:name w:val="MM Topic 2"/>
    <w:basedOn w:val="4"/>
    <w:qFormat/>
    <w:uiPriority w:val="0"/>
    <w:pPr>
      <w:numPr>
        <w:ilvl w:val="0"/>
        <w:numId w:val="0"/>
      </w:numPr>
      <w:tabs>
        <w:tab w:val="left" w:pos="992"/>
      </w:tabs>
    </w:pPr>
    <w:rPr>
      <w:rFonts w:cs="Times New Roman"/>
    </w:rPr>
  </w:style>
  <w:style w:type="paragraph" w:customStyle="1" w:styleId="107">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08">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09">
    <w:name w:val="MM Topic 8"/>
    <w:basedOn w:val="10"/>
    <w:qFormat/>
    <w:uiPriority w:val="0"/>
    <w:pPr>
      <w:tabs>
        <w:tab w:val="left" w:pos="4394"/>
      </w:tabs>
    </w:pPr>
  </w:style>
  <w:style w:type="paragraph" w:customStyle="1" w:styleId="110">
    <w:name w:val="Char1 Char Char Char Char Char Char"/>
    <w:basedOn w:val="1"/>
    <w:qFormat/>
    <w:uiPriority w:val="0"/>
    <w:rPr>
      <w:rFonts w:ascii="Tahoma" w:hAnsi="Tahoma"/>
      <w:sz w:val="24"/>
      <w:szCs w:val="20"/>
    </w:rPr>
  </w:style>
  <w:style w:type="paragraph" w:customStyle="1" w:styleId="111">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2">
    <w:name w:val="样式 小四2"/>
    <w:basedOn w:val="1"/>
    <w:qFormat/>
    <w:uiPriority w:val="0"/>
    <w:rPr>
      <w:rFonts w:ascii="宋体" w:hAnsi="宋体"/>
      <w:sz w:val="24"/>
      <w:szCs w:val="24"/>
    </w:rPr>
  </w:style>
  <w:style w:type="paragraph" w:customStyle="1" w:styleId="113">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14">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5">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6">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7">
    <w:name w:val="文章正文 Char Char1"/>
    <w:basedOn w:val="1"/>
    <w:qFormat/>
    <w:uiPriority w:val="0"/>
    <w:pPr>
      <w:spacing w:line="360" w:lineRule="auto"/>
      <w:ind w:firstLine="420"/>
    </w:pPr>
    <w:rPr>
      <w:rFonts w:ascii="Times New Roman" w:hAnsi="Times New Roman"/>
      <w:sz w:val="24"/>
      <w:szCs w:val="24"/>
    </w:rPr>
  </w:style>
  <w:style w:type="paragraph" w:customStyle="1" w:styleId="118">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19">
    <w:name w:val="样式"/>
    <w:link w:val="203"/>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20">
    <w:name w:val="图"/>
    <w:basedOn w:val="1"/>
    <w:qFormat/>
    <w:uiPriority w:val="0"/>
    <w:pPr>
      <w:widowControl/>
      <w:adjustRightInd w:val="0"/>
      <w:snapToGrid w:val="0"/>
      <w:jc w:val="center"/>
    </w:pPr>
    <w:rPr>
      <w:rFonts w:ascii="宋体" w:hAnsi="宋体"/>
      <w:bCs/>
      <w:szCs w:val="24"/>
    </w:rPr>
  </w:style>
  <w:style w:type="paragraph" w:customStyle="1" w:styleId="121">
    <w:name w:val="Char1 Char Char Char Char Char Char1"/>
    <w:basedOn w:val="1"/>
    <w:qFormat/>
    <w:uiPriority w:val="99"/>
    <w:rPr>
      <w:rFonts w:ascii="Tahoma" w:hAnsi="Tahoma"/>
      <w:sz w:val="24"/>
      <w:szCs w:val="20"/>
    </w:rPr>
  </w:style>
  <w:style w:type="paragraph" w:customStyle="1" w:styleId="122">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3">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4">
    <w:name w:val="MM Topic 1"/>
    <w:basedOn w:val="3"/>
    <w:qFormat/>
    <w:uiPriority w:val="0"/>
    <w:pPr>
      <w:tabs>
        <w:tab w:val="left" w:pos="425"/>
      </w:tabs>
    </w:pPr>
    <w:rPr>
      <w:rFonts w:cs="Times New Roman"/>
      <w:sz w:val="44"/>
    </w:rPr>
  </w:style>
  <w:style w:type="paragraph" w:customStyle="1" w:styleId="125">
    <w:name w:val="样式 标题 5 + 倾斜"/>
    <w:basedOn w:val="7"/>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26">
    <w:name w:val="我的正文"/>
    <w:basedOn w:val="1"/>
    <w:qFormat/>
    <w:uiPriority w:val="0"/>
    <w:pPr>
      <w:spacing w:line="360" w:lineRule="auto"/>
      <w:ind w:firstLine="420" w:firstLineChars="200"/>
    </w:pPr>
    <w:rPr>
      <w:rFonts w:ascii="宋体" w:hAnsi="宋体"/>
      <w:szCs w:val="24"/>
    </w:rPr>
  </w:style>
  <w:style w:type="paragraph" w:customStyle="1" w:styleId="127">
    <w:name w:val="MM Topic 7"/>
    <w:basedOn w:val="9"/>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28">
    <w:name w:val="标书（正文）"/>
    <w:basedOn w:val="1"/>
    <w:qFormat/>
    <w:uiPriority w:val="0"/>
    <w:pPr>
      <w:spacing w:line="360" w:lineRule="auto"/>
      <w:ind w:firstLine="560" w:firstLineChars="200"/>
    </w:pPr>
    <w:rPr>
      <w:rFonts w:ascii="宋体" w:hAnsi="宋体"/>
      <w:kern w:val="10"/>
      <w:sz w:val="28"/>
      <w:szCs w:val="28"/>
    </w:rPr>
  </w:style>
  <w:style w:type="paragraph" w:customStyle="1" w:styleId="129">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0">
    <w:name w:val="论文正文"/>
    <w:basedOn w:val="1"/>
    <w:qFormat/>
    <w:uiPriority w:val="0"/>
    <w:pPr>
      <w:spacing w:line="360" w:lineRule="auto"/>
      <w:ind w:firstLine="700" w:firstLineChars="250"/>
    </w:pPr>
    <w:rPr>
      <w:rFonts w:ascii="宋体" w:hAnsi="宋体"/>
      <w:bCs/>
      <w:sz w:val="28"/>
      <w:szCs w:val="28"/>
    </w:rPr>
  </w:style>
  <w:style w:type="paragraph" w:customStyle="1" w:styleId="131">
    <w:name w:val="样式1"/>
    <w:basedOn w:val="1"/>
    <w:qFormat/>
    <w:uiPriority w:val="0"/>
    <w:rPr>
      <w:rFonts w:ascii="Times New Roman" w:hAnsi="Times New Roman" w:eastAsia="隶书"/>
      <w:i/>
      <w:dstrike/>
      <w:sz w:val="28"/>
      <w:szCs w:val="18"/>
    </w:rPr>
  </w:style>
  <w:style w:type="paragraph" w:customStyle="1" w:styleId="132">
    <w:name w:val="表格"/>
    <w:basedOn w:val="1"/>
    <w:qFormat/>
    <w:uiPriority w:val="0"/>
    <w:pPr>
      <w:spacing w:line="400" w:lineRule="exact"/>
    </w:pPr>
    <w:rPr>
      <w:rFonts w:ascii="Times New Roman" w:hAnsi="Times New Roman"/>
      <w:sz w:val="24"/>
      <w:szCs w:val="24"/>
    </w:rPr>
  </w:style>
  <w:style w:type="paragraph" w:customStyle="1" w:styleId="133">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4">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5">
    <w:name w:val="Char Char Char Char Char Char Char Char Char Char Char Char Char"/>
    <w:basedOn w:val="15"/>
    <w:qFormat/>
    <w:uiPriority w:val="0"/>
    <w:rPr>
      <w:rFonts w:ascii="Tahoma" w:hAnsi="Tahoma"/>
      <w:sz w:val="24"/>
      <w:szCs w:val="24"/>
    </w:rPr>
  </w:style>
  <w:style w:type="paragraph" w:customStyle="1" w:styleId="136">
    <w:name w:val="MM Topic 3"/>
    <w:basedOn w:val="5"/>
    <w:qFormat/>
    <w:uiPriority w:val="0"/>
    <w:pPr>
      <w:numPr>
        <w:ilvl w:val="0"/>
        <w:numId w:val="0"/>
      </w:numPr>
      <w:tabs>
        <w:tab w:val="left" w:pos="1418"/>
      </w:tabs>
    </w:pPr>
    <w:rPr>
      <w:rFonts w:cs="Times New Roman"/>
    </w:rPr>
  </w:style>
  <w:style w:type="paragraph" w:customStyle="1" w:styleId="137">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38">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39">
    <w:name w:val="Char Char Char Char"/>
    <w:basedOn w:val="1"/>
    <w:qFormat/>
    <w:uiPriority w:val="0"/>
    <w:rPr>
      <w:rFonts w:ascii="Tahoma" w:hAnsi="Tahoma"/>
      <w:sz w:val="24"/>
      <w:szCs w:val="20"/>
    </w:rPr>
  </w:style>
  <w:style w:type="paragraph" w:customStyle="1" w:styleId="140">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1">
    <w:name w:val="MM Topic 9"/>
    <w:basedOn w:val="11"/>
    <w:qFormat/>
    <w:uiPriority w:val="0"/>
    <w:pPr>
      <w:tabs>
        <w:tab w:val="left" w:pos="5102"/>
      </w:tabs>
    </w:pPr>
  </w:style>
  <w:style w:type="paragraph" w:customStyle="1" w:styleId="142">
    <w:name w:val="MM Topic 5"/>
    <w:basedOn w:val="7"/>
    <w:qFormat/>
    <w:uiPriority w:val="0"/>
    <w:pPr>
      <w:tabs>
        <w:tab w:val="left" w:pos="2551"/>
        <w:tab w:val="clear" w:pos="1134"/>
        <w:tab w:val="clear" w:pos="1560"/>
      </w:tabs>
      <w:ind w:left="0" w:firstLine="0"/>
    </w:pPr>
    <w:rPr>
      <w:rFonts w:cs="Times New Roman"/>
    </w:rPr>
  </w:style>
  <w:style w:type="paragraph" w:customStyle="1" w:styleId="143">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4">
    <w:name w:val="MM Topic 4"/>
    <w:basedOn w:val="6"/>
    <w:qFormat/>
    <w:uiPriority w:val="0"/>
    <w:pPr>
      <w:tabs>
        <w:tab w:val="left" w:pos="1984"/>
      </w:tabs>
      <w:ind w:left="0" w:firstLine="0"/>
    </w:pPr>
  </w:style>
  <w:style w:type="paragraph" w:customStyle="1" w:styleId="14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6">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47">
    <w:name w:val="样式 标题 2H2第一章 标题 2Heading 2 HiddenHeading 2 CCBSheading 2h2..."/>
    <w:basedOn w:val="4"/>
    <w:qFormat/>
    <w:uiPriority w:val="0"/>
    <w:pPr>
      <w:tabs>
        <w:tab w:val="left" w:pos="-2493"/>
      </w:tabs>
    </w:pPr>
    <w:rPr>
      <w:rFonts w:cs="Times New Roman"/>
      <w:szCs w:val="20"/>
    </w:rPr>
  </w:style>
  <w:style w:type="paragraph" w:customStyle="1" w:styleId="148">
    <w:name w:val="正文首行缩进两字符"/>
    <w:basedOn w:val="1"/>
    <w:qFormat/>
    <w:uiPriority w:val="99"/>
    <w:pPr>
      <w:spacing w:line="360" w:lineRule="auto"/>
      <w:ind w:firstLine="200" w:firstLineChars="200"/>
    </w:pPr>
    <w:rPr>
      <w:rFonts w:ascii="Times New Roman" w:hAnsi="Times New Roman"/>
      <w:szCs w:val="24"/>
    </w:rPr>
  </w:style>
  <w:style w:type="paragraph" w:customStyle="1" w:styleId="149">
    <w:name w:val="列出段落2"/>
    <w:basedOn w:val="1"/>
    <w:qFormat/>
    <w:uiPriority w:val="0"/>
    <w:pPr>
      <w:ind w:firstLine="420" w:firstLineChars="200"/>
    </w:pPr>
  </w:style>
  <w:style w:type="paragraph" w:customStyle="1" w:styleId="150">
    <w:name w:val="列出段落4"/>
    <w:basedOn w:val="1"/>
    <w:qFormat/>
    <w:uiPriority w:val="34"/>
    <w:pPr>
      <w:ind w:firstLine="420" w:firstLineChars="200"/>
    </w:pPr>
    <w:rPr>
      <w:rFonts w:ascii="Times New Roman" w:hAnsi="Times New Roman"/>
      <w:szCs w:val="24"/>
    </w:rPr>
  </w:style>
  <w:style w:type="paragraph" w:customStyle="1" w:styleId="151">
    <w:name w:val="列出段落1111"/>
    <w:basedOn w:val="1"/>
    <w:qFormat/>
    <w:uiPriority w:val="0"/>
    <w:pPr>
      <w:ind w:firstLine="420" w:firstLineChars="200"/>
    </w:pPr>
  </w:style>
  <w:style w:type="paragraph" w:customStyle="1" w:styleId="152">
    <w:name w:val="修订1"/>
    <w:qFormat/>
    <w:uiPriority w:val="99"/>
    <w:rPr>
      <w:rFonts w:ascii="Calibri" w:hAnsi="Calibri" w:eastAsia="宋体" w:cs="Times New Roman"/>
      <w:kern w:val="2"/>
      <w:sz w:val="21"/>
      <w:szCs w:val="22"/>
      <w:lang w:val="en-US" w:eastAsia="zh-CN" w:bidi="ar-SA"/>
    </w:rPr>
  </w:style>
  <w:style w:type="paragraph" w:customStyle="1" w:styleId="153">
    <w:name w:val="彩色列表 - 强调文字颜色 12"/>
    <w:basedOn w:val="1"/>
    <w:qFormat/>
    <w:uiPriority w:val="0"/>
    <w:pPr>
      <w:ind w:firstLine="420" w:firstLineChars="200"/>
    </w:pPr>
  </w:style>
  <w:style w:type="paragraph" w:customStyle="1" w:styleId="154">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5">
    <w:name w:val="列出段落3"/>
    <w:basedOn w:val="1"/>
    <w:qFormat/>
    <w:uiPriority w:val="0"/>
    <w:pPr>
      <w:widowControl/>
      <w:ind w:firstLine="420" w:firstLineChars="200"/>
      <w:jc w:val="left"/>
    </w:pPr>
    <w:rPr>
      <w:rFonts w:ascii="Times New Roman" w:hAnsi="Times New Roman"/>
      <w:kern w:val="0"/>
      <w:sz w:val="24"/>
      <w:szCs w:val="24"/>
    </w:rPr>
  </w:style>
  <w:style w:type="paragraph" w:customStyle="1" w:styleId="156">
    <w:name w:val="列项——（一级）"/>
    <w:qFormat/>
    <w:uiPriority w:val="99"/>
    <w:pPr>
      <w:widowControl w:val="0"/>
      <w:numPr>
        <w:ilvl w:val="0"/>
        <w:numId w:val="4"/>
      </w:numPr>
      <w:jc w:val="both"/>
    </w:pPr>
    <w:rPr>
      <w:rFonts w:ascii="宋体" w:hAnsi="Times New Roman" w:eastAsia="宋体" w:cs="Times New Roman"/>
      <w:sz w:val="21"/>
      <w:lang w:val="en-US" w:eastAsia="zh-CN" w:bidi="ar-SA"/>
    </w:rPr>
  </w:style>
  <w:style w:type="character" w:customStyle="1" w:styleId="157">
    <w:name w:val="0-CD Char"/>
    <w:link w:val="158"/>
    <w:qFormat/>
    <w:locked/>
    <w:uiPriority w:val="0"/>
    <w:rPr>
      <w:rFonts w:ascii="宋体" w:hAnsi="宋体" w:eastAsia="宋体"/>
      <w:sz w:val="28"/>
      <w:szCs w:val="24"/>
    </w:rPr>
  </w:style>
  <w:style w:type="paragraph" w:customStyle="1" w:styleId="158">
    <w:name w:val="0-CD"/>
    <w:basedOn w:val="1"/>
    <w:link w:val="157"/>
    <w:qFormat/>
    <w:uiPriority w:val="0"/>
    <w:pPr>
      <w:spacing w:line="360" w:lineRule="auto"/>
      <w:ind w:firstLine="708" w:firstLineChars="253"/>
      <w:jc w:val="left"/>
    </w:pPr>
    <w:rPr>
      <w:rFonts w:ascii="宋体" w:hAnsi="宋体" w:cstheme="minorBidi"/>
      <w:sz w:val="28"/>
      <w:szCs w:val="24"/>
    </w:rPr>
  </w:style>
  <w:style w:type="character" w:customStyle="1" w:styleId="159">
    <w:name w:val="Char Char8"/>
    <w:qFormat/>
    <w:uiPriority w:val="0"/>
    <w:rPr>
      <w:rFonts w:hint="eastAsia" w:ascii="宋体" w:hAnsi="宋体" w:eastAsia="宋体"/>
      <w:kern w:val="2"/>
      <w:sz w:val="28"/>
      <w:szCs w:val="28"/>
    </w:rPr>
  </w:style>
  <w:style w:type="character" w:customStyle="1" w:styleId="160">
    <w:name w:val="Char Char5"/>
    <w:qFormat/>
    <w:uiPriority w:val="0"/>
    <w:rPr>
      <w:kern w:val="2"/>
      <w:sz w:val="21"/>
      <w:szCs w:val="24"/>
    </w:rPr>
  </w:style>
  <w:style w:type="character" w:customStyle="1" w:styleId="161">
    <w:name w:val="列出段落 Char Char"/>
    <w:qFormat/>
    <w:uiPriority w:val="0"/>
    <w:rPr>
      <w:rFonts w:hint="default" w:ascii="Calibri" w:hAnsi="Calibri" w:cs="Calibri"/>
      <w:kern w:val="2"/>
      <w:sz w:val="21"/>
      <w:szCs w:val="22"/>
    </w:rPr>
  </w:style>
  <w:style w:type="character" w:customStyle="1" w:styleId="162">
    <w:name w:val="正文文本 Char Char"/>
    <w:qFormat/>
    <w:uiPriority w:val="0"/>
    <w:rPr>
      <w:kern w:val="2"/>
      <w:sz w:val="21"/>
      <w:szCs w:val="24"/>
    </w:rPr>
  </w:style>
  <w:style w:type="character" w:customStyle="1" w:styleId="163">
    <w:name w:val="Char Char11"/>
    <w:qFormat/>
    <w:uiPriority w:val="0"/>
    <w:rPr>
      <w:rFonts w:hint="default" w:ascii="Arial Narrow" w:hAnsi="Arial Narrow"/>
      <w:b/>
      <w:bCs/>
      <w:iCs/>
      <w:szCs w:val="24"/>
      <w:lang w:eastAsia="en-US"/>
    </w:rPr>
  </w:style>
  <w:style w:type="character" w:customStyle="1" w:styleId="164">
    <w:name w:val="标书（正文） Char Char"/>
    <w:qFormat/>
    <w:uiPriority w:val="0"/>
    <w:rPr>
      <w:rFonts w:hint="eastAsia" w:ascii="宋体" w:hAnsi="宋体" w:eastAsia="宋体"/>
      <w:b/>
      <w:kern w:val="10"/>
      <w:sz w:val="21"/>
      <w:szCs w:val="21"/>
      <w:lang w:val="en-US" w:eastAsia="zh-CN" w:bidi="ar-SA"/>
    </w:rPr>
  </w:style>
  <w:style w:type="character" w:customStyle="1" w:styleId="165">
    <w:name w:val="line2"/>
    <w:basedOn w:val="45"/>
    <w:qFormat/>
    <w:uiPriority w:val="0"/>
  </w:style>
  <w:style w:type="character" w:customStyle="1" w:styleId="166">
    <w:name w:val="Char Char10"/>
    <w:qFormat/>
    <w:uiPriority w:val="0"/>
    <w:rPr>
      <w:kern w:val="2"/>
      <w:sz w:val="24"/>
      <w:szCs w:val="24"/>
    </w:rPr>
  </w:style>
  <w:style w:type="character" w:customStyle="1" w:styleId="167">
    <w:name w:val="MM Topic 4 Char Char"/>
    <w:qFormat/>
    <w:uiPriority w:val="0"/>
    <w:rPr>
      <w:rFonts w:hint="default" w:ascii="Arial" w:hAnsi="Arial" w:cs="Arial"/>
      <w:b/>
      <w:bCs/>
      <w:kern w:val="2"/>
      <w:sz w:val="28"/>
      <w:szCs w:val="28"/>
    </w:rPr>
  </w:style>
  <w:style w:type="character" w:customStyle="1" w:styleId="168">
    <w:name w:val="标书正文:  0.74 厘米 Char Char"/>
    <w:qFormat/>
    <w:uiPriority w:val="0"/>
    <w:rPr>
      <w:kern w:val="2"/>
      <w:sz w:val="24"/>
    </w:rPr>
  </w:style>
  <w:style w:type="character" w:customStyle="1" w:styleId="169">
    <w:name w:val="访问过的超链接1"/>
    <w:qFormat/>
    <w:uiPriority w:val="99"/>
    <w:rPr>
      <w:color w:val="800080"/>
      <w:u w:val="single"/>
    </w:rPr>
  </w:style>
  <w:style w:type="character" w:customStyle="1" w:styleId="170">
    <w:name w:val="标题 3 Char Char Char"/>
    <w:qFormat/>
    <w:uiPriority w:val="0"/>
    <w:rPr>
      <w:rFonts w:hint="eastAsia" w:ascii="宋体" w:hAnsi="宋体" w:eastAsia="宋体"/>
      <w:b/>
      <w:kern w:val="2"/>
      <w:sz w:val="32"/>
      <w:lang w:val="en-US" w:eastAsia="zh-CN" w:bidi="ar-SA"/>
    </w:rPr>
  </w:style>
  <w:style w:type="character" w:customStyle="1" w:styleId="171">
    <w:name w:val="（符号）邀请函中一、"/>
    <w:qFormat/>
    <w:uiPriority w:val="0"/>
    <w:rPr>
      <w:rFonts w:hint="eastAsia" w:ascii="黑体" w:hAnsi="黑体" w:eastAsia="黑体"/>
      <w:b/>
      <w:bCs/>
      <w:sz w:val="24"/>
    </w:rPr>
  </w:style>
  <w:style w:type="character" w:customStyle="1" w:styleId="172">
    <w:name w:val="tt Char"/>
    <w:qFormat/>
    <w:uiPriority w:val="0"/>
    <w:rPr>
      <w:rFonts w:hint="default" w:ascii="Arial" w:hAnsi="Arial" w:eastAsia="黑体" w:cs="Arial"/>
      <w:kern w:val="2"/>
      <w:sz w:val="21"/>
      <w:szCs w:val="21"/>
    </w:rPr>
  </w:style>
  <w:style w:type="character" w:customStyle="1" w:styleId="173">
    <w:name w:val="Char Char9"/>
    <w:qFormat/>
    <w:uiPriority w:val="0"/>
    <w:rPr>
      <w:kern w:val="2"/>
      <w:sz w:val="18"/>
      <w:szCs w:val="18"/>
    </w:rPr>
  </w:style>
  <w:style w:type="character" w:customStyle="1" w:styleId="174">
    <w:name w:val="MM Topic 3 Char Char"/>
    <w:qFormat/>
    <w:uiPriority w:val="0"/>
    <w:rPr>
      <w:rFonts w:hint="eastAsia" w:ascii="宋体" w:hAnsi="宋体" w:eastAsia="宋体"/>
      <w:b/>
      <w:bCs/>
      <w:color w:val="000000"/>
      <w:kern w:val="2"/>
      <w:sz w:val="28"/>
      <w:szCs w:val="28"/>
    </w:rPr>
  </w:style>
  <w:style w:type="character" w:customStyle="1" w:styleId="175">
    <w:name w:val="样式 小四2 Char Char"/>
    <w:qFormat/>
    <w:uiPriority w:val="0"/>
    <w:rPr>
      <w:rFonts w:hint="eastAsia" w:ascii="宋体" w:hAnsi="宋体" w:eastAsia="宋体"/>
      <w:kern w:val="2"/>
      <w:sz w:val="24"/>
      <w:szCs w:val="24"/>
    </w:rPr>
  </w:style>
  <w:style w:type="character" w:customStyle="1" w:styleId="176">
    <w:name w:val="Char Char7"/>
    <w:qFormat/>
    <w:uiPriority w:val="0"/>
    <w:rPr>
      <w:kern w:val="2"/>
      <w:sz w:val="18"/>
      <w:szCs w:val="18"/>
    </w:rPr>
  </w:style>
  <w:style w:type="character" w:customStyle="1" w:styleId="177">
    <w:name w:val="Char Char3"/>
    <w:qFormat/>
    <w:uiPriority w:val="0"/>
    <w:rPr>
      <w:b/>
      <w:bCs/>
      <w:kern w:val="2"/>
      <w:sz w:val="18"/>
      <w:szCs w:val="18"/>
    </w:rPr>
  </w:style>
  <w:style w:type="character" w:customStyle="1" w:styleId="178">
    <w:name w:val="apple-style-span"/>
    <w:basedOn w:val="45"/>
    <w:qFormat/>
    <w:uiPriority w:val="0"/>
  </w:style>
  <w:style w:type="character" w:customStyle="1" w:styleId="179">
    <w:name w:val="Char Char4"/>
    <w:qFormat/>
    <w:uiPriority w:val="0"/>
    <w:rPr>
      <w:kern w:val="2"/>
      <w:sz w:val="18"/>
      <w:szCs w:val="18"/>
    </w:rPr>
  </w:style>
  <w:style w:type="character" w:customStyle="1" w:styleId="180">
    <w:name w:val="副标题 Char1"/>
    <w:qFormat/>
    <w:uiPriority w:val="11"/>
    <w:rPr>
      <w:rFonts w:hint="default" w:ascii="Cambria" w:hAnsi="Cambria" w:cs="Times New Roman"/>
      <w:b/>
      <w:bCs/>
      <w:kern w:val="28"/>
      <w:sz w:val="32"/>
      <w:szCs w:val="32"/>
    </w:rPr>
  </w:style>
  <w:style w:type="character" w:customStyle="1" w:styleId="181">
    <w:name w:val="small"/>
    <w:basedOn w:val="45"/>
    <w:qFormat/>
    <w:uiPriority w:val="0"/>
  </w:style>
  <w:style w:type="character" w:customStyle="1" w:styleId="182">
    <w:name w:val="Legal Level 1.1.1. Char"/>
    <w:qFormat/>
    <w:uiPriority w:val="0"/>
    <w:rPr>
      <w:rFonts w:hint="default" w:ascii="Arial" w:hAnsi="Arial" w:eastAsia="黑体" w:cs="Arial"/>
      <w:kern w:val="2"/>
      <w:sz w:val="24"/>
      <w:szCs w:val="24"/>
    </w:rPr>
  </w:style>
  <w:style w:type="character" w:customStyle="1" w:styleId="183">
    <w:name w:val="文章正文 Char Char"/>
    <w:qFormat/>
    <w:uiPriority w:val="0"/>
    <w:rPr>
      <w:rFonts w:hint="eastAsia" w:ascii="宋体" w:hAnsi="宋体" w:eastAsia="宋体"/>
      <w:kern w:val="2"/>
      <w:sz w:val="24"/>
      <w:szCs w:val="24"/>
      <w:lang w:val="en-US" w:eastAsia="zh-CN" w:bidi="ar-SA"/>
    </w:rPr>
  </w:style>
  <w:style w:type="character" w:customStyle="1" w:styleId="184">
    <w:name w:val="正文文本 Char1"/>
    <w:qFormat/>
    <w:uiPriority w:val="0"/>
    <w:rPr>
      <w:rFonts w:hint="default" w:ascii="Times New Roman" w:hAnsi="Times New Roman" w:eastAsia="宋体" w:cs="Times New Roman"/>
      <w:kern w:val="0"/>
      <w:sz w:val="18"/>
      <w:szCs w:val="18"/>
    </w:rPr>
  </w:style>
  <w:style w:type="character" w:customStyle="1" w:styleId="185">
    <w:name w:val="正文文本 字符"/>
    <w:basedOn w:val="45"/>
    <w:link w:val="18"/>
    <w:qFormat/>
    <w:locked/>
    <w:uiPriority w:val="99"/>
    <w:rPr>
      <w:rFonts w:ascii="Calibri" w:hAnsi="Calibri" w:eastAsia="宋体" w:cs="Times New Roman"/>
    </w:rPr>
  </w:style>
  <w:style w:type="character" w:customStyle="1" w:styleId="186">
    <w:name w:val="CD正文 Char Char"/>
    <w:qFormat/>
    <w:uiPriority w:val="0"/>
    <w:rPr>
      <w:rFonts w:hint="eastAsia" w:ascii="宋体" w:hAnsi="宋体" w:eastAsia="宋体"/>
      <w:kern w:val="2"/>
      <w:sz w:val="30"/>
      <w:szCs w:val="28"/>
      <w:lang w:val="en-US" w:eastAsia="zh-CN" w:bidi="ar-SA"/>
    </w:rPr>
  </w:style>
  <w:style w:type="character" w:customStyle="1" w:styleId="187">
    <w:name w:val="Char Char2"/>
    <w:qFormat/>
    <w:uiPriority w:val="0"/>
    <w:rPr>
      <w:kern w:val="2"/>
      <w:sz w:val="18"/>
      <w:szCs w:val="18"/>
    </w:rPr>
  </w:style>
  <w:style w:type="character" w:customStyle="1" w:styleId="188">
    <w:name w:val="标题 1 Char1"/>
    <w:qFormat/>
    <w:uiPriority w:val="0"/>
    <w:rPr>
      <w:b/>
      <w:bCs/>
      <w:kern w:val="44"/>
      <w:sz w:val="44"/>
      <w:szCs w:val="44"/>
    </w:rPr>
  </w:style>
  <w:style w:type="character" w:customStyle="1" w:styleId="189">
    <w:name w:val="表正文 Char1"/>
    <w:qFormat/>
    <w:uiPriority w:val="0"/>
    <w:rPr>
      <w:rFonts w:hint="eastAsia" w:ascii="宋体" w:hAnsi="宋体" w:eastAsia="宋体"/>
      <w:kern w:val="2"/>
      <w:sz w:val="21"/>
      <w:lang w:val="en-US" w:eastAsia="zh-CN" w:bidi="ar-SA"/>
    </w:rPr>
  </w:style>
  <w:style w:type="character" w:customStyle="1" w:styleId="190">
    <w:name w:val="纯文本 字符"/>
    <w:link w:val="23"/>
    <w:qFormat/>
    <w:locked/>
    <w:uiPriority w:val="99"/>
    <w:rPr>
      <w:rFonts w:ascii="宋体" w:hAnsi="Courier New" w:eastAsia="宋体" w:cs="Times New Roman"/>
      <w:kern w:val="0"/>
      <w:sz w:val="20"/>
      <w:szCs w:val="18"/>
    </w:rPr>
  </w:style>
  <w:style w:type="character" w:customStyle="1" w:styleId="191">
    <w:name w:val="Char Char Char"/>
    <w:qFormat/>
    <w:uiPriority w:val="0"/>
    <w:rPr>
      <w:rFonts w:hint="eastAsia" w:ascii="宋体" w:hAnsi="宋体" w:eastAsia="宋体"/>
      <w:kern w:val="2"/>
      <w:sz w:val="18"/>
      <w:szCs w:val="18"/>
      <w:lang w:val="en-US" w:eastAsia="zh-CN" w:bidi="ar-SA"/>
    </w:rPr>
  </w:style>
  <w:style w:type="character" w:customStyle="1" w:styleId="192">
    <w:name w:val="Char Char6"/>
    <w:qFormat/>
    <w:uiPriority w:val="0"/>
    <w:rPr>
      <w:kern w:val="2"/>
      <w:sz w:val="21"/>
      <w:szCs w:val="24"/>
    </w:rPr>
  </w:style>
  <w:style w:type="character" w:customStyle="1" w:styleId="193">
    <w:name w:val="正文缩进 Char"/>
    <w:qFormat/>
    <w:uiPriority w:val="0"/>
    <w:rPr>
      <w:kern w:val="2"/>
      <w:sz w:val="21"/>
      <w:lang w:val="zh-CN" w:eastAsia="zh-CN"/>
    </w:rPr>
  </w:style>
  <w:style w:type="character" w:customStyle="1" w:styleId="194">
    <w:name w:val="font11"/>
    <w:basedOn w:val="45"/>
    <w:qFormat/>
    <w:uiPriority w:val="0"/>
    <w:rPr>
      <w:rFonts w:hint="eastAsia" w:ascii="宋体" w:hAnsi="宋体" w:eastAsia="宋体" w:cs="宋体"/>
      <w:b/>
      <w:color w:val="000000"/>
      <w:sz w:val="22"/>
      <w:szCs w:val="22"/>
      <w:u w:val="none"/>
    </w:rPr>
  </w:style>
  <w:style w:type="character" w:customStyle="1" w:styleId="195">
    <w:name w:val="font01"/>
    <w:basedOn w:val="45"/>
    <w:qFormat/>
    <w:uiPriority w:val="0"/>
    <w:rPr>
      <w:rFonts w:hint="eastAsia" w:ascii="宋体" w:hAnsi="宋体" w:eastAsia="宋体" w:cs="宋体"/>
      <w:color w:val="000000"/>
      <w:sz w:val="22"/>
      <w:szCs w:val="22"/>
      <w:u w:val="none"/>
    </w:rPr>
  </w:style>
  <w:style w:type="character" w:customStyle="1" w:styleId="196">
    <w:name w:val="页脚 Char1"/>
    <w:basedOn w:val="45"/>
    <w:qFormat/>
    <w:uiPriority w:val="99"/>
    <w:rPr>
      <w:sz w:val="18"/>
      <w:szCs w:val="18"/>
    </w:rPr>
  </w:style>
  <w:style w:type="character" w:customStyle="1" w:styleId="197">
    <w:name w:val="批注文字 Char2"/>
    <w:qFormat/>
    <w:uiPriority w:val="0"/>
    <w:rPr>
      <w:rFonts w:hint="eastAsia" w:ascii="宋体" w:hAnsi="宋体" w:eastAsia="宋体"/>
      <w:sz w:val="18"/>
      <w:szCs w:val="18"/>
    </w:rPr>
  </w:style>
  <w:style w:type="character" w:customStyle="1" w:styleId="198">
    <w:name w:val="列出段落 Char1"/>
    <w:qFormat/>
    <w:uiPriority w:val="0"/>
    <w:rPr>
      <w:rFonts w:hint="default" w:ascii="Calibri" w:hAnsi="Calibri"/>
      <w:kern w:val="2"/>
      <w:sz w:val="21"/>
      <w:szCs w:val="22"/>
    </w:rPr>
  </w:style>
  <w:style w:type="paragraph" w:customStyle="1" w:styleId="199">
    <w:name w:val="CD正文"/>
    <w:basedOn w:val="97"/>
    <w:link w:val="204"/>
    <w:qFormat/>
    <w:uiPriority w:val="0"/>
  </w:style>
  <w:style w:type="paragraph" w:customStyle="1" w:styleId="200">
    <w:name w:val="项目符号：一级"/>
    <w:basedOn w:val="84"/>
    <w:next w:val="84"/>
    <w:qFormat/>
    <w:uiPriority w:val="0"/>
  </w:style>
  <w:style w:type="character" w:customStyle="1" w:styleId="201">
    <w:name w:val="HTML 预设格式 字符"/>
    <w:basedOn w:val="45"/>
    <w:link w:val="38"/>
    <w:qFormat/>
    <w:uiPriority w:val="0"/>
    <w:rPr>
      <w:rFonts w:ascii="宋体" w:hAnsi="宋体" w:eastAsia="宋体" w:cs="Times New Roman"/>
      <w:kern w:val="0"/>
      <w:sz w:val="24"/>
      <w:szCs w:val="24"/>
    </w:rPr>
  </w:style>
  <w:style w:type="paragraph" w:customStyle="1" w:styleId="202">
    <w:name w:val="msonormal"/>
    <w:basedOn w:val="1"/>
    <w:qFormat/>
    <w:uiPriority w:val="99"/>
    <w:pPr>
      <w:widowControl/>
      <w:spacing w:before="100" w:beforeAutospacing="1" w:after="100" w:afterAutospacing="1"/>
      <w:jc w:val="left"/>
    </w:pPr>
    <w:rPr>
      <w:rFonts w:ascii="宋体" w:hAnsi="宋体"/>
      <w:color w:val="000000"/>
      <w:kern w:val="0"/>
      <w:sz w:val="24"/>
      <w:szCs w:val="24"/>
    </w:rPr>
  </w:style>
  <w:style w:type="character" w:customStyle="1" w:styleId="203">
    <w:name w:val="样式 Char Char"/>
    <w:link w:val="119"/>
    <w:qFormat/>
    <w:locked/>
    <w:uiPriority w:val="0"/>
    <w:rPr>
      <w:rFonts w:ascii="宋体" w:hAnsi="宋体" w:eastAsia="宋体" w:cs="宋体"/>
      <w:kern w:val="0"/>
      <w:sz w:val="24"/>
      <w:szCs w:val="24"/>
    </w:rPr>
  </w:style>
  <w:style w:type="character" w:customStyle="1" w:styleId="204">
    <w:name w:val="CD正文 Char"/>
    <w:link w:val="199"/>
    <w:qFormat/>
    <w:locked/>
    <w:uiPriority w:val="0"/>
    <w:rPr>
      <w:rFonts w:ascii="Times New Roman" w:hAnsi="Times New Roman" w:eastAsia="宋体" w:cs="Times New Roman"/>
      <w:sz w:val="24"/>
      <w:szCs w:val="24"/>
    </w:rPr>
  </w:style>
  <w:style w:type="paragraph" w:customStyle="1" w:styleId="205">
    <w:name w:val="正文 A"/>
    <w:qFormat/>
    <w:uiPriority w:val="99"/>
    <w:rPr>
      <w:rFonts w:ascii="Arial Unicode MS" w:hAnsi="Arial Unicode MS" w:eastAsia="Arial Unicode MS" w:cs="Arial Unicode MS"/>
      <w:color w:val="000000"/>
      <w:sz w:val="24"/>
      <w:szCs w:val="24"/>
      <w:lang w:val="zh-TW" w:eastAsia="zh-TW" w:bidi="ar-SA"/>
    </w:rPr>
  </w:style>
  <w:style w:type="paragraph" w:customStyle="1" w:styleId="206">
    <w:name w:val="标题5"/>
    <w:basedOn w:val="1"/>
    <w:qFormat/>
    <w:uiPriority w:val="99"/>
    <w:pPr>
      <w:spacing w:before="100" w:beforeAutospacing="1" w:after="100" w:afterAutospacing="1"/>
      <w:ind w:left="283" w:hanging="425"/>
      <w:outlineLvl w:val="4"/>
    </w:pPr>
    <w:rPr>
      <w:rFonts w:ascii="Times New Roman" w:hAnsi="Times New Roman"/>
      <w:szCs w:val="24"/>
    </w:rPr>
  </w:style>
  <w:style w:type="paragraph" w:customStyle="1" w:styleId="207">
    <w:name w:val="列出段落5"/>
    <w:basedOn w:val="1"/>
    <w:qFormat/>
    <w:uiPriority w:val="99"/>
    <w:pPr>
      <w:ind w:firstLine="420" w:firstLineChars="200"/>
    </w:pPr>
    <w:rPr>
      <w:rFonts w:ascii="Times New Roman" w:hAnsi="Times New Roman"/>
    </w:rPr>
  </w:style>
  <w:style w:type="paragraph" w:customStyle="1" w:styleId="208">
    <w:name w:val="Normal Indent1"/>
    <w:basedOn w:val="1"/>
    <w:qFormat/>
    <w:uiPriority w:val="99"/>
    <w:pPr>
      <w:spacing w:line="360" w:lineRule="auto"/>
      <w:ind w:firstLine="200" w:firstLineChars="200"/>
    </w:pPr>
    <w:rPr>
      <w:rFonts w:ascii="Times New Roman" w:hAnsi="Times New Roman"/>
      <w:sz w:val="24"/>
      <w:szCs w:val="24"/>
    </w:rPr>
  </w:style>
  <w:style w:type="paragraph" w:customStyle="1" w:styleId="209">
    <w:name w:val="图题标题"/>
    <w:basedOn w:val="1"/>
    <w:qFormat/>
    <w:uiPriority w:val="99"/>
    <w:pPr>
      <w:spacing w:line="400" w:lineRule="exact"/>
      <w:jc w:val="center"/>
    </w:pPr>
    <w:rPr>
      <w:rFonts w:ascii="Times New Roman" w:hAnsi="Times New Roman" w:eastAsia="黑体"/>
      <w:sz w:val="24"/>
      <w:szCs w:val="24"/>
    </w:rPr>
  </w:style>
  <w:style w:type="paragraph" w:customStyle="1" w:styleId="210">
    <w:name w:val="无间隔11"/>
    <w:qFormat/>
    <w:uiPriority w:val="99"/>
    <w:pPr>
      <w:widowControl w:val="0"/>
      <w:spacing w:after="200" w:line="300" w:lineRule="auto"/>
      <w:jc w:val="center"/>
    </w:pPr>
    <w:rPr>
      <w:rFonts w:ascii="宋体" w:hAnsi="宋体" w:eastAsia="宋体" w:cs="Times New Roman"/>
      <w:kern w:val="2"/>
      <w:sz w:val="24"/>
      <w:szCs w:val="21"/>
      <w:lang w:val="en-US" w:eastAsia="zh-CN" w:bidi="ar-SA"/>
    </w:rPr>
  </w:style>
  <w:style w:type="paragraph" w:customStyle="1" w:styleId="211">
    <w:name w:val="列出段落11"/>
    <w:basedOn w:val="1"/>
    <w:qFormat/>
    <w:uiPriority w:val="99"/>
    <w:pPr>
      <w:spacing w:after="200" w:line="276" w:lineRule="auto"/>
      <w:ind w:firstLine="420" w:firstLineChars="200"/>
    </w:pPr>
  </w:style>
  <w:style w:type="paragraph" w:customStyle="1" w:styleId="212">
    <w:name w:val="修订2"/>
    <w:qFormat/>
    <w:uiPriority w:val="99"/>
    <w:pPr>
      <w:spacing w:after="200" w:line="276" w:lineRule="auto"/>
    </w:pPr>
    <w:rPr>
      <w:rFonts w:ascii="Calibri" w:hAnsi="Calibri" w:eastAsia="宋体" w:cs="Times New Roman"/>
      <w:kern w:val="2"/>
      <w:sz w:val="21"/>
      <w:szCs w:val="22"/>
      <w:lang w:val="en-US" w:eastAsia="zh-CN" w:bidi="ar-SA"/>
    </w:rPr>
  </w:style>
  <w:style w:type="character" w:customStyle="1" w:styleId="213">
    <w:name w:val="UserStyle_26"/>
    <w:link w:val="214"/>
    <w:qFormat/>
    <w:locked/>
    <w:uiPriority w:val="0"/>
  </w:style>
  <w:style w:type="paragraph" w:customStyle="1" w:styleId="214">
    <w:name w:val="NormalIndent"/>
    <w:basedOn w:val="1"/>
    <w:link w:val="213"/>
    <w:qFormat/>
    <w:uiPriority w:val="0"/>
    <w:pPr>
      <w:widowControl/>
      <w:spacing w:after="200" w:line="276" w:lineRule="auto"/>
      <w:ind w:firstLine="420"/>
    </w:pPr>
    <w:rPr>
      <w:rFonts w:asciiTheme="minorHAnsi" w:hAnsiTheme="minorHAnsi" w:eastAsiaTheme="minorEastAsia" w:cstheme="minorBidi"/>
    </w:rPr>
  </w:style>
  <w:style w:type="paragraph" w:customStyle="1" w:styleId="215">
    <w:name w:val="HtmlNormal"/>
    <w:basedOn w:val="1"/>
    <w:qFormat/>
    <w:uiPriority w:val="99"/>
    <w:pPr>
      <w:widowControl/>
      <w:spacing w:before="100" w:beforeAutospacing="1" w:after="100" w:afterAutospacing="1" w:line="276" w:lineRule="auto"/>
      <w:jc w:val="left"/>
    </w:pPr>
    <w:rPr>
      <w:rFonts w:ascii="宋体" w:hAnsi="宋体"/>
      <w:kern w:val="0"/>
      <w:sz w:val="24"/>
      <w:szCs w:val="24"/>
    </w:rPr>
  </w:style>
  <w:style w:type="paragraph" w:customStyle="1" w:styleId="216">
    <w:name w:val="Heading1"/>
    <w:basedOn w:val="1"/>
    <w:next w:val="1"/>
    <w:qFormat/>
    <w:uiPriority w:val="99"/>
    <w:pPr>
      <w:keepNext/>
      <w:keepLines/>
      <w:widowControl/>
      <w:spacing w:before="300" w:after="200" w:line="276" w:lineRule="auto"/>
    </w:pPr>
    <w:rPr>
      <w:rFonts w:eastAsia="黑体"/>
      <w:kern w:val="44"/>
      <w:sz w:val="44"/>
      <w:szCs w:val="44"/>
    </w:rPr>
  </w:style>
  <w:style w:type="paragraph" w:customStyle="1" w:styleId="217">
    <w:name w:val="UserStyle_33"/>
    <w:basedOn w:val="1"/>
    <w:qFormat/>
    <w:uiPriority w:val="99"/>
    <w:pPr>
      <w:widowControl/>
      <w:spacing w:after="200" w:line="400" w:lineRule="exact"/>
      <w:ind w:firstLine="200" w:firstLineChars="200"/>
    </w:pPr>
    <w:rPr>
      <w:rFonts w:ascii="Times New Roman" w:hAnsi="Times New Roman"/>
      <w:sz w:val="24"/>
      <w:szCs w:val="24"/>
    </w:rPr>
  </w:style>
  <w:style w:type="paragraph" w:customStyle="1" w:styleId="218">
    <w:name w:val="UserStyle_40"/>
    <w:basedOn w:val="1"/>
    <w:qFormat/>
    <w:uiPriority w:val="99"/>
    <w:pPr>
      <w:widowControl/>
      <w:spacing w:after="200" w:line="276" w:lineRule="auto"/>
      <w:ind w:firstLine="420" w:firstLineChars="200"/>
    </w:pPr>
    <w:rPr>
      <w:szCs w:val="21"/>
    </w:rPr>
  </w:style>
  <w:style w:type="paragraph" w:customStyle="1" w:styleId="219">
    <w:name w:val="Heading2"/>
    <w:basedOn w:val="1"/>
    <w:next w:val="1"/>
    <w:qFormat/>
    <w:uiPriority w:val="99"/>
    <w:pPr>
      <w:widowControl/>
      <w:tabs>
        <w:tab w:val="right" w:leader="dot" w:pos="9000"/>
      </w:tabs>
      <w:spacing w:after="200" w:line="276" w:lineRule="auto"/>
      <w:ind w:right="-686" w:rightChars="-245"/>
    </w:pPr>
    <w:rPr>
      <w:szCs w:val="21"/>
    </w:rPr>
  </w:style>
  <w:style w:type="paragraph" w:customStyle="1" w:styleId="220">
    <w:name w:val="BodyText"/>
    <w:basedOn w:val="1"/>
    <w:qFormat/>
    <w:uiPriority w:val="0"/>
    <w:pPr>
      <w:spacing w:after="120" w:line="276" w:lineRule="auto"/>
    </w:pPr>
  </w:style>
  <w:style w:type="paragraph" w:customStyle="1" w:styleId="221">
    <w:name w:val="_Style 2"/>
    <w:basedOn w:val="1"/>
    <w:qFormat/>
    <w:uiPriority w:val="99"/>
    <w:pPr>
      <w:spacing w:after="200" w:line="276" w:lineRule="auto"/>
      <w:ind w:firstLine="420" w:firstLineChars="200"/>
    </w:pPr>
  </w:style>
  <w:style w:type="paragraph" w:customStyle="1" w:styleId="222">
    <w:name w:val="正文2"/>
    <w:qFormat/>
    <w:uiPriority w:val="99"/>
    <w:pPr>
      <w:spacing w:after="200" w:line="276" w:lineRule="auto"/>
      <w:jc w:val="both"/>
    </w:pPr>
    <w:rPr>
      <w:rFonts w:ascii="Calibri" w:hAnsi="Calibri" w:eastAsia="宋体" w:cs="Calibri"/>
      <w:kern w:val="2"/>
      <w:sz w:val="21"/>
      <w:szCs w:val="21"/>
      <w:lang w:val="en-US" w:eastAsia="zh-CN" w:bidi="ar-SA"/>
    </w:rPr>
  </w:style>
  <w:style w:type="character" w:customStyle="1" w:styleId="223">
    <w:name w:val="标准文本 Char Char"/>
    <w:link w:val="224"/>
    <w:qFormat/>
    <w:locked/>
    <w:uiPriority w:val="0"/>
    <w:rPr>
      <w:sz w:val="24"/>
    </w:rPr>
  </w:style>
  <w:style w:type="paragraph" w:customStyle="1" w:styleId="224">
    <w:name w:val="标准文本"/>
    <w:basedOn w:val="1"/>
    <w:link w:val="223"/>
    <w:qFormat/>
    <w:uiPriority w:val="0"/>
    <w:pPr>
      <w:spacing w:after="200" w:line="360" w:lineRule="auto"/>
      <w:ind w:firstLine="480" w:firstLineChars="200"/>
    </w:pPr>
    <w:rPr>
      <w:rFonts w:asciiTheme="minorHAnsi" w:hAnsiTheme="minorHAnsi" w:eastAsiaTheme="minorEastAsia" w:cstheme="minorBidi"/>
      <w:sz w:val="24"/>
    </w:rPr>
  </w:style>
  <w:style w:type="character" w:customStyle="1" w:styleId="225">
    <w:name w:val="正文360首行缩进 Char"/>
    <w:basedOn w:val="45"/>
    <w:link w:val="226"/>
    <w:qFormat/>
    <w:locked/>
    <w:uiPriority w:val="0"/>
    <w:rPr>
      <w:rFonts w:ascii="Times New Roman" w:hAnsi="Times New Roman" w:eastAsia="宋体" w:cs="Times New Roman"/>
      <w:sz w:val="24"/>
    </w:rPr>
  </w:style>
  <w:style w:type="paragraph" w:customStyle="1" w:styleId="226">
    <w:name w:val="正文360首行缩进"/>
    <w:basedOn w:val="1"/>
    <w:link w:val="225"/>
    <w:qFormat/>
    <w:uiPriority w:val="0"/>
    <w:pPr>
      <w:widowControl/>
      <w:spacing w:before="120" w:line="300" w:lineRule="auto"/>
      <w:ind w:firstLine="200" w:firstLineChars="200"/>
      <w:jc w:val="left"/>
    </w:pPr>
    <w:rPr>
      <w:rFonts w:ascii="Times New Roman" w:hAnsi="Times New Roman"/>
      <w:sz w:val="24"/>
    </w:rPr>
  </w:style>
  <w:style w:type="paragraph" w:customStyle="1" w:styleId="227">
    <w:name w:val="列出段落1_0"/>
    <w:basedOn w:val="1"/>
    <w:qFormat/>
    <w:uiPriority w:val="99"/>
    <w:pPr>
      <w:ind w:firstLine="420" w:firstLineChars="200"/>
    </w:pPr>
    <w:rPr>
      <w:szCs w:val="21"/>
    </w:rPr>
  </w:style>
  <w:style w:type="paragraph" w:customStyle="1" w:styleId="228">
    <w:name w:val="Normal_59"/>
    <w:qFormat/>
    <w:uiPriority w:val="0"/>
    <w:pPr>
      <w:spacing w:before="120" w:after="240" w:line="276" w:lineRule="auto"/>
      <w:jc w:val="both"/>
    </w:pPr>
    <w:rPr>
      <w:rFonts w:ascii="Times New Roman" w:hAnsi="Times New Roman" w:eastAsia="Calibri" w:cs="Times New Roman"/>
      <w:sz w:val="22"/>
      <w:szCs w:val="22"/>
      <w:lang w:val="ru-RU" w:eastAsia="en-US" w:bidi="ar-SA"/>
    </w:rPr>
  </w:style>
  <w:style w:type="paragraph" w:customStyle="1" w:styleId="229">
    <w:name w:val="Char1 Char Char Char Char Char Char_0"/>
    <w:basedOn w:val="1"/>
    <w:qFormat/>
    <w:uiPriority w:val="0"/>
    <w:rPr>
      <w:rFonts w:ascii="Tahoma" w:hAnsi="Tahoma"/>
      <w:sz w:val="24"/>
      <w:szCs w:val="20"/>
    </w:rPr>
  </w:style>
  <w:style w:type="paragraph" w:customStyle="1" w:styleId="230">
    <w:name w:val="样式 标题 2 + Times New Roman 四号 非加粗 段前: 5 磅 段后: 0 磅 行距: 固定值 20..."/>
    <w:basedOn w:val="4"/>
    <w:qFormat/>
    <w:uiPriority w:val="0"/>
    <w:pPr>
      <w:numPr>
        <w:ilvl w:val="0"/>
        <w:numId w:val="0"/>
      </w:numPr>
      <w:spacing w:before="100" w:line="400" w:lineRule="exact"/>
      <w:jc w:val="both"/>
    </w:pPr>
    <w:rPr>
      <w:rFonts w:ascii="Times New Roman" w:hAnsi="Times New Roman" w:eastAsia="黑体"/>
      <w:b w:val="0"/>
      <w:szCs w:val="32"/>
    </w:rPr>
  </w:style>
  <w:style w:type="paragraph" w:customStyle="1" w:styleId="231">
    <w:name w:val="列出段落111"/>
    <w:basedOn w:val="1"/>
    <w:qFormat/>
    <w:uiPriority w:val="99"/>
    <w:pPr>
      <w:ind w:firstLine="420" w:firstLineChars="200"/>
    </w:pPr>
    <w:rPr>
      <w:rFonts w:ascii="Times New Roman" w:hAnsi="Times New Roman"/>
    </w:rPr>
  </w:style>
  <w:style w:type="paragraph" w:customStyle="1" w:styleId="232">
    <w:name w:val="修订3"/>
    <w:qFormat/>
    <w:uiPriority w:val="99"/>
    <w:rPr>
      <w:rFonts w:ascii="Calibri" w:hAnsi="Calibri" w:eastAsia="宋体" w:cs="Times New Roman"/>
      <w:kern w:val="2"/>
      <w:sz w:val="21"/>
      <w:szCs w:val="22"/>
      <w:lang w:val="en-US" w:eastAsia="zh-CN" w:bidi="ar-SA"/>
    </w:rPr>
  </w:style>
  <w:style w:type="paragraph" w:customStyle="1" w:styleId="233">
    <w:name w:val="List Paragraph1"/>
    <w:basedOn w:val="1"/>
    <w:qFormat/>
    <w:uiPriority w:val="99"/>
    <w:pPr>
      <w:ind w:firstLine="420" w:firstLineChars="200"/>
    </w:pPr>
    <w:rPr>
      <w:rFonts w:ascii="Times New Roman" w:hAnsi="Times New Roman"/>
      <w:szCs w:val="24"/>
    </w:rPr>
  </w:style>
  <w:style w:type="paragraph" w:customStyle="1" w:styleId="234">
    <w:name w:val="正文_5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5">
    <w:name w:val="正文（绿盟科技）"/>
    <w:qFormat/>
    <w:uiPriority w:val="99"/>
    <w:pPr>
      <w:spacing w:line="300" w:lineRule="auto"/>
    </w:pPr>
    <w:rPr>
      <w:rFonts w:ascii="Arial" w:hAnsi="Arial" w:eastAsia="宋体" w:cs="黑体"/>
      <w:sz w:val="21"/>
      <w:szCs w:val="21"/>
      <w:lang w:val="en-US" w:eastAsia="zh-CN" w:bidi="ar-SA"/>
    </w:rPr>
  </w:style>
  <w:style w:type="paragraph" w:customStyle="1" w:styleId="236">
    <w:name w:val="标题 5（有编号）（绿盟科技）"/>
    <w:basedOn w:val="1"/>
    <w:next w:val="235"/>
    <w:qFormat/>
    <w:uiPriority w:val="99"/>
    <w:pPr>
      <w:keepNext/>
      <w:keepLines/>
      <w:tabs>
        <w:tab w:val="left" w:pos="0"/>
      </w:tabs>
      <w:spacing w:before="280" w:after="156" w:line="376" w:lineRule="auto"/>
      <w:ind w:left="1958" w:hanging="420"/>
      <w:jc w:val="left"/>
      <w:outlineLvl w:val="4"/>
    </w:pPr>
    <w:rPr>
      <w:rFonts w:ascii="Arial" w:hAnsi="Arial" w:eastAsia="黑体"/>
      <w:b/>
      <w:sz w:val="24"/>
      <w:szCs w:val="28"/>
    </w:rPr>
  </w:style>
  <w:style w:type="paragraph" w:customStyle="1" w:styleId="237">
    <w:name w:val="09、“1.”表格内一级标题"/>
    <w:basedOn w:val="1"/>
    <w:qFormat/>
    <w:uiPriority w:val="99"/>
    <w:pPr>
      <w:tabs>
        <w:tab w:val="left" w:pos="0"/>
        <w:tab w:val="left" w:pos="420"/>
      </w:tabs>
      <w:wordWrap w:val="0"/>
      <w:topLinePunct/>
      <w:snapToGrid w:val="0"/>
      <w:spacing w:line="360" w:lineRule="exact"/>
      <w:ind w:left="48" w:leftChars="20" w:hanging="425"/>
    </w:pPr>
    <w:rPr>
      <w:rFonts w:ascii="宋体" w:hAnsi="宋体"/>
    </w:rPr>
  </w:style>
  <w:style w:type="paragraph" w:customStyle="1" w:styleId="238">
    <w:name w:val="12、表格内左对齐正文"/>
    <w:basedOn w:val="1"/>
    <w:qFormat/>
    <w:uiPriority w:val="99"/>
    <w:pPr>
      <w:tabs>
        <w:tab w:val="left" w:pos="0"/>
      </w:tabs>
      <w:wordWrap w:val="0"/>
      <w:topLinePunct/>
      <w:snapToGrid w:val="0"/>
      <w:spacing w:line="360" w:lineRule="exact"/>
      <w:ind w:left="48" w:leftChars="20"/>
    </w:pPr>
    <w:rPr>
      <w:rFonts w:ascii="宋体" w:hAnsi="宋体"/>
    </w:rPr>
  </w:style>
  <w:style w:type="paragraph" w:customStyle="1" w:styleId="239">
    <w:name w:val="修订11"/>
    <w:qFormat/>
    <w:uiPriority w:val="99"/>
    <w:rPr>
      <w:rFonts w:ascii="Calibri" w:hAnsi="Calibri" w:eastAsia="宋体" w:cs="Times New Roman"/>
      <w:kern w:val="2"/>
      <w:sz w:val="21"/>
      <w:szCs w:val="22"/>
      <w:lang w:val="en-US" w:eastAsia="zh-CN" w:bidi="ar-SA"/>
    </w:rPr>
  </w:style>
  <w:style w:type="paragraph" w:customStyle="1" w:styleId="240">
    <w:name w:val="_Style 32"/>
    <w:basedOn w:val="1"/>
    <w:next w:val="1"/>
    <w:qFormat/>
    <w:uiPriority w:val="99"/>
    <w:pPr>
      <w:spacing w:line="240" w:lineRule="atLeast"/>
      <w:ind w:left="420" w:firstLine="420"/>
      <w:jc w:val="left"/>
    </w:pPr>
    <w:rPr>
      <w:rFonts w:ascii="Times New Roman" w:hAnsi="Times New Roman"/>
      <w:szCs w:val="20"/>
    </w:rPr>
  </w:style>
  <w:style w:type="character" w:customStyle="1" w:styleId="241">
    <w:name w:val="占位符文本1"/>
    <w:basedOn w:val="45"/>
    <w:semiHidden/>
    <w:qFormat/>
    <w:uiPriority w:val="99"/>
    <w:rPr>
      <w:color w:val="808080"/>
    </w:rPr>
  </w:style>
  <w:style w:type="character" w:customStyle="1" w:styleId="242">
    <w:name w:val="页眉 字符1"/>
    <w:basedOn w:val="45"/>
    <w:semiHidden/>
    <w:qFormat/>
    <w:locked/>
    <w:uiPriority w:val="99"/>
    <w:rPr>
      <w:rFonts w:ascii="Calibri" w:hAnsi="Calibri" w:eastAsia="宋体" w:cs="Times New Roman"/>
      <w:kern w:val="0"/>
      <w:sz w:val="18"/>
      <w:szCs w:val="18"/>
    </w:rPr>
  </w:style>
  <w:style w:type="character" w:customStyle="1" w:styleId="243">
    <w:name w:val="正文文本 字符1"/>
    <w:basedOn w:val="45"/>
    <w:semiHidden/>
    <w:qFormat/>
    <w:locked/>
    <w:uiPriority w:val="99"/>
    <w:rPr>
      <w:rFonts w:ascii="Calibri" w:hAnsi="Calibri" w:eastAsia="宋体" w:cs="Times New Roman"/>
    </w:rPr>
  </w:style>
  <w:style w:type="character" w:customStyle="1" w:styleId="244">
    <w:name w:val="批注框文本 字符1"/>
    <w:basedOn w:val="45"/>
    <w:semiHidden/>
    <w:qFormat/>
    <w:locked/>
    <w:uiPriority w:val="99"/>
    <w:rPr>
      <w:rFonts w:ascii="Times New Roman" w:hAnsi="Times New Roman" w:eastAsia="宋体" w:cs="Times New Roman"/>
      <w:kern w:val="0"/>
      <w:sz w:val="18"/>
      <w:szCs w:val="18"/>
    </w:rPr>
  </w:style>
  <w:style w:type="character" w:customStyle="1" w:styleId="245">
    <w:name w:val="NormalCharacter"/>
    <w:qFormat/>
    <w:uiPriority w:val="0"/>
  </w:style>
  <w:style w:type="paragraph" w:customStyle="1" w:styleId="246">
    <w:name w:val="BodyText1I"/>
    <w:basedOn w:val="1"/>
    <w:link w:val="247"/>
    <w:qFormat/>
    <w:uiPriority w:val="0"/>
  </w:style>
  <w:style w:type="character" w:customStyle="1" w:styleId="247">
    <w:name w:val="UserStyle_9"/>
    <w:basedOn w:val="45"/>
    <w:link w:val="246"/>
    <w:qFormat/>
    <w:locked/>
    <w:uiPriority w:val="0"/>
    <w:rPr>
      <w:rFonts w:ascii="Calibri" w:hAnsi="Calibri" w:eastAsia="宋体" w:cs="Times New Roman"/>
    </w:rPr>
  </w:style>
  <w:style w:type="character" w:customStyle="1" w:styleId="248">
    <w:name w:val="15"/>
    <w:basedOn w:val="45"/>
    <w:qFormat/>
    <w:uiPriority w:val="0"/>
    <w:rPr>
      <w:rFonts w:hint="default" w:ascii="Calibri" w:hAnsi="Calibri"/>
    </w:rPr>
  </w:style>
  <w:style w:type="character" w:customStyle="1" w:styleId="249">
    <w:name w:val="批注文字 Char1"/>
    <w:basedOn w:val="45"/>
    <w:semiHidden/>
    <w:qFormat/>
    <w:locked/>
    <w:uiPriority w:val="0"/>
    <w:rPr>
      <w:rFonts w:hint="default" w:ascii="Calibri" w:hAnsi="Calibri" w:eastAsia="宋体" w:cs="Times New Roman"/>
    </w:rPr>
  </w:style>
  <w:style w:type="character" w:customStyle="1" w:styleId="250">
    <w:name w:val="font21"/>
    <w:qFormat/>
    <w:uiPriority w:val="0"/>
    <w:rPr>
      <w:rFonts w:hint="default" w:ascii="Arial" w:hAnsi="Arial" w:cs="Arial"/>
      <w:color w:val="000000"/>
      <w:sz w:val="18"/>
      <w:szCs w:val="18"/>
      <w:u w:val="none"/>
    </w:rPr>
  </w:style>
  <w:style w:type="character" w:customStyle="1" w:styleId="251">
    <w:name w:val="_Style 8"/>
    <w:qFormat/>
    <w:uiPriority w:val="32"/>
    <w:rPr>
      <w:b/>
      <w:bCs/>
      <w:smallCaps/>
      <w:color w:val="C0504D"/>
      <w:spacing w:val="5"/>
      <w:u w:val="single"/>
    </w:rPr>
  </w:style>
  <w:style w:type="character" w:customStyle="1" w:styleId="252">
    <w:name w:val="l-btn-icon-left"/>
    <w:basedOn w:val="45"/>
    <w:qFormat/>
    <w:uiPriority w:val="0"/>
  </w:style>
  <w:style w:type="character" w:customStyle="1" w:styleId="253">
    <w:name w:val="l-btn-icon-left1"/>
    <w:basedOn w:val="45"/>
    <w:qFormat/>
    <w:uiPriority w:val="0"/>
  </w:style>
  <w:style w:type="character" w:customStyle="1" w:styleId="254">
    <w:name w:val="l-btn-empty"/>
    <w:basedOn w:val="45"/>
    <w:qFormat/>
    <w:uiPriority w:val="0"/>
  </w:style>
  <w:style w:type="character" w:customStyle="1" w:styleId="255">
    <w:name w:val="l-btn-icon-right"/>
    <w:basedOn w:val="45"/>
    <w:qFormat/>
    <w:uiPriority w:val="0"/>
  </w:style>
  <w:style w:type="character" w:customStyle="1" w:styleId="256">
    <w:name w:val="l-btn-left2"/>
    <w:basedOn w:val="45"/>
    <w:qFormat/>
    <w:uiPriority w:val="0"/>
  </w:style>
  <w:style w:type="character" w:customStyle="1" w:styleId="257">
    <w:name w:val="l-btn-left3"/>
    <w:basedOn w:val="45"/>
    <w:qFormat/>
    <w:uiPriority w:val="0"/>
  </w:style>
  <w:style w:type="character" w:customStyle="1" w:styleId="258">
    <w:name w:val="l-btn-left4"/>
    <w:basedOn w:val="45"/>
    <w:qFormat/>
    <w:uiPriority w:val="0"/>
  </w:style>
  <w:style w:type="character" w:customStyle="1" w:styleId="259">
    <w:name w:val="l-btn-left5"/>
    <w:basedOn w:val="45"/>
    <w:qFormat/>
    <w:uiPriority w:val="0"/>
  </w:style>
  <w:style w:type="character" w:customStyle="1" w:styleId="260">
    <w:name w:val="l-btn-left6"/>
    <w:basedOn w:val="45"/>
    <w:qFormat/>
    <w:uiPriority w:val="0"/>
  </w:style>
  <w:style w:type="character" w:customStyle="1" w:styleId="261">
    <w:name w:val="l-btn-text"/>
    <w:basedOn w:val="45"/>
    <w:qFormat/>
    <w:uiPriority w:val="0"/>
    <w:rPr>
      <w:vertAlign w:val="baseline"/>
    </w:rPr>
  </w:style>
  <w:style w:type="character" w:customStyle="1" w:styleId="262">
    <w:name w:val="l-btn-text1"/>
    <w:basedOn w:val="45"/>
    <w:qFormat/>
    <w:uiPriority w:val="0"/>
    <w:rPr>
      <w:vertAlign w:val="baseline"/>
    </w:rPr>
  </w:style>
  <w:style w:type="character" w:customStyle="1" w:styleId="263">
    <w:name w:val="ajaxtitle"/>
    <w:basedOn w:val="45"/>
    <w:qFormat/>
    <w:uiPriority w:val="0"/>
  </w:style>
  <w:style w:type="character" w:customStyle="1" w:styleId="264">
    <w:name w:val="json_key"/>
    <w:basedOn w:val="45"/>
    <w:qFormat/>
    <w:uiPriority w:val="0"/>
  </w:style>
  <w:style w:type="character" w:customStyle="1" w:styleId="265">
    <w:name w:val="json_string"/>
    <w:basedOn w:val="45"/>
    <w:qFormat/>
    <w:uiPriority w:val="0"/>
  </w:style>
  <w:style w:type="character" w:customStyle="1" w:styleId="266">
    <w:name w:val="标题 2 Char1"/>
    <w:basedOn w:val="45"/>
    <w:semiHidden/>
    <w:qFormat/>
    <w:uiPriority w:val="99"/>
    <w:rPr>
      <w:rFonts w:hint="eastAsia" w:asciiTheme="majorHAnsi" w:hAnsiTheme="majorHAnsi" w:eastAsiaTheme="majorEastAsia" w:cstheme="majorBidi"/>
      <w:b/>
      <w:bCs/>
      <w:kern w:val="2"/>
      <w:sz w:val="32"/>
      <w:szCs w:val="32"/>
    </w:rPr>
  </w:style>
  <w:style w:type="character" w:customStyle="1" w:styleId="267">
    <w:name w:val="标题 3 Char1"/>
    <w:basedOn w:val="45"/>
    <w:semiHidden/>
    <w:qFormat/>
    <w:uiPriority w:val="99"/>
    <w:rPr>
      <w:rFonts w:hint="default" w:ascii="Calibri" w:hAnsi="Calibri"/>
      <w:b/>
      <w:bCs/>
      <w:kern w:val="2"/>
      <w:sz w:val="32"/>
      <w:szCs w:val="32"/>
    </w:rPr>
  </w:style>
  <w:style w:type="character" w:customStyle="1" w:styleId="268">
    <w:name w:val="标题 4 Char1"/>
    <w:basedOn w:val="45"/>
    <w:semiHidden/>
    <w:qFormat/>
    <w:uiPriority w:val="9"/>
    <w:rPr>
      <w:rFonts w:hint="eastAsia" w:asciiTheme="majorHAnsi" w:hAnsiTheme="majorHAnsi" w:eastAsiaTheme="majorEastAsia" w:cstheme="majorBidi"/>
      <w:b/>
      <w:bCs/>
      <w:kern w:val="2"/>
      <w:sz w:val="28"/>
      <w:szCs w:val="28"/>
    </w:rPr>
  </w:style>
  <w:style w:type="character" w:customStyle="1" w:styleId="269">
    <w:name w:val="正文文本缩进 2 Char1"/>
    <w:basedOn w:val="45"/>
    <w:semiHidden/>
    <w:qFormat/>
    <w:uiPriority w:val="99"/>
    <w:rPr>
      <w:rFonts w:hint="default" w:ascii="Calibri" w:hAnsi="Calibri" w:cs="Calibri"/>
      <w:kern w:val="2"/>
      <w:sz w:val="21"/>
      <w:szCs w:val="22"/>
    </w:rPr>
  </w:style>
  <w:style w:type="character" w:customStyle="1" w:styleId="270">
    <w:name w:val="正文文本缩进 Char1"/>
    <w:basedOn w:val="45"/>
    <w:semiHidden/>
    <w:qFormat/>
    <w:uiPriority w:val="99"/>
    <w:rPr>
      <w:rFonts w:hint="default" w:ascii="Calibri" w:hAnsi="Calibri" w:cs="Calibri"/>
      <w:kern w:val="2"/>
      <w:sz w:val="21"/>
      <w:szCs w:val="22"/>
    </w:rPr>
  </w:style>
  <w:style w:type="character" w:customStyle="1" w:styleId="271">
    <w:name w:val="正文文本 3 Char1"/>
    <w:basedOn w:val="45"/>
    <w:semiHidden/>
    <w:qFormat/>
    <w:uiPriority w:val="99"/>
    <w:rPr>
      <w:rFonts w:hint="default" w:ascii="Calibri" w:hAnsi="Calibri" w:cs="Calibri"/>
      <w:kern w:val="2"/>
      <w:sz w:val="16"/>
      <w:szCs w:val="16"/>
    </w:rPr>
  </w:style>
  <w:style w:type="character" w:customStyle="1" w:styleId="272">
    <w:name w:val="正文文本缩进 3 Char1"/>
    <w:basedOn w:val="45"/>
    <w:semiHidden/>
    <w:qFormat/>
    <w:uiPriority w:val="99"/>
    <w:rPr>
      <w:rFonts w:hint="default" w:ascii="Calibri" w:hAnsi="Calibri" w:cs="Calibri"/>
      <w:kern w:val="2"/>
      <w:sz w:val="16"/>
      <w:szCs w:val="16"/>
    </w:rPr>
  </w:style>
  <w:style w:type="character" w:customStyle="1" w:styleId="273">
    <w:name w:val="批注框文本 Char1"/>
    <w:basedOn w:val="45"/>
    <w:semiHidden/>
    <w:qFormat/>
    <w:uiPriority w:val="99"/>
    <w:rPr>
      <w:rFonts w:hint="default" w:ascii="Calibri" w:hAnsi="Calibri" w:cs="Calibri"/>
      <w:kern w:val="2"/>
      <w:sz w:val="18"/>
      <w:szCs w:val="18"/>
    </w:rPr>
  </w:style>
  <w:style w:type="character" w:customStyle="1" w:styleId="274">
    <w:name w:val="文档结构图 Char1"/>
    <w:basedOn w:val="45"/>
    <w:semiHidden/>
    <w:qFormat/>
    <w:uiPriority w:val="99"/>
    <w:rPr>
      <w:rFonts w:hint="eastAsia" w:ascii="宋体" w:hAnsi="Calibri" w:eastAsia="宋体"/>
      <w:kern w:val="2"/>
      <w:sz w:val="18"/>
      <w:szCs w:val="18"/>
    </w:rPr>
  </w:style>
  <w:style w:type="character" w:customStyle="1" w:styleId="275">
    <w:name w:val="页眉 Char1"/>
    <w:basedOn w:val="45"/>
    <w:semiHidden/>
    <w:qFormat/>
    <w:uiPriority w:val="99"/>
    <w:rPr>
      <w:rFonts w:hint="default" w:ascii="Calibri" w:hAnsi="Calibri" w:cs="Calibri"/>
      <w:kern w:val="2"/>
      <w:sz w:val="18"/>
      <w:szCs w:val="18"/>
    </w:rPr>
  </w:style>
  <w:style w:type="character" w:customStyle="1" w:styleId="276">
    <w:name w:val="日期 Char1"/>
    <w:basedOn w:val="45"/>
    <w:semiHidden/>
    <w:qFormat/>
    <w:uiPriority w:val="99"/>
    <w:rPr>
      <w:rFonts w:hint="default" w:ascii="Calibri" w:hAnsi="Calibri" w:cs="Calibri"/>
      <w:kern w:val="2"/>
      <w:sz w:val="21"/>
      <w:szCs w:val="22"/>
    </w:rPr>
  </w:style>
  <w:style w:type="character" w:customStyle="1" w:styleId="277">
    <w:name w:val="正文文本 Char3"/>
    <w:basedOn w:val="45"/>
    <w:qFormat/>
    <w:uiPriority w:val="99"/>
    <w:rPr>
      <w:rFonts w:hint="default" w:ascii="Calibri" w:hAnsi="Calibri" w:cs="Calibri"/>
      <w:kern w:val="2"/>
      <w:sz w:val="21"/>
      <w:szCs w:val="22"/>
    </w:rPr>
  </w:style>
  <w:style w:type="character" w:customStyle="1" w:styleId="278">
    <w:name w:val="纯文本 Char2"/>
    <w:basedOn w:val="45"/>
    <w:qFormat/>
    <w:uiPriority w:val="99"/>
    <w:rPr>
      <w:rFonts w:hint="eastAsia" w:ascii="宋体" w:hAnsi="Courier New" w:eastAsia="宋体" w:cs="Courier New"/>
      <w:kern w:val="2"/>
      <w:sz w:val="21"/>
      <w:szCs w:val="21"/>
    </w:rPr>
  </w:style>
  <w:style w:type="character" w:customStyle="1" w:styleId="279">
    <w:name w:val="正文首行缩进 Char1"/>
    <w:basedOn w:val="277"/>
    <w:semiHidden/>
    <w:qFormat/>
    <w:uiPriority w:val="99"/>
    <w:rPr>
      <w:rFonts w:hint="default" w:ascii="Calibri" w:hAnsi="Calibri" w:cs="Calibri"/>
      <w:kern w:val="2"/>
      <w:sz w:val="21"/>
      <w:szCs w:val="22"/>
    </w:rPr>
  </w:style>
  <w:style w:type="character" w:customStyle="1" w:styleId="280">
    <w:name w:val="正文文本 2 Char1"/>
    <w:basedOn w:val="45"/>
    <w:semiHidden/>
    <w:qFormat/>
    <w:uiPriority w:val="99"/>
    <w:rPr>
      <w:rFonts w:hint="default" w:ascii="Calibri" w:hAnsi="Calibri" w:cs="Calibri"/>
      <w:kern w:val="2"/>
      <w:sz w:val="21"/>
      <w:szCs w:val="22"/>
    </w:rPr>
  </w:style>
  <w:style w:type="character" w:customStyle="1" w:styleId="281">
    <w:name w:val="副标题 Char2"/>
    <w:basedOn w:val="45"/>
    <w:qFormat/>
    <w:uiPriority w:val="11"/>
    <w:rPr>
      <w:rFonts w:hint="eastAsia" w:eastAsia="等线 Light" w:asciiTheme="majorHAnsi" w:hAnsiTheme="majorHAnsi" w:cstheme="majorBidi"/>
      <w:b/>
      <w:bCs/>
      <w:kern w:val="28"/>
      <w:sz w:val="32"/>
      <w:szCs w:val="32"/>
    </w:rPr>
  </w:style>
  <w:style w:type="character" w:customStyle="1" w:styleId="282">
    <w:name w:val="font61"/>
    <w:qFormat/>
    <w:uiPriority w:val="0"/>
    <w:rPr>
      <w:rFonts w:hint="eastAsia" w:ascii="仿宋_GB2312" w:eastAsia="仿宋_GB2312" w:cs="仿宋_GB2312"/>
      <w:color w:val="000000"/>
      <w:sz w:val="24"/>
      <w:szCs w:val="24"/>
      <w:u w:val="none"/>
    </w:rPr>
  </w:style>
  <w:style w:type="character" w:customStyle="1" w:styleId="283">
    <w:name w:val="font31"/>
    <w:qFormat/>
    <w:uiPriority w:val="0"/>
    <w:rPr>
      <w:rFonts w:hint="eastAsia" w:ascii="宋体" w:hAnsi="宋体" w:eastAsia="宋体" w:cs="宋体"/>
      <w:color w:val="FF0000"/>
      <w:sz w:val="24"/>
      <w:szCs w:val="24"/>
      <w:u w:val="none"/>
    </w:rPr>
  </w:style>
  <w:style w:type="character" w:customStyle="1" w:styleId="284">
    <w:name w:val="font221"/>
    <w:qFormat/>
    <w:uiPriority w:val="0"/>
    <w:rPr>
      <w:rFonts w:hint="eastAsia" w:ascii="宋体" w:hAnsi="宋体" w:eastAsia="宋体" w:cs="宋体"/>
      <w:color w:val="000000"/>
      <w:sz w:val="24"/>
      <w:szCs w:val="24"/>
      <w:u w:val="none"/>
    </w:rPr>
  </w:style>
  <w:style w:type="character" w:customStyle="1" w:styleId="285">
    <w:name w:val="font121"/>
    <w:basedOn w:val="45"/>
    <w:qFormat/>
    <w:uiPriority w:val="0"/>
    <w:rPr>
      <w:rFonts w:hint="eastAsia" w:ascii="宋体" w:hAnsi="宋体" w:eastAsia="宋体" w:cs="宋体"/>
      <w:color w:val="000000"/>
      <w:sz w:val="22"/>
      <w:szCs w:val="22"/>
      <w:u w:val="none"/>
    </w:rPr>
  </w:style>
  <w:style w:type="character" w:customStyle="1" w:styleId="286">
    <w:name w:val="font41"/>
    <w:basedOn w:val="45"/>
    <w:qFormat/>
    <w:uiPriority w:val="0"/>
    <w:rPr>
      <w:rFonts w:hint="eastAsia" w:ascii="宋体" w:hAnsi="宋体" w:eastAsia="宋体" w:cs="宋体"/>
      <w:b/>
      <w:color w:val="000000"/>
      <w:sz w:val="22"/>
      <w:szCs w:val="22"/>
      <w:u w:val="none"/>
    </w:rPr>
  </w:style>
  <w:style w:type="character" w:customStyle="1" w:styleId="287">
    <w:name w:val="font71"/>
    <w:basedOn w:val="45"/>
    <w:qFormat/>
    <w:uiPriority w:val="0"/>
    <w:rPr>
      <w:rFonts w:hint="eastAsia" w:ascii="宋体" w:hAnsi="宋体" w:eastAsia="宋体" w:cs="宋体"/>
      <w:color w:val="0D0D0D"/>
      <w:sz w:val="22"/>
      <w:szCs w:val="22"/>
      <w:u w:val="none"/>
    </w:rPr>
  </w:style>
  <w:style w:type="character" w:customStyle="1" w:styleId="288">
    <w:name w:val="qowt-font2"/>
    <w:basedOn w:val="45"/>
    <w:qFormat/>
    <w:uiPriority w:val="0"/>
  </w:style>
  <w:style w:type="character" w:customStyle="1" w:styleId="289">
    <w:name w:val="font91"/>
    <w:qFormat/>
    <w:uiPriority w:val="0"/>
    <w:rPr>
      <w:rFonts w:hint="eastAsia" w:ascii="宋体" w:hAnsi="宋体" w:eastAsia="宋体" w:cs="宋体"/>
      <w:color w:val="000000"/>
      <w:sz w:val="20"/>
      <w:szCs w:val="20"/>
      <w:u w:val="none"/>
      <w:vertAlign w:val="superscript"/>
    </w:rPr>
  </w:style>
  <w:style w:type="table" w:customStyle="1" w:styleId="290">
    <w:name w:val="网格型2"/>
    <w:basedOn w:val="43"/>
    <w:qFormat/>
    <w:uiPriority w:val="0"/>
    <w:pPr>
      <w:widowControl w:val="0"/>
      <w:spacing w:after="200" w:line="276"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91">
    <w:name w:val="标题 1 字符1"/>
    <w:basedOn w:val="45"/>
    <w:qFormat/>
    <w:uiPriority w:val="0"/>
    <w:rPr>
      <w:rFonts w:eastAsia="宋体" w:cs="Times New Roman"/>
      <w:b/>
      <w:bCs/>
      <w:kern w:val="44"/>
      <w:sz w:val="44"/>
      <w:szCs w:val="44"/>
    </w:rPr>
  </w:style>
  <w:style w:type="character" w:customStyle="1" w:styleId="292">
    <w:name w:val="标题 2 字符1"/>
    <w:basedOn w:val="45"/>
    <w:semiHidden/>
    <w:qFormat/>
    <w:uiPriority w:val="9"/>
    <w:rPr>
      <w:rFonts w:asciiTheme="majorHAnsi" w:hAnsiTheme="majorHAnsi" w:eastAsiaTheme="majorEastAsia" w:cstheme="majorBidi"/>
      <w:b/>
      <w:bCs/>
      <w:kern w:val="2"/>
      <w:sz w:val="32"/>
      <w:szCs w:val="32"/>
    </w:rPr>
  </w:style>
  <w:style w:type="character" w:customStyle="1" w:styleId="293">
    <w:name w:val="标题 3 字符1"/>
    <w:basedOn w:val="45"/>
    <w:semiHidden/>
    <w:qFormat/>
    <w:uiPriority w:val="9"/>
    <w:rPr>
      <w:rFonts w:eastAsia="宋体" w:cs="Times New Roman"/>
      <w:b/>
      <w:bCs/>
      <w:kern w:val="2"/>
      <w:sz w:val="32"/>
      <w:szCs w:val="32"/>
    </w:rPr>
  </w:style>
  <w:style w:type="character" w:customStyle="1" w:styleId="294">
    <w:name w:val="批注文字 Char"/>
    <w:basedOn w:val="45"/>
    <w:semiHidden/>
    <w:qFormat/>
    <w:uiPriority w:val="99"/>
    <w:rPr>
      <w:rFonts w:ascii="Calibri" w:hAnsi="Calibri" w:eastAsia="宋体" w:cs="Times New Roman"/>
    </w:rPr>
  </w:style>
  <w:style w:type="paragraph" w:customStyle="1" w:styleId="295">
    <w:name w:val="修订4"/>
    <w:semiHidden/>
    <w:qFormat/>
    <w:uiPriority w:val="99"/>
    <w:rPr>
      <w:rFonts w:ascii="Calibri" w:hAnsi="Calibri" w:eastAsia="宋体" w:cs="Times New Roman"/>
      <w:kern w:val="2"/>
      <w:sz w:val="21"/>
      <w:szCs w:val="22"/>
      <w:lang w:val="en-US" w:eastAsia="zh-CN" w:bidi="ar-SA"/>
    </w:rPr>
  </w:style>
  <w:style w:type="paragraph" w:customStyle="1" w:styleId="296">
    <w:name w:val="1 Char2"/>
    <w:basedOn w:val="1"/>
    <w:semiHidden/>
    <w:qFormat/>
    <w:uiPriority w:val="0"/>
    <w:pPr>
      <w:widowControl/>
      <w:spacing w:after="160" w:line="240" w:lineRule="exact"/>
      <w:jc w:val="left"/>
    </w:pPr>
    <w:rPr>
      <w:rFonts w:ascii="Tahoma" w:hAnsi="Tahoma" w:eastAsia="Times New Roman"/>
      <w:kern w:val="0"/>
      <w:sz w:val="24"/>
      <w:szCs w:val="24"/>
      <w:lang w:eastAsia="en-US"/>
    </w:rPr>
  </w:style>
  <w:style w:type="character" w:customStyle="1" w:styleId="297">
    <w:name w:val="正文文本 Char2"/>
    <w:basedOn w:val="45"/>
    <w:qFormat/>
    <w:locked/>
    <w:uiPriority w:val="99"/>
    <w:rPr>
      <w:rFonts w:hint="default" w:ascii="Times New Roman" w:hAnsi="Times New Roman" w:eastAsia="宋体" w:cs="Times New Roman"/>
      <w:kern w:val="0"/>
      <w:sz w:val="20"/>
      <w:szCs w:val="20"/>
    </w:rPr>
  </w:style>
  <w:style w:type="character" w:customStyle="1" w:styleId="298">
    <w:name w:val="p121"/>
    <w:qFormat/>
    <w:uiPriority w:val="0"/>
    <w:rPr>
      <w:sz w:val="24"/>
    </w:rPr>
  </w:style>
  <w:style w:type="paragraph" w:customStyle="1" w:styleId="299">
    <w:name w:val="列表段落1"/>
    <w:basedOn w:val="1"/>
    <w:qFormat/>
    <w:uiPriority w:val="99"/>
    <w:pPr>
      <w:ind w:firstLine="420" w:firstLineChars="200"/>
    </w:pPr>
    <w:rPr>
      <w:rFonts w:ascii="宋体" w:hAnsi="宋体" w:cs="宋体"/>
      <w:sz w:val="28"/>
      <w:szCs w:val="28"/>
    </w:rPr>
  </w:style>
  <w:style w:type="character" w:customStyle="1" w:styleId="300">
    <w:name w:val="AnnotationReference"/>
    <w:qFormat/>
    <w:uiPriority w:val="0"/>
    <w:rPr>
      <w:sz w:val="21"/>
      <w:szCs w:val="21"/>
    </w:rPr>
  </w:style>
  <w:style w:type="paragraph" w:customStyle="1" w:styleId="301">
    <w:name w:val="179"/>
    <w:basedOn w:val="1"/>
    <w:qFormat/>
    <w:uiPriority w:val="0"/>
    <w:pPr>
      <w:widowControl/>
      <w:ind w:firstLine="420" w:firstLineChars="200"/>
      <w:textAlignment w:val="baseline"/>
    </w:pPr>
    <w:rPr>
      <w:rFonts w:ascii="宋体" w:hAnsi="宋体" w:cstheme="minorBidi"/>
      <w:sz w:val="28"/>
      <w:szCs w:val="28"/>
    </w:rPr>
  </w:style>
  <w:style w:type="paragraph" w:customStyle="1" w:styleId="302">
    <w:name w:val="Heading3"/>
    <w:basedOn w:val="1"/>
    <w:next w:val="1"/>
    <w:link w:val="303"/>
    <w:qFormat/>
    <w:uiPriority w:val="0"/>
    <w:pPr>
      <w:widowControl/>
      <w:spacing w:before="100" w:beforeAutospacing="1" w:after="100" w:afterAutospacing="1"/>
      <w:ind w:firstLine="560" w:firstLineChars="200"/>
      <w:jc w:val="left"/>
      <w:textAlignment w:val="baseline"/>
    </w:pPr>
    <w:rPr>
      <w:rFonts w:ascii="宋体" w:hAnsi="宋体" w:cs="宋体"/>
      <w:b/>
      <w:bCs/>
      <w:kern w:val="0"/>
      <w:sz w:val="27"/>
      <w:szCs w:val="27"/>
    </w:rPr>
  </w:style>
  <w:style w:type="character" w:customStyle="1" w:styleId="303">
    <w:name w:val="UserStyle_4"/>
    <w:link w:val="302"/>
    <w:qFormat/>
    <w:uiPriority w:val="0"/>
    <w:rPr>
      <w:rFonts w:ascii="宋体" w:hAnsi="宋体" w:eastAsia="宋体" w:cs="宋体"/>
      <w:b/>
      <w:bCs/>
      <w:kern w:val="0"/>
      <w:sz w:val="27"/>
      <w:szCs w:val="27"/>
    </w:rPr>
  </w:style>
  <w:style w:type="paragraph" w:customStyle="1" w:styleId="304">
    <w:name w:val="_Style 48"/>
    <w:basedOn w:val="1"/>
    <w:qFormat/>
    <w:uiPriority w:val="0"/>
    <w:pPr>
      <w:ind w:firstLine="420" w:firstLineChars="200"/>
    </w:pPr>
    <w:rPr>
      <w:rFonts w:ascii="宋体" w:hAnsi="宋体" w:cs="宋体"/>
      <w:sz w:val="28"/>
      <w:szCs w:val="28"/>
    </w:rPr>
  </w:style>
  <w:style w:type="character" w:customStyle="1" w:styleId="305">
    <w:name w:val="font101"/>
    <w:basedOn w:val="45"/>
    <w:qFormat/>
    <w:uiPriority w:val="0"/>
    <w:rPr>
      <w:rFonts w:hint="eastAsia" w:ascii="宋体" w:hAnsi="宋体" w:eastAsia="宋体" w:cs="宋体"/>
      <w:color w:val="FF0000"/>
      <w:sz w:val="18"/>
      <w:szCs w:val="18"/>
      <w:u w:val="none"/>
    </w:rPr>
  </w:style>
  <w:style w:type="character" w:customStyle="1" w:styleId="306">
    <w:name w:val="font51"/>
    <w:basedOn w:val="45"/>
    <w:qFormat/>
    <w:uiPriority w:val="0"/>
    <w:rPr>
      <w:rFonts w:ascii="Calibri" w:hAnsi="Calibri" w:cs="Calibri"/>
      <w:color w:val="000000"/>
      <w:sz w:val="21"/>
      <w:szCs w:val="21"/>
      <w:u w:val="none"/>
    </w:rPr>
  </w:style>
  <w:style w:type="paragraph" w:customStyle="1" w:styleId="307">
    <w:name w:val="Table Paragraph"/>
    <w:basedOn w:val="1"/>
    <w:qFormat/>
    <w:uiPriority w:val="1"/>
    <w:pPr>
      <w:ind w:firstLine="560" w:firstLineChars="200"/>
    </w:pPr>
    <w:rPr>
      <w:rFonts w:ascii="宋体" w:hAnsi="宋体" w:cs="宋体"/>
      <w:sz w:val="28"/>
      <w:szCs w:val="28"/>
      <w:lang w:val="zh-CN" w:bidi="zh-CN"/>
    </w:rPr>
  </w:style>
  <w:style w:type="character" w:customStyle="1" w:styleId="308">
    <w:name w:val="表格文字 字符"/>
    <w:basedOn w:val="45"/>
    <w:link w:val="96"/>
    <w:qFormat/>
    <w:uiPriority w:val="0"/>
    <w:rPr>
      <w:rFonts w:ascii="Times New (W1)" w:hAnsi="Times New (W1)" w:eastAsia="宋体" w:cs="Times New Roman"/>
      <w:spacing w:val="10"/>
      <w:szCs w:val="24"/>
    </w:rPr>
  </w:style>
  <w:style w:type="paragraph" w:customStyle="1" w:styleId="309">
    <w:name w:val="修订5"/>
    <w:hidden/>
    <w:semiHidden/>
    <w:qFormat/>
    <w:uiPriority w:val="99"/>
    <w:rPr>
      <w:rFonts w:ascii="Calibri" w:hAnsi="Calibri" w:eastAsia="宋体" w:cs="Times New Roman"/>
      <w:kern w:val="2"/>
      <w:sz w:val="21"/>
      <w:szCs w:val="22"/>
      <w:lang w:val="en-US" w:eastAsia="zh-CN" w:bidi="ar-SA"/>
    </w:rPr>
  </w:style>
  <w:style w:type="paragraph" w:customStyle="1" w:styleId="310">
    <w:name w:val="qowt-stl-正文"/>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311">
    <w:name w:val="fontstyle01"/>
    <w:basedOn w:val="45"/>
    <w:qFormat/>
    <w:uiPriority w:val="0"/>
    <w:rPr>
      <w:rFonts w:hint="eastAsia" w:ascii="宋体" w:hAnsi="宋体" w:eastAsia="宋体"/>
      <w:color w:val="000000"/>
      <w:sz w:val="22"/>
      <w:szCs w:val="22"/>
    </w:rPr>
  </w:style>
  <w:style w:type="paragraph" w:customStyle="1" w:styleId="312">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13">
    <w:name w:val="font6"/>
    <w:basedOn w:val="1"/>
    <w:qFormat/>
    <w:uiPriority w:val="0"/>
    <w:pPr>
      <w:widowControl/>
      <w:spacing w:before="100" w:beforeAutospacing="1" w:after="100" w:afterAutospacing="1"/>
      <w:jc w:val="left"/>
    </w:pPr>
    <w:rPr>
      <w:rFonts w:ascii="Times New Roman" w:hAnsi="Times New Roman"/>
      <w:kern w:val="0"/>
      <w:szCs w:val="21"/>
    </w:rPr>
  </w:style>
  <w:style w:type="paragraph" w:customStyle="1" w:styleId="314">
    <w:name w:val="xl63"/>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315">
    <w:name w:val="xl64"/>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316">
    <w:name w:val="xl65"/>
    <w:basedOn w:val="1"/>
    <w:qFormat/>
    <w:uiPriority w:val="0"/>
    <w:pPr>
      <w:widowControl/>
      <w:pBdr>
        <w:left w:val="single" w:color="auto" w:sz="8" w:space="0"/>
        <w:bottom w:val="single" w:color="auto" w:sz="8" w:space="0"/>
        <w:right w:val="single" w:color="auto" w:sz="8"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317">
    <w:name w:val="xl66"/>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318">
    <w:name w:val="xl67"/>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319">
    <w:name w:val="xl68"/>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320">
    <w:name w:val="xl69"/>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321">
    <w:name w:val="xl70"/>
    <w:basedOn w:val="1"/>
    <w:qFormat/>
    <w:uiPriority w:val="0"/>
    <w:pPr>
      <w:widowControl/>
      <w:pBdr>
        <w:bottom w:val="single" w:color="auto" w:sz="8" w:space="0"/>
        <w:right w:val="single" w:color="auto" w:sz="8"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322">
    <w:name w:val="xl71"/>
    <w:basedOn w:val="1"/>
    <w:qFormat/>
    <w:uiPriority w:val="0"/>
    <w:pPr>
      <w:widowControl/>
      <w:pBdr>
        <w:bottom w:val="single" w:color="auto" w:sz="8" w:space="0"/>
        <w:right w:val="single" w:color="auto" w:sz="8"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323">
    <w:name w:val="xl72"/>
    <w:basedOn w:val="1"/>
    <w:qFormat/>
    <w:uiPriority w:val="0"/>
    <w:pPr>
      <w:widowControl/>
      <w:pBdr>
        <w:bottom w:val="single" w:color="auto" w:sz="8" w:space="0"/>
        <w:right w:val="single" w:color="auto" w:sz="8"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324">
    <w:name w:val="xl73"/>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325">
    <w:name w:val="xl74"/>
    <w:basedOn w:val="1"/>
    <w:qFormat/>
    <w:uiPriority w:val="0"/>
    <w:pPr>
      <w:widowControl/>
      <w:pBdr>
        <w:top w:val="single" w:color="auto" w:sz="8" w:space="0"/>
        <w:left w:val="single" w:color="auto" w:sz="8" w:space="0"/>
        <w:bottom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326">
    <w:name w:val="xl75"/>
    <w:basedOn w:val="1"/>
    <w:qFormat/>
    <w:uiPriority w:val="0"/>
    <w:pPr>
      <w:widowControl/>
      <w:pBdr>
        <w:top w:val="single" w:color="auto" w:sz="8" w:space="0"/>
        <w:bottom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327">
    <w:name w:val="xl76"/>
    <w:basedOn w:val="1"/>
    <w:qFormat/>
    <w:uiPriority w:val="0"/>
    <w:pPr>
      <w:widowControl/>
      <w:pBdr>
        <w:top w:val="single" w:color="auto" w:sz="8" w:space="0"/>
        <w:bottom w:val="single" w:color="auto" w:sz="8" w:space="0"/>
        <w:right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328">
    <w:name w:val="xl77"/>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宋体" w:hAnsi="宋体" w:cs="宋体"/>
      <w:kern w:val="0"/>
      <w:sz w:val="18"/>
      <w:szCs w:val="18"/>
    </w:rPr>
  </w:style>
  <w:style w:type="paragraph" w:customStyle="1" w:styleId="329">
    <w:name w:val="xl78"/>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330">
    <w:name w:val="xl79"/>
    <w:basedOn w:val="1"/>
    <w:qFormat/>
    <w:uiPriority w:val="0"/>
    <w:pPr>
      <w:widowControl/>
      <w:pBdr>
        <w:top w:val="single" w:color="auto" w:sz="8" w:space="0"/>
        <w:left w:val="single" w:color="auto" w:sz="8" w:space="0"/>
        <w:bottom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331">
    <w:name w:val="xl80"/>
    <w:basedOn w:val="1"/>
    <w:qFormat/>
    <w:uiPriority w:val="0"/>
    <w:pPr>
      <w:widowControl/>
      <w:pBdr>
        <w:top w:val="single" w:color="auto" w:sz="8" w:space="0"/>
        <w:bottom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332">
    <w:name w:val="xl81"/>
    <w:basedOn w:val="1"/>
    <w:qFormat/>
    <w:uiPriority w:val="0"/>
    <w:pPr>
      <w:widowControl/>
      <w:pBdr>
        <w:top w:val="single" w:color="auto" w:sz="8" w:space="0"/>
        <w:bottom w:val="single" w:color="auto" w:sz="8" w:space="0"/>
        <w:right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333">
    <w:name w:val="xl82"/>
    <w:basedOn w:val="1"/>
    <w:qFormat/>
    <w:uiPriority w:val="0"/>
    <w:pPr>
      <w:widowControl/>
      <w:pBdr>
        <w:top w:val="single" w:color="auto" w:sz="8" w:space="0"/>
        <w:left w:val="single" w:color="auto" w:sz="8" w:space="0"/>
        <w:right w:val="single" w:color="auto" w:sz="8"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334">
    <w:name w:val="xl83"/>
    <w:basedOn w:val="1"/>
    <w:qFormat/>
    <w:uiPriority w:val="0"/>
    <w:pPr>
      <w:widowControl/>
      <w:pBdr>
        <w:left w:val="single" w:color="auto" w:sz="8" w:space="0"/>
        <w:right w:val="single" w:color="auto" w:sz="8"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335">
    <w:name w:val="xl84"/>
    <w:basedOn w:val="1"/>
    <w:qFormat/>
    <w:uiPriority w:val="0"/>
    <w:pPr>
      <w:widowControl/>
      <w:pBdr>
        <w:bottom w:val="single" w:color="auto" w:sz="8" w:space="0"/>
        <w:right w:val="single" w:color="auto" w:sz="8" w:space="0"/>
      </w:pBdr>
      <w:spacing w:before="100" w:beforeAutospacing="1" w:after="100" w:afterAutospacing="1"/>
      <w:jc w:val="left"/>
    </w:pPr>
    <w:rPr>
      <w:rFonts w:ascii="宋体" w:hAnsi="宋体" w:cs="宋体"/>
      <w:kern w:val="0"/>
      <w:szCs w:val="21"/>
    </w:rPr>
  </w:style>
  <w:style w:type="table" w:customStyle="1" w:styleId="336">
    <w:name w:val="Table Normal"/>
    <w:semiHidden/>
    <w:unhideWhenUsed/>
    <w:qFormat/>
    <w:uiPriority w:val="0"/>
    <w:tblPr>
      <w:tblCellMar>
        <w:top w:w="0" w:type="dxa"/>
        <w:left w:w="0" w:type="dxa"/>
        <w:bottom w:w="0" w:type="dxa"/>
        <w:right w:w="0" w:type="dxa"/>
      </w:tblCellMar>
    </w:tblPr>
  </w:style>
  <w:style w:type="paragraph" w:styleId="337">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8B2E95-30A5-4AD9-9FE5-D1A069B4AC7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97</Pages>
  <Words>7093</Words>
  <Characters>40434</Characters>
  <Lines>336</Lines>
  <Paragraphs>94</Paragraphs>
  <TotalTime>61</TotalTime>
  <ScaleCrop>false</ScaleCrop>
  <LinksUpToDate>false</LinksUpToDate>
  <CharactersWithSpaces>47433</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2021-11-05T03:46:00Z</dcterms:created>
  <dc:creator>高文豪</dc:creator>
  <cp:lastModifiedBy>HP</cp:lastModifiedBy>
  <cp:lastPrinted>2021-11-06T08:04:00Z</cp:lastPrinted>
  <dcterms:modified xsi:type="dcterms:W3CDTF">2021-11-09T07:35:02Z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E1011CC273D24A2E9B8A0F9659830165</vt:lpwstr>
  </property>
</Properties>
</file>